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15" w:rsidRPr="001E48D5" w:rsidRDefault="00DE3015" w:rsidP="007A67C3">
      <w:pPr>
        <w:spacing w:after="0" w:line="360" w:lineRule="auto"/>
        <w:jc w:val="both"/>
        <w:rPr>
          <w:rFonts w:ascii="Book Antiqua" w:hAnsi="Book Antiqua" w:cs="Times New Roman"/>
          <w:i/>
          <w:sz w:val="24"/>
          <w:szCs w:val="24"/>
          <w:lang w:eastAsia="zh-CN"/>
        </w:rPr>
      </w:pPr>
      <w:bookmarkStart w:id="0" w:name="OLE_LINK3"/>
      <w:bookmarkStart w:id="1" w:name="OLE_LINK4"/>
      <w:r w:rsidRPr="001E48D5">
        <w:rPr>
          <w:rFonts w:ascii="Book Antiqua" w:hAnsi="Book Antiqua" w:cs="Times New Roman"/>
          <w:b/>
          <w:sz w:val="24"/>
          <w:szCs w:val="24"/>
        </w:rPr>
        <w:t xml:space="preserve">Name of Journal: </w:t>
      </w:r>
      <w:r w:rsidRPr="001E48D5">
        <w:rPr>
          <w:rFonts w:ascii="Book Antiqua" w:hAnsi="Book Antiqua"/>
          <w:sz w:val="24"/>
          <w:szCs w:val="24"/>
        </w:rPr>
        <w:t xml:space="preserve"> </w:t>
      </w:r>
      <w:r w:rsidRPr="001E48D5">
        <w:rPr>
          <w:rFonts w:ascii="Book Antiqua" w:hAnsi="Book Antiqua" w:cs="Times New Roman"/>
          <w:i/>
          <w:sz w:val="24"/>
          <w:szCs w:val="24"/>
        </w:rPr>
        <w:t>World Journal of Stem Cells</w:t>
      </w:r>
      <w:bookmarkStart w:id="2" w:name="OLE_LINK486"/>
      <w:bookmarkStart w:id="3" w:name="OLE_LINK768"/>
      <w:bookmarkStart w:id="4" w:name="OLE_LINK485"/>
      <w:bookmarkStart w:id="5" w:name="OLE_LINK661"/>
      <w:bookmarkStart w:id="6" w:name="OLE_LINK515"/>
      <w:bookmarkStart w:id="7" w:name="OLE_LINK514"/>
    </w:p>
    <w:p w:rsidR="00DE3015" w:rsidRPr="001E48D5" w:rsidRDefault="00DE3015" w:rsidP="007A67C3">
      <w:pPr>
        <w:spacing w:after="0" w:line="360" w:lineRule="auto"/>
        <w:jc w:val="both"/>
        <w:rPr>
          <w:rFonts w:ascii="Book Antiqua" w:hAnsi="Book Antiqua" w:cs="Times New Roman"/>
          <w:b/>
          <w:i/>
          <w:sz w:val="24"/>
          <w:szCs w:val="24"/>
        </w:rPr>
      </w:pPr>
      <w:r w:rsidRPr="001E48D5">
        <w:rPr>
          <w:rFonts w:ascii="Book Antiqua" w:hAnsi="Book Antiqua" w:cs="Times New Roman"/>
          <w:b/>
          <w:sz w:val="24"/>
          <w:szCs w:val="24"/>
          <w:lang w:eastAsia="zh-CN"/>
        </w:rPr>
        <w:t>Manuscript NO:</w:t>
      </w:r>
      <w:bookmarkEnd w:id="2"/>
      <w:bookmarkEnd w:id="3"/>
      <w:bookmarkEnd w:id="4"/>
      <w:bookmarkEnd w:id="5"/>
      <w:bookmarkEnd w:id="6"/>
      <w:bookmarkEnd w:id="7"/>
      <w:r w:rsidRPr="001E48D5">
        <w:rPr>
          <w:rFonts w:ascii="Book Antiqua" w:hAnsi="Book Antiqua" w:cs="Times New Roman"/>
          <w:sz w:val="24"/>
          <w:szCs w:val="24"/>
          <w:lang w:eastAsia="zh-CN"/>
        </w:rPr>
        <w:t xml:space="preserve"> 45112</w:t>
      </w:r>
    </w:p>
    <w:p w:rsidR="00DE3015" w:rsidRPr="001E48D5" w:rsidRDefault="00DE3015" w:rsidP="007A67C3">
      <w:pPr>
        <w:spacing w:after="0" w:line="360" w:lineRule="auto"/>
        <w:jc w:val="both"/>
        <w:rPr>
          <w:rFonts w:ascii="Book Antiqua" w:hAnsi="Book Antiqua" w:cs="Times New Roman"/>
          <w:sz w:val="24"/>
          <w:szCs w:val="24"/>
          <w:lang w:eastAsia="zh-CN"/>
        </w:rPr>
      </w:pPr>
      <w:r w:rsidRPr="001E48D5">
        <w:rPr>
          <w:rFonts w:ascii="Book Antiqua" w:hAnsi="Book Antiqua" w:cs="Times New Roman"/>
          <w:b/>
          <w:sz w:val="24"/>
          <w:szCs w:val="24"/>
        </w:rPr>
        <w:t xml:space="preserve">Manuscript Type: </w:t>
      </w:r>
      <w:r w:rsidRPr="001E48D5">
        <w:rPr>
          <w:rFonts w:ascii="Book Antiqua" w:hAnsi="Book Antiqua" w:cs="Times New Roman"/>
          <w:sz w:val="24"/>
          <w:szCs w:val="24"/>
        </w:rPr>
        <w:t>MINIREVIEWS</w:t>
      </w:r>
    </w:p>
    <w:p w:rsidR="00DE3015" w:rsidRPr="001E48D5" w:rsidRDefault="00DE3015" w:rsidP="007A67C3">
      <w:pPr>
        <w:spacing w:after="0" w:line="360" w:lineRule="auto"/>
        <w:jc w:val="both"/>
        <w:rPr>
          <w:rFonts w:ascii="Book Antiqua" w:hAnsi="Book Antiqua" w:cs="Times New Roman"/>
          <w:sz w:val="24"/>
          <w:szCs w:val="24"/>
          <w:lang w:eastAsia="zh-CN"/>
        </w:rPr>
      </w:pPr>
    </w:p>
    <w:bookmarkEnd w:id="0"/>
    <w:bookmarkEnd w:id="1"/>
    <w:p w:rsidR="00FA07B4" w:rsidRPr="001E48D5" w:rsidRDefault="00FA07B4" w:rsidP="007A67C3">
      <w:pPr>
        <w:spacing w:after="0" w:line="360" w:lineRule="auto"/>
        <w:jc w:val="both"/>
        <w:rPr>
          <w:rFonts w:ascii="Book Antiqua" w:eastAsia="Times New Roman" w:hAnsi="Book Antiqua" w:cs="Segoe UI"/>
          <w:b/>
          <w:bCs/>
          <w:sz w:val="24"/>
          <w:szCs w:val="24"/>
        </w:rPr>
      </w:pPr>
      <w:r w:rsidRPr="001E48D5">
        <w:rPr>
          <w:rFonts w:ascii="Book Antiqua" w:eastAsia="Times New Roman" w:hAnsi="Book Antiqua" w:cs="Segoe UI"/>
          <w:b/>
          <w:bCs/>
          <w:sz w:val="24"/>
          <w:szCs w:val="24"/>
        </w:rPr>
        <w:t xml:space="preserve">Human cord blood-derived viral pathogens as the potential threats to the hematopoietic stem cell transplantation safety: </w:t>
      </w:r>
      <w:r w:rsidR="00A22CB3" w:rsidRPr="001E48D5">
        <w:rPr>
          <w:rFonts w:ascii="Book Antiqua" w:eastAsia="Times New Roman" w:hAnsi="Book Antiqua" w:cs="Segoe UI"/>
          <w:b/>
          <w:bCs/>
          <w:sz w:val="24"/>
          <w:szCs w:val="24"/>
        </w:rPr>
        <w:t xml:space="preserve">A </w:t>
      </w:r>
      <w:r w:rsidRPr="001E48D5">
        <w:rPr>
          <w:rFonts w:ascii="Book Antiqua" w:eastAsia="Times New Roman" w:hAnsi="Book Antiqua" w:cs="Segoe UI"/>
          <w:b/>
          <w:bCs/>
          <w:sz w:val="24"/>
          <w:szCs w:val="24"/>
        </w:rPr>
        <w:t>mini review</w:t>
      </w:r>
    </w:p>
    <w:p w:rsidR="00FA07B4" w:rsidRPr="001E48D5" w:rsidRDefault="00FA07B4" w:rsidP="007A67C3">
      <w:pPr>
        <w:spacing w:after="0" w:line="360" w:lineRule="auto"/>
        <w:jc w:val="both"/>
        <w:rPr>
          <w:rFonts w:ascii="Book Antiqua" w:hAnsi="Book Antiqua" w:cs="Segoe UI"/>
          <w:b/>
          <w:bCs/>
          <w:sz w:val="24"/>
          <w:szCs w:val="24"/>
          <w:lang w:eastAsia="zh-CN"/>
        </w:rPr>
      </w:pPr>
    </w:p>
    <w:p w:rsidR="00A22CB3" w:rsidRPr="001E48D5" w:rsidRDefault="00A22CB3" w:rsidP="007A67C3">
      <w:pPr>
        <w:spacing w:after="0" w:line="360" w:lineRule="auto"/>
        <w:jc w:val="both"/>
        <w:rPr>
          <w:rFonts w:ascii="Book Antiqua" w:hAnsi="Book Antiqua" w:cs="Segoe UI"/>
          <w:color w:val="000000"/>
          <w:sz w:val="24"/>
          <w:szCs w:val="24"/>
          <w:lang w:eastAsia="zh-CN"/>
        </w:rPr>
      </w:pPr>
      <w:proofErr w:type="spellStart"/>
      <w:r w:rsidRPr="001E48D5">
        <w:rPr>
          <w:rFonts w:ascii="Book Antiqua" w:eastAsia="Times New Roman" w:hAnsi="Book Antiqua" w:cs="Segoe UI"/>
          <w:color w:val="000000"/>
          <w:sz w:val="24"/>
          <w:szCs w:val="24"/>
        </w:rPr>
        <w:t>Noroozi-aghideh</w:t>
      </w:r>
      <w:proofErr w:type="spellEnd"/>
      <w:r w:rsidRPr="001E48D5">
        <w:rPr>
          <w:rFonts w:ascii="Book Antiqua" w:hAnsi="Book Antiqua" w:cs="Segoe UI"/>
          <w:color w:val="000000"/>
          <w:sz w:val="24"/>
          <w:szCs w:val="24"/>
          <w:lang w:eastAsia="zh-CN"/>
        </w:rPr>
        <w:t xml:space="preserve"> A </w:t>
      </w:r>
      <w:r w:rsidRPr="001E48D5">
        <w:rPr>
          <w:rFonts w:ascii="Book Antiqua" w:hAnsi="Book Antiqua" w:cs="Segoe UI"/>
          <w:i/>
          <w:color w:val="000000"/>
          <w:sz w:val="24"/>
          <w:szCs w:val="24"/>
          <w:lang w:eastAsia="zh-CN"/>
        </w:rPr>
        <w:t>et al</w:t>
      </w:r>
      <w:r w:rsidRPr="001E48D5">
        <w:rPr>
          <w:rFonts w:ascii="Book Antiqua" w:hAnsi="Book Antiqua" w:cs="Segoe UI"/>
          <w:color w:val="000000"/>
          <w:sz w:val="24"/>
          <w:szCs w:val="24"/>
          <w:lang w:eastAsia="zh-CN"/>
        </w:rPr>
        <w:t>. Human cord blood-derived viral pathogens</w:t>
      </w:r>
    </w:p>
    <w:p w:rsidR="00A22CB3" w:rsidRPr="001E48D5" w:rsidRDefault="00A22CB3" w:rsidP="007A67C3">
      <w:pPr>
        <w:spacing w:after="0" w:line="360" w:lineRule="auto"/>
        <w:jc w:val="both"/>
        <w:rPr>
          <w:rFonts w:ascii="Book Antiqua" w:hAnsi="Book Antiqua" w:cs="Segoe UI"/>
          <w:color w:val="000000"/>
          <w:sz w:val="24"/>
          <w:szCs w:val="24"/>
          <w:lang w:eastAsia="zh-CN"/>
        </w:rPr>
      </w:pPr>
    </w:p>
    <w:p w:rsidR="00A22CB3" w:rsidRPr="001E48D5" w:rsidRDefault="00A22CB3" w:rsidP="007A67C3">
      <w:pPr>
        <w:spacing w:after="0" w:line="360" w:lineRule="auto"/>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Ali </w:t>
      </w:r>
      <w:proofErr w:type="spellStart"/>
      <w:r w:rsidRPr="001E48D5">
        <w:rPr>
          <w:rFonts w:ascii="Book Antiqua" w:eastAsia="Times New Roman" w:hAnsi="Book Antiqua" w:cs="Segoe UI"/>
          <w:color w:val="000000"/>
          <w:sz w:val="24"/>
          <w:szCs w:val="24"/>
        </w:rPr>
        <w:t>Noroozi-aghideh</w:t>
      </w:r>
      <w:proofErr w:type="spellEnd"/>
      <w:r w:rsidRPr="001E48D5">
        <w:rPr>
          <w:rFonts w:ascii="Book Antiqua" w:eastAsia="Times New Roman" w:hAnsi="Book Antiqua" w:cs="Segoe UI"/>
          <w:color w:val="000000"/>
          <w:sz w:val="24"/>
          <w:szCs w:val="24"/>
        </w:rPr>
        <w:t xml:space="preserve">, Maryam </w:t>
      </w:r>
      <w:proofErr w:type="spellStart"/>
      <w:r w:rsidRPr="001E48D5">
        <w:rPr>
          <w:rFonts w:ascii="Book Antiqua" w:eastAsia="Times New Roman" w:hAnsi="Book Antiqua" w:cs="Segoe UI"/>
          <w:color w:val="000000"/>
          <w:sz w:val="24"/>
          <w:szCs w:val="24"/>
        </w:rPr>
        <w:t>Kheirandish</w:t>
      </w:r>
      <w:proofErr w:type="spellEnd"/>
    </w:p>
    <w:p w:rsidR="00A22CB3" w:rsidRPr="001E48D5" w:rsidRDefault="00A22CB3" w:rsidP="007A67C3">
      <w:pPr>
        <w:spacing w:after="0" w:line="360" w:lineRule="auto"/>
        <w:jc w:val="both"/>
        <w:rPr>
          <w:rFonts w:ascii="Book Antiqua" w:hAnsi="Book Antiqua" w:cs="Segoe UI"/>
          <w:color w:val="000000"/>
          <w:sz w:val="24"/>
          <w:szCs w:val="24"/>
          <w:lang w:eastAsia="zh-CN"/>
        </w:rPr>
      </w:pPr>
    </w:p>
    <w:p w:rsidR="00FA07B4" w:rsidRPr="001E48D5" w:rsidRDefault="00FA07B4" w:rsidP="007A67C3">
      <w:pPr>
        <w:spacing w:after="0" w:line="360" w:lineRule="auto"/>
        <w:jc w:val="both"/>
        <w:rPr>
          <w:rFonts w:ascii="Book Antiqua" w:hAnsi="Book Antiqua" w:cs="Segoe UI"/>
          <w:color w:val="000000"/>
          <w:sz w:val="24"/>
          <w:szCs w:val="24"/>
          <w:lang w:eastAsia="zh-CN"/>
        </w:rPr>
      </w:pPr>
      <w:r w:rsidRPr="001E48D5">
        <w:rPr>
          <w:rFonts w:ascii="Book Antiqua" w:eastAsia="Times New Roman" w:hAnsi="Book Antiqua" w:cs="Segoe UI"/>
          <w:b/>
          <w:color w:val="000000"/>
          <w:sz w:val="24"/>
          <w:szCs w:val="24"/>
        </w:rPr>
        <w:t xml:space="preserve">Ali </w:t>
      </w:r>
      <w:proofErr w:type="spellStart"/>
      <w:r w:rsidRPr="001E48D5">
        <w:rPr>
          <w:rFonts w:ascii="Book Antiqua" w:eastAsia="Times New Roman" w:hAnsi="Book Antiqua" w:cs="Segoe UI"/>
          <w:b/>
          <w:color w:val="000000"/>
          <w:sz w:val="24"/>
          <w:szCs w:val="24"/>
        </w:rPr>
        <w:t>Noroozi-aghideh</w:t>
      </w:r>
      <w:proofErr w:type="spellEnd"/>
      <w:r w:rsidRPr="001E48D5">
        <w:rPr>
          <w:rFonts w:ascii="Book Antiqua" w:eastAsia="Times New Roman" w:hAnsi="Book Antiqua" w:cs="Segoe UI"/>
          <w:b/>
          <w:color w:val="000000"/>
          <w:sz w:val="24"/>
          <w:szCs w:val="24"/>
        </w:rPr>
        <w:t>,</w:t>
      </w:r>
      <w:r w:rsidRPr="001E48D5">
        <w:rPr>
          <w:rFonts w:ascii="Book Antiqua" w:eastAsia="Times New Roman" w:hAnsi="Book Antiqua" w:cs="Segoe UI"/>
          <w:color w:val="000000"/>
          <w:sz w:val="24"/>
          <w:szCs w:val="24"/>
        </w:rPr>
        <w:t xml:space="preserve"> Department of Hematology, Faculty of Paramedicine, Aja University of Medical Sciences, Tehran</w:t>
      </w:r>
      <w:r w:rsidR="00A22CB3" w:rsidRPr="001E48D5">
        <w:rPr>
          <w:rFonts w:ascii="Book Antiqua" w:hAnsi="Book Antiqua"/>
          <w:sz w:val="24"/>
          <w:szCs w:val="24"/>
        </w:rPr>
        <w:t xml:space="preserve"> </w:t>
      </w:r>
      <w:r w:rsidR="00A22CB3" w:rsidRPr="001E48D5">
        <w:rPr>
          <w:rFonts w:ascii="Book Antiqua" w:eastAsia="Times New Roman" w:hAnsi="Book Antiqua" w:cs="Segoe UI"/>
          <w:color w:val="000000"/>
          <w:sz w:val="24"/>
          <w:szCs w:val="24"/>
        </w:rPr>
        <w:t>14665-1157</w:t>
      </w:r>
      <w:r w:rsidRPr="001E48D5">
        <w:rPr>
          <w:rFonts w:ascii="Book Antiqua" w:eastAsia="Times New Roman" w:hAnsi="Book Antiqua" w:cs="Segoe UI"/>
          <w:color w:val="000000"/>
          <w:sz w:val="24"/>
          <w:szCs w:val="24"/>
        </w:rPr>
        <w:t>, Iran</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b/>
          <w:color w:val="000000"/>
          <w:sz w:val="24"/>
          <w:szCs w:val="24"/>
        </w:rPr>
        <w:t xml:space="preserve">Maryam </w:t>
      </w:r>
      <w:proofErr w:type="spellStart"/>
      <w:r w:rsidRPr="001E48D5">
        <w:rPr>
          <w:rFonts w:ascii="Book Antiqua" w:eastAsia="Times New Roman" w:hAnsi="Book Antiqua" w:cs="Segoe UI"/>
          <w:b/>
          <w:color w:val="000000"/>
          <w:sz w:val="24"/>
          <w:szCs w:val="24"/>
        </w:rPr>
        <w:t>Kheirandish</w:t>
      </w:r>
      <w:proofErr w:type="spellEnd"/>
      <w:r w:rsidRPr="001E48D5">
        <w:rPr>
          <w:rFonts w:ascii="Book Antiqua" w:eastAsia="Times New Roman" w:hAnsi="Book Antiqua" w:cs="Segoe UI"/>
          <w:b/>
          <w:color w:val="000000"/>
          <w:sz w:val="24"/>
          <w:szCs w:val="24"/>
        </w:rPr>
        <w:t>,</w:t>
      </w:r>
      <w:r w:rsidRPr="001E48D5">
        <w:rPr>
          <w:rFonts w:ascii="Book Antiqua" w:eastAsia="Times New Roman" w:hAnsi="Book Antiqua" w:cs="Segoe UI"/>
          <w:color w:val="000000"/>
          <w:sz w:val="24"/>
          <w:szCs w:val="24"/>
        </w:rPr>
        <w:t xml:space="preserve"> Immunology Department, Blood Transfusion Research Center, High Institute for Research and Education in Transfusion Medicine (IBTO), Tehran</w:t>
      </w:r>
      <w:r w:rsidR="00A22CB3" w:rsidRPr="001E48D5">
        <w:rPr>
          <w:rFonts w:ascii="Book Antiqua" w:hAnsi="Book Antiqua"/>
          <w:sz w:val="24"/>
          <w:szCs w:val="24"/>
        </w:rPr>
        <w:t xml:space="preserve"> </w:t>
      </w:r>
      <w:r w:rsidR="00A22CB3" w:rsidRPr="001E48D5">
        <w:rPr>
          <w:rFonts w:ascii="Book Antiqua" w:eastAsia="Times New Roman" w:hAnsi="Book Antiqua" w:cs="Segoe UI"/>
          <w:color w:val="000000"/>
          <w:sz w:val="24"/>
          <w:szCs w:val="24"/>
        </w:rPr>
        <w:t>14665-1157, Iran</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p>
    <w:p w:rsidR="00FA07B4" w:rsidRPr="001E48D5" w:rsidRDefault="00A22CB3" w:rsidP="007A67C3">
      <w:pPr>
        <w:spacing w:after="0" w:line="360" w:lineRule="auto"/>
        <w:jc w:val="both"/>
        <w:rPr>
          <w:rFonts w:ascii="Book Antiqua" w:eastAsia="Times New Roman" w:hAnsi="Book Antiqua" w:cs="Segoe UI"/>
          <w:color w:val="000000"/>
          <w:sz w:val="24"/>
          <w:szCs w:val="24"/>
        </w:rPr>
      </w:pPr>
      <w:r w:rsidRPr="001E48D5">
        <w:rPr>
          <w:rFonts w:ascii="Book Antiqua" w:hAnsi="Book Antiqua" w:cs="Times New Roman"/>
          <w:b/>
          <w:sz w:val="24"/>
          <w:szCs w:val="24"/>
        </w:rPr>
        <w:t>ORCID number:</w:t>
      </w:r>
      <w:r w:rsidR="00FA07B4" w:rsidRPr="001E48D5">
        <w:rPr>
          <w:rFonts w:ascii="Book Antiqua" w:eastAsia="Times New Roman" w:hAnsi="Book Antiqua" w:cs="Segoe UI"/>
          <w:color w:val="000000"/>
          <w:sz w:val="24"/>
          <w:szCs w:val="24"/>
        </w:rPr>
        <w:t xml:space="preserve"> Ali </w:t>
      </w:r>
      <w:proofErr w:type="spellStart"/>
      <w:r w:rsidR="00FA07B4" w:rsidRPr="001E48D5">
        <w:rPr>
          <w:rFonts w:ascii="Book Antiqua" w:eastAsia="Times New Roman" w:hAnsi="Book Antiqua" w:cs="Segoe UI"/>
          <w:color w:val="000000"/>
          <w:sz w:val="24"/>
          <w:szCs w:val="24"/>
        </w:rPr>
        <w:t>Noroozi-aghideh</w:t>
      </w:r>
      <w:proofErr w:type="spellEnd"/>
      <w:r w:rsidR="00FA07B4" w:rsidRPr="001E48D5">
        <w:rPr>
          <w:rFonts w:ascii="Book Antiqua" w:eastAsia="Times New Roman" w:hAnsi="Book Antiqua" w:cs="Segoe UI"/>
          <w:color w:val="000000"/>
          <w:sz w:val="24"/>
          <w:szCs w:val="24"/>
        </w:rPr>
        <w:t xml:space="preserve"> (0000-0002-2811-2659); Maryam </w:t>
      </w:r>
      <w:proofErr w:type="spellStart"/>
      <w:r w:rsidR="00FA07B4" w:rsidRPr="001E48D5">
        <w:rPr>
          <w:rFonts w:ascii="Book Antiqua" w:eastAsia="Times New Roman" w:hAnsi="Book Antiqua" w:cs="Segoe UI"/>
          <w:color w:val="000000"/>
          <w:sz w:val="24"/>
          <w:szCs w:val="24"/>
        </w:rPr>
        <w:t>Kheirandish</w:t>
      </w:r>
      <w:proofErr w:type="spellEnd"/>
      <w:r w:rsidR="00FA07B4" w:rsidRPr="001E48D5">
        <w:rPr>
          <w:rFonts w:ascii="Book Antiqua" w:eastAsia="Times New Roman" w:hAnsi="Book Antiqua" w:cs="Segoe UI"/>
          <w:color w:val="000000"/>
          <w:sz w:val="24"/>
          <w:szCs w:val="24"/>
        </w:rPr>
        <w:t xml:space="preserve"> (0000-0002-9856-0844).</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p>
    <w:p w:rsidR="00A22CB3" w:rsidRPr="001E48D5" w:rsidRDefault="00A22CB3" w:rsidP="007A67C3">
      <w:pPr>
        <w:spacing w:after="0" w:line="360" w:lineRule="auto"/>
        <w:jc w:val="both"/>
        <w:rPr>
          <w:rFonts w:ascii="Book Antiqua" w:hAnsi="Book Antiqua"/>
          <w:sz w:val="24"/>
          <w:szCs w:val="24"/>
          <w:lang w:eastAsia="zh-CN"/>
        </w:rPr>
      </w:pPr>
      <w:r w:rsidRPr="001E48D5">
        <w:rPr>
          <w:rFonts w:ascii="Book Antiqua" w:hAnsi="Book Antiqua"/>
          <w:b/>
          <w:sz w:val="24"/>
          <w:szCs w:val="24"/>
        </w:rPr>
        <w:t>Author contributions:</w:t>
      </w:r>
      <w:r w:rsidR="004524C8" w:rsidRPr="001E48D5">
        <w:rPr>
          <w:rFonts w:ascii="Book Antiqua" w:hAnsi="Book Antiqua"/>
          <w:b/>
          <w:sz w:val="24"/>
          <w:szCs w:val="24"/>
          <w:lang w:eastAsia="zh-CN"/>
        </w:rPr>
        <w:t xml:space="preserve"> </w:t>
      </w:r>
      <w:r w:rsidR="004524C8" w:rsidRPr="001E48D5">
        <w:rPr>
          <w:rFonts w:ascii="Book Antiqua" w:hAnsi="Book Antiqua"/>
          <w:sz w:val="24"/>
          <w:szCs w:val="24"/>
          <w:lang w:eastAsia="zh-CN"/>
        </w:rPr>
        <w:t>The author contributed equally to this work.</w:t>
      </w:r>
    </w:p>
    <w:p w:rsidR="00A22CB3" w:rsidRPr="001E48D5" w:rsidRDefault="00A22CB3" w:rsidP="007A67C3">
      <w:pPr>
        <w:spacing w:after="0" w:line="360" w:lineRule="auto"/>
        <w:jc w:val="both"/>
        <w:rPr>
          <w:rFonts w:ascii="Book Antiqua" w:hAnsi="Book Antiqua"/>
          <w:b/>
          <w:sz w:val="24"/>
          <w:szCs w:val="24"/>
          <w:lang w:eastAsia="zh-CN"/>
        </w:rPr>
      </w:pPr>
    </w:p>
    <w:p w:rsidR="00BD4D56" w:rsidRPr="001E48D5" w:rsidRDefault="00BD4D56" w:rsidP="007A67C3">
      <w:pPr>
        <w:spacing w:after="0" w:line="360" w:lineRule="auto"/>
        <w:jc w:val="both"/>
        <w:rPr>
          <w:rFonts w:ascii="Book Antiqua" w:eastAsia="Times New Roman" w:hAnsi="Book Antiqua" w:cs="Segoe UI"/>
          <w:color w:val="000000"/>
          <w:sz w:val="24"/>
          <w:szCs w:val="24"/>
        </w:rPr>
      </w:pPr>
      <w:r w:rsidRPr="001E48D5">
        <w:rPr>
          <w:rFonts w:ascii="Book Antiqua" w:eastAsia="Arial Unicode MS" w:hAnsi="Book Antiqua" w:cs="Times New Roman"/>
          <w:b/>
          <w:sz w:val="24"/>
          <w:szCs w:val="24"/>
        </w:rPr>
        <w:t>Conflict-of-interest statement:</w:t>
      </w:r>
      <w:r w:rsidRPr="001E48D5">
        <w:rPr>
          <w:rFonts w:ascii="Book Antiqua" w:eastAsia="Times New Roman" w:hAnsi="Book Antiqua" w:cs="Segoe UI"/>
          <w:color w:val="000000"/>
          <w:sz w:val="24"/>
          <w:szCs w:val="24"/>
        </w:rPr>
        <w:t xml:space="preserve"> Authors of this manuscript have no conflicts of interest to disclose.</w:t>
      </w:r>
    </w:p>
    <w:p w:rsidR="00BD4D56" w:rsidRPr="001E48D5" w:rsidRDefault="00BD4D56" w:rsidP="007A67C3">
      <w:pPr>
        <w:spacing w:after="0" w:line="360" w:lineRule="auto"/>
        <w:jc w:val="both"/>
        <w:rPr>
          <w:rFonts w:ascii="Book Antiqua" w:hAnsi="Book Antiqua"/>
          <w:b/>
          <w:sz w:val="24"/>
          <w:szCs w:val="24"/>
          <w:lang w:eastAsia="zh-CN"/>
        </w:rPr>
      </w:pPr>
    </w:p>
    <w:p w:rsidR="00BD4D56" w:rsidRPr="001E48D5" w:rsidRDefault="00BD4D56" w:rsidP="007A67C3">
      <w:pPr>
        <w:spacing w:after="0" w:line="360" w:lineRule="auto"/>
        <w:jc w:val="both"/>
        <w:rPr>
          <w:rStyle w:val="a3"/>
          <w:rFonts w:ascii="Book Antiqua" w:hAnsi="Book Antiqua" w:cs="Times New Roman"/>
          <w:bCs/>
          <w:color w:val="auto"/>
          <w:sz w:val="24"/>
          <w:szCs w:val="24"/>
          <w:u w:val="none"/>
          <w:lang w:eastAsia="zh-CN"/>
        </w:rPr>
      </w:pPr>
      <w:r w:rsidRPr="001E48D5">
        <w:rPr>
          <w:rStyle w:val="a3"/>
          <w:rFonts w:ascii="Book Antiqua" w:hAnsi="Book Antiqua"/>
          <w:b/>
          <w:color w:val="auto"/>
          <w:sz w:val="24"/>
          <w:szCs w:val="24"/>
          <w:u w:val="none"/>
          <w:lang w:eastAsia="zh-CN"/>
        </w:rPr>
        <w:t>Open-Access:</w:t>
      </w:r>
      <w:r w:rsidRPr="001E48D5">
        <w:rPr>
          <w:rStyle w:val="a3"/>
          <w:rFonts w:ascii="Book Antiqua" w:hAnsi="Book Antiqua"/>
          <w:color w:val="auto"/>
          <w:sz w:val="24"/>
          <w:szCs w:val="24"/>
          <w:u w:val="none"/>
          <w:lang w:eastAsia="zh-CN"/>
        </w:rPr>
        <w:t xml:space="preserve"> </w:t>
      </w:r>
      <w:bookmarkStart w:id="8" w:name="OLE_LINK479"/>
      <w:bookmarkStart w:id="9" w:name="OLE_LINK496"/>
      <w:bookmarkStart w:id="10" w:name="OLE_LINK506"/>
      <w:bookmarkStart w:id="11" w:name="OLE_LINK507"/>
      <w:r w:rsidRPr="001E48D5">
        <w:rPr>
          <w:rStyle w:val="a3"/>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t>
      </w:r>
      <w:r w:rsidRPr="001E48D5">
        <w:rPr>
          <w:rStyle w:val="a3"/>
          <w:rFonts w:ascii="Book Antiqua" w:hAnsi="Book Antiqua"/>
          <w:color w:val="auto"/>
          <w:sz w:val="24"/>
          <w:szCs w:val="24"/>
          <w:u w:val="none"/>
          <w:lang w:eastAsia="zh-CN"/>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8" w:history="1">
        <w:r w:rsidRPr="001E48D5">
          <w:rPr>
            <w:rStyle w:val="a3"/>
            <w:rFonts w:ascii="Book Antiqua" w:hAnsi="Book Antiqua" w:cs="Times New Roman"/>
            <w:bCs/>
            <w:color w:val="auto"/>
            <w:sz w:val="24"/>
            <w:szCs w:val="24"/>
            <w:u w:val="none"/>
            <w:lang w:eastAsia="zh-CN"/>
          </w:rPr>
          <w:t>http://creativecommons.org/licenses/by-nc/4.0/</w:t>
        </w:r>
      </w:hyperlink>
      <w:bookmarkEnd w:id="8"/>
      <w:bookmarkEnd w:id="9"/>
      <w:bookmarkEnd w:id="10"/>
      <w:bookmarkEnd w:id="11"/>
    </w:p>
    <w:p w:rsidR="00BD4D56" w:rsidRPr="001E48D5" w:rsidRDefault="00BD4D56" w:rsidP="007A67C3">
      <w:pPr>
        <w:spacing w:after="0" w:line="360" w:lineRule="auto"/>
        <w:jc w:val="both"/>
        <w:rPr>
          <w:rStyle w:val="a3"/>
          <w:rFonts w:ascii="Book Antiqua" w:hAnsi="Book Antiqua" w:cs="Times New Roman"/>
          <w:bCs/>
          <w:sz w:val="24"/>
          <w:szCs w:val="24"/>
          <w:lang w:eastAsia="zh-CN"/>
        </w:rPr>
      </w:pPr>
    </w:p>
    <w:p w:rsidR="00BD4D56" w:rsidRPr="001E48D5" w:rsidRDefault="00BD4D56" w:rsidP="007A67C3">
      <w:pPr>
        <w:spacing w:after="0" w:line="360" w:lineRule="auto"/>
        <w:contextualSpacing/>
        <w:jc w:val="both"/>
        <w:rPr>
          <w:rFonts w:ascii="Book Antiqua" w:eastAsia="Arial Unicode MS" w:hAnsi="Book Antiqua" w:cs="Times New Roman"/>
          <w:sz w:val="24"/>
          <w:szCs w:val="24"/>
          <w:lang w:eastAsia="zh-CN"/>
        </w:rPr>
      </w:pPr>
      <w:r w:rsidRPr="001E48D5">
        <w:rPr>
          <w:rFonts w:ascii="Book Antiqua" w:eastAsia="Arial Unicode MS" w:hAnsi="Book Antiqua" w:cs="Times New Roman"/>
          <w:b/>
          <w:sz w:val="24"/>
          <w:szCs w:val="24"/>
        </w:rPr>
        <w:t xml:space="preserve">Manuscript source: </w:t>
      </w:r>
      <w:r w:rsidRPr="001E48D5">
        <w:rPr>
          <w:rFonts w:ascii="Book Antiqua" w:eastAsia="Arial Unicode MS" w:hAnsi="Book Antiqua" w:cs="Times New Roman"/>
          <w:sz w:val="24"/>
          <w:szCs w:val="24"/>
        </w:rPr>
        <w:t>Invited Manuscript</w:t>
      </w:r>
    </w:p>
    <w:p w:rsidR="00BD4D56" w:rsidRPr="001E48D5" w:rsidRDefault="00BD4D56" w:rsidP="007A67C3">
      <w:pPr>
        <w:spacing w:after="0" w:line="360" w:lineRule="auto"/>
        <w:jc w:val="both"/>
        <w:rPr>
          <w:rFonts w:ascii="Book Antiqua" w:hAnsi="Book Antiqua"/>
          <w:b/>
          <w:sz w:val="24"/>
          <w:szCs w:val="24"/>
          <w:lang w:eastAsia="zh-CN"/>
        </w:rPr>
      </w:pP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b/>
          <w:color w:val="000000"/>
          <w:sz w:val="24"/>
          <w:szCs w:val="24"/>
        </w:rPr>
        <w:t>Corresp</w:t>
      </w:r>
      <w:r w:rsidR="00C3335A" w:rsidRPr="001E48D5">
        <w:rPr>
          <w:rFonts w:ascii="Book Antiqua" w:eastAsia="Times New Roman" w:hAnsi="Book Antiqua" w:cs="Segoe UI"/>
          <w:b/>
          <w:color w:val="000000"/>
          <w:sz w:val="24"/>
          <w:szCs w:val="24"/>
        </w:rPr>
        <w:t>ond</w:t>
      </w:r>
      <w:r w:rsidR="00A22CB3" w:rsidRPr="001E48D5">
        <w:rPr>
          <w:rFonts w:ascii="Book Antiqua" w:hAnsi="Book Antiqua" w:cs="Segoe UI"/>
          <w:b/>
          <w:color w:val="000000"/>
          <w:sz w:val="24"/>
          <w:szCs w:val="24"/>
          <w:lang w:eastAsia="zh-CN"/>
        </w:rPr>
        <w:t>ing author</w:t>
      </w:r>
      <w:r w:rsidR="00C3335A" w:rsidRPr="001E48D5">
        <w:rPr>
          <w:rFonts w:ascii="Book Antiqua" w:eastAsia="Times New Roman" w:hAnsi="Book Antiqua" w:cs="Segoe UI"/>
          <w:b/>
          <w:color w:val="000000"/>
          <w:sz w:val="24"/>
          <w:szCs w:val="24"/>
        </w:rPr>
        <w:t xml:space="preserve">: Maryam </w:t>
      </w:r>
      <w:proofErr w:type="spellStart"/>
      <w:r w:rsidR="00C3335A" w:rsidRPr="001E48D5">
        <w:rPr>
          <w:rFonts w:ascii="Book Antiqua" w:eastAsia="Times New Roman" w:hAnsi="Book Antiqua" w:cs="Segoe UI"/>
          <w:b/>
          <w:color w:val="000000"/>
          <w:sz w:val="24"/>
          <w:szCs w:val="24"/>
        </w:rPr>
        <w:t>Kheirandish</w:t>
      </w:r>
      <w:proofErr w:type="spellEnd"/>
      <w:r w:rsidR="00C3335A" w:rsidRPr="001E48D5">
        <w:rPr>
          <w:rFonts w:ascii="Book Antiqua" w:eastAsia="Times New Roman" w:hAnsi="Book Antiqua" w:cs="Segoe UI"/>
          <w:b/>
          <w:color w:val="000000"/>
          <w:sz w:val="24"/>
          <w:szCs w:val="24"/>
        </w:rPr>
        <w:t xml:space="preserve">, </w:t>
      </w:r>
      <w:r w:rsidR="00BD4D56" w:rsidRPr="001E48D5">
        <w:rPr>
          <w:rFonts w:ascii="Book Antiqua" w:eastAsia="Times New Roman" w:hAnsi="Book Antiqua" w:cs="Segoe UI"/>
          <w:b/>
          <w:color w:val="000000"/>
          <w:sz w:val="24"/>
          <w:szCs w:val="24"/>
        </w:rPr>
        <w:t>PhD, Associate Professor,</w:t>
      </w:r>
      <w:r w:rsidRPr="001E48D5">
        <w:rPr>
          <w:rFonts w:ascii="Book Antiqua" w:eastAsia="Times New Roman" w:hAnsi="Book Antiqua" w:cs="Segoe UI"/>
          <w:color w:val="000000"/>
          <w:sz w:val="24"/>
          <w:szCs w:val="24"/>
        </w:rPr>
        <w:t xml:space="preserve"> Immunology Department, Blood Transfusion Research Center, High Institute for Research and Education in Transfusion Medicine (IBTO), </w:t>
      </w:r>
      <w:proofErr w:type="spellStart"/>
      <w:r w:rsidRPr="001E48D5">
        <w:rPr>
          <w:rFonts w:ascii="Book Antiqua" w:eastAsia="Times New Roman" w:hAnsi="Book Antiqua" w:cs="Segoe UI"/>
          <w:color w:val="000000"/>
          <w:sz w:val="24"/>
          <w:szCs w:val="24"/>
        </w:rPr>
        <w:t>Hemmat</w:t>
      </w:r>
      <w:proofErr w:type="spellEnd"/>
      <w:r w:rsidRPr="001E48D5">
        <w:rPr>
          <w:rFonts w:ascii="Book Antiqua" w:eastAsia="Times New Roman" w:hAnsi="Book Antiqua" w:cs="Segoe UI"/>
          <w:color w:val="000000"/>
          <w:sz w:val="24"/>
          <w:szCs w:val="24"/>
        </w:rPr>
        <w:t xml:space="preserve"> high </w:t>
      </w:r>
      <w:r w:rsidR="00A22CB3" w:rsidRPr="001E48D5">
        <w:rPr>
          <w:rFonts w:ascii="Book Antiqua" w:eastAsia="Times New Roman" w:hAnsi="Book Antiqua" w:cs="Segoe UI"/>
          <w:color w:val="000000"/>
          <w:sz w:val="24"/>
          <w:szCs w:val="24"/>
        </w:rPr>
        <w:t xml:space="preserve">way next to </w:t>
      </w:r>
      <w:proofErr w:type="spellStart"/>
      <w:r w:rsidR="00A22CB3" w:rsidRPr="001E48D5">
        <w:rPr>
          <w:rFonts w:ascii="Book Antiqua" w:eastAsia="Times New Roman" w:hAnsi="Book Antiqua" w:cs="Segoe UI"/>
          <w:color w:val="000000"/>
          <w:sz w:val="24"/>
          <w:szCs w:val="24"/>
        </w:rPr>
        <w:t>Milad</w:t>
      </w:r>
      <w:proofErr w:type="spellEnd"/>
      <w:r w:rsidR="00A22CB3" w:rsidRPr="001E48D5">
        <w:rPr>
          <w:rFonts w:ascii="Book Antiqua" w:eastAsia="Times New Roman" w:hAnsi="Book Antiqua" w:cs="Segoe UI"/>
          <w:color w:val="000000"/>
          <w:sz w:val="24"/>
          <w:szCs w:val="24"/>
        </w:rPr>
        <w:t xml:space="preserve"> tower, Tehran</w:t>
      </w:r>
      <w:r w:rsidRPr="001E48D5">
        <w:rPr>
          <w:rFonts w:ascii="Book Antiqua" w:eastAsia="Times New Roman" w:hAnsi="Book Antiqua" w:cs="Segoe UI"/>
          <w:color w:val="000000"/>
          <w:sz w:val="24"/>
          <w:szCs w:val="24"/>
        </w:rPr>
        <w:t xml:space="preserve"> 14665-1157, Iran. m.kheirandish@ibto.ir</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b/>
          <w:color w:val="000000"/>
          <w:sz w:val="24"/>
          <w:szCs w:val="24"/>
        </w:rPr>
        <w:t>Telephone:</w:t>
      </w:r>
      <w:r w:rsidRPr="001E48D5">
        <w:rPr>
          <w:rFonts w:ascii="Book Antiqua" w:eastAsia="Times New Roman" w:hAnsi="Book Antiqua" w:cs="Segoe UI"/>
          <w:color w:val="000000"/>
          <w:sz w:val="24"/>
          <w:szCs w:val="24"/>
        </w:rPr>
        <w:t xml:space="preserve"> +98</w:t>
      </w:r>
      <w:r w:rsidR="00BD4D56"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21</w:t>
      </w:r>
      <w:r w:rsidR="00BD4D56"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 xml:space="preserve">88629538 </w:t>
      </w:r>
    </w:p>
    <w:p w:rsidR="00FA07B4" w:rsidRPr="001E48D5" w:rsidRDefault="00FA07B4" w:rsidP="007A67C3">
      <w:pPr>
        <w:spacing w:after="0" w:line="360" w:lineRule="auto"/>
        <w:jc w:val="both"/>
        <w:rPr>
          <w:rFonts w:ascii="Book Antiqua" w:hAnsi="Book Antiqua" w:cs="Segoe UI"/>
          <w:color w:val="000000"/>
          <w:sz w:val="24"/>
          <w:szCs w:val="24"/>
          <w:lang w:eastAsia="zh-CN"/>
        </w:rPr>
      </w:pPr>
      <w:r w:rsidRPr="001E48D5">
        <w:rPr>
          <w:rFonts w:ascii="Book Antiqua" w:eastAsia="Times New Roman" w:hAnsi="Book Antiqua" w:cs="Segoe UI"/>
          <w:b/>
          <w:color w:val="000000"/>
          <w:sz w:val="24"/>
          <w:szCs w:val="24"/>
        </w:rPr>
        <w:t>Fax:</w:t>
      </w:r>
      <w:r w:rsidRPr="001E48D5">
        <w:rPr>
          <w:rFonts w:ascii="Book Antiqua" w:eastAsia="Times New Roman" w:hAnsi="Book Antiqua" w:cs="Segoe UI"/>
          <w:color w:val="000000"/>
          <w:sz w:val="24"/>
          <w:szCs w:val="24"/>
        </w:rPr>
        <w:t xml:space="preserve"> +98</w:t>
      </w:r>
      <w:r w:rsidR="00BD4D56"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21</w:t>
      </w:r>
      <w:r w:rsidR="00BD4D56"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88601577</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p>
    <w:p w:rsidR="00BD4D56" w:rsidRPr="001E48D5" w:rsidRDefault="00BD4D56" w:rsidP="007A67C3">
      <w:pPr>
        <w:snapToGrid w:val="0"/>
        <w:spacing w:after="0" w:line="360" w:lineRule="auto"/>
        <w:jc w:val="both"/>
        <w:rPr>
          <w:rFonts w:ascii="Book Antiqua" w:hAnsi="Book Antiqua"/>
          <w:sz w:val="24"/>
          <w:szCs w:val="24"/>
        </w:rPr>
      </w:pPr>
      <w:r w:rsidRPr="001E48D5">
        <w:rPr>
          <w:rFonts w:ascii="Book Antiqua" w:hAnsi="Book Antiqua"/>
          <w:b/>
          <w:sz w:val="24"/>
          <w:szCs w:val="24"/>
        </w:rPr>
        <w:t xml:space="preserve">Received: </w:t>
      </w:r>
      <w:r w:rsidRPr="001E48D5">
        <w:rPr>
          <w:rFonts w:ascii="Book Antiqua" w:hAnsi="Book Antiqua"/>
          <w:sz w:val="24"/>
          <w:szCs w:val="24"/>
          <w:lang w:eastAsia="zh-CN"/>
        </w:rPr>
        <w:t>December</w:t>
      </w:r>
      <w:r w:rsidRPr="001E48D5">
        <w:rPr>
          <w:rFonts w:ascii="Book Antiqua" w:hAnsi="Book Antiqua"/>
          <w:sz w:val="24"/>
          <w:szCs w:val="24"/>
        </w:rPr>
        <w:t xml:space="preserve"> </w:t>
      </w:r>
      <w:r w:rsidRPr="001E48D5">
        <w:rPr>
          <w:rFonts w:ascii="Book Antiqua" w:hAnsi="Book Antiqua"/>
          <w:sz w:val="24"/>
          <w:szCs w:val="24"/>
          <w:lang w:eastAsia="zh-CN"/>
        </w:rPr>
        <w:t>12</w:t>
      </w:r>
      <w:r w:rsidRPr="001E48D5">
        <w:rPr>
          <w:rFonts w:ascii="Book Antiqua" w:hAnsi="Book Antiqua"/>
          <w:sz w:val="24"/>
          <w:szCs w:val="24"/>
        </w:rPr>
        <w:t>, 2018</w:t>
      </w:r>
    </w:p>
    <w:p w:rsidR="00BD4D56" w:rsidRPr="001E48D5" w:rsidRDefault="00BD4D56" w:rsidP="007A67C3">
      <w:pPr>
        <w:snapToGrid w:val="0"/>
        <w:spacing w:after="0" w:line="360" w:lineRule="auto"/>
        <w:jc w:val="both"/>
        <w:rPr>
          <w:rFonts w:ascii="Book Antiqua" w:hAnsi="Book Antiqua"/>
          <w:sz w:val="24"/>
          <w:szCs w:val="24"/>
        </w:rPr>
      </w:pPr>
      <w:r w:rsidRPr="001E48D5">
        <w:rPr>
          <w:rFonts w:ascii="Book Antiqua" w:hAnsi="Book Antiqua"/>
          <w:b/>
          <w:sz w:val="24"/>
          <w:szCs w:val="24"/>
        </w:rPr>
        <w:t>Peer-review started:</w:t>
      </w:r>
      <w:r w:rsidRPr="001E48D5">
        <w:rPr>
          <w:rFonts w:ascii="Book Antiqua" w:hAnsi="Book Antiqua"/>
          <w:sz w:val="24"/>
          <w:szCs w:val="24"/>
          <w:lang w:eastAsia="zh-CN"/>
        </w:rPr>
        <w:t xml:space="preserve"> December</w:t>
      </w:r>
      <w:r w:rsidRPr="001E48D5">
        <w:rPr>
          <w:rFonts w:ascii="Book Antiqua" w:hAnsi="Book Antiqua"/>
          <w:sz w:val="24"/>
          <w:szCs w:val="24"/>
        </w:rPr>
        <w:t xml:space="preserve"> </w:t>
      </w:r>
      <w:r w:rsidRPr="001E48D5">
        <w:rPr>
          <w:rFonts w:ascii="Book Antiqua" w:hAnsi="Book Antiqua"/>
          <w:sz w:val="24"/>
          <w:szCs w:val="24"/>
          <w:lang w:eastAsia="zh-CN"/>
        </w:rPr>
        <w:t>12</w:t>
      </w:r>
      <w:r w:rsidRPr="001E48D5">
        <w:rPr>
          <w:rFonts w:ascii="Book Antiqua" w:hAnsi="Book Antiqua"/>
          <w:sz w:val="24"/>
          <w:szCs w:val="24"/>
        </w:rPr>
        <w:t>, 2018</w:t>
      </w:r>
    </w:p>
    <w:p w:rsidR="00BD4D56" w:rsidRPr="001E48D5" w:rsidRDefault="00BD4D56" w:rsidP="007A67C3">
      <w:pPr>
        <w:snapToGrid w:val="0"/>
        <w:spacing w:after="0" w:line="360" w:lineRule="auto"/>
        <w:jc w:val="both"/>
        <w:rPr>
          <w:rFonts w:ascii="Book Antiqua" w:hAnsi="Book Antiqua"/>
          <w:sz w:val="24"/>
          <w:szCs w:val="24"/>
        </w:rPr>
      </w:pPr>
      <w:r w:rsidRPr="001E48D5">
        <w:rPr>
          <w:rFonts w:ascii="Book Antiqua" w:hAnsi="Book Antiqua"/>
          <w:b/>
          <w:sz w:val="24"/>
          <w:szCs w:val="24"/>
        </w:rPr>
        <w:t xml:space="preserve">First decision: </w:t>
      </w:r>
      <w:r w:rsidRPr="001E48D5">
        <w:rPr>
          <w:rFonts w:ascii="Book Antiqua" w:hAnsi="Book Antiqua"/>
          <w:sz w:val="24"/>
          <w:szCs w:val="24"/>
          <w:lang w:eastAsia="zh-CN"/>
        </w:rPr>
        <w:t>December</w:t>
      </w:r>
      <w:r w:rsidRPr="001E48D5">
        <w:rPr>
          <w:rFonts w:ascii="Book Antiqua" w:hAnsi="Book Antiqua"/>
          <w:sz w:val="24"/>
          <w:szCs w:val="24"/>
        </w:rPr>
        <w:t xml:space="preserve"> </w:t>
      </w:r>
      <w:r w:rsidRPr="001E48D5">
        <w:rPr>
          <w:rFonts w:ascii="Book Antiqua" w:hAnsi="Book Antiqua"/>
          <w:sz w:val="24"/>
          <w:szCs w:val="24"/>
          <w:lang w:eastAsia="zh-CN"/>
        </w:rPr>
        <w:t>24</w:t>
      </w:r>
      <w:r w:rsidRPr="001E48D5">
        <w:rPr>
          <w:rFonts w:ascii="Book Antiqua" w:hAnsi="Book Antiqua"/>
          <w:sz w:val="24"/>
          <w:szCs w:val="24"/>
        </w:rPr>
        <w:t>, 2018</w:t>
      </w:r>
    </w:p>
    <w:p w:rsidR="00BD4D56" w:rsidRPr="001E48D5" w:rsidRDefault="00BD4D56" w:rsidP="007A67C3">
      <w:pPr>
        <w:snapToGrid w:val="0"/>
        <w:spacing w:after="0" w:line="360" w:lineRule="auto"/>
        <w:jc w:val="both"/>
        <w:rPr>
          <w:rFonts w:ascii="Book Antiqua" w:hAnsi="Book Antiqua"/>
          <w:sz w:val="24"/>
          <w:szCs w:val="24"/>
          <w:lang w:eastAsia="zh-CN"/>
        </w:rPr>
      </w:pPr>
      <w:r w:rsidRPr="001E48D5">
        <w:rPr>
          <w:rFonts w:ascii="Book Antiqua" w:hAnsi="Book Antiqua"/>
          <w:b/>
          <w:sz w:val="24"/>
          <w:szCs w:val="24"/>
        </w:rPr>
        <w:t>Revised:</w:t>
      </w:r>
      <w:r w:rsidRPr="001E48D5">
        <w:rPr>
          <w:rFonts w:ascii="Book Antiqua" w:hAnsi="Book Antiqua"/>
          <w:sz w:val="24"/>
          <w:szCs w:val="24"/>
          <w:lang w:eastAsia="zh-CN"/>
        </w:rPr>
        <w:t xml:space="preserve"> January</w:t>
      </w:r>
      <w:r w:rsidRPr="001E48D5">
        <w:rPr>
          <w:rFonts w:ascii="Book Antiqua" w:hAnsi="Book Antiqua"/>
          <w:sz w:val="24"/>
          <w:szCs w:val="24"/>
        </w:rPr>
        <w:t xml:space="preserve"> </w:t>
      </w:r>
      <w:r w:rsidRPr="001E48D5">
        <w:rPr>
          <w:rFonts w:ascii="Book Antiqua" w:hAnsi="Book Antiqua"/>
          <w:sz w:val="24"/>
          <w:szCs w:val="24"/>
          <w:lang w:eastAsia="zh-CN"/>
        </w:rPr>
        <w:t>14</w:t>
      </w:r>
      <w:r w:rsidRPr="001E48D5">
        <w:rPr>
          <w:rFonts w:ascii="Book Antiqua" w:hAnsi="Book Antiqua"/>
          <w:sz w:val="24"/>
          <w:szCs w:val="24"/>
        </w:rPr>
        <w:t>, 201</w:t>
      </w:r>
      <w:r w:rsidR="009108A0" w:rsidRPr="001E48D5">
        <w:rPr>
          <w:rFonts w:ascii="Book Antiqua" w:hAnsi="Book Antiqua" w:hint="eastAsia"/>
          <w:sz w:val="24"/>
          <w:szCs w:val="24"/>
          <w:lang w:eastAsia="zh-CN"/>
        </w:rPr>
        <w:t>9</w:t>
      </w:r>
    </w:p>
    <w:p w:rsidR="00BD4D56" w:rsidRPr="001E48D5" w:rsidRDefault="00BD4D56" w:rsidP="007A67C3">
      <w:pPr>
        <w:snapToGrid w:val="0"/>
        <w:spacing w:after="0" w:line="360" w:lineRule="auto"/>
        <w:jc w:val="both"/>
        <w:rPr>
          <w:rFonts w:ascii="Book Antiqua" w:hAnsi="Book Antiqua"/>
          <w:b/>
          <w:sz w:val="24"/>
          <w:szCs w:val="24"/>
        </w:rPr>
      </w:pPr>
      <w:r w:rsidRPr="001E48D5">
        <w:rPr>
          <w:rFonts w:ascii="Book Antiqua" w:hAnsi="Book Antiqua"/>
          <w:b/>
          <w:sz w:val="24"/>
          <w:szCs w:val="24"/>
        </w:rPr>
        <w:t>Accepted:</w:t>
      </w:r>
      <w:r w:rsidRPr="001E48D5">
        <w:rPr>
          <w:rFonts w:ascii="Book Antiqua" w:hAnsi="Book Antiqua"/>
          <w:sz w:val="24"/>
          <w:szCs w:val="24"/>
        </w:rPr>
        <w:t xml:space="preserve"> </w:t>
      </w:r>
      <w:r w:rsidR="006B4B7B" w:rsidRPr="001E48D5">
        <w:rPr>
          <w:rFonts w:ascii="Book Antiqua" w:hAnsi="Book Antiqua"/>
          <w:sz w:val="24"/>
          <w:szCs w:val="24"/>
        </w:rPr>
        <w:t xml:space="preserve">January </w:t>
      </w:r>
      <w:r w:rsidR="006B4B7B" w:rsidRPr="001E48D5">
        <w:rPr>
          <w:rFonts w:ascii="Book Antiqua" w:hAnsi="Book Antiqua" w:hint="eastAsia"/>
          <w:sz w:val="24"/>
          <w:szCs w:val="24"/>
        </w:rPr>
        <w:t>26</w:t>
      </w:r>
      <w:r w:rsidR="006B4B7B" w:rsidRPr="001E48D5">
        <w:rPr>
          <w:rFonts w:ascii="Book Antiqua" w:hAnsi="Book Antiqua"/>
          <w:sz w:val="24"/>
          <w:szCs w:val="24"/>
        </w:rPr>
        <w:t>, 201</w:t>
      </w:r>
      <w:r w:rsidR="006B4B7B" w:rsidRPr="001E48D5">
        <w:rPr>
          <w:rFonts w:ascii="Book Antiqua" w:hAnsi="Book Antiqua" w:hint="eastAsia"/>
          <w:sz w:val="24"/>
          <w:szCs w:val="24"/>
        </w:rPr>
        <w:t>9</w:t>
      </w:r>
    </w:p>
    <w:p w:rsidR="00BD4D56" w:rsidRPr="001E48D5" w:rsidRDefault="00BD4D56" w:rsidP="007A67C3">
      <w:pPr>
        <w:snapToGrid w:val="0"/>
        <w:spacing w:after="0" w:line="360" w:lineRule="auto"/>
        <w:jc w:val="both"/>
        <w:rPr>
          <w:rFonts w:ascii="Book Antiqua" w:hAnsi="Book Antiqua" w:hint="eastAsia"/>
          <w:b/>
          <w:sz w:val="24"/>
          <w:szCs w:val="24"/>
          <w:lang w:eastAsia="zh-CN"/>
        </w:rPr>
      </w:pPr>
      <w:r w:rsidRPr="001E48D5">
        <w:rPr>
          <w:rFonts w:ascii="Book Antiqua" w:hAnsi="Book Antiqua"/>
          <w:b/>
          <w:sz w:val="24"/>
          <w:szCs w:val="24"/>
        </w:rPr>
        <w:t>Article in press:</w:t>
      </w:r>
      <w:r w:rsidR="006B4B7B" w:rsidRPr="001E48D5">
        <w:rPr>
          <w:rFonts w:ascii="Book Antiqua" w:hAnsi="Book Antiqua" w:hint="eastAsia"/>
          <w:b/>
          <w:sz w:val="24"/>
          <w:szCs w:val="24"/>
          <w:lang w:eastAsia="zh-CN"/>
        </w:rPr>
        <w:t xml:space="preserve"> </w:t>
      </w:r>
      <w:r w:rsidR="006B4B7B" w:rsidRPr="001E48D5">
        <w:rPr>
          <w:rFonts w:ascii="Book Antiqua" w:hAnsi="Book Antiqua"/>
          <w:sz w:val="24"/>
          <w:szCs w:val="24"/>
        </w:rPr>
        <w:t xml:space="preserve">January </w:t>
      </w:r>
      <w:r w:rsidR="006B4B7B" w:rsidRPr="001E48D5">
        <w:rPr>
          <w:rFonts w:ascii="Book Antiqua" w:hAnsi="Book Antiqua" w:hint="eastAsia"/>
          <w:sz w:val="24"/>
          <w:szCs w:val="24"/>
        </w:rPr>
        <w:t>26</w:t>
      </w:r>
      <w:r w:rsidR="006B4B7B" w:rsidRPr="001E48D5">
        <w:rPr>
          <w:rFonts w:ascii="Book Antiqua" w:hAnsi="Book Antiqua"/>
          <w:sz w:val="24"/>
          <w:szCs w:val="24"/>
        </w:rPr>
        <w:t>, 201</w:t>
      </w:r>
      <w:r w:rsidR="006B4B7B" w:rsidRPr="001E48D5">
        <w:rPr>
          <w:rFonts w:ascii="Book Antiqua" w:hAnsi="Book Antiqua" w:hint="eastAsia"/>
          <w:sz w:val="24"/>
          <w:szCs w:val="24"/>
        </w:rPr>
        <w:t>9</w:t>
      </w:r>
    </w:p>
    <w:p w:rsidR="00BD4D56" w:rsidRPr="001E48D5" w:rsidRDefault="00BD4D56" w:rsidP="007A67C3">
      <w:pPr>
        <w:snapToGrid w:val="0"/>
        <w:spacing w:after="0" w:line="360" w:lineRule="auto"/>
        <w:contextualSpacing/>
        <w:jc w:val="both"/>
        <w:rPr>
          <w:rFonts w:ascii="Book Antiqua" w:hAnsi="Book Antiqua" w:cs="Arial" w:hint="eastAsia"/>
          <w:b/>
          <w:sz w:val="24"/>
          <w:szCs w:val="24"/>
          <w:lang w:val="pl-PL" w:eastAsia="zh-CN"/>
        </w:rPr>
      </w:pPr>
      <w:r w:rsidRPr="001E48D5">
        <w:rPr>
          <w:rFonts w:ascii="Book Antiqua" w:hAnsi="Book Antiqua" w:cs="Arial"/>
          <w:b/>
          <w:sz w:val="24"/>
          <w:szCs w:val="24"/>
          <w:lang w:val="pl-PL" w:eastAsia="pl-PL"/>
        </w:rPr>
        <w:t>Published online:</w:t>
      </w:r>
      <w:r w:rsidR="006B4B7B" w:rsidRPr="001E48D5">
        <w:rPr>
          <w:rFonts w:ascii="Book Antiqua" w:hAnsi="Book Antiqua" w:cs="Arial" w:hint="eastAsia"/>
          <w:b/>
          <w:sz w:val="24"/>
          <w:szCs w:val="24"/>
          <w:lang w:val="pl-PL" w:eastAsia="zh-CN"/>
        </w:rPr>
        <w:t xml:space="preserve"> </w:t>
      </w:r>
      <w:r w:rsidR="006B4B7B" w:rsidRPr="001E48D5">
        <w:rPr>
          <w:rFonts w:ascii="Book Antiqua" w:hAnsi="Book Antiqua" w:hint="eastAsia"/>
          <w:sz w:val="24"/>
          <w:szCs w:val="24"/>
        </w:rPr>
        <w:t>February</w:t>
      </w:r>
      <w:r w:rsidR="006B4B7B" w:rsidRPr="001E48D5">
        <w:rPr>
          <w:rFonts w:ascii="Book Antiqua" w:hAnsi="Book Antiqua"/>
          <w:sz w:val="24"/>
          <w:szCs w:val="24"/>
        </w:rPr>
        <w:t xml:space="preserve"> </w:t>
      </w:r>
      <w:r w:rsidR="006B4B7B" w:rsidRPr="001E48D5">
        <w:rPr>
          <w:rFonts w:ascii="Book Antiqua" w:hAnsi="Book Antiqua" w:hint="eastAsia"/>
          <w:sz w:val="24"/>
          <w:szCs w:val="24"/>
        </w:rPr>
        <w:t>26</w:t>
      </w:r>
      <w:r w:rsidR="006B4B7B" w:rsidRPr="001E48D5">
        <w:rPr>
          <w:rFonts w:ascii="Book Antiqua" w:hAnsi="Book Antiqua"/>
          <w:sz w:val="24"/>
          <w:szCs w:val="24"/>
        </w:rPr>
        <w:t>, 201</w:t>
      </w:r>
      <w:r w:rsidR="006B4B7B" w:rsidRPr="001E48D5">
        <w:rPr>
          <w:rFonts w:ascii="Book Antiqua" w:hAnsi="Book Antiqua" w:hint="eastAsia"/>
          <w:sz w:val="24"/>
          <w:szCs w:val="24"/>
        </w:rPr>
        <w:t>9</w:t>
      </w:r>
    </w:p>
    <w:p w:rsidR="00BD4D56" w:rsidRPr="001E48D5" w:rsidRDefault="00BD4D56" w:rsidP="007A67C3">
      <w:pPr>
        <w:spacing w:after="0" w:line="360" w:lineRule="auto"/>
        <w:jc w:val="both"/>
        <w:rPr>
          <w:rFonts w:ascii="Book Antiqua" w:hAnsi="Book Antiqua" w:cs="Times New Roman"/>
          <w:sz w:val="24"/>
          <w:szCs w:val="24"/>
          <w:u w:val="single"/>
        </w:rPr>
      </w:pPr>
      <w:r w:rsidRPr="001E48D5">
        <w:rPr>
          <w:rFonts w:ascii="Book Antiqua" w:hAnsi="Book Antiqua" w:cs="Times New Roman"/>
          <w:sz w:val="24"/>
          <w:szCs w:val="24"/>
          <w:u w:val="single"/>
        </w:rPr>
        <w:br w:type="page"/>
      </w:r>
    </w:p>
    <w:p w:rsidR="00FA07B4" w:rsidRPr="001E48D5" w:rsidRDefault="00FA07B4" w:rsidP="007A67C3">
      <w:pPr>
        <w:spacing w:after="0" w:line="360" w:lineRule="auto"/>
        <w:jc w:val="both"/>
        <w:rPr>
          <w:rFonts w:ascii="Book Antiqua" w:eastAsia="Times New Roman" w:hAnsi="Book Antiqua" w:cs="Segoe UI"/>
          <w:b/>
          <w:bCs/>
          <w:color w:val="000000"/>
          <w:sz w:val="24"/>
          <w:szCs w:val="24"/>
        </w:rPr>
      </w:pPr>
      <w:r w:rsidRPr="001E48D5">
        <w:rPr>
          <w:rFonts w:ascii="Book Antiqua" w:eastAsia="Times New Roman" w:hAnsi="Book Antiqua" w:cs="Segoe UI"/>
          <w:b/>
          <w:bCs/>
          <w:color w:val="000000"/>
          <w:sz w:val="24"/>
          <w:szCs w:val="24"/>
        </w:rPr>
        <w:lastRenderedPageBreak/>
        <w:t>Abstract</w:t>
      </w:r>
    </w:p>
    <w:p w:rsidR="00FA07B4" w:rsidRPr="001E48D5" w:rsidRDefault="00FA07B4" w:rsidP="007A67C3">
      <w:pPr>
        <w:spacing w:after="0" w:line="360" w:lineRule="auto"/>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Umbilical cord blood (UCB) is a valuable source of hematopoietic stem cells (HSCs) and potential alternative for bone marrow transplantation for patients who lack </w:t>
      </w:r>
      <w:r w:rsidR="004524C8" w:rsidRPr="001E48D5">
        <w:rPr>
          <w:rFonts w:ascii="Book Antiqua" w:eastAsia="Times New Roman" w:hAnsi="Book Antiqua" w:cs="Segoe UI"/>
          <w:color w:val="000000"/>
          <w:sz w:val="24"/>
          <w:szCs w:val="24"/>
        </w:rPr>
        <w:t xml:space="preserve">human leukocyte antigen </w:t>
      </w:r>
      <w:r w:rsidR="004524C8"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HLA</w:t>
      </w:r>
      <w:r w:rsidR="004524C8"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 xml:space="preserve">-matched donors. The main practical advantages of UCB over other HSC sources are the immediate availability, lower incidence of graft-versus-host disease, minimal risk to the donor, and lower requirement for HLA compatibility. However, the use of UCB is limited by delayed engraftment and poor immune reconstitution, leading to a high rate of infection-related mortality. Therefore, severe infectious complications, especially due to viral pathogens remain the leading cause of morbidity and mortality during the post-UCB </w:t>
      </w:r>
      <w:r w:rsidR="004524C8" w:rsidRPr="001E48D5">
        <w:rPr>
          <w:rFonts w:ascii="Book Antiqua" w:eastAsia="Times New Roman" w:hAnsi="Book Antiqua" w:cs="Segoe UI"/>
          <w:color w:val="000000"/>
          <w:sz w:val="24"/>
          <w:szCs w:val="24"/>
        </w:rPr>
        <w:t xml:space="preserve">transplantation </w:t>
      </w:r>
      <w:r w:rsidRPr="001E48D5">
        <w:rPr>
          <w:rFonts w:ascii="Book Antiqua" w:eastAsia="Times New Roman" w:hAnsi="Book Antiqua" w:cs="Segoe UI"/>
          <w:color w:val="000000"/>
          <w:sz w:val="24"/>
          <w:szCs w:val="24"/>
        </w:rPr>
        <w:t>(UCBT) period. In this context, careful screening and excluding the viral-contaminated UCB units might be an effective policy to reduce the rate of UCBT-related infection and mortality. Taken together, complete prevention of the transmission of donor-derived viral pathogens in stem cell transplantation is not possible. However, having the knowledge of the transmission route and prevalence of viruses will improve the safety of transplantation. To the best of our knowledge, there are few studies that focused on the risk of virus transmission through the UCB transplant compared to other HSC sources. This review summarizes the general aspects concerning the prevalence, characteristics, and risk factors of viral infections with a focus on the impact of viral pathogens on cord blood transplantation safety.</w:t>
      </w:r>
    </w:p>
    <w:p w:rsidR="009F6C2D" w:rsidRPr="001E48D5" w:rsidRDefault="009F6C2D" w:rsidP="007A67C3">
      <w:pPr>
        <w:spacing w:after="0" w:line="360" w:lineRule="auto"/>
        <w:jc w:val="both"/>
        <w:rPr>
          <w:rFonts w:ascii="Book Antiqua" w:hAnsi="Book Antiqua" w:cs="Segoe UI"/>
          <w:color w:val="000000"/>
          <w:sz w:val="24"/>
          <w:szCs w:val="24"/>
          <w:lang w:eastAsia="zh-CN"/>
        </w:rPr>
      </w:pPr>
    </w:p>
    <w:p w:rsidR="00FA07B4" w:rsidRPr="001E48D5" w:rsidRDefault="009F6C2D" w:rsidP="007A67C3">
      <w:pPr>
        <w:spacing w:after="0" w:line="360" w:lineRule="auto"/>
        <w:jc w:val="both"/>
        <w:rPr>
          <w:rFonts w:ascii="Book Antiqua" w:hAnsi="Book Antiqua" w:cs="Segoe UI"/>
          <w:color w:val="000000"/>
          <w:sz w:val="24"/>
          <w:szCs w:val="24"/>
          <w:lang w:eastAsia="zh-CN"/>
        </w:rPr>
      </w:pPr>
      <w:r w:rsidRPr="001E48D5">
        <w:rPr>
          <w:rFonts w:ascii="Book Antiqua" w:hAnsi="Book Antiqua" w:cs="Times New Roman"/>
          <w:b/>
          <w:sz w:val="24"/>
          <w:szCs w:val="24"/>
        </w:rPr>
        <w:t>Key words:</w:t>
      </w:r>
      <w:r w:rsidR="00FA07B4" w:rsidRPr="001E48D5">
        <w:rPr>
          <w:rFonts w:ascii="Book Antiqua" w:eastAsia="Times New Roman" w:hAnsi="Book Antiqua" w:cs="Segoe UI"/>
          <w:color w:val="000000"/>
          <w:sz w:val="24"/>
          <w:szCs w:val="24"/>
        </w:rPr>
        <w:t xml:space="preserve"> Cord blood; Transplantation safety; </w:t>
      </w:r>
      <w:proofErr w:type="gramStart"/>
      <w:r w:rsidRPr="001E48D5">
        <w:rPr>
          <w:rFonts w:ascii="Book Antiqua" w:eastAsia="Times New Roman" w:hAnsi="Book Antiqua" w:cs="Segoe UI"/>
          <w:color w:val="000000"/>
          <w:sz w:val="24"/>
          <w:szCs w:val="24"/>
        </w:rPr>
        <w:t>Viral</w:t>
      </w:r>
      <w:proofErr w:type="gramEnd"/>
      <w:r w:rsidRPr="001E48D5">
        <w:rPr>
          <w:rFonts w:ascii="Book Antiqua" w:eastAsia="Times New Roman" w:hAnsi="Book Antiqua" w:cs="Segoe UI"/>
          <w:color w:val="000000"/>
          <w:sz w:val="24"/>
          <w:szCs w:val="24"/>
        </w:rPr>
        <w:t xml:space="preserve"> </w:t>
      </w:r>
      <w:r w:rsidR="00FA07B4" w:rsidRPr="001E48D5">
        <w:rPr>
          <w:rFonts w:ascii="Book Antiqua" w:eastAsia="Times New Roman" w:hAnsi="Book Antiqua" w:cs="Segoe UI"/>
          <w:color w:val="000000"/>
          <w:sz w:val="24"/>
          <w:szCs w:val="24"/>
        </w:rPr>
        <w:t>pathogens</w:t>
      </w:r>
    </w:p>
    <w:p w:rsidR="009F6C2D" w:rsidRPr="001E48D5" w:rsidRDefault="009F6C2D" w:rsidP="007A67C3">
      <w:pPr>
        <w:spacing w:after="0" w:line="360" w:lineRule="auto"/>
        <w:jc w:val="both"/>
        <w:rPr>
          <w:rFonts w:ascii="Book Antiqua" w:hAnsi="Book Antiqua" w:cs="Segoe UI"/>
          <w:color w:val="000000"/>
          <w:sz w:val="24"/>
          <w:szCs w:val="24"/>
          <w:lang w:eastAsia="zh-CN"/>
        </w:rPr>
      </w:pPr>
    </w:p>
    <w:p w:rsidR="009F6C2D" w:rsidRPr="001E48D5" w:rsidRDefault="009F6C2D" w:rsidP="007A67C3">
      <w:pPr>
        <w:snapToGrid w:val="0"/>
        <w:spacing w:after="0" w:line="360" w:lineRule="auto"/>
        <w:jc w:val="both"/>
        <w:rPr>
          <w:rFonts w:ascii="Book Antiqua" w:hAnsi="Book Antiqua" w:cs="Book Antiqua"/>
          <w:b/>
          <w:bCs/>
          <w:sz w:val="24"/>
          <w:szCs w:val="24"/>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proofErr w:type="gramStart"/>
      <w:r w:rsidRPr="001E48D5">
        <w:rPr>
          <w:rFonts w:ascii="Book Antiqua" w:hAnsi="Book Antiqua" w:cs="Book Antiqua"/>
          <w:b/>
          <w:bCs/>
          <w:sz w:val="24"/>
          <w:szCs w:val="24"/>
        </w:rPr>
        <w:t>© The Author(s) 201</w:t>
      </w:r>
      <w:r w:rsidRPr="001E48D5">
        <w:rPr>
          <w:rFonts w:ascii="Book Antiqua" w:hAnsi="Book Antiqua" w:cs="Book Antiqua"/>
          <w:b/>
          <w:bCs/>
          <w:sz w:val="24"/>
          <w:szCs w:val="24"/>
          <w:lang w:eastAsia="zh-CN"/>
        </w:rPr>
        <w:t>9</w:t>
      </w:r>
      <w:r w:rsidRPr="001E48D5">
        <w:rPr>
          <w:rFonts w:ascii="Book Antiqua" w:hAnsi="Book Antiqua" w:cs="Book Antiqua"/>
          <w:b/>
          <w:bCs/>
          <w:sz w:val="24"/>
          <w:szCs w:val="24"/>
        </w:rPr>
        <w:t>.</w:t>
      </w:r>
      <w:proofErr w:type="gramEnd"/>
      <w:r w:rsidRPr="001E48D5">
        <w:rPr>
          <w:rFonts w:ascii="Book Antiqua" w:hAnsi="Book Antiqua" w:cs="Book Antiqua"/>
          <w:bCs/>
          <w:sz w:val="24"/>
          <w:szCs w:val="24"/>
        </w:rPr>
        <w:t xml:space="preserve"> </w:t>
      </w:r>
      <w:proofErr w:type="gramStart"/>
      <w:r w:rsidRPr="001E48D5">
        <w:rPr>
          <w:rFonts w:ascii="Book Antiqua" w:hAnsi="Book Antiqua" w:cs="Book Antiqua"/>
          <w:bCs/>
          <w:sz w:val="24"/>
          <w:szCs w:val="24"/>
        </w:rPr>
        <w:t xml:space="preserve">Published by </w:t>
      </w:r>
      <w:proofErr w:type="spellStart"/>
      <w:r w:rsidRPr="001E48D5">
        <w:rPr>
          <w:rFonts w:ascii="Book Antiqua" w:hAnsi="Book Antiqua" w:cs="Book Antiqua"/>
          <w:bCs/>
          <w:sz w:val="24"/>
          <w:szCs w:val="24"/>
        </w:rPr>
        <w:t>Baishideng</w:t>
      </w:r>
      <w:proofErr w:type="spellEnd"/>
      <w:r w:rsidRPr="001E48D5">
        <w:rPr>
          <w:rFonts w:ascii="Book Antiqua" w:hAnsi="Book Antiqua" w:cs="Book Antiqua"/>
          <w:bCs/>
          <w:sz w:val="24"/>
          <w:szCs w:val="24"/>
        </w:rPr>
        <w:t xml:space="preserve"> Publishing Group Inc.</w:t>
      </w:r>
      <w:proofErr w:type="gramEnd"/>
      <w:r w:rsidRPr="001E48D5">
        <w:rPr>
          <w:rFonts w:ascii="Book Antiqua" w:hAnsi="Book Antiqua" w:cs="Book Antiqua"/>
          <w:bCs/>
          <w:sz w:val="24"/>
          <w:szCs w:val="24"/>
        </w:rPr>
        <w:t xml:space="preserve"> All rights reserved.</w:t>
      </w:r>
      <w:bookmarkEnd w:id="12"/>
      <w:bookmarkEnd w:id="13"/>
      <w:bookmarkEnd w:id="14"/>
      <w:bookmarkEnd w:id="15"/>
      <w:bookmarkEnd w:id="16"/>
      <w:bookmarkEnd w:id="17"/>
      <w:bookmarkEnd w:id="18"/>
      <w:bookmarkEnd w:id="19"/>
      <w:bookmarkEnd w:id="20"/>
      <w:bookmarkEnd w:id="21"/>
      <w:bookmarkEnd w:id="22"/>
    </w:p>
    <w:p w:rsidR="009F6C2D" w:rsidRPr="001E48D5" w:rsidRDefault="009F6C2D" w:rsidP="007A67C3">
      <w:pPr>
        <w:spacing w:after="0" w:line="360" w:lineRule="auto"/>
        <w:jc w:val="both"/>
        <w:rPr>
          <w:rFonts w:ascii="Book Antiqua" w:hAnsi="Book Antiqua" w:cs="Times New Roman"/>
          <w:sz w:val="24"/>
          <w:szCs w:val="24"/>
          <w:u w:val="single"/>
        </w:rPr>
      </w:pPr>
    </w:p>
    <w:p w:rsidR="00FA07B4" w:rsidRPr="001E48D5" w:rsidRDefault="009F6C2D" w:rsidP="007A67C3">
      <w:pPr>
        <w:spacing w:after="0" w:line="360" w:lineRule="auto"/>
        <w:jc w:val="both"/>
        <w:rPr>
          <w:rFonts w:ascii="Book Antiqua" w:eastAsia="Times New Roman" w:hAnsi="Book Antiqua" w:cs="Segoe UI"/>
          <w:color w:val="000000"/>
          <w:sz w:val="24"/>
          <w:szCs w:val="24"/>
          <w:lang w:eastAsia="zh-CN"/>
        </w:rPr>
      </w:pPr>
      <w:r w:rsidRPr="001E48D5">
        <w:rPr>
          <w:rFonts w:ascii="Book Antiqua" w:hAnsi="Book Antiqua" w:cs="Times New Roman"/>
          <w:b/>
          <w:sz w:val="24"/>
          <w:szCs w:val="24"/>
        </w:rPr>
        <w:t>Core tip</w:t>
      </w:r>
      <w:r w:rsidRPr="001E48D5">
        <w:rPr>
          <w:rFonts w:ascii="Book Antiqua" w:hAnsi="Book Antiqua" w:cs="Times New Roman"/>
          <w:sz w:val="24"/>
          <w:szCs w:val="24"/>
        </w:rPr>
        <w:t>:</w:t>
      </w:r>
      <w:r w:rsidRPr="001E48D5">
        <w:rPr>
          <w:rFonts w:ascii="Book Antiqua" w:hAnsi="Book Antiqua" w:cs="Times New Roman"/>
          <w:sz w:val="24"/>
          <w:szCs w:val="24"/>
          <w:lang w:eastAsia="zh-CN"/>
        </w:rPr>
        <w:t xml:space="preserve"> Severe infectious complications, especially due to viral pathogens remain the leading cause of the post-transplantation morbidity and mortality. In this context, excluding the viral-contaminated umbilical cord blood (UCB) units might be an </w:t>
      </w:r>
      <w:r w:rsidRPr="001E48D5">
        <w:rPr>
          <w:rFonts w:ascii="Book Antiqua" w:hAnsi="Book Antiqua" w:cs="Times New Roman"/>
          <w:sz w:val="24"/>
          <w:szCs w:val="24"/>
          <w:lang w:eastAsia="zh-CN"/>
        </w:rPr>
        <w:lastRenderedPageBreak/>
        <w:t xml:space="preserve">effective policy to reduce the infection rate after UCB transplantation (UCBT). Complete prevention of the transmission of donor-derived viral pathogens via UCB is not possible. However, having the knowledge of the transmission route and the prevalence of viruses will improve the transplantation safety by controlled patient management. This </w:t>
      </w:r>
      <w:proofErr w:type="spellStart"/>
      <w:r w:rsidRPr="001E48D5">
        <w:rPr>
          <w:rFonts w:ascii="Book Antiqua" w:hAnsi="Book Antiqua" w:cs="Times New Roman"/>
          <w:sz w:val="24"/>
          <w:szCs w:val="24"/>
          <w:lang w:eastAsia="zh-CN"/>
        </w:rPr>
        <w:t>minireview</w:t>
      </w:r>
      <w:proofErr w:type="spellEnd"/>
      <w:r w:rsidRPr="001E48D5">
        <w:rPr>
          <w:rFonts w:ascii="Book Antiqua" w:hAnsi="Book Antiqua" w:cs="Times New Roman"/>
          <w:sz w:val="24"/>
          <w:szCs w:val="24"/>
          <w:lang w:eastAsia="zh-CN"/>
        </w:rPr>
        <w:t xml:space="preserve"> summarizes the general aspects concerning the prevalence, characteristics and risk factors of viral infections with a focus on the impact on UCBT safety.</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p>
    <w:p w:rsidR="006B4B7B" w:rsidRPr="001E48D5" w:rsidRDefault="006B4B7B" w:rsidP="007A67C3">
      <w:pPr>
        <w:spacing w:after="0" w:line="360" w:lineRule="auto"/>
        <w:jc w:val="both"/>
        <w:rPr>
          <w:rFonts w:ascii="Book Antiqua" w:hAnsi="Book Antiqua" w:cs="Book Antiqua" w:hint="eastAsia"/>
          <w:sz w:val="24"/>
          <w:szCs w:val="24"/>
          <w:lang w:eastAsia="zh-CN"/>
        </w:rPr>
      </w:pPr>
      <w:r w:rsidRPr="001E48D5">
        <w:rPr>
          <w:rFonts w:ascii="Book Antiqua" w:hAnsi="Book Antiqua" w:cs="Segoe UI" w:hint="eastAsia"/>
          <w:b/>
          <w:color w:val="000000"/>
          <w:sz w:val="24"/>
          <w:szCs w:val="24"/>
          <w:lang w:eastAsia="zh-CN"/>
        </w:rPr>
        <w:t>Citation:</w:t>
      </w:r>
      <w:r w:rsidRPr="001E48D5">
        <w:rPr>
          <w:rFonts w:ascii="Book Antiqua" w:hAnsi="Book Antiqua" w:cs="Segoe UI" w:hint="eastAsia"/>
          <w:color w:val="000000"/>
          <w:sz w:val="24"/>
          <w:szCs w:val="24"/>
          <w:lang w:eastAsia="zh-CN"/>
        </w:rPr>
        <w:t xml:space="preserve"> </w:t>
      </w:r>
      <w:proofErr w:type="spellStart"/>
      <w:r w:rsidR="009F6C2D" w:rsidRPr="001E48D5">
        <w:rPr>
          <w:rFonts w:ascii="Book Antiqua" w:eastAsia="Times New Roman" w:hAnsi="Book Antiqua" w:cs="Segoe UI"/>
          <w:color w:val="000000"/>
          <w:sz w:val="24"/>
          <w:szCs w:val="24"/>
        </w:rPr>
        <w:t>Noroozi-aghideh</w:t>
      </w:r>
      <w:proofErr w:type="spellEnd"/>
      <w:r w:rsidR="009F6C2D" w:rsidRPr="001E48D5">
        <w:rPr>
          <w:rFonts w:ascii="Book Antiqua" w:hAnsi="Book Antiqua" w:cs="Segoe UI"/>
          <w:color w:val="000000"/>
          <w:sz w:val="24"/>
          <w:szCs w:val="24"/>
          <w:lang w:eastAsia="zh-CN"/>
        </w:rPr>
        <w:t xml:space="preserve"> A</w:t>
      </w:r>
      <w:r w:rsidR="009F6C2D" w:rsidRPr="001E48D5">
        <w:rPr>
          <w:rFonts w:ascii="Book Antiqua" w:eastAsia="Times New Roman" w:hAnsi="Book Antiqua" w:cs="Segoe UI"/>
          <w:color w:val="000000"/>
          <w:sz w:val="24"/>
          <w:szCs w:val="24"/>
        </w:rPr>
        <w:t xml:space="preserve">, </w:t>
      </w:r>
      <w:proofErr w:type="spellStart"/>
      <w:r w:rsidR="009F6C2D" w:rsidRPr="001E48D5">
        <w:rPr>
          <w:rFonts w:ascii="Book Antiqua" w:eastAsia="Times New Roman" w:hAnsi="Book Antiqua" w:cs="Segoe UI"/>
          <w:color w:val="000000"/>
          <w:sz w:val="24"/>
          <w:szCs w:val="24"/>
        </w:rPr>
        <w:t>Kheirandish</w:t>
      </w:r>
      <w:proofErr w:type="spellEnd"/>
      <w:r w:rsidR="009F6C2D" w:rsidRPr="001E48D5">
        <w:rPr>
          <w:rFonts w:ascii="Book Antiqua" w:hAnsi="Book Antiqua" w:cs="Segoe UI"/>
          <w:color w:val="000000"/>
          <w:sz w:val="24"/>
          <w:szCs w:val="24"/>
          <w:lang w:eastAsia="zh-CN"/>
        </w:rPr>
        <w:t xml:space="preserve"> M. </w:t>
      </w:r>
      <w:r w:rsidR="009F6C2D" w:rsidRPr="001E48D5">
        <w:rPr>
          <w:rFonts w:ascii="Book Antiqua" w:eastAsia="Times New Roman" w:hAnsi="Book Antiqua" w:cs="Segoe UI"/>
          <w:bCs/>
          <w:sz w:val="24"/>
          <w:szCs w:val="24"/>
        </w:rPr>
        <w:t>Human cord blood-derived viral pathogens as the potential threats to the hematopoietic stem cell transplantation safety: A mini review</w:t>
      </w:r>
      <w:r w:rsidR="009F6C2D" w:rsidRPr="001E48D5">
        <w:rPr>
          <w:rFonts w:ascii="Book Antiqua" w:hAnsi="Book Antiqua" w:cs="Segoe UI"/>
          <w:bCs/>
          <w:sz w:val="24"/>
          <w:szCs w:val="24"/>
          <w:lang w:eastAsia="zh-CN"/>
        </w:rPr>
        <w:t xml:space="preserve">. </w:t>
      </w:r>
      <w:r w:rsidR="009F6C2D" w:rsidRPr="001E48D5">
        <w:rPr>
          <w:rFonts w:ascii="Book Antiqua" w:hAnsi="Book Antiqua"/>
          <w:i/>
          <w:sz w:val="24"/>
          <w:szCs w:val="24"/>
          <w:lang w:eastAsia="zh-CN"/>
        </w:rPr>
        <w:t>World J Stem Cells</w:t>
      </w:r>
      <w:r w:rsidR="009F6C2D" w:rsidRPr="001E48D5">
        <w:rPr>
          <w:rFonts w:ascii="Book Antiqua" w:hAnsi="Book Antiqua"/>
          <w:sz w:val="24"/>
          <w:szCs w:val="24"/>
          <w:lang w:eastAsia="zh-CN"/>
        </w:rPr>
        <w:t xml:space="preserve"> </w:t>
      </w:r>
      <w:r w:rsidR="009F6C2D" w:rsidRPr="001E48D5">
        <w:rPr>
          <w:rFonts w:ascii="Book Antiqua" w:hAnsi="Book Antiqua" w:cs="Book Antiqua"/>
          <w:sz w:val="24"/>
          <w:szCs w:val="24"/>
        </w:rPr>
        <w:t>201</w:t>
      </w:r>
      <w:r w:rsidR="007A67C3" w:rsidRPr="001E48D5">
        <w:rPr>
          <w:rFonts w:ascii="Book Antiqua" w:hAnsi="Book Antiqua" w:cs="Book Antiqua" w:hint="eastAsia"/>
          <w:sz w:val="24"/>
          <w:szCs w:val="24"/>
          <w:lang w:eastAsia="zh-CN"/>
        </w:rPr>
        <w:t>9</w:t>
      </w:r>
      <w:r w:rsidR="009F6C2D" w:rsidRPr="001E48D5">
        <w:rPr>
          <w:rFonts w:ascii="Book Antiqua" w:hAnsi="Book Antiqua" w:cs="Book Antiqua"/>
          <w:sz w:val="24"/>
          <w:szCs w:val="24"/>
        </w:rPr>
        <w:t xml:space="preserve">; </w:t>
      </w:r>
      <w:r w:rsidR="00E05A2B" w:rsidRPr="001E48D5">
        <w:rPr>
          <w:rFonts w:ascii="Book Antiqua" w:hAnsi="Book Antiqua" w:cs="Book Antiqua"/>
          <w:sz w:val="24"/>
          <w:szCs w:val="24"/>
        </w:rPr>
        <w:t xml:space="preserve">11(2): 73-83 </w:t>
      </w:r>
    </w:p>
    <w:p w:rsidR="006B4B7B" w:rsidRPr="001E48D5" w:rsidRDefault="006B4B7B" w:rsidP="007A67C3">
      <w:pPr>
        <w:spacing w:after="0" w:line="360" w:lineRule="auto"/>
        <w:jc w:val="both"/>
        <w:rPr>
          <w:rFonts w:ascii="Book Antiqua" w:hAnsi="Book Antiqua" w:cs="Book Antiqua" w:hint="eastAsia"/>
          <w:sz w:val="24"/>
          <w:szCs w:val="24"/>
          <w:lang w:eastAsia="zh-CN"/>
        </w:rPr>
      </w:pPr>
      <w:r w:rsidRPr="001E48D5">
        <w:rPr>
          <w:rFonts w:ascii="Book Antiqua" w:hAnsi="Book Antiqua" w:cs="Book Antiqua"/>
          <w:b/>
          <w:sz w:val="24"/>
          <w:szCs w:val="24"/>
        </w:rPr>
        <w:t xml:space="preserve">URL: </w:t>
      </w:r>
      <w:r w:rsidRPr="001E48D5">
        <w:rPr>
          <w:rFonts w:ascii="Book Antiqua" w:hAnsi="Book Antiqua" w:cs="Book Antiqua"/>
          <w:sz w:val="24"/>
          <w:szCs w:val="24"/>
        </w:rPr>
        <w:t xml:space="preserve">https://www.wjgnet.com/1948-0210/full/v11/i2/73.htm  </w:t>
      </w:r>
    </w:p>
    <w:p w:rsidR="009F6C2D" w:rsidRPr="001E48D5" w:rsidRDefault="006B4B7B" w:rsidP="007A67C3">
      <w:pPr>
        <w:spacing w:after="0" w:line="360" w:lineRule="auto"/>
        <w:jc w:val="both"/>
        <w:rPr>
          <w:rFonts w:ascii="Book Antiqua" w:hAnsi="Book Antiqua"/>
          <w:sz w:val="24"/>
          <w:szCs w:val="24"/>
          <w:lang w:eastAsia="zh-CN"/>
        </w:rPr>
      </w:pPr>
      <w:r w:rsidRPr="001E48D5">
        <w:rPr>
          <w:rFonts w:ascii="Book Antiqua" w:hAnsi="Book Antiqua" w:cs="Book Antiqua"/>
          <w:b/>
          <w:sz w:val="24"/>
          <w:szCs w:val="24"/>
        </w:rPr>
        <w:t>DOI:</w:t>
      </w:r>
      <w:r w:rsidRPr="001E48D5">
        <w:rPr>
          <w:rFonts w:ascii="Book Antiqua" w:hAnsi="Book Antiqua" w:cs="Book Antiqua"/>
          <w:sz w:val="24"/>
          <w:szCs w:val="24"/>
        </w:rPr>
        <w:t xml:space="preserve"> https://dx.doi.org/10.4252/wjsc.v11.i2.73</w:t>
      </w:r>
    </w:p>
    <w:p w:rsidR="00DE3015" w:rsidRPr="001E48D5" w:rsidRDefault="00DE3015" w:rsidP="007A67C3">
      <w:pPr>
        <w:spacing w:after="0" w:line="360" w:lineRule="auto"/>
        <w:jc w:val="both"/>
        <w:rPr>
          <w:rFonts w:ascii="Book Antiqua" w:eastAsia="Times New Roman" w:hAnsi="Book Antiqua" w:cs="Segoe UI"/>
          <w:b/>
          <w:bCs/>
          <w:color w:val="000000"/>
          <w:sz w:val="24"/>
          <w:szCs w:val="24"/>
        </w:rPr>
      </w:pPr>
      <w:r w:rsidRPr="001E48D5">
        <w:rPr>
          <w:rFonts w:ascii="Book Antiqua" w:eastAsia="Times New Roman" w:hAnsi="Book Antiqua" w:cs="Segoe UI"/>
          <w:b/>
          <w:bCs/>
          <w:color w:val="000000"/>
          <w:sz w:val="24"/>
          <w:szCs w:val="24"/>
        </w:rPr>
        <w:br w:type="page"/>
      </w:r>
    </w:p>
    <w:p w:rsidR="00FA07B4" w:rsidRPr="001E48D5" w:rsidRDefault="004524C8" w:rsidP="007A67C3">
      <w:pPr>
        <w:spacing w:after="0" w:line="360" w:lineRule="auto"/>
        <w:jc w:val="both"/>
        <w:rPr>
          <w:rFonts w:ascii="Book Antiqua" w:hAnsi="Book Antiqua" w:cs="Segoe UI"/>
          <w:b/>
          <w:bCs/>
          <w:color w:val="000000"/>
          <w:sz w:val="24"/>
          <w:szCs w:val="24"/>
          <w:lang w:eastAsia="zh-CN"/>
        </w:rPr>
      </w:pPr>
      <w:r w:rsidRPr="001E48D5">
        <w:rPr>
          <w:rFonts w:ascii="Book Antiqua" w:eastAsia="Times New Roman" w:hAnsi="Book Antiqua" w:cs="Segoe UI"/>
          <w:b/>
          <w:bCs/>
          <w:color w:val="000000"/>
          <w:sz w:val="24"/>
          <w:szCs w:val="24"/>
        </w:rPr>
        <w:lastRenderedPageBreak/>
        <w:t>INTRODUCTION</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In past years, allogeneic hematopoietic stem cell transplantation (</w:t>
      </w:r>
      <w:proofErr w:type="spellStart"/>
      <w:r w:rsidRPr="001E48D5">
        <w:rPr>
          <w:rFonts w:ascii="Book Antiqua" w:eastAsia="Times New Roman" w:hAnsi="Book Antiqua" w:cs="Segoe UI"/>
          <w:color w:val="000000"/>
          <w:sz w:val="24"/>
          <w:szCs w:val="24"/>
        </w:rPr>
        <w:t>allo</w:t>
      </w:r>
      <w:proofErr w:type="spellEnd"/>
      <w:r w:rsidRPr="001E48D5">
        <w:rPr>
          <w:rFonts w:ascii="Book Antiqua" w:eastAsia="Times New Roman" w:hAnsi="Book Antiqua" w:cs="Segoe UI"/>
          <w:color w:val="000000"/>
          <w:sz w:val="24"/>
          <w:szCs w:val="24"/>
        </w:rPr>
        <w:t xml:space="preserve">-HSCT) has made considerable progress in the treatment of a large variety of malignant and nonmalignant disorders. </w:t>
      </w:r>
      <w:r w:rsidR="004524C8" w:rsidRPr="001E48D5">
        <w:rPr>
          <w:rFonts w:ascii="Book Antiqua" w:eastAsia="Times New Roman" w:hAnsi="Book Antiqua" w:cs="Segoe UI"/>
          <w:color w:val="000000"/>
          <w:sz w:val="24"/>
          <w:szCs w:val="24"/>
        </w:rPr>
        <w:t xml:space="preserve">Human leukocyte antigen </w:t>
      </w:r>
      <w:r w:rsidR="004524C8"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HLA</w:t>
      </w:r>
      <w:r w:rsidR="004524C8"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-identical sibling and HLA-matched unrelated donors are typically the first choices, although it can be achieved for only about 30% of patients. So, umbilical cord blood transplantation (UCBT) is an alternative option for patients with no HLA-matched bone marrow donors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vertAlign w:val="superscript"/>
        </w:rPr>
        <w:fldChar w:fldCharType="begin" w:fldLock="1"/>
      </w:r>
      <w:r w:rsidRPr="001E48D5">
        <w:rPr>
          <w:rFonts w:ascii="Book Antiqua" w:eastAsia="Times New Roman" w:hAnsi="Book Antiqua" w:cs="Segoe UI"/>
          <w:color w:val="000000"/>
          <w:sz w:val="24"/>
          <w:szCs w:val="24"/>
          <w:vertAlign w:val="superscript"/>
        </w:rPr>
        <w:instrText>ADDIN CSL_CITATION { "citationItems" : [ { "id" : "ITEM-1", "itemData" : { "DOI" : "10.1182/blood-2011-11-354563", "ISBN" : "0006-4971", "ISSN" : "00064971", "PMID" : "22210876", "abstract" : "Only 30% of patients who require an allogeneic hematopoietic cell transplant will have an HLA-matched sibling donor. A search for an unrelated donor will be undertaken for patients without a matched family donor. However, many patients, particularly patients of diverse racial and ethnic backgrounds, may not be able to rapidly identify a suitably matched unrelated donor. Three alternative graft sources, umbilical cord blood (UCB), haploidentical (haplo)-related donor, and mismatched unrelated donor (MMUD) are available. UCB is associated with decreased GVHD, but hematologic recovery and immune reconstitution are slow. Haplo-HCT is characterized by donor availability for transplantation and after transplantation adoptive cellular immunotherapy but may be complicated by a high risk of graft failure and relapse. A MMUD transplant may also be an option, but GVHD may be of greater concern. Phase 2 studies have documented advances in HLA typing, GVHD prophylaxis, and infection prevention, which have improved survival. The same patient evaluated in different transplant centers may be offered MMUD, UCB, or haplo-HCT depending on center preference. In this review, we discuss the rationale for donor choice and the need of phase 3 studies to help answer this important question.", "author" : [ { "dropping-particle" : "", "family" : "Ballen", "given" : "Karen K.", "non-dropping-particle" : "", "parse-names" : false, "suffix" : "" }, { "dropping-particle" : "", "family" : "Koreth", "given" : "John", "non-dropping-particle" : "", "parse-names" : false, "suffix" : "" }, { "dropping-particle" : "Bin", "family" : "Chen", "given" : "Yi", "non-dropping-particle" : "", "parse-names" : false, "suffix" : "" }, { "dropping-particle" : "", "family" : "Dey", "given" : "Bimalangshu R.", "non-dropping-particle" : "", "parse-names" : false, "suffix" : "" }, { "dropping-particle" : "", "family" : "Spitzer", "given" : "Thomas R.", "non-dropping-particle" : "", "parse-names" : false, "suffix" : "" } ], "container-title" : "Blood", "id" : "ITEM-1", "issue" : "9", "issued" : { "date-parts" : [ [ "2012" ] ] }, "page" : "1972-1980", "title" : "Selection of optimal alternative graft source: Mismatched unrelated donor, umbilical cord blood, or haploidentical transplant", "type" : "article-journal", "volume" : "119" }, "uris" : [ "http://www.mendeley.com/documents/?uuid=2aba8539-0b6a-42c9-9d75-d26f1e58ec67" ] }, { "id" : "ITEM-2", "itemData" : { "DOI" : "10.1182/blood-2013-02-453175", "ISSN" : "1528-0020", "PMID" : "23673863", "abstract" : "Umbilical cord blood is an alternative hematopoietic stem cell source for patients with hematologic diseases who can be cured by allogeneic hematopoietic cell transplantation. Initially, umbilical cord blood transplantation was limited to children, given the low cell dose infused. Both related and unrelated cord blood transplants have been performed with high rates of success for a variety of hematologic disorders and metabolic storage diseases in the pediatric setting. The results for adult umbilical cord blood transplantation have improved, with greater emphasis on cord blood units of sufficient cell dose and human leukocyte antigen match and with the use of double umbilical cord blood units and improved supportive care techniques. Cord blood expansion trials have recently shown improvement in time to engraftment. Umbilical cord blood is being compared with other graft sources in both retrospective and prospective trials. The growth of the field over the last 25 years and the plans for future exploration are discussed.", "author" : [ { "dropping-particle" : "", "family" : "Ballen", "given" : "Karen K", "non-dropping-particle" : "", "parse-names" : false, "suffix" : "" }, { "dropping-particle" : "", "family" : "Gluckman", "given" : "Eliane", "non-dropping-particle" : "", "parse-names" : false, "suffix" : "" }, { "dropping-particle" : "", "family" : "Broxmeyer", "given" : "Hal E", "non-dropping-particle" : "", "parse-names" : false, "suffix" : "" } ], "container-title" : "Blood", "id" : "ITEM-2", "issue" : "4", "issued" : { "date-parts" : [ [ "2013", "7", "25" ] ] }, "page" : "491-8", "publisher" : "American Society of Hematology", "title" : "Umbilical cord blood transplantation: the first 25 years and beyond.", "type" : "article-journal", "volume" : "122" }, "uris" : [ "http://www.mendeley.com/documents/?uuid=04fb6186-f800-3d28-b41e-6c43270ed213" ] } ], "mendeley" : { "formattedCitation" : "&lt;sup&gt;1,2&lt;/sup&gt;", "plainTextFormattedCitation" : "1,2", "previouslyFormattedCitation" : "&lt;sup&gt;1,2&lt;/sup&gt;" }, "properties" : { "noteIndex" : 0 }, "schema" : "https://github.com/citation-style-language/schema/raw/master/csl-citation.json" }</w:instrText>
      </w:r>
      <w:r w:rsidRPr="001E48D5">
        <w:rPr>
          <w:rFonts w:ascii="Book Antiqua" w:eastAsia="Times New Roman" w:hAnsi="Book Antiqua" w:cs="Segoe UI"/>
          <w:color w:val="000000"/>
          <w:sz w:val="24"/>
          <w:szCs w:val="24"/>
          <w:vertAlign w:val="superscript"/>
        </w:rPr>
        <w:fldChar w:fldCharType="separate"/>
      </w:r>
      <w:r w:rsidRPr="001E48D5">
        <w:rPr>
          <w:rFonts w:ascii="Book Antiqua" w:eastAsia="Times New Roman" w:hAnsi="Book Antiqua" w:cs="Segoe UI"/>
          <w:noProof/>
          <w:color w:val="000000"/>
          <w:sz w:val="24"/>
          <w:szCs w:val="24"/>
          <w:vertAlign w:val="superscript"/>
        </w:rPr>
        <w:t>1,2</w:t>
      </w:r>
      <w:r w:rsidRPr="001E48D5">
        <w:rPr>
          <w:rFonts w:ascii="Book Antiqua" w:eastAsia="Times New Roman" w:hAnsi="Book Antiqua" w:cs="Segoe UI"/>
          <w:color w:val="000000"/>
          <w:sz w:val="24"/>
          <w:szCs w:val="24"/>
          <w:vertAlign w:val="superscript"/>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Benefits of using cord blood cells include immediate availability of banked UCB units, lower incidence of graft-versus-host disease (GVHD), minimal risk to the donor, and a lower requirement for HLA compatibility between the donor and the recipient</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"10.4084/MJHID.2016.051", "ISSN" : "20353006", "PMID" : "27872731", "abstract" : "Umbilical cord-blood (UCB) is a well-recognized alternative source of stem cells for unrelated donor hematopoietic stem cell transplantation (HSCT). As compared with other stem cell sources from adult donors, it has the advantages of immediate availability of cells, absence of risk to the donor and reduced risk of graft-versus-host disease despite donor-recipient HLA disparity. However, the use of UCB is limited by the delayed post-transplant hematologic recovery due, at least in part, to the reduced number of hematopoietic cells in the graft and the delayed or incomplete immune reconstitution. As a result, severe infectious complications continue to be a leading cause of morbidity and mortality following UCB transplantation (UCBT). We will address the complex differences in the immune properties of UCB and review the incidence, characteristics, risk factors, and severity of bacterial, fungal and viral infectious complications in patients undergoing UCBT.", "author" : [ { "dropping-particle" : "", "family" : "Montoro", "given" : "Juan", "non-dropping-particle" : "", "parse-names" : false, "suffix" : "" }, { "dropping-particle" : "", "family" : "Pi\u00f1ana", "given" : "Jos\u00e9 Luis", "non-dropping-particle" : "", "parse-names" : false, "suffix" : "" }, { "dropping-particle" : "", "family" : "Moscard\u00f3", "given" : "Federico", "non-dropping-particle" : "", "parse-names" : false, "suffix" : "" }, { "dropping-particle" : "", "family" : "Sanz", "given" : "Jaime", "non-dropping-particle" : "", "parse-names" : false, "suffix" : "" } ], "container-title" : "Mediterranean Journal of Hematology and Infectious Diseases", "id" : "ITEM-1", "issue" : "1", "issued" : { "date-parts" : [ [ "2016" ] ] }, "page" : "1-9", "title" : "Infectious complications after umbilical cord-blood transplantation from unrelated donors", "type" : "article-journal", "volume" : "8" }, "uris" : [ "http://www.mendeley.com/documents/?uuid=f0a09d69-3f47-4e97-af62-5d61ab32a696" ] } ], "mendeley" : { "formattedCitation" : "&lt;sup&gt;3&lt;/sup&gt;", "plainTextFormattedCitation" : "3", "previouslyFormattedCitation" : "&lt;sup&gt;3&lt;/sup&gt;"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3</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Despite these advantages, UCBT is associated with delayed engraftment and poor immune reconstitution, leading to a high rate of infection-related mortality, up to about 50% in several historical series. Viral infections are important causes of morbidity and mortality in patients undergoing </w:t>
      </w:r>
      <w:proofErr w:type="spellStart"/>
      <w:r w:rsidRPr="001E48D5">
        <w:rPr>
          <w:rFonts w:ascii="Book Antiqua" w:eastAsia="Times New Roman" w:hAnsi="Book Antiqua" w:cs="Segoe UI"/>
          <w:color w:val="000000"/>
          <w:sz w:val="24"/>
          <w:szCs w:val="24"/>
        </w:rPr>
        <w:t>allo</w:t>
      </w:r>
      <w:proofErr w:type="spellEnd"/>
      <w:r w:rsidRPr="001E48D5">
        <w:rPr>
          <w:rFonts w:ascii="Book Antiqua" w:eastAsia="Times New Roman" w:hAnsi="Book Antiqua" w:cs="Segoe UI"/>
          <w:color w:val="000000"/>
          <w:sz w:val="24"/>
          <w:szCs w:val="24"/>
        </w:rPr>
        <w:t>-HSCT. Therefore, careful screening and testing of UCB units seems be critical to exclude the potential UCB units with viral contaminations and to reduce the risk of UCB-related virus transmission</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vertAlign w:val="superscript"/>
        </w:rPr>
        <w:fldChar w:fldCharType="begin" w:fldLock="1"/>
      </w:r>
      <w:r w:rsidRPr="001E48D5">
        <w:rPr>
          <w:rFonts w:ascii="Book Antiqua" w:eastAsia="Times New Roman" w:hAnsi="Book Antiqua" w:cs="Segoe UI"/>
          <w:color w:val="000000"/>
          <w:sz w:val="24"/>
          <w:szCs w:val="24"/>
          <w:vertAlign w:val="superscript"/>
        </w:rPr>
        <w:instrText>ADDIN CSL_CITATION { "citationItems" : [ { "id" : "ITEM-1", "itemData" : { "DOI" : "10.1111/trf.14257", "ISSN" : "15372995", "PMID" : "28758211", "abstract" : "BACKGROUND The low incidence of cytomegalovirus (CMV) infection in neonates decreases the risk of viral transmission with cord blood transplantation. Cord blood donors are screened by testing the maternal sample for total antibodies to CMV. Some cord blood banks also screen cord blood for CMV-DNA. The aim of this study was to develop and validate a multiplex real-time polymerase chain reaction assay to measure CMV viral load in cord blood from asymptomatic infants with congenital CMV infection and to assess the impact of CMV infection on cord blood hematopoietic progenitor cell concentrations and colony-forming unit functionality. STUDY DESIGN AND METHODS CMV infection was evaluated in two groups of cord blood donors: 1) 30,308 neonates prospectively screened by saliva culture, including 41 positive cases (0.14%), all from mothers with total antibodies to CMV; and 2) 4712 newborns from mothers with total antibodies to CMV who were screened retrospectively by polymerase chain reaction, including 18 positive cases (0.38%). All 59 infants with CMV were asymptomatic at birth. RESULTS Among the 59 positive cases, the average CMV viral load in cord blood was 20.6 \u00d7 104 viral copies (vc)/mL; seven of 59 mothers (12%) had CMV-DNA detected, however, with no association to their newborns' CMV viral load. Levels of colony-forming units, CD34+ /CD45+ cells, and total nucleated cells measured in a cohort of CMV-positive cord blood samples were higher than those in the matched control group. CONCLUSION We developed and validated a multiplex real-time polymerase chain reaction assay to detect CMV-DNA in cord blood. In our study, maternal total antibodies to CMV or CMV-DNA at birth were poor predictors of infection in cord blood donors. Furthermore, our results suggest that CMV congenital infection impacts CD34+ /CD45+ cells and some hematopoietic progenitor cells toward higher proliferation.", "author" : [ { "dropping-particle" : "", "family" : "Albano", "given" : "M. Susana", "non-dropping-particle" : "", "parse-names" : false, "suffix" : "" }, { "dropping-particle" : "", "family" : "Ciubotariu", "given" : "Rodica", "non-dropping-particle" : "", "parse-names" : false, "suffix" : "" }, { "dropping-particle" : "", "family" : "Dobrila", "given" : "Ludy", "non-dropping-particle" : "", "parse-names" : false, "suffix" : "" }, { "dropping-particle" : "", "family" : "Tarnawski", "given" : "Michal", "non-dropping-particle" : "", "parse-names" : false, "suffix" : "" }, { "dropping-particle" : "", "family" : "DeLeon", "given" : "Margely", "non-dropping-particle" : "", "parse-names" : false, "suffix" : "" }, { "dropping-particle" : "", "family" : "Watanabe", "given" : "Chiseko", "non-dropping-particle" : "", "parse-names" : false, "suffix" : "" }, { "dropping-particle" : "", "family" : "Krishnan", "given" : "Siddarth", "non-dropping-particle" : "", "parse-names" : false, "suffix" : "" }, { "dropping-particle" : "", "family" : "Scaradavou", "given" : "Andromachi", "non-dropping-particle" : "", "parse-names" : false, "suffix" : "" }, { "dropping-particle" : "", "family" : "Rubinstein", "given" : "Pablo", "non-dropping-particle" : "", "parse-names" : false, "suffix" : "" } ], "container-title" : "Transfusion", "id" : "ITEM-1", "issue" : "11", "issued" : { "date-parts" : [ [ "2017" ] ] }, "page" : "2768-2774", "title" : "Cytomegalovirus viral load in cord blood and impact of congenital infection on markers of hematopoietic progenitor cell potency", "type" : "article-journal", "volume" : "57" }, "uris" : [ "http://www.mendeley.com/documents/?uuid=1069d122-f967-4344-acfa-54ce92607071" ] }, { "id" : "ITEM-2", "itemData" : { "DOI" : "10.1017/gheg.2018.6", "ISSN" : "2054-4200", "abstract" : "&lt;p&gt; The probability of a Black African finding a matched unrelated donor for a hematopoietic stem cell transplant is minimal due to the high degree of genetic diversity amongst individuals of African origin. This problem could be resolved in part by the establishment of a public cord blood (CB) stem cell bank. The high prevalence of human immunodeficiency virus (HIV) amongst women attending antenatal clinics in sub-Saharan Africa together with the risk of mother-to-child transmission increases the risk of transplant transmissible infection. In addition to screening the mother in a period inclusive of 7 days prior to the following delivery, we propose that all CB units considered for storage undergo rigorous and reliable screening for HIV. The Ultrio-plus &lt;sup&gt;\u00ae&lt;/sup&gt; assay is a highly specific and sensitive test for detecting HIV, hepatitis-B and hepatitis-C viruses in peripheral blood. We validated the Ultrio-plus &lt;sup&gt;\u00ae&lt;/sup&gt; assay for analytical sensitivity in detecting HIV in CB at the level of detection of the assay. Until more comprehensive and sensitive methods are developed, the sensitivity and reliability of the Ultrio-plus &lt;sup&gt;\u00ae&lt;/sup&gt; assay suggest that it could be used for the routine screening of CB units in conjunction with currently recommended maternal screening to reduce the risk of transplant transmissible infection. &lt;/p&gt;", "author" : [ { "dropping-particle" : "", "family" : "Meissner-Roloff", "given" : "M.", "non-dropping-particle" : "", "parse-names" : false, "suffix" : "" }, { "dropping-particle" : "", "family" : "Gaggia", "given" : "L.", "non-dropping-particle" : "", "parse-names" : false, "suffix" : "" }, { "dropping-particle" : "", "family" : "Vermeulen", "given" : "M.", "non-dropping-particle" : "", "parse-names" : false, "suffix" : "" }, { "dropping-particle" : "", "family" : "Mazanderani", "given" : "A. F. H.", "non-dropping-particle" : "", "parse-names" : false, "suffix" : "" }, { "dropping-particle" : "", "family" : "Plessis", "given" : "N. M.", "non-dropping-particle" : "du", "parse-names" : false, "suffix" : "" }, { "dropping-particle" : "", "family" : "Steel", "given" : "H. C.", "non-dropping-particle" : "", "parse-names" : false, "suffix" : "" }, { "dropping-particle" : "", "family" : "Pepper", "given" : "M. S.", "non-dropping-particle" : "", "parse-names" : false, "suffix" : "" } ], "container-title" : "Global Health, Epidemiology and Genomics", "id" : "ITEM-2", "issue" : "May", "issued" : { "date-parts" : [ [ "2018" ] ] }, "page" : "e9", "title" : "Strategies for screening cord blood for a public cord blood bank in high HIV prevalence regions", "type" : "article-journal", "volume" : "3" }, "uris" : [ "http://www.mendeley.com/documents/?uuid=aed3b3f8-c103-42c8-8b74-3add3420aebb" ] } ], "mendeley" : { "formattedCitation" : "&lt;sup&gt;4,5&lt;/sup&gt;", "plainTextFormattedCitation" : "4,5", "previouslyFormattedCitation" : "&lt;sup&gt;4,5&lt;/sup&gt;" }, "properties" : { "noteIndex" : 0 }, "schema" : "https://github.com/citation-style-language/schema/raw/master/csl-citation.json" }</w:instrText>
      </w:r>
      <w:r w:rsidRPr="001E48D5">
        <w:rPr>
          <w:rFonts w:ascii="Book Antiqua" w:eastAsia="Times New Roman" w:hAnsi="Book Antiqua" w:cs="Segoe UI"/>
          <w:color w:val="000000"/>
          <w:sz w:val="24"/>
          <w:szCs w:val="24"/>
          <w:vertAlign w:val="superscript"/>
        </w:rPr>
        <w:fldChar w:fldCharType="separate"/>
      </w:r>
      <w:r w:rsidRPr="001E48D5">
        <w:rPr>
          <w:rFonts w:ascii="Book Antiqua" w:eastAsia="Times New Roman" w:hAnsi="Book Antiqua" w:cs="Segoe UI"/>
          <w:noProof/>
          <w:color w:val="000000"/>
          <w:sz w:val="24"/>
          <w:szCs w:val="24"/>
          <w:vertAlign w:val="superscript"/>
        </w:rPr>
        <w:t>4,5</w:t>
      </w:r>
      <w:r w:rsidRPr="001E48D5">
        <w:rPr>
          <w:rFonts w:ascii="Book Antiqua" w:eastAsia="Times New Roman" w:hAnsi="Book Antiqua" w:cs="Segoe UI"/>
          <w:color w:val="000000"/>
          <w:sz w:val="24"/>
          <w:szCs w:val="24"/>
          <w:vertAlign w:val="superscript"/>
        </w:rPr>
        <w:fldChar w:fldCharType="end"/>
      </w:r>
      <w:r w:rsidRPr="001E48D5">
        <w:rPr>
          <w:rFonts w:ascii="Book Antiqua" w:eastAsia="Times New Roman" w:hAnsi="Book Antiqua" w:cs="Segoe UI"/>
          <w:color w:val="000000"/>
          <w:sz w:val="24"/>
          <w:szCs w:val="24"/>
          <w:vertAlign w:val="superscript"/>
        </w:rPr>
        <w:t>]</w:t>
      </w:r>
      <w:r w:rsidR="004524C8"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 xml:space="preserve">Fortunately, improvements in molecular diagnostic methods, such as Multiplex polymerase chain reaction (PCR) and Real-time quantitative PCR (RQ-PCR) have facilitated the early diagnosis of viral infections and selection of </w:t>
      </w:r>
      <w:r w:rsidR="004524C8"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virus-safe</w:t>
      </w:r>
      <w:r w:rsidR="004524C8"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 xml:space="preserve"> UCB units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"ISSN" : "2008-6482", "PMID" : "28924462", "abstract" : "BACKGROUND Umbilical cord blood (UCB) is believed to be a highly valuable source of hematopoietic stem cells for transplantation. Objective: To investigate the prevalence of active and latent human cytomegalovirus (CMV) infection in UCB donors in Iranian population. METHODS A total of 825 UCB samples was collected under standard procedures and analyzed for the presence of CMV DNAs in buffy coat (latent infection) and plasma (active infection). DNA was extracted from buffy coat and plasma samples separately and tested with quantitative real-time PCR. All positive samples were checked by ELISA for IgG and IgM anti-CMV antibody. RESULTS Latent CMV infection was detected in 17 (2%) buffy coat samples with a low level of viral load, which indicated the presence of latent viral infection in donors. None of the plasma samples were found positive for CMV DNA reflecting no active infection. In the 17 positive samples, CMV viral load was 91-104 (mean: 100) copies/mL. All samples positive for viral DNA were also found positive for CMV IgG antibody by ELISA. No CMV IgM antibody was detected in positive samples. CONCLUSION CMV is still the most important virus that infects hematopoietic stem cells and could be dangerous, especially for immunocompromized transplant recipients. We therefore suggest using real-time PCR for the detection and quantification of the viral DNA in buffy coat and plasma of UCB donors. PCR of plasma for detection of CMV and antibody assay for CMV infection add no more sensitivity for the detection of latent CMV infection in UCB donors.", "author" : [ { "dropping-particle" : "", "family" : "Abedi", "given" : "E", "non-dropping-particle" : "", "parse-names" : false, "suffix" : "" }, { "dropping-particle" : "", "family" : "Kheirandish", "given" : "M", "non-dropping-particle" : "", "parse-names" : false, "suffix" : "" }, { "dropping-particle" : "", "family" : "Sharifi", "given" : "Z", "non-dropping-particle" : "", "parse-names" : false, "suffix" : "" }, { "dropping-particle" : "", "family" : "Samiee", "given" : "S", "non-dropping-particle" : "", "parse-names" : false, "suffix" : "" }, { "dropping-particle" : "", "family" : "Kokhaei", "given" : "P", "non-dropping-particle" : "", "parse-names" : false, "suffix" : "" }, { "dropping-particle" : "", "family" : "Pourpak", "given" : "Z", "non-dropping-particle" : "", "parse-names" : false, "suffix" : "" }, { "dropping-particle" : "", "family" : "Ashraf", "given" : "M J", "non-dropping-particle" : "", "parse-names" : false, "suffix" : "" } ], "container-title" : "International journal of organ transplantation medicine", "id" : "ITEM-1", "issue" : "3", "issued" : { "date-parts" : [ [ "2017" ] ] }, "page" : "140-145", "title" : "Quantification of Active and Latent Form of Human Cytomegalovirus Infection in Umbilical Cord Blood Donors by Real-Time PCR.", "type" : "article-journal", "volume" : "8" }, "uris" : [ "http://www.mendeley.com/documents/?uuid=5cb7dbde-4cf8-36c8-ae97-9d92fcba5bc3" ] }, { "id" : "ITEM-2", "itemData" : { "DOI" : "10.1016/j.transci.2015.08.001", "ISSN" : "18781683", "PMID" : "26283174", "abstract" : "Umbilical cord blood (UCB) is one of the most important sources of hematopoietic stem cells which can be used for transplantation. The transplanted CB stem cells might cause infections in recipients. The aim of this study is to evaluate Human Herpes Virus8 (HHV8) as a Rhadinovirus among CB samples in order to assess safety of cord blood stem cells transplantation. To assess this aim, we surveyed 800 cord blood specimens by Real Time PCR. The overall HHV8 incidence in cord blood mononuclear cells was 1.38% and none of them was in lytic phase of HHV8. The authors suggest further HHV8 study on CB samples for transplantation.", "author" : [ { "dropping-particle" : "", "family" : "Golchin", "given" : "Neda", "non-dropping-particle" : "", "parse-names" : false, "suffix" : "" }, { "dropping-particle" : "", "family" : "Kheirandish", "given" : "Maryam", "non-dropping-particle" : "", "parse-names" : false, "suffix" : "" }, { "dropping-particle" : "", "family" : "Sharifi", "given" : "Zohreh", "non-dropping-particle" : "", "parse-names" : false, "suffix" : "" }, { "dropping-particle" : "", "family" : "Samiee", "given" : "Shahram", "non-dropping-particle" : "", "parse-names" : false, "suffix" : "" }, { "dropping-particle" : "", "family" : "Kokhaei", "given" : "Parviz", "non-dropping-particle" : "", "parse-names" : false, "suffix" : "" }, { "dropping-particle" : "", "family" : "Pourpak", "given" : "Zahra", "non-dropping-particle" : "", "parse-names" : false, "suffix" : "" } ], "container-title" : "Transfusion and Apheresis Science", "id" : "ITEM-2", "issue" : "3", "issued" : { "date-parts" : [ [ "2015" ] ] }, "page" : "378-380", "publisher" : "Elsevier Ltd", "title" : "Quantification of viral genome in cord blood donors by real time PCR to investigate human herpesvirus type 8 active infection", "type" : "article-journal", "volume" : "53" }, "uris" : [ "http://www.mendeley.com/documents/?uuid=e5f578b5-893a-44fa-b848-0a53e1167f07" ] }, { "id" : "ITEM-3", "itemData" : { "DOI" : "10.1111/tid.12319", "ISSN" : "13993062", "abstract" : "\u00a9 2014 John Wiley  &amp;  Sons A/S. Published by John Wiley  &amp;  Sons Ltd. Objective: Umbilical cord blood (UCB) has been a reasonable alternative to granulocyte colony-stimulating factor-mobilized peripheral blood or bone marrow, as a source of hematopoietic stem cells with a lower risk of graft-versus-host disease. In immunocompromised hosts after transplantation, the risk of viral infection in adults, especially with beta-herpesviruses such as human herpesvirus-7 (HHV-7), may be increased. This virus in immunocompromised patients can be reactivated from latency and converted to an active phase. Therefore, light-upon-extension real-time polymerase chain reaction (PCR) was developed to assess the prevalence and load of HHV-7 in the plasma and buffy coat of donors. Methods: About 825 UCB samples under standard protocol from donors were collected. Then, DNA from plasma and buffy coat was extracted and quantitative real-time PCR was performed with light-upon-extension primers. Results: Overall, HHV-7 was detected in 3.64% (30/825) of UCB donors. HHV-7 DNA was detected in 26 (3.2%) buffy coat samples (latent infection), and only 4 (0.48%) of them were positive for HHV-7 DNA in plasma samples (active infection); the mean HHV-7 viral load was 1.31 \u00d7 10 1  copies/mL in latent infection, and 1.94 \u00d7 10 5  copies/mL in active infection. Conclusions: We suggest that real-time PCR in plasma and buffy coat could be a useful method to detect active and latent HHV-7 infection in UCB donors and determine its role in subsequent transmission events.", "author" : [ { "dropping-particle" : "", "family" : "Abedi", "given" : "E.", "non-dropping-particle" : "", "parse-names" : false, "suffix" : "" }, { "dropping-particle" : "", "family" : "Kheirandish", "given" : "M.", "non-dropping-particle" : "", "parse-names" : false, "suffix" : "" }, { "dropping-particle" : "", "family" : "Sharifi", "given" : "Z.", "non-dropping-particle" : "", "parse-names" : false, "suffix" : "" }, { "dropping-particle" : "", "family" : "Samiee", "given" : "S.", "non-dropping-particle" : "", "parse-names" : false, "suffix" : "" }, { "dropping-particle" : "", "family" : "Kokhaei", "given" : "P.", "non-dropping-particle" : "", "parse-names" : false, "suffix" : "" }, { "dropping-particle" : "", "family" : "Pourpak", "given" : "Z.", "non-dropping-particle" : "", "parse-names" : false, "suffix" : "" }, { "dropping-particle" : "", "family" : "Ashraf", "given" : "M. J.", "non-dropping-particle" : "", "parse-names" : false, "suffix" : "" } ], "container-title" : "Transplant Infectious Disease", "id" : "ITEM-3", "issue" : "1", "issued" : { "date-parts" : [ [ "2015" ] ] }, "page" : "21-24", "title" : "Quantitative polymerase chain reaction for detection of human herpesvirus-7 infection in umbilical cord blood donors", "type" : "article-journal", "volume" : "17" }, "uris" : [ "http://www.mendeley.com/documents/?uuid=d093e34f-3266-4eef-86e6-54674ca80b86" ] } ], "mendeley" : { "formattedCitation" : "&lt;sup&gt;6\u20138&lt;/sup&gt;", "plainTextFormattedCitation" : "6\u20138", "previouslyFormattedCitation" : "&lt;sup&gt;6\u20138&lt;/sup&gt;"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6–8</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w:t>
      </w:r>
      <w:r w:rsidR="00D762C6" w:rsidRPr="001E48D5">
        <w:rPr>
          <w:rFonts w:ascii="Book Antiqua" w:eastAsia="Times New Roman" w:hAnsi="Book Antiqua" w:cs="Segoe UI"/>
          <w:color w:val="000000"/>
          <w:sz w:val="24"/>
          <w:szCs w:val="24"/>
        </w:rPr>
        <w:t>(</w:t>
      </w:r>
      <w:r w:rsidR="0098773F" w:rsidRPr="001E48D5">
        <w:rPr>
          <w:rFonts w:ascii="Book Antiqua" w:eastAsia="Times New Roman" w:hAnsi="Book Antiqua" w:cs="Segoe UI"/>
          <w:color w:val="000000"/>
          <w:sz w:val="24"/>
          <w:szCs w:val="24"/>
        </w:rPr>
        <w:t>T</w:t>
      </w:r>
      <w:r w:rsidR="00D762C6" w:rsidRPr="001E48D5">
        <w:rPr>
          <w:rFonts w:ascii="Book Antiqua" w:eastAsia="Times New Roman" w:hAnsi="Book Antiqua" w:cs="Segoe UI"/>
          <w:color w:val="000000"/>
          <w:sz w:val="24"/>
          <w:szCs w:val="24"/>
        </w:rPr>
        <w:t>able 1).</w:t>
      </w:r>
    </w:p>
    <w:p w:rsidR="00FA07B4" w:rsidRPr="001E48D5" w:rsidRDefault="00FA07B4" w:rsidP="007A67C3">
      <w:pPr>
        <w:spacing w:after="0" w:line="360" w:lineRule="auto"/>
        <w:ind w:firstLineChars="200" w:firstLine="480"/>
        <w:jc w:val="both"/>
        <w:rPr>
          <w:rFonts w:ascii="Book Antiqua" w:hAnsi="Book Antiqua"/>
          <w:sz w:val="24"/>
          <w:szCs w:val="24"/>
        </w:rPr>
      </w:pPr>
      <w:r w:rsidRPr="001E48D5">
        <w:rPr>
          <w:rFonts w:ascii="Book Antiqua" w:eastAsia="Times New Roman" w:hAnsi="Book Antiqua" w:cs="Segoe UI"/>
          <w:color w:val="000000"/>
          <w:sz w:val="24"/>
          <w:szCs w:val="24"/>
        </w:rPr>
        <w:t>There have been significant strides in using UCB stem cells in cellular therapy, particularly those for neurologic</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"ISSN" : "17355249", "PMID" : "26725557", "abstract" : "Multiple Sclerosis (MS) is an autoimmune inflammatory demyelinating disease of the central nervous system. The aim of this study was to investigate the neuroprotective effects of transplanted human umbilical cord blood mesenchymal stromal cells (UCB-MSC) derived neural progenitor cell (MDNPC) in EAE, an experimental model of MS. To initiate neuronal differentiation of UCB-MSCs, the pre-induction medium was removed and replaced with induction media containing retinoic acid, b FGF, h EGF, NGF, IBMX and ascorbic acid for one week. The expression of neural genes was examined in comparison to control group by realtime PCR assay. Then, experimental autoimmune encephalitis (EAE) was induced using myelin oligodendrocyte glycoprotein (MOG, 35-55 peptides) in 24 C57BL/6 mice. After induction, the mice were divided in four groups (n=6) as follows: healthy, PBS, UCB-MSCs and MDNPC, respectively. At the end of the study, disease status in all the groups was analyzed using hematoxylin-eosin (H&amp;E) staining of brain sections. We found that UCB-MSCs exhibit neuronal differentiation potential in vitro and transplanted MDNPC lowered clinical score and reduced CNS leukocyte infiltration compared to untreated mice. Our results showed that MDNPC from UCB may be a proper candidate for regenerative therapy in MS and other neurodegenerative diseases. \u00a9 Autumn 2015, Iran J Allergy Asthma Immunol. All rights reserved.", "author" : [ { "dropping-particle" : "", "family" : "Rafieemehr", "given" : "Hassan", "non-dropping-particle" : "", "parse-names" : false, "suffix" : "" }, { "dropping-particle" : "", "family" : "KheIrandish", "given" : "Maryam", "non-dropping-particle" : "", "parse-names" : false, "suffix" : "" }, { "dropping-particle" : "", "family" : "Soleimani", "given" : "Masoud", "non-dropping-particle" : "", "parse-names" : false, "suffix" : "" } ], "container-title" : "Iranian Journal of Allergy, Asthma and Immunology", "id" : "ITEM-1", "issue" : "6", "issued" : { "date-parts" : [ [ "2015" ] ] }, "page" : "596-604", "title" : "Neuroprotective effects of transplanted mesenchymal stromal cells-derived human umbilical cord blood neural progenitor cells in EAE", "type" : "article-journal", "volume" : "14" }, "uris" : [ "http://www.mendeley.com/documents/?uuid=e0dddd9a-b617-4389-9750-e67e20efa5a3" ] }, { "id" : "ITEM-2", "itemData" : { "DOI" : "10.1016/j.transci.2017.03.015", "ISSN" : "18781683", "PMID" : "28428031", "abstract" : "In recent years, human umbilical cord blood-derived mesenchymal stem cell (hUB-MSCs) has been regarded as an alternative source for stem cell therapy. In this study, we evaluated the effect of hypoxia preconditioning (HPC) on the expression of Nt-3, GFAP, Nestin, Oct-4 and Nanog genes and proliferative capacity of hUB-MSCs in comparison with normoxic conditions. HPC\u00a0+\u00a0Hypoxia protocol includes cultured hUB-MSCs for 15\u00a0min at 2.5% O2and after that reoxygenation for 30\u00a0min at 21% O2(HPC), and then hypoxia preconditioned hUB-MSCs subjected to 2.5% O2for 72\u00a0h (Hypoxia). Conclusively, the results showed that hypoxic preconditioning is an effective strategy for enhancing proliferation capacity of hUB-MSCs, and also can trigger expression of some of the neural genes. In addition, the concept of involvement of oxygen tension in the expression of some of the neural genes of hUB-MSCs would be a good sign of enhanced neural differentiation potential in vitro.", "author" : [ { "dropping-particle" : "", "family" : "Kheirandish", "given" : "Maryam", "non-dropping-particle" : "", "parse-names" : false, "suffix" : "" }, { "dropping-particle" : "", "family" : "Gavgani", "given" : "Somaie Piri", "non-dropping-particle" : "", "parse-names" : false, "suffix" : "" }, { "dropping-particle" : "", "family" : "Samiee", "given" : "Shahram", "non-dropping-particle" : "", "parse-names" : false, "suffix" : "" } ], "container-title" : "Transfusion and Apheresis Science", "id" : "ITEM-2", "issue" : "3", "issued" : { "date-parts" : [ [ "2017" ] ] }, "page" : "392-399", "publisher" : "Elsevier Ltd", "title" : "The effect of hypoxia preconditioning on the neural and stemness genes expression profiling in human umbilical cord blood mesenchymal stem cells", "type" : "article-journal", "volume" : "56" }, "uris" : [ "http://www.mendeley.com/documents/?uuid=786c901f-0294-4c57-9769-2fdddb4db3a1" ] }, { "id" : "ITEM-3", "itemData" : { "ISSN" : "20083874", "PMID" : "26949497", "abstract" : "OBJECTIVE(S):: Umbilical cord blood-derived mesenchymal stromal cells (UCB-MSCs) are ideally suited for use in various cell-based therapies. We investigated a novel induction protocol (NIP) to improve the neuronal differentiation of human UCB-MSCs under appropriate conditions. MATERIALS AND METHODS:: This experimental study was performed in Iranian Blood Transfusion Organization (IBTO), Tehran, Iran. UCB-MSCs were cultured in DMEM medium supplemented with 10% FBS in a humidified incubator in equilibration with 5% CO(2) at 37\u00b0C. For neuronal differentiation of UCB-MSCs, DMEM was removed and replaced with pre-induction medium containing RA, bFGF, EGF, and basal medium for two days. Then, NGF, IBMX, AsA, and Neurobasal medium were used for six days for this purpose. Real-time PCR was performed to analyze the neuronal differentiation of UCB-MSCs for the first time in Iran. RESULTS:: We found that the maximum and minimum levels of gene expression were related to GFAP and nestin, respectively. In addition, our study showed that compared to other neuronal inducers, RA might play the main role in neuronal differentiation and fate of MSCs compared to other neuronal inducers. CONCLUSION:: Our data showed that the combination of chemical (RA, IBMX, AsA) and growth factors (NGF, EGF, bFGF) in NIP may improve the efficiency of neuronal differentiation of UCB-MSCs and may provide a new method for easy and quick application of UCB-MSCs in regenerative medicine in the future. However, the functionality of neuron-like cells must be carefully assessed in animal experiments prior to use in clinical applications. ", "author" : [ { "dropping-particle" : "", "family" : "Rafieemehr", "given" : "Hassan", "non-dropping-particle" : "", "parse-names" : false, "suffix" : "" }, { "dropping-particle" : "", "family" : "Kheirandish", "given" : "Maryam", "non-dropping-particle" : "", "parse-names" : false, "suffix" : "" }, { "dropping-particle" : "", "family" : "Soleimani", "given" : "Masoud", "non-dropping-particle" : "", "parse-names" : false, "suffix" : "" } ], "container-title" : "Iranian Journal of Basic Medical Sciences", "id" : "ITEM-3", "issue" : "11", "issued" : { "date-parts" : [ [ "2015" ] ] }, "page" : "1100-1106", "title" : "Improving the neuronal differentiation efficiency of umbilical cord blood\u2010derived mesenchymal stem cells cultivated under appropriate conditions", "type" : "article-journal", "volume" : "18" }, "uris" : [ "http://www.mendeley.com/documents/?uuid=9576e5a9-ee3d-44af-879e-14a4cff9fa77" ] } ], "mendeley" : { "formattedCitation" : "&lt;sup&gt;9\u201311&lt;/sup&gt;", "plainTextFormattedCitation" : "9\u201311", "previouslyFormattedCitation" : "&lt;sup&gt;9\u201311&lt;/sup&gt;"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9–11</w:t>
      </w:r>
      <w:r w:rsidRPr="001E48D5">
        <w:rPr>
          <w:rFonts w:ascii="Book Antiqua" w:eastAsia="Times New Roman" w:hAnsi="Book Antiqua" w:cs="Segoe UI"/>
          <w:color w:val="000000"/>
          <w:sz w:val="24"/>
          <w:szCs w:val="24"/>
          <w:vertAlign w:val="superscript"/>
        </w:rPr>
        <w:fldChar w:fldCharType="end"/>
      </w:r>
      <w:r w:rsidRPr="001E48D5">
        <w:rPr>
          <w:rFonts w:ascii="Book Antiqua" w:eastAsia="Times New Roman" w:hAnsi="Book Antiqua" w:cs="Segoe UI"/>
          <w:color w:val="000000"/>
          <w:sz w:val="24"/>
          <w:szCs w:val="24"/>
          <w:vertAlign w:val="superscript"/>
        </w:rPr>
        <w:t xml:space="preserve">] </w:t>
      </w:r>
      <w:r w:rsidRPr="001E48D5">
        <w:rPr>
          <w:rFonts w:ascii="Book Antiqua" w:eastAsia="Times New Roman" w:hAnsi="Book Antiqua" w:cs="Segoe UI"/>
          <w:color w:val="000000"/>
          <w:sz w:val="24"/>
          <w:szCs w:val="24"/>
        </w:rPr>
        <w:t>or hematopoietic</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noProof/>
          <w:color w:val="000000"/>
          <w:sz w:val="24"/>
          <w:szCs w:val="24"/>
          <w:vertAlign w:val="superscript"/>
        </w:rPr>
        <w:fldChar w:fldCharType="begin" w:fldLock="1"/>
      </w:r>
      <w:r w:rsidRPr="001E48D5">
        <w:rPr>
          <w:rFonts w:ascii="Book Antiqua" w:eastAsia="Times New Roman" w:hAnsi="Book Antiqua" w:cs="Segoe UI"/>
          <w:noProof/>
          <w:color w:val="000000"/>
          <w:sz w:val="24"/>
          <w:szCs w:val="24"/>
          <w:vertAlign w:val="superscript"/>
        </w:rPr>
        <w:instrText>ADDIN CSL_CITATION { "citationItems" : [ { "id" : "ITEM-1", "itemData" : { "DOI" : "10.3109/08977194.2010.504722", "ISBN" : "1029-2292 (Electronic)\\r0897-7194 (Linking)", "ISSN" : "08977194 (ISSN)", "PMID" : "20854188", "abstract" : "BACKGROUND AND OBJECTIVES: Umbilical cord blood (UCB) is a rich source of hematopoietic cells. Here, for the first time, we surveyed the effects of different concentrations of platelet growth factors and cytokine cocktail (CC) on the expansion and differentiation of UCB CD133(+) stem cells into megakaryocyte progenitors. MATERIALS AND METHODS: UCB CD133(+) cells were separated by magnetic cell sorting and cultured in different concentrations of platelet growth factors in combination with a CC containing interleukins 3 and 6, stem cell factor, and thrombopoietin. Cell expansion and differentiation were assessed using mononuclear cell count and flow cytometry. RESULTS: The results show that either activated platelet-rich plasma or the platelet supernatant, when added in the first day of culture, significantly suppress the expansion of CD133(+) cells after 7 days in culture (p &lt; 0.05). By contrast, the expression of CD41, CD61, and CD42b markers in the presence of all platelet growth factors increased compared with that of the control (p &lt; 0.05). CONCLUSION: Taken together, platelet growth factors in the presence of CC suppress ex vivo expansion of UCB CD133(+) cells and enhance their differentiation into megakaryocytic progenitor cells in a dose- and time-dependent manner.", "author" : [ { "dropping-particle" : "", "family" : "Aghideh", "given" : "A N", "non-dropping-particle" : "", "parse-names" : false, "suffix" : "" }, { "dropping-particle" : "", "family" : "Kheirandish", "given" : "M", "non-dropping-particle" : "", "parse-names" : false, "suffix" : "" }, { "dropping-particle" : "", "family" : "Abolghasemi", "given" : "H", "non-dropping-particle" : "", "parse-names" : false, "suffix" : "" }, { "dropping-particle" : "", "family" : "Gharehbaghian", "given" : "A", "non-dropping-particle" : "", "parse-names" : false, "suffix" : "" } ], "container-title" : "Growth Factors", "id" : "ITEM-1", "issue" : "6", "issued" : { "date-parts" : [ [ "2010" ] ] }, "page" : "409-416", "title" : "Platelet growth factors suppress ex vivo expansion and enhance differentiation of umbilical cord blood CD133+ stem cells to megakaryocyte progenitor cells", "type" : "article-journal", "volume" : "28" }, "uris" : [ "http://www.mendeley.com/documents/?uuid=b5f94b5e-cfa3-48c6-aa87-84477b97f73e" ] }, { "id" : "ITEM-2", "itemData" : { "ISSN" : "15614921 (ISSN)", "abstract" : "Objective: This study was performed to determine the immunophenotype of Megakaryocyte progenitor cells differentiated from UCB CD133+ and CD133- cells under the effects of interleukin-3 (IL-3), interleukin-6 (IL-6), stem cell factor (SCF) and thrombopoietin (TPO) in vitro. Materials and Methods: CD133+and CD133- cells were isolated by using CD133 isolation kit following the manufacturer's instructions. Then, they were seeded in liquid serum free expansion mediums supplemented with the cytokine cocktail including IL-3, IL-6, SCF and TPO. The expression rate of CD34, CD41, CD61 and CD42b were measured on the days 0 and 7 of culture using flow cytometry. Student's t-test was used for the comparisons and a p value less than 0.05 was considered to be significant. Results: Expressions of megakaryocytic markers on CD133+ cells were always higher than CD133- cells. CD133+ cells have higher potential of generating Mk colonies in vitro. Conclusion: CD133+ subset may be used as an alternative source for Mk progenitor cells production and these cells may improve platelet recovery after UCB transplantation.", "author" : [ { "dropping-particle" : "", "family" : "Goodarzi", "given" : "A", "non-dropping-particle" : "", "parse-names" : false, "suffix" : "" }, { "dropping-particle" : "", "family" : "Kheirandish", "given" : "M", "non-dropping-particle" : "", "parse-names" : false, "suffix" : "" }, { "dropping-particle" : "", "family" : "Pourfathollah", "given" : "A", "non-dropping-particle" : "", "parse-names" : false, "suffix" : "" }, { "dropping-particle" : "", "family" : "Siadat", "given" : "S D", "non-dropping-particle" : "", "parse-names" : false, "suffix" : "" }, { "dropping-particle" : "", "family" : "Pourpak", "given" : "Z", "non-dropping-particle" : "", "parse-names" : false, "suffix" : "" } ], "container-title" : "Yakhteh", "id" : "ITEM-2", "issue" : "3", "issued" : { "date-parts" : [ [ "2007" ] ] }, "page" : "190-195+221", "title" : "Characterization of megakaryocyte progenitor cells differentiated from umbilical cord blood CD133+ and CD133- cells", "type" : "article-journal", "volume" : "9" }, "uris" : [ "http://www.mendeley.com/documents/?uuid=f2d79b0e-c731-432a-9ce5-af97d80d4caf" ] }, { "id" : "ITEM-3", "itemData" : { "DOI" : "10.1016/j.cyto.2011.04.015", "ISBN" : "1096-0023 (Electronic)\\r1043-4666 (Linking)", "ISSN" : "10434666", "PMID" : "21555225", "abstract" : "Objective: There have been various reports on the roles of CXC receptors (CXCR) in modulation of hematopoiesis. In the present study, we investigated the effects of CXCR1 and/or CXCR2 inhibition on expansion and differentiation of umbilical cord blood (UCB) CD133 + cells into megakaryocytic progenitors. Materials and methods: Purified UCB CD133 + cells were cultured in a serum-free liquid culture either in the presence or absence of neutralizing anti-CXCR1 and/or anti-CXCR2 antibodies in combination with a conventional cytokine cocktail for up to 14days. Expression of megakaryocytic lineage markers (CD41 and CD61) and determination of ploidy level were determined by flowcytometry. In addition, colony-forming unit assay was performed using CD133 + cultures in serum-free collagen-based medium containing the cytokine cocktail plus neutralizing CXCR1 and -R2 antibodies. Colony forming unit-megakaryocyte (CFU-MKs) and non-MKs were counted after immunocytochemistry staining on day 12. Results: We show that while simultaneous inhibition of both CXCR1 and -R2 causes a significant reduction in the fold expansion of UCB CD133 + cells, it also leads to an increase in percentages of CD61 +, CD41 +, and CFU-MK populations. Conclusion: CXCR1 and CXCR2 play significant roles in the suppression of megakaryopoiesis. We demonstrate that blocking of this suppressive effect by a simultaneous inhibition of both receptors can enhance the differentiation of UCB CD133 + cells into megakayocytic progenitors. \u00a9 2011 Elsevier Ltd.", "author" : [ { "dropping-particle" : "", "family" : "Adeli", "given" : "Elham Khalaf", "non-dropping-particle" : "", "parse-names" : false, "suffix" : "" }, { "dropping-particle" : "", "family" : "Abolghasemi", "given" : "Hassan", "non-dropping-particle" : "", "parse-names" : false, "suffix" : "" }, { "dropping-particle" : "", "family" : "Ebtekar", "given" : "Massumeh", "non-dropping-particle" : "", "parse-names" : false, "suffix" : "" }, { "dropping-particle" : "", "family" : "Pourpak", "given" : "Zahra", "non-dropping-particle" : "", "parse-names" : false, "suffix" : "" }, { "dropping-particle" : "", "family" : "Kheirandish", "given" : "Maryam", "non-dropping-particle" : "", "parse-names" : false, "suffix" : "" } ], "container-title" : "Cytokine", "id" : "ITEM-3", "issue" : "2", "issued" : { "date-parts" : [ [ "2011" ] ] }, "page" : "181-187", "publisher" : "Elsevier Ltd", "title" : "Effects of CXCR1 and CXCR2 inhibition on expansion and differentiation of umbilical cord blood CD133+ cells into megakaryocyte progenitor cells", "type" : "article-journal", "volume" : "55" }, "uris" : [ "http://www.mendeley.com/documents/?uuid=af100044-2659-4ef5-a962-14ce453e9e46" ] } ], "mendeley" : { "formattedCitation" : "&lt;sup&gt;12\u201314&lt;/sup&gt;", "plainTextFormattedCitation" : "12\u201314", "previouslyFormattedCitation" : "&lt;sup&gt;12\u201314&lt;/sup&gt;" }, "properties" : { "noteIndex" : 0 }, "schema" : "https://github.com/citation-style-language/schema/raw/master/csl-citation.json" }</w:instrText>
      </w:r>
      <w:r w:rsidRPr="001E48D5">
        <w:rPr>
          <w:rFonts w:ascii="Book Antiqua" w:eastAsia="Times New Roman" w:hAnsi="Book Antiqua" w:cs="Segoe UI"/>
          <w:noProof/>
          <w:color w:val="000000"/>
          <w:sz w:val="24"/>
          <w:szCs w:val="24"/>
          <w:vertAlign w:val="superscript"/>
        </w:rPr>
        <w:fldChar w:fldCharType="separate"/>
      </w:r>
      <w:r w:rsidRPr="001E48D5">
        <w:rPr>
          <w:rFonts w:ascii="Book Antiqua" w:eastAsia="Times New Roman" w:hAnsi="Book Antiqua" w:cs="Segoe UI"/>
          <w:noProof/>
          <w:color w:val="000000"/>
          <w:sz w:val="24"/>
          <w:szCs w:val="24"/>
          <w:vertAlign w:val="superscript"/>
        </w:rPr>
        <w:t>12–14</w:t>
      </w:r>
      <w:r w:rsidRPr="001E48D5">
        <w:rPr>
          <w:rFonts w:ascii="Book Antiqua" w:eastAsia="Times New Roman" w:hAnsi="Book Antiqua" w:cs="Segoe UI"/>
          <w:noProof/>
          <w:color w:val="000000"/>
          <w:sz w:val="24"/>
          <w:szCs w:val="24"/>
          <w:vertAlign w:val="superscript"/>
        </w:rPr>
        <w:fldChar w:fldCharType="end"/>
      </w:r>
      <w:r w:rsidRPr="001E48D5">
        <w:rPr>
          <w:rFonts w:ascii="Book Antiqua" w:eastAsia="Times New Roman" w:hAnsi="Book Antiqua" w:cs="Segoe UI"/>
          <w:noProof/>
          <w:color w:val="000000"/>
          <w:sz w:val="24"/>
          <w:szCs w:val="24"/>
          <w:vertAlign w:val="superscript"/>
        </w:rPr>
        <w:t>]</w:t>
      </w:r>
      <w:r w:rsidRPr="001E48D5">
        <w:rPr>
          <w:rFonts w:ascii="Book Antiqua" w:eastAsia="Times New Roman" w:hAnsi="Book Antiqua" w:cs="Segoe UI"/>
          <w:color w:val="000000"/>
          <w:sz w:val="24"/>
          <w:szCs w:val="24"/>
        </w:rPr>
        <w:t xml:space="preserve"> cell differentiation, because of their excellent therapeutic efficacy in bone marrow recovery and regenerative medicine. However, the necessity of increase of transplantation safety is recommended. To the best of our knowledge, there are few studies that focused on the risk of virus transmission through the UCB transplant compared to other HSC sources.</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Here, we reviewed the prevalence, characteristics, and risk factors of viral infections i</w:t>
      </w:r>
      <w:r w:rsidR="008273FE" w:rsidRPr="001E48D5">
        <w:rPr>
          <w:rFonts w:ascii="Book Antiqua" w:eastAsia="Times New Roman" w:hAnsi="Book Antiqua" w:cs="Segoe UI"/>
          <w:color w:val="000000"/>
          <w:sz w:val="24"/>
          <w:szCs w:val="24"/>
        </w:rPr>
        <w:t>n UCB transplantation settings.</w:t>
      </w:r>
    </w:p>
    <w:p w:rsidR="004524C8" w:rsidRPr="001E48D5" w:rsidRDefault="004524C8" w:rsidP="007A67C3">
      <w:pPr>
        <w:spacing w:after="0" w:line="360" w:lineRule="auto"/>
        <w:ind w:firstLineChars="200" w:firstLine="480"/>
        <w:jc w:val="both"/>
        <w:rPr>
          <w:rFonts w:ascii="Book Antiqua" w:hAnsi="Book Antiqua" w:cs="Segoe UI"/>
          <w:color w:val="000000"/>
          <w:sz w:val="24"/>
          <w:szCs w:val="24"/>
          <w:lang w:eastAsia="zh-CN"/>
        </w:rPr>
      </w:pPr>
    </w:p>
    <w:p w:rsidR="00FA07B4" w:rsidRPr="001E48D5" w:rsidRDefault="004524C8" w:rsidP="007A67C3">
      <w:pPr>
        <w:spacing w:after="0" w:line="360" w:lineRule="auto"/>
        <w:jc w:val="both"/>
        <w:rPr>
          <w:rFonts w:ascii="Book Antiqua" w:eastAsia="Times New Roman" w:hAnsi="Book Antiqua" w:cs="Segoe UI"/>
          <w:b/>
          <w:bCs/>
          <w:color w:val="000000"/>
          <w:sz w:val="24"/>
          <w:szCs w:val="24"/>
        </w:rPr>
      </w:pPr>
      <w:r w:rsidRPr="001E48D5">
        <w:rPr>
          <w:rFonts w:ascii="Book Antiqua" w:eastAsia="Times New Roman" w:hAnsi="Book Antiqua" w:cs="Segoe UI"/>
          <w:b/>
          <w:bCs/>
          <w:color w:val="000000"/>
          <w:sz w:val="24"/>
          <w:szCs w:val="24"/>
        </w:rPr>
        <w:lastRenderedPageBreak/>
        <w:t>COMMON VIRAL INFECTIONS IN HSCT RECIPIENTS</w:t>
      </w:r>
    </w:p>
    <w:p w:rsidR="00FA07B4" w:rsidRPr="001E48D5" w:rsidRDefault="004524C8"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
          <w:bCs/>
          <w:i/>
          <w:color w:val="000000"/>
          <w:sz w:val="24"/>
          <w:szCs w:val="24"/>
        </w:rPr>
        <w:t>Cytomegalovirus (CMV)</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Human CMV, also known as human herpesvirus</w:t>
      </w:r>
      <w:r w:rsidR="004524C8"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5 (HHV-5), is a ubiquitous beta-herpesvirus that infects 60</w:t>
      </w:r>
      <w:r w:rsidR="004524C8"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95% of healthy adults worldwide</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"10.1007/978-1-4939-2432-5_7", "abstract" : "There is no licensed vaccine or cure for human cytomegalovirus (CMV), a ubiquitous \u03b2-herpes virus that infects 60\u201395 % of adults worldwide. Infection is a major cause of congenital abnormalities in newborns, contributes to development of childhood cerebral palsy and medulloblastoma, can result in severe disease in immunocompromised patients, and is a major impediment during successful organ transplantation. While CMV has been increasingly associated with numerous inflammatory diseases and cancers, only recently has it been correlated with increased risk of heart disease in adults, the number-one killer in the USA. These data, among others, suggest that subclinical CMV infection, or microinfection, in healthy individuals may play more of a causative role than an epiphenomenon in development of CMV-associated pathologies. Due to the myriad of diseases and complications associated with CMV, an efficacious vaccine would be highly valuable in reducing human morbidity and mortality as well as saving billions of dollars in annual health-care costs and disability adjusted life years (DALY) in the developing world. Therefore, the development of a safe efficacious CMV vaccine or immune therapy is paramount to the public health. This review aims to provide a brief overview on aspects of CMV infection and disease and focuses on current vaccine strategies. The use of new synthetic DNA vaccines might offer one such approach to this difficult problem.", "author" : [ { "dropping-particle" : "", "family" : "Wu", "given" : "Stephan J", "non-dropping-particle" : "", "parse-names" : false, "suffix" : "" }, { "dropping-particle" : "", "family" : "Villarreal", "given" : "Daniel O", "non-dropping-particle" : "", "parse-names" : false, "suffix" : "" }, { "dropping-particle" : "", "family" : "Shedlock", "given" : "Devon J", "non-dropping-particle" : "", "parse-names" : false, "suffix" : "" }, { "dropping-particle" : "", "family" : "Weiner", "given" : "David B", "non-dropping-particle" : "", "parse-names" : false, "suffix" : "" } ], "id" : "ITEM-1", "issued" : { "date-parts" : [ [ "0" ] ] }, "title" : "Synthetic DNA Approach to Cytomegalovirus Vaccine/Immune Therapy", "type" : "article-journal" }, "uris" : [ "http://www.mendeley.com/documents/?uuid=771b2c10-9b17-3d4a-aa55-dbe7f554766f" ] } ], "mendeley" : { "formattedCitation" : "&lt;sup&gt;15&lt;/sup&gt;", "plainTextFormattedCitation" : "15", "previouslyFormattedCitation" : "&lt;sup&gt;15&lt;/sup&gt;"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15</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This virus is the most common cause of congenital infection worldwide, impacting about one million newborns annually</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"10.1016/j.placenta.2017.04.011", "ISSN" : "15323102", "abstract" : "Human cytomegalovirus (HCMV) is the most common congenitally transmitted pathogen worldwide, impacting an estimated 1 million newborns annually. In a subset of infected infants, congenital HCMV causes severe, long-lasting sequelae, including deafness, microcephaly, neurodevelopmental delay, and even death. Accordingly, a maternal vaccine to prevent congenital HCMV infection continues to be a top public health priority. Nevertheless, all vaccines tested to date have failed to meet clinical trial endpoints. Maternal immunity provides partial protection against congenital HCMV transmission, as vertical transmission from seropositive mothers is relatively rare. Therefore, an understanding of the maternal immune correlates of protection against HCMV congenital infection will be critical to inform design of an efficacious maternal vaccine. This review summarizes our understanding of the innate and adaptive immune correlates of protection against congenital transmission of HCMV, and discusses the advantages and applications of a novel nonhuman primate model of congenital CMV transmission to aid in rational vaccine design and evaluation.", "author" : [ { "dropping-particle" : "", "family" : "Itell", "given" : "Hannah L.", "non-dropping-particle" : "", "parse-names" : false, "suffix" : "" }, { "dropping-particle" : "", "family" : "Nelson", "given" : "Cody S.", "non-dropping-particle" : "", "parse-names" : false, "suffix" : "" }, { "dropping-particle" : "", "family" : "Martinez", "given" : "David R.", "non-dropping-particle" : "", "parse-names" : false, "suffix" : "" }, { "dropping-particle" : "", "family" : "Permar", "given" : "Sallie R.", "non-dropping-particle" : "", "parse-names" : false, "suffix" : "" } ], "container-title" : "Placenta", "id" : "ITEM-1", "issued" : { "date-parts" : [ [ "2017" ] ] }, "publisher" : "Elsevier Ltd", "title" : "Maternal immune correlates of protection against placental transmission of cytomegalovirus", "type" : "article-journal" }, "uris" : [ "http://www.mendeley.com/documents/?uuid=6e6382d7-2ca8-4c2d-9441-d31843c657ba" ] } ], "mendeley" : { "formattedCitation" : "&lt;sup&gt;16&lt;/sup&gt;", "plainTextFormattedCitation" : "16", "previouslyFormattedCitation" : "&lt;sup&gt;16&lt;/sup&gt;"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16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CMV infection is a leading opportunistic infectious agent in allogeneic HSCT. It has been noted that 30% and 5% of the recipients of allogeneic and autologous HSCT develop CMV disease, respectively. Moreover, the risk of CMV transmission from a seropositive donor to a seronegative recipient is about 30%</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"10.1016/j.hoc.2010.11.011.Cytomegalovirus", "ISBN" : "0889-8588", "ISSN" : "1558-1977", "PMID" : "21236396", "abstract" : "This article examines the clinical manifestations of and risk factors for cytomegalovirus (CMV). Prevention of CMV infection and disease are also explored. Antiviral resistance and management of CMV are examined. 2011 Elsevier Inc", "author" : [ { "dropping-particle" : "", "family" : "Ljungman", "given" : "P", "non-dropping-particle" : "", "parse-names" : false, "suffix" : "" }, { "dropping-particle" : "", "family" : "Hakki", "given" : "M", "non-dropping-particle" : "", "parse-names" : false, "suffix" : "" }, { "dropping-particle" : "", "family" : "Boeckh", "given" : "M", "non-dropping-particle" : "", "parse-names" : false, "suffix" : "" } ], "container-title" : "Hematology/Oncology Clinics of North America", "id" : "ITEM-1", "issue" : "1", "issued" : { "date-parts" : [ [ "2011" ] ] }, "page" : "151-169", "title" : "Cytomegalovirus in hematopoietic stem cell transplant recipients", "type" : "article-journal", "volume" : "25" }, "uris" : [ "http://www.mendeley.com/documents/?uuid=bf627dd9-8eae-4d71-afbb-ecdb7c8f0a47" ] }, { "id" : "ITEM-2", "itemData" : { "DOI" : "10.6061/clinics/2015(07)09", "ISSN" : "18075932", "PMID" : "26222822", "abstract" : "Cytomegalovirus infection is a frequent complication after transplantation. This infection occurs due to transmission from the transplanted organ, due to reactivation of latent infection, or after a primary infection in seronegative patients and can be defined as follows: latent infection, active infection, viral syndrome or invasive disease. This condition occurs mainly between 30 and 90 days after transplantation. In hematopoietic stem cell transplantation in particular, infection usually occurs within the first 30 days after transplantation and in the presence of graft-versus-host disease. The major risk factors are when the recipient is cytomegalovirus seronegative and the donor is seropositive as well as when lymphocyte-depleting antibodies are used. There are two methods for the diagnosis of cytomegalovirus infection: the pp65 antigenemia assay and polymerase chain reaction. Serology has no value for the diagnosis of active disease, whereas histology of the affected tissue and bronchoalveolar lavage analysis are useful in the diagnosis of invasive disease. Cytomegalovirus disease can be prevented by prophylaxis (the administration of antiviral drugs to all or to a subgroup of patients who are at higher risk of viral replication) or by preemptive therapy (the early diagnosis of viral replication before development of the disease and prescription of antiviral treatment to prevent the appearance of clinical disease). The drug used is intravenous or oral ganciclovir; oral valganciclovir; or, less frequently, valacyclovir. Prophylaxis should continue for 90 to 180 days. Treatment is always indicated in cytomegalovirus disease, and the gold-standard drug is intravenous ganciclovir. Treatment should be given for 2 to 3 weeks and should be continued for an additional 7 days after the first negative result for viremia.", "author" : [ { "dropping-particle" : "", "family" : "Azevedo", "given" : "LS", "non-dropping-particle" : "", "parse-names" : false, "suffix" : "" }, { "dropping-particle" : "", "family" : "Pierrotti", "given" : "LC", "non-dropping-particle" : "", "parse-names" : false, "suffix" : "" }, { "dropping-particle" : "", "family" : "Abdala", "given" : "E", "non-dropping-particle" : "", "parse-names" : false, "suffix" : "" }, { "dropping-particle" : "", "family" : "Costa", "given" : "SF", "non-dropping-particle" : "", "parse-names" : false, "suffix" : "" }, { "dropping-particle" : "", "family" : "Strabelli", "given" : "TM", "non-dropping-particle" : "", "parse-names" : false, "suffix" : "" }, { "dropping-particle" : "", "family" : "Campos", "given" : "SV", "non-dropping-particle" : "", "parse-names" : false, "suffix" : "" }, { "dropping-particle" : "", "family" : "Ramos", "given" : "JF", "non-dropping-particle" : "", "parse-names" : false, "suffix" : "" }, { "dropping-particle" : "", "family" : "Latif", "given" : "AZ", "non-dropping-particle" : "", "parse-names" : false, "suffix" : "" }, { "dropping-particle" : "", "family" : "Litvinov", "given" : "N", "non-dropping-particle" : "", "parse-names" : false, "suffix" : "" }, { "dropping-particle" : "", "family" : "Maluf", "given" : "NZ", "non-dropping-particle" : "", "parse-names" : false, "suffix" : "" }, { "dropping-particle" : "", "family" : "Caiaffa Filho", "given" : "HH", "non-dropping-particle" : "", "parse-names" : false, "suffix" : "" }, { "dropping-particle" : "", "family" : "Pannuti", "given" : "CS", "non-dropping-particle" : "", "parse-names" : false, "suffix" : "" }, { "dropping-particle" : "", "family" : "Lopes", "given" : "MH", "non-dropping-particle" : "", "parse-names" : false, "suffix" : "" }, { "dropping-particle" : "", "family" : "Santos", "given" : "VA", "non-dropping-particle" : "", "parse-names" : false, "suffix" : "" }, { "dropping-particle" : "", "family" : "Linardi", "given" : "CC", "non-dropping-particle" : "", "parse-names" : false, "suffix" : "" }, { "dropping-particle" : "", "family" : "Yasuda", "given" : "MA", "non-dropping-particle" : "", "parse-names" : false, "suffix" : "" }, { "dropping-particle" : "", "family" : "Marques", "given" : "HH", "non-dropping-particle" : "", "parse-names" : false, "suffix" : "" } ], "container-title" : "Clinics", "id" : "ITEM-2", "issue" : "7", "issued" : { "date-parts" : [ [ "2015", "7", "12" ] ] }, "page" : "515-523", "title" : "Cytomegalovirus infection in transplant recipients", "type" : "article-journal", "volume" : "70" }, "uris" : [ "http://www.mendeley.com/documents/?uuid=7c47030e-e8ca-3ac8-b77f-a783da79c03d" ] } ], "mendeley" : { "formattedCitation" : "&lt;sup&gt;17,18&lt;/sup&gt;", "plainTextFormattedCitation" : "17,18", "previouslyFormattedCitation" : "&lt;sup&gt;17,18&lt;/sup&gt;"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17,18</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The initial infection is generally asymptomatic or associated with mild flu-like symptoms. In rare cases, it may cause a serious end-organ disease or systemic syndrome, either early or late period after transplantation with a poor prognosis. In some cases of congenital infections, CMV causes severe and permanent consequences such as sensorineural hearing loss, growth retardation, intellectual disability, and even death nevertheless, there are no effective interventions to interrupt the intrauterine transmission</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"10.2217/fvl.09.64", "ISSN" : "1746-0794", "PMID" : "273601900015", "abstract" : "Cytomegalovirus (CMV) causes significant morbidity and mortality in allogeneic stem cell transplant recipients, The incidence of early CMV disease has been dramatically reduced by use of preemptive therapeutic strategies. Nevertheless, a trend toward a later appearance of CMV disease is being increasingly recognized. Currently, quantitative real-time PCR assays are the first-line choice for monitoring active CMV infection. However, no threshold DNAemia levels for triggering the initiation of preemptive therapy have been clinically validated in large studies. Although more time limited than universal prophylaxis, preemptive therapy strategies may also result in over treatment. Combined virological and immunological monitoring may lead to a more targeted use of antiviral therapy. The emergence of CMV strains resistant to antivirals is unfrequent, and must be suspected when rising viral DNAemia levels are observed after several weeks of treatment in the context of a severe immunosuppressive state. Genotypic assays are the first-line choice for detecting CMV resistance.", "author" : [ { "dropping-particle" : "", "family" : "Solano", "given" : "Carlos", "non-dropping-particle" : "", "parse-names" : false, "suffix" : "" }, { "dropping-particle" : "", "family" : "Navarro", "given" : "David", "non-dropping-particle" : "", "parse-names" : false, "suffix" : "" } ], "container-title" : "Future Virology", "id" : "ITEM-1", "issue" : "1", "issued" : { "date-parts" : [ [ "2010" ] ] }, "page" : "111-124", "title" : "Clinical virology of cytomegalovirus infection following hematopoietic transplantation", "type" : "article-journal", "volume" : "5" }, "uris" : [ "http://www.mendeley.com/documents/?uuid=0f283213-8e6f-4d8f-94fc-4c22bf74a88e" ] }, { "id" : "ITEM-2", "itemData" : { "DOI" : "10.1016/j.placenta.2017.04.011", "ISSN" : "15323102", "abstract" : "Human cytomegalovirus (HCMV) is the most common congenitally transmitted pathogen worldwide, impacting an estimated 1 million newborns annually. In a subset of infected infants, congenital HCMV causes severe, long-lasting sequelae, including deafness, microcephaly, neurodevelopmental delay, and even death. Accordingly, a maternal vaccine to prevent congenital HCMV infection continues to be a top public health priority. Nevertheless, all vaccines tested to date have failed to meet clinical trial endpoints. Maternal immunity provides partial protection against congenital HCMV transmission, as vertical transmission from seropositive mothers is relatively rare. Therefore, an understanding of the maternal immune correlates of protection against HCMV congenital infection will be critical to inform design of an efficacious maternal vaccine. This review summarizes our understanding of the innate and adaptive immune correlates of protection against congenital transmission of HCMV, and discusses the advantages and applications of a novel nonhuman primate model of congenital CMV transmission to aid in rational vaccine design and evaluation.", "author" : [ { "dropping-particle" : "", "family" : "Itell", "given" : "Hannah L.", "non-dropping-particle" : "", "parse-names" : false, "suffix" : "" }, { "dropping-particle" : "", "family" : "Nelson", "given" : "Cody S.", "non-dropping-particle" : "", "parse-names" : false, "suffix" : "" }, { "dropping-particle" : "", "family" : "Martinez", "given" : "David R.", "non-dropping-particle" : "", "parse-names" : false, "suffix" : "" }, { "dropping-particle" : "", "family" : "Permar", "given" : "Sallie R.", "non-dropping-particle" : "", "parse-names" : false, "suffix" : "" } ], "container-title" : "Placenta", "id" : "ITEM-2", "issued" : { "date-parts" : [ [ "2017" ] ] }, "publisher" : "Elsevier Ltd", "title" : "Maternal immune correlates of protection against placental transmission of cytomegalovirus", "type" : "article-journal" }, "uris" : [ "http://www.mendeley.com/documents/?uuid=6e6382d7-2ca8-4c2d-9441-d31843c657ba" ] } ], "mendeley" : { "formattedCitation" : "&lt;sup&gt;16,19&lt;/sup&gt;", "plainTextFormattedCitation" : "16,19", "previouslyFormattedCitation" : "&lt;sup&gt;16,19&lt;/sup&gt;"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16,19</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CMV infection can indirectly increase the risk of transplant-related mortality (TRM) by mediating the immunosuppressive effects. In this context, CMV has been related to the development of GVHD and bacterial or fungal superinfection, particularly in CMV-seronegative patients who received seropositive allografts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"10.2217/fvl.09.64", "ISSN" : "1746-0794", "PMID" : "273601900015", "abstract" : "Cytomegalovirus (CMV) causes significant morbidity and mortality in allogeneic stem cell transplant recipients, The incidence of early CMV disease has been dramatically reduced by use of preemptive therapeutic strategies. Nevertheless, a trend toward a later appearance of CMV disease is being increasingly recognized. Currently, quantitative real-time PCR assays are the first-line choice for monitoring active CMV infection. However, no threshold DNAemia levels for triggering the initiation of preemptive therapy have been clinically validated in large studies. Although more time limited than universal prophylaxis, preemptive therapy strategies may also result in over treatment. Combined virological and immunological monitoring may lead to a more targeted use of antiviral therapy. The emergence of CMV strains resistant to antivirals is unfrequent, and must be suspected when rising viral DNAemia levels are observed after several weeks of treatment in the context of a severe immunosuppressive state. Genotypic assays are the first-line choice for detecting CMV resistance.", "author" : [ { "dropping-particle" : "", "family" : "Solano", "given" : "Carlos", "non-dropping-particle" : "", "parse-names" : false, "suffix" : "" }, { "dropping-particle" : "", "family" : "Navarro", "given" : "David", "non-dropping-particle" : "", "parse-names" : false, "suffix" : "" } ], "container-title" : "Future Virology", "id" : "ITEM-1", "issue" : "1", "issued" : { "date-parts" : [ [ "2010" ] ] }, "page" : "111-124", "title" : "Clinical virology of cytomegalovirus infection following hematopoietic transplantation", "type" : "article-journal", "volume" : "5" }, "uris" : [ "http://www.mendeley.com/documents/?uuid=0f283213-8e6f-4d8f-94fc-4c22bf74a88e" ] }, { "id" : "ITEM-2", "itemData" : { "DOI" : "10.3978/j.issn.1000-9604.2013.11.08", "ISSN" : "1000-9604", "PMID" : "24385697", "abstract" : "OBJECTIVE This retrospective study examined risk factors for cytomegalovirus (CMV) infection after umbilical cord blood transplantation (UCBT) and the impact of CMV infection on patient survival. METHODS In all 176 patients, plasma CMV DNA was negative prior to the transplantation, and examined twice a week for 100 d, and then once weekly for additional 300 d. Preemptive antiviral therapy (ganciclovir or foscarnet) was started in patients with &gt;1,000/mL copies of CMV DNA but no full-blown CMV disease, and was discontinued upon two consecutive negative reports of blood CMV DNA test. The survival and risk factors for CMV infection or disease were examined using logistic regression. RESULTS CMV infection developed in 71% (125/176) of the patients, with a median onset of 32 d. Four patients (2.3%) developed CMV disease. Neither the 5-year overall survival (OS) nor event-free survival (EFS) differed significantly in infected patients vs. those with no infection (59.4% vs. 64.8%, P=0.194; 53.4% vs. 59.1%, P=0.226). A stepwise multivariate analysis indicated an association of CMV infection with age, high-dose glucocorticoids, the number of transplanted CD34(+) cells, and the number of platelet transfusion, but not with gender, the conditioning regimen, and the day of neutrophil recovery and chronic graft-versus-host disease (cGVHD). CONCLUSIONS CMV infection is very common after UCBT, but does not seem to affect long-term survival with preemptive antiviral treatment.", "author" : [ { "dropping-particle" : "", "family" : "Tong", "given" : "Juan", "non-dropping-particle" : "", "parse-names" : false, "suffix" : "" }, { "dropping-particle" : "", "family" : "Sun", "given" : "Zimin", "non-dropping-particle" : "", "parse-names" : false, "suffix" : "" }, { "dropping-particle" : "", "family" : "Liu", "given" : "Huilan", "non-dropping-particle" : "", "parse-names" : false, "suffix" : "" }, { "dropping-particle" : "", "family" : "Geng", "given" : "Liangquan", "non-dropping-particle" : "", "parse-names" : false, "suffix" : "" }, { "dropping-particle" : "", "family" : "Zheng", "given" : "Changcheng", "non-dropping-particle" : "", "parse-names" : false, "suffix" : "" }, { "dropping-particle" : "", "family" : "Tang", "given" : "Baolin", "non-dropping-particle" : "", "parse-names" : false, "suffix" : "" }, { "dropping-particle" : "", "family" : "Song", "given" : "Kaidi", "non-dropping-particle" : "", "parse-names" : false, "suffix" : "" }, { "dropping-particle" : "", "family" : "Yao", "given" : "Wen", "non-dropping-particle" : "", "parse-names" : false, "suffix" : "" }, { "dropping-particle" : "", "family" : "Liu", "given" : "Xin", "non-dropping-particle" : "", "parse-names" : false, "suffix" : "" } ], "container-title" : "Chinese journal of cancer research = Chung-kuo yen cheng yen chiu", "id" : "ITEM-2", "issue" : "6", "issued" : { "date-parts" : [ [ "2013" ] ] }, "page" : "695-703", "title" : "Risk factors of CMV infection in patients after umbilical cord blood transplantation: a multicenter study in China.", "type" : "article-journal", "volume" : "25" }, "uris" : [ "http://www.mendeley.com/documents/?uuid=5a5baf29-6a81-44c8-aec6-fe827efcc93f" ] } ], "mendeley" : { "formattedCitation" : "&lt;sup&gt;19,20&lt;/sup&gt;", "plainTextFormattedCitation" : "19,20", "previouslyFormattedCitation" : "&lt;sup&gt;19,20&lt;/sup&gt;"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19,20</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Despite the advances in current preventive antiviral strategies and sensitive diagnostic techniques such as PCR-based assays, CMV remains the important cause of serious viral infections in the recipients of UCBT, as well as in allogen</w:t>
      </w:r>
      <w:r w:rsidR="00F35FFE" w:rsidRPr="001E48D5">
        <w:rPr>
          <w:rFonts w:ascii="Book Antiqua" w:eastAsia="Times New Roman" w:hAnsi="Book Antiqua" w:cs="Segoe UI"/>
          <w:color w:val="000000"/>
          <w:sz w:val="24"/>
          <w:szCs w:val="24"/>
        </w:rPr>
        <w:t>eic marrow or peripheral blood SCT</w:t>
      </w:r>
      <w:r w:rsidRPr="001E48D5">
        <w:rPr>
          <w:rFonts w:ascii="Book Antiqua" w:eastAsia="Times New Roman" w:hAnsi="Book Antiqua" w:cs="Segoe UI"/>
          <w:color w:val="000000"/>
          <w:sz w:val="24"/>
          <w:szCs w:val="24"/>
        </w:rPr>
        <w:t>. In this way, CMV reactivation rate following UCBT is noted to be 21</w:t>
      </w:r>
      <w:r w:rsidR="00F35FFE"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100% and is similar when compared to peripheral blood or bone marrow SCT</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"10.1016/j.bbmt.2009.09.019", "abstract" : "This study investigated the impact of pre-transplant CMV serostatus and post-transplant CMV reactivation and disease on umbilical cord blood transplant (UCBT) outcomes. Between 1994 and 2007, 332 patients with hematologic malignancies underwent UCBT and 54% were CMV seropositive. Pre-transplant recipient CMV serostatus had no impact on acute or chronic GVHD, relapse, DFS or OS. There was a trend toward greater day 100 TRM in CMV seropositive recipients (p=0.07). CMV reactivation occurred in 51% (92/180) of patients with no difference in myeloablative vs. RIC recipients (p=0.33). Similarly, reactivation was not influenced by the number of UCB units transplanted, the degree of HLA disparity, the CD34 + or CD3 + cell dose or donor KIR gene haplotype. Rapid lymphocyte recovery was associated with CMV reactivation (p=0.02). CMV reactivation was not associated with acute (p=0.97) or chronic GVHD (p=0.65), nor did it impact TRM (p=0.88), relapse (p=0.62) or survival (p=0.78). CMV disease occurred in 13.8% of the CMV seropositive patients resulting in higher TRM (p=0.01) and lower OS (p=0.02). Thus, while recipient CMV serostatus and CMV reactivation have little demonstrable impact on UCB transplant outcomes, the development of CMV disease remains a risk, associated with inferior outcomes.", "author" : [ { "dropping-particle" : "", "family" : "Beck", "given" : "Jill C", "non-dropping-particle" : "", "parse-names" : false, "suffix" : "" }, { "dropping-particle" : "", "family" : "Wagner", "given" : "John E", "non-dropping-particle" : "", "parse-names" : false, "suffix" : "" }, { "dropping-particle" : "", "family" : "Defor", "given" : "Todd E", "non-dropping-particle" : "", "parse-names" : false, "suffix" : "" }, { "dropping-particle" : "", "family" : "Brunstein", "given" : "Claudio G", "non-dropping-particle" : "", "parse-names" : false, "suffix" : "" }, { "dropping-particle" : "", "family" : "Schleiss", "given" : "Mark R", "non-dropping-particle" : "", "parse-names" : false, "suffix" : "" }, { "dropping-particle" : "", "family" : "Young", "given" : "Jo-Anne", "non-dropping-particle" : "", "parse-names" : false, "suffix" : "" }, { "dropping-particle" : "", "family" : "Weisdorf", "given" : "Daniel H", "non-dropping-particle" : "", "parse-names" : false, "suffix" : "" }, { "dropping-particle" : "", "family" : "Cooley", "given" : "Sarah", "non-dropping-particle" : "", "parse-names" : false, "suffix" : "" }, { "dropping-particle" : "", "family" : "Miller", "given" : "Jeffrey S", "non-dropping-particle" : "", "parse-names" : false, "suffix" : "" }, { "dropping-particle" : "", "family" : "Verneris", "given" : "Michael R", "non-dropping-particle" : "", "parse-names" : false, "suffix" : "" } ], "container-title" : "Biol Blood Marrow Transplant", "id" : "ITEM-1", "issue" : "2", "issued" : { "date-parts" : [ [ "2010" ] ] }, "page" : "215", "title" : "Impact of Cytomegalovirus (CMV) Reactivation After Umbilical Cord Blood Transplantation", "type" : "article-journal", "volume" : "16" }, "uris" : [ "http://www.mendeley.com/documents/?uuid=20b02947-d623-3bca-b8c0-9f2be6c9aab0" ] } ], "mendeley" : { "formattedCitation" : "&lt;sup&gt;21&lt;/sup&gt;", "plainTextFormattedCitation" : "21", "previouslyFormattedCitation" : "&lt;sup&gt;21&lt;/sup&gt;"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21</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It has been reported that up to 30</w:t>
      </w:r>
      <w:r w:rsidR="00F35FFE" w:rsidRPr="001E48D5">
        <w:rPr>
          <w:rFonts w:ascii="Book Antiqua" w:hAnsi="Book Antiqua" w:cs="Segoe UI"/>
          <w:color w:val="000000"/>
          <w:sz w:val="24"/>
          <w:szCs w:val="24"/>
          <w:lang w:eastAsia="zh-CN"/>
        </w:rPr>
        <w:t>%-</w:t>
      </w:r>
      <w:r w:rsidRPr="001E48D5">
        <w:rPr>
          <w:rFonts w:ascii="Book Antiqua" w:eastAsia="Times New Roman" w:hAnsi="Book Antiqua" w:cs="Segoe UI"/>
          <w:color w:val="000000"/>
          <w:sz w:val="24"/>
          <w:szCs w:val="24"/>
        </w:rPr>
        <w:t>40% of seronegative pregnant women who infected by CMV transmit the virus to their fetus, suggesting a high incidence of cord blood contamination by CMV</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"10.1016/j.placenta.2017.04.011", "ISSN" : "15323102", "abstract" : "Human cytomegalovirus (HCMV) is the most common congenitally transmitted pathogen worldwide, impacting an estimated 1 million newborns annually. In a subset of infected infants, congenital HCMV causes severe, long-lasting sequelae, including deafness, microcephaly, neurodevelopmental delay, and even death. Accordingly, a maternal vaccine to prevent congenital HCMV infection continues to be a top public health priority. Nevertheless, all vaccines tested to date have failed to meet clinical trial endpoints. Maternal immunity provides partial protection against congenital HCMV transmission, as vertical transmission from seropositive mothers is relatively rare. Therefore, an understanding of the maternal immune correlates of protection against HCMV congenital infection will be critical to inform design of an efficacious maternal vaccine. This review summarizes our understanding of the innate and adaptive immune correlates of protection against congenital transmission of HCMV, and discusses the advantages and applications of a novel nonhuman primate model of congenital CMV transmission to aid in rational vaccine design and evaluation.", "author" : [ { "dropping-particle" : "", "family" : "Itell", "given" : "Hannah L.", "non-dropping-particle" : "", "parse-names" : false, "suffix" : "" }, { "dropping-particle" : "", "family" : "Nelson", "given" : "Cody S.", "non-dropping-particle" : "", "parse-names" : false, "suffix" : "" }, { "dropping-particle" : "", "family" : "Martinez", "given" : "David R.", "non-dropping-particle" : "", "parse-names" : false, "suffix" : "" }, { "dropping-particle" : "", "family" : "Permar", "given" : "Sallie R.", "non-dropping-particle" : "", "parse-names" : false, "suffix" : "" } ], "container-title" : "Placenta", "id" : "ITEM-1", "issued" : { "date-parts" : [ [ "2017" ] ] }, "publisher" : "Elsevier Ltd", "title" : "Maternal immune correlates of protection against placental transmission of cytomegalovirus", "type" : "article-journal" }, "uris" : [ "http://www.mendeley.com/documents/?uuid=6e6382d7-2ca8-4c2d-9441-d31843c657ba" ] } ], "mendeley" : { "formattedCitation" : "&lt;sup&gt;16&lt;/sup&gt;", "plainTextFormattedCitation" : "16", "previouslyFormattedCitation" : "&lt;sup&gt;16&lt;/sup&gt;"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16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It has been shown that CMV can establish a lifelong </w:t>
      </w:r>
      <w:r w:rsidRPr="001E48D5">
        <w:rPr>
          <w:rFonts w:ascii="Book Antiqua" w:eastAsia="Times New Roman" w:hAnsi="Book Antiqua" w:cs="Segoe UI"/>
          <w:color w:val="000000"/>
          <w:sz w:val="24"/>
          <w:szCs w:val="24"/>
        </w:rPr>
        <w:lastRenderedPageBreak/>
        <w:t>latency in hematopoietic progenitors and monocytes. Therefore, the virus might be transmitted by these infected cells to the immunocompromised recipi</w:t>
      </w:r>
      <w:r w:rsidR="00F35FFE" w:rsidRPr="001E48D5">
        <w:rPr>
          <w:rFonts w:ascii="Book Antiqua" w:eastAsia="Times New Roman" w:hAnsi="Book Antiqua" w:cs="Segoe UI"/>
          <w:color w:val="000000"/>
          <w:sz w:val="24"/>
          <w:szCs w:val="24"/>
        </w:rPr>
        <w:t>ent and then become reactivated</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"10.1128/JVI.01278-12", "ISBN" : "1098-5514 (Electronic)\\r0022-538X (Linking)", "ISSN" : "0022-538X", "PMID" : "22761372", "abstract" : "Human cytomegalovirus (HCMV) is a herpesvirus that establishes a lifelong, latent infection within a host. At times when the immune system is compromised, the virus undergoes a lytic reactivation producing infectious progeny. The identification and understanding of the biological mechanisms underlying HCMV latency and reactivation are not completely defined. To this end, we have developed a tractable in vitro model system to investigate these phases of viral infection using a clonal population of myeloid progenitor cells (Kasumi-3 cells). Infection of these cells results in maintenance of the viral genome with restricted viral RNA expression that is reversed with the addition of the phorbol ester 12-O-tetradecanoylphorbol-13-acetate (TPA, also known as PMA). Additionally, a latent viral transcript (LUNA) is expressed at times where viral lytic transcription is suppressed. Infected Kasumi-3 cells initiate production of infectious virus following TPA treatment, which requires cell-to-cell contact for efficient transfer of virus to other cell types. Importantly, lytically infected fibroblast, endothelial, or epithelial cells can transfer virus to Kasumi-3 cells, which fail to initiate lytic replication until stimulated with TPA. Finally, inflammatory cytokines, in addition to the pharmacological agent TPA, are sufficient for transcription of immediate-early (IE) genes following latent infection. Taken together, our findings argue that the Kasumi-3 cell line is a tractable in vitro model system with which to study HCMV latency and reactivation.", "author" : [ { "dropping-particle" : "", "family" : "O'Connor", "given" : "C. M.", "non-dropping-particle" : "", "parse-names" : false, "suffix" : "" }, { "dropping-particle" : "", "family" : "Murphy", "given" : "E. A.", "non-dropping-particle" : "", "parse-names" : false, "suffix" : "" } ], "container-title" : "Journal of Virology", "id" : "ITEM-1", "issue" : "18", "issued" : { "date-parts" : [ [ "2012" ] ] }, "page" : "9854-9865", "title" : "A Myeloid Progenitor Cell Line Capable of Supporting Human Cytomegalovirus Latency and Reactivation, Resulting in Infectious Progeny", "type" : "article-journal", "volume" : "86" }, "uris" : [ "http://www.mendeley.com/documents/?uuid=b953882c-a575-475e-a178-c9e617c9309a" ] }, { "id" : "ITEM-2", "itemData" : { "DOI" : "10.1016/j.jcv.2007.11.014", "ISBN" : "1386-6532 (Print)\\n1386-6532 (Linking)", "ISSN" : "13866532", "PMID" : "18164651", "abstract" : "Human cytomegalovirus (HCMV) persists as a sub-clinical, lifelong infection in the human host which is maintained at least in part by its carriage in the absence of detectable infectious virus: a hallmark of latent infection. In contrast, reactivation from latency in immuno-compromised individuals can result in serious disease. Understanding virus latency and reactivation, therefore, is essential for a full understanding of the biology and pathogenesis of this persistent human herpesvirus. However, the precise cellular sites in which HCMV is carried and the mechanisms regulating its latency and reactivation, during natural infection, remain poorly understood. Recent work, however, has led to a consensus opinion that cells of the myeloid lineage are one site of carriage of HCMV in vivo and that in myeloid dendritic cell (DC) progenitors the viral genome is carried latently in the absence of virus lytic gene expression. In contrast, differentiation of these cells to a mature DC phenotype is linked with reactivation of infectious virus resulting from differentiation-dependent chromatin remodelling of the viral major immediate-early promoter. Thus there is a crucial link between the differentiation of myeloid cells and transcriptional reactivation of latent virus which is likely to play a key role in viral pathogenesis. \u00a9 2007 Elsevier B.V. All rights reserved.", "author" : [ { "dropping-particle" : "", "family" : "Sinclair", "given" : "John", "non-dropping-particle" : "", "parse-names" : false, "suffix" : "" } ], "container-title" : "Journal of Clinical Virology", "id" : "ITEM-2", "issue" : "3", "issued" : { "date-parts" : [ [ "2008" ] ] }, "page" : "180-185", "title" : "Human cytomegalovirus: Latency and reactivation in the myeloid lineage", "type" : "article-journal", "volume" : "41" }, "uris" : [ "http://www.mendeley.com/documents/?uuid=966ed927-fa85-4c82-87b2-e0474f1ac795" ] } ], "mendeley" : { "formattedCitation" : "&lt;sup&gt;22,23&lt;/sup&gt;", "plainTextFormattedCitation" : "22,23", "previouslyFormattedCitation" : "&lt;sup&gt;22,23&lt;/sup&gt;"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22,23</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00624057" w:rsidRPr="001E48D5">
        <w:rPr>
          <w:rFonts w:ascii="Book Antiqua" w:eastAsia="Times New Roman" w:hAnsi="Book Antiqua" w:cs="Segoe UI"/>
          <w:color w:val="000000"/>
          <w:sz w:val="24"/>
          <w:szCs w:val="24"/>
          <w:vertAlign w:val="superscript"/>
        </w:rPr>
        <w:t xml:space="preserve"> </w:t>
      </w:r>
      <w:r w:rsidR="00624057" w:rsidRPr="001E48D5">
        <w:rPr>
          <w:rFonts w:ascii="Book Antiqua" w:eastAsia="Times New Roman" w:hAnsi="Book Antiqua" w:cs="Segoe UI"/>
          <w:color w:val="000000"/>
          <w:sz w:val="24"/>
          <w:szCs w:val="24"/>
        </w:rPr>
        <w:t>(Table 1)</w:t>
      </w:r>
      <w:r w:rsidRPr="001E48D5">
        <w:rPr>
          <w:rFonts w:ascii="Book Antiqua" w:eastAsia="Times New Roman" w:hAnsi="Book Antiqua" w:cs="Segoe UI"/>
          <w:color w:val="000000"/>
          <w:sz w:val="24"/>
          <w:szCs w:val="24"/>
        </w:rPr>
        <w:t xml:space="preserve">. </w:t>
      </w:r>
      <w:proofErr w:type="spellStart"/>
      <w:r w:rsidRPr="001E48D5">
        <w:rPr>
          <w:rFonts w:ascii="Book Antiqua" w:eastAsia="Times New Roman" w:hAnsi="Book Antiqua" w:cs="Segoe UI"/>
          <w:color w:val="000000"/>
          <w:sz w:val="24"/>
          <w:szCs w:val="24"/>
        </w:rPr>
        <w:t>Pergam</w:t>
      </w:r>
      <w:proofErr w:type="spellEnd"/>
      <w:r w:rsidRPr="001E48D5">
        <w:rPr>
          <w:rFonts w:ascii="Book Antiqua" w:eastAsia="Times New Roman" w:hAnsi="Book Antiqua" w:cs="Segoe UI"/>
          <w:color w:val="000000"/>
          <w:sz w:val="24"/>
          <w:szCs w:val="24"/>
        </w:rPr>
        <w:t xml:space="preserve"> </w:t>
      </w:r>
      <w:r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"10.1016/j.bbmt.2012.02.008", "ISSN" : "1523-6536", "PMID" : "22387334", "abstract" : "Cytomegalovirus (CMV) transmission via stem cells or marrow in CMV donor seropositive/recipient seronegative (D+/R-) hematopoietic cell transplantation (HCT) is surprisingly inefficient, and factors associated with transmission in these high-risk HCT recipients are unknown. In a retrospective cohort of D+/R- HCT recipients, cumulative incidence curve estimates were used to determine posttransplantation rates of CMV and multivariable Cox proportional models to assess risk factors associated with transmission. A total of 447 patients from 1995 to 2007 were eligible for enrollment. Overall, 85 of 447 (19.0%) acquired CMV at a median of 49 days (IQR 41-60) posttransplantation. CMV disease before day 100 occurred in 6 of 447 (1.3%) patients and in 7 of 447 (1.6%) after day 100. The donor graft, specifically the total nucleated cell count (adjusted hazard ratio [HR] 2.7; 95% confidence interval [CI], 1.4-4.7, P = .0002), was the only factor associated with CMV transmission in multivariable analyses. Notably, the source stem cells (marrow versus peripheral blood stem cell [PBSC]), screening method, and graft-versus-host disease (GVHD) were not associated with transmission. Thus, a highly cellular graft was the only identifiable risk factor associated with CMV transmission, suggesting that viral genomic content of the donor graft determines transmission efficiency in D+/R- HCT recipients.", "author" : [ { "dropping-particle" : "", "family" : "Pergam", "given" : "Steven A", "non-dropping-particle" : "", "parse-names" : false, "suffix" : "" }, { "dropping-particle" : "", "family" : "Xie", "given" : "Hu", "non-dropping-particle" : "", "parse-names" : false, "suffix" : "" }, { "dropping-particle" : "", "family" : "Sandhu", "given" : "Ravinder", "non-dropping-particle" : "", "parse-names" : false, "suffix" : "" }, { "dropping-particle" : "", "family" : "Pollack", "given" : "Margaret", "non-dropping-particle" : "", "parse-names" : false, "suffix" : "" }, { "dropping-particle" : "", "family" : "Smith", "given" : "Jeremy", "non-dropping-particle" : "", "parse-names" : false, "suffix" : "" }, { "dropping-particle" : "", "family" : "Stevens-Ayers", "given" : "Terry", "non-dropping-particle" : "", "parse-names" : false, "suffix" : "" }, { "dropping-particle" : "", "family" : "Ilieva", "given" : "Valeria", "non-dropping-particle" : "", "parse-names" : false, "suffix" : "" }, { "dropping-particle" : "", "family" : "Kimball", "given" : "Louise E", "non-dropping-particle" : "", "parse-names" : false, "suffix" : "" }, { "dropping-particle" : "", "family" : "Huang", "given" : "Meei-Li", "non-dropping-particle" : "", "parse-names" : false, "suffix" : "" }, { "dropping-particle" : "", "family" : "Hayes", "given" : "Tracy S", "non-dropping-particle" : "", "parse-names" : false, "suffix" : "" }, { "dropping-particle" : "", "family" : "Corey", "given" : "Lawrence", "non-dropping-particle" : "", "parse-names" : false, "suffix" : "" }, { "dropping-particle" : "", "family" : "Boeckh", "given" : "Michael J", "non-dropping-particle" : "", "parse-names" : false, "suffix" : "" } ], "container-title" : "Biology of blood and marrow transplantation : journal of the American Society for Blood and Marrow Transplantation", "id" : "ITEM-1", "issue" : "9", "issued" : { "date-parts" : [ [ "2012", "9" ] ] }, "page" : "1391-1400", "publisher" : "NIH Public Access", "title" : "Efficiency and risk factors for CMV transmission in seronegative hematopoietic stem cell recipients.", "type" : "article-journal", "volume" : "18" }, "uris" : [ "http://www.mendeley.com/documents/?uuid=c053469b-457d-33b3-bab6-baf62f484bd3" ] } ], "mendeley" : { "formattedCitation" : "&lt;sup&gt;24&lt;/sup&gt;", "plainTextFormattedCitation" : "24", "previouslyFormattedCitation" : "&lt;sup&gt;24&lt;/sup&gt;"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24</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indicated that high allograft white blood cell count is an important risk factor associated with CMV transmission due to the role of myeloid cells as a reservoir of latent CM</w:t>
      </w:r>
      <w:r w:rsidR="00F35FFE" w:rsidRPr="001E48D5">
        <w:rPr>
          <w:rFonts w:ascii="Book Antiqua" w:eastAsia="Times New Roman" w:hAnsi="Book Antiqua" w:cs="Segoe UI"/>
          <w:color w:val="000000"/>
          <w:sz w:val="24"/>
          <w:szCs w:val="24"/>
        </w:rPr>
        <w:t xml:space="preserve">V. In this context, </w:t>
      </w:r>
      <w:proofErr w:type="spellStart"/>
      <w:r w:rsidR="00F35FFE" w:rsidRPr="001E48D5">
        <w:rPr>
          <w:rFonts w:ascii="Book Antiqua" w:eastAsia="Times New Roman" w:hAnsi="Book Antiqua" w:cs="Segoe UI"/>
          <w:color w:val="000000"/>
          <w:sz w:val="24"/>
          <w:szCs w:val="24"/>
        </w:rPr>
        <w:t>Abedi</w:t>
      </w:r>
      <w:proofErr w:type="spellEnd"/>
      <w:r w:rsidR="00F35FFE" w:rsidRPr="001E48D5">
        <w:rPr>
          <w:rFonts w:ascii="Book Antiqua" w:eastAsia="Times New Roman" w:hAnsi="Book Antiqua" w:cs="Segoe UI"/>
          <w:color w:val="000000"/>
          <w:sz w:val="24"/>
          <w:szCs w:val="24"/>
        </w:rPr>
        <w:t xml:space="preserve"> </w:t>
      </w:r>
      <w:r w:rsidR="00F35FFE" w:rsidRPr="001E48D5">
        <w:rPr>
          <w:rFonts w:ascii="Book Antiqua" w:eastAsia="Times New Roman" w:hAnsi="Book Antiqua" w:cs="Segoe UI"/>
          <w:i/>
          <w:color w:val="000000"/>
          <w:sz w:val="24"/>
          <w:szCs w:val="24"/>
        </w:rPr>
        <w:t xml:space="preserve">et </w:t>
      </w:r>
      <w:proofErr w:type="gramStart"/>
      <w:r w:rsidR="00F35FFE" w:rsidRPr="001E48D5">
        <w:rPr>
          <w:rFonts w:ascii="Book Antiqua" w:eastAsia="Times New Roman" w:hAnsi="Book Antiqua" w:cs="Segoe UI"/>
          <w:i/>
          <w:color w:val="000000"/>
          <w:sz w:val="24"/>
          <w:szCs w:val="24"/>
        </w:rPr>
        <w:t>al</w:t>
      </w:r>
      <w:r w:rsidRPr="001E48D5">
        <w:rPr>
          <w:rFonts w:ascii="Book Antiqua" w:eastAsia="Times New Roman" w:hAnsi="Book Antiqua" w:cs="Segoe UI"/>
          <w:color w:val="000000"/>
          <w:sz w:val="24"/>
          <w:szCs w:val="24"/>
          <w:vertAlign w:val="superscript"/>
        </w:rPr>
        <w:t>[</w:t>
      </w:r>
      <w:proofErr w:type="gramEnd"/>
      <w:r w:rsidRPr="001E48D5">
        <w:rPr>
          <w:rFonts w:ascii="Book Antiqua" w:eastAsia="Times New Roman" w:hAnsi="Book Antiqua" w:cs="Segoe UI"/>
          <w:color w:val="000000"/>
          <w:sz w:val="24"/>
          <w:szCs w:val="24"/>
          <w:vertAlign w:val="superscript"/>
        </w:rPr>
        <w:t xml:space="preserve">6] </w:t>
      </w:r>
      <w:r w:rsidRPr="001E48D5">
        <w:rPr>
          <w:rFonts w:ascii="Book Antiqua" w:eastAsia="Times New Roman" w:hAnsi="Book Antiqua" w:cs="Segoe UI"/>
          <w:color w:val="000000"/>
          <w:sz w:val="24"/>
          <w:szCs w:val="24"/>
        </w:rPr>
        <w:t>analyzed 825 UCB-derived buffy coat samples and reported that 17 samples have been positive for CMV latent infection.</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 xml:space="preserve">The </w:t>
      </w:r>
      <w:proofErr w:type="spellStart"/>
      <w:r w:rsidRPr="001E48D5">
        <w:rPr>
          <w:rFonts w:ascii="Book Antiqua" w:eastAsia="Times New Roman" w:hAnsi="Book Antiqua" w:cs="Segoe UI"/>
          <w:color w:val="000000"/>
          <w:sz w:val="24"/>
          <w:szCs w:val="24"/>
        </w:rPr>
        <w:t>serostatus</w:t>
      </w:r>
      <w:proofErr w:type="spellEnd"/>
      <w:r w:rsidRPr="001E48D5">
        <w:rPr>
          <w:rFonts w:ascii="Book Antiqua" w:eastAsia="Times New Roman" w:hAnsi="Book Antiqua" w:cs="Segoe UI"/>
          <w:color w:val="000000"/>
          <w:sz w:val="24"/>
          <w:szCs w:val="24"/>
        </w:rPr>
        <w:t xml:space="preserve"> of the donor and recipient is the most important risk factor for CMV disease in </w:t>
      </w:r>
      <w:proofErr w:type="spellStart"/>
      <w:r w:rsidRPr="001E48D5">
        <w:rPr>
          <w:rFonts w:ascii="Book Antiqua" w:eastAsia="Times New Roman" w:hAnsi="Book Antiqua" w:cs="Segoe UI"/>
          <w:color w:val="000000"/>
          <w:sz w:val="24"/>
          <w:szCs w:val="24"/>
        </w:rPr>
        <w:t>allo</w:t>
      </w:r>
      <w:proofErr w:type="spellEnd"/>
      <w:r w:rsidRPr="001E48D5">
        <w:rPr>
          <w:rFonts w:ascii="Book Antiqua" w:eastAsia="Times New Roman" w:hAnsi="Book Antiqua" w:cs="Segoe UI"/>
          <w:color w:val="000000"/>
          <w:sz w:val="24"/>
          <w:szCs w:val="24"/>
        </w:rPr>
        <w:t>-HSCT recipients. In this regard, CMV-seropositive recipients have been identified to be highly susceptible to developing CMV infection and CMV complications are primarily associated with viral reactivation. Seronegative patients who receive seropositive allografts are also susceptible to CMV transmission. As mentioned above, the risk for transmission of latent CMV from a CMV-seropositive donor to a CMV-seronegative patient is relatively low, but it increases TRM, mainly due to an increased risk for severe bacterial or fungal superinfection</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"10.1016/j.bbmt.2012.02.008", "ISSN" : "1523-6536", "PMID" : "22387334", "abstract" : "Cytomegalovirus (CMV) transmission via stem cells or marrow in CMV donor seropositive/recipient seronegative (D+/R-) hematopoietic cell transplantation (HCT) is surprisingly inefficient, and factors associated with transmission in these high-risk HCT recipients are unknown. In a retrospective cohort of D+/R- HCT recipients, cumulative incidence curve estimates were used to determine posttransplantation rates of CMV and multivariable Cox proportional models to assess risk factors associated with transmission. A total of 447 patients from 1995 to 2007 were eligible for enrollment. Overall, 85 of 447 (19.0%) acquired CMV at a median of 49 days (IQR 41-60) posttransplantation. CMV disease before day 100 occurred in 6 of 447 (1.3%) patients and in 7 of 447 (1.6%) after day 100. The donor graft, specifically the total nucleated cell count (adjusted hazard ratio [HR] 2.7; 95% confidence interval [CI], 1.4-4.7, P = .0002), was the only factor associated with CMV transmission in multivariable analyses. Notably, the source stem cells (marrow versus peripheral blood stem cell [PBSC]), screening method, and graft-versus-host disease (GVHD) were not associated with transmission. Thus, a highly cellular graft was the only identifiable risk factor associated with CMV transmission, suggesting that viral genomic content of the donor graft determines transmission efficiency in D+/R- HCT recipients.", "author" : [ { "dropping-particle" : "", "family" : "Pergam", "given" : "Steven A", "non-dropping-particle" : "", "parse-names" : false, "suffix" : "" }, { "dropping-particle" : "", "family" : "Xie", "given" : "Hu", "non-dropping-particle" : "", "parse-names" : false, "suffix" : "" }, { "dropping-particle" : "", "family" : "Sandhu", "given" : "Ravinder", "non-dropping-particle" : "", "parse-names" : false, "suffix" : "" }, { "dropping-particle" : "", "family" : "Pollack", "given" : "Margaret", "non-dropping-particle" : "", "parse-names" : false, "suffix" : "" }, { "dropping-particle" : "", "family" : "Smith", "given" : "Jeremy", "non-dropping-particle" : "", "parse-names" : false, "suffix" : "" }, { "dropping-particle" : "", "family" : "Stevens-Ayers", "given" : "Terry", "non-dropping-particle" : "", "parse-names" : false, "suffix" : "" }, { "dropping-particle" : "", "family" : "Ilieva", "given" : "Valeria", "non-dropping-particle" : "", "parse-names" : false, "suffix" : "" }, { "dropping-particle" : "", "family" : "Kimball", "given" : "Louise E", "non-dropping-particle" : "", "parse-names" : false, "suffix" : "" }, { "dropping-particle" : "", "family" : "Huang", "given" : "Meei-Li", "non-dropping-particle" : "", "parse-names" : false, "suffix" : "" }, { "dropping-particle" : "", "family" : "Hayes", "given" : "Tracy S", "non-dropping-particle" : "", "parse-names" : false, "suffix" : "" }, { "dropping-particle" : "", "family" : "Corey", "given" : "Lawrence", "non-dropping-particle" : "", "parse-names" : false, "suffix" : "" }, { "dropping-particle" : "", "family" : "Boeckh", "given" : "Michael J", "non-dropping-particle" : "", "parse-names" : false, "suffix" : "" } ], "container-title" : "Biology of blood and marrow transplantation : journal of the American Society for Blood and Marrow Transplantation", "id" : "ITEM-1", "issue" : "9", "issued" : { "date-parts" : [ [ "2012", "9" ] ] }, "page" : "1391-1400", "publisher" : "NIH Public Access", "title" : "Efficiency and risk factors for CMV transmission in seronegative hematopoietic stem cell recipients.", "type" : "article-journal", "volume" : "18" }, "uris" : [ "http://www.mendeley.com/documents/?uuid=c053469b-457d-33b3-bab6-baf62f484bd3" ] }, { "id" : "ITEM-2", "itemData" : { "DOI" : "10.1007/s00018-015-1986-z", "ISSN" : "14209071", "PMID" : "26174234", "abstract" : "Approximately, up to 70 % of the human population is infected with cytomegalovirus (CMV) that persists for life in a latent state. In healthy people, CMV reactivation induces the expansion of CMV-specific T cells up to 10 % of the entire T cell repertoire. On the contrary, CMV infection is a major opportunistic viral pathogen that remains a leading cause of morbidity and mortality after allogeneic hematopoietic stem cell transplantation. Due to the delayed CMV-specific immune recovery, the incidence of CMV reactivation during post-transplant period is very high. Several methods are currently available for the monitoring of CMV-specific responses that help in clinical monitoring. In this review, essential aspects in the immune recovery against CMV are discussed to improve the better understanding of the immune system relying on CMV infection and, thereby, helping the avoidance of CMV disease or reactivation following hematopoietic stem cell transplantation with severe consequences for the trans- planted patients.", "author" : [ { "dropping-particle" : "", "family" : "Ci\u00e1urriz", "given" : "Miriam", "non-dropping-particle" : "", "parse-names" : false, "suffix" : "" }, { "dropping-particle" : "", "family" : "Zabalza", "given" : "Amaya", "non-dropping-particle" : "", "parse-names" : false, "suffix" : "" }, { "dropping-particle" : "", "family" : "Beloki", "given" : "Lorea", "non-dropping-particle" : "", "parse-names" : false, "suffix" : "" }, { "dropping-particle" : "", "family" : "Mansilla", "given" : "Cristina", "non-dropping-particle" : "", "parse-names" : false, "suffix" : "" }, { "dropping-particle" : "", "family" : "P\u00e9rez-Valderrama", "given" : "Estela", "non-dropping-particle" : "", "parse-names" : false, "suffix" : "" }, { "dropping-particle" : "", "family" : "Lach\u00e9n", "given" : "Mercedes", "non-dropping-particle" : "", "parse-names" : false, "suffix" : "" }, { "dropping-particle" : "", "family" : "Bandr\u00e9s", "given" : "Eva", "non-dropping-particle" : "", "parse-names" : false, "suffix" : "" }, { "dropping-particle" : "", "family" : "Olavarr\u00eda", "given" : "Eduardo", "non-dropping-particle" : "", "parse-names" : false, "suffix" : "" }, { "dropping-particle" : "", "family" : "Ram\u00edrez", "given" : "Natalia", "non-dropping-particle" : "", "parse-names" : false, "suffix" : "" } ], "container-title" : "Cellular and Molecular Life Sciences", "id" : "ITEM-2", "issue" : "21", "issued" : { "date-parts" : [ [ "2015" ] ] }, "page" : "4049-4062", "title" : "The immune response to cytomegalovirus in allogeneic hematopoietic stem cell transplant recipients", "type" : "article-journal", "volume" : "72" }, "uris" : [ "http://www.mendeley.com/documents/?uuid=536fc3f6-fa22-472b-926a-a4ee8eab3602" ] } ], "mendeley" : { "formattedCitation" : "&lt;sup&gt;24,25&lt;/sup&gt;", "plainTextFormattedCitation" : "24,25", "previouslyFormattedCitation" : "&lt;sup&gt;24,25&lt;/sup&gt;"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24,25</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Therefore, for a CMV-seronegative recipient, it is preferable to select a CMV-seronegative donor to reduce the possibility of CMV transmission through allograft. On the contrary, using a seropositive donor for a seropositive recipient will probably result in a better outcome. This fact may be related to the transfer of primed CMV-specific T cells present in the allograft to the recipient</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"10.1016/j.bbmt.2012.02.008", "ISSN" : "1523-6536", "PMID" : "22387334", "abstract" : "Cytomegalovirus (CMV) transmission via stem cells or marrow in CMV donor seropositive/recipient seronegative (D+/R-) hematopoietic cell transplantation (HCT) is surprisingly inefficient, and factors associated with transmission in these high-risk HCT recipients are unknown. In a retrospective cohort of D+/R- HCT recipients, cumulative incidence curve estimates were used to determine posttransplantation rates of CMV and multivariable Cox proportional models to assess risk factors associated with transmission. A total of 447 patients from 1995 to 2007 were eligible for enrollment. Overall, 85 of 447 (19.0%) acquired CMV at a median of 49 days (IQR 41-60) posttransplantation. CMV disease before day 100 occurred in 6 of 447 (1.3%) patients and in 7 of 447 (1.6%) after day 100. The donor graft, specifically the total nucleated cell count (adjusted hazard ratio [HR] 2.7; 95% confidence interval [CI], 1.4-4.7, P = .0002), was the only factor associated with CMV transmission in multivariable analyses. Notably, the source stem cells (marrow versus peripheral blood stem cell [PBSC]), screening method, and graft-versus-host disease (GVHD) were not associated with transmission. Thus, a highly cellular graft was the only identifiable risk factor associated with CMV transmission, suggesting that viral genomic content of the donor graft determines transmission efficiency in D+/R- HCT recipients.", "author" : [ { "dropping-particle" : "", "family" : "Pergam", "given" : "Steven A", "non-dropping-particle" : "", "parse-names" : false, "suffix" : "" }, { "dropping-particle" : "", "family" : "Xie", "given" : "Hu", "non-dropping-particle" : "", "parse-names" : false, "suffix" : "" }, { "dropping-particle" : "", "family" : "Sandhu", "given" : "Ravinder", "non-dropping-particle" : "", "parse-names" : false, "suffix" : "" }, { "dropping-particle" : "", "family" : "Pollack", "given" : "Margaret", "non-dropping-particle" : "", "parse-names" : false, "suffix" : "" }, { "dropping-particle" : "", "family" : "Smith", "given" : "Jeremy", "non-dropping-particle" : "", "parse-names" : false, "suffix" : "" }, { "dropping-particle" : "", "family" : "Stevens-Ayers", "given" : "Terry", "non-dropping-particle" : "", "parse-names" : false, "suffix" : "" }, { "dropping-particle" : "", "family" : "Ilieva", "given" : "Valeria", "non-dropping-particle" : "", "parse-names" : false, "suffix" : "" }, { "dropping-particle" : "", "family" : "Kimball", "given" : "Louise E", "non-dropping-particle" : "", "parse-names" : false, "suffix" : "" }, { "dropping-particle" : "", "family" : "Huang", "given" : "Meei-Li", "non-dropping-particle" : "", "parse-names" : false, "suffix" : "" }, { "dropping-particle" : "", "family" : "Hayes", "given" : "Tracy S", "non-dropping-particle" : "", "parse-names" : false, "suffix" : "" }, { "dropping-particle" : "", "family" : "Corey", "given" : "Lawrence", "non-dropping-particle" : "", "parse-names" : false, "suffix" : "" }, { "dropping-particle" : "", "family" : "Boeckh", "given" : "Michael J", "non-dropping-particle" : "", "parse-names" : false, "suffix" : "" } ], "container-title" : "Biology of blood and marrow transplantation : journal of the American Society for Blood and Marrow Transplantation", "id" : "ITEM-1", "issue" : "9", "issued" : { "date-parts" : [ [ "2012", "9" ] ] }, "page" : "1391-1400", "publisher" : "NIH Public Access", "title" : "Efficiency and risk factors for CMV transmission in seronegative hematopoietic stem cell recipients.", "type" : "article-journal", "volume" : "18" }, "uris" : [ "http://www.mendeley.com/documents/?uuid=c053469b-457d-33b3-bab6-baf62f484bd3" ] } ], "mendeley" : { "formattedCitation" : "&lt;sup&gt;24&lt;/sup&gt;", "plainTextFormattedCitation" : "24", "previouslyFormattedCitation" : "&lt;sup&gt;24&lt;/sup&gt;"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24</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Since the pediatric recipients of UCB transplant are primarily CMV-seronegative, CMV transmission by allograft is often of more importance than reactivation of the latent virus in the recipient</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"10.1016/j.bbmt.2012.02.008", "ISSN" : "1523-6536", "PMID" : "22387334", "abstract" : "Cytomegalovirus (CMV) transmission via stem cells or marrow in CMV donor seropositive/recipient seronegative (D+/R-) hematopoietic cell transplantation (HCT) is surprisingly inefficient, and factors associated with transmission in these high-risk HCT recipients are unknown. In a retrospective cohort of D+/R- HCT recipients, cumulative incidence curve estimates were used to determine posttransplantation rates of CMV and multivariable Cox proportional models to assess risk factors associated with transmission. A total of 447 patients from 1995 to 2007 were eligible for enrollment. Overall, 85 of 447 (19.0%) acquired CMV at a median of 49 days (IQR 41-60) posttransplantation. CMV disease before day 100 occurred in 6 of 447 (1.3%) patients and in 7 of 447 (1.6%) after day 100. The donor graft, specifically the total nucleated cell count (adjusted hazard ratio [HR] 2.7; 95% confidence interval [CI], 1.4-4.7, P = .0002), was the only factor associated with CMV transmission in multivariable analyses. Notably, the source stem cells (marrow versus peripheral blood stem cell [PBSC]), screening method, and graft-versus-host disease (GVHD) were not associated with transmission. Thus, a highly cellular graft was the only identifiable risk factor associated with CMV transmission, suggesting that viral genomic content of the donor graft determines transmission efficiency in D+/R- HCT recipients.", "author" : [ { "dropping-particle" : "", "family" : "Pergam", "given" : "Steven A", "non-dropping-particle" : "", "parse-names" : false, "suffix" : "" }, { "dropping-particle" : "", "family" : "Xie", "given" : "Hu", "non-dropping-particle" : "", "parse-names" : false, "suffix" : "" }, { "dropping-particle" : "", "family" : "Sandhu", "given" : "Ravinder", "non-dropping-particle" : "", "parse-names" : false, "suffix" : "" }, { "dropping-particle" : "", "family" : "Pollack", "given" : "Margaret", "non-dropping-particle" : "", "parse-names" : false, "suffix" : "" }, { "dropping-particle" : "", "family" : "Smith", "given" : "Jeremy", "non-dropping-particle" : "", "parse-names" : false, "suffix" : "" }, { "dropping-particle" : "", "family" : "Stevens-Ayers", "given" : "Terry", "non-dropping-particle" : "", "parse-names" : false, "suffix" : "" }, { "dropping-particle" : "", "family" : "Ilieva", "given" : "Valeria", "non-dropping-particle" : "", "parse-names" : false, "suffix" : "" }, { "dropping-particle" : "", "family" : "Kimball", "given" : "Louise E", "non-dropping-particle" : "", "parse-names" : false, "suffix" : "" }, { "dropping-particle" : "", "family" : "Huang", "given" : "Meei-Li", "non-dropping-particle" : "", "parse-names" : false, "suffix" : "" }, { "dropping-particle" : "", "family" : "Hayes", "given" : "Tracy S", "non-dropping-particle" : "", "parse-names" : false, "suffix" : "" }, { "dropping-particle" : "", "family" : "Corey", "given" : "Lawrence", "non-dropping-particle" : "", "parse-names" : false, "suffix" : "" }, { "dropping-particle" : "", "family" : "Boeckh", "given" : "Michael J", "non-dropping-particle" : "", "parse-names" : false, "suffix" : "" } ], "container-title" : "Biology of blood and marrow transplantation : journal of the American Society for Blood and Marrow Transplantation", "id" : "ITEM-1", "issue" : "9", "issued" : { "date-parts" : [ [ "2012", "9" ] ] }, "page" : "1391-1400", "publisher" : "NIH Public Access", "title" : "Efficiency and risk factors for CMV transmission in seronegative hematopoietic stem cell recipients.", "type" : "article-journal", "volume" : "18" }, "uris" : [ "http://www.mendeley.com/documents/?uuid=c053469b-457d-33b3-bab6-baf62f484bd3" ] }, { "id" : "ITEM-2",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"ITEM-2", "issue" : "1", "issued" : { "date-parts" : [ [ "2005" ] ] }, "page" : "35-38", "title" : "Risk of transmission of herpesviruses through cord blood transplantation", "type" : "article-journal", "volume" : "11" }, "uris" : [ "http://www.mendeley.com/documents/?uuid=11d5fdfb-68d4-4892-ad7f-eb811a044ee6" ] } ], "mendeley" : { "formattedCitation" : "&lt;sup&gt;24,26&lt;/sup&gt;", "plainTextFormattedCitation" : "24,26", "previouslyFormattedCitation" : "&lt;sup&gt;24,26&lt;/sup&gt;"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24,26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Therefore, excluding the UCB donations from CMV seropositive mothers might be effective to preven</w:t>
      </w:r>
      <w:r w:rsidR="008273FE" w:rsidRPr="001E48D5">
        <w:rPr>
          <w:rFonts w:ascii="Book Antiqua" w:eastAsia="Times New Roman" w:hAnsi="Book Antiqua" w:cs="Segoe UI"/>
          <w:color w:val="000000"/>
          <w:sz w:val="24"/>
          <w:szCs w:val="24"/>
        </w:rPr>
        <w:t>t UCB-related CMV transmission.</w:t>
      </w:r>
    </w:p>
    <w:p w:rsidR="00937D61" w:rsidRPr="001E48D5" w:rsidRDefault="00937D61" w:rsidP="007A67C3">
      <w:pPr>
        <w:spacing w:after="0" w:line="360" w:lineRule="auto"/>
        <w:ind w:firstLineChars="200" w:firstLine="480"/>
        <w:jc w:val="both"/>
        <w:rPr>
          <w:rFonts w:ascii="Book Antiqua" w:hAnsi="Book Antiqua" w:cs="Segoe UI"/>
          <w:color w:val="000000"/>
          <w:sz w:val="24"/>
          <w:szCs w:val="24"/>
          <w:lang w:eastAsia="zh-CN"/>
        </w:rPr>
      </w:pPr>
    </w:p>
    <w:p w:rsidR="00FA07B4" w:rsidRPr="001E48D5" w:rsidRDefault="00937D61"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
          <w:bCs/>
          <w:i/>
          <w:color w:val="000000"/>
          <w:sz w:val="24"/>
          <w:szCs w:val="24"/>
        </w:rPr>
        <w:t xml:space="preserve">Hepatitis B virus </w:t>
      </w:r>
    </w:p>
    <w:p w:rsidR="00FA07B4" w:rsidRPr="001E48D5" w:rsidRDefault="009108A0"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Cs/>
          <w:color w:val="000000"/>
          <w:sz w:val="24"/>
          <w:szCs w:val="24"/>
        </w:rPr>
        <w:t>Hepatitis B virus (HBV)</w:t>
      </w:r>
      <w:r w:rsidR="00FA07B4" w:rsidRPr="001E48D5">
        <w:rPr>
          <w:rFonts w:ascii="Book Antiqua" w:eastAsia="Times New Roman" w:hAnsi="Book Antiqua" w:cs="Segoe UI"/>
          <w:color w:val="000000"/>
          <w:sz w:val="24"/>
          <w:szCs w:val="24"/>
        </w:rPr>
        <w:t xml:space="preserve"> is a double-stranded DNA virus, classified in the </w:t>
      </w:r>
      <w:proofErr w:type="spellStart"/>
      <w:r w:rsidR="00FA07B4" w:rsidRPr="001E48D5">
        <w:rPr>
          <w:rFonts w:ascii="Book Antiqua" w:eastAsia="Times New Roman" w:hAnsi="Book Antiqua" w:cs="Segoe UI"/>
          <w:color w:val="000000"/>
          <w:sz w:val="24"/>
          <w:szCs w:val="24"/>
        </w:rPr>
        <w:t>Hepadnaviridae</w:t>
      </w:r>
      <w:proofErr w:type="spellEnd"/>
      <w:r w:rsidR="00FA07B4" w:rsidRPr="001E48D5">
        <w:rPr>
          <w:rFonts w:ascii="Book Antiqua" w:eastAsia="Times New Roman" w:hAnsi="Book Antiqua" w:cs="Segoe UI"/>
          <w:color w:val="000000"/>
          <w:sz w:val="24"/>
          <w:szCs w:val="24"/>
        </w:rPr>
        <w:t xml:space="preserve"> family. Chronic </w:t>
      </w:r>
      <w:r w:rsidR="00937D61" w:rsidRPr="001E48D5">
        <w:rPr>
          <w:rFonts w:ascii="Book Antiqua" w:eastAsia="Times New Roman" w:hAnsi="Book Antiqua" w:cs="Segoe UI"/>
          <w:color w:val="000000"/>
          <w:sz w:val="24"/>
          <w:szCs w:val="24"/>
        </w:rPr>
        <w:t>HBV</w:t>
      </w:r>
      <w:r w:rsidR="00FA07B4" w:rsidRPr="001E48D5">
        <w:rPr>
          <w:rFonts w:ascii="Book Antiqua" w:eastAsia="Times New Roman" w:hAnsi="Book Antiqua" w:cs="Segoe UI"/>
          <w:color w:val="000000"/>
          <w:sz w:val="24"/>
          <w:szCs w:val="24"/>
        </w:rPr>
        <w:t xml:space="preserve"> infection is a serious problem of public health affecting over 240 million people worldwide</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"10.3748/WJG.V22.I1.145", "PMID" : "26755866", "author" : [ { "dropping-particle" : "", "family" : "Caligiuri", "given" : "Patrizia", "non-dropping-particle" : "", "parse-names" : false, "suffix" : "" }, { "dropping-particle" : "", "family" : "Cerruti", "given" : "Rita", "non-dropping-particle" : "", "parse-names" : false, "suffix" : "" }, { "dropping-particle" : "", "family" : "Icardi", "given" : "Giancarlo", "non-dropping-particle" : "", "parse-names" : false, "suffix" : "" }, { "dropping-particle" : "", "family" : "Bruzzone", "given" : "Bianca", "non-dropping-particle" : "", "parse-names" : false, "suffix" : "" } ], "container-title" : "World Journal of Gastroenterology", "id" : "ITEM-1", "issue" : "1", "issued" : { "date-parts" : [ [ "2016" ] ] }, "page" : "145", "publisher" : "Baishideng Publishing Group Inc", "title" : "Overview of hepatitis B virus mutations and their implications in the management of infection", "type" : "article-journal", "volume" : "22" }, "uris" : [ "http://www.mendeley.com/documents/?uuid=3d6b6597-6ccf-3ac8-b9d9-5cc51da8fbdc" ] } ], "mendeley" : { "formattedCitation" : "&lt;sup&gt;27&lt;/sup&gt;", "plainTextFormattedCitation" : "27", "previouslyFormattedCitation" : "&lt;sup&gt;27&lt;/sup&gt;"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27</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lastRenderedPageBreak/>
        <w:t>In the immunocompetent host, HBV infection is responsible for acute hepatitis, which may progress to chronic infection and lead to cirrhosi</w:t>
      </w:r>
      <w:r w:rsidR="00937D61" w:rsidRPr="001E48D5">
        <w:rPr>
          <w:rFonts w:ascii="Book Antiqua" w:eastAsia="Times New Roman" w:hAnsi="Book Antiqua" w:cs="Segoe UI"/>
          <w:color w:val="000000"/>
          <w:sz w:val="24"/>
          <w:szCs w:val="24"/>
        </w:rPr>
        <w:t xml:space="preserve">s or hepatocellular carcinoma. </w:t>
      </w:r>
      <w:r w:rsidRPr="001E48D5">
        <w:rPr>
          <w:rFonts w:ascii="Book Antiqua" w:eastAsia="Times New Roman" w:hAnsi="Book Antiqua" w:cs="Segoe UI"/>
          <w:color w:val="000000"/>
          <w:sz w:val="24"/>
          <w:szCs w:val="24"/>
        </w:rPr>
        <w:t xml:space="preserve">Most HBV carriers, however, may never experience severe liver complications during their lifetime. While the risk of acquiring HBV infection </w:t>
      </w:r>
      <w:r w:rsidRPr="001E48D5">
        <w:rPr>
          <w:rFonts w:ascii="Book Antiqua" w:eastAsia="Times New Roman" w:hAnsi="Book Antiqua" w:cs="Segoe UI"/>
          <w:i/>
          <w:color w:val="000000"/>
          <w:sz w:val="24"/>
          <w:szCs w:val="24"/>
        </w:rPr>
        <w:t>via</w:t>
      </w:r>
      <w:r w:rsidRPr="001E48D5">
        <w:rPr>
          <w:rFonts w:ascii="Book Antiqua" w:eastAsia="Times New Roman" w:hAnsi="Book Antiqua" w:cs="Segoe UI"/>
          <w:color w:val="000000"/>
          <w:sz w:val="24"/>
          <w:szCs w:val="24"/>
        </w:rPr>
        <w:t xml:space="preserve"> blood transfusion is nowadays extremely low, allogeneic HSCT patients still represent a high-risk group, being susceptible to be infected due to the lack of efficient immunity given both the disease and receiving the conditioning regimen before the transplantation. The prevalence of HBV infection in these patients ranges from 1% to 28%, according to geographic areas. The results of a multicenter study showed that the risk of HBV reactivation, two years after HSCT was 81% for allogeneic and 66% for autologous cases. Patients undergoing HSCT can also develop a de novo HBV infection following the transplantation. The risk of HBV transmission to uninfected recipients of bone marrow transplantation (BMT) is not 100% and the exact risk remains unclear</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"10.4084/MJHID.2009.017", "ISSN" : "20353006", "PMID" : "21415956", "abstract" : "Infections with Hepatitis viruses B and C pose major problems both short and long term respectively after HSCT. The key to prevention for Hepatitis B disease remains vaccination for HBV-na\u00efve patients and judicial use of anti-viral therapy in both pre- and post-transplant settings for HBV-infected patients. HBsAg positive grafts to HBV-na\u00efve recipients result in transmission of the virus in about 50%. The newer anti-viral agents have enabled effective treatment of post-transplant patients who might be lamivudine-resistant or might develop so. Selecting a previously infected donor who has high titres of surface antibody for HBsAg positive patients gives the best chance for immunological clearance. The most challenging aspect of preventing HBV reactivation remains the duration of anti-viral therapy and timing of its withdrawal as most reactivations and often fatal ones occur after this period. Hepatitis C, on the other hand affects long-term survival with early onset of fibrosis and cirrhosis. Early effect of Hepatitis C virus on the immune system remains conjectural. The standard combination therapy seems to be effective, but data on this front remains sparse, as in the case of the use of newer antiviral agents. HSCT from HCV infected grafts result in more consistent transmission of the virus and pre-donation treatment of donors should be undertaken to render them non-viremic, if possible. The current understanding and recommendations regarding prevention and management of these infections in HSCT recipients are discussed.", "author" : [ { "dropping-particle" : "", "family" : "Chakrabarti", "given" : "Suparno", "non-dropping-particle" : "", "parse-names" : false, "suffix" : "" }, { "dropping-particle" : "", "family" : "Mukherjee", "given" : "Somnath", "non-dropping-particle" : "", "parse-names" : false, "suffix" : "" } ], "container-title" : "Mediterranean Journal of Hematology and Infectious Diseases", "id" : "ITEM-1", "issued" : { "date-parts" : [ [ "2009" ] ] }, "title" : "Prevention and Treatment of Hepatitis virus infections in Hematopoietic Stem Cell Transplant Recipients", "type" : "article-journal" }, "uris" : [ "http://www.mendeley.com/documents/?uuid=812a6a98-dc5e-4a20-ad5a-46e6e06af9aa" ] }, { "id" : "ITEM-2", "itemData" : { "DOI" : "10.4084/MJHID.2009.016", "ISSN" : "20353006", "PMID" : "21415955", "abstract" : "Although the risk of acquisition of hepatitis B or hepatitis C virus through blood products has considerably reduced since the last decade, some infected patients are candidates to stem cell transplantation. Others may have no alternative than an infected donor. In all these cases, recipients of transplant are prone to short and long term liver complications. The evolution of liver tests under chemotherapy before transplant may give useful information to anticipate on the risk of hepatitis reactivation after transplant, both for HBv and HCv. More than sixty percent of the patients who are HBsAg-positive before transplant reactivate after transplant, and 3% develop acute severe liver failure. Because both viral replication and immune reconstitution are the key factors for reactivation, it is crucial to closely follow liver function tests and viral load during the first months of transplant, and to pay a special attention in slowly tapering the immunosuppression in these patients. Lamivudine reduces HBv viremia, but favors the emergence of HBv polymerase gene mutants and should be individually discussed. Both in case of HBv or HCv hepatitis reactivation with ALT \u2265 10N concomitantly to an increase in viral load at time of immune reconstitution, steroids should be given. In case there is no alternative than a HBv or HCv positive geno-identical donor, the risk of viral hepatitis, including acute liver failure and late complications, should be balanced with the benefit of transplant in a given situation.", "author" : [ { "dropping-particle" : "", "family" : "Locasciulli", "given" : "Anna", "non-dropping-particle" : "", "parse-names" : false, "suffix" : "" }, { "dropping-particle" : "", "family" : "Montante", "given" : "Barbara", "non-dropping-particle" : "", "parse-names" : false, "suffix" : "" }, { "dropping-particle" : "", "family" : "Morelli", "given" : "Emanuela", "non-dropping-particle" : "", "parse-names" : false, "suffix" : "" }, { "dropping-particle" : "", "family" : "Gulino", "given" : "Virginia", "non-dropping-particle" : "", "parse-names" : false, "suffix" : "" }, { "dropping-particle" : "", "family" : "Proia", "given" : "Anna", "non-dropping-particle" : "", "parse-names" : false, "suffix" : "" }, { "dropping-particle" : "", "family" : "Pinazzi", "given" : "Maria Beatrice", "non-dropping-particle" : "", "parse-names" : false, "suffix" : "" } ], "container-title" : "Mediterranean Journal of Hematology and Infectious Diseases", "id" : "ITEM-2", "issued" : { "date-parts" : [ [ "2009" ] ] }, "title" : "Hepatitis B and C in Hematopoietic Stem Cell Transplant", "type" : "article-journal" }, "uris" : [ "http://www.mendeley.com/documents/?uuid=6bbe44ce-e7d5-4edd-811f-ed8e454091b4" ] } ], "mendeley" : { "formattedCitation" : "&lt;sup&gt;28,29&lt;/sup&gt;", "plainTextFormattedCitation" : "28,29", "previouslyFormattedCitation" : "&lt;sup&gt;28,29&lt;/sup&gt;"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28,29</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937D61"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Huang </w:t>
      </w:r>
      <w:r w:rsidRPr="001E48D5">
        <w:rPr>
          <w:rFonts w:ascii="Book Antiqua" w:eastAsia="Times New Roman" w:hAnsi="Book Antiqua" w:cs="Segoe UI"/>
          <w:i/>
          <w:color w:val="000000"/>
          <w:sz w:val="24"/>
          <w:szCs w:val="24"/>
        </w:rPr>
        <w:t>et al</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"10.12659/MSM.898680", "ISSN" : "1643-3750", "author" : [ { "dropping-particle" : "", "family" : "Huang", "given" : "Yanxin", "non-dropping-particle" : "", "parse-names" : false, "suffix" : "" }, { "dropping-particle" : "", "family" : "Yan", "given" : "Qin", "non-dropping-particle" : "", "parse-names" : false, "suffix" : "" }, { "dropping-particle" : "", "family" : "Fan", "given" : "Rongshan", "non-dropping-particle" : "", "parse-names" : false, "suffix" : "" }, { "dropping-particle" : "", "family" : "Song", "given" : "Shupeng", "non-dropping-particle" : "", "parse-names" : false, "suffix" : "" }, { "dropping-particle" : "", "family" : "Ren", "given" : "Hong", "non-dropping-particle" : "", "parse-names" : false, "suffix" : "" }, { "dropping-particle" : "", "family" : "Li", "given" : "Yongguo", "non-dropping-particle" : "", "parse-names" : false, "suffix" : "" }, { "dropping-particle" : "", "family" : "Lan", "given" : "Yinghua", "non-dropping-particle" : "", "parse-names" : false, "suffix" : "" } ], "container-title" : "Medical Science Monitor", "id" : "ITEM-1", "issued" : { "date-parts" : [ [ "2016" ] ] }, "page" : "1673-1681", "title" : "Hepatitis B Virus Replication in CD34+ Hematopoietic Stem Cells From Umbilical Cord Blood", "type" : "article-journal", "volume" : "22" }, "uris" : [ "http://www.mendeley.com/documents/?uuid=63c46a3e-3a9e-42c6-8e71-d02fd8a3f170" ] } ], "mendeley" : { "formattedCitation" : "&lt;sup&gt;30&lt;/sup&gt;", "plainTextFormattedCitation" : "30", "previouslyFormattedCitation" : "&lt;sup&gt;30&lt;/sup&gt;"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30</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t xml:space="preserve"> exposed UCB-derived HSCs to HBV and demonstrated that HBV not only can infect these cells but also can replicate in them, and then suggested the possible role of HSCs as extrahepatic HBV reservoir. On the other hand, other studies have shown the risk of intrauterine transmission of HBV </w:t>
      </w:r>
      <w:r w:rsidR="00FA07B4" w:rsidRPr="001E48D5">
        <w:rPr>
          <w:rFonts w:ascii="Book Antiqua" w:eastAsia="Times New Roman" w:hAnsi="Book Antiqua" w:cs="Segoe UI"/>
          <w:i/>
          <w:color w:val="000000"/>
          <w:sz w:val="24"/>
          <w:szCs w:val="24"/>
        </w:rPr>
        <w:t>via</w:t>
      </w:r>
      <w:r w:rsidR="00FA07B4" w:rsidRPr="001E48D5">
        <w:rPr>
          <w:rFonts w:ascii="Book Antiqua" w:eastAsia="Times New Roman" w:hAnsi="Book Antiqua" w:cs="Segoe UI"/>
          <w:color w:val="000000"/>
          <w:sz w:val="24"/>
          <w:szCs w:val="24"/>
        </w:rPr>
        <w:t xml:space="preserve"> peripheral blood mononuclear cells in addition to </w:t>
      </w:r>
      <w:proofErr w:type="spellStart"/>
      <w:r w:rsidR="00FA07B4" w:rsidRPr="001E48D5">
        <w:rPr>
          <w:rFonts w:ascii="Book Antiqua" w:eastAsia="Times New Roman" w:hAnsi="Book Antiqua" w:cs="Segoe UI"/>
          <w:color w:val="000000"/>
          <w:sz w:val="24"/>
          <w:szCs w:val="24"/>
        </w:rPr>
        <w:t>transplacental</w:t>
      </w:r>
      <w:proofErr w:type="spellEnd"/>
      <w:r w:rsidR="00FA07B4" w:rsidRPr="001E48D5">
        <w:rPr>
          <w:rFonts w:ascii="Book Antiqua" w:eastAsia="Times New Roman" w:hAnsi="Book Antiqua" w:cs="Segoe UI"/>
          <w:color w:val="000000"/>
          <w:sz w:val="24"/>
          <w:szCs w:val="24"/>
        </w:rPr>
        <w:t xml:space="preserve"> leakage and placental infection. These findings suggest the possibility of HBV transmission by UCB mononuclear cells to the recipient and highlight the importance of routine screening of UCB units</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"10.1080/23744235.2017.1303746", "ISSN" : "23744235", "PMID" : "28316268", "author" : [ { "dropping-particle" : "", "family" : "Borgia", "given" : "Guglielmo", "non-dropping-particle" : "", "parse-names" : false, "suffix" : "" }, { "dropping-particle" : "", "family" : "Maraolo", "given" : "Alberto Enrico", "non-dropping-particle" : "", "parse-names" : false, "suffix" : "" }, { "dropping-particle" : "", "family" : "Gentile", "given" : "Ivan", "non-dropping-particle" : "", "parse-names" : false, "suffix" : "" } ], "container-title" : "Infectious Diseases", "id" : "ITEM-1", "issue" : "8", "issued" : { "date-parts" : [ [ "2017", "8", "3" ] ] }, "page" : "584-587", "title" : "Hepatitis B mother-to-child transmission and infants immunization: we have not come to the end of the story yet", "type" : "article-journal", "volume" : "49" }, "uris" : [ "http://www.mendeley.com/documents/?uuid=3ed8fb77-9a7d-36be-a19a-1b8a173c9a02" ] }, { "id" : "ITEM-2", "itemData" : { "DOI" : "10.14218/JCTH.2016.00067", "ISBN" : "1860679250", "ISSN" : "2225-0719", "PMID" : "28660149", "abstract" : "Vertical transmission (VT) is the primary route of transmission of viral hepatitis in children. The rate of VT ranges from 1-28% with hepatitis B virus (HBV) and 3-15% with hepatitis C virus (HCV). VT for both viruses can occur during the intrauterine or peripartum period. VT of HBV primarily occurs by intrauterine transmission (IUT). Hepatitis B surface antigen is unable to cross the placenta and, therefore, relies on processes like transplacental leakage, placental infection, cellular transmission by peripheral blood mononuclear cells, and germline transmission. HCV can also infect the fetus by IUT. Both viruses also have the potential for transmission during delivery, when there is increase chance of maternal-fetal blood exposure. HBV and HCV share some common risk factors for VT, including maternal viral load, human immunodeficiency virus co-infection and neonatal sex. Prevention of VT differs greatly between HBV and HCV. There are several alternatives for prevention of HBV VT, including antiviral medications during the third trimester of pregnancy and HBV vaccine, as well as hepatitis B immunoglobulin administration to infants post-partum. In contrast, there are no preventative interventions available for HCV. Despite these differences, the key to prevention with both viruses is screening women prior to and during pregnancy.", "author" : [ { "dropping-particle" : "", "family" : "Mavilia", "given" : "Marianna G.", "non-dropping-particle" : "", "parse-names" : false, "suffix" : "" }, { "dropping-particle" : "", "family" : "Wu", "given" : "George Y.", "non-dropping-particle" : "", "parse-names" : false, "suffix" : "" } ], "container-title" : "Journal of Clinical and Translational Hepatology", "id" : "ITEM-2", "issue" : "2", "issued" : { "date-parts" : [ [ "2017" ] ] }, "page" : "119-129", "title" : "Mechanisms and Prevention of Vertical Transmission in Chronic Viral Hepatitis", "type" : "article-journal", "volume" : "5" }, "uris" : [ "http://www.mendeley.com/documents/?uuid=0f8d814d-6e20-4bf9-88e4-5b5faab3f5e6" ] } ], "mendeley" : { "formattedCitation" : "&lt;sup&gt;31,32&lt;/sup&gt;", "plainTextFormattedCitation" : "31,32", "previouslyFormattedCitation" : "&lt;sup&gt;31,32&lt;/sup&gt;"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31,32</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t>. To the best of our knowledge, very little published data are available about the prevalence and risk factors for HBV transmission by HSC transplant from UCB source.</w:t>
      </w:r>
    </w:p>
    <w:p w:rsidR="00937D61" w:rsidRPr="001E48D5" w:rsidRDefault="00937D61" w:rsidP="007A67C3">
      <w:pPr>
        <w:spacing w:after="0" w:line="360" w:lineRule="auto"/>
        <w:ind w:firstLineChars="200" w:firstLine="480"/>
        <w:jc w:val="both"/>
        <w:rPr>
          <w:rFonts w:ascii="Book Antiqua" w:hAnsi="Book Antiqua" w:cs="Segoe UI"/>
          <w:color w:val="000000"/>
          <w:sz w:val="24"/>
          <w:szCs w:val="24"/>
          <w:lang w:eastAsia="zh-CN"/>
        </w:rPr>
      </w:pPr>
    </w:p>
    <w:p w:rsidR="00FA07B4" w:rsidRPr="001E48D5" w:rsidRDefault="00937D61"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
          <w:bCs/>
          <w:i/>
          <w:color w:val="000000"/>
          <w:sz w:val="24"/>
          <w:szCs w:val="24"/>
        </w:rPr>
        <w:t>Hepatitis C virus</w:t>
      </w:r>
    </w:p>
    <w:p w:rsidR="00FA07B4" w:rsidRPr="001E48D5" w:rsidRDefault="009108A0"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Cs/>
          <w:color w:val="000000"/>
          <w:sz w:val="24"/>
          <w:szCs w:val="24"/>
        </w:rPr>
        <w:t>Hepatitis C virus (HCV)</w:t>
      </w:r>
      <w:r w:rsidR="00FA07B4" w:rsidRPr="001E48D5">
        <w:rPr>
          <w:rFonts w:ascii="Book Antiqua" w:eastAsia="Times New Roman" w:hAnsi="Book Antiqua" w:cs="Segoe UI"/>
          <w:color w:val="000000"/>
          <w:sz w:val="24"/>
          <w:szCs w:val="24"/>
        </w:rPr>
        <w:t xml:space="preserve"> is a double-stranded RNA virus of the </w:t>
      </w:r>
      <w:proofErr w:type="spellStart"/>
      <w:r w:rsidR="00FA07B4" w:rsidRPr="001E48D5">
        <w:rPr>
          <w:rFonts w:ascii="Book Antiqua" w:eastAsia="Times New Roman" w:hAnsi="Book Antiqua" w:cs="Segoe UI"/>
          <w:color w:val="000000"/>
          <w:sz w:val="24"/>
          <w:szCs w:val="24"/>
        </w:rPr>
        <w:t>Flaviviridae</w:t>
      </w:r>
      <w:proofErr w:type="spellEnd"/>
      <w:r w:rsidR="00FA07B4" w:rsidRPr="001E48D5">
        <w:rPr>
          <w:rFonts w:ascii="Book Antiqua" w:eastAsia="Times New Roman" w:hAnsi="Book Antiqua" w:cs="Segoe UI"/>
          <w:color w:val="000000"/>
          <w:sz w:val="24"/>
          <w:szCs w:val="24"/>
        </w:rPr>
        <w:t xml:space="preserve"> family. Global incidence of chronic HCV infection is about 170 million people and approximately 3-4 million more are infected each year</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"10.4084/MJHID.2009.016", "ISSN" : "20353006", "PMID" : "21415955", "abstract" : "Although the risk of acquisition of hepatitis B or hepatitis C virus through blood products has considerably reduced since the last decade, some infected patients are candidates to stem cell transplantation. Others may have no alternative than an infected donor. In all these cases, recipients of transplant are prone to short and long term liver complications. The evolution of liver tests under chemotherapy before transplant may give useful information to anticipate on the risk of hepatitis reactivation after transplant, both for HBv and HCv. More than sixty percent of the patients who are HBsAg-positive before transplant reactivate after transplant, and 3% develop acute severe liver failure. Because both viral replication and immune reconstitution are the key factors for reactivation, it is crucial to closely follow liver function tests and viral load during the first months of transplant, and to pay a special attention in slowly tapering the immunosuppression in these patients. Lamivudine reduces HBv viremia, but favors the emergence of HBv polymerase gene mutants and should be individually discussed. Both in case of HBv or HCv hepatitis reactivation with ALT \u2265 10N concomitantly to an increase in viral load at time of immune reconstitution, steroids should be given. In case there is no alternative than a HBv or HCv positive geno-identical donor, the risk of viral hepatitis, including acute liver failure and late complications, should be balanced with the benefit of transplant in a given situation.", "author" : [ { "dropping-particle" : "", "family" : "Locasciulli", "given" : "Anna", "non-dropping-particle" : "", "parse-names" : false, "suffix" : "" }, { "dropping-particle" : "", "family" : "Montante", "given" : "Barbara", "non-dropping-particle" : "", "parse-names" : false, "suffix" : "" }, { "dropping-particle" : "", "family" : "Morelli", "given" : "Emanuela", "non-dropping-particle" : "", "parse-names" : false, "suffix" : "" }, { "dropping-particle" : "", "family" : "Gulino", "given" : "Virginia", "non-dropping-particle" : "", "parse-names" : false, "suffix" : "" }, { "dropping-particle" : "", "family" : "Proia", "given" : "Anna", "non-dropping-particle" : "", "parse-names" : false, "suffix" : "" }, { "dropping-particle" : "", "family" : "Pinazzi", "given" : "Maria Beatrice", "non-dropping-particle" : "", "parse-names" : false, "suffix" : "" } ], "container-title" : "Mediterranean Journal of Hematology and Infectious Diseases", "id" : "ITEM-1", "issued" : { "date-parts" : [ [ "2009" ] ] }, "title" : "Hepatitis B and C in Hematopoietic Stem Cell Transplant", "type" : "article-journal" }, "uris" : [ "http://www.mendeley.com/documents/?uuid=6bbe44ce-e7d5-4edd-811f-ed8e454091b4" ] }, { "id" : "ITEM-2", "itemData" : { "DOI" : "10.1111/jvh.12236", "ISBN" : "1365-2893 (Electronic)\\r1352-0504 (Linking)", "ISSN" : "13652893", "PMID" : "24620791", "abstract" : "A weak T-cell response plays a key role in the persistence of hepatitis B virus (HBV) infection. We aimed to confirm that T-cell defects in patients with chronic HBV infection are associated with HBV DNA infection of bone marrow (BM) hematopoietic stem cells (HSCs). Using reverse transcription polymerase chain reaction (RT-PCR) and fluorescence in situ hybridization (FISH), we observed the transcription of HBsAg coding genes and confirmed the integration of HBV DNA in CD34(+) BM HSCs from chronic HBV infection patients. T cells were generated by coculturing the HSCs with delta-like ligand 1-expressing OP9 (OP9-DL1) cells. The phenotypes of the T cells were then evaluated by flow cytometric (FACS) analysis on days 14 and 25. The results demonstrated that fewer CD3(+) TCRabeta(+) CD3(+) CD4(+) and CD4(+) CD8(+) T cells were generated from the HSCs of the patients than from the healthy controls, (P &lt; 0.01) but the frequency of CD3(+) D8(+) T cells was not significantly different between the two group (P &gt; 0.05). In contrast, CD4(+) CD25(+) T cells were more in the patient group than in healthy controls (P &lt; 0.01) on both days 14 and 25. There were fewer CD3(+) CD4(+) /CD3(+) CD8(+) cells in the patient group than in the healthy control group on day 25 (P &lt; 0.05). Less proliferation and lower levels of IL-2 and IFN- gamma were also observed in the patient group compared with the control group (P &lt; 0.05).These data suggest that HBV DNA infected and integrated into the BM HSCs from patients with chronic HBV infection and that these BM HSCs generated defective T cells.", "author" : [ { "dropping-particle" : "", "family" : "Shi", "given" : "Y.", "non-dropping-particle" : "", "parse-names" : false, "suffix" : "" }, { "dropping-particle" : "", "family" : "Lan", "given" : "Y.", "non-dropping-particle" : "", "parse-names" : false, "suffix" : "" }, { "dropping-particle" : "", "family" : "Cao", "given" : "F.", "non-dropping-particle" : "", "parse-names" : false, "suffix" : "" }, { "dropping-particle" : "", "family" : "Teng", "given" : "Y.", "non-dropping-particle" : "", "parse-names" : false, "suffix" : "" }, { "dropping-particle" : "", "family" : "Li", "given" : "L.", "non-dropping-particle" : "", "parse-names" : false, "suffix" : "" }, { "dropping-particle" : "", "family" : "Wang", "given" : "F.", "non-dropping-particle" : "", "parse-names" : false, "suffix" : "" }, { "dropping-particle" : "", "family" : "Li", "given" : "J.", "non-dropping-particle" : "", "parse-names" : false, "suffix" : "" }, { "dropping-particle" : "", "family" : "Zhou", "given" : "J.", "non-dropping-particle" : "", "parse-names" : false, "suffix" : "" }, { "dropping-particle" : "", "family" : "Li", "given" : "Y.", "non-dropping-particle" : "", "parse-names" : false, "suffix" : "" } ], "container-title" : "Journal of Viral Hepatitis", "id" : "ITEM-2", "issue" : "7", "issued" : { "date-parts" : [ [ "2014", "7", "1" ] ] }, "page" : "e39-e47", "title" : "Infected hematopoietic stem cells and with integrated HBV DNA generate defective T cells in chronic HBV infection patients", "type" : "article-journal", "volume" : "21" }, "uris" : [ "http://www.mendeley.com/documents/?uuid=6a9a67d1-e62e-38e1-97c9-12b095fce438" ] } ], "mendeley" : { "formattedCitation" : "&lt;sup&gt;29,33&lt;/sup&gt;", "plainTextFormattedCitation" : "29,33", "previouslyFormattedCitation" : "&lt;sup&gt;29,33&lt;/sup&gt;"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29,33</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t>. As for HBV, patients infected with HCV show a mild to moderate liver disease on long-term monitoring depending on age at infection and host immune response</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"10.1038/nrdp.2017.6", "ISBN" : "1198-743X", "ISSN" : "2056-676X", "PMID" : "28252637", "abstract" : "Hepatitis C virus (HCV) is a hepatotropic RNA virus that causes progressive liver damage, which might result in liver cirrhosis and hepatocellular carcinoma. Globally, between 64 and 103 million people are chronically infected. Major risk factors for this blood-borne virus infection are unsafe injection drug use and unsterile medical procedures (iatrogenic infections) in countries with high HCV prevalence. Diagnostic procedures include serum HCV antibody testing, HCV RNA measurement, viral genotype and subtype determination and, lately, assessment of resistance-associated substitutions. Various direct-acting antiviral agents (DAAs) have become available, which target three proteins involved in crucial steps of the HCV life cycle: the NS3/4A protease, the NS5A protein and the RNA-dependent RNA polymerase NS5B protein. Combination of two or three of these DAAs can cure (defined as a sustained virological response 12 weeks after treatment) HCV infection in &gt;90% of patients, including populations that have been difficult to treat in the past. As long as a prophylactic vaccine is not available, the HCV pandemic has to be controlled by treatment-as-prevention strategies, effective screening programmes and global access to treatment.", "author" : [ { "dropping-particle" : "", "family" : "Manns", "given" : "Michael P.", "non-dropping-particle" : "", "parse-names" : false, "suffix" : "" }, { "dropping-particle" : "", "family" : "Buti", "given" : "Maria", "non-dropping-particle" : "", "parse-names" : false, "suffix" : "" }, { "dropping-particle" : "", "family" : "Gane", "given" : "Ed", "non-dropping-particle" : "", "parse-names" : false, "suffix" : "" }, { "dropping-particle" : "", "family" : "Pawlotsky", "given" : "Jean-Michel", "non-dropping-particle" : "", "parse-names" : false, "suffix" : "" }, { "dropping-particle" : "", "family" : "Razavi", "given" : "Homie", "non-dropping-particle" : "", "parse-names" : false, "suffix" : "" }, { "dropping-particle" : "", "family" : "Terrault", "given" : "Norah", "non-dropping-particle" : "", "parse-names" : false, "suffix" : "" }, { "dropping-particle" : "", "family" : "Younossi", "given" : "Zobair", "non-dropping-particle" : "", "parse-names" : false, "suffix" : "" } ], "container-title" : "Nature Reviews Disease Primers", "id" : "ITEM-1", "issued" : { "date-parts" : [ [ "2017", "3", "2" ] ] }, "page" : "17006", "title" : "Hepatitis C virus infection", "type" : "article-journal", "volume" : "3" }, "uris" : [ "http://www.mendeley.com/documents/?uuid=fd4ff478-b2c1-3cf0-97e9-5fe22ee46ae5" ] } ], "mendeley" : { "formattedCitation" : "&lt;sup&gt;34&lt;/sup&gt;", "plainTextFormattedCitation" : "34", "previouslyFormattedCitation" : "&lt;sup&gt;34&lt;/sup&gt;"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34</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937D61"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lastRenderedPageBreak/>
        <w:t>HCV infection in HSCT recipients might be because of both virus reactivation and de novo infection. HCV reactivation after immunosuppressive therapy has led to fulminant hepatic failure in some cases. Accordingly, in a multice</w:t>
      </w:r>
      <w:r w:rsidR="00937D61" w:rsidRPr="001E48D5">
        <w:rPr>
          <w:rFonts w:ascii="Book Antiqua" w:eastAsia="Times New Roman" w:hAnsi="Book Antiqua" w:cs="Segoe UI"/>
          <w:color w:val="000000"/>
          <w:sz w:val="24"/>
          <w:szCs w:val="24"/>
        </w:rPr>
        <w:t xml:space="preserve">nter study by </w:t>
      </w:r>
      <w:proofErr w:type="spellStart"/>
      <w:r w:rsidR="00937D61" w:rsidRPr="001E48D5">
        <w:rPr>
          <w:rFonts w:ascii="Book Antiqua" w:eastAsia="Times New Roman" w:hAnsi="Book Antiqua" w:cs="Segoe UI"/>
          <w:color w:val="000000"/>
          <w:sz w:val="24"/>
          <w:szCs w:val="24"/>
        </w:rPr>
        <w:t>Locasciulli</w:t>
      </w:r>
      <w:proofErr w:type="spellEnd"/>
      <w:r w:rsidR="00937D61" w:rsidRPr="001E48D5">
        <w:rPr>
          <w:rFonts w:ascii="Book Antiqua" w:eastAsia="Times New Roman" w:hAnsi="Book Antiqua" w:cs="Segoe UI"/>
          <w:color w:val="000000"/>
          <w:sz w:val="24"/>
          <w:szCs w:val="24"/>
        </w:rPr>
        <w:t xml:space="preserve"> </w:t>
      </w:r>
      <w:r w:rsidR="00937D61"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"10.1038/sj.bmt.1703826", "ISBN" : "0268-3369 (Print)\\r0268-3369 (Linking)", "ISSN" : "02683369", "PMID" : "12621466", "abstract" : "Hepatitis B virus/hepatitis C virus (HBV/HCV) positive patients undergoing haemopoietic stem cell transplantation (HSCT) are at risk of hepatitis reactivation and fatal liver failure: we have conducted a retrospective study to assess the risk in 20 Italian transplant centres. A total of 90 patients infected with HBV (n=33) or HCV (n=57) receiving allogeneic (n=36) or autologous (n=54) haemotopoietic stem cell transplant (HSCT) between 1996 and 2000 were reviewed. The biochemical profiles and outcomes of infection-related liver disease were also analysed. The risk of death at 2 years was comparable when considering type of infection (3% for HBV vs 8% for HCV, P=0.6) or type of HSCT (7% for allogeneic vs 5% for autologous HHSCT, P=0.34). Hepatitis reactivation followed by resolution was more frequent in HCV+ than in HBV+ patients receiving an allograft (100% vs 16%, P=0.004). In HBV+ cases, risk of reactivation was comparable after autologous or allogeneic transplantation (66 vs 81%, P=0.3), but liver disease was more severe and occurred earlier in the autologous group. Our results indicate that HBV and HCV infection should not be taken as an absolute contraindication for HSCT and the risk of life-threatening liver complications are similar after allogeneic or autologous transplants.", "author" : [ { "dropping-particle" : "", "family" : "Locasciulli", "given" : "A.", "non-dropping-particle" : "", "parse-names" : false, "suffix" : "" }, { "dropping-particle" : "", "family" : "Bruno", "given" : "B.", "non-dropping-particle" : "", "parse-names" : false, "suffix" : "" }, { "dropping-particle" : "", "family" : "Alessandrino", "given" : "E. P.", "non-dropping-particle" : "", "parse-names" : false, "suffix" : "" }, { "dropping-particle" : "", "family" : "Meloni", "given" : "G.", "non-dropping-particle" : "", "parse-names" : false, "suffix" : "" }, { "dropping-particle" : "", "family" : "Arcese", "given" : "W.", "non-dropping-particle" : "", "parse-names" : false, "suffix" : "" }, { "dropping-particle" : "", "family" : "Bandini", "given" : "G.", "non-dropping-particle" : "", "parse-names" : false, "suffix" : "" }, { "dropping-particle" : "", "family" : "Cassibba", "given" : "V.", "non-dropping-particle" : "", "parse-names" : false, "suffix" : "" }, { "dropping-particle" : "", "family" : "Rotoli", "given" : "B.", "non-dropping-particle" : "", "parse-names" : false, "suffix" : "" }, { "dropping-particle" : "", "family" : "Morra", "given" : "E.", "non-dropping-particle" : "", "parse-names" : false, "suffix" : "" }, { "dropping-particle" : "", "family" : "Majolino", "given" : "I.", "non-dropping-particle" : "", "parse-names" : false, "suffix" : "" }, { "dropping-particle" : "", "family" : "Alberti", "given" : "A.", "non-dropping-particle" : "", "parse-names" : false, "suffix" : "" }, { "dropping-particle" : "", "family" : "Bacigalupo", "given" : "A.", "non-dropping-particle" : "", "parse-names" : false, "suffix" : "" } ], "container-title" : "Bone Marrow Transplantation", "id" : "ITEM-1", "issue" : "4", "issued" : { "date-parts" : [ [ "2003" ] ] }, "page" : "295-300", "title" : "Hepatitis reactivation and liver failure in haemopoietic stem cell transplants for hepatitis B virus (HBV)/hepatitis C virus (HCV) positive recipients: A retrospective study by the Italian group for blood and marrow transplantation", "type" : "article-journal", "volume" : "31" }, "uris" : [ "http://www.mendeley.com/documents/?uuid=2e51379c-13bb-43f6-bb65-c49d3bafbd9c" ] } ], "mendeley" : { "formattedCitation" : "&lt;sup&gt;35&lt;/sup&gt;", "plainTextFormattedCitation" : "35", "previouslyFormattedCitation" : "&lt;sup&gt;35&lt;/sup&gt;"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35</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the risk of HCV reactivation at 24 </w:t>
      </w:r>
      <w:proofErr w:type="spellStart"/>
      <w:r w:rsidRPr="001E48D5">
        <w:rPr>
          <w:rFonts w:ascii="Book Antiqua" w:eastAsia="Times New Roman" w:hAnsi="Book Antiqua" w:cs="Segoe UI"/>
          <w:color w:val="000000"/>
          <w:sz w:val="24"/>
          <w:szCs w:val="24"/>
        </w:rPr>
        <w:t>mo</w:t>
      </w:r>
      <w:proofErr w:type="spellEnd"/>
      <w:r w:rsidRPr="001E48D5">
        <w:rPr>
          <w:rFonts w:ascii="Book Antiqua" w:eastAsia="Times New Roman" w:hAnsi="Book Antiqua" w:cs="Segoe UI"/>
          <w:color w:val="000000"/>
          <w:sz w:val="24"/>
          <w:szCs w:val="24"/>
        </w:rPr>
        <w:t xml:space="preserve"> after HSCT has been 100% and 16% for allogeneic and autologous cases, respectively.</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 xml:space="preserve">On the other hand, the rate of de novo HCV infection in HSCT recipients of donor-cell origin is controversial. In this context, 50% of the patients receiving an infected marrow became </w:t>
      </w:r>
      <w:proofErr w:type="spellStart"/>
      <w:r w:rsidRPr="001E48D5">
        <w:rPr>
          <w:rFonts w:ascii="Book Antiqua" w:eastAsia="Times New Roman" w:hAnsi="Book Antiqua" w:cs="Segoe UI"/>
          <w:color w:val="000000"/>
          <w:sz w:val="24"/>
          <w:szCs w:val="24"/>
        </w:rPr>
        <w:t>viraemic</w:t>
      </w:r>
      <w:proofErr w:type="spellEnd"/>
      <w:r w:rsidRPr="001E48D5">
        <w:rPr>
          <w:rFonts w:ascii="Book Antiqua" w:eastAsia="Times New Roman" w:hAnsi="Book Antiqua" w:cs="Segoe UI"/>
          <w:color w:val="000000"/>
          <w:sz w:val="24"/>
          <w:szCs w:val="24"/>
        </w:rPr>
        <w:t xml:space="preserve"> in a study by </w:t>
      </w:r>
      <w:proofErr w:type="spellStart"/>
      <w:r w:rsidRPr="001E48D5">
        <w:rPr>
          <w:rFonts w:ascii="Book Antiqua" w:eastAsia="Times New Roman" w:hAnsi="Book Antiqua" w:cs="Segoe UI"/>
          <w:color w:val="000000"/>
          <w:sz w:val="24"/>
          <w:szCs w:val="24"/>
        </w:rPr>
        <w:t>Locasciulli</w:t>
      </w:r>
      <w:proofErr w:type="spellEnd"/>
      <w:r w:rsidRPr="001E48D5">
        <w:rPr>
          <w:rFonts w:ascii="Book Antiqua" w:eastAsia="Times New Roman" w:hAnsi="Book Antiqua" w:cs="Segoe UI"/>
          <w:color w:val="000000"/>
          <w:sz w:val="24"/>
          <w:szCs w:val="24"/>
        </w:rPr>
        <w:t xml:space="preserve"> </w:t>
      </w:r>
      <w:r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"ISSN" : "0041-1337", "PMID" : "10589944", "abstract" : "BACKGROUND Severe liver disease, including fulminant hepatic failure and venoocclusive disease can occur after bone marrow transplantation (BMT). The aim of our study was to assess risk factors for veno occlusive disease and severe liver disease occurring within 6 months from BMT. METHODS A total of 193 consecutive patients from 15 BMT Centers were prospectively enrolled between January and June 1995. Data on donors and recipients before and after transplant were collected and included age, gender, alanine aminotransferase (ALT), hepatitis B (HBV), and hepatitis C virus (HCV) markers, hematological disease, status and type of BMT, conditioning regimen and graft versus host disease prophylaxis. Statistical analysis included univariate descriptive and multivariate analysis based on logistic regression on major end-points. RESULTS Forty-three of 193 patients died during the study period, and liver disease was the main cause of death (13 of 43, 30%). Incidence of severe veno occlusive disease was 8%, fulminant hepatic failure 0.5% and 12% of cases had ALT &gt;500 U/L (normal &lt; or =42 U/L). A de novo HBV or HCV infection occurred in 3.2 and 7% of patients respectively. Predictive risk factors for life-threatening liver disease were: unrelated donors (relative risk=5.8, confidence interval=1.7-19.8) and abnormal BMT donor ALT (relative risk=6.3, confidence interval=1. 5- 25.5). CONCLUSIONS This study indicates that ongoing or previous infection with HBV or HCV in donor or recipient is not an absolute contraindication for BMT. However, abnormal ALT levels in BMT donors were a significant predictor of potentially lethal liver complications. The occurrence of de novo HBV or HCV infection did not correlate with severity of liver disease observed in the first 6 months posttransplant. These findings should be carefully evaluated before disregarding HBV or HCV positive siblings with normal transaminase levels in favor of unrelated donors.", "author" : [ { "dropping-particle" : "", "family" : "Locasciulli", "given" : "A", "non-dropping-particle" : "", "parse-names" : false, "suffix" : "" }, { "dropping-particle" : "", "family" : "Testa", "given" : "M", "non-dropping-particle" : "", "parse-names" : false, "suffix" : "" }, { "dropping-particle" : "", "family" : "Valsecchi", "given" : "M G", "non-dropping-particle" : "", "parse-names" : false, "suffix" : "" }, { "dropping-particle" : "", "family" : "Bacigalupo", "given" : "A", "non-dropping-particle" : "", "parse-names" : false, "suffix" : "" }, { "dropping-particle" : "", "family" : "Solinas", "given" : "S", "non-dropping-particle" : "", "parse-names" : false, "suffix" : "" }, { "dropping-particle" : "", "family" : "Tomas", "given" : "J F", "non-dropping-particle" : "", "parse-names" : false, "suffix" : "" }, { "dropping-particle" : "", "family" : "Ljungman", "given" : "P", "non-dropping-particle" : "", "parse-names" : false, "suffix" : "" }, { "dropping-particle" : "", "family" : "Alberti", "given" : "A", "non-dropping-particle" : "", "parse-names" : false, "suffix" : "" } ], "container-title" : "Transplantation", "id" : "ITEM-1", "issue" : "10", "issued" : { "date-parts" : [ [ "1999", "11", "27" ] ] }, "page" : "1486-91", "title" : "The role of hepatitis C and B virus infections as risk factors for severe liver complications following allogeneic BMT: a prospective study by the Infectious Disease Working Party of the European Blood and Marrow Transplantation Group.", "type" : "article-journal", "volume" : "68" }, "uris" : [ "http://www.mendeley.com/documents/?uuid=bbc0a52f-2c98-3c44-81d0-59bb9b89877d" ] } ], "mendeley" : { "formattedCitation" : "&lt;sup&gt;36&lt;/sup&gt;", "plainTextFormattedCitation" : "36", "previouslyFormattedCitation" : "&lt;sup&gt;36&lt;/sup&gt;"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36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00937D61" w:rsidRPr="001E48D5">
        <w:rPr>
          <w:rFonts w:ascii="Book Antiqua" w:eastAsia="Times New Roman" w:hAnsi="Book Antiqua" w:cs="Segoe UI"/>
          <w:color w:val="000000"/>
          <w:sz w:val="24"/>
          <w:szCs w:val="24"/>
        </w:rPr>
        <w:t xml:space="preserve">, while </w:t>
      </w:r>
      <w:proofErr w:type="spellStart"/>
      <w:r w:rsidR="00937D61" w:rsidRPr="001E48D5">
        <w:rPr>
          <w:rFonts w:ascii="Book Antiqua" w:eastAsia="Times New Roman" w:hAnsi="Book Antiqua" w:cs="Segoe UI"/>
          <w:color w:val="000000"/>
          <w:sz w:val="24"/>
          <w:szCs w:val="24"/>
        </w:rPr>
        <w:t>Shuhart</w:t>
      </w:r>
      <w:proofErr w:type="spellEnd"/>
      <w:r w:rsidR="00937D61" w:rsidRPr="001E48D5">
        <w:rPr>
          <w:rFonts w:ascii="Book Antiqua" w:eastAsia="Times New Roman" w:hAnsi="Book Antiqua" w:cs="Segoe UI"/>
          <w:color w:val="000000"/>
          <w:sz w:val="24"/>
          <w:szCs w:val="24"/>
        </w:rPr>
        <w:t xml:space="preserve"> </w:t>
      </w:r>
      <w:r w:rsidR="00937D61"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"ISSN" : "00064971", "abstract" : "Bone marrow transplant recipients are at risk for acquiring hepatitis C infection from the donated marrow. Twelve patients who were hepatitis C virus (HCV) RNA-negative pretransplant received marrow from anti-HCV seropositive donors. HCV RNA was present in the sera of seven of these donors. After transplant, serial serum specimens were obtained from all marrow recipients for determination of HCV RNA and aminotransferase levels. All seven recipients of marrow from HCV RNA-positive donors were HCV RNA-positive after marrow infusion; none cleared virus from the serum. All five recipients of marrow from anti-HCV seropositive, HCV RNA-negative donors remained free of HCV RNA in serum up to day 100. Abnormal serum aminotransferases were common in both HCV RNA-negative and HCV RNA-positive marrow recipients. One HCV- infected recipient developed marked elevation in aminotransferases after immunosuppressive drugs were stopped. We conclude that the presence of HCV RNA in the serum of marrow donors is an accurate predictor of HCV infection in marrow recipients. The acute infection was subclinical in all patients. The long-term risk of chronic hepatitis C virus infection in these patients remains to be determined.", "author" : [ { "dropping-particle" : "", "family" : "Shuhart", "given" : "M.C.", "non-dropping-particle" : "", "parse-names" : false, "suffix" : "" }, { "dropping-particle" : "", "family" : "Myerson", "given" : "D.", "non-dropping-particle" : "", "parse-names" : false, "suffix" : "" }, { "dropping-particle" : "", "family" : "Childs", "given" : "B.H.", "non-dropping-particle" : "", "parse-names" : false, "suffix" : "" }, { "dropping-particle" : "", "family" : "Fingeroth", "given" : "J.D.", "non-dropping-particle" : "", "parse-names" : false, "suffix" : "" }, { "dropping-particle" : "", "family" : "Perry", "given" : "J.J.", "non-dropping-particle" : "", "parse-names" : false, "suffix" : "" }, { "dropping-particle" : "", "family" : "Snyder", "given" : "D.S.", "non-dropping-particle" : "", "parse-names" : false, "suffix" : "" }, { "dropping-particle" : "", "family" : "Spurgeon", "given" : "C.L.", "non-dropping-particle" : "", "parse-names" : false, "suffix" : "" }, { "dropping-particle" : "", "family" : "Bevan", "given" : "C.A.", "non-dropping-particle" : "", "parse-names" : false, "suffix" : "" }, { "dropping-particle" : "", "family" : "McDonald", "given" : "G.B.", "non-dropping-particle" : "", "parse-names" : false, "suffix" : "" } ], "container-title" : "Blood", "id" : "ITEM-1", "issue" : "9", "issued" : { "date-parts" : [ [ "1994" ] ] }, "page" : "3229-3235", "title" : "Marrow transplantation from hepatitis C virus seropositive donors: Transmission rate and clinical course", "type" : "article-journal", "volume" : "84" }, "uris" : [ "http://www.mendeley.com/documents/?uuid=25f4813a-6bdd-4ba6-8c45-9e4afe49ac4f" ] } ], "mendeley" : { "formattedCitation" : "&lt;sup&gt;37&lt;/sup&gt;", "plainTextFormattedCitation" : "37", "previouslyFormattedCitation" : "&lt;sup&gt;37&lt;/sup&gt;"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37</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observed a 100% rate of virus transmission in such cases. Moreover, it has been reported that HCV can infect HSCs and therefore, virus transmission from HCV-RNA positive donor to an uninfected recipient is possible</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"10.3389/fimmu.2016.00364", "ISSN" : "16643224", "PMID" : "27695457", "abstract" : "The ability of the bone marrow (BM) to generate copious amounts of blood cells required on a daily basis depends on a highly orchestrated process of proliferation and differentiation of hematopoietic stem and progenitor cells (HSPCs). This process can be rapidly adapted under stress conditions, such as infections, to meet the specific cellular needs of the immune response and the ensuing physiological changes. This requires a tight regulation in order to prevent either hematopoietic failure or transformation. Although adaptation to bacterial infections or systemic inflammation has been studied and reviewed in depth, specific alterations of hematopoiesis to viral infections have received less attention so far. Viruses constantly pose a significant health risk and demand an adequate, balanced response from our immune system, which also affects the BM. In fact, both the virus itself and the ensuing immune response can have a tremendous impact on the hematopoietic process. On one hand, this can be beneficial: it helps to boost the cellular response of the body to resolve the viral infection. But on the other hand, when the virus and the resulting antiviral response persist, the inflammatory feedback to the hematopoietic system will become chronic, which can be detrimental for a balanced BM output. Chronic viral infections frequently have clinical manifestations at the level of blood cell formation, and we summarize which viruses can lead to BM pathologies, like aplastic anemia, pancytopenia, hemophagocytic lymphohistiocytosis, lymphoproliferative disorders, and malignancies. Regarding the underlying mechanisms, we address specific effects of acute and chronic viral infections on blood cell production. As such, we distinguish four different levels in which this can occur: (1) direct viral infection of HSPCs, (2) viral recognition by HSPCs, (3) indirect effects on HSPCs by inflammatory mediators, and (4) the role of the BM microenvironment on hematopoiesis upon virus infection. In conclusion, this review provides a comprehensive overview on how viral infections can affect the formation of new blood cells, aiming to advance our understanding of the underlying cellular and molecular mechanisms to improve the treatment of BM failure in patients.", "author" : [ { "dropping-particle" : "", "family" : "Pascutti", "given" : "Maria Fernanda", "non-dropping-particle" : "", "parse-names" : false, "suffix" : "" }, { "dropping-particle" : "", "family" : "Erkelens", "given" : "Martje N.", "non-dropping-particle" : "", "parse-names" : false, "suffix" : "" }, { "dropping-particle" : "", "family" : "Nolte", "given" : "Martijn A.", "non-dropping-particle" : "", "parse-names" : false, "suffix" : "" } ], "container-title" : "Frontiers in Immunology", "id" : "ITEM-1", "issue" : "SEP", "issued" : { "date-parts" : [ [ "2016" ] ] }, "page" : "1-12", "title" : "Impact of viral infections on hematopoiesis: From beneficial to detrimental effects on bone marrow output", "type" : "article-journal", "volume" : "7" }, "uris" : [ "http://www.mendeley.com/documents/?uuid=fd51004b-55ac-40ca-89c4-14c1db6135e8" ] } ], "mendeley" : { "formattedCitation" : "&lt;sup&gt;38&lt;/sup&gt;", "plainTextFormattedCitation" : "38", "previouslyFormattedCitation" : "&lt;sup&gt;38&lt;/sup&gt;"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38</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HSCT has not a contraindication in HCV infected recipients without any evidence of liver damage. However, HCV-infected HSCT recipients are more prone to develop GVHD and fatal liver failure in comparison with non-infected recipients. Furthermore, outcomes in long-term survivors are significant, and they should be monitored carefully by regular examinations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"10.3324/haematol.2008.002048", "ISSN" : "1592-8721", "PMID" : "19181791", "author" : [ { "dropping-particle" : "", "family" : "Soci\u00e9", "given" : "G\u00e9rard", "non-dropping-particle" : "", "parse-names" : false, "suffix" : "" }, { "dropping-particle" : "", "family" : "Latour", "given" : "R\u00e9gis Peffault", "non-dropping-particle" : "de", "parse-names" : false, "suffix" : "" }, { "dropping-particle" : "", "family" : "McDonald", "given" : "George B", "non-dropping-particle" : "", "parse-names" : false, "suffix" : "" } ], "container-title" : "Haematologica", "id" : "ITEM-1", "issue" : "2", "issued" : { "date-parts" : [ [ "2009", "2" ] ] }, "page" : "170-2", "publisher" : "Ferrata Storti Foundation", "title" : "Hepatitis C virus and allogeneic stem cell transplantation still matters!", "type" : "article-journal", "volume" : "94" }, "uris" : [ "http://www.mendeley.com/documents/?uuid=0669a66a-a5bb-33b9-8098-4ef320b3b09d" ] }, { "id" : "ITEM-2", "itemData" : { "DOI" : "10.1038/bmt.2015.309", "ISSN" : "14765365", "author" : [ { "dropping-particle" : "", "family" : "Thomas", "given" : "P.", "non-dropping-particle" : "", "parse-names" : false, "suffix" : "" }, { "dropping-particle" : "", "family" : "Santiago", "given" : "T.", "non-dropping-particle" : "", "parse-names" : false, "suffix" : "" }, { "dropping-particle" : "", "family" : "Dallas", "given" : "M. H.", "non-dropping-particle" : "", "parse-names" : false, "suffix" : "" } ], "container-title" : "Bone Marrow Transplantation", "id" : "ITEM-2", "issue" : "5", "issued" : { "date-parts" : [ [ "2016" ] ] }, "page" : "735-737", "publisher" : "Nature Publishing Group", "title" : "Treatment of hepatitis C in a pediatric patient using simeprevir and sofosbuvir immediately after an umbilical cord blood transplantation", "type" : "article-journal", "volume" : "51" }, "uris" : [ "http://www.mendeley.com/documents/?uuid=ba531e6f-b404-475f-8099-00b49532d2de" ] } ], "mendeley" : { "formattedCitation" : "&lt;sup&gt;39,40&lt;/sup&gt;", "plainTextFormattedCitation" : "39,40", "previouslyFormattedCitation" : "&lt;sup&gt;39,40&lt;/sup&gt;"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39,40</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Anti-HCV positive but HCV-RNA negative donors are improbable to infect the recipients and may be selected for transplant donation for the patients without an alternative donor. Accordingly, all anti-HCV-positive donors should be tested for HCV-RNA. However, high-risk anti-HCV negative donors should also be tested for HCV-RNA</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"10.1111/jvh.12236", "ISBN" : "1365-2893 (Electronic)\\r1352-0504 (Linking)", "ISSN" : "13652893", "PMID" : "24620791", "abstract" : "A weak T-cell response plays a key role in the persistence of hepatitis B virus (HBV) infection. We aimed to confirm that T-cell defects in patients with chronic HBV infection are associated with HBV DNA infection of bone marrow (BM) hematopoietic stem cells (HSCs). Using reverse transcription polymerase chain reaction (RT-PCR) and fluorescence in situ hybridization (FISH), we observed the transcription of HBsAg coding genes and confirmed the integration of HBV DNA in CD34(+) BM HSCs from chronic HBV infection patients. T cells were generated by coculturing the HSCs with delta-like ligand 1-expressing OP9 (OP9-DL1) cells. The phenotypes of the T cells were then evaluated by flow cytometric (FACS) analysis on days 14 and 25. The results demonstrated that fewer CD3(+) TCRabeta(+) CD3(+) CD4(+) and CD4(+) CD8(+) T cells were generated from the HSCs of the patients than from the healthy controls, (P &lt; 0.01) but the frequency of CD3(+) D8(+) T cells was not significantly different between the two group (P &gt; 0.05). In contrast, CD4(+) CD25(+) T cells were more in the patient group than in healthy controls (P &lt; 0.01) on both days 14 and 25. There were fewer CD3(+) CD4(+) /CD3(+) CD8(+) cells in the patient group than in the healthy control group on day 25 (P &lt; 0.05). Less proliferation and lower levels of IL-2 and IFN- gamma were also observed in the patient group compared with the control group (P &lt; 0.05).These data suggest that HBV DNA infected and integrated into the BM HSCs from patients with chronic HBV infection and that these BM HSCs generated defective T cells.", "author" : [ { "dropping-particle" : "", "family" : "Shi", "given" : "Y.", "non-dropping-particle" : "", "parse-names" : false, "suffix" : "" }, { "dropping-particle" : "", "family" : "Lan", "given" : "Y.", "non-dropping-particle" : "", "parse-names" : false, "suffix" : "" }, { "dropping-particle" : "", "family" : "Cao", "given" : "F.", "non-dropping-particle" : "", "parse-names" : false, "suffix" : "" }, { "dropping-particle" : "", "family" : "Teng", "given" : "Y.", "non-dropping-particle" : "", "parse-names" : false, "suffix" : "" }, { "dropping-particle" : "", "family" : "Li", "given" : "L.", "non-dropping-particle" : "", "parse-names" : false, "suffix" : "" }, { "dropping-particle" : "", "family" : "Wang", "given" : "F.", "non-dropping-particle" : "", "parse-names" : false, "suffix" : "" }, { "dropping-particle" : "", "family" : "Li", "given" : "J.", "non-dropping-particle" : "", "parse-names" : false, "suffix" : "" }, { "dropping-particle" : "", "family" : "Zhou", "given" : "J.", "non-dropping-particle" : "", "parse-names" : false, "suffix" : "" }, { "dropping-particle" : "", "family" : "Li", "given" : "Y.", "non-dropping-particle" : "", "parse-names" : false, "suffix" : "" } ], "container-title" : "Journal of Viral Hepatitis", "id" : "ITEM-1", "issue" : "7", "issued" : { "date-parts" : [ [ "2014", "7", "1" ] ] }, "page" : "e39-e47", "title" : "Infected hematopoietic stem cells and with integrated HBV DNA generate defective T cells in chronic HBV infection patients", "type" : "article-journal", "volume" : "21" }, "uris" : [ "http://www.mendeley.com/documents/?uuid=6a9a67d1-e62e-38e1-97c9-12b095fce438" ] }, { "id" : "ITEM-2", "itemData" : { "DOI" : "10.1038/bmt.2015.309", "ISSN" : "14765365", "author" : [ { "dropping-particle" : "", "family" : "Thomas", "given" : "P.", "non-dropping-particle" : "", "parse-names" : false, "suffix" : "" }, { "dropping-particle" : "", "family" : "Santiago", "given" : "T.", "non-dropping-particle" : "", "parse-names" : false, "suffix" : "" }, { "dropping-particle" : "", "family" : "Dallas", "given" : "M. H.", "non-dropping-particle" : "", "parse-names" : false, "suffix" : "" } ], "container-title" : "Bone Marrow Transplantation", "id" : "ITEM-2", "issue" : "5", "issued" : { "date-parts" : [ [ "2016" ] ] }, "page" : "735-737", "publisher" : "Nature Publishing Group", "title" : "Treatment of hepatitis C in a pediatric patient using simeprevir and sofosbuvir immediately after an umbilical cord blood transplantation", "type" : "article-journal", "volume" : "51" }, "uris" : [ "http://www.mendeley.com/documents/?uuid=ba531e6f-b404-475f-8099-00b49532d2de" ] } ], "mendeley" : { "formattedCitation" : "&lt;sup&gt;33,40&lt;/sup&gt;", "plainTextFormattedCitation" : "33,40", "previouslyFormattedCitation" : "&lt;sup&gt;33,40&lt;/sup&gt;"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33,40</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The risk of vertical HCV transmission is lower than in HBV including 1.7% and 4.3% in children born to women positive for hepatitis C antibody or HCV-RNA, respectively. Despite the possibility of vertical HCV transmission from mother to fetus and possible contamination of UCB units, there is a paucity of published data that have focused on the possibility and outcomes of HCV transmission by UCBT. Future studies using molecular diagnostic methods and clinical monitoring will clarify the prevalence and importance of UCB-related HCV transmission</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"10.14218/JCTH.2016.00067", "ISBN" : "1860679250", "ISSN" : "2225-0719", "PMID" : "28660149", "abstract" : "Vertical transmission (VT) is the primary route of transmission of viral hepatitis in children. The rate of VT ranges from 1-28% with hepatitis B virus (HBV) and 3-15% with hepatitis C virus (HCV). VT for both viruses can occur during the intrauterine or peripartum period. VT of HBV primarily occurs by intrauterine transmission (IUT). Hepatitis B surface antigen is unable to cross the placenta and, therefore, relies on processes like transplacental leakage, placental infection, cellular transmission by peripheral blood mononuclear cells, and germline transmission. HCV can also infect the fetus by IUT. Both viruses also have the potential for transmission during delivery, when there is increase chance of maternal-fetal blood exposure. HBV and HCV share some common risk factors for VT, including maternal viral load, human immunodeficiency virus co-infection and neonatal sex. Prevention of VT differs greatly between HBV and HCV. There are several alternatives for prevention of HBV VT, including antiviral medications during the third trimester of pregnancy and HBV vaccine, as well as hepatitis B immunoglobulin administration to infants post-partum. In contrast, there are no preventative interventions available for HCV. Despite these differences, the key to prevention with both viruses is screening women prior to and during pregnancy.", "author" : [ { "dropping-particle" : "", "family" : "Mavilia", "given" : "Marianna G.", "non-dropping-particle" : "", "parse-names" : false, "suffix" : "" }, { "dropping-particle" : "", "family" : "Wu", "given" : "George Y.", "non-dropping-particle" : "", "parse-names" : false, "suffix" : "" } ], "container-title" : "Journal of Clinical and Translational Hepatology", "id" : "ITEM-1", "issue" : "2", "issued" : { "date-parts" : [ [ "2017" ] ] }, "page" : "119-129", "title" : "Mechanisms and Prevention of Vertical Transmission in Chronic Viral Hepatitis", "type" : "article-journal", "volume" : "5" }, "uris" : [ "http://www.mendeley.com/documents/?uuid=0f8d814d-6e20-4bf9-88e4-5b5faab3f5e6" ] }, { "id" : "ITEM-2", "itemData" : { "DOI" : "10.1093/cid/ciu447", "ISSN" : "1058-4838", "PMID" : "24928290", "abstract" : "BACKGROUND We conducted a systematic review of estimates of hepatitis C virus (HCV) vertical transmission risk to update current estimates published more than a decade ago. METHODS PubMed and Embase were searched and 109 articles were included. Pooled estimates of risk were generated for children born to HCV antibody-positive and viremic women, aged \u226518 months, separately by maternal human immunodeficiency virus (HIV) coinfection. RESULTS Meta-analysis of the risk of vertical HCV infection to children of HCV antibody-positive and RNA-positive women was 5.8% (95% confidence interval [CI], 4.2%-7.8%) for children of HIV-negative women and 10.8% (95% CI, 7.6%-15.2%) for children of HIV-positive women. The adjusted meta-regression model explained 51% of the between-study variation in the 25 included risk estimates. Maternal HIV coinfection was the most important determinant of vertical transmission risk (adjusted odds ratio, 2.56 [95% CI, 1.50-4.43]). Additional methodological (follow-up rate and definition of infection in children) and risk factors independently predicted HCV infection and need to be captured and reported by future studies of vertical transmission. Studies assessing the contribution of nonvertical exposures in early childhood to HCV prevalence among children at risk of vertical transmission are needed. CONCLUSIONS More than 1 in every 20 children delivered by HCV chronically infected women are infected, highlighting that vertical transmission likely constitutes the primary transmission route among children. These updated estimates are a basis for decision making in prioritization of research into risk-reducing measures, and inform case management in clinical settings, especially for HIV-positive women in reproductive age.", "author" : [ { "dropping-particle" : "", "family" : "Benova", "given" : "Lenka", "non-dropping-particle" : "", "parse-names" : false, "suffix" : "" }, { "dropping-particle" : "", "family" : "Mohamoud", "given" : "Yousra A.", "non-dropping-particle" : "", "parse-names" : false, "suffix" : "" }, { "dropping-particle" : "", "family" : "Calvert", "given" : "Clara", "non-dropping-particle" : "", "parse-names" : false, "suffix" : "" }, { "dropping-particle" : "", "family" : "Abu-Raddad", "given" : "Laith J.", "non-dropping-particle" : "", "parse-names" : false, "suffix" : "" } ], "container-title" : "Clinical Infectious Diseases", "id" : "ITEM-2", "issue" : "6", "issued" : { "date-parts" : [ [ "2014", "9", "15" ] ] }, "page" : "765-773", "title" : "Vertical Transmission of Hepatitis C Virus: Systematic Review and Meta-analysis", "type" : "article-journal", "volume" : "59" }, "uris" : [ "http://www.mendeley.com/documents/?uuid=ccec0b23-f46d-3c57-afae-6cb3a849f601" ] } ], "mendeley" : { "formattedCitation" : "&lt;sup&gt;32,41&lt;/sup&gt;", "plainTextFormattedCitation" : "32,41", "previouslyFormattedCitation" : "&lt;sup&gt;32,41&lt;/sup&gt;"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32,41</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937D61" w:rsidRPr="001E48D5" w:rsidRDefault="00937D61" w:rsidP="007A67C3">
      <w:pPr>
        <w:spacing w:after="0" w:line="360" w:lineRule="auto"/>
        <w:ind w:firstLineChars="200" w:firstLine="480"/>
        <w:jc w:val="both"/>
        <w:rPr>
          <w:rFonts w:ascii="Book Antiqua" w:hAnsi="Book Antiqua" w:cs="Segoe UI"/>
          <w:color w:val="000000"/>
          <w:sz w:val="24"/>
          <w:szCs w:val="24"/>
          <w:lang w:eastAsia="zh-CN"/>
        </w:rPr>
      </w:pPr>
    </w:p>
    <w:p w:rsidR="00FA07B4" w:rsidRPr="001E48D5" w:rsidRDefault="00937D61"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
          <w:bCs/>
          <w:i/>
          <w:color w:val="000000"/>
          <w:sz w:val="24"/>
          <w:szCs w:val="24"/>
        </w:rPr>
        <w:lastRenderedPageBreak/>
        <w:t>Varicella-zoster virus</w:t>
      </w:r>
    </w:p>
    <w:p w:rsidR="00FA07B4" w:rsidRPr="001E48D5" w:rsidRDefault="009108A0"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Cs/>
          <w:color w:val="000000"/>
          <w:sz w:val="24"/>
          <w:szCs w:val="24"/>
        </w:rPr>
        <w:t>Varicella-zoster virus (VZV)</w:t>
      </w:r>
      <w:r w:rsidR="00FA07B4" w:rsidRPr="001E48D5">
        <w:rPr>
          <w:rFonts w:ascii="Book Antiqua" w:eastAsia="Times New Roman" w:hAnsi="Book Antiqua" w:cs="Segoe UI"/>
          <w:color w:val="000000"/>
          <w:sz w:val="24"/>
          <w:szCs w:val="24"/>
        </w:rPr>
        <w:t xml:space="preserve"> or </w:t>
      </w:r>
      <w:r w:rsidR="00937D61" w:rsidRPr="001E48D5">
        <w:rPr>
          <w:rFonts w:ascii="Book Antiqua" w:eastAsia="Times New Roman" w:hAnsi="Book Antiqua" w:cs="Segoe UI"/>
          <w:color w:val="000000"/>
          <w:sz w:val="24"/>
          <w:szCs w:val="24"/>
        </w:rPr>
        <w:t>HHV-3</w:t>
      </w:r>
      <w:r w:rsidR="00FA07B4" w:rsidRPr="001E48D5">
        <w:rPr>
          <w:rFonts w:ascii="Book Antiqua" w:eastAsia="Times New Roman" w:hAnsi="Book Antiqua" w:cs="Segoe UI"/>
          <w:color w:val="000000"/>
          <w:sz w:val="24"/>
          <w:szCs w:val="24"/>
        </w:rPr>
        <w:t xml:space="preserve"> is an exclusively human </w:t>
      </w:r>
      <w:proofErr w:type="spellStart"/>
      <w:r w:rsidR="00FA07B4" w:rsidRPr="001E48D5">
        <w:rPr>
          <w:rFonts w:ascii="Book Antiqua" w:eastAsia="Times New Roman" w:hAnsi="Book Antiqua" w:cs="Segoe UI"/>
          <w:color w:val="000000"/>
          <w:sz w:val="24"/>
          <w:szCs w:val="24"/>
        </w:rPr>
        <w:t>alphaherpesvirus</w:t>
      </w:r>
      <w:proofErr w:type="spellEnd"/>
      <w:r w:rsidR="00FA07B4" w:rsidRPr="001E48D5">
        <w:rPr>
          <w:rFonts w:ascii="Book Antiqua" w:eastAsia="Times New Roman" w:hAnsi="Book Antiqua" w:cs="Segoe UI"/>
          <w:color w:val="000000"/>
          <w:sz w:val="24"/>
          <w:szCs w:val="24"/>
        </w:rPr>
        <w:t xml:space="preserve">. The primary infection occurs typically as childhood chickenpox (varicella). As a common feature to all members of the </w:t>
      </w:r>
      <w:proofErr w:type="spellStart"/>
      <w:r w:rsidR="00FA07B4" w:rsidRPr="001E48D5">
        <w:rPr>
          <w:rFonts w:ascii="Book Antiqua" w:eastAsia="Times New Roman" w:hAnsi="Book Antiqua" w:cs="Segoe UI"/>
          <w:color w:val="000000"/>
          <w:sz w:val="24"/>
          <w:szCs w:val="24"/>
        </w:rPr>
        <w:t>Herpesviridae</w:t>
      </w:r>
      <w:proofErr w:type="spellEnd"/>
      <w:r w:rsidR="00FA07B4" w:rsidRPr="001E48D5">
        <w:rPr>
          <w:rFonts w:ascii="Book Antiqua" w:eastAsia="Times New Roman" w:hAnsi="Book Antiqua" w:cs="Segoe UI"/>
          <w:color w:val="000000"/>
          <w:sz w:val="24"/>
          <w:szCs w:val="24"/>
        </w:rPr>
        <w:t xml:space="preserve"> family, VZV is capable to establish latent infection in its host. It remains in a latent form for decades in cranial nerve ganglia and dorsal root ganglia, and then might become reactivated under the certain conditions. Reactivation of the virus, either spontaneously or following the post-transplant immunosuppression, may cause a painful and debilitating disease known as herpes zoster (shingles)</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"10.1099/vir.0.000128", "ISSN" : "0022-1317", "PMID" : "25794504", "abstract" : "Herpes simplex virus type 1 (HSV-1; human herpesvirus 1) and varicella-zoster virus (VZV; human herpesvirus 3) are human neurotropic alphaherpesviruses that cause lifelong infections in ganglia. Following primary infection and establishment of latency, HSV-1 reactivation typically results in herpes labialis (cold sores), but can occur frequently elsewhere on the body at the site of primary infection (e.g. whitlow), particularly at the genitals. Rarely, HSV-1 reactivation can cause encephalitis; however, a third of the cases of HSV-1 encephalitis are associated with HSV-1 primary infection. Primary VZV infection causes varicella (chickenpox) following which latent virus may reactivate decades later to produce herpes zoster (shingles), as well as an increasingly recognized number of subacute, acute and chronic neurological conditions. Following primary infection, both viruses establish a latent infection in neuronal cells in human peripheral ganglia. However, the detailed mechanisms of viral latency and reactivation have yet to be unravelled. In both cases latent viral DNA exists in an 'end-less' state where the ends of the virus genome are joined to form structures consistent with unit length episomes and concatemers, from which viral gene transcription is restricted. In latently infected ganglia, the most abundantly detected HSV-1 RNAs are the spliced products originating from the primary latency associated transcript (LAT). This primary LAT is an 8.3 kb unstable transcript from which two stable (1.5 and 2.0 kb) introns are spliced. Transcripts mapping to 12 VZV genes have been detected in human ganglia removed at autopsy; however, it is difficult to ascribe these as transcripts present during latent infection as early-stage virus reactivation may have transpired in the post-mortem time period in the ganglia. Nonetheless, low-level transcription of VZV ORF63 has been repeatedly detected in multiple ganglia removed as close to death as possible. There is increasing evidence that HSV-1 and VZV latency is epigenetically regulated. In vitro models that permit pathway analysis and identification of both epigenetic modulations and global transcriptional mechanisms of HSV-1 and VZV latency hold much promise for our future understanding in this complex area. This review summarizes the molecular biology of HSV-1 and VZV latency and reactivation, and also presents future directions for study.", "author" : [ { "dropping-particle" : "", "family" : "Rovnak", "given" : "Joel", "non-dropping-particle" : "", "parse-names" : false, "suffix" : "" }, { "dropping-particle" : "", "family" : "Kennedy", "given" : "Peter G. E.", "non-dropping-particle" : "", "parse-names" : false, "suffix" : "" }, { "dropping-particle" : "", "family" : "Badani", "given" : "Hussain", "non-dropping-particle" : "", "parse-names" : false, "suffix" : "" }, { "dropping-particle" : "", "family" : "Cohrs", "given" : "Randall J.", "non-dropping-particle" : "", "parse-names" : false, "suffix" : "" } ], "container-title" : "Journal of General Virology", "id" : "ITEM-1", "issue" : "7", "issued" : { "date-parts" : [ [ "2015", "7", "1" ] ] }, "page" : "1581-1602", "title" : "A comparison of herpes simplex virus type 1 and varicella-zoster virus latency and reactivation", "type" : "article-journal", "volume" : "96" }, "uris" : [ "http://www.mendeley.com/documents/?uuid=ca077246-6220-31b1-baa8-fb5e64f3c3cf" ] }, { "id" : "ITEM-2", "itemData" : { "DOI" : "10.1016/j.ncl.2008.03.011.Varicella", "ISBN" : "0733-8619", "ISSN" : "0733-8619", "PMID" : "18657721", "abstract" : "Varicella zoster virus (VZV) is an exclusively human neurotropic alphaherpesvirus. Primary infection causes varicella (chickenpox), after which virus becomes latent in cranial nerve ganglia, dorsal root ganglia, and autonomic ganglia along the entire neuraxis. Years later, in association with a decline in cell-mediated immunity in elderly and immunocompromised individuals, VZV reactivates and causes a wide range of neurologic disease. This article discusses the clinical manifestations, treatment, and prevention of VZV infection and reactivation; pathogenesis of VZV infection; and current research focusing on VZV latency, reactivation, and animal models.", "author" : [ { "dropping-particle" : "", "family" : "Mueller", "given" : "NH", "non-dropping-particle" : "", "parse-names" : false, "suffix" : "" }, { "dropping-particle" : "", "family" : "Gilden", "given" : "DH", "non-dropping-particle" : "", "parse-names" : false, "suffix" : "" }, { "dropping-particle" : "", "family" : "Cohrs", "given" : "RJ", "non-dropping-particle" : "", "parse-names" : false, "suffix" : "" }, { "dropping-particle" : "", "family" : "Mahalingam", "given" : "R", "non-dropping-particle" : "", "parse-names" : false, "suffix" : "" }, { "dropping-particle" : "", "family" : "Nagel", "given" : "MA", "non-dropping-particle" : "", "parse-names" : false, "suffix" : "" } ], "container-title" : "Neurologic clinics", "id" : "ITEM-2", "issue" : "3", "issued" : { "date-parts" : [ [ "2008" ] ] }, "page" : "675-697", "title" : "Varicella zoster virus infection: clinical features, molecular pathogenesis of disease, and latency.", "type" : "article-journal", "volume" : "26" }, "uris" : [ "http://www.mendeley.com/documents/?uuid=430757e7-ef22-4962-8dad-ccdb7f700878" ] } ], "mendeley" : { "formattedCitation" : "&lt;sup&gt;42,43&lt;/sup&gt;", "plainTextFormattedCitation" : "42,43", "previouslyFormattedCitation" : "&lt;sup&gt;42,43&lt;/sup&gt;"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42,43</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 xml:space="preserve">The estimated prevalence of post-SCT VZV infection either primary infection or reactivation in children is as high as 22% to 32% after allogeneic and 9% to 46% after autologous transplantation. Based on previous studies, Older age, pre-transplant irradiation, HLA-mismatched transplantation, chronic GVHD, and recipient pre-transplant VZV </w:t>
      </w:r>
      <w:proofErr w:type="spellStart"/>
      <w:r w:rsidRPr="001E48D5">
        <w:rPr>
          <w:rFonts w:ascii="Book Antiqua" w:eastAsia="Times New Roman" w:hAnsi="Book Antiqua" w:cs="Segoe UI"/>
          <w:color w:val="000000"/>
          <w:sz w:val="24"/>
          <w:szCs w:val="24"/>
        </w:rPr>
        <w:t>seropositivity</w:t>
      </w:r>
      <w:proofErr w:type="spellEnd"/>
      <w:r w:rsidRPr="001E48D5">
        <w:rPr>
          <w:rFonts w:ascii="Book Antiqua" w:eastAsia="Times New Roman" w:hAnsi="Book Antiqua" w:cs="Segoe UI"/>
          <w:color w:val="000000"/>
          <w:sz w:val="24"/>
          <w:szCs w:val="24"/>
        </w:rPr>
        <w:t xml:space="preserve"> have been described as predisposing risk factors for VZV disease</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"10.1046/j.1365-2141.2003.04496.x", "ISSN" : "0007-1048", "author" : [ { "dropping-particle" : "", "family" : "Tomonari", "given" : "Akira", "non-dropping-particle" : "", "parse-names" : false, "suffix" : "" }, { "dropping-particle" : "", "family" : "Iseki", "given" : "Tohru", "non-dropping-particle" : "", "parse-names" : false, "suffix" : "" }, { "dropping-particle" : "", "family" : "Takahashi", "given" : "Satoshi", "non-dropping-particle" : "", "parse-names" : false, "suffix" : "" }, { "dropping-particle" : "", "family" : "Ooi", "given" : "Jun", "non-dropping-particle" : "", "parse-names" : false, "suffix" : "" }, { "dropping-particle" : "", "family" : "Takasugi", "given" : "Kashiya", "non-dropping-particle" : "", "parse-names" : false, "suffix" : "" }, { "dropping-particle" : "", "family" : "Shimohakamada", "given" : "Yoko", "non-dropping-particle" : "", "parse-names" : false, "suffix" : "" }, { "dropping-particle" : "", "family" : "Ohno", "given" : "Nobuhiro", "non-dropping-particle" : "", "parse-names" : false, "suffix" : "" }, { "dropping-particle" : "", "family" : "Nagamura", "given" : "Fumitaka", "non-dropping-particle" : "", "parse-names" : false, "suffix" : "" }, { "dropping-particle" : "", "family" : "Uchimaru", "given" : "Kaoru", "non-dropping-particle" : "", "parse-names" : false, "suffix" : "" }, { "dropping-particle" : "", "family" : "Tani", "given" : "Kenzaburo", "non-dropping-particle" : "", "parse-names" : false, "suffix" : "" }, { "dropping-particle" : "", "family" : "Tojo", "given" : "Arinobu", "non-dropping-particle" : "", "parse-names" : false, "suffix" : "" }, { "dropping-particle" : "", "family" : "Asano", "given" : "Shigetaka", "non-dropping-particle" : "", "parse-names" : false, "suffix" : "" } ], "container-title" : "British Journal of Haematology", "id" : "ITEM-1", "issue" : "5", "issued" : { "date-parts" : [ [ "2003", "9", "1" ] ] }, "page" : "802-805", "publisher" : "Blackwell Science Ltd", "title" : "Varicella-zoster virus infection in adult patients after unrelated cord blood transplantation: a single institute experience in Japan", "type" : "article-journal", "volume" : "122" }, "uris" : [ "http://www.mendeley.com/documents/?uuid=48898233-251d-30ad-a043-871f64050aac" ] }, { "id" : "ITEM-2", "itemData" : { "DOI" : "10.1111/petr.12551", "ISSN" : "13993046", "PMID" : "26148054", "abstract" : "Reactivation of HSV and VZV is common following HSCT. Consensus guidelines do not support the use of routine screening for viremia following HSCT in adults, but no such clear guidelines exist in pediatrics. In our center, routine practice was to screen patients weekly for HSV and VZV viremia until engraftment in autologous transplant patients and up to day +100 in allogeneic transplant patients. We conducted a retrospective study of over 500 patients to establish whether this screening identified any patients with HSV or VZV viremia who would not have been identified by clinical signs or symptoms. Over a 4.5-yr period, routine screening identified three cases of HSV viremia and one case of VZV viremia. Two patients had persistent, unexplained fever and two patients had skin or mucosal lesions suggestive of HSV/VZV. We conclude that routine screening for HSV and VZV viremia in pediatric HSCT patients has a very low yield and that viremia can be reliably identified by targeted testing in patients with vesicular skin lesions, oral or genital ulceration, unexplained fever, neurological symptoms, or unexplained abnormal liver transaminases.; \u00a9 2015 John Wiley &amp; Sons A/S. Published by John Wiley &amp; Sons Ltd.", "author" : [ { "dropping-particle" : "", "family" : "Patrick", "given" : "Katharine", "non-dropping-particle" : "", "parse-names" : false, "suffix" : "" }, { "dropping-particle" : "", "family" : "Ali", "given" : "Muhammad", "non-dropping-particle" : "", "parse-names" : false, "suffix" : "" }, { "dropping-particle" : "", "family" : "Richardson", "given" : "Susan E.", "non-dropping-particle" : "", "parse-names" : false, "suffix" : "" }, { "dropping-particle" : "", "family" : "Gassas", "given" : "Adam", "non-dropping-particle" : "", "parse-names" : false, "suffix" : "" }, { "dropping-particle" : "", "family" : "Egeler", "given" : "Maarten", "non-dropping-particle" : "", "parse-names" : false, "suffix" : "" }, { "dropping-particle" : "", "family" : "Krueger", "given" : "Joerg", "non-dropping-particle" : "", "parse-names" : false, "suffix" : "" }, { "dropping-particle" : "", "family" : "Lowry", "given" : "Jane", "non-dropping-particle" : "", "parse-names" : false, "suffix" : "" }, { "dropping-particle" : "", "family" : "Allen", "given" : "Upton", "non-dropping-particle" : "", "parse-names" : false, "suffix" : "" }, { "dropping-particle" : "", "family" : "Schechter", "given" : "Tal", "non-dropping-particle" : "", "parse-names" : false, "suffix" : "" } ], "container-title" : "Pediatric Transplantation", "id" : "ITEM-2", "issue" : "6", "issued" : { "date-parts" : [ [ "2015" ] ] }, "page" : "640-644", "title" : "The yield of monitoring for HSV and VZV viremia in pediatric hematopoietic stem cell transplant patients", "type" : "article-journal", "volume" : "19" }, "uris" : [ "http://www.mendeley.com/documents/?uuid=07f94cce-2b22-484e-9e24-dfd131bb84f7" ] } ], "mendeley" : { "formattedCitation" : "&lt;sup&gt;44,45&lt;/sup&gt;", "plainTextFormattedCitation" : "44,45", "previouslyFormattedCitation" : "&lt;sup&gt;44,45&lt;/sup&gt;"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44,45</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Accordingly, </w:t>
      </w:r>
      <w:proofErr w:type="spellStart"/>
      <w:r w:rsidRPr="001E48D5">
        <w:rPr>
          <w:rFonts w:ascii="Book Antiqua" w:eastAsia="Times New Roman" w:hAnsi="Book Antiqua" w:cs="Segoe UI"/>
          <w:color w:val="000000"/>
          <w:sz w:val="24"/>
          <w:szCs w:val="24"/>
        </w:rPr>
        <w:t>Umezawa</w:t>
      </w:r>
      <w:proofErr w:type="spellEnd"/>
      <w:r w:rsidRPr="001E48D5">
        <w:rPr>
          <w:rFonts w:ascii="Book Antiqua" w:eastAsia="Times New Roman" w:hAnsi="Book Antiqua" w:cs="Segoe UI"/>
          <w:color w:val="000000"/>
          <w:sz w:val="24"/>
          <w:szCs w:val="24"/>
        </w:rPr>
        <w:t xml:space="preserve"> 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"10.1111/tid.12181", "ISSN" : "13993062", "author" : [ { "dropping-particle" : "", "family" : "Umezawa", "given" : "Y.", "non-dropping-particle" : "", "parse-names" : false, "suffix" : "" }, { "dropping-particle" : "", "family" : "Kakihana", "given" : "K.", "non-dropping-particle" : "", "parse-names" : false, "suffix" : "" }, { "dropping-particle" : "", "family" : "Oshikawa", "given" : "G.", "non-dropping-particle" : "", "parse-names" : false, "suffix" : "" }, { "dropping-particle" : "", "family" : "Kobayashi", "given" : "T.", "non-dropping-particle" : "", "parse-names" : false, "suffix" : "" }, { "dropping-particle" : "", "family" : "Doki", "given" : "N.", "non-dropping-particle" : "", "parse-names" : false, "suffix" : "" }, { "dropping-particle" : "", "family" : "Sakamaki", "given" : "H.", "non-dropping-particle" : "", "parse-names" : false, "suffix" : "" }, { "dropping-particle" : "", "family" : "Ohashi", "given" : "K.", "non-dropping-particle" : "", "parse-names" : false, "suffix" : "" } ], "container-title" : "Transplant Infectious Disease", "id" : "ITEM-1", "issue" : "2", "issued" : { "date-parts" : [ [ "2014" ] ] }, "page" : "195-202", "title" : "Clinical features and risk factors for developing varicella zoster virus dissemination following hematopoietic stem cell transplantation", "type" : "article-journal", "volume" : "16" }, "uris" : [ "http://www.mendeley.com/documents/?uuid=90e8fc13-9d1e-494e-aef4-0111c1001f94" ] } ], "mendeley" : { "formattedCitation" : "&lt;sup&gt;46&lt;/sup&gt;", "plainTextFormattedCitation" : "46", "previouslyFormattedCitation" : "&lt;sup&gt;46&lt;/sup&gt;"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46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retrospectively analyzed the clinical symptoms of VZV disease and risk factors for disease progression in allogeneic HSCT patients. They suggested that gender and total body irradiation did not affect the development of VZV dissemination, and concluded that delayed antiviral therapy is a serious risk factor for VZV dissemination following the allogeneic HSCT.</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 xml:space="preserve">It has also been shown that VZV disease is more frequent and more severe after UCBT than other types of HSCT. In this regard, </w:t>
      </w:r>
      <w:proofErr w:type="spellStart"/>
      <w:r w:rsidRPr="001E48D5">
        <w:rPr>
          <w:rFonts w:ascii="Book Antiqua" w:eastAsia="Times New Roman" w:hAnsi="Book Antiqua" w:cs="Segoe UI"/>
          <w:color w:val="000000"/>
          <w:sz w:val="24"/>
          <w:szCs w:val="24"/>
        </w:rPr>
        <w:t>Tomonari</w:t>
      </w:r>
      <w:proofErr w:type="spellEnd"/>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"10.1046/j.1365-2141.2003.04496.x", "ISSN" : "0007-1048", "author" : [ { "dropping-particle" : "", "family" : "Tomonari", "given" : "Akira", "non-dropping-particle" : "", "parse-names" : false, "suffix" : "" }, { "dropping-particle" : "", "family" : "Iseki", "given" : "Tohru", "non-dropping-particle" : "", "parse-names" : false, "suffix" : "" }, { "dropping-particle" : "", "family" : "Takahashi", "given" : "Satoshi", "non-dropping-particle" : "", "parse-names" : false, "suffix" : "" }, { "dropping-particle" : "", "family" : "Ooi", "given" : "Jun", "non-dropping-particle" : "", "parse-names" : false, "suffix" : "" }, { "dropping-particle" : "", "family" : "Takasugi", "given" : "Kashiya", "non-dropping-particle" : "", "parse-names" : false, "suffix" : "" }, { "dropping-particle" : "", "family" : "Shimohakamada", "given" : "Yoko", "non-dropping-particle" : "", "parse-names" : false, "suffix" : "" }, { "dropping-particle" : "", "family" : "Ohno", "given" : "Nobuhiro", "non-dropping-particle" : "", "parse-names" : false, "suffix" : "" }, { "dropping-particle" : "", "family" : "Nagamura", "given" : "Fumitaka", "non-dropping-particle" : "", "parse-names" : false, "suffix" : "" }, { "dropping-particle" : "", "family" : "Uchimaru", "given" : "Kaoru", "non-dropping-particle" : "", "parse-names" : false, "suffix" : "" }, { "dropping-particle" : "", "family" : "Tani", "given" : "Kenzaburo", "non-dropping-particle" : "", "parse-names" : false, "suffix" : "" }, { "dropping-particle" : "", "family" : "Tojo", "given" : "Arinobu", "non-dropping-particle" : "", "parse-names" : false, "suffix" : "" }, { "dropping-particle" : "", "family" : "Asano", "given" : "Shigetaka", "non-dropping-particle" : "", "parse-names" : false, "suffix" : "" } ], "container-title" : "British Journal of Haematology", "id" : "ITEM-1", "issue" : "5", "issued" : { "date-parts" : [ [ "2003", "9", "1" ] ] }, "page" : "802-805", "publisher" : "Blackwell Science Ltd", "title" : "Varicella-zoster virus infection in adult patients after unrelated cord blood transplantation: a single institute experience in Japan", "type" : "article-journal", "volume" : "122" }, "uris" : [ "http://www.mendeley.com/documents/?uuid=48898233-251d-30ad-a043-871f64050aac" ] } ], "mendeley" : { "formattedCitation" : "&lt;sup&gt;44&lt;/sup&gt;", "plainTextFormattedCitation" : "44", "previouslyFormattedCitation" : "&lt;sup&gt;44&lt;/sup&gt;"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44</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showed 80% cumulative incidence of VZV reactivation in adult patients who had undergone UCBT from unrelated donors. In another study, </w:t>
      </w:r>
      <w:proofErr w:type="spellStart"/>
      <w:r w:rsidRPr="001E48D5">
        <w:rPr>
          <w:rFonts w:ascii="Book Antiqua" w:eastAsia="Times New Roman" w:hAnsi="Book Antiqua" w:cs="Segoe UI"/>
          <w:color w:val="000000"/>
          <w:sz w:val="24"/>
          <w:szCs w:val="24"/>
        </w:rPr>
        <w:t>Vandenbosch</w:t>
      </w:r>
      <w:proofErr w:type="spellEnd"/>
      <w:r w:rsidRPr="001E48D5">
        <w:rPr>
          <w:rFonts w:ascii="Book Antiqua" w:eastAsia="Times New Roman" w:hAnsi="Book Antiqua" w:cs="Segoe UI"/>
          <w:color w:val="000000"/>
          <w:sz w:val="24"/>
          <w:szCs w:val="24"/>
        </w:rPr>
        <w:t xml:space="preserve"> and colleagues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"S1083-8791(08)00194-8 [pii]\\n10.1016/j.bbmt.2008.05.006", "ISBN" : "1523-6536 (Electronic)\\n1083-8791 (Linking)", "ISSN" : "10838791", "PMID" : "18640569", "abstract" : "Immune reconstitution may differ following cord blood transplantation (CBT) and bone marrow transplantation (BMT), and this may lead to a difference in varicella zoster virus (VZV) disease rates. One hundred fourteen VZV seropositive children received a CBT (37 patients), or a T-replete BMT (77 patients) at our institution. Patients did not received specific VZV disease prophylaxis. VZV disease was diagnosed by immunofluorescence or culture in 41 (36%) patients. In multivariate analysis, VZV disease was more frequent in older children (relative risk [RR] 1.11 per year; 95% confidence interval [CI], 1.04-1.18; P = .002), and after CBT (RR 2.27; 95% CI, 1.18-4.34; P = .013). The cumulative incidence of VZV disease at 3 years posttransplant was 46% following CBT. VZV disease incidence was 71% in CBT patients over 10 years old at transplant. Visceral dissemination occurred in 7 patients (6 CBT and 1 BMT) (P = .005). VZV disease is thus more frequent and more severe after CBT than after BMT.", "author" : [ { "dropping-particle" : "", "family" : "Vandenbosch", "given" : "K", "non-dropping-particle" : "", "parse-names" : false, "suffix" : "" }, { "dropping-particle" : "", "family" : "Ovetchkine", "given" : "P", "non-dropping-particle" : "", "parse-names" : false, "suffix" : "" }, { "dropping-particle" : "", "family" : "Champagne", "given" : "M A", "non-dropping-particle" : "", "parse-names" : false, "suffix" : "" }, { "dropping-particle" : "", "family" : "Haddad", "given" : "E", "non-dropping-particle" : "", "parse-names" : false, "suffix" : "" }, { "dropping-particle" : "", "family" : "Alexandrov", "given" : "L", "non-dropping-particle" : "", "parse-names" : false, "suffix" : "" }, { "dropping-particle" : "", "family" : "Duval", "given" : "M", "non-dropping-particle" : "", "parse-names" : false, "suffix" : "" } ], "container-title" : "Biology of Blood and Marrow Transplantation", "id" : "ITEM-1", "issue" : "8", "issued" : { "date-parts" : [ [ "2008" ] ] }, "page" : "867-871", "title" : "Varicella-zoster virus disease is more frequent after cord blood than after bone marrow transplantation", "type" : "article-journal", "volume" : "14" }, "uris" : [ "http://www.mendeley.com/documents/?uuid=fc3e431a-8973-48d3-899b-0d3a9a5f55f3" ] } ], "mendeley" : { "formattedCitation" : "&lt;sup&gt;47&lt;/sup&gt;", "plainTextFormattedCitation" : "47", "previouslyFormattedCitation" : "&lt;sup&gt;47&lt;/sup&gt;"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47</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compared the VZV reactivation rate in the total of 114 VZV seropositive children who had received UCBT or T-replete BMT and reported an incidence of 46% of VZV disease at 3 years after UCBT. This higher frequency in UCBT recipients may be related to delayed immune reconstitution after UCBT and therefore, necessitates the preemptive therapy or prophylaxis in these patients.</w:t>
      </w:r>
    </w:p>
    <w:p w:rsidR="00FA07B4" w:rsidRPr="001E48D5" w:rsidRDefault="00FA07B4" w:rsidP="007A67C3">
      <w:pPr>
        <w:spacing w:after="0" w:line="360" w:lineRule="auto"/>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lastRenderedPageBreak/>
        <w:t>On the other hand, Patrick 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"10.1111/petr.12551", "ISSN" : "13993046", "PMID" : "26148054", "abstract" : "Reactivation of HSV and VZV is common following HSCT. Consensus guidelines do not support the use of routine screening for viremia following HSCT in adults, but no such clear guidelines exist in pediatrics. In our center, routine practice was to screen patients weekly for HSV and VZV viremia until engraftment in autologous transplant patients and up to day +100 in allogeneic transplant patients. We conducted a retrospective study of over 500 patients to establish whether this screening identified any patients with HSV or VZV viremia who would not have been identified by clinical signs or symptoms. Over a 4.5-yr period, routine screening identified three cases of HSV viremia and one case of VZV viremia. Two patients had persistent, unexplained fever and two patients had skin or mucosal lesions suggestive of HSV/VZV. We conclude that routine screening for HSV and VZV viremia in pediatric HSCT patients has a very low yield and that viremia can be reliably identified by targeted testing in patients with vesicular skin lesions, oral or genital ulceration, unexplained fever, neurological symptoms, or unexplained abnormal liver transaminases.; \u00a9 2015 John Wiley &amp; Sons A/S. Published by John Wiley &amp; Sons Ltd.", "author" : [ { "dropping-particle" : "", "family" : "Patrick", "given" : "Katharine", "non-dropping-particle" : "", "parse-names" : false, "suffix" : "" }, { "dropping-particle" : "", "family" : "Ali", "given" : "Muhammad", "non-dropping-particle" : "", "parse-names" : false, "suffix" : "" }, { "dropping-particle" : "", "family" : "Richardson", "given" : "Susan E.", "non-dropping-particle" : "", "parse-names" : false, "suffix" : "" }, { "dropping-particle" : "", "family" : "Gassas", "given" : "Adam", "non-dropping-particle" : "", "parse-names" : false, "suffix" : "" }, { "dropping-particle" : "", "family" : "Egeler", "given" : "Maarten", "non-dropping-particle" : "", "parse-names" : false, "suffix" : "" }, { "dropping-particle" : "", "family" : "Krueger", "given" : "Joerg", "non-dropping-particle" : "", "parse-names" : false, "suffix" : "" }, { "dropping-particle" : "", "family" : "Lowry", "given" : "Jane", "non-dropping-particle" : "", "parse-names" : false, "suffix" : "" }, { "dropping-particle" : "", "family" : "Allen", "given" : "Upton", "non-dropping-particle" : "", "parse-names" : false, "suffix" : "" }, { "dropping-particle" : "", "family" : "Schechter", "given" : "Tal", "non-dropping-particle" : "", "parse-names" : false, "suffix" : "" } ], "container-title" : "Pediatric Transplantation", "id" : "ITEM-1", "issue" : "6", "issued" : { "date-parts" : [ [ "2015" ] ] }, "page" : "640-644", "title" : "The yield of monitoring for HSV and VZV viremia in pediatric hematopoietic stem cell transplant patients", "type" : "article-journal", "volume" : "19" }, "uris" : [ "http://www.mendeley.com/documents/?uuid=07f94cce-2b22-484e-9e24-dfd131bb84f7" ] } ], "mendeley" : { "formattedCitation" : "&lt;sup&gt;45&lt;/sup&gt;", "plainTextFormattedCitation" : "45", "previouslyFormattedCitation" : "&lt;sup&gt;45&lt;/sup&gt;"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45</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conducted a retrospective study to assess the efficacy of routine screening for identification of HSV or VZV viremia following HSCT. They aimed to discuss whether this screening identifies any patients with viremia who had not been identified via clinical manifestations. Finally, they concluded in agreement with the recommendation of the European Conference on Infections in Leukemia that routine screening for VZV is not obligatory in the pediatric HSCT recipients but regular clinical assessment should be performed.</w:t>
      </w:r>
    </w:p>
    <w:p w:rsidR="00937D61" w:rsidRPr="001E48D5" w:rsidRDefault="00937D61" w:rsidP="007A67C3">
      <w:pPr>
        <w:spacing w:after="0" w:line="360" w:lineRule="auto"/>
        <w:jc w:val="both"/>
        <w:rPr>
          <w:rFonts w:ascii="Book Antiqua" w:hAnsi="Book Antiqua" w:cs="Segoe UI"/>
          <w:color w:val="000000"/>
          <w:sz w:val="24"/>
          <w:szCs w:val="24"/>
          <w:lang w:eastAsia="zh-CN"/>
        </w:rPr>
      </w:pPr>
    </w:p>
    <w:p w:rsidR="00FA07B4" w:rsidRPr="001E48D5" w:rsidRDefault="00937D61"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
          <w:bCs/>
          <w:i/>
          <w:color w:val="000000"/>
          <w:sz w:val="24"/>
          <w:szCs w:val="24"/>
        </w:rPr>
        <w:t>HHV-6</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 xml:space="preserve">HHV-6 belongs to the beta </w:t>
      </w:r>
      <w:proofErr w:type="spellStart"/>
      <w:r w:rsidRPr="001E48D5">
        <w:rPr>
          <w:rFonts w:ascii="Book Antiqua" w:eastAsia="Times New Roman" w:hAnsi="Book Antiqua" w:cs="Segoe UI"/>
          <w:color w:val="000000"/>
          <w:sz w:val="24"/>
          <w:szCs w:val="24"/>
        </w:rPr>
        <w:t>herpesviridae</w:t>
      </w:r>
      <w:proofErr w:type="spellEnd"/>
      <w:r w:rsidRPr="001E48D5">
        <w:rPr>
          <w:rFonts w:ascii="Book Antiqua" w:eastAsia="Times New Roman" w:hAnsi="Book Antiqua" w:cs="Segoe UI"/>
          <w:color w:val="000000"/>
          <w:sz w:val="24"/>
          <w:szCs w:val="24"/>
        </w:rPr>
        <w:t xml:space="preserve"> subfamily and exists as two closely related variants (A and B). Pathogenicity of HHV-6A is uncertain, whereas HHV-6B is the most frequent causative agent of HHV-6-related human diseases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"10.1038/bmt.2012.180", "ISBN" : "0268-3369", "ISSN" : "02683369", "PMID" : "23000642", "abstract" : "Reactivation of human herpesvirus-6 (HHV-6) frequently occurs following hematopoietic SCT (HSCT), and has been associated with clinical consequences in many patient populations. HHV-6 reactivation and HHV-6 encephalitis seem to occur more frequently in patients undergoing HSCT with cord blood (CB) as the stem cell source. We have conducted a systematic literature review and meta-analysis to investigate the clinical significance of this correlation. A systematic review of publications indexed in PubMed was performed for HSCT studies published over the past 10 years that fit inclusion criteria. Data on prevalences of HHV-6 reactivation and HHV-6 encephalitis post HSCT were abstracted from 19 papers. Meta-analyses were conducted to calculate combined prevalence estimates. The prevalences of HHV-6 reactivation and encephalitis were compared among CB vs non-CB HSCT. Prevalences of HHV-6 reactivation and HHV-6 encephalitis were significantly higher in patients receiving CB as the stem cell source than in patients receiving another stem cell source (72.0% vs 37.4%, P&lt;0.0001; 8.3% vs 0.50%, P&lt;0.0001, respectively). HHV-6 reactivation and HHV-6 encephalitis are significant complications in the post-HSCT setting, particularly in patients receiving CB as the stem cell source. Thus, patients undergoing umbilical CB transplantation should be closely monitored for HHV-6 reactivation.", "author" : [ { "dropping-particle" : "", "family" : "Scheurer", "given" : "M. E.", "non-dropping-particle" : "", "parse-names" : false, "suffix" : "" }, { "dropping-particle" : "", "family" : "Pritchett", "given" : "J. C.", "non-dropping-particle" : "", "parse-names" : false, "suffix" : "" }, { "dropping-particle" : "", "family" : "Amirian", "given" : "E. S.", "non-dropping-particle" : "", "parse-names" : false, "suffix" : "" }, { "dropping-particle" : "", "family" : "Zemke", "given" : "N. R.", "non-dropping-particle" : "", "parse-names" : false, "suffix" : "" }, { "dropping-particle" : "", "family" : "Lusso", "given" : "P.", "non-dropping-particle" : "", "parse-names" : false, "suffix" : "" }, { "dropping-particle" : "", "family" : "Ljungman", "given" : "P.", "non-dropping-particle" : "", "parse-names" : false, "suffix" : "" } ], "container-title" : "Bone Marrow Transplantation", "id" : "ITEM-1", "issue" : "4", "issued" : { "date-parts" : [ [ "2013" ] ] }, "page" : "574-580", "publisher" : "Nature Publishing Group", "title" : "HHV-6 encephalitis in umbilical cord blood transplantation: A systematic review and meta-analysis", "type" : "article-journal", "volume" : "48" }, "uris" : [ "http://www.mendeley.com/documents/?uuid=143e2a38-c1a2-45ff-a7bc-c2cfc4e16cbc" ] } ], "mendeley" : { "formattedCitation" : "&lt;sup&gt;48&lt;/sup&gt;", "plainTextFormattedCitation" : "48", "previouslyFormattedCitation" : "&lt;sup&gt;48&lt;/sup&gt;"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48</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This virus is an opportunistic ubiquitous agent that infects most children in the early years of life. Primary infection is mainly associated with exanthema </w:t>
      </w:r>
      <w:proofErr w:type="spellStart"/>
      <w:r w:rsidRPr="001E48D5">
        <w:rPr>
          <w:rFonts w:ascii="Book Antiqua" w:eastAsia="Times New Roman" w:hAnsi="Book Antiqua" w:cs="Segoe UI"/>
          <w:color w:val="000000"/>
          <w:sz w:val="24"/>
          <w:szCs w:val="24"/>
        </w:rPr>
        <w:t>subitum</w:t>
      </w:r>
      <w:proofErr w:type="spellEnd"/>
      <w:r w:rsidRPr="001E48D5">
        <w:rPr>
          <w:rFonts w:ascii="Book Antiqua" w:eastAsia="Times New Roman" w:hAnsi="Book Antiqua" w:cs="Segoe UI"/>
          <w:color w:val="000000"/>
          <w:sz w:val="24"/>
          <w:szCs w:val="24"/>
        </w:rPr>
        <w:t xml:space="preserve"> (also called </w:t>
      </w:r>
      <w:proofErr w:type="spellStart"/>
      <w:r w:rsidRPr="001E48D5">
        <w:rPr>
          <w:rFonts w:ascii="Book Antiqua" w:eastAsia="Times New Roman" w:hAnsi="Book Antiqua" w:cs="Segoe UI"/>
          <w:color w:val="000000"/>
          <w:sz w:val="24"/>
          <w:szCs w:val="24"/>
        </w:rPr>
        <w:t>roseola</w:t>
      </w:r>
      <w:proofErr w:type="spellEnd"/>
      <w:r w:rsidRPr="001E48D5">
        <w:rPr>
          <w:rFonts w:ascii="Book Antiqua" w:eastAsia="Times New Roman" w:hAnsi="Book Antiqua" w:cs="Segoe UI"/>
          <w:color w:val="000000"/>
          <w:sz w:val="24"/>
          <w:szCs w:val="24"/>
        </w:rPr>
        <w:t xml:space="preserve"> </w:t>
      </w:r>
      <w:proofErr w:type="spellStart"/>
      <w:r w:rsidRPr="001E48D5">
        <w:rPr>
          <w:rFonts w:ascii="Book Antiqua" w:eastAsia="Times New Roman" w:hAnsi="Book Antiqua" w:cs="Segoe UI"/>
          <w:color w:val="000000"/>
          <w:sz w:val="24"/>
          <w:szCs w:val="24"/>
        </w:rPr>
        <w:t>infantum</w:t>
      </w:r>
      <w:proofErr w:type="spellEnd"/>
      <w:r w:rsidRPr="001E48D5">
        <w:rPr>
          <w:rFonts w:ascii="Book Antiqua" w:eastAsia="Times New Roman" w:hAnsi="Book Antiqua" w:cs="Segoe UI"/>
          <w:color w:val="000000"/>
          <w:sz w:val="24"/>
          <w:szCs w:val="24"/>
        </w:rPr>
        <w:t>) and related febrile rash illnesses. Like the other herpesviruses, HHV-6 has the ability to persist in various cells of the host, especially in monocyte/macrophages and then become reactivated from latency during immunodeficiency, especially in HSCT recipients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"ITEM-1", "issue" : "1", "issued" : { "date-parts" : [ [ "2005" ] ] }, "page" : "35-38", "title" : "Risk of transmission of herpesviruses through cord blood transplantation", "type" : "article-journal", "volume" : "11" }, "uris" : [ "http://www.mendeley.com/documents/?uuid=cb736e5e-abde-4515-a291-38a74dfa22dd" ] } ], "mendeley" : { "formattedCitation" : "&lt;sup&gt;26&lt;/sup&gt;", "plainTextFormattedCitation" : "26", "previouslyFormattedCitation" : "&lt;sup&gt;26&lt;/sup&gt;"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26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00937D61"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Several retrospective studies have shown the higher incidence of HHV-6 reactivation in the recipients of UCB than in patients receiving other stem cell sources, and suggested to be related with high mortality rate and fatal complications including acute GVHD, bone marrow suppression, and CNS disease, especially the syndrome of post-transplantation acute limbic encephalitis called HHV-6-PALE</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"10.1038/bmt.2012.180", "ISBN" : "0268-3369", "ISSN" : "02683369", "PMID" : "23000642", "abstract" : "Reactivation of human herpesvirus-6 (HHV-6) frequently occurs following hematopoietic SCT (HSCT), and has been associated with clinical consequences in many patient populations. HHV-6 reactivation and HHV-6 encephalitis seem to occur more frequently in patients undergoing HSCT with cord blood (CB) as the stem cell source. We have conducted a systematic literature review and meta-analysis to investigate the clinical significance of this correlation. A systematic review of publications indexed in PubMed was performed for HSCT studies published over the past 10 years that fit inclusion criteria. Data on prevalences of HHV-6 reactivation and HHV-6 encephalitis post HSCT were abstracted from 19 papers. Meta-analyses were conducted to calculate combined prevalence estimates. The prevalences of HHV-6 reactivation and encephalitis were compared among CB vs non-CB HSCT. Prevalences of HHV-6 reactivation and HHV-6 encephalitis were significantly higher in patients receiving CB as the stem cell source than in patients receiving another stem cell source (72.0% vs 37.4%, P&lt;0.0001; 8.3% vs 0.50%, P&lt;0.0001, respectively). HHV-6 reactivation and HHV-6 encephalitis are significant complications in the post-HSCT setting, particularly in patients receiving CB as the stem cell source. Thus, patients undergoing umbilical CB transplantation should be closely monitored for HHV-6 reactivation.", "author" : [ { "dropping-particle" : "", "family" : "Scheurer", "given" : "M. E.", "non-dropping-particle" : "", "parse-names" : false, "suffix" : "" }, { "dropping-particle" : "", "family" : "Pritchett", "given" : "J. C.", "non-dropping-particle" : "", "parse-names" : false, "suffix" : "" }, { "dropping-particle" : "", "family" : "Amirian", "given" : "E. S.", "non-dropping-particle" : "", "parse-names" : false, "suffix" : "" }, { "dropping-particle" : "", "family" : "Zemke", "given" : "N. R.", "non-dropping-particle" : "", "parse-names" : false, "suffix" : "" }, { "dropping-particle" : "", "family" : "Lusso", "given" : "P.", "non-dropping-particle" : "", "parse-names" : false, "suffix" : "" }, { "dropping-particle" : "", "family" : "Ljungman", "given" : "P.", "non-dropping-particle" : "", "parse-names" : false, "suffix" : "" } ], "container-title" : "Bone Marrow Transplantation", "id" : "ITEM-1", "issue" : "4", "issued" : { "date-parts" : [ [ "2013" ] ] }, "page" : "574-580", "publisher" : "Nature Publishing Group", "title" : "HHV-6 encephalitis in umbilical cord blood transplantation: A systematic review and meta-analysis", "type" : "article-journal", "volume" : "48" }, "uris" : [ "http://www.mendeley.com/documents/?uuid=143e2a38-c1a2-45ff-a7bc-c2cfc4e16cbc" ] }, { "id" : "ITEM-2", "itemData" : { "DOI" : "10.1016/j.bbmt.2006.09.003", "ISBN" : "1083-8791 (Print)\\r1083-8791 (Linking)", "ISSN" : "10838791", "PMID" : "17222758", "abstract" : "We prospectively evaluated the incidence of human herpesvirus 6 (HHV-6) DNAemia after allogeneic hematopoietic stem cell transplantation (HSCT) using quantitative plasma real-time polymerase chain reaction. Of 46 recipients of bone marrow or peripheral blood stem cell transplantation (BMT/PBSCT) from related (n = 11) or unrelated donors (n = 22), and cord blood transplantation (CBT) from unrelated donors (n = 13), 22 (47.8%) developed HHV-6 DNAemia. HHV-6 DNA levels ranged from 200 to 200,000 copies/mL of plasma, and HHV-6 DNAemia was observed significantly more frequently after CBT than after BMT/PBSCT (92.3% vs 30.3%; P &lt; .001). Multivariate analyses identified CBT (vs BMT/PBSCT), HLA mismatches between recipient and donor, and low anti-HHV-6 IgG titer before transplantation as the only risk factors for developing HHV-6 DNAemia. Three patients developed central nervous system (CNS) disorders with detectable HHV-6 DNA in the cerebrospinal fluid; all of these patients simultaneously developed HHV-6 DNAemia. These results suggest that HHV-6 DNAemia is frequently observed after allogeneic HSCT, especially in patients with the aforementioned risk factors. Thus, together with the assessment of risk factors, monitoring of HHV-6 DNAemia could be a useful asset in diagnosing HHV-6-associated CNS disorders. ?? 2007 American Society for Blood and Marrow Transplantation.", "author" : [ { "dropping-particle" : "", "family" : "Yamane", "given" : "Akiko", "non-dropping-particle" : "", "parse-names" : false, "suffix" : "" }, { "dropping-particle" : "", "family" : "Mori", "given" : "Takehiko", "non-dropping-particle" : "", "parse-names" : false, "suffix" : "" }, { "dropping-particle" : "", "family" : "Suzuki", "given" : "Shigeaki", "non-dropping-particle" : "", "parse-names" : false, "suffix" : "" }, { "dropping-particle" : "", "family" : "Mihara", "given" : "Ai", "non-dropping-particle" : "", "parse-names" : false, "suffix" : "" }, { "dropping-particle" : "", "family" : "Yamazaki", "given" : "Rie", "non-dropping-particle" : "", "parse-names" : false, "suffix" : "" }, { "dropping-particle" : "", "family" : "Aisa", "given" : "Yoshinobu", "non-dropping-particle" : "", "parse-names" : false, "suffix" : "" }, { "dropping-particle" : "", "family" : "Nakazato", "given" : "Tomonori", "non-dropping-particle" : "", "parse-names" : false, "suffix" : "" }, { "dropping-particle" : "", "family" : "Shimizu", "given" : "Takayuki", "non-dropping-particle" : "", "parse-names" : false, "suffix" : "" }, { "dropping-particle" : "", "family" : "Ikeda", "given" : "Yasuo", "non-dropping-particle" : "", "parse-names" : false, "suffix" : "" }, { "dropping-particle" : "", "family" : "Okamoto", "given" : "Shinichiro", "non-dropping-particle" : "", "parse-names" : false, "suffix" : "" } ], "container-title" : "Biology of Blood and Marrow Transplantation", "id" : "ITEM-2", "issue" : "1", "issued" : { "date-parts" : [ [ "2007" ] ] }, "page" : "100-106", "title" : "Risk Factors for Developing Human Herpesvirus 6 (HHV-6) Reactivation after Allogeneic Hematopoietic Stem Cell Transplantation and Its Association with Central Nervous System Disorders", "type" : "article-journal", "volume" : "13" }, "uris" : [ "http://www.mendeley.com/documents/?uuid=f41b49ac-a7d3-485e-b54e-60f9ee89b6a7" ] } ], "mendeley" : { "formattedCitation" : "&lt;sup&gt;48,49&lt;/sup&gt;", "plainTextFormattedCitation" : "48,49", "previouslyFormattedCitation" : "&lt;sup&gt;48,49&lt;/sup&gt;"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48,49</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00937D61" w:rsidRPr="001E48D5">
        <w:rPr>
          <w:rFonts w:ascii="Book Antiqua" w:eastAsia="Times New Roman" w:hAnsi="Book Antiqua" w:cs="Segoe UI"/>
          <w:color w:val="000000"/>
          <w:sz w:val="24"/>
          <w:szCs w:val="24"/>
        </w:rPr>
        <w:t xml:space="preserve">. </w:t>
      </w:r>
      <w:proofErr w:type="spellStart"/>
      <w:r w:rsidR="00937D61" w:rsidRPr="001E48D5">
        <w:rPr>
          <w:rFonts w:ascii="Book Antiqua" w:eastAsia="Times New Roman" w:hAnsi="Book Antiqua" w:cs="Segoe UI"/>
          <w:color w:val="000000"/>
          <w:sz w:val="24"/>
          <w:szCs w:val="24"/>
        </w:rPr>
        <w:t>Scheurer</w:t>
      </w:r>
      <w:proofErr w:type="spellEnd"/>
      <w:r w:rsidR="00937D61" w:rsidRPr="001E48D5">
        <w:rPr>
          <w:rFonts w:ascii="Book Antiqua" w:eastAsia="Times New Roman" w:hAnsi="Book Antiqua" w:cs="Segoe UI"/>
          <w:color w:val="000000"/>
          <w:sz w:val="24"/>
          <w:szCs w:val="24"/>
        </w:rPr>
        <w:t xml:space="preserve"> </w:t>
      </w:r>
      <w:r w:rsidR="00937D61"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"10.1038/bmt.2012.180", "ISBN" : "0268-3369", "ISSN" : "02683369", "PMID" : "23000642", "abstract" : "Reactivation of human herpesvirus-6 (HHV-6) frequently occurs following hematopoietic SCT (HSCT), and has been associated with clinical consequences in many patient populations. HHV-6 reactivation and HHV-6 encephalitis seem to occur more frequently in patients undergoing HSCT with cord blood (CB) as the stem cell source. We have conducted a systematic literature review and meta-analysis to investigate the clinical significance of this correlation. A systematic review of publications indexed in PubMed was performed for HSCT studies published over the past 10 years that fit inclusion criteria. Data on prevalences of HHV-6 reactivation and HHV-6 encephalitis post HSCT were abstracted from 19 papers. Meta-analyses were conducted to calculate combined prevalence estimates. The prevalences of HHV-6 reactivation and encephalitis were compared among CB vs non-CB HSCT. Prevalences of HHV-6 reactivation and HHV-6 encephalitis were significantly higher in patients receiving CB as the stem cell source than in patients receiving another stem cell source (72.0% vs 37.4%, P&lt;0.0001; 8.3% vs 0.50%, P&lt;0.0001, respectively). HHV-6 reactivation and HHV-6 encephalitis are significant complications in the post-HSCT setting, particularly in patients receiving CB as the stem cell source. Thus, patients undergoing umbilical CB transplantation should be closely monitored for HHV-6 reactivation.", "author" : [ { "dropping-particle" : "", "family" : "Scheurer", "given" : "M. E.", "non-dropping-particle" : "", "parse-names" : false, "suffix" : "" }, { "dropping-particle" : "", "family" : "Pritchett", "given" : "J. C.", "non-dropping-particle" : "", "parse-names" : false, "suffix" : "" }, { "dropping-particle" : "", "family" : "Amirian", "given" : "E. S.", "non-dropping-particle" : "", "parse-names" : false, "suffix" : "" }, { "dropping-particle" : "", "family" : "Zemke", "given" : "N. R.", "non-dropping-particle" : "", "parse-names" : false, "suffix" : "" }, { "dropping-particle" : "", "family" : "Lusso", "given" : "P.", "non-dropping-particle" : "", "parse-names" : false, "suffix" : "" }, { "dropping-particle" : "", "family" : "Ljungman", "given" : "P.", "non-dropping-particle" : "", "parse-names" : false, "suffix" : "" } ], "container-title" : "Bone Marrow Transplantation", "id" : "ITEM-1", "issue" : "4", "issued" : { "date-parts" : [ [ "2013" ] ] }, "page" : "574-580", "publisher" : "Nature Publishing Group", "title" : "HHV-6 encephalitis in umbilical cord blood transplantation: A systematic review and meta-analysis", "type" : "article-journal", "volume" : "48" }, "uris" : [ "http://www.mendeley.com/documents/?uuid=143e2a38-c1a2-45ff-a7bc-c2cfc4e16cbc" ] } ], "mendeley" : { "formattedCitation" : "&lt;sup&gt;48&lt;/sup&gt;", "plainTextFormattedCitation" : "48", "previouslyFormattedCitation" : "&lt;sup&gt;48&lt;/sup&gt;"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48</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conducted a systematic literature review and meta-analysis to investigate the prevalence and clinical significance of HHV-6 reactivation in UCBT recipients. They showed that prevalence of HHV-6 reactivation and related- encephalitis were significantly higher in UCB than non-UCB recipients, and emphasized the monitoring of UCB recipients for HHV-6 reactivation.</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lastRenderedPageBreak/>
        <w:t xml:space="preserve">However, literature focusing on HHV-6 primary infection after UCBT and especially, HHV-6 transmission by UCB is scarce. Based on available data, HHV-6 DNA is detectable in plasma samples from 40% to 50% of HSC transplant recipients from adult donors and up to 80% of unrelated UCB recipients within 6 </w:t>
      </w:r>
      <w:proofErr w:type="spellStart"/>
      <w:r w:rsidRPr="001E48D5">
        <w:rPr>
          <w:rFonts w:ascii="Book Antiqua" w:eastAsia="Times New Roman" w:hAnsi="Book Antiqua" w:cs="Segoe UI"/>
          <w:color w:val="000000"/>
          <w:sz w:val="24"/>
          <w:szCs w:val="24"/>
        </w:rPr>
        <w:t>w</w:t>
      </w:r>
      <w:r w:rsidR="00937D61" w:rsidRPr="001E48D5">
        <w:rPr>
          <w:rFonts w:ascii="Book Antiqua" w:eastAsia="Times New Roman" w:hAnsi="Book Antiqua" w:cs="Segoe UI"/>
          <w:color w:val="000000"/>
          <w:sz w:val="24"/>
          <w:szCs w:val="24"/>
        </w:rPr>
        <w:t>k</w:t>
      </w:r>
      <w:proofErr w:type="spellEnd"/>
      <w:r w:rsidRPr="001E48D5">
        <w:rPr>
          <w:rFonts w:ascii="Book Antiqua" w:eastAsia="Times New Roman" w:hAnsi="Book Antiqua" w:cs="Segoe UI"/>
          <w:color w:val="000000"/>
          <w:sz w:val="24"/>
          <w:szCs w:val="24"/>
        </w:rPr>
        <w:t xml:space="preserve"> after transplantation</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"10.1016/j.bbmt.2012.04.016", "ISBN" : "1083-8791", "ISSN" : "10838791", "PMID" : "22564265", "abstract" : "Human herpesvirus-6 (HHV-6) frequently reactivates after allogeneic hematopoietic stem cell transplantation (HSCT); its most severe manifestation is the syndrome of posttransplantation acute limbic encephalitis (HHV-6-PALE). The epidemiology, risk factors, and characteristics of HHV-6-PALE after unrelated cord-blood transplantation (UCBT) are not well characterized. We analyzed 1344 patients undergoing allogeneic HSCT between March 2003 and March 2010 to identify risk factors and characteristics of HHV-6-PALE. The cohort included 1243 adult-donor HSCT and 101 UCBT recipients. All patients diagnosed with HHV-6-PALE had HHV-6 DNA in cerebrospinal fluid (CSF) specimens in addition to symptoms and studies indicating limbic encephalitis. Nineteen cases (1.4%) of HHV-6-PALE were identified during this study: 10 after UCBT (9.9%) and 9 after adult-donor HSCT (0.7%), for an incidence rate of 1.2 cases/1000 patient-days compared to 0.08 cases/1000 patient-days (P &lt; .001), respectively. Risk factors for HHV-6-PALE on multivariable Cox modeling were UCBT (adjusted hazard ratio [aHR], 20.0; 95% confidence interval [CI], 7.3-55.0; P &lt; .001), time-dependent acute graft-versus-host disease (aGVHD) grades II to IV (aHR, 7.5; 95% CI, 2.8-19.8; P &lt; .001), and adult-mismatched donor (aHR, 4.3; 95% CI, 1.1-17.3; P = .04). Death from HHV-6-PALE occurred in 50% of affected patients undergoing UCBT and no recipients of adult-donor cells. Patients receiving UCBT have increased risk for HHV-6-PALE and greater morbidity from this disease. ?? 2012 American Society for Blood and Marrow Transplantation.", "author" : [ { "dropping-particle" : "", "family" : "Hill", "given" : "Joshua A.", "non-dropping-particle" : "", "parse-names" : false, "suffix" : "" }, { "dropping-particle" : "", "family" : "Koo", "given" : "Sophia", "non-dropping-particle" : "", "parse-names" : false, "suffix" : "" }, { "dropping-particle" : "", "family" : "Guzman Suarez", "given" : "Belisa B.", "non-dropping-particle" : "", "parse-names" : false, "suffix" : "" }, { "dropping-particle" : "", "family" : "Ho", "given" : "Vincent T.", "non-dropping-particle" : "", "parse-names" : false, "suffix" : "" }, { "dropping-particle" : "", "family" : "Cutler", "given" : "Corey", "non-dropping-particle" : "", "parse-names" : false, "suffix" : "" }, { "dropping-particle" : "", "family" : "Koreth", "given" : "John", "non-dropping-particle" : "", "parse-names" : false, "suffix" : "" }, { "dropping-particle" : "", "family" : "Armand", "given" : "Philippe", "non-dropping-particle" : "", "parse-names" : false, "suffix" : "" }, { "dropping-particle" : "", "family" : "Alyea", "given" : "Edwin P.", "non-dropping-particle" : "", "parse-names" : false, "suffix" : "" }, { "dropping-particle" : "", "family" : "Baden", "given" : "Lindsey R.", "non-dropping-particle" : "", "parse-names" : false, "suffix" : "" }, { "dropping-particle" : "", "family" : "Antin", "given" : "Joseph H.", "non-dropping-particle" : "", "parse-names" : false, "suffix" : "" }, { "dropping-particle" : "", "family" : "Soiffer", "given" : "Robert J.", "non-dropping-particle" : "", "parse-names" : false, "suffix" : "" }, { "dropping-particle" : "", "family" : "Marty", "given" : "Francisco M.", "non-dropping-particle" : "", "parse-names" : false, "suffix" : "" } ], "container-title" : "Biology of Blood and Marrow Transplantation", "id" : "ITEM-1", "issue" : "11", "issued" : { "date-parts" : [ [ "2012" ] ] }, "page" : "1638-1648", "title" : "Cord-Blood Hematopoietic Stem Cell Transplant Confers an Increased Risk for Human Herpesvirus-6-Associated Acute Limbic Encephalitis: A Cohort Analysis", "type" : "article-journal", "volume" : "18" }, "uris" : [ "http://www.mendeley.com/documents/?uuid=bbd16dcd-3fb3-4dcf-8583-c9c8b9325cdb" ] } ], "mendeley" : { "formattedCitation" : "&lt;sup&gt;50&lt;/sup&gt;", "plainTextFormattedCitation" : "50", "previouslyFormattedCitation" : "&lt;sup&gt;50&lt;/sup&gt;"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50</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Accordin</w:t>
      </w:r>
      <w:r w:rsidR="00937D61" w:rsidRPr="001E48D5">
        <w:rPr>
          <w:rFonts w:ascii="Book Antiqua" w:eastAsia="Times New Roman" w:hAnsi="Book Antiqua" w:cs="Segoe UI"/>
          <w:color w:val="000000"/>
          <w:sz w:val="24"/>
          <w:szCs w:val="24"/>
        </w:rPr>
        <w:t xml:space="preserve">gly, </w:t>
      </w:r>
      <w:proofErr w:type="spellStart"/>
      <w:r w:rsidR="00937D61" w:rsidRPr="001E48D5">
        <w:rPr>
          <w:rFonts w:ascii="Book Antiqua" w:eastAsia="Times New Roman" w:hAnsi="Book Antiqua" w:cs="Segoe UI"/>
          <w:color w:val="000000"/>
          <w:sz w:val="24"/>
          <w:szCs w:val="24"/>
        </w:rPr>
        <w:t>Tomonari</w:t>
      </w:r>
      <w:proofErr w:type="spellEnd"/>
      <w:r w:rsidR="00937D61" w:rsidRPr="001E48D5">
        <w:rPr>
          <w:rFonts w:ascii="Book Antiqua" w:eastAsia="Times New Roman" w:hAnsi="Book Antiqua" w:cs="Segoe UI"/>
          <w:color w:val="000000"/>
          <w:sz w:val="24"/>
          <w:szCs w:val="24"/>
        </w:rPr>
        <w:t xml:space="preserve"> </w:t>
      </w:r>
      <w:r w:rsidR="00937D61"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"10.1532/IJH97.04183", "ISSN" : "0925-5710", "PMID" : "15914369", "abstract" : "Human herpesvirus 6 variant B (HHV-6B) infection was studied in 23 adult patients who underwent cord blood transplantation (CBT). HHV-6B DNA was detected by quantitative polymerase chain reaction analysis after CBT in the sera from 15 patients (65%) at day 14 or 15 (week 2), from 16 patients (70%) at day 21 or 22 (week 3), and from 3 patients (13%) at day 28 or 29 (week 4). HHV-6B DNAemia was found in none of the 20 patients examined at day 7 or 8 (week 1). The overall incidence of HHV-6B DNAemia reached 87% (20 of 23 patients). This incidence was much higher than after unrelated bone marrow transplantation (19%, P &lt; .0001). In CBT patients, positive HHV-6B DNAemia at week 3 was significantly associated with early skin rash (88% versus 14%, P &lt; .005) and grade II-IV acute graft-versus-host disease (aGVHD) (69% versus 14%, P &lt; .05). In contrast, positive HHV-6B DNAemia at week 2 was associated with neither skin rash nor aGVHD. Prospective large-scale studies are needed to determine the role of HHV-6 infection in CBT patients.", "author" : [ { "dropping-particle" : "", "family" : "Tomonari", "given" : "Akira", "non-dropping-particle" : "", "parse-names" : false, "suffix" : "" }, { "dropping-particle" : "", "family" : "Takahashi", "given" : "Satoshi", "non-dropping-particle" : "", "parse-names" : false, "suffix" : "" }, { "dropping-particle" : "", "family" : "Ooi", "given" : "Jun", "non-dropping-particle" : "", "parse-names" : false, "suffix" : "" }, { "dropping-particle" : "", "family" : "Iseki", "given" : "Tohru", "non-dropping-particle" : "", "parse-names" : false, "suffix" : "" }, { "dropping-particle" : "", "family" : "Takasugi", "given" : "Kashiya", "non-dropping-particle" : "", "parse-names" : false, "suffix" : "" }, { "dropping-particle" : "", "family" : "Uchiyama", "given" : "Michihiro", "non-dropping-particle" : "", "parse-names" : false, "suffix" : "" }, { "dropping-particle" : "", "family" : "Konuma", "given" : "Takaaki", "non-dropping-particle" : "", "parse-names" : false, "suffix" : "" }, { "dropping-particle" : "", "family" : "Futami", "given" : "Muneyoshi", "non-dropping-particle" : "", "parse-names" : false, "suffix" : "" }, { "dropping-particle" : "", "family" : "Ohno", "given" : "Nobuhiro", "non-dropping-particle" : "", "parse-names" : false, "suffix" : "" }, { "dropping-particle" : "", "family" : "Uchimaru", "given" : "Kaoru", "non-dropping-particle" : "", "parse-names" : false, "suffix" : "" }, { "dropping-particle" : "", "family" : "Tojo", "given" : "Arinobu", "non-dropping-particle" : "", "parse-names" : false, "suffix" : "" }, { "dropping-particle" : "", "family" : "Asano", "given" : "Shigetaka", "non-dropping-particle" : "", "parse-names" : false, "suffix" : "" } ], "container-title" : "International journal of hematology", "id" : "ITEM-1", "issued" : { "date-parts" : [ [ "2005" ] ] }, "page" : "352-355", "title" : "Human herpesvirus 6 variant B infection in adult patients after unrelated cord blood transplantation.", "type" : "article-journal", "volume" : "81" }, "uris" : [ "http://www.mendeley.com/documents/?uuid=f157a871-82a8-4567-8365-3360d5a0a450" ] } ], "mendeley" : { "formattedCitation" : "&lt;sup&gt;51&lt;/sup&gt;", "plainTextFormattedCitation" : "51", "previouslyFormattedCitation" : "&lt;sup&gt;51&lt;/sup&gt;"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51</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have also shown the higher HHV-6 viral load using quantitative </w:t>
      </w:r>
      <w:r w:rsidR="004524C8" w:rsidRPr="001E48D5">
        <w:rPr>
          <w:rFonts w:ascii="Book Antiqua" w:hAnsi="Book Antiqua" w:cs="Segoe UI"/>
          <w:color w:val="000000"/>
          <w:sz w:val="24"/>
          <w:szCs w:val="24"/>
          <w:lang w:eastAsia="zh-CN"/>
        </w:rPr>
        <w:t>PCR</w:t>
      </w:r>
      <w:r w:rsidRPr="001E48D5">
        <w:rPr>
          <w:rFonts w:ascii="Book Antiqua" w:eastAsia="Times New Roman" w:hAnsi="Book Antiqua" w:cs="Segoe UI"/>
          <w:color w:val="000000"/>
          <w:sz w:val="24"/>
          <w:szCs w:val="24"/>
        </w:rPr>
        <w:t xml:space="preserve"> in adult patients who underwent UCBT compared with unrelated BMT.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These reports in addition to the possibility of intrauterine transmission of HHV-6 and contamination of UCB cells suggest the possibility of HHV-6 transmission by UCB allograft and subsequent primary infection. This phenomenon might be associated with less efficient immunity against HHV6 in cord blood</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"ISSN" : "0006-4971", "PMID" : "12200359", "abstract" : "Human herpesvirus 6 (HHV-6) infection in recipients of cord blood stem cell transplants (CBSCTs) was estimated by semiquantitative and real-time quantitative polymerase chain reaction (PCR) and reverse-transcription PCR. Of the CBSCT recipients, 7 (70%) of 10 had active HHV-6 infection after transplantation, and all 7 were inferred from their age to have already had a primary infection. Because HHV-6 DNA is seldom detected in cord blood, these cases were considered likely to represent reactivation. In contrast, the 3 patients without HHV-6 infection were all believed to be naive regarding HHV-6 primary infection because of their age and the results of PCR assays given before the transplantation procedure. The incidence of HHV-6 infection after transplantation was significantly higher (P &lt;.05) than after bone marrow (BM) transplantation and peripheral blood stem cell (PBSC) transplantation, when recipients without primary HHV-6 infection prior to transplantation were excluded (CBSCT, 100%; BMT/PBSCT, 56.3%). Real-time PCR revealed a higher level of viral DNA in the peripheral blood mononuclear cells from CBSCT recipients than from BMT/PBSCT recipients or patients with exanthem subitum (P &lt;.05). HHV-6 mRNA of the U79/80 gene was also detected by reverse-transcription PCR in all analyzed patients with HHV-6 infection. Its detection was correlated with the emergence of viral DNA in the plasma and symptoms such as fever and rash. Thus, HHV-6 infection was more frequent and the viral load was higher in CBSCT recipients with prior primary infection.", "author" : [ { "dropping-particle" : "", "family" : "Sashihara", "given" : "Junji", "non-dropping-particle" : "", "parse-names" : false, "suffix" : "" }, { "dropping-particle" : "", "family" : "Tanaka-Taya", "given" : "Keiko", "non-dropping-particle" : "", "parse-names" : false, "suffix" : "" }, { "dropping-particle" : "", "family" : "Tanaka", "given" : "Shinya", "non-dropping-particle" : "", "parse-names" : false, "suffix" : "" }, { "dropping-particle" : "", "family" : "Amo", "given" : "Kiyoko", "non-dropping-particle" : "", "parse-names" : false, "suffix" : "" }, { "dropping-particle" : "", "family" : "Miyagawa", "given" : "Hiromi", "non-dropping-particle" : "", "parse-names" : false, "suffix" : "" }, { "dropping-particle" : "", "family" : "Hosoi", "given" : "Gaku", "non-dropping-particle" : "", "parse-names" : false, "suffix" : "" }, { "dropping-particle" : "", "family" : "Taniguchi", "given" : "Tomokuni", "non-dropping-particle" : "", "parse-names" : false, "suffix" : "" }, { "dropping-particle" : "", "family" : "Fukui", "given" : "Takafumi", "non-dropping-particle" : "", "parse-names" : false, "suffix" : "" }, { "dropping-particle" : "", "family" : "Kasuga", "given" : "Naoki", "non-dropping-particle" : "", "parse-names" : false, "suffix" : "" }, { "dropping-particle" : "", "family" : "Aono", "given" : "Toshiya", "non-dropping-particle" : "", "parse-names" : false, "suffix" : "" }, { "dropping-particle" : "", "family" : "Sako", "given" : "Masahiro", "non-dropping-particle" : "", "parse-names" : false, "suffix" : "" }, { "dropping-particle" : "", "family" : "Hara", "given" : "Junichi", "non-dropping-particle" : "", "parse-names" : false, "suffix" : "" }, { "dropping-particle" : "", "family" : "Yamanishi", "given" : "Koichi", "non-dropping-particle" : "", "parse-names" : false, "suffix" : "" }, { "dropping-particle" : "", "family" : "Okada", "given" : "Shintaro", "non-dropping-particle" : "", "parse-names" : false, "suffix" : "" } ], "container-title" : "Blood", "id" : "ITEM-1", "issue" : "6", "issued" : { "date-parts" : [ [ "2002" ] ] }, "page" : "2005-2011", "title" : "High incidence of human herpesvirus 6 infection with a high viral load in cord blood stem cell transplant recipients.", "type" : "article-journal", "volume" : "100" }, "uris" : [ "http://www.mendeley.com/documents/?uuid=c590aa13-a04b-4a0a-8c9e-a0bcce30dac2" ] }, { "id" : "ITEM-2", "itemData" : { "ISSN" : "1873-4251", "PMID" : "18855654", "abstract" : "Intrauterine transmission of HHV-6 is well established in immunocompetent women while few data are available on infections in babies born to HIV-positive mothers. To assess the rate of HHV-6 vertical transmission in comparison to CMV, we analyzed cord blood spots dried on cards (Dried Blood Spots, DBS) collected during a multi-center study on HIV congenital infections in Italy. DBS were tested by PCR for HHV-6 and CMV footprints. HHV-6 amplimers were sequenced and characterized. As control group, cards taken from babies born to HIV-negative mothers were analyzed. DBS of 187 babies born to HIV-positive and 372 to HIV-negative mothers were analyzed. The prevalence of HHV-6 was 3.2% in babies born to HIV-positive mothers. CMV was found in the HIV-positive group with a prevalence rate of 1.6%. In newborns of control pregnant women, HHV-6 prevalence rate was 1.1% (p=0.09), while CMV was not detected (p=0.04). Sequence analysis could distinguish between HHV-6 A and B variant in both groups and one A/B coinfection was found in a baby born to a HIV-positive mother. HIV-infected mothers transmit HHV-6 and CMV viruses to their babies more frequently than uninfected women.", "author" : [ { "dropping-particle" : "", "family" : "D'Agaro", "given" : "Pierlanfranco", "non-dropping-particle" : "", "parse-names" : false, "suffix" : "" }, { "dropping-particle" : "", "family" : "Burgnich", "given" : "Paola", "non-dropping-particle" : "", "parse-names" : false, "suffix" : "" }, { "dropping-particle" : "", "family" : "Comar", "given" : "Manola", "non-dropping-particle" : "", "parse-names" : false, "suffix" : "" }, { "dropping-particle" : "", "family" : "Dal Molin", "given" : "Gianna", "non-dropping-particle" : "", "parse-names" : false, "suffix" : "" }, { "dropping-particle" : "", "family" : "Bernardon", "given" : "Maria", "non-dropping-particle" : "", "parse-names" : false, "suffix" : "" }, { "dropping-particle" : "", "family" : "Busetti", "given" : "Marina", "non-dropping-particle" : "", "parse-names" : false, "suffix" : "" }, { "dropping-particle" : "", "family" : "Alberico", "given" : "Salvatore", "non-dropping-particle" : "", "parse-names" : false, "suffix" : "" }, { "dropping-particle" : "", "family" : "Poli", "given" : "Albino", "non-dropping-particle" : "", "parse-names" : false, "suffix" : "" }, { "dropping-particle" : "", "family" : "Campello", "given" : "Cesare", "non-dropping-particle" : "", "parse-names" : false, "suffix" : "" }, { "dropping-particle" : "", "family" : "SIGO Italian Group", "given" : "", "non-dropping-particle" : "", "parse-names" : false, "suffix" : "" } ], "container-title" : "Current HIV research", "id" : "ITEM-2", "issue" : "5", "issued" : { "date-parts" : [ [ "2008", "9" ] ] }, "page" : "441-6", "title" : "HHV-6 is frequently detected in dried cord blood spots from babies born to HIV-positive mothers.", "type" : "article-journal", "volume" : "6" }, "uris" : [ "http://www.mendeley.com/documents/?uuid=a52ae481-c146-3659-b6b2-100568185e92" ] } ], "mendeley" : { "formattedCitation" : "&lt;sup&gt;52,53&lt;/sup&gt;", "plainTextFormattedCitation" : "52,53", "previouslyFormattedCitation" : "&lt;sup&gt;52,53&lt;/sup&gt;"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52,53</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While more studies are needed to confirm and define the importance of UCBT in HHV-6 transmission, routine screening for HHV-6 and exclusion of PCR-positive UCB units seems to be efficient to prevent UCB-mediated virus transmission and related serious outcomes.</w:t>
      </w:r>
    </w:p>
    <w:p w:rsidR="00937D61" w:rsidRPr="001E48D5" w:rsidRDefault="00937D61" w:rsidP="007A67C3">
      <w:pPr>
        <w:spacing w:after="0" w:line="360" w:lineRule="auto"/>
        <w:jc w:val="both"/>
        <w:rPr>
          <w:rFonts w:ascii="Book Antiqua" w:hAnsi="Book Antiqua" w:cs="Segoe UI"/>
          <w:color w:val="000000"/>
          <w:sz w:val="24"/>
          <w:szCs w:val="24"/>
          <w:lang w:eastAsia="zh-CN"/>
        </w:rPr>
      </w:pPr>
    </w:p>
    <w:p w:rsidR="00FA07B4" w:rsidRPr="001E48D5" w:rsidRDefault="00937D61"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
          <w:bCs/>
          <w:i/>
          <w:color w:val="000000"/>
          <w:sz w:val="24"/>
          <w:szCs w:val="24"/>
        </w:rPr>
        <w:t>HHV-7</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 xml:space="preserve">HHV-7 is a member of the beta </w:t>
      </w:r>
      <w:proofErr w:type="spellStart"/>
      <w:r w:rsidRPr="001E48D5">
        <w:rPr>
          <w:rFonts w:ascii="Book Antiqua" w:eastAsia="Times New Roman" w:hAnsi="Book Antiqua" w:cs="Segoe UI"/>
          <w:color w:val="000000"/>
          <w:sz w:val="24"/>
          <w:szCs w:val="24"/>
        </w:rPr>
        <w:t>herpesviridae</w:t>
      </w:r>
      <w:proofErr w:type="spellEnd"/>
      <w:r w:rsidRPr="001E48D5">
        <w:rPr>
          <w:rFonts w:ascii="Book Antiqua" w:eastAsia="Times New Roman" w:hAnsi="Book Antiqua" w:cs="Segoe UI"/>
          <w:color w:val="000000"/>
          <w:sz w:val="24"/>
          <w:szCs w:val="24"/>
        </w:rPr>
        <w:t xml:space="preserve"> family. Like HHV-6, it causes primary infection most commonly in infancy and childhood and is able to cause roseola. However, symptomatic HHV-7 infection is less common and occurs at a later age than with HHV-6. This virus remains latent in the human host and can become reactivated after transplantation. Right now, no clinical symptoms or significant laboratory a</w:t>
      </w:r>
      <w:r w:rsidR="00937D61" w:rsidRPr="001E48D5">
        <w:rPr>
          <w:rFonts w:ascii="Book Antiqua" w:eastAsia="Times New Roman" w:hAnsi="Book Antiqua" w:cs="Segoe UI"/>
          <w:color w:val="000000"/>
          <w:sz w:val="24"/>
          <w:szCs w:val="24"/>
        </w:rPr>
        <w:t xml:space="preserve">bnormalities were found to be </w:t>
      </w:r>
      <w:r w:rsidRPr="001E48D5">
        <w:rPr>
          <w:rFonts w:ascii="Book Antiqua" w:eastAsia="Times New Roman" w:hAnsi="Book Antiqua" w:cs="Segoe UI"/>
          <w:color w:val="000000"/>
          <w:sz w:val="24"/>
          <w:szCs w:val="24"/>
        </w:rPr>
        <w:t>related to HHV-7 reactivation</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"10.3402/jom.v5i0.22766", "ISBN" : "2000-2297 (Print)\\r2000-2297 (Linking)", "ISSN" : "2000-2297", "PMID" : "24167660", "abstract" : "Eight members of the Herpesviridae family commonly infect humans, and close to 100% of the adult population is infected with at least one of these. The five that cause the most health concerns are: herpes simplex virus (HSV) type 1 and 2, Epstein-Barr virus (EBV), cytomegalovirus (CMV), and varicella zoster virus (VZV). In addition, there are human herpes virus (HHV) types 6-8. The review starts by introducing possible viral strategies in general. The particular biology and host relationship of the various human herpesviruses, including their pathology, are examined subsequently. Factors that contribute to the maintenance of latency and reactivation of viral replication are discussed. There will be special reference to how these viruses exploit and contribute to pathology in the oral cavity. Reactivation does not necessarily imply clinical symptoms, as reflected in the asymptomatic shedding of EBV and CMV from oral mucosa. The immune response and the level of viral output are both important to the consequences experienced.", "author" : [ { "dropping-particle" : "", "family" : "Grinde", "given" : "Bj\u00f8rn", "non-dropping-particle" : "", "parse-names" : false, "suffix" : "" } ], "container-title" : "Journal of Oral Microbiology", "id" : "ITEM-1", "issue" : "1", "issued" : { "date-parts" : [ [ "2013" ] ] }, "page" : "22766", "title" : "Herpesviruses: latency and reactivation \u2013 viral strategies and host response", "type" : "article-journal", "volume" : "5" }, "uris" : [ "http://www.mendeley.com/documents/?uuid=eca69d95-73ce-4dcc-af3a-b8e818597cd5" ] } ], "mendeley" : { "formattedCitation" : "&lt;sup&gt;54&lt;/sup&gt;", "plainTextFormattedCitation" : "54", "previouslyFormattedCitation" : "&lt;sup&gt;54&lt;/sup&gt;"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54</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Owing to its selective tropism for CD4+ T lymphocytes and possibility of worsening the immunodeficiency state, the HHV-7 infection might be a serious threat in transplant recipients and impair the transplant engraftment. </w:t>
      </w:r>
      <w:proofErr w:type="spellStart"/>
      <w:r w:rsidRPr="001E48D5">
        <w:rPr>
          <w:rFonts w:ascii="Book Antiqua" w:eastAsia="Times New Roman" w:hAnsi="Book Antiqua" w:cs="Segoe UI"/>
          <w:color w:val="000000"/>
          <w:sz w:val="24"/>
          <w:szCs w:val="24"/>
        </w:rPr>
        <w:t>M</w:t>
      </w:r>
      <w:r w:rsidR="00937D61" w:rsidRPr="001E48D5">
        <w:rPr>
          <w:rFonts w:ascii="Book Antiqua" w:eastAsia="Times New Roman" w:hAnsi="Book Antiqua" w:cs="Segoe UI"/>
          <w:color w:val="000000"/>
          <w:sz w:val="24"/>
          <w:szCs w:val="24"/>
        </w:rPr>
        <w:t>irandola</w:t>
      </w:r>
      <w:proofErr w:type="spellEnd"/>
      <w:r w:rsidR="00937D61" w:rsidRPr="001E48D5">
        <w:rPr>
          <w:rFonts w:ascii="Book Antiqua" w:eastAsia="Times New Roman" w:hAnsi="Book Antiqua" w:cs="Segoe UI"/>
          <w:color w:val="000000"/>
          <w:sz w:val="24"/>
          <w:szCs w:val="24"/>
        </w:rPr>
        <w:t xml:space="preserve"> </w:t>
      </w:r>
      <w:r w:rsidR="00937D61"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"ISBN" : "0006-4971 (Print)\\r0006-4971 (Linking)", "ISSN" : "0006-4971", "PMID" : "10891440", "abstract" : "To investigate the tropism of the T-lymphotropic human herpesvirus 7 (HHV-7) for hematopoietic progenitors, cord blood CD34(+) cells were inoculated in vitro with HHV-7 and then induced to differentiate along the granulocytic and erythroid lineages by the addition of appropriate cytokine cocktails. In semisolid assays, HHV-7 modestly affected the growth of committed (granulocytic/macrophagic and erythroid) progenitors, whereas it significantly decreased the number of pluripotent (granulocytic/erythroid/ monocytic/megakaryocytic) progenitors. Such inhibitory effect was completely abrogated by incubating HHV-7 inoculum with anti-HHV-7 neutralizing serum. In liquid cultures, HHV-7 hastened maturation along the myeloid but not the erythroid lineage, as demonstrated by the up-regulation of CD33 early myeloid antigen at day 7 of culture, and of CD15 and CD14 antigens at day 15. Moreover, HHV-7 messenger RNA was detected by reverse transcriptase-polymerase chain reaction (RT-PCR) in cells maturating along both the myeloid and the erythroid lineages. To evaluate the relevance of these in vitro findings, the presence of HHV-7 was investigated in bone marrow (BM) unfractionated mononuclear cells (MCs) as well as in purified CD34(+) and CD34(-) cell subsets, obtained from 14 normal adult donors. HHV-7 DNA was detected by DNA-PCR in 4 of 7 BMMC samples, and it was found to be associated with both the CD34(-) (2 of 7) and the CD34(+ )(1 of 7) fractions. These data indicate that HHV-7 infects BM cells in vivo and shows the ability to affect the survival/differentiation of CD34(+) hematopoietic progenitors in vitro by inhibiting more ancestral progenitors and perturbing the maturation of myeloid cells.", "author" : [ { "dropping-particle" : "", "family" : "Mirandola", "given" : "P", "non-dropping-particle" : "", "parse-names" : false, "suffix" : "" }, { "dropping-particle" : "", "family" : "Secchiero", "given" : "P", "non-dropping-particle" : "", "parse-names" : false, "suffix" : "" }, { "dropping-particle" : "", "family" : "Pierpaoli", "given" : "S", "non-dropping-particle" : "", "parse-names" : false, "suffix" : "" }, { "dropping-particle" : "", "family" : "Visani", "given" : "G", "non-dropping-particle" : "", "parse-names" : false, "suffix" : "" }, { "dropping-particle" : "", "family" : "Zamai", "given" : "L", "non-dropping-particle" : "", "parse-names" : false, "suffix" : "" }, { "dropping-particle" : "", "family" : "Vitale", "given" : "M", "non-dropping-particle" : "", "parse-names" : false, "suffix" : "" }, { "dropping-particle" : "", "family" : "Capitani", "given" : "S", "non-dropping-particle" : "", "parse-names" : false, "suffix" : "" }, { "dropping-particle" : "", "family" : "Zauli", "given" : "G", "non-dropping-particle" : "", "parse-names" : false, "suffix" : "" } ], "container-title" : "Blood", "id" : "ITEM-1", "issue" : "1", "issued" : { "date-parts" : [ [ "2000" ] ] }, "page" : "126-31", "title" : "Infection of CD34(+) hematopoietic progenitor cells by human herpesvirus 7 (HHV-7).", "type" : "article-journal", "volume" : "96" }, "uris" : [ "http://www.mendeley.com/documents/?uuid=2d1218b0-06a6-4931-85c5-a0717d47823f" ] } ], "mendeley" : { "formattedCitation" : "&lt;sup&gt;55&lt;/sup&gt;", "plainTextFormattedCitation" : "55", "previouslyFormattedCitation" : "&lt;sup&gt;55&lt;/sup&gt;"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55</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incubated cord blood CD34+ cells with HHV-7 and showed that HHV-7 affects the differentiation and survival of CD34+ hematopoietic progenito</w:t>
      </w:r>
      <w:r w:rsidR="00937D61" w:rsidRPr="001E48D5">
        <w:rPr>
          <w:rFonts w:ascii="Book Antiqua" w:eastAsia="Times New Roman" w:hAnsi="Book Antiqua" w:cs="Segoe UI"/>
          <w:color w:val="000000"/>
          <w:sz w:val="24"/>
          <w:szCs w:val="24"/>
        </w:rPr>
        <w:t xml:space="preserve">rs. Consistently, </w:t>
      </w:r>
      <w:proofErr w:type="spellStart"/>
      <w:r w:rsidR="00937D61" w:rsidRPr="001E48D5">
        <w:rPr>
          <w:rFonts w:ascii="Book Antiqua" w:eastAsia="Times New Roman" w:hAnsi="Book Antiqua" w:cs="Segoe UI"/>
          <w:color w:val="000000"/>
          <w:sz w:val="24"/>
          <w:szCs w:val="24"/>
        </w:rPr>
        <w:t>Gonelli</w:t>
      </w:r>
      <w:proofErr w:type="spellEnd"/>
      <w:r w:rsidR="00937D61" w:rsidRPr="001E48D5">
        <w:rPr>
          <w:rFonts w:ascii="Book Antiqua" w:eastAsia="Times New Roman" w:hAnsi="Book Antiqua" w:cs="Segoe UI"/>
          <w:color w:val="000000"/>
          <w:sz w:val="24"/>
          <w:szCs w:val="24"/>
        </w:rPr>
        <w:t xml:space="preserve"> </w:t>
      </w:r>
      <w:r w:rsidR="00937D61"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"ISSN" : "0390-6078", "PMID" : "12414354", "abstract" : "In vitro infection of CD61+ megakaryocytic cells with human herpesvirus-7 (HHV-7) induced a drastic increase of apoptosis. Moreover, cells surviving HHV-7 cytotoxicity showed enhanced megakaryocytic maturation with respect to control cultures. These data suggest that HHV-7 reactivation in the bone marrow of HIV-1 infected individuals may contribute to impair megakaryocytopoiesis.", "author" : [ { "dropping-particle" : "", "family" : "Gonelli", "given" : "Arianna", "non-dropping-particle" : "", "parse-names" : false, "suffix" : "" }, { "dropping-particle" : "", "family" : "Mirandola", "given" : "Prisco", "non-dropping-particle" : "", "parse-names" : false, "suffix" : "" }, { "dropping-particle" : "", "family" : "Grill", "given" : "Vittorio", "non-dropping-particle" : "", "parse-names" : false, "suffix" : "" }, { "dropping-particle" : "", "family" : "Secchiero", "given" : "Paola", "non-dropping-particle" : "", "parse-names" : false, "suffix" : "" }, { "dropping-particle" : "", "family" : "Zauli", "given" : "Giorgio", "non-dropping-particle" : "", "parse-names" : false, "suffix" : "" } ], "container-title" : "Haematologica", "id" : "ITEM-1", "issue" : "11", "issued" : { "date-parts" : [ [ "2002", "11", "1" ] ] }, "page" : "1223-5", "publisher" : "Haematologica", "title" : "Human herpesvirus 7 infection impairs the survival/differentiation of megakaryocytic cells.", "type" : "article-journal", "volume" : "87" }, "uris" : [ "http://www.mendeley.com/documents/?uuid=d9c8b7d8-bb82-3e62-ab46-93808eacb23e" ] } ], "mendeley" : { "formattedCitation" : "&lt;sup&gt;56&lt;/sup&gt;", "plainTextFormattedCitation" : "56", "previouslyFormattedCitation" : "&lt;sup&gt;56&lt;/sup&gt;"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56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showed that HHV-7 induces apoptosis of cord blood CD61+ megakaryocytic cells in vitro and may impair the development of megakaryocytic</w:t>
      </w:r>
      <w:r w:rsidR="000C30DD" w:rsidRPr="001E48D5">
        <w:rPr>
          <w:rFonts w:ascii="Book Antiqua" w:eastAsia="Times New Roman" w:hAnsi="Book Antiqua" w:cs="Segoe UI"/>
          <w:color w:val="000000"/>
          <w:sz w:val="24"/>
          <w:szCs w:val="24"/>
        </w:rPr>
        <w:t xml:space="preserve"> cells. Accordingly, </w:t>
      </w:r>
      <w:r w:rsidR="000C30DD" w:rsidRPr="001E48D5">
        <w:rPr>
          <w:rFonts w:ascii="Book Antiqua" w:eastAsia="Times New Roman" w:hAnsi="Book Antiqua" w:cs="Segoe UI"/>
          <w:color w:val="000000"/>
          <w:sz w:val="24"/>
          <w:szCs w:val="24"/>
        </w:rPr>
        <w:lastRenderedPageBreak/>
        <w:t xml:space="preserve">Chan </w:t>
      </w:r>
      <w:r w:rsidR="000C30DD"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"ISSN" : "0146-6615", "PMID" : "9365899", "abstract" : "Human cytomegalovirus (HCMV), human herpesvirus-6 (HHV-6), and human herpesvirus-7 (HHV-7) DNA in peripheral blood leukocytes (PBL) of 61 bone marrow transplant recipients was monitored weekly during the first 12 weeks post-transplantation by a nested polymerase chain reaction (PCR). Thirty-seven (61%), 17 (28%), and 32 (53%) of patients had one or more PBL specimens positive for HCMV, HHV-6 or HHV-7 DNA, respectively. HHV-7 DNA in PBL during the early post-transplant period was associated with a longer time to neutrophil engraftment (mean 28.8 days vs 19.8 days; P = 0.01). In two patients who failed to engraft, HHV-6 DNA and HHV-7 DNA was detected in plasma and PBL, respectively, early in their post-transplant period. Patients with HCMV disease were more likely to have concurrent HHV-7 DNA in PBL prior to onset of disease than were patients with asymptomatic HCMV infection, suggesting that HHV-7 may be a cofactor in the progression from HCMV infection to HCMV disease. In the 17 patients (179 specimens) in whom viral DNA in plasma was studied (in addition to PBL), a positive result was found only in 3. In each, viral DNA in plasma appeared to correlate with clinically significant disease. HHV-7 DNA in plasma was associated with encephalitis in an allograft recipient.", "author" : [ { "dropping-particle" : "", "family" : "Chan", "given" : "P K", "non-dropping-particle" : "", "parse-names" : false, "suffix" : "" }, { "dropping-particle" : "", "family" : "Peiris", "given" : "J S", "non-dropping-particle" : "", "parse-names" : false, "suffix" : "" }, { "dropping-particle" : "", "family" : "Yuen", "given" : "K Y", "non-dropping-particle" : "", "parse-names" : false, "suffix" : "" }, { "dropping-particle" : "", "family" : "Liang", "given" : "R H", "non-dropping-particle" : "", "parse-names" : false, "suffix" : "" }, { "dropping-particle" : "", "family" : "Lau", "given" : "Y L", "non-dropping-particle" : "", "parse-names" : false, "suffix" : "" }, { "dropping-particle" : "", "family" : "Chen", "given" : "F E", "non-dropping-particle" : "", "parse-names" : false, "suffix" : "" }, { "dropping-particle" : "", "family" : "Lo", "given" : "S K", "non-dropping-particle" : "", "parse-names" : false, "suffix" : "" }, { "dropping-particle" : "", "family" : "Cheung", "given" : "C Y", "non-dropping-particle" : "", "parse-names" : false, "suffix" : "" }, { "dropping-particle" : "", "family" : "Chan", "given" : "T K", "non-dropping-particle" : "", "parse-names" : false, "suffix" : "" }, { "dropping-particle" : "", "family" : "Ng", "given" : "M H", "non-dropping-particle" : "", "parse-names" : false, "suffix" : "" } ], "container-title" : "Journal of medical virology", "id" : "ITEM-1", "issue" : "3", "issued" : { "date-parts" : [ [ "1997", "11" ] ] }, "page" : "295-305", "title" : "Human herpesvirus-6 and human herpesvirus-7 infections in bone marrow transplant recipients.", "type" : "article-journal", "volume" : "53" }, "uris" : [ "http://www.mendeley.com/documents/?uuid=2ed31da6-9b0e-32bc-8160-a676b6ddcc98" ] } ], "mendeley" : { "formattedCitation" : "&lt;sup&gt;57&lt;/sup&gt;", "plainTextFormattedCitation" : "57", "previouslyFormattedCitation" : "&lt;sup&gt;57&lt;/sup&gt;"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57</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noted the association of HHV-7 reactivation with delayed neutrophil engraftment following BMT. These findings are real causes for concern in patients with high risk of HHV-7 in</w:t>
      </w:r>
      <w:r w:rsidR="000C30DD" w:rsidRPr="001E48D5">
        <w:rPr>
          <w:rFonts w:ascii="Book Antiqua" w:eastAsia="Times New Roman" w:hAnsi="Book Antiqua" w:cs="Segoe UI"/>
          <w:color w:val="000000"/>
          <w:sz w:val="24"/>
          <w:szCs w:val="24"/>
        </w:rPr>
        <w:t>fection, such as HSCT patients.</w:t>
      </w:r>
    </w:p>
    <w:p w:rsidR="00FA07B4" w:rsidRPr="001E48D5" w:rsidRDefault="000C30DD" w:rsidP="007A67C3">
      <w:pPr>
        <w:spacing w:after="0" w:line="360" w:lineRule="auto"/>
        <w:ind w:firstLineChars="200" w:firstLine="480"/>
        <w:jc w:val="both"/>
        <w:rPr>
          <w:rFonts w:ascii="Book Antiqua" w:eastAsia="Times New Roman" w:hAnsi="Book Antiqua" w:cs="Segoe UI"/>
          <w:color w:val="000000"/>
          <w:sz w:val="24"/>
          <w:szCs w:val="24"/>
        </w:rPr>
      </w:pPr>
      <w:proofErr w:type="spellStart"/>
      <w:r w:rsidRPr="001E48D5">
        <w:rPr>
          <w:rFonts w:ascii="Book Antiqua" w:eastAsia="Times New Roman" w:hAnsi="Book Antiqua" w:cs="Segoe UI"/>
          <w:color w:val="000000"/>
          <w:sz w:val="24"/>
          <w:szCs w:val="24"/>
        </w:rPr>
        <w:t>Abedi</w:t>
      </w:r>
      <w:proofErr w:type="spellEnd"/>
      <w:r w:rsidRPr="001E48D5">
        <w:rPr>
          <w:rFonts w:ascii="Book Antiqua" w:eastAsia="Times New Roman" w:hAnsi="Book Antiqua" w:cs="Segoe UI"/>
          <w:color w:val="000000"/>
          <w:sz w:val="24"/>
          <w:szCs w:val="24"/>
        </w:rPr>
        <w:t xml:space="preserve"> </w:t>
      </w:r>
      <w:r w:rsidRPr="001E48D5">
        <w:rPr>
          <w:rFonts w:ascii="Book Antiqua" w:eastAsia="Times New Roman" w:hAnsi="Book Antiqua" w:cs="Segoe UI"/>
          <w:i/>
          <w:color w:val="000000"/>
          <w:sz w:val="24"/>
          <w:szCs w:val="24"/>
        </w:rPr>
        <w:t>et al</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"10.1111/tid.12319", "ISSN" : "13993062", "abstract" : "\u00a9 2014 John Wiley  &amp;  Sons A/S. Published by John Wiley  &amp;  Sons Ltd. Objective: Umbilical cord blood (UCB) has been a reasonable alternative to granulocyte colony-stimulating factor-mobilized peripheral blood or bone marrow, as a source of hematopoietic stem cells with a lower risk of graft-versus-host disease. In immunocompromised hosts after transplantation, the risk of viral infection in adults, especially with beta-herpesviruses such as human herpesvirus-7 (HHV-7), may be increased. This virus in immunocompromised patients can be reactivated from latency and converted to an active phase. Therefore, light-upon-extension real-time polymerase chain reaction (PCR) was developed to assess the prevalence and load of HHV-7 in the plasma and buffy coat of donors. Methods: About 825 UCB samples under standard protocol from donors were collected. Then, DNA from plasma and buffy coat was extracted and quantitative real-time PCR was performed with light-upon-extension primers. Results: Overall, HHV-7 was detected in 3.64% (30/825) of UCB donors. HHV-7 DNA was detected in 26 (3.2%) buffy coat samples (latent infection), and only 4 (0.48%) of them were positive for HHV-7 DNA in plasma samples (active infection); the mean HHV-7 viral load was 1.31 \u00d7 10 1  copies/mL in latent infection, and 1.94 \u00d7 10 5  copies/mL in active infection. Conclusions: We suggest that real-time PCR in plasma and buffy coat could be a useful method to detect active and latent HHV-7 infection in UCB donors and determine its role in subsequent transmission events.", "author" : [ { "dropping-particle" : "", "family" : "Abedi", "given" : "E.", "non-dropping-particle" : "", "parse-names" : false, "suffix" : "" }, { "dropping-particle" : "", "family" : "Kheirandish", "given" : "M.", "non-dropping-particle" : "", "parse-names" : false, "suffix" : "" }, { "dropping-particle" : "", "family" : "Sharifi", "given" : "Z.", "non-dropping-particle" : "", "parse-names" : false, "suffix" : "" }, { "dropping-particle" : "", "family" : "Samiee", "given" : "S.", "non-dropping-particle" : "", "parse-names" : false, "suffix" : "" }, { "dropping-particle" : "", "family" : "Kokhaei", "given" : "P.", "non-dropping-particle" : "", "parse-names" : false, "suffix" : "" }, { "dropping-particle" : "", "family" : "Pourpak", "given" : "Z.", "non-dropping-particle" : "", "parse-names" : false, "suffix" : "" }, { "dropping-particle" : "", "family" : "Ashraf", "given" : "M. J.", "non-dropping-particle" : "", "parse-names" : false, "suffix" : "" } ], "container-title" : "Transplant Infectious Disease", "id" : "ITEM-1", "issue" : "1", "issued" : { "date-parts" : [ [ "2015" ] ] }, "page" : "21-24", "title" : "Quantitative polymerase chain reaction for detection of human herpesvirus-7 infection in umbilical cord blood donors", "type" : "article-journal", "volume" : "17" }, "uris" : [ "http://www.mendeley.com/documents/?uuid=08b2013b-4a7f-4cad-a8bd-3cef6dbb5b3c" ] } ], "mendeley" : { "formattedCitation" : "&lt;sup&gt;8&lt;/sup&gt;", "plainTextFormattedCitation" : "8", "previouslyFormattedCitation" : "&lt;sup&gt;8&lt;/sup&gt;"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8</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t xml:space="preserve"> assayed a large number of UCB samples by quantitative real-time PCR and reported that 3.2% and 0.48% were positive for HHV-7 DNA in buffy coat and plasma as latent and active infections, respectively. In contrast, none of the samples were positive for HHV-7 DNA in the study by Weinberg</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"ITEM-1", "issue" : "1", "issued" : { "date-parts" : [ [ "2005" ] ] }, "page" : "35-38", "title" : "Risk of transmission of herpesviruses through cord blood transplantation", "type" : "article-journal", "volume" : "11" }, "uris" : [ "http://www.mendeley.com/documents/?uuid=cb736e5e-abde-4515-a291-38a74dfa22dd" ] } ], "mendeley" : { "formattedCitation" : "&lt;sup&gt;26&lt;/sup&gt;", "plainTextFormattedCitation" : "26", "previouslyFormattedCitation" : "&lt;sup&gt;26&lt;/sup&gt;"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26</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Based on the high </w:t>
      </w:r>
      <w:proofErr w:type="spellStart"/>
      <w:r w:rsidRPr="001E48D5">
        <w:rPr>
          <w:rFonts w:ascii="Book Antiqua" w:eastAsia="Times New Roman" w:hAnsi="Book Antiqua" w:cs="Segoe UI"/>
          <w:color w:val="000000"/>
          <w:sz w:val="24"/>
          <w:szCs w:val="24"/>
        </w:rPr>
        <w:t>seroprevalence</w:t>
      </w:r>
      <w:proofErr w:type="spellEnd"/>
      <w:r w:rsidRPr="001E48D5">
        <w:rPr>
          <w:rFonts w:ascii="Book Antiqua" w:eastAsia="Times New Roman" w:hAnsi="Book Antiqua" w:cs="Segoe UI"/>
          <w:color w:val="000000"/>
          <w:sz w:val="24"/>
          <w:szCs w:val="24"/>
        </w:rPr>
        <w:t xml:space="preserve"> of HHV-7 in the general population and the role of this virus in </w:t>
      </w:r>
      <w:proofErr w:type="spellStart"/>
      <w:r w:rsidRPr="001E48D5">
        <w:rPr>
          <w:rFonts w:ascii="Book Antiqua" w:eastAsia="Times New Roman" w:hAnsi="Book Antiqua" w:cs="Segoe UI"/>
          <w:color w:val="000000"/>
          <w:sz w:val="24"/>
          <w:szCs w:val="24"/>
        </w:rPr>
        <w:t>myelopoiesis</w:t>
      </w:r>
      <w:proofErr w:type="spellEnd"/>
      <w:r w:rsidRPr="001E48D5">
        <w:rPr>
          <w:rFonts w:ascii="Book Antiqua" w:eastAsia="Times New Roman" w:hAnsi="Book Antiqua" w:cs="Segoe UI"/>
          <w:color w:val="000000"/>
          <w:sz w:val="24"/>
          <w:szCs w:val="24"/>
        </w:rPr>
        <w:t xml:space="preserve"> impairment, it seems that detection of HHV-7 in UCB donors could be a useful tool for prevention of UCB- associated HHV-7 transmission</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"ISBN" : "0006-4971 (Print)\\r0006-4971 (Linking)", "ISSN" : "0006-4971", "PMID" : "10891440", "abstract" : "To investigate the tropism of the T-lymphotropic human herpesvirus 7 (HHV-7) for hematopoietic progenitors, cord blood CD34(+) cells were inoculated in vitro with HHV-7 and then induced to differentiate along the granulocytic and erythroid lineages by the addition of appropriate cytokine cocktails. In semisolid assays, HHV-7 modestly affected the growth of committed (granulocytic/macrophagic and erythroid) progenitors, whereas it significantly decreased the number of pluripotent (granulocytic/erythroid/ monocytic/megakaryocytic) progenitors. Such inhibitory effect was completely abrogated by incubating HHV-7 inoculum with anti-HHV-7 neutralizing serum. In liquid cultures, HHV-7 hastened maturation along the myeloid but not the erythroid lineage, as demonstrated by the up-regulation of CD33 early myeloid antigen at day 7 of culture, and of CD15 and CD14 antigens at day 15. Moreover, HHV-7 messenger RNA was detected by reverse transcriptase-polymerase chain reaction (RT-PCR) in cells maturating along both the myeloid and the erythroid lineages. To evaluate the relevance of these in vitro findings, the presence of HHV-7 was investigated in bone marrow (BM) unfractionated mononuclear cells (MCs) as well as in purified CD34(+) and CD34(-) cell subsets, obtained from 14 normal adult donors. HHV-7 DNA was detected by DNA-PCR in 4 of 7 BMMC samples, and it was found to be associated with both the CD34(-) (2 of 7) and the CD34(+ )(1 of 7) fractions. These data indicate that HHV-7 infects BM cells in vivo and shows the ability to affect the survival/differentiation of CD34(+) hematopoietic progenitors in vitro by inhibiting more ancestral progenitors and perturbing the maturation of myeloid cells.", "author" : [ { "dropping-particle" : "", "family" : "Mirandola", "given" : "P", "non-dropping-particle" : "", "parse-names" : false, "suffix" : "" }, { "dropping-particle" : "", "family" : "Secchiero", "given" : "P", "non-dropping-particle" : "", "parse-names" : false, "suffix" : "" }, { "dropping-particle" : "", "family" : "Pierpaoli", "given" : "S", "non-dropping-particle" : "", "parse-names" : false, "suffix" : "" }, { "dropping-particle" : "", "family" : "Visani", "given" : "G", "non-dropping-particle" : "", "parse-names" : false, "suffix" : "" }, { "dropping-particle" : "", "family" : "Zamai", "given" : "L", "non-dropping-particle" : "", "parse-names" : false, "suffix" : "" }, { "dropping-particle" : "", "family" : "Vitale", "given" : "M", "non-dropping-particle" : "", "parse-names" : false, "suffix" : "" }, { "dropping-particle" : "", "family" : "Capitani", "given" : "S", "non-dropping-particle" : "", "parse-names" : false, "suffix" : "" }, { "dropping-particle" : "", "family" : "Zauli", "given" : "G", "non-dropping-particle" : "", "parse-names" : false, "suffix" : "" } ], "container-title" : "Blood", "id" : "ITEM-1", "issue" : "1", "issued" : { "date-parts" : [ [ "2000" ] ] }, "page" : "126-31", "title" : "Infection of CD34(+) hematopoietic progenitor cells by human herpesvirus 7 (HHV-7).", "type" : "article-journal", "volume" : "96" }, "uris" : [ "http://www.mendeley.com/documents/?uuid=2d1218b0-06a6-4931-85c5-a0717d47823f" ] } ], "mendeley" : { "formattedCitation" : "&lt;sup&gt;55&lt;/sup&gt;", "plainTextFormattedCitation" : "55", "previouslyFormattedCitation" : "&lt;sup&gt;55&lt;/sup&gt;"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55</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0C30DD" w:rsidRPr="001E48D5" w:rsidRDefault="000C30DD" w:rsidP="007A67C3">
      <w:pPr>
        <w:spacing w:after="0" w:line="360" w:lineRule="auto"/>
        <w:jc w:val="both"/>
        <w:rPr>
          <w:rFonts w:ascii="Book Antiqua" w:hAnsi="Book Antiqua" w:cs="Segoe UI"/>
          <w:color w:val="000000"/>
          <w:sz w:val="24"/>
          <w:szCs w:val="24"/>
          <w:lang w:eastAsia="zh-CN"/>
        </w:rPr>
      </w:pPr>
    </w:p>
    <w:p w:rsidR="00FA07B4" w:rsidRPr="001E48D5" w:rsidRDefault="00937D61"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
          <w:bCs/>
          <w:i/>
          <w:color w:val="000000"/>
          <w:sz w:val="24"/>
          <w:szCs w:val="24"/>
        </w:rPr>
        <w:t>HHV-8</w:t>
      </w:r>
    </w:p>
    <w:p w:rsidR="00FA07B4" w:rsidRPr="001E48D5" w:rsidRDefault="00FA07B4" w:rsidP="007A67C3">
      <w:pPr>
        <w:spacing w:after="0" w:line="360" w:lineRule="auto"/>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 xml:space="preserve">HHV-8, also called Kaposi sarcoma (KS)-associated </w:t>
      </w:r>
      <w:proofErr w:type="spellStart"/>
      <w:r w:rsidRPr="001E48D5">
        <w:rPr>
          <w:rFonts w:ascii="Book Antiqua" w:eastAsia="Times New Roman" w:hAnsi="Book Antiqua" w:cs="Segoe UI"/>
          <w:color w:val="000000"/>
          <w:sz w:val="24"/>
          <w:szCs w:val="24"/>
        </w:rPr>
        <w:t>herpesvirus</w:t>
      </w:r>
      <w:proofErr w:type="spellEnd"/>
      <w:r w:rsidRPr="001E48D5">
        <w:rPr>
          <w:rFonts w:ascii="Book Antiqua" w:eastAsia="Times New Roman" w:hAnsi="Book Antiqua" w:cs="Segoe UI"/>
          <w:color w:val="000000"/>
          <w:sz w:val="24"/>
          <w:szCs w:val="24"/>
        </w:rPr>
        <w:t xml:space="preserve">, is a </w:t>
      </w:r>
      <w:proofErr w:type="spellStart"/>
      <w:r w:rsidRPr="001E48D5">
        <w:rPr>
          <w:rFonts w:ascii="Book Antiqua" w:eastAsia="Times New Roman" w:hAnsi="Book Antiqua" w:cs="Segoe UI"/>
          <w:color w:val="000000"/>
          <w:sz w:val="24"/>
          <w:szCs w:val="24"/>
        </w:rPr>
        <w:t>gammaherpesvirus</w:t>
      </w:r>
      <w:proofErr w:type="spellEnd"/>
      <w:r w:rsidRPr="001E48D5">
        <w:rPr>
          <w:rFonts w:ascii="Book Antiqua" w:eastAsia="Times New Roman" w:hAnsi="Book Antiqua" w:cs="Segoe UI"/>
          <w:color w:val="000000"/>
          <w:sz w:val="24"/>
          <w:szCs w:val="24"/>
        </w:rPr>
        <w:t xml:space="preserve">. Apart from KS, HHV-8 is the causative agent of lymphoproliferative disorders such as primary effusion lymphoma and </w:t>
      </w:r>
      <w:proofErr w:type="spellStart"/>
      <w:r w:rsidRPr="001E48D5">
        <w:rPr>
          <w:rFonts w:ascii="Book Antiqua" w:eastAsia="Times New Roman" w:hAnsi="Book Antiqua" w:cs="Segoe UI"/>
          <w:color w:val="000000"/>
          <w:sz w:val="24"/>
          <w:szCs w:val="24"/>
        </w:rPr>
        <w:t>multicentric</w:t>
      </w:r>
      <w:proofErr w:type="spellEnd"/>
      <w:r w:rsidRPr="001E48D5">
        <w:rPr>
          <w:rFonts w:ascii="Book Antiqua" w:eastAsia="Times New Roman" w:hAnsi="Book Antiqua" w:cs="Segoe UI"/>
          <w:color w:val="000000"/>
          <w:sz w:val="24"/>
          <w:szCs w:val="24"/>
        </w:rPr>
        <w:t xml:space="preserve"> </w:t>
      </w:r>
      <w:proofErr w:type="spellStart"/>
      <w:r w:rsidRPr="001E48D5">
        <w:rPr>
          <w:rFonts w:ascii="Book Antiqua" w:eastAsia="Times New Roman" w:hAnsi="Book Antiqua" w:cs="Segoe UI"/>
          <w:color w:val="000000"/>
          <w:sz w:val="24"/>
          <w:szCs w:val="24"/>
        </w:rPr>
        <w:t>Castleman's</w:t>
      </w:r>
      <w:proofErr w:type="spellEnd"/>
      <w:r w:rsidRPr="001E48D5">
        <w:rPr>
          <w:rFonts w:ascii="Book Antiqua" w:eastAsia="Times New Roman" w:hAnsi="Book Antiqua" w:cs="Segoe UI"/>
          <w:color w:val="000000"/>
          <w:sz w:val="24"/>
          <w:szCs w:val="24"/>
        </w:rPr>
        <w:t xml:space="preserve"> disease in immunosuppressed adults. HHV-8 has also been related to fatal hematopoiesis impairment in an autologous stem cell recipient</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"10.1186/s13104-016-1991-9", "ISSN" : "1756-0500 (Electronic)", "PMID" : "27012530", "abstract" : "BACKGROUND: Kaposi's sarcoma (KS) is a tumor formed by angioproliferations driven by Human herpes virus 8 also known as Kaposi's sarcoma-associated herpes virus (KSHV). It is best known as an acquired immune deficiency syndrome (AIDS) defining illness that may be fatal. There are only a few reports of KS after hematopoietic cell transplantation (HCT). This is the first case describing the disappearance of KS with immune recovery after autologous HCT. CASE PRESENTATION: We present the case of a 61-year-old male heterosexual patient of Moroccan origin treated for primary mediastinal non-Hodgkin lymphoma. Because of refractory disease he received multiple lines of chemotherapy prior to autologous HCT. After the second course of low-dose bis-chloroethylnitrosourea, etoposide, cytarabine, melphalan (BEAM) the patient developed several round blue skin lesions. A biopsy was performed, showing many small vessels and positive immune histochemical staining for Human herpes virus 8 (HHV-8), confirming diagnosis of KS. Human immunodeficiency virus testing was negative and work-up showed that there were no visceral lesions. When KS are limited to the skin, prognosis is usually better. The extensive chemotherapy resulted in an important immunosuppression; on day 105 after autologous HCT CD4(+) count was 82/mm(3). Since KS were limited to the skin and attributed to severe immune suppression a watchful waiting strategy was adopted even though in the first months after autologous HCT new skin lesions appeared. With immune recovery (CD4(+) count &gt; 200/mm(3)) 277 days after transplant, skin lesions faded. CONCLUSION: Kaposi's sarcoma remains a rare tumor that should be thought of in any patient whose immunity is down. If immune recovery is expected and disease is limited to the skin, a watchful waiting strategy can be more rewarding than intensive chemotherapy.", "author" : [ { "dropping-particle" : "", "family" : "Heyrman", "given" : "Bert", "non-dropping-particle" : "", "parse-names" : false, "suffix" : "" }, { "dropping-particle" : "", "family" : "Becker", "given" : "Ann", "non-dropping-particle" : "De", "parse-names" : false, "suffix" : "" }, { "dropping-particle" : "", "family" : "Schots", "given" : "Rik", "non-dropping-particle" : "", "parse-names" : false, "suffix" : "" } ], "container-title" : "BMC research notes", "id" : "ITEM-1", "issued" : { "date-parts" : [ [ "2016" ] ] }, "page" : "188", "title" : "A case report of immunosuppression-related Kaposi's sarcoma after autologous stem cell transplantation.", "type" : "article-journal", "volume" : "9" }, "uris" : [ "http://www.mendeley.com/documents/?uuid=54e43866-22f7-48d8-81f6-44be69ea3a58" ] }, { "id" : "ITEM-2", "itemData" : { "DOI" : "10.1086/377268", "ISBN" : "1537-6591 (Electronic)\\r1058-4838 (Linking)", "ISSN" : "15376591", "PMID" : "13130419", "abstract" : "We describe a fatal case of human herpesvirus 8-associated bone marrow failure in a patient who had received intense treatment for Hodgkin lymphoma and was undergoing bone marrow transplantation. Bone marrow failure was resistant to antiviral treatment and a second infusion of autologous stem cells. Human herpesvirus 8 infection continues to be a major concern in transplant recipients in critical condition.", "author" : [ { "dropping-particle" : "", "family" : "Cuzzola", "given" : "M", "non-dropping-particle" : "", "parse-names" : false, "suffix" : "" }, { "dropping-particle" : "", "family" : "Irrera", "given" : "G", "non-dropping-particle" : "", "parse-names" : false, "suffix" : "" }, { "dropping-particle" : "", "family" : "Iacopino", "given" : "O", "non-dropping-particle" : "", "parse-names" : false, "suffix" : "" }, { "dropping-particle" : "", "family" : "Cuzzocrea", "given" : "A", "non-dropping-particle" : "", "parse-names" : false, "suffix" : "" }, { "dropping-particle" : "", "family" : "Messina", "given" : "G", "non-dropping-particle" : "", "parse-names" : false, "suffix" : "" }, { "dropping-particle" : "", "family" : "Console", "given" : "G", "non-dropping-particle" : "", "parse-names" : false, "suffix" : "" }, { "dropping-particle" : "", "family" : "Iacopino", "given" : "P", "non-dropping-particle" : "", "parse-names" : false, "suffix" : "" }, { "dropping-particle" : "", "family" : "Morabito", "given" : "F", "non-dropping-particle" : "", "parse-names" : false, "suffix" : "" } ], "container-title" : "Clin Infect Dis", "id" : "ITEM-2", "issue" : "7", "issued" : { "date-parts" : [ [ "2003" ] ] }, "page" : "e102-6", "title" : "Bone marrow failure associated with herpesvirus 8 infection in a patient undergoing autologous peripheral blood stem cell transplantation", "type" : "article-journal", "volume" : "37" }, "uris" : [ "http://www.mendeley.com/documents/?uuid=524435b5-44be-4e9b-a2d1-68656fe3dd08" ] } ], "mendeley" : { "formattedCitation" : "&lt;sup&gt;58,59&lt;/sup&gt;", "plainTextFormattedCitation" : "58,59", "previouslyFormattedCitation" : "&lt;sup&gt;58,59&lt;/sup&gt;"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58,59</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 xml:space="preserve">The certain ways of HHV-8 transmission are unclear. Previous studies have suggested the sexual mode of virus transmission in homosexual men and horizontal transmission </w:t>
      </w:r>
      <w:r w:rsidRPr="001E48D5">
        <w:rPr>
          <w:rFonts w:ascii="Book Antiqua" w:eastAsia="Times New Roman" w:hAnsi="Book Antiqua" w:cs="Segoe UI"/>
          <w:i/>
          <w:color w:val="000000"/>
          <w:sz w:val="24"/>
          <w:szCs w:val="24"/>
        </w:rPr>
        <w:t>via</w:t>
      </w:r>
      <w:r w:rsidRPr="001E48D5">
        <w:rPr>
          <w:rFonts w:ascii="Book Antiqua" w:eastAsia="Times New Roman" w:hAnsi="Book Antiqua" w:cs="Segoe UI"/>
          <w:color w:val="000000"/>
          <w:sz w:val="24"/>
          <w:szCs w:val="24"/>
        </w:rPr>
        <w:t xml:space="preserve"> saliva in endemic areas. Notably, HHV-8 from seropositive donor cell origin may be transmitted to the recipient</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"10.1016/j.transci.2015.08.001", "ISSN" : "18781683", "PMID" : "26283174", "abstract" : "Umbilical cord blood (UCB) is one of the most important sources of hematopoietic stem cells which can be used for transplantation. The transplanted CB stem cells might cause infections in recipients. The aim of this study is to evaluate Human Herpes Virus8 (HHV8) as a Rhadinovirus among CB samples in order to assess safety of cord blood stem cells transplantation. To assess this aim, we surveyed 800 cord blood specimens by Real Time PCR. The overall HHV8 incidence in cord blood mononuclear cells was 1.38% and none of them was in lytic phase of HHV8. The authors suggest further HHV8 study on CB samples for transplantation.", "author" : [ { "dropping-particle" : "", "family" : "Golchin", "given" : "Neda", "non-dropping-particle" : "", "parse-names" : false, "suffix" : "" }, { "dropping-particle" : "", "family" : "Kheirandish", "given" : "Maryam", "non-dropping-particle" : "", "parse-names" : false, "suffix" : "" }, { "dropping-particle" : "", "family" : "Sharifi", "given" : "Zohreh", "non-dropping-particle" : "", "parse-names" : false, "suffix" : "" }, { "dropping-particle" : "", "family" : "Samiee", "given" : "Shahram", "non-dropping-particle" : "", "parse-names" : false, "suffix" : "" }, { "dropping-particle" : "", "family" : "Kokhaei", "given" : "Parviz", "non-dropping-particle" : "", "parse-names" : false, "suffix" : "" }, { "dropping-particle" : "", "family" : "Pourpak", "given" : "Zahra", "non-dropping-particle" : "", "parse-names" : false, "suffix" : "" } ], "container-title" : "Transfusion and Apheresis Science", "id" : "ITEM-1", "issue" : "3", "issued" : { "date-parts" : [ [ "2015" ] ] }, "page" : "378-380", "publisher" : "Elsevier Ltd", "title" : "Quantification of viral genome in cord blood donors by real time PCR to investigate human herpesvirus type 8 active infection", "type" : "article-journal", "volume" : "53" }, "uris" : [ "http://www.mendeley.com/documents/?uuid=d2f3dcae-a5fd-4a87-b814-85b8a6689d40" ] }, { "id" : "ITEM-2", "itemData" : { "DOI" : "10.1186/s13104-016-1991-9", "ISSN" : "1756-0500 (Electronic)", "PMID" : "27012530", "abstract" : "BACKGROUND: Kaposi's sarcoma (KS) is a tumor formed by angioproliferations driven by Human herpes virus 8 also known as Kaposi's sarcoma-associated herpes virus (KSHV). It is best known as an acquired immune deficiency syndrome (AIDS) defining illness that may be fatal. There are only a few reports of KS after hematopoietic cell transplantation (HCT). This is the first case describing the disappearance of KS with immune recovery after autologous HCT. CASE PRESENTATION: We present the case of a 61-year-old male heterosexual patient of Moroccan origin treated for primary mediastinal non-Hodgkin lymphoma. Because of refractory disease he received multiple lines of chemotherapy prior to autologous HCT. After the second course of low-dose bis-chloroethylnitrosourea, etoposide, cytarabine, melphalan (BEAM) the patient developed several round blue skin lesions. A biopsy was performed, showing many small vessels and positive immune histochemical staining for Human herpes virus 8 (HHV-8), confirming diagnosis of KS. Human immunodeficiency virus testing was negative and work-up showed that there were no visceral lesions. When KS are limited to the skin, prognosis is usually better. The extensive chemotherapy resulted in an important immunosuppression; on day 105 after autologous HCT CD4(+) count was 82/mm(3). Since KS were limited to the skin and attributed to severe immune suppression a watchful waiting strategy was adopted even though in the first months after autologous HCT new skin lesions appeared. With immune recovery (CD4(+) count &gt; 200/mm(3)) 277 days after transplant, skin lesions faded. CONCLUSION: Kaposi's sarcoma remains a rare tumor that should be thought of in any patient whose immunity is down. If immune recovery is expected and disease is limited to the skin, a watchful waiting strategy can be more rewarding than intensive chemotherapy.", "author" : [ { "dropping-particle" : "", "family" : "Heyrman", "given" : "Bert", "non-dropping-particle" : "", "parse-names" : false, "suffix" : "" }, { "dropping-particle" : "", "family" : "Becker", "given" : "Ann", "non-dropping-particle" : "De", "parse-names" : false, "suffix" : "" }, { "dropping-particle" : "", "family" : "Schots", "given" : "Rik", "non-dropping-particle" : "", "parse-names" : false, "suffix" : "" } ], "container-title" : "BMC research notes", "id" : "ITEM-2", "issued" : { "date-parts" : [ [ "2016" ] ] }, "page" : "188", "title" : "A case report of immunosuppression-related Kaposi's sarcoma after autologous stem cell transplantation.", "type" : "article-journal", "volume" : "9" }, "uris" : [ "http://www.mendeley.com/documents/?uuid=54e43866-22f7-48d8-81f6-44be69ea3a58" ] } ], "mendeley" : { "formattedCitation" : "&lt;sup&gt;7,58&lt;/sup&gt;", "plainTextFormattedCitation" : "7,58", "previouslyFormattedCitation" : "&lt;sup&gt;7,58&lt;/sup&gt;"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7,58</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Previous studies have indicated the minimum risk for vertical transmission of HHV-8 from mother to child during pregnancy, and therefore, the low </w:t>
      </w:r>
      <w:proofErr w:type="spellStart"/>
      <w:r w:rsidRPr="001E48D5">
        <w:rPr>
          <w:rFonts w:ascii="Book Antiqua" w:eastAsia="Times New Roman" w:hAnsi="Book Antiqua" w:cs="Segoe UI"/>
          <w:color w:val="000000"/>
          <w:sz w:val="24"/>
          <w:szCs w:val="24"/>
        </w:rPr>
        <w:t>seroprevalence</w:t>
      </w:r>
      <w:proofErr w:type="spellEnd"/>
      <w:r w:rsidRPr="001E48D5">
        <w:rPr>
          <w:rFonts w:ascii="Book Antiqua" w:eastAsia="Times New Roman" w:hAnsi="Book Antiqua" w:cs="Segoe UI"/>
          <w:color w:val="000000"/>
          <w:sz w:val="24"/>
          <w:szCs w:val="24"/>
        </w:rPr>
        <w:t xml:space="preserve"> of HHV-8 infection in UCB samples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"10.1016/j.transci.2015.08.001", "ISSN" : "18781683", "PMID" : "26283174", "abstract" : "Umbilical cord blood (UCB) is one of the most important sources of hematopoietic stem cells which can be used for transplantation. The transplanted CB stem cells might cause infections in recipients. The aim of this study is to evaluate Human Herpes Virus8 (HHV8) as a Rhadinovirus among CB samples in order to assess safety of cord blood stem cells transplantation. To assess this aim, we surveyed 800 cord blood specimens by Real Time PCR. The overall HHV8 incidence in cord blood mononuclear cells was 1.38% and none of them was in lytic phase of HHV8. The authors suggest further HHV8 study on CB samples for transplantation.", "author" : [ { "dropping-particle" : "", "family" : "Golchin", "given" : "Neda", "non-dropping-particle" : "", "parse-names" : false, "suffix" : "" }, { "dropping-particle" : "", "family" : "Kheirandish", "given" : "Maryam", "non-dropping-particle" : "", "parse-names" : false, "suffix" : "" }, { "dropping-particle" : "", "family" : "Sharifi", "given" : "Zohreh", "non-dropping-particle" : "", "parse-names" : false, "suffix" : "" }, { "dropping-particle" : "", "family" : "Samiee", "given" : "Shahram", "non-dropping-particle" : "", "parse-names" : false, "suffix" : "" }, { "dropping-particle" : "", "family" : "Kokhaei", "given" : "Parviz", "non-dropping-particle" : "", "parse-names" : false, "suffix" : "" }, { "dropping-particle" : "", "family" : "Pourpak", "given" : "Zahra", "non-dropping-particle" : "", "parse-names" : false, "suffix" : "" } ], "container-title" : "Transfusion and Apheresis Science", "id" : "ITEM-1", "issue" : "3", "issued" : { "date-parts" : [ [ "2015" ] ] }, "page" : "378-380", "publisher" : "Elsevier Ltd", "title" : "Quantification of viral genome in cord blood donors by real time PCR to investigate human herpesvirus type 8 active infection", "type" : "article-journal", "volume" : "53" }, "uris" : [ "http://www.mendeley.com/documents/?uuid=d2f3dcae-a5fd-4a87-b814-85b8a6689d40" ] }, { "id" : "ITEM-2",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"ITEM-2", "issue" : "1", "issued" : { "date-parts" : [ [ "2005" ] ] }, "page" : "35-38", "title" : "Risk of transmission of herpesviruses through cord blood transplantation", "type" : "article-journal", "volume" : "11" }, "uris" : [ "http://www.mendeley.com/documents/?uuid=cb736e5e-abde-4515-a291-38a74dfa22dd" ] } ], "mendeley" : { "formattedCitation" : "&lt;sup&gt;7,26&lt;/sup&gt;", "plainTextFormattedCitation" : "7,26", "previouslyFormattedCitation" : "&lt;sup&gt;7,26&lt;/sup&gt;"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7,26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Accordingly, Golchin </w:t>
      </w:r>
      <w:r w:rsidRPr="001E48D5">
        <w:rPr>
          <w:rFonts w:ascii="Book Antiqua" w:eastAsia="Times New Roman" w:hAnsi="Book Antiqua" w:cs="Segoe UI"/>
          <w:i/>
          <w:color w:val="000000"/>
          <w:sz w:val="24"/>
          <w:szCs w:val="24"/>
        </w:rPr>
        <w:t>et</w:t>
      </w:r>
      <w:r w:rsidR="000C30DD" w:rsidRPr="001E48D5">
        <w:rPr>
          <w:rFonts w:ascii="Book Antiqua" w:eastAsia="Times New Roman" w:hAnsi="Book Antiqua" w:cs="Segoe UI"/>
          <w:i/>
          <w:color w:val="000000"/>
          <w:sz w:val="24"/>
          <w:szCs w:val="24"/>
        </w:rPr>
        <w:t xml:space="preserve">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"10.1016/j.transci.2015.08.001", "ISSN" : "18781683", "PMID" : "26283174", "abstract" : "Umbilical cord blood (UCB) is one of the most important sources of hematopoietic stem cells which can be used for transplantation. The transplanted CB stem cells might cause infections in recipients. The aim of this study is to evaluate Human Herpes Virus8 (HHV8) as a Rhadinovirus among CB samples in order to assess safety of cord blood stem cells transplantation. To assess this aim, we surveyed 800 cord blood specimens by Real Time PCR. The overall HHV8 incidence in cord blood mononuclear cells was 1.38% and none of them was in lytic phase of HHV8. The authors suggest further HHV8 study on CB samples for transplantation.", "author" : [ { "dropping-particle" : "", "family" : "Golchin", "given" : "Neda", "non-dropping-particle" : "", "parse-names" : false, "suffix" : "" }, { "dropping-particle" : "", "family" : "Kheirandish", "given" : "Maryam", "non-dropping-particle" : "", "parse-names" : false, "suffix" : "" }, { "dropping-particle" : "", "family" : "Sharifi", "given" : "Zohreh", "non-dropping-particle" : "", "parse-names" : false, "suffix" : "" }, { "dropping-particle" : "", "family" : "Samiee", "given" : "Shahram", "non-dropping-particle" : "", "parse-names" : false, "suffix" : "" }, { "dropping-particle" : "", "family" : "Kokhaei", "given" : "Parviz", "non-dropping-particle" : "", "parse-names" : false, "suffix" : "" }, { "dropping-particle" : "", "family" : "Pourpak", "given" : "Zahra", "non-dropping-particle" : "", "parse-names" : false, "suffix" : "" } ], "container-title" : "Transfusion and Apheresis Science", "id" : "ITEM-1", "issue" : "3", "issued" : { "date-parts" : [ [ "2015" ] ] }, "page" : "378-380", "publisher" : "Elsevier Ltd", "title" : "Quantification of viral genome in cord blood donors by real time PCR to investigate human herpesvirus type 8 active infection", "type" : "article-journal", "volume" : "53" }, "uris" : [ "http://www.mendeley.com/documents/?uuid=d2f3dcae-a5fd-4a87-b814-85b8a6689d40" ] } ], "mendeley" : { "formattedCitation" : "&lt;sup&gt;7&lt;/sup&gt;", "plainTextFormattedCitation" : "7", "previouslyFormattedCitation" : "&lt;sup&gt;7&lt;/sup&gt;"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7</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surveyed a large number of UCB samples by real-time PCR and reported an only 1.38% HHV-8 prevalence in UCB mononuclear cells. However, HHV-8 has the ability to infect cord blood mononuclear cells and cause post-UCBT infection, and therefore it deserves the attention in UCBT settings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"10.1016/j.bbmt.2004.09.005", "ISSN" : "10838791", "PMID" : "15625542", "abstract" : "Cord blood (CB) progenitor cells are increasingly used for transplantation in children because of the lower risk of graft-versus-host disease compared with unrelated bone marrow and comparable rates of disease-free survival. There is concern that CB might carry a higher risk of opportunistic infections. Human herpesviruses (HHV) are common pathogens in transplant recipients. CB donors are routinely tested for the presence of anti-cytomegalovirus (CMV) immunoglobulin M to reduce the risk of collecting CMV-infected CB. To assess the incidence of ?? and ?? HHV infection of CB collected under standard procedures, we tested 362 CB samples for the presence of CMV; HHV-6, -7, and -8; and Epstein-Barr virus DNA by polymerase chain reaction. HHV-6 DNA was found in 2 samples, yielding an incidence of 0.55% (95% confidence interval, 0.1%-2%). None of the other viral DNAs was found, resulting in a 95% confidence interval of 0% to 1% for the incidence of CMV, Epstein-Barr virus, HHV-7, and HHV-8. Because the seroprevalence of HHV-8 among the CB donors in this study was only 4%, these findings cannot be extended to HHV-8-endemic areas. Our data show that screening prospective CB donors with anti-CMV immunoglobulin M practically eliminates the risk of CB CMV transmission, but HHV-6 warrants CB testing by polymerase chain reaction. ?? 2005 American Society for Blood and Marrow Transplantation.", "author" : [ { "dropping-particle" : "", "family" : "Weinberg", "given" : "Adriana", "non-dropping-particle" : "", "parse-names" : false, "suffix" : "" }, { "dropping-particle" : "", "family" : "Enomoto", "given" : "Laura", "non-dropping-particle" : "", "parse-names" : false, "suffix" : "" }, { "dropping-particle" : "", "family" : "Li", "given" : "Shaobing", "non-dropping-particle" : "", "parse-names" : false, "suffix" : "" }, { "dropping-particle" : "", "family" : "Shen", "given" : "Dingxia", "non-dropping-particle" : "", "parse-names" : false, "suffix" : "" }, { "dropping-particle" : "", "family" : "Coll", "given" : "Joseph", "non-dropping-particle" : "", "parse-names" : false, "suffix" : "" }, { "dropping-particle" : "", "family" : "Shpall", "given" : "Elizabeth J.", "non-dropping-particle" : "", "parse-names" : false, "suffix" : "" } ], "container-title" : "Biology of Blood and Marrow Transplantation", "id" : "ITEM-1", "issue" : "1", "issued" : { "date-parts" : [ [ "2005" ] ] }, "page" : "35-38", "title" : "Risk of transmission of herpesviruses through cord blood transplantation", "type" : "article-journal", "volume" : "11" }, "uris" : [ "http://www.mendeley.com/documents/?uuid=cb736e5e-abde-4515-a291-38a74dfa22dd" ] } ], "mendeley" : { "formattedCitation" : "&lt;sup&gt;26&lt;/sup&gt;", "plainTextFormattedCitation" : "26", "previouslyFormattedCitation" : "&lt;sup&gt;26&lt;/sup&gt;"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26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000C30DD"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lastRenderedPageBreak/>
        <w:t xml:space="preserve">Accordingly, defining the HHV-8 </w:t>
      </w:r>
      <w:proofErr w:type="spellStart"/>
      <w:r w:rsidRPr="001E48D5">
        <w:rPr>
          <w:rFonts w:ascii="Book Antiqua" w:eastAsia="Times New Roman" w:hAnsi="Book Antiqua" w:cs="Segoe UI"/>
          <w:color w:val="000000"/>
          <w:sz w:val="24"/>
          <w:szCs w:val="24"/>
        </w:rPr>
        <w:t>serostatus</w:t>
      </w:r>
      <w:proofErr w:type="spellEnd"/>
      <w:r w:rsidRPr="001E48D5">
        <w:rPr>
          <w:rFonts w:ascii="Book Antiqua" w:eastAsia="Times New Roman" w:hAnsi="Book Antiqua" w:cs="Segoe UI"/>
          <w:color w:val="000000"/>
          <w:sz w:val="24"/>
          <w:szCs w:val="24"/>
        </w:rPr>
        <w:t xml:space="preserve"> and avoiding matches between HHV-8–positive donors and HHV-8–negative recipients appear to be effective to prevent virus transmission by UCBT in areas of high </w:t>
      </w:r>
      <w:proofErr w:type="spellStart"/>
      <w:r w:rsidRPr="001E48D5">
        <w:rPr>
          <w:rFonts w:ascii="Book Antiqua" w:eastAsia="Times New Roman" w:hAnsi="Book Antiqua" w:cs="Segoe UI"/>
          <w:color w:val="000000"/>
          <w:sz w:val="24"/>
          <w:szCs w:val="24"/>
        </w:rPr>
        <w:t>endemicity</w:t>
      </w:r>
      <w:proofErr w:type="spellEnd"/>
      <w:r w:rsidRPr="001E48D5">
        <w:rPr>
          <w:rFonts w:ascii="Book Antiqua" w:eastAsia="Times New Roman" w:hAnsi="Book Antiqua" w:cs="Segoe UI"/>
          <w:color w:val="000000"/>
          <w:sz w:val="24"/>
          <w:szCs w:val="24"/>
        </w:rPr>
        <w:t>.</w:t>
      </w:r>
    </w:p>
    <w:p w:rsidR="000C30DD" w:rsidRPr="001E48D5" w:rsidRDefault="000C30DD" w:rsidP="007A67C3">
      <w:pPr>
        <w:spacing w:after="0" w:line="360" w:lineRule="auto"/>
        <w:ind w:firstLineChars="200" w:firstLine="480"/>
        <w:jc w:val="both"/>
        <w:rPr>
          <w:rFonts w:ascii="Book Antiqua" w:hAnsi="Book Antiqua" w:cs="Segoe UI"/>
          <w:color w:val="000000"/>
          <w:sz w:val="24"/>
          <w:szCs w:val="24"/>
          <w:lang w:eastAsia="zh-CN"/>
        </w:rPr>
      </w:pPr>
    </w:p>
    <w:p w:rsidR="00FA07B4" w:rsidRPr="001E48D5" w:rsidRDefault="000C30DD"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
          <w:bCs/>
          <w:i/>
          <w:color w:val="000000"/>
          <w:sz w:val="24"/>
          <w:szCs w:val="24"/>
        </w:rPr>
        <w:t>Epstein-Barr virus</w:t>
      </w:r>
    </w:p>
    <w:p w:rsidR="00FA07B4" w:rsidRPr="001E48D5" w:rsidRDefault="009108A0"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Cs/>
          <w:color w:val="000000"/>
          <w:sz w:val="24"/>
          <w:szCs w:val="24"/>
        </w:rPr>
        <w:t>Epstein-Barr virus (EBV)</w:t>
      </w:r>
      <w:r w:rsidR="00FA07B4" w:rsidRPr="001E48D5">
        <w:rPr>
          <w:rFonts w:ascii="Book Antiqua" w:eastAsia="Times New Roman" w:hAnsi="Book Antiqua" w:cs="Segoe UI"/>
          <w:color w:val="000000"/>
          <w:sz w:val="24"/>
          <w:szCs w:val="24"/>
        </w:rPr>
        <w:t xml:space="preserve"> is a widespread </w:t>
      </w:r>
      <w:proofErr w:type="spellStart"/>
      <w:r w:rsidR="00FA07B4" w:rsidRPr="001E48D5">
        <w:rPr>
          <w:rFonts w:ascii="Book Antiqua" w:eastAsia="Times New Roman" w:hAnsi="Book Antiqua" w:cs="Segoe UI"/>
          <w:color w:val="000000"/>
          <w:sz w:val="24"/>
          <w:szCs w:val="24"/>
        </w:rPr>
        <w:t>gammaherpesvirus</w:t>
      </w:r>
      <w:proofErr w:type="spellEnd"/>
      <w:r w:rsidR="00FA07B4" w:rsidRPr="001E48D5">
        <w:rPr>
          <w:rFonts w:ascii="Book Antiqua" w:eastAsia="Times New Roman" w:hAnsi="Book Antiqua" w:cs="Segoe UI"/>
          <w:color w:val="000000"/>
          <w:sz w:val="24"/>
          <w:szCs w:val="24"/>
        </w:rPr>
        <w:t xml:space="preserve"> that infects over 90% of humans. In healthy individuals, EBV infection is tightly controlled by the immune system. After primary infection, EBV establishes a lifelong asymptomatic latent infection in B-cells of immunocompetent hosts. Later, immunosuppressive therapy given at HSCT may lead to EBV reactivation and subsequent EBV diseases, particularly life-threatening post-transplant lymphoproliferative disease (PTLD)</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"10.18632/oncotarget.8803", "ISSN" : "1949-2553", "PMID" : "27102298", "abstract" : "The level of Epstein-Barr virus DNA in blood has proven to be a biomarker with some predictive value in allogeneic hematopoietic stem cell transplantation patients (HSCT). We evaluated the impact of EBV load on survival of 51 patients (32M/19F, median age: 32 years, from &lt; 1 to 68 years old), who had received HSCT for different types of malignancies (49 cases) or non-malignancies (2 cases). The overall survival [1]was compared between patients with extreme and moderate cell bound EBV DNA levels. Different sources of stem-cells (peripheral blood stem, n = 39; bone marrow, n = 9; or umbilical cord blood, n = 3) were used. Twenty patients received reduced-intensity conditioning regimen while the other 31 received myeloablative conditioning. Patients with high or very low level of cell bound EBV-DNA levels had a shorter OS than those with moderate EBV load: OS at 5 years was 67% vs 90% (p &lt; 0.03). There was a conspicuous relationship between EBV load and the reconstitution dynamics of total and EBV-specific T cells, CD4+ and CD4- CD8- (double negative) T cells in the few patients where it was analyzed. This was not statistically significant. Two other factors were associated to early mortality in addition to high or low EBV load: acute GVHD II-IV (p &lt; 0.02) and pre-transplant conditioning with total body irradiation (TBI) \u22656 Gy, (p &lt; 0.03). All the patients meeting all three criteria died within two years after transplantation. This points to a subgroup of HSCT patients which deserve special attention with improvement of future, personalized treatment.", "author" : [ { "dropping-particle" : "", "family" : "Li", "given" : "Qin", "non-dropping-particle" : "", "parse-names" : false, "suffix" : "" }, { "dropping-particle" : "", "family" : "Rane", "given" : "Lalit", "non-dropping-particle" : "", "parse-names" : false, "suffix" : "" }, { "dropping-particle" : "", "family" : "Poiret", "given" : "Thomas", "non-dropping-particle" : "", "parse-names" : false, "suffix" : "" }, { "dropping-particle" : "", "family" : "Zou", "given" : "Jiezhi", "non-dropping-particle" : "", "parse-names" : false, "suffix" : "" }, { "dropping-particle" : "", "family" : "Magalhaes", "given" : "Isabelle", "non-dropping-particle" : "", "parse-names" : false, "suffix" : "" }, { "dropping-particle" : "", "family" : "Ahmed", "given" : "Raija", "non-dropping-particle" : "", "parse-names" : false, "suffix" : "" }, { "dropping-particle" : "", "family" : "Du", "given" : "Ziming", "non-dropping-particle" : "", "parse-names" : false, "suffix" : "" }, { "dropping-particle" : "", "family" : "Vudattu", "given" : "Nalini", "non-dropping-particle" : "", "parse-names" : false, "suffix" : "" }, { "dropping-particle" : "", "family" : "Meng", "given" : "Qingda", "non-dropping-particle" : "", "parse-names" : false, "suffix" : "" }, { "dropping-particle" : "", "family" : "Gustafsson-Jernberg", "given" : "\u00c5sa", "non-dropping-particle" : "", "parse-names" : false, "suffix" : "" }, { "dropping-particle" : "", "family" : "Winiarski", "given" : "Jacek", "non-dropping-particle" : "", "parse-names" : false, "suffix" : "" }, { "dropping-particle" : "", "family" : "Ringd\u00e9n", "given" : "Olle", "non-dropping-particle" : "", "parse-names" : false, "suffix" : "" }, { "dropping-particle" : "", "family" : "Maeurer", "given" : "Markus", "non-dropping-particle" : "", "parse-names" : false, "suffix" : "" }, { "dropping-particle" : "", "family" : "Remberger", "given" : "Mats", "non-dropping-particle" : "", "parse-names" : false, "suffix" : "" }, { "dropping-particle" : "", "family" : "Ernberg", "given" : "Ingemar", "non-dropping-particle" : "", "parse-names" : false, "suffix" : "" } ], "container-title" : "Oncotarget", "id" : "ITEM-1", "issue" : "21", "issued" : { "date-parts" : [ [ "2016" ] ] }, "page" : "30230-40", "title" : "Both high and low levels of cellular Epstein-Barr virus DNA in blood identify failure after hematologic stem cell transplantation in conjunction with acute GVHD and type of conditioning.", "type" : "article-journal", "volume" : "7" }, "uris" : [ "http://www.mendeley.com/documents/?uuid=99b2e5c2-748c-4e15-a000-ea0d1841242a" ] }, { "id" : "ITEM-2", "itemData" : { "DOI" : "10.1111/ejh.12260", "ISSN" : "16000609", "PMID" : "24400833", "abstract" : "Epstein-Barr virus reactivation (EBV-R) frequently occurs in patients having allogeneic hematopoietic stem cell transplantation (HSCT). We evaluated the impact of controlled EBV-R on survival of 190 patients (114M/76F, median age: 51\u00a0yr, range 18-69), having HSCT for hematological malignancies (105 acute leukemias and myelodysplasias, 71 lymphoproliferative disorders, 14 others). Overall survival (OS) and progression-free survival (PFS) were compared between patients with and without EBV-R. Of 138, patients had reduced-intensity conditioning regimen. Various stem cell sources (141 PB, 33 umbilical cord blood and 16 bone marrow) were used. Patients with EBV-R had longer PFS and OS than those without EBV-R: PFS at 2\u00a0yr 69% vs. 51% and at 5\u00a0yr 47% vs. 38% (P\u00a0&lt;\u00a00.04); OS at 2\u00a0yr 76% vs. 64% and at 5\u00a0yr 63% vs. 47%) (P\u00a0&lt;\u00a00.001). The use of rituximab had no impact on OS and PFS, but it reduced the intensity of GVHD, despite the fact that TRM was not significantly different between the two groups of patients. So, rituximab may have an additional effect to other factors on PFS and OS. In multivariate analysis, antithymocyte globulin administration was not a significant factor for PFS (P\u00a0=\u00a00.68) and for OS (P\u00a0=\u00a00.81). Circulating NK cells were significantly increased by 22% (P\u00a0=\u00a00.03) in EBV-R patients with no differences for other parameters. Controlled EBV-R in the setting of HSCT is associated with better OS and PFS, with a significant increase in circulating NK cells.", "author" : [ { "dropping-particle" : "", "family" : "Auger", "given" : "Sophie", "non-dropping-particle" : "", "parse-names" : false, "suffix" : "" }, { "dropping-particle" : "", "family" : "Orsini", "given" : "Mattea", "non-dropping-particle" : "", "parse-names" : false, "suffix" : "" }, { "dropping-particle" : "", "family" : "C\u00e9ballos", "given" : "Patrice", "non-dropping-particle" : "", "parse-names" : false, "suffix" : "" }, { "dropping-particle" : "", "family" : "Fegueux", "given" : "Nathalie", "non-dropping-particle" : "", "parse-names" : false, "suffix" : "" }, { "dropping-particle" : "", "family" : "Kanouni", "given" : "Tarik", "non-dropping-particle" : "", "parse-names" : false, "suffix" : "" }, { "dropping-particle" : "", "family" : "Caumes", "given" : "Bastien", "non-dropping-particle" : "", "parse-names" : false, "suffix" : "" }, { "dropping-particle" : "", "family" : "Klein", "given" : "Bernard", "non-dropping-particle" : "", "parse-names" : false, "suffix" : "" }, { "dropping-particle" : "", "family" : "Villalba", "given" : "Martin", "non-dropping-particle" : "", "parse-names" : false, "suffix" : "" }, { "dropping-particle" : "", "family" : "Rossi", "given" : "Jean Fran\u00e7ois", "non-dropping-particle" : "", "parse-names" : false, "suffix" : "" } ], "container-title" : "European Journal of Haematology", "id" : "ITEM-2", "issue" : "5", "issued" : { "date-parts" : [ [ "2014" ] ] }, "page" : "421-428", "title" : "Controlled Epstein-Barr virus reactivation after allogeneic transplantation is associated with improved survival", "type" : "article-journal", "volume" : "92" }, "uris" : [ "http://www.mendeley.com/documents/?uuid=72fb45ba-9275-458b-afa4-7cc766735587" ] } ], "mendeley" : { "formattedCitation" : "&lt;sup&gt;60,61&lt;/sup&gt;", "plainTextFormattedCitation" : "60,61", "previouslyFormattedCitation" : "&lt;sup&gt;60,61&lt;/sup&gt;"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60,61</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t xml:space="preserve">. Some studies have also reported the cases of UCB-transplanted patients who developed the EBV-related PTLD from graft-cell origin and proved the transmission </w:t>
      </w:r>
      <w:r w:rsidR="000C30DD" w:rsidRPr="001E48D5">
        <w:rPr>
          <w:rFonts w:ascii="Book Antiqua" w:eastAsia="Times New Roman" w:hAnsi="Book Antiqua" w:cs="Segoe UI"/>
          <w:color w:val="000000"/>
          <w:sz w:val="24"/>
          <w:szCs w:val="24"/>
        </w:rPr>
        <w:t>of EBV infection by donor cells</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"10.18632/oncotarget.8803", "ISSN" : "1949-2553", "PMID" : "27102298", "abstract" : "The level of Epstein-Barr virus DNA in blood has proven to be a biomarker with some predictive value in allogeneic hematopoietic stem cell transplantation patients (HSCT). We evaluated the impact of EBV load on survival of 51 patients (32M/19F, median age: 32 years, from &lt; 1 to 68 years old), who had received HSCT for different types of malignancies (49 cases) or non-malignancies (2 cases). The overall survival [1]was compared between patients with extreme and moderate cell bound EBV DNA levels. Different sources of stem-cells (peripheral blood stem, n = 39; bone marrow, n = 9; or umbilical cord blood, n = 3) were used. Twenty patients received reduced-intensity conditioning regimen while the other 31 received myeloablative conditioning. Patients with high or very low level of cell bound EBV-DNA levels had a shorter OS than those with moderate EBV load: OS at 5 years was 67% vs 90% (p &lt; 0.03). There was a conspicuous relationship between EBV load and the reconstitution dynamics of total and EBV-specific T cells, CD4+ and CD4- CD8- (double negative) T cells in the few patients where it was analyzed. This was not statistically significant. Two other factors were associated to early mortality in addition to high or low EBV load: acute GVHD II-IV (p &lt; 0.02) and pre-transplant conditioning with total body irradiation (TBI) \u22656 Gy, (p &lt; 0.03). All the patients meeting all three criteria died within two years after transplantation. This points to a subgroup of HSCT patients which deserve special attention with improvement of future, personalized treatment.", "author" : [ { "dropping-particle" : "", "family" : "Li", "given" : "Qin", "non-dropping-particle" : "", "parse-names" : false, "suffix" : "" }, { "dropping-particle" : "", "family" : "Rane", "given" : "Lalit", "non-dropping-particle" : "", "parse-names" : false, "suffix" : "" }, { "dropping-particle" : "", "family" : "Poiret", "given" : "Thomas", "non-dropping-particle" : "", "parse-names" : false, "suffix" : "" }, { "dropping-particle" : "", "family" : "Zou", "given" : "Jiezhi", "non-dropping-particle" : "", "parse-names" : false, "suffix" : "" }, { "dropping-particle" : "", "family" : "Magalhaes", "given" : "Isabelle", "non-dropping-particle" : "", "parse-names" : false, "suffix" : "" }, { "dropping-particle" : "", "family" : "Ahmed", "given" : "Raija", "non-dropping-particle" : "", "parse-names" : false, "suffix" : "" }, { "dropping-particle" : "", "family" : "Du", "given" : "Ziming", "non-dropping-particle" : "", "parse-names" : false, "suffix" : "" }, { "dropping-particle" : "", "family" : "Vudattu", "given" : "Nalini", "non-dropping-particle" : "", "parse-names" : false, "suffix" : "" }, { "dropping-particle" : "", "family" : "Meng", "given" : "Qingda", "non-dropping-particle" : "", "parse-names" : false, "suffix" : "" }, { "dropping-particle" : "", "family" : "Gustafsson-Jernberg", "given" : "\u00c5sa", "non-dropping-particle" : "", "parse-names" : false, "suffix" : "" }, { "dropping-particle" : "", "family" : "Winiarski", "given" : "Jacek", "non-dropping-particle" : "", "parse-names" : false, "suffix" : "" }, { "dropping-particle" : "", "family" : "Ringd\u00e9n", "given" : "Olle", "non-dropping-particle" : "", "parse-names" : false, "suffix" : "" }, { "dropping-particle" : "", "family" : "Maeurer", "given" : "Markus", "non-dropping-particle" : "", "parse-names" : false, "suffix" : "" }, { "dropping-particle" : "", "family" : "Remberger", "given" : "Mats", "non-dropping-particle" : "", "parse-names" : false, "suffix" : "" }, { "dropping-particle" : "", "family" : "Ernberg", "given" : "Ingemar", "non-dropping-particle" : "", "parse-names" : false, "suffix" : "" } ], "container-title" : "Oncotarget", "id" : "ITEM-1", "issue" : "21", "issued" : { "date-parts" : [ [ "2016" ] ] }, "page" : "30230-40", "title" : "Both high and low levels of cellular Epstein-Barr virus DNA in blood identify failure after hematologic stem cell transplantation in conjunction with acute GVHD and type of conditioning.", "type" : "article-journal", "volume" : "7" }, "uris" : [ "http://www.mendeley.com/documents/?uuid=99b2e5c2-748c-4e15-a000-ea0d1841242a" ] }, { "id" : "ITEM-2", "itemData" : { "DOI" : "10.1111/ejh.12260", "ISSN" : "16000609", "PMID" : "24400833", "abstract" : "Epstein-Barr virus reactivation (EBV-R) frequently occurs in patients having allogeneic hematopoietic stem cell transplantation (HSCT). We evaluated the impact of controlled EBV-R on survival of 190 patients (114M/76F, median age: 51\u00a0yr, range 18-69), having HSCT for hematological malignancies (105 acute leukemias and myelodysplasias, 71 lymphoproliferative disorders, 14 others). Overall survival (OS) and progression-free survival (PFS) were compared between patients with and without EBV-R. Of 138, patients had reduced-intensity conditioning regimen. Various stem cell sources (141 PB, 33 umbilical cord blood and 16 bone marrow) were used. Patients with EBV-R had longer PFS and OS than those without EBV-R: PFS at 2\u00a0yr 69% vs. 51% and at 5\u00a0yr 47% vs. 38% (P\u00a0&lt;\u00a00.04); OS at 2\u00a0yr 76% vs. 64% and at 5\u00a0yr 63% vs. 47%) (P\u00a0&lt;\u00a00.001). The use of rituximab had no impact on OS and PFS, but it reduced the intensity of GVHD, despite the fact that TRM was not significantly different between the two groups of patients. So, rituximab may have an additional effect to other factors on PFS and OS. In multivariate analysis, antithymocyte globulin administration was not a significant factor for PFS (P\u00a0=\u00a00.68) and for OS (P\u00a0=\u00a00.81). Circulating NK cells were significantly increased by 22% (P\u00a0=\u00a00.03) in EBV-R patients with no differences for other parameters. Controlled EBV-R in the setting of HSCT is associated with better OS and PFS, with a significant increase in circulating NK cells.", "author" : [ { "dropping-particle" : "", "family" : "Auger", "given" : "Sophie", "non-dropping-particle" : "", "parse-names" : false, "suffix" : "" }, { "dropping-particle" : "", "family" : "Orsini", "given" : "Mattea", "non-dropping-particle" : "", "parse-names" : false, "suffix" : "" }, { "dropping-particle" : "", "family" : "C\u00e9ballos", "given" : "Patrice", "non-dropping-particle" : "", "parse-names" : false, "suffix" : "" }, { "dropping-particle" : "", "family" : "Fegueux", "given" : "Nathalie", "non-dropping-particle" : "", "parse-names" : false, "suffix" : "" }, { "dropping-particle" : "", "family" : "Kanouni", "given" : "Tarik", "non-dropping-particle" : "", "parse-names" : false, "suffix" : "" }, { "dropping-particle" : "", "family" : "Caumes", "given" : "Bastien", "non-dropping-particle" : "", "parse-names" : false, "suffix" : "" }, { "dropping-particle" : "", "family" : "Klein", "given" : "Bernard", "non-dropping-particle" : "", "parse-names" : false, "suffix" : "" }, { "dropping-particle" : "", "family" : "Villalba", "given" : "Martin", "non-dropping-particle" : "", "parse-names" : false, "suffix" : "" }, { "dropping-particle" : "", "family" : "Rossi", "given" : "Jean Fran\u00e7ois", "non-dropping-particle" : "", "parse-names" : false, "suffix" : "" } ], "container-title" : "European Journal of Haematology", "id" : "ITEM-2", "issue" : "5", "issued" : { "date-parts" : [ [ "2014" ] ] }, "page" : "421-428", "title" : "Controlled Epstein-Barr virus reactivation after allogeneic transplantation is associated with improved survival", "type" : "article-journal", "volume" : "92" }, "uris" : [ "http://www.mendeley.com/documents/?uuid=72fb45ba-9275-458b-afa4-7cc766735587" ] } ], "mendeley" : { "formattedCitation" : "&lt;sup&gt;60,61&lt;/sup&gt;", "plainTextFormattedCitation" : "60,61", "previouslyFormattedCitation" : "&lt;sup&gt;60,61&lt;/sup&gt;"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62-65</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2711F7" w:rsidRPr="001E48D5">
        <w:rPr>
          <w:rFonts w:ascii="Book Antiqua" w:eastAsia="Times New Roman" w:hAnsi="Book Antiqua" w:cs="Segoe UI"/>
          <w:color w:val="000000"/>
          <w:sz w:val="24"/>
          <w:szCs w:val="24"/>
          <w:vertAlign w:val="superscript"/>
        </w:rPr>
        <w:t xml:space="preserve"> </w:t>
      </w:r>
      <w:r w:rsidR="002711F7" w:rsidRPr="001E48D5">
        <w:rPr>
          <w:rFonts w:ascii="Book Antiqua" w:eastAsia="Times New Roman" w:hAnsi="Book Antiqua" w:cs="Segoe UI"/>
          <w:color w:val="000000"/>
          <w:sz w:val="24"/>
          <w:szCs w:val="24"/>
        </w:rPr>
        <w:t>(Table 1)</w:t>
      </w:r>
      <w:r w:rsidR="00FA07B4" w:rsidRPr="001E48D5">
        <w:rPr>
          <w:rFonts w:ascii="Book Antiqua" w:eastAsia="Times New Roman" w:hAnsi="Book Antiqua" w:cs="Segoe UI"/>
          <w:color w:val="000000"/>
          <w:sz w:val="24"/>
          <w:szCs w:val="24"/>
        </w:rPr>
        <w:t>.</w:t>
      </w:r>
      <w:r w:rsidR="002711F7" w:rsidRPr="001E48D5">
        <w:rPr>
          <w:rFonts w:ascii="Book Antiqua" w:eastAsia="Times New Roman" w:hAnsi="Book Antiqua" w:cs="Segoe UI"/>
          <w:b/>
          <w:bCs/>
          <w:color w:val="000000"/>
          <w:sz w:val="24"/>
          <w:szCs w:val="24"/>
        </w:rPr>
        <w:t xml:space="preserve"> </w:t>
      </w:r>
      <w:r w:rsidR="00FA07B4" w:rsidRPr="001E48D5">
        <w:rPr>
          <w:rFonts w:ascii="Book Antiqua" w:eastAsia="Times New Roman" w:hAnsi="Book Antiqua" w:cs="Segoe UI"/>
          <w:color w:val="000000"/>
          <w:sz w:val="24"/>
          <w:szCs w:val="24"/>
        </w:rPr>
        <w:t xml:space="preserve">EBV reactivation frequently occurs in patients having allogeneic HSCT and several risk factors for the development of EBV disease after HSCT have been reported, such as T-cell depletion, donor stem cell source, HLA mismatch, severe acute GVHD, EBV </w:t>
      </w:r>
      <w:proofErr w:type="spellStart"/>
      <w:r w:rsidR="00FA07B4" w:rsidRPr="001E48D5">
        <w:rPr>
          <w:rFonts w:ascii="Book Antiqua" w:eastAsia="Times New Roman" w:hAnsi="Book Antiqua" w:cs="Segoe UI"/>
          <w:color w:val="000000"/>
          <w:sz w:val="24"/>
          <w:szCs w:val="24"/>
        </w:rPr>
        <w:t>serostatus</w:t>
      </w:r>
      <w:proofErr w:type="spellEnd"/>
      <w:r w:rsidR="00FA07B4" w:rsidRPr="001E48D5">
        <w:rPr>
          <w:rFonts w:ascii="Book Antiqua" w:eastAsia="Times New Roman" w:hAnsi="Book Antiqua" w:cs="Segoe UI"/>
          <w:color w:val="000000"/>
          <w:sz w:val="24"/>
          <w:szCs w:val="24"/>
        </w:rPr>
        <w:t>, the presence of CMV disease and possibly younger age</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"10.18632/oncotarget.8803", "ISSN" : "1949-2553", "PMID" : "27102298", "abstract" : "The level of Epstein-Barr virus DNA in blood has proven to be a biomarker with some predictive value in allogeneic hematopoietic stem cell transplantation patients (HSCT). We evaluated the impact of EBV load on survival of 51 patients (32M/19F, median age: 32 years, from &lt; 1 to 68 years old), who had received HSCT for different types of malignancies (49 cases) or non-malignancies (2 cases). The overall survival [1]was compared between patients with extreme and moderate cell bound EBV DNA levels. Different sources of stem-cells (peripheral blood stem, n = 39; bone marrow, n = 9; or umbilical cord blood, n = 3) were used. Twenty patients received reduced-intensity conditioning regimen while the other 31 received myeloablative conditioning. Patients with high or very low level of cell bound EBV-DNA levels had a shorter OS than those with moderate EBV load: OS at 5 years was 67% vs 90% (p &lt; 0.03). There was a conspicuous relationship between EBV load and the reconstitution dynamics of total and EBV-specific T cells, CD4+ and CD4- CD8- (double negative) T cells in the few patients where it was analyzed. This was not statistically significant. Two other factors were associated to early mortality in addition to high or low EBV load: acute GVHD II-IV (p &lt; 0.02) and pre-transplant conditioning with total body irradiation (TBI) \u22656 Gy, (p &lt; 0.03). All the patients meeting all three criteria died within two years after transplantation. This points to a subgroup of HSCT patients which deserve special attention with improvement of future, personalized treatment.", "author" : [ { "dropping-particle" : "", "family" : "Li", "given" : "Qin", "non-dropping-particle" : "", "parse-names" : false, "suffix" : "" }, { "dropping-particle" : "", "family" : "Rane", "given" : "Lalit", "non-dropping-particle" : "", "parse-names" : false, "suffix" : "" }, { "dropping-particle" : "", "family" : "Poiret", "given" : "Thomas", "non-dropping-particle" : "", "parse-names" : false, "suffix" : "" }, { "dropping-particle" : "", "family" : "Zou", "given" : "Jiezhi", "non-dropping-particle" : "", "parse-names" : false, "suffix" : "" }, { "dropping-particle" : "", "family" : "Magalhaes", "given" : "Isabelle", "non-dropping-particle" : "", "parse-names" : false, "suffix" : "" }, { "dropping-particle" : "", "family" : "Ahmed", "given" : "Raija", "non-dropping-particle" : "", "parse-names" : false, "suffix" : "" }, { "dropping-particle" : "", "family" : "Du", "given" : "Ziming", "non-dropping-particle" : "", "parse-names" : false, "suffix" : "" }, { "dropping-particle" : "", "family" : "Vudattu", "given" : "Nalini", "non-dropping-particle" : "", "parse-names" : false, "suffix" : "" }, { "dropping-particle" : "", "family" : "Meng", "given" : "Qingda", "non-dropping-particle" : "", "parse-names" : false, "suffix" : "" }, { "dropping-particle" : "", "family" : "Gustafsson-Jernberg", "given" : "\u00c5sa", "non-dropping-particle" : "", "parse-names" : false, "suffix" : "" }, { "dropping-particle" : "", "family" : "Winiarski", "given" : "Jacek", "non-dropping-particle" : "", "parse-names" : false, "suffix" : "" }, { "dropping-particle" : "", "family" : "Ringd\u00e9n", "given" : "Olle", "non-dropping-particle" : "", "parse-names" : false, "suffix" : "" }, { "dropping-particle" : "", "family" : "Maeurer", "given" : "Markus", "non-dropping-particle" : "", "parse-names" : false, "suffix" : "" }, { "dropping-particle" : "", "family" : "Remberger", "given" : "Mats", "non-dropping-particle" : "", "parse-names" : false, "suffix" : "" }, { "dropping-particle" : "", "family" : "Ernberg", "given" : "Ingemar", "non-dropping-particle" : "", "parse-names" : false, "suffix" : "" } ], "container-title" : "Oncotarget", "id" : "ITEM-1", "issue" : "21", "issued" : { "date-parts" : [ [ "2016" ] ] }, "page" : "30230-40", "title" : "Both high and low levels of cellular Epstein-Barr virus DNA in blood identify failure after hematologic stem cell transplantation in conjunction with acute GVHD and type of conditioning.", "type" : "article-journal", "volume" : "7" }, "uris" : [ "http://www.mendeley.com/documents/?uuid=99b2e5c2-748c-4e15-a000-ea0d1841242a" ] }, { "id" : "ITEM-2", "itemData" : { "DOI" : "10.1111/ejh.12260", "ISSN" : "16000609", "PMID" : "24400833", "abstract" : "Epstein-Barr virus reactivation (EBV-R) frequently occurs in patients having allogeneic hematopoietic stem cell transplantation (HSCT). We evaluated the impact of controlled EBV-R on survival of 190 patients (114M/76F, median age: 51\u00a0yr, range 18-69), having HSCT for hematological malignancies (105 acute leukemias and myelodysplasias, 71 lymphoproliferative disorders, 14 others). Overall survival (OS) and progression-free survival (PFS) were compared between patients with and without EBV-R. Of 138, patients had reduced-intensity conditioning regimen. Various stem cell sources (141 PB, 33 umbilical cord blood and 16 bone marrow) were used. Patients with EBV-R had longer PFS and OS than those without EBV-R: PFS at 2\u00a0yr 69% vs. 51% and at 5\u00a0yr 47% vs. 38% (P\u00a0&lt;\u00a00.04); OS at 2\u00a0yr 76% vs. 64% and at 5\u00a0yr 63% vs. 47%) (P\u00a0&lt;\u00a00.001). The use of rituximab had no impact on OS and PFS, but it reduced the intensity of GVHD, despite the fact that TRM was not significantly different between the two groups of patients. So, rituximab may have an additional effect to other factors on PFS and OS. In multivariate analysis, antithymocyte globulin administration was not a significant factor for PFS (P\u00a0=\u00a00.68) and for OS (P\u00a0=\u00a00.81). Circulating NK cells were significantly increased by 22% (P\u00a0=\u00a00.03) in EBV-R patients with no differences for other parameters. Controlled EBV-R in the setting of HSCT is associated with better OS and PFS, with a significant increase in circulating NK cells.", "author" : [ { "dropping-particle" : "", "family" : "Auger", "given" : "Sophie", "non-dropping-particle" : "", "parse-names" : false, "suffix" : "" }, { "dropping-particle" : "", "family" : "Orsini", "given" : "Mattea", "non-dropping-particle" : "", "parse-names" : false, "suffix" : "" }, { "dropping-particle" : "", "family" : "C\u00e9ballos", "given" : "Patrice", "non-dropping-particle" : "", "parse-names" : false, "suffix" : "" }, { "dropping-particle" : "", "family" : "Fegueux", "given" : "Nathalie", "non-dropping-particle" : "", "parse-names" : false, "suffix" : "" }, { "dropping-particle" : "", "family" : "Kanouni", "given" : "Tarik", "non-dropping-particle" : "", "parse-names" : false, "suffix" : "" }, { "dropping-particle" : "", "family" : "Caumes", "given" : "Bastien", "non-dropping-particle" : "", "parse-names" : false, "suffix" : "" }, { "dropping-particle" : "", "family" : "Klein", "given" : "Bernard", "non-dropping-particle" : "", "parse-names" : false, "suffix" : "" }, { "dropping-particle" : "", "family" : "Villalba", "given" : "Martin", "non-dropping-particle" : "", "parse-names" : false, "suffix" : "" }, { "dropping-particle" : "", "family" : "Rossi", "given" : "Jean Fran\u00e7ois", "non-dropping-particle" : "", "parse-names" : false, "suffix" : "" } ], "container-title" : "European Journal of Haematology", "id" : "ITEM-2", "issue" : "5", "issued" : { "date-parts" : [ [ "2014" ] ] }, "page" : "421-428", "title" : "Controlled Epstein-Barr virus reactivation after allogeneic transplantation is associated with improved survival", "type" : "article-journal", "volume" : "92" }, "uris" : [ "http://www.mendeley.com/documents/?uuid=72fb45ba-9275-458b-afa4-7cc766735587" ] } ], "mendeley" : { "formattedCitation" : "&lt;sup&gt;60,61&lt;/sup&gt;", "plainTextFormattedCitation" : "60,61", "previouslyFormattedCitation" : "&lt;sup&gt;60,61&lt;/sup&gt;"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60,61</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0C30DD"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Blood EBV DNA level has proven to be a predictive biomarker in allogeneic HSCT patients. In a clini</w:t>
      </w:r>
      <w:r w:rsidR="000C30DD" w:rsidRPr="001E48D5">
        <w:rPr>
          <w:rFonts w:ascii="Book Antiqua" w:eastAsia="Times New Roman" w:hAnsi="Book Antiqua" w:cs="Segoe UI"/>
          <w:color w:val="000000"/>
          <w:sz w:val="24"/>
          <w:szCs w:val="24"/>
        </w:rPr>
        <w:t xml:space="preserve">cal follow-up project, Li </w:t>
      </w:r>
      <w:r w:rsidR="000C30DD" w:rsidRPr="001E48D5">
        <w:rPr>
          <w:rFonts w:ascii="Book Antiqua" w:eastAsia="Times New Roman" w:hAnsi="Book Antiqua" w:cs="Segoe UI"/>
          <w:i/>
          <w:color w:val="000000"/>
          <w:sz w:val="24"/>
          <w:szCs w:val="24"/>
        </w:rPr>
        <w:t>et al</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"10.1111/ejh.12260", "ISSN" : "16000609", "PMID" : "24400833", "abstract" : "Epstein-Barr virus reactivation (EBV-R) frequently occurs in patients having allogeneic hematopoietic stem cell transplantation (HSCT). We evaluated the impact of controlled EBV-R on survival of 190 patients (114M/76F, median age: 51\u00a0yr, range 18-69), having HSCT for hematological malignancies (105 acute leukemias and myelodysplasias, 71 lymphoproliferative disorders, 14 others). Overall survival (OS) and progression-free survival (PFS) were compared between patients with and without EBV-R. Of 138, patients had reduced-intensity conditioning regimen. Various stem cell sources (141 PB, 33 umbilical cord blood and 16 bone marrow) were used. Patients with EBV-R had longer PFS and OS than those without EBV-R: PFS at 2\u00a0yr 69% vs. 51% and at 5\u00a0yr 47% vs. 38% (P\u00a0&lt;\u00a00.04); OS at 2\u00a0yr 76% vs. 64% and at 5\u00a0yr 63% vs. 47%) (P\u00a0&lt;\u00a00.001). The use of rituximab had no impact on OS and PFS, but it reduced the intensity of GVHD, despite the fact that TRM was not significantly different between the two groups of patients. So, rituximab may have an additional effect to other factors on PFS and OS. In multivariate analysis, antithymocyte globulin administration was not a significant factor for PFS (P\u00a0=\u00a00.68) and for OS (P\u00a0=\u00a00.81). Circulating NK cells were significantly increased by 22% (P\u00a0=\u00a00.03) in EBV-R patients with no differences for other parameters. Controlled EBV-R in the setting of HSCT is associated with better OS and PFS, with a significant increase in circulating NK cells.", "author" : [ { "dropping-particle" : "", "family" : "Auger", "given" : "Sophie", "non-dropping-particle" : "", "parse-names" : false, "suffix" : "" }, { "dropping-particle" : "", "family" : "Orsini", "given" : "Mattea", "non-dropping-particle" : "", "parse-names" : false, "suffix" : "" }, { "dropping-particle" : "", "family" : "C\u00e9ballos", "given" : "Patrice", "non-dropping-particle" : "", "parse-names" : false, "suffix" : "" }, { "dropping-particle" : "", "family" : "Fegueux", "given" : "Nathalie", "non-dropping-particle" : "", "parse-names" : false, "suffix" : "" }, { "dropping-particle" : "", "family" : "Kanouni", "given" : "Tarik", "non-dropping-particle" : "", "parse-names" : false, "suffix" : "" }, { "dropping-particle" : "", "family" : "Caumes", "given" : "Bastien", "non-dropping-particle" : "", "parse-names" : false, "suffix" : "" }, { "dropping-particle" : "", "family" : "Klein", "given" : "Bernard", "non-dropping-particle" : "", "parse-names" : false, "suffix" : "" }, { "dropping-particle" : "", "family" : "Villalba", "given" : "Martin", "non-dropping-particle" : "", "parse-names" : false, "suffix" : "" }, { "dropping-particle" : "", "family" : "Rossi", "given" : "Jean Fran\u00e7ois", "non-dropping-particle" : "", "parse-names" : false, "suffix" : "" } ], "container-title" : "European Journal of Haematology", "id" : "ITEM-1", "issue" : "5", "issued" : { "date-parts" : [ [ "2014" ] ] }, "page" : "421-428", "title" : "Controlled Epstein-Barr virus reactivation after allogeneic transplantation is associated with improved survival", "type" : "article-journal", "volume" : "92" }, "uris" : [ "http://www.mendeley.com/documents/?uuid=72fb45ba-9275-458b-afa4-7cc766735587" ] } ], "mendeley" : { "formattedCitation" : "&lt;sup&gt;61&lt;/sup&gt;", "plainTextFormattedCitation" : "61", "previouslyFormattedCitation" : "&lt;sup&gt;61&lt;/sup&gt;"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61</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evaluated the impact of EBV load on the survival of patients who had received transplant form different sources of stem cells, and found that patients with very low or high EBV-DNA load early after transplantation had a poor prognosis, compared to patients with intermediate levels.</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proofErr w:type="spellStart"/>
      <w:r w:rsidRPr="001E48D5">
        <w:rPr>
          <w:rFonts w:ascii="Book Antiqua" w:eastAsia="Times New Roman" w:hAnsi="Book Antiqua" w:cs="Segoe UI"/>
          <w:color w:val="000000"/>
          <w:sz w:val="24"/>
          <w:szCs w:val="24"/>
        </w:rPr>
        <w:t>Sundin</w:t>
      </w:r>
      <w:proofErr w:type="spellEnd"/>
      <w:r w:rsidRPr="001E48D5">
        <w:rPr>
          <w:rFonts w:ascii="Book Antiqua" w:eastAsia="Times New Roman" w:hAnsi="Book Antiqua" w:cs="Segoe UI"/>
          <w:color w:val="000000"/>
          <w:sz w:val="24"/>
          <w:szCs w:val="24"/>
        </w:rPr>
        <w:t xml:space="preserve"> and others have demonstrated that PTLD mostly originates from donor-derived cells, and risk for PTLD increases in positive donor/negative recipient (D+/R−) pairs. Therefore, selection of EBV-seronegative donors could reduce the risk of PTLD development</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"ISSN" : "03906078", "PMID" : "16885046", "abstract" : "Post-transplant lymphoproliferative disorder (PTLD) following allogeneic hematopioetic stem cell transplantation (HSCT) is a fulminant disease with high mortality. The objective of this study was to determine risk factors in PTLD following HSCT in order to identify high-risk patients for surveillance, prophylaxis and treatment.", "author" : [ { "dropping-particle" : "", "family" : "Sundin", "given" : "Mikael", "non-dropping-particle" : "", "parse-names" : false, "suffix" : "" }, { "dropping-particle" : "", "family" : "Blanc", "given" : "Katarina", "non-dropping-particle" : "Le", "parse-names" : false, "suffix" : "" }, { "dropping-particle" : "", "family" : "Ringd\u00e9n", "given" : "Olle", "non-dropping-particle" : "", "parse-names" : false, "suffix" : "" }, { "dropping-particle" : "", "family" : "Barkholt", "given" : "Lisbeth", "non-dropping-particle" : "", "parse-names" : false, "suffix" : "" }, { "dropping-particle" : "", "family" : "Omazic", "given" : "Brigitta", "non-dropping-particle" : "", "parse-names" : false, "suffix" : "" }, { "dropping-particle" : "", "family" : "Lergin", "given" : "Christina", "non-dropping-particle" : "", "parse-names" : false, "suffix" : "" }, { "dropping-particle" : "", "family" : "Levitsky", "given" : "Victor", "non-dropping-particle" : "", "parse-names" : false, "suffix" : "" }, { "dropping-particle" : "", "family" : "Remberger", "given" : "Mats", "non-dropping-particle" : "", "parse-names" : false, "suffix" : "" } ], "container-title" : "Haematologica", "id" : "ITEM-1", "issue" : "8", "issued" : { "date-parts" : [ [ "2006" ] ] }, "page" : "1059-1067", "title" : "The role of HLA mismatch, splenectomy and recipient Epstein-Barr virus seronegativity as risk factors in post-transplant lymphoproliferative disorder following allogeneic hematopoietic stem cell transplantation", "type" : "article-journal", "volume" : "91" }, "uris" : [ "http://www.mendeley.com/documents/?uuid=87a244b1-d550-4c17-a674-53e12a9a1839" ] }, { "id" : "ITEM-2", "itemData" : { "DOI" : "10.1182/blood-2010-04-281873", "ISBN" : "1528-0020 (Electronic)\\n0006-4971 (Linking)", "ISSN" : "00064971", "PMID" : "20826724", "abstract" : "Cellular therapy of Epstein-Barr virus (EBV)(+) posttransplantation lymphoproliferative diseases (PTLD) in cord blood transplant (CBT) recipients is limited by lack of donor access and the donor's naive neonatal immune system. We therefore used partially human leukocyte antigen-matched third-party in vitro expanded EBV-specific cytotoxic T lymphocytes (CTLs) to treat 2 CBT recipients with life-threatening, donor-derived monoclonal EBV(+) diffuse large B-cell lymphomas with extranodal involvement developing in the context of graft-versus-host disease. Both patients had failed immunosuppression taper and Rituximab. After 5 and 9 infusions of 10(6) EBV-CTL/kg, respectively, each patient achieved a sustained complete remission without toxicity or graft-versus-host disease. Each is alive without recurrence at 20 and 15 months, respectively, post-EBV-PTLD diagnosis. This approach demonstrates the efficacy of using \"off-the-shelf,\" virus-specific third-party CTLs restricted by human leukocyte antigens expressed by the tumor to treat otherwise lethal EBV-PTLD. Such therapy may also be applicable to the treatment of other infections and residual or recurrent malignancy after CBT.", "author" : [ { "dropping-particle" : "", "family" : "Barker", "given" : "Juliet N.", "non-dropping-particle" : "", "parse-names" : false, "suffix" : "" }, { "dropping-particle" : "", "family" : "Doubrovina", "given" : "Ekaterina", "non-dropping-particle" : "", "parse-names" : false, "suffix" : "" }, { "dropping-particle" : "", "family" : "Sauter", "given" : "Craig", "non-dropping-particle" : "", "parse-names" : false, "suffix" : "" }, { "dropping-particle" : "", "family" : "Jaroscak", "given" : "Jennifer J.", "non-dropping-particle" : "", "parse-names" : false, "suffix" : "" }, { "dropping-particle" : "", "family" : "Perales", "given" : "Miguel A.", "non-dropping-particle" : "", "parse-names" : false, "suffix" : "" }, { "dropping-particle" : "", "family" : "Doubrovin", "given" : "Mikhail", "non-dropping-particle" : "", "parse-names" : false, "suffix" : "" }, { "dropping-particle" : "", "family" : "Prockop", "given" : "Susan E.", "non-dropping-particle" : "", "parse-names" : false, "suffix" : "" }, { "dropping-particle" : "", "family" : "Koehne", "given" : "Guenther", "non-dropping-particle" : "", "parse-names" : false, "suffix" : "" }, { "dropping-particle" : "", "family" : "O'Reilly", "given" : "Richard J.", "non-dropping-particle" : "", "parse-names" : false, "suffix" : "" } ], "container-title" : "Blood", "id" : "ITEM-2", "issue" : "23", "issued" : { "date-parts" : [ [ "2010" ] ] }, "page" : "5045-5049", "title" : "Successful treatment of EBV-associated posttransplantation lymphoma after cord blood transplantation using third-party EBV-specific cytotoxic T lymphocytes", "type" : "article-journal", "volume" : "116" }, "uris" : [ "http://www.mendeley.com/documents/?uuid=638ced2e-f2b0-4b9d-a774-600e0963b6e5" ] }, { "id" : "ITEM-3", "itemData" : { "DOI" : "10.1016/j.beha.2004.05.007", "ISSN" : "1521-6926", "PMID" : "15498712", "abstract" : "During the immunodeficiency that follows hemopoietic stem cell transplant or solid organ transplant, lymphoproliferation can develop due to uncontrolled expansion of Epstein-Barr-virus (EBV)-infected B cells that express the full spectrum of EBV latent antigens. As development of post-transplant lymphoproliferative disease (PTLD) in these patients is clearly associated with a deficient EBV-specific cellular immune response, immunotherapy strategies to restore the EBV-specific immune response have been evaluated. In hemopoietic stem cell transplant recipients, adoptively transferred donor-derived EBV-specific T cells have been able to restore immunity and eradicate overt lymphoproliferation. Autologous or closely matched allogeneic EBV-specific cytotoxic T lymphocytes have also shown promise in recipients of solid organ transplant. The use of genetically modified T cells or newer suicide genes may result in improved safety and efficacy. Current challenges are to define indications for immunotherapy or antibody therapy in patients with incipient or overt PTLD.", "author" : [ { "dropping-particle" : "", "family" : "Heslop", "given" : "Helen E", "non-dropping-particle" : "", "parse-names" : false, "suffix" : "" }, { "dropping-particle" : "", "family" : "Savoldo", "given" : "Barbara", "non-dropping-particle" : "", "parse-names" : false, "suffix" : "" }, { "dropping-particle" : "", "family" : "Rooney", "given" : "Cliona M", "non-dropping-particle" : "", "parse-names" : false, "suffix" : "" } ], "container-title" : "Best practice &amp; research. Clinical haematology", "id" : "ITEM-3", "issue" : "3", "issued" : { "date-parts" : [ [ "2004" ] ] }, "page" : "401-13", "title" : "Cellular therapy of Epstein-Barr-virus-associated post-transplant lymphoproliferative disease.", "type" : "article-journal", "volume" : "17" }, "uris" : [ "http://www.mendeley.com/documents/?uuid=601a060c-cc9c-4c39-902e-5dd5ee838a02" ] } ], "mendeley" : { "formattedCitation" : "&lt;sup&gt;62\u201364&lt;/sup&gt;", "plainTextFormattedCitation" : "62\u201364", "previouslyFormattedCitation" : "&lt;sup&gt;62\u201364&lt;/sup&gt;"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66–68</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There are also reports concerning the higher incidence of PTLD in patients who underwent UCBT compared with other HSC sources, especially when anti-</w:t>
      </w:r>
      <w:proofErr w:type="spellStart"/>
      <w:r w:rsidRPr="001E48D5">
        <w:rPr>
          <w:rFonts w:ascii="Book Antiqua" w:eastAsia="Times New Roman" w:hAnsi="Book Antiqua" w:cs="Segoe UI"/>
          <w:color w:val="000000"/>
          <w:sz w:val="24"/>
          <w:szCs w:val="24"/>
        </w:rPr>
        <w:t>thymocyte</w:t>
      </w:r>
      <w:proofErr w:type="spellEnd"/>
      <w:r w:rsidRPr="001E48D5">
        <w:rPr>
          <w:rFonts w:ascii="Book Antiqua" w:eastAsia="Times New Roman" w:hAnsi="Book Antiqua" w:cs="Segoe UI"/>
          <w:color w:val="000000"/>
          <w:sz w:val="24"/>
          <w:szCs w:val="24"/>
        </w:rPr>
        <w:t xml:space="preserve"> globulin is added to conditioning regimen</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"10.1016/j.bbmt.2009.10.008", "ISBN" : "1523-6536", "ISSN" : "10838791", "PMID" : "19835968", "abstract" : "Epstein Barr viremia (EBV) and posttransplantation lymphoproliferative disorder (PTLD) are complications of hematopoietic stem cell transplantation (HSCT). The use of antithymocyte globulin (ATG) in recipients of umbilical cord HSCT is a known risk factor for the development of PTLD. In this high-risk population, we implemented an EBV monitoring program with preemptive therapy with rituximab (375 mg/m2 intravenously [i.v.]) for EBV viremia (&gt;1000 copies/mL). Eight of 35 patients treated with a UCB HSCT between 2007 and 2009, developed EBV viremia. Two of 7 developed PTLD (with 1 of the 2 dying of PTLD), despite prophylactic rituximab use. When compared with our previously described cohort where 6 of 30 developed EBV viremia and 5 of 6 patients developed PTLD (with 2 of 5 dying of PTLD), the incidence of PTLD appears to be less when prophylactic rituximab is administered. Despite small numbers, our observations suggest that in this high-risk population, EBV monitoring accompanied by preemptive therapy may reduce the risk of progression to life-threatening PTLD; further follow-up of this cohort and a larger multi-institutional prospective study of this preemptive strategy is warranted. \u00a9 2010.", "author" : [ { "dropping-particle" : "", "family" : "Blaes", "given" : "Anne H.", "non-dropping-particle" : "", "parse-names" : false, "suffix" : "" }, { "dropping-particle" : "", "family" : "Cao", "given" : "Qing", "non-dropping-particle" : "", "parse-names" : false, "suffix" : "" }, { "dropping-particle" : "", "family" : "Wagner", "given" : "John E.", "non-dropping-particle" : "", "parse-names" : false, "suffix" : "" }, { "dropping-particle" : "", "family" : "Young", "given" : "Jo Anne H.", "non-dropping-particle" : "", "parse-names" : false, "suffix" : "" }, { "dropping-particle" : "", "family" : "Weisdorf", "given" : "Daniel J.", "non-dropping-particle" : "", "parse-names" : false, "suffix" : "" }, { "dropping-particle" : "", "family" : "Brunstein", "given" : "Claudio G.", "non-dropping-particle" : "", "parse-names" : false, "suffix" : "" } ], "container-title" : "Biology of Blood and Marrow Transplantation", "id" : "ITEM-1", "issue" : "2", "issued" : { "date-parts" : [ [ "2010" ] ] }, "page" : "287-291", "publisher" : "Elsevier Ltd", "title" : "Monitoring and Preemptive Rituximab Therapy for Epstein-Barr Virus Reactivation after Antithymocyte Globulin Containing Nonmyeloablative Conditioning for Umbilical Cord Blood Transplantation", "type" : "article-journal", "volume" : "16" }, "uris" : [ "http://www.mendeley.com/documents/?uuid=4e39174e-16f1-422a-bb89-cbb41ffcd2fc" ] }, { "id" : "ITEM-2", "itemData" : { "DOI" : "10.1182/blood-2006-03-011791", "ISSN" : "0006-4971", "PMID" : "16804113", "abstract" : "Umbilical cord blood (UCB) is increasingly used as an alternative source of hematopoietic stem cells for transplantation for patients who lack a suitable sibling donor. Despite concerns about a possible increased risk of Epstein-Barr virus (EBV) posttransplantation lymphoproliferative disorder (PTLD) after UCB transplantation, early reports documented rates of PTLD comparable to those reported after HLA-matched unrelated marrow myeloablative (MA) transplantations. To further investigate the incidence of EBV PTLD after UCB transplantation and potential risk factors, we evaluated the incidence of EBV-related complications in 335 patients undergoing UCB transplantation with an MA or nonmyeloablative (NMA) preparative regimen. The incidence of EBV-related complications was a 4.5% overall, 3.3% for MA transplantations, and 7% for NMA transplantations. However, the incidence of EBV-related complications was significantly higher in a subset of patients treated with an NMA preparative regimen that included antithymocyte globulin (ATG) versus those that did not (21% vs 2%; P &lt; .01). Nine of 11 patients who developed EBV PTLD were treated with rituximab (anti-CD20 antibody), with the 5 responders being alive and disease free at a median of 26 months. Use of ATG in recipients of an NMA preparative regimen warrants close monitoring for evidence of EBV reactivation and potentially preemptive therapy with rituximab.", "author" : [ { "dropping-particle" : "", "family" : "Brunstein", "given" : "Claudio G", "non-dropping-particle" : "", "parse-names" : false, "suffix" : "" }, { "dropping-particle" : "", "family" : "Weisdorf", "given" : "Daniel J", "non-dropping-particle" : "", "parse-names" : false, "suffix" : "" }, { "dropping-particle" : "", "family" : "DeFor", "given" : "Todd", "non-dropping-particle" : "", "parse-names" : false, "suffix" : "" }, { "dropping-particle" : "", "family" : "Barker", "given" : "Juliet N", "non-dropping-particle" : "", "parse-names" : false, "suffix" : "" }, { "dropping-particle" : "", "family" : "Tolar", "given" : "Jakub", "non-dropping-particle" : "", "parse-names" : false, "suffix" : "" }, { "dropping-particle" : "", "family" : "Burik", "given" : "Jo-Anne H", "non-dropping-particle" : "van", "parse-names" : false, "suffix" : "" }, { "dropping-particle" : "", "family" : "Wagner", "given" : "John E", "non-dropping-particle" : "", "parse-names" : false, "suffix" : "" } ], "container-title" : "Blood", "id" : "ITEM-2", "issue" : "8", "issued" : { "date-parts" : [ [ "2006", "10", "15" ] ] }, "page" : "2874-80", "publisher" : "American Society of Hematology", "title" : "Marked increased risk of Epstein-Barr virus-related complications with the addition of antithymocyte globulin to a nonmyeloablative conditioning prior to unrelated umbilical cord blood transplantation.", "type" : "article-journal", "volume" : "108" }, "uris" : [ "http://www.mendeley.com/documents/?uuid=b8f02f6c-34ca-308a-9af5-c2b72bdce389" ] } ], "mendeley" : { "formattedCitation" : "&lt;sup&gt;65,66&lt;/sup&gt;", "plainTextFormattedCitation" : "65,66", "previouslyFormattedCitation" : "&lt;sup&gt;65,66&lt;/sup&gt;"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69,70</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xml:space="preserve">. Contrary to these </w:t>
      </w:r>
      <w:r w:rsidRPr="001E48D5">
        <w:rPr>
          <w:rFonts w:ascii="Book Antiqua" w:eastAsia="Times New Roman" w:hAnsi="Book Antiqua" w:cs="Segoe UI"/>
          <w:color w:val="000000"/>
          <w:sz w:val="24"/>
          <w:szCs w:val="24"/>
        </w:rPr>
        <w:lastRenderedPageBreak/>
        <w:t>findings, in a retrospective</w:t>
      </w:r>
      <w:r w:rsidR="000C30DD" w:rsidRPr="001E48D5">
        <w:rPr>
          <w:rFonts w:ascii="Book Antiqua" w:eastAsia="Times New Roman" w:hAnsi="Book Antiqua" w:cs="Segoe UI"/>
          <w:color w:val="000000"/>
          <w:sz w:val="24"/>
          <w:szCs w:val="24"/>
        </w:rPr>
        <w:t xml:space="preserve"> multicenter study, Dumas </w:t>
      </w:r>
      <w:r w:rsidR="000C30DD" w:rsidRPr="001E48D5">
        <w:rPr>
          <w:rFonts w:ascii="Book Antiqua" w:eastAsia="Times New Roman" w:hAnsi="Book Antiqua" w:cs="Segoe UI"/>
          <w:i/>
          <w:color w:val="000000"/>
          <w:sz w:val="24"/>
          <w:szCs w:val="24"/>
        </w:rPr>
        <w:t xml:space="preserve">et </w:t>
      </w:r>
      <w:proofErr w:type="gramStart"/>
      <w:r w:rsidR="000C30DD" w:rsidRPr="001E48D5">
        <w:rPr>
          <w:rFonts w:ascii="Book Antiqua" w:eastAsia="Times New Roman" w:hAnsi="Book Antiqua" w:cs="Segoe UI"/>
          <w:i/>
          <w:color w:val="000000"/>
          <w:sz w:val="24"/>
          <w:szCs w:val="24"/>
        </w:rPr>
        <w:t>al</w:t>
      </w:r>
      <w:r w:rsidRPr="001E48D5">
        <w:rPr>
          <w:rFonts w:ascii="Book Antiqua" w:eastAsia="Times New Roman" w:hAnsi="Book Antiqua" w:cs="Segoe UI"/>
          <w:color w:val="000000"/>
          <w:sz w:val="24"/>
          <w:szCs w:val="24"/>
          <w:vertAlign w:val="superscript"/>
        </w:rPr>
        <w:t>[</w:t>
      </w:r>
      <w:proofErr w:type="gramEnd"/>
      <w:r w:rsidRPr="001E48D5">
        <w:rPr>
          <w:rFonts w:ascii="Book Antiqua" w:eastAsia="Times New Roman" w:hAnsi="Book Antiqua" w:cs="Segoe UI"/>
          <w:color w:val="000000"/>
          <w:sz w:val="24"/>
          <w:szCs w:val="24"/>
          <w:vertAlign w:val="superscript"/>
        </w:rPr>
        <w:t>71]</w:t>
      </w:r>
      <w:r w:rsidRPr="001E48D5">
        <w:rPr>
          <w:rFonts w:ascii="Book Antiqua" w:eastAsia="Times New Roman" w:hAnsi="Book Antiqua" w:cs="Segoe UI"/>
          <w:color w:val="000000"/>
          <w:sz w:val="24"/>
          <w:szCs w:val="24"/>
        </w:rPr>
        <w:t xml:space="preserve"> studied 175 UCBT recipients for whom EBV RQ-PCR monitoring was performed, and concluded conversely that UCBT recipients are not more susceptible to EBV events if EBV load is regularly monitored and </w:t>
      </w:r>
      <w:r w:rsidR="000C30DD" w:rsidRPr="001E48D5">
        <w:rPr>
          <w:rFonts w:ascii="Book Antiqua" w:eastAsia="Times New Roman" w:hAnsi="Book Antiqua" w:cs="Segoe UI"/>
          <w:color w:val="000000"/>
          <w:sz w:val="24"/>
          <w:szCs w:val="24"/>
        </w:rPr>
        <w:t>preemptive treatment performed.</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Despite the low incidence of congenital EBV infection, the occurrence of EBV-associated PTLD is possible at least in unrelated UCBT setting and adds one additional fatal complication following UCBT. Therefore, EBV screening by sensitive and reliable tests may play an important role in the future evaluation of UCB units to use in transplantation</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"10.1038/bmt.2012.117", "ISSN" : "0268-3369", "PMID" : "22773124", "abstract" : "EBV viremia and post-transplantation lymphoproliferative disorders (PTLDs) have been associated with high mortality rates after allogeneic hematopoietic SCT (allo-HSCT). Few retrospective studies, without EBV load monitoring postulated that umbilical cord blood transplantation (UCBT) might be associated with high incidence of EBV events. We retrospectively studied 175 UCBT recipients for whom RQ-PCR was used to monitor EBV blood load at least once a week during the first 3 months after UCBT. Median age was 23 years, 74% had leukemia. Conditioning was myeloablative in 54% and reduced intensity conditioning (RIC) was used in 46%. A total of 24 patients presented an EBV reactivation. For 15 patients, the reactivation occurred during the first 100 days (cumulative incidence: 8%) and included 4 EBV-PTLD. Rituximab as preemptive treatment was used in 12 of these 15 patients. In univariate analysis, the increased risk of early EBV reactivation was associated with RIC in combination with antithymocyte globulin (P=0.03) and previous history of auto-HSCT (P=0.01). Multivariate analysis did not find any independent risk factor. EBV reactivation as time-dependent covariate was not statistically associated with survival. Therefore, EBV events were not major complications after UCBT when EBV load is weekly monitored and preemptive treatment started.", "author" : [ { "dropping-particle" : "", "family" : "Dumas", "given" : "P-Y", "non-dropping-particle" : "", "parse-names" : false, "suffix" : "" }, { "dropping-particle" : "", "family" : "Ruggeri", "given" : "A", "non-dropping-particle" : "", "parse-names" : false, "suffix" : "" }, { "dropping-particle" : "", "family" : "Robin", "given" : "M", "non-dropping-particle" : "", "parse-names" : false, "suffix" : "" }, { "dropping-particle" : "", "family" : "Crotta", "given" : "A", "non-dropping-particle" : "", "parse-names" : false, "suffix" : "" }, { "dropping-particle" : "", "family" : "Abraham", "given" : "J", "non-dropping-particle" : "", "parse-names" : false, "suffix" : "" }, { "dropping-particle" : "", "family" : "Forcade", "given" : "E", "non-dropping-particle" : "", "parse-names" : false, "suffix" : "" }, { "dropping-particle" : "", "family" : "Bay", "given" : "J-O", "non-dropping-particle" : "", "parse-names" : false, "suffix" : "" }, { "dropping-particle" : "", "family" : "Michallet", "given" : "M", "non-dropping-particle" : "", "parse-names" : false, "suffix" : "" }, { "dropping-particle" : "", "family" : "Bertrand", "given" : "Y", "non-dropping-particle" : "", "parse-names" : false, "suffix" : "" }, { "dropping-particle" : "", "family" : "Soci\u00e9", "given" : "G", "non-dropping-particle" : "", "parse-names" : false, "suffix" : "" }, { "dropping-particle" : "", "family" : "Ionescu", "given" : "I", "non-dropping-particle" : "", "parse-names" : false, "suffix" : "" }, { "dropping-particle" : "", "family" : "Gluckman", "given" : "E", "non-dropping-particle" : "", "parse-names" : false, "suffix" : "" }, { "dropping-particle" : "", "family" : "Milpied", "given" : "N", "non-dropping-particle" : "", "parse-names" : false, "suffix" : "" }, { "dropping-particle" : "", "family" : "Rocha", "given" : "V", "non-dropping-particle" : "", "parse-names" : false, "suffix" : "" } ], "container-title" : "Bone Marrow Transplantation", "id" : "ITEM-1", "issue" : "2", "issued" : { "date-parts" : [ [ "2013", "2", "9" ] ] }, "page" : "253-256", "title" : "Incidence and risk factors of EBV reactivation after unrelated cord blood transplantation: a Eurocord and Soci\u00e9t\u00e9 Fran\u00e7aise de Greffe de Moelle-Therapie Cellulaire collaborative study", "type" : "article-journal", "volume" : "48" }, "uris" : [ "http://www.mendeley.com/documents/?uuid=d06272ba-d4eb-3a3f-bd38-c5bdfe4b1685" ] }, { "id" : "ITEM-2", "itemData" : { "DOI" : "10.1016/j.jcyt.2018.02.367", "ISSN" : "14653249", "abstract" : "BACKGROUND\nPost-transplant lymphoproliferative disorder (PTLD) is a potentially fatal complication of allogeneic hematopoietic cell transplantation (HCT). Epstein-Barr virus (EBV) reactivation (detectable DNAemia) predisposes to the development of PTLD. \n\nMETHODS\nWe retrospectively studied 306 patients monitored for EBV DNAemia after Thymoglobulin-conditioned HCT to determine the utility of the monitoring in the management of PTLD. DNAemia was monitored weekly for \u226512 weeks post-transplantation. \n\nRESULTS\nReactivation was detected in 82% of patients. PTLD occurred in 14% of the total patients (17% of patients with reactivation). PTLD was treated with rituximab only when and if the diagnosis was established. This allowed us to evaluate potential DNAemia thresholds for pre-emptive therapy. We suggest 100,000\u2013500,000\u2009IU per mL whole blood as this would result in unnecessary rituximab administration to only 4\u201320% of patients and near zero mortality due to PTLD. After starting rituximab (for diagnosed PTLD), sustained regression of PTLD occurred in 25/25 (100%) patients in whom DNAemia became undetectable. PTLD progressed or relapsed in 12/17 (71%) patients in whom DNAemia was persistently detectable. \n\nDISCUSSION\nIn conclusion, for pre-emptive therapy of PTLD, we suggest threshold DNAemia of 100,000\u2013500,000\u2009IU/mL. Persistently detectable DNAemia after PTLD treatment with rituximab appears to have 71% positive predictive value and 100% negative predictive value for PTLD progression/relapse.", "author" : [ { "dropping-particle" : "", "family" : "Kalra", "given" : "Amit", "non-dropping-particle" : "", "parse-names" : false, "suffix" : "" }, { "dropping-particle" : "", "family" : "Roessner", "given" : "Cameron", "non-dropping-particle" : "", "parse-names" : false, "suffix" : "" }, { "dropping-particle" : "", "family" : "Jupp", "given" : "Jennifer", "non-dropping-particle" : "", "parse-names" : false, "suffix" : "" }, { "dropping-particle" : "", "family" : "Williamson", "given" : "Tyler", "non-dropping-particle" : "", "parse-names" : false, "suffix" : "" }, { "dropping-particle" : "", "family" : "Tellier", "given" : "Raymond", "non-dropping-particle" : "", "parse-names" : false, "suffix" : "" }, { "dropping-particle" : "", "family" : "Chaudhry", "given" : "Ahsan", "non-dropping-particle" : "", "parse-names" : false, "suffix" : "" }, { "dropping-particle" : "", "family" : "Khan", "given" : "Faisal", "non-dropping-particle" : "", "parse-names" : false, "suffix" : "" }, { "dropping-particle" : "", "family" : "Taparia", "given" : "Minakshi", "non-dropping-particle" : "", "parse-names" : false, "suffix" : "" }, { "dropping-particle" : "", "family" : "Jimenez-Zepeda", "given" : "Victor H.", "non-dropping-particle" : "", "parse-names" : false, "suffix" : "" }, { "dropping-particle" : "", "family" : "Stewart", "given" : "Douglas A.", "non-dropping-particle" : "", "parse-names" : false, "suffix" : "" }, { "dropping-particle" : "", "family" : "Daly", "given" : "Andrew", "non-dropping-particle" : "", "parse-names" : false, "suffix" : "" }, { "dropping-particle" : "", "family" : "Storek", "given" : "Jan", "non-dropping-particle" : "", "parse-names" : false, "suffix" : "" } ], "container-title" : "Cytotherapy", "id" : "ITEM-2", "issued" : { "date-parts" : [ [ "2018", "3" ] ] }, "title" : "Epstein-barr virus DNAemia monitoring for the management of post-transplant lymphoproliferative disorder", "type" : "article-journal" }, "uris" : [ "http://www.mendeley.com/documents/?uuid=0f137a2b-f30c-30d4-aeda-30e31a1d4232" ] } ], "mendeley" : { "formattedCitation" : "&lt;sup&gt;67,68&lt;/sup&gt;", "plainTextFormattedCitation" : "67,68", "previouslyFormattedCitation" : "&lt;sup&gt;67,68&lt;/sup&gt;"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71,72</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0C30DD" w:rsidRPr="001E48D5" w:rsidRDefault="000C30DD" w:rsidP="007A67C3">
      <w:pPr>
        <w:spacing w:after="0" w:line="360" w:lineRule="auto"/>
        <w:ind w:firstLineChars="200" w:firstLine="480"/>
        <w:jc w:val="both"/>
        <w:rPr>
          <w:rFonts w:ascii="Book Antiqua" w:hAnsi="Book Antiqua" w:cs="Segoe UI"/>
          <w:color w:val="000000"/>
          <w:sz w:val="24"/>
          <w:szCs w:val="24"/>
          <w:lang w:eastAsia="zh-CN"/>
        </w:rPr>
      </w:pPr>
    </w:p>
    <w:p w:rsidR="00FA07B4" w:rsidRPr="001E48D5" w:rsidRDefault="000C30DD"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
          <w:bCs/>
          <w:i/>
          <w:color w:val="000000"/>
          <w:sz w:val="24"/>
          <w:szCs w:val="24"/>
        </w:rPr>
        <w:t>Human adenoviruses</w:t>
      </w:r>
    </w:p>
    <w:p w:rsidR="00FA07B4" w:rsidRPr="001E48D5" w:rsidRDefault="009108A0" w:rsidP="007A67C3">
      <w:pPr>
        <w:spacing w:after="0" w:line="360" w:lineRule="auto"/>
        <w:jc w:val="both"/>
        <w:rPr>
          <w:rFonts w:ascii="Book Antiqua" w:hAnsi="Book Antiqua" w:cs="Segoe UI"/>
          <w:b/>
          <w:bCs/>
          <w:i/>
          <w:color w:val="000000"/>
          <w:sz w:val="24"/>
          <w:szCs w:val="24"/>
          <w:lang w:eastAsia="zh-CN"/>
        </w:rPr>
      </w:pPr>
      <w:r w:rsidRPr="001E48D5">
        <w:rPr>
          <w:rFonts w:ascii="Book Antiqua" w:eastAsia="Times New Roman" w:hAnsi="Book Antiqua" w:cs="Segoe UI"/>
          <w:bCs/>
          <w:color w:val="000000"/>
          <w:sz w:val="24"/>
          <w:szCs w:val="24"/>
        </w:rPr>
        <w:t>Human adenoviruses (AVs)</w:t>
      </w:r>
      <w:r w:rsidR="00FA07B4" w:rsidRPr="001E48D5">
        <w:rPr>
          <w:rFonts w:ascii="Book Antiqua" w:eastAsia="Times New Roman" w:hAnsi="Book Antiqua" w:cs="Segoe UI"/>
          <w:color w:val="000000"/>
          <w:sz w:val="24"/>
          <w:szCs w:val="24"/>
        </w:rPr>
        <w:t xml:space="preserve"> are non-enveloped double-stranded DNA viruses that belong to the Adenoviridae family. AVs are divided into six subgroups (A through G) based on common biologic, immunologic, morphologic and genetic </w:t>
      </w:r>
      <w:proofErr w:type="gramStart"/>
      <w:r w:rsidR="00FA07B4" w:rsidRPr="001E48D5">
        <w:rPr>
          <w:rFonts w:ascii="Book Antiqua" w:eastAsia="Times New Roman" w:hAnsi="Book Antiqua" w:cs="Segoe UI"/>
          <w:color w:val="000000"/>
          <w:sz w:val="24"/>
          <w:szCs w:val="24"/>
        </w:rPr>
        <w:t>features</w:t>
      </w:r>
      <w:r w:rsidR="00FA07B4" w:rsidRPr="001E48D5">
        <w:rPr>
          <w:rFonts w:ascii="Book Antiqua" w:eastAsia="Times New Roman" w:hAnsi="Book Antiqua" w:cs="Segoe UI"/>
          <w:color w:val="000000"/>
          <w:sz w:val="24"/>
          <w:szCs w:val="24"/>
          <w:vertAlign w:val="superscript"/>
        </w:rPr>
        <w:t>[</w:t>
      </w:r>
      <w:proofErr w:type="gramEnd"/>
      <w:r w:rsidR="00FA07B4" w:rsidRPr="001E48D5">
        <w:rPr>
          <w:rFonts w:ascii="Book Antiqua" w:eastAsia="Times New Roman" w:hAnsi="Book Antiqua" w:cs="Segoe UI"/>
          <w:color w:val="000000"/>
          <w:sz w:val="24"/>
          <w:szCs w:val="24"/>
          <w:vertAlign w:val="superscript"/>
        </w:rPr>
        <w:t>73]</w:t>
      </w:r>
      <w:r w:rsidR="00FA07B4"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eastAsia="Times New Roman" w:hAnsi="Book Antiqua" w:cs="Segoe UI"/>
          <w:color w:val="000000"/>
          <w:sz w:val="24"/>
          <w:szCs w:val="24"/>
        </w:rPr>
      </w:pPr>
      <w:r w:rsidRPr="001E48D5">
        <w:rPr>
          <w:rFonts w:ascii="Book Antiqua" w:eastAsia="Times New Roman" w:hAnsi="Book Antiqua" w:cs="Segoe UI"/>
          <w:color w:val="000000"/>
          <w:sz w:val="24"/>
          <w:szCs w:val="24"/>
        </w:rPr>
        <w:t>In immunocompetent individuals, AV primary infection is mostly subclinical and self-limiting, although some severe courses have been described</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"10.1128/CMR.00116-13", "ISSN" : "0893-8512", "PMID" : "24982316", "abstract" : "Human adenoviruses (HAdVs) are an important cause of infections in both immunocompetent and immunocompromised individuals, and they continue to provide clinical challenges pertaining to diagnostics and treatment. The growing number of HAdV types identified by genomic analysis, as well as the improved understanding of the sites of viral persistence and reactivation, requires continuous adaptions of diagnostic approaches to facilitate timely detection and monitoring of HAdV infections. In view of the clinical relevance of life-threatening HAdV diseases in the immunocompromised setting, there is an urgent need for highly effective treatment modalities lacking major side effects. The present review summarizes the recent progress in the understanding and management of HAdV infections.", "author" : [ { "dropping-particle" : "", "family" : "Lion", "given" : "T.", "non-dropping-particle" : "", "parse-names" : false, "suffix" : "" } ], "container-title" : "Clinical Microbiology Reviews", "id" : "ITEM-1", "issue" : "3", "issued" : { "date-parts" : [ [ "2014", "7", "1" ] ] }, "page" : "441-462", "title" : "Adenovirus Infections in Immunocompetent and Immunocompromised Patients", "type" : "article-journal", "volume" : "27" }, "uris" : [ "http://www.mendeley.com/documents/?uuid=65672ab6-c051-349d-9b17-873f8df1a7f8" ] } ], "mendeley" : { "formattedCitation" : "&lt;sup&gt;70&lt;/sup&gt;", "plainTextFormattedCitation" : "70", "previouslyFormattedCitation" : "&lt;sup&gt;70&lt;/sup&gt;"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74</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 However, AV infection is more clinically important in patients with impaired immunity, particularly in HSCT patients and causes fatal complications. It is also more common to children than adults following the HSCT. In this regard, two studies compared the rates of AV isolation in children and adults after BMT and found 21% and 23% of children to be positive compared with 9% in adults, respectively</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"10.1038/sj.bmt.1702716", "ISSN" : "0268-3369", "PMID" : "11223974", "abstract" : "We conducted a retrospective review of the clinical features and outcome of adenovirus infection in 572 consecutive patients transplanted in a single centre over a 10 year period. One hundred patients (17%) had a total of 105 episodes of adenovirus infection diagnosed at a median of 18 days post transplant (range 2-150 days). The incidence was higher in children than adults (21% vs 9%, P &lt; 0.001) and in unrelated donor vs matched sibling donor transplants (26% vs 9%, P &lt; 0.001). Diarrhoea and fever were the most common presenting features. Reflecting these symptoms, the most common site of isolation was the stool. Serotypes 1, 2 and 7 were the most frequently seen (total of 41/68 or 60% of evaluable cases). In six patients (6%) adenovirus infection was the direct cause of death occurring at a median of 72 days post transplant (range 18-365 days). Five of these six patients had pulmonary involvement and four had associated graft-versus-host disease (GVHD). Three further patients were considered to have severe adenoviral disease (total incidence 9%). Isolation of virus from multiple sites correlated with a poor outcome (P &lt; 0.001). Comorbid viral infection was common in this group with 50% of all patients having other viruses isolated (predominantly polyoma virus and cytomegalovirus). We conclude that adenovirus is commonly isolated after bone marrow transplant and is a cause of significant morbidity but was a rare cause of mortality (6/572 = 1%) in our patient group as a whole. The relative infrequency of severe infection will make it difficult for the transplant physician to decide which patients should receive experimental antiviral drugs such as ribavirin and cidofovir or immunomodulatory therapy with donor white cell infusions.", "author" : [ { "dropping-particle" : "", "family" : "Baldwin", "given" : "A", "non-dropping-particle" : "", "parse-names" : false, "suffix" : "" }, { "dropping-particle" : "", "family" : "Kingman", "given" : "H", "non-dropping-particle" : "", "parse-names" : false, "suffix" : "" }, { "dropping-particle" : "", "family" : "Darville", "given" : "M", "non-dropping-particle" : "", "parse-names" : false, "suffix" : "" }, { "dropping-particle" : "", "family" : "Foot", "given" : "ABM", "non-dropping-particle" : "", "parse-names" : false, "suffix" : "" }, { "dropping-particle" : "", "family" : "Grier", "given" : "D", "non-dropping-particle" : "", "parse-names" : false, "suffix" : "" }, { "dropping-particle" : "", "family" : "Cornish", "given" : "JM", "non-dropping-particle" : "", "parse-names" : false, "suffix" : "" }, { "dropping-particle" : "", "family" : "Goulden", "given" : "N", "non-dropping-particle" : "", "parse-names" : false, "suffix" : "" }, { "dropping-particle" : "", "family" : "Oakhill", "given" : "A", "non-dropping-particle" : "", "parse-names" : false, "suffix" : "" }, { "dropping-particle" : "", "family" : "Pamphilon", "given" : "DH", "non-dropping-particle" : "", "parse-names" : false, "suffix" : "" }, { "dropping-particle" : "", "family" : "Steward", "given" : "CG", "non-dropping-particle" : "", "parse-names" : false, "suffix" : "" }, { "dropping-particle" : "", "family" : "Marks", "given" : "DI", "non-dropping-particle" : "", "parse-names" : false, "suffix" : "" } ], "container-title" : "Bone Marrow Transplantation", "id" : "ITEM-1", "issue" : "12", "issued" : { "date-parts" : [ [ "2000", "12", "11" ] ] }, "page" : "1333-1338", "title" : "Outcome and clinical course of 100 patients with adenovirus infection following bone marrow transplantation", "type" : "article-journal", "volume" : "26" }, "uris" : [ "http://www.mendeley.com/documents/?uuid=6436cd7f-1528-3140-9ddc-2876df2d4ee7" ] }, { "id" : "ITEM-2", "itemData" : { "DOI" : "10.1086/313514", "ISSN" : "1537-6591", "author" : [ { "dropping-particle" : "", "family" : "Howard", "given" : "Dianna S.", "non-dropping-particle" : "", "parse-names" : false, "suffix" : "" }, { "dropping-particle" : "", "family" : "Phillips", "given" : "Gordon L.", "non-dropping-particle" : "", "parse-names" : false, "suffix" : "" }, { "dropping-particle" : "", "family" : "Reece", "given" : "Donna E.", "non-dropping-particle" : "", "parse-names" : false, "suffix" : "" }, { "dropping-particle" : "", "family" : "Munn", "given" : "Rita K.", "non-dropping-particle" : "", "parse-names" : false, "suffix" : "" }, { "dropping-particle" : "", "family" : "Henslee-Downey", "given" : "Jean", "non-dropping-particle" : "", "parse-names" : false, "suffix" : "" }, { "dropping-particle" : "", "family" : "Pittard", "given" : "Melissa", "non-dropping-particle" : "", "parse-names" : false, "suffix" : "" }, { "dropping-particle" : "", "family" : "Barker", "given" : "Matthew", "non-dropping-particle" : "", "parse-names" : false, "suffix" : "" }, { "dropping-particle" : "", "family" : "Pomeroy", "given" : "Claire", "non-dropping-particle" : "", "parse-names" : false, "suffix" : "" } ], "container-title" : "Clinical Infectious Diseases", "id" : "ITEM-2", "issue" : "6", "issued" : { "date-parts" : [ [ "1999", "12", "1" ] ] }, "page" : "1494-1501", "publisher" : "Oxford University Press", "title" : "Adenovirus Infections in Hematopoietic Stem Cell Transplant Recipients", "type" : "article-journal", "volume" : "29" }, "uris" : [ "http://www.mendeley.com/documents/?uuid=20ff5ce1-75d1-3380-9e96-3e7eacadf492" ] } ], "mendeley" : { "formattedCitation" : "&lt;sup&gt;71,72&lt;/sup&gt;", "plainTextFormattedCitation" : "71,72", "previouslyFormattedCitation" : "&lt;sup&gt;71,72&lt;/sup&gt;"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75,76</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In the allogeneic HSCT setting, AV infection can arise from </w:t>
      </w:r>
      <w:r w:rsidRPr="001E48D5">
        <w:rPr>
          <w:rFonts w:ascii="Book Antiqua" w:eastAsia="Times New Roman" w:hAnsi="Book Antiqua" w:cs="Segoe UI"/>
          <w:i/>
          <w:color w:val="000000"/>
          <w:sz w:val="24"/>
          <w:szCs w:val="24"/>
        </w:rPr>
        <w:t>de novo</w:t>
      </w:r>
      <w:r w:rsidRPr="001E48D5">
        <w:rPr>
          <w:rFonts w:ascii="Book Antiqua" w:eastAsia="Times New Roman" w:hAnsi="Book Antiqua" w:cs="Segoe UI"/>
          <w:color w:val="000000"/>
          <w:sz w:val="24"/>
          <w:szCs w:val="24"/>
        </w:rPr>
        <w:t xml:space="preserve"> infection or reactivation of the latent end</w:t>
      </w:r>
      <w:r w:rsidR="000C30DD" w:rsidRPr="001E48D5">
        <w:rPr>
          <w:rFonts w:ascii="Book Antiqua" w:eastAsia="Times New Roman" w:hAnsi="Book Antiqua" w:cs="Segoe UI"/>
          <w:color w:val="000000"/>
          <w:sz w:val="24"/>
          <w:szCs w:val="24"/>
        </w:rPr>
        <w:t xml:space="preserve">ogenous virus. </w:t>
      </w:r>
      <w:r w:rsidRPr="001E48D5">
        <w:rPr>
          <w:rFonts w:ascii="Book Antiqua" w:eastAsia="Times New Roman" w:hAnsi="Book Antiqua" w:cs="Segoe UI"/>
          <w:i/>
          <w:color w:val="000000"/>
          <w:sz w:val="24"/>
          <w:szCs w:val="24"/>
        </w:rPr>
        <w:t>De novo</w:t>
      </w:r>
      <w:r w:rsidRPr="001E48D5">
        <w:rPr>
          <w:rFonts w:ascii="Book Antiqua" w:eastAsia="Times New Roman" w:hAnsi="Book Antiqua" w:cs="Segoe UI"/>
          <w:color w:val="000000"/>
          <w:sz w:val="24"/>
          <w:szCs w:val="24"/>
        </w:rPr>
        <w:t xml:space="preserve"> infection can occur by transmission of the exogenous virus in D+/R− pairs. In this context, previous studies have demonstrated the 4-fold higher risk of primary AV infections in patients that received HSC graft from seropositive donors compared to seronegative ones. However, reactivation of endogenous latent AV seems to be the main cause of AV-associated fatal complication in immunocompromised patients</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"DOI" : "10.1128/CMR.00116-13", "ISSN" : "0893-8512", "PMID" : "24982316", "abstract" : "Human adenoviruses (HAdVs) are an important cause of infections in both immunocompetent and immunocompromised individuals, and they continue to provide clinical challenges pertaining to diagnostics and treatment. The growing number of HAdV types identified by genomic analysis, as well as the improved understanding of the sites of viral persistence and reactivation, requires continuous adaptions of diagnostic approaches to facilitate timely detection and monitoring of HAdV infections. In view of the clinical relevance of life-threatening HAdV diseases in the immunocompromised setting, there is an urgent need for highly effective treatment modalities lacking major side effects. The present review summarizes the recent progress in the understanding and management of HAdV infections.", "author" : [ { "dropping-particle" : "", "family" : "Lion", "given" : "T.", "non-dropping-particle" : "", "parse-names" : false, "suffix" : "" } ], "container-title" : "Clinical Microbiology Reviews", "id" : "ITEM-1", "issue" : "3", "issued" : { "date-parts" : [ [ "2014", "7", "1" ] ] }, "page" : "441-462", "title" : "Adenovirus Infections in Immunocompetent and Immunocompromised Patients", "type" : "article-journal", "volume" : "27" }, "uris" : [ "http://www.mendeley.com/documents/?uuid=65672ab6-c051-349d-9b17-873f8df1a7f8" ] }, { "id" : "ITEM-2", "itemData" : { "DOI" : "10.1038/sj.bmt.1703083", "ISBN" : "0268-3369", "ISSN" : "02683369", "PMID" : "11498744", "abstract" : "The incidence of adenovirus (AV) infections following SCT was determined in a prospective multicenter trial. Over 1 year, 130 consecutive patients undergoing allogeneic SCT at Essen University Hospital were included and followed for 6 months. Source of stem cells was blood in 68 cases. Fifty-eight patients had HLA-identical sibling donors. Throat swabs, urine and stool samples were screened weekly for AV antigen and DNA by ELISA and nested PCR, respectively. In 35 cases adenovirus infection was detected. There was no seasonal variation. Throat swabs were positive in 24, urine in 12, and stool in 11 cases, resulting in a cumulative risk of infection of 29%. The incidences of AV infection of the respiratory, gastrointestinal and urinary tract were 19%, 10%, and 9%, respectively, and infections were diagnosed after a median (range) interval of 44 (-2-179), 37 (-2-168), and 53 (17-153) days after transplantation. On multivariate analysis, presence of AV antibody in the donor and acute graft-versus-host disease grade IV were found to be independent risk factors for AV infection. Eleven patients had AV isolated from more than one site and five patients had probable AV disease. We were not able to identify patients in whom AV infection was the leading cause of death. The majority of patients infected with AV suffered from severe acute graft-versus-host disease often accompanied by other opportunistic infections, such as aspergillosis or CMV reactivation. Nineteen out of 36 patients who died during the observation period had AV infection. In summary, AV infection after allogeneic SCT was observed in a substantial number of patients. In addition to well-known risk factors for viral infection after SCT we were able to demonstrate that a positive AV antibody test in the donor is an important risk factor for AV infection. Further studies are needed, however, before final conclusions on the clinical sequelae of AV infection can be made and the role of preventive and therapeutic strategies toward AV infection after allogeneic SCT can be defined.", "author" : [ { "dropping-particle" : "", "family" : "Runde", "given" : "V.", "non-dropping-particle" : "", "parse-names" : false, "suffix" : "" }, { "dropping-particle" : "", "family" : "Ross", "given" : "S.", "non-dropping-particle" : "", "parse-names" : false, "suffix" : "" }, { "dropping-particle" : "", "family" : "Trenschel", "given" : "R.", "non-dropping-particle" : "", "parse-names" : false, "suffix" : "" }, { "dropping-particle" : "", "family" : "Lagemann", "given" : "E.", "non-dropping-particle" : "", "parse-names" : false, "suffix" : "" }, { "dropping-particle" : "", "family" : "Basu", "given" : "O.", "non-dropping-particle" : "", "parse-names" : false, "suffix" : "" }, { "dropping-particle" : "", "family" : "Renzing-K\u00f6hler", "given" : "K.", "non-dropping-particle" : "", "parse-names" : false, "suffix" : "" }, { "dropping-particle" : "", "family" : "Schaefer", "given" : "U. W.", "non-dropping-particle" : "", "parse-names" : false, "suffix" : "" }, { "dropping-particle" : "", "family" : "Roggendorf", "given" : "M.", "non-dropping-particle" : "", "parse-names" : false, "suffix" : "" }, { "dropping-particle" : "", "family" : "Holler", "given" : "E.", "non-dropping-particle" : "", "parse-names" : false, "suffix" : "" } ], "container-title" : "Bone Marrow Transplantation", "id" : "ITEM-2", "issue" : "1", "issued" : { "date-parts" : [ [ "2001" ] ] }, "page" : "51-57", "title" : "Adenoviral infection after allogeneic stem cell transplantation (SCT): Report on 130 patients from a single SCT unit involved in a prospective multi center surveillance study", "type" : "article-journal", "volume" : "28" }, "uris" : [ "http://www.mendeley.com/documents/?uuid=cf7f0df7-2c84-47ba-b434-5a00fceb72b0" ] }, { "id" : "ITEM-3", "itemData" : { "DOI" : "10.1016/S1473-3099(03)00515-2", "ISSN" : "1473-3099", "PMID" : "12560192", "abstract" : "Adenovirus is increasingly being recognised as a significant pathogen in children following bone marrow transplantation. The virus is endemic in the general paediatric population, and frequently causes severe disease in immunocompromised patients, especially children. Immune responses to adenovirus infection are not fully understood but T-cell responses appear to be important for recovery. Infections can affect a variety of organs with gastrointestinal and urinary tract diseases being the most common. When disseminated infection occurs, reported mortality rates are as high as 60%. The responses to treatment in immunocompromised patients have generally been disappointing. New molecular diagnostic techniques have meant that adenoviral infections can now be detected early, often before symptoms have developed. Clinicians now screen for adenovirus infection to allow early initiation of treatment. It is hoped that this approach, together with effective antiviral therapy, will reduce the deaths from this common virus in high-risk children.", "author" : [ { "dropping-particle" : "", "family" : "Walls", "given" : "Tony", "non-dropping-particle" : "", "parse-names" : false, "suffix" : "" }, { "dropping-particle" : "", "family" : "Shankar", "given" : "A G", "non-dropping-particle" : "", "parse-names" : false, "suffix" : "" }, { "dropping-particle" : "", "family" : "Shingadia", "given" : "Delane", "non-dropping-particle" : "", "parse-names" : false, "suffix" : "" } ], "container-title" : "The Lancet. Infectious diseases", "id" : "ITEM-3", "issue" : "2", "issued" : { "date-parts" : [ [ "2003", "2" ] ] }, "page" : "79-86", "title" : "Adenovirus: an increasingly important pathogen in paediatric bone marrow transplant patients.", "type" : "article-journal", "volume" : "3" }, "uris" : [ "http://www.mendeley.com/documents/?uuid=170f62fd-1812-3798-ad43-d02c10d41aeb" ] } ], "mendeley" : { "formattedCitation" : "&lt;sup&gt;70,73,74&lt;/sup&gt;", "plainTextFormattedCitation" : "70,73,74", "previouslyFormattedCitation" : "&lt;sup&gt;70,73,74&lt;/sup&gt;"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74,77,78</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000C30DD" w:rsidRPr="001E48D5">
        <w:rPr>
          <w:rFonts w:ascii="Book Antiqua" w:eastAsia="Times New Roman" w:hAnsi="Book Antiqua" w:cs="Segoe UI"/>
          <w:color w:val="000000"/>
          <w:sz w:val="24"/>
          <w:szCs w:val="24"/>
        </w:rPr>
        <w:t>.</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lastRenderedPageBreak/>
        <w:t xml:space="preserve">Main risk factors predisposing an invasive AV infection include childhood, donor AV </w:t>
      </w:r>
      <w:proofErr w:type="spellStart"/>
      <w:r w:rsidRPr="001E48D5">
        <w:rPr>
          <w:rFonts w:ascii="Book Antiqua" w:eastAsia="Times New Roman" w:hAnsi="Book Antiqua" w:cs="Segoe UI"/>
          <w:color w:val="000000"/>
          <w:sz w:val="24"/>
          <w:szCs w:val="24"/>
        </w:rPr>
        <w:t>serostatus</w:t>
      </w:r>
      <w:proofErr w:type="spellEnd"/>
      <w:r w:rsidRPr="001E48D5">
        <w:rPr>
          <w:rFonts w:ascii="Book Antiqua" w:eastAsia="Times New Roman" w:hAnsi="Book Antiqua" w:cs="Segoe UI"/>
          <w:color w:val="000000"/>
          <w:sz w:val="24"/>
          <w:szCs w:val="24"/>
        </w:rPr>
        <w:t>, severe GVHD, HLA-mismatched transplantation, CMV viremia, and T-cell depletion. Furthermore, UCBT is suggested to be an independent risk factor for AV infection probably due to the lack of mature lymphocytes in CB, as cellular components of antiviral defense</w:t>
      </w:r>
      <w:r w:rsidRPr="001E48D5">
        <w:rPr>
          <w:rFonts w:ascii="Book Antiqua" w:eastAsia="Times New Roman" w:hAnsi="Book Antiqua" w:cs="Segoe UI"/>
          <w:color w:val="000000"/>
          <w:sz w:val="24"/>
          <w:szCs w:val="24"/>
          <w:vertAlign w:val="superscript"/>
        </w:rPr>
        <w:t>[</w:t>
      </w:r>
      <w:r w:rsidRPr="001E48D5">
        <w:rPr>
          <w:rFonts w:ascii="Book Antiqua" w:eastAsia="Times New Roman" w:hAnsi="Book Antiqua" w:cs="Segoe UI"/>
          <w:color w:val="000000"/>
          <w:sz w:val="24"/>
          <w:szCs w:val="24"/>
        </w:rPr>
        <w:fldChar w:fldCharType="begin" w:fldLock="1"/>
      </w:r>
      <w:r w:rsidRPr="001E48D5">
        <w:rPr>
          <w:rFonts w:ascii="Book Antiqua" w:eastAsia="Times New Roman" w:hAnsi="Book Antiqua" w:cs="Segoe UI"/>
          <w:color w:val="000000"/>
          <w:sz w:val="24"/>
          <w:szCs w:val="24"/>
        </w:rPr>
        <w:instrText>ADDIN CSL_CITATION { "citationItems" : [ { "id" : "ITEM-1", "itemData" : { "ISSN" : "1592-8721", "PMID" : "17666361", "abstract" : "We analyzed the factors and outcome of patients with disseminated adenovirus infection (dAdV) after allogeneic hematopoeitic stem cell transplantation (HSCT). Thirty patients with dAdV were identified among 620 allogeneic HSCT recipients. Primary diseases were leukemia (n=17), Fanconi anemia (n=12) or others (n=1). Source of stem cells was unrelated in 28 and related in 2 patients. The graft consisted of peripheral blood (n=3), bone marrow (n=12) and unrelated cord-blood (UCB, n=15). Risk factors for dAdV in unrelated HSCT recipients were previous Fanconi disease (p=0.03) and GVHD (p=0.02) in children, and cord blood source of stem cells (p=0.029) and GVHD (0.024) in adults.", "author" : [ { "dropping-particle" : "", "family" : "Robin", "given" : "Marie", "non-dropping-particle" : "", "parse-names" : false, "suffix" : "" }, { "dropping-particle" : "", "family" : "Marque-Juillet", "given" : "St\u00e9phanie", "non-dropping-particle" : "", "parse-names" : false, "suffix" : "" }, { "dropping-particle" : "", "family" : "Scieux", "given" : "Catherine", "non-dropping-particle" : "", "parse-names" : false, "suffix" : "" }, { "dropping-particle" : "", "family" : "Peffault de Latour", "given" : "R\u00e9gis", "non-dropping-particle" : "", "parse-names" : false, "suffix" : "" }, { "dropping-particle" : "", "family" : "Ferry", "given" : "Christ\u00e8le", "non-dropping-particle" : "", "parse-names" : false, "suffix" : "" }, { "dropping-particle" : "", "family" : "Rocha", "given" : "Vanderson", "non-dropping-particle" : "", "parse-names" : false, "suffix" : "" }, { "dropping-particle" : "", "family" : "Molina", "given" : "Jean-Michel", "non-dropping-particle" : "", "parse-names" : false, "suffix" : "" }, { "dropping-particle" : "", "family" : "Bergeron", "given" : "Anne", "non-dropping-particle" : "", "parse-names" : false, "suffix" : "" }, { "dropping-particle" : "", "family" : "Devergie", "given" : "Agn\u00e8s", "non-dropping-particle" : "", "parse-names" : false, "suffix" : "" }, { "dropping-particle" : "", "family" : "Gluckman", "given" : "Eliane", "non-dropping-particle" : "", "parse-names" : false, "suffix" : "" }, { "dropping-particle" : "", "family" : "Ribaud", "given" : "Patricia", "non-dropping-particle" : "", "parse-names" : false, "suffix" : "" }, { "dropping-particle" : "", "family" : "Soci\u00e9", "given" : "G\u00e9rard", "non-dropping-particle" : "", "parse-names" : false, "suffix" : "" } ], "container-title" : "Haematologica", "id" : "ITEM-1", "issue" : "9", "issued" : { "date-parts" : [ [ "2007", "9" ] ] }, "page" : "1254-7", "title" : "Disseminated adenovirus infections after allogeneic hematopoietic stem cell transplantation: incidence, risk factors and outcome.", "type" : "article-journal", "volume" : "92" }, "uris" : [ "http://www.mendeley.com/documents/?uuid=01641d64-2eb6-3681-912c-5575ca969b11" ] } ], "mendeley" : { "formattedCitation" : "&lt;sup&gt;75&lt;/sup&gt;", "plainTextFormattedCitation" : "75", "previouslyFormattedCitation" : "&lt;sup&gt;75&lt;/sup&gt;" }, "properties" : { "noteIndex" : 0 }, "schema" : "https://github.com/citation-style-language/schema/raw/master/csl-citation.json" }</w:instrText>
      </w:r>
      <w:r w:rsidRPr="001E48D5">
        <w:rPr>
          <w:rFonts w:ascii="Book Antiqua" w:eastAsia="Times New Roman" w:hAnsi="Book Antiqua" w:cs="Segoe UI"/>
          <w:color w:val="000000"/>
          <w:sz w:val="24"/>
          <w:szCs w:val="24"/>
        </w:rPr>
        <w:fldChar w:fldCharType="separate"/>
      </w:r>
      <w:r w:rsidRPr="001E48D5">
        <w:rPr>
          <w:rFonts w:ascii="Book Antiqua" w:eastAsia="Times New Roman" w:hAnsi="Book Antiqua" w:cs="Segoe UI"/>
          <w:noProof/>
          <w:color w:val="000000"/>
          <w:sz w:val="24"/>
          <w:szCs w:val="24"/>
          <w:vertAlign w:val="superscript"/>
        </w:rPr>
        <w:t>79</w:t>
      </w:r>
      <w:r w:rsidRPr="001E48D5">
        <w:rPr>
          <w:rFonts w:ascii="Book Antiqua" w:eastAsia="Times New Roman" w:hAnsi="Book Antiqua" w:cs="Segoe UI"/>
          <w:color w:val="000000"/>
          <w:sz w:val="24"/>
          <w:szCs w:val="24"/>
        </w:rPr>
        <w:fldChar w:fldCharType="end"/>
      </w:r>
      <w:r w:rsidRPr="001E48D5">
        <w:rPr>
          <w:rFonts w:ascii="Book Antiqua" w:eastAsia="Times New Roman" w:hAnsi="Book Antiqua" w:cs="Segoe UI"/>
          <w:color w:val="000000"/>
          <w:sz w:val="24"/>
          <w:szCs w:val="24"/>
          <w:vertAlign w:val="superscript"/>
        </w:rPr>
        <w:t>]</w:t>
      </w:r>
      <w:r w:rsidR="000C30DD" w:rsidRPr="001E48D5">
        <w:rPr>
          <w:rFonts w:ascii="Book Antiqua" w:eastAsia="Times New Roman" w:hAnsi="Book Antiqua" w:cs="Segoe UI"/>
          <w:color w:val="000000"/>
          <w:sz w:val="24"/>
          <w:szCs w:val="24"/>
        </w:rPr>
        <w:t>.</w:t>
      </w:r>
    </w:p>
    <w:p w:rsidR="00FA07B4" w:rsidRPr="001E48D5" w:rsidRDefault="000C30DD" w:rsidP="007A67C3">
      <w:pPr>
        <w:spacing w:after="0" w:line="360" w:lineRule="auto"/>
        <w:ind w:firstLineChars="200" w:firstLine="480"/>
        <w:jc w:val="both"/>
        <w:rPr>
          <w:rFonts w:ascii="Book Antiqua" w:eastAsia="Times New Roman" w:hAnsi="Book Antiqua" w:cs="Segoe UI"/>
          <w:color w:val="000000"/>
          <w:sz w:val="24"/>
          <w:szCs w:val="24"/>
        </w:rPr>
      </w:pPr>
      <w:proofErr w:type="spellStart"/>
      <w:r w:rsidRPr="001E48D5">
        <w:rPr>
          <w:rFonts w:ascii="Book Antiqua" w:eastAsia="Times New Roman" w:hAnsi="Book Antiqua" w:cs="Segoe UI"/>
          <w:color w:val="000000"/>
          <w:sz w:val="24"/>
          <w:szCs w:val="24"/>
        </w:rPr>
        <w:t>Runde</w:t>
      </w:r>
      <w:proofErr w:type="spellEnd"/>
      <w:r w:rsidRPr="001E48D5">
        <w:rPr>
          <w:rFonts w:ascii="Book Antiqua" w:eastAsia="Times New Roman" w:hAnsi="Book Antiqua" w:cs="Segoe UI"/>
          <w:color w:val="000000"/>
          <w:sz w:val="24"/>
          <w:szCs w:val="24"/>
        </w:rPr>
        <w:t xml:space="preserve"> </w:t>
      </w:r>
      <w:r w:rsidRPr="001E48D5">
        <w:rPr>
          <w:rFonts w:ascii="Book Antiqua" w:eastAsia="Times New Roman" w:hAnsi="Book Antiqua" w:cs="Segoe UI"/>
          <w:i/>
          <w:color w:val="000000"/>
          <w:sz w:val="24"/>
          <w:szCs w:val="24"/>
        </w:rPr>
        <w:t>et al</w:t>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fldChar w:fldCharType="begin" w:fldLock="1"/>
      </w:r>
      <w:r w:rsidR="00FA07B4" w:rsidRPr="001E48D5">
        <w:rPr>
          <w:rFonts w:ascii="Book Antiqua" w:eastAsia="Times New Roman" w:hAnsi="Book Antiqua" w:cs="Segoe UI"/>
          <w:color w:val="000000"/>
          <w:sz w:val="24"/>
          <w:szCs w:val="24"/>
        </w:rPr>
        <w:instrText>ADDIN CSL_CITATION { "citationItems" : [ { "id" : "ITEM-1", "itemData" : { "DOI" : "10.1038/sj.bmt.1703083", "ISBN" : "0268-3369", "ISSN" : "02683369", "PMID" : "11498744", "abstract" : "The incidence of adenovirus (AV) infections following SCT was determined in a prospective multicenter trial. Over 1 year, 130 consecutive patients undergoing allogeneic SCT at Essen University Hospital were included and followed for 6 months. Source of stem cells was blood in 68 cases. Fifty-eight patients had HLA-identical sibling donors. Throat swabs, urine and stool samples were screened weekly for AV antigen and DNA by ELISA and nested PCR, respectively. In 35 cases adenovirus infection was detected. There was no seasonal variation. Throat swabs were positive in 24, urine in 12, and stool in 11 cases, resulting in a cumulative risk of infection of 29%. The incidences of AV infection of the respiratory, gastrointestinal and urinary tract were 19%, 10%, and 9%, respectively, and infections were diagnosed after a median (range) interval of 44 (-2-179), 37 (-2-168), and 53 (17-153) days after transplantation. On multivariate analysis, presence of AV antibody in the donor and acute graft-versus-host disease grade IV were found to be independent risk factors for AV infection. Eleven patients had AV isolated from more than one site and five patients had probable AV disease. We were not able to identify patients in whom AV infection was the leading cause of death. The majority of patients infected with AV suffered from severe acute graft-versus-host disease often accompanied by other opportunistic infections, such as aspergillosis or CMV reactivation. Nineteen out of 36 patients who died during the observation period had AV infection. In summary, AV infection after allogeneic SCT was observed in a substantial number of patients. In addition to well-known risk factors for viral infection after SCT we were able to demonstrate that a positive AV antibody test in the donor is an important risk factor for AV infection. Further studies are needed, however, before final conclusions on the clinical sequelae of AV infection can be made and the role of preventive and therapeutic strategies toward AV infection after allogeneic SCT can be defined.", "author" : [ { "dropping-particle" : "", "family" : "Runde", "given" : "V.", "non-dropping-particle" : "", "parse-names" : false, "suffix" : "" }, { "dropping-particle" : "", "family" : "Ross", "given" : "S.", "non-dropping-particle" : "", "parse-names" : false, "suffix" : "" }, { "dropping-particle" : "", "family" : "Trenschel", "given" : "R.", "non-dropping-particle" : "", "parse-names" : false, "suffix" : "" }, { "dropping-particle" : "", "family" : "Lagemann", "given" : "E.", "non-dropping-particle" : "", "parse-names" : false, "suffix" : "" }, { "dropping-particle" : "", "family" : "Basu", "given" : "O.", "non-dropping-particle" : "", "parse-names" : false, "suffix" : "" }, { "dropping-particle" : "", "family" : "Renzing-K\u00f6hler", "given" : "K.", "non-dropping-particle" : "", "parse-names" : false, "suffix" : "" }, { "dropping-particle" : "", "family" : "Schaefer", "given" : "U. W.", "non-dropping-particle" : "", "parse-names" : false, "suffix" : "" }, { "dropping-particle" : "", "family" : "Roggendorf", "given" : "M.", "non-dropping-particle" : "", "parse-names" : false, "suffix" : "" }, { "dropping-particle" : "", "family" : "Holler", "given" : "E.", "non-dropping-particle" : "", "parse-names" : false, "suffix" : "" } ], "container-title" : "Bone Marrow Transplantation", "id" : "ITEM-1", "issue" : "1", "issued" : { "date-parts" : [ [ "2001" ] ] }, "page" : "51-57", "title" : "Adenoviral infection after allogeneic stem cell transplantation (SCT): Report on 130 patients from a single SCT unit involved in a prospective multi center surveillance study", "type" : "article-journal", "volume" : "28" }, "uris" : [ "http://www.mendeley.com/documents/?uuid=cf7f0df7-2c84-47ba-b434-5a00fceb72b0" ] } ], "mendeley" : { "formattedCitation" : "&lt;sup&gt;73&lt;/sup&gt;", "plainTextFormattedCitation" : "73" }, "properties" : { "noteIndex" : 0 }, "schema" : "https://github.com/citation-style-language/schema/raw/master/csl-citation.json" }</w:instrText>
      </w:r>
      <w:r w:rsidR="00FA07B4" w:rsidRPr="001E48D5">
        <w:rPr>
          <w:rFonts w:ascii="Book Antiqua" w:eastAsia="Times New Roman" w:hAnsi="Book Antiqua" w:cs="Segoe UI"/>
          <w:color w:val="000000"/>
          <w:sz w:val="24"/>
          <w:szCs w:val="24"/>
        </w:rPr>
        <w:fldChar w:fldCharType="separate"/>
      </w:r>
      <w:r w:rsidR="00FA07B4" w:rsidRPr="001E48D5">
        <w:rPr>
          <w:rFonts w:ascii="Book Antiqua" w:eastAsia="Times New Roman" w:hAnsi="Book Antiqua" w:cs="Segoe UI"/>
          <w:noProof/>
          <w:color w:val="000000"/>
          <w:sz w:val="24"/>
          <w:szCs w:val="24"/>
          <w:vertAlign w:val="superscript"/>
        </w:rPr>
        <w:t>77</w:t>
      </w:r>
      <w:r w:rsidR="00FA07B4" w:rsidRPr="001E48D5">
        <w:rPr>
          <w:rFonts w:ascii="Book Antiqua" w:eastAsia="Times New Roman" w:hAnsi="Book Antiqua" w:cs="Segoe UI"/>
          <w:color w:val="000000"/>
          <w:sz w:val="24"/>
          <w:szCs w:val="24"/>
        </w:rPr>
        <w:fldChar w:fldCharType="end"/>
      </w:r>
      <w:r w:rsidR="00FA07B4" w:rsidRPr="001E48D5">
        <w:rPr>
          <w:rFonts w:ascii="Book Antiqua" w:eastAsia="Times New Roman" w:hAnsi="Book Antiqua" w:cs="Segoe UI"/>
          <w:color w:val="000000"/>
          <w:sz w:val="24"/>
          <w:szCs w:val="24"/>
          <w:vertAlign w:val="superscript"/>
        </w:rPr>
        <w:t>]</w:t>
      </w:r>
      <w:r w:rsidR="00FA07B4" w:rsidRPr="001E48D5">
        <w:rPr>
          <w:rFonts w:ascii="Book Antiqua" w:eastAsia="Times New Roman" w:hAnsi="Book Antiqua" w:cs="Segoe UI"/>
          <w:color w:val="000000"/>
          <w:sz w:val="24"/>
          <w:szCs w:val="24"/>
        </w:rPr>
        <w:t xml:space="preserve"> studied the prevalence and risk factors of AV infection in </w:t>
      </w:r>
      <w:proofErr w:type="spellStart"/>
      <w:r w:rsidR="00FA07B4" w:rsidRPr="001E48D5">
        <w:rPr>
          <w:rFonts w:ascii="Book Antiqua" w:eastAsia="Times New Roman" w:hAnsi="Book Antiqua" w:cs="Segoe UI"/>
          <w:color w:val="000000"/>
          <w:sz w:val="24"/>
          <w:szCs w:val="24"/>
        </w:rPr>
        <w:t>allo</w:t>
      </w:r>
      <w:proofErr w:type="spellEnd"/>
      <w:r w:rsidR="00FA07B4" w:rsidRPr="001E48D5">
        <w:rPr>
          <w:rFonts w:ascii="Book Antiqua" w:eastAsia="Times New Roman" w:hAnsi="Book Antiqua" w:cs="Segoe UI"/>
          <w:color w:val="000000"/>
          <w:sz w:val="24"/>
          <w:szCs w:val="24"/>
        </w:rPr>
        <w:t>-HSCT recipients and showed that AV antibody status of the donor had a strong impact on the development of AV infection in the recipients. Their finding supports indirectly the hypothesis that AV infection following HSCT is not always the result of virus reactivation, and the virus might be transmitted by infected cells from AV seropositive donors to the recipients. This hypothesis is proved if the same AV is detected by molecular analyses in donors and corresponding recipients.</w:t>
      </w:r>
    </w:p>
    <w:p w:rsidR="00FA07B4" w:rsidRPr="001E48D5" w:rsidRDefault="00FA07B4" w:rsidP="007A67C3">
      <w:pPr>
        <w:spacing w:after="0" w:line="360" w:lineRule="auto"/>
        <w:ind w:firstLineChars="200" w:firstLine="480"/>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To the best of our knowledge, there are few studies that have focused on the risk of AV transmission by UCB transplant compared to other HSC sources. However, the presence of AV DNA positive cells besides naivety of T cells serves UCB as a putative source of AV infection in the immunocompromised re</w:t>
      </w:r>
      <w:r w:rsidR="000C30DD" w:rsidRPr="001E48D5">
        <w:rPr>
          <w:rFonts w:ascii="Book Antiqua" w:eastAsia="Times New Roman" w:hAnsi="Book Antiqua" w:cs="Segoe UI"/>
          <w:color w:val="000000"/>
          <w:sz w:val="24"/>
          <w:szCs w:val="24"/>
        </w:rPr>
        <w:t>cipients.</w:t>
      </w:r>
    </w:p>
    <w:p w:rsidR="000C30DD" w:rsidRPr="001E48D5" w:rsidRDefault="000C30DD" w:rsidP="007A67C3">
      <w:pPr>
        <w:spacing w:after="0" w:line="360" w:lineRule="auto"/>
        <w:jc w:val="both"/>
        <w:rPr>
          <w:rFonts w:ascii="Book Antiqua" w:hAnsi="Book Antiqua" w:cs="Segoe UI"/>
          <w:color w:val="000000"/>
          <w:sz w:val="24"/>
          <w:szCs w:val="24"/>
          <w:lang w:eastAsia="zh-CN"/>
        </w:rPr>
      </w:pPr>
    </w:p>
    <w:p w:rsidR="00FA07B4" w:rsidRPr="001E48D5" w:rsidRDefault="000C30DD" w:rsidP="007A67C3">
      <w:pPr>
        <w:spacing w:after="0" w:line="360" w:lineRule="auto"/>
        <w:jc w:val="both"/>
        <w:rPr>
          <w:rFonts w:ascii="Book Antiqua" w:hAnsi="Book Antiqua" w:cs="Segoe UI"/>
          <w:b/>
          <w:bCs/>
          <w:color w:val="000000"/>
          <w:sz w:val="24"/>
          <w:szCs w:val="24"/>
          <w:lang w:eastAsia="zh-CN"/>
        </w:rPr>
      </w:pPr>
      <w:r w:rsidRPr="001E48D5">
        <w:rPr>
          <w:rFonts w:ascii="Book Antiqua" w:eastAsia="Times New Roman" w:hAnsi="Book Antiqua" w:cs="Segoe UI"/>
          <w:b/>
          <w:bCs/>
          <w:color w:val="000000"/>
          <w:sz w:val="24"/>
          <w:szCs w:val="24"/>
        </w:rPr>
        <w:t>CONCLUSION</w:t>
      </w:r>
    </w:p>
    <w:p w:rsidR="00281B15" w:rsidRPr="001E48D5" w:rsidRDefault="00FA07B4" w:rsidP="007A67C3">
      <w:pPr>
        <w:spacing w:after="0" w:line="360" w:lineRule="auto"/>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The amount of threat for transmission of infections carried with allogeneic transplantation, notably of viruses, is largely unknown and difficult to assess. The approach to </w:t>
      </w:r>
      <w:proofErr w:type="spellStart"/>
      <w:r w:rsidRPr="001E48D5">
        <w:rPr>
          <w:rFonts w:ascii="Book Antiqua" w:eastAsia="Times New Roman" w:hAnsi="Book Antiqua" w:cs="Segoe UI"/>
          <w:color w:val="000000"/>
          <w:sz w:val="24"/>
          <w:szCs w:val="24"/>
        </w:rPr>
        <w:t>virological</w:t>
      </w:r>
      <w:proofErr w:type="spellEnd"/>
      <w:r w:rsidRPr="001E48D5">
        <w:rPr>
          <w:rFonts w:ascii="Book Antiqua" w:eastAsia="Times New Roman" w:hAnsi="Book Antiqua" w:cs="Segoe UI"/>
          <w:color w:val="000000"/>
          <w:sz w:val="24"/>
          <w:szCs w:val="24"/>
        </w:rPr>
        <w:t xml:space="preserve"> screening of UCB stem cell donors varies with national and regional regulations. Over recent years, UCBT has become a valuable alternative for patients who lack a suitably matched bone marrow donor. However, UCBT is associated with several limitations, in particular, the low number of mature lymphocytes and poor immune reconstitution. Given these limitations, virus transmission </w:t>
      </w:r>
      <w:r w:rsidRPr="001E48D5">
        <w:rPr>
          <w:rFonts w:ascii="Book Antiqua" w:eastAsia="Times New Roman" w:hAnsi="Book Antiqua" w:cs="Segoe UI"/>
          <w:i/>
          <w:color w:val="000000"/>
          <w:sz w:val="24"/>
          <w:szCs w:val="24"/>
        </w:rPr>
        <w:t>via</w:t>
      </w:r>
      <w:r w:rsidRPr="001E48D5">
        <w:rPr>
          <w:rFonts w:ascii="Book Antiqua" w:eastAsia="Times New Roman" w:hAnsi="Book Antiqua" w:cs="Segoe UI"/>
          <w:color w:val="000000"/>
          <w:sz w:val="24"/>
          <w:szCs w:val="24"/>
        </w:rPr>
        <w:t xml:space="preserve"> UCB may cause serious infectious complication in the immunocompromised recipients, and therefore, excluding the viral-contaminated UCB units might be an effective policy to reduce the rate of UCBT-related infection and mortality. Taken together, complete prevention of the transmission of donor-derived </w:t>
      </w:r>
      <w:r w:rsidRPr="001E48D5">
        <w:rPr>
          <w:rFonts w:ascii="Book Antiqua" w:eastAsia="Times New Roman" w:hAnsi="Book Antiqua" w:cs="Segoe UI"/>
          <w:color w:val="000000"/>
          <w:sz w:val="24"/>
          <w:szCs w:val="24"/>
        </w:rPr>
        <w:lastRenderedPageBreak/>
        <w:t xml:space="preserve">viral pathogens in </w:t>
      </w:r>
      <w:r w:rsidR="004524C8" w:rsidRPr="001E48D5">
        <w:rPr>
          <w:rFonts w:ascii="Book Antiqua" w:hAnsi="Book Antiqua" w:cs="Segoe UI"/>
          <w:color w:val="000000"/>
          <w:sz w:val="24"/>
          <w:szCs w:val="24"/>
          <w:lang w:eastAsia="zh-CN"/>
        </w:rPr>
        <w:t>SCT</w:t>
      </w:r>
      <w:r w:rsidRPr="001E48D5">
        <w:rPr>
          <w:rFonts w:ascii="Book Antiqua" w:eastAsia="Times New Roman" w:hAnsi="Book Antiqua" w:cs="Segoe UI"/>
          <w:color w:val="000000"/>
          <w:sz w:val="24"/>
          <w:szCs w:val="24"/>
        </w:rPr>
        <w:t xml:space="preserve"> is not possible. However, having the knowledge of the transmission route and the prevalence of viruses will improve the safety of transplantation.</w:t>
      </w:r>
    </w:p>
    <w:p w:rsidR="00620171" w:rsidRPr="001E48D5" w:rsidRDefault="00620171" w:rsidP="007A67C3">
      <w:pPr>
        <w:spacing w:after="0" w:line="360" w:lineRule="auto"/>
        <w:jc w:val="both"/>
        <w:rPr>
          <w:rFonts w:ascii="Book Antiqua" w:eastAsia="Times New Roman" w:hAnsi="Book Antiqua" w:cs="Segoe UI"/>
          <w:b/>
          <w:bCs/>
          <w:color w:val="000000"/>
          <w:sz w:val="24"/>
          <w:szCs w:val="24"/>
        </w:rPr>
      </w:pPr>
      <w:r w:rsidRPr="001E48D5">
        <w:rPr>
          <w:rFonts w:ascii="Book Antiqua" w:eastAsia="Times New Roman" w:hAnsi="Book Antiqua" w:cs="Segoe UI"/>
          <w:b/>
          <w:bCs/>
          <w:color w:val="000000"/>
          <w:sz w:val="24"/>
          <w:szCs w:val="24"/>
        </w:rPr>
        <w:br w:type="page"/>
      </w:r>
    </w:p>
    <w:p w:rsidR="00FA07B4" w:rsidRPr="001E48D5" w:rsidRDefault="00620171" w:rsidP="007A67C3">
      <w:pPr>
        <w:spacing w:after="0" w:line="360" w:lineRule="auto"/>
        <w:jc w:val="both"/>
        <w:rPr>
          <w:rFonts w:ascii="Book Antiqua" w:hAnsi="Book Antiqua" w:cs="Segoe UI"/>
          <w:b/>
          <w:bCs/>
          <w:color w:val="000000"/>
          <w:sz w:val="24"/>
          <w:szCs w:val="24"/>
          <w:lang w:eastAsia="zh-CN"/>
        </w:rPr>
      </w:pPr>
      <w:r w:rsidRPr="001E48D5">
        <w:rPr>
          <w:rFonts w:ascii="Book Antiqua" w:eastAsia="Times New Roman" w:hAnsi="Book Antiqua" w:cs="Segoe UI"/>
          <w:b/>
          <w:bCs/>
          <w:color w:val="000000"/>
          <w:sz w:val="24"/>
          <w:szCs w:val="24"/>
        </w:rPr>
        <w:lastRenderedPageBreak/>
        <w:t>REFERENCES</w:t>
      </w:r>
    </w:p>
    <w:p w:rsidR="00257D57" w:rsidRPr="001E48D5" w:rsidRDefault="00257D57" w:rsidP="007A67C3">
      <w:pPr>
        <w:spacing w:after="0" w:line="360" w:lineRule="auto"/>
        <w:jc w:val="both"/>
        <w:rPr>
          <w:rFonts w:ascii="Book Antiqua" w:hAnsi="Book Antiqua"/>
          <w:sz w:val="24"/>
          <w:szCs w:val="24"/>
        </w:rPr>
      </w:pPr>
      <w:bookmarkStart w:id="23" w:name="OLE_LINK1"/>
      <w:bookmarkStart w:id="24" w:name="OLE_LINK2"/>
      <w:r w:rsidRPr="001E48D5">
        <w:rPr>
          <w:rFonts w:ascii="Book Antiqua" w:hAnsi="Book Antiqua"/>
          <w:sz w:val="24"/>
          <w:szCs w:val="24"/>
        </w:rPr>
        <w:t xml:space="preserve">1 </w:t>
      </w:r>
      <w:proofErr w:type="spellStart"/>
      <w:r w:rsidRPr="001E48D5">
        <w:rPr>
          <w:rFonts w:ascii="Book Antiqua" w:hAnsi="Book Antiqua"/>
          <w:b/>
          <w:sz w:val="24"/>
          <w:szCs w:val="24"/>
        </w:rPr>
        <w:t>Ballen</w:t>
      </w:r>
      <w:proofErr w:type="spellEnd"/>
      <w:r w:rsidRPr="001E48D5">
        <w:rPr>
          <w:rFonts w:ascii="Book Antiqua" w:hAnsi="Book Antiqua"/>
          <w:b/>
          <w:sz w:val="24"/>
          <w:szCs w:val="24"/>
        </w:rPr>
        <w:t xml:space="preserve"> KK</w:t>
      </w:r>
      <w:r w:rsidRPr="001E48D5">
        <w:rPr>
          <w:rFonts w:ascii="Book Antiqua" w:hAnsi="Book Antiqua"/>
          <w:sz w:val="24"/>
          <w:szCs w:val="24"/>
        </w:rPr>
        <w:t xml:space="preserve">, </w:t>
      </w:r>
      <w:proofErr w:type="spellStart"/>
      <w:r w:rsidRPr="001E48D5">
        <w:rPr>
          <w:rFonts w:ascii="Book Antiqua" w:hAnsi="Book Antiqua"/>
          <w:sz w:val="24"/>
          <w:szCs w:val="24"/>
        </w:rPr>
        <w:t>Koreth</w:t>
      </w:r>
      <w:proofErr w:type="spellEnd"/>
      <w:r w:rsidRPr="001E48D5">
        <w:rPr>
          <w:rFonts w:ascii="Book Antiqua" w:hAnsi="Book Antiqua"/>
          <w:sz w:val="24"/>
          <w:szCs w:val="24"/>
        </w:rPr>
        <w:t xml:space="preserve"> J, Chen YB, </w:t>
      </w:r>
      <w:proofErr w:type="spellStart"/>
      <w:r w:rsidRPr="001E48D5">
        <w:rPr>
          <w:rFonts w:ascii="Book Antiqua" w:hAnsi="Book Antiqua"/>
          <w:sz w:val="24"/>
          <w:szCs w:val="24"/>
        </w:rPr>
        <w:t>Dey</w:t>
      </w:r>
      <w:proofErr w:type="spellEnd"/>
      <w:r w:rsidRPr="001E48D5">
        <w:rPr>
          <w:rFonts w:ascii="Book Antiqua" w:hAnsi="Book Antiqua"/>
          <w:sz w:val="24"/>
          <w:szCs w:val="24"/>
        </w:rPr>
        <w:t xml:space="preserve"> BR, Spitzer TR. Selection of optimal alternative graft source: mismatched unrelated donor, umbilical cord blood, or </w:t>
      </w:r>
      <w:proofErr w:type="spellStart"/>
      <w:r w:rsidRPr="001E48D5">
        <w:rPr>
          <w:rFonts w:ascii="Book Antiqua" w:hAnsi="Book Antiqua"/>
          <w:sz w:val="24"/>
          <w:szCs w:val="24"/>
        </w:rPr>
        <w:t>haploidentical</w:t>
      </w:r>
      <w:proofErr w:type="spellEnd"/>
      <w:r w:rsidRPr="001E48D5">
        <w:rPr>
          <w:rFonts w:ascii="Book Antiqua" w:hAnsi="Book Antiqua"/>
          <w:sz w:val="24"/>
          <w:szCs w:val="24"/>
        </w:rPr>
        <w:t xml:space="preserve"> transplant. </w:t>
      </w:r>
      <w:r w:rsidRPr="001E48D5">
        <w:rPr>
          <w:rFonts w:ascii="Book Antiqua" w:hAnsi="Book Antiqua"/>
          <w:i/>
          <w:sz w:val="24"/>
          <w:szCs w:val="24"/>
        </w:rPr>
        <w:t>Blood</w:t>
      </w:r>
      <w:r w:rsidRPr="001E48D5">
        <w:rPr>
          <w:rFonts w:ascii="Book Antiqua" w:hAnsi="Book Antiqua"/>
          <w:sz w:val="24"/>
          <w:szCs w:val="24"/>
        </w:rPr>
        <w:t xml:space="preserve"> 2012; </w:t>
      </w:r>
      <w:r w:rsidRPr="001E48D5">
        <w:rPr>
          <w:rFonts w:ascii="Book Antiqua" w:hAnsi="Book Antiqua"/>
          <w:b/>
          <w:sz w:val="24"/>
          <w:szCs w:val="24"/>
        </w:rPr>
        <w:t>119</w:t>
      </w:r>
      <w:r w:rsidRPr="001E48D5">
        <w:rPr>
          <w:rFonts w:ascii="Book Antiqua" w:hAnsi="Book Antiqua"/>
          <w:sz w:val="24"/>
          <w:szCs w:val="24"/>
        </w:rPr>
        <w:t>: 1972-1980 [PMID: 22210876 DOI: 10.1182/blood-2011-11-354563]</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2 </w:t>
      </w:r>
      <w:proofErr w:type="spellStart"/>
      <w:r w:rsidRPr="001E48D5">
        <w:rPr>
          <w:rFonts w:ascii="Book Antiqua" w:hAnsi="Book Antiqua"/>
          <w:b/>
          <w:sz w:val="24"/>
          <w:szCs w:val="24"/>
        </w:rPr>
        <w:t>Ballen</w:t>
      </w:r>
      <w:proofErr w:type="spellEnd"/>
      <w:r w:rsidRPr="001E48D5">
        <w:rPr>
          <w:rFonts w:ascii="Book Antiqua" w:hAnsi="Book Antiqua"/>
          <w:b/>
          <w:sz w:val="24"/>
          <w:szCs w:val="24"/>
        </w:rPr>
        <w:t xml:space="preserve"> KK</w:t>
      </w:r>
      <w:r w:rsidRPr="001E48D5">
        <w:rPr>
          <w:rFonts w:ascii="Book Antiqua" w:hAnsi="Book Antiqua"/>
          <w:sz w:val="24"/>
          <w:szCs w:val="24"/>
        </w:rPr>
        <w:t xml:space="preserve">, </w:t>
      </w:r>
      <w:proofErr w:type="spellStart"/>
      <w:r w:rsidRPr="001E48D5">
        <w:rPr>
          <w:rFonts w:ascii="Book Antiqua" w:hAnsi="Book Antiqua"/>
          <w:sz w:val="24"/>
          <w:szCs w:val="24"/>
        </w:rPr>
        <w:t>Gluckman</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Broxmeyer</w:t>
      </w:r>
      <w:proofErr w:type="spellEnd"/>
      <w:r w:rsidRPr="001E48D5">
        <w:rPr>
          <w:rFonts w:ascii="Book Antiqua" w:hAnsi="Book Antiqua"/>
          <w:sz w:val="24"/>
          <w:szCs w:val="24"/>
        </w:rPr>
        <w:t xml:space="preserve"> HE.</w:t>
      </w:r>
      <w:proofErr w:type="gramEnd"/>
      <w:r w:rsidRPr="001E48D5">
        <w:rPr>
          <w:rFonts w:ascii="Book Antiqua" w:hAnsi="Book Antiqua"/>
          <w:sz w:val="24"/>
          <w:szCs w:val="24"/>
        </w:rPr>
        <w:t xml:space="preserve"> Umbilical cord blood transplantation: the first 25 years and beyond. </w:t>
      </w:r>
      <w:r w:rsidRPr="001E48D5">
        <w:rPr>
          <w:rFonts w:ascii="Book Antiqua" w:hAnsi="Book Antiqua"/>
          <w:i/>
          <w:sz w:val="24"/>
          <w:szCs w:val="24"/>
        </w:rPr>
        <w:t>Blood</w:t>
      </w:r>
      <w:r w:rsidRPr="001E48D5">
        <w:rPr>
          <w:rFonts w:ascii="Book Antiqua" w:hAnsi="Book Antiqua"/>
          <w:sz w:val="24"/>
          <w:szCs w:val="24"/>
        </w:rPr>
        <w:t xml:space="preserve"> 2013; </w:t>
      </w:r>
      <w:r w:rsidRPr="001E48D5">
        <w:rPr>
          <w:rFonts w:ascii="Book Antiqua" w:hAnsi="Book Antiqua"/>
          <w:b/>
          <w:sz w:val="24"/>
          <w:szCs w:val="24"/>
        </w:rPr>
        <w:t>122</w:t>
      </w:r>
      <w:r w:rsidRPr="001E48D5">
        <w:rPr>
          <w:rFonts w:ascii="Book Antiqua" w:hAnsi="Book Antiqua"/>
          <w:sz w:val="24"/>
          <w:szCs w:val="24"/>
        </w:rPr>
        <w:t>: 491-498 [PMID: 23673863 DOI: 10.1182/blood-2013-02-453175]</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3 </w:t>
      </w:r>
      <w:proofErr w:type="spellStart"/>
      <w:r w:rsidRPr="001E48D5">
        <w:rPr>
          <w:rFonts w:ascii="Book Antiqua" w:hAnsi="Book Antiqua"/>
          <w:b/>
          <w:sz w:val="24"/>
          <w:szCs w:val="24"/>
        </w:rPr>
        <w:t>Montoro</w:t>
      </w:r>
      <w:proofErr w:type="spellEnd"/>
      <w:r w:rsidRPr="001E48D5">
        <w:rPr>
          <w:rFonts w:ascii="Book Antiqua" w:hAnsi="Book Antiqua"/>
          <w:b/>
          <w:sz w:val="24"/>
          <w:szCs w:val="24"/>
        </w:rPr>
        <w:t xml:space="preserve"> J</w:t>
      </w:r>
      <w:r w:rsidRPr="001E48D5">
        <w:rPr>
          <w:rFonts w:ascii="Book Antiqua" w:hAnsi="Book Antiqua"/>
          <w:sz w:val="24"/>
          <w:szCs w:val="24"/>
        </w:rPr>
        <w:t xml:space="preserve">, </w:t>
      </w:r>
      <w:proofErr w:type="spellStart"/>
      <w:r w:rsidRPr="001E48D5">
        <w:rPr>
          <w:rFonts w:ascii="Book Antiqua" w:hAnsi="Book Antiqua"/>
          <w:sz w:val="24"/>
          <w:szCs w:val="24"/>
        </w:rPr>
        <w:t>Piñana</w:t>
      </w:r>
      <w:proofErr w:type="spellEnd"/>
      <w:r w:rsidRPr="001E48D5">
        <w:rPr>
          <w:rFonts w:ascii="Book Antiqua" w:hAnsi="Book Antiqua"/>
          <w:sz w:val="24"/>
          <w:szCs w:val="24"/>
        </w:rPr>
        <w:t xml:space="preserve"> JL, </w:t>
      </w:r>
      <w:proofErr w:type="spellStart"/>
      <w:r w:rsidRPr="001E48D5">
        <w:rPr>
          <w:rFonts w:ascii="Book Antiqua" w:hAnsi="Book Antiqua"/>
          <w:sz w:val="24"/>
          <w:szCs w:val="24"/>
        </w:rPr>
        <w:t>Moscardó</w:t>
      </w:r>
      <w:proofErr w:type="spellEnd"/>
      <w:r w:rsidRPr="001E48D5">
        <w:rPr>
          <w:rFonts w:ascii="Book Antiqua" w:hAnsi="Book Antiqua"/>
          <w:sz w:val="24"/>
          <w:szCs w:val="24"/>
        </w:rPr>
        <w:t xml:space="preserve"> F, </w:t>
      </w:r>
      <w:proofErr w:type="spellStart"/>
      <w:r w:rsidRPr="001E48D5">
        <w:rPr>
          <w:rFonts w:ascii="Book Antiqua" w:hAnsi="Book Antiqua"/>
          <w:sz w:val="24"/>
          <w:szCs w:val="24"/>
        </w:rPr>
        <w:t>Sanz</w:t>
      </w:r>
      <w:proofErr w:type="spellEnd"/>
      <w:r w:rsidRPr="001E48D5">
        <w:rPr>
          <w:rFonts w:ascii="Book Antiqua" w:hAnsi="Book Antiqua"/>
          <w:sz w:val="24"/>
          <w:szCs w:val="24"/>
        </w:rPr>
        <w:t xml:space="preserve"> J. Infectious Complications after Umbilical Cord-Blood Transplantation from Unrelated Donors. </w:t>
      </w:r>
      <w:proofErr w:type="spellStart"/>
      <w:r w:rsidRPr="001E48D5">
        <w:rPr>
          <w:rFonts w:ascii="Book Antiqua" w:hAnsi="Book Antiqua"/>
          <w:i/>
          <w:sz w:val="24"/>
          <w:szCs w:val="24"/>
        </w:rPr>
        <w:t>Mediterr</w:t>
      </w:r>
      <w:proofErr w:type="spellEnd"/>
      <w:r w:rsidRPr="001E48D5">
        <w:rPr>
          <w:rFonts w:ascii="Book Antiqua" w:hAnsi="Book Antiqua"/>
          <w:i/>
          <w:sz w:val="24"/>
          <w:szCs w:val="24"/>
        </w:rPr>
        <w:t xml:space="preserve"> J </w:t>
      </w:r>
      <w:proofErr w:type="spellStart"/>
      <w:r w:rsidRPr="001E48D5">
        <w:rPr>
          <w:rFonts w:ascii="Book Antiqua" w:hAnsi="Book Antiqua"/>
          <w:i/>
          <w:sz w:val="24"/>
          <w:szCs w:val="24"/>
        </w:rPr>
        <w:t>Hematol</w:t>
      </w:r>
      <w:proofErr w:type="spellEnd"/>
      <w:r w:rsidRPr="001E48D5">
        <w:rPr>
          <w:rFonts w:ascii="Book Antiqua" w:hAnsi="Book Antiqua"/>
          <w:i/>
          <w:sz w:val="24"/>
          <w:szCs w:val="24"/>
        </w:rPr>
        <w:t xml:space="preserve"> Infect Dis</w:t>
      </w:r>
      <w:r w:rsidRPr="001E48D5">
        <w:rPr>
          <w:rFonts w:ascii="Book Antiqua" w:hAnsi="Book Antiqua"/>
          <w:sz w:val="24"/>
          <w:szCs w:val="24"/>
        </w:rPr>
        <w:t xml:space="preserve"> 2016; </w:t>
      </w:r>
      <w:r w:rsidRPr="001E48D5">
        <w:rPr>
          <w:rFonts w:ascii="Book Antiqua" w:hAnsi="Book Antiqua"/>
          <w:b/>
          <w:sz w:val="24"/>
          <w:szCs w:val="24"/>
        </w:rPr>
        <w:t>8</w:t>
      </w:r>
      <w:r w:rsidRPr="001E48D5">
        <w:rPr>
          <w:rFonts w:ascii="Book Antiqua" w:hAnsi="Book Antiqua"/>
          <w:sz w:val="24"/>
          <w:szCs w:val="24"/>
        </w:rPr>
        <w:t>: e2016051 [PMID: 27872731 DOI: 10.4084/MJHID.2016.051]</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4 </w:t>
      </w:r>
      <w:r w:rsidRPr="001E48D5">
        <w:rPr>
          <w:rFonts w:ascii="Book Antiqua" w:hAnsi="Book Antiqua"/>
          <w:b/>
          <w:sz w:val="24"/>
          <w:szCs w:val="24"/>
        </w:rPr>
        <w:t>Albano MS</w:t>
      </w:r>
      <w:r w:rsidRPr="001E48D5">
        <w:rPr>
          <w:rFonts w:ascii="Book Antiqua" w:hAnsi="Book Antiqua"/>
          <w:sz w:val="24"/>
          <w:szCs w:val="24"/>
        </w:rPr>
        <w:t xml:space="preserve">, </w:t>
      </w:r>
      <w:proofErr w:type="spellStart"/>
      <w:r w:rsidRPr="001E48D5">
        <w:rPr>
          <w:rFonts w:ascii="Book Antiqua" w:hAnsi="Book Antiqua"/>
          <w:sz w:val="24"/>
          <w:szCs w:val="24"/>
        </w:rPr>
        <w:t>Ciubotariu</w:t>
      </w:r>
      <w:proofErr w:type="spellEnd"/>
      <w:r w:rsidRPr="001E48D5">
        <w:rPr>
          <w:rFonts w:ascii="Book Antiqua" w:hAnsi="Book Antiqua"/>
          <w:sz w:val="24"/>
          <w:szCs w:val="24"/>
        </w:rPr>
        <w:t xml:space="preserve"> R, </w:t>
      </w:r>
      <w:proofErr w:type="spellStart"/>
      <w:r w:rsidRPr="001E48D5">
        <w:rPr>
          <w:rFonts w:ascii="Book Antiqua" w:hAnsi="Book Antiqua"/>
          <w:sz w:val="24"/>
          <w:szCs w:val="24"/>
        </w:rPr>
        <w:t>Dobrila</w:t>
      </w:r>
      <w:proofErr w:type="spellEnd"/>
      <w:r w:rsidRPr="001E48D5">
        <w:rPr>
          <w:rFonts w:ascii="Book Antiqua" w:hAnsi="Book Antiqua"/>
          <w:sz w:val="24"/>
          <w:szCs w:val="24"/>
        </w:rPr>
        <w:t xml:space="preserve"> L, </w:t>
      </w:r>
      <w:proofErr w:type="spellStart"/>
      <w:r w:rsidRPr="001E48D5">
        <w:rPr>
          <w:rFonts w:ascii="Book Antiqua" w:hAnsi="Book Antiqua"/>
          <w:sz w:val="24"/>
          <w:szCs w:val="24"/>
        </w:rPr>
        <w:t>Tarnawski</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DeLeon</w:t>
      </w:r>
      <w:proofErr w:type="spellEnd"/>
      <w:r w:rsidRPr="001E48D5">
        <w:rPr>
          <w:rFonts w:ascii="Book Antiqua" w:hAnsi="Book Antiqua"/>
          <w:sz w:val="24"/>
          <w:szCs w:val="24"/>
        </w:rPr>
        <w:t xml:space="preserve"> M, Watanabe C, Krishnan S, </w:t>
      </w:r>
      <w:proofErr w:type="spellStart"/>
      <w:r w:rsidRPr="001E48D5">
        <w:rPr>
          <w:rFonts w:ascii="Book Antiqua" w:hAnsi="Book Antiqua"/>
          <w:sz w:val="24"/>
          <w:szCs w:val="24"/>
        </w:rPr>
        <w:t>Scaradavou</w:t>
      </w:r>
      <w:proofErr w:type="spellEnd"/>
      <w:r w:rsidRPr="001E48D5">
        <w:rPr>
          <w:rFonts w:ascii="Book Antiqua" w:hAnsi="Book Antiqua"/>
          <w:sz w:val="24"/>
          <w:szCs w:val="24"/>
        </w:rPr>
        <w:t xml:space="preserve"> A, Rubinstein P. Cytomegalovirus viral load in cord blood and impact of congenital infection on markers of hematopoietic progenitor cell potency. </w:t>
      </w:r>
      <w:r w:rsidRPr="001E48D5">
        <w:rPr>
          <w:rFonts w:ascii="Book Antiqua" w:hAnsi="Book Antiqua"/>
          <w:i/>
          <w:sz w:val="24"/>
          <w:szCs w:val="24"/>
        </w:rPr>
        <w:t>Transfusion</w:t>
      </w:r>
      <w:r w:rsidRPr="001E48D5">
        <w:rPr>
          <w:rFonts w:ascii="Book Antiqua" w:hAnsi="Book Antiqua"/>
          <w:sz w:val="24"/>
          <w:szCs w:val="24"/>
        </w:rPr>
        <w:t xml:space="preserve"> 2017; </w:t>
      </w:r>
      <w:r w:rsidRPr="001E48D5">
        <w:rPr>
          <w:rFonts w:ascii="Book Antiqua" w:hAnsi="Book Antiqua"/>
          <w:b/>
          <w:sz w:val="24"/>
          <w:szCs w:val="24"/>
        </w:rPr>
        <w:t>57</w:t>
      </w:r>
      <w:r w:rsidRPr="001E48D5">
        <w:rPr>
          <w:rFonts w:ascii="Book Antiqua" w:hAnsi="Book Antiqua"/>
          <w:sz w:val="24"/>
          <w:szCs w:val="24"/>
        </w:rPr>
        <w:t>: 2768-2774 [PMID: 28758211 DOI: 10.1111/trf.14257]</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5 </w:t>
      </w:r>
      <w:proofErr w:type="spellStart"/>
      <w:r w:rsidRPr="001E48D5">
        <w:rPr>
          <w:rFonts w:ascii="Book Antiqua" w:hAnsi="Book Antiqua"/>
          <w:b/>
          <w:sz w:val="24"/>
          <w:szCs w:val="24"/>
        </w:rPr>
        <w:t>Meissner-Roloff</w:t>
      </w:r>
      <w:proofErr w:type="spellEnd"/>
      <w:r w:rsidRPr="001E48D5">
        <w:rPr>
          <w:rFonts w:ascii="Book Antiqua" w:hAnsi="Book Antiqua"/>
          <w:b/>
          <w:sz w:val="24"/>
          <w:szCs w:val="24"/>
        </w:rPr>
        <w:t xml:space="preserve"> M</w:t>
      </w:r>
      <w:r w:rsidRPr="001E48D5">
        <w:rPr>
          <w:rFonts w:ascii="Book Antiqua" w:hAnsi="Book Antiqua"/>
          <w:sz w:val="24"/>
          <w:szCs w:val="24"/>
        </w:rPr>
        <w:t xml:space="preserve">, </w:t>
      </w:r>
      <w:proofErr w:type="spellStart"/>
      <w:r w:rsidRPr="001E48D5">
        <w:rPr>
          <w:rFonts w:ascii="Book Antiqua" w:hAnsi="Book Antiqua"/>
          <w:sz w:val="24"/>
          <w:szCs w:val="24"/>
        </w:rPr>
        <w:t>Gaggia</w:t>
      </w:r>
      <w:proofErr w:type="spellEnd"/>
      <w:r w:rsidRPr="001E48D5">
        <w:rPr>
          <w:rFonts w:ascii="Book Antiqua" w:hAnsi="Book Antiqua"/>
          <w:sz w:val="24"/>
          <w:szCs w:val="24"/>
        </w:rPr>
        <w:t xml:space="preserve"> L, </w:t>
      </w:r>
      <w:proofErr w:type="spellStart"/>
      <w:r w:rsidRPr="001E48D5">
        <w:rPr>
          <w:rFonts w:ascii="Book Antiqua" w:hAnsi="Book Antiqua"/>
          <w:sz w:val="24"/>
          <w:szCs w:val="24"/>
        </w:rPr>
        <w:t>Vermeulen</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Mazanderani</w:t>
      </w:r>
      <w:proofErr w:type="spellEnd"/>
      <w:r w:rsidRPr="001E48D5">
        <w:rPr>
          <w:rFonts w:ascii="Book Antiqua" w:hAnsi="Book Antiqua"/>
          <w:sz w:val="24"/>
          <w:szCs w:val="24"/>
        </w:rPr>
        <w:t xml:space="preserve"> AFH, du Plessis NM, Steel HC, Pepper MS. Strategies for screening cord blood for a public cord blood bank in high HIV prevalence regions. </w:t>
      </w:r>
      <w:r w:rsidRPr="001E48D5">
        <w:rPr>
          <w:rFonts w:ascii="Book Antiqua" w:hAnsi="Book Antiqua"/>
          <w:i/>
          <w:sz w:val="24"/>
          <w:szCs w:val="24"/>
        </w:rPr>
        <w:t xml:space="preserve">Glob Health </w:t>
      </w:r>
      <w:proofErr w:type="spellStart"/>
      <w:r w:rsidRPr="001E48D5">
        <w:rPr>
          <w:rFonts w:ascii="Book Antiqua" w:hAnsi="Book Antiqua"/>
          <w:i/>
          <w:sz w:val="24"/>
          <w:szCs w:val="24"/>
        </w:rPr>
        <w:t>Epidemiol</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Genom</w:t>
      </w:r>
      <w:proofErr w:type="spellEnd"/>
      <w:r w:rsidRPr="001E48D5">
        <w:rPr>
          <w:rFonts w:ascii="Book Antiqua" w:hAnsi="Book Antiqua"/>
          <w:sz w:val="24"/>
          <w:szCs w:val="24"/>
        </w:rPr>
        <w:t xml:space="preserve"> 2018; </w:t>
      </w:r>
      <w:r w:rsidRPr="001E48D5">
        <w:rPr>
          <w:rFonts w:ascii="Book Antiqua" w:hAnsi="Book Antiqua"/>
          <w:b/>
          <w:sz w:val="24"/>
          <w:szCs w:val="24"/>
        </w:rPr>
        <w:t>3</w:t>
      </w:r>
      <w:r w:rsidRPr="001E48D5">
        <w:rPr>
          <w:rFonts w:ascii="Book Antiqua" w:hAnsi="Book Antiqua"/>
          <w:sz w:val="24"/>
          <w:szCs w:val="24"/>
        </w:rPr>
        <w:t>: e9 [PMID: 30263133 DOI: 10.1017/gheg.2018.6]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6 </w:t>
      </w:r>
      <w:proofErr w:type="spellStart"/>
      <w:r w:rsidRPr="001E48D5">
        <w:rPr>
          <w:rFonts w:ascii="Book Antiqua" w:hAnsi="Book Antiqua"/>
          <w:b/>
          <w:sz w:val="24"/>
          <w:szCs w:val="24"/>
        </w:rPr>
        <w:t>Abedi</w:t>
      </w:r>
      <w:proofErr w:type="spellEnd"/>
      <w:r w:rsidRPr="001E48D5">
        <w:rPr>
          <w:rFonts w:ascii="Book Antiqua" w:hAnsi="Book Antiqua"/>
          <w:b/>
          <w:sz w:val="24"/>
          <w:szCs w:val="24"/>
        </w:rPr>
        <w:t xml:space="preserve"> E</w:t>
      </w:r>
      <w:r w:rsidRPr="001E48D5">
        <w:rPr>
          <w:rFonts w:ascii="Book Antiqua" w:hAnsi="Book Antiqua"/>
          <w:sz w:val="24"/>
          <w:szCs w:val="24"/>
        </w:rPr>
        <w:t xml:space="preserve">, </w:t>
      </w:r>
      <w:proofErr w:type="spellStart"/>
      <w:r w:rsidRPr="001E48D5">
        <w:rPr>
          <w:rFonts w:ascii="Book Antiqua" w:hAnsi="Book Antiqua"/>
          <w:sz w:val="24"/>
          <w:szCs w:val="24"/>
        </w:rPr>
        <w:t>Kheirandish</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Sharifi</w:t>
      </w:r>
      <w:proofErr w:type="spellEnd"/>
      <w:r w:rsidRPr="001E48D5">
        <w:rPr>
          <w:rFonts w:ascii="Book Antiqua" w:hAnsi="Book Antiqua"/>
          <w:sz w:val="24"/>
          <w:szCs w:val="24"/>
        </w:rPr>
        <w:t xml:space="preserve"> Z, </w:t>
      </w:r>
      <w:proofErr w:type="spellStart"/>
      <w:r w:rsidRPr="001E48D5">
        <w:rPr>
          <w:rFonts w:ascii="Book Antiqua" w:hAnsi="Book Antiqua"/>
          <w:sz w:val="24"/>
          <w:szCs w:val="24"/>
        </w:rPr>
        <w:t>Samiee</w:t>
      </w:r>
      <w:proofErr w:type="spellEnd"/>
      <w:r w:rsidRPr="001E48D5">
        <w:rPr>
          <w:rFonts w:ascii="Book Antiqua" w:hAnsi="Book Antiqua"/>
          <w:sz w:val="24"/>
          <w:szCs w:val="24"/>
        </w:rPr>
        <w:t xml:space="preserve"> S, </w:t>
      </w:r>
      <w:proofErr w:type="spellStart"/>
      <w:r w:rsidRPr="001E48D5">
        <w:rPr>
          <w:rFonts w:ascii="Book Antiqua" w:hAnsi="Book Antiqua"/>
          <w:sz w:val="24"/>
          <w:szCs w:val="24"/>
        </w:rPr>
        <w:t>Kokhaei</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Pourpak</w:t>
      </w:r>
      <w:proofErr w:type="spellEnd"/>
      <w:r w:rsidRPr="001E48D5">
        <w:rPr>
          <w:rFonts w:ascii="Book Antiqua" w:hAnsi="Book Antiqua"/>
          <w:sz w:val="24"/>
          <w:szCs w:val="24"/>
        </w:rPr>
        <w:t xml:space="preserve"> Z, Ashraf MJ. Quantification of Active and Latent Form of Human Cytomegalovirus Infection in Umbilical Cord Blood Donors by Real-Time PCR. </w:t>
      </w:r>
      <w:proofErr w:type="spellStart"/>
      <w:r w:rsidRPr="001E48D5">
        <w:rPr>
          <w:rFonts w:ascii="Book Antiqua" w:hAnsi="Book Antiqua"/>
          <w:i/>
          <w:sz w:val="24"/>
          <w:szCs w:val="24"/>
        </w:rPr>
        <w:t>Int</w:t>
      </w:r>
      <w:proofErr w:type="spellEnd"/>
      <w:r w:rsidRPr="001E48D5">
        <w:rPr>
          <w:rFonts w:ascii="Book Antiqua" w:hAnsi="Book Antiqua"/>
          <w:i/>
          <w:sz w:val="24"/>
          <w:szCs w:val="24"/>
        </w:rPr>
        <w:t xml:space="preserve"> J Organ Transplant Med</w:t>
      </w:r>
      <w:r w:rsidRPr="001E48D5">
        <w:rPr>
          <w:rFonts w:ascii="Book Antiqua" w:hAnsi="Book Antiqua"/>
          <w:sz w:val="24"/>
          <w:szCs w:val="24"/>
        </w:rPr>
        <w:t xml:space="preserve"> 2017; </w:t>
      </w:r>
      <w:r w:rsidRPr="001E48D5">
        <w:rPr>
          <w:rFonts w:ascii="Book Antiqua" w:hAnsi="Book Antiqua"/>
          <w:b/>
          <w:sz w:val="24"/>
          <w:szCs w:val="24"/>
        </w:rPr>
        <w:t>8</w:t>
      </w:r>
      <w:r w:rsidRPr="001E48D5">
        <w:rPr>
          <w:rFonts w:ascii="Book Antiqua" w:hAnsi="Book Antiqua"/>
          <w:sz w:val="24"/>
          <w:szCs w:val="24"/>
        </w:rPr>
        <w:t>: 140-145 [PMID: 28924462]</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7 </w:t>
      </w:r>
      <w:proofErr w:type="spellStart"/>
      <w:r w:rsidRPr="001E48D5">
        <w:rPr>
          <w:rFonts w:ascii="Book Antiqua" w:hAnsi="Book Antiqua"/>
          <w:b/>
          <w:sz w:val="24"/>
          <w:szCs w:val="24"/>
        </w:rPr>
        <w:t>Golchin</w:t>
      </w:r>
      <w:proofErr w:type="spellEnd"/>
      <w:r w:rsidRPr="001E48D5">
        <w:rPr>
          <w:rFonts w:ascii="Book Antiqua" w:hAnsi="Book Antiqua"/>
          <w:b/>
          <w:sz w:val="24"/>
          <w:szCs w:val="24"/>
        </w:rPr>
        <w:t xml:space="preserve"> N</w:t>
      </w:r>
      <w:r w:rsidRPr="001E48D5">
        <w:rPr>
          <w:rFonts w:ascii="Book Antiqua" w:hAnsi="Book Antiqua"/>
          <w:sz w:val="24"/>
          <w:szCs w:val="24"/>
        </w:rPr>
        <w:t xml:space="preserve">, </w:t>
      </w:r>
      <w:proofErr w:type="spellStart"/>
      <w:r w:rsidRPr="001E48D5">
        <w:rPr>
          <w:rFonts w:ascii="Book Antiqua" w:hAnsi="Book Antiqua"/>
          <w:sz w:val="24"/>
          <w:szCs w:val="24"/>
        </w:rPr>
        <w:t>Kheirandish</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Sharifi</w:t>
      </w:r>
      <w:proofErr w:type="spellEnd"/>
      <w:r w:rsidRPr="001E48D5">
        <w:rPr>
          <w:rFonts w:ascii="Book Antiqua" w:hAnsi="Book Antiqua"/>
          <w:sz w:val="24"/>
          <w:szCs w:val="24"/>
        </w:rPr>
        <w:t xml:space="preserve"> Z, </w:t>
      </w:r>
      <w:proofErr w:type="spellStart"/>
      <w:r w:rsidRPr="001E48D5">
        <w:rPr>
          <w:rFonts w:ascii="Book Antiqua" w:hAnsi="Book Antiqua"/>
          <w:sz w:val="24"/>
          <w:szCs w:val="24"/>
        </w:rPr>
        <w:t>Samiee</w:t>
      </w:r>
      <w:proofErr w:type="spellEnd"/>
      <w:r w:rsidRPr="001E48D5">
        <w:rPr>
          <w:rFonts w:ascii="Book Antiqua" w:hAnsi="Book Antiqua"/>
          <w:sz w:val="24"/>
          <w:szCs w:val="24"/>
        </w:rPr>
        <w:t xml:space="preserve"> S, </w:t>
      </w:r>
      <w:proofErr w:type="spellStart"/>
      <w:r w:rsidRPr="001E48D5">
        <w:rPr>
          <w:rFonts w:ascii="Book Antiqua" w:hAnsi="Book Antiqua"/>
          <w:sz w:val="24"/>
          <w:szCs w:val="24"/>
        </w:rPr>
        <w:t>Kokhaei</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Pourpak</w:t>
      </w:r>
      <w:proofErr w:type="spellEnd"/>
      <w:r w:rsidRPr="001E48D5">
        <w:rPr>
          <w:rFonts w:ascii="Book Antiqua" w:hAnsi="Book Antiqua"/>
          <w:sz w:val="24"/>
          <w:szCs w:val="24"/>
        </w:rPr>
        <w:t xml:space="preserve"> Z. Quantification of viral genome in cord blood donors by real time PCR to investigate human herpesvirus type 8 active infection. </w:t>
      </w:r>
      <w:proofErr w:type="spellStart"/>
      <w:r w:rsidRPr="001E48D5">
        <w:rPr>
          <w:rFonts w:ascii="Book Antiqua" w:hAnsi="Book Antiqua"/>
          <w:i/>
          <w:sz w:val="24"/>
          <w:szCs w:val="24"/>
        </w:rPr>
        <w:t>Transfus</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Apher</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Sci</w:t>
      </w:r>
      <w:proofErr w:type="spellEnd"/>
      <w:r w:rsidRPr="001E48D5">
        <w:rPr>
          <w:rFonts w:ascii="Book Antiqua" w:hAnsi="Book Antiqua"/>
          <w:sz w:val="24"/>
          <w:szCs w:val="24"/>
        </w:rPr>
        <w:t xml:space="preserve"> 2015; </w:t>
      </w:r>
      <w:r w:rsidRPr="001E48D5">
        <w:rPr>
          <w:rFonts w:ascii="Book Antiqua" w:hAnsi="Book Antiqua"/>
          <w:b/>
          <w:sz w:val="24"/>
          <w:szCs w:val="24"/>
        </w:rPr>
        <w:t>53</w:t>
      </w:r>
      <w:r w:rsidRPr="001E48D5">
        <w:rPr>
          <w:rFonts w:ascii="Book Antiqua" w:hAnsi="Book Antiqua"/>
          <w:sz w:val="24"/>
          <w:szCs w:val="24"/>
        </w:rPr>
        <w:t>: 378-380 [PMID: 26283174 DOI: 10.1016/j.transci.2015.08.001]</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8 </w:t>
      </w:r>
      <w:proofErr w:type="spellStart"/>
      <w:r w:rsidRPr="001E48D5">
        <w:rPr>
          <w:rFonts w:ascii="Book Antiqua" w:hAnsi="Book Antiqua"/>
          <w:b/>
          <w:sz w:val="24"/>
          <w:szCs w:val="24"/>
        </w:rPr>
        <w:t>Abedi</w:t>
      </w:r>
      <w:proofErr w:type="spellEnd"/>
      <w:r w:rsidRPr="001E48D5">
        <w:rPr>
          <w:rFonts w:ascii="Book Antiqua" w:hAnsi="Book Antiqua"/>
          <w:b/>
          <w:sz w:val="24"/>
          <w:szCs w:val="24"/>
        </w:rPr>
        <w:t xml:space="preserve"> E</w:t>
      </w:r>
      <w:r w:rsidRPr="001E48D5">
        <w:rPr>
          <w:rFonts w:ascii="Book Antiqua" w:hAnsi="Book Antiqua"/>
          <w:sz w:val="24"/>
          <w:szCs w:val="24"/>
        </w:rPr>
        <w:t xml:space="preserve">, </w:t>
      </w:r>
      <w:proofErr w:type="spellStart"/>
      <w:r w:rsidRPr="001E48D5">
        <w:rPr>
          <w:rFonts w:ascii="Book Antiqua" w:hAnsi="Book Antiqua"/>
          <w:sz w:val="24"/>
          <w:szCs w:val="24"/>
        </w:rPr>
        <w:t>Kheirandish</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Sharifi</w:t>
      </w:r>
      <w:proofErr w:type="spellEnd"/>
      <w:r w:rsidRPr="001E48D5">
        <w:rPr>
          <w:rFonts w:ascii="Book Antiqua" w:hAnsi="Book Antiqua"/>
          <w:sz w:val="24"/>
          <w:szCs w:val="24"/>
        </w:rPr>
        <w:t xml:space="preserve"> Z, </w:t>
      </w:r>
      <w:proofErr w:type="spellStart"/>
      <w:r w:rsidRPr="001E48D5">
        <w:rPr>
          <w:rFonts w:ascii="Book Antiqua" w:hAnsi="Book Antiqua"/>
          <w:sz w:val="24"/>
          <w:szCs w:val="24"/>
        </w:rPr>
        <w:t>Samiee</w:t>
      </w:r>
      <w:proofErr w:type="spellEnd"/>
      <w:r w:rsidRPr="001E48D5">
        <w:rPr>
          <w:rFonts w:ascii="Book Antiqua" w:hAnsi="Book Antiqua"/>
          <w:sz w:val="24"/>
          <w:szCs w:val="24"/>
        </w:rPr>
        <w:t xml:space="preserve"> S, </w:t>
      </w:r>
      <w:proofErr w:type="spellStart"/>
      <w:r w:rsidRPr="001E48D5">
        <w:rPr>
          <w:rFonts w:ascii="Book Antiqua" w:hAnsi="Book Antiqua"/>
          <w:sz w:val="24"/>
          <w:szCs w:val="24"/>
        </w:rPr>
        <w:t>Kokhaei</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Pourpak</w:t>
      </w:r>
      <w:proofErr w:type="spellEnd"/>
      <w:r w:rsidRPr="001E48D5">
        <w:rPr>
          <w:rFonts w:ascii="Book Antiqua" w:hAnsi="Book Antiqua"/>
          <w:sz w:val="24"/>
          <w:szCs w:val="24"/>
        </w:rPr>
        <w:t xml:space="preserve"> Z, Ashraf MJ. </w:t>
      </w:r>
      <w:proofErr w:type="gramStart"/>
      <w:r w:rsidRPr="001E48D5">
        <w:rPr>
          <w:rFonts w:ascii="Book Antiqua" w:hAnsi="Book Antiqua"/>
          <w:sz w:val="24"/>
          <w:szCs w:val="24"/>
        </w:rPr>
        <w:t xml:space="preserve">Quantitative polymerase chain reaction for detection of human herpesvirus-7 infection </w:t>
      </w:r>
      <w:r w:rsidRPr="001E48D5">
        <w:rPr>
          <w:rFonts w:ascii="Book Antiqua" w:hAnsi="Book Antiqua"/>
          <w:sz w:val="24"/>
          <w:szCs w:val="24"/>
        </w:rPr>
        <w:lastRenderedPageBreak/>
        <w:t>in umbilical cord blood donors.</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Transpl</w:t>
      </w:r>
      <w:proofErr w:type="spellEnd"/>
      <w:r w:rsidRPr="001E48D5">
        <w:rPr>
          <w:rFonts w:ascii="Book Antiqua" w:hAnsi="Book Antiqua"/>
          <w:i/>
          <w:sz w:val="24"/>
          <w:szCs w:val="24"/>
        </w:rPr>
        <w:t xml:space="preserve"> Infect Dis</w:t>
      </w:r>
      <w:r w:rsidRPr="001E48D5">
        <w:rPr>
          <w:rFonts w:ascii="Book Antiqua" w:hAnsi="Book Antiqua"/>
          <w:sz w:val="24"/>
          <w:szCs w:val="24"/>
        </w:rPr>
        <w:t xml:space="preserve"> 2015; </w:t>
      </w:r>
      <w:r w:rsidRPr="001E48D5">
        <w:rPr>
          <w:rFonts w:ascii="Book Antiqua" w:hAnsi="Book Antiqua"/>
          <w:b/>
          <w:sz w:val="24"/>
          <w:szCs w:val="24"/>
        </w:rPr>
        <w:t>17</w:t>
      </w:r>
      <w:r w:rsidRPr="001E48D5">
        <w:rPr>
          <w:rFonts w:ascii="Book Antiqua" w:hAnsi="Book Antiqua"/>
          <w:sz w:val="24"/>
          <w:szCs w:val="24"/>
        </w:rPr>
        <w:t>: 21-24 [PMID: 25440722 DOI: 10.1111/tid.12319]</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9 </w:t>
      </w:r>
      <w:proofErr w:type="spellStart"/>
      <w:r w:rsidRPr="001E48D5">
        <w:rPr>
          <w:rFonts w:ascii="Book Antiqua" w:hAnsi="Book Antiqua"/>
          <w:b/>
          <w:sz w:val="24"/>
          <w:szCs w:val="24"/>
        </w:rPr>
        <w:t>Rafieemehr</w:t>
      </w:r>
      <w:proofErr w:type="spellEnd"/>
      <w:r w:rsidRPr="001E48D5">
        <w:rPr>
          <w:rFonts w:ascii="Book Antiqua" w:hAnsi="Book Antiqua"/>
          <w:b/>
          <w:sz w:val="24"/>
          <w:szCs w:val="24"/>
        </w:rPr>
        <w:t xml:space="preserve"> H</w:t>
      </w:r>
      <w:r w:rsidRPr="001E48D5">
        <w:rPr>
          <w:rFonts w:ascii="Book Antiqua" w:hAnsi="Book Antiqua"/>
          <w:sz w:val="24"/>
          <w:szCs w:val="24"/>
        </w:rPr>
        <w:t xml:space="preserve">, </w:t>
      </w:r>
      <w:proofErr w:type="spellStart"/>
      <w:r w:rsidRPr="001E48D5">
        <w:rPr>
          <w:rFonts w:ascii="Book Antiqua" w:hAnsi="Book Antiqua"/>
          <w:sz w:val="24"/>
          <w:szCs w:val="24"/>
        </w:rPr>
        <w:t>Kheyrandish</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Soleimani</w:t>
      </w:r>
      <w:proofErr w:type="spellEnd"/>
      <w:r w:rsidRPr="001E48D5">
        <w:rPr>
          <w:rFonts w:ascii="Book Antiqua" w:hAnsi="Book Antiqua"/>
          <w:sz w:val="24"/>
          <w:szCs w:val="24"/>
        </w:rPr>
        <w:t xml:space="preserve"> M. Neuroprotective Effects of Transplanted Mesenchymal Stromal Cells-derived Human Umbilical Cord Blood Neural Progenitor Cells in EAE. </w:t>
      </w:r>
      <w:r w:rsidRPr="001E48D5">
        <w:rPr>
          <w:rFonts w:ascii="Book Antiqua" w:hAnsi="Book Antiqua"/>
          <w:i/>
          <w:sz w:val="24"/>
          <w:szCs w:val="24"/>
        </w:rPr>
        <w:t xml:space="preserve">Iran J Allergy Asthma </w:t>
      </w:r>
      <w:proofErr w:type="spellStart"/>
      <w:r w:rsidRPr="001E48D5">
        <w:rPr>
          <w:rFonts w:ascii="Book Antiqua" w:hAnsi="Book Antiqua"/>
          <w:i/>
          <w:sz w:val="24"/>
          <w:szCs w:val="24"/>
        </w:rPr>
        <w:t>Immunol</w:t>
      </w:r>
      <w:proofErr w:type="spellEnd"/>
      <w:r w:rsidRPr="001E48D5">
        <w:rPr>
          <w:rFonts w:ascii="Book Antiqua" w:hAnsi="Book Antiqua"/>
          <w:sz w:val="24"/>
          <w:szCs w:val="24"/>
        </w:rPr>
        <w:t xml:space="preserve"> 2015; </w:t>
      </w:r>
      <w:r w:rsidRPr="001E48D5">
        <w:rPr>
          <w:rFonts w:ascii="Book Antiqua" w:hAnsi="Book Antiqua"/>
          <w:b/>
          <w:sz w:val="24"/>
          <w:szCs w:val="24"/>
        </w:rPr>
        <w:t>14</w:t>
      </w:r>
      <w:r w:rsidRPr="001E48D5">
        <w:rPr>
          <w:rFonts w:ascii="Book Antiqua" w:hAnsi="Book Antiqua"/>
          <w:sz w:val="24"/>
          <w:szCs w:val="24"/>
        </w:rPr>
        <w:t>: 596-604 [PMID: 26725557]</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10 </w:t>
      </w:r>
      <w:proofErr w:type="spellStart"/>
      <w:r w:rsidRPr="001E48D5">
        <w:rPr>
          <w:rFonts w:ascii="Book Antiqua" w:hAnsi="Book Antiqua"/>
          <w:b/>
          <w:sz w:val="24"/>
          <w:szCs w:val="24"/>
        </w:rPr>
        <w:t>Kheirandish</w:t>
      </w:r>
      <w:proofErr w:type="spellEnd"/>
      <w:r w:rsidRPr="001E48D5">
        <w:rPr>
          <w:rFonts w:ascii="Book Antiqua" w:hAnsi="Book Antiqua"/>
          <w:b/>
          <w:sz w:val="24"/>
          <w:szCs w:val="24"/>
        </w:rPr>
        <w:t xml:space="preserve"> M</w:t>
      </w:r>
      <w:r w:rsidRPr="001E48D5">
        <w:rPr>
          <w:rFonts w:ascii="Book Antiqua" w:hAnsi="Book Antiqua"/>
          <w:sz w:val="24"/>
          <w:szCs w:val="24"/>
        </w:rPr>
        <w:t xml:space="preserve">, </w:t>
      </w:r>
      <w:proofErr w:type="spellStart"/>
      <w:r w:rsidRPr="001E48D5">
        <w:rPr>
          <w:rFonts w:ascii="Book Antiqua" w:hAnsi="Book Antiqua"/>
          <w:sz w:val="24"/>
          <w:szCs w:val="24"/>
        </w:rPr>
        <w:t>Gavgani</w:t>
      </w:r>
      <w:proofErr w:type="spellEnd"/>
      <w:r w:rsidRPr="001E48D5">
        <w:rPr>
          <w:rFonts w:ascii="Book Antiqua" w:hAnsi="Book Antiqua"/>
          <w:sz w:val="24"/>
          <w:szCs w:val="24"/>
        </w:rPr>
        <w:t xml:space="preserve"> SP, </w:t>
      </w:r>
      <w:proofErr w:type="spellStart"/>
      <w:r w:rsidRPr="001E48D5">
        <w:rPr>
          <w:rFonts w:ascii="Book Antiqua" w:hAnsi="Book Antiqua"/>
          <w:sz w:val="24"/>
          <w:szCs w:val="24"/>
        </w:rPr>
        <w:t>Samiee</w:t>
      </w:r>
      <w:proofErr w:type="spellEnd"/>
      <w:r w:rsidRPr="001E48D5">
        <w:rPr>
          <w:rFonts w:ascii="Book Antiqua" w:hAnsi="Book Antiqua"/>
          <w:sz w:val="24"/>
          <w:szCs w:val="24"/>
        </w:rPr>
        <w:t xml:space="preserve"> S. </w:t>
      </w:r>
      <w:proofErr w:type="gramStart"/>
      <w:r w:rsidRPr="001E48D5">
        <w:rPr>
          <w:rFonts w:ascii="Book Antiqua" w:hAnsi="Book Antiqua"/>
          <w:sz w:val="24"/>
          <w:szCs w:val="24"/>
        </w:rPr>
        <w:t xml:space="preserve">The effect of hypoxia preconditioning on the neural and </w:t>
      </w:r>
      <w:proofErr w:type="spellStart"/>
      <w:r w:rsidRPr="001E48D5">
        <w:rPr>
          <w:rFonts w:ascii="Book Antiqua" w:hAnsi="Book Antiqua"/>
          <w:sz w:val="24"/>
          <w:szCs w:val="24"/>
        </w:rPr>
        <w:t>stemness</w:t>
      </w:r>
      <w:proofErr w:type="spellEnd"/>
      <w:r w:rsidRPr="001E48D5">
        <w:rPr>
          <w:rFonts w:ascii="Book Antiqua" w:hAnsi="Book Antiqua"/>
          <w:sz w:val="24"/>
          <w:szCs w:val="24"/>
        </w:rPr>
        <w:t xml:space="preserve"> genes expression profiling in human umbilical cord blood mesenchymal stem cells.</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Transfus</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Apher</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Sci</w:t>
      </w:r>
      <w:proofErr w:type="spellEnd"/>
      <w:r w:rsidRPr="001E48D5">
        <w:rPr>
          <w:rFonts w:ascii="Book Antiqua" w:hAnsi="Book Antiqua"/>
          <w:sz w:val="24"/>
          <w:szCs w:val="24"/>
        </w:rPr>
        <w:t xml:space="preserve"> 2017; </w:t>
      </w:r>
      <w:r w:rsidRPr="001E48D5">
        <w:rPr>
          <w:rFonts w:ascii="Book Antiqua" w:hAnsi="Book Antiqua"/>
          <w:b/>
          <w:sz w:val="24"/>
          <w:szCs w:val="24"/>
        </w:rPr>
        <w:t>56</w:t>
      </w:r>
      <w:r w:rsidRPr="001E48D5">
        <w:rPr>
          <w:rFonts w:ascii="Book Antiqua" w:hAnsi="Book Antiqua"/>
          <w:sz w:val="24"/>
          <w:szCs w:val="24"/>
        </w:rPr>
        <w:t>: 392-399 [PMID: 28428031 DOI: 10.1016/j.transci.2017.03.015]</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11 </w:t>
      </w:r>
      <w:proofErr w:type="spellStart"/>
      <w:r w:rsidRPr="001E48D5">
        <w:rPr>
          <w:rFonts w:ascii="Book Antiqua" w:hAnsi="Book Antiqua"/>
          <w:b/>
          <w:sz w:val="24"/>
          <w:szCs w:val="24"/>
        </w:rPr>
        <w:t>Rafieemehr</w:t>
      </w:r>
      <w:proofErr w:type="spellEnd"/>
      <w:r w:rsidRPr="001E48D5">
        <w:rPr>
          <w:rFonts w:ascii="Book Antiqua" w:hAnsi="Book Antiqua"/>
          <w:b/>
          <w:sz w:val="24"/>
          <w:szCs w:val="24"/>
        </w:rPr>
        <w:t xml:space="preserve"> H</w:t>
      </w:r>
      <w:r w:rsidRPr="001E48D5">
        <w:rPr>
          <w:rFonts w:ascii="Book Antiqua" w:hAnsi="Book Antiqua"/>
          <w:sz w:val="24"/>
          <w:szCs w:val="24"/>
        </w:rPr>
        <w:t xml:space="preserve">, </w:t>
      </w:r>
      <w:proofErr w:type="spellStart"/>
      <w:r w:rsidRPr="001E48D5">
        <w:rPr>
          <w:rFonts w:ascii="Book Antiqua" w:hAnsi="Book Antiqua"/>
          <w:sz w:val="24"/>
          <w:szCs w:val="24"/>
        </w:rPr>
        <w:t>Kheirandish</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Soleimani</w:t>
      </w:r>
      <w:proofErr w:type="spellEnd"/>
      <w:r w:rsidRPr="001E48D5">
        <w:rPr>
          <w:rFonts w:ascii="Book Antiqua" w:hAnsi="Book Antiqua"/>
          <w:sz w:val="24"/>
          <w:szCs w:val="24"/>
        </w:rPr>
        <w:t xml:space="preserve"> M. Improving the neuronal differentiation efficiency of umbilical cord blood-derived mesenchymal stem cells cultivated under appropriate conditions. </w:t>
      </w:r>
      <w:r w:rsidRPr="001E48D5">
        <w:rPr>
          <w:rFonts w:ascii="Book Antiqua" w:hAnsi="Book Antiqua"/>
          <w:i/>
          <w:sz w:val="24"/>
          <w:szCs w:val="24"/>
        </w:rPr>
        <w:t xml:space="preserve">Iran J Basic Med </w:t>
      </w:r>
      <w:proofErr w:type="spellStart"/>
      <w:r w:rsidRPr="001E48D5">
        <w:rPr>
          <w:rFonts w:ascii="Book Antiqua" w:hAnsi="Book Antiqua"/>
          <w:i/>
          <w:sz w:val="24"/>
          <w:szCs w:val="24"/>
        </w:rPr>
        <w:t>Sci</w:t>
      </w:r>
      <w:proofErr w:type="spellEnd"/>
      <w:r w:rsidRPr="001E48D5">
        <w:rPr>
          <w:rFonts w:ascii="Book Antiqua" w:hAnsi="Book Antiqua"/>
          <w:sz w:val="24"/>
          <w:szCs w:val="24"/>
        </w:rPr>
        <w:t xml:space="preserve"> 2015; </w:t>
      </w:r>
      <w:r w:rsidRPr="001E48D5">
        <w:rPr>
          <w:rFonts w:ascii="Book Antiqua" w:hAnsi="Book Antiqua"/>
          <w:b/>
          <w:sz w:val="24"/>
          <w:szCs w:val="24"/>
        </w:rPr>
        <w:t>18</w:t>
      </w:r>
      <w:r w:rsidRPr="001E48D5">
        <w:rPr>
          <w:rFonts w:ascii="Book Antiqua" w:hAnsi="Book Antiqua"/>
          <w:sz w:val="24"/>
          <w:szCs w:val="24"/>
        </w:rPr>
        <w:t>: 1100-1106 [PMID: 26949497]</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12 </w:t>
      </w:r>
      <w:proofErr w:type="spellStart"/>
      <w:r w:rsidRPr="001E48D5">
        <w:rPr>
          <w:rFonts w:ascii="Book Antiqua" w:hAnsi="Book Antiqua"/>
          <w:b/>
          <w:sz w:val="24"/>
          <w:szCs w:val="24"/>
        </w:rPr>
        <w:t>Aghideh</w:t>
      </w:r>
      <w:proofErr w:type="spellEnd"/>
      <w:r w:rsidRPr="001E48D5">
        <w:rPr>
          <w:rFonts w:ascii="Book Antiqua" w:hAnsi="Book Antiqua"/>
          <w:b/>
          <w:sz w:val="24"/>
          <w:szCs w:val="24"/>
        </w:rPr>
        <w:t xml:space="preserve"> AN</w:t>
      </w:r>
      <w:r w:rsidRPr="001E48D5">
        <w:rPr>
          <w:rFonts w:ascii="Book Antiqua" w:hAnsi="Book Antiqua"/>
          <w:sz w:val="24"/>
          <w:szCs w:val="24"/>
        </w:rPr>
        <w:t xml:space="preserve">, </w:t>
      </w:r>
      <w:proofErr w:type="spellStart"/>
      <w:r w:rsidRPr="001E48D5">
        <w:rPr>
          <w:rFonts w:ascii="Book Antiqua" w:hAnsi="Book Antiqua"/>
          <w:sz w:val="24"/>
          <w:szCs w:val="24"/>
        </w:rPr>
        <w:t>Kheirandish</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Abolghasemi</w:t>
      </w:r>
      <w:proofErr w:type="spellEnd"/>
      <w:r w:rsidRPr="001E48D5">
        <w:rPr>
          <w:rFonts w:ascii="Book Antiqua" w:hAnsi="Book Antiqua"/>
          <w:sz w:val="24"/>
          <w:szCs w:val="24"/>
        </w:rPr>
        <w:t xml:space="preserve"> H, </w:t>
      </w:r>
      <w:proofErr w:type="spellStart"/>
      <w:r w:rsidRPr="001E48D5">
        <w:rPr>
          <w:rFonts w:ascii="Book Antiqua" w:hAnsi="Book Antiqua"/>
          <w:sz w:val="24"/>
          <w:szCs w:val="24"/>
        </w:rPr>
        <w:t>Gharehbaghian</w:t>
      </w:r>
      <w:proofErr w:type="spellEnd"/>
      <w:r w:rsidRPr="001E48D5">
        <w:rPr>
          <w:rFonts w:ascii="Book Antiqua" w:hAnsi="Book Antiqua"/>
          <w:sz w:val="24"/>
          <w:szCs w:val="24"/>
        </w:rPr>
        <w:t xml:space="preserve"> A. Platelet growth factors suppress ex vivo expansion and enhance differentiation of umbilical cord blood CD133+ stem cells to megakaryocyte progenitor cells. </w:t>
      </w:r>
      <w:r w:rsidRPr="001E48D5">
        <w:rPr>
          <w:rFonts w:ascii="Book Antiqua" w:hAnsi="Book Antiqua"/>
          <w:i/>
          <w:sz w:val="24"/>
          <w:szCs w:val="24"/>
        </w:rPr>
        <w:t>Growth Factors</w:t>
      </w:r>
      <w:r w:rsidRPr="001E48D5">
        <w:rPr>
          <w:rFonts w:ascii="Book Antiqua" w:hAnsi="Book Antiqua"/>
          <w:sz w:val="24"/>
          <w:szCs w:val="24"/>
        </w:rPr>
        <w:t xml:space="preserve"> 2010; </w:t>
      </w:r>
      <w:r w:rsidRPr="001E48D5">
        <w:rPr>
          <w:rFonts w:ascii="Book Antiqua" w:hAnsi="Book Antiqua"/>
          <w:b/>
          <w:sz w:val="24"/>
          <w:szCs w:val="24"/>
        </w:rPr>
        <w:t>28</w:t>
      </w:r>
      <w:r w:rsidRPr="001E48D5">
        <w:rPr>
          <w:rFonts w:ascii="Book Antiqua" w:hAnsi="Book Antiqua"/>
          <w:sz w:val="24"/>
          <w:szCs w:val="24"/>
        </w:rPr>
        <w:t>: 409-416 [PMID: 20854188 DOI: 10.3109/08977194.2010.504722]</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13 </w:t>
      </w:r>
      <w:proofErr w:type="spellStart"/>
      <w:r w:rsidRPr="001E48D5">
        <w:rPr>
          <w:rFonts w:ascii="Book Antiqua" w:hAnsi="Book Antiqua"/>
          <w:b/>
          <w:sz w:val="24"/>
          <w:szCs w:val="24"/>
        </w:rPr>
        <w:t>Dezaki</w:t>
      </w:r>
      <w:proofErr w:type="spellEnd"/>
      <w:r w:rsidRPr="001E48D5">
        <w:rPr>
          <w:rFonts w:ascii="Book Antiqua" w:hAnsi="Book Antiqua"/>
          <w:b/>
          <w:sz w:val="24"/>
          <w:szCs w:val="24"/>
        </w:rPr>
        <w:t xml:space="preserve"> ZA,</w:t>
      </w:r>
      <w:r w:rsidR="00620171" w:rsidRPr="001E48D5">
        <w:rPr>
          <w:rFonts w:ascii="Book Antiqua" w:hAnsi="Book Antiqua"/>
          <w:sz w:val="24"/>
          <w:szCs w:val="24"/>
        </w:rPr>
        <w:t xml:space="preserve"> </w:t>
      </w:r>
      <w:proofErr w:type="spellStart"/>
      <w:r w:rsidRPr="001E48D5">
        <w:rPr>
          <w:rFonts w:ascii="Book Antiqua" w:hAnsi="Book Antiqua"/>
          <w:sz w:val="24"/>
          <w:szCs w:val="24"/>
        </w:rPr>
        <w:t>Kheirandish</w:t>
      </w:r>
      <w:proofErr w:type="spellEnd"/>
      <w:r w:rsidRPr="001E48D5">
        <w:rPr>
          <w:rFonts w:ascii="Book Antiqua" w:hAnsi="Book Antiqua"/>
          <w:sz w:val="24"/>
          <w:szCs w:val="24"/>
        </w:rPr>
        <w:t xml:space="preserve"> M. Hypoxia Preconditioning Promotes Survival And </w:t>
      </w:r>
      <w:proofErr w:type="spellStart"/>
      <w:r w:rsidRPr="001E48D5">
        <w:rPr>
          <w:rFonts w:ascii="Book Antiqua" w:hAnsi="Book Antiqua"/>
          <w:sz w:val="24"/>
          <w:szCs w:val="24"/>
        </w:rPr>
        <w:t>Clonogenic</w:t>
      </w:r>
      <w:proofErr w:type="spellEnd"/>
      <w:r w:rsidRPr="001E48D5">
        <w:rPr>
          <w:rFonts w:ascii="Book Antiqua" w:hAnsi="Book Antiqua"/>
          <w:sz w:val="24"/>
          <w:szCs w:val="24"/>
        </w:rPr>
        <w:t xml:space="preserve"> Capacity of Human Umbilical Cord Blood Mesenchymal Stem Cells. </w:t>
      </w:r>
      <w:r w:rsidRPr="001E48D5">
        <w:rPr>
          <w:rFonts w:ascii="Book Antiqua" w:hAnsi="Book Antiqua"/>
          <w:i/>
          <w:sz w:val="24"/>
          <w:szCs w:val="24"/>
        </w:rPr>
        <w:t>IJBC</w:t>
      </w:r>
      <w:r w:rsidRPr="001E48D5">
        <w:rPr>
          <w:rFonts w:ascii="Book Antiqua" w:hAnsi="Book Antiqua"/>
          <w:sz w:val="24"/>
          <w:szCs w:val="24"/>
        </w:rPr>
        <w:t xml:space="preserve"> 2018;</w:t>
      </w:r>
      <w:r w:rsidR="00E44605" w:rsidRPr="001E48D5">
        <w:rPr>
          <w:rFonts w:ascii="Book Antiqua" w:hAnsi="Book Antiqua"/>
          <w:sz w:val="24"/>
          <w:szCs w:val="24"/>
          <w:lang w:eastAsia="zh-CN"/>
        </w:rPr>
        <w:t xml:space="preserve"> </w:t>
      </w:r>
      <w:r w:rsidRPr="001E48D5">
        <w:rPr>
          <w:rFonts w:ascii="Book Antiqua" w:hAnsi="Book Antiqua"/>
          <w:b/>
          <w:sz w:val="24"/>
          <w:szCs w:val="24"/>
        </w:rPr>
        <w:t>10</w:t>
      </w:r>
      <w:r w:rsidRPr="001E48D5">
        <w:rPr>
          <w:rFonts w:ascii="Book Antiqua" w:hAnsi="Book Antiqua"/>
          <w:sz w:val="24"/>
          <w:szCs w:val="24"/>
        </w:rPr>
        <w:t>:</w:t>
      </w:r>
      <w:r w:rsidR="00E44605" w:rsidRPr="001E48D5">
        <w:rPr>
          <w:rFonts w:ascii="Book Antiqua" w:hAnsi="Book Antiqua"/>
          <w:sz w:val="24"/>
          <w:szCs w:val="24"/>
          <w:lang w:eastAsia="zh-CN"/>
        </w:rPr>
        <w:t xml:space="preserve"> </w:t>
      </w:r>
      <w:r w:rsidRPr="001E48D5">
        <w:rPr>
          <w:rFonts w:ascii="Book Antiqua" w:hAnsi="Book Antiqua"/>
          <w:sz w:val="24"/>
          <w:szCs w:val="24"/>
        </w:rPr>
        <w:t>43-49</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14 </w:t>
      </w:r>
      <w:proofErr w:type="spellStart"/>
      <w:r w:rsidRPr="001E48D5">
        <w:rPr>
          <w:rFonts w:ascii="Book Antiqua" w:hAnsi="Book Antiqua"/>
          <w:b/>
          <w:sz w:val="24"/>
          <w:szCs w:val="24"/>
        </w:rPr>
        <w:t>Rafieemehr</w:t>
      </w:r>
      <w:proofErr w:type="spellEnd"/>
      <w:r w:rsidRPr="001E48D5">
        <w:rPr>
          <w:rFonts w:ascii="Book Antiqua" w:hAnsi="Book Antiqua"/>
          <w:b/>
          <w:sz w:val="24"/>
          <w:szCs w:val="24"/>
        </w:rPr>
        <w:t xml:space="preserve"> H,</w:t>
      </w:r>
      <w:r w:rsidR="00E44605" w:rsidRPr="001E48D5">
        <w:rPr>
          <w:rFonts w:ascii="Book Antiqua" w:hAnsi="Book Antiqua"/>
          <w:sz w:val="24"/>
          <w:szCs w:val="24"/>
        </w:rPr>
        <w:t xml:space="preserve"> </w:t>
      </w:r>
      <w:proofErr w:type="spellStart"/>
      <w:r w:rsidRPr="001E48D5">
        <w:rPr>
          <w:rFonts w:ascii="Book Antiqua" w:hAnsi="Book Antiqua"/>
          <w:sz w:val="24"/>
          <w:szCs w:val="24"/>
        </w:rPr>
        <w:t>Kheirandish</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Soleimani</w:t>
      </w:r>
      <w:proofErr w:type="spellEnd"/>
      <w:r w:rsidRPr="001E48D5">
        <w:rPr>
          <w:rFonts w:ascii="Book Antiqua" w:hAnsi="Book Antiqua"/>
          <w:sz w:val="24"/>
          <w:szCs w:val="24"/>
        </w:rPr>
        <w:t xml:space="preserve"> M. A New Two Step Induction Protocol for Neural Differentiation of Human Umbilical Cord Blood- Derived Mesenchymal Stem Cells. </w:t>
      </w:r>
      <w:r w:rsidRPr="001E48D5">
        <w:rPr>
          <w:rFonts w:ascii="Book Antiqua" w:hAnsi="Book Antiqua"/>
          <w:i/>
          <w:sz w:val="24"/>
          <w:szCs w:val="24"/>
        </w:rPr>
        <w:t>IJBC</w:t>
      </w:r>
      <w:r w:rsidRPr="001E48D5">
        <w:rPr>
          <w:rFonts w:ascii="Book Antiqua" w:hAnsi="Book Antiqua"/>
          <w:sz w:val="24"/>
          <w:szCs w:val="24"/>
        </w:rPr>
        <w:t xml:space="preserve"> 2015;</w:t>
      </w:r>
      <w:r w:rsidR="00E44605" w:rsidRPr="001E48D5">
        <w:rPr>
          <w:rFonts w:ascii="Book Antiqua" w:hAnsi="Book Antiqua"/>
          <w:sz w:val="24"/>
          <w:szCs w:val="24"/>
          <w:lang w:eastAsia="zh-CN"/>
        </w:rPr>
        <w:t xml:space="preserve"> </w:t>
      </w:r>
      <w:r w:rsidRPr="001E48D5">
        <w:rPr>
          <w:rFonts w:ascii="Book Antiqua" w:hAnsi="Book Antiqua"/>
          <w:b/>
          <w:sz w:val="24"/>
          <w:szCs w:val="24"/>
        </w:rPr>
        <w:t>7</w:t>
      </w:r>
      <w:r w:rsidRPr="001E48D5">
        <w:rPr>
          <w:rFonts w:ascii="Book Antiqua" w:hAnsi="Book Antiqua"/>
          <w:sz w:val="24"/>
          <w:szCs w:val="24"/>
        </w:rPr>
        <w:t>:</w:t>
      </w:r>
      <w:r w:rsidR="00E44605" w:rsidRPr="001E48D5">
        <w:rPr>
          <w:rFonts w:ascii="Book Antiqua" w:hAnsi="Book Antiqua"/>
          <w:sz w:val="24"/>
          <w:szCs w:val="24"/>
          <w:lang w:eastAsia="zh-CN"/>
        </w:rPr>
        <w:t xml:space="preserve"> </w:t>
      </w:r>
      <w:r w:rsidRPr="001E48D5">
        <w:rPr>
          <w:rFonts w:ascii="Book Antiqua" w:hAnsi="Book Antiqua"/>
          <w:sz w:val="24"/>
          <w:szCs w:val="24"/>
        </w:rPr>
        <w:t>111-116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15 </w:t>
      </w:r>
      <w:r w:rsidRPr="001E48D5">
        <w:rPr>
          <w:rFonts w:ascii="Book Antiqua" w:hAnsi="Book Antiqua"/>
          <w:b/>
          <w:sz w:val="24"/>
          <w:szCs w:val="24"/>
        </w:rPr>
        <w:t>Wu SJ</w:t>
      </w:r>
      <w:r w:rsidRPr="001E48D5">
        <w:rPr>
          <w:rFonts w:ascii="Book Antiqua" w:hAnsi="Book Antiqua"/>
          <w:sz w:val="24"/>
          <w:szCs w:val="24"/>
        </w:rPr>
        <w:t xml:space="preserve">, Villarreal DO, </w:t>
      </w:r>
      <w:proofErr w:type="spellStart"/>
      <w:r w:rsidRPr="001E48D5">
        <w:rPr>
          <w:rFonts w:ascii="Book Antiqua" w:hAnsi="Book Antiqua"/>
          <w:sz w:val="24"/>
          <w:szCs w:val="24"/>
        </w:rPr>
        <w:t>Shedlock</w:t>
      </w:r>
      <w:proofErr w:type="spellEnd"/>
      <w:r w:rsidRPr="001E48D5">
        <w:rPr>
          <w:rFonts w:ascii="Book Antiqua" w:hAnsi="Book Antiqua"/>
          <w:sz w:val="24"/>
          <w:szCs w:val="24"/>
        </w:rPr>
        <w:t xml:space="preserve"> DJ, Weiner DB. </w:t>
      </w:r>
      <w:proofErr w:type="gramStart"/>
      <w:r w:rsidRPr="001E48D5">
        <w:rPr>
          <w:rFonts w:ascii="Book Antiqua" w:hAnsi="Book Antiqua"/>
          <w:sz w:val="24"/>
          <w:szCs w:val="24"/>
        </w:rPr>
        <w:t>Synthetic DNA approach to cytomegalovirus vaccine/immune therapy.</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Adv</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Exp</w:t>
      </w:r>
      <w:proofErr w:type="spellEnd"/>
      <w:r w:rsidRPr="001E48D5">
        <w:rPr>
          <w:rFonts w:ascii="Book Antiqua" w:hAnsi="Book Antiqua"/>
          <w:i/>
          <w:sz w:val="24"/>
          <w:szCs w:val="24"/>
        </w:rPr>
        <w:t xml:space="preserve"> Med </w:t>
      </w:r>
      <w:proofErr w:type="spellStart"/>
      <w:r w:rsidRPr="001E48D5">
        <w:rPr>
          <w:rFonts w:ascii="Book Antiqua" w:hAnsi="Book Antiqua"/>
          <w:i/>
          <w:sz w:val="24"/>
          <w:szCs w:val="24"/>
        </w:rPr>
        <w:t>Biol</w:t>
      </w:r>
      <w:proofErr w:type="spellEnd"/>
      <w:r w:rsidRPr="001E48D5">
        <w:rPr>
          <w:rFonts w:ascii="Book Antiqua" w:hAnsi="Book Antiqua"/>
          <w:sz w:val="24"/>
          <w:szCs w:val="24"/>
        </w:rPr>
        <w:t xml:space="preserve"> 2015; </w:t>
      </w:r>
      <w:r w:rsidRPr="001E48D5">
        <w:rPr>
          <w:rFonts w:ascii="Book Antiqua" w:hAnsi="Book Antiqua"/>
          <w:b/>
          <w:sz w:val="24"/>
          <w:szCs w:val="24"/>
        </w:rPr>
        <w:t>848</w:t>
      </w:r>
      <w:r w:rsidRPr="001E48D5">
        <w:rPr>
          <w:rFonts w:ascii="Book Antiqua" w:hAnsi="Book Antiqua"/>
          <w:sz w:val="24"/>
          <w:szCs w:val="24"/>
        </w:rPr>
        <w:t>: 131-148 [PMID: 25757619 DOI: 10.1007/978-1-4939-2432-5_7]</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16 </w:t>
      </w:r>
      <w:proofErr w:type="spellStart"/>
      <w:r w:rsidRPr="001E48D5">
        <w:rPr>
          <w:rFonts w:ascii="Book Antiqua" w:hAnsi="Book Antiqua"/>
          <w:b/>
          <w:sz w:val="24"/>
          <w:szCs w:val="24"/>
        </w:rPr>
        <w:t>Itell</w:t>
      </w:r>
      <w:proofErr w:type="spellEnd"/>
      <w:r w:rsidRPr="001E48D5">
        <w:rPr>
          <w:rFonts w:ascii="Book Antiqua" w:hAnsi="Book Antiqua"/>
          <w:b/>
          <w:sz w:val="24"/>
          <w:szCs w:val="24"/>
        </w:rPr>
        <w:t xml:space="preserve"> HL</w:t>
      </w:r>
      <w:r w:rsidRPr="001E48D5">
        <w:rPr>
          <w:rFonts w:ascii="Book Antiqua" w:hAnsi="Book Antiqua"/>
          <w:sz w:val="24"/>
          <w:szCs w:val="24"/>
        </w:rPr>
        <w:t xml:space="preserve">, Nelson CS, Martinez DR, </w:t>
      </w:r>
      <w:proofErr w:type="spellStart"/>
      <w:r w:rsidRPr="001E48D5">
        <w:rPr>
          <w:rFonts w:ascii="Book Antiqua" w:hAnsi="Book Antiqua"/>
          <w:sz w:val="24"/>
          <w:szCs w:val="24"/>
        </w:rPr>
        <w:t>Permar</w:t>
      </w:r>
      <w:proofErr w:type="spellEnd"/>
      <w:r w:rsidRPr="001E48D5">
        <w:rPr>
          <w:rFonts w:ascii="Book Antiqua" w:hAnsi="Book Antiqua"/>
          <w:sz w:val="24"/>
          <w:szCs w:val="24"/>
        </w:rPr>
        <w:t xml:space="preserve"> SR. Maternal immune correlates of protection against placental transmission of cytomegalovirus. </w:t>
      </w:r>
      <w:r w:rsidRPr="001E48D5">
        <w:rPr>
          <w:rFonts w:ascii="Book Antiqua" w:hAnsi="Book Antiqua"/>
          <w:i/>
          <w:sz w:val="24"/>
          <w:szCs w:val="24"/>
        </w:rPr>
        <w:t>Placenta</w:t>
      </w:r>
      <w:r w:rsidRPr="001E48D5">
        <w:rPr>
          <w:rFonts w:ascii="Book Antiqua" w:hAnsi="Book Antiqua"/>
          <w:sz w:val="24"/>
          <w:szCs w:val="24"/>
        </w:rPr>
        <w:t xml:space="preserve"> 2017; </w:t>
      </w:r>
      <w:r w:rsidRPr="001E48D5">
        <w:rPr>
          <w:rFonts w:ascii="Book Antiqua" w:hAnsi="Book Antiqua"/>
          <w:b/>
          <w:sz w:val="24"/>
          <w:szCs w:val="24"/>
        </w:rPr>
        <w:t xml:space="preserve">60 </w:t>
      </w:r>
      <w:proofErr w:type="spellStart"/>
      <w:r w:rsidRPr="001E48D5">
        <w:rPr>
          <w:rFonts w:ascii="Book Antiqua" w:hAnsi="Book Antiqua"/>
          <w:b/>
          <w:sz w:val="24"/>
          <w:szCs w:val="24"/>
        </w:rPr>
        <w:t>Suppl</w:t>
      </w:r>
      <w:proofErr w:type="spellEnd"/>
      <w:r w:rsidRPr="001E48D5">
        <w:rPr>
          <w:rFonts w:ascii="Book Antiqua" w:hAnsi="Book Antiqua"/>
          <w:b/>
          <w:sz w:val="24"/>
          <w:szCs w:val="24"/>
        </w:rPr>
        <w:t xml:space="preserve"> 1</w:t>
      </w:r>
      <w:r w:rsidRPr="001E48D5">
        <w:rPr>
          <w:rFonts w:ascii="Book Antiqua" w:hAnsi="Book Antiqua"/>
          <w:sz w:val="24"/>
          <w:szCs w:val="24"/>
        </w:rPr>
        <w:t>: S73-S79 [PMID: 28456432 DOI: 10.1016/j.placenta.2017.04.011]</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lastRenderedPageBreak/>
        <w:t xml:space="preserve">17 </w:t>
      </w:r>
      <w:proofErr w:type="spellStart"/>
      <w:r w:rsidRPr="001E48D5">
        <w:rPr>
          <w:rFonts w:ascii="Book Antiqua" w:hAnsi="Book Antiqua"/>
          <w:b/>
          <w:sz w:val="24"/>
          <w:szCs w:val="24"/>
        </w:rPr>
        <w:t>Ljungman</w:t>
      </w:r>
      <w:proofErr w:type="spellEnd"/>
      <w:r w:rsidRPr="001E48D5">
        <w:rPr>
          <w:rFonts w:ascii="Book Antiqua" w:hAnsi="Book Antiqua"/>
          <w:b/>
          <w:sz w:val="24"/>
          <w:szCs w:val="24"/>
        </w:rPr>
        <w:t xml:space="preserve"> P</w:t>
      </w:r>
      <w:r w:rsidRPr="001E48D5">
        <w:rPr>
          <w:rFonts w:ascii="Book Antiqua" w:hAnsi="Book Antiqua"/>
          <w:sz w:val="24"/>
          <w:szCs w:val="24"/>
        </w:rPr>
        <w:t xml:space="preserve">, </w:t>
      </w:r>
      <w:proofErr w:type="spellStart"/>
      <w:r w:rsidRPr="001E48D5">
        <w:rPr>
          <w:rFonts w:ascii="Book Antiqua" w:hAnsi="Book Antiqua"/>
          <w:sz w:val="24"/>
          <w:szCs w:val="24"/>
        </w:rPr>
        <w:t>Hakki</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Boeckh</w:t>
      </w:r>
      <w:proofErr w:type="spellEnd"/>
      <w:r w:rsidRPr="001E48D5">
        <w:rPr>
          <w:rFonts w:ascii="Book Antiqua" w:hAnsi="Book Antiqua"/>
          <w:sz w:val="24"/>
          <w:szCs w:val="24"/>
        </w:rPr>
        <w:t xml:space="preserve"> M. Cytomegalovirus in hematopoietic stem cell transplant recipients. </w:t>
      </w:r>
      <w:proofErr w:type="spellStart"/>
      <w:r w:rsidRPr="001E48D5">
        <w:rPr>
          <w:rFonts w:ascii="Book Antiqua" w:hAnsi="Book Antiqua"/>
          <w:i/>
          <w:sz w:val="24"/>
          <w:szCs w:val="24"/>
        </w:rPr>
        <w:t>Hematol</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Oncol</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Clin</w:t>
      </w:r>
      <w:proofErr w:type="spellEnd"/>
      <w:r w:rsidRPr="001E48D5">
        <w:rPr>
          <w:rFonts w:ascii="Book Antiqua" w:hAnsi="Book Antiqua"/>
          <w:i/>
          <w:sz w:val="24"/>
          <w:szCs w:val="24"/>
        </w:rPr>
        <w:t xml:space="preserve"> North Am</w:t>
      </w:r>
      <w:r w:rsidRPr="001E48D5">
        <w:rPr>
          <w:rFonts w:ascii="Book Antiqua" w:hAnsi="Book Antiqua"/>
          <w:sz w:val="24"/>
          <w:szCs w:val="24"/>
        </w:rPr>
        <w:t xml:space="preserve"> 2011; </w:t>
      </w:r>
      <w:r w:rsidRPr="001E48D5">
        <w:rPr>
          <w:rFonts w:ascii="Book Antiqua" w:hAnsi="Book Antiqua"/>
          <w:b/>
          <w:sz w:val="24"/>
          <w:szCs w:val="24"/>
        </w:rPr>
        <w:t>25</w:t>
      </w:r>
      <w:r w:rsidRPr="001E48D5">
        <w:rPr>
          <w:rFonts w:ascii="Book Antiqua" w:hAnsi="Book Antiqua"/>
          <w:sz w:val="24"/>
          <w:szCs w:val="24"/>
        </w:rPr>
        <w:t>: 151-169 [PMID: 21236396 DOI: 10.1016/j.hoc.2010.11.011]</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18 </w:t>
      </w:r>
      <w:proofErr w:type="spellStart"/>
      <w:r w:rsidRPr="001E48D5">
        <w:rPr>
          <w:rFonts w:ascii="Book Antiqua" w:hAnsi="Book Antiqua"/>
          <w:b/>
          <w:sz w:val="24"/>
          <w:szCs w:val="24"/>
        </w:rPr>
        <w:t>Azevedo</w:t>
      </w:r>
      <w:proofErr w:type="spellEnd"/>
      <w:r w:rsidRPr="001E48D5">
        <w:rPr>
          <w:rFonts w:ascii="Book Antiqua" w:hAnsi="Book Antiqua"/>
          <w:b/>
          <w:sz w:val="24"/>
          <w:szCs w:val="24"/>
        </w:rPr>
        <w:t xml:space="preserve"> LS</w:t>
      </w:r>
      <w:r w:rsidRPr="001E48D5">
        <w:rPr>
          <w:rFonts w:ascii="Book Antiqua" w:hAnsi="Book Antiqua"/>
          <w:sz w:val="24"/>
          <w:szCs w:val="24"/>
        </w:rPr>
        <w:t xml:space="preserve">, </w:t>
      </w:r>
      <w:proofErr w:type="spellStart"/>
      <w:r w:rsidRPr="001E48D5">
        <w:rPr>
          <w:rFonts w:ascii="Book Antiqua" w:hAnsi="Book Antiqua"/>
          <w:sz w:val="24"/>
          <w:szCs w:val="24"/>
        </w:rPr>
        <w:t>Pierrotti</w:t>
      </w:r>
      <w:proofErr w:type="spellEnd"/>
      <w:r w:rsidRPr="001E48D5">
        <w:rPr>
          <w:rFonts w:ascii="Book Antiqua" w:hAnsi="Book Antiqua"/>
          <w:sz w:val="24"/>
          <w:szCs w:val="24"/>
        </w:rPr>
        <w:t xml:space="preserve"> LC, Abdala E, Costa SF, </w:t>
      </w:r>
      <w:proofErr w:type="spellStart"/>
      <w:r w:rsidRPr="001E48D5">
        <w:rPr>
          <w:rFonts w:ascii="Book Antiqua" w:hAnsi="Book Antiqua"/>
          <w:sz w:val="24"/>
          <w:szCs w:val="24"/>
        </w:rPr>
        <w:t>Strabelli</w:t>
      </w:r>
      <w:proofErr w:type="spellEnd"/>
      <w:r w:rsidRPr="001E48D5">
        <w:rPr>
          <w:rFonts w:ascii="Book Antiqua" w:hAnsi="Book Antiqua"/>
          <w:sz w:val="24"/>
          <w:szCs w:val="24"/>
        </w:rPr>
        <w:t xml:space="preserve"> TM, Campos SV, Ramos JF, Latif AZ, Litvinov N, </w:t>
      </w:r>
      <w:proofErr w:type="spellStart"/>
      <w:r w:rsidRPr="001E48D5">
        <w:rPr>
          <w:rFonts w:ascii="Book Antiqua" w:hAnsi="Book Antiqua"/>
          <w:sz w:val="24"/>
          <w:szCs w:val="24"/>
        </w:rPr>
        <w:t>Maluf</w:t>
      </w:r>
      <w:proofErr w:type="spellEnd"/>
      <w:r w:rsidRPr="001E48D5">
        <w:rPr>
          <w:rFonts w:ascii="Book Antiqua" w:hAnsi="Book Antiqua"/>
          <w:sz w:val="24"/>
          <w:szCs w:val="24"/>
        </w:rPr>
        <w:t xml:space="preserve"> NZ, </w:t>
      </w:r>
      <w:proofErr w:type="spellStart"/>
      <w:r w:rsidRPr="001E48D5">
        <w:rPr>
          <w:rFonts w:ascii="Book Antiqua" w:hAnsi="Book Antiqua"/>
          <w:sz w:val="24"/>
          <w:szCs w:val="24"/>
        </w:rPr>
        <w:t>Caiaffa</w:t>
      </w:r>
      <w:proofErr w:type="spellEnd"/>
      <w:r w:rsidRPr="001E48D5">
        <w:rPr>
          <w:rFonts w:ascii="Book Antiqua" w:hAnsi="Book Antiqua"/>
          <w:sz w:val="24"/>
          <w:szCs w:val="24"/>
        </w:rPr>
        <w:t xml:space="preserve"> </w:t>
      </w:r>
      <w:proofErr w:type="spellStart"/>
      <w:r w:rsidRPr="001E48D5">
        <w:rPr>
          <w:rFonts w:ascii="Book Antiqua" w:hAnsi="Book Antiqua"/>
          <w:sz w:val="24"/>
          <w:szCs w:val="24"/>
        </w:rPr>
        <w:t>Filho</w:t>
      </w:r>
      <w:proofErr w:type="spellEnd"/>
      <w:r w:rsidRPr="001E48D5">
        <w:rPr>
          <w:rFonts w:ascii="Book Antiqua" w:hAnsi="Book Antiqua"/>
          <w:sz w:val="24"/>
          <w:szCs w:val="24"/>
        </w:rPr>
        <w:t xml:space="preserve"> HH, </w:t>
      </w:r>
      <w:proofErr w:type="spellStart"/>
      <w:r w:rsidRPr="001E48D5">
        <w:rPr>
          <w:rFonts w:ascii="Book Antiqua" w:hAnsi="Book Antiqua"/>
          <w:sz w:val="24"/>
          <w:szCs w:val="24"/>
        </w:rPr>
        <w:t>Pannuti</w:t>
      </w:r>
      <w:proofErr w:type="spellEnd"/>
      <w:r w:rsidRPr="001E48D5">
        <w:rPr>
          <w:rFonts w:ascii="Book Antiqua" w:hAnsi="Book Antiqua"/>
          <w:sz w:val="24"/>
          <w:szCs w:val="24"/>
        </w:rPr>
        <w:t xml:space="preserve"> CS, Lopes MH, Santos VA, </w:t>
      </w:r>
      <w:proofErr w:type="spellStart"/>
      <w:r w:rsidRPr="001E48D5">
        <w:rPr>
          <w:rFonts w:ascii="Book Antiqua" w:hAnsi="Book Antiqua"/>
          <w:sz w:val="24"/>
          <w:szCs w:val="24"/>
        </w:rPr>
        <w:t>Linardi</w:t>
      </w:r>
      <w:proofErr w:type="spellEnd"/>
      <w:r w:rsidRPr="001E48D5">
        <w:rPr>
          <w:rFonts w:ascii="Book Antiqua" w:hAnsi="Book Antiqua"/>
          <w:sz w:val="24"/>
          <w:szCs w:val="24"/>
        </w:rPr>
        <w:t xml:space="preserve"> </w:t>
      </w:r>
      <w:proofErr w:type="spellStart"/>
      <w:r w:rsidRPr="001E48D5">
        <w:rPr>
          <w:rFonts w:ascii="Book Antiqua" w:hAnsi="Book Antiqua"/>
          <w:sz w:val="24"/>
          <w:szCs w:val="24"/>
        </w:rPr>
        <w:t>Cda</w:t>
      </w:r>
      <w:proofErr w:type="spellEnd"/>
      <w:r w:rsidRPr="001E48D5">
        <w:rPr>
          <w:rFonts w:ascii="Book Antiqua" w:hAnsi="Book Antiqua"/>
          <w:sz w:val="24"/>
          <w:szCs w:val="24"/>
        </w:rPr>
        <w:t xml:space="preserve"> C, Yasuda MA, Marques HH. </w:t>
      </w:r>
      <w:proofErr w:type="gramStart"/>
      <w:r w:rsidRPr="001E48D5">
        <w:rPr>
          <w:rFonts w:ascii="Book Antiqua" w:hAnsi="Book Antiqua"/>
          <w:sz w:val="24"/>
          <w:szCs w:val="24"/>
        </w:rPr>
        <w:t>Cytomegalovirus infection in transplant recipients.</w:t>
      </w:r>
      <w:proofErr w:type="gramEnd"/>
      <w:r w:rsidRPr="001E48D5">
        <w:rPr>
          <w:rFonts w:ascii="Book Antiqua" w:hAnsi="Book Antiqua"/>
          <w:sz w:val="24"/>
          <w:szCs w:val="24"/>
        </w:rPr>
        <w:t xml:space="preserve"> </w:t>
      </w:r>
      <w:r w:rsidRPr="001E48D5">
        <w:rPr>
          <w:rFonts w:ascii="Book Antiqua" w:hAnsi="Book Antiqua"/>
          <w:i/>
          <w:sz w:val="24"/>
          <w:szCs w:val="24"/>
        </w:rPr>
        <w:t>Clinics (Sao Paulo)</w:t>
      </w:r>
      <w:r w:rsidRPr="001E48D5">
        <w:rPr>
          <w:rFonts w:ascii="Book Antiqua" w:hAnsi="Book Antiqua"/>
          <w:sz w:val="24"/>
          <w:szCs w:val="24"/>
        </w:rPr>
        <w:t xml:space="preserve"> 2015; </w:t>
      </w:r>
      <w:r w:rsidRPr="001E48D5">
        <w:rPr>
          <w:rFonts w:ascii="Book Antiqua" w:hAnsi="Book Antiqua"/>
          <w:b/>
          <w:sz w:val="24"/>
          <w:szCs w:val="24"/>
        </w:rPr>
        <w:t>70</w:t>
      </w:r>
      <w:r w:rsidRPr="001E48D5">
        <w:rPr>
          <w:rFonts w:ascii="Book Antiqua" w:hAnsi="Book Antiqua"/>
          <w:sz w:val="24"/>
          <w:szCs w:val="24"/>
        </w:rPr>
        <w:t>: 515-523 [PMID: 26222822 DOI: 10.6061/clinics/</w:t>
      </w:r>
      <w:proofErr w:type="gramStart"/>
      <w:r w:rsidRPr="001E48D5">
        <w:rPr>
          <w:rFonts w:ascii="Book Antiqua" w:hAnsi="Book Antiqua"/>
          <w:sz w:val="24"/>
          <w:szCs w:val="24"/>
        </w:rPr>
        <w:t>2015(</w:t>
      </w:r>
      <w:proofErr w:type="gramEnd"/>
      <w:r w:rsidRPr="001E48D5">
        <w:rPr>
          <w:rFonts w:ascii="Book Antiqua" w:hAnsi="Book Antiqua"/>
          <w:sz w:val="24"/>
          <w:szCs w:val="24"/>
        </w:rPr>
        <w:t>07)09]</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19 </w:t>
      </w:r>
      <w:r w:rsidRPr="001E48D5">
        <w:rPr>
          <w:rFonts w:ascii="Book Antiqua" w:hAnsi="Book Antiqua"/>
          <w:b/>
          <w:sz w:val="24"/>
          <w:szCs w:val="24"/>
        </w:rPr>
        <w:t>Solano C,</w:t>
      </w:r>
      <w:r w:rsidR="00E44605" w:rsidRPr="001E48D5">
        <w:rPr>
          <w:rFonts w:ascii="Book Antiqua" w:hAnsi="Book Antiqua"/>
          <w:sz w:val="24"/>
          <w:szCs w:val="24"/>
        </w:rPr>
        <w:t xml:space="preserve"> </w:t>
      </w:r>
      <w:r w:rsidRPr="001E48D5">
        <w:rPr>
          <w:rFonts w:ascii="Book Antiqua" w:hAnsi="Book Antiqua"/>
          <w:sz w:val="24"/>
          <w:szCs w:val="24"/>
        </w:rPr>
        <w:t>Navarro D. Clinical virology of cytomegalovirus infection following hematopoietic transplantation.</w:t>
      </w:r>
      <w:proofErr w:type="gramEnd"/>
      <w:r w:rsidRPr="001E48D5">
        <w:rPr>
          <w:rFonts w:ascii="Book Antiqua" w:hAnsi="Book Antiqua"/>
          <w:sz w:val="24"/>
          <w:szCs w:val="24"/>
        </w:rPr>
        <w:t xml:space="preserve"> </w:t>
      </w:r>
      <w:r w:rsidRPr="001E48D5">
        <w:rPr>
          <w:rFonts w:ascii="Book Antiqua" w:hAnsi="Book Antiqua"/>
          <w:i/>
          <w:sz w:val="24"/>
          <w:szCs w:val="24"/>
        </w:rPr>
        <w:t xml:space="preserve">Future </w:t>
      </w:r>
      <w:proofErr w:type="spellStart"/>
      <w:r w:rsidRPr="001E48D5">
        <w:rPr>
          <w:rFonts w:ascii="Book Antiqua" w:hAnsi="Book Antiqua"/>
          <w:i/>
          <w:sz w:val="24"/>
          <w:szCs w:val="24"/>
        </w:rPr>
        <w:t>Virol</w:t>
      </w:r>
      <w:proofErr w:type="spellEnd"/>
      <w:r w:rsidRPr="001E48D5">
        <w:rPr>
          <w:rFonts w:ascii="Book Antiqua" w:hAnsi="Book Antiqua"/>
          <w:sz w:val="24"/>
          <w:szCs w:val="24"/>
        </w:rPr>
        <w:t xml:space="preserve"> 2010;</w:t>
      </w:r>
      <w:r w:rsidR="00E44605" w:rsidRPr="001E48D5">
        <w:rPr>
          <w:rFonts w:ascii="Book Antiqua" w:hAnsi="Book Antiqua"/>
          <w:sz w:val="24"/>
          <w:szCs w:val="24"/>
          <w:lang w:eastAsia="zh-CN"/>
        </w:rPr>
        <w:t xml:space="preserve"> </w:t>
      </w:r>
      <w:r w:rsidRPr="001E48D5">
        <w:rPr>
          <w:rFonts w:ascii="Book Antiqua" w:hAnsi="Book Antiqua"/>
          <w:b/>
          <w:sz w:val="24"/>
          <w:szCs w:val="24"/>
        </w:rPr>
        <w:t>5</w:t>
      </w:r>
      <w:r w:rsidRPr="001E48D5">
        <w:rPr>
          <w:rFonts w:ascii="Book Antiqua" w:hAnsi="Book Antiqua"/>
          <w:sz w:val="24"/>
          <w:szCs w:val="24"/>
        </w:rPr>
        <w:t>:</w:t>
      </w:r>
      <w:r w:rsidR="00E44605" w:rsidRPr="001E48D5">
        <w:rPr>
          <w:rFonts w:ascii="Book Antiqua" w:hAnsi="Book Antiqua"/>
          <w:sz w:val="24"/>
          <w:szCs w:val="24"/>
          <w:lang w:eastAsia="zh-CN"/>
        </w:rPr>
        <w:t xml:space="preserve"> </w:t>
      </w:r>
      <w:r w:rsidRPr="001E48D5">
        <w:rPr>
          <w:rFonts w:ascii="Book Antiqua" w:hAnsi="Book Antiqua"/>
          <w:sz w:val="24"/>
          <w:szCs w:val="24"/>
        </w:rPr>
        <w:t>111-124 [</w:t>
      </w:r>
      <w:r w:rsidR="00E44605" w:rsidRPr="001E48D5">
        <w:rPr>
          <w:rFonts w:ascii="Book Antiqua" w:hAnsi="Book Antiqua"/>
          <w:sz w:val="24"/>
          <w:szCs w:val="24"/>
        </w:rPr>
        <w:t>DOI</w:t>
      </w:r>
      <w:r w:rsidRPr="001E48D5">
        <w:rPr>
          <w:rFonts w:ascii="Book Antiqua" w:hAnsi="Book Antiqua"/>
          <w:sz w:val="24"/>
          <w:szCs w:val="24"/>
        </w:rPr>
        <w:t>:</w:t>
      </w:r>
      <w:r w:rsidR="00E44605" w:rsidRPr="001E48D5">
        <w:rPr>
          <w:rFonts w:ascii="Book Antiqua" w:hAnsi="Book Antiqua"/>
          <w:sz w:val="24"/>
          <w:szCs w:val="24"/>
          <w:lang w:eastAsia="zh-CN"/>
        </w:rPr>
        <w:t xml:space="preserve"> </w:t>
      </w:r>
      <w:r w:rsidRPr="001E48D5">
        <w:rPr>
          <w:rFonts w:ascii="Book Antiqua" w:hAnsi="Book Antiqua"/>
          <w:sz w:val="24"/>
          <w:szCs w:val="24"/>
        </w:rPr>
        <w:t>10.2217/fvl.09.64]</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20 </w:t>
      </w:r>
      <w:r w:rsidRPr="001E48D5">
        <w:rPr>
          <w:rFonts w:ascii="Book Antiqua" w:hAnsi="Book Antiqua"/>
          <w:b/>
          <w:sz w:val="24"/>
          <w:szCs w:val="24"/>
        </w:rPr>
        <w:t>Tong J</w:t>
      </w:r>
      <w:r w:rsidRPr="001E48D5">
        <w:rPr>
          <w:rFonts w:ascii="Book Antiqua" w:hAnsi="Book Antiqua"/>
          <w:sz w:val="24"/>
          <w:szCs w:val="24"/>
        </w:rPr>
        <w:t xml:space="preserve">, Sun Z, Liu H, </w:t>
      </w:r>
      <w:proofErr w:type="spellStart"/>
      <w:r w:rsidRPr="001E48D5">
        <w:rPr>
          <w:rFonts w:ascii="Book Antiqua" w:hAnsi="Book Antiqua"/>
          <w:sz w:val="24"/>
          <w:szCs w:val="24"/>
        </w:rPr>
        <w:t>Geng</w:t>
      </w:r>
      <w:proofErr w:type="spellEnd"/>
      <w:r w:rsidRPr="001E48D5">
        <w:rPr>
          <w:rFonts w:ascii="Book Antiqua" w:hAnsi="Book Antiqua"/>
          <w:sz w:val="24"/>
          <w:szCs w:val="24"/>
        </w:rPr>
        <w:t xml:space="preserve"> L, </w:t>
      </w:r>
      <w:proofErr w:type="spellStart"/>
      <w:r w:rsidRPr="001E48D5">
        <w:rPr>
          <w:rFonts w:ascii="Book Antiqua" w:hAnsi="Book Antiqua"/>
          <w:sz w:val="24"/>
          <w:szCs w:val="24"/>
        </w:rPr>
        <w:t>Zheng</w:t>
      </w:r>
      <w:proofErr w:type="spellEnd"/>
      <w:r w:rsidRPr="001E48D5">
        <w:rPr>
          <w:rFonts w:ascii="Book Antiqua" w:hAnsi="Book Antiqua"/>
          <w:sz w:val="24"/>
          <w:szCs w:val="24"/>
        </w:rPr>
        <w:t xml:space="preserve"> C, Tang B, Song K, Yao W, Liu X. Risk factors of CMV infection in patients after umbilical cord blood transplantation: a multicenter study in China. </w:t>
      </w:r>
      <w:r w:rsidRPr="001E48D5">
        <w:rPr>
          <w:rFonts w:ascii="Book Antiqua" w:hAnsi="Book Antiqua"/>
          <w:i/>
          <w:sz w:val="24"/>
          <w:szCs w:val="24"/>
        </w:rPr>
        <w:t>Chin J Cancer Res</w:t>
      </w:r>
      <w:r w:rsidRPr="001E48D5">
        <w:rPr>
          <w:rFonts w:ascii="Book Antiqua" w:hAnsi="Book Antiqua"/>
          <w:sz w:val="24"/>
          <w:szCs w:val="24"/>
        </w:rPr>
        <w:t xml:space="preserve"> 2013; </w:t>
      </w:r>
      <w:r w:rsidRPr="001E48D5">
        <w:rPr>
          <w:rFonts w:ascii="Book Antiqua" w:hAnsi="Book Antiqua"/>
          <w:b/>
          <w:sz w:val="24"/>
          <w:szCs w:val="24"/>
        </w:rPr>
        <w:t>25</w:t>
      </w:r>
      <w:r w:rsidRPr="001E48D5">
        <w:rPr>
          <w:rFonts w:ascii="Book Antiqua" w:hAnsi="Book Antiqua"/>
          <w:sz w:val="24"/>
          <w:szCs w:val="24"/>
        </w:rPr>
        <w:t>: 695-703 [PMID: 24385697 DOI: 10.3978/j.issn.1000-9604.2013.11.08]</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21 </w:t>
      </w:r>
      <w:r w:rsidRPr="001E48D5">
        <w:rPr>
          <w:rFonts w:ascii="Book Antiqua" w:hAnsi="Book Antiqua"/>
          <w:b/>
          <w:sz w:val="24"/>
          <w:szCs w:val="24"/>
        </w:rPr>
        <w:t>Beck JC</w:t>
      </w:r>
      <w:r w:rsidRPr="001E48D5">
        <w:rPr>
          <w:rFonts w:ascii="Book Antiqua" w:hAnsi="Book Antiqua"/>
          <w:sz w:val="24"/>
          <w:szCs w:val="24"/>
        </w:rPr>
        <w:t xml:space="preserve">, Wagner JE, </w:t>
      </w:r>
      <w:proofErr w:type="spellStart"/>
      <w:r w:rsidRPr="001E48D5">
        <w:rPr>
          <w:rFonts w:ascii="Book Antiqua" w:hAnsi="Book Antiqua"/>
          <w:sz w:val="24"/>
          <w:szCs w:val="24"/>
        </w:rPr>
        <w:t>DeFor</w:t>
      </w:r>
      <w:proofErr w:type="spellEnd"/>
      <w:r w:rsidRPr="001E48D5">
        <w:rPr>
          <w:rFonts w:ascii="Book Antiqua" w:hAnsi="Book Antiqua"/>
          <w:sz w:val="24"/>
          <w:szCs w:val="24"/>
        </w:rPr>
        <w:t xml:space="preserve"> TE, </w:t>
      </w:r>
      <w:proofErr w:type="spellStart"/>
      <w:r w:rsidRPr="001E48D5">
        <w:rPr>
          <w:rFonts w:ascii="Book Antiqua" w:hAnsi="Book Antiqua"/>
          <w:sz w:val="24"/>
          <w:szCs w:val="24"/>
        </w:rPr>
        <w:t>Brunstein</w:t>
      </w:r>
      <w:proofErr w:type="spellEnd"/>
      <w:r w:rsidRPr="001E48D5">
        <w:rPr>
          <w:rFonts w:ascii="Book Antiqua" w:hAnsi="Book Antiqua"/>
          <w:sz w:val="24"/>
          <w:szCs w:val="24"/>
        </w:rPr>
        <w:t xml:space="preserve"> CG, </w:t>
      </w:r>
      <w:proofErr w:type="spellStart"/>
      <w:r w:rsidRPr="001E48D5">
        <w:rPr>
          <w:rFonts w:ascii="Book Antiqua" w:hAnsi="Book Antiqua"/>
          <w:sz w:val="24"/>
          <w:szCs w:val="24"/>
        </w:rPr>
        <w:t>Schleiss</w:t>
      </w:r>
      <w:proofErr w:type="spellEnd"/>
      <w:r w:rsidRPr="001E48D5">
        <w:rPr>
          <w:rFonts w:ascii="Book Antiqua" w:hAnsi="Book Antiqua"/>
          <w:sz w:val="24"/>
          <w:szCs w:val="24"/>
        </w:rPr>
        <w:t xml:space="preserve"> MR, Young JA, </w:t>
      </w:r>
      <w:proofErr w:type="spellStart"/>
      <w:r w:rsidRPr="001E48D5">
        <w:rPr>
          <w:rFonts w:ascii="Book Antiqua" w:hAnsi="Book Antiqua"/>
          <w:sz w:val="24"/>
          <w:szCs w:val="24"/>
        </w:rPr>
        <w:t>Weisdorf</w:t>
      </w:r>
      <w:proofErr w:type="spellEnd"/>
      <w:r w:rsidRPr="001E48D5">
        <w:rPr>
          <w:rFonts w:ascii="Book Antiqua" w:hAnsi="Book Antiqua"/>
          <w:sz w:val="24"/>
          <w:szCs w:val="24"/>
        </w:rPr>
        <w:t xml:space="preserve"> DH, Cooley S, Miller JS, </w:t>
      </w:r>
      <w:proofErr w:type="spellStart"/>
      <w:r w:rsidRPr="001E48D5">
        <w:rPr>
          <w:rFonts w:ascii="Book Antiqua" w:hAnsi="Book Antiqua"/>
          <w:sz w:val="24"/>
          <w:szCs w:val="24"/>
        </w:rPr>
        <w:t>Verneris</w:t>
      </w:r>
      <w:proofErr w:type="spellEnd"/>
      <w:r w:rsidRPr="001E48D5">
        <w:rPr>
          <w:rFonts w:ascii="Book Antiqua" w:hAnsi="Book Antiqua"/>
          <w:sz w:val="24"/>
          <w:szCs w:val="24"/>
        </w:rPr>
        <w:t xml:space="preserve"> MR. Impact of cytomegalovirus (CMV) reactivation after umbilical cord blood transplantation. </w:t>
      </w:r>
      <w:proofErr w:type="spellStart"/>
      <w:r w:rsidRPr="001E48D5">
        <w:rPr>
          <w:rFonts w:ascii="Book Antiqua" w:hAnsi="Book Antiqua"/>
          <w:i/>
          <w:sz w:val="24"/>
          <w:szCs w:val="24"/>
        </w:rPr>
        <w:t>Biol</w:t>
      </w:r>
      <w:proofErr w:type="spellEnd"/>
      <w:r w:rsidRPr="001E48D5">
        <w:rPr>
          <w:rFonts w:ascii="Book Antiqua" w:hAnsi="Book Antiqua"/>
          <w:i/>
          <w:sz w:val="24"/>
          <w:szCs w:val="24"/>
        </w:rPr>
        <w:t xml:space="preserve"> Blood Marrow Transplant</w:t>
      </w:r>
      <w:r w:rsidRPr="001E48D5">
        <w:rPr>
          <w:rFonts w:ascii="Book Antiqua" w:hAnsi="Book Antiqua"/>
          <w:sz w:val="24"/>
          <w:szCs w:val="24"/>
        </w:rPr>
        <w:t xml:space="preserve"> 2010; </w:t>
      </w:r>
      <w:r w:rsidRPr="001E48D5">
        <w:rPr>
          <w:rFonts w:ascii="Book Antiqua" w:hAnsi="Book Antiqua"/>
          <w:b/>
          <w:sz w:val="24"/>
          <w:szCs w:val="24"/>
        </w:rPr>
        <w:t>16</w:t>
      </w:r>
      <w:r w:rsidRPr="001E48D5">
        <w:rPr>
          <w:rFonts w:ascii="Book Antiqua" w:hAnsi="Book Antiqua"/>
          <w:sz w:val="24"/>
          <w:szCs w:val="24"/>
        </w:rPr>
        <w:t>: 215-222 [PMID: 19786112 DOI: 10.1016/j.bbmt.2009.09.019]</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22 </w:t>
      </w:r>
      <w:r w:rsidRPr="001E48D5">
        <w:rPr>
          <w:rFonts w:ascii="Book Antiqua" w:hAnsi="Book Antiqua"/>
          <w:b/>
          <w:sz w:val="24"/>
          <w:szCs w:val="24"/>
        </w:rPr>
        <w:t>O'Connor CM</w:t>
      </w:r>
      <w:r w:rsidRPr="001E48D5">
        <w:rPr>
          <w:rFonts w:ascii="Book Antiqua" w:hAnsi="Book Antiqua"/>
          <w:sz w:val="24"/>
          <w:szCs w:val="24"/>
        </w:rPr>
        <w:t xml:space="preserve">, Murphy EA. </w:t>
      </w:r>
      <w:proofErr w:type="gramStart"/>
      <w:r w:rsidRPr="001E48D5">
        <w:rPr>
          <w:rFonts w:ascii="Book Antiqua" w:hAnsi="Book Antiqua"/>
          <w:sz w:val="24"/>
          <w:szCs w:val="24"/>
        </w:rPr>
        <w:t>A myeloid progenitor cell line capable of supporting human cytomegalovirus latency and reactivation, resulting in infectious progeny.</w:t>
      </w:r>
      <w:proofErr w:type="gramEnd"/>
      <w:r w:rsidRPr="001E48D5">
        <w:rPr>
          <w:rFonts w:ascii="Book Antiqua" w:hAnsi="Book Antiqua"/>
          <w:sz w:val="24"/>
          <w:szCs w:val="24"/>
        </w:rPr>
        <w:t xml:space="preserve"> </w:t>
      </w:r>
      <w:r w:rsidRPr="001E48D5">
        <w:rPr>
          <w:rFonts w:ascii="Book Antiqua" w:hAnsi="Book Antiqua"/>
          <w:i/>
          <w:sz w:val="24"/>
          <w:szCs w:val="24"/>
        </w:rPr>
        <w:t xml:space="preserve">J </w:t>
      </w:r>
      <w:proofErr w:type="spellStart"/>
      <w:r w:rsidRPr="001E48D5">
        <w:rPr>
          <w:rFonts w:ascii="Book Antiqua" w:hAnsi="Book Antiqua"/>
          <w:i/>
          <w:sz w:val="24"/>
          <w:szCs w:val="24"/>
        </w:rPr>
        <w:t>Virol</w:t>
      </w:r>
      <w:proofErr w:type="spellEnd"/>
      <w:r w:rsidRPr="001E48D5">
        <w:rPr>
          <w:rFonts w:ascii="Book Antiqua" w:hAnsi="Book Antiqua"/>
          <w:sz w:val="24"/>
          <w:szCs w:val="24"/>
        </w:rPr>
        <w:t xml:space="preserve"> 2012; </w:t>
      </w:r>
      <w:r w:rsidRPr="001E48D5">
        <w:rPr>
          <w:rFonts w:ascii="Book Antiqua" w:hAnsi="Book Antiqua"/>
          <w:b/>
          <w:sz w:val="24"/>
          <w:szCs w:val="24"/>
        </w:rPr>
        <w:t>86</w:t>
      </w:r>
      <w:r w:rsidRPr="001E48D5">
        <w:rPr>
          <w:rFonts w:ascii="Book Antiqua" w:hAnsi="Book Antiqua"/>
          <w:sz w:val="24"/>
          <w:szCs w:val="24"/>
        </w:rPr>
        <w:t>: 9854-9865 [PMID: 22761372 DOI: 10.1128/JVI.01278-12]</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23 </w:t>
      </w:r>
      <w:r w:rsidRPr="001E48D5">
        <w:rPr>
          <w:rFonts w:ascii="Book Antiqua" w:hAnsi="Book Antiqua"/>
          <w:b/>
          <w:sz w:val="24"/>
          <w:szCs w:val="24"/>
        </w:rPr>
        <w:t>Sinclair J</w:t>
      </w:r>
      <w:r w:rsidRPr="001E48D5">
        <w:rPr>
          <w:rFonts w:ascii="Book Antiqua" w:hAnsi="Book Antiqua"/>
          <w:sz w:val="24"/>
          <w:szCs w:val="24"/>
        </w:rPr>
        <w:t>. Human cytomegalovirus: Latency and reactivation in the myeloid lineage.</w:t>
      </w:r>
      <w:proofErr w:type="gramEnd"/>
      <w:r w:rsidRPr="001E48D5">
        <w:rPr>
          <w:rFonts w:ascii="Book Antiqua" w:hAnsi="Book Antiqua"/>
          <w:sz w:val="24"/>
          <w:szCs w:val="24"/>
        </w:rPr>
        <w:t xml:space="preserve"> </w:t>
      </w:r>
      <w:r w:rsidRPr="001E48D5">
        <w:rPr>
          <w:rFonts w:ascii="Book Antiqua" w:hAnsi="Book Antiqua"/>
          <w:i/>
          <w:sz w:val="24"/>
          <w:szCs w:val="24"/>
        </w:rPr>
        <w:t xml:space="preserve">J </w:t>
      </w:r>
      <w:proofErr w:type="spellStart"/>
      <w:r w:rsidRPr="001E48D5">
        <w:rPr>
          <w:rFonts w:ascii="Book Antiqua" w:hAnsi="Book Antiqua"/>
          <w:i/>
          <w:sz w:val="24"/>
          <w:szCs w:val="24"/>
        </w:rPr>
        <w:t>Clin</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Virol</w:t>
      </w:r>
      <w:proofErr w:type="spellEnd"/>
      <w:r w:rsidRPr="001E48D5">
        <w:rPr>
          <w:rFonts w:ascii="Book Antiqua" w:hAnsi="Book Antiqua"/>
          <w:sz w:val="24"/>
          <w:szCs w:val="24"/>
        </w:rPr>
        <w:t xml:space="preserve"> 2008; </w:t>
      </w:r>
      <w:r w:rsidRPr="001E48D5">
        <w:rPr>
          <w:rFonts w:ascii="Book Antiqua" w:hAnsi="Book Antiqua"/>
          <w:b/>
          <w:sz w:val="24"/>
          <w:szCs w:val="24"/>
        </w:rPr>
        <w:t>41</w:t>
      </w:r>
      <w:r w:rsidRPr="001E48D5">
        <w:rPr>
          <w:rFonts w:ascii="Book Antiqua" w:hAnsi="Book Antiqua"/>
          <w:sz w:val="24"/>
          <w:szCs w:val="24"/>
        </w:rPr>
        <w:t>: 180-185 [PMID: 18164651 DOI: 10.1016/j.jcv.2007.11.014]</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24 </w:t>
      </w:r>
      <w:proofErr w:type="spellStart"/>
      <w:r w:rsidRPr="001E48D5">
        <w:rPr>
          <w:rFonts w:ascii="Book Antiqua" w:hAnsi="Book Antiqua"/>
          <w:b/>
          <w:sz w:val="24"/>
          <w:szCs w:val="24"/>
        </w:rPr>
        <w:t>Pergam</w:t>
      </w:r>
      <w:proofErr w:type="spellEnd"/>
      <w:r w:rsidRPr="001E48D5">
        <w:rPr>
          <w:rFonts w:ascii="Book Antiqua" w:hAnsi="Book Antiqua"/>
          <w:b/>
          <w:sz w:val="24"/>
          <w:szCs w:val="24"/>
        </w:rPr>
        <w:t xml:space="preserve"> SA</w:t>
      </w:r>
      <w:r w:rsidRPr="001E48D5">
        <w:rPr>
          <w:rFonts w:ascii="Book Antiqua" w:hAnsi="Book Antiqua"/>
          <w:sz w:val="24"/>
          <w:szCs w:val="24"/>
        </w:rPr>
        <w:t xml:space="preserve">, </w:t>
      </w:r>
      <w:proofErr w:type="spellStart"/>
      <w:r w:rsidRPr="001E48D5">
        <w:rPr>
          <w:rFonts w:ascii="Book Antiqua" w:hAnsi="Book Antiqua"/>
          <w:sz w:val="24"/>
          <w:szCs w:val="24"/>
        </w:rPr>
        <w:t>Xie</w:t>
      </w:r>
      <w:proofErr w:type="spellEnd"/>
      <w:r w:rsidRPr="001E48D5">
        <w:rPr>
          <w:rFonts w:ascii="Book Antiqua" w:hAnsi="Book Antiqua"/>
          <w:sz w:val="24"/>
          <w:szCs w:val="24"/>
        </w:rPr>
        <w:t xml:space="preserve"> H, Sandhu R, Pollack M, Smith J, Stevens-Ayers T, </w:t>
      </w:r>
      <w:proofErr w:type="spellStart"/>
      <w:r w:rsidRPr="001E48D5">
        <w:rPr>
          <w:rFonts w:ascii="Book Antiqua" w:hAnsi="Book Antiqua"/>
          <w:sz w:val="24"/>
          <w:szCs w:val="24"/>
        </w:rPr>
        <w:t>Ilieva</w:t>
      </w:r>
      <w:proofErr w:type="spellEnd"/>
      <w:r w:rsidRPr="001E48D5">
        <w:rPr>
          <w:rFonts w:ascii="Book Antiqua" w:hAnsi="Book Antiqua"/>
          <w:sz w:val="24"/>
          <w:szCs w:val="24"/>
        </w:rPr>
        <w:t xml:space="preserve"> V, Kimball LE, Huang ML, Hayes TS, Corey L, </w:t>
      </w:r>
      <w:proofErr w:type="spellStart"/>
      <w:r w:rsidRPr="001E48D5">
        <w:rPr>
          <w:rFonts w:ascii="Book Antiqua" w:hAnsi="Book Antiqua"/>
          <w:sz w:val="24"/>
          <w:szCs w:val="24"/>
        </w:rPr>
        <w:t>Boeckh</w:t>
      </w:r>
      <w:proofErr w:type="spellEnd"/>
      <w:r w:rsidRPr="001E48D5">
        <w:rPr>
          <w:rFonts w:ascii="Book Antiqua" w:hAnsi="Book Antiqua"/>
          <w:sz w:val="24"/>
          <w:szCs w:val="24"/>
        </w:rPr>
        <w:t xml:space="preserve"> MJ. </w:t>
      </w:r>
      <w:proofErr w:type="gramStart"/>
      <w:r w:rsidRPr="001E48D5">
        <w:rPr>
          <w:rFonts w:ascii="Book Antiqua" w:hAnsi="Book Antiqua"/>
          <w:sz w:val="24"/>
          <w:szCs w:val="24"/>
        </w:rPr>
        <w:t>Efficiency and risk factors for CMV transmission in seronegative hematopoietic stem cell recipients.</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Biol</w:t>
      </w:r>
      <w:proofErr w:type="spellEnd"/>
      <w:r w:rsidRPr="001E48D5">
        <w:rPr>
          <w:rFonts w:ascii="Book Antiqua" w:hAnsi="Book Antiqua"/>
          <w:i/>
          <w:sz w:val="24"/>
          <w:szCs w:val="24"/>
        </w:rPr>
        <w:t xml:space="preserve"> Blood Marrow Transplant</w:t>
      </w:r>
      <w:r w:rsidRPr="001E48D5">
        <w:rPr>
          <w:rFonts w:ascii="Book Antiqua" w:hAnsi="Book Antiqua"/>
          <w:sz w:val="24"/>
          <w:szCs w:val="24"/>
        </w:rPr>
        <w:t xml:space="preserve"> 2012; </w:t>
      </w:r>
      <w:r w:rsidRPr="001E48D5">
        <w:rPr>
          <w:rFonts w:ascii="Book Antiqua" w:hAnsi="Book Antiqua"/>
          <w:b/>
          <w:sz w:val="24"/>
          <w:szCs w:val="24"/>
        </w:rPr>
        <w:t>18</w:t>
      </w:r>
      <w:r w:rsidRPr="001E48D5">
        <w:rPr>
          <w:rFonts w:ascii="Book Antiqua" w:hAnsi="Book Antiqua"/>
          <w:sz w:val="24"/>
          <w:szCs w:val="24"/>
        </w:rPr>
        <w:t>: 1391-1400 [PMID: 22387334 DOI: 10.1016/j.bbmt.2012.02.008]</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25 </w:t>
      </w:r>
      <w:proofErr w:type="spellStart"/>
      <w:r w:rsidRPr="001E48D5">
        <w:rPr>
          <w:rFonts w:ascii="Book Antiqua" w:hAnsi="Book Antiqua"/>
          <w:b/>
          <w:sz w:val="24"/>
          <w:szCs w:val="24"/>
        </w:rPr>
        <w:t>Ciáurriz</w:t>
      </w:r>
      <w:proofErr w:type="spellEnd"/>
      <w:r w:rsidRPr="001E48D5">
        <w:rPr>
          <w:rFonts w:ascii="Book Antiqua" w:hAnsi="Book Antiqua"/>
          <w:b/>
          <w:sz w:val="24"/>
          <w:szCs w:val="24"/>
        </w:rPr>
        <w:t xml:space="preserve"> M</w:t>
      </w:r>
      <w:r w:rsidRPr="001E48D5">
        <w:rPr>
          <w:rFonts w:ascii="Book Antiqua" w:hAnsi="Book Antiqua"/>
          <w:sz w:val="24"/>
          <w:szCs w:val="24"/>
        </w:rPr>
        <w:t xml:space="preserve">, </w:t>
      </w:r>
      <w:proofErr w:type="spellStart"/>
      <w:r w:rsidRPr="001E48D5">
        <w:rPr>
          <w:rFonts w:ascii="Book Antiqua" w:hAnsi="Book Antiqua"/>
          <w:sz w:val="24"/>
          <w:szCs w:val="24"/>
        </w:rPr>
        <w:t>Zabalza</w:t>
      </w:r>
      <w:proofErr w:type="spellEnd"/>
      <w:r w:rsidRPr="001E48D5">
        <w:rPr>
          <w:rFonts w:ascii="Book Antiqua" w:hAnsi="Book Antiqua"/>
          <w:sz w:val="24"/>
          <w:szCs w:val="24"/>
        </w:rPr>
        <w:t xml:space="preserve"> A, </w:t>
      </w:r>
      <w:proofErr w:type="spellStart"/>
      <w:r w:rsidRPr="001E48D5">
        <w:rPr>
          <w:rFonts w:ascii="Book Antiqua" w:hAnsi="Book Antiqua"/>
          <w:sz w:val="24"/>
          <w:szCs w:val="24"/>
        </w:rPr>
        <w:t>Beloki</w:t>
      </w:r>
      <w:proofErr w:type="spellEnd"/>
      <w:r w:rsidRPr="001E48D5">
        <w:rPr>
          <w:rFonts w:ascii="Book Antiqua" w:hAnsi="Book Antiqua"/>
          <w:sz w:val="24"/>
          <w:szCs w:val="24"/>
        </w:rPr>
        <w:t xml:space="preserve"> L, </w:t>
      </w:r>
      <w:proofErr w:type="spellStart"/>
      <w:r w:rsidRPr="001E48D5">
        <w:rPr>
          <w:rFonts w:ascii="Book Antiqua" w:hAnsi="Book Antiqua"/>
          <w:sz w:val="24"/>
          <w:szCs w:val="24"/>
        </w:rPr>
        <w:t>Mansilla</w:t>
      </w:r>
      <w:proofErr w:type="spellEnd"/>
      <w:r w:rsidRPr="001E48D5">
        <w:rPr>
          <w:rFonts w:ascii="Book Antiqua" w:hAnsi="Book Antiqua"/>
          <w:sz w:val="24"/>
          <w:szCs w:val="24"/>
        </w:rPr>
        <w:t xml:space="preserve"> C, Pérez-</w:t>
      </w:r>
      <w:proofErr w:type="spellStart"/>
      <w:r w:rsidRPr="001E48D5">
        <w:rPr>
          <w:rFonts w:ascii="Book Antiqua" w:hAnsi="Book Antiqua"/>
          <w:sz w:val="24"/>
          <w:szCs w:val="24"/>
        </w:rPr>
        <w:t>Valderrama</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Lachén</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Bandrés</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Olavarría</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Ramírez</w:t>
      </w:r>
      <w:proofErr w:type="spellEnd"/>
      <w:r w:rsidRPr="001E48D5">
        <w:rPr>
          <w:rFonts w:ascii="Book Antiqua" w:hAnsi="Book Antiqua"/>
          <w:sz w:val="24"/>
          <w:szCs w:val="24"/>
        </w:rPr>
        <w:t xml:space="preserve"> N. </w:t>
      </w:r>
      <w:proofErr w:type="gramStart"/>
      <w:r w:rsidRPr="001E48D5">
        <w:rPr>
          <w:rFonts w:ascii="Book Antiqua" w:hAnsi="Book Antiqua"/>
          <w:sz w:val="24"/>
          <w:szCs w:val="24"/>
        </w:rPr>
        <w:t xml:space="preserve">The immune response to cytomegalovirus in </w:t>
      </w:r>
      <w:r w:rsidRPr="001E48D5">
        <w:rPr>
          <w:rFonts w:ascii="Book Antiqua" w:hAnsi="Book Antiqua"/>
          <w:sz w:val="24"/>
          <w:szCs w:val="24"/>
        </w:rPr>
        <w:lastRenderedPageBreak/>
        <w:t>allogeneic hematopoietic stem cell transplant recipients.</w:t>
      </w:r>
      <w:proofErr w:type="gramEnd"/>
      <w:r w:rsidRPr="001E48D5">
        <w:rPr>
          <w:rFonts w:ascii="Book Antiqua" w:hAnsi="Book Antiqua"/>
          <w:sz w:val="24"/>
          <w:szCs w:val="24"/>
        </w:rPr>
        <w:t xml:space="preserve"> </w:t>
      </w:r>
      <w:r w:rsidRPr="001E48D5">
        <w:rPr>
          <w:rFonts w:ascii="Book Antiqua" w:hAnsi="Book Antiqua"/>
          <w:i/>
          <w:sz w:val="24"/>
          <w:szCs w:val="24"/>
        </w:rPr>
        <w:t xml:space="preserve">Cell </w:t>
      </w:r>
      <w:proofErr w:type="spellStart"/>
      <w:r w:rsidRPr="001E48D5">
        <w:rPr>
          <w:rFonts w:ascii="Book Antiqua" w:hAnsi="Book Antiqua"/>
          <w:i/>
          <w:sz w:val="24"/>
          <w:szCs w:val="24"/>
        </w:rPr>
        <w:t>Mol</w:t>
      </w:r>
      <w:proofErr w:type="spellEnd"/>
      <w:r w:rsidRPr="001E48D5">
        <w:rPr>
          <w:rFonts w:ascii="Book Antiqua" w:hAnsi="Book Antiqua"/>
          <w:i/>
          <w:sz w:val="24"/>
          <w:szCs w:val="24"/>
        </w:rPr>
        <w:t xml:space="preserve"> Life </w:t>
      </w:r>
      <w:proofErr w:type="spellStart"/>
      <w:r w:rsidRPr="001E48D5">
        <w:rPr>
          <w:rFonts w:ascii="Book Antiqua" w:hAnsi="Book Antiqua"/>
          <w:i/>
          <w:sz w:val="24"/>
          <w:szCs w:val="24"/>
        </w:rPr>
        <w:t>Sci</w:t>
      </w:r>
      <w:proofErr w:type="spellEnd"/>
      <w:r w:rsidRPr="001E48D5">
        <w:rPr>
          <w:rFonts w:ascii="Book Antiqua" w:hAnsi="Book Antiqua"/>
          <w:sz w:val="24"/>
          <w:szCs w:val="24"/>
        </w:rPr>
        <w:t xml:space="preserve"> 2015; </w:t>
      </w:r>
      <w:r w:rsidRPr="001E48D5">
        <w:rPr>
          <w:rFonts w:ascii="Book Antiqua" w:hAnsi="Book Antiqua"/>
          <w:b/>
          <w:sz w:val="24"/>
          <w:szCs w:val="24"/>
        </w:rPr>
        <w:t>72</w:t>
      </w:r>
      <w:r w:rsidRPr="001E48D5">
        <w:rPr>
          <w:rFonts w:ascii="Book Antiqua" w:hAnsi="Book Antiqua"/>
          <w:sz w:val="24"/>
          <w:szCs w:val="24"/>
        </w:rPr>
        <w:t>: 4049-4062 [PMID: 26174234 DOI: 10.1007/s00018-015-1986-z]</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26 </w:t>
      </w:r>
      <w:r w:rsidRPr="001E48D5">
        <w:rPr>
          <w:rFonts w:ascii="Book Antiqua" w:hAnsi="Book Antiqua"/>
          <w:b/>
          <w:sz w:val="24"/>
          <w:szCs w:val="24"/>
        </w:rPr>
        <w:t>Weinberg A</w:t>
      </w:r>
      <w:r w:rsidRPr="001E48D5">
        <w:rPr>
          <w:rFonts w:ascii="Book Antiqua" w:hAnsi="Book Antiqua"/>
          <w:sz w:val="24"/>
          <w:szCs w:val="24"/>
        </w:rPr>
        <w:t xml:space="preserve">, </w:t>
      </w:r>
      <w:proofErr w:type="spellStart"/>
      <w:r w:rsidRPr="001E48D5">
        <w:rPr>
          <w:rFonts w:ascii="Book Antiqua" w:hAnsi="Book Antiqua"/>
          <w:sz w:val="24"/>
          <w:szCs w:val="24"/>
        </w:rPr>
        <w:t>Enomoto</w:t>
      </w:r>
      <w:proofErr w:type="spellEnd"/>
      <w:r w:rsidRPr="001E48D5">
        <w:rPr>
          <w:rFonts w:ascii="Book Antiqua" w:hAnsi="Book Antiqua"/>
          <w:sz w:val="24"/>
          <w:szCs w:val="24"/>
        </w:rPr>
        <w:t xml:space="preserve"> L, Li S, </w:t>
      </w:r>
      <w:proofErr w:type="spellStart"/>
      <w:r w:rsidRPr="001E48D5">
        <w:rPr>
          <w:rFonts w:ascii="Book Antiqua" w:hAnsi="Book Antiqua"/>
          <w:sz w:val="24"/>
          <w:szCs w:val="24"/>
        </w:rPr>
        <w:t>Shen</w:t>
      </w:r>
      <w:proofErr w:type="spellEnd"/>
      <w:r w:rsidRPr="001E48D5">
        <w:rPr>
          <w:rFonts w:ascii="Book Antiqua" w:hAnsi="Book Antiqua"/>
          <w:sz w:val="24"/>
          <w:szCs w:val="24"/>
        </w:rPr>
        <w:t xml:space="preserve"> D, </w:t>
      </w:r>
      <w:proofErr w:type="spellStart"/>
      <w:r w:rsidRPr="001E48D5">
        <w:rPr>
          <w:rFonts w:ascii="Book Antiqua" w:hAnsi="Book Antiqua"/>
          <w:sz w:val="24"/>
          <w:szCs w:val="24"/>
        </w:rPr>
        <w:t>Coll</w:t>
      </w:r>
      <w:proofErr w:type="spellEnd"/>
      <w:r w:rsidRPr="001E48D5">
        <w:rPr>
          <w:rFonts w:ascii="Book Antiqua" w:hAnsi="Book Antiqua"/>
          <w:sz w:val="24"/>
          <w:szCs w:val="24"/>
        </w:rPr>
        <w:t xml:space="preserve"> J, </w:t>
      </w:r>
      <w:proofErr w:type="spellStart"/>
      <w:r w:rsidRPr="001E48D5">
        <w:rPr>
          <w:rFonts w:ascii="Book Antiqua" w:hAnsi="Book Antiqua"/>
          <w:sz w:val="24"/>
          <w:szCs w:val="24"/>
        </w:rPr>
        <w:t>Shpall</w:t>
      </w:r>
      <w:proofErr w:type="spellEnd"/>
      <w:r w:rsidRPr="001E48D5">
        <w:rPr>
          <w:rFonts w:ascii="Book Antiqua" w:hAnsi="Book Antiqua"/>
          <w:sz w:val="24"/>
          <w:szCs w:val="24"/>
        </w:rPr>
        <w:t xml:space="preserve"> EJ. </w:t>
      </w:r>
      <w:proofErr w:type="gramStart"/>
      <w:r w:rsidRPr="001E48D5">
        <w:rPr>
          <w:rFonts w:ascii="Book Antiqua" w:hAnsi="Book Antiqua"/>
          <w:sz w:val="24"/>
          <w:szCs w:val="24"/>
        </w:rPr>
        <w:t>Risk of transmission of herpesviruses through cord blood transplantation.</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Biol</w:t>
      </w:r>
      <w:proofErr w:type="spellEnd"/>
      <w:r w:rsidRPr="001E48D5">
        <w:rPr>
          <w:rFonts w:ascii="Book Antiqua" w:hAnsi="Book Antiqua"/>
          <w:i/>
          <w:sz w:val="24"/>
          <w:szCs w:val="24"/>
        </w:rPr>
        <w:t xml:space="preserve"> Blood Marrow Transplant</w:t>
      </w:r>
      <w:r w:rsidRPr="001E48D5">
        <w:rPr>
          <w:rFonts w:ascii="Book Antiqua" w:hAnsi="Book Antiqua"/>
          <w:sz w:val="24"/>
          <w:szCs w:val="24"/>
        </w:rPr>
        <w:t xml:space="preserve"> 2005; </w:t>
      </w:r>
      <w:r w:rsidRPr="001E48D5">
        <w:rPr>
          <w:rFonts w:ascii="Book Antiqua" w:hAnsi="Book Antiqua"/>
          <w:b/>
          <w:sz w:val="24"/>
          <w:szCs w:val="24"/>
        </w:rPr>
        <w:t>11</w:t>
      </w:r>
      <w:r w:rsidRPr="001E48D5">
        <w:rPr>
          <w:rFonts w:ascii="Book Antiqua" w:hAnsi="Book Antiqua"/>
          <w:sz w:val="24"/>
          <w:szCs w:val="24"/>
        </w:rPr>
        <w:t>: 35-38 [PMID: 15625542 DOI: 10.1016/j.bbmt.2004.09.005]</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27 </w:t>
      </w:r>
      <w:proofErr w:type="spellStart"/>
      <w:r w:rsidRPr="001E48D5">
        <w:rPr>
          <w:rFonts w:ascii="Book Antiqua" w:hAnsi="Book Antiqua"/>
          <w:b/>
          <w:sz w:val="24"/>
          <w:szCs w:val="24"/>
        </w:rPr>
        <w:t>Caligiuri</w:t>
      </w:r>
      <w:proofErr w:type="spellEnd"/>
      <w:r w:rsidRPr="001E48D5">
        <w:rPr>
          <w:rFonts w:ascii="Book Antiqua" w:hAnsi="Book Antiqua"/>
          <w:b/>
          <w:sz w:val="24"/>
          <w:szCs w:val="24"/>
        </w:rPr>
        <w:t xml:space="preserve"> P</w:t>
      </w:r>
      <w:r w:rsidRPr="001E48D5">
        <w:rPr>
          <w:rFonts w:ascii="Book Antiqua" w:hAnsi="Book Antiqua"/>
          <w:sz w:val="24"/>
          <w:szCs w:val="24"/>
        </w:rPr>
        <w:t xml:space="preserve">, </w:t>
      </w:r>
      <w:proofErr w:type="spellStart"/>
      <w:r w:rsidRPr="001E48D5">
        <w:rPr>
          <w:rFonts w:ascii="Book Antiqua" w:hAnsi="Book Antiqua"/>
          <w:sz w:val="24"/>
          <w:szCs w:val="24"/>
        </w:rPr>
        <w:t>Cerruti</w:t>
      </w:r>
      <w:proofErr w:type="spellEnd"/>
      <w:r w:rsidRPr="001E48D5">
        <w:rPr>
          <w:rFonts w:ascii="Book Antiqua" w:hAnsi="Book Antiqua"/>
          <w:sz w:val="24"/>
          <w:szCs w:val="24"/>
        </w:rPr>
        <w:t xml:space="preserve"> R, </w:t>
      </w:r>
      <w:proofErr w:type="spellStart"/>
      <w:r w:rsidRPr="001E48D5">
        <w:rPr>
          <w:rFonts w:ascii="Book Antiqua" w:hAnsi="Book Antiqua"/>
          <w:sz w:val="24"/>
          <w:szCs w:val="24"/>
        </w:rPr>
        <w:t>Icardi</w:t>
      </w:r>
      <w:proofErr w:type="spellEnd"/>
      <w:r w:rsidRPr="001E48D5">
        <w:rPr>
          <w:rFonts w:ascii="Book Antiqua" w:hAnsi="Book Antiqua"/>
          <w:sz w:val="24"/>
          <w:szCs w:val="24"/>
        </w:rPr>
        <w:t xml:space="preserve"> G, </w:t>
      </w:r>
      <w:proofErr w:type="spellStart"/>
      <w:r w:rsidRPr="001E48D5">
        <w:rPr>
          <w:rFonts w:ascii="Book Antiqua" w:hAnsi="Book Antiqua"/>
          <w:sz w:val="24"/>
          <w:szCs w:val="24"/>
        </w:rPr>
        <w:t>Bruzzone</w:t>
      </w:r>
      <w:proofErr w:type="spellEnd"/>
      <w:r w:rsidRPr="001E48D5">
        <w:rPr>
          <w:rFonts w:ascii="Book Antiqua" w:hAnsi="Book Antiqua"/>
          <w:sz w:val="24"/>
          <w:szCs w:val="24"/>
        </w:rPr>
        <w:t xml:space="preserve"> B. Overview of hepatitis B virus mutations and their implications in the management of infection. </w:t>
      </w:r>
      <w:r w:rsidRPr="001E48D5">
        <w:rPr>
          <w:rFonts w:ascii="Book Antiqua" w:hAnsi="Book Antiqua"/>
          <w:i/>
          <w:sz w:val="24"/>
          <w:szCs w:val="24"/>
        </w:rPr>
        <w:t xml:space="preserve">World J </w:t>
      </w:r>
      <w:proofErr w:type="spellStart"/>
      <w:r w:rsidRPr="001E48D5">
        <w:rPr>
          <w:rFonts w:ascii="Book Antiqua" w:hAnsi="Book Antiqua"/>
          <w:i/>
          <w:sz w:val="24"/>
          <w:szCs w:val="24"/>
        </w:rPr>
        <w:t>Gastroenterol</w:t>
      </w:r>
      <w:proofErr w:type="spellEnd"/>
      <w:r w:rsidRPr="001E48D5">
        <w:rPr>
          <w:rFonts w:ascii="Book Antiqua" w:hAnsi="Book Antiqua"/>
          <w:sz w:val="24"/>
          <w:szCs w:val="24"/>
        </w:rPr>
        <w:t xml:space="preserve"> 2016; </w:t>
      </w:r>
      <w:r w:rsidRPr="001E48D5">
        <w:rPr>
          <w:rFonts w:ascii="Book Antiqua" w:hAnsi="Book Antiqua"/>
          <w:b/>
          <w:sz w:val="24"/>
          <w:szCs w:val="24"/>
        </w:rPr>
        <w:t>22</w:t>
      </w:r>
      <w:r w:rsidRPr="001E48D5">
        <w:rPr>
          <w:rFonts w:ascii="Book Antiqua" w:hAnsi="Book Antiqua"/>
          <w:sz w:val="24"/>
          <w:szCs w:val="24"/>
        </w:rPr>
        <w:t>: 145-154 [PMID: 26755866 DOI: 10.3748/wjg.v22.i1.145]</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28 </w:t>
      </w:r>
      <w:proofErr w:type="spellStart"/>
      <w:r w:rsidRPr="001E48D5">
        <w:rPr>
          <w:rFonts w:ascii="Book Antiqua" w:hAnsi="Book Antiqua"/>
          <w:b/>
          <w:sz w:val="24"/>
          <w:szCs w:val="24"/>
        </w:rPr>
        <w:t>Chakrabarti</w:t>
      </w:r>
      <w:proofErr w:type="spellEnd"/>
      <w:r w:rsidRPr="001E48D5">
        <w:rPr>
          <w:rFonts w:ascii="Book Antiqua" w:hAnsi="Book Antiqua"/>
          <w:b/>
          <w:sz w:val="24"/>
          <w:szCs w:val="24"/>
        </w:rPr>
        <w:t xml:space="preserve"> S</w:t>
      </w:r>
      <w:r w:rsidRPr="001E48D5">
        <w:rPr>
          <w:rFonts w:ascii="Book Antiqua" w:hAnsi="Book Antiqua"/>
          <w:sz w:val="24"/>
          <w:szCs w:val="24"/>
        </w:rPr>
        <w:t>, Mukherjee S. Prevention and treatment of hepatitis virus infections in hematopoietic stem cell transplant recipients.</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Mediterr</w:t>
      </w:r>
      <w:proofErr w:type="spellEnd"/>
      <w:r w:rsidRPr="001E48D5">
        <w:rPr>
          <w:rFonts w:ascii="Book Antiqua" w:hAnsi="Book Antiqua"/>
          <w:i/>
          <w:sz w:val="24"/>
          <w:szCs w:val="24"/>
        </w:rPr>
        <w:t xml:space="preserve"> J </w:t>
      </w:r>
      <w:proofErr w:type="spellStart"/>
      <w:r w:rsidRPr="001E48D5">
        <w:rPr>
          <w:rFonts w:ascii="Book Antiqua" w:hAnsi="Book Antiqua"/>
          <w:i/>
          <w:sz w:val="24"/>
          <w:szCs w:val="24"/>
        </w:rPr>
        <w:t>Hematol</w:t>
      </w:r>
      <w:proofErr w:type="spellEnd"/>
      <w:r w:rsidRPr="001E48D5">
        <w:rPr>
          <w:rFonts w:ascii="Book Antiqua" w:hAnsi="Book Antiqua"/>
          <w:i/>
          <w:sz w:val="24"/>
          <w:szCs w:val="24"/>
        </w:rPr>
        <w:t xml:space="preserve"> Infect Dis</w:t>
      </w:r>
      <w:r w:rsidRPr="001E48D5">
        <w:rPr>
          <w:rFonts w:ascii="Book Antiqua" w:hAnsi="Book Antiqua"/>
          <w:sz w:val="24"/>
          <w:szCs w:val="24"/>
        </w:rPr>
        <w:t xml:space="preserve"> 2009; </w:t>
      </w:r>
      <w:r w:rsidRPr="001E48D5">
        <w:rPr>
          <w:rFonts w:ascii="Book Antiqua" w:hAnsi="Book Antiqua"/>
          <w:b/>
          <w:sz w:val="24"/>
          <w:szCs w:val="24"/>
        </w:rPr>
        <w:t>1</w:t>
      </w:r>
      <w:r w:rsidRPr="001E48D5">
        <w:rPr>
          <w:rFonts w:ascii="Book Antiqua" w:hAnsi="Book Antiqua"/>
          <w:sz w:val="24"/>
          <w:szCs w:val="24"/>
        </w:rPr>
        <w:t>: e2009017 [PMID: 21415956 DOI: 10.4084/MJHID.2009.017]</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29 </w:t>
      </w:r>
      <w:proofErr w:type="spellStart"/>
      <w:r w:rsidRPr="001E48D5">
        <w:rPr>
          <w:rFonts w:ascii="Book Antiqua" w:hAnsi="Book Antiqua"/>
          <w:b/>
          <w:sz w:val="24"/>
          <w:szCs w:val="24"/>
        </w:rPr>
        <w:t>Locasciulli</w:t>
      </w:r>
      <w:proofErr w:type="spellEnd"/>
      <w:r w:rsidRPr="001E48D5">
        <w:rPr>
          <w:rFonts w:ascii="Book Antiqua" w:hAnsi="Book Antiqua"/>
          <w:b/>
          <w:sz w:val="24"/>
          <w:szCs w:val="24"/>
        </w:rPr>
        <w:t xml:space="preserve"> A</w:t>
      </w:r>
      <w:r w:rsidRPr="001E48D5">
        <w:rPr>
          <w:rFonts w:ascii="Book Antiqua" w:hAnsi="Book Antiqua"/>
          <w:sz w:val="24"/>
          <w:szCs w:val="24"/>
        </w:rPr>
        <w:t xml:space="preserve">, </w:t>
      </w:r>
      <w:proofErr w:type="spellStart"/>
      <w:r w:rsidRPr="001E48D5">
        <w:rPr>
          <w:rFonts w:ascii="Book Antiqua" w:hAnsi="Book Antiqua"/>
          <w:sz w:val="24"/>
          <w:szCs w:val="24"/>
        </w:rPr>
        <w:t>Montante</w:t>
      </w:r>
      <w:proofErr w:type="spellEnd"/>
      <w:r w:rsidRPr="001E48D5">
        <w:rPr>
          <w:rFonts w:ascii="Book Antiqua" w:hAnsi="Book Antiqua"/>
          <w:sz w:val="24"/>
          <w:szCs w:val="24"/>
        </w:rPr>
        <w:t xml:space="preserve"> B, </w:t>
      </w:r>
      <w:proofErr w:type="spellStart"/>
      <w:r w:rsidRPr="001E48D5">
        <w:rPr>
          <w:rFonts w:ascii="Book Antiqua" w:hAnsi="Book Antiqua"/>
          <w:sz w:val="24"/>
          <w:szCs w:val="24"/>
        </w:rPr>
        <w:t>Morelli</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Gulino</w:t>
      </w:r>
      <w:proofErr w:type="spellEnd"/>
      <w:r w:rsidRPr="001E48D5">
        <w:rPr>
          <w:rFonts w:ascii="Book Antiqua" w:hAnsi="Book Antiqua"/>
          <w:sz w:val="24"/>
          <w:szCs w:val="24"/>
        </w:rPr>
        <w:t xml:space="preserve"> V, </w:t>
      </w:r>
      <w:proofErr w:type="spellStart"/>
      <w:r w:rsidRPr="001E48D5">
        <w:rPr>
          <w:rFonts w:ascii="Book Antiqua" w:hAnsi="Book Antiqua"/>
          <w:sz w:val="24"/>
          <w:szCs w:val="24"/>
        </w:rPr>
        <w:t>Proia</w:t>
      </w:r>
      <w:proofErr w:type="spellEnd"/>
      <w:r w:rsidRPr="001E48D5">
        <w:rPr>
          <w:rFonts w:ascii="Book Antiqua" w:hAnsi="Book Antiqua"/>
          <w:sz w:val="24"/>
          <w:szCs w:val="24"/>
        </w:rPr>
        <w:t xml:space="preserve"> A, </w:t>
      </w:r>
      <w:proofErr w:type="spellStart"/>
      <w:r w:rsidRPr="001E48D5">
        <w:rPr>
          <w:rFonts w:ascii="Book Antiqua" w:hAnsi="Book Antiqua"/>
          <w:sz w:val="24"/>
          <w:szCs w:val="24"/>
        </w:rPr>
        <w:t>Pinazzi</w:t>
      </w:r>
      <w:proofErr w:type="spellEnd"/>
      <w:r w:rsidRPr="001E48D5">
        <w:rPr>
          <w:rFonts w:ascii="Book Antiqua" w:hAnsi="Book Antiqua"/>
          <w:sz w:val="24"/>
          <w:szCs w:val="24"/>
        </w:rPr>
        <w:t xml:space="preserve"> MB. Hepatitis B and C in hematopoietic stem cell transplant. </w:t>
      </w:r>
      <w:proofErr w:type="spellStart"/>
      <w:r w:rsidRPr="001E48D5">
        <w:rPr>
          <w:rFonts w:ascii="Book Antiqua" w:hAnsi="Book Antiqua"/>
          <w:i/>
          <w:sz w:val="24"/>
          <w:szCs w:val="24"/>
        </w:rPr>
        <w:t>Mediterr</w:t>
      </w:r>
      <w:proofErr w:type="spellEnd"/>
      <w:r w:rsidRPr="001E48D5">
        <w:rPr>
          <w:rFonts w:ascii="Book Antiqua" w:hAnsi="Book Antiqua"/>
          <w:i/>
          <w:sz w:val="24"/>
          <w:szCs w:val="24"/>
        </w:rPr>
        <w:t xml:space="preserve"> J </w:t>
      </w:r>
      <w:proofErr w:type="spellStart"/>
      <w:r w:rsidRPr="001E48D5">
        <w:rPr>
          <w:rFonts w:ascii="Book Antiqua" w:hAnsi="Book Antiqua"/>
          <w:i/>
          <w:sz w:val="24"/>
          <w:szCs w:val="24"/>
        </w:rPr>
        <w:t>Hematol</w:t>
      </w:r>
      <w:proofErr w:type="spellEnd"/>
      <w:r w:rsidRPr="001E48D5">
        <w:rPr>
          <w:rFonts w:ascii="Book Antiqua" w:hAnsi="Book Antiqua"/>
          <w:i/>
          <w:sz w:val="24"/>
          <w:szCs w:val="24"/>
        </w:rPr>
        <w:t xml:space="preserve"> Infect Dis</w:t>
      </w:r>
      <w:r w:rsidRPr="001E48D5">
        <w:rPr>
          <w:rFonts w:ascii="Book Antiqua" w:hAnsi="Book Antiqua"/>
          <w:sz w:val="24"/>
          <w:szCs w:val="24"/>
        </w:rPr>
        <w:t xml:space="preserve"> 2009; </w:t>
      </w:r>
      <w:r w:rsidRPr="001E48D5">
        <w:rPr>
          <w:rFonts w:ascii="Book Antiqua" w:hAnsi="Book Antiqua"/>
          <w:b/>
          <w:sz w:val="24"/>
          <w:szCs w:val="24"/>
        </w:rPr>
        <w:t>1</w:t>
      </w:r>
      <w:r w:rsidRPr="001E48D5">
        <w:rPr>
          <w:rFonts w:ascii="Book Antiqua" w:hAnsi="Book Antiqua"/>
          <w:sz w:val="24"/>
          <w:szCs w:val="24"/>
        </w:rPr>
        <w:t>: e2009016 [PMID: 21415955 DOI: 10.4084/MJHID.2009.016]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30 </w:t>
      </w:r>
      <w:r w:rsidRPr="001E48D5">
        <w:rPr>
          <w:rFonts w:ascii="Book Antiqua" w:hAnsi="Book Antiqua"/>
          <w:b/>
          <w:sz w:val="24"/>
          <w:szCs w:val="24"/>
        </w:rPr>
        <w:t>Huang Y</w:t>
      </w:r>
      <w:r w:rsidRPr="001E48D5">
        <w:rPr>
          <w:rFonts w:ascii="Book Antiqua" w:hAnsi="Book Antiqua"/>
          <w:sz w:val="24"/>
          <w:szCs w:val="24"/>
        </w:rPr>
        <w:t xml:space="preserve">, Yan Q, Fan R, Song S, Ren H, Li Y, Lan Y. Hepatitis B Virus Replication in CD34+ Hematopoietic Stem Cells From Umbilical Cord Blood. </w:t>
      </w:r>
      <w:r w:rsidRPr="001E48D5">
        <w:rPr>
          <w:rFonts w:ascii="Book Antiqua" w:hAnsi="Book Antiqua"/>
          <w:i/>
          <w:sz w:val="24"/>
          <w:szCs w:val="24"/>
        </w:rPr>
        <w:t xml:space="preserve">Med </w:t>
      </w:r>
      <w:proofErr w:type="spellStart"/>
      <w:r w:rsidRPr="001E48D5">
        <w:rPr>
          <w:rFonts w:ascii="Book Antiqua" w:hAnsi="Book Antiqua"/>
          <w:i/>
          <w:sz w:val="24"/>
          <w:szCs w:val="24"/>
        </w:rPr>
        <w:t>Sci</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Monit</w:t>
      </w:r>
      <w:proofErr w:type="spellEnd"/>
      <w:r w:rsidRPr="001E48D5">
        <w:rPr>
          <w:rFonts w:ascii="Book Antiqua" w:hAnsi="Book Antiqua"/>
          <w:sz w:val="24"/>
          <w:szCs w:val="24"/>
        </w:rPr>
        <w:t xml:space="preserve"> 2016; </w:t>
      </w:r>
      <w:r w:rsidRPr="001E48D5">
        <w:rPr>
          <w:rFonts w:ascii="Book Antiqua" w:hAnsi="Book Antiqua"/>
          <w:b/>
          <w:sz w:val="24"/>
          <w:szCs w:val="24"/>
        </w:rPr>
        <w:t>22</w:t>
      </w:r>
      <w:r w:rsidRPr="001E48D5">
        <w:rPr>
          <w:rFonts w:ascii="Book Antiqua" w:hAnsi="Book Antiqua"/>
          <w:sz w:val="24"/>
          <w:szCs w:val="24"/>
        </w:rPr>
        <w:t>: 1673-1681 [PMID: 27188537 DOI: 10.12659/MSM.898680]</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31 </w:t>
      </w:r>
      <w:r w:rsidRPr="001E48D5">
        <w:rPr>
          <w:rFonts w:ascii="Book Antiqua" w:hAnsi="Book Antiqua"/>
          <w:b/>
          <w:sz w:val="24"/>
          <w:szCs w:val="24"/>
        </w:rPr>
        <w:t>Borgia G</w:t>
      </w:r>
      <w:r w:rsidRPr="001E48D5">
        <w:rPr>
          <w:rFonts w:ascii="Book Antiqua" w:hAnsi="Book Antiqua"/>
          <w:sz w:val="24"/>
          <w:szCs w:val="24"/>
        </w:rPr>
        <w:t xml:space="preserve">, </w:t>
      </w:r>
      <w:proofErr w:type="spellStart"/>
      <w:r w:rsidRPr="001E48D5">
        <w:rPr>
          <w:rFonts w:ascii="Book Antiqua" w:hAnsi="Book Antiqua"/>
          <w:sz w:val="24"/>
          <w:szCs w:val="24"/>
        </w:rPr>
        <w:t>Maraolo</w:t>
      </w:r>
      <w:proofErr w:type="spellEnd"/>
      <w:r w:rsidRPr="001E48D5">
        <w:rPr>
          <w:rFonts w:ascii="Book Antiqua" w:hAnsi="Book Antiqua"/>
          <w:sz w:val="24"/>
          <w:szCs w:val="24"/>
        </w:rPr>
        <w:t xml:space="preserve"> AE, Gentile I. Hepatitis B mother-to-child transmission and </w:t>
      </w:r>
      <w:proofErr w:type="gramStart"/>
      <w:r w:rsidRPr="001E48D5">
        <w:rPr>
          <w:rFonts w:ascii="Book Antiqua" w:hAnsi="Book Antiqua"/>
          <w:sz w:val="24"/>
          <w:szCs w:val="24"/>
        </w:rPr>
        <w:t>infants</w:t>
      </w:r>
      <w:proofErr w:type="gramEnd"/>
      <w:r w:rsidRPr="001E48D5">
        <w:rPr>
          <w:rFonts w:ascii="Book Antiqua" w:hAnsi="Book Antiqua"/>
          <w:sz w:val="24"/>
          <w:szCs w:val="24"/>
        </w:rPr>
        <w:t xml:space="preserve"> immunization: we have not come to the end of the story yet. </w:t>
      </w:r>
      <w:r w:rsidRPr="001E48D5">
        <w:rPr>
          <w:rFonts w:ascii="Book Antiqua" w:hAnsi="Book Antiqua"/>
          <w:i/>
          <w:sz w:val="24"/>
          <w:szCs w:val="24"/>
        </w:rPr>
        <w:t>Infect Dis (</w:t>
      </w:r>
      <w:proofErr w:type="spellStart"/>
      <w:r w:rsidRPr="001E48D5">
        <w:rPr>
          <w:rFonts w:ascii="Book Antiqua" w:hAnsi="Book Antiqua"/>
          <w:i/>
          <w:sz w:val="24"/>
          <w:szCs w:val="24"/>
        </w:rPr>
        <w:t>Lond</w:t>
      </w:r>
      <w:proofErr w:type="spellEnd"/>
      <w:r w:rsidRPr="001E48D5">
        <w:rPr>
          <w:rFonts w:ascii="Book Antiqua" w:hAnsi="Book Antiqua"/>
          <w:i/>
          <w:sz w:val="24"/>
          <w:szCs w:val="24"/>
        </w:rPr>
        <w:t>)</w:t>
      </w:r>
      <w:r w:rsidRPr="001E48D5">
        <w:rPr>
          <w:rFonts w:ascii="Book Antiqua" w:hAnsi="Book Antiqua"/>
          <w:sz w:val="24"/>
          <w:szCs w:val="24"/>
        </w:rPr>
        <w:t xml:space="preserve"> 2017; </w:t>
      </w:r>
      <w:r w:rsidRPr="001E48D5">
        <w:rPr>
          <w:rFonts w:ascii="Book Antiqua" w:hAnsi="Book Antiqua"/>
          <w:b/>
          <w:sz w:val="24"/>
          <w:szCs w:val="24"/>
        </w:rPr>
        <w:t>49</w:t>
      </w:r>
      <w:r w:rsidRPr="001E48D5">
        <w:rPr>
          <w:rFonts w:ascii="Book Antiqua" w:hAnsi="Book Antiqua"/>
          <w:sz w:val="24"/>
          <w:szCs w:val="24"/>
        </w:rPr>
        <w:t>: 584-587 [PMID: 28316268 DOI: 10.1080/23744235.2017.1303746]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32 </w:t>
      </w:r>
      <w:proofErr w:type="spellStart"/>
      <w:r w:rsidRPr="001E48D5">
        <w:rPr>
          <w:rFonts w:ascii="Book Antiqua" w:hAnsi="Book Antiqua"/>
          <w:b/>
          <w:sz w:val="24"/>
          <w:szCs w:val="24"/>
        </w:rPr>
        <w:t>Mavilia</w:t>
      </w:r>
      <w:proofErr w:type="spellEnd"/>
      <w:r w:rsidRPr="001E48D5">
        <w:rPr>
          <w:rFonts w:ascii="Book Antiqua" w:hAnsi="Book Antiqua"/>
          <w:b/>
          <w:sz w:val="24"/>
          <w:szCs w:val="24"/>
        </w:rPr>
        <w:t xml:space="preserve"> MG</w:t>
      </w:r>
      <w:r w:rsidRPr="001E48D5">
        <w:rPr>
          <w:rFonts w:ascii="Book Antiqua" w:hAnsi="Book Antiqua"/>
          <w:sz w:val="24"/>
          <w:szCs w:val="24"/>
        </w:rPr>
        <w:t xml:space="preserve">, Wu GY. </w:t>
      </w:r>
      <w:proofErr w:type="gramStart"/>
      <w:r w:rsidRPr="001E48D5">
        <w:rPr>
          <w:rFonts w:ascii="Book Antiqua" w:hAnsi="Book Antiqua"/>
          <w:sz w:val="24"/>
          <w:szCs w:val="24"/>
        </w:rPr>
        <w:t>Mechanisms and Prevention of Vertical Transmission in Chronic Viral Hepatitis.</w:t>
      </w:r>
      <w:proofErr w:type="gramEnd"/>
      <w:r w:rsidRPr="001E48D5">
        <w:rPr>
          <w:rFonts w:ascii="Book Antiqua" w:hAnsi="Book Antiqua"/>
          <w:sz w:val="24"/>
          <w:szCs w:val="24"/>
        </w:rPr>
        <w:t xml:space="preserve"> </w:t>
      </w:r>
      <w:r w:rsidRPr="001E48D5">
        <w:rPr>
          <w:rFonts w:ascii="Book Antiqua" w:hAnsi="Book Antiqua"/>
          <w:i/>
          <w:sz w:val="24"/>
          <w:szCs w:val="24"/>
        </w:rPr>
        <w:t xml:space="preserve">J </w:t>
      </w:r>
      <w:proofErr w:type="spellStart"/>
      <w:r w:rsidRPr="001E48D5">
        <w:rPr>
          <w:rFonts w:ascii="Book Antiqua" w:hAnsi="Book Antiqua"/>
          <w:i/>
          <w:sz w:val="24"/>
          <w:szCs w:val="24"/>
        </w:rPr>
        <w:t>Clin</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Transl</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Hepatol</w:t>
      </w:r>
      <w:proofErr w:type="spellEnd"/>
      <w:r w:rsidRPr="001E48D5">
        <w:rPr>
          <w:rFonts w:ascii="Book Antiqua" w:hAnsi="Book Antiqua"/>
          <w:sz w:val="24"/>
          <w:szCs w:val="24"/>
        </w:rPr>
        <w:t xml:space="preserve"> 2017; </w:t>
      </w:r>
      <w:r w:rsidRPr="001E48D5">
        <w:rPr>
          <w:rFonts w:ascii="Book Antiqua" w:hAnsi="Book Antiqua"/>
          <w:b/>
          <w:sz w:val="24"/>
          <w:szCs w:val="24"/>
        </w:rPr>
        <w:t>5</w:t>
      </w:r>
      <w:r w:rsidRPr="001E48D5">
        <w:rPr>
          <w:rFonts w:ascii="Book Antiqua" w:hAnsi="Book Antiqua"/>
          <w:sz w:val="24"/>
          <w:szCs w:val="24"/>
        </w:rPr>
        <w:t>: 119-129 [PMID: 28660149 DOI: 10.14218/JCTH.2016.00067]</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33 </w:t>
      </w:r>
      <w:r w:rsidRPr="001E48D5">
        <w:rPr>
          <w:rFonts w:ascii="Book Antiqua" w:hAnsi="Book Antiqua"/>
          <w:b/>
          <w:sz w:val="24"/>
          <w:szCs w:val="24"/>
        </w:rPr>
        <w:t>Shi Y</w:t>
      </w:r>
      <w:r w:rsidRPr="001E48D5">
        <w:rPr>
          <w:rFonts w:ascii="Book Antiqua" w:hAnsi="Book Antiqua"/>
          <w:sz w:val="24"/>
          <w:szCs w:val="24"/>
        </w:rPr>
        <w:t xml:space="preserve">, Lan Y, Cao F, </w:t>
      </w:r>
      <w:proofErr w:type="spellStart"/>
      <w:r w:rsidRPr="001E48D5">
        <w:rPr>
          <w:rFonts w:ascii="Book Antiqua" w:hAnsi="Book Antiqua"/>
          <w:sz w:val="24"/>
          <w:szCs w:val="24"/>
        </w:rPr>
        <w:t>Teng</w:t>
      </w:r>
      <w:proofErr w:type="spellEnd"/>
      <w:r w:rsidRPr="001E48D5">
        <w:rPr>
          <w:rFonts w:ascii="Book Antiqua" w:hAnsi="Book Antiqua"/>
          <w:sz w:val="24"/>
          <w:szCs w:val="24"/>
        </w:rPr>
        <w:t xml:space="preserve"> Y, Li L, Wang F, Li J, Zhou J, Li Y. Infected hematopoietic stem cells and with integrated HBV DNA generate defective T cells in chronic HBV infection patients. </w:t>
      </w:r>
      <w:r w:rsidRPr="001E48D5">
        <w:rPr>
          <w:rFonts w:ascii="Book Antiqua" w:hAnsi="Book Antiqua"/>
          <w:i/>
          <w:sz w:val="24"/>
          <w:szCs w:val="24"/>
        </w:rPr>
        <w:t xml:space="preserve">J Viral </w:t>
      </w:r>
      <w:proofErr w:type="spellStart"/>
      <w:r w:rsidRPr="001E48D5">
        <w:rPr>
          <w:rFonts w:ascii="Book Antiqua" w:hAnsi="Book Antiqua"/>
          <w:i/>
          <w:sz w:val="24"/>
          <w:szCs w:val="24"/>
        </w:rPr>
        <w:t>Hepat</w:t>
      </w:r>
      <w:proofErr w:type="spellEnd"/>
      <w:r w:rsidRPr="001E48D5">
        <w:rPr>
          <w:rFonts w:ascii="Book Antiqua" w:hAnsi="Book Antiqua"/>
          <w:sz w:val="24"/>
          <w:szCs w:val="24"/>
        </w:rPr>
        <w:t xml:space="preserve"> 2014; </w:t>
      </w:r>
      <w:r w:rsidRPr="001E48D5">
        <w:rPr>
          <w:rFonts w:ascii="Book Antiqua" w:hAnsi="Book Antiqua"/>
          <w:b/>
          <w:sz w:val="24"/>
          <w:szCs w:val="24"/>
        </w:rPr>
        <w:t>21</w:t>
      </w:r>
      <w:r w:rsidRPr="001E48D5">
        <w:rPr>
          <w:rFonts w:ascii="Book Antiqua" w:hAnsi="Book Antiqua"/>
          <w:sz w:val="24"/>
          <w:szCs w:val="24"/>
        </w:rPr>
        <w:t>: e39-e47 [PMID: 24620791 DOI: 10.1111/jvh.12236]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lastRenderedPageBreak/>
        <w:t xml:space="preserve">34 </w:t>
      </w:r>
      <w:proofErr w:type="spellStart"/>
      <w:r w:rsidRPr="001E48D5">
        <w:rPr>
          <w:rFonts w:ascii="Book Antiqua" w:hAnsi="Book Antiqua"/>
          <w:b/>
          <w:sz w:val="24"/>
          <w:szCs w:val="24"/>
        </w:rPr>
        <w:t>Manns</w:t>
      </w:r>
      <w:proofErr w:type="spellEnd"/>
      <w:r w:rsidRPr="001E48D5">
        <w:rPr>
          <w:rFonts w:ascii="Book Antiqua" w:hAnsi="Book Antiqua"/>
          <w:b/>
          <w:sz w:val="24"/>
          <w:szCs w:val="24"/>
        </w:rPr>
        <w:t xml:space="preserve"> MP</w:t>
      </w:r>
      <w:r w:rsidRPr="001E48D5">
        <w:rPr>
          <w:rFonts w:ascii="Book Antiqua" w:hAnsi="Book Antiqua"/>
          <w:sz w:val="24"/>
          <w:szCs w:val="24"/>
        </w:rPr>
        <w:t xml:space="preserve">, </w:t>
      </w:r>
      <w:proofErr w:type="spellStart"/>
      <w:r w:rsidRPr="001E48D5">
        <w:rPr>
          <w:rFonts w:ascii="Book Antiqua" w:hAnsi="Book Antiqua"/>
          <w:sz w:val="24"/>
          <w:szCs w:val="24"/>
        </w:rPr>
        <w:t>Buti</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Gane</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Pawlotsky</w:t>
      </w:r>
      <w:proofErr w:type="spellEnd"/>
      <w:r w:rsidRPr="001E48D5">
        <w:rPr>
          <w:rFonts w:ascii="Book Antiqua" w:hAnsi="Book Antiqua"/>
          <w:sz w:val="24"/>
          <w:szCs w:val="24"/>
        </w:rPr>
        <w:t xml:space="preserve"> JM, </w:t>
      </w:r>
      <w:proofErr w:type="spellStart"/>
      <w:r w:rsidRPr="001E48D5">
        <w:rPr>
          <w:rFonts w:ascii="Book Antiqua" w:hAnsi="Book Antiqua"/>
          <w:sz w:val="24"/>
          <w:szCs w:val="24"/>
        </w:rPr>
        <w:t>Razavi</w:t>
      </w:r>
      <w:proofErr w:type="spellEnd"/>
      <w:r w:rsidRPr="001E48D5">
        <w:rPr>
          <w:rFonts w:ascii="Book Antiqua" w:hAnsi="Book Antiqua"/>
          <w:sz w:val="24"/>
          <w:szCs w:val="24"/>
        </w:rPr>
        <w:t xml:space="preserve"> H, </w:t>
      </w:r>
      <w:proofErr w:type="spellStart"/>
      <w:r w:rsidRPr="001E48D5">
        <w:rPr>
          <w:rFonts w:ascii="Book Antiqua" w:hAnsi="Book Antiqua"/>
          <w:sz w:val="24"/>
          <w:szCs w:val="24"/>
        </w:rPr>
        <w:t>Terrault</w:t>
      </w:r>
      <w:proofErr w:type="spellEnd"/>
      <w:r w:rsidRPr="001E48D5">
        <w:rPr>
          <w:rFonts w:ascii="Book Antiqua" w:hAnsi="Book Antiqua"/>
          <w:sz w:val="24"/>
          <w:szCs w:val="24"/>
        </w:rPr>
        <w:t xml:space="preserve"> N, </w:t>
      </w:r>
      <w:proofErr w:type="spellStart"/>
      <w:r w:rsidRPr="001E48D5">
        <w:rPr>
          <w:rFonts w:ascii="Book Antiqua" w:hAnsi="Book Antiqua"/>
          <w:sz w:val="24"/>
          <w:szCs w:val="24"/>
        </w:rPr>
        <w:t>Younossi</w:t>
      </w:r>
      <w:proofErr w:type="spellEnd"/>
      <w:r w:rsidRPr="001E48D5">
        <w:rPr>
          <w:rFonts w:ascii="Book Antiqua" w:hAnsi="Book Antiqua"/>
          <w:sz w:val="24"/>
          <w:szCs w:val="24"/>
        </w:rPr>
        <w:t xml:space="preserve"> Z. Hepatitis C virus infection. </w:t>
      </w:r>
      <w:r w:rsidRPr="001E48D5">
        <w:rPr>
          <w:rFonts w:ascii="Book Antiqua" w:hAnsi="Book Antiqua"/>
          <w:i/>
          <w:sz w:val="24"/>
          <w:szCs w:val="24"/>
        </w:rPr>
        <w:t>Nat Rev Dis Primers</w:t>
      </w:r>
      <w:r w:rsidRPr="001E48D5">
        <w:rPr>
          <w:rFonts w:ascii="Book Antiqua" w:hAnsi="Book Antiqua"/>
          <w:sz w:val="24"/>
          <w:szCs w:val="24"/>
        </w:rPr>
        <w:t xml:space="preserve"> 2017; </w:t>
      </w:r>
      <w:r w:rsidRPr="001E48D5">
        <w:rPr>
          <w:rFonts w:ascii="Book Antiqua" w:hAnsi="Book Antiqua"/>
          <w:b/>
          <w:sz w:val="24"/>
          <w:szCs w:val="24"/>
        </w:rPr>
        <w:t>3</w:t>
      </w:r>
      <w:r w:rsidRPr="001E48D5">
        <w:rPr>
          <w:rFonts w:ascii="Book Antiqua" w:hAnsi="Book Antiqua"/>
          <w:sz w:val="24"/>
          <w:szCs w:val="24"/>
        </w:rPr>
        <w:t>: 17006 [PMID: 28252637 DOI: 10.1038/nrdp.2017.6]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35 </w:t>
      </w:r>
      <w:proofErr w:type="spellStart"/>
      <w:r w:rsidRPr="001E48D5">
        <w:rPr>
          <w:rFonts w:ascii="Book Antiqua" w:hAnsi="Book Antiqua"/>
          <w:b/>
          <w:sz w:val="24"/>
          <w:szCs w:val="24"/>
        </w:rPr>
        <w:t>Locasciulli</w:t>
      </w:r>
      <w:proofErr w:type="spellEnd"/>
      <w:r w:rsidRPr="001E48D5">
        <w:rPr>
          <w:rFonts w:ascii="Book Antiqua" w:hAnsi="Book Antiqua"/>
          <w:b/>
          <w:sz w:val="24"/>
          <w:szCs w:val="24"/>
        </w:rPr>
        <w:t xml:space="preserve"> A</w:t>
      </w:r>
      <w:r w:rsidRPr="001E48D5">
        <w:rPr>
          <w:rFonts w:ascii="Book Antiqua" w:hAnsi="Book Antiqua"/>
          <w:sz w:val="24"/>
          <w:szCs w:val="24"/>
        </w:rPr>
        <w:t xml:space="preserve">, Bruno B, </w:t>
      </w:r>
      <w:proofErr w:type="spellStart"/>
      <w:r w:rsidRPr="001E48D5">
        <w:rPr>
          <w:rFonts w:ascii="Book Antiqua" w:hAnsi="Book Antiqua"/>
          <w:sz w:val="24"/>
          <w:szCs w:val="24"/>
        </w:rPr>
        <w:t>Alessandrino</w:t>
      </w:r>
      <w:proofErr w:type="spellEnd"/>
      <w:r w:rsidRPr="001E48D5">
        <w:rPr>
          <w:rFonts w:ascii="Book Antiqua" w:hAnsi="Book Antiqua"/>
          <w:sz w:val="24"/>
          <w:szCs w:val="24"/>
        </w:rPr>
        <w:t xml:space="preserve"> EP, </w:t>
      </w:r>
      <w:proofErr w:type="spellStart"/>
      <w:r w:rsidRPr="001E48D5">
        <w:rPr>
          <w:rFonts w:ascii="Book Antiqua" w:hAnsi="Book Antiqua"/>
          <w:sz w:val="24"/>
          <w:szCs w:val="24"/>
        </w:rPr>
        <w:t>Meloni</w:t>
      </w:r>
      <w:proofErr w:type="spellEnd"/>
      <w:r w:rsidRPr="001E48D5">
        <w:rPr>
          <w:rFonts w:ascii="Book Antiqua" w:hAnsi="Book Antiqua"/>
          <w:sz w:val="24"/>
          <w:szCs w:val="24"/>
        </w:rPr>
        <w:t xml:space="preserve"> G, </w:t>
      </w:r>
      <w:proofErr w:type="spellStart"/>
      <w:r w:rsidRPr="001E48D5">
        <w:rPr>
          <w:rFonts w:ascii="Book Antiqua" w:hAnsi="Book Antiqua"/>
          <w:sz w:val="24"/>
          <w:szCs w:val="24"/>
        </w:rPr>
        <w:t>Arcese</w:t>
      </w:r>
      <w:proofErr w:type="spellEnd"/>
      <w:r w:rsidRPr="001E48D5">
        <w:rPr>
          <w:rFonts w:ascii="Book Antiqua" w:hAnsi="Book Antiqua"/>
          <w:sz w:val="24"/>
          <w:szCs w:val="24"/>
        </w:rPr>
        <w:t xml:space="preserve"> W, </w:t>
      </w:r>
      <w:proofErr w:type="spellStart"/>
      <w:r w:rsidRPr="001E48D5">
        <w:rPr>
          <w:rFonts w:ascii="Book Antiqua" w:hAnsi="Book Antiqua"/>
          <w:sz w:val="24"/>
          <w:szCs w:val="24"/>
        </w:rPr>
        <w:t>Bandini</w:t>
      </w:r>
      <w:proofErr w:type="spellEnd"/>
      <w:r w:rsidRPr="001E48D5">
        <w:rPr>
          <w:rFonts w:ascii="Book Antiqua" w:hAnsi="Book Antiqua"/>
          <w:sz w:val="24"/>
          <w:szCs w:val="24"/>
        </w:rPr>
        <w:t xml:space="preserve"> G, </w:t>
      </w:r>
      <w:proofErr w:type="spellStart"/>
      <w:r w:rsidRPr="001E48D5">
        <w:rPr>
          <w:rFonts w:ascii="Book Antiqua" w:hAnsi="Book Antiqua"/>
          <w:sz w:val="24"/>
          <w:szCs w:val="24"/>
        </w:rPr>
        <w:t>Cassibba</w:t>
      </w:r>
      <w:proofErr w:type="spellEnd"/>
      <w:r w:rsidRPr="001E48D5">
        <w:rPr>
          <w:rFonts w:ascii="Book Antiqua" w:hAnsi="Book Antiqua"/>
          <w:sz w:val="24"/>
          <w:szCs w:val="24"/>
        </w:rPr>
        <w:t xml:space="preserve"> V, </w:t>
      </w:r>
      <w:proofErr w:type="spellStart"/>
      <w:r w:rsidRPr="001E48D5">
        <w:rPr>
          <w:rFonts w:ascii="Book Antiqua" w:hAnsi="Book Antiqua"/>
          <w:sz w:val="24"/>
          <w:szCs w:val="24"/>
        </w:rPr>
        <w:t>Rotoli</w:t>
      </w:r>
      <w:proofErr w:type="spellEnd"/>
      <w:r w:rsidRPr="001E48D5">
        <w:rPr>
          <w:rFonts w:ascii="Book Antiqua" w:hAnsi="Book Antiqua"/>
          <w:sz w:val="24"/>
          <w:szCs w:val="24"/>
        </w:rPr>
        <w:t xml:space="preserve"> B, </w:t>
      </w:r>
      <w:proofErr w:type="spellStart"/>
      <w:r w:rsidRPr="001E48D5">
        <w:rPr>
          <w:rFonts w:ascii="Book Antiqua" w:hAnsi="Book Antiqua"/>
          <w:sz w:val="24"/>
          <w:szCs w:val="24"/>
        </w:rPr>
        <w:t>Morra</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Majolino</w:t>
      </w:r>
      <w:proofErr w:type="spellEnd"/>
      <w:r w:rsidRPr="001E48D5">
        <w:rPr>
          <w:rFonts w:ascii="Book Antiqua" w:hAnsi="Book Antiqua"/>
          <w:sz w:val="24"/>
          <w:szCs w:val="24"/>
        </w:rPr>
        <w:t xml:space="preserve"> I, </w:t>
      </w:r>
      <w:proofErr w:type="spellStart"/>
      <w:r w:rsidRPr="001E48D5">
        <w:rPr>
          <w:rFonts w:ascii="Book Antiqua" w:hAnsi="Book Antiqua"/>
          <w:sz w:val="24"/>
          <w:szCs w:val="24"/>
        </w:rPr>
        <w:t>Alberti</w:t>
      </w:r>
      <w:proofErr w:type="spellEnd"/>
      <w:r w:rsidRPr="001E48D5">
        <w:rPr>
          <w:rFonts w:ascii="Book Antiqua" w:hAnsi="Book Antiqua"/>
          <w:sz w:val="24"/>
          <w:szCs w:val="24"/>
        </w:rPr>
        <w:t xml:space="preserve"> A, </w:t>
      </w:r>
      <w:proofErr w:type="spellStart"/>
      <w:r w:rsidRPr="001E48D5">
        <w:rPr>
          <w:rFonts w:ascii="Book Antiqua" w:hAnsi="Book Antiqua"/>
          <w:sz w:val="24"/>
          <w:szCs w:val="24"/>
        </w:rPr>
        <w:t>Bacigalupo</w:t>
      </w:r>
      <w:proofErr w:type="spellEnd"/>
      <w:r w:rsidRPr="001E48D5">
        <w:rPr>
          <w:rFonts w:ascii="Book Antiqua" w:hAnsi="Book Antiqua"/>
          <w:sz w:val="24"/>
          <w:szCs w:val="24"/>
        </w:rPr>
        <w:t xml:space="preserve"> A; Italian Cooperative Group for Blood and Marrow Transplantation. Hepatitis reactivation and liver failure in </w:t>
      </w:r>
      <w:proofErr w:type="spellStart"/>
      <w:r w:rsidRPr="001E48D5">
        <w:rPr>
          <w:rFonts w:ascii="Book Antiqua" w:hAnsi="Book Antiqua"/>
          <w:sz w:val="24"/>
          <w:szCs w:val="24"/>
        </w:rPr>
        <w:t>haemopoietic</w:t>
      </w:r>
      <w:proofErr w:type="spellEnd"/>
      <w:r w:rsidRPr="001E48D5">
        <w:rPr>
          <w:rFonts w:ascii="Book Antiqua" w:hAnsi="Book Antiqua"/>
          <w:sz w:val="24"/>
          <w:szCs w:val="24"/>
        </w:rPr>
        <w:t xml:space="preserve"> stem cell transplants for hepatitis B virus (HBV)/hepatitis C virus (HCV) positive recipients: a retrospective study by the Italian group for blood and marrow transplantation. </w:t>
      </w:r>
      <w:r w:rsidRPr="001E48D5">
        <w:rPr>
          <w:rFonts w:ascii="Book Antiqua" w:hAnsi="Book Antiqua"/>
          <w:i/>
          <w:sz w:val="24"/>
          <w:szCs w:val="24"/>
        </w:rPr>
        <w:t>Bone Marrow Transplant</w:t>
      </w:r>
      <w:r w:rsidRPr="001E48D5">
        <w:rPr>
          <w:rFonts w:ascii="Book Antiqua" w:hAnsi="Book Antiqua"/>
          <w:sz w:val="24"/>
          <w:szCs w:val="24"/>
        </w:rPr>
        <w:t xml:space="preserve"> 2003; </w:t>
      </w:r>
      <w:r w:rsidRPr="001E48D5">
        <w:rPr>
          <w:rFonts w:ascii="Book Antiqua" w:hAnsi="Book Antiqua"/>
          <w:b/>
          <w:sz w:val="24"/>
          <w:szCs w:val="24"/>
        </w:rPr>
        <w:t>31</w:t>
      </w:r>
      <w:r w:rsidRPr="001E48D5">
        <w:rPr>
          <w:rFonts w:ascii="Book Antiqua" w:hAnsi="Book Antiqua"/>
          <w:sz w:val="24"/>
          <w:szCs w:val="24"/>
        </w:rPr>
        <w:t>: 295-300 [PMID: 12621466 DOI: 10.1038/sj.bmt.1703826]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36 </w:t>
      </w:r>
      <w:proofErr w:type="spellStart"/>
      <w:r w:rsidRPr="001E48D5">
        <w:rPr>
          <w:rFonts w:ascii="Book Antiqua" w:hAnsi="Book Antiqua"/>
          <w:b/>
          <w:sz w:val="24"/>
          <w:szCs w:val="24"/>
        </w:rPr>
        <w:t>Locasciulli</w:t>
      </w:r>
      <w:proofErr w:type="spellEnd"/>
      <w:r w:rsidRPr="001E48D5">
        <w:rPr>
          <w:rFonts w:ascii="Book Antiqua" w:hAnsi="Book Antiqua"/>
          <w:b/>
          <w:sz w:val="24"/>
          <w:szCs w:val="24"/>
        </w:rPr>
        <w:t xml:space="preserve"> A</w:t>
      </w:r>
      <w:r w:rsidRPr="001E48D5">
        <w:rPr>
          <w:rFonts w:ascii="Book Antiqua" w:hAnsi="Book Antiqua"/>
          <w:sz w:val="24"/>
          <w:szCs w:val="24"/>
        </w:rPr>
        <w:t xml:space="preserve">, </w:t>
      </w:r>
      <w:proofErr w:type="spellStart"/>
      <w:r w:rsidRPr="001E48D5">
        <w:rPr>
          <w:rFonts w:ascii="Book Antiqua" w:hAnsi="Book Antiqua"/>
          <w:sz w:val="24"/>
          <w:szCs w:val="24"/>
        </w:rPr>
        <w:t>Testa</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Valsecchi</w:t>
      </w:r>
      <w:proofErr w:type="spellEnd"/>
      <w:r w:rsidRPr="001E48D5">
        <w:rPr>
          <w:rFonts w:ascii="Book Antiqua" w:hAnsi="Book Antiqua"/>
          <w:sz w:val="24"/>
          <w:szCs w:val="24"/>
        </w:rPr>
        <w:t xml:space="preserve"> MG, </w:t>
      </w:r>
      <w:proofErr w:type="spellStart"/>
      <w:r w:rsidRPr="001E48D5">
        <w:rPr>
          <w:rFonts w:ascii="Book Antiqua" w:hAnsi="Book Antiqua"/>
          <w:sz w:val="24"/>
          <w:szCs w:val="24"/>
        </w:rPr>
        <w:t>Bacigalupo</w:t>
      </w:r>
      <w:proofErr w:type="spellEnd"/>
      <w:r w:rsidRPr="001E48D5">
        <w:rPr>
          <w:rFonts w:ascii="Book Antiqua" w:hAnsi="Book Antiqua"/>
          <w:sz w:val="24"/>
          <w:szCs w:val="24"/>
        </w:rPr>
        <w:t xml:space="preserve"> A, </w:t>
      </w:r>
      <w:proofErr w:type="spellStart"/>
      <w:r w:rsidRPr="001E48D5">
        <w:rPr>
          <w:rFonts w:ascii="Book Antiqua" w:hAnsi="Book Antiqua"/>
          <w:sz w:val="24"/>
          <w:szCs w:val="24"/>
        </w:rPr>
        <w:t>Solinas</w:t>
      </w:r>
      <w:proofErr w:type="spellEnd"/>
      <w:r w:rsidRPr="001E48D5">
        <w:rPr>
          <w:rFonts w:ascii="Book Antiqua" w:hAnsi="Book Antiqua"/>
          <w:sz w:val="24"/>
          <w:szCs w:val="24"/>
        </w:rPr>
        <w:t xml:space="preserve"> S, Tomas JF, </w:t>
      </w:r>
      <w:proofErr w:type="spellStart"/>
      <w:r w:rsidRPr="001E48D5">
        <w:rPr>
          <w:rFonts w:ascii="Book Antiqua" w:hAnsi="Book Antiqua"/>
          <w:sz w:val="24"/>
          <w:szCs w:val="24"/>
        </w:rPr>
        <w:t>Ljungman</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Alberti</w:t>
      </w:r>
      <w:proofErr w:type="spellEnd"/>
      <w:r w:rsidRPr="001E48D5">
        <w:rPr>
          <w:rFonts w:ascii="Book Antiqua" w:hAnsi="Book Antiqua"/>
          <w:sz w:val="24"/>
          <w:szCs w:val="24"/>
        </w:rPr>
        <w:t xml:space="preserve"> A. The role of hepatitis C and B virus infections as risk factors for severe liver complications following allogeneic BMT: a prospective study by the Infectious Disease Working Party of the European Blood and Marrow Transplantation Group. </w:t>
      </w:r>
      <w:r w:rsidRPr="001E48D5">
        <w:rPr>
          <w:rFonts w:ascii="Book Antiqua" w:hAnsi="Book Antiqua"/>
          <w:i/>
          <w:sz w:val="24"/>
          <w:szCs w:val="24"/>
        </w:rPr>
        <w:t>Transplantation</w:t>
      </w:r>
      <w:r w:rsidRPr="001E48D5">
        <w:rPr>
          <w:rFonts w:ascii="Book Antiqua" w:hAnsi="Book Antiqua"/>
          <w:sz w:val="24"/>
          <w:szCs w:val="24"/>
        </w:rPr>
        <w:t xml:space="preserve"> 1999; </w:t>
      </w:r>
      <w:r w:rsidRPr="001E48D5">
        <w:rPr>
          <w:rFonts w:ascii="Book Antiqua" w:hAnsi="Book Antiqua"/>
          <w:b/>
          <w:sz w:val="24"/>
          <w:szCs w:val="24"/>
        </w:rPr>
        <w:t>68</w:t>
      </w:r>
      <w:r w:rsidRPr="001E48D5">
        <w:rPr>
          <w:rFonts w:ascii="Book Antiqua" w:hAnsi="Book Antiqua"/>
          <w:sz w:val="24"/>
          <w:szCs w:val="24"/>
        </w:rPr>
        <w:t>: 1486-1491 [PMID: 10589944]</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37 </w:t>
      </w:r>
      <w:proofErr w:type="spellStart"/>
      <w:r w:rsidRPr="001E48D5">
        <w:rPr>
          <w:rFonts w:ascii="Book Antiqua" w:hAnsi="Book Antiqua"/>
          <w:b/>
          <w:sz w:val="24"/>
          <w:szCs w:val="24"/>
        </w:rPr>
        <w:t>Shuhart</w:t>
      </w:r>
      <w:proofErr w:type="spellEnd"/>
      <w:r w:rsidRPr="001E48D5">
        <w:rPr>
          <w:rFonts w:ascii="Book Antiqua" w:hAnsi="Book Antiqua"/>
          <w:b/>
          <w:sz w:val="24"/>
          <w:szCs w:val="24"/>
        </w:rPr>
        <w:t xml:space="preserve"> MC</w:t>
      </w:r>
      <w:r w:rsidRPr="001E48D5">
        <w:rPr>
          <w:rFonts w:ascii="Book Antiqua" w:hAnsi="Book Antiqua"/>
          <w:sz w:val="24"/>
          <w:szCs w:val="24"/>
        </w:rPr>
        <w:t xml:space="preserve">, Myerson D, Childs BH, </w:t>
      </w:r>
      <w:proofErr w:type="spellStart"/>
      <w:r w:rsidRPr="001E48D5">
        <w:rPr>
          <w:rFonts w:ascii="Book Antiqua" w:hAnsi="Book Antiqua"/>
          <w:sz w:val="24"/>
          <w:szCs w:val="24"/>
        </w:rPr>
        <w:t>Fingeroth</w:t>
      </w:r>
      <w:proofErr w:type="spellEnd"/>
      <w:r w:rsidRPr="001E48D5">
        <w:rPr>
          <w:rFonts w:ascii="Book Antiqua" w:hAnsi="Book Antiqua"/>
          <w:sz w:val="24"/>
          <w:szCs w:val="24"/>
        </w:rPr>
        <w:t xml:space="preserve"> JD, Perry JJ, Snyder DS, Spurgeon CL, Bevan CA, McDonald GB.</w:t>
      </w:r>
      <w:proofErr w:type="gramEnd"/>
      <w:r w:rsidRPr="001E48D5">
        <w:rPr>
          <w:rFonts w:ascii="Book Antiqua" w:hAnsi="Book Antiqua"/>
          <w:sz w:val="24"/>
          <w:szCs w:val="24"/>
        </w:rPr>
        <w:t xml:space="preserve"> Marrow transplantation from hepatitis C virus seropositive donors: transmission rate and clinical course. </w:t>
      </w:r>
      <w:r w:rsidRPr="001E48D5">
        <w:rPr>
          <w:rFonts w:ascii="Book Antiqua" w:hAnsi="Book Antiqua"/>
          <w:i/>
          <w:sz w:val="24"/>
          <w:szCs w:val="24"/>
        </w:rPr>
        <w:t>Blood</w:t>
      </w:r>
      <w:r w:rsidRPr="001E48D5">
        <w:rPr>
          <w:rFonts w:ascii="Book Antiqua" w:hAnsi="Book Antiqua"/>
          <w:sz w:val="24"/>
          <w:szCs w:val="24"/>
        </w:rPr>
        <w:t xml:space="preserve"> 1994; </w:t>
      </w:r>
      <w:r w:rsidRPr="001E48D5">
        <w:rPr>
          <w:rFonts w:ascii="Book Antiqua" w:hAnsi="Book Antiqua"/>
          <w:b/>
          <w:sz w:val="24"/>
          <w:szCs w:val="24"/>
        </w:rPr>
        <w:t>84</w:t>
      </w:r>
      <w:r w:rsidRPr="001E48D5">
        <w:rPr>
          <w:rFonts w:ascii="Book Antiqua" w:hAnsi="Book Antiqua"/>
          <w:sz w:val="24"/>
          <w:szCs w:val="24"/>
        </w:rPr>
        <w:t>: 3229-3235 [PMID: 7949194]</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38 </w:t>
      </w:r>
      <w:proofErr w:type="spellStart"/>
      <w:r w:rsidRPr="001E48D5">
        <w:rPr>
          <w:rFonts w:ascii="Book Antiqua" w:hAnsi="Book Antiqua"/>
          <w:b/>
          <w:sz w:val="24"/>
          <w:szCs w:val="24"/>
        </w:rPr>
        <w:t>Pascutti</w:t>
      </w:r>
      <w:proofErr w:type="spellEnd"/>
      <w:r w:rsidRPr="001E48D5">
        <w:rPr>
          <w:rFonts w:ascii="Book Antiqua" w:hAnsi="Book Antiqua"/>
          <w:b/>
          <w:sz w:val="24"/>
          <w:szCs w:val="24"/>
        </w:rPr>
        <w:t xml:space="preserve"> MF</w:t>
      </w:r>
      <w:r w:rsidRPr="001E48D5">
        <w:rPr>
          <w:rFonts w:ascii="Book Antiqua" w:hAnsi="Book Antiqua"/>
          <w:sz w:val="24"/>
          <w:szCs w:val="24"/>
        </w:rPr>
        <w:t xml:space="preserve">, </w:t>
      </w:r>
      <w:proofErr w:type="spellStart"/>
      <w:r w:rsidRPr="001E48D5">
        <w:rPr>
          <w:rFonts w:ascii="Book Antiqua" w:hAnsi="Book Antiqua"/>
          <w:sz w:val="24"/>
          <w:szCs w:val="24"/>
        </w:rPr>
        <w:t>Erkelens</w:t>
      </w:r>
      <w:proofErr w:type="spellEnd"/>
      <w:r w:rsidRPr="001E48D5">
        <w:rPr>
          <w:rFonts w:ascii="Book Antiqua" w:hAnsi="Book Antiqua"/>
          <w:sz w:val="24"/>
          <w:szCs w:val="24"/>
        </w:rPr>
        <w:t xml:space="preserve"> MN, Nolte MA.</w:t>
      </w:r>
      <w:proofErr w:type="gramEnd"/>
      <w:r w:rsidRPr="001E48D5">
        <w:rPr>
          <w:rFonts w:ascii="Book Antiqua" w:hAnsi="Book Antiqua"/>
          <w:sz w:val="24"/>
          <w:szCs w:val="24"/>
        </w:rPr>
        <w:t xml:space="preserve"> Impact of Viral Infections on Hematopoiesis: From Beneficial to Detrimental Effects on Bone Marrow Output. </w:t>
      </w:r>
      <w:r w:rsidRPr="001E48D5">
        <w:rPr>
          <w:rFonts w:ascii="Book Antiqua" w:hAnsi="Book Antiqua"/>
          <w:i/>
          <w:sz w:val="24"/>
          <w:szCs w:val="24"/>
        </w:rPr>
        <w:t xml:space="preserve">Front </w:t>
      </w:r>
      <w:proofErr w:type="spellStart"/>
      <w:r w:rsidRPr="001E48D5">
        <w:rPr>
          <w:rFonts w:ascii="Book Antiqua" w:hAnsi="Book Antiqua"/>
          <w:i/>
          <w:sz w:val="24"/>
          <w:szCs w:val="24"/>
        </w:rPr>
        <w:t>Immunol</w:t>
      </w:r>
      <w:proofErr w:type="spellEnd"/>
      <w:r w:rsidRPr="001E48D5">
        <w:rPr>
          <w:rFonts w:ascii="Book Antiqua" w:hAnsi="Book Antiqua"/>
          <w:sz w:val="24"/>
          <w:szCs w:val="24"/>
        </w:rPr>
        <w:t xml:space="preserve"> 2016; </w:t>
      </w:r>
      <w:r w:rsidRPr="001E48D5">
        <w:rPr>
          <w:rFonts w:ascii="Book Antiqua" w:hAnsi="Book Antiqua"/>
          <w:b/>
          <w:sz w:val="24"/>
          <w:szCs w:val="24"/>
        </w:rPr>
        <w:t>7</w:t>
      </w:r>
      <w:r w:rsidRPr="001E48D5">
        <w:rPr>
          <w:rFonts w:ascii="Book Antiqua" w:hAnsi="Book Antiqua"/>
          <w:sz w:val="24"/>
          <w:szCs w:val="24"/>
        </w:rPr>
        <w:t>: 364 [PMID: 27695457 DOI: 10.3389/fimmu.2016.00364]</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39 </w:t>
      </w:r>
      <w:proofErr w:type="spellStart"/>
      <w:r w:rsidRPr="001E48D5">
        <w:rPr>
          <w:rFonts w:ascii="Book Antiqua" w:hAnsi="Book Antiqua"/>
          <w:b/>
          <w:sz w:val="24"/>
          <w:szCs w:val="24"/>
        </w:rPr>
        <w:t>Socié</w:t>
      </w:r>
      <w:proofErr w:type="spellEnd"/>
      <w:r w:rsidRPr="001E48D5">
        <w:rPr>
          <w:rFonts w:ascii="Book Antiqua" w:hAnsi="Book Antiqua"/>
          <w:b/>
          <w:sz w:val="24"/>
          <w:szCs w:val="24"/>
        </w:rPr>
        <w:t xml:space="preserve"> G</w:t>
      </w:r>
      <w:r w:rsidRPr="001E48D5">
        <w:rPr>
          <w:rFonts w:ascii="Book Antiqua" w:hAnsi="Book Antiqua"/>
          <w:sz w:val="24"/>
          <w:szCs w:val="24"/>
        </w:rPr>
        <w:t xml:space="preserve">, de </w:t>
      </w:r>
      <w:proofErr w:type="spellStart"/>
      <w:r w:rsidRPr="001E48D5">
        <w:rPr>
          <w:rFonts w:ascii="Book Antiqua" w:hAnsi="Book Antiqua"/>
          <w:sz w:val="24"/>
          <w:szCs w:val="24"/>
        </w:rPr>
        <w:t>Latour</w:t>
      </w:r>
      <w:proofErr w:type="spellEnd"/>
      <w:r w:rsidRPr="001E48D5">
        <w:rPr>
          <w:rFonts w:ascii="Book Antiqua" w:hAnsi="Book Antiqua"/>
          <w:sz w:val="24"/>
          <w:szCs w:val="24"/>
        </w:rPr>
        <w:t xml:space="preserve"> RP, McDonald GB. Hepatitis C virus and allogeneic stem cell transplantation still matters! </w:t>
      </w:r>
      <w:proofErr w:type="spellStart"/>
      <w:r w:rsidRPr="001E48D5">
        <w:rPr>
          <w:rFonts w:ascii="Book Antiqua" w:hAnsi="Book Antiqua"/>
          <w:i/>
          <w:sz w:val="24"/>
          <w:szCs w:val="24"/>
        </w:rPr>
        <w:t>Haematologica</w:t>
      </w:r>
      <w:proofErr w:type="spellEnd"/>
      <w:r w:rsidRPr="001E48D5">
        <w:rPr>
          <w:rFonts w:ascii="Book Antiqua" w:hAnsi="Book Antiqua"/>
          <w:sz w:val="24"/>
          <w:szCs w:val="24"/>
        </w:rPr>
        <w:t xml:space="preserve"> 2009; </w:t>
      </w:r>
      <w:r w:rsidRPr="001E48D5">
        <w:rPr>
          <w:rFonts w:ascii="Book Antiqua" w:hAnsi="Book Antiqua"/>
          <w:b/>
          <w:sz w:val="24"/>
          <w:szCs w:val="24"/>
        </w:rPr>
        <w:t>94</w:t>
      </w:r>
      <w:r w:rsidRPr="001E48D5">
        <w:rPr>
          <w:rFonts w:ascii="Book Antiqua" w:hAnsi="Book Antiqua"/>
          <w:sz w:val="24"/>
          <w:szCs w:val="24"/>
        </w:rPr>
        <w:t>: 170-172 [PMID: 19181791 DOI: 10.3324/haematol.2008.002048]</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40 </w:t>
      </w:r>
      <w:r w:rsidRPr="001E48D5">
        <w:rPr>
          <w:rFonts w:ascii="Book Antiqua" w:hAnsi="Book Antiqua"/>
          <w:b/>
          <w:sz w:val="24"/>
          <w:szCs w:val="24"/>
        </w:rPr>
        <w:t>Thomas P</w:t>
      </w:r>
      <w:r w:rsidRPr="001E48D5">
        <w:rPr>
          <w:rFonts w:ascii="Book Antiqua" w:hAnsi="Book Antiqua"/>
          <w:sz w:val="24"/>
          <w:szCs w:val="24"/>
        </w:rPr>
        <w:t>, Santiago T, Dallas MH.</w:t>
      </w:r>
      <w:proofErr w:type="gramEnd"/>
      <w:r w:rsidRPr="001E48D5">
        <w:rPr>
          <w:rFonts w:ascii="Book Antiqua" w:hAnsi="Book Antiqua"/>
          <w:sz w:val="24"/>
          <w:szCs w:val="24"/>
        </w:rPr>
        <w:t xml:space="preserve"> </w:t>
      </w:r>
      <w:proofErr w:type="gramStart"/>
      <w:r w:rsidRPr="001E48D5">
        <w:rPr>
          <w:rFonts w:ascii="Book Antiqua" w:hAnsi="Book Antiqua"/>
          <w:sz w:val="24"/>
          <w:szCs w:val="24"/>
        </w:rPr>
        <w:t xml:space="preserve">Treatment of hepatitis C in a pediatric patient using </w:t>
      </w:r>
      <w:proofErr w:type="spellStart"/>
      <w:r w:rsidRPr="001E48D5">
        <w:rPr>
          <w:rFonts w:ascii="Book Antiqua" w:hAnsi="Book Antiqua"/>
          <w:sz w:val="24"/>
          <w:szCs w:val="24"/>
        </w:rPr>
        <w:t>simeprevir</w:t>
      </w:r>
      <w:proofErr w:type="spellEnd"/>
      <w:r w:rsidRPr="001E48D5">
        <w:rPr>
          <w:rFonts w:ascii="Book Antiqua" w:hAnsi="Book Antiqua"/>
          <w:sz w:val="24"/>
          <w:szCs w:val="24"/>
        </w:rPr>
        <w:t xml:space="preserve"> and </w:t>
      </w:r>
      <w:proofErr w:type="spellStart"/>
      <w:r w:rsidRPr="001E48D5">
        <w:rPr>
          <w:rFonts w:ascii="Book Antiqua" w:hAnsi="Book Antiqua"/>
          <w:sz w:val="24"/>
          <w:szCs w:val="24"/>
        </w:rPr>
        <w:t>sofosbuvir</w:t>
      </w:r>
      <w:proofErr w:type="spellEnd"/>
      <w:r w:rsidRPr="001E48D5">
        <w:rPr>
          <w:rFonts w:ascii="Book Antiqua" w:hAnsi="Book Antiqua"/>
          <w:sz w:val="24"/>
          <w:szCs w:val="24"/>
        </w:rPr>
        <w:t xml:space="preserve"> immediately after an umbilical cord blood transplantation.</w:t>
      </w:r>
      <w:proofErr w:type="gramEnd"/>
      <w:r w:rsidRPr="001E48D5">
        <w:rPr>
          <w:rFonts w:ascii="Book Antiqua" w:hAnsi="Book Antiqua"/>
          <w:sz w:val="24"/>
          <w:szCs w:val="24"/>
        </w:rPr>
        <w:t xml:space="preserve"> </w:t>
      </w:r>
      <w:r w:rsidRPr="001E48D5">
        <w:rPr>
          <w:rFonts w:ascii="Book Antiqua" w:hAnsi="Book Antiqua"/>
          <w:i/>
          <w:sz w:val="24"/>
          <w:szCs w:val="24"/>
        </w:rPr>
        <w:t>Bone Marrow Transplant</w:t>
      </w:r>
      <w:r w:rsidRPr="001E48D5">
        <w:rPr>
          <w:rFonts w:ascii="Book Antiqua" w:hAnsi="Book Antiqua"/>
          <w:sz w:val="24"/>
          <w:szCs w:val="24"/>
        </w:rPr>
        <w:t xml:space="preserve"> 2016; </w:t>
      </w:r>
      <w:r w:rsidRPr="001E48D5">
        <w:rPr>
          <w:rFonts w:ascii="Book Antiqua" w:hAnsi="Book Antiqua"/>
          <w:b/>
          <w:sz w:val="24"/>
          <w:szCs w:val="24"/>
        </w:rPr>
        <w:t>51</w:t>
      </w:r>
      <w:r w:rsidRPr="001E48D5">
        <w:rPr>
          <w:rFonts w:ascii="Book Antiqua" w:hAnsi="Book Antiqua"/>
          <w:sz w:val="24"/>
          <w:szCs w:val="24"/>
        </w:rPr>
        <w:t>: 735-737 [PMID: 26752145 DOI: 10.1038/bmt.2015.309]</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lastRenderedPageBreak/>
        <w:t xml:space="preserve">41 </w:t>
      </w:r>
      <w:proofErr w:type="spellStart"/>
      <w:r w:rsidRPr="001E48D5">
        <w:rPr>
          <w:rFonts w:ascii="Book Antiqua" w:hAnsi="Book Antiqua"/>
          <w:b/>
          <w:sz w:val="24"/>
          <w:szCs w:val="24"/>
        </w:rPr>
        <w:t>Benova</w:t>
      </w:r>
      <w:proofErr w:type="spellEnd"/>
      <w:r w:rsidRPr="001E48D5">
        <w:rPr>
          <w:rFonts w:ascii="Book Antiqua" w:hAnsi="Book Antiqua"/>
          <w:b/>
          <w:sz w:val="24"/>
          <w:szCs w:val="24"/>
        </w:rPr>
        <w:t xml:space="preserve"> L</w:t>
      </w:r>
      <w:r w:rsidRPr="001E48D5">
        <w:rPr>
          <w:rFonts w:ascii="Book Antiqua" w:hAnsi="Book Antiqua"/>
          <w:sz w:val="24"/>
          <w:szCs w:val="24"/>
        </w:rPr>
        <w:t xml:space="preserve">, </w:t>
      </w:r>
      <w:proofErr w:type="spellStart"/>
      <w:r w:rsidRPr="001E48D5">
        <w:rPr>
          <w:rFonts w:ascii="Book Antiqua" w:hAnsi="Book Antiqua"/>
          <w:sz w:val="24"/>
          <w:szCs w:val="24"/>
        </w:rPr>
        <w:t>Mohamoud</w:t>
      </w:r>
      <w:proofErr w:type="spellEnd"/>
      <w:r w:rsidRPr="001E48D5">
        <w:rPr>
          <w:rFonts w:ascii="Book Antiqua" w:hAnsi="Book Antiqua"/>
          <w:sz w:val="24"/>
          <w:szCs w:val="24"/>
        </w:rPr>
        <w:t xml:space="preserve"> YA, Calvert C, Abu-</w:t>
      </w:r>
      <w:proofErr w:type="spellStart"/>
      <w:r w:rsidRPr="001E48D5">
        <w:rPr>
          <w:rFonts w:ascii="Book Antiqua" w:hAnsi="Book Antiqua"/>
          <w:sz w:val="24"/>
          <w:szCs w:val="24"/>
        </w:rPr>
        <w:t>Raddad</w:t>
      </w:r>
      <w:proofErr w:type="spellEnd"/>
      <w:r w:rsidRPr="001E48D5">
        <w:rPr>
          <w:rFonts w:ascii="Book Antiqua" w:hAnsi="Book Antiqua"/>
          <w:sz w:val="24"/>
          <w:szCs w:val="24"/>
        </w:rPr>
        <w:t xml:space="preserve"> LJ.</w:t>
      </w:r>
      <w:proofErr w:type="gramEnd"/>
      <w:r w:rsidRPr="001E48D5">
        <w:rPr>
          <w:rFonts w:ascii="Book Antiqua" w:hAnsi="Book Antiqua"/>
          <w:sz w:val="24"/>
          <w:szCs w:val="24"/>
        </w:rPr>
        <w:t xml:space="preserve"> Vertical transmission of hepatitis C virus: systematic review and meta-analysis. </w:t>
      </w:r>
      <w:proofErr w:type="spellStart"/>
      <w:r w:rsidRPr="001E48D5">
        <w:rPr>
          <w:rFonts w:ascii="Book Antiqua" w:hAnsi="Book Antiqua"/>
          <w:i/>
          <w:sz w:val="24"/>
          <w:szCs w:val="24"/>
        </w:rPr>
        <w:t>Clin</w:t>
      </w:r>
      <w:proofErr w:type="spellEnd"/>
      <w:r w:rsidRPr="001E48D5">
        <w:rPr>
          <w:rFonts w:ascii="Book Antiqua" w:hAnsi="Book Antiqua"/>
          <w:i/>
          <w:sz w:val="24"/>
          <w:szCs w:val="24"/>
        </w:rPr>
        <w:t xml:space="preserve"> Infect Dis</w:t>
      </w:r>
      <w:r w:rsidRPr="001E48D5">
        <w:rPr>
          <w:rFonts w:ascii="Book Antiqua" w:hAnsi="Book Antiqua"/>
          <w:sz w:val="24"/>
          <w:szCs w:val="24"/>
        </w:rPr>
        <w:t xml:space="preserve"> 2014; </w:t>
      </w:r>
      <w:r w:rsidRPr="001E48D5">
        <w:rPr>
          <w:rFonts w:ascii="Book Antiqua" w:hAnsi="Book Antiqua"/>
          <w:b/>
          <w:sz w:val="24"/>
          <w:szCs w:val="24"/>
        </w:rPr>
        <w:t>59</w:t>
      </w:r>
      <w:r w:rsidRPr="001E48D5">
        <w:rPr>
          <w:rFonts w:ascii="Book Antiqua" w:hAnsi="Book Antiqua"/>
          <w:sz w:val="24"/>
          <w:szCs w:val="24"/>
        </w:rPr>
        <w:t>: 765-773 [PMID: 24928290 DOI: 10.1093/</w:t>
      </w:r>
      <w:proofErr w:type="spellStart"/>
      <w:r w:rsidRPr="001E48D5">
        <w:rPr>
          <w:rFonts w:ascii="Book Antiqua" w:hAnsi="Book Antiqua"/>
          <w:sz w:val="24"/>
          <w:szCs w:val="24"/>
        </w:rPr>
        <w:t>cid</w:t>
      </w:r>
      <w:proofErr w:type="spellEnd"/>
      <w:r w:rsidRPr="001E48D5">
        <w:rPr>
          <w:rFonts w:ascii="Book Antiqua" w:hAnsi="Book Antiqua"/>
          <w:sz w:val="24"/>
          <w:szCs w:val="24"/>
        </w:rPr>
        <w:t>/ciu447]</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42 </w:t>
      </w:r>
      <w:r w:rsidRPr="001E48D5">
        <w:rPr>
          <w:rFonts w:ascii="Book Antiqua" w:hAnsi="Book Antiqua"/>
          <w:b/>
          <w:sz w:val="24"/>
          <w:szCs w:val="24"/>
        </w:rPr>
        <w:t>Kennedy PG</w:t>
      </w:r>
      <w:r w:rsidRPr="001E48D5">
        <w:rPr>
          <w:rFonts w:ascii="Book Antiqua" w:hAnsi="Book Antiqua"/>
          <w:sz w:val="24"/>
          <w:szCs w:val="24"/>
        </w:rPr>
        <w:t xml:space="preserve">, </w:t>
      </w:r>
      <w:proofErr w:type="spellStart"/>
      <w:r w:rsidRPr="001E48D5">
        <w:rPr>
          <w:rFonts w:ascii="Book Antiqua" w:hAnsi="Book Antiqua"/>
          <w:sz w:val="24"/>
          <w:szCs w:val="24"/>
        </w:rPr>
        <w:t>Rovnak</w:t>
      </w:r>
      <w:proofErr w:type="spellEnd"/>
      <w:r w:rsidRPr="001E48D5">
        <w:rPr>
          <w:rFonts w:ascii="Book Antiqua" w:hAnsi="Book Antiqua"/>
          <w:sz w:val="24"/>
          <w:szCs w:val="24"/>
        </w:rPr>
        <w:t xml:space="preserve"> J, </w:t>
      </w:r>
      <w:proofErr w:type="spellStart"/>
      <w:r w:rsidRPr="001E48D5">
        <w:rPr>
          <w:rFonts w:ascii="Book Antiqua" w:hAnsi="Book Antiqua"/>
          <w:sz w:val="24"/>
          <w:szCs w:val="24"/>
        </w:rPr>
        <w:t>Badani</w:t>
      </w:r>
      <w:proofErr w:type="spellEnd"/>
      <w:r w:rsidRPr="001E48D5">
        <w:rPr>
          <w:rFonts w:ascii="Book Antiqua" w:hAnsi="Book Antiqua"/>
          <w:sz w:val="24"/>
          <w:szCs w:val="24"/>
        </w:rPr>
        <w:t xml:space="preserve"> H, Cohrs RJ. </w:t>
      </w:r>
      <w:proofErr w:type="gramStart"/>
      <w:r w:rsidRPr="001E48D5">
        <w:rPr>
          <w:rFonts w:ascii="Book Antiqua" w:hAnsi="Book Antiqua"/>
          <w:sz w:val="24"/>
          <w:szCs w:val="24"/>
        </w:rPr>
        <w:t>A comparison of herpes simplex virus type 1 and varicella-zoster virus latency and reactivation.</w:t>
      </w:r>
      <w:proofErr w:type="gramEnd"/>
      <w:r w:rsidRPr="001E48D5">
        <w:rPr>
          <w:rFonts w:ascii="Book Antiqua" w:hAnsi="Book Antiqua"/>
          <w:sz w:val="24"/>
          <w:szCs w:val="24"/>
        </w:rPr>
        <w:t xml:space="preserve"> </w:t>
      </w:r>
      <w:r w:rsidRPr="001E48D5">
        <w:rPr>
          <w:rFonts w:ascii="Book Antiqua" w:hAnsi="Book Antiqua"/>
          <w:i/>
          <w:sz w:val="24"/>
          <w:szCs w:val="24"/>
        </w:rPr>
        <w:t xml:space="preserve">J Gen </w:t>
      </w:r>
      <w:proofErr w:type="spellStart"/>
      <w:r w:rsidRPr="001E48D5">
        <w:rPr>
          <w:rFonts w:ascii="Book Antiqua" w:hAnsi="Book Antiqua"/>
          <w:i/>
          <w:sz w:val="24"/>
          <w:szCs w:val="24"/>
        </w:rPr>
        <w:t>Virol</w:t>
      </w:r>
      <w:proofErr w:type="spellEnd"/>
      <w:r w:rsidRPr="001E48D5">
        <w:rPr>
          <w:rFonts w:ascii="Book Antiqua" w:hAnsi="Book Antiqua"/>
          <w:sz w:val="24"/>
          <w:szCs w:val="24"/>
        </w:rPr>
        <w:t xml:space="preserve"> 2015; </w:t>
      </w:r>
      <w:r w:rsidRPr="001E48D5">
        <w:rPr>
          <w:rFonts w:ascii="Book Antiqua" w:hAnsi="Book Antiqua"/>
          <w:b/>
          <w:sz w:val="24"/>
          <w:szCs w:val="24"/>
        </w:rPr>
        <w:t>96</w:t>
      </w:r>
      <w:r w:rsidRPr="001E48D5">
        <w:rPr>
          <w:rFonts w:ascii="Book Antiqua" w:hAnsi="Book Antiqua"/>
          <w:sz w:val="24"/>
          <w:szCs w:val="24"/>
        </w:rPr>
        <w:t>: 1581-1602 [PMID: 25794504 DOI: 10.1099/vir.0.000128]</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43 </w:t>
      </w:r>
      <w:r w:rsidRPr="001E48D5">
        <w:rPr>
          <w:rFonts w:ascii="Book Antiqua" w:hAnsi="Book Antiqua"/>
          <w:b/>
          <w:sz w:val="24"/>
          <w:szCs w:val="24"/>
        </w:rPr>
        <w:t>Mueller N,</w:t>
      </w:r>
      <w:r w:rsidR="00DE5DEE" w:rsidRPr="001E48D5">
        <w:rPr>
          <w:rFonts w:ascii="Book Antiqua" w:hAnsi="Book Antiqua"/>
          <w:sz w:val="24"/>
          <w:szCs w:val="24"/>
        </w:rPr>
        <w:t xml:space="preserve"> </w:t>
      </w:r>
      <w:proofErr w:type="spellStart"/>
      <w:r w:rsidRPr="001E48D5">
        <w:rPr>
          <w:rFonts w:ascii="Book Antiqua" w:hAnsi="Book Antiqua"/>
          <w:sz w:val="24"/>
          <w:szCs w:val="24"/>
        </w:rPr>
        <w:t>Gilden</w:t>
      </w:r>
      <w:proofErr w:type="spellEnd"/>
      <w:r w:rsidRPr="001E48D5">
        <w:rPr>
          <w:rFonts w:ascii="Book Antiqua" w:hAnsi="Book Antiqua"/>
          <w:sz w:val="24"/>
          <w:szCs w:val="24"/>
        </w:rPr>
        <w:t xml:space="preserve"> D, </w:t>
      </w:r>
      <w:proofErr w:type="spellStart"/>
      <w:r w:rsidRPr="001E48D5">
        <w:rPr>
          <w:rFonts w:ascii="Book Antiqua" w:hAnsi="Book Antiqua"/>
          <w:sz w:val="24"/>
          <w:szCs w:val="24"/>
        </w:rPr>
        <w:t>Cohrs</w:t>
      </w:r>
      <w:proofErr w:type="spellEnd"/>
      <w:r w:rsidRPr="001E48D5">
        <w:rPr>
          <w:rFonts w:ascii="Book Antiqua" w:hAnsi="Book Antiqua"/>
          <w:sz w:val="24"/>
          <w:szCs w:val="24"/>
        </w:rPr>
        <w:t xml:space="preserve"> R, </w:t>
      </w:r>
      <w:proofErr w:type="spellStart"/>
      <w:r w:rsidRPr="001E48D5">
        <w:rPr>
          <w:rFonts w:ascii="Book Antiqua" w:hAnsi="Book Antiqua"/>
          <w:sz w:val="24"/>
          <w:szCs w:val="24"/>
        </w:rPr>
        <w:t>Mahalingam</w:t>
      </w:r>
      <w:proofErr w:type="spellEnd"/>
      <w:r w:rsidRPr="001E48D5">
        <w:rPr>
          <w:rFonts w:ascii="Book Antiqua" w:hAnsi="Book Antiqua"/>
          <w:sz w:val="24"/>
          <w:szCs w:val="24"/>
        </w:rPr>
        <w:t xml:space="preserve"> R, Nagel M. Varicella zoster virus infection: clinical features, molecular pathogenesis of disease, and laten</w:t>
      </w:r>
      <w:r w:rsidR="00DE5DEE" w:rsidRPr="001E48D5">
        <w:rPr>
          <w:rFonts w:ascii="Book Antiqua" w:hAnsi="Book Antiqua"/>
          <w:sz w:val="24"/>
          <w:szCs w:val="24"/>
        </w:rPr>
        <w:t xml:space="preserve">cy. </w:t>
      </w:r>
      <w:proofErr w:type="spellStart"/>
      <w:r w:rsidR="00DE5DEE" w:rsidRPr="001E48D5">
        <w:rPr>
          <w:rFonts w:ascii="Book Antiqua" w:hAnsi="Book Antiqua"/>
          <w:i/>
          <w:sz w:val="24"/>
          <w:szCs w:val="24"/>
        </w:rPr>
        <w:t>Neurol</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Clin</w:t>
      </w:r>
      <w:proofErr w:type="spellEnd"/>
      <w:r w:rsidRPr="001E48D5">
        <w:rPr>
          <w:rFonts w:ascii="Book Antiqua" w:hAnsi="Book Antiqua"/>
          <w:i/>
          <w:sz w:val="24"/>
          <w:szCs w:val="24"/>
        </w:rPr>
        <w:t xml:space="preserve"> </w:t>
      </w:r>
      <w:r w:rsidRPr="001E48D5">
        <w:rPr>
          <w:rFonts w:ascii="Book Antiqua" w:hAnsi="Book Antiqua"/>
          <w:sz w:val="24"/>
          <w:szCs w:val="24"/>
        </w:rPr>
        <w:t>2008;</w:t>
      </w:r>
      <w:r w:rsidR="00DE5DEE" w:rsidRPr="001E48D5">
        <w:rPr>
          <w:rFonts w:ascii="Book Antiqua" w:hAnsi="Book Antiqua"/>
          <w:sz w:val="24"/>
          <w:szCs w:val="24"/>
          <w:lang w:eastAsia="zh-CN"/>
        </w:rPr>
        <w:t xml:space="preserve"> </w:t>
      </w:r>
      <w:r w:rsidRPr="001E48D5">
        <w:rPr>
          <w:rFonts w:ascii="Book Antiqua" w:hAnsi="Book Antiqua"/>
          <w:b/>
          <w:sz w:val="24"/>
          <w:szCs w:val="24"/>
        </w:rPr>
        <w:t>26</w:t>
      </w:r>
      <w:r w:rsidRPr="001E48D5">
        <w:rPr>
          <w:rFonts w:ascii="Book Antiqua" w:hAnsi="Book Antiqua"/>
          <w:sz w:val="24"/>
          <w:szCs w:val="24"/>
        </w:rPr>
        <w:t>:</w:t>
      </w:r>
      <w:r w:rsidR="00DE5DEE" w:rsidRPr="001E48D5">
        <w:rPr>
          <w:rFonts w:ascii="Book Antiqua" w:hAnsi="Book Antiqua"/>
          <w:sz w:val="24"/>
          <w:szCs w:val="24"/>
          <w:lang w:eastAsia="zh-CN"/>
        </w:rPr>
        <w:t xml:space="preserve"> </w:t>
      </w:r>
      <w:r w:rsidRPr="001E48D5">
        <w:rPr>
          <w:rFonts w:ascii="Book Antiqua" w:hAnsi="Book Antiqua"/>
          <w:sz w:val="24"/>
          <w:szCs w:val="24"/>
        </w:rPr>
        <w:t>675-697 [</w:t>
      </w:r>
      <w:r w:rsidR="00DE5DEE" w:rsidRPr="001E48D5">
        <w:rPr>
          <w:rFonts w:ascii="Book Antiqua" w:hAnsi="Book Antiqua"/>
          <w:sz w:val="24"/>
          <w:szCs w:val="24"/>
        </w:rPr>
        <w:t>DOI</w:t>
      </w:r>
      <w:r w:rsidRPr="001E48D5">
        <w:rPr>
          <w:rFonts w:ascii="Book Antiqua" w:hAnsi="Book Antiqua"/>
          <w:sz w:val="24"/>
          <w:szCs w:val="24"/>
        </w:rPr>
        <w:t>:</w:t>
      </w:r>
      <w:r w:rsidR="00DE5DEE" w:rsidRPr="001E48D5">
        <w:rPr>
          <w:rFonts w:ascii="Book Antiqua" w:hAnsi="Book Antiqua"/>
          <w:sz w:val="24"/>
          <w:szCs w:val="24"/>
          <w:lang w:eastAsia="zh-CN"/>
        </w:rPr>
        <w:t xml:space="preserve"> </w:t>
      </w:r>
      <w:r w:rsidRPr="001E48D5">
        <w:rPr>
          <w:rFonts w:ascii="Book Antiqua" w:hAnsi="Book Antiqua"/>
          <w:sz w:val="24"/>
          <w:szCs w:val="24"/>
        </w:rPr>
        <w:t>10.1016/j.ncl.2008.03.011]</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44 </w:t>
      </w:r>
      <w:proofErr w:type="spellStart"/>
      <w:r w:rsidRPr="001E48D5">
        <w:rPr>
          <w:rFonts w:ascii="Book Antiqua" w:hAnsi="Book Antiqua"/>
          <w:b/>
          <w:sz w:val="24"/>
          <w:szCs w:val="24"/>
        </w:rPr>
        <w:t>Tomonari</w:t>
      </w:r>
      <w:proofErr w:type="spellEnd"/>
      <w:r w:rsidRPr="001E48D5">
        <w:rPr>
          <w:rFonts w:ascii="Book Antiqua" w:hAnsi="Book Antiqua"/>
          <w:b/>
          <w:sz w:val="24"/>
          <w:szCs w:val="24"/>
        </w:rPr>
        <w:t xml:space="preserve"> A</w:t>
      </w:r>
      <w:r w:rsidRPr="001E48D5">
        <w:rPr>
          <w:rFonts w:ascii="Book Antiqua" w:hAnsi="Book Antiqua"/>
          <w:sz w:val="24"/>
          <w:szCs w:val="24"/>
        </w:rPr>
        <w:t xml:space="preserve">, Iseki T, Takahashi S, </w:t>
      </w:r>
      <w:proofErr w:type="spellStart"/>
      <w:r w:rsidRPr="001E48D5">
        <w:rPr>
          <w:rFonts w:ascii="Book Antiqua" w:hAnsi="Book Antiqua"/>
          <w:sz w:val="24"/>
          <w:szCs w:val="24"/>
        </w:rPr>
        <w:t>Ooi</w:t>
      </w:r>
      <w:proofErr w:type="spellEnd"/>
      <w:r w:rsidRPr="001E48D5">
        <w:rPr>
          <w:rFonts w:ascii="Book Antiqua" w:hAnsi="Book Antiqua"/>
          <w:sz w:val="24"/>
          <w:szCs w:val="24"/>
        </w:rPr>
        <w:t xml:space="preserve"> J, </w:t>
      </w:r>
      <w:proofErr w:type="spellStart"/>
      <w:r w:rsidRPr="001E48D5">
        <w:rPr>
          <w:rFonts w:ascii="Book Antiqua" w:hAnsi="Book Antiqua"/>
          <w:sz w:val="24"/>
          <w:szCs w:val="24"/>
        </w:rPr>
        <w:t>Takasugi</w:t>
      </w:r>
      <w:proofErr w:type="spellEnd"/>
      <w:r w:rsidRPr="001E48D5">
        <w:rPr>
          <w:rFonts w:ascii="Book Antiqua" w:hAnsi="Book Antiqua"/>
          <w:sz w:val="24"/>
          <w:szCs w:val="24"/>
        </w:rPr>
        <w:t xml:space="preserve"> K, </w:t>
      </w:r>
      <w:proofErr w:type="spellStart"/>
      <w:r w:rsidRPr="001E48D5">
        <w:rPr>
          <w:rFonts w:ascii="Book Antiqua" w:hAnsi="Book Antiqua"/>
          <w:sz w:val="24"/>
          <w:szCs w:val="24"/>
        </w:rPr>
        <w:t>Shimohakamada</w:t>
      </w:r>
      <w:proofErr w:type="spellEnd"/>
      <w:r w:rsidRPr="001E48D5">
        <w:rPr>
          <w:rFonts w:ascii="Book Antiqua" w:hAnsi="Book Antiqua"/>
          <w:sz w:val="24"/>
          <w:szCs w:val="24"/>
        </w:rPr>
        <w:t xml:space="preserve"> Y, </w:t>
      </w:r>
      <w:proofErr w:type="spellStart"/>
      <w:r w:rsidRPr="001E48D5">
        <w:rPr>
          <w:rFonts w:ascii="Book Antiqua" w:hAnsi="Book Antiqua"/>
          <w:sz w:val="24"/>
          <w:szCs w:val="24"/>
        </w:rPr>
        <w:t>Ohno</w:t>
      </w:r>
      <w:proofErr w:type="spellEnd"/>
      <w:r w:rsidRPr="001E48D5">
        <w:rPr>
          <w:rFonts w:ascii="Book Antiqua" w:hAnsi="Book Antiqua"/>
          <w:sz w:val="24"/>
          <w:szCs w:val="24"/>
        </w:rPr>
        <w:t xml:space="preserve"> N, </w:t>
      </w:r>
      <w:proofErr w:type="spellStart"/>
      <w:r w:rsidRPr="001E48D5">
        <w:rPr>
          <w:rFonts w:ascii="Book Antiqua" w:hAnsi="Book Antiqua"/>
          <w:sz w:val="24"/>
          <w:szCs w:val="24"/>
        </w:rPr>
        <w:t>Nagamura</w:t>
      </w:r>
      <w:proofErr w:type="spellEnd"/>
      <w:r w:rsidRPr="001E48D5">
        <w:rPr>
          <w:rFonts w:ascii="Book Antiqua" w:hAnsi="Book Antiqua"/>
          <w:sz w:val="24"/>
          <w:szCs w:val="24"/>
        </w:rPr>
        <w:t xml:space="preserve"> F, </w:t>
      </w:r>
      <w:proofErr w:type="spellStart"/>
      <w:r w:rsidRPr="001E48D5">
        <w:rPr>
          <w:rFonts w:ascii="Book Antiqua" w:hAnsi="Book Antiqua"/>
          <w:sz w:val="24"/>
          <w:szCs w:val="24"/>
        </w:rPr>
        <w:t>Uchimaru</w:t>
      </w:r>
      <w:proofErr w:type="spellEnd"/>
      <w:r w:rsidRPr="001E48D5">
        <w:rPr>
          <w:rFonts w:ascii="Book Antiqua" w:hAnsi="Book Antiqua"/>
          <w:sz w:val="24"/>
          <w:szCs w:val="24"/>
        </w:rPr>
        <w:t xml:space="preserve"> K, </w:t>
      </w:r>
      <w:proofErr w:type="spellStart"/>
      <w:r w:rsidRPr="001E48D5">
        <w:rPr>
          <w:rFonts w:ascii="Book Antiqua" w:hAnsi="Book Antiqua"/>
          <w:sz w:val="24"/>
          <w:szCs w:val="24"/>
        </w:rPr>
        <w:t>Tani</w:t>
      </w:r>
      <w:proofErr w:type="spellEnd"/>
      <w:r w:rsidRPr="001E48D5">
        <w:rPr>
          <w:rFonts w:ascii="Book Antiqua" w:hAnsi="Book Antiqua"/>
          <w:sz w:val="24"/>
          <w:szCs w:val="24"/>
        </w:rPr>
        <w:t xml:space="preserve"> K, </w:t>
      </w:r>
      <w:proofErr w:type="spellStart"/>
      <w:r w:rsidRPr="001E48D5">
        <w:rPr>
          <w:rFonts w:ascii="Book Antiqua" w:hAnsi="Book Antiqua"/>
          <w:sz w:val="24"/>
          <w:szCs w:val="24"/>
        </w:rPr>
        <w:t>Tojo</w:t>
      </w:r>
      <w:proofErr w:type="spellEnd"/>
      <w:r w:rsidRPr="001E48D5">
        <w:rPr>
          <w:rFonts w:ascii="Book Antiqua" w:hAnsi="Book Antiqua"/>
          <w:sz w:val="24"/>
          <w:szCs w:val="24"/>
        </w:rPr>
        <w:t xml:space="preserve"> A, Asano S. Varicella-zoster virus infection in adult patients after unrelated cord blood transplantation: a single institute experience in Japan. </w:t>
      </w:r>
      <w:r w:rsidRPr="001E48D5">
        <w:rPr>
          <w:rFonts w:ascii="Book Antiqua" w:hAnsi="Book Antiqua"/>
          <w:i/>
          <w:sz w:val="24"/>
          <w:szCs w:val="24"/>
        </w:rPr>
        <w:t xml:space="preserve">Br J </w:t>
      </w:r>
      <w:proofErr w:type="spellStart"/>
      <w:r w:rsidRPr="001E48D5">
        <w:rPr>
          <w:rFonts w:ascii="Book Antiqua" w:hAnsi="Book Antiqua"/>
          <w:i/>
          <w:sz w:val="24"/>
          <w:szCs w:val="24"/>
        </w:rPr>
        <w:t>Haematol</w:t>
      </w:r>
      <w:proofErr w:type="spellEnd"/>
      <w:r w:rsidRPr="001E48D5">
        <w:rPr>
          <w:rFonts w:ascii="Book Antiqua" w:hAnsi="Book Antiqua"/>
          <w:sz w:val="24"/>
          <w:szCs w:val="24"/>
        </w:rPr>
        <w:t xml:space="preserve"> 2003; </w:t>
      </w:r>
      <w:r w:rsidRPr="001E48D5">
        <w:rPr>
          <w:rFonts w:ascii="Book Antiqua" w:hAnsi="Book Antiqua"/>
          <w:b/>
          <w:sz w:val="24"/>
          <w:szCs w:val="24"/>
        </w:rPr>
        <w:t>122</w:t>
      </w:r>
      <w:r w:rsidRPr="001E48D5">
        <w:rPr>
          <w:rFonts w:ascii="Book Antiqua" w:hAnsi="Book Antiqua"/>
          <w:sz w:val="24"/>
          <w:szCs w:val="24"/>
        </w:rPr>
        <w:t>: 802-805 [PMID: 12930392 DOI: 10.1046/j.1365-2141.2003.04496.x]</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45 </w:t>
      </w:r>
      <w:r w:rsidRPr="001E48D5">
        <w:rPr>
          <w:rFonts w:ascii="Book Antiqua" w:hAnsi="Book Antiqua"/>
          <w:b/>
          <w:sz w:val="24"/>
          <w:szCs w:val="24"/>
        </w:rPr>
        <w:t>Patrick K</w:t>
      </w:r>
      <w:r w:rsidRPr="001E48D5">
        <w:rPr>
          <w:rFonts w:ascii="Book Antiqua" w:hAnsi="Book Antiqua"/>
          <w:sz w:val="24"/>
          <w:szCs w:val="24"/>
        </w:rPr>
        <w:t xml:space="preserve">, Ali M, Richardson SE, </w:t>
      </w:r>
      <w:proofErr w:type="spellStart"/>
      <w:r w:rsidRPr="001E48D5">
        <w:rPr>
          <w:rFonts w:ascii="Book Antiqua" w:hAnsi="Book Antiqua"/>
          <w:sz w:val="24"/>
          <w:szCs w:val="24"/>
        </w:rPr>
        <w:t>Gassas</w:t>
      </w:r>
      <w:proofErr w:type="spellEnd"/>
      <w:r w:rsidRPr="001E48D5">
        <w:rPr>
          <w:rFonts w:ascii="Book Antiqua" w:hAnsi="Book Antiqua"/>
          <w:sz w:val="24"/>
          <w:szCs w:val="24"/>
        </w:rPr>
        <w:t xml:space="preserve"> A, </w:t>
      </w:r>
      <w:proofErr w:type="spellStart"/>
      <w:r w:rsidRPr="001E48D5">
        <w:rPr>
          <w:rFonts w:ascii="Book Antiqua" w:hAnsi="Book Antiqua"/>
          <w:sz w:val="24"/>
          <w:szCs w:val="24"/>
        </w:rPr>
        <w:t>Egeler</w:t>
      </w:r>
      <w:proofErr w:type="spellEnd"/>
      <w:r w:rsidRPr="001E48D5">
        <w:rPr>
          <w:rFonts w:ascii="Book Antiqua" w:hAnsi="Book Antiqua"/>
          <w:sz w:val="24"/>
          <w:szCs w:val="24"/>
        </w:rPr>
        <w:t xml:space="preserve"> M, Krueger J, Lowry J, Allen U, Schechter T. </w:t>
      </w:r>
      <w:proofErr w:type="gramStart"/>
      <w:r w:rsidRPr="001E48D5">
        <w:rPr>
          <w:rFonts w:ascii="Book Antiqua" w:hAnsi="Book Antiqua"/>
          <w:sz w:val="24"/>
          <w:szCs w:val="24"/>
        </w:rPr>
        <w:t>The yield of monitoring for HSV and VZV viremia in pediatric hematopoietic stem cell transplant patients.</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Pediatr</w:t>
      </w:r>
      <w:proofErr w:type="spellEnd"/>
      <w:r w:rsidRPr="001E48D5">
        <w:rPr>
          <w:rFonts w:ascii="Book Antiqua" w:hAnsi="Book Antiqua"/>
          <w:i/>
          <w:sz w:val="24"/>
          <w:szCs w:val="24"/>
        </w:rPr>
        <w:t xml:space="preserve"> Transplant</w:t>
      </w:r>
      <w:r w:rsidRPr="001E48D5">
        <w:rPr>
          <w:rFonts w:ascii="Book Antiqua" w:hAnsi="Book Antiqua"/>
          <w:sz w:val="24"/>
          <w:szCs w:val="24"/>
        </w:rPr>
        <w:t xml:space="preserve"> 2015; </w:t>
      </w:r>
      <w:r w:rsidRPr="001E48D5">
        <w:rPr>
          <w:rFonts w:ascii="Book Antiqua" w:hAnsi="Book Antiqua"/>
          <w:b/>
          <w:sz w:val="24"/>
          <w:szCs w:val="24"/>
        </w:rPr>
        <w:t>19</w:t>
      </w:r>
      <w:r w:rsidRPr="001E48D5">
        <w:rPr>
          <w:rFonts w:ascii="Book Antiqua" w:hAnsi="Book Antiqua"/>
          <w:sz w:val="24"/>
          <w:szCs w:val="24"/>
        </w:rPr>
        <w:t>: 640-644 [PMID: 26148054 DOI: 10.1111/petr.12551]</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46 </w:t>
      </w:r>
      <w:proofErr w:type="spellStart"/>
      <w:r w:rsidRPr="001E48D5">
        <w:rPr>
          <w:rFonts w:ascii="Book Antiqua" w:hAnsi="Book Antiqua"/>
          <w:b/>
          <w:sz w:val="24"/>
          <w:szCs w:val="24"/>
        </w:rPr>
        <w:t>Umezawa</w:t>
      </w:r>
      <w:proofErr w:type="spellEnd"/>
      <w:r w:rsidRPr="001E48D5">
        <w:rPr>
          <w:rFonts w:ascii="Book Antiqua" w:hAnsi="Book Antiqua"/>
          <w:b/>
          <w:sz w:val="24"/>
          <w:szCs w:val="24"/>
        </w:rPr>
        <w:t xml:space="preserve"> Y</w:t>
      </w:r>
      <w:r w:rsidRPr="001E48D5">
        <w:rPr>
          <w:rFonts w:ascii="Book Antiqua" w:hAnsi="Book Antiqua"/>
          <w:sz w:val="24"/>
          <w:szCs w:val="24"/>
        </w:rPr>
        <w:t xml:space="preserve">, </w:t>
      </w:r>
      <w:proofErr w:type="spellStart"/>
      <w:r w:rsidRPr="001E48D5">
        <w:rPr>
          <w:rFonts w:ascii="Book Antiqua" w:hAnsi="Book Antiqua"/>
          <w:sz w:val="24"/>
          <w:szCs w:val="24"/>
        </w:rPr>
        <w:t>Kakihana</w:t>
      </w:r>
      <w:proofErr w:type="spellEnd"/>
      <w:r w:rsidRPr="001E48D5">
        <w:rPr>
          <w:rFonts w:ascii="Book Antiqua" w:hAnsi="Book Antiqua"/>
          <w:sz w:val="24"/>
          <w:szCs w:val="24"/>
        </w:rPr>
        <w:t xml:space="preserve"> K, </w:t>
      </w:r>
      <w:proofErr w:type="spellStart"/>
      <w:r w:rsidRPr="001E48D5">
        <w:rPr>
          <w:rFonts w:ascii="Book Antiqua" w:hAnsi="Book Antiqua"/>
          <w:sz w:val="24"/>
          <w:szCs w:val="24"/>
        </w:rPr>
        <w:t>Oshikawa</w:t>
      </w:r>
      <w:proofErr w:type="spellEnd"/>
      <w:r w:rsidRPr="001E48D5">
        <w:rPr>
          <w:rFonts w:ascii="Book Antiqua" w:hAnsi="Book Antiqua"/>
          <w:sz w:val="24"/>
          <w:szCs w:val="24"/>
        </w:rPr>
        <w:t xml:space="preserve"> G, Kobayashi T, </w:t>
      </w:r>
      <w:proofErr w:type="spellStart"/>
      <w:r w:rsidRPr="001E48D5">
        <w:rPr>
          <w:rFonts w:ascii="Book Antiqua" w:hAnsi="Book Antiqua"/>
          <w:sz w:val="24"/>
          <w:szCs w:val="24"/>
        </w:rPr>
        <w:t>Doki</w:t>
      </w:r>
      <w:proofErr w:type="spellEnd"/>
      <w:r w:rsidRPr="001E48D5">
        <w:rPr>
          <w:rFonts w:ascii="Book Antiqua" w:hAnsi="Book Antiqua"/>
          <w:sz w:val="24"/>
          <w:szCs w:val="24"/>
        </w:rPr>
        <w:t xml:space="preserve"> N, </w:t>
      </w:r>
      <w:proofErr w:type="spellStart"/>
      <w:r w:rsidRPr="001E48D5">
        <w:rPr>
          <w:rFonts w:ascii="Book Antiqua" w:hAnsi="Book Antiqua"/>
          <w:sz w:val="24"/>
          <w:szCs w:val="24"/>
        </w:rPr>
        <w:t>Sakamaki</w:t>
      </w:r>
      <w:proofErr w:type="spellEnd"/>
      <w:r w:rsidRPr="001E48D5">
        <w:rPr>
          <w:rFonts w:ascii="Book Antiqua" w:hAnsi="Book Antiqua"/>
          <w:sz w:val="24"/>
          <w:szCs w:val="24"/>
        </w:rPr>
        <w:t xml:space="preserve"> H, </w:t>
      </w:r>
      <w:proofErr w:type="spellStart"/>
      <w:r w:rsidRPr="001E48D5">
        <w:rPr>
          <w:rFonts w:ascii="Book Antiqua" w:hAnsi="Book Antiqua"/>
          <w:sz w:val="24"/>
          <w:szCs w:val="24"/>
        </w:rPr>
        <w:t>Ohashi</w:t>
      </w:r>
      <w:proofErr w:type="spellEnd"/>
      <w:r w:rsidRPr="001E48D5">
        <w:rPr>
          <w:rFonts w:ascii="Book Antiqua" w:hAnsi="Book Antiqua"/>
          <w:sz w:val="24"/>
          <w:szCs w:val="24"/>
        </w:rPr>
        <w:t xml:space="preserve"> K. Clinical features and risk factors for developing varicella zoster virus dissemination following hematopoietic stem cell transplantation. </w:t>
      </w:r>
      <w:proofErr w:type="spellStart"/>
      <w:r w:rsidRPr="001E48D5">
        <w:rPr>
          <w:rFonts w:ascii="Book Antiqua" w:hAnsi="Book Antiqua"/>
          <w:i/>
          <w:sz w:val="24"/>
          <w:szCs w:val="24"/>
        </w:rPr>
        <w:t>Transpl</w:t>
      </w:r>
      <w:proofErr w:type="spellEnd"/>
      <w:r w:rsidRPr="001E48D5">
        <w:rPr>
          <w:rFonts w:ascii="Book Antiqua" w:hAnsi="Book Antiqua"/>
          <w:i/>
          <w:sz w:val="24"/>
          <w:szCs w:val="24"/>
        </w:rPr>
        <w:t xml:space="preserve"> Infect Dis</w:t>
      </w:r>
      <w:r w:rsidRPr="001E48D5">
        <w:rPr>
          <w:rFonts w:ascii="Book Antiqua" w:hAnsi="Book Antiqua"/>
          <w:sz w:val="24"/>
          <w:szCs w:val="24"/>
        </w:rPr>
        <w:t xml:space="preserve"> 2014; </w:t>
      </w:r>
      <w:r w:rsidRPr="001E48D5">
        <w:rPr>
          <w:rFonts w:ascii="Book Antiqua" w:hAnsi="Book Antiqua"/>
          <w:b/>
          <w:sz w:val="24"/>
          <w:szCs w:val="24"/>
        </w:rPr>
        <w:t>16</w:t>
      </w:r>
      <w:r w:rsidRPr="001E48D5">
        <w:rPr>
          <w:rFonts w:ascii="Book Antiqua" w:hAnsi="Book Antiqua"/>
          <w:sz w:val="24"/>
          <w:szCs w:val="24"/>
        </w:rPr>
        <w:t>: 195-202 [PMID: 24438510 DOI: 10.1111/tid.12181]</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47 </w:t>
      </w:r>
      <w:proofErr w:type="spellStart"/>
      <w:r w:rsidRPr="001E48D5">
        <w:rPr>
          <w:rFonts w:ascii="Book Antiqua" w:hAnsi="Book Antiqua"/>
          <w:b/>
          <w:sz w:val="24"/>
          <w:szCs w:val="24"/>
        </w:rPr>
        <w:t>Vandenbosch</w:t>
      </w:r>
      <w:proofErr w:type="spellEnd"/>
      <w:r w:rsidRPr="001E48D5">
        <w:rPr>
          <w:rFonts w:ascii="Book Antiqua" w:hAnsi="Book Antiqua"/>
          <w:b/>
          <w:sz w:val="24"/>
          <w:szCs w:val="24"/>
        </w:rPr>
        <w:t xml:space="preserve"> K,</w:t>
      </w:r>
      <w:r w:rsidRPr="001E48D5">
        <w:rPr>
          <w:rFonts w:ascii="Book Antiqua" w:hAnsi="Book Antiqua"/>
          <w:sz w:val="24"/>
          <w:szCs w:val="24"/>
        </w:rPr>
        <w:t xml:space="preserve"> </w:t>
      </w:r>
      <w:proofErr w:type="spellStart"/>
      <w:r w:rsidRPr="001E48D5">
        <w:rPr>
          <w:rFonts w:ascii="Book Antiqua" w:hAnsi="Book Antiqua"/>
          <w:sz w:val="24"/>
          <w:szCs w:val="24"/>
        </w:rPr>
        <w:t>Ovetchkine</w:t>
      </w:r>
      <w:proofErr w:type="spellEnd"/>
      <w:r w:rsidRPr="001E48D5">
        <w:rPr>
          <w:rFonts w:ascii="Book Antiqua" w:hAnsi="Book Antiqua"/>
          <w:sz w:val="24"/>
          <w:szCs w:val="24"/>
        </w:rPr>
        <w:t xml:space="preserve"> P, Champagne MA, Haddad E, </w:t>
      </w:r>
      <w:proofErr w:type="spellStart"/>
      <w:r w:rsidRPr="001E48D5">
        <w:rPr>
          <w:rFonts w:ascii="Book Antiqua" w:hAnsi="Book Antiqua"/>
          <w:sz w:val="24"/>
          <w:szCs w:val="24"/>
        </w:rPr>
        <w:t>Alexandrov</w:t>
      </w:r>
      <w:proofErr w:type="spellEnd"/>
      <w:r w:rsidRPr="001E48D5">
        <w:rPr>
          <w:rFonts w:ascii="Book Antiqua" w:hAnsi="Book Antiqua"/>
          <w:sz w:val="24"/>
          <w:szCs w:val="24"/>
        </w:rPr>
        <w:t xml:space="preserve"> L, Duval M. Varicella-zoster virus disease is more frequent after cord blood than after bo</w:t>
      </w:r>
      <w:r w:rsidR="00DE5DEE" w:rsidRPr="001E48D5">
        <w:rPr>
          <w:rFonts w:ascii="Book Antiqua" w:hAnsi="Book Antiqua"/>
          <w:sz w:val="24"/>
          <w:szCs w:val="24"/>
        </w:rPr>
        <w:t xml:space="preserve">ne marrow transplantation. </w:t>
      </w:r>
      <w:proofErr w:type="spellStart"/>
      <w:r w:rsidR="00DE5DEE" w:rsidRPr="001E48D5">
        <w:rPr>
          <w:rFonts w:ascii="Book Antiqua" w:hAnsi="Book Antiqua"/>
          <w:i/>
          <w:sz w:val="24"/>
          <w:szCs w:val="24"/>
        </w:rPr>
        <w:t>Biol</w:t>
      </w:r>
      <w:proofErr w:type="spellEnd"/>
      <w:r w:rsidRPr="001E48D5">
        <w:rPr>
          <w:rFonts w:ascii="Book Antiqua" w:hAnsi="Book Antiqua"/>
          <w:i/>
          <w:sz w:val="24"/>
          <w:szCs w:val="24"/>
        </w:rPr>
        <w:t xml:space="preserve"> Blood Marrow </w:t>
      </w:r>
      <w:proofErr w:type="spellStart"/>
      <w:proofErr w:type="gramStart"/>
      <w:r w:rsidRPr="001E48D5">
        <w:rPr>
          <w:rFonts w:ascii="Book Antiqua" w:hAnsi="Book Antiqua"/>
          <w:i/>
          <w:sz w:val="24"/>
          <w:szCs w:val="24"/>
        </w:rPr>
        <w:t>Tr</w:t>
      </w:r>
      <w:proofErr w:type="spellEnd"/>
      <w:proofErr w:type="gramEnd"/>
      <w:r w:rsidRPr="001E48D5">
        <w:rPr>
          <w:rFonts w:ascii="Book Antiqua" w:hAnsi="Book Antiqua"/>
          <w:sz w:val="24"/>
          <w:szCs w:val="24"/>
        </w:rPr>
        <w:t xml:space="preserve"> 2008;</w:t>
      </w:r>
      <w:r w:rsidR="00DE5DEE" w:rsidRPr="001E48D5">
        <w:rPr>
          <w:rFonts w:ascii="Book Antiqua" w:hAnsi="Book Antiqua"/>
          <w:sz w:val="24"/>
          <w:szCs w:val="24"/>
          <w:lang w:eastAsia="zh-CN"/>
        </w:rPr>
        <w:t xml:space="preserve"> </w:t>
      </w:r>
      <w:r w:rsidRPr="001E48D5">
        <w:rPr>
          <w:rFonts w:ascii="Book Antiqua" w:hAnsi="Book Antiqua"/>
          <w:b/>
          <w:sz w:val="24"/>
          <w:szCs w:val="24"/>
        </w:rPr>
        <w:t>14</w:t>
      </w:r>
      <w:r w:rsidRPr="001E48D5">
        <w:rPr>
          <w:rFonts w:ascii="Book Antiqua" w:hAnsi="Book Antiqua"/>
          <w:sz w:val="24"/>
          <w:szCs w:val="24"/>
        </w:rPr>
        <w:t>:</w:t>
      </w:r>
      <w:r w:rsidR="00DE5DEE" w:rsidRPr="001E48D5">
        <w:rPr>
          <w:rFonts w:ascii="Book Antiqua" w:hAnsi="Book Antiqua"/>
          <w:sz w:val="24"/>
          <w:szCs w:val="24"/>
          <w:lang w:eastAsia="zh-CN"/>
        </w:rPr>
        <w:t xml:space="preserve"> </w:t>
      </w:r>
      <w:r w:rsidRPr="001E48D5">
        <w:rPr>
          <w:rFonts w:ascii="Book Antiqua" w:hAnsi="Book Antiqua"/>
          <w:sz w:val="24"/>
          <w:szCs w:val="24"/>
        </w:rPr>
        <w:t>867-871 [DOI: 10.1016/j.bbmt.2008.05.006]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48 </w:t>
      </w:r>
      <w:proofErr w:type="spellStart"/>
      <w:r w:rsidRPr="001E48D5">
        <w:rPr>
          <w:rFonts w:ascii="Book Antiqua" w:hAnsi="Book Antiqua"/>
          <w:b/>
          <w:sz w:val="24"/>
          <w:szCs w:val="24"/>
        </w:rPr>
        <w:t>Scheurer</w:t>
      </w:r>
      <w:proofErr w:type="spellEnd"/>
      <w:r w:rsidRPr="001E48D5">
        <w:rPr>
          <w:rFonts w:ascii="Book Antiqua" w:hAnsi="Book Antiqua"/>
          <w:b/>
          <w:sz w:val="24"/>
          <w:szCs w:val="24"/>
        </w:rPr>
        <w:t xml:space="preserve"> ME</w:t>
      </w:r>
      <w:r w:rsidRPr="001E48D5">
        <w:rPr>
          <w:rFonts w:ascii="Book Antiqua" w:hAnsi="Book Antiqua"/>
          <w:sz w:val="24"/>
          <w:szCs w:val="24"/>
        </w:rPr>
        <w:t xml:space="preserve">, Pritchett JC, </w:t>
      </w:r>
      <w:proofErr w:type="spellStart"/>
      <w:r w:rsidRPr="001E48D5">
        <w:rPr>
          <w:rFonts w:ascii="Book Antiqua" w:hAnsi="Book Antiqua"/>
          <w:sz w:val="24"/>
          <w:szCs w:val="24"/>
        </w:rPr>
        <w:t>Amirian</w:t>
      </w:r>
      <w:proofErr w:type="spellEnd"/>
      <w:r w:rsidRPr="001E48D5">
        <w:rPr>
          <w:rFonts w:ascii="Book Antiqua" w:hAnsi="Book Antiqua"/>
          <w:sz w:val="24"/>
          <w:szCs w:val="24"/>
        </w:rPr>
        <w:t xml:space="preserve"> ES, </w:t>
      </w:r>
      <w:proofErr w:type="spellStart"/>
      <w:r w:rsidRPr="001E48D5">
        <w:rPr>
          <w:rFonts w:ascii="Book Antiqua" w:hAnsi="Book Antiqua"/>
          <w:sz w:val="24"/>
          <w:szCs w:val="24"/>
        </w:rPr>
        <w:t>Zemke</w:t>
      </w:r>
      <w:proofErr w:type="spellEnd"/>
      <w:r w:rsidRPr="001E48D5">
        <w:rPr>
          <w:rFonts w:ascii="Book Antiqua" w:hAnsi="Book Antiqua"/>
          <w:sz w:val="24"/>
          <w:szCs w:val="24"/>
        </w:rPr>
        <w:t xml:space="preserve"> NR, </w:t>
      </w:r>
      <w:proofErr w:type="spellStart"/>
      <w:r w:rsidRPr="001E48D5">
        <w:rPr>
          <w:rFonts w:ascii="Book Antiqua" w:hAnsi="Book Antiqua"/>
          <w:sz w:val="24"/>
          <w:szCs w:val="24"/>
        </w:rPr>
        <w:t>Lusso</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Ljungman</w:t>
      </w:r>
      <w:proofErr w:type="spellEnd"/>
      <w:r w:rsidRPr="001E48D5">
        <w:rPr>
          <w:rFonts w:ascii="Book Antiqua" w:hAnsi="Book Antiqua"/>
          <w:sz w:val="24"/>
          <w:szCs w:val="24"/>
        </w:rPr>
        <w:t xml:space="preserve"> P. HHV-6 encephalitis in umbilical cord blood transplantation: a systematic review and meta-analysis. </w:t>
      </w:r>
      <w:r w:rsidRPr="001E48D5">
        <w:rPr>
          <w:rFonts w:ascii="Book Antiqua" w:hAnsi="Book Antiqua"/>
          <w:i/>
          <w:sz w:val="24"/>
          <w:szCs w:val="24"/>
        </w:rPr>
        <w:t>Bone Marrow Transplant</w:t>
      </w:r>
      <w:r w:rsidRPr="001E48D5">
        <w:rPr>
          <w:rFonts w:ascii="Book Antiqua" w:hAnsi="Book Antiqua"/>
          <w:sz w:val="24"/>
          <w:szCs w:val="24"/>
        </w:rPr>
        <w:t xml:space="preserve"> 2013; </w:t>
      </w:r>
      <w:r w:rsidRPr="001E48D5">
        <w:rPr>
          <w:rFonts w:ascii="Book Antiqua" w:hAnsi="Book Antiqua"/>
          <w:b/>
          <w:sz w:val="24"/>
          <w:szCs w:val="24"/>
        </w:rPr>
        <w:t>48</w:t>
      </w:r>
      <w:r w:rsidRPr="001E48D5">
        <w:rPr>
          <w:rFonts w:ascii="Book Antiqua" w:hAnsi="Book Antiqua"/>
          <w:sz w:val="24"/>
          <w:szCs w:val="24"/>
        </w:rPr>
        <w:t>: 574-580 [PMID: 23000642 DOI: 10.1038/bmt.2012.180]</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lastRenderedPageBreak/>
        <w:t xml:space="preserve">49 </w:t>
      </w:r>
      <w:r w:rsidRPr="001E48D5">
        <w:rPr>
          <w:rFonts w:ascii="Book Antiqua" w:hAnsi="Book Antiqua"/>
          <w:b/>
          <w:sz w:val="24"/>
          <w:szCs w:val="24"/>
        </w:rPr>
        <w:t>Yamane A</w:t>
      </w:r>
      <w:r w:rsidRPr="001E48D5">
        <w:rPr>
          <w:rFonts w:ascii="Book Antiqua" w:hAnsi="Book Antiqua"/>
          <w:sz w:val="24"/>
          <w:szCs w:val="24"/>
        </w:rPr>
        <w:t xml:space="preserve">, Mori T, Suzuki S, </w:t>
      </w:r>
      <w:proofErr w:type="spellStart"/>
      <w:r w:rsidRPr="001E48D5">
        <w:rPr>
          <w:rFonts w:ascii="Book Antiqua" w:hAnsi="Book Antiqua"/>
          <w:sz w:val="24"/>
          <w:szCs w:val="24"/>
        </w:rPr>
        <w:t>Mihara</w:t>
      </w:r>
      <w:proofErr w:type="spellEnd"/>
      <w:r w:rsidRPr="001E48D5">
        <w:rPr>
          <w:rFonts w:ascii="Book Antiqua" w:hAnsi="Book Antiqua"/>
          <w:sz w:val="24"/>
          <w:szCs w:val="24"/>
        </w:rPr>
        <w:t xml:space="preserve"> A, Yamazaki R, </w:t>
      </w:r>
      <w:proofErr w:type="spellStart"/>
      <w:r w:rsidRPr="001E48D5">
        <w:rPr>
          <w:rFonts w:ascii="Book Antiqua" w:hAnsi="Book Antiqua"/>
          <w:sz w:val="24"/>
          <w:szCs w:val="24"/>
        </w:rPr>
        <w:t>Aisa</w:t>
      </w:r>
      <w:proofErr w:type="spellEnd"/>
      <w:r w:rsidRPr="001E48D5">
        <w:rPr>
          <w:rFonts w:ascii="Book Antiqua" w:hAnsi="Book Antiqua"/>
          <w:sz w:val="24"/>
          <w:szCs w:val="24"/>
        </w:rPr>
        <w:t xml:space="preserve"> Y, </w:t>
      </w:r>
      <w:proofErr w:type="spellStart"/>
      <w:r w:rsidRPr="001E48D5">
        <w:rPr>
          <w:rFonts w:ascii="Book Antiqua" w:hAnsi="Book Antiqua"/>
          <w:sz w:val="24"/>
          <w:szCs w:val="24"/>
        </w:rPr>
        <w:t>Nakazato</w:t>
      </w:r>
      <w:proofErr w:type="spellEnd"/>
      <w:r w:rsidRPr="001E48D5">
        <w:rPr>
          <w:rFonts w:ascii="Book Antiqua" w:hAnsi="Book Antiqua"/>
          <w:sz w:val="24"/>
          <w:szCs w:val="24"/>
        </w:rPr>
        <w:t xml:space="preserve"> T, Shimizu T, Ikeda Y, Okamoto S. Risk factors for developing human herpesvirus 6 (HHV-6) reactivation after allogeneic hematopoietic stem cell transplantation and its association with central nervous system disorders. </w:t>
      </w:r>
      <w:proofErr w:type="spellStart"/>
      <w:r w:rsidRPr="001E48D5">
        <w:rPr>
          <w:rFonts w:ascii="Book Antiqua" w:hAnsi="Book Antiqua"/>
          <w:i/>
          <w:sz w:val="24"/>
          <w:szCs w:val="24"/>
        </w:rPr>
        <w:t>Biol</w:t>
      </w:r>
      <w:proofErr w:type="spellEnd"/>
      <w:r w:rsidRPr="001E48D5">
        <w:rPr>
          <w:rFonts w:ascii="Book Antiqua" w:hAnsi="Book Antiqua"/>
          <w:i/>
          <w:sz w:val="24"/>
          <w:szCs w:val="24"/>
        </w:rPr>
        <w:t xml:space="preserve"> Blood Marrow Transplant</w:t>
      </w:r>
      <w:r w:rsidRPr="001E48D5">
        <w:rPr>
          <w:rFonts w:ascii="Book Antiqua" w:hAnsi="Book Antiqua"/>
          <w:sz w:val="24"/>
          <w:szCs w:val="24"/>
        </w:rPr>
        <w:t xml:space="preserve"> 2007; </w:t>
      </w:r>
      <w:r w:rsidRPr="001E48D5">
        <w:rPr>
          <w:rFonts w:ascii="Book Antiqua" w:hAnsi="Book Antiqua"/>
          <w:b/>
          <w:sz w:val="24"/>
          <w:szCs w:val="24"/>
        </w:rPr>
        <w:t>13</w:t>
      </w:r>
      <w:r w:rsidRPr="001E48D5">
        <w:rPr>
          <w:rFonts w:ascii="Book Antiqua" w:hAnsi="Book Antiqua"/>
          <w:sz w:val="24"/>
          <w:szCs w:val="24"/>
        </w:rPr>
        <w:t>: 100-106 [PMID: 17222758 DOI: 10.1016/j.bbmt.2006.09.003]</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50 </w:t>
      </w:r>
      <w:r w:rsidRPr="001E48D5">
        <w:rPr>
          <w:rFonts w:ascii="Book Antiqua" w:hAnsi="Book Antiqua"/>
          <w:b/>
          <w:sz w:val="24"/>
          <w:szCs w:val="24"/>
        </w:rPr>
        <w:t>Hill JA</w:t>
      </w:r>
      <w:r w:rsidRPr="001E48D5">
        <w:rPr>
          <w:rFonts w:ascii="Book Antiqua" w:hAnsi="Book Antiqua"/>
          <w:sz w:val="24"/>
          <w:szCs w:val="24"/>
        </w:rPr>
        <w:t xml:space="preserve">, Koo S, Guzman Suarez BB, Ho VT, Cutler C, </w:t>
      </w:r>
      <w:proofErr w:type="spellStart"/>
      <w:r w:rsidRPr="001E48D5">
        <w:rPr>
          <w:rFonts w:ascii="Book Antiqua" w:hAnsi="Book Antiqua"/>
          <w:sz w:val="24"/>
          <w:szCs w:val="24"/>
        </w:rPr>
        <w:t>Koreth</w:t>
      </w:r>
      <w:proofErr w:type="spellEnd"/>
      <w:r w:rsidRPr="001E48D5">
        <w:rPr>
          <w:rFonts w:ascii="Book Antiqua" w:hAnsi="Book Antiqua"/>
          <w:sz w:val="24"/>
          <w:szCs w:val="24"/>
        </w:rPr>
        <w:t xml:space="preserve"> J, Armand P, </w:t>
      </w:r>
      <w:proofErr w:type="spellStart"/>
      <w:r w:rsidRPr="001E48D5">
        <w:rPr>
          <w:rFonts w:ascii="Book Antiqua" w:hAnsi="Book Antiqua"/>
          <w:sz w:val="24"/>
          <w:szCs w:val="24"/>
        </w:rPr>
        <w:t>Alyea</w:t>
      </w:r>
      <w:proofErr w:type="spellEnd"/>
      <w:r w:rsidRPr="001E48D5">
        <w:rPr>
          <w:rFonts w:ascii="Book Antiqua" w:hAnsi="Book Antiqua"/>
          <w:sz w:val="24"/>
          <w:szCs w:val="24"/>
        </w:rPr>
        <w:t xml:space="preserve"> EP 3rd, Baden LR, </w:t>
      </w:r>
      <w:proofErr w:type="spellStart"/>
      <w:r w:rsidRPr="001E48D5">
        <w:rPr>
          <w:rFonts w:ascii="Book Antiqua" w:hAnsi="Book Antiqua"/>
          <w:sz w:val="24"/>
          <w:szCs w:val="24"/>
        </w:rPr>
        <w:t>Antin</w:t>
      </w:r>
      <w:proofErr w:type="spellEnd"/>
      <w:r w:rsidRPr="001E48D5">
        <w:rPr>
          <w:rFonts w:ascii="Book Antiqua" w:hAnsi="Book Antiqua"/>
          <w:sz w:val="24"/>
          <w:szCs w:val="24"/>
        </w:rPr>
        <w:t xml:space="preserve"> JH, </w:t>
      </w:r>
      <w:proofErr w:type="spellStart"/>
      <w:r w:rsidRPr="001E48D5">
        <w:rPr>
          <w:rFonts w:ascii="Book Antiqua" w:hAnsi="Book Antiqua"/>
          <w:sz w:val="24"/>
          <w:szCs w:val="24"/>
        </w:rPr>
        <w:t>Soiffer</w:t>
      </w:r>
      <w:proofErr w:type="spellEnd"/>
      <w:r w:rsidRPr="001E48D5">
        <w:rPr>
          <w:rFonts w:ascii="Book Antiqua" w:hAnsi="Book Antiqua"/>
          <w:sz w:val="24"/>
          <w:szCs w:val="24"/>
        </w:rPr>
        <w:t xml:space="preserve"> RJ, Marty FM. Cord-blood hematopoietic stem cell transplant confers an increased risk for human herpesvirus-6-associated acute limbic encephalitis: a cohort analysis. </w:t>
      </w:r>
      <w:proofErr w:type="spellStart"/>
      <w:r w:rsidRPr="001E48D5">
        <w:rPr>
          <w:rFonts w:ascii="Book Antiqua" w:hAnsi="Book Antiqua"/>
          <w:i/>
          <w:sz w:val="24"/>
          <w:szCs w:val="24"/>
        </w:rPr>
        <w:t>Biol</w:t>
      </w:r>
      <w:proofErr w:type="spellEnd"/>
      <w:r w:rsidRPr="001E48D5">
        <w:rPr>
          <w:rFonts w:ascii="Book Antiqua" w:hAnsi="Book Antiqua"/>
          <w:i/>
          <w:sz w:val="24"/>
          <w:szCs w:val="24"/>
        </w:rPr>
        <w:t xml:space="preserve"> Blood Marrow Transplant</w:t>
      </w:r>
      <w:r w:rsidRPr="001E48D5">
        <w:rPr>
          <w:rFonts w:ascii="Book Antiqua" w:hAnsi="Book Antiqua"/>
          <w:sz w:val="24"/>
          <w:szCs w:val="24"/>
        </w:rPr>
        <w:t xml:space="preserve"> 2012; </w:t>
      </w:r>
      <w:r w:rsidRPr="001E48D5">
        <w:rPr>
          <w:rFonts w:ascii="Book Antiqua" w:hAnsi="Book Antiqua"/>
          <w:b/>
          <w:sz w:val="24"/>
          <w:szCs w:val="24"/>
        </w:rPr>
        <w:t>18</w:t>
      </w:r>
      <w:r w:rsidRPr="001E48D5">
        <w:rPr>
          <w:rFonts w:ascii="Book Antiqua" w:hAnsi="Book Antiqua"/>
          <w:sz w:val="24"/>
          <w:szCs w:val="24"/>
        </w:rPr>
        <w:t>: 1638-1648 [PMID: 22564265 DOI: 10.1016/j.bbmt.2012.04.016]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51 </w:t>
      </w:r>
      <w:proofErr w:type="spellStart"/>
      <w:r w:rsidRPr="001E48D5">
        <w:rPr>
          <w:rFonts w:ascii="Book Antiqua" w:hAnsi="Book Antiqua"/>
          <w:b/>
          <w:sz w:val="24"/>
          <w:szCs w:val="24"/>
        </w:rPr>
        <w:t>Tomonari</w:t>
      </w:r>
      <w:proofErr w:type="spellEnd"/>
      <w:r w:rsidRPr="001E48D5">
        <w:rPr>
          <w:rFonts w:ascii="Book Antiqua" w:hAnsi="Book Antiqua"/>
          <w:b/>
          <w:sz w:val="24"/>
          <w:szCs w:val="24"/>
        </w:rPr>
        <w:t xml:space="preserve"> A</w:t>
      </w:r>
      <w:r w:rsidRPr="001E48D5">
        <w:rPr>
          <w:rFonts w:ascii="Book Antiqua" w:hAnsi="Book Antiqua"/>
          <w:sz w:val="24"/>
          <w:szCs w:val="24"/>
        </w:rPr>
        <w:t xml:space="preserve">, Takahashi S, </w:t>
      </w:r>
      <w:proofErr w:type="spellStart"/>
      <w:r w:rsidRPr="001E48D5">
        <w:rPr>
          <w:rFonts w:ascii="Book Antiqua" w:hAnsi="Book Antiqua"/>
          <w:sz w:val="24"/>
          <w:szCs w:val="24"/>
        </w:rPr>
        <w:t>Ooi</w:t>
      </w:r>
      <w:proofErr w:type="spellEnd"/>
      <w:r w:rsidRPr="001E48D5">
        <w:rPr>
          <w:rFonts w:ascii="Book Antiqua" w:hAnsi="Book Antiqua"/>
          <w:sz w:val="24"/>
          <w:szCs w:val="24"/>
        </w:rPr>
        <w:t xml:space="preserve"> J, Iseki T, </w:t>
      </w:r>
      <w:proofErr w:type="spellStart"/>
      <w:r w:rsidRPr="001E48D5">
        <w:rPr>
          <w:rFonts w:ascii="Book Antiqua" w:hAnsi="Book Antiqua"/>
          <w:sz w:val="24"/>
          <w:szCs w:val="24"/>
        </w:rPr>
        <w:t>Takasugi</w:t>
      </w:r>
      <w:proofErr w:type="spellEnd"/>
      <w:r w:rsidRPr="001E48D5">
        <w:rPr>
          <w:rFonts w:ascii="Book Antiqua" w:hAnsi="Book Antiqua"/>
          <w:sz w:val="24"/>
          <w:szCs w:val="24"/>
        </w:rPr>
        <w:t xml:space="preserve"> K, Uchiyama M, </w:t>
      </w:r>
      <w:proofErr w:type="spellStart"/>
      <w:r w:rsidRPr="001E48D5">
        <w:rPr>
          <w:rFonts w:ascii="Book Antiqua" w:hAnsi="Book Antiqua"/>
          <w:sz w:val="24"/>
          <w:szCs w:val="24"/>
        </w:rPr>
        <w:t>Konuma</w:t>
      </w:r>
      <w:proofErr w:type="spellEnd"/>
      <w:r w:rsidRPr="001E48D5">
        <w:rPr>
          <w:rFonts w:ascii="Book Antiqua" w:hAnsi="Book Antiqua"/>
          <w:sz w:val="24"/>
          <w:szCs w:val="24"/>
        </w:rPr>
        <w:t xml:space="preserve"> T, </w:t>
      </w:r>
      <w:proofErr w:type="spellStart"/>
      <w:r w:rsidRPr="001E48D5">
        <w:rPr>
          <w:rFonts w:ascii="Book Antiqua" w:hAnsi="Book Antiqua"/>
          <w:sz w:val="24"/>
          <w:szCs w:val="24"/>
        </w:rPr>
        <w:t>Futami</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Ohno</w:t>
      </w:r>
      <w:proofErr w:type="spellEnd"/>
      <w:r w:rsidRPr="001E48D5">
        <w:rPr>
          <w:rFonts w:ascii="Book Antiqua" w:hAnsi="Book Antiqua"/>
          <w:sz w:val="24"/>
          <w:szCs w:val="24"/>
        </w:rPr>
        <w:t xml:space="preserve"> N, </w:t>
      </w:r>
      <w:proofErr w:type="spellStart"/>
      <w:r w:rsidRPr="001E48D5">
        <w:rPr>
          <w:rFonts w:ascii="Book Antiqua" w:hAnsi="Book Antiqua"/>
          <w:sz w:val="24"/>
          <w:szCs w:val="24"/>
        </w:rPr>
        <w:t>Uchimaru</w:t>
      </w:r>
      <w:proofErr w:type="spellEnd"/>
      <w:r w:rsidRPr="001E48D5">
        <w:rPr>
          <w:rFonts w:ascii="Book Antiqua" w:hAnsi="Book Antiqua"/>
          <w:sz w:val="24"/>
          <w:szCs w:val="24"/>
        </w:rPr>
        <w:t xml:space="preserve"> K, </w:t>
      </w:r>
      <w:proofErr w:type="spellStart"/>
      <w:r w:rsidRPr="001E48D5">
        <w:rPr>
          <w:rFonts w:ascii="Book Antiqua" w:hAnsi="Book Antiqua"/>
          <w:sz w:val="24"/>
          <w:szCs w:val="24"/>
        </w:rPr>
        <w:t>Tojo</w:t>
      </w:r>
      <w:proofErr w:type="spellEnd"/>
      <w:r w:rsidRPr="001E48D5">
        <w:rPr>
          <w:rFonts w:ascii="Book Antiqua" w:hAnsi="Book Antiqua"/>
          <w:sz w:val="24"/>
          <w:szCs w:val="24"/>
        </w:rPr>
        <w:t xml:space="preserve"> A, Asano S. Human herpesvirus 6 variant B infection in adult patients after unrelated cord blood transplantation. </w:t>
      </w:r>
      <w:proofErr w:type="spellStart"/>
      <w:r w:rsidRPr="001E48D5">
        <w:rPr>
          <w:rFonts w:ascii="Book Antiqua" w:hAnsi="Book Antiqua"/>
          <w:i/>
          <w:sz w:val="24"/>
          <w:szCs w:val="24"/>
        </w:rPr>
        <w:t>Int</w:t>
      </w:r>
      <w:proofErr w:type="spellEnd"/>
      <w:r w:rsidRPr="001E48D5">
        <w:rPr>
          <w:rFonts w:ascii="Book Antiqua" w:hAnsi="Book Antiqua"/>
          <w:i/>
          <w:sz w:val="24"/>
          <w:szCs w:val="24"/>
        </w:rPr>
        <w:t xml:space="preserve"> J </w:t>
      </w:r>
      <w:proofErr w:type="spellStart"/>
      <w:r w:rsidRPr="001E48D5">
        <w:rPr>
          <w:rFonts w:ascii="Book Antiqua" w:hAnsi="Book Antiqua"/>
          <w:i/>
          <w:sz w:val="24"/>
          <w:szCs w:val="24"/>
        </w:rPr>
        <w:t>Hematol</w:t>
      </w:r>
      <w:proofErr w:type="spellEnd"/>
      <w:r w:rsidRPr="001E48D5">
        <w:rPr>
          <w:rFonts w:ascii="Book Antiqua" w:hAnsi="Book Antiqua"/>
          <w:sz w:val="24"/>
          <w:szCs w:val="24"/>
        </w:rPr>
        <w:t xml:space="preserve"> 2005; </w:t>
      </w:r>
      <w:r w:rsidRPr="001E48D5">
        <w:rPr>
          <w:rFonts w:ascii="Book Antiqua" w:hAnsi="Book Antiqua"/>
          <w:b/>
          <w:sz w:val="24"/>
          <w:szCs w:val="24"/>
        </w:rPr>
        <w:t>81</w:t>
      </w:r>
      <w:r w:rsidRPr="001E48D5">
        <w:rPr>
          <w:rFonts w:ascii="Book Antiqua" w:hAnsi="Book Antiqua"/>
          <w:sz w:val="24"/>
          <w:szCs w:val="24"/>
        </w:rPr>
        <w:t>: 352-355 [PMID: 15914369 DOI: 10.1532/IJH97.04183]</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52 </w:t>
      </w:r>
      <w:proofErr w:type="spellStart"/>
      <w:r w:rsidRPr="001E48D5">
        <w:rPr>
          <w:rFonts w:ascii="Book Antiqua" w:hAnsi="Book Antiqua"/>
          <w:b/>
          <w:sz w:val="24"/>
          <w:szCs w:val="24"/>
        </w:rPr>
        <w:t>Sashihara</w:t>
      </w:r>
      <w:proofErr w:type="spellEnd"/>
      <w:r w:rsidRPr="001E48D5">
        <w:rPr>
          <w:rFonts w:ascii="Book Antiqua" w:hAnsi="Book Antiqua"/>
          <w:b/>
          <w:sz w:val="24"/>
          <w:szCs w:val="24"/>
        </w:rPr>
        <w:t xml:space="preserve"> J</w:t>
      </w:r>
      <w:r w:rsidRPr="001E48D5">
        <w:rPr>
          <w:rFonts w:ascii="Book Antiqua" w:hAnsi="Book Antiqua"/>
          <w:sz w:val="24"/>
          <w:szCs w:val="24"/>
        </w:rPr>
        <w:t>, Tanaka-</w:t>
      </w:r>
      <w:proofErr w:type="spellStart"/>
      <w:r w:rsidRPr="001E48D5">
        <w:rPr>
          <w:rFonts w:ascii="Book Antiqua" w:hAnsi="Book Antiqua"/>
          <w:sz w:val="24"/>
          <w:szCs w:val="24"/>
        </w:rPr>
        <w:t>Taya</w:t>
      </w:r>
      <w:proofErr w:type="spellEnd"/>
      <w:r w:rsidRPr="001E48D5">
        <w:rPr>
          <w:rFonts w:ascii="Book Antiqua" w:hAnsi="Book Antiqua"/>
          <w:sz w:val="24"/>
          <w:szCs w:val="24"/>
        </w:rPr>
        <w:t xml:space="preserve"> K, Tanaka S, </w:t>
      </w:r>
      <w:proofErr w:type="spellStart"/>
      <w:r w:rsidRPr="001E48D5">
        <w:rPr>
          <w:rFonts w:ascii="Book Antiqua" w:hAnsi="Book Antiqua"/>
          <w:sz w:val="24"/>
          <w:szCs w:val="24"/>
        </w:rPr>
        <w:t>Amo</w:t>
      </w:r>
      <w:proofErr w:type="spellEnd"/>
      <w:r w:rsidRPr="001E48D5">
        <w:rPr>
          <w:rFonts w:ascii="Book Antiqua" w:hAnsi="Book Antiqua"/>
          <w:sz w:val="24"/>
          <w:szCs w:val="24"/>
        </w:rPr>
        <w:t xml:space="preserve"> K, </w:t>
      </w:r>
      <w:proofErr w:type="spellStart"/>
      <w:r w:rsidRPr="001E48D5">
        <w:rPr>
          <w:rFonts w:ascii="Book Antiqua" w:hAnsi="Book Antiqua"/>
          <w:sz w:val="24"/>
          <w:szCs w:val="24"/>
        </w:rPr>
        <w:t>Miyagawa</w:t>
      </w:r>
      <w:proofErr w:type="spellEnd"/>
      <w:r w:rsidRPr="001E48D5">
        <w:rPr>
          <w:rFonts w:ascii="Book Antiqua" w:hAnsi="Book Antiqua"/>
          <w:sz w:val="24"/>
          <w:szCs w:val="24"/>
        </w:rPr>
        <w:t xml:space="preserve"> H, Hosoi G, Taniguchi T, Fukui T, </w:t>
      </w:r>
      <w:proofErr w:type="spellStart"/>
      <w:r w:rsidRPr="001E48D5">
        <w:rPr>
          <w:rFonts w:ascii="Book Antiqua" w:hAnsi="Book Antiqua"/>
          <w:sz w:val="24"/>
          <w:szCs w:val="24"/>
        </w:rPr>
        <w:t>Kasuga</w:t>
      </w:r>
      <w:proofErr w:type="spellEnd"/>
      <w:r w:rsidRPr="001E48D5">
        <w:rPr>
          <w:rFonts w:ascii="Book Antiqua" w:hAnsi="Book Antiqua"/>
          <w:sz w:val="24"/>
          <w:szCs w:val="24"/>
        </w:rPr>
        <w:t xml:space="preserve"> N, </w:t>
      </w:r>
      <w:proofErr w:type="spellStart"/>
      <w:r w:rsidRPr="001E48D5">
        <w:rPr>
          <w:rFonts w:ascii="Book Antiqua" w:hAnsi="Book Antiqua"/>
          <w:sz w:val="24"/>
          <w:szCs w:val="24"/>
        </w:rPr>
        <w:t>Aono</w:t>
      </w:r>
      <w:proofErr w:type="spellEnd"/>
      <w:r w:rsidRPr="001E48D5">
        <w:rPr>
          <w:rFonts w:ascii="Book Antiqua" w:hAnsi="Book Antiqua"/>
          <w:sz w:val="24"/>
          <w:szCs w:val="24"/>
        </w:rPr>
        <w:t xml:space="preserve"> T, </w:t>
      </w:r>
      <w:proofErr w:type="spellStart"/>
      <w:r w:rsidRPr="001E48D5">
        <w:rPr>
          <w:rFonts w:ascii="Book Antiqua" w:hAnsi="Book Antiqua"/>
          <w:sz w:val="24"/>
          <w:szCs w:val="24"/>
        </w:rPr>
        <w:t>Sako</w:t>
      </w:r>
      <w:proofErr w:type="spellEnd"/>
      <w:r w:rsidRPr="001E48D5">
        <w:rPr>
          <w:rFonts w:ascii="Book Antiqua" w:hAnsi="Book Antiqua"/>
          <w:sz w:val="24"/>
          <w:szCs w:val="24"/>
        </w:rPr>
        <w:t xml:space="preserve"> M, Hara J, </w:t>
      </w:r>
      <w:proofErr w:type="spellStart"/>
      <w:r w:rsidRPr="001E48D5">
        <w:rPr>
          <w:rFonts w:ascii="Book Antiqua" w:hAnsi="Book Antiqua"/>
          <w:sz w:val="24"/>
          <w:szCs w:val="24"/>
        </w:rPr>
        <w:t>Yamanishi</w:t>
      </w:r>
      <w:proofErr w:type="spellEnd"/>
      <w:r w:rsidRPr="001E48D5">
        <w:rPr>
          <w:rFonts w:ascii="Book Antiqua" w:hAnsi="Book Antiqua"/>
          <w:sz w:val="24"/>
          <w:szCs w:val="24"/>
        </w:rPr>
        <w:t xml:space="preserve"> K, Okada S. High incidence of human herpesvirus 6 infection with a high viral load in cord blood stem cell transplant recipients. </w:t>
      </w:r>
      <w:r w:rsidRPr="001E48D5">
        <w:rPr>
          <w:rFonts w:ascii="Book Antiqua" w:hAnsi="Book Antiqua"/>
          <w:i/>
          <w:sz w:val="24"/>
          <w:szCs w:val="24"/>
        </w:rPr>
        <w:t>Blood</w:t>
      </w:r>
      <w:r w:rsidRPr="001E48D5">
        <w:rPr>
          <w:rFonts w:ascii="Book Antiqua" w:hAnsi="Book Antiqua"/>
          <w:sz w:val="24"/>
          <w:szCs w:val="24"/>
        </w:rPr>
        <w:t xml:space="preserve"> 2002; </w:t>
      </w:r>
      <w:r w:rsidRPr="001E48D5">
        <w:rPr>
          <w:rFonts w:ascii="Book Antiqua" w:hAnsi="Book Antiqua"/>
          <w:b/>
          <w:sz w:val="24"/>
          <w:szCs w:val="24"/>
        </w:rPr>
        <w:t>100</w:t>
      </w:r>
      <w:r w:rsidRPr="001E48D5">
        <w:rPr>
          <w:rFonts w:ascii="Book Antiqua" w:hAnsi="Book Antiqua"/>
          <w:sz w:val="24"/>
          <w:szCs w:val="24"/>
        </w:rPr>
        <w:t>: 2005-2011 [PMID: 12200359]</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53 </w:t>
      </w:r>
      <w:proofErr w:type="spellStart"/>
      <w:r w:rsidRPr="001E48D5">
        <w:rPr>
          <w:rFonts w:ascii="Book Antiqua" w:hAnsi="Book Antiqua"/>
          <w:b/>
          <w:sz w:val="24"/>
          <w:szCs w:val="24"/>
        </w:rPr>
        <w:t>D'Agaro</w:t>
      </w:r>
      <w:proofErr w:type="spellEnd"/>
      <w:r w:rsidRPr="001E48D5">
        <w:rPr>
          <w:rFonts w:ascii="Book Antiqua" w:hAnsi="Book Antiqua"/>
          <w:b/>
          <w:sz w:val="24"/>
          <w:szCs w:val="24"/>
        </w:rPr>
        <w:t xml:space="preserve"> P</w:t>
      </w:r>
      <w:r w:rsidRPr="001E48D5">
        <w:rPr>
          <w:rFonts w:ascii="Book Antiqua" w:hAnsi="Book Antiqua"/>
          <w:sz w:val="24"/>
          <w:szCs w:val="24"/>
        </w:rPr>
        <w:t xml:space="preserve">, </w:t>
      </w:r>
      <w:proofErr w:type="spellStart"/>
      <w:r w:rsidRPr="001E48D5">
        <w:rPr>
          <w:rFonts w:ascii="Book Antiqua" w:hAnsi="Book Antiqua"/>
          <w:sz w:val="24"/>
          <w:szCs w:val="24"/>
        </w:rPr>
        <w:t>Burgnich</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Comar</w:t>
      </w:r>
      <w:proofErr w:type="spellEnd"/>
      <w:r w:rsidRPr="001E48D5">
        <w:rPr>
          <w:rFonts w:ascii="Book Antiqua" w:hAnsi="Book Antiqua"/>
          <w:sz w:val="24"/>
          <w:szCs w:val="24"/>
        </w:rPr>
        <w:t xml:space="preserve"> M, Dal </w:t>
      </w:r>
      <w:proofErr w:type="spellStart"/>
      <w:r w:rsidRPr="001E48D5">
        <w:rPr>
          <w:rFonts w:ascii="Book Antiqua" w:hAnsi="Book Antiqua"/>
          <w:sz w:val="24"/>
          <w:szCs w:val="24"/>
        </w:rPr>
        <w:t>Molin</w:t>
      </w:r>
      <w:proofErr w:type="spellEnd"/>
      <w:r w:rsidRPr="001E48D5">
        <w:rPr>
          <w:rFonts w:ascii="Book Antiqua" w:hAnsi="Book Antiqua"/>
          <w:sz w:val="24"/>
          <w:szCs w:val="24"/>
        </w:rPr>
        <w:t xml:space="preserve"> G, </w:t>
      </w:r>
      <w:proofErr w:type="spellStart"/>
      <w:r w:rsidRPr="001E48D5">
        <w:rPr>
          <w:rFonts w:ascii="Book Antiqua" w:hAnsi="Book Antiqua"/>
          <w:sz w:val="24"/>
          <w:szCs w:val="24"/>
        </w:rPr>
        <w:t>Bernardon</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Busetti</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Alberico</w:t>
      </w:r>
      <w:proofErr w:type="spellEnd"/>
      <w:r w:rsidRPr="001E48D5">
        <w:rPr>
          <w:rFonts w:ascii="Book Antiqua" w:hAnsi="Book Antiqua"/>
          <w:sz w:val="24"/>
          <w:szCs w:val="24"/>
        </w:rPr>
        <w:t xml:space="preserve"> S, </w:t>
      </w:r>
      <w:proofErr w:type="spellStart"/>
      <w:r w:rsidRPr="001E48D5">
        <w:rPr>
          <w:rFonts w:ascii="Book Antiqua" w:hAnsi="Book Antiqua"/>
          <w:sz w:val="24"/>
          <w:szCs w:val="24"/>
        </w:rPr>
        <w:t>Poli</w:t>
      </w:r>
      <w:proofErr w:type="spellEnd"/>
      <w:r w:rsidRPr="001E48D5">
        <w:rPr>
          <w:rFonts w:ascii="Book Antiqua" w:hAnsi="Book Antiqua"/>
          <w:sz w:val="24"/>
          <w:szCs w:val="24"/>
        </w:rPr>
        <w:t xml:space="preserve"> A, </w:t>
      </w:r>
      <w:proofErr w:type="spellStart"/>
      <w:r w:rsidRPr="001E48D5">
        <w:rPr>
          <w:rFonts w:ascii="Book Antiqua" w:hAnsi="Book Antiqua"/>
          <w:sz w:val="24"/>
          <w:szCs w:val="24"/>
        </w:rPr>
        <w:t>Campello</w:t>
      </w:r>
      <w:proofErr w:type="spellEnd"/>
      <w:r w:rsidRPr="001E48D5">
        <w:rPr>
          <w:rFonts w:ascii="Book Antiqua" w:hAnsi="Book Antiqua"/>
          <w:sz w:val="24"/>
          <w:szCs w:val="24"/>
        </w:rPr>
        <w:t xml:space="preserve"> C; SIGO Italian Group. HHV-6 is frequently detected in dried cord blood spots from babies born to HIV-positive mothers. </w:t>
      </w:r>
      <w:proofErr w:type="spellStart"/>
      <w:r w:rsidRPr="001E48D5">
        <w:rPr>
          <w:rFonts w:ascii="Book Antiqua" w:hAnsi="Book Antiqua"/>
          <w:i/>
          <w:sz w:val="24"/>
          <w:szCs w:val="24"/>
        </w:rPr>
        <w:t>Curr</w:t>
      </w:r>
      <w:proofErr w:type="spellEnd"/>
      <w:r w:rsidRPr="001E48D5">
        <w:rPr>
          <w:rFonts w:ascii="Book Antiqua" w:hAnsi="Book Antiqua"/>
          <w:i/>
          <w:sz w:val="24"/>
          <w:szCs w:val="24"/>
        </w:rPr>
        <w:t xml:space="preserve"> HIV Res</w:t>
      </w:r>
      <w:r w:rsidRPr="001E48D5">
        <w:rPr>
          <w:rFonts w:ascii="Book Antiqua" w:hAnsi="Book Antiqua"/>
          <w:sz w:val="24"/>
          <w:szCs w:val="24"/>
        </w:rPr>
        <w:t xml:space="preserve"> 2008; </w:t>
      </w:r>
      <w:r w:rsidRPr="001E48D5">
        <w:rPr>
          <w:rFonts w:ascii="Book Antiqua" w:hAnsi="Book Antiqua"/>
          <w:b/>
          <w:sz w:val="24"/>
          <w:szCs w:val="24"/>
        </w:rPr>
        <w:t>6</w:t>
      </w:r>
      <w:r w:rsidRPr="001E48D5">
        <w:rPr>
          <w:rFonts w:ascii="Book Antiqua" w:hAnsi="Book Antiqua"/>
          <w:sz w:val="24"/>
          <w:szCs w:val="24"/>
        </w:rPr>
        <w:t>: 441-446 [PMID: 18855654 DOI: 10.2174/157016208785861122]</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54 </w:t>
      </w:r>
      <w:proofErr w:type="spellStart"/>
      <w:r w:rsidRPr="001E48D5">
        <w:rPr>
          <w:rFonts w:ascii="Book Antiqua" w:hAnsi="Book Antiqua"/>
          <w:b/>
          <w:sz w:val="24"/>
          <w:szCs w:val="24"/>
        </w:rPr>
        <w:t>Grinde</w:t>
      </w:r>
      <w:proofErr w:type="spellEnd"/>
      <w:r w:rsidRPr="001E48D5">
        <w:rPr>
          <w:rFonts w:ascii="Book Antiqua" w:hAnsi="Book Antiqua"/>
          <w:b/>
          <w:sz w:val="24"/>
          <w:szCs w:val="24"/>
        </w:rPr>
        <w:t xml:space="preserve"> B</w:t>
      </w:r>
      <w:r w:rsidRPr="001E48D5">
        <w:rPr>
          <w:rFonts w:ascii="Book Antiqua" w:hAnsi="Book Antiqua"/>
          <w:sz w:val="24"/>
          <w:szCs w:val="24"/>
        </w:rPr>
        <w:t xml:space="preserve">. Herpesviruses: latency and reactivation - viral strategies and host response. </w:t>
      </w:r>
      <w:r w:rsidRPr="001E48D5">
        <w:rPr>
          <w:rFonts w:ascii="Book Antiqua" w:hAnsi="Book Antiqua"/>
          <w:i/>
          <w:sz w:val="24"/>
          <w:szCs w:val="24"/>
        </w:rPr>
        <w:t xml:space="preserve">J Oral </w:t>
      </w:r>
      <w:proofErr w:type="spellStart"/>
      <w:r w:rsidRPr="001E48D5">
        <w:rPr>
          <w:rFonts w:ascii="Book Antiqua" w:hAnsi="Book Antiqua"/>
          <w:i/>
          <w:sz w:val="24"/>
          <w:szCs w:val="24"/>
        </w:rPr>
        <w:t>Microbiol</w:t>
      </w:r>
      <w:proofErr w:type="spellEnd"/>
      <w:r w:rsidRPr="001E48D5">
        <w:rPr>
          <w:rFonts w:ascii="Book Antiqua" w:hAnsi="Book Antiqua"/>
          <w:sz w:val="24"/>
          <w:szCs w:val="24"/>
        </w:rPr>
        <w:t xml:space="preserve"> 2013; </w:t>
      </w:r>
      <w:r w:rsidRPr="001E48D5">
        <w:rPr>
          <w:rFonts w:ascii="Book Antiqua" w:hAnsi="Book Antiqua"/>
          <w:b/>
          <w:sz w:val="24"/>
          <w:szCs w:val="24"/>
        </w:rPr>
        <w:t>5</w:t>
      </w:r>
      <w:r w:rsidRPr="001E48D5">
        <w:rPr>
          <w:rFonts w:ascii="Book Antiqua" w:hAnsi="Book Antiqua"/>
          <w:sz w:val="24"/>
          <w:szCs w:val="24"/>
        </w:rPr>
        <w:t>:  [PMID: 24167660 DOI: 10.3402/jom.v5i0.22766]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55 </w:t>
      </w:r>
      <w:proofErr w:type="spellStart"/>
      <w:r w:rsidRPr="001E48D5">
        <w:rPr>
          <w:rFonts w:ascii="Book Antiqua" w:hAnsi="Book Antiqua"/>
          <w:b/>
          <w:sz w:val="24"/>
          <w:szCs w:val="24"/>
        </w:rPr>
        <w:t>Mirandola</w:t>
      </w:r>
      <w:proofErr w:type="spellEnd"/>
      <w:r w:rsidRPr="001E48D5">
        <w:rPr>
          <w:rFonts w:ascii="Book Antiqua" w:hAnsi="Book Antiqua"/>
          <w:b/>
          <w:sz w:val="24"/>
          <w:szCs w:val="24"/>
        </w:rPr>
        <w:t xml:space="preserve"> P</w:t>
      </w:r>
      <w:r w:rsidRPr="001E48D5">
        <w:rPr>
          <w:rFonts w:ascii="Book Antiqua" w:hAnsi="Book Antiqua"/>
          <w:sz w:val="24"/>
          <w:szCs w:val="24"/>
        </w:rPr>
        <w:t xml:space="preserve">, </w:t>
      </w:r>
      <w:proofErr w:type="spellStart"/>
      <w:r w:rsidRPr="001E48D5">
        <w:rPr>
          <w:rFonts w:ascii="Book Antiqua" w:hAnsi="Book Antiqua"/>
          <w:sz w:val="24"/>
          <w:szCs w:val="24"/>
        </w:rPr>
        <w:t>Secchiero</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Pierpaoli</w:t>
      </w:r>
      <w:proofErr w:type="spellEnd"/>
      <w:r w:rsidRPr="001E48D5">
        <w:rPr>
          <w:rFonts w:ascii="Book Antiqua" w:hAnsi="Book Antiqua"/>
          <w:sz w:val="24"/>
          <w:szCs w:val="24"/>
        </w:rPr>
        <w:t xml:space="preserve"> S, </w:t>
      </w:r>
      <w:proofErr w:type="spellStart"/>
      <w:r w:rsidRPr="001E48D5">
        <w:rPr>
          <w:rFonts w:ascii="Book Antiqua" w:hAnsi="Book Antiqua"/>
          <w:sz w:val="24"/>
          <w:szCs w:val="24"/>
        </w:rPr>
        <w:t>Visani</w:t>
      </w:r>
      <w:proofErr w:type="spellEnd"/>
      <w:r w:rsidRPr="001E48D5">
        <w:rPr>
          <w:rFonts w:ascii="Book Antiqua" w:hAnsi="Book Antiqua"/>
          <w:sz w:val="24"/>
          <w:szCs w:val="24"/>
        </w:rPr>
        <w:t xml:space="preserve"> G, </w:t>
      </w:r>
      <w:proofErr w:type="spellStart"/>
      <w:r w:rsidRPr="001E48D5">
        <w:rPr>
          <w:rFonts w:ascii="Book Antiqua" w:hAnsi="Book Antiqua"/>
          <w:sz w:val="24"/>
          <w:szCs w:val="24"/>
        </w:rPr>
        <w:t>Zamai</w:t>
      </w:r>
      <w:proofErr w:type="spellEnd"/>
      <w:r w:rsidRPr="001E48D5">
        <w:rPr>
          <w:rFonts w:ascii="Book Antiqua" w:hAnsi="Book Antiqua"/>
          <w:sz w:val="24"/>
          <w:szCs w:val="24"/>
        </w:rPr>
        <w:t xml:space="preserve"> L, Vitale M, </w:t>
      </w:r>
      <w:proofErr w:type="spellStart"/>
      <w:r w:rsidRPr="001E48D5">
        <w:rPr>
          <w:rFonts w:ascii="Book Antiqua" w:hAnsi="Book Antiqua"/>
          <w:sz w:val="24"/>
          <w:szCs w:val="24"/>
        </w:rPr>
        <w:t>Capitani</w:t>
      </w:r>
      <w:proofErr w:type="spellEnd"/>
      <w:r w:rsidRPr="001E48D5">
        <w:rPr>
          <w:rFonts w:ascii="Book Antiqua" w:hAnsi="Book Antiqua"/>
          <w:sz w:val="24"/>
          <w:szCs w:val="24"/>
        </w:rPr>
        <w:t xml:space="preserve"> S, </w:t>
      </w:r>
      <w:proofErr w:type="spellStart"/>
      <w:r w:rsidRPr="001E48D5">
        <w:rPr>
          <w:rFonts w:ascii="Book Antiqua" w:hAnsi="Book Antiqua"/>
          <w:sz w:val="24"/>
          <w:szCs w:val="24"/>
        </w:rPr>
        <w:t>Zauli</w:t>
      </w:r>
      <w:proofErr w:type="spellEnd"/>
      <w:r w:rsidRPr="001E48D5">
        <w:rPr>
          <w:rFonts w:ascii="Book Antiqua" w:hAnsi="Book Antiqua"/>
          <w:sz w:val="24"/>
          <w:szCs w:val="24"/>
        </w:rPr>
        <w:t xml:space="preserve"> G. Infection of CD34(+) hematopoietic progenitor cells by human herpesvirus 7 (HHV-7). </w:t>
      </w:r>
      <w:r w:rsidRPr="001E48D5">
        <w:rPr>
          <w:rFonts w:ascii="Book Antiqua" w:hAnsi="Book Antiqua"/>
          <w:i/>
          <w:sz w:val="24"/>
          <w:szCs w:val="24"/>
        </w:rPr>
        <w:t>Blood</w:t>
      </w:r>
      <w:r w:rsidRPr="001E48D5">
        <w:rPr>
          <w:rFonts w:ascii="Book Antiqua" w:hAnsi="Book Antiqua"/>
          <w:sz w:val="24"/>
          <w:szCs w:val="24"/>
        </w:rPr>
        <w:t xml:space="preserve"> 2000; </w:t>
      </w:r>
      <w:r w:rsidRPr="001E48D5">
        <w:rPr>
          <w:rFonts w:ascii="Book Antiqua" w:hAnsi="Book Antiqua"/>
          <w:b/>
          <w:sz w:val="24"/>
          <w:szCs w:val="24"/>
        </w:rPr>
        <w:t>96</w:t>
      </w:r>
      <w:r w:rsidRPr="001E48D5">
        <w:rPr>
          <w:rFonts w:ascii="Book Antiqua" w:hAnsi="Book Antiqua"/>
          <w:sz w:val="24"/>
          <w:szCs w:val="24"/>
        </w:rPr>
        <w:t>: 126-131 [PMID: 10891440]</w:t>
      </w:r>
    </w:p>
    <w:p w:rsidR="00257D57" w:rsidRPr="001E48D5" w:rsidRDefault="00257D57" w:rsidP="007A67C3">
      <w:pPr>
        <w:spacing w:after="0" w:line="360" w:lineRule="auto"/>
        <w:jc w:val="both"/>
        <w:rPr>
          <w:rFonts w:ascii="Book Antiqua" w:hAnsi="Book Antiqua"/>
          <w:sz w:val="24"/>
          <w:szCs w:val="24"/>
          <w:lang w:eastAsia="zh-CN"/>
        </w:rPr>
      </w:pPr>
      <w:r w:rsidRPr="001E48D5">
        <w:rPr>
          <w:rFonts w:ascii="Book Antiqua" w:hAnsi="Book Antiqua"/>
          <w:sz w:val="24"/>
          <w:szCs w:val="24"/>
        </w:rPr>
        <w:lastRenderedPageBreak/>
        <w:t xml:space="preserve">56 </w:t>
      </w:r>
      <w:proofErr w:type="spellStart"/>
      <w:r w:rsidRPr="001E48D5">
        <w:rPr>
          <w:rFonts w:ascii="Book Antiqua" w:hAnsi="Book Antiqua"/>
          <w:b/>
          <w:sz w:val="24"/>
          <w:szCs w:val="24"/>
        </w:rPr>
        <w:t>Gonelli</w:t>
      </w:r>
      <w:proofErr w:type="spellEnd"/>
      <w:r w:rsidRPr="001E48D5">
        <w:rPr>
          <w:rFonts w:ascii="Book Antiqua" w:hAnsi="Book Antiqua"/>
          <w:b/>
          <w:sz w:val="24"/>
          <w:szCs w:val="24"/>
        </w:rPr>
        <w:t xml:space="preserve"> A,</w:t>
      </w:r>
      <w:r w:rsidR="00DE5DEE" w:rsidRPr="001E48D5">
        <w:rPr>
          <w:rFonts w:ascii="Book Antiqua" w:hAnsi="Book Antiqua"/>
          <w:sz w:val="24"/>
          <w:szCs w:val="24"/>
        </w:rPr>
        <w:t xml:space="preserve"> </w:t>
      </w:r>
      <w:proofErr w:type="spellStart"/>
      <w:r w:rsidRPr="001E48D5">
        <w:rPr>
          <w:rFonts w:ascii="Book Antiqua" w:hAnsi="Book Antiqua"/>
          <w:sz w:val="24"/>
          <w:szCs w:val="24"/>
        </w:rPr>
        <w:t>Mirandola</w:t>
      </w:r>
      <w:proofErr w:type="spellEnd"/>
      <w:r w:rsidRPr="001E48D5">
        <w:rPr>
          <w:rFonts w:ascii="Book Antiqua" w:hAnsi="Book Antiqua"/>
          <w:sz w:val="24"/>
          <w:szCs w:val="24"/>
        </w:rPr>
        <w:t xml:space="preserve"> P, Grill V, </w:t>
      </w:r>
      <w:proofErr w:type="spellStart"/>
      <w:r w:rsidRPr="001E48D5">
        <w:rPr>
          <w:rFonts w:ascii="Book Antiqua" w:hAnsi="Book Antiqua"/>
          <w:sz w:val="24"/>
          <w:szCs w:val="24"/>
        </w:rPr>
        <w:t>Secchiero</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Zauli</w:t>
      </w:r>
      <w:proofErr w:type="spellEnd"/>
      <w:r w:rsidRPr="001E48D5">
        <w:rPr>
          <w:rFonts w:ascii="Book Antiqua" w:hAnsi="Book Antiqua"/>
          <w:sz w:val="24"/>
          <w:szCs w:val="24"/>
        </w:rPr>
        <w:t xml:space="preserve"> G. Human herpesvirus 7 infection impairs the survival/differentiation of megakaryocytic cells. </w:t>
      </w:r>
      <w:proofErr w:type="spellStart"/>
      <w:r w:rsidRPr="001E48D5">
        <w:rPr>
          <w:rFonts w:ascii="Book Antiqua" w:hAnsi="Book Antiqua"/>
          <w:i/>
          <w:sz w:val="24"/>
          <w:szCs w:val="24"/>
        </w:rPr>
        <w:t>Haematologica</w:t>
      </w:r>
      <w:proofErr w:type="spellEnd"/>
      <w:r w:rsidRPr="001E48D5">
        <w:rPr>
          <w:rFonts w:ascii="Book Antiqua" w:hAnsi="Book Antiqua"/>
          <w:sz w:val="24"/>
          <w:szCs w:val="24"/>
        </w:rPr>
        <w:t xml:space="preserve"> 2002;</w:t>
      </w:r>
      <w:r w:rsidR="00DE5DEE" w:rsidRPr="001E48D5">
        <w:rPr>
          <w:rFonts w:ascii="Book Antiqua" w:hAnsi="Book Antiqua"/>
          <w:sz w:val="24"/>
          <w:szCs w:val="24"/>
          <w:lang w:eastAsia="zh-CN"/>
        </w:rPr>
        <w:t xml:space="preserve"> </w:t>
      </w:r>
      <w:r w:rsidRPr="001E48D5">
        <w:rPr>
          <w:rFonts w:ascii="Book Antiqua" w:hAnsi="Book Antiqua"/>
          <w:b/>
          <w:sz w:val="24"/>
          <w:szCs w:val="24"/>
        </w:rPr>
        <w:t>87</w:t>
      </w:r>
      <w:r w:rsidRPr="001E48D5">
        <w:rPr>
          <w:rFonts w:ascii="Book Antiqua" w:hAnsi="Book Antiqua"/>
          <w:sz w:val="24"/>
          <w:szCs w:val="24"/>
        </w:rPr>
        <w:t>:</w:t>
      </w:r>
      <w:r w:rsidR="00DE5DEE" w:rsidRPr="001E48D5">
        <w:rPr>
          <w:rFonts w:ascii="Book Antiqua" w:hAnsi="Book Antiqua"/>
          <w:sz w:val="24"/>
          <w:szCs w:val="24"/>
          <w:lang w:eastAsia="zh-CN"/>
        </w:rPr>
        <w:t xml:space="preserve"> </w:t>
      </w:r>
      <w:r w:rsidRPr="001E48D5">
        <w:rPr>
          <w:rFonts w:ascii="Book Antiqua" w:hAnsi="Book Antiqua"/>
          <w:sz w:val="24"/>
          <w:szCs w:val="24"/>
        </w:rPr>
        <w:t>1223-1225</w:t>
      </w:r>
      <w:r w:rsidR="00DE5DEE" w:rsidRPr="001E48D5">
        <w:rPr>
          <w:rFonts w:ascii="Book Antiqua" w:hAnsi="Book Antiqua"/>
          <w:sz w:val="24"/>
          <w:szCs w:val="24"/>
          <w:lang w:eastAsia="zh-CN"/>
        </w:rPr>
        <w:t xml:space="preserve"> [PMID: 12414354]</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57 </w:t>
      </w:r>
      <w:r w:rsidRPr="001E48D5">
        <w:rPr>
          <w:rFonts w:ascii="Book Antiqua" w:hAnsi="Book Antiqua"/>
          <w:b/>
          <w:sz w:val="24"/>
          <w:szCs w:val="24"/>
        </w:rPr>
        <w:t>Chan PK</w:t>
      </w:r>
      <w:r w:rsidRPr="001E48D5">
        <w:rPr>
          <w:rFonts w:ascii="Book Antiqua" w:hAnsi="Book Antiqua"/>
          <w:sz w:val="24"/>
          <w:szCs w:val="24"/>
        </w:rPr>
        <w:t xml:space="preserve">, </w:t>
      </w:r>
      <w:proofErr w:type="spellStart"/>
      <w:r w:rsidRPr="001E48D5">
        <w:rPr>
          <w:rFonts w:ascii="Book Antiqua" w:hAnsi="Book Antiqua"/>
          <w:sz w:val="24"/>
          <w:szCs w:val="24"/>
        </w:rPr>
        <w:t>Peiris</w:t>
      </w:r>
      <w:proofErr w:type="spellEnd"/>
      <w:r w:rsidRPr="001E48D5">
        <w:rPr>
          <w:rFonts w:ascii="Book Antiqua" w:hAnsi="Book Antiqua"/>
          <w:sz w:val="24"/>
          <w:szCs w:val="24"/>
        </w:rPr>
        <w:t xml:space="preserve"> JS, Yuen KY, Liang RH, Lau YL, Chen FE, Lo SK, Cheung CY, Chan TK, Ng MH.</w:t>
      </w:r>
      <w:proofErr w:type="gramEnd"/>
      <w:r w:rsidRPr="001E48D5">
        <w:rPr>
          <w:rFonts w:ascii="Book Antiqua" w:hAnsi="Book Antiqua"/>
          <w:sz w:val="24"/>
          <w:szCs w:val="24"/>
        </w:rPr>
        <w:t xml:space="preserve"> Human herpesvirus-6 and human herpesvirus-7 infections in bone marrow transplant recipients. </w:t>
      </w:r>
      <w:r w:rsidRPr="001E48D5">
        <w:rPr>
          <w:rFonts w:ascii="Book Antiqua" w:hAnsi="Book Antiqua"/>
          <w:i/>
          <w:sz w:val="24"/>
          <w:szCs w:val="24"/>
        </w:rPr>
        <w:t xml:space="preserve">J Med </w:t>
      </w:r>
      <w:proofErr w:type="spellStart"/>
      <w:r w:rsidRPr="001E48D5">
        <w:rPr>
          <w:rFonts w:ascii="Book Antiqua" w:hAnsi="Book Antiqua"/>
          <w:i/>
          <w:sz w:val="24"/>
          <w:szCs w:val="24"/>
        </w:rPr>
        <w:t>Virol</w:t>
      </w:r>
      <w:proofErr w:type="spellEnd"/>
      <w:r w:rsidRPr="001E48D5">
        <w:rPr>
          <w:rFonts w:ascii="Book Antiqua" w:hAnsi="Book Antiqua"/>
          <w:sz w:val="24"/>
          <w:szCs w:val="24"/>
        </w:rPr>
        <w:t xml:space="preserve"> 1997; </w:t>
      </w:r>
      <w:r w:rsidRPr="001E48D5">
        <w:rPr>
          <w:rFonts w:ascii="Book Antiqua" w:hAnsi="Book Antiqua"/>
          <w:b/>
          <w:sz w:val="24"/>
          <w:szCs w:val="24"/>
        </w:rPr>
        <w:t>53</w:t>
      </w:r>
      <w:r w:rsidRPr="001E48D5">
        <w:rPr>
          <w:rFonts w:ascii="Book Antiqua" w:hAnsi="Book Antiqua"/>
          <w:sz w:val="24"/>
          <w:szCs w:val="24"/>
        </w:rPr>
        <w:t>: 295-305 [PMID: 9365899]</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58 </w:t>
      </w:r>
      <w:proofErr w:type="spellStart"/>
      <w:r w:rsidRPr="001E48D5">
        <w:rPr>
          <w:rFonts w:ascii="Book Antiqua" w:hAnsi="Book Antiqua"/>
          <w:b/>
          <w:sz w:val="24"/>
          <w:szCs w:val="24"/>
        </w:rPr>
        <w:t>Heyrman</w:t>
      </w:r>
      <w:proofErr w:type="spellEnd"/>
      <w:r w:rsidRPr="001E48D5">
        <w:rPr>
          <w:rFonts w:ascii="Book Antiqua" w:hAnsi="Book Antiqua"/>
          <w:b/>
          <w:sz w:val="24"/>
          <w:szCs w:val="24"/>
        </w:rPr>
        <w:t xml:space="preserve"> B</w:t>
      </w:r>
      <w:r w:rsidRPr="001E48D5">
        <w:rPr>
          <w:rFonts w:ascii="Book Antiqua" w:hAnsi="Book Antiqua"/>
          <w:sz w:val="24"/>
          <w:szCs w:val="24"/>
        </w:rPr>
        <w:t xml:space="preserve">, De Becker A, </w:t>
      </w:r>
      <w:proofErr w:type="spellStart"/>
      <w:r w:rsidRPr="001E48D5">
        <w:rPr>
          <w:rFonts w:ascii="Book Antiqua" w:hAnsi="Book Antiqua"/>
          <w:sz w:val="24"/>
          <w:szCs w:val="24"/>
        </w:rPr>
        <w:t>Schots</w:t>
      </w:r>
      <w:proofErr w:type="spellEnd"/>
      <w:r w:rsidRPr="001E48D5">
        <w:rPr>
          <w:rFonts w:ascii="Book Antiqua" w:hAnsi="Book Antiqua"/>
          <w:sz w:val="24"/>
          <w:szCs w:val="24"/>
        </w:rPr>
        <w:t xml:space="preserve"> R. </w:t>
      </w:r>
      <w:proofErr w:type="gramStart"/>
      <w:r w:rsidRPr="001E48D5">
        <w:rPr>
          <w:rFonts w:ascii="Book Antiqua" w:hAnsi="Book Antiqua"/>
          <w:sz w:val="24"/>
          <w:szCs w:val="24"/>
        </w:rPr>
        <w:t>A case report of immunosuppression-related Kaposi's sarcoma after autologous stem cell transplantation.</w:t>
      </w:r>
      <w:proofErr w:type="gramEnd"/>
      <w:r w:rsidRPr="001E48D5">
        <w:rPr>
          <w:rFonts w:ascii="Book Antiqua" w:hAnsi="Book Antiqua"/>
          <w:sz w:val="24"/>
          <w:szCs w:val="24"/>
        </w:rPr>
        <w:t xml:space="preserve"> </w:t>
      </w:r>
      <w:r w:rsidRPr="001E48D5">
        <w:rPr>
          <w:rFonts w:ascii="Book Antiqua" w:hAnsi="Book Antiqua"/>
          <w:i/>
          <w:sz w:val="24"/>
          <w:szCs w:val="24"/>
        </w:rPr>
        <w:t>BMC Res Notes</w:t>
      </w:r>
      <w:r w:rsidRPr="001E48D5">
        <w:rPr>
          <w:rFonts w:ascii="Book Antiqua" w:hAnsi="Book Antiqua"/>
          <w:sz w:val="24"/>
          <w:szCs w:val="24"/>
        </w:rPr>
        <w:t xml:space="preserve"> 2016; </w:t>
      </w:r>
      <w:r w:rsidRPr="001E48D5">
        <w:rPr>
          <w:rFonts w:ascii="Book Antiqua" w:hAnsi="Book Antiqua"/>
          <w:b/>
          <w:sz w:val="24"/>
          <w:szCs w:val="24"/>
        </w:rPr>
        <w:t>9</w:t>
      </w:r>
      <w:r w:rsidRPr="001E48D5">
        <w:rPr>
          <w:rFonts w:ascii="Book Antiqua" w:hAnsi="Book Antiqua"/>
          <w:sz w:val="24"/>
          <w:szCs w:val="24"/>
        </w:rPr>
        <w:t>: 188 [PMID: 27012530 DOI: 10.1186/s13104-016-1991-9]</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59 </w:t>
      </w:r>
      <w:proofErr w:type="spellStart"/>
      <w:r w:rsidRPr="001E48D5">
        <w:rPr>
          <w:rFonts w:ascii="Book Antiqua" w:hAnsi="Book Antiqua"/>
          <w:b/>
          <w:sz w:val="24"/>
          <w:szCs w:val="24"/>
        </w:rPr>
        <w:t>Cuzzola</w:t>
      </w:r>
      <w:proofErr w:type="spellEnd"/>
      <w:r w:rsidRPr="001E48D5">
        <w:rPr>
          <w:rFonts w:ascii="Book Antiqua" w:hAnsi="Book Antiqua"/>
          <w:b/>
          <w:sz w:val="24"/>
          <w:szCs w:val="24"/>
        </w:rPr>
        <w:t xml:space="preserve"> M,</w:t>
      </w:r>
      <w:r w:rsidR="00DE5DEE" w:rsidRPr="001E48D5">
        <w:rPr>
          <w:rFonts w:ascii="Book Antiqua" w:hAnsi="Book Antiqua"/>
          <w:sz w:val="24"/>
          <w:szCs w:val="24"/>
        </w:rPr>
        <w:t xml:space="preserve"> </w:t>
      </w:r>
      <w:proofErr w:type="spellStart"/>
      <w:r w:rsidRPr="001E48D5">
        <w:rPr>
          <w:rFonts w:ascii="Book Antiqua" w:hAnsi="Book Antiqua"/>
          <w:sz w:val="24"/>
          <w:szCs w:val="24"/>
        </w:rPr>
        <w:t>Irrera</w:t>
      </w:r>
      <w:proofErr w:type="spellEnd"/>
      <w:r w:rsidRPr="001E48D5">
        <w:rPr>
          <w:rFonts w:ascii="Book Antiqua" w:hAnsi="Book Antiqua"/>
          <w:sz w:val="24"/>
          <w:szCs w:val="24"/>
        </w:rPr>
        <w:t xml:space="preserve"> G, </w:t>
      </w:r>
      <w:proofErr w:type="spellStart"/>
      <w:r w:rsidRPr="001E48D5">
        <w:rPr>
          <w:rFonts w:ascii="Book Antiqua" w:hAnsi="Book Antiqua"/>
          <w:sz w:val="24"/>
          <w:szCs w:val="24"/>
        </w:rPr>
        <w:t>Iacopino</w:t>
      </w:r>
      <w:proofErr w:type="spellEnd"/>
      <w:r w:rsidRPr="001E48D5">
        <w:rPr>
          <w:rFonts w:ascii="Book Antiqua" w:hAnsi="Book Antiqua"/>
          <w:sz w:val="24"/>
          <w:szCs w:val="24"/>
        </w:rPr>
        <w:t xml:space="preserve"> O, </w:t>
      </w:r>
      <w:proofErr w:type="spellStart"/>
      <w:r w:rsidRPr="001E48D5">
        <w:rPr>
          <w:rFonts w:ascii="Book Antiqua" w:hAnsi="Book Antiqua"/>
          <w:sz w:val="24"/>
          <w:szCs w:val="24"/>
        </w:rPr>
        <w:t>Cuzzocrea</w:t>
      </w:r>
      <w:proofErr w:type="spellEnd"/>
      <w:r w:rsidRPr="001E48D5">
        <w:rPr>
          <w:rFonts w:ascii="Book Antiqua" w:hAnsi="Book Antiqua"/>
          <w:sz w:val="24"/>
          <w:szCs w:val="24"/>
        </w:rPr>
        <w:t xml:space="preserve"> A, Messina G, Console G, </w:t>
      </w:r>
      <w:proofErr w:type="spellStart"/>
      <w:r w:rsidRPr="001E48D5">
        <w:rPr>
          <w:rFonts w:ascii="Book Antiqua" w:hAnsi="Book Antiqua"/>
          <w:sz w:val="24"/>
          <w:szCs w:val="24"/>
        </w:rPr>
        <w:t>Iacopino</w:t>
      </w:r>
      <w:proofErr w:type="spellEnd"/>
      <w:r w:rsidRPr="001E48D5">
        <w:rPr>
          <w:rFonts w:ascii="Book Antiqua" w:hAnsi="Book Antiqua"/>
          <w:sz w:val="24"/>
          <w:szCs w:val="24"/>
        </w:rPr>
        <w:t xml:space="preserve"> G, </w:t>
      </w:r>
      <w:proofErr w:type="spellStart"/>
      <w:r w:rsidRPr="001E48D5">
        <w:rPr>
          <w:rFonts w:ascii="Book Antiqua" w:hAnsi="Book Antiqua"/>
          <w:sz w:val="24"/>
          <w:szCs w:val="24"/>
        </w:rPr>
        <w:t>Morabito</w:t>
      </w:r>
      <w:proofErr w:type="spellEnd"/>
      <w:r w:rsidRPr="001E48D5">
        <w:rPr>
          <w:rFonts w:ascii="Book Antiqua" w:hAnsi="Book Antiqua"/>
          <w:sz w:val="24"/>
          <w:szCs w:val="24"/>
        </w:rPr>
        <w:t xml:space="preserve"> F. Bone marrow failure associated with herpesvirus 8 infection in a patient undergoing autologous peripheral blood stem cell transplantation. </w:t>
      </w:r>
      <w:proofErr w:type="spellStart"/>
      <w:r w:rsidRPr="001E48D5">
        <w:rPr>
          <w:rFonts w:ascii="Book Antiqua" w:hAnsi="Book Antiqua"/>
          <w:i/>
          <w:sz w:val="24"/>
          <w:szCs w:val="24"/>
        </w:rPr>
        <w:t>Clin</w:t>
      </w:r>
      <w:proofErr w:type="spellEnd"/>
      <w:r w:rsidRPr="001E48D5">
        <w:rPr>
          <w:rFonts w:ascii="Book Antiqua" w:hAnsi="Book Antiqua"/>
          <w:i/>
          <w:sz w:val="24"/>
          <w:szCs w:val="24"/>
        </w:rPr>
        <w:t xml:space="preserve"> Infect Dis</w:t>
      </w:r>
      <w:r w:rsidRPr="001E48D5">
        <w:rPr>
          <w:rFonts w:ascii="Book Antiqua" w:hAnsi="Book Antiqua"/>
          <w:sz w:val="24"/>
          <w:szCs w:val="24"/>
        </w:rPr>
        <w:t xml:space="preserve"> 2003;</w:t>
      </w:r>
      <w:r w:rsidR="00DE5DEE" w:rsidRPr="001E48D5">
        <w:rPr>
          <w:rFonts w:ascii="Book Antiqua" w:hAnsi="Book Antiqua"/>
          <w:sz w:val="24"/>
          <w:szCs w:val="24"/>
          <w:lang w:eastAsia="zh-CN"/>
        </w:rPr>
        <w:t xml:space="preserve"> </w:t>
      </w:r>
      <w:r w:rsidRPr="001E48D5">
        <w:rPr>
          <w:rFonts w:ascii="Book Antiqua" w:hAnsi="Book Antiqua"/>
          <w:b/>
          <w:sz w:val="24"/>
          <w:szCs w:val="24"/>
        </w:rPr>
        <w:t>37</w:t>
      </w:r>
      <w:r w:rsidRPr="001E48D5">
        <w:rPr>
          <w:rFonts w:ascii="Book Antiqua" w:hAnsi="Book Antiqua"/>
          <w:sz w:val="24"/>
          <w:szCs w:val="24"/>
        </w:rPr>
        <w:t>:</w:t>
      </w:r>
      <w:r w:rsidR="00DE5DEE" w:rsidRPr="001E48D5">
        <w:rPr>
          <w:rFonts w:ascii="Book Antiqua" w:hAnsi="Book Antiqua"/>
          <w:sz w:val="24"/>
          <w:szCs w:val="24"/>
          <w:lang w:eastAsia="zh-CN"/>
        </w:rPr>
        <w:t xml:space="preserve"> </w:t>
      </w:r>
      <w:r w:rsidRPr="001E48D5">
        <w:rPr>
          <w:rFonts w:ascii="Book Antiqua" w:hAnsi="Book Antiqua"/>
          <w:sz w:val="24"/>
          <w:szCs w:val="24"/>
        </w:rPr>
        <w:t>e102-</w:t>
      </w:r>
      <w:r w:rsidR="00DE5DEE" w:rsidRPr="001E48D5">
        <w:rPr>
          <w:rFonts w:ascii="Book Antiqua" w:hAnsi="Book Antiqua"/>
          <w:sz w:val="24"/>
          <w:szCs w:val="24"/>
          <w:lang w:eastAsia="zh-CN"/>
        </w:rPr>
        <w:t>10</w:t>
      </w:r>
      <w:r w:rsidRPr="001E48D5">
        <w:rPr>
          <w:rFonts w:ascii="Book Antiqua" w:hAnsi="Book Antiqua"/>
          <w:sz w:val="24"/>
          <w:szCs w:val="24"/>
        </w:rPr>
        <w:t>6 [DOI: 10.1086/377268]</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60 </w:t>
      </w:r>
      <w:r w:rsidRPr="001E48D5">
        <w:rPr>
          <w:rFonts w:ascii="Book Antiqua" w:hAnsi="Book Antiqua"/>
          <w:b/>
          <w:sz w:val="24"/>
          <w:szCs w:val="24"/>
        </w:rPr>
        <w:t>Li Q</w:t>
      </w:r>
      <w:r w:rsidRPr="001E48D5">
        <w:rPr>
          <w:rFonts w:ascii="Book Antiqua" w:hAnsi="Book Antiqua"/>
          <w:sz w:val="24"/>
          <w:szCs w:val="24"/>
        </w:rPr>
        <w:t xml:space="preserve">, </w:t>
      </w:r>
      <w:proofErr w:type="spellStart"/>
      <w:r w:rsidRPr="001E48D5">
        <w:rPr>
          <w:rFonts w:ascii="Book Antiqua" w:hAnsi="Book Antiqua"/>
          <w:sz w:val="24"/>
          <w:szCs w:val="24"/>
        </w:rPr>
        <w:t>Rane</w:t>
      </w:r>
      <w:proofErr w:type="spellEnd"/>
      <w:r w:rsidRPr="001E48D5">
        <w:rPr>
          <w:rFonts w:ascii="Book Antiqua" w:hAnsi="Book Antiqua"/>
          <w:sz w:val="24"/>
          <w:szCs w:val="24"/>
        </w:rPr>
        <w:t xml:space="preserve"> L, </w:t>
      </w:r>
      <w:proofErr w:type="spellStart"/>
      <w:r w:rsidRPr="001E48D5">
        <w:rPr>
          <w:rFonts w:ascii="Book Antiqua" w:hAnsi="Book Antiqua"/>
          <w:sz w:val="24"/>
          <w:szCs w:val="24"/>
        </w:rPr>
        <w:t>Poiret</w:t>
      </w:r>
      <w:proofErr w:type="spellEnd"/>
      <w:r w:rsidRPr="001E48D5">
        <w:rPr>
          <w:rFonts w:ascii="Book Antiqua" w:hAnsi="Book Antiqua"/>
          <w:sz w:val="24"/>
          <w:szCs w:val="24"/>
        </w:rPr>
        <w:t xml:space="preserve"> T, </w:t>
      </w:r>
      <w:proofErr w:type="spellStart"/>
      <w:r w:rsidRPr="001E48D5">
        <w:rPr>
          <w:rFonts w:ascii="Book Antiqua" w:hAnsi="Book Antiqua"/>
          <w:sz w:val="24"/>
          <w:szCs w:val="24"/>
        </w:rPr>
        <w:t>Zou</w:t>
      </w:r>
      <w:proofErr w:type="spellEnd"/>
      <w:r w:rsidRPr="001E48D5">
        <w:rPr>
          <w:rFonts w:ascii="Book Antiqua" w:hAnsi="Book Antiqua"/>
          <w:sz w:val="24"/>
          <w:szCs w:val="24"/>
        </w:rPr>
        <w:t xml:space="preserve"> J, </w:t>
      </w:r>
      <w:proofErr w:type="spellStart"/>
      <w:r w:rsidRPr="001E48D5">
        <w:rPr>
          <w:rFonts w:ascii="Book Antiqua" w:hAnsi="Book Antiqua"/>
          <w:sz w:val="24"/>
          <w:szCs w:val="24"/>
        </w:rPr>
        <w:t>Magalhaes</w:t>
      </w:r>
      <w:proofErr w:type="spellEnd"/>
      <w:r w:rsidRPr="001E48D5">
        <w:rPr>
          <w:rFonts w:ascii="Book Antiqua" w:hAnsi="Book Antiqua"/>
          <w:sz w:val="24"/>
          <w:szCs w:val="24"/>
        </w:rPr>
        <w:t xml:space="preserve"> I, Ahmed R, Du Z, </w:t>
      </w:r>
      <w:proofErr w:type="spellStart"/>
      <w:r w:rsidRPr="001E48D5">
        <w:rPr>
          <w:rFonts w:ascii="Book Antiqua" w:hAnsi="Book Antiqua"/>
          <w:sz w:val="24"/>
          <w:szCs w:val="24"/>
        </w:rPr>
        <w:t>Vudattu</w:t>
      </w:r>
      <w:proofErr w:type="spellEnd"/>
      <w:r w:rsidRPr="001E48D5">
        <w:rPr>
          <w:rFonts w:ascii="Book Antiqua" w:hAnsi="Book Antiqua"/>
          <w:sz w:val="24"/>
          <w:szCs w:val="24"/>
        </w:rPr>
        <w:t xml:space="preserve"> N, </w:t>
      </w:r>
      <w:proofErr w:type="spellStart"/>
      <w:r w:rsidRPr="001E48D5">
        <w:rPr>
          <w:rFonts w:ascii="Book Antiqua" w:hAnsi="Book Antiqua"/>
          <w:sz w:val="24"/>
          <w:szCs w:val="24"/>
        </w:rPr>
        <w:t>Meng</w:t>
      </w:r>
      <w:proofErr w:type="spellEnd"/>
      <w:r w:rsidRPr="001E48D5">
        <w:rPr>
          <w:rFonts w:ascii="Book Antiqua" w:hAnsi="Book Antiqua"/>
          <w:sz w:val="24"/>
          <w:szCs w:val="24"/>
        </w:rPr>
        <w:t xml:space="preserve"> Q, </w:t>
      </w:r>
      <w:proofErr w:type="spellStart"/>
      <w:r w:rsidRPr="001E48D5">
        <w:rPr>
          <w:rFonts w:ascii="Book Antiqua" w:hAnsi="Book Antiqua"/>
          <w:sz w:val="24"/>
          <w:szCs w:val="24"/>
        </w:rPr>
        <w:t>Gustafsson-Jernberg</w:t>
      </w:r>
      <w:proofErr w:type="spellEnd"/>
      <w:r w:rsidRPr="001E48D5">
        <w:rPr>
          <w:rFonts w:ascii="Book Antiqua" w:hAnsi="Book Antiqua"/>
          <w:sz w:val="24"/>
          <w:szCs w:val="24"/>
        </w:rPr>
        <w:t xml:space="preserve"> Å, </w:t>
      </w:r>
      <w:proofErr w:type="spellStart"/>
      <w:r w:rsidRPr="001E48D5">
        <w:rPr>
          <w:rFonts w:ascii="Book Antiqua" w:hAnsi="Book Antiqua"/>
          <w:sz w:val="24"/>
          <w:szCs w:val="24"/>
        </w:rPr>
        <w:t>Winiarski</w:t>
      </w:r>
      <w:proofErr w:type="spellEnd"/>
      <w:r w:rsidRPr="001E48D5">
        <w:rPr>
          <w:rFonts w:ascii="Book Antiqua" w:hAnsi="Book Antiqua"/>
          <w:sz w:val="24"/>
          <w:szCs w:val="24"/>
        </w:rPr>
        <w:t xml:space="preserve"> J, </w:t>
      </w:r>
      <w:proofErr w:type="spellStart"/>
      <w:r w:rsidRPr="001E48D5">
        <w:rPr>
          <w:rFonts w:ascii="Book Antiqua" w:hAnsi="Book Antiqua"/>
          <w:sz w:val="24"/>
          <w:szCs w:val="24"/>
        </w:rPr>
        <w:t>Ringdén</w:t>
      </w:r>
      <w:proofErr w:type="spellEnd"/>
      <w:r w:rsidRPr="001E48D5">
        <w:rPr>
          <w:rFonts w:ascii="Book Antiqua" w:hAnsi="Book Antiqua"/>
          <w:sz w:val="24"/>
          <w:szCs w:val="24"/>
        </w:rPr>
        <w:t xml:space="preserve"> O, </w:t>
      </w:r>
      <w:proofErr w:type="spellStart"/>
      <w:r w:rsidRPr="001E48D5">
        <w:rPr>
          <w:rFonts w:ascii="Book Antiqua" w:hAnsi="Book Antiqua"/>
          <w:sz w:val="24"/>
          <w:szCs w:val="24"/>
        </w:rPr>
        <w:t>Maeurer</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Remberger</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Ernberg</w:t>
      </w:r>
      <w:proofErr w:type="spellEnd"/>
      <w:r w:rsidRPr="001E48D5">
        <w:rPr>
          <w:rFonts w:ascii="Book Antiqua" w:hAnsi="Book Antiqua"/>
          <w:sz w:val="24"/>
          <w:szCs w:val="24"/>
        </w:rPr>
        <w:t xml:space="preserve"> I. Both high and low levels of cellular Epstein-Barr virus DNA in blood identify failure after hematologic stem cell transplantation in conjunction with acute GVHD and type of conditioning. </w:t>
      </w:r>
      <w:proofErr w:type="spellStart"/>
      <w:r w:rsidRPr="001E48D5">
        <w:rPr>
          <w:rFonts w:ascii="Book Antiqua" w:hAnsi="Book Antiqua"/>
          <w:i/>
          <w:sz w:val="24"/>
          <w:szCs w:val="24"/>
        </w:rPr>
        <w:t>Oncotarget</w:t>
      </w:r>
      <w:proofErr w:type="spellEnd"/>
      <w:r w:rsidRPr="001E48D5">
        <w:rPr>
          <w:rFonts w:ascii="Book Antiqua" w:hAnsi="Book Antiqua"/>
          <w:sz w:val="24"/>
          <w:szCs w:val="24"/>
        </w:rPr>
        <w:t xml:space="preserve"> 2016; </w:t>
      </w:r>
      <w:r w:rsidRPr="001E48D5">
        <w:rPr>
          <w:rFonts w:ascii="Book Antiqua" w:hAnsi="Book Antiqua"/>
          <w:b/>
          <w:sz w:val="24"/>
          <w:szCs w:val="24"/>
        </w:rPr>
        <w:t>7</w:t>
      </w:r>
      <w:r w:rsidRPr="001E48D5">
        <w:rPr>
          <w:rFonts w:ascii="Book Antiqua" w:hAnsi="Book Antiqua"/>
          <w:sz w:val="24"/>
          <w:szCs w:val="24"/>
        </w:rPr>
        <w:t>: 30230-30240 [PMID: 27102298 DOI: 10.18632/oncotarget.8803]</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61 </w:t>
      </w:r>
      <w:r w:rsidRPr="001E48D5">
        <w:rPr>
          <w:rFonts w:ascii="Book Antiqua" w:hAnsi="Book Antiqua"/>
          <w:b/>
          <w:sz w:val="24"/>
          <w:szCs w:val="24"/>
        </w:rPr>
        <w:t>Auger S,</w:t>
      </w:r>
      <w:r w:rsidR="00DE5DEE" w:rsidRPr="001E48D5">
        <w:rPr>
          <w:rFonts w:ascii="Book Antiqua" w:hAnsi="Book Antiqua"/>
          <w:sz w:val="24"/>
          <w:szCs w:val="24"/>
        </w:rPr>
        <w:t xml:space="preserve"> </w:t>
      </w:r>
      <w:proofErr w:type="spellStart"/>
      <w:r w:rsidRPr="001E48D5">
        <w:rPr>
          <w:rFonts w:ascii="Book Antiqua" w:hAnsi="Book Antiqua"/>
          <w:sz w:val="24"/>
          <w:szCs w:val="24"/>
        </w:rPr>
        <w:t>Orsini</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Céballos</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Fegueux</w:t>
      </w:r>
      <w:proofErr w:type="spellEnd"/>
      <w:r w:rsidRPr="001E48D5">
        <w:rPr>
          <w:rFonts w:ascii="Book Antiqua" w:hAnsi="Book Antiqua"/>
          <w:sz w:val="24"/>
          <w:szCs w:val="24"/>
        </w:rPr>
        <w:t xml:space="preserve"> N, </w:t>
      </w:r>
      <w:proofErr w:type="spellStart"/>
      <w:r w:rsidRPr="001E48D5">
        <w:rPr>
          <w:rFonts w:ascii="Book Antiqua" w:hAnsi="Book Antiqua"/>
          <w:sz w:val="24"/>
          <w:szCs w:val="24"/>
        </w:rPr>
        <w:t>Kanouni</w:t>
      </w:r>
      <w:proofErr w:type="spellEnd"/>
      <w:r w:rsidRPr="001E48D5">
        <w:rPr>
          <w:rFonts w:ascii="Book Antiqua" w:hAnsi="Book Antiqua"/>
          <w:sz w:val="24"/>
          <w:szCs w:val="24"/>
        </w:rPr>
        <w:t xml:space="preserve"> T, </w:t>
      </w:r>
      <w:proofErr w:type="spellStart"/>
      <w:r w:rsidRPr="001E48D5">
        <w:rPr>
          <w:rFonts w:ascii="Book Antiqua" w:hAnsi="Book Antiqua"/>
          <w:sz w:val="24"/>
          <w:szCs w:val="24"/>
        </w:rPr>
        <w:t>Caumes</w:t>
      </w:r>
      <w:proofErr w:type="spellEnd"/>
      <w:r w:rsidRPr="001E48D5">
        <w:rPr>
          <w:rFonts w:ascii="Book Antiqua" w:hAnsi="Book Antiqua"/>
          <w:sz w:val="24"/>
          <w:szCs w:val="24"/>
        </w:rPr>
        <w:t xml:space="preserve"> B, Klein B, </w:t>
      </w:r>
      <w:proofErr w:type="spellStart"/>
      <w:r w:rsidRPr="001E48D5">
        <w:rPr>
          <w:rFonts w:ascii="Book Antiqua" w:hAnsi="Book Antiqua"/>
          <w:sz w:val="24"/>
          <w:szCs w:val="24"/>
        </w:rPr>
        <w:t>Villalba</w:t>
      </w:r>
      <w:proofErr w:type="spellEnd"/>
      <w:r w:rsidRPr="001E48D5">
        <w:rPr>
          <w:rFonts w:ascii="Book Antiqua" w:hAnsi="Book Antiqua"/>
          <w:sz w:val="24"/>
          <w:szCs w:val="24"/>
        </w:rPr>
        <w:t xml:space="preserve"> M, JF Rossi. Controlled Epstein-Barr virus reactivation after allogeneic transplantation is associated</w:t>
      </w:r>
      <w:r w:rsidR="00DE5DEE" w:rsidRPr="001E48D5">
        <w:rPr>
          <w:rFonts w:ascii="Book Antiqua" w:hAnsi="Book Antiqua"/>
          <w:sz w:val="24"/>
          <w:szCs w:val="24"/>
        </w:rPr>
        <w:t xml:space="preserve"> with improved survival. </w:t>
      </w:r>
      <w:proofErr w:type="spellStart"/>
      <w:r w:rsidR="00DE5DEE" w:rsidRPr="001E48D5">
        <w:rPr>
          <w:rFonts w:ascii="Book Antiqua" w:hAnsi="Book Antiqua"/>
          <w:i/>
          <w:sz w:val="24"/>
          <w:szCs w:val="24"/>
        </w:rPr>
        <w:t>Eur</w:t>
      </w:r>
      <w:proofErr w:type="spellEnd"/>
      <w:r w:rsidR="00DE5DEE" w:rsidRPr="001E48D5">
        <w:rPr>
          <w:rFonts w:ascii="Book Antiqua" w:hAnsi="Book Antiqua"/>
          <w:i/>
          <w:sz w:val="24"/>
          <w:szCs w:val="24"/>
        </w:rPr>
        <w:t xml:space="preserve"> J</w:t>
      </w:r>
      <w:r w:rsidRPr="001E48D5">
        <w:rPr>
          <w:rFonts w:ascii="Book Antiqua" w:hAnsi="Book Antiqua"/>
          <w:i/>
          <w:sz w:val="24"/>
          <w:szCs w:val="24"/>
        </w:rPr>
        <w:t xml:space="preserve"> </w:t>
      </w:r>
      <w:proofErr w:type="spellStart"/>
      <w:r w:rsidRPr="001E48D5">
        <w:rPr>
          <w:rFonts w:ascii="Book Antiqua" w:hAnsi="Book Antiqua"/>
          <w:i/>
          <w:sz w:val="24"/>
          <w:szCs w:val="24"/>
        </w:rPr>
        <w:t>Haematol</w:t>
      </w:r>
      <w:proofErr w:type="spellEnd"/>
      <w:r w:rsidRPr="001E48D5">
        <w:rPr>
          <w:rFonts w:ascii="Book Antiqua" w:hAnsi="Book Antiqua"/>
          <w:sz w:val="24"/>
          <w:szCs w:val="24"/>
        </w:rPr>
        <w:t xml:space="preserve"> 2014;</w:t>
      </w:r>
      <w:r w:rsidR="00DE5DEE" w:rsidRPr="001E48D5">
        <w:rPr>
          <w:rFonts w:ascii="Book Antiqua" w:hAnsi="Book Antiqua"/>
          <w:sz w:val="24"/>
          <w:szCs w:val="24"/>
          <w:lang w:eastAsia="zh-CN"/>
        </w:rPr>
        <w:t xml:space="preserve"> </w:t>
      </w:r>
      <w:r w:rsidRPr="001E48D5">
        <w:rPr>
          <w:rFonts w:ascii="Book Antiqua" w:hAnsi="Book Antiqua"/>
          <w:b/>
          <w:sz w:val="24"/>
          <w:szCs w:val="24"/>
        </w:rPr>
        <w:t>92</w:t>
      </w:r>
      <w:r w:rsidRPr="001E48D5">
        <w:rPr>
          <w:rFonts w:ascii="Book Antiqua" w:hAnsi="Book Antiqua"/>
          <w:sz w:val="24"/>
          <w:szCs w:val="24"/>
        </w:rPr>
        <w:t>:</w:t>
      </w:r>
      <w:r w:rsidR="00DE5DEE" w:rsidRPr="001E48D5">
        <w:rPr>
          <w:rFonts w:ascii="Book Antiqua" w:hAnsi="Book Antiqua"/>
          <w:sz w:val="24"/>
          <w:szCs w:val="24"/>
          <w:lang w:eastAsia="zh-CN"/>
        </w:rPr>
        <w:t xml:space="preserve"> </w:t>
      </w:r>
      <w:r w:rsidRPr="001E48D5">
        <w:rPr>
          <w:rFonts w:ascii="Book Antiqua" w:hAnsi="Book Antiqua"/>
          <w:sz w:val="24"/>
          <w:szCs w:val="24"/>
        </w:rPr>
        <w:t>421-428 [</w:t>
      </w:r>
      <w:r w:rsidR="00DE5DEE" w:rsidRPr="001E48D5">
        <w:rPr>
          <w:rFonts w:ascii="Book Antiqua" w:hAnsi="Book Antiqua"/>
          <w:sz w:val="24"/>
          <w:szCs w:val="24"/>
        </w:rPr>
        <w:t>PMID: 24400833 DOI: 10.1111/ejh.12260</w:t>
      </w:r>
      <w:r w:rsidRPr="001E48D5">
        <w:rPr>
          <w:rFonts w:ascii="Book Antiqua" w:hAnsi="Book Antiqua"/>
          <w:sz w:val="24"/>
          <w:szCs w:val="24"/>
        </w:rPr>
        <w:t>]</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62 </w:t>
      </w:r>
      <w:r w:rsidRPr="001E48D5">
        <w:rPr>
          <w:rFonts w:ascii="Book Antiqua" w:hAnsi="Book Antiqua"/>
          <w:b/>
          <w:sz w:val="24"/>
          <w:szCs w:val="24"/>
        </w:rPr>
        <w:t>Hassan R</w:t>
      </w:r>
      <w:r w:rsidRPr="001E48D5">
        <w:rPr>
          <w:rFonts w:ascii="Book Antiqua" w:hAnsi="Book Antiqua"/>
          <w:sz w:val="24"/>
          <w:szCs w:val="24"/>
        </w:rPr>
        <w:t xml:space="preserve">, </w:t>
      </w:r>
      <w:proofErr w:type="spellStart"/>
      <w:r w:rsidRPr="001E48D5">
        <w:rPr>
          <w:rFonts w:ascii="Book Antiqua" w:hAnsi="Book Antiqua"/>
          <w:sz w:val="24"/>
          <w:szCs w:val="24"/>
        </w:rPr>
        <w:t>Stefanoff</w:t>
      </w:r>
      <w:proofErr w:type="spellEnd"/>
      <w:r w:rsidRPr="001E48D5">
        <w:rPr>
          <w:rFonts w:ascii="Book Antiqua" w:hAnsi="Book Antiqua"/>
          <w:sz w:val="24"/>
          <w:szCs w:val="24"/>
        </w:rPr>
        <w:t xml:space="preserve"> CG, </w:t>
      </w:r>
      <w:proofErr w:type="spellStart"/>
      <w:r w:rsidRPr="001E48D5">
        <w:rPr>
          <w:rFonts w:ascii="Book Antiqua" w:hAnsi="Book Antiqua"/>
          <w:sz w:val="24"/>
          <w:szCs w:val="24"/>
        </w:rPr>
        <w:t>Maradei</w:t>
      </w:r>
      <w:proofErr w:type="spellEnd"/>
      <w:r w:rsidRPr="001E48D5">
        <w:rPr>
          <w:rFonts w:ascii="Book Antiqua" w:hAnsi="Book Antiqua"/>
          <w:sz w:val="24"/>
          <w:szCs w:val="24"/>
        </w:rPr>
        <w:t xml:space="preserve"> S, </w:t>
      </w:r>
      <w:proofErr w:type="spellStart"/>
      <w:r w:rsidRPr="001E48D5">
        <w:rPr>
          <w:rFonts w:ascii="Book Antiqua" w:hAnsi="Book Antiqua"/>
          <w:sz w:val="24"/>
          <w:szCs w:val="24"/>
        </w:rPr>
        <w:t>Fernandes</w:t>
      </w:r>
      <w:proofErr w:type="spellEnd"/>
      <w:r w:rsidRPr="001E48D5">
        <w:rPr>
          <w:rFonts w:ascii="Book Antiqua" w:hAnsi="Book Antiqua"/>
          <w:sz w:val="24"/>
          <w:szCs w:val="24"/>
        </w:rPr>
        <w:t xml:space="preserve"> GA, Barros MH, </w:t>
      </w:r>
      <w:proofErr w:type="spellStart"/>
      <w:r w:rsidRPr="001E48D5">
        <w:rPr>
          <w:rFonts w:ascii="Book Antiqua" w:hAnsi="Book Antiqua"/>
          <w:sz w:val="24"/>
          <w:szCs w:val="24"/>
        </w:rPr>
        <w:t>Carestiato</w:t>
      </w:r>
      <w:proofErr w:type="spellEnd"/>
      <w:r w:rsidRPr="001E48D5">
        <w:rPr>
          <w:rFonts w:ascii="Book Antiqua" w:hAnsi="Book Antiqua"/>
          <w:sz w:val="24"/>
          <w:szCs w:val="24"/>
        </w:rPr>
        <w:t xml:space="preserve"> FN, Romano SO, </w:t>
      </w:r>
      <w:proofErr w:type="spellStart"/>
      <w:r w:rsidRPr="001E48D5">
        <w:rPr>
          <w:rFonts w:ascii="Book Antiqua" w:hAnsi="Book Antiqua"/>
          <w:sz w:val="24"/>
          <w:szCs w:val="24"/>
        </w:rPr>
        <w:t>Bouzas</w:t>
      </w:r>
      <w:proofErr w:type="spellEnd"/>
      <w:r w:rsidRPr="001E48D5">
        <w:rPr>
          <w:rFonts w:ascii="Book Antiqua" w:hAnsi="Book Antiqua"/>
          <w:sz w:val="24"/>
          <w:szCs w:val="24"/>
        </w:rPr>
        <w:t xml:space="preserve"> LF, </w:t>
      </w:r>
      <w:proofErr w:type="spellStart"/>
      <w:r w:rsidRPr="001E48D5">
        <w:rPr>
          <w:rFonts w:ascii="Book Antiqua" w:hAnsi="Book Antiqua"/>
          <w:sz w:val="24"/>
          <w:szCs w:val="24"/>
        </w:rPr>
        <w:t>Zalcberg</w:t>
      </w:r>
      <w:proofErr w:type="spellEnd"/>
      <w:r w:rsidRPr="001E48D5">
        <w:rPr>
          <w:rFonts w:ascii="Book Antiqua" w:hAnsi="Book Antiqua"/>
          <w:sz w:val="24"/>
          <w:szCs w:val="24"/>
        </w:rPr>
        <w:t xml:space="preserve"> IR. EBV-associated </w:t>
      </w:r>
      <w:proofErr w:type="spellStart"/>
      <w:r w:rsidRPr="001E48D5">
        <w:rPr>
          <w:rFonts w:ascii="Book Antiqua" w:hAnsi="Book Antiqua"/>
          <w:sz w:val="24"/>
          <w:szCs w:val="24"/>
        </w:rPr>
        <w:t>post transplant</w:t>
      </w:r>
      <w:proofErr w:type="spellEnd"/>
      <w:r w:rsidRPr="001E48D5">
        <w:rPr>
          <w:rFonts w:ascii="Book Antiqua" w:hAnsi="Book Antiqua"/>
          <w:sz w:val="24"/>
          <w:szCs w:val="24"/>
        </w:rPr>
        <w:t xml:space="preserve"> </w:t>
      </w:r>
      <w:proofErr w:type="spellStart"/>
      <w:r w:rsidRPr="001E48D5">
        <w:rPr>
          <w:rFonts w:ascii="Book Antiqua" w:hAnsi="Book Antiqua"/>
          <w:sz w:val="24"/>
          <w:szCs w:val="24"/>
        </w:rPr>
        <w:t>lymphoproliferative</w:t>
      </w:r>
      <w:proofErr w:type="spellEnd"/>
      <w:r w:rsidRPr="001E48D5">
        <w:rPr>
          <w:rFonts w:ascii="Book Antiqua" w:hAnsi="Book Antiqua"/>
          <w:sz w:val="24"/>
          <w:szCs w:val="24"/>
        </w:rPr>
        <w:t xml:space="preserve"> disorder of the 'loser' graft cell origin following double unrelated umbilical cord blood transplantation. </w:t>
      </w:r>
      <w:r w:rsidRPr="001E48D5">
        <w:rPr>
          <w:rFonts w:ascii="Book Antiqua" w:hAnsi="Book Antiqua"/>
          <w:i/>
          <w:sz w:val="24"/>
          <w:szCs w:val="24"/>
        </w:rPr>
        <w:t>Bone Marrow Transplant</w:t>
      </w:r>
      <w:r w:rsidRPr="001E48D5">
        <w:rPr>
          <w:rFonts w:ascii="Book Antiqua" w:hAnsi="Book Antiqua"/>
          <w:sz w:val="24"/>
          <w:szCs w:val="24"/>
        </w:rPr>
        <w:t xml:space="preserve"> 2009; </w:t>
      </w:r>
      <w:r w:rsidRPr="001E48D5">
        <w:rPr>
          <w:rFonts w:ascii="Book Antiqua" w:hAnsi="Book Antiqua"/>
          <w:b/>
          <w:sz w:val="24"/>
          <w:szCs w:val="24"/>
        </w:rPr>
        <w:t>44</w:t>
      </w:r>
      <w:r w:rsidRPr="001E48D5">
        <w:rPr>
          <w:rFonts w:ascii="Book Antiqua" w:hAnsi="Book Antiqua"/>
          <w:sz w:val="24"/>
          <w:szCs w:val="24"/>
        </w:rPr>
        <w:t>: 193-195 [PMID: 19204712 DOI: 10.1038/bmt.2008.445]</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lastRenderedPageBreak/>
        <w:t xml:space="preserve">63 </w:t>
      </w:r>
      <w:r w:rsidRPr="001E48D5">
        <w:rPr>
          <w:rFonts w:ascii="Book Antiqua" w:hAnsi="Book Antiqua"/>
          <w:b/>
          <w:sz w:val="24"/>
          <w:szCs w:val="24"/>
        </w:rPr>
        <w:t>Haut PR</w:t>
      </w:r>
      <w:r w:rsidRPr="001E48D5">
        <w:rPr>
          <w:rFonts w:ascii="Book Antiqua" w:hAnsi="Book Antiqua"/>
          <w:sz w:val="24"/>
          <w:szCs w:val="24"/>
        </w:rPr>
        <w:t xml:space="preserve">, </w:t>
      </w:r>
      <w:proofErr w:type="spellStart"/>
      <w:r w:rsidRPr="001E48D5">
        <w:rPr>
          <w:rFonts w:ascii="Book Antiqua" w:hAnsi="Book Antiqua"/>
          <w:sz w:val="24"/>
          <w:szCs w:val="24"/>
        </w:rPr>
        <w:t>Kovarik</w:t>
      </w:r>
      <w:proofErr w:type="spellEnd"/>
      <w:r w:rsidRPr="001E48D5">
        <w:rPr>
          <w:rFonts w:ascii="Book Antiqua" w:hAnsi="Book Antiqua"/>
          <w:sz w:val="24"/>
          <w:szCs w:val="24"/>
        </w:rPr>
        <w:t xml:space="preserve"> P, Shaw PH, </w:t>
      </w:r>
      <w:proofErr w:type="spellStart"/>
      <w:r w:rsidRPr="001E48D5">
        <w:rPr>
          <w:rFonts w:ascii="Book Antiqua" w:hAnsi="Book Antiqua"/>
          <w:sz w:val="24"/>
          <w:szCs w:val="24"/>
        </w:rPr>
        <w:t>Walterhouse</w:t>
      </w:r>
      <w:proofErr w:type="spellEnd"/>
      <w:r w:rsidRPr="001E48D5">
        <w:rPr>
          <w:rFonts w:ascii="Book Antiqua" w:hAnsi="Book Antiqua"/>
          <w:sz w:val="24"/>
          <w:szCs w:val="24"/>
        </w:rPr>
        <w:t xml:space="preserve"> D, Jenson HB, </w:t>
      </w:r>
      <w:proofErr w:type="spellStart"/>
      <w:r w:rsidRPr="001E48D5">
        <w:rPr>
          <w:rFonts w:ascii="Book Antiqua" w:hAnsi="Book Antiqua"/>
          <w:sz w:val="24"/>
          <w:szCs w:val="24"/>
        </w:rPr>
        <w:t>Kletzel</w:t>
      </w:r>
      <w:proofErr w:type="spellEnd"/>
      <w:r w:rsidRPr="001E48D5">
        <w:rPr>
          <w:rFonts w:ascii="Book Antiqua" w:hAnsi="Book Antiqua"/>
          <w:sz w:val="24"/>
          <w:szCs w:val="24"/>
        </w:rPr>
        <w:t xml:space="preserve"> M. Detection of EBV DNA in the cord blood donor for a patient developing Epstein-Barr virus-associated lymphoproliferative disorder following mismatched unrelated umbilical cord blood transplantation. </w:t>
      </w:r>
      <w:r w:rsidRPr="001E48D5">
        <w:rPr>
          <w:rFonts w:ascii="Book Antiqua" w:hAnsi="Book Antiqua"/>
          <w:i/>
          <w:sz w:val="24"/>
          <w:szCs w:val="24"/>
        </w:rPr>
        <w:t>Bone Marrow Transplant</w:t>
      </w:r>
      <w:r w:rsidRPr="001E48D5">
        <w:rPr>
          <w:rFonts w:ascii="Book Antiqua" w:hAnsi="Book Antiqua"/>
          <w:sz w:val="24"/>
          <w:szCs w:val="24"/>
        </w:rPr>
        <w:t xml:space="preserve"> 2001; </w:t>
      </w:r>
      <w:r w:rsidRPr="001E48D5">
        <w:rPr>
          <w:rFonts w:ascii="Book Antiqua" w:hAnsi="Book Antiqua"/>
          <w:b/>
          <w:sz w:val="24"/>
          <w:szCs w:val="24"/>
        </w:rPr>
        <w:t>27</w:t>
      </w:r>
      <w:r w:rsidRPr="001E48D5">
        <w:rPr>
          <w:rFonts w:ascii="Book Antiqua" w:hAnsi="Book Antiqua"/>
          <w:sz w:val="24"/>
          <w:szCs w:val="24"/>
        </w:rPr>
        <w:t>: 761-765 [PMID: 11360119 DOI: 10.1038/sj.bmt.1702770]</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64 </w:t>
      </w:r>
      <w:proofErr w:type="spellStart"/>
      <w:r w:rsidRPr="001E48D5">
        <w:rPr>
          <w:rFonts w:ascii="Book Antiqua" w:hAnsi="Book Antiqua"/>
          <w:b/>
          <w:sz w:val="24"/>
          <w:szCs w:val="24"/>
        </w:rPr>
        <w:t>Ohga</w:t>
      </w:r>
      <w:proofErr w:type="spellEnd"/>
      <w:r w:rsidRPr="001E48D5">
        <w:rPr>
          <w:rFonts w:ascii="Book Antiqua" w:hAnsi="Book Antiqua"/>
          <w:b/>
          <w:sz w:val="24"/>
          <w:szCs w:val="24"/>
        </w:rPr>
        <w:t xml:space="preserve"> S</w:t>
      </w:r>
      <w:r w:rsidRPr="001E48D5">
        <w:rPr>
          <w:rFonts w:ascii="Book Antiqua" w:hAnsi="Book Antiqua"/>
          <w:sz w:val="24"/>
          <w:szCs w:val="24"/>
        </w:rPr>
        <w:t xml:space="preserve">, </w:t>
      </w:r>
      <w:proofErr w:type="spellStart"/>
      <w:r w:rsidRPr="001E48D5">
        <w:rPr>
          <w:rFonts w:ascii="Book Antiqua" w:hAnsi="Book Antiqua"/>
          <w:sz w:val="24"/>
          <w:szCs w:val="24"/>
        </w:rPr>
        <w:t>Kanaya</w:t>
      </w:r>
      <w:proofErr w:type="spellEnd"/>
      <w:r w:rsidRPr="001E48D5">
        <w:rPr>
          <w:rFonts w:ascii="Book Antiqua" w:hAnsi="Book Antiqua"/>
          <w:sz w:val="24"/>
          <w:szCs w:val="24"/>
        </w:rPr>
        <w:t xml:space="preserve"> Y, Maki H, Takada H, Ohshima K, Kanda M, Nomura A, Suminoe A, </w:t>
      </w:r>
      <w:proofErr w:type="spellStart"/>
      <w:r w:rsidRPr="001E48D5">
        <w:rPr>
          <w:rFonts w:ascii="Book Antiqua" w:hAnsi="Book Antiqua"/>
          <w:sz w:val="24"/>
          <w:szCs w:val="24"/>
        </w:rPr>
        <w:t>Matsuzaki</w:t>
      </w:r>
      <w:proofErr w:type="spellEnd"/>
      <w:r w:rsidRPr="001E48D5">
        <w:rPr>
          <w:rFonts w:ascii="Book Antiqua" w:hAnsi="Book Antiqua"/>
          <w:sz w:val="24"/>
          <w:szCs w:val="24"/>
        </w:rPr>
        <w:t xml:space="preserve"> A, Hara T. Epstein-Barr virus-associated lymphoproliferative disease after a cord blood transplant for Diamond-</w:t>
      </w:r>
      <w:proofErr w:type="spellStart"/>
      <w:r w:rsidRPr="001E48D5">
        <w:rPr>
          <w:rFonts w:ascii="Book Antiqua" w:hAnsi="Book Antiqua"/>
          <w:sz w:val="24"/>
          <w:szCs w:val="24"/>
        </w:rPr>
        <w:t>Blackfan</w:t>
      </w:r>
      <w:proofErr w:type="spellEnd"/>
      <w:r w:rsidRPr="001E48D5">
        <w:rPr>
          <w:rFonts w:ascii="Book Antiqua" w:hAnsi="Book Antiqua"/>
          <w:sz w:val="24"/>
          <w:szCs w:val="24"/>
        </w:rPr>
        <w:t xml:space="preserve"> anemia. </w:t>
      </w:r>
      <w:r w:rsidRPr="001E48D5">
        <w:rPr>
          <w:rFonts w:ascii="Book Antiqua" w:hAnsi="Book Antiqua"/>
          <w:i/>
          <w:sz w:val="24"/>
          <w:szCs w:val="24"/>
        </w:rPr>
        <w:t>Bone Marrow Transplant</w:t>
      </w:r>
      <w:r w:rsidRPr="001E48D5">
        <w:rPr>
          <w:rFonts w:ascii="Book Antiqua" w:hAnsi="Book Antiqua"/>
          <w:sz w:val="24"/>
          <w:szCs w:val="24"/>
        </w:rPr>
        <w:t xml:space="preserve"> 2000; </w:t>
      </w:r>
      <w:r w:rsidRPr="001E48D5">
        <w:rPr>
          <w:rFonts w:ascii="Book Antiqua" w:hAnsi="Book Antiqua"/>
          <w:b/>
          <w:sz w:val="24"/>
          <w:szCs w:val="24"/>
        </w:rPr>
        <w:t>25</w:t>
      </w:r>
      <w:r w:rsidRPr="001E48D5">
        <w:rPr>
          <w:rFonts w:ascii="Book Antiqua" w:hAnsi="Book Antiqua"/>
          <w:sz w:val="24"/>
          <w:szCs w:val="24"/>
        </w:rPr>
        <w:t>: 209-212 [PMID: 10673683 DOI: 10.1038/sj.bmt.1702138]</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65 </w:t>
      </w:r>
      <w:proofErr w:type="spellStart"/>
      <w:r w:rsidRPr="001E48D5">
        <w:rPr>
          <w:rFonts w:ascii="Book Antiqua" w:hAnsi="Book Antiqua"/>
          <w:b/>
          <w:sz w:val="24"/>
          <w:szCs w:val="24"/>
        </w:rPr>
        <w:t>Reddiconto</w:t>
      </w:r>
      <w:proofErr w:type="spellEnd"/>
      <w:r w:rsidRPr="001E48D5">
        <w:rPr>
          <w:rFonts w:ascii="Book Antiqua" w:hAnsi="Book Antiqua"/>
          <w:b/>
          <w:sz w:val="24"/>
          <w:szCs w:val="24"/>
        </w:rPr>
        <w:t xml:space="preserve"> G</w:t>
      </w:r>
      <w:r w:rsidRPr="001E48D5">
        <w:rPr>
          <w:rFonts w:ascii="Book Antiqua" w:hAnsi="Book Antiqua"/>
          <w:sz w:val="24"/>
          <w:szCs w:val="24"/>
        </w:rPr>
        <w:t xml:space="preserve">, </w:t>
      </w:r>
      <w:proofErr w:type="spellStart"/>
      <w:r w:rsidRPr="001E48D5">
        <w:rPr>
          <w:rFonts w:ascii="Book Antiqua" w:hAnsi="Book Antiqua"/>
          <w:sz w:val="24"/>
          <w:szCs w:val="24"/>
        </w:rPr>
        <w:t>Chiusolo</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Fiorini</w:t>
      </w:r>
      <w:proofErr w:type="spellEnd"/>
      <w:r w:rsidRPr="001E48D5">
        <w:rPr>
          <w:rFonts w:ascii="Book Antiqua" w:hAnsi="Book Antiqua"/>
          <w:sz w:val="24"/>
          <w:szCs w:val="24"/>
        </w:rPr>
        <w:t xml:space="preserve"> A, Farina G, </w:t>
      </w:r>
      <w:proofErr w:type="spellStart"/>
      <w:r w:rsidRPr="001E48D5">
        <w:rPr>
          <w:rFonts w:ascii="Book Antiqua" w:hAnsi="Book Antiqua"/>
          <w:sz w:val="24"/>
          <w:szCs w:val="24"/>
        </w:rPr>
        <w:t>Laurenti</w:t>
      </w:r>
      <w:proofErr w:type="spellEnd"/>
      <w:r w:rsidRPr="001E48D5">
        <w:rPr>
          <w:rFonts w:ascii="Book Antiqua" w:hAnsi="Book Antiqua"/>
          <w:sz w:val="24"/>
          <w:szCs w:val="24"/>
        </w:rPr>
        <w:t xml:space="preserve"> L, Martini M, </w:t>
      </w:r>
      <w:proofErr w:type="spellStart"/>
      <w:r w:rsidRPr="001E48D5">
        <w:rPr>
          <w:rFonts w:ascii="Book Antiqua" w:hAnsi="Book Antiqua"/>
          <w:sz w:val="24"/>
          <w:szCs w:val="24"/>
        </w:rPr>
        <w:t>Marchetti</w:t>
      </w:r>
      <w:proofErr w:type="spellEnd"/>
      <w:r w:rsidRPr="001E48D5">
        <w:rPr>
          <w:rFonts w:ascii="Book Antiqua" w:hAnsi="Book Antiqua"/>
          <w:sz w:val="24"/>
          <w:szCs w:val="24"/>
        </w:rPr>
        <w:t xml:space="preserve"> S, </w:t>
      </w:r>
      <w:proofErr w:type="spellStart"/>
      <w:r w:rsidRPr="001E48D5">
        <w:rPr>
          <w:rFonts w:ascii="Book Antiqua" w:hAnsi="Book Antiqua"/>
          <w:sz w:val="24"/>
          <w:szCs w:val="24"/>
        </w:rPr>
        <w:t>Fadda</w:t>
      </w:r>
      <w:proofErr w:type="spellEnd"/>
      <w:r w:rsidRPr="001E48D5">
        <w:rPr>
          <w:rFonts w:ascii="Book Antiqua" w:hAnsi="Book Antiqua"/>
          <w:sz w:val="24"/>
          <w:szCs w:val="24"/>
        </w:rPr>
        <w:t xml:space="preserve"> G, Leone G, </w:t>
      </w:r>
      <w:proofErr w:type="spellStart"/>
      <w:r w:rsidRPr="001E48D5">
        <w:rPr>
          <w:rFonts w:ascii="Book Antiqua" w:hAnsi="Book Antiqua"/>
          <w:sz w:val="24"/>
          <w:szCs w:val="24"/>
        </w:rPr>
        <w:t>Sica</w:t>
      </w:r>
      <w:proofErr w:type="spellEnd"/>
      <w:r w:rsidRPr="001E48D5">
        <w:rPr>
          <w:rFonts w:ascii="Book Antiqua" w:hAnsi="Book Antiqua"/>
          <w:sz w:val="24"/>
          <w:szCs w:val="24"/>
        </w:rPr>
        <w:t xml:space="preserve"> S. Assessment of cellular origin and EBV status in a PTLD after double cord blood transplantation. </w:t>
      </w:r>
      <w:r w:rsidRPr="001E48D5">
        <w:rPr>
          <w:rFonts w:ascii="Book Antiqua" w:hAnsi="Book Antiqua"/>
          <w:i/>
          <w:sz w:val="24"/>
          <w:szCs w:val="24"/>
        </w:rPr>
        <w:t>Leukemia</w:t>
      </w:r>
      <w:r w:rsidRPr="001E48D5">
        <w:rPr>
          <w:rFonts w:ascii="Book Antiqua" w:hAnsi="Book Antiqua"/>
          <w:sz w:val="24"/>
          <w:szCs w:val="24"/>
        </w:rPr>
        <w:t xml:space="preserve"> 2007; </w:t>
      </w:r>
      <w:r w:rsidRPr="001E48D5">
        <w:rPr>
          <w:rFonts w:ascii="Book Antiqua" w:hAnsi="Book Antiqua"/>
          <w:b/>
          <w:sz w:val="24"/>
          <w:szCs w:val="24"/>
        </w:rPr>
        <w:t>21</w:t>
      </w:r>
      <w:r w:rsidRPr="001E48D5">
        <w:rPr>
          <w:rFonts w:ascii="Book Antiqua" w:hAnsi="Book Antiqua"/>
          <w:sz w:val="24"/>
          <w:szCs w:val="24"/>
        </w:rPr>
        <w:t>: 2552-2554 [PMID: 17597809 DOI: 10.1038/sj.leu.2404818]</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66 </w:t>
      </w:r>
      <w:proofErr w:type="spellStart"/>
      <w:r w:rsidRPr="001E48D5">
        <w:rPr>
          <w:rFonts w:ascii="Book Antiqua" w:hAnsi="Book Antiqua"/>
          <w:b/>
          <w:sz w:val="24"/>
          <w:szCs w:val="24"/>
        </w:rPr>
        <w:t>Sundin</w:t>
      </w:r>
      <w:proofErr w:type="spellEnd"/>
      <w:r w:rsidRPr="001E48D5">
        <w:rPr>
          <w:rFonts w:ascii="Book Antiqua" w:hAnsi="Book Antiqua"/>
          <w:b/>
          <w:sz w:val="24"/>
          <w:szCs w:val="24"/>
        </w:rPr>
        <w:t xml:space="preserve"> M</w:t>
      </w:r>
      <w:r w:rsidRPr="001E48D5">
        <w:rPr>
          <w:rFonts w:ascii="Book Antiqua" w:hAnsi="Book Antiqua"/>
          <w:sz w:val="24"/>
          <w:szCs w:val="24"/>
        </w:rPr>
        <w:t xml:space="preserve">, Le Blanc K, </w:t>
      </w:r>
      <w:proofErr w:type="spellStart"/>
      <w:r w:rsidRPr="001E48D5">
        <w:rPr>
          <w:rFonts w:ascii="Book Antiqua" w:hAnsi="Book Antiqua"/>
          <w:sz w:val="24"/>
          <w:szCs w:val="24"/>
        </w:rPr>
        <w:t>Ringdén</w:t>
      </w:r>
      <w:proofErr w:type="spellEnd"/>
      <w:r w:rsidRPr="001E48D5">
        <w:rPr>
          <w:rFonts w:ascii="Book Antiqua" w:hAnsi="Book Antiqua"/>
          <w:sz w:val="24"/>
          <w:szCs w:val="24"/>
        </w:rPr>
        <w:t xml:space="preserve"> O, </w:t>
      </w:r>
      <w:proofErr w:type="spellStart"/>
      <w:r w:rsidRPr="001E48D5">
        <w:rPr>
          <w:rFonts w:ascii="Book Antiqua" w:hAnsi="Book Antiqua"/>
          <w:sz w:val="24"/>
          <w:szCs w:val="24"/>
        </w:rPr>
        <w:t>Barkholt</w:t>
      </w:r>
      <w:proofErr w:type="spellEnd"/>
      <w:r w:rsidRPr="001E48D5">
        <w:rPr>
          <w:rFonts w:ascii="Book Antiqua" w:hAnsi="Book Antiqua"/>
          <w:sz w:val="24"/>
          <w:szCs w:val="24"/>
        </w:rPr>
        <w:t xml:space="preserve"> L, </w:t>
      </w:r>
      <w:proofErr w:type="spellStart"/>
      <w:r w:rsidRPr="001E48D5">
        <w:rPr>
          <w:rFonts w:ascii="Book Antiqua" w:hAnsi="Book Antiqua"/>
          <w:sz w:val="24"/>
          <w:szCs w:val="24"/>
        </w:rPr>
        <w:t>Omazic</w:t>
      </w:r>
      <w:proofErr w:type="spellEnd"/>
      <w:r w:rsidRPr="001E48D5">
        <w:rPr>
          <w:rFonts w:ascii="Book Antiqua" w:hAnsi="Book Antiqua"/>
          <w:sz w:val="24"/>
          <w:szCs w:val="24"/>
        </w:rPr>
        <w:t xml:space="preserve"> B, </w:t>
      </w:r>
      <w:proofErr w:type="spellStart"/>
      <w:r w:rsidRPr="001E48D5">
        <w:rPr>
          <w:rFonts w:ascii="Book Antiqua" w:hAnsi="Book Antiqua"/>
          <w:sz w:val="24"/>
          <w:szCs w:val="24"/>
        </w:rPr>
        <w:t>Lergin</w:t>
      </w:r>
      <w:proofErr w:type="spellEnd"/>
      <w:r w:rsidRPr="001E48D5">
        <w:rPr>
          <w:rFonts w:ascii="Book Antiqua" w:hAnsi="Book Antiqua"/>
          <w:sz w:val="24"/>
          <w:szCs w:val="24"/>
        </w:rPr>
        <w:t xml:space="preserve"> C, </w:t>
      </w:r>
      <w:proofErr w:type="spellStart"/>
      <w:r w:rsidRPr="001E48D5">
        <w:rPr>
          <w:rFonts w:ascii="Book Antiqua" w:hAnsi="Book Antiqua"/>
          <w:sz w:val="24"/>
          <w:szCs w:val="24"/>
        </w:rPr>
        <w:t>Levitsky</w:t>
      </w:r>
      <w:proofErr w:type="spellEnd"/>
      <w:r w:rsidRPr="001E48D5">
        <w:rPr>
          <w:rFonts w:ascii="Book Antiqua" w:hAnsi="Book Antiqua"/>
          <w:sz w:val="24"/>
          <w:szCs w:val="24"/>
        </w:rPr>
        <w:t xml:space="preserve"> V, </w:t>
      </w:r>
      <w:proofErr w:type="spellStart"/>
      <w:r w:rsidRPr="001E48D5">
        <w:rPr>
          <w:rFonts w:ascii="Book Antiqua" w:hAnsi="Book Antiqua"/>
          <w:sz w:val="24"/>
          <w:szCs w:val="24"/>
        </w:rPr>
        <w:t>Remberger</w:t>
      </w:r>
      <w:proofErr w:type="spellEnd"/>
      <w:r w:rsidRPr="001E48D5">
        <w:rPr>
          <w:rFonts w:ascii="Book Antiqua" w:hAnsi="Book Antiqua"/>
          <w:sz w:val="24"/>
          <w:szCs w:val="24"/>
        </w:rPr>
        <w:t xml:space="preserve"> M. </w:t>
      </w:r>
      <w:proofErr w:type="gramStart"/>
      <w:r w:rsidRPr="001E48D5">
        <w:rPr>
          <w:rFonts w:ascii="Book Antiqua" w:hAnsi="Book Antiqua"/>
          <w:sz w:val="24"/>
          <w:szCs w:val="24"/>
        </w:rPr>
        <w:t xml:space="preserve">The role of HLA mismatch, splenectomy and recipient Epstein-Barr virus </w:t>
      </w:r>
      <w:proofErr w:type="spellStart"/>
      <w:r w:rsidRPr="001E48D5">
        <w:rPr>
          <w:rFonts w:ascii="Book Antiqua" w:hAnsi="Book Antiqua"/>
          <w:sz w:val="24"/>
          <w:szCs w:val="24"/>
        </w:rPr>
        <w:t>seronegativity</w:t>
      </w:r>
      <w:proofErr w:type="spellEnd"/>
      <w:r w:rsidRPr="001E48D5">
        <w:rPr>
          <w:rFonts w:ascii="Book Antiqua" w:hAnsi="Book Antiqua"/>
          <w:sz w:val="24"/>
          <w:szCs w:val="24"/>
        </w:rPr>
        <w:t xml:space="preserve"> as risk factors in post-transplant lymphoproliferative disorder following allogeneic hematopoietic stem cell transplantation.</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Haematologica</w:t>
      </w:r>
      <w:proofErr w:type="spellEnd"/>
      <w:r w:rsidRPr="001E48D5">
        <w:rPr>
          <w:rFonts w:ascii="Book Antiqua" w:hAnsi="Book Antiqua"/>
          <w:sz w:val="24"/>
          <w:szCs w:val="24"/>
        </w:rPr>
        <w:t xml:space="preserve"> 2006; </w:t>
      </w:r>
      <w:r w:rsidRPr="001E48D5">
        <w:rPr>
          <w:rFonts w:ascii="Book Antiqua" w:hAnsi="Book Antiqua"/>
          <w:b/>
          <w:sz w:val="24"/>
          <w:szCs w:val="24"/>
        </w:rPr>
        <w:t>91</w:t>
      </w:r>
      <w:r w:rsidRPr="001E48D5">
        <w:rPr>
          <w:rFonts w:ascii="Book Antiqua" w:hAnsi="Book Antiqua"/>
          <w:sz w:val="24"/>
          <w:szCs w:val="24"/>
        </w:rPr>
        <w:t>: 1059-1067 [PMID: 16885046]</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67 </w:t>
      </w:r>
      <w:r w:rsidRPr="001E48D5">
        <w:rPr>
          <w:rFonts w:ascii="Book Antiqua" w:hAnsi="Book Antiqua"/>
          <w:b/>
          <w:sz w:val="24"/>
          <w:szCs w:val="24"/>
        </w:rPr>
        <w:t>Barker JN</w:t>
      </w:r>
      <w:r w:rsidRPr="001E48D5">
        <w:rPr>
          <w:rFonts w:ascii="Book Antiqua" w:hAnsi="Book Antiqua"/>
          <w:sz w:val="24"/>
          <w:szCs w:val="24"/>
        </w:rPr>
        <w:t xml:space="preserve">, </w:t>
      </w:r>
      <w:proofErr w:type="spellStart"/>
      <w:r w:rsidRPr="001E48D5">
        <w:rPr>
          <w:rFonts w:ascii="Book Antiqua" w:hAnsi="Book Antiqua"/>
          <w:sz w:val="24"/>
          <w:szCs w:val="24"/>
        </w:rPr>
        <w:t>Doubrovina</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Sauter</w:t>
      </w:r>
      <w:proofErr w:type="spellEnd"/>
      <w:r w:rsidRPr="001E48D5">
        <w:rPr>
          <w:rFonts w:ascii="Book Antiqua" w:hAnsi="Book Antiqua"/>
          <w:sz w:val="24"/>
          <w:szCs w:val="24"/>
        </w:rPr>
        <w:t xml:space="preserve"> C, </w:t>
      </w:r>
      <w:proofErr w:type="spellStart"/>
      <w:r w:rsidRPr="001E48D5">
        <w:rPr>
          <w:rFonts w:ascii="Book Antiqua" w:hAnsi="Book Antiqua"/>
          <w:sz w:val="24"/>
          <w:szCs w:val="24"/>
        </w:rPr>
        <w:t>Jaroscak</w:t>
      </w:r>
      <w:proofErr w:type="spellEnd"/>
      <w:r w:rsidRPr="001E48D5">
        <w:rPr>
          <w:rFonts w:ascii="Book Antiqua" w:hAnsi="Book Antiqua"/>
          <w:sz w:val="24"/>
          <w:szCs w:val="24"/>
        </w:rPr>
        <w:t xml:space="preserve"> JJ, </w:t>
      </w:r>
      <w:proofErr w:type="spellStart"/>
      <w:r w:rsidRPr="001E48D5">
        <w:rPr>
          <w:rFonts w:ascii="Book Antiqua" w:hAnsi="Book Antiqua"/>
          <w:sz w:val="24"/>
          <w:szCs w:val="24"/>
        </w:rPr>
        <w:t>Perales</w:t>
      </w:r>
      <w:proofErr w:type="spellEnd"/>
      <w:r w:rsidRPr="001E48D5">
        <w:rPr>
          <w:rFonts w:ascii="Book Antiqua" w:hAnsi="Book Antiqua"/>
          <w:sz w:val="24"/>
          <w:szCs w:val="24"/>
        </w:rPr>
        <w:t xml:space="preserve"> MA, </w:t>
      </w:r>
      <w:proofErr w:type="spellStart"/>
      <w:r w:rsidRPr="001E48D5">
        <w:rPr>
          <w:rFonts w:ascii="Book Antiqua" w:hAnsi="Book Antiqua"/>
          <w:sz w:val="24"/>
          <w:szCs w:val="24"/>
        </w:rPr>
        <w:t>Doubrovin</w:t>
      </w:r>
      <w:proofErr w:type="spellEnd"/>
      <w:r w:rsidRPr="001E48D5">
        <w:rPr>
          <w:rFonts w:ascii="Book Antiqua" w:hAnsi="Book Antiqua"/>
          <w:sz w:val="24"/>
          <w:szCs w:val="24"/>
        </w:rPr>
        <w:t xml:space="preserve"> M, </w:t>
      </w:r>
      <w:proofErr w:type="spellStart"/>
      <w:r w:rsidRPr="001E48D5">
        <w:rPr>
          <w:rFonts w:ascii="Book Antiqua" w:hAnsi="Book Antiqua"/>
          <w:sz w:val="24"/>
          <w:szCs w:val="24"/>
        </w:rPr>
        <w:t>Prockop</w:t>
      </w:r>
      <w:proofErr w:type="spellEnd"/>
      <w:r w:rsidRPr="001E48D5">
        <w:rPr>
          <w:rFonts w:ascii="Book Antiqua" w:hAnsi="Book Antiqua"/>
          <w:sz w:val="24"/>
          <w:szCs w:val="24"/>
        </w:rPr>
        <w:t xml:space="preserve"> SE, </w:t>
      </w:r>
      <w:proofErr w:type="spellStart"/>
      <w:r w:rsidRPr="001E48D5">
        <w:rPr>
          <w:rFonts w:ascii="Book Antiqua" w:hAnsi="Book Antiqua"/>
          <w:sz w:val="24"/>
          <w:szCs w:val="24"/>
        </w:rPr>
        <w:t>Koehne</w:t>
      </w:r>
      <w:proofErr w:type="spellEnd"/>
      <w:r w:rsidRPr="001E48D5">
        <w:rPr>
          <w:rFonts w:ascii="Book Antiqua" w:hAnsi="Book Antiqua"/>
          <w:sz w:val="24"/>
          <w:szCs w:val="24"/>
        </w:rPr>
        <w:t xml:space="preserve"> G, O'Reilly RJ. </w:t>
      </w:r>
      <w:proofErr w:type="gramStart"/>
      <w:r w:rsidRPr="001E48D5">
        <w:rPr>
          <w:rFonts w:ascii="Book Antiqua" w:hAnsi="Book Antiqua"/>
          <w:sz w:val="24"/>
          <w:szCs w:val="24"/>
        </w:rPr>
        <w:t xml:space="preserve">Successful treatment of EBV-associated </w:t>
      </w:r>
      <w:proofErr w:type="spellStart"/>
      <w:r w:rsidRPr="001E48D5">
        <w:rPr>
          <w:rFonts w:ascii="Book Antiqua" w:hAnsi="Book Antiqua"/>
          <w:sz w:val="24"/>
          <w:szCs w:val="24"/>
        </w:rPr>
        <w:t>posttransplantation</w:t>
      </w:r>
      <w:proofErr w:type="spellEnd"/>
      <w:r w:rsidRPr="001E48D5">
        <w:rPr>
          <w:rFonts w:ascii="Book Antiqua" w:hAnsi="Book Antiqua"/>
          <w:sz w:val="24"/>
          <w:szCs w:val="24"/>
        </w:rPr>
        <w:t xml:space="preserve"> lymphoma after cord blood transplantation using third-party EBV-specific cytotoxic T lymphocytes.</w:t>
      </w:r>
      <w:proofErr w:type="gramEnd"/>
      <w:r w:rsidRPr="001E48D5">
        <w:rPr>
          <w:rFonts w:ascii="Book Antiqua" w:hAnsi="Book Antiqua"/>
          <w:sz w:val="24"/>
          <w:szCs w:val="24"/>
        </w:rPr>
        <w:t xml:space="preserve"> </w:t>
      </w:r>
      <w:r w:rsidRPr="001E48D5">
        <w:rPr>
          <w:rFonts w:ascii="Book Antiqua" w:hAnsi="Book Antiqua"/>
          <w:i/>
          <w:sz w:val="24"/>
          <w:szCs w:val="24"/>
        </w:rPr>
        <w:t>Blood</w:t>
      </w:r>
      <w:r w:rsidRPr="001E48D5">
        <w:rPr>
          <w:rFonts w:ascii="Book Antiqua" w:hAnsi="Book Antiqua"/>
          <w:sz w:val="24"/>
          <w:szCs w:val="24"/>
        </w:rPr>
        <w:t xml:space="preserve"> 2010; </w:t>
      </w:r>
      <w:r w:rsidRPr="001E48D5">
        <w:rPr>
          <w:rFonts w:ascii="Book Antiqua" w:hAnsi="Book Antiqua"/>
          <w:b/>
          <w:sz w:val="24"/>
          <w:szCs w:val="24"/>
        </w:rPr>
        <w:t>116</w:t>
      </w:r>
      <w:r w:rsidRPr="001E48D5">
        <w:rPr>
          <w:rFonts w:ascii="Book Antiqua" w:hAnsi="Book Antiqua"/>
          <w:sz w:val="24"/>
          <w:szCs w:val="24"/>
        </w:rPr>
        <w:t>: 5045-5049 [PMID: 20826724 DOI: 10.1182/blood-2010-04-281873]</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68 </w:t>
      </w:r>
      <w:proofErr w:type="spellStart"/>
      <w:r w:rsidRPr="001E48D5">
        <w:rPr>
          <w:rFonts w:ascii="Book Antiqua" w:hAnsi="Book Antiqua"/>
          <w:b/>
          <w:sz w:val="24"/>
          <w:szCs w:val="24"/>
        </w:rPr>
        <w:t>Heslop</w:t>
      </w:r>
      <w:proofErr w:type="spellEnd"/>
      <w:r w:rsidRPr="001E48D5">
        <w:rPr>
          <w:rFonts w:ascii="Book Antiqua" w:hAnsi="Book Antiqua"/>
          <w:b/>
          <w:sz w:val="24"/>
          <w:szCs w:val="24"/>
        </w:rPr>
        <w:t xml:space="preserve"> HE</w:t>
      </w:r>
      <w:r w:rsidRPr="001E48D5">
        <w:rPr>
          <w:rFonts w:ascii="Book Antiqua" w:hAnsi="Book Antiqua"/>
          <w:sz w:val="24"/>
          <w:szCs w:val="24"/>
        </w:rPr>
        <w:t xml:space="preserve">, </w:t>
      </w:r>
      <w:proofErr w:type="spellStart"/>
      <w:r w:rsidRPr="001E48D5">
        <w:rPr>
          <w:rFonts w:ascii="Book Antiqua" w:hAnsi="Book Antiqua"/>
          <w:sz w:val="24"/>
          <w:szCs w:val="24"/>
        </w:rPr>
        <w:t>Savoldo</w:t>
      </w:r>
      <w:proofErr w:type="spellEnd"/>
      <w:r w:rsidRPr="001E48D5">
        <w:rPr>
          <w:rFonts w:ascii="Book Antiqua" w:hAnsi="Book Antiqua"/>
          <w:sz w:val="24"/>
          <w:szCs w:val="24"/>
        </w:rPr>
        <w:t xml:space="preserve"> B, Rooney CM. Cellular therapy of Epstein-Barr-virus-associated post-transplant lymphoproliferative disease.</w:t>
      </w:r>
      <w:proofErr w:type="gramEnd"/>
      <w:r w:rsidRPr="001E48D5">
        <w:rPr>
          <w:rFonts w:ascii="Book Antiqua" w:hAnsi="Book Antiqua"/>
          <w:sz w:val="24"/>
          <w:szCs w:val="24"/>
        </w:rPr>
        <w:t xml:space="preserve"> </w:t>
      </w:r>
      <w:r w:rsidRPr="001E48D5">
        <w:rPr>
          <w:rFonts w:ascii="Book Antiqua" w:hAnsi="Book Antiqua"/>
          <w:i/>
          <w:sz w:val="24"/>
          <w:szCs w:val="24"/>
        </w:rPr>
        <w:t xml:space="preserve">Best </w:t>
      </w:r>
      <w:proofErr w:type="spellStart"/>
      <w:r w:rsidRPr="001E48D5">
        <w:rPr>
          <w:rFonts w:ascii="Book Antiqua" w:hAnsi="Book Antiqua"/>
          <w:i/>
          <w:sz w:val="24"/>
          <w:szCs w:val="24"/>
        </w:rPr>
        <w:t>Pract</w:t>
      </w:r>
      <w:proofErr w:type="spellEnd"/>
      <w:r w:rsidRPr="001E48D5">
        <w:rPr>
          <w:rFonts w:ascii="Book Antiqua" w:hAnsi="Book Antiqua"/>
          <w:i/>
          <w:sz w:val="24"/>
          <w:szCs w:val="24"/>
        </w:rPr>
        <w:t xml:space="preserve"> Res </w:t>
      </w:r>
      <w:proofErr w:type="spellStart"/>
      <w:r w:rsidRPr="001E48D5">
        <w:rPr>
          <w:rFonts w:ascii="Book Antiqua" w:hAnsi="Book Antiqua"/>
          <w:i/>
          <w:sz w:val="24"/>
          <w:szCs w:val="24"/>
        </w:rPr>
        <w:t>Clin</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Haematol</w:t>
      </w:r>
      <w:proofErr w:type="spellEnd"/>
      <w:r w:rsidRPr="001E48D5">
        <w:rPr>
          <w:rFonts w:ascii="Book Antiqua" w:hAnsi="Book Antiqua"/>
          <w:sz w:val="24"/>
          <w:szCs w:val="24"/>
        </w:rPr>
        <w:t xml:space="preserve"> 2004; </w:t>
      </w:r>
      <w:r w:rsidRPr="001E48D5">
        <w:rPr>
          <w:rFonts w:ascii="Book Antiqua" w:hAnsi="Book Antiqua"/>
          <w:b/>
          <w:sz w:val="24"/>
          <w:szCs w:val="24"/>
        </w:rPr>
        <w:t>17</w:t>
      </w:r>
      <w:r w:rsidRPr="001E48D5">
        <w:rPr>
          <w:rFonts w:ascii="Book Antiqua" w:hAnsi="Book Antiqua"/>
          <w:sz w:val="24"/>
          <w:szCs w:val="24"/>
        </w:rPr>
        <w:t>: 401-413 [PMID: 15498712 DOI: 10.1016/j.beha.2004.05.007]</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69 </w:t>
      </w:r>
      <w:proofErr w:type="spellStart"/>
      <w:r w:rsidRPr="001E48D5">
        <w:rPr>
          <w:rFonts w:ascii="Book Antiqua" w:hAnsi="Book Antiqua"/>
          <w:b/>
          <w:sz w:val="24"/>
          <w:szCs w:val="24"/>
        </w:rPr>
        <w:t>Blaes</w:t>
      </w:r>
      <w:proofErr w:type="spellEnd"/>
      <w:r w:rsidRPr="001E48D5">
        <w:rPr>
          <w:rFonts w:ascii="Book Antiqua" w:hAnsi="Book Antiqua"/>
          <w:b/>
          <w:sz w:val="24"/>
          <w:szCs w:val="24"/>
        </w:rPr>
        <w:t xml:space="preserve"> AH</w:t>
      </w:r>
      <w:r w:rsidRPr="001E48D5">
        <w:rPr>
          <w:rFonts w:ascii="Book Antiqua" w:hAnsi="Book Antiqua"/>
          <w:sz w:val="24"/>
          <w:szCs w:val="24"/>
        </w:rPr>
        <w:t xml:space="preserve">, Cao Q, Wagner JE, Young JA, </w:t>
      </w:r>
      <w:proofErr w:type="spellStart"/>
      <w:r w:rsidRPr="001E48D5">
        <w:rPr>
          <w:rFonts w:ascii="Book Antiqua" w:hAnsi="Book Antiqua"/>
          <w:sz w:val="24"/>
          <w:szCs w:val="24"/>
        </w:rPr>
        <w:t>Weisdorf</w:t>
      </w:r>
      <w:proofErr w:type="spellEnd"/>
      <w:r w:rsidRPr="001E48D5">
        <w:rPr>
          <w:rFonts w:ascii="Book Antiqua" w:hAnsi="Book Antiqua"/>
          <w:sz w:val="24"/>
          <w:szCs w:val="24"/>
        </w:rPr>
        <w:t xml:space="preserve"> DJ, </w:t>
      </w:r>
      <w:proofErr w:type="spellStart"/>
      <w:r w:rsidRPr="001E48D5">
        <w:rPr>
          <w:rFonts w:ascii="Book Antiqua" w:hAnsi="Book Antiqua"/>
          <w:sz w:val="24"/>
          <w:szCs w:val="24"/>
        </w:rPr>
        <w:t>Brunstein</w:t>
      </w:r>
      <w:proofErr w:type="spellEnd"/>
      <w:r w:rsidRPr="001E48D5">
        <w:rPr>
          <w:rFonts w:ascii="Book Antiqua" w:hAnsi="Book Antiqua"/>
          <w:sz w:val="24"/>
          <w:szCs w:val="24"/>
        </w:rPr>
        <w:t xml:space="preserve"> CG.</w:t>
      </w:r>
      <w:proofErr w:type="gramEnd"/>
      <w:r w:rsidRPr="001E48D5">
        <w:rPr>
          <w:rFonts w:ascii="Book Antiqua" w:hAnsi="Book Antiqua"/>
          <w:sz w:val="24"/>
          <w:szCs w:val="24"/>
        </w:rPr>
        <w:t xml:space="preserve"> </w:t>
      </w:r>
      <w:proofErr w:type="gramStart"/>
      <w:r w:rsidRPr="001E48D5">
        <w:rPr>
          <w:rFonts w:ascii="Book Antiqua" w:hAnsi="Book Antiqua"/>
          <w:sz w:val="24"/>
          <w:szCs w:val="24"/>
        </w:rPr>
        <w:t xml:space="preserve">Monitoring and preemptive rituximab therapy for Epstein-Barr virus reactivation after </w:t>
      </w:r>
      <w:proofErr w:type="spellStart"/>
      <w:r w:rsidRPr="001E48D5">
        <w:rPr>
          <w:rFonts w:ascii="Book Antiqua" w:hAnsi="Book Antiqua"/>
          <w:sz w:val="24"/>
          <w:szCs w:val="24"/>
        </w:rPr>
        <w:t>antithymocyte</w:t>
      </w:r>
      <w:proofErr w:type="spellEnd"/>
      <w:r w:rsidRPr="001E48D5">
        <w:rPr>
          <w:rFonts w:ascii="Book Antiqua" w:hAnsi="Book Antiqua"/>
          <w:sz w:val="24"/>
          <w:szCs w:val="24"/>
        </w:rPr>
        <w:t xml:space="preserve"> globulin containing </w:t>
      </w:r>
      <w:proofErr w:type="spellStart"/>
      <w:r w:rsidRPr="001E48D5">
        <w:rPr>
          <w:rFonts w:ascii="Book Antiqua" w:hAnsi="Book Antiqua"/>
          <w:sz w:val="24"/>
          <w:szCs w:val="24"/>
        </w:rPr>
        <w:t>nonmyeloablative</w:t>
      </w:r>
      <w:proofErr w:type="spellEnd"/>
      <w:r w:rsidRPr="001E48D5">
        <w:rPr>
          <w:rFonts w:ascii="Book Antiqua" w:hAnsi="Book Antiqua"/>
          <w:sz w:val="24"/>
          <w:szCs w:val="24"/>
        </w:rPr>
        <w:t xml:space="preserve"> conditioning for umbilical cord blood </w:t>
      </w:r>
      <w:r w:rsidRPr="001E48D5">
        <w:rPr>
          <w:rFonts w:ascii="Book Antiqua" w:hAnsi="Book Antiqua"/>
          <w:sz w:val="24"/>
          <w:szCs w:val="24"/>
        </w:rPr>
        <w:lastRenderedPageBreak/>
        <w:t>transplantation.</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Biol</w:t>
      </w:r>
      <w:proofErr w:type="spellEnd"/>
      <w:r w:rsidRPr="001E48D5">
        <w:rPr>
          <w:rFonts w:ascii="Book Antiqua" w:hAnsi="Book Antiqua"/>
          <w:i/>
          <w:sz w:val="24"/>
          <w:szCs w:val="24"/>
        </w:rPr>
        <w:t xml:space="preserve"> Blood Marrow Transplant</w:t>
      </w:r>
      <w:r w:rsidRPr="001E48D5">
        <w:rPr>
          <w:rFonts w:ascii="Book Antiqua" w:hAnsi="Book Antiqua"/>
          <w:sz w:val="24"/>
          <w:szCs w:val="24"/>
        </w:rPr>
        <w:t xml:space="preserve"> 2010; </w:t>
      </w:r>
      <w:r w:rsidRPr="001E48D5">
        <w:rPr>
          <w:rFonts w:ascii="Book Antiqua" w:hAnsi="Book Antiqua"/>
          <w:b/>
          <w:sz w:val="24"/>
          <w:szCs w:val="24"/>
        </w:rPr>
        <w:t>16</w:t>
      </w:r>
      <w:r w:rsidRPr="001E48D5">
        <w:rPr>
          <w:rFonts w:ascii="Book Antiqua" w:hAnsi="Book Antiqua"/>
          <w:sz w:val="24"/>
          <w:szCs w:val="24"/>
        </w:rPr>
        <w:t>: 287-291 [PMID: 19835968 DOI: 10.1016/j.bbmt.2009.10.008]</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70 </w:t>
      </w:r>
      <w:proofErr w:type="spellStart"/>
      <w:r w:rsidRPr="001E48D5">
        <w:rPr>
          <w:rFonts w:ascii="Book Antiqua" w:hAnsi="Book Antiqua"/>
          <w:b/>
          <w:sz w:val="24"/>
          <w:szCs w:val="24"/>
        </w:rPr>
        <w:t>Brunstein</w:t>
      </w:r>
      <w:proofErr w:type="spellEnd"/>
      <w:r w:rsidRPr="001E48D5">
        <w:rPr>
          <w:rFonts w:ascii="Book Antiqua" w:hAnsi="Book Antiqua"/>
          <w:b/>
          <w:sz w:val="24"/>
          <w:szCs w:val="24"/>
        </w:rPr>
        <w:t xml:space="preserve"> CG</w:t>
      </w:r>
      <w:r w:rsidRPr="001E48D5">
        <w:rPr>
          <w:rFonts w:ascii="Book Antiqua" w:hAnsi="Book Antiqua"/>
          <w:sz w:val="24"/>
          <w:szCs w:val="24"/>
        </w:rPr>
        <w:t xml:space="preserve">, </w:t>
      </w:r>
      <w:proofErr w:type="spellStart"/>
      <w:r w:rsidRPr="001E48D5">
        <w:rPr>
          <w:rFonts w:ascii="Book Antiqua" w:hAnsi="Book Antiqua"/>
          <w:sz w:val="24"/>
          <w:szCs w:val="24"/>
        </w:rPr>
        <w:t>Weisdorf</w:t>
      </w:r>
      <w:proofErr w:type="spellEnd"/>
      <w:r w:rsidRPr="001E48D5">
        <w:rPr>
          <w:rFonts w:ascii="Book Antiqua" w:hAnsi="Book Antiqua"/>
          <w:sz w:val="24"/>
          <w:szCs w:val="24"/>
        </w:rPr>
        <w:t xml:space="preserve"> DJ, </w:t>
      </w:r>
      <w:proofErr w:type="spellStart"/>
      <w:r w:rsidRPr="001E48D5">
        <w:rPr>
          <w:rFonts w:ascii="Book Antiqua" w:hAnsi="Book Antiqua"/>
          <w:sz w:val="24"/>
          <w:szCs w:val="24"/>
        </w:rPr>
        <w:t>DeFor</w:t>
      </w:r>
      <w:proofErr w:type="spellEnd"/>
      <w:r w:rsidRPr="001E48D5">
        <w:rPr>
          <w:rFonts w:ascii="Book Antiqua" w:hAnsi="Book Antiqua"/>
          <w:sz w:val="24"/>
          <w:szCs w:val="24"/>
        </w:rPr>
        <w:t xml:space="preserve"> T, Barker JN, </w:t>
      </w:r>
      <w:proofErr w:type="spellStart"/>
      <w:r w:rsidRPr="001E48D5">
        <w:rPr>
          <w:rFonts w:ascii="Book Antiqua" w:hAnsi="Book Antiqua"/>
          <w:sz w:val="24"/>
          <w:szCs w:val="24"/>
        </w:rPr>
        <w:t>Tolar</w:t>
      </w:r>
      <w:proofErr w:type="spellEnd"/>
      <w:r w:rsidRPr="001E48D5">
        <w:rPr>
          <w:rFonts w:ascii="Book Antiqua" w:hAnsi="Book Antiqua"/>
          <w:sz w:val="24"/>
          <w:szCs w:val="24"/>
        </w:rPr>
        <w:t xml:space="preserve"> J, van </w:t>
      </w:r>
      <w:proofErr w:type="spellStart"/>
      <w:r w:rsidRPr="001E48D5">
        <w:rPr>
          <w:rFonts w:ascii="Book Antiqua" w:hAnsi="Book Antiqua"/>
          <w:sz w:val="24"/>
          <w:szCs w:val="24"/>
        </w:rPr>
        <w:t>Burik</w:t>
      </w:r>
      <w:proofErr w:type="spellEnd"/>
      <w:r w:rsidRPr="001E48D5">
        <w:rPr>
          <w:rFonts w:ascii="Book Antiqua" w:hAnsi="Book Antiqua"/>
          <w:sz w:val="24"/>
          <w:szCs w:val="24"/>
        </w:rPr>
        <w:t xml:space="preserve"> JA, Wagner JE. </w:t>
      </w:r>
      <w:proofErr w:type="gramStart"/>
      <w:r w:rsidRPr="001E48D5">
        <w:rPr>
          <w:rFonts w:ascii="Book Antiqua" w:hAnsi="Book Antiqua"/>
          <w:sz w:val="24"/>
          <w:szCs w:val="24"/>
        </w:rPr>
        <w:t xml:space="preserve">Marked increased risk of Epstein-Barr virus-related complications with the addition of </w:t>
      </w:r>
      <w:proofErr w:type="spellStart"/>
      <w:r w:rsidRPr="001E48D5">
        <w:rPr>
          <w:rFonts w:ascii="Book Antiqua" w:hAnsi="Book Antiqua"/>
          <w:sz w:val="24"/>
          <w:szCs w:val="24"/>
        </w:rPr>
        <w:t>antithymocyte</w:t>
      </w:r>
      <w:proofErr w:type="spellEnd"/>
      <w:r w:rsidRPr="001E48D5">
        <w:rPr>
          <w:rFonts w:ascii="Book Antiqua" w:hAnsi="Book Antiqua"/>
          <w:sz w:val="24"/>
          <w:szCs w:val="24"/>
        </w:rPr>
        <w:t xml:space="preserve"> globulin to a </w:t>
      </w:r>
      <w:proofErr w:type="spellStart"/>
      <w:r w:rsidRPr="001E48D5">
        <w:rPr>
          <w:rFonts w:ascii="Book Antiqua" w:hAnsi="Book Antiqua"/>
          <w:sz w:val="24"/>
          <w:szCs w:val="24"/>
        </w:rPr>
        <w:t>nonmyeloablative</w:t>
      </w:r>
      <w:proofErr w:type="spellEnd"/>
      <w:r w:rsidRPr="001E48D5">
        <w:rPr>
          <w:rFonts w:ascii="Book Antiqua" w:hAnsi="Book Antiqua"/>
          <w:sz w:val="24"/>
          <w:szCs w:val="24"/>
        </w:rPr>
        <w:t xml:space="preserve"> conditioning prior to unrelated umbilical cord blood transplantation.</w:t>
      </w:r>
      <w:proofErr w:type="gramEnd"/>
      <w:r w:rsidRPr="001E48D5">
        <w:rPr>
          <w:rFonts w:ascii="Book Antiqua" w:hAnsi="Book Antiqua"/>
          <w:sz w:val="24"/>
          <w:szCs w:val="24"/>
        </w:rPr>
        <w:t xml:space="preserve"> </w:t>
      </w:r>
      <w:r w:rsidRPr="001E48D5">
        <w:rPr>
          <w:rFonts w:ascii="Book Antiqua" w:hAnsi="Book Antiqua"/>
          <w:i/>
          <w:sz w:val="24"/>
          <w:szCs w:val="24"/>
        </w:rPr>
        <w:t>Blood</w:t>
      </w:r>
      <w:r w:rsidRPr="001E48D5">
        <w:rPr>
          <w:rFonts w:ascii="Book Antiqua" w:hAnsi="Book Antiqua"/>
          <w:sz w:val="24"/>
          <w:szCs w:val="24"/>
        </w:rPr>
        <w:t xml:space="preserve"> 2006; </w:t>
      </w:r>
      <w:r w:rsidRPr="001E48D5">
        <w:rPr>
          <w:rFonts w:ascii="Book Antiqua" w:hAnsi="Book Antiqua"/>
          <w:b/>
          <w:sz w:val="24"/>
          <w:szCs w:val="24"/>
        </w:rPr>
        <w:t>108</w:t>
      </w:r>
      <w:r w:rsidRPr="001E48D5">
        <w:rPr>
          <w:rFonts w:ascii="Book Antiqua" w:hAnsi="Book Antiqua"/>
          <w:sz w:val="24"/>
          <w:szCs w:val="24"/>
        </w:rPr>
        <w:t>: 2874-2880 [PMID: 16804113 DOI: 10.1182/blood-2006-03-011791]</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71 </w:t>
      </w:r>
      <w:r w:rsidRPr="001E48D5">
        <w:rPr>
          <w:rFonts w:ascii="Book Antiqua" w:hAnsi="Book Antiqua"/>
          <w:b/>
          <w:sz w:val="24"/>
          <w:szCs w:val="24"/>
        </w:rPr>
        <w:t>Dumas PY</w:t>
      </w:r>
      <w:r w:rsidRPr="001E48D5">
        <w:rPr>
          <w:rFonts w:ascii="Book Antiqua" w:hAnsi="Book Antiqua"/>
          <w:sz w:val="24"/>
          <w:szCs w:val="24"/>
        </w:rPr>
        <w:t xml:space="preserve">, Ruggeri A, Robin M, </w:t>
      </w:r>
      <w:proofErr w:type="spellStart"/>
      <w:r w:rsidRPr="001E48D5">
        <w:rPr>
          <w:rFonts w:ascii="Book Antiqua" w:hAnsi="Book Antiqua"/>
          <w:sz w:val="24"/>
          <w:szCs w:val="24"/>
        </w:rPr>
        <w:t>Crotta</w:t>
      </w:r>
      <w:proofErr w:type="spellEnd"/>
      <w:r w:rsidRPr="001E48D5">
        <w:rPr>
          <w:rFonts w:ascii="Book Antiqua" w:hAnsi="Book Antiqua"/>
          <w:sz w:val="24"/>
          <w:szCs w:val="24"/>
        </w:rPr>
        <w:t xml:space="preserve"> A, Abraham J, </w:t>
      </w:r>
      <w:proofErr w:type="spellStart"/>
      <w:r w:rsidRPr="001E48D5">
        <w:rPr>
          <w:rFonts w:ascii="Book Antiqua" w:hAnsi="Book Antiqua"/>
          <w:sz w:val="24"/>
          <w:szCs w:val="24"/>
        </w:rPr>
        <w:t>Forcade</w:t>
      </w:r>
      <w:proofErr w:type="spellEnd"/>
      <w:r w:rsidRPr="001E48D5">
        <w:rPr>
          <w:rFonts w:ascii="Book Antiqua" w:hAnsi="Book Antiqua"/>
          <w:sz w:val="24"/>
          <w:szCs w:val="24"/>
        </w:rPr>
        <w:t xml:space="preserve"> E, Bay JO, </w:t>
      </w:r>
      <w:proofErr w:type="spellStart"/>
      <w:r w:rsidRPr="001E48D5">
        <w:rPr>
          <w:rFonts w:ascii="Book Antiqua" w:hAnsi="Book Antiqua"/>
          <w:sz w:val="24"/>
          <w:szCs w:val="24"/>
        </w:rPr>
        <w:t>Michallet</w:t>
      </w:r>
      <w:proofErr w:type="spellEnd"/>
      <w:r w:rsidRPr="001E48D5">
        <w:rPr>
          <w:rFonts w:ascii="Book Antiqua" w:hAnsi="Book Antiqua"/>
          <w:sz w:val="24"/>
          <w:szCs w:val="24"/>
        </w:rPr>
        <w:t xml:space="preserve"> M, Bertrand Y, </w:t>
      </w:r>
      <w:proofErr w:type="spellStart"/>
      <w:r w:rsidRPr="001E48D5">
        <w:rPr>
          <w:rFonts w:ascii="Book Antiqua" w:hAnsi="Book Antiqua"/>
          <w:sz w:val="24"/>
          <w:szCs w:val="24"/>
        </w:rPr>
        <w:t>Socié</w:t>
      </w:r>
      <w:proofErr w:type="spellEnd"/>
      <w:r w:rsidRPr="001E48D5">
        <w:rPr>
          <w:rFonts w:ascii="Book Antiqua" w:hAnsi="Book Antiqua"/>
          <w:sz w:val="24"/>
          <w:szCs w:val="24"/>
        </w:rPr>
        <w:t xml:space="preserve"> G, </w:t>
      </w:r>
      <w:proofErr w:type="spellStart"/>
      <w:r w:rsidRPr="001E48D5">
        <w:rPr>
          <w:rFonts w:ascii="Book Antiqua" w:hAnsi="Book Antiqua"/>
          <w:sz w:val="24"/>
          <w:szCs w:val="24"/>
        </w:rPr>
        <w:t>Ionescu</w:t>
      </w:r>
      <w:proofErr w:type="spellEnd"/>
      <w:r w:rsidRPr="001E48D5">
        <w:rPr>
          <w:rFonts w:ascii="Book Antiqua" w:hAnsi="Book Antiqua"/>
          <w:sz w:val="24"/>
          <w:szCs w:val="24"/>
        </w:rPr>
        <w:t xml:space="preserve"> I, </w:t>
      </w:r>
      <w:proofErr w:type="spellStart"/>
      <w:r w:rsidRPr="001E48D5">
        <w:rPr>
          <w:rFonts w:ascii="Book Antiqua" w:hAnsi="Book Antiqua"/>
          <w:sz w:val="24"/>
          <w:szCs w:val="24"/>
        </w:rPr>
        <w:t>Gluckman</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Milpied</w:t>
      </w:r>
      <w:proofErr w:type="spellEnd"/>
      <w:r w:rsidRPr="001E48D5">
        <w:rPr>
          <w:rFonts w:ascii="Book Antiqua" w:hAnsi="Book Antiqua"/>
          <w:sz w:val="24"/>
          <w:szCs w:val="24"/>
        </w:rPr>
        <w:t xml:space="preserve"> N, Rocha V. Incidence and risk factors of EBV reactivation after unrelated cord blood transplantation: a </w:t>
      </w:r>
      <w:proofErr w:type="spellStart"/>
      <w:r w:rsidRPr="001E48D5">
        <w:rPr>
          <w:rFonts w:ascii="Book Antiqua" w:hAnsi="Book Antiqua"/>
          <w:sz w:val="24"/>
          <w:szCs w:val="24"/>
        </w:rPr>
        <w:t>Eurocord</w:t>
      </w:r>
      <w:proofErr w:type="spellEnd"/>
      <w:r w:rsidRPr="001E48D5">
        <w:rPr>
          <w:rFonts w:ascii="Book Antiqua" w:hAnsi="Book Antiqua"/>
          <w:sz w:val="24"/>
          <w:szCs w:val="24"/>
        </w:rPr>
        <w:t xml:space="preserve"> and </w:t>
      </w:r>
      <w:proofErr w:type="spellStart"/>
      <w:r w:rsidRPr="001E48D5">
        <w:rPr>
          <w:rFonts w:ascii="Book Antiqua" w:hAnsi="Book Antiqua"/>
          <w:sz w:val="24"/>
          <w:szCs w:val="24"/>
        </w:rPr>
        <w:t>Société</w:t>
      </w:r>
      <w:proofErr w:type="spellEnd"/>
      <w:r w:rsidRPr="001E48D5">
        <w:rPr>
          <w:rFonts w:ascii="Book Antiqua" w:hAnsi="Book Antiqua"/>
          <w:sz w:val="24"/>
          <w:szCs w:val="24"/>
        </w:rPr>
        <w:t xml:space="preserve"> </w:t>
      </w:r>
      <w:proofErr w:type="spellStart"/>
      <w:r w:rsidRPr="001E48D5">
        <w:rPr>
          <w:rFonts w:ascii="Book Antiqua" w:hAnsi="Book Antiqua"/>
          <w:sz w:val="24"/>
          <w:szCs w:val="24"/>
        </w:rPr>
        <w:t>Française</w:t>
      </w:r>
      <w:proofErr w:type="spellEnd"/>
      <w:r w:rsidRPr="001E48D5">
        <w:rPr>
          <w:rFonts w:ascii="Book Antiqua" w:hAnsi="Book Antiqua"/>
          <w:sz w:val="24"/>
          <w:szCs w:val="24"/>
        </w:rPr>
        <w:t xml:space="preserve"> de </w:t>
      </w:r>
      <w:proofErr w:type="spellStart"/>
      <w:r w:rsidRPr="001E48D5">
        <w:rPr>
          <w:rFonts w:ascii="Book Antiqua" w:hAnsi="Book Antiqua"/>
          <w:sz w:val="24"/>
          <w:szCs w:val="24"/>
        </w:rPr>
        <w:t>Greffe</w:t>
      </w:r>
      <w:proofErr w:type="spellEnd"/>
      <w:r w:rsidRPr="001E48D5">
        <w:rPr>
          <w:rFonts w:ascii="Book Antiqua" w:hAnsi="Book Antiqua"/>
          <w:sz w:val="24"/>
          <w:szCs w:val="24"/>
        </w:rPr>
        <w:t xml:space="preserve"> de </w:t>
      </w:r>
      <w:proofErr w:type="spellStart"/>
      <w:r w:rsidRPr="001E48D5">
        <w:rPr>
          <w:rFonts w:ascii="Book Antiqua" w:hAnsi="Book Antiqua"/>
          <w:sz w:val="24"/>
          <w:szCs w:val="24"/>
        </w:rPr>
        <w:t>Moelle-Therapie</w:t>
      </w:r>
      <w:proofErr w:type="spellEnd"/>
      <w:r w:rsidRPr="001E48D5">
        <w:rPr>
          <w:rFonts w:ascii="Book Antiqua" w:hAnsi="Book Antiqua"/>
          <w:sz w:val="24"/>
          <w:szCs w:val="24"/>
        </w:rPr>
        <w:t xml:space="preserve"> </w:t>
      </w:r>
      <w:proofErr w:type="spellStart"/>
      <w:r w:rsidRPr="001E48D5">
        <w:rPr>
          <w:rFonts w:ascii="Book Antiqua" w:hAnsi="Book Antiqua"/>
          <w:sz w:val="24"/>
          <w:szCs w:val="24"/>
        </w:rPr>
        <w:t>Cellulaire</w:t>
      </w:r>
      <w:proofErr w:type="spellEnd"/>
      <w:r w:rsidRPr="001E48D5">
        <w:rPr>
          <w:rFonts w:ascii="Book Antiqua" w:hAnsi="Book Antiqua"/>
          <w:sz w:val="24"/>
          <w:szCs w:val="24"/>
        </w:rPr>
        <w:t xml:space="preserve"> collaborative study. </w:t>
      </w:r>
      <w:r w:rsidRPr="001E48D5">
        <w:rPr>
          <w:rFonts w:ascii="Book Antiqua" w:hAnsi="Book Antiqua"/>
          <w:i/>
          <w:sz w:val="24"/>
          <w:szCs w:val="24"/>
        </w:rPr>
        <w:t>Bone Marrow Transplant</w:t>
      </w:r>
      <w:r w:rsidRPr="001E48D5">
        <w:rPr>
          <w:rFonts w:ascii="Book Antiqua" w:hAnsi="Book Antiqua"/>
          <w:sz w:val="24"/>
          <w:szCs w:val="24"/>
        </w:rPr>
        <w:t xml:space="preserve"> 2013; </w:t>
      </w:r>
      <w:r w:rsidRPr="001E48D5">
        <w:rPr>
          <w:rFonts w:ascii="Book Antiqua" w:hAnsi="Book Antiqua"/>
          <w:b/>
          <w:sz w:val="24"/>
          <w:szCs w:val="24"/>
        </w:rPr>
        <w:t>48</w:t>
      </w:r>
      <w:r w:rsidRPr="001E48D5">
        <w:rPr>
          <w:rFonts w:ascii="Book Antiqua" w:hAnsi="Book Antiqua"/>
          <w:sz w:val="24"/>
          <w:szCs w:val="24"/>
        </w:rPr>
        <w:t>: 253-256 [PMID: 22773124 DOI: 10.1038/bmt.2012.117]</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72 </w:t>
      </w:r>
      <w:proofErr w:type="spellStart"/>
      <w:r w:rsidRPr="001E48D5">
        <w:rPr>
          <w:rFonts w:ascii="Book Antiqua" w:hAnsi="Book Antiqua"/>
          <w:b/>
          <w:sz w:val="24"/>
          <w:szCs w:val="24"/>
        </w:rPr>
        <w:t>Kalra</w:t>
      </w:r>
      <w:proofErr w:type="spellEnd"/>
      <w:r w:rsidRPr="001E48D5">
        <w:rPr>
          <w:rFonts w:ascii="Book Antiqua" w:hAnsi="Book Antiqua"/>
          <w:b/>
          <w:sz w:val="24"/>
          <w:szCs w:val="24"/>
        </w:rPr>
        <w:t xml:space="preserve"> A</w:t>
      </w:r>
      <w:r w:rsidRPr="001E48D5">
        <w:rPr>
          <w:rFonts w:ascii="Book Antiqua" w:hAnsi="Book Antiqua"/>
          <w:sz w:val="24"/>
          <w:szCs w:val="24"/>
        </w:rPr>
        <w:t xml:space="preserve">, </w:t>
      </w:r>
      <w:proofErr w:type="spellStart"/>
      <w:r w:rsidRPr="001E48D5">
        <w:rPr>
          <w:rFonts w:ascii="Book Antiqua" w:hAnsi="Book Antiqua"/>
          <w:sz w:val="24"/>
          <w:szCs w:val="24"/>
        </w:rPr>
        <w:t>Roessner</w:t>
      </w:r>
      <w:proofErr w:type="spellEnd"/>
      <w:r w:rsidRPr="001E48D5">
        <w:rPr>
          <w:rFonts w:ascii="Book Antiqua" w:hAnsi="Book Antiqua"/>
          <w:sz w:val="24"/>
          <w:szCs w:val="24"/>
        </w:rPr>
        <w:t xml:space="preserve"> C, </w:t>
      </w:r>
      <w:proofErr w:type="spellStart"/>
      <w:r w:rsidRPr="001E48D5">
        <w:rPr>
          <w:rFonts w:ascii="Book Antiqua" w:hAnsi="Book Antiqua"/>
          <w:sz w:val="24"/>
          <w:szCs w:val="24"/>
        </w:rPr>
        <w:t>Jupp</w:t>
      </w:r>
      <w:proofErr w:type="spellEnd"/>
      <w:r w:rsidRPr="001E48D5">
        <w:rPr>
          <w:rFonts w:ascii="Book Antiqua" w:hAnsi="Book Antiqua"/>
          <w:sz w:val="24"/>
          <w:szCs w:val="24"/>
        </w:rPr>
        <w:t xml:space="preserve"> J, Williamson T, </w:t>
      </w:r>
      <w:proofErr w:type="spellStart"/>
      <w:r w:rsidRPr="001E48D5">
        <w:rPr>
          <w:rFonts w:ascii="Book Antiqua" w:hAnsi="Book Antiqua"/>
          <w:sz w:val="24"/>
          <w:szCs w:val="24"/>
        </w:rPr>
        <w:t>Tellier</w:t>
      </w:r>
      <w:proofErr w:type="spellEnd"/>
      <w:r w:rsidRPr="001E48D5">
        <w:rPr>
          <w:rFonts w:ascii="Book Antiqua" w:hAnsi="Book Antiqua"/>
          <w:sz w:val="24"/>
          <w:szCs w:val="24"/>
        </w:rPr>
        <w:t xml:space="preserve"> R, </w:t>
      </w:r>
      <w:proofErr w:type="spellStart"/>
      <w:r w:rsidRPr="001E48D5">
        <w:rPr>
          <w:rFonts w:ascii="Book Antiqua" w:hAnsi="Book Antiqua"/>
          <w:sz w:val="24"/>
          <w:szCs w:val="24"/>
        </w:rPr>
        <w:t>Chaudhry</w:t>
      </w:r>
      <w:proofErr w:type="spellEnd"/>
      <w:r w:rsidRPr="001E48D5">
        <w:rPr>
          <w:rFonts w:ascii="Book Antiqua" w:hAnsi="Book Antiqua"/>
          <w:sz w:val="24"/>
          <w:szCs w:val="24"/>
        </w:rPr>
        <w:t xml:space="preserve"> A, Khan F, </w:t>
      </w:r>
      <w:proofErr w:type="spellStart"/>
      <w:r w:rsidRPr="001E48D5">
        <w:rPr>
          <w:rFonts w:ascii="Book Antiqua" w:hAnsi="Book Antiqua"/>
          <w:sz w:val="24"/>
          <w:szCs w:val="24"/>
        </w:rPr>
        <w:t>Taparia</w:t>
      </w:r>
      <w:proofErr w:type="spellEnd"/>
      <w:r w:rsidRPr="001E48D5">
        <w:rPr>
          <w:rFonts w:ascii="Book Antiqua" w:hAnsi="Book Antiqua"/>
          <w:sz w:val="24"/>
          <w:szCs w:val="24"/>
        </w:rPr>
        <w:t xml:space="preserve"> M, Jimenez-Zepeda VH, Stewart DA, Daly A, </w:t>
      </w:r>
      <w:proofErr w:type="spellStart"/>
      <w:r w:rsidRPr="001E48D5">
        <w:rPr>
          <w:rFonts w:ascii="Book Antiqua" w:hAnsi="Book Antiqua"/>
          <w:sz w:val="24"/>
          <w:szCs w:val="24"/>
        </w:rPr>
        <w:t>Storek</w:t>
      </w:r>
      <w:proofErr w:type="spellEnd"/>
      <w:r w:rsidRPr="001E48D5">
        <w:rPr>
          <w:rFonts w:ascii="Book Antiqua" w:hAnsi="Book Antiqua"/>
          <w:sz w:val="24"/>
          <w:szCs w:val="24"/>
        </w:rPr>
        <w:t xml:space="preserve"> J. Epstein-</w:t>
      </w:r>
      <w:proofErr w:type="spellStart"/>
      <w:r w:rsidRPr="001E48D5">
        <w:rPr>
          <w:rFonts w:ascii="Book Antiqua" w:hAnsi="Book Antiqua"/>
          <w:sz w:val="24"/>
          <w:szCs w:val="24"/>
        </w:rPr>
        <w:t>barr</w:t>
      </w:r>
      <w:proofErr w:type="spellEnd"/>
      <w:r w:rsidRPr="001E48D5">
        <w:rPr>
          <w:rFonts w:ascii="Book Antiqua" w:hAnsi="Book Antiqua"/>
          <w:sz w:val="24"/>
          <w:szCs w:val="24"/>
        </w:rPr>
        <w:t xml:space="preserve"> virus </w:t>
      </w:r>
      <w:proofErr w:type="spellStart"/>
      <w:r w:rsidRPr="001E48D5">
        <w:rPr>
          <w:rFonts w:ascii="Book Antiqua" w:hAnsi="Book Antiqua"/>
          <w:sz w:val="24"/>
          <w:szCs w:val="24"/>
        </w:rPr>
        <w:t>DNAemia</w:t>
      </w:r>
      <w:proofErr w:type="spellEnd"/>
      <w:r w:rsidRPr="001E48D5">
        <w:rPr>
          <w:rFonts w:ascii="Book Antiqua" w:hAnsi="Book Antiqua"/>
          <w:sz w:val="24"/>
          <w:szCs w:val="24"/>
        </w:rPr>
        <w:t xml:space="preserve"> monitoring for the management of post-transplant lymphoproliferative disorder. </w:t>
      </w:r>
      <w:proofErr w:type="spellStart"/>
      <w:r w:rsidRPr="001E48D5">
        <w:rPr>
          <w:rFonts w:ascii="Book Antiqua" w:hAnsi="Book Antiqua"/>
          <w:i/>
          <w:sz w:val="24"/>
          <w:szCs w:val="24"/>
        </w:rPr>
        <w:t>Cytotherapy</w:t>
      </w:r>
      <w:proofErr w:type="spellEnd"/>
      <w:r w:rsidRPr="001E48D5">
        <w:rPr>
          <w:rFonts w:ascii="Book Antiqua" w:hAnsi="Book Antiqua"/>
          <w:sz w:val="24"/>
          <w:szCs w:val="24"/>
        </w:rPr>
        <w:t xml:space="preserve"> 2018; </w:t>
      </w:r>
      <w:r w:rsidRPr="001E48D5">
        <w:rPr>
          <w:rFonts w:ascii="Book Antiqua" w:hAnsi="Book Antiqua"/>
          <w:b/>
          <w:sz w:val="24"/>
          <w:szCs w:val="24"/>
        </w:rPr>
        <w:t>20</w:t>
      </w:r>
      <w:r w:rsidRPr="001E48D5">
        <w:rPr>
          <w:rFonts w:ascii="Book Antiqua" w:hAnsi="Book Antiqua"/>
          <w:sz w:val="24"/>
          <w:szCs w:val="24"/>
        </w:rPr>
        <w:t>: 706-714 [PMID: 29580864 DOI: 10.1016/j.jcyt.2018.02.367]</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73 </w:t>
      </w:r>
      <w:r w:rsidRPr="001E48D5">
        <w:rPr>
          <w:rFonts w:ascii="Book Antiqua" w:hAnsi="Book Antiqua"/>
          <w:b/>
          <w:sz w:val="24"/>
          <w:szCs w:val="24"/>
        </w:rPr>
        <w:t>Russell WC</w:t>
      </w:r>
      <w:r w:rsidRPr="001E48D5">
        <w:rPr>
          <w:rFonts w:ascii="Book Antiqua" w:hAnsi="Book Antiqua"/>
          <w:sz w:val="24"/>
          <w:szCs w:val="24"/>
        </w:rPr>
        <w:t>.</w:t>
      </w:r>
      <w:proofErr w:type="gramEnd"/>
      <w:r w:rsidRPr="001E48D5">
        <w:rPr>
          <w:rFonts w:ascii="Book Antiqua" w:hAnsi="Book Antiqua"/>
          <w:sz w:val="24"/>
          <w:szCs w:val="24"/>
        </w:rPr>
        <w:t xml:space="preserve"> Adenoviruses: update on structure and function. </w:t>
      </w:r>
      <w:r w:rsidRPr="001E48D5">
        <w:rPr>
          <w:rFonts w:ascii="Book Antiqua" w:hAnsi="Book Antiqua"/>
          <w:i/>
          <w:sz w:val="24"/>
          <w:szCs w:val="24"/>
        </w:rPr>
        <w:t xml:space="preserve">J Gen </w:t>
      </w:r>
      <w:proofErr w:type="spellStart"/>
      <w:r w:rsidRPr="001E48D5">
        <w:rPr>
          <w:rFonts w:ascii="Book Antiqua" w:hAnsi="Book Antiqua"/>
          <w:i/>
          <w:sz w:val="24"/>
          <w:szCs w:val="24"/>
        </w:rPr>
        <w:t>Virol</w:t>
      </w:r>
      <w:proofErr w:type="spellEnd"/>
      <w:r w:rsidRPr="001E48D5">
        <w:rPr>
          <w:rFonts w:ascii="Book Antiqua" w:hAnsi="Book Antiqua"/>
          <w:sz w:val="24"/>
          <w:szCs w:val="24"/>
        </w:rPr>
        <w:t xml:space="preserve"> 2009; </w:t>
      </w:r>
      <w:r w:rsidRPr="001E48D5">
        <w:rPr>
          <w:rFonts w:ascii="Book Antiqua" w:hAnsi="Book Antiqua"/>
          <w:b/>
          <w:sz w:val="24"/>
          <w:szCs w:val="24"/>
        </w:rPr>
        <w:t>90</w:t>
      </w:r>
      <w:r w:rsidRPr="001E48D5">
        <w:rPr>
          <w:rFonts w:ascii="Book Antiqua" w:hAnsi="Book Antiqua"/>
          <w:sz w:val="24"/>
          <w:szCs w:val="24"/>
        </w:rPr>
        <w:t>: 1-20 [PMID: 19088268 DOI: 10.1099/vir.0.003087-0]</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74 </w:t>
      </w:r>
      <w:r w:rsidRPr="001E48D5">
        <w:rPr>
          <w:rFonts w:ascii="Book Antiqua" w:hAnsi="Book Antiqua"/>
          <w:b/>
          <w:sz w:val="24"/>
          <w:szCs w:val="24"/>
        </w:rPr>
        <w:t>Lion T</w:t>
      </w:r>
      <w:r w:rsidRPr="001E48D5">
        <w:rPr>
          <w:rFonts w:ascii="Book Antiqua" w:hAnsi="Book Antiqua"/>
          <w:sz w:val="24"/>
          <w:szCs w:val="24"/>
        </w:rPr>
        <w:t>. Adenovirus infections in immunocompetent and immunocompromised patients.</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Clin</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Microbiol</w:t>
      </w:r>
      <w:proofErr w:type="spellEnd"/>
      <w:r w:rsidRPr="001E48D5">
        <w:rPr>
          <w:rFonts w:ascii="Book Antiqua" w:hAnsi="Book Antiqua"/>
          <w:i/>
          <w:sz w:val="24"/>
          <w:szCs w:val="24"/>
        </w:rPr>
        <w:t xml:space="preserve"> Rev</w:t>
      </w:r>
      <w:r w:rsidRPr="001E48D5">
        <w:rPr>
          <w:rFonts w:ascii="Book Antiqua" w:hAnsi="Book Antiqua"/>
          <w:sz w:val="24"/>
          <w:szCs w:val="24"/>
        </w:rPr>
        <w:t xml:space="preserve"> 2014; </w:t>
      </w:r>
      <w:r w:rsidRPr="001E48D5">
        <w:rPr>
          <w:rFonts w:ascii="Book Antiqua" w:hAnsi="Book Antiqua"/>
          <w:b/>
          <w:sz w:val="24"/>
          <w:szCs w:val="24"/>
        </w:rPr>
        <w:t>27</w:t>
      </w:r>
      <w:r w:rsidRPr="001E48D5">
        <w:rPr>
          <w:rFonts w:ascii="Book Antiqua" w:hAnsi="Book Antiqua"/>
          <w:sz w:val="24"/>
          <w:szCs w:val="24"/>
        </w:rPr>
        <w:t>: 441-462 [PMID: 24982316 DOI: 10.1128/CMR.00116-13]</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75 </w:t>
      </w:r>
      <w:r w:rsidRPr="001E48D5">
        <w:rPr>
          <w:rFonts w:ascii="Book Antiqua" w:hAnsi="Book Antiqua"/>
          <w:b/>
          <w:sz w:val="24"/>
          <w:szCs w:val="24"/>
        </w:rPr>
        <w:t>Baldwin A</w:t>
      </w:r>
      <w:r w:rsidRPr="001E48D5">
        <w:rPr>
          <w:rFonts w:ascii="Book Antiqua" w:hAnsi="Book Antiqua"/>
          <w:sz w:val="24"/>
          <w:szCs w:val="24"/>
        </w:rPr>
        <w:t xml:space="preserve">, Kingman H, Darville M, Foot AB, Grier D, Cornish JM, </w:t>
      </w:r>
      <w:proofErr w:type="spellStart"/>
      <w:r w:rsidRPr="001E48D5">
        <w:rPr>
          <w:rFonts w:ascii="Book Antiqua" w:hAnsi="Book Antiqua"/>
          <w:sz w:val="24"/>
          <w:szCs w:val="24"/>
        </w:rPr>
        <w:t>Goulden</w:t>
      </w:r>
      <w:proofErr w:type="spellEnd"/>
      <w:r w:rsidRPr="001E48D5">
        <w:rPr>
          <w:rFonts w:ascii="Book Antiqua" w:hAnsi="Book Antiqua"/>
          <w:sz w:val="24"/>
          <w:szCs w:val="24"/>
        </w:rPr>
        <w:t xml:space="preserve"> N, Oakhill A, </w:t>
      </w:r>
      <w:proofErr w:type="spellStart"/>
      <w:r w:rsidRPr="001E48D5">
        <w:rPr>
          <w:rFonts w:ascii="Book Antiqua" w:hAnsi="Book Antiqua"/>
          <w:sz w:val="24"/>
          <w:szCs w:val="24"/>
        </w:rPr>
        <w:t>Pamphilon</w:t>
      </w:r>
      <w:proofErr w:type="spellEnd"/>
      <w:r w:rsidRPr="001E48D5">
        <w:rPr>
          <w:rFonts w:ascii="Book Antiqua" w:hAnsi="Book Antiqua"/>
          <w:sz w:val="24"/>
          <w:szCs w:val="24"/>
        </w:rPr>
        <w:t xml:space="preserve"> DH, Steward CG, Marks DI. </w:t>
      </w:r>
      <w:proofErr w:type="gramStart"/>
      <w:r w:rsidRPr="001E48D5">
        <w:rPr>
          <w:rFonts w:ascii="Book Antiqua" w:hAnsi="Book Antiqua"/>
          <w:sz w:val="24"/>
          <w:szCs w:val="24"/>
        </w:rPr>
        <w:t>Outcome and clinical course of 100 patients with adenovirus infection following bone marrow transplantation.</w:t>
      </w:r>
      <w:proofErr w:type="gramEnd"/>
      <w:r w:rsidRPr="001E48D5">
        <w:rPr>
          <w:rFonts w:ascii="Book Antiqua" w:hAnsi="Book Antiqua"/>
          <w:sz w:val="24"/>
          <w:szCs w:val="24"/>
        </w:rPr>
        <w:t xml:space="preserve"> </w:t>
      </w:r>
      <w:r w:rsidRPr="001E48D5">
        <w:rPr>
          <w:rFonts w:ascii="Book Antiqua" w:hAnsi="Book Antiqua"/>
          <w:i/>
          <w:sz w:val="24"/>
          <w:szCs w:val="24"/>
        </w:rPr>
        <w:t>Bone Marrow Transplant</w:t>
      </w:r>
      <w:r w:rsidRPr="001E48D5">
        <w:rPr>
          <w:rFonts w:ascii="Book Antiqua" w:hAnsi="Book Antiqua"/>
          <w:sz w:val="24"/>
          <w:szCs w:val="24"/>
        </w:rPr>
        <w:t xml:space="preserve"> 2000; </w:t>
      </w:r>
      <w:r w:rsidRPr="001E48D5">
        <w:rPr>
          <w:rFonts w:ascii="Book Antiqua" w:hAnsi="Book Antiqua"/>
          <w:b/>
          <w:sz w:val="24"/>
          <w:szCs w:val="24"/>
        </w:rPr>
        <w:t>26</w:t>
      </w:r>
      <w:r w:rsidRPr="001E48D5">
        <w:rPr>
          <w:rFonts w:ascii="Book Antiqua" w:hAnsi="Book Antiqua"/>
          <w:sz w:val="24"/>
          <w:szCs w:val="24"/>
        </w:rPr>
        <w:t>: 1333-1338 [PMID: 11223974 DOI: 10.1038/sj.bmt.1702716]</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76 </w:t>
      </w:r>
      <w:r w:rsidRPr="001E48D5">
        <w:rPr>
          <w:rFonts w:ascii="Book Antiqua" w:hAnsi="Book Antiqua"/>
          <w:b/>
          <w:sz w:val="24"/>
          <w:szCs w:val="24"/>
        </w:rPr>
        <w:t>Howard DS</w:t>
      </w:r>
      <w:r w:rsidRPr="001E48D5">
        <w:rPr>
          <w:rFonts w:ascii="Book Antiqua" w:hAnsi="Book Antiqua"/>
          <w:sz w:val="24"/>
          <w:szCs w:val="24"/>
        </w:rPr>
        <w:t xml:space="preserve">, Phillips II GL, Reece DE, Munn RK, </w:t>
      </w:r>
      <w:proofErr w:type="spellStart"/>
      <w:r w:rsidRPr="001E48D5">
        <w:rPr>
          <w:rFonts w:ascii="Book Antiqua" w:hAnsi="Book Antiqua"/>
          <w:sz w:val="24"/>
          <w:szCs w:val="24"/>
        </w:rPr>
        <w:t>Henslee</w:t>
      </w:r>
      <w:proofErr w:type="spellEnd"/>
      <w:r w:rsidRPr="001E48D5">
        <w:rPr>
          <w:rFonts w:ascii="Book Antiqua" w:hAnsi="Book Antiqua"/>
          <w:sz w:val="24"/>
          <w:szCs w:val="24"/>
        </w:rPr>
        <w:t xml:space="preserve">-Downey J, </w:t>
      </w:r>
      <w:proofErr w:type="spellStart"/>
      <w:r w:rsidRPr="001E48D5">
        <w:rPr>
          <w:rFonts w:ascii="Book Antiqua" w:hAnsi="Book Antiqua"/>
          <w:sz w:val="24"/>
          <w:szCs w:val="24"/>
        </w:rPr>
        <w:t>Pittard</w:t>
      </w:r>
      <w:proofErr w:type="spellEnd"/>
      <w:r w:rsidRPr="001E48D5">
        <w:rPr>
          <w:rFonts w:ascii="Book Antiqua" w:hAnsi="Book Antiqua"/>
          <w:sz w:val="24"/>
          <w:szCs w:val="24"/>
        </w:rPr>
        <w:t xml:space="preserve"> M, Barker M, Pomeroy C. Adenovirus infections in hematopoietic stem cell transplant recipients.</w:t>
      </w:r>
      <w:proofErr w:type="gramEnd"/>
      <w:r w:rsidRPr="001E48D5">
        <w:rPr>
          <w:rFonts w:ascii="Book Antiqua" w:hAnsi="Book Antiqua"/>
          <w:sz w:val="24"/>
          <w:szCs w:val="24"/>
        </w:rPr>
        <w:t xml:space="preserve"> </w:t>
      </w:r>
      <w:proofErr w:type="spellStart"/>
      <w:r w:rsidRPr="001E48D5">
        <w:rPr>
          <w:rFonts w:ascii="Book Antiqua" w:hAnsi="Book Antiqua"/>
          <w:i/>
          <w:sz w:val="24"/>
          <w:szCs w:val="24"/>
        </w:rPr>
        <w:t>Clin</w:t>
      </w:r>
      <w:proofErr w:type="spellEnd"/>
      <w:r w:rsidRPr="001E48D5">
        <w:rPr>
          <w:rFonts w:ascii="Book Antiqua" w:hAnsi="Book Antiqua"/>
          <w:i/>
          <w:sz w:val="24"/>
          <w:szCs w:val="24"/>
        </w:rPr>
        <w:t xml:space="preserve"> Infect Dis</w:t>
      </w:r>
      <w:r w:rsidRPr="001E48D5">
        <w:rPr>
          <w:rFonts w:ascii="Book Antiqua" w:hAnsi="Book Antiqua"/>
          <w:sz w:val="24"/>
          <w:szCs w:val="24"/>
        </w:rPr>
        <w:t xml:space="preserve"> 1999; </w:t>
      </w:r>
      <w:r w:rsidRPr="001E48D5">
        <w:rPr>
          <w:rFonts w:ascii="Book Antiqua" w:hAnsi="Book Antiqua"/>
          <w:b/>
          <w:sz w:val="24"/>
          <w:szCs w:val="24"/>
        </w:rPr>
        <w:t>29</w:t>
      </w:r>
      <w:r w:rsidRPr="001E48D5">
        <w:rPr>
          <w:rFonts w:ascii="Book Antiqua" w:hAnsi="Book Antiqua"/>
          <w:sz w:val="24"/>
          <w:szCs w:val="24"/>
        </w:rPr>
        <w:t>: 1494-1501 [PMID: 10585802 DOI: 10.1086/313514]</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lastRenderedPageBreak/>
        <w:t xml:space="preserve">77 </w:t>
      </w:r>
      <w:proofErr w:type="spellStart"/>
      <w:r w:rsidRPr="001E48D5">
        <w:rPr>
          <w:rFonts w:ascii="Book Antiqua" w:hAnsi="Book Antiqua"/>
          <w:b/>
          <w:sz w:val="24"/>
          <w:szCs w:val="24"/>
        </w:rPr>
        <w:t>Runde</w:t>
      </w:r>
      <w:proofErr w:type="spellEnd"/>
      <w:r w:rsidRPr="001E48D5">
        <w:rPr>
          <w:rFonts w:ascii="Book Antiqua" w:hAnsi="Book Antiqua"/>
          <w:b/>
          <w:sz w:val="24"/>
          <w:szCs w:val="24"/>
        </w:rPr>
        <w:t xml:space="preserve"> V</w:t>
      </w:r>
      <w:r w:rsidRPr="001E48D5">
        <w:rPr>
          <w:rFonts w:ascii="Book Antiqua" w:hAnsi="Book Antiqua"/>
          <w:sz w:val="24"/>
          <w:szCs w:val="24"/>
        </w:rPr>
        <w:t xml:space="preserve">, Ross S, </w:t>
      </w:r>
      <w:proofErr w:type="spellStart"/>
      <w:r w:rsidRPr="001E48D5">
        <w:rPr>
          <w:rFonts w:ascii="Book Antiqua" w:hAnsi="Book Antiqua"/>
          <w:sz w:val="24"/>
          <w:szCs w:val="24"/>
        </w:rPr>
        <w:t>Trenschel</w:t>
      </w:r>
      <w:proofErr w:type="spellEnd"/>
      <w:r w:rsidRPr="001E48D5">
        <w:rPr>
          <w:rFonts w:ascii="Book Antiqua" w:hAnsi="Book Antiqua"/>
          <w:sz w:val="24"/>
          <w:szCs w:val="24"/>
        </w:rPr>
        <w:t xml:space="preserve"> R, </w:t>
      </w:r>
      <w:proofErr w:type="spellStart"/>
      <w:r w:rsidRPr="001E48D5">
        <w:rPr>
          <w:rFonts w:ascii="Book Antiqua" w:hAnsi="Book Antiqua"/>
          <w:sz w:val="24"/>
          <w:szCs w:val="24"/>
        </w:rPr>
        <w:t>Lagemann</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Basu</w:t>
      </w:r>
      <w:proofErr w:type="spellEnd"/>
      <w:r w:rsidRPr="001E48D5">
        <w:rPr>
          <w:rFonts w:ascii="Book Antiqua" w:hAnsi="Book Antiqua"/>
          <w:sz w:val="24"/>
          <w:szCs w:val="24"/>
        </w:rPr>
        <w:t xml:space="preserve"> O, </w:t>
      </w:r>
      <w:proofErr w:type="spellStart"/>
      <w:r w:rsidRPr="001E48D5">
        <w:rPr>
          <w:rFonts w:ascii="Book Antiqua" w:hAnsi="Book Antiqua"/>
          <w:sz w:val="24"/>
          <w:szCs w:val="24"/>
        </w:rPr>
        <w:t>Renzing-Köhler</w:t>
      </w:r>
      <w:proofErr w:type="spellEnd"/>
      <w:r w:rsidRPr="001E48D5">
        <w:rPr>
          <w:rFonts w:ascii="Book Antiqua" w:hAnsi="Book Antiqua"/>
          <w:sz w:val="24"/>
          <w:szCs w:val="24"/>
        </w:rPr>
        <w:t xml:space="preserve"> K, Schaefer UW, </w:t>
      </w:r>
      <w:proofErr w:type="spellStart"/>
      <w:r w:rsidRPr="001E48D5">
        <w:rPr>
          <w:rFonts w:ascii="Book Antiqua" w:hAnsi="Book Antiqua"/>
          <w:sz w:val="24"/>
          <w:szCs w:val="24"/>
        </w:rPr>
        <w:t>Roggendorf</w:t>
      </w:r>
      <w:proofErr w:type="spellEnd"/>
      <w:r w:rsidRPr="001E48D5">
        <w:rPr>
          <w:rFonts w:ascii="Book Antiqua" w:hAnsi="Book Antiqua"/>
          <w:sz w:val="24"/>
          <w:szCs w:val="24"/>
        </w:rPr>
        <w:t xml:space="preserve"> M, Holler E. Adenoviral infection after allogeneic stem cell transplantation (SCT): report on 130 patients from a single SCT unit involved in a prospective multi center surveillance study. </w:t>
      </w:r>
      <w:r w:rsidRPr="001E48D5">
        <w:rPr>
          <w:rFonts w:ascii="Book Antiqua" w:hAnsi="Book Antiqua"/>
          <w:i/>
          <w:sz w:val="24"/>
          <w:szCs w:val="24"/>
        </w:rPr>
        <w:t>Bone Marrow Transplant</w:t>
      </w:r>
      <w:r w:rsidRPr="001E48D5">
        <w:rPr>
          <w:rFonts w:ascii="Book Antiqua" w:hAnsi="Book Antiqua"/>
          <w:sz w:val="24"/>
          <w:szCs w:val="24"/>
        </w:rPr>
        <w:t xml:space="preserve"> 2001; </w:t>
      </w:r>
      <w:r w:rsidRPr="001E48D5">
        <w:rPr>
          <w:rFonts w:ascii="Book Antiqua" w:hAnsi="Book Antiqua"/>
          <w:b/>
          <w:sz w:val="24"/>
          <w:szCs w:val="24"/>
        </w:rPr>
        <w:t>28</w:t>
      </w:r>
      <w:r w:rsidRPr="001E48D5">
        <w:rPr>
          <w:rFonts w:ascii="Book Antiqua" w:hAnsi="Book Antiqua"/>
          <w:sz w:val="24"/>
          <w:szCs w:val="24"/>
        </w:rPr>
        <w:t>: 51-57 [PMID: 11498744 DOI: 10.1038/sj.bmt.1703083]</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78 </w:t>
      </w:r>
      <w:r w:rsidRPr="001E48D5">
        <w:rPr>
          <w:rFonts w:ascii="Book Antiqua" w:hAnsi="Book Antiqua"/>
          <w:b/>
          <w:sz w:val="24"/>
          <w:szCs w:val="24"/>
        </w:rPr>
        <w:t>Walls T</w:t>
      </w:r>
      <w:r w:rsidRPr="001E48D5">
        <w:rPr>
          <w:rFonts w:ascii="Book Antiqua" w:hAnsi="Book Antiqua"/>
          <w:sz w:val="24"/>
          <w:szCs w:val="24"/>
        </w:rPr>
        <w:t xml:space="preserve">, Shankar AG, </w:t>
      </w:r>
      <w:proofErr w:type="spellStart"/>
      <w:r w:rsidRPr="001E48D5">
        <w:rPr>
          <w:rFonts w:ascii="Book Antiqua" w:hAnsi="Book Antiqua"/>
          <w:sz w:val="24"/>
          <w:szCs w:val="24"/>
        </w:rPr>
        <w:t>Shingadia</w:t>
      </w:r>
      <w:proofErr w:type="spellEnd"/>
      <w:r w:rsidRPr="001E48D5">
        <w:rPr>
          <w:rFonts w:ascii="Book Antiqua" w:hAnsi="Book Antiqua"/>
          <w:sz w:val="24"/>
          <w:szCs w:val="24"/>
        </w:rPr>
        <w:t xml:space="preserve"> D. Adenovirus: an increasingly important pathogen in </w:t>
      </w:r>
      <w:proofErr w:type="spellStart"/>
      <w:r w:rsidRPr="001E48D5">
        <w:rPr>
          <w:rFonts w:ascii="Book Antiqua" w:hAnsi="Book Antiqua"/>
          <w:sz w:val="24"/>
          <w:szCs w:val="24"/>
        </w:rPr>
        <w:t>paediatric</w:t>
      </w:r>
      <w:proofErr w:type="spellEnd"/>
      <w:r w:rsidRPr="001E48D5">
        <w:rPr>
          <w:rFonts w:ascii="Book Antiqua" w:hAnsi="Book Antiqua"/>
          <w:sz w:val="24"/>
          <w:szCs w:val="24"/>
        </w:rPr>
        <w:t xml:space="preserve"> bone marrow transplant patients. </w:t>
      </w:r>
      <w:r w:rsidRPr="001E48D5">
        <w:rPr>
          <w:rFonts w:ascii="Book Antiqua" w:hAnsi="Book Antiqua"/>
          <w:i/>
          <w:sz w:val="24"/>
          <w:szCs w:val="24"/>
        </w:rPr>
        <w:t>Lancet Infect Dis</w:t>
      </w:r>
      <w:r w:rsidRPr="001E48D5">
        <w:rPr>
          <w:rFonts w:ascii="Book Antiqua" w:hAnsi="Book Antiqua"/>
          <w:sz w:val="24"/>
          <w:szCs w:val="24"/>
        </w:rPr>
        <w:t xml:space="preserve"> 2003; </w:t>
      </w:r>
      <w:r w:rsidRPr="001E48D5">
        <w:rPr>
          <w:rFonts w:ascii="Book Antiqua" w:hAnsi="Book Antiqua"/>
          <w:b/>
          <w:sz w:val="24"/>
          <w:szCs w:val="24"/>
        </w:rPr>
        <w:t>3</w:t>
      </w:r>
      <w:r w:rsidRPr="001E48D5">
        <w:rPr>
          <w:rFonts w:ascii="Book Antiqua" w:hAnsi="Book Antiqua"/>
          <w:sz w:val="24"/>
          <w:szCs w:val="24"/>
        </w:rPr>
        <w:t>: 79-86 [PMID: 12560192 DOI: 10.1016/S1473-3099(03)00515-2]</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79 </w:t>
      </w:r>
      <w:r w:rsidRPr="001E48D5">
        <w:rPr>
          <w:rFonts w:ascii="Book Antiqua" w:hAnsi="Book Antiqua"/>
          <w:b/>
          <w:sz w:val="24"/>
          <w:szCs w:val="24"/>
        </w:rPr>
        <w:t>Robin M</w:t>
      </w:r>
      <w:r w:rsidRPr="001E48D5">
        <w:rPr>
          <w:rFonts w:ascii="Book Antiqua" w:hAnsi="Book Antiqua"/>
          <w:sz w:val="24"/>
          <w:szCs w:val="24"/>
        </w:rPr>
        <w:t>, Marque-</w:t>
      </w:r>
      <w:proofErr w:type="spellStart"/>
      <w:r w:rsidRPr="001E48D5">
        <w:rPr>
          <w:rFonts w:ascii="Book Antiqua" w:hAnsi="Book Antiqua"/>
          <w:sz w:val="24"/>
          <w:szCs w:val="24"/>
        </w:rPr>
        <w:t>Juillet</w:t>
      </w:r>
      <w:proofErr w:type="spellEnd"/>
      <w:r w:rsidRPr="001E48D5">
        <w:rPr>
          <w:rFonts w:ascii="Book Antiqua" w:hAnsi="Book Antiqua"/>
          <w:sz w:val="24"/>
          <w:szCs w:val="24"/>
        </w:rPr>
        <w:t xml:space="preserve"> S, </w:t>
      </w:r>
      <w:proofErr w:type="spellStart"/>
      <w:r w:rsidRPr="001E48D5">
        <w:rPr>
          <w:rFonts w:ascii="Book Antiqua" w:hAnsi="Book Antiqua"/>
          <w:sz w:val="24"/>
          <w:szCs w:val="24"/>
        </w:rPr>
        <w:t>Scieux</w:t>
      </w:r>
      <w:proofErr w:type="spellEnd"/>
      <w:r w:rsidRPr="001E48D5">
        <w:rPr>
          <w:rFonts w:ascii="Book Antiqua" w:hAnsi="Book Antiqua"/>
          <w:sz w:val="24"/>
          <w:szCs w:val="24"/>
        </w:rPr>
        <w:t xml:space="preserve"> C, </w:t>
      </w:r>
      <w:proofErr w:type="spellStart"/>
      <w:r w:rsidRPr="001E48D5">
        <w:rPr>
          <w:rFonts w:ascii="Book Antiqua" w:hAnsi="Book Antiqua"/>
          <w:sz w:val="24"/>
          <w:szCs w:val="24"/>
        </w:rPr>
        <w:t>Peffault</w:t>
      </w:r>
      <w:proofErr w:type="spellEnd"/>
      <w:r w:rsidRPr="001E48D5">
        <w:rPr>
          <w:rFonts w:ascii="Book Antiqua" w:hAnsi="Book Antiqua"/>
          <w:sz w:val="24"/>
          <w:szCs w:val="24"/>
        </w:rPr>
        <w:t xml:space="preserve"> de </w:t>
      </w:r>
      <w:proofErr w:type="spellStart"/>
      <w:r w:rsidRPr="001E48D5">
        <w:rPr>
          <w:rFonts w:ascii="Book Antiqua" w:hAnsi="Book Antiqua"/>
          <w:sz w:val="24"/>
          <w:szCs w:val="24"/>
        </w:rPr>
        <w:t>Latour</w:t>
      </w:r>
      <w:proofErr w:type="spellEnd"/>
      <w:r w:rsidRPr="001E48D5">
        <w:rPr>
          <w:rFonts w:ascii="Book Antiqua" w:hAnsi="Book Antiqua"/>
          <w:sz w:val="24"/>
          <w:szCs w:val="24"/>
        </w:rPr>
        <w:t xml:space="preserve"> R, Ferry C, Rocha V, Molina JM, Bergeron A, </w:t>
      </w:r>
      <w:proofErr w:type="spellStart"/>
      <w:r w:rsidRPr="001E48D5">
        <w:rPr>
          <w:rFonts w:ascii="Book Antiqua" w:hAnsi="Book Antiqua"/>
          <w:sz w:val="24"/>
          <w:szCs w:val="24"/>
        </w:rPr>
        <w:t>Devergie</w:t>
      </w:r>
      <w:proofErr w:type="spellEnd"/>
      <w:r w:rsidRPr="001E48D5">
        <w:rPr>
          <w:rFonts w:ascii="Book Antiqua" w:hAnsi="Book Antiqua"/>
          <w:sz w:val="24"/>
          <w:szCs w:val="24"/>
        </w:rPr>
        <w:t xml:space="preserve"> A, </w:t>
      </w:r>
      <w:proofErr w:type="spellStart"/>
      <w:r w:rsidRPr="001E48D5">
        <w:rPr>
          <w:rFonts w:ascii="Book Antiqua" w:hAnsi="Book Antiqua"/>
          <w:sz w:val="24"/>
          <w:szCs w:val="24"/>
        </w:rPr>
        <w:t>Gluckman</w:t>
      </w:r>
      <w:proofErr w:type="spellEnd"/>
      <w:r w:rsidRPr="001E48D5">
        <w:rPr>
          <w:rFonts w:ascii="Book Antiqua" w:hAnsi="Book Antiqua"/>
          <w:sz w:val="24"/>
          <w:szCs w:val="24"/>
        </w:rPr>
        <w:t xml:space="preserve"> E, </w:t>
      </w:r>
      <w:proofErr w:type="spellStart"/>
      <w:r w:rsidRPr="001E48D5">
        <w:rPr>
          <w:rFonts w:ascii="Book Antiqua" w:hAnsi="Book Antiqua"/>
          <w:sz w:val="24"/>
          <w:szCs w:val="24"/>
        </w:rPr>
        <w:t>Ribaud</w:t>
      </w:r>
      <w:proofErr w:type="spellEnd"/>
      <w:r w:rsidRPr="001E48D5">
        <w:rPr>
          <w:rFonts w:ascii="Book Antiqua" w:hAnsi="Book Antiqua"/>
          <w:sz w:val="24"/>
          <w:szCs w:val="24"/>
        </w:rPr>
        <w:t xml:space="preserve"> P, </w:t>
      </w:r>
      <w:proofErr w:type="spellStart"/>
      <w:r w:rsidRPr="001E48D5">
        <w:rPr>
          <w:rFonts w:ascii="Book Antiqua" w:hAnsi="Book Antiqua"/>
          <w:sz w:val="24"/>
          <w:szCs w:val="24"/>
        </w:rPr>
        <w:t>Socié</w:t>
      </w:r>
      <w:proofErr w:type="spellEnd"/>
      <w:r w:rsidRPr="001E48D5">
        <w:rPr>
          <w:rFonts w:ascii="Book Antiqua" w:hAnsi="Book Antiqua"/>
          <w:sz w:val="24"/>
          <w:szCs w:val="24"/>
        </w:rPr>
        <w:t xml:space="preserve"> G. Disseminated adenovirus infections after allogeneic hematopoietic stem cell transplantation: incidence, risk factors and outcome. </w:t>
      </w:r>
      <w:proofErr w:type="spellStart"/>
      <w:r w:rsidRPr="001E48D5">
        <w:rPr>
          <w:rFonts w:ascii="Book Antiqua" w:hAnsi="Book Antiqua"/>
          <w:i/>
          <w:sz w:val="24"/>
          <w:szCs w:val="24"/>
        </w:rPr>
        <w:t>Haematologica</w:t>
      </w:r>
      <w:proofErr w:type="spellEnd"/>
      <w:r w:rsidRPr="001E48D5">
        <w:rPr>
          <w:rFonts w:ascii="Book Antiqua" w:hAnsi="Book Antiqua"/>
          <w:sz w:val="24"/>
          <w:szCs w:val="24"/>
        </w:rPr>
        <w:t xml:space="preserve"> 2007; </w:t>
      </w:r>
      <w:r w:rsidRPr="001E48D5">
        <w:rPr>
          <w:rFonts w:ascii="Book Antiqua" w:hAnsi="Book Antiqua"/>
          <w:b/>
          <w:sz w:val="24"/>
          <w:szCs w:val="24"/>
        </w:rPr>
        <w:t>92</w:t>
      </w:r>
      <w:r w:rsidRPr="001E48D5">
        <w:rPr>
          <w:rFonts w:ascii="Book Antiqua" w:hAnsi="Book Antiqua"/>
          <w:sz w:val="24"/>
          <w:szCs w:val="24"/>
        </w:rPr>
        <w:t>: 1254-1257 [PMID: 17666361 DOI: 10.3324/haematol.11279]</w:t>
      </w:r>
    </w:p>
    <w:p w:rsidR="00257D57" w:rsidRPr="001E48D5" w:rsidRDefault="00257D57" w:rsidP="007A67C3">
      <w:pPr>
        <w:spacing w:after="0" w:line="360" w:lineRule="auto"/>
        <w:jc w:val="both"/>
        <w:rPr>
          <w:rFonts w:ascii="Book Antiqua" w:hAnsi="Book Antiqua"/>
          <w:sz w:val="24"/>
          <w:szCs w:val="24"/>
        </w:rPr>
      </w:pPr>
      <w:proofErr w:type="gramStart"/>
      <w:r w:rsidRPr="001E48D5">
        <w:rPr>
          <w:rFonts w:ascii="Book Antiqua" w:hAnsi="Book Antiqua"/>
          <w:sz w:val="24"/>
          <w:szCs w:val="24"/>
        </w:rPr>
        <w:t xml:space="preserve">80 </w:t>
      </w:r>
      <w:r w:rsidRPr="001E48D5">
        <w:rPr>
          <w:rFonts w:ascii="Book Antiqua" w:hAnsi="Book Antiqua"/>
          <w:b/>
          <w:sz w:val="24"/>
          <w:szCs w:val="24"/>
        </w:rPr>
        <w:t>Shin S</w:t>
      </w:r>
      <w:r w:rsidRPr="001E48D5">
        <w:rPr>
          <w:rFonts w:ascii="Book Antiqua" w:hAnsi="Book Antiqua"/>
          <w:sz w:val="24"/>
          <w:szCs w:val="24"/>
        </w:rPr>
        <w:t xml:space="preserve">, </w:t>
      </w:r>
      <w:proofErr w:type="spellStart"/>
      <w:r w:rsidRPr="001E48D5">
        <w:rPr>
          <w:rFonts w:ascii="Book Antiqua" w:hAnsi="Book Antiqua"/>
          <w:sz w:val="24"/>
          <w:szCs w:val="24"/>
        </w:rPr>
        <w:t>Roh</w:t>
      </w:r>
      <w:proofErr w:type="spellEnd"/>
      <w:r w:rsidRPr="001E48D5">
        <w:rPr>
          <w:rFonts w:ascii="Book Antiqua" w:hAnsi="Book Antiqua"/>
          <w:sz w:val="24"/>
          <w:szCs w:val="24"/>
        </w:rPr>
        <w:t xml:space="preserve"> EY, Oh S, Song EY, Kim EC, Yoon JH.</w:t>
      </w:r>
      <w:proofErr w:type="gramEnd"/>
      <w:r w:rsidRPr="001E48D5">
        <w:rPr>
          <w:rFonts w:ascii="Book Antiqua" w:hAnsi="Book Antiqua"/>
          <w:sz w:val="24"/>
          <w:szCs w:val="24"/>
        </w:rPr>
        <w:t xml:space="preserve"> Excluding Anti-cytomegalovirus Immunoglobulin M-Positive Cord Blood Units Has a Minimal Impact on the Korean Public Cord Blood Bank Inventory. </w:t>
      </w:r>
      <w:r w:rsidRPr="001E48D5">
        <w:rPr>
          <w:rFonts w:ascii="Book Antiqua" w:hAnsi="Book Antiqua"/>
          <w:i/>
          <w:sz w:val="24"/>
          <w:szCs w:val="24"/>
        </w:rPr>
        <w:t>Cell Transplant</w:t>
      </w:r>
      <w:r w:rsidRPr="001E48D5">
        <w:rPr>
          <w:rFonts w:ascii="Book Antiqua" w:hAnsi="Book Antiqua"/>
          <w:sz w:val="24"/>
          <w:szCs w:val="24"/>
        </w:rPr>
        <w:t xml:space="preserve"> 2017; </w:t>
      </w:r>
      <w:r w:rsidRPr="001E48D5">
        <w:rPr>
          <w:rFonts w:ascii="Book Antiqua" w:hAnsi="Book Antiqua"/>
          <w:b/>
          <w:sz w:val="24"/>
          <w:szCs w:val="24"/>
        </w:rPr>
        <w:t>26</w:t>
      </w:r>
      <w:r w:rsidRPr="001E48D5">
        <w:rPr>
          <w:rFonts w:ascii="Book Antiqua" w:hAnsi="Book Antiqua"/>
          <w:sz w:val="24"/>
          <w:szCs w:val="24"/>
        </w:rPr>
        <w:t>: 63-70 [PMID: 27524276 DOI: 10.3727/096368916X692825]</w:t>
      </w:r>
    </w:p>
    <w:p w:rsidR="00257D57" w:rsidRPr="001E48D5" w:rsidRDefault="00257D57" w:rsidP="007A67C3">
      <w:pPr>
        <w:spacing w:after="0" w:line="360" w:lineRule="auto"/>
        <w:jc w:val="both"/>
        <w:rPr>
          <w:rFonts w:ascii="Book Antiqua" w:hAnsi="Book Antiqua"/>
          <w:sz w:val="24"/>
          <w:szCs w:val="24"/>
        </w:rPr>
      </w:pPr>
      <w:r w:rsidRPr="001E48D5">
        <w:rPr>
          <w:rFonts w:ascii="Book Antiqua" w:hAnsi="Book Antiqua"/>
          <w:sz w:val="24"/>
          <w:szCs w:val="24"/>
        </w:rPr>
        <w:t xml:space="preserve">81 </w:t>
      </w:r>
      <w:r w:rsidRPr="001E48D5">
        <w:rPr>
          <w:rFonts w:ascii="Book Antiqua" w:hAnsi="Book Antiqua"/>
          <w:b/>
          <w:sz w:val="24"/>
          <w:szCs w:val="24"/>
        </w:rPr>
        <w:t>Al-Awadhi R</w:t>
      </w:r>
      <w:r w:rsidRPr="001E48D5">
        <w:rPr>
          <w:rFonts w:ascii="Book Antiqua" w:hAnsi="Book Antiqua"/>
          <w:sz w:val="24"/>
          <w:szCs w:val="24"/>
        </w:rPr>
        <w:t>, Al-</w:t>
      </w:r>
      <w:proofErr w:type="spellStart"/>
      <w:r w:rsidRPr="001E48D5">
        <w:rPr>
          <w:rFonts w:ascii="Book Antiqua" w:hAnsi="Book Antiqua"/>
          <w:sz w:val="24"/>
          <w:szCs w:val="24"/>
        </w:rPr>
        <w:t>Harmi</w:t>
      </w:r>
      <w:proofErr w:type="spellEnd"/>
      <w:r w:rsidRPr="001E48D5">
        <w:rPr>
          <w:rFonts w:ascii="Book Antiqua" w:hAnsi="Book Antiqua"/>
          <w:sz w:val="24"/>
          <w:szCs w:val="24"/>
        </w:rPr>
        <w:t xml:space="preserve"> J, </w:t>
      </w:r>
      <w:proofErr w:type="spellStart"/>
      <w:r w:rsidRPr="001E48D5">
        <w:rPr>
          <w:rFonts w:ascii="Book Antiqua" w:hAnsi="Book Antiqua"/>
          <w:sz w:val="24"/>
          <w:szCs w:val="24"/>
        </w:rPr>
        <w:t>Alfadhli</w:t>
      </w:r>
      <w:proofErr w:type="spellEnd"/>
      <w:r w:rsidRPr="001E48D5">
        <w:rPr>
          <w:rFonts w:ascii="Book Antiqua" w:hAnsi="Book Antiqua"/>
          <w:sz w:val="24"/>
          <w:szCs w:val="24"/>
        </w:rPr>
        <w:t xml:space="preserve"> S. Prevalence of cytomegalovirus DNA in cord blood and voided urine obtained from pregnant women at the end of pregnancy. </w:t>
      </w:r>
      <w:r w:rsidRPr="001E48D5">
        <w:rPr>
          <w:rFonts w:ascii="Book Antiqua" w:hAnsi="Book Antiqua"/>
          <w:i/>
          <w:sz w:val="24"/>
          <w:szCs w:val="24"/>
        </w:rPr>
        <w:t xml:space="preserve">Med </w:t>
      </w:r>
      <w:proofErr w:type="spellStart"/>
      <w:r w:rsidRPr="001E48D5">
        <w:rPr>
          <w:rFonts w:ascii="Book Antiqua" w:hAnsi="Book Antiqua"/>
          <w:i/>
          <w:sz w:val="24"/>
          <w:szCs w:val="24"/>
        </w:rPr>
        <w:t>Princ</w:t>
      </w:r>
      <w:proofErr w:type="spellEnd"/>
      <w:r w:rsidRPr="001E48D5">
        <w:rPr>
          <w:rFonts w:ascii="Book Antiqua" w:hAnsi="Book Antiqua"/>
          <w:i/>
          <w:sz w:val="24"/>
          <w:szCs w:val="24"/>
        </w:rPr>
        <w:t xml:space="preserve"> </w:t>
      </w:r>
      <w:proofErr w:type="spellStart"/>
      <w:r w:rsidRPr="001E48D5">
        <w:rPr>
          <w:rFonts w:ascii="Book Antiqua" w:hAnsi="Book Antiqua"/>
          <w:i/>
          <w:sz w:val="24"/>
          <w:szCs w:val="24"/>
        </w:rPr>
        <w:t>Pract</w:t>
      </w:r>
      <w:proofErr w:type="spellEnd"/>
      <w:r w:rsidRPr="001E48D5">
        <w:rPr>
          <w:rFonts w:ascii="Book Antiqua" w:hAnsi="Book Antiqua"/>
          <w:sz w:val="24"/>
          <w:szCs w:val="24"/>
        </w:rPr>
        <w:t xml:space="preserve"> 2013; </w:t>
      </w:r>
      <w:r w:rsidRPr="001E48D5">
        <w:rPr>
          <w:rFonts w:ascii="Book Antiqua" w:hAnsi="Book Antiqua"/>
          <w:b/>
          <w:sz w:val="24"/>
          <w:szCs w:val="24"/>
        </w:rPr>
        <w:t>22</w:t>
      </w:r>
      <w:r w:rsidRPr="001E48D5">
        <w:rPr>
          <w:rFonts w:ascii="Book Antiqua" w:hAnsi="Book Antiqua"/>
          <w:sz w:val="24"/>
          <w:szCs w:val="24"/>
        </w:rPr>
        <w:t>: 194-199 [PMID: 23075743 DOI: 10.1159/000343167]</w:t>
      </w:r>
    </w:p>
    <w:bookmarkEnd w:id="23"/>
    <w:bookmarkEnd w:id="24"/>
    <w:p w:rsidR="00FA07B4" w:rsidRPr="001E48D5" w:rsidRDefault="00FA07B4" w:rsidP="007A67C3">
      <w:pPr>
        <w:widowControl w:val="0"/>
        <w:autoSpaceDE w:val="0"/>
        <w:autoSpaceDN w:val="0"/>
        <w:adjustRightInd w:val="0"/>
        <w:spacing w:after="0" w:line="360" w:lineRule="auto"/>
        <w:ind w:left="640" w:hanging="640"/>
        <w:jc w:val="both"/>
        <w:rPr>
          <w:rFonts w:ascii="Book Antiqua" w:hAnsi="Book Antiqua" w:cs="Segoe UI"/>
          <w:noProof/>
          <w:sz w:val="24"/>
          <w:szCs w:val="24"/>
        </w:rPr>
      </w:pPr>
    </w:p>
    <w:p w:rsidR="00474F34" w:rsidRPr="001E48D5" w:rsidRDefault="00474F34" w:rsidP="00474F34">
      <w:pPr>
        <w:suppressAutoHyphens/>
        <w:wordWrap w:val="0"/>
        <w:spacing w:after="0" w:line="360" w:lineRule="auto"/>
        <w:ind w:right="120"/>
        <w:jc w:val="right"/>
        <w:rPr>
          <w:rFonts w:ascii="Book Antiqua" w:hAnsi="Book Antiqua" w:cs="Mangal" w:hint="eastAsia"/>
          <w:bCs/>
          <w:color w:val="000000" w:themeColor="text1"/>
          <w:kern w:val="1"/>
          <w:sz w:val="24"/>
          <w:szCs w:val="24"/>
          <w:lang w:val="it-IT" w:eastAsia="zh-CN" w:bidi="hi-IN"/>
        </w:rPr>
      </w:pPr>
      <w:bookmarkStart w:id="25" w:name="OLE_LINK480"/>
      <w:bookmarkStart w:id="26" w:name="OLE_LINK502"/>
      <w:bookmarkStart w:id="27" w:name="OLE_LINK1021"/>
      <w:bookmarkStart w:id="28" w:name="OLE_LINK1022"/>
      <w:bookmarkStart w:id="29" w:name="OLE_LINK1023"/>
      <w:bookmarkStart w:id="30" w:name="OLE_LINK1064"/>
      <w:bookmarkStart w:id="31" w:name="OLE_LINK1065"/>
      <w:bookmarkStart w:id="32" w:name="OLE_LINK1156"/>
      <w:bookmarkStart w:id="33" w:name="OLE_LINK1157"/>
      <w:bookmarkStart w:id="34" w:name="OLE_LINK1158"/>
      <w:bookmarkStart w:id="35" w:name="OLE_LINK1159"/>
      <w:bookmarkStart w:id="36" w:name="OLE_LINK1185"/>
      <w:bookmarkStart w:id="37" w:name="OLE_LINK958"/>
      <w:bookmarkStart w:id="38" w:name="OLE_LINK959"/>
      <w:bookmarkStart w:id="39" w:name="OLE_LINK962"/>
      <w:bookmarkStart w:id="40" w:name="OLE_LINK1127"/>
      <w:bookmarkStart w:id="41" w:name="OLE_LINK945"/>
      <w:bookmarkStart w:id="42" w:name="OLE_LINK946"/>
      <w:bookmarkStart w:id="43" w:name="OLE_LINK947"/>
      <w:bookmarkStart w:id="44" w:name="OLE_LINK987"/>
      <w:bookmarkStart w:id="45" w:name="OLE_LINK1035"/>
      <w:bookmarkStart w:id="46" w:name="OLE_LINK1036"/>
      <w:bookmarkStart w:id="47" w:name="OLE_LINK1038"/>
      <w:bookmarkStart w:id="48" w:name="OLE_LINK1039"/>
      <w:bookmarkStart w:id="49" w:name="OLE_LINK1040"/>
      <w:bookmarkStart w:id="50" w:name="OLE_LINK1041"/>
      <w:bookmarkStart w:id="51" w:name="OLE_LINK1042"/>
      <w:bookmarkStart w:id="52" w:name="OLE_LINK1043"/>
      <w:bookmarkStart w:id="53" w:name="OLE_LINK1044"/>
      <w:bookmarkStart w:id="54" w:name="OLE_LINK1071"/>
      <w:bookmarkStart w:id="55" w:name="OLE_LINK1072"/>
      <w:bookmarkStart w:id="56" w:name="OLE_LINK968"/>
      <w:bookmarkStart w:id="57" w:name="OLE_LINK1260"/>
      <w:bookmarkStart w:id="58" w:name="OLE_LINK1261"/>
      <w:bookmarkStart w:id="59" w:name="OLE_LINK1264"/>
      <w:bookmarkStart w:id="60" w:name="OLE_LINK1265"/>
      <w:bookmarkStart w:id="61" w:name="OLE_LINK1266"/>
      <w:bookmarkStart w:id="62" w:name="OLE_LINK1282"/>
      <w:bookmarkStart w:id="63" w:name="OLE_LINK1800"/>
      <w:bookmarkStart w:id="64" w:name="OLE_LINK1801"/>
      <w:bookmarkStart w:id="65" w:name="OLE_LINK1802"/>
      <w:bookmarkStart w:id="66" w:name="OLE_LINK1803"/>
      <w:bookmarkStart w:id="67" w:name="OLE_LINK1843"/>
      <w:bookmarkStart w:id="68" w:name="OLE_LINK1844"/>
      <w:bookmarkStart w:id="69" w:name="OLE_LINK1845"/>
      <w:bookmarkStart w:id="70" w:name="OLE_LINK1636"/>
      <w:bookmarkStart w:id="71" w:name="OLE_LINK1755"/>
      <w:bookmarkStart w:id="72" w:name="OLE_LINK1806"/>
      <w:bookmarkStart w:id="73" w:name="OLE_LINK1807"/>
      <w:bookmarkStart w:id="74" w:name="OLE_LINK1811"/>
      <w:bookmarkStart w:id="75" w:name="OLE_LINK1812"/>
      <w:bookmarkStart w:id="76" w:name="OLE_LINK1813"/>
      <w:bookmarkStart w:id="77" w:name="OLE_LINK1962"/>
      <w:bookmarkStart w:id="78" w:name="OLE_LINK1963"/>
      <w:bookmarkStart w:id="79" w:name="OLE_LINK1964"/>
      <w:bookmarkStart w:id="80" w:name="OLE_LINK2162"/>
      <w:bookmarkStart w:id="81" w:name="OLE_LINK2198"/>
      <w:bookmarkStart w:id="82" w:name="OLE_LINK2199"/>
      <w:bookmarkStart w:id="83" w:name="OLE_LINK2200"/>
      <w:bookmarkStart w:id="84" w:name="OLE_LINK2090"/>
      <w:r w:rsidRPr="001E48D5">
        <w:rPr>
          <w:rFonts w:ascii="Book Antiqua" w:eastAsia="Lucida Sans Unicode" w:hAnsi="Book Antiqua" w:cs="Arial"/>
          <w:b/>
          <w:noProof/>
          <w:color w:val="000000" w:themeColor="text1"/>
          <w:kern w:val="1"/>
          <w:sz w:val="24"/>
          <w:szCs w:val="24"/>
          <w:lang w:val="it-IT" w:eastAsia="hi-IN" w:bidi="hi-IN"/>
        </w:rPr>
        <w:t>P-Reviewer</w:t>
      </w:r>
      <w:r w:rsidRPr="001E48D5">
        <w:rPr>
          <w:rFonts w:ascii="Book Antiqua" w:hAnsi="Book Antiqua" w:cs="Arial"/>
          <w:b/>
          <w:noProof/>
          <w:color w:val="000000" w:themeColor="text1"/>
          <w:kern w:val="1"/>
          <w:sz w:val="24"/>
          <w:szCs w:val="24"/>
          <w:lang w:val="it-IT" w:bidi="hi-IN"/>
        </w:rPr>
        <w:t>:</w:t>
      </w:r>
      <w:r w:rsidRPr="001E48D5">
        <w:rPr>
          <w:rFonts w:ascii="Book Antiqua" w:hAnsi="Book Antiqua" w:cs="Arial"/>
          <w:noProof/>
          <w:color w:val="000000" w:themeColor="text1"/>
          <w:kern w:val="1"/>
          <w:sz w:val="24"/>
          <w:szCs w:val="24"/>
          <w:lang w:val="it-IT" w:bidi="hi-IN"/>
        </w:rPr>
        <w:t xml:space="preserve"> Labusca</w:t>
      </w:r>
      <w:r w:rsidRPr="001E48D5">
        <w:rPr>
          <w:rFonts w:ascii="Book Antiqua" w:hAnsi="Book Antiqua" w:cs="Arial" w:hint="eastAsia"/>
          <w:noProof/>
          <w:color w:val="000000" w:themeColor="text1"/>
          <w:kern w:val="1"/>
          <w:sz w:val="24"/>
          <w:szCs w:val="24"/>
          <w:lang w:val="it-IT" w:eastAsia="zh-CN" w:bidi="hi-IN"/>
        </w:rPr>
        <w:t xml:space="preserve"> L, </w:t>
      </w:r>
      <w:r w:rsidRPr="001E48D5">
        <w:rPr>
          <w:rFonts w:ascii="Book Antiqua" w:hAnsi="Book Antiqua" w:cs="Arial"/>
          <w:noProof/>
          <w:color w:val="000000" w:themeColor="text1"/>
          <w:kern w:val="1"/>
          <w:sz w:val="24"/>
          <w:szCs w:val="24"/>
          <w:lang w:val="it-IT" w:eastAsia="zh-CN" w:bidi="hi-IN"/>
        </w:rPr>
        <w:t>Jun</w:t>
      </w:r>
      <w:r w:rsidRPr="001E48D5">
        <w:rPr>
          <w:rFonts w:ascii="Book Antiqua" w:hAnsi="Book Antiqua" w:cs="Arial" w:hint="eastAsia"/>
          <w:noProof/>
          <w:color w:val="000000" w:themeColor="text1"/>
          <w:kern w:val="1"/>
          <w:sz w:val="24"/>
          <w:szCs w:val="24"/>
          <w:lang w:val="it-IT" w:eastAsia="zh-CN" w:bidi="hi-IN"/>
        </w:rPr>
        <w:t xml:space="preserve"> YM</w:t>
      </w:r>
      <w:r w:rsidRPr="001E48D5">
        <w:rPr>
          <w:rFonts w:ascii="Book Antiqua" w:hAnsi="Book Antiqua" w:cs="Mangal"/>
          <w:bCs/>
          <w:color w:val="000000" w:themeColor="text1"/>
          <w:kern w:val="1"/>
          <w:sz w:val="24"/>
          <w:szCs w:val="24"/>
          <w:lang w:val="it-IT" w:bidi="hi-IN"/>
        </w:rPr>
        <w:t xml:space="preserve"> </w:t>
      </w:r>
      <w:r w:rsidR="009D53E2" w:rsidRPr="001E48D5">
        <w:rPr>
          <w:rFonts w:ascii="Book Antiqua" w:hAnsi="Book Antiqua" w:cs="Mangal" w:hint="eastAsia"/>
          <w:bCs/>
          <w:color w:val="000000" w:themeColor="text1"/>
          <w:kern w:val="1"/>
          <w:sz w:val="24"/>
          <w:szCs w:val="24"/>
          <w:lang w:val="it-IT" w:eastAsia="zh-CN" w:bidi="hi-IN"/>
        </w:rPr>
        <w:t xml:space="preserve"> </w:t>
      </w:r>
      <w:r w:rsidRPr="001E48D5">
        <w:rPr>
          <w:rFonts w:ascii="Book Antiqua" w:eastAsia="Lucida Sans Unicode" w:hAnsi="Book Antiqua" w:cs="Mangal"/>
          <w:b/>
          <w:bCs/>
          <w:color w:val="000000" w:themeColor="text1"/>
          <w:kern w:val="1"/>
          <w:sz w:val="24"/>
          <w:szCs w:val="24"/>
          <w:lang w:val="it-IT" w:eastAsia="hi-IN" w:bidi="hi-IN"/>
        </w:rPr>
        <w:t>S-Editor</w:t>
      </w:r>
      <w:r w:rsidRPr="001E48D5">
        <w:rPr>
          <w:rFonts w:ascii="Book Antiqua" w:hAnsi="Book Antiqua" w:cs="Mangal"/>
          <w:b/>
          <w:bCs/>
          <w:color w:val="000000" w:themeColor="text1"/>
          <w:kern w:val="1"/>
          <w:sz w:val="24"/>
          <w:szCs w:val="24"/>
          <w:lang w:val="it-IT" w:bidi="hi-IN"/>
        </w:rPr>
        <w:t>:</w:t>
      </w:r>
      <w:r w:rsidRPr="001E48D5">
        <w:rPr>
          <w:rFonts w:ascii="Book Antiqua" w:eastAsia="Lucida Sans Unicode" w:hAnsi="Book Antiqua" w:cs="Mangal"/>
          <w:bCs/>
          <w:color w:val="000000" w:themeColor="text1"/>
          <w:kern w:val="1"/>
          <w:sz w:val="24"/>
          <w:szCs w:val="24"/>
          <w:lang w:val="it-IT" w:eastAsia="hi-IN" w:bidi="hi-IN"/>
        </w:rPr>
        <w:t xml:space="preserve"> </w:t>
      </w:r>
      <w:r w:rsidRPr="001E48D5">
        <w:rPr>
          <w:rFonts w:ascii="Book Antiqua" w:hAnsi="Book Antiqua" w:cs="Mangal"/>
          <w:bCs/>
          <w:color w:val="000000" w:themeColor="text1"/>
          <w:kern w:val="1"/>
          <w:sz w:val="24"/>
          <w:szCs w:val="24"/>
          <w:lang w:val="it-IT" w:bidi="hi-IN"/>
        </w:rPr>
        <w:t>Dou Y</w:t>
      </w:r>
      <w:r w:rsidR="009D53E2" w:rsidRPr="001E48D5">
        <w:rPr>
          <w:rFonts w:ascii="Book Antiqua" w:hAnsi="Book Antiqua" w:cs="Mangal" w:hint="eastAsia"/>
          <w:bCs/>
          <w:color w:val="000000" w:themeColor="text1"/>
          <w:kern w:val="1"/>
          <w:sz w:val="24"/>
          <w:szCs w:val="24"/>
          <w:lang w:val="it-IT" w:eastAsia="zh-CN" w:bidi="hi-IN"/>
        </w:rPr>
        <w:t xml:space="preserve"> </w:t>
      </w:r>
      <w:r w:rsidRPr="001E48D5">
        <w:rPr>
          <w:rFonts w:ascii="Book Antiqua" w:eastAsia="Lucida Sans Unicode" w:hAnsi="Book Antiqua" w:cs="Mangal"/>
          <w:b/>
          <w:bCs/>
          <w:color w:val="000000" w:themeColor="text1"/>
          <w:kern w:val="1"/>
          <w:sz w:val="24"/>
          <w:szCs w:val="24"/>
          <w:lang w:val="it-IT" w:eastAsia="hi-IN" w:bidi="hi-IN"/>
        </w:rPr>
        <w:t xml:space="preserve"> L-Editor</w:t>
      </w:r>
      <w:r w:rsidRPr="001E48D5">
        <w:rPr>
          <w:rFonts w:ascii="Book Antiqua" w:hAnsi="Book Antiqua" w:cs="Mangal"/>
          <w:b/>
          <w:bCs/>
          <w:color w:val="000000" w:themeColor="text1"/>
          <w:kern w:val="1"/>
          <w:sz w:val="24"/>
          <w:szCs w:val="24"/>
          <w:lang w:val="it-IT" w:bidi="hi-IN"/>
        </w:rPr>
        <w:t>:</w:t>
      </w:r>
      <w:r w:rsidRPr="001E48D5">
        <w:rPr>
          <w:rFonts w:ascii="Book Antiqua" w:eastAsia="Lucida Sans Unicode" w:hAnsi="Book Antiqua" w:cs="Mangal"/>
          <w:b/>
          <w:bCs/>
          <w:color w:val="000000" w:themeColor="text1"/>
          <w:kern w:val="1"/>
          <w:sz w:val="24"/>
          <w:szCs w:val="24"/>
          <w:lang w:val="it-IT" w:eastAsia="hi-IN" w:bidi="hi-IN"/>
        </w:rPr>
        <w:t xml:space="preserve"> </w:t>
      </w:r>
      <w:r w:rsidR="002519CB" w:rsidRPr="001E48D5">
        <w:rPr>
          <w:rFonts w:ascii="Book Antiqua" w:hAnsi="Book Antiqua" w:cs="Mangal" w:hint="eastAsia"/>
          <w:bCs/>
          <w:color w:val="000000" w:themeColor="text1"/>
          <w:kern w:val="1"/>
          <w:sz w:val="24"/>
          <w:szCs w:val="24"/>
          <w:lang w:val="it-IT" w:eastAsia="zh-CN" w:bidi="hi-IN"/>
        </w:rPr>
        <w:t xml:space="preserve">A </w:t>
      </w:r>
      <w:r w:rsidR="009D53E2" w:rsidRPr="001E48D5">
        <w:rPr>
          <w:rFonts w:ascii="Book Antiqua" w:hAnsi="Book Antiqua" w:cs="Mangal" w:hint="eastAsia"/>
          <w:bCs/>
          <w:color w:val="000000" w:themeColor="text1"/>
          <w:kern w:val="1"/>
          <w:sz w:val="24"/>
          <w:szCs w:val="24"/>
          <w:lang w:val="it-IT" w:eastAsia="zh-CN" w:bidi="hi-IN"/>
        </w:rPr>
        <w:t xml:space="preserve"> </w:t>
      </w:r>
      <w:r w:rsidRPr="001E48D5">
        <w:rPr>
          <w:rFonts w:ascii="Book Antiqua" w:eastAsia="Lucida Sans Unicode" w:hAnsi="Book Antiqua" w:cs="Mangal"/>
          <w:b/>
          <w:bCs/>
          <w:color w:val="000000" w:themeColor="text1"/>
          <w:kern w:val="1"/>
          <w:sz w:val="24"/>
          <w:szCs w:val="24"/>
          <w:lang w:val="it-IT" w:eastAsia="hi-IN" w:bidi="hi-IN"/>
        </w:rPr>
        <w:t>E-Editor</w:t>
      </w:r>
      <w:r w:rsidRPr="001E48D5">
        <w:rPr>
          <w:rFonts w:ascii="Book Antiqua" w:hAnsi="Book Antiqua" w:cs="Mangal"/>
          <w:b/>
          <w:bCs/>
          <w:color w:val="000000" w:themeColor="text1"/>
          <w:kern w:val="1"/>
          <w:sz w:val="24"/>
          <w:szCs w:val="24"/>
          <w:lang w:val="it-IT" w:bidi="hi-IN"/>
        </w:rPr>
        <w:t>:</w:t>
      </w:r>
      <w:r w:rsidR="002519CB" w:rsidRPr="001E48D5">
        <w:rPr>
          <w:rFonts w:ascii="Book Antiqua" w:hAnsi="Book Antiqua" w:cs="Mangal" w:hint="eastAsia"/>
          <w:b/>
          <w:bCs/>
          <w:color w:val="000000" w:themeColor="text1"/>
          <w:kern w:val="1"/>
          <w:sz w:val="24"/>
          <w:szCs w:val="24"/>
          <w:lang w:val="it-IT" w:eastAsia="zh-CN" w:bidi="hi-IN"/>
        </w:rPr>
        <w:t xml:space="preserve"> </w:t>
      </w:r>
      <w:r w:rsidR="002519CB" w:rsidRPr="001E48D5">
        <w:rPr>
          <w:rFonts w:ascii="Book Antiqua" w:hAnsi="Book Antiqua" w:cs="Mangal" w:hint="eastAsia"/>
          <w:bCs/>
          <w:color w:val="000000" w:themeColor="text1"/>
          <w:kern w:val="1"/>
          <w:sz w:val="24"/>
          <w:szCs w:val="24"/>
          <w:lang w:val="it-IT" w:eastAsia="zh-CN" w:bidi="hi-IN"/>
        </w:rPr>
        <w:t>Bian YN</w:t>
      </w:r>
    </w:p>
    <w:p w:rsidR="00474F34" w:rsidRPr="001E48D5" w:rsidRDefault="00474F34" w:rsidP="00474F34">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474F34" w:rsidRPr="001E48D5" w:rsidRDefault="00474F34" w:rsidP="00474F34">
      <w:pPr>
        <w:shd w:val="clear" w:color="auto" w:fill="FFFFFF"/>
        <w:snapToGrid w:val="0"/>
        <w:spacing w:after="0" w:line="360" w:lineRule="auto"/>
        <w:jc w:val="both"/>
        <w:rPr>
          <w:rFonts w:ascii="Book Antiqua" w:hAnsi="Book Antiqua" w:cs="Helvetica"/>
          <w:b/>
          <w:color w:val="000000" w:themeColor="text1"/>
          <w:sz w:val="24"/>
          <w:szCs w:val="24"/>
        </w:rPr>
      </w:pPr>
      <w:r w:rsidRPr="001E48D5">
        <w:rPr>
          <w:rFonts w:ascii="Book Antiqua" w:hAnsi="Book Antiqua" w:cs="Helvetica"/>
          <w:b/>
          <w:color w:val="000000" w:themeColor="text1"/>
          <w:sz w:val="24"/>
          <w:szCs w:val="24"/>
        </w:rPr>
        <w:t xml:space="preserve">Specialty type: </w:t>
      </w:r>
      <w:r w:rsidRPr="001E48D5">
        <w:rPr>
          <w:rFonts w:ascii="Book Antiqua" w:eastAsia="微软雅黑" w:hAnsi="Book Antiqua" w:cs="宋体"/>
          <w:sz w:val="24"/>
          <w:szCs w:val="24"/>
        </w:rPr>
        <w:t>Cell and tissue engineering</w:t>
      </w:r>
    </w:p>
    <w:p w:rsidR="00474F34" w:rsidRPr="001E48D5" w:rsidRDefault="00474F34" w:rsidP="00474F34">
      <w:pPr>
        <w:shd w:val="clear" w:color="auto" w:fill="FFFFFF"/>
        <w:snapToGrid w:val="0"/>
        <w:spacing w:after="0" w:line="360" w:lineRule="auto"/>
        <w:jc w:val="both"/>
        <w:rPr>
          <w:rFonts w:ascii="Book Antiqua" w:hAnsi="Book Antiqua" w:cs="Helvetica"/>
          <w:b/>
          <w:color w:val="000000" w:themeColor="text1"/>
          <w:sz w:val="24"/>
          <w:szCs w:val="24"/>
        </w:rPr>
      </w:pPr>
      <w:r w:rsidRPr="001E48D5">
        <w:rPr>
          <w:rFonts w:ascii="Book Antiqua" w:hAnsi="Book Antiqua" w:cs="Helvetica"/>
          <w:b/>
          <w:color w:val="000000" w:themeColor="text1"/>
          <w:sz w:val="24"/>
          <w:szCs w:val="24"/>
        </w:rPr>
        <w:t xml:space="preserve">Country of origin: </w:t>
      </w:r>
      <w:r w:rsidRPr="001E48D5">
        <w:rPr>
          <w:rFonts w:ascii="Book Antiqua" w:hAnsi="Book Antiqua" w:cs="Helvetica"/>
          <w:color w:val="000000" w:themeColor="text1"/>
          <w:sz w:val="24"/>
          <w:szCs w:val="24"/>
        </w:rPr>
        <w:t>Iran</w:t>
      </w:r>
    </w:p>
    <w:p w:rsidR="00474F34" w:rsidRPr="001E48D5" w:rsidRDefault="00474F34" w:rsidP="00474F34">
      <w:pPr>
        <w:shd w:val="clear" w:color="auto" w:fill="FFFFFF"/>
        <w:snapToGrid w:val="0"/>
        <w:spacing w:after="0" w:line="360" w:lineRule="auto"/>
        <w:jc w:val="both"/>
        <w:rPr>
          <w:rFonts w:ascii="Book Antiqua" w:hAnsi="Book Antiqua" w:cs="Helvetica"/>
          <w:b/>
          <w:color w:val="000000" w:themeColor="text1"/>
          <w:sz w:val="24"/>
          <w:szCs w:val="24"/>
        </w:rPr>
      </w:pPr>
      <w:r w:rsidRPr="001E48D5">
        <w:rPr>
          <w:rFonts w:ascii="Book Antiqua" w:hAnsi="Book Antiqua" w:cs="Helvetica"/>
          <w:b/>
          <w:color w:val="000000" w:themeColor="text1"/>
          <w:sz w:val="24"/>
          <w:szCs w:val="24"/>
        </w:rPr>
        <w:t>Peer-review report classification</w:t>
      </w:r>
    </w:p>
    <w:p w:rsidR="00474F34" w:rsidRPr="001E48D5" w:rsidRDefault="00474F34" w:rsidP="00474F34">
      <w:pPr>
        <w:shd w:val="clear" w:color="auto" w:fill="FFFFFF"/>
        <w:snapToGrid w:val="0"/>
        <w:spacing w:after="0" w:line="360" w:lineRule="auto"/>
        <w:jc w:val="both"/>
        <w:rPr>
          <w:rFonts w:ascii="Book Antiqua" w:hAnsi="Book Antiqua" w:cs="Helvetica"/>
          <w:color w:val="000000" w:themeColor="text1"/>
          <w:sz w:val="24"/>
          <w:szCs w:val="24"/>
        </w:rPr>
      </w:pPr>
      <w:r w:rsidRPr="001E48D5">
        <w:rPr>
          <w:rFonts w:ascii="Book Antiqua" w:hAnsi="Book Antiqua" w:cs="Helvetica"/>
          <w:color w:val="000000" w:themeColor="text1"/>
          <w:sz w:val="24"/>
          <w:szCs w:val="24"/>
        </w:rPr>
        <w:t xml:space="preserve">Grade </w:t>
      </w:r>
      <w:proofErr w:type="gramStart"/>
      <w:r w:rsidRPr="001E48D5">
        <w:rPr>
          <w:rFonts w:ascii="Book Antiqua" w:hAnsi="Book Antiqua" w:cs="Helvetica"/>
          <w:color w:val="000000" w:themeColor="text1"/>
          <w:sz w:val="24"/>
          <w:szCs w:val="24"/>
        </w:rPr>
        <w:t>A</w:t>
      </w:r>
      <w:proofErr w:type="gramEnd"/>
      <w:r w:rsidRPr="001E48D5">
        <w:rPr>
          <w:rFonts w:ascii="Book Antiqua" w:hAnsi="Book Antiqua" w:cs="Helvetica"/>
          <w:color w:val="000000" w:themeColor="text1"/>
          <w:sz w:val="24"/>
          <w:szCs w:val="24"/>
        </w:rPr>
        <w:t xml:space="preserve"> (Excellent): 0</w:t>
      </w:r>
    </w:p>
    <w:p w:rsidR="00474F34" w:rsidRPr="001E48D5" w:rsidRDefault="00474F34" w:rsidP="00474F3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1E48D5">
        <w:rPr>
          <w:rFonts w:ascii="Book Antiqua" w:hAnsi="Book Antiqua" w:cs="Helvetica"/>
          <w:color w:val="000000" w:themeColor="text1"/>
          <w:sz w:val="24"/>
          <w:szCs w:val="24"/>
        </w:rPr>
        <w:t>Grade B (Very good): B</w:t>
      </w:r>
      <w:r w:rsidRPr="001E48D5">
        <w:rPr>
          <w:rFonts w:ascii="Book Antiqua" w:hAnsi="Book Antiqua" w:cs="Helvetica" w:hint="eastAsia"/>
          <w:color w:val="000000" w:themeColor="text1"/>
          <w:sz w:val="24"/>
          <w:szCs w:val="24"/>
          <w:lang w:eastAsia="zh-CN"/>
        </w:rPr>
        <w:t>, B</w:t>
      </w:r>
    </w:p>
    <w:p w:rsidR="00474F34" w:rsidRPr="001E48D5" w:rsidRDefault="00474F34" w:rsidP="00474F3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1E48D5">
        <w:rPr>
          <w:rFonts w:ascii="Book Antiqua" w:hAnsi="Book Antiqua" w:cs="Helvetica"/>
          <w:color w:val="000000" w:themeColor="text1"/>
          <w:sz w:val="24"/>
          <w:szCs w:val="24"/>
        </w:rPr>
        <w:t xml:space="preserve">Grade C (Good): </w:t>
      </w:r>
      <w:r w:rsidRPr="001E48D5">
        <w:rPr>
          <w:rFonts w:ascii="Book Antiqua" w:hAnsi="Book Antiqua" w:cs="Helvetica"/>
          <w:color w:val="000000" w:themeColor="text1"/>
          <w:sz w:val="24"/>
          <w:szCs w:val="24"/>
          <w:lang w:eastAsia="zh-CN"/>
        </w:rPr>
        <w:t>0</w:t>
      </w:r>
    </w:p>
    <w:p w:rsidR="00474F34" w:rsidRPr="001E48D5" w:rsidRDefault="00474F34" w:rsidP="00474F3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1E48D5">
        <w:rPr>
          <w:rFonts w:ascii="Book Antiqua" w:hAnsi="Book Antiqua" w:cs="Helvetica"/>
          <w:color w:val="000000" w:themeColor="text1"/>
          <w:sz w:val="24"/>
          <w:szCs w:val="24"/>
        </w:rPr>
        <w:lastRenderedPageBreak/>
        <w:t xml:space="preserve">Grade D (Fair): </w:t>
      </w:r>
      <w:bookmarkEnd w:id="25"/>
      <w:bookmarkEnd w:id="26"/>
      <w:r w:rsidRPr="001E48D5">
        <w:rPr>
          <w:rFonts w:ascii="Book Antiqua" w:hAnsi="Book Antiqua" w:cs="Helvetica"/>
          <w:color w:val="000000" w:themeColor="text1"/>
          <w:sz w:val="24"/>
          <w:szCs w:val="24"/>
          <w:lang w:eastAsia="zh-CN"/>
        </w:rPr>
        <w:t>0</w:t>
      </w:r>
    </w:p>
    <w:p w:rsidR="00474F34" w:rsidRPr="001E48D5" w:rsidRDefault="00474F34" w:rsidP="00474F34">
      <w:pPr>
        <w:shd w:val="clear" w:color="auto" w:fill="FFFFFF"/>
        <w:snapToGrid w:val="0"/>
        <w:spacing w:after="0" w:line="360" w:lineRule="auto"/>
        <w:jc w:val="both"/>
        <w:rPr>
          <w:rFonts w:ascii="Book Antiqua" w:hAnsi="Book Antiqua" w:cs="Helvetica"/>
          <w:color w:val="000000" w:themeColor="text1"/>
          <w:sz w:val="24"/>
          <w:szCs w:val="24"/>
        </w:rPr>
      </w:pPr>
      <w:r w:rsidRPr="001E48D5">
        <w:rPr>
          <w:rFonts w:ascii="Book Antiqua" w:hAnsi="Book Antiqua" w:cs="Helvetica"/>
          <w:color w:val="000000" w:themeColor="text1"/>
          <w:sz w:val="24"/>
          <w:szCs w:val="24"/>
        </w:rPr>
        <w:t xml:space="preserve">Grade E (Poor):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1E48D5">
        <w:rPr>
          <w:rFonts w:ascii="Book Antiqua" w:hAnsi="Book Antiqua" w:cs="Helvetica"/>
          <w:color w:val="000000" w:themeColor="text1"/>
          <w:sz w:val="24"/>
          <w:szCs w:val="24"/>
        </w:rPr>
        <w:t>0</w:t>
      </w:r>
    </w:p>
    <w:p w:rsidR="00DE3015" w:rsidRPr="001E48D5" w:rsidRDefault="00DE3015" w:rsidP="007A67C3">
      <w:pPr>
        <w:spacing w:after="0" w:line="360" w:lineRule="auto"/>
        <w:jc w:val="both"/>
        <w:rPr>
          <w:rFonts w:ascii="Book Antiqua" w:hAnsi="Book Antiqua"/>
          <w:sz w:val="24"/>
          <w:szCs w:val="24"/>
        </w:rPr>
      </w:pPr>
      <w:r w:rsidRPr="001E48D5">
        <w:rPr>
          <w:rFonts w:ascii="Book Antiqua" w:hAnsi="Book Antiqua"/>
          <w:sz w:val="24"/>
          <w:szCs w:val="24"/>
        </w:rPr>
        <w:br w:type="page"/>
      </w:r>
    </w:p>
    <w:p w:rsidR="00DE3015" w:rsidRPr="001E48D5" w:rsidRDefault="00DE3015" w:rsidP="007A67C3">
      <w:pPr>
        <w:spacing w:after="0" w:line="360" w:lineRule="auto"/>
        <w:jc w:val="both"/>
        <w:rPr>
          <w:rFonts w:ascii="Book Antiqua" w:eastAsia="Times New Roman" w:hAnsi="Book Antiqua" w:cs="Segoe UI"/>
          <w:color w:val="000000"/>
          <w:sz w:val="24"/>
          <w:szCs w:val="24"/>
        </w:rPr>
      </w:pPr>
      <w:r w:rsidRPr="001E48D5">
        <w:rPr>
          <w:rFonts w:ascii="Book Antiqua" w:hAnsi="Book Antiqua" w:cs="Segoe UI"/>
          <w:b/>
          <w:bCs/>
          <w:noProof/>
          <w:sz w:val="24"/>
          <w:szCs w:val="24"/>
          <w:lang w:bidi="fa-IR"/>
        </w:rPr>
        <w:lastRenderedPageBreak/>
        <w:t xml:space="preserve">Table 1 </w:t>
      </w:r>
      <w:r w:rsidRPr="001E48D5">
        <w:rPr>
          <w:rFonts w:ascii="Book Antiqua" w:eastAsia="Times New Roman" w:hAnsi="Book Antiqua" w:cs="Segoe UI"/>
          <w:b/>
          <w:color w:val="000000"/>
          <w:sz w:val="24"/>
          <w:szCs w:val="24"/>
        </w:rPr>
        <w:t>Umbilical cord blood transplantation</w:t>
      </w:r>
      <w:r w:rsidRPr="001E48D5">
        <w:rPr>
          <w:rFonts w:ascii="Book Antiqua" w:hAnsi="Book Antiqua" w:cs="Segoe UI"/>
          <w:b/>
          <w:bCs/>
          <w:noProof/>
          <w:sz w:val="24"/>
          <w:szCs w:val="24"/>
          <w:lang w:bidi="fa-IR"/>
        </w:rPr>
        <w:t>-related viral infection</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DE3015" w:rsidRPr="001E48D5" w:rsidTr="00AA48BA">
        <w:tc>
          <w:tcPr>
            <w:tcW w:w="2394" w:type="dxa"/>
            <w:tcBorders>
              <w:top w:val="single" w:sz="4" w:space="0" w:color="auto"/>
              <w:bottom w:val="single" w:sz="4" w:space="0" w:color="auto"/>
            </w:tcBorders>
          </w:tcPr>
          <w:p w:rsidR="00DE3015" w:rsidRPr="001E48D5" w:rsidRDefault="00DE3015" w:rsidP="007A67C3">
            <w:pPr>
              <w:spacing w:line="360" w:lineRule="auto"/>
              <w:jc w:val="both"/>
              <w:rPr>
                <w:rFonts w:ascii="Book Antiqua" w:hAnsi="Book Antiqua"/>
                <w:b/>
                <w:sz w:val="24"/>
                <w:szCs w:val="24"/>
              </w:rPr>
            </w:pPr>
            <w:r w:rsidRPr="001E48D5">
              <w:rPr>
                <w:rFonts w:ascii="Book Antiqua" w:hAnsi="Book Antiqua"/>
                <w:b/>
                <w:sz w:val="24"/>
                <w:szCs w:val="24"/>
              </w:rPr>
              <w:t>Virus type</w:t>
            </w:r>
          </w:p>
        </w:tc>
        <w:tc>
          <w:tcPr>
            <w:tcW w:w="2394" w:type="dxa"/>
            <w:tcBorders>
              <w:top w:val="single" w:sz="4" w:space="0" w:color="auto"/>
              <w:bottom w:val="single" w:sz="4" w:space="0" w:color="auto"/>
            </w:tcBorders>
          </w:tcPr>
          <w:p w:rsidR="00DE3015" w:rsidRPr="001E48D5" w:rsidRDefault="00DE3015" w:rsidP="007A67C3">
            <w:pPr>
              <w:spacing w:line="360" w:lineRule="auto"/>
              <w:jc w:val="both"/>
              <w:rPr>
                <w:rFonts w:ascii="Book Antiqua" w:hAnsi="Book Antiqua"/>
                <w:b/>
                <w:sz w:val="24"/>
                <w:szCs w:val="24"/>
              </w:rPr>
            </w:pPr>
            <w:r w:rsidRPr="001E48D5">
              <w:rPr>
                <w:rFonts w:ascii="Book Antiqua" w:hAnsi="Book Antiqua"/>
                <w:b/>
                <w:sz w:val="24"/>
                <w:szCs w:val="24"/>
              </w:rPr>
              <w:t>UCBT-related primary viral infection</w:t>
            </w:r>
          </w:p>
        </w:tc>
        <w:tc>
          <w:tcPr>
            <w:tcW w:w="2394" w:type="dxa"/>
            <w:tcBorders>
              <w:top w:val="single" w:sz="4" w:space="0" w:color="auto"/>
              <w:bottom w:val="single" w:sz="4" w:space="0" w:color="auto"/>
            </w:tcBorders>
          </w:tcPr>
          <w:p w:rsidR="00DE3015" w:rsidRPr="001E48D5" w:rsidRDefault="00DE3015" w:rsidP="007A67C3">
            <w:pPr>
              <w:spacing w:line="360" w:lineRule="auto"/>
              <w:jc w:val="both"/>
              <w:rPr>
                <w:rFonts w:ascii="Book Antiqua" w:hAnsi="Book Antiqua"/>
                <w:b/>
                <w:sz w:val="24"/>
                <w:szCs w:val="24"/>
              </w:rPr>
            </w:pPr>
            <w:r w:rsidRPr="001E48D5">
              <w:rPr>
                <w:rFonts w:ascii="Book Antiqua" w:hAnsi="Book Antiqua"/>
                <w:b/>
                <w:sz w:val="24"/>
                <w:szCs w:val="24"/>
              </w:rPr>
              <w:t>UCBT-related virus reactivation</w:t>
            </w:r>
          </w:p>
        </w:tc>
        <w:tc>
          <w:tcPr>
            <w:tcW w:w="2394" w:type="dxa"/>
            <w:tcBorders>
              <w:top w:val="single" w:sz="4" w:space="0" w:color="auto"/>
              <w:bottom w:val="single" w:sz="4" w:space="0" w:color="auto"/>
            </w:tcBorders>
          </w:tcPr>
          <w:p w:rsidR="00DE3015" w:rsidRPr="001E48D5" w:rsidRDefault="00DE3015" w:rsidP="007A67C3">
            <w:pPr>
              <w:spacing w:line="360" w:lineRule="auto"/>
              <w:jc w:val="both"/>
              <w:rPr>
                <w:rFonts w:ascii="Book Antiqua" w:hAnsi="Book Antiqua"/>
                <w:b/>
                <w:sz w:val="24"/>
                <w:szCs w:val="24"/>
              </w:rPr>
            </w:pPr>
            <w:r w:rsidRPr="001E48D5">
              <w:rPr>
                <w:rFonts w:ascii="Book Antiqua" w:hAnsi="Book Antiqua"/>
                <w:b/>
                <w:sz w:val="24"/>
                <w:szCs w:val="24"/>
              </w:rPr>
              <w:t>Reference</w:t>
            </w:r>
          </w:p>
        </w:tc>
      </w:tr>
      <w:tr w:rsidR="00DE3015" w:rsidRPr="001E48D5" w:rsidTr="00AA48BA">
        <w:tc>
          <w:tcPr>
            <w:tcW w:w="2394" w:type="dxa"/>
            <w:tcBorders>
              <w:top w:val="single" w:sz="4" w:space="0" w:color="auto"/>
            </w:tcBorders>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CMV</w:t>
            </w:r>
          </w:p>
        </w:tc>
        <w:tc>
          <w:tcPr>
            <w:tcW w:w="2394" w:type="dxa"/>
            <w:tcBorders>
              <w:top w:val="single" w:sz="4" w:space="0" w:color="auto"/>
            </w:tcBorders>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rPr>
              <w:t xml:space="preserve">Albano </w:t>
            </w:r>
            <w:r w:rsidRPr="001E48D5">
              <w:rPr>
                <w:rFonts w:ascii="Book Antiqua" w:hAnsi="Book Antiqua"/>
                <w:bCs/>
                <w:i/>
                <w:sz w:val="24"/>
                <w:szCs w:val="24"/>
              </w:rPr>
              <w:t>et al</w:t>
            </w:r>
          </w:p>
        </w:tc>
        <w:tc>
          <w:tcPr>
            <w:tcW w:w="2394" w:type="dxa"/>
            <w:tcBorders>
              <w:top w:val="single" w:sz="4" w:space="0" w:color="auto"/>
            </w:tcBorders>
          </w:tcPr>
          <w:p w:rsidR="00DE3015" w:rsidRPr="001E48D5" w:rsidRDefault="00DE3015" w:rsidP="007A67C3">
            <w:pPr>
              <w:spacing w:line="360" w:lineRule="auto"/>
              <w:jc w:val="both"/>
              <w:rPr>
                <w:rFonts w:ascii="Book Antiqua" w:hAnsi="Book Antiqua"/>
                <w:bCs/>
                <w:sz w:val="24"/>
                <w:szCs w:val="24"/>
              </w:rPr>
            </w:pPr>
          </w:p>
        </w:tc>
        <w:tc>
          <w:tcPr>
            <w:tcW w:w="2394" w:type="dxa"/>
            <w:tcBorders>
              <w:top w:val="single" w:sz="4" w:space="0" w:color="auto"/>
            </w:tcBorders>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4</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Abedi</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6</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Shin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80</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Al-Awadhi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81</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Tong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20</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Beck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21</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O’Connor</w:t>
            </w:r>
            <w:r w:rsidRPr="001E48D5">
              <w:rPr>
                <w:rFonts w:ascii="Book Antiqua" w:hAnsi="Book Antiqua"/>
                <w:bCs/>
                <w:i/>
                <w:sz w:val="24"/>
                <w:szCs w:val="24"/>
              </w:rPr>
              <w:t xml:space="preserve"> 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22</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Sinclair</w:t>
            </w:r>
            <w:r w:rsidRPr="001E48D5">
              <w:rPr>
                <w:rFonts w:ascii="Book Antiqua" w:hAnsi="Book Antiqua"/>
                <w:bCs/>
                <w:i/>
                <w:sz w:val="24"/>
                <w:szCs w:val="24"/>
              </w:rPr>
              <w:t xml:space="preserve"> 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23</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Weinberg</w:t>
            </w:r>
            <w:r w:rsidRPr="001E48D5">
              <w:rPr>
                <w:rFonts w:ascii="Book Antiqua" w:hAnsi="Book Antiqua"/>
                <w:bCs/>
                <w:i/>
                <w:sz w:val="24"/>
                <w:szCs w:val="24"/>
              </w:rPr>
              <w:t xml:space="preserve"> 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26</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HCV</w:t>
            </w: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Benova</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41</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VZV</w:t>
            </w: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Tomonari</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44</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Patrick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45</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Vandenbosch</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47</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HHV-6</w:t>
            </w: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D’Agaro</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53</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Scheurer</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48</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Yamane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49</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Hill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50</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Tomonari</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51</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Sashihara</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52</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HHV-7</w:t>
            </w: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Abedi</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8</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HHV-8</w:t>
            </w: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Golchin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7</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EBV</w:t>
            </w: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Hassan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62</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6A21DE" w:rsidP="007A67C3">
            <w:pPr>
              <w:spacing w:line="360" w:lineRule="auto"/>
              <w:jc w:val="both"/>
              <w:rPr>
                <w:rFonts w:ascii="Book Antiqua" w:hAnsi="Book Antiqua"/>
                <w:bCs/>
                <w:sz w:val="24"/>
                <w:szCs w:val="24"/>
              </w:rPr>
            </w:pPr>
            <w:hyperlink r:id="rId9" w:history="1">
              <w:r w:rsidR="00DE3015" w:rsidRPr="001E48D5">
                <w:rPr>
                  <w:rFonts w:ascii="Book Antiqua" w:hAnsi="Book Antiqua"/>
                  <w:bCs/>
                  <w:sz w:val="24"/>
                  <w:szCs w:val="24"/>
                </w:rPr>
                <w:t>Haut</w:t>
              </w:r>
            </w:hyperlink>
            <w:r w:rsidR="00DE3015" w:rsidRPr="001E48D5">
              <w:rPr>
                <w:rFonts w:ascii="Book Antiqua" w:hAnsi="Book Antiqua"/>
                <w:bCs/>
                <w:sz w:val="24"/>
                <w:szCs w:val="24"/>
              </w:rPr>
              <w:t xml:space="preserve"> </w:t>
            </w:r>
            <w:r w:rsidR="00DE3015"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63</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Ohga</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64</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Reddiconto</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65</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Auger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61</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Barker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67</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Blaes</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69</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Brunstein</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70</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Dumas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71</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proofErr w:type="spellStart"/>
            <w:r w:rsidRPr="001E48D5">
              <w:rPr>
                <w:rFonts w:ascii="Book Antiqua" w:hAnsi="Book Antiqua"/>
                <w:bCs/>
                <w:sz w:val="24"/>
                <w:szCs w:val="24"/>
              </w:rPr>
              <w:t>Kalra</w:t>
            </w:r>
            <w:proofErr w:type="spellEnd"/>
            <w:r w:rsidRPr="001E48D5">
              <w:rPr>
                <w:rFonts w:ascii="Book Antiqua" w:hAnsi="Book Antiqua"/>
                <w:bCs/>
                <w:sz w:val="24"/>
                <w:szCs w:val="24"/>
              </w:rPr>
              <w:t xml:space="preserve">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72</w:t>
            </w:r>
            <w:r w:rsidRPr="001E48D5">
              <w:rPr>
                <w:rFonts w:ascii="Book Antiqua" w:hAnsi="Book Antiqua"/>
                <w:bCs/>
                <w:sz w:val="24"/>
                <w:szCs w:val="24"/>
                <w:lang w:eastAsia="zh-CN"/>
              </w:rPr>
              <w:t>]</w:t>
            </w:r>
          </w:p>
        </w:tc>
      </w:tr>
      <w:tr w:rsidR="00DE3015" w:rsidRPr="001E48D5" w:rsidTr="00AA48BA">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AVs</w:t>
            </w:r>
          </w:p>
        </w:tc>
        <w:tc>
          <w:tcPr>
            <w:tcW w:w="2394" w:type="dxa"/>
          </w:tcPr>
          <w:p w:rsidR="00DE3015" w:rsidRPr="001E48D5" w:rsidRDefault="00DE3015" w:rsidP="007A67C3">
            <w:pPr>
              <w:spacing w:line="360" w:lineRule="auto"/>
              <w:jc w:val="both"/>
              <w:rPr>
                <w:rFonts w:ascii="Book Antiqua" w:hAnsi="Book Antiqua"/>
                <w:bCs/>
                <w:sz w:val="24"/>
                <w:szCs w:val="24"/>
              </w:rPr>
            </w:pPr>
          </w:p>
        </w:tc>
        <w:tc>
          <w:tcPr>
            <w:tcW w:w="2394" w:type="dxa"/>
          </w:tcPr>
          <w:p w:rsidR="00DE3015" w:rsidRPr="001E48D5" w:rsidRDefault="00DE3015" w:rsidP="007A67C3">
            <w:pPr>
              <w:spacing w:line="360" w:lineRule="auto"/>
              <w:jc w:val="both"/>
              <w:rPr>
                <w:rFonts w:ascii="Book Antiqua" w:hAnsi="Book Antiqua"/>
                <w:bCs/>
                <w:sz w:val="24"/>
                <w:szCs w:val="24"/>
              </w:rPr>
            </w:pPr>
            <w:r w:rsidRPr="001E48D5">
              <w:rPr>
                <w:rFonts w:ascii="Book Antiqua" w:hAnsi="Book Antiqua"/>
                <w:bCs/>
                <w:sz w:val="24"/>
                <w:szCs w:val="24"/>
              </w:rPr>
              <w:t xml:space="preserve">Robin </w:t>
            </w:r>
            <w:r w:rsidRPr="001E48D5">
              <w:rPr>
                <w:rFonts w:ascii="Book Antiqua" w:hAnsi="Book Antiqua"/>
                <w:bCs/>
                <w:i/>
                <w:sz w:val="24"/>
                <w:szCs w:val="24"/>
              </w:rPr>
              <w:t>et al</w:t>
            </w:r>
          </w:p>
        </w:tc>
        <w:tc>
          <w:tcPr>
            <w:tcW w:w="2394" w:type="dxa"/>
          </w:tcPr>
          <w:p w:rsidR="00DE3015" w:rsidRPr="001E48D5" w:rsidRDefault="00DE3015" w:rsidP="007A67C3">
            <w:pPr>
              <w:spacing w:line="360" w:lineRule="auto"/>
              <w:jc w:val="both"/>
              <w:rPr>
                <w:rFonts w:ascii="Book Antiqua" w:hAnsi="Book Antiqua"/>
                <w:bCs/>
                <w:sz w:val="24"/>
                <w:szCs w:val="24"/>
                <w:lang w:eastAsia="zh-CN"/>
              </w:rPr>
            </w:pPr>
            <w:r w:rsidRPr="001E48D5">
              <w:rPr>
                <w:rFonts w:ascii="Book Antiqua" w:hAnsi="Book Antiqua"/>
                <w:bCs/>
                <w:sz w:val="24"/>
                <w:szCs w:val="24"/>
                <w:lang w:eastAsia="zh-CN"/>
              </w:rPr>
              <w:t>[</w:t>
            </w:r>
            <w:r w:rsidRPr="001E48D5">
              <w:rPr>
                <w:rFonts w:ascii="Book Antiqua" w:hAnsi="Book Antiqua"/>
                <w:bCs/>
                <w:sz w:val="24"/>
                <w:szCs w:val="24"/>
              </w:rPr>
              <w:t>79</w:t>
            </w:r>
            <w:r w:rsidRPr="001E48D5">
              <w:rPr>
                <w:rFonts w:ascii="Book Antiqua" w:hAnsi="Book Antiqua"/>
                <w:bCs/>
                <w:sz w:val="24"/>
                <w:szCs w:val="24"/>
                <w:lang w:eastAsia="zh-CN"/>
              </w:rPr>
              <w:t>]</w:t>
            </w:r>
          </w:p>
        </w:tc>
      </w:tr>
    </w:tbl>
    <w:p w:rsidR="00DE3015" w:rsidRPr="007A67C3" w:rsidRDefault="00DE3015" w:rsidP="007A67C3">
      <w:pPr>
        <w:spacing w:after="0" w:line="360" w:lineRule="auto"/>
        <w:jc w:val="both"/>
        <w:rPr>
          <w:rFonts w:ascii="Book Antiqua" w:hAnsi="Book Antiqua" w:cs="Segoe UI"/>
          <w:color w:val="000000"/>
          <w:sz w:val="24"/>
          <w:szCs w:val="24"/>
          <w:lang w:eastAsia="zh-CN"/>
        </w:rPr>
      </w:pPr>
      <w:r w:rsidRPr="001E48D5">
        <w:rPr>
          <w:rFonts w:ascii="Book Antiqua" w:eastAsia="Times New Roman" w:hAnsi="Book Antiqua" w:cs="Segoe UI"/>
          <w:color w:val="000000"/>
          <w:sz w:val="24"/>
          <w:szCs w:val="24"/>
        </w:rPr>
        <w:t xml:space="preserve">UCBT: Umbilical </w:t>
      </w:r>
      <w:r w:rsidR="00086718" w:rsidRPr="001E48D5">
        <w:rPr>
          <w:rFonts w:ascii="Book Antiqua" w:eastAsia="Times New Roman" w:hAnsi="Book Antiqua" w:cs="Segoe UI"/>
          <w:color w:val="000000"/>
          <w:sz w:val="24"/>
          <w:szCs w:val="24"/>
        </w:rPr>
        <w:t>cord blood transplantation</w:t>
      </w:r>
      <w:r w:rsidRPr="001E48D5">
        <w:rPr>
          <w:rFonts w:ascii="Book Antiqua" w:eastAsia="Times New Roman" w:hAnsi="Book Antiqua" w:cs="Segoe UI"/>
          <w:color w:val="000000"/>
          <w:sz w:val="24"/>
          <w:szCs w:val="24"/>
        </w:rPr>
        <w:t>; CMV: Cytomegalovirus; HCV: Hepatitis C virus; VZV: Varicella-zoster virus; HHV-6: Human herpesvirus-6; HHV-7: Human herpesvirus-7; HHV-8: Human herpesvirus-8; EBV: Epstein-Barr virus; AVs: Adenoviruses.</w:t>
      </w:r>
      <w:bookmarkStart w:id="85" w:name="_GoBack"/>
      <w:bookmarkEnd w:id="85"/>
    </w:p>
    <w:p w:rsidR="001A0319" w:rsidRPr="007A67C3" w:rsidRDefault="001A0319" w:rsidP="007A67C3">
      <w:pPr>
        <w:spacing w:after="0" w:line="360" w:lineRule="auto"/>
        <w:jc w:val="both"/>
        <w:rPr>
          <w:rFonts w:ascii="Book Antiqua" w:hAnsi="Book Antiqua"/>
          <w:sz w:val="24"/>
          <w:szCs w:val="24"/>
        </w:rPr>
      </w:pPr>
    </w:p>
    <w:sectPr w:rsidR="001A0319" w:rsidRPr="007A67C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DE" w:rsidRDefault="006A21DE" w:rsidP="00FA07B4">
      <w:pPr>
        <w:spacing w:after="0" w:line="240" w:lineRule="auto"/>
      </w:pPr>
      <w:r>
        <w:separator/>
      </w:r>
    </w:p>
  </w:endnote>
  <w:endnote w:type="continuationSeparator" w:id="0">
    <w:p w:rsidR="006A21DE" w:rsidRDefault="006A21DE" w:rsidP="00FA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91147"/>
      <w:docPartObj>
        <w:docPartGallery w:val="Page Numbers (Bottom of Page)"/>
        <w:docPartUnique/>
      </w:docPartObj>
    </w:sdtPr>
    <w:sdtEndPr>
      <w:rPr>
        <w:noProof/>
      </w:rPr>
    </w:sdtEndPr>
    <w:sdtContent>
      <w:p w:rsidR="00DE5DEE" w:rsidRDefault="00DE5DEE">
        <w:pPr>
          <w:pStyle w:val="a7"/>
          <w:jc w:val="center"/>
        </w:pPr>
        <w:r>
          <w:fldChar w:fldCharType="begin"/>
        </w:r>
        <w:r>
          <w:instrText xml:space="preserve"> PAGE   \* MERGEFORMAT </w:instrText>
        </w:r>
        <w:r>
          <w:fldChar w:fldCharType="separate"/>
        </w:r>
        <w:r w:rsidR="001E48D5">
          <w:rPr>
            <w:noProof/>
          </w:rPr>
          <w:t>31</w:t>
        </w:r>
        <w:r>
          <w:rPr>
            <w:noProof/>
          </w:rPr>
          <w:fldChar w:fldCharType="end"/>
        </w:r>
      </w:p>
    </w:sdtContent>
  </w:sdt>
  <w:p w:rsidR="00DE5DEE" w:rsidRDefault="00DE5D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DE" w:rsidRDefault="006A21DE" w:rsidP="00FA07B4">
      <w:pPr>
        <w:spacing w:after="0" w:line="240" w:lineRule="auto"/>
      </w:pPr>
      <w:r>
        <w:separator/>
      </w:r>
    </w:p>
  </w:footnote>
  <w:footnote w:type="continuationSeparator" w:id="0">
    <w:p w:rsidR="006A21DE" w:rsidRDefault="006A21DE" w:rsidP="00FA0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F60"/>
    <w:multiLevelType w:val="multilevel"/>
    <w:tmpl w:val="2A54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6797E"/>
    <w:multiLevelType w:val="hybridMultilevel"/>
    <w:tmpl w:val="80DE6296"/>
    <w:lvl w:ilvl="0" w:tplc="2556A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B4"/>
    <w:rsid w:val="00086718"/>
    <w:rsid w:val="000B7062"/>
    <w:rsid w:val="000C30DD"/>
    <w:rsid w:val="001070C6"/>
    <w:rsid w:val="001723A8"/>
    <w:rsid w:val="001A0319"/>
    <w:rsid w:val="001E48D5"/>
    <w:rsid w:val="001F7DD0"/>
    <w:rsid w:val="00224AAE"/>
    <w:rsid w:val="002419B3"/>
    <w:rsid w:val="002519CB"/>
    <w:rsid w:val="00257D57"/>
    <w:rsid w:val="002711F7"/>
    <w:rsid w:val="00281B15"/>
    <w:rsid w:val="003A2CE3"/>
    <w:rsid w:val="003F68F8"/>
    <w:rsid w:val="004524C8"/>
    <w:rsid w:val="00474F34"/>
    <w:rsid w:val="005120C2"/>
    <w:rsid w:val="00556296"/>
    <w:rsid w:val="00620171"/>
    <w:rsid w:val="00624057"/>
    <w:rsid w:val="006A21DE"/>
    <w:rsid w:val="006B4B7B"/>
    <w:rsid w:val="00751533"/>
    <w:rsid w:val="007A3577"/>
    <w:rsid w:val="007A67C3"/>
    <w:rsid w:val="0081285B"/>
    <w:rsid w:val="008234B3"/>
    <w:rsid w:val="008273FE"/>
    <w:rsid w:val="00875B89"/>
    <w:rsid w:val="008B1139"/>
    <w:rsid w:val="009108A0"/>
    <w:rsid w:val="00937D61"/>
    <w:rsid w:val="0094255C"/>
    <w:rsid w:val="00971B9F"/>
    <w:rsid w:val="009722CF"/>
    <w:rsid w:val="0098773F"/>
    <w:rsid w:val="009D53E2"/>
    <w:rsid w:val="009F6C2D"/>
    <w:rsid w:val="00A22CB3"/>
    <w:rsid w:val="00A61D0A"/>
    <w:rsid w:val="00AA6019"/>
    <w:rsid w:val="00AF764C"/>
    <w:rsid w:val="00BD4D56"/>
    <w:rsid w:val="00C3335A"/>
    <w:rsid w:val="00C43777"/>
    <w:rsid w:val="00C455D1"/>
    <w:rsid w:val="00C71290"/>
    <w:rsid w:val="00D762C6"/>
    <w:rsid w:val="00DD0FEF"/>
    <w:rsid w:val="00DE3015"/>
    <w:rsid w:val="00DE5DEE"/>
    <w:rsid w:val="00E031A3"/>
    <w:rsid w:val="00E05A2B"/>
    <w:rsid w:val="00E166AD"/>
    <w:rsid w:val="00E44605"/>
    <w:rsid w:val="00E467DF"/>
    <w:rsid w:val="00EB05F4"/>
    <w:rsid w:val="00EE3101"/>
    <w:rsid w:val="00EF4143"/>
    <w:rsid w:val="00F25062"/>
    <w:rsid w:val="00F35FFE"/>
    <w:rsid w:val="00FA07B4"/>
    <w:rsid w:val="00FA77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B4"/>
  </w:style>
  <w:style w:type="paragraph" w:styleId="2">
    <w:name w:val="heading 2"/>
    <w:basedOn w:val="a"/>
    <w:link w:val="2Char"/>
    <w:uiPriority w:val="9"/>
    <w:qFormat/>
    <w:rsid w:val="00FA0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A07B4"/>
    <w:rPr>
      <w:rFonts w:ascii="Times New Roman" w:eastAsia="Times New Roman" w:hAnsi="Times New Roman" w:cs="Times New Roman"/>
      <w:b/>
      <w:bCs/>
      <w:sz w:val="36"/>
      <w:szCs w:val="36"/>
    </w:rPr>
  </w:style>
  <w:style w:type="character" w:customStyle="1" w:styleId="orcid-id-https">
    <w:name w:val="orcid-id-https"/>
    <w:basedOn w:val="a0"/>
    <w:rsid w:val="00FA07B4"/>
  </w:style>
  <w:style w:type="character" w:styleId="a3">
    <w:name w:val="Hyperlink"/>
    <w:basedOn w:val="a0"/>
    <w:uiPriority w:val="99"/>
    <w:unhideWhenUsed/>
    <w:rsid w:val="00FA07B4"/>
    <w:rPr>
      <w:color w:val="0000FF" w:themeColor="hyperlink"/>
      <w:u w:val="single"/>
    </w:rPr>
  </w:style>
  <w:style w:type="paragraph" w:styleId="a4">
    <w:name w:val="Balloon Text"/>
    <w:basedOn w:val="a"/>
    <w:link w:val="Char"/>
    <w:uiPriority w:val="99"/>
    <w:semiHidden/>
    <w:unhideWhenUsed/>
    <w:rsid w:val="00FA07B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FA07B4"/>
    <w:rPr>
      <w:rFonts w:ascii="Tahoma" w:hAnsi="Tahoma" w:cs="Tahoma"/>
      <w:sz w:val="16"/>
      <w:szCs w:val="16"/>
    </w:rPr>
  </w:style>
  <w:style w:type="paragraph" w:styleId="a5">
    <w:name w:val="List Paragraph"/>
    <w:basedOn w:val="a"/>
    <w:uiPriority w:val="34"/>
    <w:qFormat/>
    <w:rsid w:val="00FA07B4"/>
    <w:pPr>
      <w:ind w:left="720"/>
      <w:contextualSpacing/>
    </w:pPr>
  </w:style>
  <w:style w:type="character" w:customStyle="1" w:styleId="nlm-surname">
    <w:name w:val="nlm-surname"/>
    <w:basedOn w:val="a0"/>
    <w:rsid w:val="00FA07B4"/>
  </w:style>
  <w:style w:type="paragraph" w:styleId="a6">
    <w:name w:val="header"/>
    <w:basedOn w:val="a"/>
    <w:link w:val="Char0"/>
    <w:uiPriority w:val="99"/>
    <w:unhideWhenUsed/>
    <w:rsid w:val="00FA07B4"/>
    <w:pPr>
      <w:tabs>
        <w:tab w:val="center" w:pos="4680"/>
        <w:tab w:val="right" w:pos="9360"/>
      </w:tabs>
      <w:spacing w:after="0" w:line="240" w:lineRule="auto"/>
    </w:pPr>
  </w:style>
  <w:style w:type="character" w:customStyle="1" w:styleId="Char0">
    <w:name w:val="页眉 Char"/>
    <w:basedOn w:val="a0"/>
    <w:link w:val="a6"/>
    <w:uiPriority w:val="99"/>
    <w:rsid w:val="00FA07B4"/>
  </w:style>
  <w:style w:type="paragraph" w:styleId="a7">
    <w:name w:val="footer"/>
    <w:basedOn w:val="a"/>
    <w:link w:val="Char1"/>
    <w:uiPriority w:val="99"/>
    <w:unhideWhenUsed/>
    <w:rsid w:val="00FA07B4"/>
    <w:pPr>
      <w:tabs>
        <w:tab w:val="center" w:pos="4680"/>
        <w:tab w:val="right" w:pos="9360"/>
      </w:tabs>
      <w:spacing w:after="0" w:line="240" w:lineRule="auto"/>
    </w:pPr>
  </w:style>
  <w:style w:type="character" w:customStyle="1" w:styleId="Char1">
    <w:name w:val="页脚 Char"/>
    <w:basedOn w:val="a0"/>
    <w:link w:val="a7"/>
    <w:uiPriority w:val="99"/>
    <w:rsid w:val="00FA07B4"/>
  </w:style>
  <w:style w:type="character" w:styleId="a8">
    <w:name w:val="annotation reference"/>
    <w:basedOn w:val="a0"/>
    <w:uiPriority w:val="99"/>
    <w:semiHidden/>
    <w:unhideWhenUsed/>
    <w:qFormat/>
    <w:rsid w:val="00FA07B4"/>
    <w:rPr>
      <w:sz w:val="16"/>
      <w:szCs w:val="16"/>
    </w:rPr>
  </w:style>
  <w:style w:type="paragraph" w:styleId="a9">
    <w:name w:val="annotation text"/>
    <w:basedOn w:val="a"/>
    <w:link w:val="Char2"/>
    <w:uiPriority w:val="99"/>
    <w:unhideWhenUsed/>
    <w:qFormat/>
    <w:rsid w:val="00FA07B4"/>
    <w:pPr>
      <w:spacing w:line="240" w:lineRule="auto"/>
    </w:pPr>
    <w:rPr>
      <w:sz w:val="20"/>
      <w:szCs w:val="20"/>
    </w:rPr>
  </w:style>
  <w:style w:type="character" w:customStyle="1" w:styleId="Char2">
    <w:name w:val="批注文字 Char"/>
    <w:basedOn w:val="a0"/>
    <w:link w:val="a9"/>
    <w:uiPriority w:val="99"/>
    <w:qFormat/>
    <w:rsid w:val="00FA07B4"/>
    <w:rPr>
      <w:sz w:val="20"/>
      <w:szCs w:val="20"/>
    </w:rPr>
  </w:style>
  <w:style w:type="paragraph" w:styleId="aa">
    <w:name w:val="annotation subject"/>
    <w:basedOn w:val="a9"/>
    <w:next w:val="a9"/>
    <w:link w:val="Char3"/>
    <w:uiPriority w:val="99"/>
    <w:semiHidden/>
    <w:unhideWhenUsed/>
    <w:rsid w:val="00FA07B4"/>
    <w:rPr>
      <w:b/>
      <w:bCs/>
    </w:rPr>
  </w:style>
  <w:style w:type="character" w:customStyle="1" w:styleId="Char3">
    <w:name w:val="批注主题 Char"/>
    <w:basedOn w:val="Char2"/>
    <w:link w:val="aa"/>
    <w:uiPriority w:val="99"/>
    <w:semiHidden/>
    <w:rsid w:val="00FA07B4"/>
    <w:rPr>
      <w:b/>
      <w:bCs/>
      <w:sz w:val="20"/>
      <w:szCs w:val="20"/>
    </w:rPr>
  </w:style>
  <w:style w:type="table" w:styleId="ab">
    <w:name w:val="Table Grid"/>
    <w:basedOn w:val="a1"/>
    <w:uiPriority w:val="59"/>
    <w:rsid w:val="0028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DE3015"/>
    <w:pPr>
      <w:spacing w:after="160"/>
    </w:pPr>
    <w:rPr>
      <w:rFonts w:ascii="Arial" w:eastAsia="宋体" w:hAnsi="Arial" w:cs="Arial"/>
      <w:color w:val="000000"/>
      <w:szCs w:val="20"/>
      <w:lang w:val="pl-PL" w:eastAsia="pl-PL"/>
    </w:rPr>
  </w:style>
  <w:style w:type="paragraph" w:customStyle="1" w:styleId="src">
    <w:name w:val="src"/>
    <w:basedOn w:val="a"/>
    <w:rsid w:val="00DE3015"/>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B4"/>
  </w:style>
  <w:style w:type="paragraph" w:styleId="2">
    <w:name w:val="heading 2"/>
    <w:basedOn w:val="a"/>
    <w:link w:val="2Char"/>
    <w:uiPriority w:val="9"/>
    <w:qFormat/>
    <w:rsid w:val="00FA0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A07B4"/>
    <w:rPr>
      <w:rFonts w:ascii="Times New Roman" w:eastAsia="Times New Roman" w:hAnsi="Times New Roman" w:cs="Times New Roman"/>
      <w:b/>
      <w:bCs/>
      <w:sz w:val="36"/>
      <w:szCs w:val="36"/>
    </w:rPr>
  </w:style>
  <w:style w:type="character" w:customStyle="1" w:styleId="orcid-id-https">
    <w:name w:val="orcid-id-https"/>
    <w:basedOn w:val="a0"/>
    <w:rsid w:val="00FA07B4"/>
  </w:style>
  <w:style w:type="character" w:styleId="a3">
    <w:name w:val="Hyperlink"/>
    <w:basedOn w:val="a0"/>
    <w:uiPriority w:val="99"/>
    <w:unhideWhenUsed/>
    <w:rsid w:val="00FA07B4"/>
    <w:rPr>
      <w:color w:val="0000FF" w:themeColor="hyperlink"/>
      <w:u w:val="single"/>
    </w:rPr>
  </w:style>
  <w:style w:type="paragraph" w:styleId="a4">
    <w:name w:val="Balloon Text"/>
    <w:basedOn w:val="a"/>
    <w:link w:val="Char"/>
    <w:uiPriority w:val="99"/>
    <w:semiHidden/>
    <w:unhideWhenUsed/>
    <w:rsid w:val="00FA07B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FA07B4"/>
    <w:rPr>
      <w:rFonts w:ascii="Tahoma" w:hAnsi="Tahoma" w:cs="Tahoma"/>
      <w:sz w:val="16"/>
      <w:szCs w:val="16"/>
    </w:rPr>
  </w:style>
  <w:style w:type="paragraph" w:styleId="a5">
    <w:name w:val="List Paragraph"/>
    <w:basedOn w:val="a"/>
    <w:uiPriority w:val="34"/>
    <w:qFormat/>
    <w:rsid w:val="00FA07B4"/>
    <w:pPr>
      <w:ind w:left="720"/>
      <w:contextualSpacing/>
    </w:pPr>
  </w:style>
  <w:style w:type="character" w:customStyle="1" w:styleId="nlm-surname">
    <w:name w:val="nlm-surname"/>
    <w:basedOn w:val="a0"/>
    <w:rsid w:val="00FA07B4"/>
  </w:style>
  <w:style w:type="paragraph" w:styleId="a6">
    <w:name w:val="header"/>
    <w:basedOn w:val="a"/>
    <w:link w:val="Char0"/>
    <w:uiPriority w:val="99"/>
    <w:unhideWhenUsed/>
    <w:rsid w:val="00FA07B4"/>
    <w:pPr>
      <w:tabs>
        <w:tab w:val="center" w:pos="4680"/>
        <w:tab w:val="right" w:pos="9360"/>
      </w:tabs>
      <w:spacing w:after="0" w:line="240" w:lineRule="auto"/>
    </w:pPr>
  </w:style>
  <w:style w:type="character" w:customStyle="1" w:styleId="Char0">
    <w:name w:val="页眉 Char"/>
    <w:basedOn w:val="a0"/>
    <w:link w:val="a6"/>
    <w:uiPriority w:val="99"/>
    <w:rsid w:val="00FA07B4"/>
  </w:style>
  <w:style w:type="paragraph" w:styleId="a7">
    <w:name w:val="footer"/>
    <w:basedOn w:val="a"/>
    <w:link w:val="Char1"/>
    <w:uiPriority w:val="99"/>
    <w:unhideWhenUsed/>
    <w:rsid w:val="00FA07B4"/>
    <w:pPr>
      <w:tabs>
        <w:tab w:val="center" w:pos="4680"/>
        <w:tab w:val="right" w:pos="9360"/>
      </w:tabs>
      <w:spacing w:after="0" w:line="240" w:lineRule="auto"/>
    </w:pPr>
  </w:style>
  <w:style w:type="character" w:customStyle="1" w:styleId="Char1">
    <w:name w:val="页脚 Char"/>
    <w:basedOn w:val="a0"/>
    <w:link w:val="a7"/>
    <w:uiPriority w:val="99"/>
    <w:rsid w:val="00FA07B4"/>
  </w:style>
  <w:style w:type="character" w:styleId="a8">
    <w:name w:val="annotation reference"/>
    <w:basedOn w:val="a0"/>
    <w:uiPriority w:val="99"/>
    <w:semiHidden/>
    <w:unhideWhenUsed/>
    <w:qFormat/>
    <w:rsid w:val="00FA07B4"/>
    <w:rPr>
      <w:sz w:val="16"/>
      <w:szCs w:val="16"/>
    </w:rPr>
  </w:style>
  <w:style w:type="paragraph" w:styleId="a9">
    <w:name w:val="annotation text"/>
    <w:basedOn w:val="a"/>
    <w:link w:val="Char2"/>
    <w:uiPriority w:val="99"/>
    <w:unhideWhenUsed/>
    <w:qFormat/>
    <w:rsid w:val="00FA07B4"/>
    <w:pPr>
      <w:spacing w:line="240" w:lineRule="auto"/>
    </w:pPr>
    <w:rPr>
      <w:sz w:val="20"/>
      <w:szCs w:val="20"/>
    </w:rPr>
  </w:style>
  <w:style w:type="character" w:customStyle="1" w:styleId="Char2">
    <w:name w:val="批注文字 Char"/>
    <w:basedOn w:val="a0"/>
    <w:link w:val="a9"/>
    <w:uiPriority w:val="99"/>
    <w:qFormat/>
    <w:rsid w:val="00FA07B4"/>
    <w:rPr>
      <w:sz w:val="20"/>
      <w:szCs w:val="20"/>
    </w:rPr>
  </w:style>
  <w:style w:type="paragraph" w:styleId="aa">
    <w:name w:val="annotation subject"/>
    <w:basedOn w:val="a9"/>
    <w:next w:val="a9"/>
    <w:link w:val="Char3"/>
    <w:uiPriority w:val="99"/>
    <w:semiHidden/>
    <w:unhideWhenUsed/>
    <w:rsid w:val="00FA07B4"/>
    <w:rPr>
      <w:b/>
      <w:bCs/>
    </w:rPr>
  </w:style>
  <w:style w:type="character" w:customStyle="1" w:styleId="Char3">
    <w:name w:val="批注主题 Char"/>
    <w:basedOn w:val="Char2"/>
    <w:link w:val="aa"/>
    <w:uiPriority w:val="99"/>
    <w:semiHidden/>
    <w:rsid w:val="00FA07B4"/>
    <w:rPr>
      <w:b/>
      <w:bCs/>
      <w:sz w:val="20"/>
      <w:szCs w:val="20"/>
    </w:rPr>
  </w:style>
  <w:style w:type="table" w:styleId="ab">
    <w:name w:val="Table Grid"/>
    <w:basedOn w:val="a1"/>
    <w:uiPriority w:val="59"/>
    <w:rsid w:val="0028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DE3015"/>
    <w:pPr>
      <w:spacing w:after="160"/>
    </w:pPr>
    <w:rPr>
      <w:rFonts w:ascii="Arial" w:eastAsia="宋体" w:hAnsi="Arial" w:cs="Arial"/>
      <w:color w:val="000000"/>
      <w:szCs w:val="20"/>
      <w:lang w:val="pl-PL" w:eastAsia="pl-PL"/>
    </w:rPr>
  </w:style>
  <w:style w:type="paragraph" w:customStyle="1" w:styleId="src">
    <w:name w:val="src"/>
    <w:basedOn w:val="a"/>
    <w:rsid w:val="00DE3015"/>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Haut%20PR%5BAuthor%5D&amp;cauthor=true&amp;cauthor_uid=1136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31</Pages>
  <Words>54256</Words>
  <Characters>309263</Characters>
  <Application>Microsoft Office Word</Application>
  <DocSecurity>0</DocSecurity>
  <Lines>2577</Lines>
  <Paragraphs>725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WHL</cp:lastModifiedBy>
  <cp:revision>17</cp:revision>
  <dcterms:created xsi:type="dcterms:W3CDTF">2019-01-25T06:30:00Z</dcterms:created>
  <dcterms:modified xsi:type="dcterms:W3CDTF">2019-02-25T12:03:00Z</dcterms:modified>
</cp:coreProperties>
</file>