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94AB" w14:textId="67B68A3E" w:rsidR="00B30323" w:rsidRPr="00772D93" w:rsidRDefault="00B30323" w:rsidP="00772D93">
      <w:pPr>
        <w:spacing w:after="0" w:line="360" w:lineRule="auto"/>
        <w:jc w:val="both"/>
        <w:rPr>
          <w:rFonts w:ascii="Book Antiqua" w:hAnsi="Book Antiqua"/>
          <w:b/>
          <w:sz w:val="24"/>
          <w:szCs w:val="24"/>
        </w:rPr>
      </w:pPr>
      <w:r w:rsidRPr="00772D93">
        <w:rPr>
          <w:rFonts w:ascii="Book Antiqua" w:hAnsi="Book Antiqua"/>
          <w:b/>
          <w:sz w:val="24"/>
          <w:szCs w:val="24"/>
        </w:rPr>
        <w:t xml:space="preserve">Name of Journal: </w:t>
      </w:r>
      <w:r w:rsidRPr="002C7A2F">
        <w:rPr>
          <w:rFonts w:ascii="Book Antiqua" w:hAnsi="Book Antiqua"/>
          <w:i/>
          <w:sz w:val="24"/>
          <w:szCs w:val="24"/>
        </w:rPr>
        <w:t>World Journal of Clinical Cases</w:t>
      </w:r>
    </w:p>
    <w:p w14:paraId="43E82D7A" w14:textId="0B43C40F" w:rsidR="00B30323" w:rsidRPr="00772D93" w:rsidRDefault="00B30323" w:rsidP="00772D93">
      <w:pPr>
        <w:spacing w:after="0" w:line="360" w:lineRule="auto"/>
        <w:jc w:val="both"/>
        <w:rPr>
          <w:rFonts w:ascii="Book Antiqua" w:hAnsi="Book Antiqua"/>
          <w:b/>
          <w:sz w:val="24"/>
          <w:szCs w:val="24"/>
          <w:lang w:eastAsia="zh-CN"/>
        </w:rPr>
      </w:pPr>
      <w:r w:rsidRPr="00772D93">
        <w:rPr>
          <w:rFonts w:ascii="Book Antiqua" w:hAnsi="Book Antiqua"/>
          <w:b/>
          <w:sz w:val="24"/>
          <w:szCs w:val="24"/>
        </w:rPr>
        <w:t xml:space="preserve">Manuscript NO: </w:t>
      </w:r>
      <w:r w:rsidRPr="002C7A2F">
        <w:rPr>
          <w:rFonts w:ascii="Book Antiqua" w:hAnsi="Book Antiqua"/>
          <w:sz w:val="24"/>
          <w:szCs w:val="24"/>
          <w:lang w:eastAsia="zh-CN"/>
        </w:rPr>
        <w:t>45157</w:t>
      </w:r>
    </w:p>
    <w:p w14:paraId="515FD7ED" w14:textId="57814D9E" w:rsidR="00B30323" w:rsidRPr="00772D93" w:rsidRDefault="00B30323" w:rsidP="00772D93">
      <w:pPr>
        <w:spacing w:after="0" w:line="360" w:lineRule="auto"/>
        <w:jc w:val="both"/>
        <w:rPr>
          <w:rFonts w:ascii="Book Antiqua" w:hAnsi="Book Antiqua"/>
          <w:b/>
          <w:sz w:val="24"/>
          <w:szCs w:val="24"/>
          <w:lang w:eastAsia="zh-CN"/>
        </w:rPr>
      </w:pPr>
      <w:r w:rsidRPr="00772D93">
        <w:rPr>
          <w:rFonts w:ascii="Book Antiqua" w:hAnsi="Book Antiqua"/>
          <w:b/>
          <w:sz w:val="24"/>
          <w:szCs w:val="24"/>
        </w:rPr>
        <w:t>Manuscript Type:</w:t>
      </w:r>
      <w:r w:rsidRPr="00772D93">
        <w:rPr>
          <w:rFonts w:ascii="Book Antiqua" w:hAnsi="Book Antiqua"/>
          <w:sz w:val="24"/>
          <w:szCs w:val="24"/>
        </w:rPr>
        <w:t xml:space="preserve"> </w:t>
      </w:r>
      <w:r w:rsidRPr="002C7A2F">
        <w:rPr>
          <w:rFonts w:ascii="Book Antiqua" w:hAnsi="Book Antiqua"/>
          <w:sz w:val="24"/>
          <w:szCs w:val="24"/>
        </w:rPr>
        <w:t>CASE REPORT</w:t>
      </w:r>
    </w:p>
    <w:p w14:paraId="78A31FBC" w14:textId="77777777" w:rsidR="00B30323" w:rsidRPr="00772D93" w:rsidRDefault="00B30323" w:rsidP="00772D93">
      <w:pPr>
        <w:spacing w:after="0" w:line="360" w:lineRule="auto"/>
        <w:jc w:val="both"/>
        <w:rPr>
          <w:rFonts w:ascii="Book Antiqua" w:hAnsi="Book Antiqua"/>
          <w:b/>
          <w:sz w:val="24"/>
          <w:szCs w:val="24"/>
          <w:lang w:eastAsia="zh-CN"/>
        </w:rPr>
      </w:pPr>
    </w:p>
    <w:p w14:paraId="760F8E45" w14:textId="4F6CBF35" w:rsidR="00B379E7" w:rsidRPr="00772D93" w:rsidRDefault="006D009A" w:rsidP="00772D93">
      <w:pPr>
        <w:spacing w:after="0" w:line="360" w:lineRule="auto"/>
        <w:jc w:val="both"/>
        <w:rPr>
          <w:rFonts w:ascii="Book Antiqua" w:hAnsi="Book Antiqua" w:cs="Times New Roman"/>
          <w:b/>
          <w:sz w:val="24"/>
          <w:szCs w:val="24"/>
          <w:lang w:eastAsia="zh-CN"/>
        </w:rPr>
      </w:pPr>
      <w:r w:rsidRPr="00772D93">
        <w:rPr>
          <w:rFonts w:ascii="Book Antiqua" w:eastAsia="Times New Roman" w:hAnsi="Book Antiqua" w:cs="Times New Roman"/>
          <w:b/>
          <w:sz w:val="24"/>
          <w:szCs w:val="24"/>
          <w:lang w:val="en-GB"/>
        </w:rPr>
        <w:t>Non</w:t>
      </w:r>
      <w:r w:rsidR="00B30323" w:rsidRPr="00772D93">
        <w:rPr>
          <w:rFonts w:ascii="Book Antiqua" w:eastAsia="Times New Roman" w:hAnsi="Book Antiqua" w:cs="Times New Roman"/>
          <w:b/>
          <w:sz w:val="24"/>
          <w:szCs w:val="24"/>
          <w:lang w:val="en-GB"/>
        </w:rPr>
        <w:t>-invasive home lung impedance monitoring in early post-acute heart failure</w:t>
      </w:r>
      <w:r w:rsidR="00B30323" w:rsidRPr="00772D93">
        <w:rPr>
          <w:rFonts w:ascii="Book Antiqua" w:hAnsi="Book Antiqua" w:cs="Times New Roman"/>
          <w:b/>
          <w:sz w:val="24"/>
          <w:szCs w:val="24"/>
        </w:rPr>
        <w:t xml:space="preserve"> discharge</w:t>
      </w:r>
      <w:r w:rsidR="00236BB3" w:rsidRPr="00772D93">
        <w:rPr>
          <w:rFonts w:ascii="Book Antiqua" w:hAnsi="Book Antiqua" w:cs="Times New Roman"/>
          <w:b/>
          <w:sz w:val="24"/>
          <w:szCs w:val="24"/>
          <w:lang w:eastAsia="zh-CN"/>
        </w:rPr>
        <w:t xml:space="preserve">: </w:t>
      </w:r>
      <w:r w:rsidRPr="00772D93">
        <w:rPr>
          <w:rFonts w:ascii="Book Antiqua" w:hAnsi="Book Antiqua" w:cs="Times New Roman"/>
          <w:b/>
          <w:sz w:val="24"/>
          <w:szCs w:val="24"/>
          <w:lang w:eastAsia="zh-CN"/>
        </w:rPr>
        <w:t>Three</w:t>
      </w:r>
      <w:r w:rsidR="00236BB3" w:rsidRPr="00772D93">
        <w:rPr>
          <w:rFonts w:ascii="Book Antiqua" w:hAnsi="Book Antiqua" w:cs="Times New Roman"/>
          <w:b/>
          <w:sz w:val="24"/>
          <w:szCs w:val="24"/>
          <w:lang w:eastAsia="zh-CN"/>
        </w:rPr>
        <w:t xml:space="preserve"> case report</w:t>
      </w:r>
      <w:r w:rsidRPr="00772D93">
        <w:rPr>
          <w:rFonts w:ascii="Book Antiqua" w:hAnsi="Book Antiqua" w:cs="Times New Roman"/>
          <w:b/>
          <w:sz w:val="24"/>
          <w:szCs w:val="24"/>
          <w:lang w:eastAsia="zh-CN"/>
        </w:rPr>
        <w:t>s</w:t>
      </w:r>
    </w:p>
    <w:p w14:paraId="098367A3" w14:textId="77777777" w:rsidR="00463CF9" w:rsidRPr="00772D93" w:rsidRDefault="00463CF9" w:rsidP="00772D93">
      <w:pPr>
        <w:spacing w:after="0" w:line="360" w:lineRule="auto"/>
        <w:jc w:val="both"/>
        <w:rPr>
          <w:rFonts w:ascii="Book Antiqua" w:hAnsi="Book Antiqua" w:cs="Times New Roman"/>
          <w:b/>
          <w:sz w:val="24"/>
          <w:szCs w:val="24"/>
          <w:lang w:eastAsia="zh-CN"/>
        </w:rPr>
      </w:pPr>
    </w:p>
    <w:p w14:paraId="2C0706C8" w14:textId="77777777" w:rsidR="00277CBE" w:rsidRPr="00772D93" w:rsidRDefault="00277CBE" w:rsidP="00772D93">
      <w:pPr>
        <w:spacing w:after="0" w:line="360" w:lineRule="auto"/>
        <w:jc w:val="both"/>
        <w:rPr>
          <w:rFonts w:ascii="Book Antiqua" w:eastAsia="Arial Unicode MS" w:hAnsi="Book Antiqua" w:cs="Arial Unicode MS"/>
          <w:sz w:val="24"/>
          <w:szCs w:val="24"/>
          <w:lang w:val="en"/>
        </w:rPr>
      </w:pPr>
      <w:proofErr w:type="spellStart"/>
      <w:r w:rsidRPr="00772D93">
        <w:rPr>
          <w:rFonts w:ascii="Book Antiqua" w:hAnsi="Book Antiqua" w:cs="Times New Roman"/>
          <w:sz w:val="24"/>
          <w:szCs w:val="24"/>
        </w:rPr>
        <w:t>Lycholip</w:t>
      </w:r>
      <w:proofErr w:type="spellEnd"/>
      <w:r w:rsidRPr="00772D93">
        <w:rPr>
          <w:rFonts w:ascii="Book Antiqua" w:hAnsi="Book Antiqua" w:cs="Times New Roman"/>
          <w:sz w:val="24"/>
          <w:szCs w:val="24"/>
          <w:lang w:eastAsia="zh-CN"/>
        </w:rPr>
        <w:t xml:space="preserve"> E </w:t>
      </w:r>
      <w:r w:rsidRPr="00772D93">
        <w:rPr>
          <w:rFonts w:ascii="Book Antiqua" w:hAnsi="Book Antiqua" w:cs="Times New Roman"/>
          <w:i/>
          <w:sz w:val="24"/>
          <w:szCs w:val="24"/>
          <w:lang w:eastAsia="zh-CN"/>
        </w:rPr>
        <w:t>et al.</w:t>
      </w:r>
      <w:r w:rsidRPr="00772D93">
        <w:rPr>
          <w:rFonts w:ascii="Book Antiqua" w:eastAsia="Times New Roman" w:hAnsi="Book Antiqua" w:cs="Times New Roman"/>
          <w:sz w:val="24"/>
          <w:szCs w:val="24"/>
          <w:lang w:val="en-GB"/>
        </w:rPr>
        <w:t xml:space="preserve"> Non-invasive lung impedance in heart failure</w:t>
      </w:r>
    </w:p>
    <w:p w14:paraId="3F333F0F" w14:textId="77777777" w:rsidR="00277CBE" w:rsidRPr="00772D93" w:rsidRDefault="00277CBE" w:rsidP="00772D93">
      <w:pPr>
        <w:spacing w:after="0" w:line="360" w:lineRule="auto"/>
        <w:jc w:val="both"/>
        <w:rPr>
          <w:rFonts w:ascii="Book Antiqua" w:hAnsi="Book Antiqua" w:cs="Times New Roman"/>
          <w:b/>
          <w:sz w:val="24"/>
          <w:szCs w:val="24"/>
          <w:lang w:val="en" w:eastAsia="zh-CN"/>
        </w:rPr>
      </w:pPr>
    </w:p>
    <w:p w14:paraId="14AB8F9B" w14:textId="3A628B65" w:rsidR="0052719C" w:rsidRPr="00772D93" w:rsidRDefault="0052719C" w:rsidP="00772D93">
      <w:pPr>
        <w:spacing w:after="0" w:line="360" w:lineRule="auto"/>
        <w:jc w:val="both"/>
        <w:rPr>
          <w:rFonts w:ascii="Book Antiqua" w:hAnsi="Book Antiqua" w:cs="Times New Roman"/>
          <w:sz w:val="24"/>
          <w:szCs w:val="24"/>
          <w:lang w:eastAsia="zh-CN"/>
        </w:rPr>
      </w:pPr>
      <w:proofErr w:type="spellStart"/>
      <w:r w:rsidRPr="00772D93">
        <w:rPr>
          <w:rFonts w:ascii="Book Antiqua" w:hAnsi="Book Antiqua" w:cs="Times New Roman"/>
          <w:sz w:val="24"/>
          <w:szCs w:val="24"/>
        </w:rPr>
        <w:t>Edita</w:t>
      </w:r>
      <w:proofErr w:type="spellEnd"/>
      <w:r w:rsidRPr="00772D93">
        <w:rPr>
          <w:rFonts w:ascii="Book Antiqua" w:hAnsi="Book Antiqua" w:cs="Times New Roman"/>
          <w:sz w:val="24"/>
          <w:szCs w:val="24"/>
        </w:rPr>
        <w:t xml:space="preserve"> </w:t>
      </w:r>
      <w:proofErr w:type="spellStart"/>
      <w:r w:rsidRPr="00772D93">
        <w:rPr>
          <w:rFonts w:ascii="Book Antiqua" w:hAnsi="Book Antiqua" w:cs="Times New Roman"/>
          <w:sz w:val="24"/>
          <w:szCs w:val="24"/>
        </w:rPr>
        <w:t>Lycholip</w:t>
      </w:r>
      <w:proofErr w:type="spellEnd"/>
      <w:r w:rsidRPr="00772D93">
        <w:rPr>
          <w:rFonts w:ascii="Book Antiqua" w:hAnsi="Book Antiqua" w:cs="Times New Roman"/>
          <w:sz w:val="24"/>
          <w:szCs w:val="24"/>
        </w:rPr>
        <w:t xml:space="preserve">, </w:t>
      </w:r>
      <w:proofErr w:type="spellStart"/>
      <w:r w:rsidRPr="00772D93">
        <w:rPr>
          <w:rFonts w:ascii="Book Antiqua" w:hAnsi="Book Antiqua" w:cs="Times New Roman"/>
          <w:sz w:val="24"/>
          <w:szCs w:val="24"/>
        </w:rPr>
        <w:t>Eglė</w:t>
      </w:r>
      <w:proofErr w:type="spellEnd"/>
      <w:r w:rsidRPr="00772D93">
        <w:rPr>
          <w:rFonts w:ascii="Book Antiqua" w:hAnsi="Book Antiqua" w:cs="Times New Roman"/>
          <w:sz w:val="24"/>
          <w:szCs w:val="24"/>
        </w:rPr>
        <w:t xml:space="preserve"> </w:t>
      </w:r>
      <w:proofErr w:type="spellStart"/>
      <w:r w:rsidRPr="00772D93">
        <w:rPr>
          <w:rFonts w:ascii="Book Antiqua" w:hAnsi="Book Antiqua" w:cs="Times New Roman"/>
          <w:sz w:val="24"/>
          <w:szCs w:val="24"/>
        </w:rPr>
        <w:t>Palevičiūtė</w:t>
      </w:r>
      <w:proofErr w:type="spellEnd"/>
      <w:r w:rsidRPr="00772D93">
        <w:rPr>
          <w:rFonts w:ascii="Book Antiqua" w:hAnsi="Book Antiqua" w:cs="Times New Roman"/>
          <w:sz w:val="24"/>
          <w:szCs w:val="24"/>
        </w:rPr>
        <w:t xml:space="preserve">, Ina Thon </w:t>
      </w:r>
      <w:proofErr w:type="spellStart"/>
      <w:r w:rsidRPr="00772D93">
        <w:rPr>
          <w:rFonts w:ascii="Book Antiqua" w:hAnsi="Book Antiqua" w:cs="Times New Roman"/>
          <w:sz w:val="24"/>
          <w:szCs w:val="24"/>
        </w:rPr>
        <w:t>Aamodt</w:t>
      </w:r>
      <w:proofErr w:type="spellEnd"/>
      <w:r w:rsidRPr="00772D93">
        <w:rPr>
          <w:rFonts w:ascii="Book Antiqua" w:hAnsi="Book Antiqua" w:cs="Times New Roman"/>
          <w:sz w:val="24"/>
          <w:szCs w:val="24"/>
        </w:rPr>
        <w:t xml:space="preserve">, </w:t>
      </w:r>
      <w:r w:rsidR="007C5E77" w:rsidRPr="00772D93">
        <w:rPr>
          <w:rFonts w:ascii="Book Antiqua" w:hAnsi="Book Antiqua" w:cs="TimesNewRomanPSMT"/>
          <w:sz w:val="24"/>
          <w:szCs w:val="24"/>
          <w:lang w:val="lt-LT"/>
        </w:rPr>
        <w:t xml:space="preserve">Ragnhild Hellesø, </w:t>
      </w:r>
      <w:r w:rsidRPr="00772D93">
        <w:rPr>
          <w:rFonts w:ascii="Book Antiqua" w:hAnsi="Book Antiqua" w:cs="Times New Roman"/>
          <w:sz w:val="24"/>
          <w:szCs w:val="24"/>
        </w:rPr>
        <w:t xml:space="preserve">Irene Lie, Anna </w:t>
      </w:r>
      <w:r w:rsidR="007C5E77" w:rsidRPr="00772D93">
        <w:rPr>
          <w:rFonts w:ascii="Book Antiqua" w:hAnsi="Book Antiqua" w:cs="TimesNewRomanPSMT"/>
          <w:sz w:val="24"/>
          <w:szCs w:val="24"/>
          <w:lang w:val="lt-LT"/>
        </w:rPr>
        <w:t>Strömberg</w:t>
      </w:r>
      <w:r w:rsidRPr="00772D93">
        <w:rPr>
          <w:rFonts w:ascii="Book Antiqua" w:hAnsi="Book Antiqua" w:cs="Times New Roman"/>
          <w:sz w:val="24"/>
          <w:szCs w:val="24"/>
        </w:rPr>
        <w:t xml:space="preserve">, Tiny </w:t>
      </w:r>
      <w:proofErr w:type="spellStart"/>
      <w:r w:rsidRPr="00772D93">
        <w:rPr>
          <w:rFonts w:ascii="Book Antiqua" w:hAnsi="Book Antiqua" w:cs="Times New Roman"/>
          <w:sz w:val="24"/>
          <w:szCs w:val="24"/>
        </w:rPr>
        <w:t>Jaarsma</w:t>
      </w:r>
      <w:proofErr w:type="spellEnd"/>
      <w:r w:rsidRPr="00772D93">
        <w:rPr>
          <w:rFonts w:ascii="Book Antiqua" w:hAnsi="Book Antiqua" w:cs="Times New Roman"/>
          <w:sz w:val="24"/>
          <w:szCs w:val="24"/>
        </w:rPr>
        <w:t xml:space="preserve">, Jelena </w:t>
      </w:r>
      <w:proofErr w:type="spellStart"/>
      <w:r w:rsidRPr="00772D93">
        <w:rPr>
          <w:rFonts w:ascii="Book Antiqua" w:hAnsi="Book Antiqua" w:cs="Times New Roman"/>
          <w:sz w:val="24"/>
          <w:szCs w:val="24"/>
        </w:rPr>
        <w:t>Čelutkienė</w:t>
      </w:r>
      <w:proofErr w:type="spellEnd"/>
    </w:p>
    <w:p w14:paraId="5493DB06" w14:textId="77777777" w:rsidR="00463CF9" w:rsidRPr="00772D93" w:rsidRDefault="00463CF9" w:rsidP="00772D93">
      <w:pPr>
        <w:spacing w:after="0" w:line="360" w:lineRule="auto"/>
        <w:jc w:val="both"/>
        <w:rPr>
          <w:rFonts w:ascii="Book Antiqua" w:hAnsi="Book Antiqua" w:cs="Times New Roman"/>
          <w:b/>
          <w:sz w:val="24"/>
          <w:szCs w:val="24"/>
          <w:lang w:eastAsia="zh-CN"/>
        </w:rPr>
      </w:pPr>
    </w:p>
    <w:p w14:paraId="5146246F" w14:textId="066B2687" w:rsidR="0052719C" w:rsidRPr="00772D93" w:rsidRDefault="003D5CE5" w:rsidP="00772D93">
      <w:pPr>
        <w:spacing w:after="0" w:line="360" w:lineRule="auto"/>
        <w:jc w:val="both"/>
        <w:rPr>
          <w:rFonts w:ascii="Book Antiqua" w:hAnsi="Book Antiqua" w:cs="Times New Roman"/>
          <w:sz w:val="24"/>
          <w:szCs w:val="24"/>
          <w:lang w:val="en-GB" w:eastAsia="zh-CN"/>
        </w:rPr>
      </w:pPr>
      <w:proofErr w:type="spellStart"/>
      <w:r w:rsidRPr="00772D93">
        <w:rPr>
          <w:rFonts w:ascii="Book Antiqua" w:hAnsi="Book Antiqua" w:cs="Times New Roman"/>
          <w:b/>
          <w:sz w:val="24"/>
          <w:szCs w:val="24"/>
        </w:rPr>
        <w:t>Edita</w:t>
      </w:r>
      <w:proofErr w:type="spellEnd"/>
      <w:r w:rsidRPr="00772D93">
        <w:rPr>
          <w:rFonts w:ascii="Book Antiqua" w:hAnsi="Book Antiqua" w:cs="Times New Roman"/>
          <w:b/>
          <w:sz w:val="24"/>
          <w:szCs w:val="24"/>
        </w:rPr>
        <w:t xml:space="preserve"> </w:t>
      </w:r>
      <w:proofErr w:type="spellStart"/>
      <w:r w:rsidRPr="00772D93">
        <w:rPr>
          <w:rFonts w:ascii="Book Antiqua" w:hAnsi="Book Antiqua" w:cs="Times New Roman"/>
          <w:b/>
          <w:sz w:val="24"/>
          <w:szCs w:val="24"/>
        </w:rPr>
        <w:t>Lycholip</w:t>
      </w:r>
      <w:proofErr w:type="spellEnd"/>
      <w:r w:rsidR="00935381" w:rsidRPr="00772D93">
        <w:rPr>
          <w:rFonts w:ascii="Book Antiqua" w:hAnsi="Book Antiqua" w:cs="Times New Roman"/>
          <w:b/>
          <w:sz w:val="24"/>
          <w:szCs w:val="24"/>
        </w:rPr>
        <w:t>,</w:t>
      </w:r>
      <w:r w:rsidRPr="00772D93">
        <w:rPr>
          <w:rFonts w:ascii="Book Antiqua" w:hAnsi="Book Antiqua" w:cs="Times New Roman"/>
          <w:b/>
          <w:sz w:val="24"/>
          <w:szCs w:val="24"/>
          <w:vertAlign w:val="superscript"/>
        </w:rPr>
        <w:t xml:space="preserve"> </w:t>
      </w:r>
      <w:proofErr w:type="spellStart"/>
      <w:r w:rsidR="008F602A" w:rsidRPr="00772D93">
        <w:rPr>
          <w:rFonts w:ascii="Book Antiqua" w:hAnsi="Book Antiqua" w:cs="Times New Roman"/>
          <w:b/>
          <w:sz w:val="24"/>
          <w:szCs w:val="24"/>
        </w:rPr>
        <w:t>Egl</w:t>
      </w:r>
      <w:proofErr w:type="spellEnd"/>
      <w:r w:rsidR="008F602A" w:rsidRPr="00772D93">
        <w:rPr>
          <w:rFonts w:ascii="Book Antiqua" w:hAnsi="Book Antiqua" w:cs="Times New Roman"/>
          <w:b/>
          <w:sz w:val="24"/>
          <w:szCs w:val="24"/>
          <w:lang w:val="lt-LT"/>
        </w:rPr>
        <w:t>ė</w:t>
      </w:r>
      <w:r w:rsidR="006F4504" w:rsidRPr="00772D93">
        <w:rPr>
          <w:rFonts w:ascii="Book Antiqua" w:hAnsi="Book Antiqua" w:cs="Times New Roman"/>
          <w:b/>
          <w:sz w:val="24"/>
          <w:szCs w:val="24"/>
        </w:rPr>
        <w:t xml:space="preserve"> </w:t>
      </w:r>
      <w:proofErr w:type="spellStart"/>
      <w:r w:rsidR="006F4504" w:rsidRPr="00772D93">
        <w:rPr>
          <w:rFonts w:ascii="Book Antiqua" w:hAnsi="Book Antiqua" w:cs="Times New Roman"/>
          <w:b/>
          <w:sz w:val="24"/>
          <w:szCs w:val="24"/>
        </w:rPr>
        <w:t>Palevi</w:t>
      </w:r>
      <w:r w:rsidR="0030727A" w:rsidRPr="00772D93">
        <w:rPr>
          <w:rFonts w:ascii="Book Antiqua" w:hAnsi="Book Antiqua" w:cs="Times New Roman"/>
          <w:b/>
          <w:sz w:val="24"/>
          <w:szCs w:val="24"/>
        </w:rPr>
        <w:t>č</w:t>
      </w:r>
      <w:r w:rsidR="006F4504" w:rsidRPr="00772D93">
        <w:rPr>
          <w:rFonts w:ascii="Book Antiqua" w:hAnsi="Book Antiqua" w:cs="Times New Roman"/>
          <w:b/>
          <w:sz w:val="24"/>
          <w:szCs w:val="24"/>
        </w:rPr>
        <w:t>i</w:t>
      </w:r>
      <w:r w:rsidR="0030727A" w:rsidRPr="00772D93">
        <w:rPr>
          <w:rFonts w:ascii="Book Antiqua" w:hAnsi="Book Antiqua" w:cs="Times New Roman"/>
          <w:b/>
          <w:sz w:val="24"/>
          <w:szCs w:val="24"/>
        </w:rPr>
        <w:t>ū</w:t>
      </w:r>
      <w:r w:rsidR="006F4504" w:rsidRPr="00772D93">
        <w:rPr>
          <w:rFonts w:ascii="Book Antiqua" w:hAnsi="Book Antiqua" w:cs="Times New Roman"/>
          <w:b/>
          <w:sz w:val="24"/>
          <w:szCs w:val="24"/>
        </w:rPr>
        <w:t>t</w:t>
      </w:r>
      <w:r w:rsidR="0030727A" w:rsidRPr="00772D93">
        <w:rPr>
          <w:rFonts w:ascii="Book Antiqua" w:hAnsi="Book Antiqua" w:cs="Times New Roman"/>
          <w:b/>
          <w:sz w:val="24"/>
          <w:szCs w:val="24"/>
        </w:rPr>
        <w:t>ė</w:t>
      </w:r>
      <w:proofErr w:type="spellEnd"/>
      <w:r w:rsidR="006F4504" w:rsidRPr="00772D93">
        <w:rPr>
          <w:rFonts w:ascii="Book Antiqua" w:hAnsi="Book Antiqua" w:cs="Times New Roman"/>
          <w:b/>
          <w:sz w:val="24"/>
          <w:szCs w:val="24"/>
        </w:rPr>
        <w:t>,</w:t>
      </w:r>
      <w:r w:rsidR="006F4504" w:rsidRPr="00772D93">
        <w:rPr>
          <w:rFonts w:ascii="Book Antiqua" w:hAnsi="Book Antiqua" w:cs="Times New Roman"/>
          <w:b/>
          <w:sz w:val="24"/>
          <w:szCs w:val="24"/>
          <w:vertAlign w:val="superscript"/>
        </w:rPr>
        <w:t xml:space="preserve"> </w:t>
      </w:r>
      <w:r w:rsidR="0052719C" w:rsidRPr="00772D93">
        <w:rPr>
          <w:rFonts w:ascii="Book Antiqua" w:eastAsia="Times New Roman" w:hAnsi="Book Antiqua" w:cs="Times New Roman"/>
          <w:b/>
          <w:sz w:val="24"/>
          <w:szCs w:val="24"/>
          <w:lang w:val="en-GB"/>
        </w:rPr>
        <w:t xml:space="preserve">Jelena </w:t>
      </w:r>
      <w:proofErr w:type="spellStart"/>
      <w:r w:rsidR="0052719C" w:rsidRPr="00772D93">
        <w:rPr>
          <w:rFonts w:ascii="Book Antiqua" w:eastAsia="Times New Roman" w:hAnsi="Book Antiqua" w:cs="Times New Roman"/>
          <w:b/>
          <w:sz w:val="24"/>
          <w:szCs w:val="24"/>
          <w:lang w:val="en-GB"/>
        </w:rPr>
        <w:t>Čelutkienė</w:t>
      </w:r>
      <w:proofErr w:type="spellEnd"/>
      <w:r w:rsidR="0052719C" w:rsidRPr="00772D93">
        <w:rPr>
          <w:rFonts w:ascii="Book Antiqua" w:eastAsia="Times New Roman" w:hAnsi="Book Antiqua" w:cs="Times New Roman"/>
          <w:b/>
          <w:sz w:val="24"/>
          <w:szCs w:val="24"/>
          <w:lang w:val="en-GB"/>
        </w:rPr>
        <w:t xml:space="preserve">, </w:t>
      </w:r>
      <w:r w:rsidR="0052719C" w:rsidRPr="00772D93">
        <w:rPr>
          <w:rFonts w:ascii="Book Antiqua" w:eastAsia="Times New Roman" w:hAnsi="Book Antiqua" w:cs="Times New Roman"/>
          <w:sz w:val="24"/>
          <w:szCs w:val="24"/>
          <w:lang w:val="en-GB"/>
        </w:rPr>
        <w:t>Clinic of Cardiac and Vascular Diseases, Institute of Clinical Medicine, Faculty of Medicin</w:t>
      </w:r>
      <w:r w:rsidR="00277CBE" w:rsidRPr="00772D93">
        <w:rPr>
          <w:rFonts w:ascii="Book Antiqua" w:eastAsia="Times New Roman" w:hAnsi="Book Antiqua" w:cs="Times New Roman"/>
          <w:sz w:val="24"/>
          <w:szCs w:val="24"/>
          <w:lang w:val="en-GB"/>
        </w:rPr>
        <w:t>e, Vilnius University, Vilnius</w:t>
      </w:r>
      <w:r w:rsidR="00CD64C6" w:rsidRPr="00772D93">
        <w:rPr>
          <w:rFonts w:ascii="Book Antiqua" w:hAnsi="Book Antiqua"/>
          <w:sz w:val="24"/>
          <w:szCs w:val="24"/>
        </w:rPr>
        <w:t xml:space="preserve"> </w:t>
      </w:r>
      <w:r w:rsidR="00CD64C6" w:rsidRPr="00772D93">
        <w:rPr>
          <w:rFonts w:ascii="Book Antiqua" w:eastAsia="Times New Roman" w:hAnsi="Book Antiqua" w:cs="Times New Roman"/>
          <w:sz w:val="24"/>
          <w:szCs w:val="24"/>
          <w:lang w:val="en-GB"/>
        </w:rPr>
        <w:t>03101</w:t>
      </w:r>
      <w:r w:rsidR="00277CBE" w:rsidRPr="00772D93">
        <w:rPr>
          <w:rFonts w:ascii="Book Antiqua" w:hAnsi="Book Antiqua" w:cs="Times New Roman"/>
          <w:sz w:val="24"/>
          <w:szCs w:val="24"/>
          <w:lang w:val="en-GB" w:eastAsia="zh-CN"/>
        </w:rPr>
        <w:t xml:space="preserve">, </w:t>
      </w:r>
      <w:r w:rsidR="00277CBE" w:rsidRPr="00772D93">
        <w:rPr>
          <w:rFonts w:ascii="Book Antiqua" w:eastAsia="Times New Roman" w:hAnsi="Book Antiqua" w:cs="Times New Roman"/>
          <w:sz w:val="24"/>
          <w:szCs w:val="24"/>
          <w:lang w:val="en-GB"/>
        </w:rPr>
        <w:t>Lithuania</w:t>
      </w:r>
    </w:p>
    <w:p w14:paraId="01D58AAA" w14:textId="77777777" w:rsidR="00277CBE" w:rsidRPr="00772D93" w:rsidRDefault="00277CBE" w:rsidP="00772D93">
      <w:pPr>
        <w:spacing w:after="0" w:line="360" w:lineRule="auto"/>
        <w:jc w:val="both"/>
        <w:rPr>
          <w:rFonts w:ascii="Book Antiqua" w:hAnsi="Book Antiqua" w:cs="Times New Roman"/>
          <w:sz w:val="24"/>
          <w:szCs w:val="24"/>
          <w:vertAlign w:val="superscript"/>
          <w:lang w:val="en-GB" w:eastAsia="zh-CN"/>
        </w:rPr>
      </w:pPr>
    </w:p>
    <w:p w14:paraId="377F7038" w14:textId="0ECE3F3B" w:rsidR="0052719C" w:rsidRPr="00772D93" w:rsidRDefault="0052719C" w:rsidP="00772D93">
      <w:pPr>
        <w:spacing w:after="0" w:line="360" w:lineRule="auto"/>
        <w:jc w:val="both"/>
        <w:rPr>
          <w:rFonts w:ascii="Book Antiqua" w:hAnsi="Book Antiqua" w:cs="Times New Roman"/>
          <w:b/>
          <w:sz w:val="24"/>
          <w:szCs w:val="24"/>
          <w:lang w:val="en-GB" w:eastAsia="zh-CN"/>
        </w:rPr>
      </w:pPr>
      <w:proofErr w:type="spellStart"/>
      <w:r w:rsidRPr="00772D93">
        <w:rPr>
          <w:rFonts w:ascii="Book Antiqua" w:eastAsia="Times New Roman" w:hAnsi="Book Antiqua" w:cs="Times New Roman"/>
          <w:b/>
          <w:sz w:val="24"/>
          <w:szCs w:val="24"/>
          <w:lang w:val="en-GB"/>
        </w:rPr>
        <w:t>Edita</w:t>
      </w:r>
      <w:proofErr w:type="spellEnd"/>
      <w:r w:rsidRPr="00772D93">
        <w:rPr>
          <w:rFonts w:ascii="Book Antiqua" w:eastAsia="Times New Roman" w:hAnsi="Book Antiqua" w:cs="Times New Roman"/>
          <w:b/>
          <w:sz w:val="24"/>
          <w:szCs w:val="24"/>
          <w:lang w:val="en-GB"/>
        </w:rPr>
        <w:t xml:space="preserve"> </w:t>
      </w:r>
      <w:proofErr w:type="spellStart"/>
      <w:r w:rsidRPr="00772D93">
        <w:rPr>
          <w:rFonts w:ascii="Book Antiqua" w:eastAsia="Times New Roman" w:hAnsi="Book Antiqua" w:cs="Times New Roman"/>
          <w:b/>
          <w:sz w:val="24"/>
          <w:szCs w:val="24"/>
          <w:lang w:val="en-GB"/>
        </w:rPr>
        <w:t>Lycholip</w:t>
      </w:r>
      <w:proofErr w:type="spellEnd"/>
      <w:r w:rsidRPr="00772D93">
        <w:rPr>
          <w:rFonts w:ascii="Book Antiqua" w:eastAsia="Times New Roman" w:hAnsi="Book Antiqua" w:cs="Times New Roman"/>
          <w:b/>
          <w:sz w:val="24"/>
          <w:szCs w:val="24"/>
          <w:lang w:val="en-GB"/>
        </w:rPr>
        <w:t xml:space="preserve">, </w:t>
      </w:r>
      <w:proofErr w:type="spellStart"/>
      <w:r w:rsidRPr="00772D93">
        <w:rPr>
          <w:rFonts w:ascii="Book Antiqua" w:eastAsia="Times New Roman" w:hAnsi="Book Antiqua" w:cs="Times New Roman"/>
          <w:b/>
          <w:sz w:val="24"/>
          <w:szCs w:val="24"/>
          <w:lang w:val="en-GB"/>
        </w:rPr>
        <w:t>Eglė</w:t>
      </w:r>
      <w:proofErr w:type="spellEnd"/>
      <w:r w:rsidRPr="00772D93">
        <w:rPr>
          <w:rFonts w:ascii="Book Antiqua" w:eastAsia="Times New Roman" w:hAnsi="Book Antiqua" w:cs="Times New Roman"/>
          <w:b/>
          <w:sz w:val="24"/>
          <w:szCs w:val="24"/>
          <w:lang w:val="en-GB"/>
        </w:rPr>
        <w:t xml:space="preserve"> </w:t>
      </w:r>
      <w:proofErr w:type="spellStart"/>
      <w:r w:rsidRPr="00772D93">
        <w:rPr>
          <w:rFonts w:ascii="Book Antiqua" w:eastAsia="Times New Roman" w:hAnsi="Book Antiqua" w:cs="Times New Roman"/>
          <w:b/>
          <w:sz w:val="24"/>
          <w:szCs w:val="24"/>
          <w:lang w:val="en-GB"/>
        </w:rPr>
        <w:t>Palevičiūtė</w:t>
      </w:r>
      <w:proofErr w:type="spellEnd"/>
      <w:r w:rsidRPr="00772D93">
        <w:rPr>
          <w:rFonts w:ascii="Book Antiqua" w:eastAsia="Times New Roman" w:hAnsi="Book Antiqua" w:cs="Times New Roman"/>
          <w:b/>
          <w:sz w:val="24"/>
          <w:szCs w:val="24"/>
          <w:lang w:val="en-GB"/>
        </w:rPr>
        <w:t xml:space="preserve">, Jelena </w:t>
      </w:r>
      <w:proofErr w:type="spellStart"/>
      <w:r w:rsidRPr="00772D93">
        <w:rPr>
          <w:rFonts w:ascii="Book Antiqua" w:eastAsia="Times New Roman" w:hAnsi="Book Antiqua" w:cs="Times New Roman"/>
          <w:b/>
          <w:sz w:val="24"/>
          <w:szCs w:val="24"/>
          <w:lang w:val="en-GB"/>
        </w:rPr>
        <w:t>Čelutkienė</w:t>
      </w:r>
      <w:proofErr w:type="spellEnd"/>
      <w:r w:rsidRPr="00772D93">
        <w:rPr>
          <w:rFonts w:ascii="Book Antiqua" w:eastAsia="Times New Roman" w:hAnsi="Book Antiqua" w:cs="Times New Roman"/>
          <w:b/>
          <w:sz w:val="24"/>
          <w:szCs w:val="24"/>
          <w:lang w:val="en-GB"/>
        </w:rPr>
        <w:t xml:space="preserve">, </w:t>
      </w:r>
      <w:proofErr w:type="spellStart"/>
      <w:r w:rsidR="00146A4E" w:rsidRPr="00772D93">
        <w:rPr>
          <w:rFonts w:ascii="Book Antiqua" w:eastAsia="Times New Roman" w:hAnsi="Book Antiqua" w:cs="Times New Roman"/>
          <w:sz w:val="24"/>
          <w:szCs w:val="24"/>
          <w:lang w:val="en-GB"/>
        </w:rPr>
        <w:t>Center</w:t>
      </w:r>
      <w:proofErr w:type="spellEnd"/>
      <w:r w:rsidR="00146A4E" w:rsidRPr="00772D93">
        <w:rPr>
          <w:rFonts w:ascii="Book Antiqua" w:eastAsia="Times New Roman" w:hAnsi="Book Antiqua" w:cs="Times New Roman"/>
          <w:sz w:val="24"/>
          <w:szCs w:val="24"/>
          <w:lang w:val="en-GB"/>
        </w:rPr>
        <w:t xml:space="preserve"> </w:t>
      </w:r>
      <w:r w:rsidRPr="00772D93">
        <w:rPr>
          <w:rFonts w:ascii="Book Antiqua" w:eastAsia="Times New Roman" w:hAnsi="Book Antiqua" w:cs="Times New Roman"/>
          <w:sz w:val="24"/>
          <w:szCs w:val="24"/>
          <w:lang w:val="en-GB"/>
        </w:rPr>
        <w:t xml:space="preserve">of Cardiology and Angiology, Vilnius University </w:t>
      </w:r>
      <w:r w:rsidR="00146A4E" w:rsidRPr="00772D93">
        <w:rPr>
          <w:rFonts w:ascii="Book Antiqua" w:eastAsia="Times New Roman" w:hAnsi="Book Antiqua" w:cs="Times New Roman"/>
          <w:sz w:val="24"/>
          <w:szCs w:val="24"/>
          <w:lang w:val="en-GB"/>
        </w:rPr>
        <w:t xml:space="preserve">Hospital </w:t>
      </w:r>
      <w:proofErr w:type="spellStart"/>
      <w:r w:rsidRPr="00772D93">
        <w:rPr>
          <w:rFonts w:ascii="Book Antiqua" w:eastAsia="Times New Roman" w:hAnsi="Book Antiqua" w:cs="Times New Roman"/>
          <w:sz w:val="24"/>
          <w:szCs w:val="24"/>
          <w:lang w:val="en-GB"/>
        </w:rPr>
        <w:t>Santaros</w:t>
      </w:r>
      <w:proofErr w:type="spellEnd"/>
      <w:r w:rsidRPr="00772D93">
        <w:rPr>
          <w:rFonts w:ascii="Book Antiqua" w:eastAsia="Times New Roman" w:hAnsi="Book Antiqua" w:cs="Times New Roman"/>
          <w:sz w:val="24"/>
          <w:szCs w:val="24"/>
          <w:lang w:val="en-GB"/>
        </w:rPr>
        <w:t xml:space="preserve"> </w:t>
      </w:r>
      <w:proofErr w:type="spellStart"/>
      <w:r w:rsidRPr="00772D93">
        <w:rPr>
          <w:rFonts w:ascii="Book Antiqua" w:eastAsia="Times New Roman" w:hAnsi="Book Antiqua" w:cs="Times New Roman"/>
          <w:sz w:val="24"/>
          <w:szCs w:val="24"/>
          <w:lang w:val="en-GB"/>
        </w:rPr>
        <w:t>Klinikos</w:t>
      </w:r>
      <w:proofErr w:type="spellEnd"/>
      <w:r w:rsidRPr="00772D93">
        <w:rPr>
          <w:rFonts w:ascii="Book Antiqua" w:eastAsia="Times New Roman" w:hAnsi="Book Antiqua" w:cs="Times New Roman"/>
          <w:sz w:val="24"/>
          <w:szCs w:val="24"/>
          <w:lang w:val="en-GB"/>
        </w:rPr>
        <w:t>, Vilnius</w:t>
      </w:r>
      <w:r w:rsidR="00277CBE" w:rsidRPr="00772D93">
        <w:rPr>
          <w:rFonts w:ascii="Book Antiqua" w:hAnsi="Book Antiqua" w:cs="Times New Roman"/>
          <w:sz w:val="24"/>
          <w:szCs w:val="24"/>
          <w:lang w:val="en-GB" w:eastAsia="zh-CN"/>
        </w:rPr>
        <w:t xml:space="preserve"> </w:t>
      </w:r>
      <w:r w:rsidR="00277CBE" w:rsidRPr="00772D93">
        <w:rPr>
          <w:rFonts w:ascii="Book Antiqua" w:eastAsia="Times New Roman" w:hAnsi="Book Antiqua" w:cs="Times New Roman"/>
          <w:sz w:val="24"/>
          <w:szCs w:val="24"/>
          <w:lang w:val="en-GB"/>
        </w:rPr>
        <w:t>08661</w:t>
      </w:r>
      <w:r w:rsidRPr="00772D93">
        <w:rPr>
          <w:rFonts w:ascii="Book Antiqua" w:eastAsia="Times New Roman" w:hAnsi="Book Antiqua" w:cs="Times New Roman"/>
          <w:sz w:val="24"/>
          <w:szCs w:val="24"/>
          <w:lang w:val="en-GB"/>
        </w:rPr>
        <w:t>, Lithuania</w:t>
      </w:r>
    </w:p>
    <w:p w14:paraId="57B1B0AE" w14:textId="77777777" w:rsidR="00277CBE" w:rsidRPr="00772D93" w:rsidRDefault="00277CBE" w:rsidP="00772D93">
      <w:pPr>
        <w:spacing w:after="0" w:line="360" w:lineRule="auto"/>
        <w:jc w:val="both"/>
        <w:rPr>
          <w:rFonts w:ascii="Book Antiqua" w:hAnsi="Book Antiqua" w:cs="Times New Roman"/>
          <w:b/>
          <w:sz w:val="24"/>
          <w:szCs w:val="24"/>
          <w:lang w:val="en-GB" w:eastAsia="zh-CN"/>
        </w:rPr>
      </w:pPr>
    </w:p>
    <w:p w14:paraId="0B4B2DAC" w14:textId="255E0338" w:rsidR="00277CBE" w:rsidRPr="00772D93" w:rsidRDefault="00277CBE" w:rsidP="00772D93">
      <w:pPr>
        <w:spacing w:after="0" w:line="360" w:lineRule="auto"/>
        <w:jc w:val="both"/>
        <w:rPr>
          <w:rFonts w:ascii="Book Antiqua" w:hAnsi="Book Antiqua" w:cs="Times New Roman"/>
          <w:sz w:val="24"/>
          <w:szCs w:val="24"/>
          <w:lang w:eastAsia="zh-CN"/>
        </w:rPr>
      </w:pPr>
      <w:r w:rsidRPr="00772D93">
        <w:rPr>
          <w:rFonts w:ascii="Book Antiqua" w:eastAsia="Times New Roman" w:hAnsi="Book Antiqua" w:cs="Times New Roman"/>
          <w:b/>
          <w:sz w:val="24"/>
          <w:szCs w:val="24"/>
          <w:lang w:val="en-GB"/>
        </w:rPr>
        <w:t xml:space="preserve">Ina Thon </w:t>
      </w:r>
      <w:proofErr w:type="spellStart"/>
      <w:r w:rsidRPr="00772D93">
        <w:rPr>
          <w:rFonts w:ascii="Book Antiqua" w:eastAsia="Times New Roman" w:hAnsi="Book Antiqua" w:cs="Times New Roman"/>
          <w:b/>
          <w:sz w:val="24"/>
          <w:szCs w:val="24"/>
          <w:lang w:val="en-GB"/>
        </w:rPr>
        <w:t>Aamodt</w:t>
      </w:r>
      <w:proofErr w:type="spellEnd"/>
      <w:r w:rsidRPr="00772D93">
        <w:rPr>
          <w:rFonts w:ascii="Book Antiqua" w:eastAsia="Times New Roman" w:hAnsi="Book Antiqua" w:cs="Times New Roman"/>
          <w:b/>
          <w:sz w:val="24"/>
          <w:szCs w:val="24"/>
          <w:lang w:val="en-GB"/>
        </w:rPr>
        <w:t>,</w:t>
      </w:r>
      <w:r w:rsidRPr="00772D93">
        <w:rPr>
          <w:rFonts w:ascii="Book Antiqua" w:hAnsi="Book Antiqua" w:cs="Times New Roman"/>
          <w:sz w:val="24"/>
          <w:szCs w:val="24"/>
        </w:rPr>
        <w:t xml:space="preserve"> Faculty of Medicine, Institute of Health and Society, Department of Nursing Science, University of Oslo, Oslo</w:t>
      </w:r>
      <w:r w:rsidRPr="00772D93">
        <w:rPr>
          <w:rFonts w:ascii="Book Antiqua" w:hAnsi="Book Antiqua" w:cs="Times New Roman"/>
          <w:sz w:val="24"/>
          <w:szCs w:val="24"/>
          <w:lang w:eastAsia="zh-CN"/>
        </w:rPr>
        <w:t xml:space="preserve"> </w:t>
      </w:r>
      <w:r w:rsidRPr="00772D93">
        <w:rPr>
          <w:rFonts w:ascii="Book Antiqua" w:hAnsi="Book Antiqua" w:cs="Times New Roman"/>
          <w:sz w:val="24"/>
          <w:szCs w:val="24"/>
        </w:rPr>
        <w:t>0318, Norway</w:t>
      </w:r>
    </w:p>
    <w:p w14:paraId="22AE3903" w14:textId="77777777" w:rsidR="00277CBE" w:rsidRPr="00772D93" w:rsidRDefault="00277CBE" w:rsidP="00772D93">
      <w:pPr>
        <w:spacing w:after="0" w:line="360" w:lineRule="auto"/>
        <w:jc w:val="both"/>
        <w:rPr>
          <w:rFonts w:ascii="Book Antiqua" w:hAnsi="Book Antiqua" w:cs="Times New Roman"/>
          <w:sz w:val="24"/>
          <w:szCs w:val="24"/>
          <w:lang w:eastAsia="zh-CN"/>
        </w:rPr>
      </w:pPr>
    </w:p>
    <w:p w14:paraId="50964011" w14:textId="38032EA7" w:rsidR="0052719C" w:rsidRPr="00772D93" w:rsidRDefault="006F4504" w:rsidP="00772D93">
      <w:pPr>
        <w:spacing w:after="0" w:line="360" w:lineRule="auto"/>
        <w:jc w:val="both"/>
        <w:rPr>
          <w:rFonts w:ascii="Book Antiqua" w:hAnsi="Book Antiqua" w:cs="Times New Roman"/>
          <w:sz w:val="24"/>
          <w:szCs w:val="24"/>
          <w:lang w:val="en-GB" w:eastAsia="zh-CN"/>
        </w:rPr>
      </w:pPr>
      <w:r w:rsidRPr="00772D93">
        <w:rPr>
          <w:rFonts w:ascii="Book Antiqua" w:eastAsia="Times New Roman" w:hAnsi="Book Antiqua" w:cs="Times New Roman"/>
          <w:b/>
          <w:sz w:val="24"/>
          <w:szCs w:val="24"/>
          <w:lang w:val="en-GB"/>
        </w:rPr>
        <w:t xml:space="preserve">Ina Thon </w:t>
      </w:r>
      <w:proofErr w:type="spellStart"/>
      <w:r w:rsidRPr="00772D93">
        <w:rPr>
          <w:rFonts w:ascii="Book Antiqua" w:eastAsia="Times New Roman" w:hAnsi="Book Antiqua" w:cs="Times New Roman"/>
          <w:b/>
          <w:sz w:val="24"/>
          <w:szCs w:val="24"/>
          <w:lang w:val="en-GB"/>
        </w:rPr>
        <w:t>Aamodt</w:t>
      </w:r>
      <w:proofErr w:type="spellEnd"/>
      <w:r w:rsidR="00276A4F" w:rsidRPr="00772D93">
        <w:rPr>
          <w:rFonts w:ascii="Book Antiqua" w:eastAsia="Times New Roman" w:hAnsi="Book Antiqua" w:cs="Times New Roman"/>
          <w:b/>
          <w:sz w:val="24"/>
          <w:szCs w:val="24"/>
          <w:lang w:val="en-GB"/>
        </w:rPr>
        <w:t>,</w:t>
      </w:r>
      <w:r w:rsidRPr="00772D93">
        <w:rPr>
          <w:rFonts w:ascii="Book Antiqua" w:eastAsia="Times New Roman" w:hAnsi="Book Antiqua" w:cs="Times New Roman"/>
          <w:b/>
          <w:sz w:val="24"/>
          <w:szCs w:val="24"/>
          <w:vertAlign w:val="subscript"/>
          <w:lang w:val="en-GB"/>
        </w:rPr>
        <w:t xml:space="preserve"> </w:t>
      </w:r>
      <w:r w:rsidRPr="00772D93">
        <w:rPr>
          <w:rFonts w:ascii="Book Antiqua" w:eastAsia="Times New Roman" w:hAnsi="Book Antiqua" w:cs="Times New Roman"/>
          <w:b/>
          <w:sz w:val="24"/>
          <w:szCs w:val="24"/>
          <w:lang w:val="en-GB"/>
        </w:rPr>
        <w:t>Irene Lie</w:t>
      </w:r>
      <w:r w:rsidR="00520428" w:rsidRPr="00772D93">
        <w:rPr>
          <w:rFonts w:ascii="Book Antiqua" w:eastAsia="Times New Roman" w:hAnsi="Book Antiqua" w:cs="Times New Roman"/>
          <w:b/>
          <w:sz w:val="24"/>
          <w:szCs w:val="24"/>
          <w:lang w:val="en-GB"/>
        </w:rPr>
        <w:t>,</w:t>
      </w:r>
      <w:r w:rsidRPr="00772D93">
        <w:rPr>
          <w:rFonts w:ascii="Book Antiqua" w:eastAsia="Times New Roman" w:hAnsi="Book Antiqua" w:cs="Times New Roman"/>
          <w:b/>
          <w:sz w:val="24"/>
          <w:szCs w:val="24"/>
          <w:lang w:val="en-GB"/>
        </w:rPr>
        <w:t xml:space="preserve"> </w:t>
      </w:r>
      <w:proofErr w:type="spellStart"/>
      <w:r w:rsidR="00146A4E" w:rsidRPr="00772D93">
        <w:rPr>
          <w:rFonts w:ascii="Book Antiqua" w:eastAsia="Times New Roman" w:hAnsi="Book Antiqua" w:cs="Times New Roman"/>
          <w:sz w:val="24"/>
          <w:szCs w:val="24"/>
          <w:lang w:val="en-GB"/>
        </w:rPr>
        <w:t>Center</w:t>
      </w:r>
      <w:proofErr w:type="spellEnd"/>
      <w:r w:rsidR="00146A4E" w:rsidRPr="00772D93">
        <w:rPr>
          <w:rFonts w:ascii="Book Antiqua" w:eastAsia="Times New Roman" w:hAnsi="Book Antiqua" w:cs="Times New Roman"/>
          <w:sz w:val="24"/>
          <w:szCs w:val="24"/>
          <w:lang w:val="en-GB"/>
        </w:rPr>
        <w:t xml:space="preserve"> </w:t>
      </w:r>
      <w:r w:rsidR="0052719C" w:rsidRPr="00772D93">
        <w:rPr>
          <w:rFonts w:ascii="Book Antiqua" w:eastAsia="Times New Roman" w:hAnsi="Book Antiqua" w:cs="Times New Roman"/>
          <w:sz w:val="24"/>
          <w:szCs w:val="24"/>
          <w:lang w:val="en-GB"/>
        </w:rPr>
        <w:t xml:space="preserve">for </w:t>
      </w:r>
      <w:r w:rsidR="00146A4E" w:rsidRPr="00772D93">
        <w:rPr>
          <w:rFonts w:ascii="Book Antiqua" w:eastAsia="Times New Roman" w:hAnsi="Book Antiqua" w:cs="Times New Roman"/>
          <w:sz w:val="24"/>
          <w:szCs w:val="24"/>
          <w:lang w:val="en-GB"/>
        </w:rPr>
        <w:t>Patient-</w:t>
      </w:r>
      <w:proofErr w:type="spellStart"/>
      <w:r w:rsidR="00146A4E" w:rsidRPr="00772D93">
        <w:rPr>
          <w:rFonts w:ascii="Book Antiqua" w:eastAsia="Times New Roman" w:hAnsi="Book Antiqua" w:cs="Times New Roman"/>
          <w:sz w:val="24"/>
          <w:szCs w:val="24"/>
          <w:lang w:val="en-GB"/>
        </w:rPr>
        <w:t>C</w:t>
      </w:r>
      <w:r w:rsidR="0052719C" w:rsidRPr="00772D93">
        <w:rPr>
          <w:rFonts w:ascii="Book Antiqua" w:eastAsia="Times New Roman" w:hAnsi="Book Antiqua" w:cs="Times New Roman"/>
          <w:sz w:val="24"/>
          <w:szCs w:val="24"/>
          <w:lang w:val="en-GB"/>
        </w:rPr>
        <w:t>entered</w:t>
      </w:r>
      <w:proofErr w:type="spellEnd"/>
      <w:r w:rsidR="0052719C" w:rsidRPr="00772D93">
        <w:rPr>
          <w:rFonts w:ascii="Book Antiqua" w:eastAsia="Times New Roman" w:hAnsi="Book Antiqua" w:cs="Times New Roman"/>
          <w:sz w:val="24"/>
          <w:szCs w:val="24"/>
          <w:lang w:val="en-GB"/>
        </w:rPr>
        <w:t xml:space="preserve"> </w:t>
      </w:r>
      <w:r w:rsidR="00146A4E" w:rsidRPr="00772D93">
        <w:rPr>
          <w:rFonts w:ascii="Book Antiqua" w:eastAsia="Times New Roman" w:hAnsi="Book Antiqua" w:cs="Times New Roman"/>
          <w:sz w:val="24"/>
          <w:szCs w:val="24"/>
          <w:lang w:val="en-GB"/>
        </w:rPr>
        <w:t xml:space="preserve">Heart </w:t>
      </w:r>
      <w:r w:rsidR="0052719C" w:rsidRPr="00772D93">
        <w:rPr>
          <w:rFonts w:ascii="Book Antiqua" w:eastAsia="Times New Roman" w:hAnsi="Book Antiqua" w:cs="Times New Roman"/>
          <w:sz w:val="24"/>
          <w:szCs w:val="24"/>
          <w:lang w:val="en-GB"/>
        </w:rPr>
        <w:t xml:space="preserve">and </w:t>
      </w:r>
      <w:r w:rsidR="00146A4E" w:rsidRPr="00772D93">
        <w:rPr>
          <w:rFonts w:ascii="Book Antiqua" w:eastAsia="Times New Roman" w:hAnsi="Book Antiqua" w:cs="Times New Roman"/>
          <w:sz w:val="24"/>
          <w:szCs w:val="24"/>
          <w:lang w:val="en-GB"/>
        </w:rPr>
        <w:t>L</w:t>
      </w:r>
      <w:r w:rsidR="0052719C" w:rsidRPr="00772D93">
        <w:rPr>
          <w:rFonts w:ascii="Book Antiqua" w:eastAsia="Times New Roman" w:hAnsi="Book Antiqua" w:cs="Times New Roman"/>
          <w:sz w:val="24"/>
          <w:szCs w:val="24"/>
          <w:lang w:val="en-GB"/>
        </w:rPr>
        <w:t xml:space="preserve">ung </w:t>
      </w:r>
      <w:r w:rsidR="00146A4E" w:rsidRPr="00772D93">
        <w:rPr>
          <w:rFonts w:ascii="Book Antiqua" w:eastAsia="Times New Roman" w:hAnsi="Book Antiqua" w:cs="Times New Roman"/>
          <w:sz w:val="24"/>
          <w:szCs w:val="24"/>
          <w:lang w:val="en-GB"/>
        </w:rPr>
        <w:t>Research</w:t>
      </w:r>
      <w:r w:rsidR="0052719C" w:rsidRPr="00772D93">
        <w:rPr>
          <w:rFonts w:ascii="Book Antiqua" w:eastAsia="Times New Roman" w:hAnsi="Book Antiqua" w:cs="Times New Roman"/>
          <w:sz w:val="24"/>
          <w:szCs w:val="24"/>
          <w:lang w:val="en-GB"/>
        </w:rPr>
        <w:t xml:space="preserve">, Department of Cardiothoracic </w:t>
      </w:r>
      <w:r w:rsidR="00146A4E" w:rsidRPr="00772D93">
        <w:rPr>
          <w:rFonts w:ascii="Book Antiqua" w:eastAsia="Times New Roman" w:hAnsi="Book Antiqua" w:cs="Times New Roman"/>
          <w:sz w:val="24"/>
          <w:szCs w:val="24"/>
          <w:lang w:val="en-GB"/>
        </w:rPr>
        <w:t>Surgery</w:t>
      </w:r>
      <w:r w:rsidR="0052719C" w:rsidRPr="00772D93">
        <w:rPr>
          <w:rFonts w:ascii="Book Antiqua" w:eastAsia="Times New Roman" w:hAnsi="Book Antiqua" w:cs="Times New Roman"/>
          <w:sz w:val="24"/>
          <w:szCs w:val="24"/>
          <w:lang w:val="en-GB"/>
        </w:rPr>
        <w:t>, Oslo University Hospital, Oslo</w:t>
      </w:r>
      <w:r w:rsidR="00277CBE" w:rsidRPr="00772D93">
        <w:rPr>
          <w:rFonts w:ascii="Book Antiqua" w:hAnsi="Book Antiqua" w:cs="Times New Roman"/>
          <w:sz w:val="24"/>
          <w:szCs w:val="24"/>
          <w:lang w:val="en-GB" w:eastAsia="zh-CN"/>
        </w:rPr>
        <w:t xml:space="preserve"> </w:t>
      </w:r>
      <w:r w:rsidR="00277CBE" w:rsidRPr="00772D93">
        <w:rPr>
          <w:rFonts w:ascii="Book Antiqua" w:eastAsia="Times New Roman" w:hAnsi="Book Antiqua" w:cs="Times New Roman"/>
          <w:sz w:val="24"/>
          <w:szCs w:val="24"/>
          <w:lang w:val="en-GB"/>
        </w:rPr>
        <w:t>0420</w:t>
      </w:r>
      <w:r w:rsidR="0052719C" w:rsidRPr="00772D93">
        <w:rPr>
          <w:rFonts w:ascii="Book Antiqua" w:eastAsia="Times New Roman" w:hAnsi="Book Antiqua" w:cs="Times New Roman"/>
          <w:sz w:val="24"/>
          <w:szCs w:val="24"/>
          <w:lang w:val="en-GB"/>
        </w:rPr>
        <w:t>, Norway</w:t>
      </w:r>
    </w:p>
    <w:p w14:paraId="56463C15" w14:textId="77777777" w:rsidR="00277CBE" w:rsidRPr="00772D93" w:rsidRDefault="00277CBE" w:rsidP="00772D93">
      <w:pPr>
        <w:spacing w:after="0" w:line="360" w:lineRule="auto"/>
        <w:jc w:val="both"/>
        <w:rPr>
          <w:rFonts w:ascii="Book Antiqua" w:hAnsi="Book Antiqua" w:cs="Times New Roman"/>
          <w:b/>
          <w:sz w:val="24"/>
          <w:szCs w:val="24"/>
          <w:lang w:val="en-GB" w:eastAsia="zh-CN"/>
        </w:rPr>
      </w:pPr>
    </w:p>
    <w:p w14:paraId="205488B6" w14:textId="7161EDB7" w:rsidR="007C5E77" w:rsidRPr="00772D93" w:rsidRDefault="007C5E77" w:rsidP="00772D93">
      <w:pPr>
        <w:spacing w:after="0" w:line="360" w:lineRule="auto"/>
        <w:jc w:val="both"/>
        <w:rPr>
          <w:rFonts w:ascii="Book Antiqua" w:hAnsi="Book Antiqua" w:cs="TimesNewRomanPSMT"/>
          <w:sz w:val="24"/>
          <w:szCs w:val="24"/>
          <w:lang w:val="lt-LT" w:eastAsia="zh-CN"/>
        </w:rPr>
      </w:pPr>
      <w:r w:rsidRPr="00772D93">
        <w:rPr>
          <w:rFonts w:ascii="Book Antiqua" w:hAnsi="Book Antiqua" w:cs="TimesNewRomanPSMT"/>
          <w:b/>
          <w:sz w:val="24"/>
          <w:szCs w:val="24"/>
          <w:lang w:val="lt-LT"/>
        </w:rPr>
        <w:t>Ragnhild Hellesø,</w:t>
      </w:r>
      <w:r w:rsidRPr="00772D93">
        <w:rPr>
          <w:rFonts w:ascii="Book Antiqua" w:hAnsi="Book Antiqua" w:cs="TimesNewRomanPSMT"/>
          <w:sz w:val="24"/>
          <w:szCs w:val="24"/>
          <w:lang w:val="lt-LT"/>
        </w:rPr>
        <w:t xml:space="preserve"> Departamento</w:t>
      </w:r>
      <w:r w:rsidR="00772D93">
        <w:rPr>
          <w:rFonts w:ascii="Book Antiqua" w:hAnsi="Book Antiqua" w:cs="TimesNewRomanPSMT"/>
          <w:sz w:val="24"/>
          <w:szCs w:val="24"/>
          <w:lang w:val="lt-LT"/>
        </w:rPr>
        <w:t xml:space="preserve"> </w:t>
      </w:r>
      <w:r w:rsidRPr="00772D93">
        <w:rPr>
          <w:rFonts w:ascii="Book Antiqua" w:hAnsi="Book Antiqua" w:cs="TimesNewRomanPSMT"/>
          <w:sz w:val="24"/>
          <w:szCs w:val="24"/>
          <w:lang w:val="lt-LT"/>
        </w:rPr>
        <w:t>of Nursing Science, Institute of Health and Society, University of Oslo, Oslo</w:t>
      </w:r>
      <w:r w:rsidR="00277CBE" w:rsidRPr="00772D93">
        <w:rPr>
          <w:rFonts w:ascii="Book Antiqua" w:hAnsi="Book Antiqua" w:cs="TimesNewRomanPSMT"/>
          <w:sz w:val="24"/>
          <w:szCs w:val="24"/>
          <w:lang w:val="lt-LT" w:eastAsia="zh-CN"/>
        </w:rPr>
        <w:t xml:space="preserve"> </w:t>
      </w:r>
      <w:r w:rsidR="00277CBE" w:rsidRPr="00772D93">
        <w:rPr>
          <w:rFonts w:ascii="Book Antiqua" w:hAnsi="Book Antiqua" w:cs="TimesNewRomanPSMT"/>
          <w:sz w:val="24"/>
          <w:szCs w:val="24"/>
          <w:lang w:val="lt-LT"/>
        </w:rPr>
        <w:t>0318</w:t>
      </w:r>
      <w:r w:rsidRPr="00772D93">
        <w:rPr>
          <w:rFonts w:ascii="Book Antiqua" w:hAnsi="Book Antiqua" w:cs="TimesNewRomanPSMT"/>
          <w:sz w:val="24"/>
          <w:szCs w:val="24"/>
          <w:lang w:val="lt-LT"/>
        </w:rPr>
        <w:t>, Norway</w:t>
      </w:r>
    </w:p>
    <w:p w14:paraId="5F7BC88B" w14:textId="77777777" w:rsidR="00277CBE" w:rsidRPr="00772D93" w:rsidRDefault="00277CBE" w:rsidP="00772D93">
      <w:pPr>
        <w:spacing w:after="0" w:line="360" w:lineRule="auto"/>
        <w:jc w:val="both"/>
        <w:rPr>
          <w:rFonts w:ascii="Book Antiqua" w:eastAsia="Times New Roman" w:hAnsi="Book Antiqua" w:cs="Times New Roman"/>
          <w:b/>
          <w:sz w:val="24"/>
          <w:szCs w:val="24"/>
          <w:lang w:val="en-GB" w:eastAsia="zh-CN"/>
        </w:rPr>
      </w:pPr>
    </w:p>
    <w:p w14:paraId="5667FD5C" w14:textId="548DCE5F" w:rsidR="0052719C" w:rsidRPr="00772D93" w:rsidRDefault="00277CBE" w:rsidP="00772D93">
      <w:pPr>
        <w:spacing w:after="0" w:line="360" w:lineRule="auto"/>
        <w:jc w:val="both"/>
        <w:rPr>
          <w:rFonts w:ascii="Book Antiqua" w:hAnsi="Book Antiqua" w:cs="Times New Roman"/>
          <w:sz w:val="24"/>
          <w:szCs w:val="24"/>
          <w:lang w:val="en-GB" w:eastAsia="zh-CN"/>
        </w:rPr>
      </w:pPr>
      <w:r w:rsidRPr="00772D93">
        <w:rPr>
          <w:rFonts w:ascii="Book Antiqua" w:hAnsi="Book Antiqua" w:cs="Times New Roman"/>
          <w:b/>
          <w:sz w:val="24"/>
          <w:szCs w:val="24"/>
        </w:rPr>
        <w:lastRenderedPageBreak/>
        <w:t xml:space="preserve">Anna </w:t>
      </w:r>
      <w:r w:rsidRPr="00772D93">
        <w:rPr>
          <w:rFonts w:ascii="Book Antiqua" w:hAnsi="Book Antiqua" w:cs="TimesNewRomanPSMT"/>
          <w:b/>
          <w:sz w:val="24"/>
          <w:szCs w:val="24"/>
          <w:lang w:val="lt-LT"/>
        </w:rPr>
        <w:t>Strömberg</w:t>
      </w:r>
      <w:r w:rsidR="006F4504" w:rsidRPr="00772D93">
        <w:rPr>
          <w:rFonts w:ascii="Book Antiqua" w:eastAsia="Times New Roman" w:hAnsi="Book Antiqua" w:cs="Times New Roman"/>
          <w:b/>
          <w:sz w:val="24"/>
          <w:szCs w:val="24"/>
          <w:vertAlign w:val="subscript"/>
          <w:lang w:val="en-GB"/>
        </w:rPr>
        <w:t>,</w:t>
      </w:r>
      <w:r w:rsidR="006F4504" w:rsidRPr="00772D93">
        <w:rPr>
          <w:rFonts w:ascii="Book Antiqua" w:eastAsia="Times New Roman" w:hAnsi="Book Antiqua" w:cs="Times New Roman"/>
          <w:b/>
          <w:sz w:val="24"/>
          <w:szCs w:val="24"/>
          <w:lang w:val="en-GB"/>
        </w:rPr>
        <w:t xml:space="preserve"> </w:t>
      </w:r>
      <w:r w:rsidR="0052719C" w:rsidRPr="00772D93">
        <w:rPr>
          <w:rFonts w:ascii="Book Antiqua" w:eastAsia="Times New Roman" w:hAnsi="Book Antiqua" w:cs="Times New Roman"/>
          <w:sz w:val="24"/>
          <w:szCs w:val="24"/>
          <w:lang w:val="en-GB"/>
        </w:rPr>
        <w:t>Department of Medical and Health Sciences, Linkoping University, Linkoping</w:t>
      </w:r>
      <w:r w:rsidRPr="00772D93">
        <w:rPr>
          <w:rFonts w:ascii="Book Antiqua" w:hAnsi="Book Antiqua" w:cs="Times New Roman"/>
          <w:sz w:val="24"/>
          <w:szCs w:val="24"/>
          <w:lang w:val="en-GB" w:eastAsia="zh-CN"/>
        </w:rPr>
        <w:t xml:space="preserve"> </w:t>
      </w:r>
      <w:r w:rsidRPr="00772D93">
        <w:rPr>
          <w:rFonts w:ascii="Book Antiqua" w:eastAsia="Times New Roman" w:hAnsi="Book Antiqua" w:cs="Times New Roman"/>
          <w:sz w:val="24"/>
          <w:szCs w:val="24"/>
          <w:lang w:val="en-GB"/>
        </w:rPr>
        <w:t>58185</w:t>
      </w:r>
      <w:r w:rsidR="0052719C" w:rsidRPr="00772D93">
        <w:rPr>
          <w:rFonts w:ascii="Book Antiqua" w:eastAsia="Times New Roman" w:hAnsi="Book Antiqua" w:cs="Times New Roman"/>
          <w:sz w:val="24"/>
          <w:szCs w:val="24"/>
          <w:lang w:val="en-GB"/>
        </w:rPr>
        <w:t>, Sweden</w:t>
      </w:r>
    </w:p>
    <w:p w14:paraId="296A20F1" w14:textId="77777777" w:rsidR="00277CBE" w:rsidRPr="00772D93" w:rsidRDefault="00277CBE" w:rsidP="00772D93">
      <w:pPr>
        <w:spacing w:after="0" w:line="360" w:lineRule="auto"/>
        <w:jc w:val="both"/>
        <w:rPr>
          <w:rFonts w:ascii="Book Antiqua" w:hAnsi="Book Antiqua" w:cs="Times New Roman"/>
          <w:sz w:val="24"/>
          <w:szCs w:val="24"/>
          <w:lang w:val="en-GB" w:eastAsia="zh-CN"/>
        </w:rPr>
      </w:pPr>
    </w:p>
    <w:p w14:paraId="4DD1D327" w14:textId="63736031" w:rsidR="006F4504" w:rsidRPr="00772D93" w:rsidRDefault="00D4493B" w:rsidP="00772D93">
      <w:pPr>
        <w:spacing w:after="0" w:line="360" w:lineRule="auto"/>
        <w:jc w:val="both"/>
        <w:rPr>
          <w:rFonts w:ascii="Book Antiqua" w:hAnsi="Book Antiqua" w:cs="Times New Roman"/>
          <w:sz w:val="24"/>
          <w:szCs w:val="24"/>
          <w:lang w:val="en-GB" w:eastAsia="zh-CN"/>
        </w:rPr>
      </w:pPr>
      <w:r w:rsidRPr="00772D93">
        <w:rPr>
          <w:rFonts w:ascii="Book Antiqua" w:eastAsia="Times New Roman" w:hAnsi="Book Antiqua" w:cs="Times New Roman"/>
          <w:b/>
          <w:sz w:val="24"/>
          <w:szCs w:val="24"/>
          <w:lang w:val="en-GB"/>
        </w:rPr>
        <w:t xml:space="preserve">Tiny </w:t>
      </w:r>
      <w:proofErr w:type="spellStart"/>
      <w:r w:rsidRPr="00772D93">
        <w:rPr>
          <w:rFonts w:ascii="Book Antiqua" w:eastAsia="Times New Roman" w:hAnsi="Book Antiqua" w:cs="Times New Roman"/>
          <w:b/>
          <w:sz w:val="24"/>
          <w:szCs w:val="24"/>
          <w:lang w:val="en-GB"/>
        </w:rPr>
        <w:t>Jaarsma</w:t>
      </w:r>
      <w:proofErr w:type="spellEnd"/>
      <w:r w:rsidR="00520428" w:rsidRPr="00772D93">
        <w:rPr>
          <w:rFonts w:ascii="Book Antiqua" w:eastAsia="Times New Roman" w:hAnsi="Book Antiqua" w:cs="Times New Roman"/>
          <w:b/>
          <w:sz w:val="24"/>
          <w:szCs w:val="24"/>
          <w:lang w:val="en-GB"/>
        </w:rPr>
        <w:t>,</w:t>
      </w:r>
      <w:r w:rsidR="0052719C" w:rsidRPr="00772D93">
        <w:rPr>
          <w:rFonts w:ascii="Book Antiqua" w:eastAsia="Times New Roman" w:hAnsi="Book Antiqua" w:cs="Times New Roman"/>
          <w:sz w:val="24"/>
          <w:szCs w:val="24"/>
          <w:lang w:val="en-GB"/>
        </w:rPr>
        <w:t xml:space="preserve"> Department of Social and Welfare </w:t>
      </w:r>
      <w:r w:rsidR="00146A4E" w:rsidRPr="00772D93">
        <w:rPr>
          <w:rFonts w:ascii="Book Antiqua" w:eastAsia="Times New Roman" w:hAnsi="Book Antiqua" w:cs="Times New Roman"/>
          <w:sz w:val="24"/>
          <w:szCs w:val="24"/>
          <w:lang w:val="en-GB"/>
        </w:rPr>
        <w:t>Studies</w:t>
      </w:r>
      <w:r w:rsidR="0052719C" w:rsidRPr="00772D93">
        <w:rPr>
          <w:rFonts w:ascii="Book Antiqua" w:eastAsia="Times New Roman" w:hAnsi="Book Antiqua" w:cs="Times New Roman"/>
          <w:sz w:val="24"/>
          <w:szCs w:val="24"/>
          <w:lang w:val="en-GB"/>
        </w:rPr>
        <w:t>, Linkoping University,</w:t>
      </w:r>
      <w:r w:rsidR="00CD64C6" w:rsidRPr="00772D93">
        <w:rPr>
          <w:rFonts w:ascii="Book Antiqua" w:eastAsia="Times New Roman" w:hAnsi="Book Antiqua" w:cs="Times New Roman"/>
          <w:sz w:val="24"/>
          <w:szCs w:val="24"/>
          <w:lang w:val="en-GB"/>
        </w:rPr>
        <w:t xml:space="preserve"> </w:t>
      </w:r>
      <w:r w:rsidR="0052719C" w:rsidRPr="00772D93">
        <w:rPr>
          <w:rFonts w:ascii="Book Antiqua" w:eastAsia="Times New Roman" w:hAnsi="Book Antiqua" w:cs="Times New Roman"/>
          <w:sz w:val="24"/>
          <w:szCs w:val="24"/>
          <w:lang w:val="en-GB"/>
        </w:rPr>
        <w:t>Norrkoping</w:t>
      </w:r>
      <w:r w:rsidR="00277CBE" w:rsidRPr="00772D93">
        <w:rPr>
          <w:rFonts w:ascii="Book Antiqua" w:hAnsi="Book Antiqua" w:cs="Times New Roman"/>
          <w:sz w:val="24"/>
          <w:szCs w:val="24"/>
          <w:lang w:val="en-GB" w:eastAsia="zh-CN"/>
        </w:rPr>
        <w:t xml:space="preserve"> </w:t>
      </w:r>
      <w:r w:rsidR="00277CBE" w:rsidRPr="00772D93">
        <w:rPr>
          <w:rFonts w:ascii="Book Antiqua" w:eastAsia="Times New Roman" w:hAnsi="Book Antiqua" w:cs="Times New Roman"/>
          <w:sz w:val="24"/>
          <w:szCs w:val="24"/>
          <w:lang w:val="en-GB"/>
        </w:rPr>
        <w:t>58185</w:t>
      </w:r>
      <w:r w:rsidR="0052719C" w:rsidRPr="00772D93">
        <w:rPr>
          <w:rFonts w:ascii="Book Antiqua" w:eastAsia="Times New Roman" w:hAnsi="Book Antiqua" w:cs="Times New Roman"/>
          <w:sz w:val="24"/>
          <w:szCs w:val="24"/>
          <w:lang w:val="en-GB"/>
        </w:rPr>
        <w:t>, Sweden</w:t>
      </w:r>
    </w:p>
    <w:p w14:paraId="1067E56F" w14:textId="77777777" w:rsidR="00277CBE" w:rsidRPr="00772D93" w:rsidRDefault="00277CBE" w:rsidP="00772D93">
      <w:pPr>
        <w:spacing w:after="0" w:line="360" w:lineRule="auto"/>
        <w:jc w:val="both"/>
        <w:rPr>
          <w:rFonts w:ascii="Book Antiqua" w:hAnsi="Book Antiqua" w:cs="Times New Roman"/>
          <w:b/>
          <w:sz w:val="24"/>
          <w:szCs w:val="24"/>
          <w:lang w:eastAsia="zh-CN"/>
        </w:rPr>
      </w:pPr>
    </w:p>
    <w:p w14:paraId="5B46EEA2" w14:textId="3B35ED4E" w:rsidR="008D2006" w:rsidRPr="00772D93" w:rsidRDefault="00277CBE" w:rsidP="00772D93">
      <w:pPr>
        <w:spacing w:after="0" w:line="360" w:lineRule="auto"/>
        <w:jc w:val="both"/>
        <w:rPr>
          <w:rFonts w:ascii="Book Antiqua" w:hAnsi="Book Antiqua" w:cs="Times New Roman"/>
          <w:sz w:val="24"/>
          <w:szCs w:val="24"/>
          <w:lang w:val="en-GB" w:eastAsia="zh-CN"/>
        </w:rPr>
      </w:pPr>
      <w:r w:rsidRPr="00772D93">
        <w:rPr>
          <w:rFonts w:ascii="Book Antiqua" w:hAnsi="Book Antiqua"/>
          <w:b/>
          <w:sz w:val="24"/>
          <w:szCs w:val="24"/>
        </w:rPr>
        <w:t>ORCID number:</w:t>
      </w:r>
      <w:r w:rsidR="008D2006" w:rsidRPr="00772D93">
        <w:rPr>
          <w:rFonts w:ascii="Book Antiqua" w:eastAsia="Times New Roman" w:hAnsi="Book Antiqua" w:cs="Times New Roman"/>
          <w:sz w:val="24"/>
          <w:szCs w:val="24"/>
          <w:lang w:val="en-GB"/>
        </w:rPr>
        <w:t xml:space="preserve"> </w:t>
      </w:r>
      <w:proofErr w:type="spellStart"/>
      <w:r w:rsidR="008D2006" w:rsidRPr="00772D93">
        <w:rPr>
          <w:rFonts w:ascii="Book Antiqua" w:eastAsia="Times New Roman" w:hAnsi="Book Antiqua" w:cs="Times New Roman"/>
          <w:sz w:val="24"/>
          <w:szCs w:val="24"/>
          <w:lang w:val="en-GB"/>
        </w:rPr>
        <w:t>Edita</w:t>
      </w:r>
      <w:proofErr w:type="spellEnd"/>
      <w:r w:rsidR="008D2006" w:rsidRPr="00772D93">
        <w:rPr>
          <w:rFonts w:ascii="Book Antiqua" w:eastAsia="Times New Roman" w:hAnsi="Book Antiqua" w:cs="Times New Roman"/>
          <w:sz w:val="24"/>
          <w:szCs w:val="24"/>
          <w:lang w:val="en-GB"/>
        </w:rPr>
        <w:t xml:space="preserve"> </w:t>
      </w:r>
      <w:proofErr w:type="spellStart"/>
      <w:r w:rsidR="008D2006" w:rsidRPr="00772D93">
        <w:rPr>
          <w:rFonts w:ascii="Book Antiqua" w:eastAsia="Times New Roman" w:hAnsi="Book Antiqua" w:cs="Times New Roman"/>
          <w:sz w:val="24"/>
          <w:szCs w:val="24"/>
          <w:lang w:val="en-GB"/>
        </w:rPr>
        <w:t>Lycholip</w:t>
      </w:r>
      <w:proofErr w:type="spellEnd"/>
      <w:r w:rsidR="008D2006" w:rsidRPr="00772D93">
        <w:rPr>
          <w:rFonts w:ascii="Book Antiqua" w:eastAsia="Times New Roman" w:hAnsi="Book Antiqua" w:cs="Times New Roman"/>
          <w:sz w:val="24"/>
          <w:szCs w:val="24"/>
          <w:lang w:val="en-GB"/>
        </w:rPr>
        <w:t xml:space="preserve"> (</w:t>
      </w:r>
      <w:r w:rsidR="0027230F" w:rsidRPr="00772D93">
        <w:rPr>
          <w:rFonts w:ascii="Book Antiqua" w:eastAsia="Times New Roman" w:hAnsi="Book Antiqua" w:cs="Times New Roman"/>
          <w:sz w:val="24"/>
          <w:szCs w:val="24"/>
          <w:lang w:val="en-GB"/>
        </w:rPr>
        <w:t>0000-0001-6451-7787</w:t>
      </w:r>
      <w:r w:rsidR="008D2006" w:rsidRPr="00772D93">
        <w:rPr>
          <w:rFonts w:ascii="Book Antiqua" w:eastAsia="Times New Roman" w:hAnsi="Book Antiqua" w:cs="Times New Roman"/>
          <w:sz w:val="24"/>
          <w:szCs w:val="24"/>
          <w:lang w:val="en-GB"/>
        </w:rPr>
        <w:t xml:space="preserve">); </w:t>
      </w:r>
      <w:proofErr w:type="spellStart"/>
      <w:r w:rsidR="008D2006" w:rsidRPr="00772D93">
        <w:rPr>
          <w:rFonts w:ascii="Book Antiqua" w:eastAsia="Times New Roman" w:hAnsi="Book Antiqua" w:cs="Times New Roman"/>
          <w:sz w:val="24"/>
          <w:szCs w:val="24"/>
          <w:lang w:val="en-GB"/>
        </w:rPr>
        <w:t>Eglė</w:t>
      </w:r>
      <w:proofErr w:type="spellEnd"/>
      <w:r w:rsidR="008D2006" w:rsidRPr="00772D93">
        <w:rPr>
          <w:rFonts w:ascii="Book Antiqua" w:eastAsia="Times New Roman" w:hAnsi="Book Antiqua" w:cs="Times New Roman"/>
          <w:sz w:val="24"/>
          <w:szCs w:val="24"/>
          <w:lang w:val="en-GB"/>
        </w:rPr>
        <w:t xml:space="preserve"> </w:t>
      </w:r>
      <w:proofErr w:type="spellStart"/>
      <w:r w:rsidR="008D2006" w:rsidRPr="00772D93">
        <w:rPr>
          <w:rFonts w:ascii="Book Antiqua" w:eastAsia="Times New Roman" w:hAnsi="Book Antiqua" w:cs="Times New Roman"/>
          <w:sz w:val="24"/>
          <w:szCs w:val="24"/>
          <w:lang w:val="en-GB"/>
        </w:rPr>
        <w:t>Palevičiūtė</w:t>
      </w:r>
      <w:proofErr w:type="spellEnd"/>
      <w:r w:rsidR="008D2006" w:rsidRPr="00772D93">
        <w:rPr>
          <w:rFonts w:ascii="Book Antiqua" w:eastAsia="Times New Roman" w:hAnsi="Book Antiqua" w:cs="Times New Roman"/>
          <w:sz w:val="24"/>
          <w:szCs w:val="24"/>
          <w:lang w:val="en-GB"/>
        </w:rPr>
        <w:t xml:space="preserve"> (0000-0003-4758-7833)</w:t>
      </w:r>
      <w:r w:rsidRPr="00772D93">
        <w:rPr>
          <w:rFonts w:ascii="Book Antiqua" w:hAnsi="Book Antiqua" w:cs="Times New Roman"/>
          <w:sz w:val="24"/>
          <w:szCs w:val="24"/>
          <w:lang w:val="en-GB" w:eastAsia="zh-CN"/>
        </w:rPr>
        <w:t>;</w:t>
      </w:r>
      <w:r w:rsidR="008D2006" w:rsidRPr="00772D93">
        <w:rPr>
          <w:rFonts w:ascii="Book Antiqua" w:eastAsia="Times New Roman" w:hAnsi="Book Antiqua" w:cs="Times New Roman"/>
          <w:sz w:val="24"/>
          <w:szCs w:val="24"/>
          <w:lang w:val="en-GB"/>
        </w:rPr>
        <w:t xml:space="preserve"> Ina Thon </w:t>
      </w:r>
      <w:proofErr w:type="spellStart"/>
      <w:r w:rsidR="008D2006" w:rsidRPr="00772D93">
        <w:rPr>
          <w:rFonts w:ascii="Book Antiqua" w:eastAsia="Times New Roman" w:hAnsi="Book Antiqua" w:cs="Times New Roman"/>
          <w:sz w:val="24"/>
          <w:szCs w:val="24"/>
          <w:lang w:val="en-GB"/>
        </w:rPr>
        <w:t>Aamodt</w:t>
      </w:r>
      <w:proofErr w:type="spellEnd"/>
      <w:r w:rsidR="008D2006" w:rsidRPr="00772D93">
        <w:rPr>
          <w:rFonts w:ascii="Book Antiqua" w:eastAsia="Times New Roman" w:hAnsi="Book Antiqua" w:cs="Times New Roman"/>
          <w:sz w:val="24"/>
          <w:szCs w:val="24"/>
          <w:lang w:val="en-GB"/>
        </w:rPr>
        <w:t xml:space="preserve"> (</w:t>
      </w:r>
      <w:r w:rsidR="0027230F" w:rsidRPr="00772D93">
        <w:rPr>
          <w:rFonts w:ascii="Book Antiqua" w:eastAsia="Times New Roman" w:hAnsi="Book Antiqua" w:cs="Times New Roman"/>
          <w:sz w:val="24"/>
          <w:szCs w:val="24"/>
          <w:lang w:val="en-GB"/>
        </w:rPr>
        <w:t>0000-000290989646</w:t>
      </w:r>
      <w:r w:rsidR="008D2006" w:rsidRPr="00772D93">
        <w:rPr>
          <w:rFonts w:ascii="Book Antiqua" w:eastAsia="Times New Roman" w:hAnsi="Book Antiqua" w:cs="Times New Roman"/>
          <w:sz w:val="24"/>
          <w:szCs w:val="24"/>
          <w:lang w:val="en-GB"/>
        </w:rPr>
        <w:t>)</w:t>
      </w:r>
      <w:r w:rsidRPr="00772D93">
        <w:rPr>
          <w:rFonts w:ascii="Book Antiqua" w:hAnsi="Book Antiqua" w:cs="Times New Roman"/>
          <w:sz w:val="24"/>
          <w:szCs w:val="24"/>
          <w:lang w:val="en-GB" w:eastAsia="zh-CN"/>
        </w:rPr>
        <w:t>;</w:t>
      </w:r>
      <w:r w:rsidR="008D2006" w:rsidRPr="00772D93">
        <w:rPr>
          <w:rFonts w:ascii="Book Antiqua" w:eastAsia="Times New Roman" w:hAnsi="Book Antiqua" w:cs="Times New Roman"/>
          <w:sz w:val="24"/>
          <w:szCs w:val="24"/>
          <w:lang w:val="en-GB"/>
        </w:rPr>
        <w:t xml:space="preserve"> </w:t>
      </w:r>
      <w:r w:rsidR="00727A9D" w:rsidRPr="00772D93">
        <w:rPr>
          <w:rFonts w:ascii="Book Antiqua" w:eastAsia="Times New Roman" w:hAnsi="Book Antiqua" w:cs="Times New Roman"/>
          <w:sz w:val="24"/>
          <w:szCs w:val="24"/>
          <w:lang w:val="en-GB"/>
        </w:rPr>
        <w:t xml:space="preserve">Ragnhild </w:t>
      </w:r>
      <w:proofErr w:type="spellStart"/>
      <w:r w:rsidR="00633BD8" w:rsidRPr="00772D93">
        <w:rPr>
          <w:rFonts w:ascii="Book Antiqua" w:eastAsia="Times New Roman" w:hAnsi="Book Antiqua" w:cs="Times New Roman"/>
          <w:sz w:val="24"/>
          <w:szCs w:val="24"/>
          <w:lang w:val="en-GB"/>
        </w:rPr>
        <w:t>Helles</w:t>
      </w:r>
      <w:proofErr w:type="spellEnd"/>
      <w:r w:rsidRPr="00772D93">
        <w:rPr>
          <w:rFonts w:ascii="Book Antiqua" w:hAnsi="Book Antiqua" w:cs="TimesNewRomanPSMT"/>
          <w:sz w:val="24"/>
          <w:szCs w:val="24"/>
          <w:lang w:val="lt-LT"/>
        </w:rPr>
        <w:t>ø</w:t>
      </w:r>
      <w:r w:rsidR="005326A2" w:rsidRPr="00772D93">
        <w:rPr>
          <w:rFonts w:ascii="Book Antiqua" w:eastAsia="Times New Roman" w:hAnsi="Book Antiqua" w:cs="Times New Roman"/>
          <w:sz w:val="24"/>
          <w:szCs w:val="24"/>
          <w:lang w:val="en-GB"/>
        </w:rPr>
        <w:t xml:space="preserve"> (</w:t>
      </w:r>
      <w:r w:rsidR="00B93D0A" w:rsidRPr="00772D93">
        <w:rPr>
          <w:rFonts w:ascii="Book Antiqua" w:eastAsia="Times New Roman" w:hAnsi="Book Antiqua" w:cs="Times New Roman"/>
          <w:sz w:val="24"/>
          <w:szCs w:val="24"/>
          <w:lang w:val="en-GB"/>
        </w:rPr>
        <w:t>0000-0002-7757-6521)</w:t>
      </w:r>
      <w:r w:rsidRPr="00772D93">
        <w:rPr>
          <w:rFonts w:ascii="Book Antiqua" w:hAnsi="Book Antiqua" w:cs="Times New Roman"/>
          <w:sz w:val="24"/>
          <w:szCs w:val="24"/>
          <w:lang w:val="en-GB" w:eastAsia="zh-CN"/>
        </w:rPr>
        <w:t>;</w:t>
      </w:r>
      <w:r w:rsidR="005326A2" w:rsidRPr="00772D93">
        <w:rPr>
          <w:rFonts w:ascii="Book Antiqua" w:eastAsia="Times New Roman" w:hAnsi="Book Antiqua" w:cs="Times New Roman"/>
          <w:sz w:val="24"/>
          <w:szCs w:val="24"/>
          <w:lang w:val="en-GB"/>
        </w:rPr>
        <w:t xml:space="preserve"> </w:t>
      </w:r>
      <w:r w:rsidR="008D2006" w:rsidRPr="00772D93">
        <w:rPr>
          <w:rFonts w:ascii="Book Antiqua" w:eastAsia="Times New Roman" w:hAnsi="Book Antiqua" w:cs="Times New Roman"/>
          <w:sz w:val="24"/>
          <w:szCs w:val="24"/>
          <w:lang w:val="en-GB"/>
        </w:rPr>
        <w:t>Irene Lie (</w:t>
      </w:r>
      <w:r w:rsidR="00AD6BCD" w:rsidRPr="00772D93">
        <w:rPr>
          <w:rFonts w:ascii="Book Antiqua" w:eastAsia="Times New Roman" w:hAnsi="Book Antiqua" w:cs="Times New Roman"/>
          <w:sz w:val="24"/>
          <w:szCs w:val="24"/>
          <w:lang w:val="en-GB"/>
        </w:rPr>
        <w:t>0000-0002-04617812)</w:t>
      </w:r>
      <w:r w:rsidRPr="00772D93">
        <w:rPr>
          <w:rFonts w:ascii="Book Antiqua" w:hAnsi="Book Antiqua" w:cs="Times New Roman"/>
          <w:sz w:val="24"/>
          <w:szCs w:val="24"/>
          <w:lang w:val="en-GB" w:eastAsia="zh-CN"/>
        </w:rPr>
        <w:t>;</w:t>
      </w:r>
      <w:r w:rsidR="008D2006" w:rsidRPr="00772D93">
        <w:rPr>
          <w:rFonts w:ascii="Book Antiqua" w:eastAsia="Times New Roman" w:hAnsi="Book Antiqua" w:cs="Times New Roman"/>
          <w:sz w:val="24"/>
          <w:szCs w:val="24"/>
          <w:lang w:val="en-GB"/>
        </w:rPr>
        <w:t xml:space="preserve"> Anna </w:t>
      </w:r>
      <w:r w:rsidRPr="00772D93">
        <w:rPr>
          <w:rFonts w:ascii="Book Antiqua" w:hAnsi="Book Antiqua" w:cs="TimesNewRomanPSMT"/>
          <w:sz w:val="24"/>
          <w:szCs w:val="24"/>
          <w:lang w:val="lt-LT"/>
        </w:rPr>
        <w:t>Strömberg</w:t>
      </w:r>
      <w:r w:rsidR="008D2006" w:rsidRPr="00772D93">
        <w:rPr>
          <w:rFonts w:ascii="Book Antiqua" w:eastAsia="Times New Roman" w:hAnsi="Book Antiqua" w:cs="Times New Roman"/>
          <w:sz w:val="24"/>
          <w:szCs w:val="24"/>
          <w:lang w:val="en-GB"/>
        </w:rPr>
        <w:t xml:space="preserve"> (</w:t>
      </w:r>
      <w:r w:rsidR="00E74863" w:rsidRPr="00772D93">
        <w:rPr>
          <w:rFonts w:ascii="Book Antiqua" w:eastAsia="Times New Roman" w:hAnsi="Book Antiqua" w:cs="Times New Roman"/>
          <w:sz w:val="24"/>
          <w:szCs w:val="24"/>
          <w:lang w:val="en-GB"/>
        </w:rPr>
        <w:t>0000-0002-4259-3671</w:t>
      </w:r>
      <w:r w:rsidR="008D2006" w:rsidRPr="00772D93">
        <w:rPr>
          <w:rFonts w:ascii="Book Antiqua" w:eastAsia="Times New Roman" w:hAnsi="Book Antiqua" w:cs="Times New Roman"/>
          <w:sz w:val="24"/>
          <w:szCs w:val="24"/>
          <w:lang w:val="en-GB"/>
        </w:rPr>
        <w:t>)</w:t>
      </w:r>
      <w:r w:rsidRPr="00772D93">
        <w:rPr>
          <w:rFonts w:ascii="Book Antiqua" w:hAnsi="Book Antiqua" w:cs="Times New Roman"/>
          <w:sz w:val="24"/>
          <w:szCs w:val="24"/>
          <w:lang w:val="en-GB" w:eastAsia="zh-CN"/>
        </w:rPr>
        <w:t>;</w:t>
      </w:r>
      <w:r w:rsidR="008D2006" w:rsidRPr="00772D93">
        <w:rPr>
          <w:rFonts w:ascii="Book Antiqua" w:eastAsia="Times New Roman" w:hAnsi="Book Antiqua" w:cs="Times New Roman"/>
          <w:sz w:val="24"/>
          <w:szCs w:val="24"/>
          <w:lang w:val="en-GB"/>
        </w:rPr>
        <w:t xml:space="preserve"> Tiny </w:t>
      </w:r>
      <w:proofErr w:type="spellStart"/>
      <w:r w:rsidR="008D2006" w:rsidRPr="00772D93">
        <w:rPr>
          <w:rFonts w:ascii="Book Antiqua" w:eastAsia="Times New Roman" w:hAnsi="Book Antiqua" w:cs="Times New Roman"/>
          <w:sz w:val="24"/>
          <w:szCs w:val="24"/>
          <w:lang w:val="en-GB"/>
        </w:rPr>
        <w:t>Jaarsma</w:t>
      </w:r>
      <w:proofErr w:type="spellEnd"/>
      <w:r w:rsidR="008D2006" w:rsidRPr="00772D93">
        <w:rPr>
          <w:rFonts w:ascii="Book Antiqua" w:eastAsia="Times New Roman" w:hAnsi="Book Antiqua" w:cs="Times New Roman"/>
          <w:sz w:val="24"/>
          <w:szCs w:val="24"/>
          <w:lang w:val="en-GB"/>
        </w:rPr>
        <w:t xml:space="preserve"> (</w:t>
      </w:r>
      <w:r w:rsidR="00E74863" w:rsidRPr="00772D93">
        <w:rPr>
          <w:rFonts w:ascii="Book Antiqua" w:eastAsia="Times New Roman" w:hAnsi="Book Antiqua" w:cs="Times New Roman"/>
          <w:sz w:val="24"/>
          <w:szCs w:val="24"/>
          <w:lang w:val="en-GB"/>
        </w:rPr>
        <w:t>0000-0002-4197-4026</w:t>
      </w:r>
      <w:r w:rsidR="008D2006" w:rsidRPr="00772D93">
        <w:rPr>
          <w:rFonts w:ascii="Book Antiqua" w:eastAsia="Times New Roman" w:hAnsi="Book Antiqua" w:cs="Times New Roman"/>
          <w:sz w:val="24"/>
          <w:szCs w:val="24"/>
          <w:lang w:val="en-GB"/>
        </w:rPr>
        <w:t>)</w:t>
      </w:r>
      <w:r w:rsidRPr="00772D93">
        <w:rPr>
          <w:rFonts w:ascii="Book Antiqua" w:hAnsi="Book Antiqua" w:cs="Times New Roman"/>
          <w:sz w:val="24"/>
          <w:szCs w:val="24"/>
          <w:lang w:val="en-GB" w:eastAsia="zh-CN"/>
        </w:rPr>
        <w:t>;</w:t>
      </w:r>
      <w:r w:rsidR="008D2006" w:rsidRPr="00772D93">
        <w:rPr>
          <w:rFonts w:ascii="Book Antiqua" w:eastAsia="Times New Roman" w:hAnsi="Book Antiqua" w:cs="Times New Roman"/>
          <w:sz w:val="24"/>
          <w:szCs w:val="24"/>
          <w:lang w:val="en-GB"/>
        </w:rPr>
        <w:t xml:space="preserve"> Jelena </w:t>
      </w:r>
      <w:proofErr w:type="spellStart"/>
      <w:r w:rsidR="008D2006" w:rsidRPr="00772D93">
        <w:rPr>
          <w:rFonts w:ascii="Book Antiqua" w:eastAsia="Times New Roman" w:hAnsi="Book Antiqua" w:cs="Times New Roman"/>
          <w:sz w:val="24"/>
          <w:szCs w:val="24"/>
          <w:lang w:val="en-GB"/>
        </w:rPr>
        <w:t>Čelutkienė</w:t>
      </w:r>
      <w:proofErr w:type="spellEnd"/>
      <w:r w:rsidR="008D2006" w:rsidRPr="00772D93">
        <w:rPr>
          <w:rFonts w:ascii="Book Antiqua" w:eastAsia="Times New Roman" w:hAnsi="Book Antiqua" w:cs="Times New Roman"/>
          <w:sz w:val="24"/>
          <w:szCs w:val="24"/>
          <w:lang w:val="en-GB"/>
        </w:rPr>
        <w:t xml:space="preserve"> (</w:t>
      </w:r>
      <w:r w:rsidR="0088368B" w:rsidRPr="00772D93">
        <w:rPr>
          <w:rFonts w:ascii="Book Antiqua" w:eastAsia="Times New Roman" w:hAnsi="Book Antiqua" w:cs="Times New Roman"/>
          <w:sz w:val="24"/>
          <w:szCs w:val="24"/>
          <w:lang w:val="en-GB"/>
        </w:rPr>
        <w:t>0000-0003-3562-9274)</w:t>
      </w:r>
      <w:r w:rsidRPr="00772D93">
        <w:rPr>
          <w:rFonts w:ascii="Book Antiqua" w:hAnsi="Book Antiqua" w:cs="Times New Roman"/>
          <w:sz w:val="24"/>
          <w:szCs w:val="24"/>
          <w:lang w:val="en-GB" w:eastAsia="zh-CN"/>
        </w:rPr>
        <w:t>.</w:t>
      </w:r>
    </w:p>
    <w:p w14:paraId="4B558312" w14:textId="77777777" w:rsidR="00463CF9" w:rsidRPr="00772D93" w:rsidRDefault="00463CF9" w:rsidP="00772D93">
      <w:pPr>
        <w:spacing w:after="0" w:line="360" w:lineRule="auto"/>
        <w:jc w:val="both"/>
        <w:rPr>
          <w:rFonts w:ascii="Book Antiqua" w:hAnsi="Book Antiqua" w:cs="Times New Roman"/>
          <w:sz w:val="24"/>
          <w:szCs w:val="24"/>
          <w:lang w:val="en-GB" w:eastAsia="zh-CN"/>
        </w:rPr>
      </w:pPr>
    </w:p>
    <w:p w14:paraId="02161423" w14:textId="001423F8" w:rsidR="00277CBE" w:rsidRPr="00772D93" w:rsidRDefault="00277CBE" w:rsidP="00772D93">
      <w:pPr>
        <w:spacing w:after="0" w:line="360" w:lineRule="auto"/>
        <w:jc w:val="both"/>
        <w:rPr>
          <w:rFonts w:ascii="Book Antiqua" w:hAnsi="Book Antiqua"/>
          <w:b/>
          <w:sz w:val="24"/>
          <w:szCs w:val="24"/>
          <w:lang w:eastAsia="zh-CN"/>
        </w:rPr>
      </w:pPr>
      <w:r w:rsidRPr="00772D93">
        <w:rPr>
          <w:rFonts w:ascii="Book Antiqua" w:hAnsi="Book Antiqua"/>
          <w:b/>
          <w:sz w:val="24"/>
          <w:szCs w:val="24"/>
        </w:rPr>
        <w:t>Author contributions:</w:t>
      </w:r>
      <w:r w:rsidRPr="00772D93">
        <w:rPr>
          <w:rFonts w:ascii="Book Antiqua" w:hAnsi="Book Antiqua"/>
          <w:b/>
          <w:sz w:val="24"/>
          <w:szCs w:val="24"/>
          <w:lang w:eastAsia="zh-CN"/>
        </w:rPr>
        <w:t xml:space="preserve"> </w:t>
      </w:r>
      <w:proofErr w:type="spellStart"/>
      <w:r w:rsidRPr="00772D93">
        <w:rPr>
          <w:rFonts w:ascii="Book Antiqua" w:eastAsia="Times New Roman" w:hAnsi="Book Antiqua" w:cs="Times New Roman"/>
          <w:sz w:val="24"/>
          <w:szCs w:val="24"/>
          <w:lang w:val="en-GB"/>
        </w:rPr>
        <w:t>Lycholip</w:t>
      </w:r>
      <w:proofErr w:type="spellEnd"/>
      <w:r w:rsidRPr="00772D93">
        <w:rPr>
          <w:rFonts w:ascii="Book Antiqua" w:eastAsia="Times New Roman" w:hAnsi="Book Antiqua" w:cs="Times New Roman"/>
          <w:sz w:val="24"/>
          <w:szCs w:val="24"/>
          <w:lang w:val="en-GB"/>
        </w:rPr>
        <w:t xml:space="preserve"> E and </w:t>
      </w:r>
      <w:proofErr w:type="spellStart"/>
      <w:r w:rsidRPr="00772D93">
        <w:rPr>
          <w:rFonts w:ascii="Book Antiqua" w:eastAsia="Times New Roman" w:hAnsi="Book Antiqua" w:cs="Times New Roman"/>
          <w:sz w:val="24"/>
          <w:szCs w:val="24"/>
          <w:lang w:val="en-GB"/>
        </w:rPr>
        <w:t>Čelutkienė</w:t>
      </w:r>
      <w:proofErr w:type="spellEnd"/>
      <w:r w:rsidRPr="00772D93">
        <w:rPr>
          <w:rFonts w:ascii="Book Antiqua" w:eastAsia="Times New Roman" w:hAnsi="Book Antiqua" w:cs="Times New Roman"/>
          <w:sz w:val="24"/>
          <w:szCs w:val="24"/>
          <w:lang w:val="en-GB"/>
        </w:rPr>
        <w:t xml:space="preserve"> J were involved in diagnostics, treatment and follow-up of the patients</w:t>
      </w:r>
      <w:r w:rsidRPr="00772D93">
        <w:rPr>
          <w:rFonts w:ascii="Book Antiqua" w:hAnsi="Book Antiqua" w:cs="Times New Roman"/>
          <w:sz w:val="24"/>
          <w:szCs w:val="24"/>
          <w:lang w:val="en-GB" w:eastAsia="zh-CN"/>
        </w:rPr>
        <w:t>;</w:t>
      </w:r>
      <w:r w:rsidRPr="00772D93">
        <w:rPr>
          <w:rFonts w:ascii="Book Antiqua" w:eastAsia="Times New Roman" w:hAnsi="Book Antiqua" w:cs="Times New Roman"/>
          <w:sz w:val="24"/>
          <w:szCs w:val="24"/>
          <w:lang w:val="en-GB"/>
        </w:rPr>
        <w:t xml:space="preserve"> </w:t>
      </w:r>
      <w:proofErr w:type="spellStart"/>
      <w:r w:rsidRPr="00772D93">
        <w:rPr>
          <w:rFonts w:ascii="Book Antiqua" w:eastAsia="Times New Roman" w:hAnsi="Book Antiqua" w:cs="Times New Roman"/>
          <w:sz w:val="24"/>
          <w:szCs w:val="24"/>
          <w:lang w:val="en-GB"/>
        </w:rPr>
        <w:t>Lycholip</w:t>
      </w:r>
      <w:proofErr w:type="spellEnd"/>
      <w:r w:rsidRPr="00772D93">
        <w:rPr>
          <w:rFonts w:ascii="Book Antiqua" w:eastAsia="Times New Roman" w:hAnsi="Book Antiqua" w:cs="Times New Roman"/>
          <w:sz w:val="24"/>
          <w:szCs w:val="24"/>
          <w:lang w:val="en-GB"/>
        </w:rPr>
        <w:t xml:space="preserve"> E</w:t>
      </w:r>
      <w:r w:rsidRPr="00772D93">
        <w:rPr>
          <w:rFonts w:ascii="Book Antiqua" w:hAnsi="Book Antiqua" w:cs="Times New Roman"/>
          <w:sz w:val="24"/>
          <w:szCs w:val="24"/>
          <w:lang w:val="en-GB" w:eastAsia="zh-CN"/>
        </w:rPr>
        <w:t>,</w:t>
      </w:r>
      <w:r w:rsidRPr="00772D93">
        <w:rPr>
          <w:rFonts w:ascii="Book Antiqua" w:eastAsia="Times New Roman" w:hAnsi="Book Antiqua" w:cs="Times New Roman"/>
          <w:sz w:val="24"/>
          <w:szCs w:val="24"/>
          <w:lang w:val="en-GB"/>
        </w:rPr>
        <w:t xml:space="preserve"> </w:t>
      </w:r>
      <w:proofErr w:type="spellStart"/>
      <w:r w:rsidRPr="00772D93">
        <w:rPr>
          <w:rFonts w:ascii="Book Antiqua" w:eastAsia="Times New Roman" w:hAnsi="Book Antiqua" w:cs="Times New Roman"/>
          <w:sz w:val="24"/>
          <w:szCs w:val="24"/>
          <w:lang w:val="en-GB"/>
        </w:rPr>
        <w:t>Čelutkienė</w:t>
      </w:r>
      <w:proofErr w:type="spellEnd"/>
      <w:r w:rsidRPr="00772D93">
        <w:rPr>
          <w:rFonts w:ascii="Book Antiqua" w:eastAsia="Times New Roman" w:hAnsi="Book Antiqua" w:cs="Times New Roman"/>
          <w:sz w:val="24"/>
          <w:szCs w:val="24"/>
          <w:lang w:val="en-GB"/>
        </w:rPr>
        <w:t xml:space="preserve"> J, </w:t>
      </w:r>
      <w:proofErr w:type="spellStart"/>
      <w:r w:rsidRPr="00772D93">
        <w:rPr>
          <w:rFonts w:ascii="Book Antiqua" w:eastAsia="Times New Roman" w:hAnsi="Book Antiqua" w:cs="Times New Roman"/>
          <w:sz w:val="24"/>
          <w:szCs w:val="24"/>
          <w:lang w:val="en-GB"/>
        </w:rPr>
        <w:t>Palevičiūtė</w:t>
      </w:r>
      <w:proofErr w:type="spellEnd"/>
      <w:r w:rsidRPr="00772D93">
        <w:rPr>
          <w:rFonts w:ascii="Book Antiqua" w:eastAsia="Times New Roman" w:hAnsi="Book Antiqua" w:cs="Times New Roman"/>
          <w:sz w:val="24"/>
          <w:szCs w:val="24"/>
          <w:lang w:val="en-GB"/>
        </w:rPr>
        <w:t xml:space="preserve"> E, </w:t>
      </w:r>
      <w:r w:rsidRPr="00772D93">
        <w:rPr>
          <w:rFonts w:ascii="Book Antiqua" w:hAnsi="Book Antiqua" w:cs="TimesNewRomanPSMT"/>
          <w:sz w:val="24"/>
          <w:szCs w:val="24"/>
          <w:lang w:val="lt-LT"/>
        </w:rPr>
        <w:t>Strömberg</w:t>
      </w:r>
      <w:r w:rsidRPr="00772D93">
        <w:rPr>
          <w:rFonts w:ascii="Book Antiqua" w:eastAsia="Times New Roman" w:hAnsi="Book Antiqua" w:cs="Times New Roman"/>
          <w:sz w:val="24"/>
          <w:szCs w:val="24"/>
          <w:lang w:val="en-GB"/>
        </w:rPr>
        <w:t xml:space="preserve"> A, Lie I, </w:t>
      </w:r>
      <w:proofErr w:type="spellStart"/>
      <w:r w:rsidRPr="00772D93">
        <w:rPr>
          <w:rFonts w:ascii="Book Antiqua" w:eastAsia="Times New Roman" w:hAnsi="Book Antiqua" w:cs="Times New Roman"/>
          <w:sz w:val="24"/>
          <w:szCs w:val="24"/>
          <w:lang w:val="en-GB"/>
        </w:rPr>
        <w:t>Aamodt</w:t>
      </w:r>
      <w:proofErr w:type="spellEnd"/>
      <w:r w:rsidRPr="00772D93">
        <w:rPr>
          <w:rFonts w:ascii="Book Antiqua" w:eastAsia="Times New Roman" w:hAnsi="Book Antiqua" w:cs="Times New Roman"/>
          <w:sz w:val="24"/>
          <w:szCs w:val="24"/>
          <w:lang w:val="en-GB"/>
        </w:rPr>
        <w:t xml:space="preserve"> IT, </w:t>
      </w:r>
      <w:proofErr w:type="spellStart"/>
      <w:r w:rsidRPr="00772D93">
        <w:rPr>
          <w:rFonts w:ascii="Book Antiqua" w:eastAsia="Times New Roman" w:hAnsi="Book Antiqua" w:cs="Times New Roman"/>
          <w:sz w:val="24"/>
          <w:szCs w:val="24"/>
          <w:lang w:val="en-GB"/>
        </w:rPr>
        <w:t>Helles</w:t>
      </w:r>
      <w:proofErr w:type="spellEnd"/>
      <w:r w:rsidRPr="00772D93">
        <w:rPr>
          <w:rFonts w:ascii="Book Antiqua" w:hAnsi="Book Antiqua" w:cs="TimesNewRomanPSMT"/>
          <w:sz w:val="24"/>
          <w:szCs w:val="24"/>
          <w:lang w:val="lt-LT"/>
        </w:rPr>
        <w:t>ø</w:t>
      </w:r>
      <w:r w:rsidRPr="00772D93">
        <w:rPr>
          <w:rFonts w:ascii="Book Antiqua" w:eastAsia="Times New Roman" w:hAnsi="Book Antiqua" w:cs="Times New Roman"/>
          <w:sz w:val="24"/>
          <w:szCs w:val="24"/>
          <w:lang w:val="en-GB"/>
        </w:rPr>
        <w:t xml:space="preserve"> R and </w:t>
      </w:r>
      <w:proofErr w:type="spellStart"/>
      <w:r w:rsidRPr="00772D93">
        <w:rPr>
          <w:rFonts w:ascii="Book Antiqua" w:eastAsia="Times New Roman" w:hAnsi="Book Antiqua" w:cs="Times New Roman"/>
          <w:sz w:val="24"/>
          <w:szCs w:val="24"/>
          <w:lang w:val="en-GB"/>
        </w:rPr>
        <w:t>Jaarsma</w:t>
      </w:r>
      <w:proofErr w:type="spellEnd"/>
      <w:r w:rsidRPr="00772D93">
        <w:rPr>
          <w:rFonts w:ascii="Book Antiqua" w:eastAsia="Times New Roman" w:hAnsi="Book Antiqua" w:cs="Times New Roman"/>
          <w:sz w:val="24"/>
          <w:szCs w:val="24"/>
          <w:lang w:val="en-GB"/>
        </w:rPr>
        <w:t xml:space="preserve"> T interpreted the patients’ data and drafted the manuscript</w:t>
      </w:r>
      <w:r w:rsidRPr="00772D93">
        <w:rPr>
          <w:rFonts w:ascii="Book Antiqua" w:hAnsi="Book Antiqua" w:cs="Times New Roman"/>
          <w:sz w:val="24"/>
          <w:szCs w:val="24"/>
          <w:lang w:val="en-GB" w:eastAsia="zh-CN"/>
        </w:rPr>
        <w:t>;</w:t>
      </w:r>
      <w:r w:rsidRPr="00772D93">
        <w:rPr>
          <w:rFonts w:ascii="Book Antiqua" w:eastAsia="Times New Roman" w:hAnsi="Book Antiqua" w:cs="Times New Roman"/>
          <w:sz w:val="24"/>
          <w:szCs w:val="24"/>
          <w:lang w:val="en-GB"/>
        </w:rPr>
        <w:t xml:space="preserve"> </w:t>
      </w:r>
      <w:proofErr w:type="spellStart"/>
      <w:r w:rsidRPr="00772D93">
        <w:rPr>
          <w:rFonts w:ascii="Book Antiqua" w:eastAsia="Times New Roman" w:hAnsi="Book Antiqua" w:cs="Times New Roman"/>
          <w:sz w:val="24"/>
          <w:szCs w:val="24"/>
          <w:lang w:val="en-GB"/>
        </w:rPr>
        <w:t>Lycholip</w:t>
      </w:r>
      <w:proofErr w:type="spellEnd"/>
      <w:r w:rsidRPr="00772D93">
        <w:rPr>
          <w:rFonts w:ascii="Book Antiqua" w:eastAsia="Times New Roman" w:hAnsi="Book Antiqua" w:cs="Times New Roman"/>
          <w:sz w:val="24"/>
          <w:szCs w:val="24"/>
          <w:lang w:val="en-GB"/>
        </w:rPr>
        <w:t xml:space="preserve"> E and </w:t>
      </w:r>
      <w:proofErr w:type="spellStart"/>
      <w:r w:rsidRPr="00772D93">
        <w:rPr>
          <w:rFonts w:ascii="Book Antiqua" w:eastAsia="Times New Roman" w:hAnsi="Book Antiqua" w:cs="Times New Roman"/>
          <w:sz w:val="24"/>
          <w:szCs w:val="24"/>
          <w:lang w:val="en-GB"/>
        </w:rPr>
        <w:t>Čelutkienė</w:t>
      </w:r>
      <w:proofErr w:type="spellEnd"/>
      <w:r w:rsidRPr="00772D93">
        <w:rPr>
          <w:rFonts w:ascii="Book Antiqua" w:eastAsia="Times New Roman" w:hAnsi="Book Antiqua" w:cs="Times New Roman"/>
          <w:sz w:val="24"/>
          <w:szCs w:val="24"/>
          <w:lang w:val="en-GB"/>
        </w:rPr>
        <w:t xml:space="preserve"> J prepared the figures</w:t>
      </w:r>
      <w:r w:rsidRPr="00772D93">
        <w:rPr>
          <w:rFonts w:ascii="Book Antiqua" w:hAnsi="Book Antiqua" w:cs="Times New Roman"/>
          <w:sz w:val="24"/>
          <w:szCs w:val="24"/>
          <w:lang w:val="en-GB" w:eastAsia="zh-CN"/>
        </w:rPr>
        <w:t>;</w:t>
      </w:r>
      <w:r w:rsidRPr="00772D93">
        <w:rPr>
          <w:rFonts w:ascii="Book Antiqua" w:eastAsia="Times New Roman" w:hAnsi="Book Antiqua" w:cs="Times New Roman"/>
          <w:sz w:val="24"/>
          <w:szCs w:val="24"/>
          <w:lang w:val="en-GB"/>
        </w:rPr>
        <w:t xml:space="preserve"> all authors contributed to writing and editing the manuscript for important intellectual content</w:t>
      </w:r>
      <w:r w:rsidRPr="00772D93">
        <w:rPr>
          <w:rFonts w:ascii="Book Antiqua" w:hAnsi="Book Antiqua" w:cs="Times New Roman"/>
          <w:sz w:val="24"/>
          <w:szCs w:val="24"/>
          <w:lang w:val="en-GB" w:eastAsia="zh-CN"/>
        </w:rPr>
        <w:t>;</w:t>
      </w:r>
      <w:r w:rsidRPr="00772D93">
        <w:rPr>
          <w:rFonts w:ascii="Book Antiqua" w:eastAsia="Times New Roman" w:hAnsi="Book Antiqua" w:cs="Times New Roman"/>
          <w:sz w:val="24"/>
          <w:szCs w:val="24"/>
          <w:lang w:val="en-GB"/>
        </w:rPr>
        <w:t xml:space="preserve"> all authors have read and approved the final manuscript.</w:t>
      </w:r>
    </w:p>
    <w:p w14:paraId="6501E293" w14:textId="77777777" w:rsidR="00277CBE" w:rsidRPr="00772D93" w:rsidRDefault="00277CBE" w:rsidP="00772D93">
      <w:pPr>
        <w:spacing w:after="0" w:line="360" w:lineRule="auto"/>
        <w:jc w:val="both"/>
        <w:rPr>
          <w:rFonts w:ascii="Book Antiqua" w:hAnsi="Book Antiqua" w:cs="Times New Roman"/>
          <w:sz w:val="24"/>
          <w:szCs w:val="24"/>
          <w:lang w:val="en-GB" w:eastAsia="zh-CN"/>
        </w:rPr>
      </w:pPr>
    </w:p>
    <w:p w14:paraId="027AACE4" w14:textId="1E24B777" w:rsidR="00B135FF" w:rsidRPr="00772D93" w:rsidRDefault="00B135FF" w:rsidP="00772D93">
      <w:pPr>
        <w:spacing w:after="0" w:line="360" w:lineRule="auto"/>
        <w:jc w:val="both"/>
        <w:rPr>
          <w:rFonts w:ascii="Book Antiqua" w:hAnsi="Book Antiqua" w:cs="Garamond-Bold"/>
          <w:bCs/>
          <w:sz w:val="24"/>
          <w:szCs w:val="24"/>
        </w:rPr>
      </w:pPr>
      <w:r w:rsidRPr="00772D93">
        <w:rPr>
          <w:rFonts w:ascii="Book Antiqua" w:hAnsi="Book Antiqua"/>
          <w:b/>
          <w:sz w:val="24"/>
          <w:szCs w:val="24"/>
        </w:rPr>
        <w:t>Supported by</w:t>
      </w:r>
      <w:r w:rsidRPr="00772D93">
        <w:rPr>
          <w:rFonts w:ascii="Book Antiqua" w:hAnsi="Book Antiqua" w:cs="Times New Roman"/>
          <w:sz w:val="24"/>
          <w:szCs w:val="24"/>
        </w:rPr>
        <w:t xml:space="preserve"> the </w:t>
      </w:r>
      <w:proofErr w:type="spellStart"/>
      <w:r w:rsidRPr="00772D93">
        <w:rPr>
          <w:rFonts w:ascii="Book Antiqua" w:hAnsi="Book Antiqua" w:cs="Times New Roman"/>
          <w:sz w:val="24"/>
          <w:szCs w:val="24"/>
          <w:lang w:val="en-GB"/>
        </w:rPr>
        <w:t>NordForsk</w:t>
      </w:r>
      <w:proofErr w:type="spellEnd"/>
      <w:r w:rsidRPr="00772D93">
        <w:rPr>
          <w:rFonts w:ascii="Book Antiqua" w:hAnsi="Book Antiqua" w:cs="Times New Roman"/>
          <w:bCs/>
          <w:sz w:val="24"/>
          <w:szCs w:val="24"/>
          <w:lang w:val="en-GB"/>
        </w:rPr>
        <w:t xml:space="preserve"> </w:t>
      </w:r>
      <w:r w:rsidRPr="00772D93">
        <w:rPr>
          <w:rFonts w:ascii="Book Antiqua" w:hAnsi="Book Antiqua" w:cs="Times New Roman"/>
          <w:sz w:val="24"/>
          <w:szCs w:val="24"/>
          <w:lang w:val="en-GB"/>
        </w:rPr>
        <w:t>“Nordic Programme on Health and Welfare”</w:t>
      </w:r>
      <w:r w:rsidRPr="00772D93">
        <w:rPr>
          <w:rFonts w:ascii="Book Antiqua" w:hAnsi="Book Antiqua" w:cs="Times New Roman"/>
          <w:sz w:val="24"/>
          <w:szCs w:val="24"/>
          <w:lang w:val="en-GB" w:eastAsia="zh-CN"/>
        </w:rPr>
        <w:t>,</w:t>
      </w:r>
      <w:r w:rsidRPr="00772D93">
        <w:rPr>
          <w:rFonts w:ascii="Book Antiqua" w:hAnsi="Book Antiqua" w:cs="Times New Roman"/>
          <w:sz w:val="24"/>
          <w:szCs w:val="24"/>
          <w:lang w:val="en-GB"/>
        </w:rPr>
        <w:t xml:space="preserve"> No.</w:t>
      </w:r>
      <w:r w:rsidRPr="00772D93">
        <w:rPr>
          <w:rFonts w:ascii="Book Antiqua" w:hAnsi="Book Antiqua" w:cs="Times New Roman"/>
          <w:b/>
          <w:sz w:val="24"/>
          <w:szCs w:val="24"/>
          <w:lang w:val="en-GB"/>
        </w:rPr>
        <w:t xml:space="preserve"> </w:t>
      </w:r>
      <w:r w:rsidRPr="00772D93">
        <w:rPr>
          <w:rFonts w:ascii="Book Antiqua" w:hAnsi="Book Antiqua" w:cs="Times New Roman"/>
          <w:sz w:val="24"/>
          <w:szCs w:val="24"/>
          <w:lang w:val="en-GB"/>
        </w:rPr>
        <w:t>76015.</w:t>
      </w:r>
      <w:r w:rsidR="00772D93">
        <w:rPr>
          <w:rFonts w:ascii="Book Antiqua" w:hAnsi="Book Antiqua" w:cs="Times New Roman"/>
          <w:b/>
          <w:sz w:val="24"/>
          <w:szCs w:val="24"/>
          <w:lang w:val="en-GB"/>
        </w:rPr>
        <w:t xml:space="preserve"> </w:t>
      </w:r>
    </w:p>
    <w:p w14:paraId="0ADAAF10" w14:textId="77777777" w:rsidR="00B135FF" w:rsidRPr="00772D93" w:rsidRDefault="00B135FF" w:rsidP="00772D93">
      <w:pPr>
        <w:spacing w:after="0" w:line="360" w:lineRule="auto"/>
        <w:jc w:val="both"/>
        <w:rPr>
          <w:rFonts w:ascii="Book Antiqua" w:hAnsi="Book Antiqua" w:cs="Times New Roman"/>
          <w:sz w:val="24"/>
          <w:szCs w:val="24"/>
          <w:lang w:eastAsia="zh-CN"/>
        </w:rPr>
      </w:pPr>
    </w:p>
    <w:p w14:paraId="0BBF3809" w14:textId="77777777" w:rsidR="00B135FF" w:rsidRPr="00772D93" w:rsidRDefault="00B135FF" w:rsidP="00772D93">
      <w:pPr>
        <w:spacing w:after="0" w:line="360" w:lineRule="auto"/>
        <w:jc w:val="both"/>
        <w:rPr>
          <w:rStyle w:val="hps"/>
          <w:rFonts w:ascii="Book Antiqua" w:hAnsi="Book Antiqua" w:cs="Times New Roman"/>
          <w:sz w:val="24"/>
          <w:szCs w:val="24"/>
        </w:rPr>
      </w:pPr>
      <w:r w:rsidRPr="00772D93">
        <w:rPr>
          <w:rFonts w:ascii="Book Antiqua" w:hAnsi="Book Antiqua"/>
          <w:b/>
          <w:sz w:val="24"/>
          <w:szCs w:val="24"/>
        </w:rPr>
        <w:t>Informed consent statement</w:t>
      </w:r>
      <w:r w:rsidRPr="00772D93">
        <w:rPr>
          <w:rFonts w:ascii="Book Antiqua" w:hAnsi="Book Antiqua"/>
          <w:b/>
          <w:iCs/>
          <w:sz w:val="24"/>
          <w:szCs w:val="24"/>
        </w:rPr>
        <w:t xml:space="preserve">: </w:t>
      </w:r>
      <w:r w:rsidRPr="00772D93">
        <w:rPr>
          <w:rFonts w:ascii="Book Antiqua" w:hAnsi="Book Antiqua" w:cs="Times New Roman"/>
          <w:sz w:val="24"/>
          <w:szCs w:val="24"/>
        </w:rPr>
        <w:t xml:space="preserve">Written informed consent forms were obtained from these patients for participating in the “Nordic </w:t>
      </w:r>
      <w:proofErr w:type="spellStart"/>
      <w:r w:rsidRPr="00772D93">
        <w:rPr>
          <w:rFonts w:ascii="Book Antiqua" w:hAnsi="Book Antiqua" w:cs="Times New Roman"/>
          <w:sz w:val="24"/>
          <w:szCs w:val="24"/>
        </w:rPr>
        <w:t>Programme</w:t>
      </w:r>
      <w:proofErr w:type="spellEnd"/>
      <w:r w:rsidRPr="00772D93">
        <w:rPr>
          <w:rFonts w:ascii="Book Antiqua" w:hAnsi="Book Antiqua" w:cs="Times New Roman"/>
          <w:sz w:val="24"/>
          <w:szCs w:val="24"/>
        </w:rPr>
        <w:t xml:space="preserve"> on Health and Welfare.” Copies of the written consent forms are available for review by the Editor of this journal.</w:t>
      </w:r>
    </w:p>
    <w:p w14:paraId="41D55AB5" w14:textId="77777777" w:rsidR="00B135FF" w:rsidRPr="00772D93" w:rsidRDefault="00B135FF" w:rsidP="00772D93">
      <w:pPr>
        <w:spacing w:after="0" w:line="360" w:lineRule="auto"/>
        <w:jc w:val="both"/>
        <w:rPr>
          <w:rFonts w:ascii="Book Antiqua" w:hAnsi="Book Antiqua"/>
          <w:b/>
          <w:sz w:val="24"/>
          <w:szCs w:val="24"/>
        </w:rPr>
      </w:pPr>
    </w:p>
    <w:p w14:paraId="31059664" w14:textId="77777777" w:rsidR="00B135FF" w:rsidRPr="00772D93" w:rsidRDefault="00B135FF" w:rsidP="00772D93">
      <w:pPr>
        <w:spacing w:after="0" w:line="360" w:lineRule="auto"/>
        <w:jc w:val="both"/>
        <w:rPr>
          <w:rStyle w:val="hps"/>
          <w:rFonts w:ascii="Book Antiqua" w:eastAsia="Times New Roman" w:hAnsi="Book Antiqua" w:cs="Times New Roman"/>
          <w:sz w:val="24"/>
          <w:szCs w:val="24"/>
          <w:lang w:val="en-GB"/>
        </w:rPr>
      </w:pPr>
      <w:r w:rsidRPr="00772D93">
        <w:rPr>
          <w:rFonts w:ascii="Book Antiqua" w:hAnsi="Book Antiqua"/>
          <w:b/>
          <w:sz w:val="24"/>
          <w:szCs w:val="24"/>
        </w:rPr>
        <w:t>Conflict-of-interest statement</w:t>
      </w:r>
      <w:r w:rsidRPr="00772D93">
        <w:rPr>
          <w:rFonts w:ascii="Book Antiqua" w:hAnsi="Book Antiqua" w:cs="TimesNewRomanPS-BoldItalicMT"/>
          <w:b/>
          <w:iCs/>
          <w:sz w:val="24"/>
          <w:szCs w:val="24"/>
        </w:rPr>
        <w:t xml:space="preserve">: </w:t>
      </w:r>
      <w:r w:rsidRPr="00772D93">
        <w:rPr>
          <w:rStyle w:val="hps"/>
          <w:rFonts w:ascii="Book Antiqua" w:eastAsia="Times New Roman" w:hAnsi="Book Antiqua" w:cs="Times New Roman"/>
          <w:sz w:val="24"/>
          <w:szCs w:val="24"/>
          <w:lang w:val="en-GB"/>
        </w:rPr>
        <w:t>The authors declare that they have no conflict of interests.</w:t>
      </w:r>
    </w:p>
    <w:p w14:paraId="3E673C7D" w14:textId="77777777" w:rsidR="00B135FF" w:rsidRPr="00772D93" w:rsidRDefault="00B135FF" w:rsidP="00772D93">
      <w:pPr>
        <w:snapToGrid w:val="0"/>
        <w:spacing w:after="0" w:line="360" w:lineRule="auto"/>
        <w:jc w:val="both"/>
        <w:rPr>
          <w:rFonts w:ascii="Book Antiqua" w:hAnsi="Book Antiqua" w:cs="Book Antiqua"/>
          <w:sz w:val="24"/>
          <w:szCs w:val="24"/>
          <w:lang w:eastAsia="zh-CN"/>
        </w:rPr>
      </w:pPr>
    </w:p>
    <w:p w14:paraId="1988702A" w14:textId="77777777" w:rsidR="00B135FF" w:rsidRPr="00772D93" w:rsidRDefault="00B135FF" w:rsidP="00772D93">
      <w:pPr>
        <w:spacing w:after="0" w:line="360" w:lineRule="auto"/>
        <w:jc w:val="both"/>
        <w:rPr>
          <w:rFonts w:ascii="Book Antiqua" w:hAnsi="Book Antiqua"/>
          <w:b/>
          <w:sz w:val="24"/>
          <w:szCs w:val="24"/>
        </w:rPr>
      </w:pPr>
      <w:r w:rsidRPr="00772D93">
        <w:rPr>
          <w:rFonts w:ascii="Book Antiqua" w:hAnsi="Book Antiqua"/>
          <w:b/>
          <w:sz w:val="24"/>
          <w:szCs w:val="24"/>
        </w:rPr>
        <w:lastRenderedPageBreak/>
        <w:t>CARE Checklist (2016) statement:</w:t>
      </w:r>
      <w:r w:rsidRPr="00772D93">
        <w:rPr>
          <w:rFonts w:ascii="Book Antiqua" w:hAnsi="Book Antiqua" w:cs="Times New Roman"/>
          <w:sz w:val="24"/>
          <w:szCs w:val="24"/>
          <w:lang w:val="en-GB"/>
        </w:rPr>
        <w:t xml:space="preserve"> All authors have read the CARE checklist (2016) and prepared and revised the manuscript in accordance with the CARE checklist (2016).</w:t>
      </w:r>
    </w:p>
    <w:p w14:paraId="2243AC30" w14:textId="77777777" w:rsidR="00B135FF" w:rsidRPr="00772D93" w:rsidRDefault="00B135FF" w:rsidP="00772D93">
      <w:pPr>
        <w:adjustRightInd w:val="0"/>
        <w:snapToGrid w:val="0"/>
        <w:spacing w:after="0" w:line="360" w:lineRule="auto"/>
        <w:jc w:val="both"/>
        <w:rPr>
          <w:rFonts w:ascii="Book Antiqua" w:hAnsi="Book Antiqua"/>
          <w:sz w:val="24"/>
          <w:szCs w:val="24"/>
        </w:rPr>
      </w:pPr>
    </w:p>
    <w:p w14:paraId="1931785E" w14:textId="77777777" w:rsidR="00B135FF" w:rsidRPr="00772D93" w:rsidRDefault="00B135FF" w:rsidP="00772D93">
      <w:pPr>
        <w:adjustRightInd w:val="0"/>
        <w:snapToGrid w:val="0"/>
        <w:spacing w:after="0" w:line="360" w:lineRule="auto"/>
        <w:jc w:val="both"/>
        <w:rPr>
          <w:rFonts w:ascii="Book Antiqua" w:hAnsi="Book Antiqua"/>
          <w:sz w:val="24"/>
          <w:szCs w:val="24"/>
        </w:rPr>
      </w:pPr>
      <w:r w:rsidRPr="00772D93">
        <w:rPr>
          <w:rFonts w:ascii="Book Antiqua" w:hAnsi="Book Antiqua"/>
          <w:b/>
          <w:sz w:val="24"/>
          <w:szCs w:val="24"/>
        </w:rPr>
        <w:t xml:space="preserve">Open-Access: </w:t>
      </w:r>
      <w:r w:rsidRPr="00772D9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72D93">
          <w:rPr>
            <w:rStyle w:val="Hyperlink"/>
            <w:rFonts w:ascii="Book Antiqua" w:hAnsi="Book Antiqua"/>
            <w:color w:val="auto"/>
            <w:sz w:val="24"/>
            <w:szCs w:val="24"/>
            <w:u w:val="none"/>
          </w:rPr>
          <w:t>http://creativecommons.org/licenses/by-nc/4.0/</w:t>
        </w:r>
      </w:hyperlink>
    </w:p>
    <w:p w14:paraId="37476385" w14:textId="77777777" w:rsidR="00B135FF" w:rsidRPr="00772D93" w:rsidRDefault="00B135FF" w:rsidP="00772D93">
      <w:pPr>
        <w:spacing w:after="0" w:line="360" w:lineRule="auto"/>
        <w:jc w:val="both"/>
        <w:rPr>
          <w:rFonts w:ascii="Book Antiqua" w:hAnsi="Book Antiqua" w:cs="Times New Roman"/>
          <w:sz w:val="24"/>
          <w:szCs w:val="24"/>
          <w:lang w:eastAsia="zh-CN"/>
        </w:rPr>
      </w:pPr>
    </w:p>
    <w:p w14:paraId="19E37A34" w14:textId="5D0FC388" w:rsidR="00B135FF" w:rsidRPr="00772D93" w:rsidRDefault="00B135FF" w:rsidP="00772D93">
      <w:pPr>
        <w:spacing w:after="0" w:line="360" w:lineRule="auto"/>
        <w:jc w:val="both"/>
        <w:rPr>
          <w:rFonts w:ascii="Book Antiqua" w:eastAsia="SimSun" w:hAnsi="Book Antiqua" w:cs="SimSun"/>
          <w:sz w:val="24"/>
          <w:szCs w:val="24"/>
          <w:lang w:eastAsia="zh-CN"/>
        </w:rPr>
      </w:pPr>
      <w:r w:rsidRPr="00772D93">
        <w:rPr>
          <w:rFonts w:ascii="Book Antiqua" w:eastAsia="SimSun" w:hAnsi="Book Antiqua" w:cs="SimSun"/>
          <w:b/>
          <w:sz w:val="24"/>
          <w:szCs w:val="24"/>
        </w:rPr>
        <w:t>Manuscript source:</w:t>
      </w:r>
      <w:r w:rsidRPr="00772D93">
        <w:rPr>
          <w:rFonts w:ascii="Book Antiqua" w:eastAsia="SimSun" w:hAnsi="Book Antiqua" w:cs="SimSun"/>
          <w:sz w:val="24"/>
          <w:szCs w:val="24"/>
        </w:rPr>
        <w:t> Unsolicited manuscript</w:t>
      </w:r>
    </w:p>
    <w:p w14:paraId="40CD1E4F" w14:textId="77777777" w:rsidR="00B135FF" w:rsidRPr="00772D93" w:rsidRDefault="00B135FF" w:rsidP="00772D93">
      <w:pPr>
        <w:spacing w:after="0" w:line="360" w:lineRule="auto"/>
        <w:jc w:val="both"/>
        <w:rPr>
          <w:rFonts w:ascii="Book Antiqua" w:hAnsi="Book Antiqua" w:cs="Times New Roman"/>
          <w:sz w:val="24"/>
          <w:szCs w:val="24"/>
          <w:lang w:eastAsia="zh-CN"/>
        </w:rPr>
      </w:pPr>
    </w:p>
    <w:p w14:paraId="79751457" w14:textId="1D1296A3" w:rsidR="00277CBE" w:rsidRPr="00772D93" w:rsidRDefault="00277CBE" w:rsidP="00772D93">
      <w:pPr>
        <w:spacing w:after="0" w:line="360" w:lineRule="auto"/>
        <w:jc w:val="both"/>
        <w:rPr>
          <w:rFonts w:ascii="Book Antiqua" w:hAnsi="Book Antiqua" w:cs="Times New Roman"/>
          <w:sz w:val="24"/>
          <w:szCs w:val="24"/>
          <w:lang w:val="en-GB" w:eastAsia="zh-CN"/>
        </w:rPr>
      </w:pPr>
      <w:r w:rsidRPr="00772D93">
        <w:rPr>
          <w:rFonts w:ascii="Book Antiqua" w:hAnsi="Book Antiqua"/>
          <w:b/>
          <w:sz w:val="24"/>
          <w:szCs w:val="24"/>
        </w:rPr>
        <w:t>Corresponding author:</w:t>
      </w:r>
      <w:r w:rsidR="001B174D" w:rsidRPr="00772D93">
        <w:rPr>
          <w:rFonts w:ascii="Book Antiqua" w:eastAsia="Times New Roman" w:hAnsi="Book Antiqua" w:cs="Times New Roman"/>
          <w:sz w:val="24"/>
          <w:szCs w:val="24"/>
          <w:lang w:val="en-GB"/>
        </w:rPr>
        <w:t xml:space="preserve"> </w:t>
      </w:r>
      <w:proofErr w:type="spellStart"/>
      <w:r w:rsidRPr="00772D93">
        <w:rPr>
          <w:rFonts w:ascii="Book Antiqua" w:eastAsia="Times New Roman" w:hAnsi="Book Antiqua" w:cs="Times New Roman"/>
          <w:b/>
          <w:sz w:val="24"/>
          <w:szCs w:val="24"/>
          <w:lang w:val="en-GB"/>
        </w:rPr>
        <w:t>Edita</w:t>
      </w:r>
      <w:proofErr w:type="spellEnd"/>
      <w:r w:rsidRPr="00772D93">
        <w:rPr>
          <w:rFonts w:ascii="Book Antiqua" w:eastAsia="Times New Roman" w:hAnsi="Book Antiqua" w:cs="Times New Roman"/>
          <w:b/>
          <w:sz w:val="24"/>
          <w:szCs w:val="24"/>
          <w:lang w:val="en-GB"/>
        </w:rPr>
        <w:t xml:space="preserve"> </w:t>
      </w:r>
      <w:proofErr w:type="spellStart"/>
      <w:r w:rsidRPr="00772D93">
        <w:rPr>
          <w:rFonts w:ascii="Book Antiqua" w:eastAsia="Times New Roman" w:hAnsi="Book Antiqua" w:cs="Times New Roman"/>
          <w:b/>
          <w:sz w:val="24"/>
          <w:szCs w:val="24"/>
          <w:lang w:val="en-GB"/>
        </w:rPr>
        <w:t>Lycholip</w:t>
      </w:r>
      <w:proofErr w:type="spellEnd"/>
      <w:r w:rsidRPr="00772D93">
        <w:rPr>
          <w:rFonts w:ascii="Book Antiqua" w:eastAsia="Times New Roman" w:hAnsi="Book Antiqua" w:cs="Times New Roman"/>
          <w:b/>
          <w:sz w:val="24"/>
          <w:szCs w:val="24"/>
          <w:lang w:val="en-GB"/>
        </w:rPr>
        <w:t xml:space="preserve">, PhD, Chief Nurse, </w:t>
      </w:r>
      <w:proofErr w:type="spellStart"/>
      <w:r w:rsidRPr="00772D93">
        <w:rPr>
          <w:rFonts w:ascii="Book Antiqua" w:eastAsia="Times New Roman" w:hAnsi="Book Antiqua" w:cs="Times New Roman"/>
          <w:sz w:val="24"/>
          <w:szCs w:val="24"/>
          <w:lang w:val="en-GB"/>
        </w:rPr>
        <w:t>Center</w:t>
      </w:r>
      <w:proofErr w:type="spellEnd"/>
      <w:r w:rsidRPr="00772D93">
        <w:rPr>
          <w:rFonts w:ascii="Book Antiqua" w:eastAsia="Times New Roman" w:hAnsi="Book Antiqua" w:cs="Times New Roman"/>
          <w:sz w:val="24"/>
          <w:szCs w:val="24"/>
          <w:lang w:val="en-GB"/>
        </w:rPr>
        <w:t xml:space="preserve"> of Cardiology and Angiology, Vilnius University Hospital </w:t>
      </w:r>
      <w:proofErr w:type="spellStart"/>
      <w:r w:rsidRPr="00772D93">
        <w:rPr>
          <w:rFonts w:ascii="Book Antiqua" w:eastAsia="Times New Roman" w:hAnsi="Book Antiqua" w:cs="Times New Roman"/>
          <w:sz w:val="24"/>
          <w:szCs w:val="24"/>
          <w:lang w:val="en-GB"/>
        </w:rPr>
        <w:t>Santaros</w:t>
      </w:r>
      <w:proofErr w:type="spellEnd"/>
      <w:r w:rsidRPr="00772D93">
        <w:rPr>
          <w:rFonts w:ascii="Book Antiqua" w:eastAsia="Times New Roman" w:hAnsi="Book Antiqua" w:cs="Times New Roman"/>
          <w:sz w:val="24"/>
          <w:szCs w:val="24"/>
          <w:lang w:val="en-GB"/>
        </w:rPr>
        <w:t xml:space="preserve"> </w:t>
      </w:r>
      <w:proofErr w:type="spellStart"/>
      <w:r w:rsidRPr="00772D93">
        <w:rPr>
          <w:rFonts w:ascii="Book Antiqua" w:eastAsia="Times New Roman" w:hAnsi="Book Antiqua" w:cs="Times New Roman"/>
          <w:sz w:val="24"/>
          <w:szCs w:val="24"/>
          <w:lang w:val="en-GB"/>
        </w:rPr>
        <w:t>Klinikos</w:t>
      </w:r>
      <w:proofErr w:type="spellEnd"/>
      <w:r w:rsidRPr="00772D93">
        <w:rPr>
          <w:rFonts w:ascii="Book Antiqua" w:eastAsia="Times New Roman" w:hAnsi="Book Antiqua" w:cs="Times New Roman"/>
          <w:sz w:val="24"/>
          <w:szCs w:val="24"/>
          <w:lang w:val="en-GB"/>
        </w:rPr>
        <w:t xml:space="preserve">, Santariskiu-2, Vilnius 08661, Lithuania. </w:t>
      </w:r>
      <w:hyperlink r:id="rId9" w:history="1">
        <w:r w:rsidRPr="00772D93">
          <w:rPr>
            <w:rStyle w:val="Hyperlink"/>
            <w:rFonts w:ascii="Book Antiqua" w:eastAsia="Times New Roman" w:hAnsi="Book Antiqua" w:cs="Times New Roman"/>
            <w:color w:val="auto"/>
            <w:sz w:val="24"/>
            <w:szCs w:val="24"/>
            <w:u w:val="none"/>
            <w:lang w:val="en-GB"/>
          </w:rPr>
          <w:t>edita.lycholip@santa.lt</w:t>
        </w:r>
      </w:hyperlink>
    </w:p>
    <w:p w14:paraId="5A337260" w14:textId="51876E02" w:rsidR="00463CF9" w:rsidRPr="00772D93" w:rsidRDefault="00463CF9" w:rsidP="00772D93">
      <w:pPr>
        <w:spacing w:after="0" w:line="360" w:lineRule="auto"/>
        <w:jc w:val="both"/>
        <w:rPr>
          <w:rFonts w:ascii="Book Antiqua" w:hAnsi="Book Antiqua"/>
          <w:b/>
          <w:sz w:val="24"/>
          <w:szCs w:val="24"/>
        </w:rPr>
      </w:pPr>
      <w:r w:rsidRPr="00772D93">
        <w:rPr>
          <w:rFonts w:ascii="Book Antiqua" w:hAnsi="Book Antiqua"/>
          <w:b/>
          <w:sz w:val="24"/>
          <w:szCs w:val="24"/>
        </w:rPr>
        <w:t xml:space="preserve">Telephone: </w:t>
      </w:r>
      <w:r w:rsidR="00CD64C6" w:rsidRPr="00772D93">
        <w:rPr>
          <w:rFonts w:ascii="Book Antiqua" w:hAnsi="Book Antiqua"/>
          <w:sz w:val="24"/>
          <w:szCs w:val="24"/>
        </w:rPr>
        <w:t>+370-688-62459</w:t>
      </w:r>
    </w:p>
    <w:p w14:paraId="02B7BEEC" w14:textId="578A5BEF" w:rsidR="00463CF9" w:rsidRPr="00772D93" w:rsidRDefault="00463CF9" w:rsidP="00772D93">
      <w:pPr>
        <w:spacing w:after="0" w:line="360" w:lineRule="auto"/>
        <w:jc w:val="both"/>
        <w:rPr>
          <w:rFonts w:ascii="Book Antiqua" w:hAnsi="Book Antiqua"/>
          <w:b/>
          <w:sz w:val="24"/>
          <w:szCs w:val="24"/>
        </w:rPr>
      </w:pPr>
      <w:r w:rsidRPr="00772D93">
        <w:rPr>
          <w:rFonts w:ascii="Book Antiqua" w:hAnsi="Book Antiqua"/>
          <w:b/>
          <w:sz w:val="24"/>
          <w:szCs w:val="24"/>
        </w:rPr>
        <w:t>Fax:</w:t>
      </w:r>
      <w:r w:rsidR="000439F1" w:rsidRPr="00772D93">
        <w:rPr>
          <w:rFonts w:ascii="Book Antiqua" w:hAnsi="Book Antiqua"/>
          <w:b/>
          <w:sz w:val="24"/>
          <w:szCs w:val="24"/>
        </w:rPr>
        <w:t xml:space="preserve"> </w:t>
      </w:r>
      <w:r w:rsidR="000439F1" w:rsidRPr="00772D93">
        <w:rPr>
          <w:rFonts w:ascii="Book Antiqua" w:hAnsi="Book Antiqua"/>
          <w:sz w:val="24"/>
          <w:szCs w:val="24"/>
        </w:rPr>
        <w:t>+370-</w:t>
      </w:r>
      <w:r w:rsidR="00277CBE" w:rsidRPr="00772D93">
        <w:rPr>
          <w:rFonts w:ascii="Book Antiqua" w:hAnsi="Book Antiqua"/>
          <w:sz w:val="24"/>
          <w:szCs w:val="24"/>
        </w:rPr>
        <w:t>5250</w:t>
      </w:r>
      <w:r w:rsidR="00277CBE" w:rsidRPr="00772D93">
        <w:rPr>
          <w:rFonts w:ascii="Book Antiqua" w:hAnsi="Book Antiqua"/>
          <w:sz w:val="24"/>
          <w:szCs w:val="24"/>
          <w:lang w:eastAsia="zh-CN"/>
        </w:rPr>
        <w:t>-</w:t>
      </w:r>
      <w:r w:rsidR="001B51D3" w:rsidRPr="00772D93">
        <w:rPr>
          <w:rFonts w:ascii="Book Antiqua" w:hAnsi="Book Antiqua"/>
          <w:sz w:val="24"/>
          <w:szCs w:val="24"/>
        </w:rPr>
        <w:t>1742</w:t>
      </w:r>
    </w:p>
    <w:p w14:paraId="585840AB" w14:textId="77777777" w:rsidR="00EA04FF" w:rsidRPr="00772D93" w:rsidRDefault="00EA04FF" w:rsidP="00772D93">
      <w:pPr>
        <w:spacing w:after="0" w:line="360" w:lineRule="auto"/>
        <w:jc w:val="both"/>
        <w:rPr>
          <w:rStyle w:val="Hyperlink"/>
          <w:rFonts w:ascii="Book Antiqua" w:eastAsia="Times New Roman" w:hAnsi="Book Antiqua" w:cs="Times New Roman"/>
          <w:color w:val="auto"/>
          <w:sz w:val="24"/>
          <w:szCs w:val="24"/>
          <w:u w:val="none"/>
          <w:lang w:val="en-GB"/>
        </w:rPr>
      </w:pPr>
    </w:p>
    <w:p w14:paraId="5063468C" w14:textId="4C722785" w:rsidR="00B135FF" w:rsidRPr="00772D93" w:rsidRDefault="00B135FF" w:rsidP="00772D93">
      <w:pPr>
        <w:spacing w:after="0" w:line="360" w:lineRule="auto"/>
        <w:jc w:val="both"/>
        <w:rPr>
          <w:rFonts w:ascii="Book Antiqua" w:hAnsi="Book Antiqua"/>
          <w:b/>
          <w:sz w:val="24"/>
          <w:szCs w:val="24"/>
        </w:rPr>
      </w:pPr>
      <w:r w:rsidRPr="00772D93">
        <w:rPr>
          <w:rFonts w:ascii="Book Antiqua" w:hAnsi="Book Antiqua"/>
          <w:b/>
          <w:sz w:val="24"/>
          <w:szCs w:val="24"/>
        </w:rPr>
        <w:t xml:space="preserve">Received: </w:t>
      </w:r>
      <w:r w:rsidR="00616546" w:rsidRPr="00772D93">
        <w:rPr>
          <w:rFonts w:ascii="Book Antiqua" w:hAnsi="Book Antiqua"/>
          <w:sz w:val="24"/>
          <w:szCs w:val="24"/>
          <w:lang w:eastAsia="zh-CN"/>
        </w:rPr>
        <w:t>December 20, 2018</w:t>
      </w:r>
      <w:r w:rsidR="00772D93">
        <w:rPr>
          <w:rFonts w:ascii="Book Antiqua" w:hAnsi="Book Antiqua"/>
          <w:sz w:val="24"/>
          <w:szCs w:val="24"/>
        </w:rPr>
        <w:t xml:space="preserve"> </w:t>
      </w:r>
    </w:p>
    <w:p w14:paraId="0B964E51" w14:textId="3A72F305" w:rsidR="00B135FF" w:rsidRPr="00772D93" w:rsidRDefault="00B135FF" w:rsidP="00772D93">
      <w:pPr>
        <w:spacing w:after="0" w:line="360" w:lineRule="auto"/>
        <w:jc w:val="both"/>
        <w:rPr>
          <w:rFonts w:ascii="Book Antiqua" w:hAnsi="Book Antiqua"/>
          <w:b/>
          <w:sz w:val="24"/>
          <w:szCs w:val="24"/>
        </w:rPr>
      </w:pPr>
      <w:r w:rsidRPr="00772D93">
        <w:rPr>
          <w:rFonts w:ascii="Book Antiqua" w:hAnsi="Book Antiqua"/>
          <w:b/>
          <w:sz w:val="24"/>
          <w:szCs w:val="24"/>
        </w:rPr>
        <w:t>Peer-review started:</w:t>
      </w:r>
      <w:r w:rsidR="00616546" w:rsidRPr="00772D93">
        <w:rPr>
          <w:rFonts w:ascii="Book Antiqua" w:hAnsi="Book Antiqua"/>
          <w:sz w:val="24"/>
          <w:szCs w:val="24"/>
          <w:lang w:eastAsia="zh-CN"/>
        </w:rPr>
        <w:t xml:space="preserve"> December 20, 2018</w:t>
      </w:r>
      <w:r w:rsidR="00772D93">
        <w:rPr>
          <w:rFonts w:ascii="Book Antiqua" w:hAnsi="Book Antiqua"/>
          <w:sz w:val="24"/>
          <w:szCs w:val="24"/>
        </w:rPr>
        <w:t xml:space="preserve"> </w:t>
      </w:r>
    </w:p>
    <w:p w14:paraId="20472AA8" w14:textId="01326D31" w:rsidR="00B135FF" w:rsidRPr="00772D93" w:rsidRDefault="00B135FF" w:rsidP="00772D93">
      <w:pPr>
        <w:spacing w:after="0" w:line="360" w:lineRule="auto"/>
        <w:jc w:val="both"/>
        <w:rPr>
          <w:rFonts w:ascii="Book Antiqua" w:hAnsi="Book Antiqua"/>
          <w:b/>
          <w:sz w:val="24"/>
          <w:szCs w:val="24"/>
        </w:rPr>
      </w:pPr>
      <w:r w:rsidRPr="00772D93">
        <w:rPr>
          <w:rFonts w:ascii="Book Antiqua" w:hAnsi="Book Antiqua"/>
          <w:b/>
          <w:sz w:val="24"/>
          <w:szCs w:val="24"/>
        </w:rPr>
        <w:t>First decision:</w:t>
      </w:r>
      <w:r w:rsidR="00616546" w:rsidRPr="00772D93">
        <w:rPr>
          <w:rFonts w:ascii="Book Antiqua" w:hAnsi="Book Antiqua"/>
          <w:sz w:val="24"/>
          <w:szCs w:val="24"/>
          <w:lang w:eastAsia="zh-CN"/>
        </w:rPr>
        <w:t xml:space="preserve"> January 12, 2019</w:t>
      </w:r>
      <w:r w:rsidR="00772D93">
        <w:rPr>
          <w:rFonts w:ascii="Book Antiqua" w:hAnsi="Book Antiqua"/>
          <w:sz w:val="24"/>
          <w:szCs w:val="24"/>
        </w:rPr>
        <w:t xml:space="preserve"> </w:t>
      </w:r>
    </w:p>
    <w:p w14:paraId="653C2F78" w14:textId="692EC82C" w:rsidR="00B135FF" w:rsidRPr="00772D93" w:rsidRDefault="00B135FF" w:rsidP="00772D93">
      <w:pPr>
        <w:spacing w:after="0" w:line="360" w:lineRule="auto"/>
        <w:jc w:val="both"/>
        <w:rPr>
          <w:rFonts w:ascii="Book Antiqua" w:hAnsi="Book Antiqua"/>
          <w:b/>
          <w:sz w:val="24"/>
          <w:szCs w:val="24"/>
        </w:rPr>
      </w:pPr>
      <w:r w:rsidRPr="00772D93">
        <w:rPr>
          <w:rFonts w:ascii="Book Antiqua" w:hAnsi="Book Antiqua"/>
          <w:b/>
          <w:sz w:val="24"/>
          <w:szCs w:val="24"/>
        </w:rPr>
        <w:t xml:space="preserve">Revised: </w:t>
      </w:r>
      <w:r w:rsidR="00616546" w:rsidRPr="00772D93">
        <w:rPr>
          <w:rFonts w:ascii="Book Antiqua" w:hAnsi="Book Antiqua"/>
          <w:sz w:val="24"/>
          <w:szCs w:val="24"/>
          <w:lang w:eastAsia="zh-CN"/>
        </w:rPr>
        <w:t>February 15, 2019</w:t>
      </w:r>
      <w:r w:rsidR="00772D93">
        <w:rPr>
          <w:rFonts w:ascii="Book Antiqua" w:hAnsi="Book Antiqua"/>
          <w:sz w:val="24"/>
          <w:szCs w:val="24"/>
        </w:rPr>
        <w:t xml:space="preserve"> </w:t>
      </w:r>
    </w:p>
    <w:p w14:paraId="50F5F086" w14:textId="3DB97763" w:rsidR="00B135FF" w:rsidRPr="00772D93" w:rsidRDefault="00B135FF" w:rsidP="00772D93">
      <w:pPr>
        <w:spacing w:after="0" w:line="360" w:lineRule="auto"/>
        <w:jc w:val="both"/>
        <w:rPr>
          <w:rFonts w:ascii="Book Antiqua" w:hAnsi="Book Antiqua"/>
          <w:b/>
          <w:sz w:val="24"/>
          <w:szCs w:val="24"/>
        </w:rPr>
      </w:pPr>
      <w:r w:rsidRPr="00772D93">
        <w:rPr>
          <w:rFonts w:ascii="Book Antiqua" w:hAnsi="Book Antiqua"/>
          <w:b/>
          <w:sz w:val="24"/>
          <w:szCs w:val="24"/>
        </w:rPr>
        <w:t>Accepted:</w:t>
      </w:r>
      <w:r w:rsidR="005B126E" w:rsidRPr="005B126E">
        <w:t xml:space="preserve"> </w:t>
      </w:r>
      <w:r w:rsidR="005B126E" w:rsidRPr="005B126E">
        <w:rPr>
          <w:rFonts w:ascii="Book Antiqua" w:hAnsi="Book Antiqua"/>
          <w:sz w:val="24"/>
          <w:szCs w:val="24"/>
        </w:rPr>
        <w:t>February 26, 2019</w:t>
      </w:r>
      <w:r w:rsidR="00772D93">
        <w:rPr>
          <w:rFonts w:ascii="Book Antiqua" w:hAnsi="Book Antiqua"/>
          <w:b/>
          <w:sz w:val="24"/>
          <w:szCs w:val="24"/>
        </w:rPr>
        <w:t xml:space="preserve"> </w:t>
      </w:r>
      <w:bookmarkStart w:id="0" w:name="_GoBack"/>
      <w:bookmarkEnd w:id="0"/>
    </w:p>
    <w:p w14:paraId="06192E08" w14:textId="4F8D5E93" w:rsidR="00B135FF" w:rsidRPr="00772D93" w:rsidRDefault="00B135FF" w:rsidP="00772D93">
      <w:pPr>
        <w:spacing w:after="0" w:line="360" w:lineRule="auto"/>
        <w:jc w:val="both"/>
        <w:rPr>
          <w:rFonts w:ascii="Book Antiqua" w:hAnsi="Book Antiqua"/>
          <w:sz w:val="24"/>
          <w:szCs w:val="24"/>
        </w:rPr>
      </w:pPr>
      <w:r w:rsidRPr="00772D93">
        <w:rPr>
          <w:rFonts w:ascii="Book Antiqua" w:hAnsi="Book Antiqua"/>
          <w:b/>
          <w:sz w:val="24"/>
          <w:szCs w:val="24"/>
        </w:rPr>
        <w:t>Article in press:</w:t>
      </w:r>
      <w:r w:rsidR="00772D93">
        <w:rPr>
          <w:rFonts w:ascii="Book Antiqua" w:hAnsi="Book Antiqua"/>
          <w:sz w:val="24"/>
          <w:szCs w:val="24"/>
        </w:rPr>
        <w:t xml:space="preserve"> </w:t>
      </w:r>
    </w:p>
    <w:p w14:paraId="0F07AB39" w14:textId="77777777" w:rsidR="00B135FF" w:rsidRPr="00772D93" w:rsidRDefault="00B135FF" w:rsidP="00772D93">
      <w:pPr>
        <w:spacing w:after="0" w:line="360" w:lineRule="auto"/>
        <w:jc w:val="both"/>
        <w:rPr>
          <w:rFonts w:ascii="Book Antiqua" w:hAnsi="Book Antiqua"/>
          <w:b/>
          <w:sz w:val="24"/>
          <w:szCs w:val="24"/>
        </w:rPr>
      </w:pPr>
      <w:r w:rsidRPr="00772D93">
        <w:rPr>
          <w:rFonts w:ascii="Book Antiqua" w:hAnsi="Book Antiqua"/>
          <w:b/>
          <w:sz w:val="24"/>
          <w:szCs w:val="24"/>
        </w:rPr>
        <w:t xml:space="preserve">Published online: </w:t>
      </w:r>
    </w:p>
    <w:p w14:paraId="0FC82131" w14:textId="77777777" w:rsidR="00616546" w:rsidRPr="00772D93" w:rsidRDefault="00616546" w:rsidP="00772D93">
      <w:pPr>
        <w:spacing w:after="0" w:line="360" w:lineRule="auto"/>
        <w:jc w:val="both"/>
        <w:rPr>
          <w:rFonts w:ascii="Book Antiqua" w:hAnsi="Book Antiqua" w:cs="Times New Roman"/>
          <w:sz w:val="24"/>
          <w:szCs w:val="24"/>
        </w:rPr>
      </w:pPr>
      <w:r w:rsidRPr="00772D93">
        <w:rPr>
          <w:rFonts w:ascii="Book Antiqua" w:hAnsi="Book Antiqua" w:cs="Times New Roman"/>
          <w:sz w:val="24"/>
          <w:szCs w:val="24"/>
        </w:rPr>
        <w:br w:type="page"/>
      </w:r>
    </w:p>
    <w:p w14:paraId="0A630F58" w14:textId="77777777" w:rsidR="002C7A2F" w:rsidRDefault="003D4AD5" w:rsidP="002C7A2F">
      <w:pPr>
        <w:spacing w:after="0" w:line="360" w:lineRule="auto"/>
        <w:jc w:val="both"/>
        <w:rPr>
          <w:rFonts w:ascii="Book Antiqua" w:hAnsi="Book Antiqua" w:cs="Times New Roman"/>
          <w:b/>
          <w:sz w:val="24"/>
          <w:szCs w:val="24"/>
          <w:lang w:eastAsia="zh-CN"/>
        </w:rPr>
      </w:pPr>
      <w:r w:rsidRPr="00772D93">
        <w:rPr>
          <w:rFonts w:ascii="Book Antiqua" w:hAnsi="Book Antiqua" w:cs="Times New Roman"/>
          <w:b/>
          <w:sz w:val="24"/>
          <w:szCs w:val="24"/>
        </w:rPr>
        <w:lastRenderedPageBreak/>
        <w:t>A</w:t>
      </w:r>
      <w:r w:rsidR="00C67395" w:rsidRPr="00772D93">
        <w:rPr>
          <w:rFonts w:ascii="Book Antiqua" w:hAnsi="Book Antiqua" w:cs="Times New Roman"/>
          <w:b/>
          <w:sz w:val="24"/>
          <w:szCs w:val="24"/>
        </w:rPr>
        <w:t>bstract</w:t>
      </w:r>
    </w:p>
    <w:p w14:paraId="3E1CA57E" w14:textId="77777777" w:rsidR="002C7A2F" w:rsidRDefault="00616546" w:rsidP="002C7A2F">
      <w:pPr>
        <w:spacing w:after="0" w:line="360" w:lineRule="auto"/>
        <w:jc w:val="both"/>
        <w:rPr>
          <w:rFonts w:ascii="Book Antiqua" w:hAnsi="Book Antiqua" w:cs="Times New Roman"/>
          <w:b/>
          <w:sz w:val="24"/>
          <w:szCs w:val="24"/>
          <w:lang w:eastAsia="zh-CN"/>
        </w:rPr>
      </w:pPr>
      <w:r w:rsidRPr="00772D93">
        <w:rPr>
          <w:rFonts w:ascii="Book Antiqua" w:hAnsi="Book Antiqua" w:cs="Times New Roman"/>
          <w:b/>
          <w:i/>
          <w:sz w:val="24"/>
          <w:szCs w:val="24"/>
        </w:rPr>
        <w:t>BACKGROUND</w:t>
      </w:r>
    </w:p>
    <w:p w14:paraId="1CDE2BA7" w14:textId="77777777" w:rsidR="002C7A2F" w:rsidRDefault="00BE4E66" w:rsidP="002C7A2F">
      <w:pPr>
        <w:spacing w:after="0" w:line="360" w:lineRule="auto"/>
        <w:jc w:val="both"/>
        <w:rPr>
          <w:rFonts w:ascii="Book Antiqua" w:hAnsi="Book Antiqua" w:cs="Times New Roman"/>
          <w:b/>
          <w:sz w:val="24"/>
          <w:szCs w:val="24"/>
          <w:lang w:eastAsia="zh-CN"/>
        </w:rPr>
      </w:pPr>
      <w:r w:rsidRPr="00772D93">
        <w:rPr>
          <w:rFonts w:ascii="Book Antiqua" w:hAnsi="Book Antiqua" w:cs="Times New Roman"/>
          <w:sz w:val="24"/>
          <w:szCs w:val="24"/>
        </w:rPr>
        <w:t>Patien</w:t>
      </w:r>
      <w:r w:rsidR="00AC12CB" w:rsidRPr="00772D93">
        <w:rPr>
          <w:rFonts w:ascii="Book Antiqua" w:hAnsi="Book Antiqua" w:cs="Times New Roman"/>
          <w:sz w:val="24"/>
          <w:szCs w:val="24"/>
        </w:rPr>
        <w:t xml:space="preserve">ts discharged after </w:t>
      </w:r>
      <w:r w:rsidRPr="00772D93">
        <w:rPr>
          <w:rFonts w:ascii="Book Antiqua" w:hAnsi="Book Antiqua" w:cs="Times New Roman"/>
          <w:sz w:val="24"/>
          <w:szCs w:val="24"/>
        </w:rPr>
        <w:t>hospitalizati</w:t>
      </w:r>
      <w:r w:rsidR="00AC12CB" w:rsidRPr="00772D93">
        <w:rPr>
          <w:rFonts w:ascii="Book Antiqua" w:hAnsi="Book Antiqua" w:cs="Times New Roman"/>
          <w:sz w:val="24"/>
          <w:szCs w:val="24"/>
        </w:rPr>
        <w:t>on for acute heart failure</w:t>
      </w:r>
      <w:r w:rsidR="00740F70" w:rsidRPr="00772D93">
        <w:rPr>
          <w:rFonts w:ascii="Book Antiqua" w:hAnsi="Book Antiqua" w:cs="Times New Roman"/>
          <w:sz w:val="24"/>
          <w:szCs w:val="24"/>
        </w:rPr>
        <w:t xml:space="preserve"> (</w:t>
      </w:r>
      <w:r w:rsidR="00E040E9" w:rsidRPr="00772D93">
        <w:rPr>
          <w:rFonts w:ascii="Book Antiqua" w:hAnsi="Book Antiqua" w:cs="Times New Roman"/>
          <w:sz w:val="24"/>
          <w:szCs w:val="24"/>
        </w:rPr>
        <w:t>A</w:t>
      </w:r>
      <w:r w:rsidR="00740F70" w:rsidRPr="00772D93">
        <w:rPr>
          <w:rFonts w:ascii="Book Antiqua" w:hAnsi="Book Antiqua" w:cs="Times New Roman"/>
          <w:sz w:val="24"/>
          <w:szCs w:val="24"/>
        </w:rPr>
        <w:t>HF)</w:t>
      </w:r>
      <w:r w:rsidRPr="00772D93">
        <w:rPr>
          <w:rFonts w:ascii="Book Antiqua" w:hAnsi="Book Antiqua" w:cs="Times New Roman"/>
          <w:sz w:val="24"/>
          <w:szCs w:val="24"/>
        </w:rPr>
        <w:t xml:space="preserve"> </w:t>
      </w:r>
      <w:r w:rsidR="00146A4E" w:rsidRPr="00772D93">
        <w:rPr>
          <w:rFonts w:ascii="Book Antiqua" w:hAnsi="Book Antiqua" w:cs="Times New Roman"/>
          <w:sz w:val="24"/>
          <w:szCs w:val="24"/>
        </w:rPr>
        <w:t xml:space="preserve">are </w:t>
      </w:r>
      <w:r w:rsidRPr="00772D93">
        <w:rPr>
          <w:rFonts w:ascii="Book Antiqua" w:hAnsi="Book Antiqua" w:cs="Times New Roman"/>
          <w:sz w:val="24"/>
          <w:szCs w:val="24"/>
        </w:rPr>
        <w:t>frequently</w:t>
      </w:r>
      <w:r w:rsidR="00FB0BBC" w:rsidRPr="00772D93">
        <w:rPr>
          <w:rFonts w:ascii="Book Antiqua" w:hAnsi="Book Antiqua" w:cs="Times New Roman"/>
          <w:sz w:val="24"/>
          <w:szCs w:val="24"/>
        </w:rPr>
        <w:t xml:space="preserve"> </w:t>
      </w:r>
      <w:r w:rsidR="00BE23BF" w:rsidRPr="00772D93">
        <w:rPr>
          <w:rFonts w:ascii="Book Antiqua" w:hAnsi="Book Antiqua" w:cs="Times New Roman"/>
          <w:sz w:val="24"/>
          <w:szCs w:val="24"/>
        </w:rPr>
        <w:t>readmitted due</w:t>
      </w:r>
      <w:r w:rsidR="00FB0BBC" w:rsidRPr="00772D93">
        <w:rPr>
          <w:rFonts w:ascii="Book Antiqua" w:hAnsi="Book Antiqua" w:cs="Times New Roman"/>
          <w:sz w:val="24"/>
          <w:szCs w:val="24"/>
        </w:rPr>
        <w:t xml:space="preserve"> to</w:t>
      </w:r>
      <w:r w:rsidR="00146A4E" w:rsidRPr="00772D93">
        <w:rPr>
          <w:rFonts w:ascii="Book Antiqua" w:hAnsi="Book Antiqua" w:cs="Times New Roman"/>
          <w:sz w:val="24"/>
          <w:szCs w:val="24"/>
        </w:rPr>
        <w:t xml:space="preserve"> an</w:t>
      </w:r>
      <w:r w:rsidR="00FB0BBC" w:rsidRPr="00772D93">
        <w:rPr>
          <w:rFonts w:ascii="Book Antiqua" w:hAnsi="Book Antiqua" w:cs="Times New Roman"/>
          <w:sz w:val="24"/>
          <w:szCs w:val="24"/>
        </w:rPr>
        <w:t xml:space="preserve"> incomplete decongestion</w:t>
      </w:r>
      <w:r w:rsidR="00E231EB" w:rsidRPr="00772D93">
        <w:rPr>
          <w:rFonts w:ascii="Book Antiqua" w:hAnsi="Book Antiqua" w:cs="Times New Roman"/>
          <w:sz w:val="24"/>
          <w:szCs w:val="24"/>
        </w:rPr>
        <w:t>, which is difficult to assess clinically</w:t>
      </w:r>
      <w:r w:rsidR="00AC12CB" w:rsidRPr="00772D93">
        <w:rPr>
          <w:rFonts w:ascii="Book Antiqua" w:hAnsi="Book Antiqua" w:cs="Times New Roman"/>
          <w:sz w:val="24"/>
          <w:szCs w:val="24"/>
        </w:rPr>
        <w:t xml:space="preserve">. </w:t>
      </w:r>
      <w:r w:rsidR="00E16200" w:rsidRPr="00772D93">
        <w:rPr>
          <w:rFonts w:ascii="Book Antiqua" w:hAnsi="Book Antiqua" w:cs="Times New Roman"/>
          <w:sz w:val="24"/>
          <w:szCs w:val="24"/>
        </w:rPr>
        <w:t>Recently</w:t>
      </w:r>
      <w:r w:rsidR="00146A4E" w:rsidRPr="00772D93">
        <w:rPr>
          <w:rFonts w:ascii="Book Antiqua" w:hAnsi="Book Antiqua" w:cs="Times New Roman"/>
          <w:sz w:val="24"/>
          <w:szCs w:val="24"/>
        </w:rPr>
        <w:t>,</w:t>
      </w:r>
      <w:r w:rsidR="00E16200" w:rsidRPr="00772D93">
        <w:rPr>
          <w:rFonts w:ascii="Book Antiqua" w:hAnsi="Book Antiqua" w:cs="Times New Roman"/>
          <w:sz w:val="24"/>
          <w:szCs w:val="24"/>
        </w:rPr>
        <w:t xml:space="preserve"> it has been shown that the use of a high</w:t>
      </w:r>
      <w:r w:rsidR="00E040E9" w:rsidRPr="00772D93">
        <w:rPr>
          <w:rFonts w:ascii="Book Antiqua" w:hAnsi="Book Antiqua" w:cs="Times New Roman"/>
          <w:sz w:val="24"/>
          <w:szCs w:val="24"/>
        </w:rPr>
        <w:t>ly</w:t>
      </w:r>
      <w:r w:rsidR="00E16200" w:rsidRPr="00772D93">
        <w:rPr>
          <w:rFonts w:ascii="Book Antiqua" w:hAnsi="Book Antiqua" w:cs="Times New Roman"/>
          <w:sz w:val="24"/>
          <w:szCs w:val="24"/>
        </w:rPr>
        <w:t xml:space="preserve"> sensitive</w:t>
      </w:r>
      <w:r w:rsidR="00146A4E" w:rsidRPr="00772D93">
        <w:rPr>
          <w:rFonts w:ascii="Book Antiqua" w:hAnsi="Book Antiqua" w:cs="Times New Roman"/>
          <w:sz w:val="24"/>
          <w:szCs w:val="24"/>
        </w:rPr>
        <w:t>,</w:t>
      </w:r>
      <w:r w:rsidR="00E16200" w:rsidRPr="00772D93">
        <w:rPr>
          <w:rFonts w:ascii="Book Antiqua" w:hAnsi="Book Antiqua" w:cs="Times New Roman"/>
          <w:sz w:val="24"/>
          <w:szCs w:val="24"/>
        </w:rPr>
        <w:t xml:space="preserve"> non-invasive device measuring lung impedance </w:t>
      </w:r>
      <w:r w:rsidR="00740F70" w:rsidRPr="00772D93">
        <w:rPr>
          <w:rFonts w:ascii="Book Antiqua" w:hAnsi="Book Antiqua" w:cs="Times New Roman"/>
          <w:sz w:val="24"/>
          <w:szCs w:val="24"/>
        </w:rPr>
        <w:t xml:space="preserve">(LI) </w:t>
      </w:r>
      <w:r w:rsidR="00E16200" w:rsidRPr="00772D93">
        <w:rPr>
          <w:rFonts w:ascii="Book Antiqua" w:hAnsi="Book Antiqua" w:cs="Times New Roman"/>
          <w:sz w:val="24"/>
          <w:szCs w:val="24"/>
        </w:rPr>
        <w:t xml:space="preserve">reduces hospitalizations for </w:t>
      </w:r>
      <w:r w:rsidR="00D07B21" w:rsidRPr="00772D93">
        <w:rPr>
          <w:rFonts w:ascii="Book Antiqua" w:hAnsi="Book Antiqua" w:cs="Times New Roman"/>
          <w:sz w:val="24"/>
          <w:szCs w:val="24"/>
        </w:rPr>
        <w:t>heart failure (</w:t>
      </w:r>
      <w:r w:rsidR="00740F70" w:rsidRPr="00772D93">
        <w:rPr>
          <w:rFonts w:ascii="Book Antiqua" w:hAnsi="Book Antiqua" w:cs="Times New Roman"/>
          <w:sz w:val="24"/>
          <w:szCs w:val="24"/>
        </w:rPr>
        <w:t>HF</w:t>
      </w:r>
      <w:r w:rsidR="00146A4E" w:rsidRPr="00772D93">
        <w:rPr>
          <w:rFonts w:ascii="Book Antiqua" w:hAnsi="Book Antiqua" w:cs="Times New Roman"/>
          <w:sz w:val="24"/>
          <w:szCs w:val="24"/>
        </w:rPr>
        <w:t xml:space="preserve">); it has also been shown that this device reduces the </w:t>
      </w:r>
      <w:r w:rsidR="00E16200" w:rsidRPr="00772D93">
        <w:rPr>
          <w:rFonts w:ascii="Book Antiqua" w:hAnsi="Book Antiqua" w:cs="Times New Roman"/>
          <w:sz w:val="24"/>
          <w:szCs w:val="24"/>
        </w:rPr>
        <w:t>cardiovascular and all-cause mortality</w:t>
      </w:r>
      <w:r w:rsidR="002E1E0F" w:rsidRPr="00772D93">
        <w:rPr>
          <w:rFonts w:ascii="Book Antiqua" w:hAnsi="Book Antiqua" w:cs="Times New Roman"/>
          <w:sz w:val="24"/>
          <w:szCs w:val="24"/>
        </w:rPr>
        <w:t xml:space="preserve"> </w:t>
      </w:r>
      <w:r w:rsidR="00B913FB" w:rsidRPr="00772D93">
        <w:rPr>
          <w:rFonts w:ascii="Book Antiqua" w:hAnsi="Book Antiqua" w:cs="Times New Roman"/>
          <w:sz w:val="24"/>
          <w:szCs w:val="24"/>
        </w:rPr>
        <w:t>of</w:t>
      </w:r>
      <w:r w:rsidR="002E1E0F" w:rsidRPr="00772D93">
        <w:rPr>
          <w:rFonts w:ascii="Book Antiqua" w:hAnsi="Book Antiqua" w:cs="Times New Roman"/>
          <w:sz w:val="24"/>
          <w:szCs w:val="24"/>
        </w:rPr>
        <w:t xml:space="preserve"> stable HF patients</w:t>
      </w:r>
      <w:r w:rsidR="00277729" w:rsidRPr="00772D93">
        <w:rPr>
          <w:rFonts w:ascii="Book Antiqua" w:hAnsi="Book Antiqua" w:cs="Times New Roman"/>
          <w:sz w:val="24"/>
          <w:szCs w:val="24"/>
        </w:rPr>
        <w:t xml:space="preserve"> when used in </w:t>
      </w:r>
      <w:r w:rsidR="00146A4E" w:rsidRPr="00772D93">
        <w:rPr>
          <w:rFonts w:ascii="Book Antiqua" w:hAnsi="Book Antiqua" w:cs="Times New Roman"/>
          <w:sz w:val="24"/>
          <w:szCs w:val="24"/>
        </w:rPr>
        <w:t>long-</w:t>
      </w:r>
      <w:r w:rsidR="00277729" w:rsidRPr="00772D93">
        <w:rPr>
          <w:rFonts w:ascii="Book Antiqua" w:hAnsi="Book Antiqua" w:cs="Times New Roman"/>
          <w:sz w:val="24"/>
          <w:szCs w:val="24"/>
        </w:rPr>
        <w:t xml:space="preserve">term </w:t>
      </w:r>
      <w:r w:rsidR="000D26FE" w:rsidRPr="00772D93">
        <w:rPr>
          <w:rFonts w:ascii="Book Antiqua" w:hAnsi="Book Antiqua" w:cs="Times New Roman"/>
          <w:sz w:val="24"/>
          <w:szCs w:val="24"/>
        </w:rPr>
        <w:t xml:space="preserve">out-patient </w:t>
      </w:r>
      <w:r w:rsidR="00146A4E" w:rsidRPr="00772D93">
        <w:rPr>
          <w:rFonts w:ascii="Book Antiqua" w:hAnsi="Book Antiqua" w:cs="Times New Roman"/>
          <w:sz w:val="24"/>
          <w:szCs w:val="24"/>
        </w:rPr>
        <w:t>follow-</w:t>
      </w:r>
      <w:r w:rsidR="00277729" w:rsidRPr="00772D93">
        <w:rPr>
          <w:rFonts w:ascii="Book Antiqua" w:hAnsi="Book Antiqua" w:cs="Times New Roman"/>
          <w:sz w:val="24"/>
          <w:szCs w:val="24"/>
        </w:rPr>
        <w:t>up</w:t>
      </w:r>
      <w:r w:rsidR="00146A4E" w:rsidRPr="00772D93">
        <w:rPr>
          <w:rFonts w:ascii="Book Antiqua" w:hAnsi="Book Antiqua" w:cs="Times New Roman"/>
          <w:sz w:val="24"/>
          <w:szCs w:val="24"/>
        </w:rPr>
        <w:t>s</w:t>
      </w:r>
      <w:r w:rsidR="00E16200" w:rsidRPr="00772D93">
        <w:rPr>
          <w:rFonts w:ascii="Book Antiqua" w:hAnsi="Book Antiqua" w:cs="Times New Roman"/>
          <w:sz w:val="24"/>
          <w:szCs w:val="24"/>
        </w:rPr>
        <w:t xml:space="preserve">. </w:t>
      </w:r>
      <w:r w:rsidR="00F50319" w:rsidRPr="00772D93">
        <w:rPr>
          <w:rFonts w:ascii="Book Antiqua" w:hAnsi="Book Antiqua" w:cs="Times New Roman"/>
          <w:sz w:val="24"/>
          <w:szCs w:val="24"/>
        </w:rPr>
        <w:t xml:space="preserve">The aim of </w:t>
      </w:r>
      <w:r w:rsidR="00146A4E" w:rsidRPr="00772D93">
        <w:rPr>
          <w:rFonts w:ascii="Book Antiqua" w:hAnsi="Book Antiqua" w:cs="Times New Roman"/>
          <w:sz w:val="24"/>
          <w:szCs w:val="24"/>
        </w:rPr>
        <w:t xml:space="preserve">these </w:t>
      </w:r>
      <w:r w:rsidR="00F50319" w:rsidRPr="00772D93">
        <w:rPr>
          <w:rFonts w:ascii="Book Antiqua" w:hAnsi="Book Antiqua" w:cs="Times New Roman"/>
          <w:sz w:val="24"/>
          <w:szCs w:val="24"/>
        </w:rPr>
        <w:t xml:space="preserve">case series is to demonstrate the potential additive role of non-invasive </w:t>
      </w:r>
      <w:r w:rsidR="00702CF1" w:rsidRPr="00772D93">
        <w:rPr>
          <w:rFonts w:ascii="Book Antiqua" w:hAnsi="Book Antiqua" w:cs="Times New Roman"/>
          <w:sz w:val="24"/>
          <w:szCs w:val="24"/>
        </w:rPr>
        <w:t xml:space="preserve">home </w:t>
      </w:r>
      <w:r w:rsidR="00F50319" w:rsidRPr="00772D93">
        <w:rPr>
          <w:rFonts w:ascii="Book Antiqua" w:hAnsi="Book Antiqua" w:cs="Times New Roman"/>
          <w:sz w:val="24"/>
          <w:szCs w:val="24"/>
        </w:rPr>
        <w:t>LI monitoring in the early post-discharge period.</w:t>
      </w:r>
    </w:p>
    <w:p w14:paraId="581000E9" w14:textId="77777777" w:rsidR="002C7A2F" w:rsidRDefault="002C7A2F" w:rsidP="002C7A2F">
      <w:pPr>
        <w:spacing w:after="0" w:line="360" w:lineRule="auto"/>
        <w:jc w:val="both"/>
        <w:rPr>
          <w:rFonts w:ascii="Book Antiqua" w:hAnsi="Book Antiqua" w:cs="Times New Roman"/>
          <w:b/>
          <w:sz w:val="24"/>
          <w:szCs w:val="24"/>
          <w:lang w:eastAsia="zh-CN"/>
        </w:rPr>
      </w:pPr>
    </w:p>
    <w:p w14:paraId="0B298C4B" w14:textId="77777777" w:rsidR="002C7A2F" w:rsidRDefault="00616546" w:rsidP="002C7A2F">
      <w:pPr>
        <w:spacing w:after="0" w:line="360" w:lineRule="auto"/>
        <w:jc w:val="both"/>
        <w:rPr>
          <w:rFonts w:ascii="Book Antiqua" w:hAnsi="Book Antiqua" w:cs="Times New Roman"/>
          <w:b/>
          <w:sz w:val="24"/>
          <w:szCs w:val="24"/>
          <w:lang w:eastAsia="zh-CN"/>
        </w:rPr>
      </w:pPr>
      <w:r w:rsidRPr="00772D93">
        <w:rPr>
          <w:rFonts w:ascii="Book Antiqua" w:hAnsi="Book Antiqua" w:cs="Times New Roman"/>
          <w:b/>
          <w:i/>
          <w:sz w:val="24"/>
          <w:szCs w:val="24"/>
        </w:rPr>
        <w:t>CASE SUMMARY</w:t>
      </w:r>
    </w:p>
    <w:p w14:paraId="1D3DE111" w14:textId="77777777" w:rsidR="00285934" w:rsidRDefault="00E16200" w:rsidP="00285934">
      <w:pPr>
        <w:spacing w:after="0" w:line="360" w:lineRule="auto"/>
        <w:jc w:val="both"/>
        <w:rPr>
          <w:rFonts w:ascii="Book Antiqua" w:hAnsi="Book Antiqua" w:cs="Times New Roman"/>
          <w:b/>
          <w:sz w:val="24"/>
          <w:szCs w:val="24"/>
          <w:lang w:eastAsia="zh-CN"/>
        </w:rPr>
      </w:pPr>
      <w:r w:rsidRPr="00772D93">
        <w:rPr>
          <w:rFonts w:ascii="Book Antiqua" w:hAnsi="Book Antiqua" w:cs="Times New Roman"/>
          <w:sz w:val="24"/>
          <w:szCs w:val="24"/>
        </w:rPr>
        <w:t>We present a case series of three patients</w:t>
      </w:r>
      <w:r w:rsidR="00572A34" w:rsidRPr="00772D93">
        <w:rPr>
          <w:rFonts w:ascii="Book Antiqua" w:hAnsi="Book Antiqua" w:cs="Times New Roman"/>
          <w:sz w:val="24"/>
          <w:szCs w:val="24"/>
        </w:rPr>
        <w:t xml:space="preserve"> </w:t>
      </w:r>
      <w:r w:rsidR="00217B9B" w:rsidRPr="00772D93">
        <w:rPr>
          <w:rFonts w:ascii="Book Antiqua" w:hAnsi="Book Antiqua" w:cs="Times New Roman"/>
          <w:sz w:val="24"/>
          <w:szCs w:val="24"/>
        </w:rPr>
        <w:t xml:space="preserve">who </w:t>
      </w:r>
      <w:r w:rsidR="00146A4E" w:rsidRPr="00772D93">
        <w:rPr>
          <w:rFonts w:ascii="Book Antiqua" w:hAnsi="Book Antiqua" w:cs="Times New Roman"/>
          <w:sz w:val="24"/>
          <w:szCs w:val="24"/>
        </w:rPr>
        <w:t xml:space="preserve">had </w:t>
      </w:r>
      <w:r w:rsidR="00217B9B" w:rsidRPr="00772D93">
        <w:rPr>
          <w:rFonts w:ascii="Book Antiqua" w:hAnsi="Book Antiqua" w:cs="Times New Roman"/>
          <w:sz w:val="24"/>
          <w:szCs w:val="24"/>
        </w:rPr>
        <w:t xml:space="preserve">performed daily LI measurements at home </w:t>
      </w:r>
      <w:r w:rsidR="00400CFE" w:rsidRPr="00772D93">
        <w:rPr>
          <w:rFonts w:ascii="Book Antiqua" w:hAnsi="Book Antiqua" w:cs="Times New Roman"/>
          <w:sz w:val="24"/>
          <w:szCs w:val="24"/>
        </w:rPr>
        <w:t>using</w:t>
      </w:r>
      <w:r w:rsidR="00584110" w:rsidRPr="00772D93">
        <w:rPr>
          <w:rFonts w:ascii="Book Antiqua" w:hAnsi="Book Antiqua" w:cs="Times New Roman"/>
          <w:sz w:val="24"/>
          <w:szCs w:val="24"/>
        </w:rPr>
        <w:t xml:space="preserve"> </w:t>
      </w:r>
      <w:r w:rsidR="00146A4E" w:rsidRPr="00772D93">
        <w:rPr>
          <w:rFonts w:ascii="Book Antiqua" w:hAnsi="Book Antiqua" w:cs="Times New Roman"/>
          <w:sz w:val="24"/>
          <w:szCs w:val="24"/>
        </w:rPr>
        <w:t xml:space="preserve">the </w:t>
      </w:r>
      <w:r w:rsidR="002C7A2F" w:rsidRPr="00772D93">
        <w:rPr>
          <w:rFonts w:ascii="Book Antiqua" w:hAnsi="Book Antiqua" w:cs="Times New Roman"/>
          <w:sz w:val="24"/>
          <w:szCs w:val="24"/>
        </w:rPr>
        <w:t>edema guard monitor</w:t>
      </w:r>
      <w:r w:rsidR="00584110" w:rsidRPr="00772D93">
        <w:rPr>
          <w:rFonts w:ascii="Book Antiqua" w:hAnsi="Book Antiqua" w:cs="Times New Roman"/>
          <w:sz w:val="24"/>
          <w:szCs w:val="24"/>
        </w:rPr>
        <w:t xml:space="preserve"> (EGM) </w:t>
      </w:r>
      <w:r w:rsidR="00217B9B" w:rsidRPr="00772D93">
        <w:rPr>
          <w:rFonts w:ascii="Book Antiqua" w:hAnsi="Book Antiqua" w:cs="Times New Roman"/>
          <w:sz w:val="24"/>
          <w:szCs w:val="24"/>
        </w:rPr>
        <w:t xml:space="preserve">during 30 d after an episode of AHF. </w:t>
      </w:r>
      <w:r w:rsidR="00BB01B4" w:rsidRPr="00772D93">
        <w:rPr>
          <w:rFonts w:ascii="Book Antiqua" w:hAnsi="Book Antiqua" w:cs="Times New Roman"/>
          <w:sz w:val="24"/>
          <w:szCs w:val="24"/>
        </w:rPr>
        <w:t xml:space="preserve">All patients had </w:t>
      </w:r>
      <w:r w:rsidR="00572A34" w:rsidRPr="00772D93">
        <w:rPr>
          <w:rFonts w:ascii="Book Antiqua" w:hAnsi="Book Antiqua" w:cs="Times New Roman"/>
          <w:sz w:val="24"/>
          <w:szCs w:val="24"/>
        </w:rPr>
        <w:t xml:space="preserve">a history of chronic ischemic </w:t>
      </w:r>
      <w:r w:rsidR="00740F70" w:rsidRPr="00772D93">
        <w:rPr>
          <w:rFonts w:ascii="Book Antiqua" w:hAnsi="Book Antiqua" w:cs="Times New Roman"/>
          <w:sz w:val="24"/>
          <w:szCs w:val="24"/>
        </w:rPr>
        <w:t>HF</w:t>
      </w:r>
      <w:r w:rsidR="00572A34" w:rsidRPr="00772D93">
        <w:rPr>
          <w:rFonts w:ascii="Book Antiqua" w:hAnsi="Book Antiqua" w:cs="Times New Roman"/>
          <w:sz w:val="24"/>
          <w:szCs w:val="24"/>
        </w:rPr>
        <w:t xml:space="preserve"> with </w:t>
      </w:r>
      <w:r w:rsidR="00146A4E" w:rsidRPr="00772D93">
        <w:rPr>
          <w:rFonts w:ascii="Book Antiqua" w:hAnsi="Book Antiqua" w:cs="Times New Roman"/>
          <w:sz w:val="24"/>
          <w:szCs w:val="24"/>
        </w:rPr>
        <w:t xml:space="preserve">a </w:t>
      </w:r>
      <w:r w:rsidR="00572A34" w:rsidRPr="00772D93">
        <w:rPr>
          <w:rFonts w:ascii="Book Antiqua" w:hAnsi="Book Antiqua" w:cs="Times New Roman"/>
          <w:sz w:val="24"/>
          <w:szCs w:val="24"/>
        </w:rPr>
        <w:t>reduced ejection fraction</w:t>
      </w:r>
      <w:r w:rsidR="00B45D9E" w:rsidRPr="00772D93">
        <w:rPr>
          <w:rFonts w:ascii="Book Antiqua" w:hAnsi="Book Antiqua" w:cs="Times New Roman"/>
          <w:sz w:val="24"/>
          <w:szCs w:val="24"/>
        </w:rPr>
        <w:t xml:space="preserve"> and</w:t>
      </w:r>
      <w:r w:rsidR="00572A34" w:rsidRPr="00772D93">
        <w:rPr>
          <w:rFonts w:ascii="Book Antiqua" w:hAnsi="Book Antiqua" w:cs="Times New Roman"/>
          <w:sz w:val="24"/>
          <w:szCs w:val="24"/>
        </w:rPr>
        <w:t xml:space="preserve"> were hospitalized for 6–17 d</w:t>
      </w:r>
      <w:r w:rsidR="00B45D9E" w:rsidRPr="00772D93">
        <w:rPr>
          <w:rFonts w:ascii="Book Antiqua" w:hAnsi="Book Antiqua" w:cs="Times New Roman"/>
          <w:sz w:val="24"/>
          <w:szCs w:val="24"/>
        </w:rPr>
        <w:t>.</w:t>
      </w:r>
      <w:r w:rsidR="00572A34" w:rsidRPr="00772D93">
        <w:rPr>
          <w:rFonts w:ascii="Book Antiqua" w:hAnsi="Book Antiqua" w:cs="Times New Roman"/>
          <w:sz w:val="24"/>
          <w:szCs w:val="24"/>
        </w:rPr>
        <w:t xml:space="preserve"> </w:t>
      </w:r>
      <w:r w:rsidR="00400CFE" w:rsidRPr="00772D93">
        <w:rPr>
          <w:rFonts w:ascii="Book Antiqua" w:hAnsi="Book Antiqua" w:cs="Times New Roman"/>
          <w:sz w:val="24"/>
          <w:szCs w:val="24"/>
        </w:rPr>
        <w:t>LI</w:t>
      </w:r>
      <w:r w:rsidR="003F6C38" w:rsidRPr="00772D93">
        <w:rPr>
          <w:rFonts w:ascii="Book Antiqua" w:hAnsi="Book Antiqua" w:cs="Times New Roman"/>
          <w:sz w:val="24"/>
          <w:szCs w:val="24"/>
        </w:rPr>
        <w:t xml:space="preserve"> measurements were </w:t>
      </w:r>
      <w:r w:rsidR="00400CFE" w:rsidRPr="00772D93">
        <w:rPr>
          <w:rFonts w:ascii="Book Antiqua" w:hAnsi="Book Antiqua" w:cs="Times New Roman"/>
          <w:sz w:val="24"/>
          <w:szCs w:val="24"/>
        </w:rPr>
        <w:t>successfully made</w:t>
      </w:r>
      <w:r w:rsidR="003F6C38" w:rsidRPr="00772D93">
        <w:rPr>
          <w:rFonts w:ascii="Book Antiqua" w:hAnsi="Book Antiqua" w:cs="Times New Roman"/>
          <w:sz w:val="24"/>
          <w:szCs w:val="24"/>
        </w:rPr>
        <w:t xml:space="preserve"> </w:t>
      </w:r>
      <w:r w:rsidR="00304B1F" w:rsidRPr="00772D93">
        <w:rPr>
          <w:rFonts w:ascii="Book Antiqua" w:hAnsi="Book Antiqua" w:cs="Times New Roman"/>
          <w:sz w:val="24"/>
          <w:szCs w:val="24"/>
        </w:rPr>
        <w:t xml:space="preserve">at home </w:t>
      </w:r>
      <w:r w:rsidR="003F6C38" w:rsidRPr="00772D93">
        <w:rPr>
          <w:rFonts w:ascii="Book Antiqua" w:hAnsi="Book Antiqua" w:cs="Times New Roman"/>
          <w:sz w:val="24"/>
          <w:szCs w:val="24"/>
        </w:rPr>
        <w:t>by patient</w:t>
      </w:r>
      <w:r w:rsidR="00400CFE" w:rsidRPr="00772D93">
        <w:rPr>
          <w:rFonts w:ascii="Book Antiqua" w:hAnsi="Book Antiqua" w:cs="Times New Roman"/>
          <w:sz w:val="24"/>
          <w:szCs w:val="24"/>
        </w:rPr>
        <w:t>s</w:t>
      </w:r>
      <w:r w:rsidR="003F6C38" w:rsidRPr="00772D93">
        <w:rPr>
          <w:rFonts w:ascii="Book Antiqua" w:hAnsi="Book Antiqua" w:cs="Times New Roman"/>
          <w:sz w:val="24"/>
          <w:szCs w:val="24"/>
        </w:rPr>
        <w:t xml:space="preserve"> </w:t>
      </w:r>
      <w:r w:rsidR="00084053" w:rsidRPr="00772D93">
        <w:rPr>
          <w:rFonts w:ascii="Book Antiqua" w:hAnsi="Book Antiqua" w:cs="Times New Roman"/>
          <w:sz w:val="24"/>
          <w:szCs w:val="24"/>
        </w:rPr>
        <w:t>with the help of</w:t>
      </w:r>
      <w:r w:rsidR="003F6C38" w:rsidRPr="00772D93">
        <w:rPr>
          <w:rFonts w:ascii="Book Antiqua" w:hAnsi="Book Antiqua" w:cs="Times New Roman"/>
          <w:sz w:val="24"/>
          <w:szCs w:val="24"/>
        </w:rPr>
        <w:t xml:space="preserve"> </w:t>
      </w:r>
      <w:r w:rsidR="00400CFE" w:rsidRPr="00772D93">
        <w:rPr>
          <w:rFonts w:ascii="Book Antiqua" w:hAnsi="Book Antiqua" w:cs="Times New Roman"/>
          <w:sz w:val="24"/>
          <w:szCs w:val="24"/>
        </w:rPr>
        <w:t>their</w:t>
      </w:r>
      <w:r w:rsidR="003F6C38" w:rsidRPr="00772D93">
        <w:rPr>
          <w:rFonts w:ascii="Book Antiqua" w:hAnsi="Book Antiqua" w:cs="Times New Roman"/>
          <w:sz w:val="24"/>
          <w:szCs w:val="24"/>
        </w:rPr>
        <w:t xml:space="preserve"> caregivers. </w:t>
      </w:r>
      <w:r w:rsidR="00281A72" w:rsidRPr="00772D93">
        <w:rPr>
          <w:rFonts w:ascii="Book Antiqua" w:hAnsi="Book Antiqua" w:cs="Times New Roman"/>
          <w:sz w:val="24"/>
          <w:szCs w:val="24"/>
        </w:rPr>
        <w:t>The patients were careful</w:t>
      </w:r>
      <w:r w:rsidR="00400CFE" w:rsidRPr="00772D93">
        <w:rPr>
          <w:rFonts w:ascii="Book Antiqua" w:hAnsi="Book Antiqua" w:cs="Times New Roman"/>
          <w:sz w:val="24"/>
          <w:szCs w:val="24"/>
        </w:rPr>
        <w:t xml:space="preserve">ly followed up by HF specialists </w:t>
      </w:r>
      <w:r w:rsidR="00084053" w:rsidRPr="00772D93">
        <w:rPr>
          <w:rFonts w:ascii="Book Antiqua" w:hAnsi="Book Antiqua" w:cs="Times New Roman"/>
          <w:sz w:val="24"/>
          <w:szCs w:val="24"/>
        </w:rPr>
        <w:t xml:space="preserve">who </w:t>
      </w:r>
      <w:r w:rsidR="00400CFE" w:rsidRPr="00772D93">
        <w:rPr>
          <w:rFonts w:ascii="Book Antiqua" w:hAnsi="Book Antiqua" w:cs="Times New Roman"/>
          <w:sz w:val="24"/>
          <w:szCs w:val="24"/>
        </w:rPr>
        <w:t>react</w:t>
      </w:r>
      <w:r w:rsidR="00084053" w:rsidRPr="00772D93">
        <w:rPr>
          <w:rFonts w:ascii="Book Antiqua" w:hAnsi="Book Antiqua" w:cs="Times New Roman"/>
          <w:sz w:val="24"/>
          <w:szCs w:val="24"/>
        </w:rPr>
        <w:t>ed</w:t>
      </w:r>
      <w:r w:rsidR="00400CFE" w:rsidRPr="00772D93">
        <w:rPr>
          <w:rFonts w:ascii="Book Antiqua" w:hAnsi="Book Antiqua" w:cs="Times New Roman"/>
          <w:sz w:val="24"/>
          <w:szCs w:val="24"/>
        </w:rPr>
        <w:t xml:space="preserve"> to </w:t>
      </w:r>
      <w:r w:rsidR="002D766B" w:rsidRPr="00772D93">
        <w:rPr>
          <w:rFonts w:ascii="Book Antiqua" w:hAnsi="Book Antiqua" w:cs="Times New Roman"/>
          <w:sz w:val="24"/>
          <w:szCs w:val="24"/>
        </w:rPr>
        <w:t xml:space="preserve">the values of </w:t>
      </w:r>
      <w:r w:rsidR="00740F70" w:rsidRPr="00772D93">
        <w:rPr>
          <w:rFonts w:ascii="Book Antiqua" w:hAnsi="Book Antiqua" w:cs="Times New Roman"/>
          <w:sz w:val="24"/>
          <w:szCs w:val="24"/>
        </w:rPr>
        <w:t>LI</w:t>
      </w:r>
      <w:r w:rsidR="00C84AE3" w:rsidRPr="00772D93">
        <w:rPr>
          <w:rFonts w:ascii="Book Antiqua" w:hAnsi="Book Antiqua" w:cs="Times New Roman"/>
          <w:sz w:val="24"/>
          <w:szCs w:val="24"/>
        </w:rPr>
        <w:t xml:space="preserve"> measurements, blood pressure, heart rate and clinical symptoms</w:t>
      </w:r>
      <w:r w:rsidR="00400CFE" w:rsidRPr="00772D93">
        <w:rPr>
          <w:rFonts w:ascii="Book Antiqua" w:hAnsi="Book Antiqua" w:cs="Times New Roman"/>
          <w:sz w:val="24"/>
          <w:szCs w:val="24"/>
        </w:rPr>
        <w:t>.</w:t>
      </w:r>
      <w:r w:rsidR="00C84AE3" w:rsidRPr="00772D93">
        <w:rPr>
          <w:rFonts w:ascii="Book Antiqua" w:hAnsi="Book Antiqua" w:cs="Times New Roman"/>
          <w:sz w:val="24"/>
          <w:szCs w:val="24"/>
        </w:rPr>
        <w:t xml:space="preserve"> </w:t>
      </w:r>
      <w:r w:rsidR="00400CFE" w:rsidRPr="00772D93">
        <w:rPr>
          <w:rFonts w:ascii="Book Antiqua" w:hAnsi="Book Antiqua" w:cs="Times New Roman"/>
          <w:sz w:val="24"/>
          <w:szCs w:val="24"/>
        </w:rPr>
        <w:t>LI reduction</w:t>
      </w:r>
      <w:r w:rsidR="00F50319" w:rsidRPr="00772D93">
        <w:rPr>
          <w:rFonts w:ascii="Book Antiqua" w:hAnsi="Book Antiqua" w:cs="Times New Roman"/>
          <w:sz w:val="24"/>
          <w:szCs w:val="24"/>
        </w:rPr>
        <w:t xml:space="preserve"> was</w:t>
      </w:r>
      <w:r w:rsidR="00400CFE" w:rsidRPr="00772D93">
        <w:rPr>
          <w:rFonts w:ascii="Book Antiqua" w:hAnsi="Book Antiqua" w:cs="Times New Roman"/>
          <w:sz w:val="24"/>
          <w:szCs w:val="24"/>
        </w:rPr>
        <w:t xml:space="preserve"> </w:t>
      </w:r>
      <w:r w:rsidR="002B0CA8" w:rsidRPr="00772D93">
        <w:rPr>
          <w:rFonts w:ascii="Book Antiqua" w:hAnsi="Book Antiqua" w:cs="Times New Roman"/>
          <w:sz w:val="24"/>
          <w:szCs w:val="24"/>
        </w:rPr>
        <w:t xml:space="preserve">a </w:t>
      </w:r>
      <w:r w:rsidR="00400CFE" w:rsidRPr="00772D93">
        <w:rPr>
          <w:rFonts w:ascii="Book Antiqua" w:hAnsi="Book Antiqua" w:cs="Times New Roman"/>
          <w:sz w:val="24"/>
          <w:szCs w:val="24"/>
        </w:rPr>
        <w:t xml:space="preserve">more frequent trigger to medication adjustments </w:t>
      </w:r>
      <w:r w:rsidR="00F50319" w:rsidRPr="00772D93">
        <w:rPr>
          <w:rFonts w:ascii="Book Antiqua" w:hAnsi="Book Antiqua" w:cs="Times New Roman"/>
          <w:sz w:val="24"/>
          <w:szCs w:val="24"/>
        </w:rPr>
        <w:t xml:space="preserve">compared to changes in symptoms or vital signs. </w:t>
      </w:r>
      <w:r w:rsidR="00281A72" w:rsidRPr="00772D93">
        <w:rPr>
          <w:rFonts w:ascii="Book Antiqua" w:hAnsi="Book Antiqua" w:cs="Times New Roman"/>
          <w:sz w:val="24"/>
          <w:szCs w:val="24"/>
        </w:rPr>
        <w:t xml:space="preserve">Besides, LI dynamics closely tracked </w:t>
      </w:r>
      <w:r w:rsidR="0026465D" w:rsidRPr="00772D93">
        <w:rPr>
          <w:rFonts w:ascii="Book Antiqua" w:hAnsi="Book Antiqua" w:cs="Times New Roman"/>
          <w:sz w:val="24"/>
          <w:szCs w:val="24"/>
        </w:rPr>
        <w:t xml:space="preserve">the </w:t>
      </w:r>
      <w:r w:rsidR="00513C01" w:rsidRPr="00772D93">
        <w:rPr>
          <w:rFonts w:ascii="Book Antiqua" w:hAnsi="Book Antiqua" w:cs="Times New Roman"/>
          <w:sz w:val="24"/>
          <w:szCs w:val="24"/>
        </w:rPr>
        <w:t>use and dose</w:t>
      </w:r>
      <w:r w:rsidR="0026465D" w:rsidRPr="00772D93">
        <w:rPr>
          <w:rFonts w:ascii="Book Antiqua" w:hAnsi="Book Antiqua" w:cs="Times New Roman"/>
          <w:sz w:val="24"/>
          <w:szCs w:val="24"/>
        </w:rPr>
        <w:t xml:space="preserve"> of diuretic</w:t>
      </w:r>
      <w:r w:rsidR="001F522E" w:rsidRPr="00772D93">
        <w:rPr>
          <w:rFonts w:ascii="Book Antiqua" w:hAnsi="Book Antiqua" w:cs="Times New Roman"/>
          <w:sz w:val="24"/>
          <w:szCs w:val="24"/>
        </w:rPr>
        <w:t>s</w:t>
      </w:r>
      <w:r w:rsidR="0026465D" w:rsidRPr="00772D93">
        <w:rPr>
          <w:rFonts w:ascii="Book Antiqua" w:hAnsi="Book Antiqua" w:cs="Times New Roman"/>
          <w:sz w:val="24"/>
          <w:szCs w:val="24"/>
        </w:rPr>
        <w:t>.</w:t>
      </w:r>
      <w:r w:rsidR="00281A72" w:rsidRPr="00772D93">
        <w:rPr>
          <w:rFonts w:ascii="Book Antiqua" w:hAnsi="Book Antiqua" w:cs="Times New Roman"/>
          <w:sz w:val="24"/>
          <w:szCs w:val="24"/>
        </w:rPr>
        <w:t xml:space="preserve"> </w:t>
      </w:r>
    </w:p>
    <w:p w14:paraId="39E6FFDF" w14:textId="77777777" w:rsidR="00285934" w:rsidRDefault="00285934" w:rsidP="00285934">
      <w:pPr>
        <w:spacing w:after="0" w:line="360" w:lineRule="auto"/>
        <w:jc w:val="both"/>
        <w:rPr>
          <w:rFonts w:ascii="Book Antiqua" w:hAnsi="Book Antiqua" w:cs="Times New Roman"/>
          <w:b/>
          <w:sz w:val="24"/>
          <w:szCs w:val="24"/>
          <w:lang w:eastAsia="zh-CN"/>
        </w:rPr>
      </w:pPr>
    </w:p>
    <w:p w14:paraId="18F4FC0B" w14:textId="77777777" w:rsidR="00285934" w:rsidRDefault="0091088B" w:rsidP="00285934">
      <w:pPr>
        <w:spacing w:after="0" w:line="360" w:lineRule="auto"/>
        <w:jc w:val="both"/>
        <w:rPr>
          <w:rFonts w:ascii="Book Antiqua" w:hAnsi="Book Antiqua" w:cs="Times New Roman"/>
          <w:b/>
          <w:sz w:val="24"/>
          <w:szCs w:val="24"/>
          <w:lang w:eastAsia="zh-CN"/>
        </w:rPr>
      </w:pPr>
      <w:r w:rsidRPr="00772D93">
        <w:rPr>
          <w:rFonts w:ascii="Book Antiqua" w:hAnsi="Book Antiqua" w:cs="Times New Roman"/>
          <w:b/>
          <w:i/>
          <w:sz w:val="24"/>
          <w:szCs w:val="24"/>
        </w:rPr>
        <w:t>CONCLUSION</w:t>
      </w:r>
    </w:p>
    <w:p w14:paraId="6D29101C" w14:textId="77777777" w:rsidR="00285934" w:rsidRDefault="00D83F23" w:rsidP="00772D93">
      <w:pPr>
        <w:spacing w:after="0" w:line="360" w:lineRule="auto"/>
        <w:jc w:val="both"/>
        <w:rPr>
          <w:rFonts w:ascii="Book Antiqua" w:hAnsi="Book Antiqua" w:cs="Times New Roman"/>
          <w:b/>
          <w:sz w:val="24"/>
          <w:szCs w:val="24"/>
          <w:lang w:eastAsia="zh-CN"/>
        </w:rPr>
      </w:pPr>
      <w:r w:rsidRPr="00772D93">
        <w:rPr>
          <w:rFonts w:ascii="Book Antiqua" w:hAnsi="Book Antiqua" w:cs="Times New Roman"/>
          <w:sz w:val="24"/>
          <w:szCs w:val="24"/>
        </w:rPr>
        <w:t>Our case series</w:t>
      </w:r>
      <w:r w:rsidR="00647F4D" w:rsidRPr="00772D93">
        <w:rPr>
          <w:rFonts w:ascii="Book Antiqua" w:hAnsi="Book Antiqua" w:cs="Times New Roman"/>
          <w:sz w:val="24"/>
          <w:szCs w:val="24"/>
        </w:rPr>
        <w:t xml:space="preserve"> </w:t>
      </w:r>
      <w:r w:rsidR="00DD78D0" w:rsidRPr="00772D93">
        <w:rPr>
          <w:rFonts w:ascii="Book Antiqua" w:hAnsi="Book Antiqua" w:cs="Times New Roman"/>
          <w:sz w:val="24"/>
          <w:szCs w:val="24"/>
        </w:rPr>
        <w:t xml:space="preserve">suggests non-invasive home </w:t>
      </w:r>
      <w:r w:rsidR="00740F70" w:rsidRPr="00772D93">
        <w:rPr>
          <w:rFonts w:ascii="Book Antiqua" w:hAnsi="Book Antiqua" w:cs="Times New Roman"/>
          <w:sz w:val="24"/>
          <w:szCs w:val="24"/>
        </w:rPr>
        <w:t>LI</w:t>
      </w:r>
      <w:r w:rsidR="000760C0"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monitoring </w:t>
      </w:r>
      <w:r w:rsidR="002B0CA8" w:rsidRPr="00772D93">
        <w:rPr>
          <w:rFonts w:ascii="Book Antiqua" w:hAnsi="Book Antiqua" w:cs="Times New Roman"/>
          <w:sz w:val="24"/>
          <w:szCs w:val="24"/>
        </w:rPr>
        <w:t xml:space="preserve">with </w:t>
      </w:r>
      <w:r w:rsidRPr="00772D93">
        <w:rPr>
          <w:rFonts w:ascii="Book Antiqua" w:hAnsi="Book Antiqua" w:cs="Times New Roman"/>
          <w:sz w:val="24"/>
          <w:szCs w:val="24"/>
        </w:rPr>
        <w:t xml:space="preserve">EGM </w:t>
      </w:r>
      <w:r w:rsidR="000760C0" w:rsidRPr="00772D93">
        <w:rPr>
          <w:rFonts w:ascii="Book Antiqua" w:hAnsi="Book Antiqua" w:cs="Times New Roman"/>
          <w:sz w:val="24"/>
          <w:szCs w:val="24"/>
        </w:rPr>
        <w:t xml:space="preserve">to be a </w:t>
      </w:r>
      <w:r w:rsidR="009577DF" w:rsidRPr="00772D93">
        <w:rPr>
          <w:rFonts w:ascii="Book Antiqua" w:hAnsi="Book Antiqua" w:cs="Times New Roman"/>
          <w:sz w:val="24"/>
          <w:szCs w:val="24"/>
        </w:rPr>
        <w:t>reliable</w:t>
      </w:r>
      <w:r w:rsidR="000760C0" w:rsidRPr="00772D93">
        <w:rPr>
          <w:rFonts w:ascii="Book Antiqua" w:hAnsi="Book Antiqua" w:cs="Times New Roman"/>
          <w:sz w:val="24"/>
          <w:szCs w:val="24"/>
        </w:rPr>
        <w:t xml:space="preserve"> </w:t>
      </w:r>
      <w:r w:rsidR="0061651F" w:rsidRPr="00772D93">
        <w:rPr>
          <w:rFonts w:ascii="Book Antiqua" w:hAnsi="Book Antiqua" w:cs="Times New Roman"/>
          <w:sz w:val="24"/>
          <w:szCs w:val="24"/>
        </w:rPr>
        <w:t>and potentially</w:t>
      </w:r>
      <w:r w:rsidR="00520428" w:rsidRPr="00772D93">
        <w:rPr>
          <w:rFonts w:ascii="Book Antiqua" w:hAnsi="Book Antiqua" w:cs="Times New Roman"/>
          <w:sz w:val="24"/>
          <w:szCs w:val="24"/>
        </w:rPr>
        <w:t xml:space="preserve"> useful tool</w:t>
      </w:r>
      <w:r w:rsidR="00B40EB5" w:rsidRPr="00772D93">
        <w:rPr>
          <w:rFonts w:ascii="Book Antiqua" w:hAnsi="Book Antiqua" w:cs="Times New Roman"/>
          <w:sz w:val="24"/>
          <w:szCs w:val="24"/>
        </w:rPr>
        <w:t xml:space="preserve"> </w:t>
      </w:r>
      <w:r w:rsidR="0061651F" w:rsidRPr="00772D93">
        <w:rPr>
          <w:rFonts w:ascii="Book Antiqua" w:hAnsi="Book Antiqua" w:cs="Times New Roman"/>
          <w:sz w:val="24"/>
          <w:szCs w:val="24"/>
        </w:rPr>
        <w:t xml:space="preserve">for </w:t>
      </w:r>
      <w:r w:rsidR="002B0CA8" w:rsidRPr="00772D93">
        <w:rPr>
          <w:rFonts w:ascii="Book Antiqua" w:hAnsi="Book Antiqua" w:cs="Times New Roman"/>
          <w:sz w:val="24"/>
          <w:szCs w:val="24"/>
        </w:rPr>
        <w:t xml:space="preserve">the </w:t>
      </w:r>
      <w:r w:rsidR="007872CB" w:rsidRPr="00772D93">
        <w:rPr>
          <w:rFonts w:ascii="Book Antiqua" w:hAnsi="Book Antiqua" w:cs="Times New Roman"/>
          <w:sz w:val="24"/>
          <w:szCs w:val="24"/>
        </w:rPr>
        <w:t>early</w:t>
      </w:r>
      <w:r w:rsidR="00EF06BE" w:rsidRPr="00772D93">
        <w:rPr>
          <w:rFonts w:ascii="Book Antiqua" w:hAnsi="Book Antiqua" w:cs="Times New Roman"/>
          <w:sz w:val="24"/>
          <w:szCs w:val="24"/>
        </w:rPr>
        <w:t xml:space="preserve"> </w:t>
      </w:r>
      <w:r w:rsidR="007872CB" w:rsidRPr="00772D93">
        <w:rPr>
          <w:rFonts w:ascii="Book Antiqua" w:hAnsi="Book Antiqua" w:cs="Times New Roman"/>
          <w:sz w:val="24"/>
          <w:szCs w:val="24"/>
        </w:rPr>
        <w:t xml:space="preserve">detection of </w:t>
      </w:r>
      <w:r w:rsidR="00EF06BE" w:rsidRPr="00772D93">
        <w:rPr>
          <w:rFonts w:ascii="Book Antiqua" w:hAnsi="Book Antiqua" w:cs="Times New Roman"/>
          <w:sz w:val="24"/>
          <w:szCs w:val="24"/>
        </w:rPr>
        <w:t xml:space="preserve">congestion </w:t>
      </w:r>
      <w:r w:rsidR="00E2742F" w:rsidRPr="00772D93">
        <w:rPr>
          <w:rFonts w:ascii="Book Antiqua" w:hAnsi="Book Antiqua" w:cs="Times New Roman"/>
          <w:sz w:val="24"/>
          <w:szCs w:val="24"/>
        </w:rPr>
        <w:t xml:space="preserve">or dehydration </w:t>
      </w:r>
      <w:r w:rsidR="008F602A" w:rsidRPr="00772D93">
        <w:rPr>
          <w:rFonts w:ascii="Book Antiqua" w:hAnsi="Book Antiqua" w:cs="Times New Roman"/>
          <w:sz w:val="24"/>
          <w:szCs w:val="24"/>
        </w:rPr>
        <w:t xml:space="preserve">and </w:t>
      </w:r>
      <w:r w:rsidR="00E2742F" w:rsidRPr="00772D93">
        <w:rPr>
          <w:rFonts w:ascii="Book Antiqua" w:hAnsi="Book Antiqua" w:cs="Times New Roman"/>
          <w:sz w:val="24"/>
          <w:szCs w:val="24"/>
        </w:rPr>
        <w:t xml:space="preserve">thus </w:t>
      </w:r>
      <w:r w:rsidR="002B0CA8" w:rsidRPr="00772D93">
        <w:rPr>
          <w:rFonts w:ascii="Book Antiqua" w:hAnsi="Book Antiqua" w:cs="Times New Roman"/>
          <w:sz w:val="24"/>
          <w:szCs w:val="24"/>
        </w:rPr>
        <w:t xml:space="preserve">for the </w:t>
      </w:r>
      <w:r w:rsidR="009740C8" w:rsidRPr="00772D93">
        <w:rPr>
          <w:rFonts w:ascii="Book Antiqua" w:hAnsi="Book Antiqua" w:cs="Times New Roman"/>
          <w:sz w:val="24"/>
          <w:szCs w:val="24"/>
        </w:rPr>
        <w:t xml:space="preserve">further </w:t>
      </w:r>
      <w:r w:rsidR="00647F4D" w:rsidRPr="00772D93">
        <w:rPr>
          <w:rFonts w:ascii="Book Antiqua" w:hAnsi="Book Antiqua" w:cs="Times New Roman"/>
          <w:sz w:val="24"/>
          <w:szCs w:val="24"/>
        </w:rPr>
        <w:t xml:space="preserve">successful </w:t>
      </w:r>
      <w:r w:rsidR="009740C8" w:rsidRPr="00772D93">
        <w:rPr>
          <w:rFonts w:ascii="Book Antiqua" w:hAnsi="Book Antiqua" w:cs="Times New Roman"/>
          <w:sz w:val="24"/>
          <w:szCs w:val="24"/>
        </w:rPr>
        <w:t xml:space="preserve">stabilization of </w:t>
      </w:r>
      <w:r w:rsidR="002B0CA8" w:rsidRPr="00772D93">
        <w:rPr>
          <w:rFonts w:ascii="Book Antiqua" w:hAnsi="Book Antiqua" w:cs="Times New Roman"/>
          <w:sz w:val="24"/>
          <w:szCs w:val="24"/>
        </w:rPr>
        <w:t xml:space="preserve">a </w:t>
      </w:r>
      <w:r w:rsidR="009740C8" w:rsidRPr="00772D93">
        <w:rPr>
          <w:rFonts w:ascii="Book Antiqua" w:hAnsi="Book Antiqua" w:cs="Times New Roman"/>
          <w:sz w:val="24"/>
          <w:szCs w:val="24"/>
        </w:rPr>
        <w:t xml:space="preserve">HF patient after </w:t>
      </w:r>
      <w:r w:rsidR="002B0CA8" w:rsidRPr="00772D93">
        <w:rPr>
          <w:rFonts w:ascii="Book Antiqua" w:hAnsi="Book Antiqua" w:cs="Times New Roman"/>
          <w:sz w:val="24"/>
          <w:szCs w:val="24"/>
        </w:rPr>
        <w:t xml:space="preserve">a </w:t>
      </w:r>
      <w:r w:rsidR="009740C8" w:rsidRPr="00772D93">
        <w:rPr>
          <w:rFonts w:ascii="Book Antiqua" w:hAnsi="Book Antiqua" w:cs="Times New Roman"/>
          <w:sz w:val="24"/>
          <w:szCs w:val="24"/>
        </w:rPr>
        <w:t>worsening episode.</w:t>
      </w:r>
      <w:r w:rsidR="00647F4D" w:rsidRPr="00772D93">
        <w:rPr>
          <w:rFonts w:ascii="Book Antiqua" w:hAnsi="Book Antiqua"/>
          <w:sz w:val="24"/>
          <w:szCs w:val="24"/>
        </w:rPr>
        <w:t xml:space="preserve"> </w:t>
      </w:r>
    </w:p>
    <w:p w14:paraId="7089B470" w14:textId="77777777" w:rsidR="00285934" w:rsidRDefault="00285934" w:rsidP="00772D93">
      <w:pPr>
        <w:spacing w:after="0" w:line="360" w:lineRule="auto"/>
        <w:jc w:val="both"/>
        <w:rPr>
          <w:rFonts w:ascii="Book Antiqua" w:hAnsi="Book Antiqua" w:cs="Times New Roman"/>
          <w:b/>
          <w:sz w:val="24"/>
          <w:szCs w:val="24"/>
          <w:lang w:eastAsia="zh-CN"/>
        </w:rPr>
      </w:pPr>
    </w:p>
    <w:p w14:paraId="2BC71DB8" w14:textId="5B5BEC6B" w:rsidR="008F602A" w:rsidRPr="00285934" w:rsidRDefault="002A0CBB" w:rsidP="00772D93">
      <w:pPr>
        <w:spacing w:after="0" w:line="360" w:lineRule="auto"/>
        <w:jc w:val="both"/>
        <w:rPr>
          <w:rFonts w:ascii="Book Antiqua" w:hAnsi="Book Antiqua" w:cs="Times New Roman"/>
          <w:b/>
          <w:sz w:val="24"/>
          <w:szCs w:val="24"/>
        </w:rPr>
      </w:pPr>
      <w:r w:rsidRPr="00772D93">
        <w:rPr>
          <w:rFonts w:ascii="Book Antiqua" w:hAnsi="Book Antiqua" w:cs="Times New Roman"/>
          <w:b/>
          <w:sz w:val="24"/>
          <w:szCs w:val="24"/>
        </w:rPr>
        <w:t>K</w:t>
      </w:r>
      <w:r w:rsidR="0091088B" w:rsidRPr="00772D93">
        <w:rPr>
          <w:rFonts w:ascii="Book Antiqua" w:hAnsi="Book Antiqua" w:cs="Times New Roman"/>
          <w:b/>
          <w:sz w:val="24"/>
          <w:szCs w:val="24"/>
        </w:rPr>
        <w:t>ey</w:t>
      </w:r>
      <w:r w:rsidR="0091088B" w:rsidRPr="00772D93">
        <w:rPr>
          <w:rFonts w:ascii="Book Antiqua" w:hAnsi="Book Antiqua" w:cs="Times New Roman"/>
          <w:b/>
          <w:sz w:val="24"/>
          <w:szCs w:val="24"/>
          <w:lang w:eastAsia="zh-CN"/>
        </w:rPr>
        <w:t xml:space="preserve"> </w:t>
      </w:r>
      <w:r w:rsidR="0091088B" w:rsidRPr="00772D93">
        <w:rPr>
          <w:rFonts w:ascii="Book Antiqua" w:hAnsi="Book Antiqua" w:cs="Times New Roman"/>
          <w:b/>
          <w:sz w:val="24"/>
          <w:szCs w:val="24"/>
        </w:rPr>
        <w:t>words:</w:t>
      </w:r>
      <w:r w:rsidRPr="00772D93">
        <w:rPr>
          <w:rFonts w:ascii="Book Antiqua" w:hAnsi="Book Antiqua" w:cs="Times New Roman"/>
          <w:b/>
          <w:sz w:val="24"/>
          <w:szCs w:val="24"/>
        </w:rPr>
        <w:t xml:space="preserve"> </w:t>
      </w:r>
      <w:r w:rsidRPr="00772D93">
        <w:rPr>
          <w:rFonts w:ascii="Book Antiqua" w:hAnsi="Book Antiqua" w:cs="Times New Roman"/>
          <w:sz w:val="24"/>
          <w:szCs w:val="24"/>
        </w:rPr>
        <w:t xml:space="preserve">Heart failure; Home monitoring; Lung impedance; </w:t>
      </w:r>
      <w:r w:rsidR="00D46F88" w:rsidRPr="00772D93">
        <w:rPr>
          <w:rFonts w:ascii="Book Antiqua" w:hAnsi="Book Antiqua" w:cs="Times New Roman"/>
          <w:sz w:val="24"/>
          <w:szCs w:val="24"/>
        </w:rPr>
        <w:t>C</w:t>
      </w:r>
      <w:r w:rsidRPr="00772D93">
        <w:rPr>
          <w:rFonts w:ascii="Book Antiqua" w:hAnsi="Book Antiqua" w:cs="Times New Roman"/>
          <w:sz w:val="24"/>
          <w:szCs w:val="24"/>
        </w:rPr>
        <w:t xml:space="preserve">ase </w:t>
      </w:r>
      <w:r w:rsidR="0091088B" w:rsidRPr="00772D93">
        <w:rPr>
          <w:rFonts w:ascii="Book Antiqua" w:hAnsi="Book Antiqua" w:cs="Times New Roman"/>
          <w:sz w:val="24"/>
          <w:szCs w:val="24"/>
          <w:lang w:eastAsia="zh-CN"/>
        </w:rPr>
        <w:t>report</w:t>
      </w:r>
      <w:r w:rsidRPr="00772D93">
        <w:rPr>
          <w:rFonts w:ascii="Book Antiqua" w:hAnsi="Book Antiqua" w:cs="Times New Roman"/>
          <w:sz w:val="24"/>
          <w:szCs w:val="24"/>
        </w:rPr>
        <w:t xml:space="preserve">; </w:t>
      </w:r>
      <w:r w:rsidR="00D46F88" w:rsidRPr="00772D93">
        <w:rPr>
          <w:rFonts w:ascii="Book Antiqua" w:hAnsi="Book Antiqua" w:cs="Times New Roman"/>
          <w:sz w:val="24"/>
          <w:szCs w:val="24"/>
        </w:rPr>
        <w:t>P</w:t>
      </w:r>
      <w:r w:rsidRPr="00772D93">
        <w:rPr>
          <w:rFonts w:ascii="Book Antiqua" w:hAnsi="Book Antiqua" w:cs="Times New Roman"/>
          <w:sz w:val="24"/>
          <w:szCs w:val="24"/>
        </w:rPr>
        <w:t xml:space="preserve">ulmonary </w:t>
      </w:r>
      <w:r w:rsidR="00520428" w:rsidRPr="00772D93">
        <w:rPr>
          <w:rFonts w:ascii="Book Antiqua" w:hAnsi="Book Antiqua" w:cs="Times New Roman"/>
          <w:sz w:val="24"/>
          <w:szCs w:val="24"/>
        </w:rPr>
        <w:t>congestion</w:t>
      </w:r>
    </w:p>
    <w:p w14:paraId="1C4FC7FB" w14:textId="77777777" w:rsidR="00DE54EC" w:rsidRPr="00772D93" w:rsidRDefault="00DE54EC" w:rsidP="00772D93">
      <w:pPr>
        <w:spacing w:after="0" w:line="360" w:lineRule="auto"/>
        <w:jc w:val="both"/>
        <w:rPr>
          <w:rFonts w:ascii="Book Antiqua" w:hAnsi="Book Antiqua" w:cs="Times New Roman"/>
          <w:sz w:val="24"/>
          <w:szCs w:val="24"/>
          <w:lang w:eastAsia="zh-CN"/>
        </w:rPr>
      </w:pPr>
    </w:p>
    <w:p w14:paraId="3869BF6C" w14:textId="77777777" w:rsidR="00DE54EC" w:rsidRPr="00772D93" w:rsidRDefault="00DE54EC" w:rsidP="00772D93">
      <w:pPr>
        <w:spacing w:after="0" w:line="360" w:lineRule="auto"/>
        <w:jc w:val="both"/>
        <w:rPr>
          <w:rFonts w:ascii="Book Antiqua" w:hAnsi="Book Antiqua" w:cs="Arial"/>
          <w:sz w:val="24"/>
          <w:szCs w:val="24"/>
        </w:rPr>
      </w:pPr>
      <w:r w:rsidRPr="00772D93">
        <w:rPr>
          <w:rFonts w:ascii="Book Antiqua" w:hAnsi="Book Antiqua"/>
          <w:b/>
          <w:sz w:val="24"/>
          <w:szCs w:val="24"/>
        </w:rPr>
        <w:t xml:space="preserve">© </w:t>
      </w:r>
      <w:r w:rsidRPr="00772D93">
        <w:rPr>
          <w:rFonts w:ascii="Book Antiqua" w:hAnsi="Book Antiqua" w:cs="Arial"/>
          <w:b/>
          <w:sz w:val="24"/>
          <w:szCs w:val="24"/>
        </w:rPr>
        <w:t>The Author(s) 2019.</w:t>
      </w:r>
      <w:r w:rsidRPr="00772D93">
        <w:rPr>
          <w:rFonts w:ascii="Book Antiqua" w:hAnsi="Book Antiqua" w:cs="Arial"/>
          <w:sz w:val="24"/>
          <w:szCs w:val="24"/>
        </w:rPr>
        <w:t xml:space="preserve"> Published by </w:t>
      </w:r>
      <w:proofErr w:type="spellStart"/>
      <w:r w:rsidRPr="00772D93">
        <w:rPr>
          <w:rFonts w:ascii="Book Antiqua" w:hAnsi="Book Antiqua" w:cs="Arial"/>
          <w:sz w:val="24"/>
          <w:szCs w:val="24"/>
        </w:rPr>
        <w:t>Baishideng</w:t>
      </w:r>
      <w:proofErr w:type="spellEnd"/>
      <w:r w:rsidRPr="00772D93">
        <w:rPr>
          <w:rFonts w:ascii="Book Antiqua" w:hAnsi="Book Antiqua" w:cs="Arial"/>
          <w:sz w:val="24"/>
          <w:szCs w:val="24"/>
        </w:rPr>
        <w:t xml:space="preserve"> Publishing Group Inc. All rights reserved.</w:t>
      </w:r>
    </w:p>
    <w:p w14:paraId="3BB79B83" w14:textId="77777777" w:rsidR="00DE54EC" w:rsidRPr="00772D93" w:rsidRDefault="00DE54EC" w:rsidP="00772D93">
      <w:pPr>
        <w:spacing w:after="0" w:line="360" w:lineRule="auto"/>
        <w:jc w:val="both"/>
        <w:rPr>
          <w:rFonts w:ascii="Book Antiqua" w:hAnsi="Book Antiqua" w:cs="Times New Roman"/>
          <w:sz w:val="24"/>
          <w:szCs w:val="24"/>
          <w:lang w:eastAsia="zh-CN"/>
        </w:rPr>
      </w:pPr>
    </w:p>
    <w:p w14:paraId="65800BE0" w14:textId="217402FD" w:rsidR="008D2006" w:rsidRPr="00772D93" w:rsidRDefault="008D2006" w:rsidP="00772D93">
      <w:pPr>
        <w:spacing w:after="0" w:line="360" w:lineRule="auto"/>
        <w:jc w:val="both"/>
        <w:rPr>
          <w:rFonts w:ascii="Book Antiqua" w:hAnsi="Book Antiqua" w:cs="Times New Roman"/>
          <w:sz w:val="24"/>
          <w:szCs w:val="24"/>
        </w:rPr>
      </w:pPr>
      <w:r w:rsidRPr="00772D93">
        <w:rPr>
          <w:rFonts w:ascii="Book Antiqua" w:hAnsi="Book Antiqua" w:cs="Times New Roman"/>
          <w:b/>
          <w:sz w:val="24"/>
          <w:szCs w:val="24"/>
        </w:rPr>
        <w:t>C</w:t>
      </w:r>
      <w:r w:rsidR="00DE54EC" w:rsidRPr="00772D93">
        <w:rPr>
          <w:rFonts w:ascii="Book Antiqua" w:hAnsi="Book Antiqua" w:cs="Times New Roman"/>
          <w:b/>
          <w:sz w:val="24"/>
          <w:szCs w:val="24"/>
        </w:rPr>
        <w:t>ore tip:</w:t>
      </w:r>
      <w:r w:rsidRPr="00772D93">
        <w:rPr>
          <w:rFonts w:ascii="Book Antiqua" w:hAnsi="Book Antiqua" w:cs="Times New Roman"/>
          <w:b/>
          <w:sz w:val="24"/>
          <w:szCs w:val="24"/>
        </w:rPr>
        <w:t xml:space="preserve"> </w:t>
      </w:r>
      <w:r w:rsidR="00DC2D53" w:rsidRPr="00772D93">
        <w:rPr>
          <w:rFonts w:ascii="Book Antiqua" w:hAnsi="Book Antiqua" w:cs="Times New Roman"/>
          <w:sz w:val="24"/>
          <w:szCs w:val="24"/>
        </w:rPr>
        <w:t xml:space="preserve">The monitoring of lung impedance </w:t>
      </w:r>
      <w:r w:rsidR="00616546" w:rsidRPr="00772D93">
        <w:rPr>
          <w:rFonts w:ascii="Book Antiqua" w:hAnsi="Book Antiqua" w:cs="Times New Roman"/>
          <w:sz w:val="24"/>
          <w:szCs w:val="24"/>
        </w:rPr>
        <w:t xml:space="preserve">(LI) </w:t>
      </w:r>
      <w:r w:rsidR="002B0CA8" w:rsidRPr="00772D93">
        <w:rPr>
          <w:rFonts w:ascii="Book Antiqua" w:hAnsi="Book Antiqua" w:cs="Times New Roman"/>
          <w:sz w:val="24"/>
          <w:szCs w:val="24"/>
        </w:rPr>
        <w:t>using the</w:t>
      </w:r>
      <w:r w:rsidR="00572C2B" w:rsidRPr="00772D93">
        <w:rPr>
          <w:rFonts w:ascii="Book Antiqua" w:hAnsi="Book Antiqua" w:cs="Times New Roman"/>
          <w:sz w:val="24"/>
          <w:szCs w:val="24"/>
        </w:rPr>
        <w:t xml:space="preserve"> edema guard monitor </w:t>
      </w:r>
      <w:r w:rsidR="00616546" w:rsidRPr="00772D93">
        <w:rPr>
          <w:rFonts w:ascii="Book Antiqua" w:hAnsi="Book Antiqua" w:cs="Times New Roman"/>
          <w:sz w:val="24"/>
          <w:szCs w:val="24"/>
          <w:lang w:eastAsia="zh-CN"/>
        </w:rPr>
        <w:t>(</w:t>
      </w:r>
      <w:r w:rsidR="00616546" w:rsidRPr="00772D93">
        <w:rPr>
          <w:rFonts w:ascii="Book Antiqua" w:hAnsi="Book Antiqua" w:cs="Times New Roman"/>
          <w:sz w:val="24"/>
          <w:szCs w:val="24"/>
        </w:rPr>
        <w:t>EGM</w:t>
      </w:r>
      <w:r w:rsidR="00616546" w:rsidRPr="00772D93">
        <w:rPr>
          <w:rFonts w:ascii="Book Antiqua" w:hAnsi="Book Antiqua" w:cs="Times New Roman"/>
          <w:sz w:val="24"/>
          <w:szCs w:val="24"/>
          <w:lang w:eastAsia="zh-CN"/>
        </w:rPr>
        <w:t xml:space="preserve">) </w:t>
      </w:r>
      <w:r w:rsidR="00DC2D53" w:rsidRPr="00772D93">
        <w:rPr>
          <w:rFonts w:ascii="Book Antiqua" w:hAnsi="Book Antiqua" w:cs="Times New Roman"/>
          <w:sz w:val="24"/>
          <w:szCs w:val="24"/>
        </w:rPr>
        <w:t xml:space="preserve">seems to be a very sensitive tool for detecting </w:t>
      </w:r>
      <w:r w:rsidR="002B0CA8" w:rsidRPr="00772D93">
        <w:rPr>
          <w:rFonts w:ascii="Book Antiqua" w:hAnsi="Book Antiqua" w:cs="Times New Roman"/>
          <w:sz w:val="24"/>
          <w:szCs w:val="24"/>
        </w:rPr>
        <w:t xml:space="preserve">an </w:t>
      </w:r>
      <w:r w:rsidR="00DC2D53" w:rsidRPr="00772D93">
        <w:rPr>
          <w:rFonts w:ascii="Book Antiqua" w:hAnsi="Book Antiqua" w:cs="Times New Roman"/>
          <w:sz w:val="24"/>
          <w:szCs w:val="24"/>
        </w:rPr>
        <w:t xml:space="preserve">early increase in lung fluid volume. Non-invasive daily monitoring of </w:t>
      </w:r>
      <w:r w:rsidR="00616546" w:rsidRPr="00772D93">
        <w:rPr>
          <w:rFonts w:ascii="Book Antiqua" w:hAnsi="Book Antiqua" w:cs="Times New Roman"/>
          <w:sz w:val="24"/>
          <w:szCs w:val="24"/>
        </w:rPr>
        <w:t>LI</w:t>
      </w:r>
      <w:r w:rsidR="00DC2D53" w:rsidRPr="00772D93">
        <w:rPr>
          <w:rFonts w:ascii="Book Antiqua" w:hAnsi="Book Antiqua" w:cs="Times New Roman"/>
          <w:sz w:val="24"/>
          <w:szCs w:val="24"/>
        </w:rPr>
        <w:t xml:space="preserve"> with </w:t>
      </w:r>
      <w:r w:rsidR="002B0CA8" w:rsidRPr="00772D93">
        <w:rPr>
          <w:rFonts w:ascii="Book Antiqua" w:hAnsi="Book Antiqua" w:cs="Times New Roman"/>
          <w:sz w:val="24"/>
          <w:szCs w:val="24"/>
        </w:rPr>
        <w:t xml:space="preserve">the </w:t>
      </w:r>
      <w:r w:rsidR="00616546" w:rsidRPr="00772D93">
        <w:rPr>
          <w:rFonts w:ascii="Book Antiqua" w:hAnsi="Book Antiqua" w:cs="Times New Roman"/>
          <w:sz w:val="24"/>
          <w:szCs w:val="24"/>
        </w:rPr>
        <w:t>EGM</w:t>
      </w:r>
      <w:r w:rsidR="00DC2D53" w:rsidRPr="00772D93">
        <w:rPr>
          <w:rFonts w:ascii="Book Antiqua" w:hAnsi="Book Antiqua" w:cs="Times New Roman"/>
          <w:sz w:val="24"/>
          <w:szCs w:val="24"/>
        </w:rPr>
        <w:t xml:space="preserve"> consistently reflects the changes in </w:t>
      </w:r>
      <w:r w:rsidR="002B0CA8" w:rsidRPr="00772D93">
        <w:rPr>
          <w:rFonts w:ascii="Book Antiqua" w:hAnsi="Book Antiqua" w:cs="Times New Roman"/>
          <w:sz w:val="24"/>
          <w:szCs w:val="24"/>
        </w:rPr>
        <w:t xml:space="preserve">the </w:t>
      </w:r>
      <w:r w:rsidR="00DC2D53" w:rsidRPr="00772D93">
        <w:rPr>
          <w:rFonts w:ascii="Book Antiqua" w:hAnsi="Book Antiqua" w:cs="Times New Roman"/>
          <w:sz w:val="24"/>
          <w:szCs w:val="24"/>
        </w:rPr>
        <w:t>dose of diuretics and responds to other treatment adjustments. T</w:t>
      </w:r>
      <w:r w:rsidR="002B0CA8" w:rsidRPr="00772D93">
        <w:rPr>
          <w:rFonts w:ascii="Book Antiqua" w:hAnsi="Book Antiqua" w:cs="Times New Roman"/>
          <w:sz w:val="24"/>
          <w:szCs w:val="24"/>
        </w:rPr>
        <w:t>he t</w:t>
      </w:r>
      <w:r w:rsidR="00DC2D53" w:rsidRPr="00772D93">
        <w:rPr>
          <w:rFonts w:ascii="Book Antiqua" w:hAnsi="Book Antiqua" w:cs="Times New Roman"/>
          <w:sz w:val="24"/>
          <w:szCs w:val="24"/>
        </w:rPr>
        <w:t xml:space="preserve">itration of </w:t>
      </w:r>
      <w:r w:rsidR="002B0CA8" w:rsidRPr="00772D93">
        <w:rPr>
          <w:rFonts w:ascii="Book Antiqua" w:hAnsi="Book Antiqua" w:cs="Times New Roman"/>
          <w:sz w:val="24"/>
          <w:szCs w:val="24"/>
        </w:rPr>
        <w:t xml:space="preserve">the </w:t>
      </w:r>
      <w:r w:rsidR="00DC2D53" w:rsidRPr="00772D93">
        <w:rPr>
          <w:rFonts w:ascii="Book Antiqua" w:hAnsi="Book Antiqua" w:cs="Times New Roman"/>
          <w:sz w:val="24"/>
          <w:szCs w:val="24"/>
        </w:rPr>
        <w:t>diuretic dose</w:t>
      </w:r>
      <w:r w:rsidR="002B0CA8" w:rsidRPr="00772D93">
        <w:rPr>
          <w:rFonts w:ascii="Book Antiqua" w:hAnsi="Book Antiqua" w:cs="Times New Roman"/>
          <w:sz w:val="24"/>
          <w:szCs w:val="24"/>
        </w:rPr>
        <w:t>,</w:t>
      </w:r>
      <w:r w:rsidR="00DC2D53" w:rsidRPr="00772D93">
        <w:rPr>
          <w:rFonts w:ascii="Book Antiqua" w:hAnsi="Book Antiqua" w:cs="Times New Roman"/>
          <w:sz w:val="24"/>
          <w:szCs w:val="24"/>
        </w:rPr>
        <w:t xml:space="preserve"> according to </w:t>
      </w:r>
      <w:r w:rsidR="00616546" w:rsidRPr="00772D93">
        <w:rPr>
          <w:rFonts w:ascii="Book Antiqua" w:hAnsi="Book Antiqua" w:cs="Times New Roman"/>
          <w:sz w:val="24"/>
          <w:szCs w:val="24"/>
        </w:rPr>
        <w:t>LI</w:t>
      </w:r>
      <w:r w:rsidR="00DC2D53" w:rsidRPr="00772D93">
        <w:rPr>
          <w:rFonts w:ascii="Book Antiqua" w:hAnsi="Book Antiqua" w:cs="Times New Roman"/>
          <w:sz w:val="24"/>
          <w:szCs w:val="24"/>
        </w:rPr>
        <w:t xml:space="preserve"> values</w:t>
      </w:r>
      <w:r w:rsidR="002B0CA8" w:rsidRPr="00772D93">
        <w:rPr>
          <w:rFonts w:ascii="Book Antiqua" w:hAnsi="Book Antiqua" w:cs="Times New Roman"/>
          <w:sz w:val="24"/>
          <w:szCs w:val="24"/>
        </w:rPr>
        <w:t>,</w:t>
      </w:r>
      <w:r w:rsidR="00DC2D53" w:rsidRPr="00772D93">
        <w:rPr>
          <w:rFonts w:ascii="Book Antiqua" w:hAnsi="Book Antiqua" w:cs="Times New Roman"/>
          <w:sz w:val="24"/>
          <w:szCs w:val="24"/>
        </w:rPr>
        <w:t xml:space="preserve"> may optimize patient stabilization in the early post-discharge period.</w:t>
      </w:r>
    </w:p>
    <w:p w14:paraId="22B256BE" w14:textId="77777777" w:rsidR="00772D93" w:rsidRPr="00772D93" w:rsidRDefault="00772D93" w:rsidP="00772D93">
      <w:pPr>
        <w:spacing w:after="0" w:line="360" w:lineRule="auto"/>
        <w:jc w:val="both"/>
        <w:rPr>
          <w:rFonts w:ascii="Book Antiqua" w:hAnsi="Book Antiqua" w:cs="Times New Roman"/>
          <w:b/>
          <w:sz w:val="24"/>
          <w:szCs w:val="24"/>
          <w:lang w:val="en" w:eastAsia="zh-CN"/>
        </w:rPr>
      </w:pPr>
    </w:p>
    <w:p w14:paraId="47926795" w14:textId="2B8B111B" w:rsidR="00772D93" w:rsidRPr="00772D93" w:rsidRDefault="00772D93" w:rsidP="00772D93">
      <w:pPr>
        <w:spacing w:after="0" w:line="360" w:lineRule="auto"/>
        <w:jc w:val="both"/>
        <w:rPr>
          <w:rFonts w:ascii="Book Antiqua" w:hAnsi="Book Antiqua" w:cs="Times New Roman"/>
          <w:sz w:val="24"/>
          <w:szCs w:val="24"/>
          <w:lang w:eastAsia="zh-CN"/>
        </w:rPr>
      </w:pPr>
      <w:proofErr w:type="spellStart"/>
      <w:r w:rsidRPr="00772D93">
        <w:rPr>
          <w:rFonts w:ascii="Book Antiqua" w:hAnsi="Book Antiqua" w:cs="Times New Roman"/>
          <w:sz w:val="24"/>
          <w:szCs w:val="24"/>
        </w:rPr>
        <w:t>Lycholip</w:t>
      </w:r>
      <w:proofErr w:type="spellEnd"/>
      <w:r w:rsidRPr="00772D93">
        <w:rPr>
          <w:rFonts w:ascii="Book Antiqua" w:hAnsi="Book Antiqua" w:cs="Times New Roman"/>
          <w:sz w:val="24"/>
          <w:szCs w:val="24"/>
          <w:lang w:eastAsia="zh-CN"/>
        </w:rPr>
        <w:t xml:space="preserve"> E</w:t>
      </w:r>
      <w:r w:rsidRPr="00772D93">
        <w:rPr>
          <w:rFonts w:ascii="Book Antiqua" w:hAnsi="Book Antiqua" w:cs="Times New Roman"/>
          <w:sz w:val="24"/>
          <w:szCs w:val="24"/>
        </w:rPr>
        <w:t xml:space="preserve">, </w:t>
      </w:r>
      <w:proofErr w:type="spellStart"/>
      <w:r w:rsidRPr="00772D93">
        <w:rPr>
          <w:rFonts w:ascii="Book Antiqua" w:hAnsi="Book Antiqua" w:cs="Times New Roman"/>
          <w:sz w:val="24"/>
          <w:szCs w:val="24"/>
        </w:rPr>
        <w:t>Palevičiūtė</w:t>
      </w:r>
      <w:proofErr w:type="spellEnd"/>
      <w:r w:rsidRPr="00772D93">
        <w:rPr>
          <w:rFonts w:ascii="Book Antiqua" w:hAnsi="Book Antiqua" w:cs="Times New Roman"/>
          <w:sz w:val="24"/>
          <w:szCs w:val="24"/>
          <w:lang w:eastAsia="zh-CN"/>
        </w:rPr>
        <w:t xml:space="preserve"> E</w:t>
      </w:r>
      <w:r w:rsidRPr="00772D93">
        <w:rPr>
          <w:rFonts w:ascii="Book Antiqua" w:hAnsi="Book Antiqua" w:cs="Times New Roman"/>
          <w:sz w:val="24"/>
          <w:szCs w:val="24"/>
        </w:rPr>
        <w:t xml:space="preserve">, </w:t>
      </w:r>
      <w:proofErr w:type="spellStart"/>
      <w:r w:rsidRPr="00772D93">
        <w:rPr>
          <w:rFonts w:ascii="Book Antiqua" w:hAnsi="Book Antiqua" w:cs="Times New Roman"/>
          <w:sz w:val="24"/>
          <w:szCs w:val="24"/>
        </w:rPr>
        <w:t>Aamodt</w:t>
      </w:r>
      <w:proofErr w:type="spellEnd"/>
      <w:r w:rsidRPr="00772D93">
        <w:rPr>
          <w:rFonts w:ascii="Book Antiqua" w:hAnsi="Book Antiqua" w:cs="Times New Roman"/>
          <w:sz w:val="24"/>
          <w:szCs w:val="24"/>
          <w:lang w:eastAsia="zh-CN"/>
        </w:rPr>
        <w:t xml:space="preserve"> IT</w:t>
      </w:r>
      <w:r w:rsidRPr="00772D93">
        <w:rPr>
          <w:rFonts w:ascii="Book Antiqua" w:hAnsi="Book Antiqua" w:cs="Times New Roman"/>
          <w:sz w:val="24"/>
          <w:szCs w:val="24"/>
        </w:rPr>
        <w:t>,</w:t>
      </w:r>
      <w:r w:rsidRPr="00772D93">
        <w:rPr>
          <w:rFonts w:ascii="Book Antiqua" w:hAnsi="Book Antiqua" w:cs="TimesNewRomanPSMT"/>
          <w:sz w:val="24"/>
          <w:szCs w:val="24"/>
          <w:lang w:val="lt-LT"/>
        </w:rPr>
        <w:t xml:space="preserve"> Hellesø</w:t>
      </w:r>
      <w:r w:rsidRPr="00772D93">
        <w:rPr>
          <w:rFonts w:ascii="Book Antiqua" w:hAnsi="Book Antiqua" w:cs="TimesNewRomanPSMT"/>
          <w:sz w:val="24"/>
          <w:szCs w:val="24"/>
          <w:lang w:val="lt-LT" w:eastAsia="zh-CN"/>
        </w:rPr>
        <w:t xml:space="preserve"> R</w:t>
      </w:r>
      <w:r w:rsidRPr="00772D93">
        <w:rPr>
          <w:rFonts w:ascii="Book Antiqua" w:hAnsi="Book Antiqua" w:cs="TimesNewRomanPSMT"/>
          <w:sz w:val="24"/>
          <w:szCs w:val="24"/>
          <w:lang w:val="lt-LT"/>
        </w:rPr>
        <w:t xml:space="preserve">, </w:t>
      </w:r>
      <w:r w:rsidRPr="00772D93">
        <w:rPr>
          <w:rFonts w:ascii="Book Antiqua" w:hAnsi="Book Antiqua" w:cs="Times New Roman"/>
          <w:sz w:val="24"/>
          <w:szCs w:val="24"/>
        </w:rPr>
        <w:t>Lie</w:t>
      </w:r>
      <w:r w:rsidRPr="00772D93">
        <w:rPr>
          <w:rFonts w:ascii="Book Antiqua" w:hAnsi="Book Antiqua" w:cs="Times New Roman"/>
          <w:sz w:val="24"/>
          <w:szCs w:val="24"/>
          <w:lang w:eastAsia="zh-CN"/>
        </w:rPr>
        <w:t xml:space="preserve"> I</w:t>
      </w:r>
      <w:r w:rsidRPr="00772D93">
        <w:rPr>
          <w:rFonts w:ascii="Book Antiqua" w:hAnsi="Book Antiqua" w:cs="Times New Roman"/>
          <w:sz w:val="24"/>
          <w:szCs w:val="24"/>
        </w:rPr>
        <w:t xml:space="preserve">, </w:t>
      </w:r>
      <w:r w:rsidRPr="00772D93">
        <w:rPr>
          <w:rFonts w:ascii="Book Antiqua" w:hAnsi="Book Antiqua" w:cs="TimesNewRomanPSMT"/>
          <w:sz w:val="24"/>
          <w:szCs w:val="24"/>
          <w:lang w:val="lt-LT"/>
        </w:rPr>
        <w:t>Strömberg</w:t>
      </w:r>
      <w:r w:rsidRPr="00772D93">
        <w:rPr>
          <w:rFonts w:ascii="Book Antiqua" w:hAnsi="Book Antiqua" w:cs="TimesNewRomanPSMT"/>
          <w:sz w:val="24"/>
          <w:szCs w:val="24"/>
          <w:lang w:val="lt-LT" w:eastAsia="zh-CN"/>
        </w:rPr>
        <w:t xml:space="preserve"> A</w:t>
      </w:r>
      <w:r w:rsidRPr="00772D93">
        <w:rPr>
          <w:rFonts w:ascii="Book Antiqua" w:hAnsi="Book Antiqua" w:cs="Times New Roman"/>
          <w:sz w:val="24"/>
          <w:szCs w:val="24"/>
        </w:rPr>
        <w:t xml:space="preserve">, </w:t>
      </w:r>
      <w:proofErr w:type="spellStart"/>
      <w:r w:rsidRPr="00772D93">
        <w:rPr>
          <w:rFonts w:ascii="Book Antiqua" w:hAnsi="Book Antiqua" w:cs="Times New Roman"/>
          <w:sz w:val="24"/>
          <w:szCs w:val="24"/>
        </w:rPr>
        <w:t>Jaarsma</w:t>
      </w:r>
      <w:proofErr w:type="spellEnd"/>
      <w:r w:rsidRPr="00772D93">
        <w:rPr>
          <w:rFonts w:ascii="Book Antiqua" w:hAnsi="Book Antiqua" w:cs="Times New Roman"/>
          <w:sz w:val="24"/>
          <w:szCs w:val="24"/>
          <w:lang w:eastAsia="zh-CN"/>
        </w:rPr>
        <w:t xml:space="preserve"> T</w:t>
      </w:r>
      <w:r w:rsidRPr="00772D93">
        <w:rPr>
          <w:rFonts w:ascii="Book Antiqua" w:hAnsi="Book Antiqua" w:cs="Times New Roman"/>
          <w:sz w:val="24"/>
          <w:szCs w:val="24"/>
        </w:rPr>
        <w:t xml:space="preserve">, </w:t>
      </w:r>
      <w:proofErr w:type="spellStart"/>
      <w:r w:rsidRPr="00772D93">
        <w:rPr>
          <w:rFonts w:ascii="Book Antiqua" w:hAnsi="Book Antiqua" w:cs="Times New Roman"/>
          <w:sz w:val="24"/>
          <w:szCs w:val="24"/>
        </w:rPr>
        <w:t>Čelutkienė</w:t>
      </w:r>
      <w:proofErr w:type="spellEnd"/>
      <w:r w:rsidRPr="00772D93">
        <w:rPr>
          <w:rFonts w:ascii="Book Antiqua" w:hAnsi="Book Antiqua" w:cs="Times New Roman"/>
          <w:sz w:val="24"/>
          <w:szCs w:val="24"/>
          <w:lang w:eastAsia="zh-CN"/>
        </w:rPr>
        <w:t xml:space="preserve"> J.</w:t>
      </w:r>
      <w:r w:rsidRPr="00772D93">
        <w:rPr>
          <w:rFonts w:ascii="Book Antiqua" w:eastAsia="Times New Roman" w:hAnsi="Book Antiqua" w:cs="Times New Roman"/>
          <w:sz w:val="24"/>
          <w:szCs w:val="24"/>
          <w:lang w:val="en-GB"/>
        </w:rPr>
        <w:t xml:space="preserve"> Non-invasive home lung impedance monitoring in early post-acute heart failure</w:t>
      </w:r>
      <w:r w:rsidRPr="00772D93">
        <w:rPr>
          <w:rFonts w:ascii="Book Antiqua" w:hAnsi="Book Antiqua" w:cs="Times New Roman"/>
          <w:sz w:val="24"/>
          <w:szCs w:val="24"/>
        </w:rPr>
        <w:t xml:space="preserve"> discharge</w:t>
      </w:r>
      <w:r w:rsidRPr="00772D93">
        <w:rPr>
          <w:rFonts w:ascii="Book Antiqua" w:hAnsi="Book Antiqua" w:cs="Times New Roman"/>
          <w:sz w:val="24"/>
          <w:szCs w:val="24"/>
          <w:lang w:eastAsia="zh-CN"/>
        </w:rPr>
        <w:t xml:space="preserve">: Three case reports. </w:t>
      </w:r>
      <w:r w:rsidRPr="00772D93">
        <w:rPr>
          <w:rFonts w:ascii="Book Antiqua" w:hAnsi="Book Antiqua"/>
          <w:i/>
          <w:iCs/>
          <w:sz w:val="24"/>
          <w:szCs w:val="24"/>
        </w:rPr>
        <w:t>World J Clin Cases</w:t>
      </w:r>
      <w:r w:rsidRPr="00772D93">
        <w:rPr>
          <w:rFonts w:ascii="Book Antiqua" w:hAnsi="Book Antiqua"/>
          <w:i/>
          <w:iCs/>
          <w:sz w:val="24"/>
          <w:szCs w:val="24"/>
          <w:lang w:eastAsia="zh-CN"/>
        </w:rPr>
        <w:t xml:space="preserve"> </w:t>
      </w:r>
      <w:r w:rsidRPr="00772D93">
        <w:rPr>
          <w:rFonts w:ascii="Book Antiqua" w:hAnsi="Book Antiqua"/>
          <w:iCs/>
          <w:sz w:val="24"/>
          <w:szCs w:val="24"/>
          <w:lang w:eastAsia="zh-CN"/>
        </w:rPr>
        <w:t>2019; In press</w:t>
      </w:r>
    </w:p>
    <w:p w14:paraId="7C9CC0A1" w14:textId="77777777" w:rsidR="00772D93" w:rsidRPr="00772D93" w:rsidRDefault="00772D93" w:rsidP="00772D93">
      <w:pPr>
        <w:spacing w:after="0" w:line="360" w:lineRule="auto"/>
        <w:jc w:val="both"/>
        <w:rPr>
          <w:rFonts w:ascii="Book Antiqua" w:hAnsi="Book Antiqua" w:cs="Times New Roman"/>
          <w:sz w:val="24"/>
          <w:szCs w:val="24"/>
          <w:lang w:eastAsia="zh-CN"/>
        </w:rPr>
      </w:pPr>
      <w:r w:rsidRPr="00772D93">
        <w:rPr>
          <w:rFonts w:ascii="Book Antiqua" w:hAnsi="Book Antiqua" w:cs="Times New Roman"/>
          <w:sz w:val="24"/>
          <w:szCs w:val="24"/>
          <w:lang w:eastAsia="zh-CN"/>
        </w:rPr>
        <w:br w:type="page"/>
      </w:r>
    </w:p>
    <w:p w14:paraId="1BBD29AA" w14:textId="111C0FF4" w:rsidR="00A32D03" w:rsidRPr="00772D93" w:rsidRDefault="00520428" w:rsidP="00772D93">
      <w:pPr>
        <w:spacing w:after="0" w:line="360" w:lineRule="auto"/>
        <w:jc w:val="both"/>
        <w:rPr>
          <w:rFonts w:ascii="Book Antiqua" w:hAnsi="Book Antiqua" w:cs="Times New Roman"/>
          <w:b/>
          <w:sz w:val="24"/>
          <w:szCs w:val="24"/>
        </w:rPr>
      </w:pPr>
      <w:r w:rsidRPr="00772D93">
        <w:rPr>
          <w:rFonts w:ascii="Book Antiqua" w:hAnsi="Book Antiqua" w:cs="Times New Roman"/>
          <w:b/>
          <w:sz w:val="24"/>
          <w:szCs w:val="24"/>
        </w:rPr>
        <w:lastRenderedPageBreak/>
        <w:t>INTRODUCTION</w:t>
      </w:r>
    </w:p>
    <w:p w14:paraId="32455EBA" w14:textId="6F8D936A" w:rsidR="00277729" w:rsidRPr="00772D93" w:rsidRDefault="008F602A" w:rsidP="00772D93">
      <w:pPr>
        <w:spacing w:after="0" w:line="360" w:lineRule="auto"/>
        <w:jc w:val="both"/>
        <w:rPr>
          <w:rFonts w:ascii="Book Antiqua" w:hAnsi="Book Antiqua" w:cs="Times New Roman"/>
          <w:sz w:val="24"/>
          <w:szCs w:val="24"/>
        </w:rPr>
      </w:pPr>
      <w:r w:rsidRPr="00772D93">
        <w:rPr>
          <w:rFonts w:ascii="Book Antiqua" w:hAnsi="Book Antiqua" w:cs="Times New Roman"/>
          <w:sz w:val="24"/>
          <w:szCs w:val="24"/>
        </w:rPr>
        <w:t xml:space="preserve">Hospital </w:t>
      </w:r>
      <w:r w:rsidRPr="00772D93">
        <w:rPr>
          <w:rFonts w:ascii="Book Antiqua" w:hAnsi="Book Antiqua" w:cs="Times New Roman"/>
          <w:iCs/>
          <w:sz w:val="24"/>
          <w:szCs w:val="24"/>
        </w:rPr>
        <w:t>readmissions</w:t>
      </w:r>
      <w:r w:rsidRPr="00772D93">
        <w:rPr>
          <w:rFonts w:ascii="Book Antiqua" w:hAnsi="Book Antiqua" w:cs="Times New Roman"/>
          <w:sz w:val="24"/>
          <w:szCs w:val="24"/>
        </w:rPr>
        <w:t xml:space="preserve"> </w:t>
      </w:r>
      <w:r w:rsidR="00277729" w:rsidRPr="00772D93">
        <w:rPr>
          <w:rFonts w:ascii="Book Antiqua" w:hAnsi="Book Antiqua" w:cs="Times New Roman"/>
          <w:sz w:val="24"/>
          <w:szCs w:val="24"/>
        </w:rPr>
        <w:t>are</w:t>
      </w:r>
      <w:r w:rsidRPr="00772D93">
        <w:rPr>
          <w:rFonts w:ascii="Book Antiqua" w:hAnsi="Book Antiqua" w:cs="Times New Roman"/>
          <w:sz w:val="24"/>
          <w:szCs w:val="24"/>
        </w:rPr>
        <w:t xml:space="preserve"> a </w:t>
      </w:r>
      <w:r w:rsidRPr="00772D93">
        <w:rPr>
          <w:rFonts w:ascii="Book Antiqua" w:hAnsi="Book Antiqua" w:cs="Times New Roman"/>
          <w:iCs/>
          <w:sz w:val="24"/>
          <w:szCs w:val="24"/>
        </w:rPr>
        <w:t>challenge</w:t>
      </w:r>
      <w:r w:rsidRPr="00772D93">
        <w:rPr>
          <w:rFonts w:ascii="Book Antiqua" w:hAnsi="Book Antiqua" w:cs="Times New Roman"/>
          <w:sz w:val="24"/>
          <w:szCs w:val="24"/>
        </w:rPr>
        <w:t xml:space="preserve"> in the care of heart failure (HF) patients. </w:t>
      </w:r>
      <w:r w:rsidR="00277729" w:rsidRPr="00772D93">
        <w:rPr>
          <w:rFonts w:ascii="Book Antiqua" w:hAnsi="Book Antiqua" w:cs="Times New Roman"/>
          <w:sz w:val="24"/>
          <w:szCs w:val="24"/>
        </w:rPr>
        <w:t>Readmissions are stressful for patients and families and</w:t>
      </w:r>
      <w:r w:rsidR="00A75470" w:rsidRPr="00772D93">
        <w:rPr>
          <w:rFonts w:ascii="Book Antiqua" w:hAnsi="Book Antiqua" w:cs="Times New Roman"/>
          <w:sz w:val="24"/>
          <w:szCs w:val="24"/>
        </w:rPr>
        <w:t>,</w:t>
      </w:r>
      <w:r w:rsidR="00277729" w:rsidRPr="00772D93">
        <w:rPr>
          <w:rFonts w:ascii="Book Antiqua" w:hAnsi="Book Antiqua" w:cs="Times New Roman"/>
          <w:sz w:val="24"/>
          <w:szCs w:val="24"/>
        </w:rPr>
        <w:t xml:space="preserve"> at the same time</w:t>
      </w:r>
      <w:r w:rsidR="00A75470" w:rsidRPr="00772D93">
        <w:rPr>
          <w:rFonts w:ascii="Book Antiqua" w:hAnsi="Book Antiqua" w:cs="Times New Roman"/>
          <w:sz w:val="24"/>
          <w:szCs w:val="24"/>
        </w:rPr>
        <w:t>,</w:t>
      </w:r>
      <w:r w:rsidR="00277729" w:rsidRPr="00772D93">
        <w:rPr>
          <w:rFonts w:ascii="Book Antiqua" w:hAnsi="Book Antiqua" w:cs="Times New Roman"/>
          <w:sz w:val="24"/>
          <w:szCs w:val="24"/>
        </w:rPr>
        <w:t xml:space="preserve"> might have financial consequences for health care organizations. </w:t>
      </w:r>
      <w:r w:rsidR="00A75470" w:rsidRPr="00772D93">
        <w:rPr>
          <w:rFonts w:ascii="Book Antiqua" w:hAnsi="Book Antiqua" w:cs="Times New Roman"/>
          <w:sz w:val="24"/>
          <w:szCs w:val="24"/>
        </w:rPr>
        <w:t xml:space="preserve">The Hospital Readmissions Reduction Program was recently </w:t>
      </w:r>
      <w:r w:rsidR="009A2ABD" w:rsidRPr="00772D93">
        <w:rPr>
          <w:rFonts w:ascii="Book Antiqua" w:hAnsi="Book Antiqua" w:cs="Times New Roman"/>
          <w:sz w:val="24"/>
          <w:szCs w:val="24"/>
        </w:rPr>
        <w:t xml:space="preserve">established </w:t>
      </w:r>
      <w:r w:rsidR="00C706BA" w:rsidRPr="00772D93">
        <w:rPr>
          <w:rFonts w:ascii="Book Antiqua" w:hAnsi="Book Antiqua" w:cs="Times New Roman"/>
          <w:sz w:val="24"/>
          <w:szCs w:val="24"/>
        </w:rPr>
        <w:t xml:space="preserve">in the United States. This program involved </w:t>
      </w:r>
      <w:r w:rsidR="009A2ABD" w:rsidRPr="00772D93">
        <w:rPr>
          <w:rFonts w:ascii="Book Antiqua" w:hAnsi="Book Antiqua" w:cs="Times New Roman"/>
          <w:sz w:val="24"/>
          <w:szCs w:val="24"/>
        </w:rPr>
        <w:t xml:space="preserve">a </w:t>
      </w:r>
      <w:r w:rsidR="00C706BA" w:rsidRPr="00772D93">
        <w:rPr>
          <w:rFonts w:ascii="Book Antiqua" w:hAnsi="Book Antiqua" w:cs="Times New Roman"/>
          <w:sz w:val="24"/>
          <w:szCs w:val="24"/>
        </w:rPr>
        <w:t>publi</w:t>
      </w:r>
      <w:r w:rsidR="00772D93">
        <w:rPr>
          <w:rFonts w:ascii="Book Antiqua" w:hAnsi="Book Antiqua" w:cs="Times New Roman"/>
          <w:sz w:val="24"/>
          <w:szCs w:val="24"/>
        </w:rPr>
        <w:t>c reporting of hospitals’ 30-d</w:t>
      </w:r>
      <w:r w:rsidR="00C706BA" w:rsidRPr="00772D93">
        <w:rPr>
          <w:rFonts w:ascii="Book Antiqua" w:hAnsi="Book Antiqua" w:cs="Times New Roman"/>
          <w:sz w:val="24"/>
          <w:szCs w:val="24"/>
        </w:rPr>
        <w:t xml:space="preserve"> risk-standardized readmission rates and </w:t>
      </w:r>
      <w:r w:rsidR="00DC2107" w:rsidRPr="00772D93">
        <w:rPr>
          <w:rFonts w:ascii="Book Antiqua" w:hAnsi="Book Antiqua" w:cs="Times New Roman"/>
          <w:sz w:val="24"/>
          <w:szCs w:val="24"/>
        </w:rPr>
        <w:t xml:space="preserve">applied </w:t>
      </w:r>
      <w:r w:rsidR="00C706BA" w:rsidRPr="00772D93">
        <w:rPr>
          <w:rFonts w:ascii="Book Antiqua" w:hAnsi="Book Antiqua" w:cs="Times New Roman"/>
          <w:sz w:val="24"/>
          <w:szCs w:val="24"/>
        </w:rPr>
        <w:t>financial penalties for hospitals with higher readmissions. The results of such</w:t>
      </w:r>
      <w:r w:rsidR="00306228" w:rsidRPr="00772D93">
        <w:rPr>
          <w:rFonts w:ascii="Book Antiqua" w:hAnsi="Book Antiqua" w:cs="Times New Roman"/>
          <w:sz w:val="24"/>
          <w:szCs w:val="24"/>
        </w:rPr>
        <w:t xml:space="preserve"> a</w:t>
      </w:r>
      <w:r w:rsidR="00C706BA" w:rsidRPr="00772D93">
        <w:rPr>
          <w:rFonts w:ascii="Book Antiqua" w:hAnsi="Book Antiqua" w:cs="Times New Roman"/>
          <w:sz w:val="24"/>
          <w:szCs w:val="24"/>
        </w:rPr>
        <w:t xml:space="preserve"> health care policy show that focusing mainly on the financial part of health care may significantly worsen patient care and outcomes</w:t>
      </w:r>
      <w:r w:rsidR="00306228" w:rsidRPr="00772D93">
        <w:rPr>
          <w:rFonts w:ascii="Book Antiqua" w:hAnsi="Book Antiqua" w:cs="Times New Roman"/>
          <w:sz w:val="24"/>
          <w:szCs w:val="24"/>
          <w:vertAlign w:val="superscript"/>
        </w:rPr>
        <w:fldChar w:fldCharType="begin"/>
      </w:r>
      <w:r w:rsidR="00566C7F" w:rsidRPr="00772D93">
        <w:rPr>
          <w:rFonts w:ascii="Book Antiqua" w:hAnsi="Book Antiqua" w:cs="Times New Roman"/>
          <w:sz w:val="24"/>
          <w:szCs w:val="24"/>
          <w:vertAlign w:val="superscript"/>
        </w:rPr>
        <w:instrText xml:space="preserve"> ADDIN ZOTERO_ITEM CSL_CITATION {"citationID":"lPMRbgk4","properties":{"formattedCitation":"(1,2)","plainCitation":"(1,2)","dontUpdate":true,"noteIndex":0},"citationItems":[{"id":101,"uris":["http://zotero.org/users/local/SMqWT9IS/items/ZJ26QLGG"],"uri":["http://zotero.org/users/local/SMqWT9IS/items/ZJ26QLGG"],"itemData":{"id":101,"type":"article-journal","title":"Association of the Hospital Readmissions Reduction Program Implementation With Readmission and Mortality Outcomes in Heart Failure","container-title":"JAMA cardiology","page":"44-53","volume":"3","issue":"1","source":"PubMed","abstract":"Importance: Public reporting of hospitals' 30-day risk-standardized readmission rates following heart failure hospitalization and the financial penalization of hospitals with higher rates have been associated with a reduction in 30-day readmissions but have raised concerns regarding the potential for unintended consequences.\nObjective: To examine the association of the Hospital Readmissions Reduction Program (HRRP) with readmission and mortality outcomes among patients hospitalized with heart failure within a prospective clinical registry that allows for detailed risk adjustment.\nDesign, Setting, and Participants: Interrupted time-series and survival analyses of index heart failure hospitalizations were conducted from January 1, 2006, to December 31, 2014. This study included 115</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245 fee-for-service Medicare beneficiaries across 416 US hospital sites participating in the American Heart Association Get With The Guidelines-Heart Failure registry. Data analysis took place from January 1, 2017, to June 8, 2017.\nExposures: Time intervals related to the HRRP were before the HRRP implementation (January 1, 2006, to March 31, 2010), during the HRRP implementation (April 1, 2010, to September 30, 2012), and after the HRRP penalties went into effect (October 1, 2012, to December 31, 2014).\nMain Outcomes and Measures: Risk-adjusted 30-day and 1-year all-cause readmission and mortality rates.\nResults: The mean (SD) age of the study population (n = 115</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245) was 80.5 (8.4) years, 62 927 (54.6%) were women, and 91 996 (81.3%) were white and 11 037 (9.7%) were black. The 30-day risk-adjusted readmission rate declined from 20.0% before the HRRP implementation to 18.4% in the HRRP penalties phase (hazard ratio (HR) after vs before the HRRP implementation, 0.91; 95% CI, 0.87-0.95; P</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&lt;</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.001). In contrast, the 30-day risk-adjusted mortality rate increased from 7.2% before the HRRP implementation to 8.6% in the HRRP penalties phase (HR after vs before the HRRP implementation, 1.18; 95% CI, 1.10-1.27; P</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&lt;</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.001). The 1-year risk-adjusted readmission and mortality rates followed a similar pattern as the 30-day outcomes. The 1-year risk-adjusted readmission rate declined from 57.2% to 56.3% (HR, 0.92; 95% CI, 0.89-0.96; P</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&lt;</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.001), and the 1-year risk-adjusted mortality rate increased from 31.3% to 36.3% (HR, 1.10; 95% CI, 1.06-1.14; P</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&lt;</w:instrText>
      </w:r>
      <w:r w:rsidR="00566C7F" w:rsidRPr="00772D93">
        <w:rPr>
          <w:rFonts w:ascii="Times New Roman" w:hAnsi="Times New Roman" w:cs="Times New Roman"/>
          <w:sz w:val="24"/>
          <w:szCs w:val="24"/>
          <w:vertAlign w:val="superscript"/>
        </w:rPr>
        <w:instrText> </w:instrText>
      </w:r>
      <w:r w:rsidR="00566C7F" w:rsidRPr="00772D93">
        <w:rPr>
          <w:rFonts w:ascii="Book Antiqua" w:hAnsi="Book Antiqua" w:cs="Times New Roman"/>
          <w:sz w:val="24"/>
          <w:szCs w:val="24"/>
          <w:vertAlign w:val="superscript"/>
        </w:rPr>
        <w:instrText xml:space="preserve">.001) after vs before the HRRP implementation.\nConclusions and Relevance: Among fee-for-service Medicare beneficiaries discharged after heart failure hospitalizations, implementation of the HRRP was temporally associated with a reduction in 30-day and 1-year readmissions but an increase in 30-day and 1-year mortality. If confirmed, this finding may require reconsideration of the HRRP in heart failure.","DOI":"10.1001/jamacardio.2017.4265","ISSN":"2380-6591","note":"PMID: 29128869\nPMCID: PMC5833526","journalAbbreviation":"JAMA Cardiol","language":"eng","author":[{"family":"Gupta","given":"Ankur"},{"family":"Allen","given":"Larry A."},{"family":"Bhatt","given":"Deepak L."},{"family":"Cox","given":"Margueritte"},{"family":"DeVore","given":"Adam D."},{"family":"Heidenreich","given":"Paul A."},{"family":"Hernandez","given":"Adrian F."},{"family":"Peterson","given":"Eric D."},{"family":"Matsouaka","given":"Roland A."},{"family":"Yancy","given":"Clyde W."},{"family":"Fonarow","given":"Gregg C."}],"issued":{"date-parts":[["2018",1,1]]}},"label":"page"},{"id":103,"uris":["http://zotero.org/users/local/SMqWT9IS/items/KJIZQ8K5"],"uri":["http://zotero.org/users/local/SMqWT9IS/items/KJIZQ8K5"],"itemData":{"id":103,"type":"article-journal","title":"Finding the balance between costs and quality in heart failure: a global challenge","container-title":"European Journal of Heart Failure","page":"1175-1178","volume":"20","issue":"8","source":"PubMed","DOI":"10.1002/ejhf.1195","ISSN":"1879-0844","note":"PMID: 29673007","shortTitle":"Finding the balance between costs and quality in heart failure","journalAbbreviation":"Eur. J. Heart Fail.","language":"eng","author":[{"family":"Čerlinskaitė","given":"Kamilė"},{"family":"Hollinger","given":"Alexa"},{"family":"Mebazaa","given":"Alexandre"},{"family":"Cinotti","given":"Raphaël"}],"issued":{"date-parts":[["2018",8]]}},"label":"page"}],"schema":"https://github.com/citation-style-language/schema/raw/master/csl-citation.json"} </w:instrText>
      </w:r>
      <w:r w:rsidR="00306228" w:rsidRPr="00772D93">
        <w:rPr>
          <w:rFonts w:ascii="Book Antiqua" w:hAnsi="Book Antiqua" w:cs="Times New Roman"/>
          <w:sz w:val="24"/>
          <w:szCs w:val="24"/>
          <w:vertAlign w:val="superscript"/>
        </w:rPr>
        <w:fldChar w:fldCharType="separate"/>
      </w:r>
      <w:r w:rsidR="00306228" w:rsidRPr="00772D93">
        <w:rPr>
          <w:rFonts w:ascii="Book Antiqua" w:hAnsi="Book Antiqua" w:cs="Times New Roman"/>
          <w:sz w:val="24"/>
          <w:szCs w:val="24"/>
          <w:vertAlign w:val="superscript"/>
        </w:rPr>
        <w:t>[1,2]</w:t>
      </w:r>
      <w:r w:rsidR="00306228" w:rsidRPr="00772D93">
        <w:rPr>
          <w:rFonts w:ascii="Book Antiqua" w:hAnsi="Book Antiqua" w:cs="Times New Roman"/>
          <w:sz w:val="24"/>
          <w:szCs w:val="24"/>
          <w:vertAlign w:val="superscript"/>
        </w:rPr>
        <w:fldChar w:fldCharType="end"/>
      </w:r>
      <w:r w:rsidR="006B0EFE" w:rsidRPr="00772D93">
        <w:rPr>
          <w:rFonts w:ascii="Book Antiqua" w:hAnsi="Book Antiqua" w:cs="Times New Roman"/>
          <w:sz w:val="24"/>
          <w:szCs w:val="24"/>
        </w:rPr>
        <w:t xml:space="preserve">. </w:t>
      </w:r>
      <w:r w:rsidR="00277729" w:rsidRPr="00772D93">
        <w:rPr>
          <w:rFonts w:ascii="Book Antiqua" w:hAnsi="Book Antiqua" w:cs="Times New Roman"/>
          <w:sz w:val="24"/>
          <w:szCs w:val="24"/>
        </w:rPr>
        <w:t>In the first 30 d</w:t>
      </w:r>
      <w:r w:rsidR="00306228" w:rsidRPr="00772D93">
        <w:rPr>
          <w:rFonts w:ascii="Book Antiqua" w:hAnsi="Book Antiqua" w:cs="Times New Roman"/>
          <w:sz w:val="24"/>
          <w:szCs w:val="24"/>
        </w:rPr>
        <w:t>, the</w:t>
      </w:r>
      <w:r w:rsidR="00277729" w:rsidRPr="00772D93">
        <w:rPr>
          <w:rFonts w:ascii="Book Antiqua" w:hAnsi="Book Antiqua" w:cs="Times New Roman"/>
          <w:sz w:val="24"/>
          <w:szCs w:val="24"/>
        </w:rPr>
        <w:t xml:space="preserve"> patients seem to be most vulnerable for rehospitalization</w:t>
      </w:r>
      <w:r w:rsidR="00306228" w:rsidRPr="00772D93">
        <w:rPr>
          <w:rFonts w:ascii="Book Antiqua" w:hAnsi="Book Antiqua" w:cs="Times New Roman"/>
          <w:sz w:val="24"/>
          <w:szCs w:val="24"/>
        </w:rPr>
        <w:t>;</w:t>
      </w:r>
      <w:r w:rsidR="00277729" w:rsidRPr="00772D93">
        <w:rPr>
          <w:rFonts w:ascii="Book Antiqua" w:hAnsi="Book Antiqua" w:cs="Times New Roman"/>
          <w:sz w:val="24"/>
          <w:szCs w:val="24"/>
        </w:rPr>
        <w:t xml:space="preserve"> therefore</w:t>
      </w:r>
      <w:r w:rsidR="00306228" w:rsidRPr="00772D93">
        <w:rPr>
          <w:rFonts w:ascii="Book Antiqua" w:hAnsi="Book Antiqua" w:cs="Times New Roman"/>
          <w:sz w:val="24"/>
          <w:szCs w:val="24"/>
        </w:rPr>
        <w:t>,</w:t>
      </w:r>
      <w:r w:rsidR="00277729" w:rsidRPr="00772D93">
        <w:rPr>
          <w:rFonts w:ascii="Book Antiqua" w:hAnsi="Book Antiqua" w:cs="Times New Roman"/>
          <w:sz w:val="24"/>
          <w:szCs w:val="24"/>
        </w:rPr>
        <w:t xml:space="preserve"> extra attention </w:t>
      </w:r>
      <w:r w:rsidR="00306228" w:rsidRPr="00772D93">
        <w:rPr>
          <w:rFonts w:ascii="Book Antiqua" w:hAnsi="Book Antiqua" w:cs="Times New Roman"/>
          <w:sz w:val="24"/>
          <w:szCs w:val="24"/>
        </w:rPr>
        <w:t xml:space="preserve">during </w:t>
      </w:r>
      <w:r w:rsidR="00277729" w:rsidRPr="00772D93">
        <w:rPr>
          <w:rFonts w:ascii="Book Antiqua" w:hAnsi="Book Antiqua" w:cs="Times New Roman"/>
          <w:sz w:val="24"/>
          <w:szCs w:val="24"/>
        </w:rPr>
        <w:t xml:space="preserve">this time period is warranted. </w:t>
      </w:r>
    </w:p>
    <w:p w14:paraId="1D686C8F" w14:textId="5F366615" w:rsidR="00F35B18" w:rsidRPr="00772D93" w:rsidRDefault="008E392E" w:rsidP="00772D93">
      <w:pPr>
        <w:spacing w:after="0" w:line="360" w:lineRule="auto"/>
        <w:ind w:firstLineChars="100" w:firstLine="240"/>
        <w:jc w:val="both"/>
        <w:rPr>
          <w:rFonts w:ascii="Book Antiqua" w:hAnsi="Book Antiqua" w:cs="Times New Roman"/>
          <w:sz w:val="24"/>
          <w:szCs w:val="24"/>
        </w:rPr>
      </w:pPr>
      <w:r w:rsidRPr="00772D93">
        <w:rPr>
          <w:rFonts w:ascii="Book Antiqua" w:hAnsi="Book Antiqua" w:cs="Times New Roman"/>
          <w:sz w:val="24"/>
          <w:szCs w:val="24"/>
        </w:rPr>
        <w:t xml:space="preserve">The </w:t>
      </w:r>
      <w:r w:rsidR="00CE62FD" w:rsidRPr="00772D93">
        <w:rPr>
          <w:rFonts w:ascii="Book Antiqua" w:hAnsi="Book Antiqua" w:cs="Times New Roman"/>
          <w:sz w:val="24"/>
          <w:szCs w:val="24"/>
        </w:rPr>
        <w:t>impedance</w:t>
      </w:r>
      <w:r w:rsidR="00306228" w:rsidRPr="00772D93">
        <w:rPr>
          <w:rFonts w:ascii="Book Antiqua" w:hAnsi="Book Antiqua" w:cs="Times New Roman"/>
          <w:sz w:val="24"/>
          <w:szCs w:val="24"/>
        </w:rPr>
        <w:t>-</w:t>
      </w:r>
      <w:r w:rsidR="000F65C5" w:rsidRPr="00772D93">
        <w:rPr>
          <w:rFonts w:ascii="Book Antiqua" w:hAnsi="Book Antiqua" w:cs="Times New Roman"/>
          <w:sz w:val="24"/>
          <w:szCs w:val="24"/>
        </w:rPr>
        <w:t xml:space="preserve">HF </w:t>
      </w:r>
      <w:r w:rsidR="00EF1421" w:rsidRPr="00772D93">
        <w:rPr>
          <w:rFonts w:ascii="Book Antiqua" w:hAnsi="Book Antiqua" w:cs="Times New Roman"/>
          <w:sz w:val="24"/>
          <w:szCs w:val="24"/>
        </w:rPr>
        <w:t xml:space="preserve">trial </w:t>
      </w:r>
      <w:r w:rsidR="00A47E43" w:rsidRPr="00772D93">
        <w:rPr>
          <w:rFonts w:ascii="Book Antiqua" w:hAnsi="Book Antiqua" w:cs="Times New Roman"/>
          <w:sz w:val="24"/>
          <w:szCs w:val="24"/>
        </w:rPr>
        <w:t>revealed that the use of lung impedance (LI) measurements for the guidance of</w:t>
      </w:r>
      <w:r w:rsidR="00306228" w:rsidRPr="00772D93">
        <w:rPr>
          <w:rFonts w:ascii="Book Antiqua" w:hAnsi="Book Antiqua" w:cs="Times New Roman"/>
          <w:sz w:val="24"/>
          <w:szCs w:val="24"/>
        </w:rPr>
        <w:t xml:space="preserve"> the</w:t>
      </w:r>
      <w:r w:rsidR="00A47E43" w:rsidRPr="00772D93">
        <w:rPr>
          <w:rFonts w:ascii="Book Antiqua" w:hAnsi="Book Antiqua" w:cs="Times New Roman"/>
          <w:sz w:val="24"/>
          <w:szCs w:val="24"/>
        </w:rPr>
        <w:t xml:space="preserve"> preemptive treatment of patients with chronic </w:t>
      </w:r>
      <w:r w:rsidR="008F602A" w:rsidRPr="00772D93">
        <w:rPr>
          <w:rFonts w:ascii="Book Antiqua" w:hAnsi="Book Antiqua" w:cs="Times New Roman"/>
          <w:iCs/>
          <w:sz w:val="24"/>
          <w:szCs w:val="24"/>
        </w:rPr>
        <w:t>HF</w:t>
      </w:r>
      <w:r w:rsidR="00A47E43" w:rsidRPr="00772D93">
        <w:rPr>
          <w:rFonts w:ascii="Book Antiqua" w:hAnsi="Book Antiqua" w:cs="Times New Roman"/>
          <w:sz w:val="24"/>
          <w:szCs w:val="24"/>
        </w:rPr>
        <w:t xml:space="preserve"> reduced </w:t>
      </w:r>
      <w:r w:rsidR="008F602A" w:rsidRPr="00772D93">
        <w:rPr>
          <w:rFonts w:ascii="Book Antiqua" w:hAnsi="Book Antiqua" w:cs="Times New Roman"/>
          <w:sz w:val="24"/>
          <w:szCs w:val="24"/>
        </w:rPr>
        <w:t>all</w:t>
      </w:r>
      <w:r w:rsidR="00306228" w:rsidRPr="00772D93">
        <w:rPr>
          <w:rFonts w:ascii="Book Antiqua" w:hAnsi="Book Antiqua" w:cs="Times New Roman"/>
          <w:sz w:val="24"/>
          <w:szCs w:val="24"/>
        </w:rPr>
        <w:t>-</w:t>
      </w:r>
      <w:r w:rsidR="008F602A" w:rsidRPr="00772D93">
        <w:rPr>
          <w:rFonts w:ascii="Book Antiqua" w:hAnsi="Book Antiqua" w:cs="Times New Roman"/>
          <w:sz w:val="24"/>
          <w:szCs w:val="24"/>
        </w:rPr>
        <w:t xml:space="preserve">cause </w:t>
      </w:r>
      <w:r w:rsidR="00854E2A" w:rsidRPr="00772D93">
        <w:rPr>
          <w:rFonts w:ascii="Book Antiqua" w:hAnsi="Book Antiqua" w:cs="Times New Roman"/>
          <w:sz w:val="24"/>
          <w:szCs w:val="24"/>
        </w:rPr>
        <w:t xml:space="preserve">and HF </w:t>
      </w:r>
      <w:r w:rsidR="008F602A" w:rsidRPr="00772D93">
        <w:rPr>
          <w:rFonts w:ascii="Book Antiqua" w:hAnsi="Book Antiqua" w:cs="Times New Roman"/>
          <w:sz w:val="24"/>
          <w:szCs w:val="24"/>
        </w:rPr>
        <w:t xml:space="preserve">hospitalizations by 39% </w:t>
      </w:r>
      <w:r w:rsidRPr="00772D93">
        <w:rPr>
          <w:rFonts w:ascii="Book Antiqua" w:hAnsi="Book Antiqua" w:cs="Times New Roman"/>
          <w:sz w:val="24"/>
          <w:szCs w:val="24"/>
        </w:rPr>
        <w:t>and</w:t>
      </w:r>
      <w:r w:rsidR="00A47E43" w:rsidRPr="00772D93">
        <w:rPr>
          <w:rFonts w:ascii="Book Antiqua" w:hAnsi="Book Antiqua" w:cs="Times New Roman"/>
          <w:sz w:val="24"/>
          <w:szCs w:val="24"/>
        </w:rPr>
        <w:t xml:space="preserve"> 55%</w:t>
      </w:r>
      <w:r w:rsidRPr="00772D93">
        <w:rPr>
          <w:rFonts w:ascii="Book Antiqua" w:hAnsi="Book Antiqua" w:cs="Times New Roman"/>
          <w:sz w:val="24"/>
          <w:szCs w:val="24"/>
        </w:rPr>
        <w:t>, respectively</w:t>
      </w:r>
      <w:r w:rsidR="00A47E43" w:rsidRPr="00772D93">
        <w:rPr>
          <w:rFonts w:ascii="Book Antiqua" w:hAnsi="Book Antiqua" w:cs="Times New Roman"/>
          <w:sz w:val="24"/>
          <w:szCs w:val="24"/>
          <w:vertAlign w:val="superscript"/>
        </w:rPr>
        <w:fldChar w:fldCharType="begin"/>
      </w:r>
      <w:r w:rsidR="00F51CAF" w:rsidRPr="00772D93">
        <w:rPr>
          <w:rFonts w:ascii="Book Antiqua" w:hAnsi="Book Antiqua" w:cs="Times New Roman"/>
          <w:sz w:val="24"/>
          <w:szCs w:val="24"/>
          <w:vertAlign w:val="superscript"/>
        </w:rPr>
        <w:instrText xml:space="preserve"> ADDIN ZOTERO_ITEM CSL_CITATION {"citationID":"mhssSaNp","properties":{"formattedCitation":"\\super [3]\\nosupersub{}","plainCitation":"[3]","noteIndex":0},"citationItems":[{"id":68,"uris":["http://zotero.org/users/local/SMqWT9IS/items/42K3H4QE"],"uri":["http://zotero.org/users/local/SMqWT9IS/items/42K3H4QE"],"itemData":{"id":68,"type":"article-journal","title":"Non-Invasive Lung IMPEDANCE-Guided Preemptive Treatment in Chronic Heart Failure Patients: A Randomized Controlled Trial (IMPEDANCE-HF Trial)","container-title":"Journal of Cardiac Failure","page":"713-722","volume":"22","issue":"9","source":"PubMed","abstract":"BACKGROUND: Previous investigations have suggested that lung impedance (LI)-guided treatment reduces hospitalizations for acute heart failure (AHF). A single-blind 2-center trial was performed to evaluate this hypothesis (ClinicalTrials.gov-NCT01315223).\nMETHODS: The study population included 256 patients from 2 medical centers with chronic heart failure and left ventricular ejection fraction ≤35% in New York Heart Association class II-IV, who were admitted for AHF within 12 months before recruitment. Patients were randomized to a control group treated by clinical assessment and a monitored group whose therapy was also assisted by LI, and followed for at least 12 months. Noninvasive LI measurements were performed with a new high-sensitivity device. Patients, blinded to their assignment group, were scheduled for monthly visits in the outpatient clinics. The primary efficacy endpoint was AHF hospitalizations; the secondary endpoints were all-cause hospitalizations and mortality.\nRESULTS: There were 67 vs 158 AHF hospitalizations during the first year (P</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&lt;</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.001) and 211 vs 386 AHF hospitalizations (P</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&lt;</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.001) during the entire follow-up among the monitored patients (48</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Book Antiqua"/>
          <w:sz w:val="24"/>
          <w:szCs w:val="24"/>
          <w:vertAlign w:val="superscript"/>
        </w:rPr>
        <w:instrText>±</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32 months) and control patients (39</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Book Antiqua"/>
          <w:sz w:val="24"/>
          <w:szCs w:val="24"/>
          <w:vertAlign w:val="superscript"/>
        </w:rPr>
        <w:instrText>±</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26 months, P</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.01), respectively. During the follow-up, there were 42 and 59 deaths (hazard ratio</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0.52, 95% confidence interval 0.35-0.78, P</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.002) with 13 and 31 of them resulting from heart failure (hazard ratio</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0.30, 95% confidence interval 0.15-0.58 P</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&lt;</w:instrText>
      </w:r>
      <w:r w:rsidR="00F51CAF" w:rsidRPr="00772D93">
        <w:rPr>
          <w:rFonts w:ascii="Times New Roman" w:hAnsi="Times New Roman" w:cs="Times New Roman"/>
          <w:sz w:val="24"/>
          <w:szCs w:val="24"/>
          <w:vertAlign w:val="superscript"/>
        </w:rPr>
        <w:instrText> </w:instrText>
      </w:r>
      <w:r w:rsidR="00F51CAF" w:rsidRPr="00772D93">
        <w:rPr>
          <w:rFonts w:ascii="Book Antiqua" w:hAnsi="Book Antiqua" w:cs="Times New Roman"/>
          <w:sz w:val="24"/>
          <w:szCs w:val="24"/>
          <w:vertAlign w:val="superscript"/>
        </w:rPr>
        <w:instrText xml:space="preserve">.001) in the monitored and control groups, respectively. The incidence of noncardiovascular death was similar.\nCONCLUSION: Our results seem to validate the concept that LI-guided preemptive treatment of chronic heart failure patients reduces hospitalizations for AHF as well as the incidence of heart failure, cardiovascular, and all-cause mortality.","DOI":"10.1016/j.cardfail.2016.03.015","ISSN":"1532-8414","note":"PMID: 27058408","shortTitle":"Non-Invasive Lung IMPEDANCE-Guided Preemptive Treatment in Chronic Heart Failure Patients","journalAbbreviation":"J. Card. Fail.","language":"eng","author":[{"family":"Shochat","given":"Michael Kleiner"},{"family":"Shotan","given":"Avraham"},{"family":"Blondheim","given":"David S."},{"family":"Kazatsker","given":"Mark"},{"family":"Dahan","given":"Iris"},{"family":"Asif","given":"Aya"},{"family":"Rozenman","given":"Yoseph"},{"family":"Kleiner","given":"Ilia"},{"family":"Weinstein","given":"Jean Marc"},{"family":"Frimerman","given":"Aaron"},{"family":"Vasilenko","given":"Lubov"},{"family":"Meisel","given":"Simcha R."}],"issued":{"date-parts":[["2016",9]]}}}],"schema":"https://github.com/citation-style-language/schema/raw/master/csl-citation.json"} </w:instrText>
      </w:r>
      <w:r w:rsidR="00A47E43" w:rsidRPr="00772D93">
        <w:rPr>
          <w:rFonts w:ascii="Book Antiqua" w:hAnsi="Book Antiqua" w:cs="Times New Roman"/>
          <w:sz w:val="24"/>
          <w:szCs w:val="24"/>
          <w:vertAlign w:val="superscript"/>
        </w:rPr>
        <w:fldChar w:fldCharType="separate"/>
      </w:r>
      <w:r w:rsidR="00F51CAF" w:rsidRPr="00772D93">
        <w:rPr>
          <w:rFonts w:ascii="Book Antiqua" w:hAnsi="Book Antiqua" w:cs="Times New Roman"/>
          <w:sz w:val="24"/>
          <w:szCs w:val="24"/>
          <w:vertAlign w:val="superscript"/>
        </w:rPr>
        <w:t>[3]</w:t>
      </w:r>
      <w:r w:rsidR="00A47E43" w:rsidRPr="00772D93">
        <w:rPr>
          <w:rFonts w:ascii="Book Antiqua" w:hAnsi="Book Antiqua" w:cs="Times New Roman"/>
          <w:sz w:val="24"/>
          <w:szCs w:val="24"/>
          <w:vertAlign w:val="superscript"/>
        </w:rPr>
        <w:fldChar w:fldCharType="end"/>
      </w:r>
      <w:r w:rsidR="00A47E43" w:rsidRPr="00772D93">
        <w:rPr>
          <w:rFonts w:ascii="Book Antiqua" w:hAnsi="Book Antiqua" w:cs="Times New Roman"/>
          <w:sz w:val="24"/>
          <w:szCs w:val="24"/>
        </w:rPr>
        <w:t>. In th</w:t>
      </w:r>
      <w:r w:rsidR="00277729" w:rsidRPr="00772D93">
        <w:rPr>
          <w:rFonts w:ascii="Book Antiqua" w:hAnsi="Book Antiqua" w:cs="Times New Roman"/>
          <w:sz w:val="24"/>
          <w:szCs w:val="24"/>
        </w:rPr>
        <w:t>at</w:t>
      </w:r>
      <w:r w:rsidR="00A47E43" w:rsidRPr="00772D93">
        <w:rPr>
          <w:rFonts w:ascii="Book Antiqua" w:hAnsi="Book Antiqua" w:cs="Times New Roman"/>
          <w:sz w:val="24"/>
          <w:szCs w:val="24"/>
        </w:rPr>
        <w:t xml:space="preserve"> study</w:t>
      </w:r>
      <w:r w:rsidR="00306228" w:rsidRPr="00772D93">
        <w:rPr>
          <w:rFonts w:ascii="Book Antiqua" w:hAnsi="Book Antiqua" w:cs="Times New Roman"/>
          <w:sz w:val="24"/>
          <w:szCs w:val="24"/>
        </w:rPr>
        <w:t>,</w:t>
      </w:r>
      <w:r w:rsidR="00A47E43" w:rsidRPr="00772D93">
        <w:rPr>
          <w:rFonts w:ascii="Book Antiqua" w:hAnsi="Book Antiqua" w:cs="Times New Roman"/>
          <w:sz w:val="24"/>
          <w:szCs w:val="24"/>
        </w:rPr>
        <w:t xml:space="preserve"> </w:t>
      </w:r>
      <w:r w:rsidR="00497D51" w:rsidRPr="00772D93">
        <w:rPr>
          <w:rFonts w:ascii="Book Antiqua" w:hAnsi="Book Antiqua" w:cs="Times New Roman"/>
          <w:sz w:val="24"/>
          <w:szCs w:val="24"/>
        </w:rPr>
        <w:t xml:space="preserve">measurements of LI were done </w:t>
      </w:r>
      <w:r w:rsidR="00306228" w:rsidRPr="00772D93">
        <w:rPr>
          <w:rFonts w:ascii="Book Antiqua" w:hAnsi="Book Antiqua" w:cs="Times New Roman"/>
          <w:sz w:val="24"/>
          <w:szCs w:val="24"/>
        </w:rPr>
        <w:t>using the</w:t>
      </w:r>
      <w:r w:rsidR="00497D51" w:rsidRPr="00772D93">
        <w:rPr>
          <w:rFonts w:ascii="Book Antiqua" w:hAnsi="Book Antiqua" w:cs="Times New Roman"/>
          <w:sz w:val="24"/>
          <w:szCs w:val="24"/>
        </w:rPr>
        <w:t xml:space="preserve"> high</w:t>
      </w:r>
      <w:r w:rsidR="008F602A" w:rsidRPr="00772D93">
        <w:rPr>
          <w:rFonts w:ascii="Book Antiqua" w:hAnsi="Book Antiqua" w:cs="Times New Roman"/>
          <w:sz w:val="24"/>
          <w:szCs w:val="24"/>
        </w:rPr>
        <w:t>ly</w:t>
      </w:r>
      <w:r w:rsidR="00497D51" w:rsidRPr="00772D93">
        <w:rPr>
          <w:rFonts w:ascii="Book Antiqua" w:hAnsi="Book Antiqua" w:cs="Times New Roman"/>
          <w:sz w:val="24"/>
          <w:szCs w:val="24"/>
        </w:rPr>
        <w:t xml:space="preserve"> sensitive</w:t>
      </w:r>
      <w:r w:rsidR="00306228" w:rsidRPr="00772D93">
        <w:rPr>
          <w:rFonts w:ascii="Book Antiqua" w:hAnsi="Book Antiqua" w:cs="Times New Roman"/>
          <w:sz w:val="24"/>
          <w:szCs w:val="24"/>
        </w:rPr>
        <w:t>,</w:t>
      </w:r>
      <w:r w:rsidR="00497D51" w:rsidRPr="00772D93">
        <w:rPr>
          <w:rFonts w:ascii="Book Antiqua" w:hAnsi="Book Antiqua" w:cs="Times New Roman"/>
          <w:sz w:val="24"/>
          <w:szCs w:val="24"/>
        </w:rPr>
        <w:t xml:space="preserve"> non-invasive device </w:t>
      </w:r>
      <w:r w:rsidR="00F55516" w:rsidRPr="00772D93">
        <w:rPr>
          <w:rFonts w:ascii="Book Antiqua" w:hAnsi="Book Antiqua" w:cs="Times New Roman"/>
          <w:sz w:val="24"/>
          <w:szCs w:val="24"/>
        </w:rPr>
        <w:t>edema guard monitor</w:t>
      </w:r>
      <w:r w:rsidR="00497D51" w:rsidRPr="00772D93">
        <w:rPr>
          <w:rFonts w:ascii="Book Antiqua" w:hAnsi="Book Antiqua" w:cs="Times New Roman"/>
          <w:sz w:val="24"/>
          <w:szCs w:val="24"/>
        </w:rPr>
        <w:t xml:space="preserve"> (EGM)</w:t>
      </w:r>
      <w:r w:rsidR="00A47E43" w:rsidRPr="00772D93">
        <w:rPr>
          <w:rFonts w:ascii="Book Antiqua" w:hAnsi="Book Antiqua" w:cs="Times New Roman"/>
          <w:sz w:val="24"/>
          <w:szCs w:val="24"/>
        </w:rPr>
        <w:t xml:space="preserve">. </w:t>
      </w:r>
      <w:r w:rsidR="00306228" w:rsidRPr="00772D93">
        <w:rPr>
          <w:rFonts w:ascii="Book Antiqua" w:hAnsi="Book Antiqua" w:cs="Times New Roman"/>
          <w:sz w:val="24"/>
          <w:szCs w:val="24"/>
        </w:rPr>
        <w:t>T</w:t>
      </w:r>
      <w:r w:rsidR="002E1CDD" w:rsidRPr="00772D93">
        <w:rPr>
          <w:rFonts w:ascii="Book Antiqua" w:hAnsi="Book Antiqua" w:cs="Times New Roman"/>
          <w:sz w:val="24"/>
          <w:szCs w:val="24"/>
        </w:rPr>
        <w:t>he</w:t>
      </w:r>
      <w:r w:rsidR="00306228" w:rsidRPr="00772D93">
        <w:rPr>
          <w:rFonts w:ascii="Book Antiqua" w:hAnsi="Book Antiqua" w:cs="Times New Roman"/>
          <w:sz w:val="24"/>
          <w:szCs w:val="24"/>
        </w:rPr>
        <w:t xml:space="preserve"> </w:t>
      </w:r>
      <w:r w:rsidR="005109FB" w:rsidRPr="00772D93">
        <w:rPr>
          <w:rFonts w:ascii="Book Antiqua" w:hAnsi="Book Antiqua" w:cs="Times New Roman"/>
          <w:sz w:val="24"/>
          <w:szCs w:val="24"/>
        </w:rPr>
        <w:t>EGM is based on an algorithm calculating the chest wall impedance</w:t>
      </w:r>
      <w:r w:rsidR="00306228" w:rsidRPr="00772D93">
        <w:rPr>
          <w:rFonts w:ascii="Book Antiqua" w:hAnsi="Book Antiqua" w:cs="Times New Roman"/>
          <w:sz w:val="24"/>
          <w:szCs w:val="24"/>
        </w:rPr>
        <w:t xml:space="preserve">, which </w:t>
      </w:r>
      <w:r w:rsidR="005109FB" w:rsidRPr="00772D93">
        <w:rPr>
          <w:rFonts w:ascii="Book Antiqua" w:hAnsi="Book Antiqua" w:cs="Times New Roman"/>
          <w:sz w:val="24"/>
          <w:szCs w:val="24"/>
        </w:rPr>
        <w:t xml:space="preserve">is the preponderant component of the total electrical thoracic impedance. </w:t>
      </w:r>
      <w:r w:rsidR="00306228" w:rsidRPr="00772D93">
        <w:rPr>
          <w:rFonts w:ascii="Book Antiqua" w:hAnsi="Book Antiqua" w:cs="Times New Roman"/>
          <w:sz w:val="24"/>
          <w:szCs w:val="24"/>
        </w:rPr>
        <w:t xml:space="preserve">The subtraction </w:t>
      </w:r>
      <w:r w:rsidR="005109FB" w:rsidRPr="00772D93">
        <w:rPr>
          <w:rFonts w:ascii="Book Antiqua" w:hAnsi="Book Antiqua" w:cs="Times New Roman"/>
          <w:sz w:val="24"/>
          <w:szCs w:val="24"/>
        </w:rPr>
        <w:t xml:space="preserve">of the chest wall impedance from the latter yields the net LI, which is the impedance of interest. Decreasing LI values represent the increase of lung </w:t>
      </w:r>
      <w:proofErr w:type="gramStart"/>
      <w:r w:rsidR="00EA04FF" w:rsidRPr="00772D93">
        <w:rPr>
          <w:rFonts w:ascii="Book Antiqua" w:hAnsi="Book Antiqua" w:cs="Times New Roman"/>
          <w:sz w:val="24"/>
          <w:szCs w:val="24"/>
        </w:rPr>
        <w:t>fluid</w:t>
      </w:r>
      <w:r w:rsidR="00EA04FF" w:rsidRPr="00772D93">
        <w:rPr>
          <w:rFonts w:ascii="Book Antiqua" w:hAnsi="Book Antiqua" w:cs="Times New Roman"/>
          <w:sz w:val="24"/>
          <w:szCs w:val="24"/>
          <w:vertAlign w:val="superscript"/>
        </w:rPr>
        <w:t>[</w:t>
      </w:r>
      <w:proofErr w:type="gramEnd"/>
      <w:r w:rsidR="004F1FA5" w:rsidRPr="00772D93">
        <w:rPr>
          <w:rFonts w:ascii="Book Antiqua" w:hAnsi="Book Antiqua" w:cs="Times New Roman"/>
          <w:sz w:val="24"/>
          <w:szCs w:val="24"/>
          <w:vertAlign w:val="superscript"/>
        </w:rPr>
        <w:t>1</w:t>
      </w:r>
      <w:r w:rsidR="00306228" w:rsidRPr="00772D93">
        <w:rPr>
          <w:rFonts w:ascii="Book Antiqua" w:hAnsi="Book Antiqua" w:cs="Times New Roman"/>
          <w:sz w:val="24"/>
          <w:szCs w:val="24"/>
          <w:vertAlign w:val="superscript"/>
        </w:rPr>
        <w:t>]</w:t>
      </w:r>
      <w:r w:rsidR="00306228" w:rsidRPr="00772D93">
        <w:rPr>
          <w:rFonts w:ascii="Book Antiqua" w:hAnsi="Book Antiqua" w:cs="Times New Roman"/>
          <w:sz w:val="24"/>
          <w:szCs w:val="24"/>
        </w:rPr>
        <w:t xml:space="preserve">. </w:t>
      </w:r>
      <w:r w:rsidR="00A16D06" w:rsidRPr="00772D93">
        <w:rPr>
          <w:rFonts w:ascii="Book Antiqua" w:hAnsi="Book Antiqua" w:cs="Times New Roman"/>
          <w:sz w:val="24"/>
          <w:szCs w:val="24"/>
        </w:rPr>
        <w:t xml:space="preserve">In previous </w:t>
      </w:r>
      <w:r w:rsidR="00050633" w:rsidRPr="00772D93">
        <w:rPr>
          <w:rFonts w:ascii="Book Antiqua" w:hAnsi="Book Antiqua" w:cs="Times New Roman"/>
          <w:sz w:val="24"/>
          <w:szCs w:val="24"/>
        </w:rPr>
        <w:t>reports</w:t>
      </w:r>
      <w:r w:rsidR="00306228" w:rsidRPr="00772D93">
        <w:rPr>
          <w:rFonts w:ascii="Book Antiqua" w:hAnsi="Book Antiqua" w:cs="Times New Roman"/>
          <w:sz w:val="24"/>
          <w:szCs w:val="24"/>
        </w:rPr>
        <w:t>,</w:t>
      </w:r>
      <w:r w:rsidR="00050633" w:rsidRPr="00772D93">
        <w:rPr>
          <w:rFonts w:ascii="Book Antiqua" w:hAnsi="Book Antiqua" w:cs="Times New Roman"/>
          <w:sz w:val="24"/>
          <w:szCs w:val="24"/>
        </w:rPr>
        <w:t xml:space="preserve"> </w:t>
      </w:r>
      <w:r w:rsidR="00A16D06" w:rsidRPr="00772D93">
        <w:rPr>
          <w:rFonts w:ascii="Book Antiqua" w:hAnsi="Book Antiqua" w:cs="Times New Roman"/>
          <w:sz w:val="24"/>
          <w:szCs w:val="24"/>
        </w:rPr>
        <w:t xml:space="preserve">EGM was used only in the hospital or during regular outpatient clinic visits. </w:t>
      </w:r>
      <w:r w:rsidR="004B5765" w:rsidRPr="00772D93">
        <w:rPr>
          <w:rFonts w:ascii="Book Antiqua" w:hAnsi="Book Antiqua" w:cs="Times New Roman"/>
          <w:sz w:val="24"/>
          <w:szCs w:val="24"/>
        </w:rPr>
        <w:t>Since</w:t>
      </w:r>
      <w:r w:rsidR="005109FB" w:rsidRPr="00772D93">
        <w:rPr>
          <w:rFonts w:ascii="Book Antiqua" w:hAnsi="Book Antiqua" w:cs="Times New Roman"/>
          <w:sz w:val="24"/>
          <w:szCs w:val="24"/>
        </w:rPr>
        <w:t xml:space="preserve"> EGM seems to be very sensitive to evolving pulmonary congestion</w:t>
      </w:r>
      <w:r w:rsidR="00306228" w:rsidRPr="00772D93">
        <w:rPr>
          <w:rFonts w:ascii="Book Antiqua" w:hAnsi="Book Antiqua" w:cs="Times New Roman"/>
          <w:sz w:val="24"/>
          <w:szCs w:val="24"/>
        </w:rPr>
        <w:t>,</w:t>
      </w:r>
      <w:r w:rsidR="005109FB" w:rsidRPr="00772D93">
        <w:rPr>
          <w:rFonts w:ascii="Book Antiqua" w:hAnsi="Book Antiqua" w:cs="Times New Roman"/>
          <w:sz w:val="24"/>
          <w:szCs w:val="24"/>
        </w:rPr>
        <w:t xml:space="preserve"> </w:t>
      </w:r>
      <w:r w:rsidR="004B5765" w:rsidRPr="00772D93">
        <w:rPr>
          <w:rFonts w:ascii="Book Antiqua" w:hAnsi="Book Antiqua" w:cs="Times New Roman"/>
          <w:sz w:val="24"/>
          <w:szCs w:val="24"/>
        </w:rPr>
        <w:t>we hypothesized that it could be an accurate tool for</w:t>
      </w:r>
      <w:r w:rsidR="00544C53" w:rsidRPr="00772D93">
        <w:rPr>
          <w:rFonts w:ascii="Book Antiqua" w:hAnsi="Book Antiqua" w:cs="Times New Roman"/>
          <w:sz w:val="24"/>
          <w:szCs w:val="24"/>
        </w:rPr>
        <w:t xml:space="preserve"> the</w:t>
      </w:r>
      <w:r w:rsidR="005109FB" w:rsidRPr="00772D93">
        <w:rPr>
          <w:rFonts w:ascii="Book Antiqua" w:hAnsi="Book Antiqua" w:cs="Times New Roman"/>
          <w:sz w:val="24"/>
          <w:szCs w:val="24"/>
        </w:rPr>
        <w:t xml:space="preserve"> </w:t>
      </w:r>
      <w:r w:rsidR="004B5765" w:rsidRPr="00772D93">
        <w:rPr>
          <w:rFonts w:ascii="Book Antiqua" w:hAnsi="Book Antiqua" w:cs="Times New Roman"/>
          <w:sz w:val="24"/>
          <w:szCs w:val="24"/>
        </w:rPr>
        <w:t xml:space="preserve">cautious titration of the doses of medicines, especially diuretics, </w:t>
      </w:r>
      <w:r w:rsidR="00544C53" w:rsidRPr="00772D93">
        <w:rPr>
          <w:rFonts w:ascii="Book Antiqua" w:hAnsi="Book Antiqua" w:cs="Times New Roman"/>
          <w:sz w:val="24"/>
          <w:szCs w:val="24"/>
        </w:rPr>
        <w:t>ensuring</w:t>
      </w:r>
      <w:r w:rsidR="00306228" w:rsidRPr="00772D93">
        <w:rPr>
          <w:rFonts w:ascii="Book Antiqua" w:hAnsi="Book Antiqua" w:cs="Times New Roman"/>
          <w:sz w:val="24"/>
          <w:szCs w:val="24"/>
        </w:rPr>
        <w:t xml:space="preserve"> a</w:t>
      </w:r>
      <w:r w:rsidR="00544C53" w:rsidRPr="00772D93">
        <w:rPr>
          <w:rFonts w:ascii="Book Antiqua" w:hAnsi="Book Antiqua" w:cs="Times New Roman"/>
          <w:sz w:val="24"/>
          <w:szCs w:val="24"/>
        </w:rPr>
        <w:t xml:space="preserve"> </w:t>
      </w:r>
      <w:r w:rsidR="004B5765" w:rsidRPr="00772D93">
        <w:rPr>
          <w:rFonts w:ascii="Book Antiqua" w:hAnsi="Book Antiqua" w:cs="Times New Roman"/>
          <w:sz w:val="24"/>
          <w:szCs w:val="24"/>
        </w:rPr>
        <w:t>smooth and swift transition to follow-up care</w:t>
      </w:r>
      <w:r w:rsidR="00F51CAF" w:rsidRPr="00772D93">
        <w:rPr>
          <w:rFonts w:ascii="Book Antiqua" w:hAnsi="Book Antiqua" w:cs="Times New Roman"/>
          <w:sz w:val="24"/>
          <w:szCs w:val="24"/>
        </w:rPr>
        <w:fldChar w:fldCharType="begin"/>
      </w:r>
      <w:r w:rsidR="00F51CAF" w:rsidRPr="00772D93">
        <w:rPr>
          <w:rFonts w:ascii="Book Antiqua" w:hAnsi="Book Antiqua" w:cs="Times New Roman"/>
          <w:sz w:val="24"/>
          <w:szCs w:val="24"/>
        </w:rPr>
        <w:instrText xml:space="preserve"> ADDIN ZOTERO_ITEM CSL_CITATION {"citationID":"dXjSHI4C","properties":{"formattedCitation":"\\super [3,4]\\nosupersub{}","plainCitation":"[3,4]","noteIndex":0},"citationItems":[{"id":68,"uris":["http://zotero.org/users/local/SMqWT9IS/items/42K3H4QE"],"uri":["http://zotero.org/users/local/SMqWT9IS/items/42K3H4QE"],"itemData":{"id":68,"type":"article-journal","title":"Non-Invasive Lung IMPEDANCE-Guided Preemptive Treatment in Chronic Heart Failure Patients: A Randomized Controlled Trial (IMPEDANCE-HF Trial)","container-title":"Journal of Cardiac Failure","page":"713-722","volume":"22","issue":"9","source":"PubMed","abstract":"BACKGROUND: Previous investigations have suggested that lung impedance (LI)-guided treatment reduces hospitalizations for acute heart failure (AHF). A single-blind 2-center trial was performed to evaluate this hypothesis (ClinicalTrials.gov-NCT01315223).\nMETHODS: The study population included 256 patients from 2 medical centers with chronic heart failure and left ventricular ejection fraction ≤35% in New York Heart Association class II-IV, who were admitted for AHF within 12 months before recruitment. Patients were randomized to a control group treated by clinical assessment and a monitored group whose therapy was also assisted by LI, and followed for at least 12 months. Noninvasive LI measurements were performed with a new high-sensitivity device. Patients, blinded to their assignment group, were scheduled for monthly visits in the outpatient clinics. The primary efficacy endpoint was AHF hospitalizations; the secondary endpoints were all-cause hospitalizations and mortality.\nRESULTS: There were 67 vs 158 AHF hospitalizations during the first year (P</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&lt;</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.001) and 211 vs 386 AHF hospitalizations (P</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&lt;</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.001) during the entire follow-up among the monitored patients (48</w:instrText>
      </w:r>
      <w:r w:rsidR="00F51CAF" w:rsidRPr="00772D93">
        <w:rPr>
          <w:rFonts w:ascii="Times New Roman" w:hAnsi="Times New Roman" w:cs="Times New Roman"/>
          <w:sz w:val="24"/>
          <w:szCs w:val="24"/>
        </w:rPr>
        <w:instrText> </w:instrText>
      </w:r>
      <w:r w:rsidR="00F51CAF" w:rsidRPr="00772D93">
        <w:rPr>
          <w:rFonts w:ascii="Book Antiqua" w:hAnsi="Book Antiqua" w:cs="Book Antiqua"/>
          <w:sz w:val="24"/>
          <w:szCs w:val="24"/>
        </w:rPr>
        <w:instrText>±</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32 months) and control patients (39</w:instrText>
      </w:r>
      <w:r w:rsidR="00F51CAF" w:rsidRPr="00772D93">
        <w:rPr>
          <w:rFonts w:ascii="Times New Roman" w:hAnsi="Times New Roman" w:cs="Times New Roman"/>
          <w:sz w:val="24"/>
          <w:szCs w:val="24"/>
        </w:rPr>
        <w:instrText> </w:instrText>
      </w:r>
      <w:r w:rsidR="00F51CAF" w:rsidRPr="00772D93">
        <w:rPr>
          <w:rFonts w:ascii="Book Antiqua" w:hAnsi="Book Antiqua" w:cs="Book Antiqua"/>
          <w:sz w:val="24"/>
          <w:szCs w:val="24"/>
        </w:rPr>
        <w:instrText>±</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26 months, P</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.01), respectively. During the follow-up, there were 42 and 59 deaths (hazard ratio</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0.52, 95% confidence interval 0.35-0.78, P</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.002) with 13 and 31 of them resulting from heart failure (hazard ratio</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0.30, 95% confidence interval 0.15-0.58 P</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&lt;</w:instrText>
      </w:r>
      <w:r w:rsidR="00F51CAF" w:rsidRPr="00772D93">
        <w:rPr>
          <w:rFonts w:ascii="Times New Roman" w:hAnsi="Times New Roman" w:cs="Times New Roman"/>
          <w:sz w:val="24"/>
          <w:szCs w:val="24"/>
        </w:rPr>
        <w:instrText> </w:instrText>
      </w:r>
      <w:r w:rsidR="00F51CAF" w:rsidRPr="00772D93">
        <w:rPr>
          <w:rFonts w:ascii="Book Antiqua" w:hAnsi="Book Antiqua" w:cs="Times New Roman"/>
          <w:sz w:val="24"/>
          <w:szCs w:val="24"/>
        </w:rPr>
        <w:instrText xml:space="preserve">.001) in the monitored and control groups, respectively. The incidence of noncardiovascular death was similar.\nCONCLUSION: Our results seem to validate the concept that LI-guided preemptive treatment of chronic heart failure patients reduces hospitalizations for AHF as well as the incidence of heart failure, cardiovascular, and all-cause mortality.","DOI":"10.1016/j.cardfail.2016.03.015","ISSN":"1532-8414","note":"PMID: 27058408","shortTitle":"Non-Invasive Lung IMPEDANCE-Guided Preemptive Treatment in Chronic Heart Failure Patients","journalAbbreviation":"J. Card. Fail.","language":"eng","author":[{"family":"Shochat","given":"Michael Kleiner"},{"family":"Shotan","given":"Avraham"},{"family":"Blondheim","given":"David S."},{"family":"Kazatsker","given":"Mark"},{"family":"Dahan","given":"Iris"},{"family":"Asif","given":"Aya"},{"family":"Rozenman","given":"Yoseph"},{"family":"Kleiner","given":"Ilia"},{"family":"Weinstein","given":"Jean Marc"},{"family":"Frimerman","given":"Aaron"},{"family":"Vasilenko","given":"Lubov"},{"family":"Meisel","given":"Simcha R."}],"issued":{"date-parts":[["2016",9]]}},"label":"page"},{"id":73,"uris":["http://zotero.org/users/local/SMqWT9IS/items/VKSRXJNP"],"uri":["http://zotero.org/users/local/SMqWT9IS/items/VKSRXJNP"],"itemData":{"id":73,"type":"article-journal","title":"Derivation of baseline lung impedance in chronic heart failure patients: use for monitoring pulmonary congestion and predicting admissions for decompensation","container-title":"Journal of Clinical Monitoring and Computing","page":"341-349","volume":"29","issue":"3","source":"PubMed","abstract":"The instantaneous lung impedance (ILI) is one of the methods to assess pulmonary congestion or edema (PCE) in chronic heart failure (CHF) patients. Due to usually existing PCE in CHF patients when evaluated, baseline lung impedance (BLI) is unknown. Therefore, the relation of ILI to BLI is unknown. Our aim was to evaluate methods to calculate and appraise BLI or its derivative as reflecting the clinical status of CHF patients. ILI and New York Heart Association (NYHA) class were assessed in 222 patients (67 ± 11 years, LVEF &lt;35 %) during 32 months of frequent outpatient clinic visits. ILI, measured in 120 asymptomatic patients at NYHA class I, with no congestion on the chest X-ray and a low-normal 6-min walk, was defined as BLI. Using measured BLI and ILI values in these patients, formulas for BLI calculation were derived based on logistic regression analysis or on the disparity between BLI and ILI values at different NYHA stages. Both models were equally reliable with &lt;3 % difference between measured and calculated BLI (p = NS). ΔLIR = (ILI/BLI - 1) × 100 % reflected the degree of PCE, or deviation from baseline, correlated with NYHA class (r = -0.9, p &lt; 0.001) and could serve for monitoring. Of study patients, 123 were re-hospitalized for PCE during follow up. Their ΔLIR decreased gradually from -21.7 ± 8.2 % 4 weeks pre-admission to -37.8 ± 9.3 % on admission (p &lt; 0.001). Patients improved during hospital stay (NYHA 3.7 ± 0.5 to 2.9 ± 0.8, p &lt; 0.0001) with ΔLIR increasing to -29.1 ± 12.0 % (p &lt; 0.001). ΔLIR based on calculated BLI correlated with the clinical status of CHF patients and allowed the prediction of hospitalizations for PCE.","DOI":"10.1007/s10877-014-9610-6","ISSN":"1573-2614","note":"PMID: 25193676","shortTitle":"Derivation of baseline lung impedance in chronic heart failure patients","journalAbbreviation":"J Clin Monit Comput","language":"eng","author":[{"family":"Shochat","given":"Michael"},{"family":"Shotan","given":"Avraham"},{"family":"Blondheim","given":"David S."},{"family":"Kazatsker","given":"Mark"},{"family":"Dahan","given":"Iris"},{"family":"Asif","given":"Aya"},{"family":"Shochat","given":"Ilia"},{"family":"Frimerman","given":"Aaron"},{"family":"Rozenman","given":"Yoseph"},{"family":"Meisel","given":"Simcha R."}],"issued":{"date-parts":[["2015",6]]}},"label":"page"}],"schema":"https://github.com/citation-style-language/schema/raw/master/csl-citation.json"} </w:instrText>
      </w:r>
      <w:r w:rsidR="00F51CAF" w:rsidRPr="00772D93">
        <w:rPr>
          <w:rFonts w:ascii="Book Antiqua" w:hAnsi="Book Antiqua" w:cs="Times New Roman"/>
          <w:sz w:val="24"/>
          <w:szCs w:val="24"/>
        </w:rPr>
        <w:fldChar w:fldCharType="separate"/>
      </w:r>
      <w:r w:rsidR="00F51CAF" w:rsidRPr="00772D93">
        <w:rPr>
          <w:rFonts w:ascii="Book Antiqua" w:hAnsi="Book Antiqua" w:cs="Times New Roman"/>
          <w:sz w:val="24"/>
          <w:szCs w:val="24"/>
          <w:vertAlign w:val="superscript"/>
        </w:rPr>
        <w:t>[3,4]</w:t>
      </w:r>
      <w:r w:rsidR="00F51CAF" w:rsidRPr="00772D93">
        <w:rPr>
          <w:rFonts w:ascii="Book Antiqua" w:hAnsi="Book Antiqua" w:cs="Times New Roman"/>
          <w:sz w:val="24"/>
          <w:szCs w:val="24"/>
        </w:rPr>
        <w:fldChar w:fldCharType="end"/>
      </w:r>
      <w:r w:rsidR="005109FB" w:rsidRPr="00772D93">
        <w:rPr>
          <w:rFonts w:ascii="Book Antiqua" w:hAnsi="Book Antiqua" w:cs="Times New Roman"/>
          <w:sz w:val="24"/>
          <w:szCs w:val="24"/>
        </w:rPr>
        <w:t xml:space="preserve">. </w:t>
      </w:r>
    </w:p>
    <w:p w14:paraId="17DF6A7B" w14:textId="2E0E8F39" w:rsidR="002B4675" w:rsidRDefault="009129BD" w:rsidP="00772D93">
      <w:pPr>
        <w:spacing w:after="0" w:line="360" w:lineRule="auto"/>
        <w:ind w:firstLineChars="100" w:firstLine="240"/>
        <w:jc w:val="both"/>
        <w:rPr>
          <w:rFonts w:ascii="Book Antiqua" w:hAnsi="Book Antiqua" w:cs="Times New Roman"/>
          <w:sz w:val="24"/>
          <w:szCs w:val="24"/>
          <w:lang w:eastAsia="zh-CN"/>
        </w:rPr>
      </w:pPr>
      <w:r w:rsidRPr="00772D93">
        <w:rPr>
          <w:rFonts w:ascii="Book Antiqua" w:hAnsi="Book Antiqua" w:cs="Times New Roman"/>
          <w:sz w:val="24"/>
          <w:szCs w:val="24"/>
        </w:rPr>
        <w:t xml:space="preserve">We present a case series of three patients after an episode of </w:t>
      </w:r>
      <w:r w:rsidR="00AD7864" w:rsidRPr="00772D93">
        <w:rPr>
          <w:rFonts w:ascii="Book Antiqua" w:hAnsi="Book Antiqua" w:cs="Times New Roman"/>
          <w:sz w:val="24"/>
          <w:szCs w:val="24"/>
        </w:rPr>
        <w:t>acute heart failure (</w:t>
      </w:r>
      <w:r w:rsidR="0099256F" w:rsidRPr="00772D93">
        <w:rPr>
          <w:rFonts w:ascii="Book Antiqua" w:hAnsi="Book Antiqua" w:cs="Times New Roman"/>
          <w:sz w:val="24"/>
          <w:szCs w:val="24"/>
        </w:rPr>
        <w:t>AHF</w:t>
      </w:r>
      <w:r w:rsidR="00AD7864" w:rsidRPr="00772D93">
        <w:rPr>
          <w:rFonts w:ascii="Book Antiqua" w:hAnsi="Book Antiqua" w:cs="Times New Roman"/>
          <w:sz w:val="24"/>
          <w:szCs w:val="24"/>
        </w:rPr>
        <w:t>)</w:t>
      </w:r>
      <w:r w:rsidRPr="00772D93">
        <w:rPr>
          <w:rFonts w:ascii="Book Antiqua" w:hAnsi="Book Antiqua" w:cs="Times New Roman"/>
          <w:sz w:val="24"/>
          <w:szCs w:val="24"/>
        </w:rPr>
        <w:t xml:space="preserve">, who </w:t>
      </w:r>
      <w:r w:rsidR="00306228" w:rsidRPr="00772D93">
        <w:rPr>
          <w:rFonts w:ascii="Book Antiqua" w:hAnsi="Book Antiqua" w:cs="Times New Roman"/>
          <w:sz w:val="24"/>
          <w:szCs w:val="24"/>
        </w:rPr>
        <w:t xml:space="preserve">had autonomously </w:t>
      </w:r>
      <w:r w:rsidRPr="00772D93">
        <w:rPr>
          <w:rFonts w:ascii="Book Antiqua" w:hAnsi="Book Antiqua" w:cs="Times New Roman"/>
          <w:sz w:val="24"/>
          <w:szCs w:val="24"/>
        </w:rPr>
        <w:t xml:space="preserve">performed daily home </w:t>
      </w:r>
      <w:r w:rsidR="0099256F" w:rsidRPr="00772D93">
        <w:rPr>
          <w:rFonts w:ascii="Book Antiqua" w:hAnsi="Book Antiqua" w:cs="Times New Roman"/>
          <w:sz w:val="24"/>
          <w:szCs w:val="24"/>
        </w:rPr>
        <w:t>LI</w:t>
      </w:r>
      <w:r w:rsidRPr="00772D93">
        <w:rPr>
          <w:rFonts w:ascii="Book Antiqua" w:hAnsi="Book Antiqua" w:cs="Times New Roman"/>
          <w:sz w:val="24"/>
          <w:szCs w:val="24"/>
        </w:rPr>
        <w:t xml:space="preserve"> measurements </w:t>
      </w:r>
      <w:r w:rsidR="00306228" w:rsidRPr="00772D93">
        <w:rPr>
          <w:rFonts w:ascii="Book Antiqua" w:hAnsi="Book Antiqua" w:cs="Times New Roman"/>
          <w:sz w:val="24"/>
          <w:szCs w:val="24"/>
        </w:rPr>
        <w:t xml:space="preserve">using the EGM </w:t>
      </w:r>
      <w:r w:rsidRPr="00772D93">
        <w:rPr>
          <w:rFonts w:ascii="Book Antiqua" w:hAnsi="Book Antiqua" w:cs="Times New Roman"/>
          <w:sz w:val="24"/>
          <w:szCs w:val="24"/>
        </w:rPr>
        <w:t>during</w:t>
      </w:r>
      <w:r w:rsidR="00306228" w:rsidRPr="00772D93">
        <w:rPr>
          <w:rFonts w:ascii="Book Antiqua" w:hAnsi="Book Antiqua" w:cs="Times New Roman"/>
          <w:sz w:val="24"/>
          <w:szCs w:val="24"/>
        </w:rPr>
        <w:t xml:space="preserve"> a</w:t>
      </w:r>
      <w:r w:rsidRPr="00772D93">
        <w:rPr>
          <w:rFonts w:ascii="Book Antiqua" w:hAnsi="Book Antiqua" w:cs="Times New Roman"/>
          <w:sz w:val="24"/>
          <w:szCs w:val="24"/>
        </w:rPr>
        <w:t xml:space="preserve"> 1-month fol</w:t>
      </w:r>
      <w:r w:rsidR="00F35B18" w:rsidRPr="00772D93">
        <w:rPr>
          <w:rFonts w:ascii="Book Antiqua" w:hAnsi="Book Antiqua" w:cs="Times New Roman"/>
          <w:sz w:val="24"/>
          <w:szCs w:val="24"/>
        </w:rPr>
        <w:t>l</w:t>
      </w:r>
      <w:r w:rsidRPr="00772D93">
        <w:rPr>
          <w:rFonts w:ascii="Book Antiqua" w:hAnsi="Book Antiqua" w:cs="Times New Roman"/>
          <w:sz w:val="24"/>
          <w:szCs w:val="24"/>
        </w:rPr>
        <w:t xml:space="preserve">ow up </w:t>
      </w:r>
      <w:r w:rsidR="00306228" w:rsidRPr="00772D93">
        <w:rPr>
          <w:rFonts w:ascii="Book Antiqua" w:hAnsi="Book Antiqua" w:cs="Times New Roman"/>
          <w:sz w:val="24"/>
          <w:szCs w:val="24"/>
        </w:rPr>
        <w:t>period</w:t>
      </w:r>
      <w:r w:rsidRPr="00772D93">
        <w:rPr>
          <w:rFonts w:ascii="Book Antiqua" w:hAnsi="Book Antiqua" w:cs="Times New Roman"/>
          <w:sz w:val="24"/>
          <w:szCs w:val="24"/>
        </w:rPr>
        <w:t xml:space="preserve">. The aim of this case series is to demonstrate the potential additive role of non-invasive </w:t>
      </w:r>
      <w:r w:rsidR="0099256F" w:rsidRPr="00772D93">
        <w:rPr>
          <w:rFonts w:ascii="Book Antiqua" w:hAnsi="Book Antiqua" w:cs="Times New Roman"/>
          <w:sz w:val="24"/>
          <w:szCs w:val="24"/>
        </w:rPr>
        <w:t>LI</w:t>
      </w:r>
      <w:r w:rsidRPr="00772D93">
        <w:rPr>
          <w:rFonts w:ascii="Book Antiqua" w:hAnsi="Book Antiqua" w:cs="Times New Roman"/>
          <w:sz w:val="24"/>
          <w:szCs w:val="24"/>
        </w:rPr>
        <w:t xml:space="preserve"> monitoring </w:t>
      </w:r>
      <w:r w:rsidR="004A656E" w:rsidRPr="00772D93">
        <w:rPr>
          <w:rFonts w:ascii="Book Antiqua" w:hAnsi="Book Antiqua" w:cs="Times New Roman"/>
          <w:sz w:val="24"/>
          <w:szCs w:val="24"/>
        </w:rPr>
        <w:t xml:space="preserve">with EGM </w:t>
      </w:r>
      <w:r w:rsidRPr="00772D93">
        <w:rPr>
          <w:rFonts w:ascii="Book Antiqua" w:hAnsi="Book Antiqua" w:cs="Times New Roman"/>
          <w:sz w:val="24"/>
          <w:szCs w:val="24"/>
        </w:rPr>
        <w:t xml:space="preserve">in </w:t>
      </w:r>
      <w:r w:rsidR="004A656E" w:rsidRPr="00772D93">
        <w:rPr>
          <w:rFonts w:ascii="Book Antiqua" w:hAnsi="Book Antiqua" w:cs="Times New Roman"/>
          <w:sz w:val="24"/>
          <w:szCs w:val="24"/>
        </w:rPr>
        <w:t>patient stabilization</w:t>
      </w:r>
      <w:r w:rsidRPr="00772D93">
        <w:rPr>
          <w:rFonts w:ascii="Book Antiqua" w:hAnsi="Book Antiqua" w:cs="Times New Roman"/>
          <w:sz w:val="24"/>
          <w:szCs w:val="24"/>
        </w:rPr>
        <w:t xml:space="preserve"> in the early post-discharge period.</w:t>
      </w:r>
      <w:r w:rsidR="004A15D2" w:rsidRPr="00772D93">
        <w:rPr>
          <w:rFonts w:ascii="Book Antiqua" w:hAnsi="Book Antiqua" w:cs="Times New Roman"/>
          <w:sz w:val="24"/>
          <w:szCs w:val="24"/>
        </w:rPr>
        <w:t xml:space="preserve"> </w:t>
      </w:r>
    </w:p>
    <w:p w14:paraId="5143553A" w14:textId="77777777" w:rsidR="00772D93" w:rsidRPr="00772D93" w:rsidRDefault="00772D93" w:rsidP="00772D93">
      <w:pPr>
        <w:spacing w:after="0" w:line="360" w:lineRule="auto"/>
        <w:ind w:firstLineChars="100" w:firstLine="240"/>
        <w:jc w:val="both"/>
        <w:rPr>
          <w:rFonts w:ascii="Book Antiqua" w:hAnsi="Book Antiqua" w:cs="Times New Roman"/>
          <w:sz w:val="24"/>
          <w:szCs w:val="24"/>
          <w:lang w:eastAsia="zh-CN"/>
        </w:rPr>
      </w:pPr>
    </w:p>
    <w:p w14:paraId="0E272A62" w14:textId="20307A4C" w:rsidR="004A15D2" w:rsidRPr="00F903B4" w:rsidRDefault="00A33490" w:rsidP="00F903B4">
      <w:pPr>
        <w:spacing w:after="0" w:line="360" w:lineRule="auto"/>
        <w:jc w:val="both"/>
        <w:rPr>
          <w:rFonts w:ascii="Book Antiqua" w:hAnsi="Book Antiqua" w:cs="Times New Roman"/>
          <w:b/>
          <w:sz w:val="24"/>
          <w:szCs w:val="24"/>
        </w:rPr>
      </w:pPr>
      <w:r w:rsidRPr="00772D93">
        <w:rPr>
          <w:rFonts w:ascii="Book Antiqua" w:hAnsi="Book Antiqua" w:cs="Times New Roman"/>
          <w:b/>
          <w:i/>
          <w:sz w:val="24"/>
          <w:szCs w:val="24"/>
        </w:rPr>
        <w:t>T</w:t>
      </w:r>
      <w:r w:rsidR="00DA252E" w:rsidRPr="00772D93">
        <w:rPr>
          <w:rFonts w:ascii="Book Antiqua" w:hAnsi="Book Antiqua" w:cs="Times New Roman"/>
          <w:b/>
          <w:i/>
          <w:sz w:val="24"/>
          <w:szCs w:val="24"/>
        </w:rPr>
        <w:t xml:space="preserve">he </w:t>
      </w:r>
      <w:r w:rsidR="00772D93" w:rsidRPr="00772D93">
        <w:rPr>
          <w:rFonts w:ascii="Book Antiqua" w:hAnsi="Book Antiqua" w:cs="Times New Roman"/>
          <w:b/>
          <w:i/>
          <w:sz w:val="24"/>
          <w:szCs w:val="24"/>
        </w:rPr>
        <w:t>t</w:t>
      </w:r>
      <w:r w:rsidRPr="00772D93">
        <w:rPr>
          <w:rFonts w:ascii="Book Antiqua" w:hAnsi="Book Antiqua" w:cs="Times New Roman"/>
          <w:b/>
          <w:i/>
          <w:sz w:val="24"/>
          <w:szCs w:val="24"/>
        </w:rPr>
        <w:t xml:space="preserve">echnique </w:t>
      </w:r>
      <w:r w:rsidR="00474767" w:rsidRPr="00772D93">
        <w:rPr>
          <w:rFonts w:ascii="Book Antiqua" w:hAnsi="Book Antiqua" w:cs="Times New Roman"/>
          <w:b/>
          <w:i/>
          <w:sz w:val="24"/>
          <w:szCs w:val="24"/>
        </w:rPr>
        <w:t>of</w:t>
      </w:r>
      <w:r w:rsidRPr="00772D93">
        <w:rPr>
          <w:rFonts w:ascii="Book Antiqua" w:hAnsi="Book Antiqua" w:cs="Times New Roman"/>
          <w:b/>
          <w:i/>
          <w:sz w:val="24"/>
          <w:szCs w:val="24"/>
        </w:rPr>
        <w:t xml:space="preserve"> </w:t>
      </w:r>
      <w:r w:rsidR="00474767" w:rsidRPr="00772D93">
        <w:rPr>
          <w:rFonts w:ascii="Book Antiqua" w:hAnsi="Book Antiqua" w:cs="Times New Roman"/>
          <w:b/>
          <w:i/>
          <w:sz w:val="24"/>
          <w:szCs w:val="24"/>
        </w:rPr>
        <w:t xml:space="preserve">LI </w:t>
      </w:r>
      <w:r w:rsidR="00772D93" w:rsidRPr="00772D93">
        <w:rPr>
          <w:rFonts w:ascii="Book Antiqua" w:hAnsi="Book Antiqua" w:cs="Times New Roman"/>
          <w:b/>
          <w:i/>
          <w:sz w:val="24"/>
          <w:szCs w:val="24"/>
        </w:rPr>
        <w:t>measurements and patient mo</w:t>
      </w:r>
      <w:r w:rsidR="0013737B" w:rsidRPr="00772D93">
        <w:rPr>
          <w:rFonts w:ascii="Book Antiqua" w:hAnsi="Book Antiqua" w:cs="Times New Roman"/>
          <w:b/>
          <w:i/>
          <w:sz w:val="24"/>
          <w:szCs w:val="24"/>
        </w:rPr>
        <w:t>nitoring</w:t>
      </w:r>
    </w:p>
    <w:p w14:paraId="0D0182A1" w14:textId="1FB034EA" w:rsidR="002C3C52" w:rsidRPr="00F903B4" w:rsidRDefault="00DA252E" w:rsidP="00772D93">
      <w:pPr>
        <w:spacing w:after="0" w:line="360" w:lineRule="auto"/>
        <w:jc w:val="both"/>
        <w:rPr>
          <w:rFonts w:ascii="Book Antiqua" w:hAnsi="Book Antiqua" w:cs="Times New Roman"/>
          <w:sz w:val="24"/>
          <w:szCs w:val="24"/>
        </w:rPr>
      </w:pPr>
      <w:r w:rsidRPr="00772D93">
        <w:rPr>
          <w:rFonts w:ascii="Book Antiqua" w:hAnsi="Book Antiqua" w:cs="Times New Roman"/>
          <w:sz w:val="24"/>
          <w:szCs w:val="24"/>
        </w:rPr>
        <w:t xml:space="preserve">The measurements </w:t>
      </w:r>
      <w:r w:rsidR="002D766B" w:rsidRPr="00772D93">
        <w:rPr>
          <w:rFonts w:ascii="Book Antiqua" w:hAnsi="Book Antiqua" w:cs="Times New Roman"/>
          <w:sz w:val="24"/>
          <w:szCs w:val="24"/>
        </w:rPr>
        <w:t xml:space="preserve">were done </w:t>
      </w:r>
      <w:r w:rsidR="00871F31" w:rsidRPr="00772D93">
        <w:rPr>
          <w:rFonts w:ascii="Book Antiqua" w:hAnsi="Book Antiqua" w:cs="Times New Roman"/>
          <w:sz w:val="24"/>
          <w:szCs w:val="24"/>
        </w:rPr>
        <w:t xml:space="preserve">with the help of </w:t>
      </w:r>
      <w:r w:rsidRPr="00772D93">
        <w:rPr>
          <w:rFonts w:ascii="Book Antiqua" w:hAnsi="Book Antiqua" w:cs="Times New Roman"/>
          <w:sz w:val="24"/>
          <w:szCs w:val="24"/>
        </w:rPr>
        <w:t xml:space="preserve">the </w:t>
      </w:r>
      <w:r w:rsidR="00871F31" w:rsidRPr="00772D93">
        <w:rPr>
          <w:rFonts w:ascii="Book Antiqua" w:hAnsi="Book Antiqua" w:cs="Times New Roman"/>
          <w:sz w:val="24"/>
          <w:szCs w:val="24"/>
        </w:rPr>
        <w:t>patients</w:t>
      </w:r>
      <w:r w:rsidRPr="00772D93">
        <w:rPr>
          <w:rFonts w:ascii="Book Antiqua" w:hAnsi="Book Antiqua" w:cs="Times New Roman"/>
          <w:sz w:val="24"/>
          <w:szCs w:val="24"/>
        </w:rPr>
        <w:t>’</w:t>
      </w:r>
      <w:r w:rsidR="00871F31" w:rsidRPr="00772D93">
        <w:rPr>
          <w:rFonts w:ascii="Book Antiqua" w:hAnsi="Book Antiqua" w:cs="Times New Roman"/>
          <w:sz w:val="24"/>
          <w:szCs w:val="24"/>
        </w:rPr>
        <w:t xml:space="preserve"> caregiver</w:t>
      </w:r>
      <w:r w:rsidRPr="00772D93">
        <w:rPr>
          <w:rFonts w:ascii="Book Antiqua" w:hAnsi="Book Antiqua" w:cs="Times New Roman"/>
          <w:sz w:val="24"/>
          <w:szCs w:val="24"/>
        </w:rPr>
        <w:t>s</w:t>
      </w:r>
      <w:r w:rsidR="00871F31"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once every day </w:t>
      </w:r>
      <w:r w:rsidR="009E5D01" w:rsidRPr="00772D93">
        <w:rPr>
          <w:rFonts w:ascii="Book Antiqua" w:hAnsi="Book Antiqua" w:cs="Times New Roman"/>
          <w:sz w:val="24"/>
          <w:szCs w:val="24"/>
        </w:rPr>
        <w:t>at</w:t>
      </w:r>
      <w:r w:rsidR="004763AF" w:rsidRPr="00772D93">
        <w:rPr>
          <w:rFonts w:ascii="Book Antiqua" w:hAnsi="Book Antiqua" w:cs="Times New Roman"/>
          <w:sz w:val="24"/>
          <w:szCs w:val="24"/>
        </w:rPr>
        <w:t xml:space="preserve"> </w:t>
      </w:r>
      <w:r w:rsidR="0038445C" w:rsidRPr="00772D93">
        <w:rPr>
          <w:rFonts w:ascii="Book Antiqua" w:hAnsi="Book Antiqua" w:cs="Times New Roman"/>
          <w:sz w:val="24"/>
          <w:szCs w:val="24"/>
        </w:rPr>
        <w:t xml:space="preserve">the </w:t>
      </w:r>
      <w:r w:rsidR="004763AF" w:rsidRPr="00772D93">
        <w:rPr>
          <w:rFonts w:ascii="Book Antiqua" w:hAnsi="Book Antiqua" w:cs="Times New Roman"/>
          <w:sz w:val="24"/>
          <w:szCs w:val="24"/>
        </w:rPr>
        <w:t xml:space="preserve">same </w:t>
      </w:r>
      <w:r w:rsidRPr="00772D93">
        <w:rPr>
          <w:rFonts w:ascii="Book Antiqua" w:hAnsi="Book Antiqua" w:cs="Times New Roman"/>
          <w:sz w:val="24"/>
          <w:szCs w:val="24"/>
        </w:rPr>
        <w:t>time</w:t>
      </w:r>
      <w:r w:rsidR="004763AF" w:rsidRPr="00772D93">
        <w:rPr>
          <w:rFonts w:ascii="Book Antiqua" w:hAnsi="Book Antiqua" w:cs="Times New Roman"/>
          <w:sz w:val="24"/>
          <w:szCs w:val="24"/>
        </w:rPr>
        <w:t xml:space="preserve">, </w:t>
      </w:r>
      <w:r w:rsidR="002D766B" w:rsidRPr="00772D93">
        <w:rPr>
          <w:rFonts w:ascii="Book Antiqua" w:hAnsi="Book Antiqua" w:cs="Times New Roman"/>
          <w:sz w:val="24"/>
          <w:szCs w:val="24"/>
        </w:rPr>
        <w:t xml:space="preserve">attaching </w:t>
      </w:r>
      <w:r w:rsidR="00C06FC4" w:rsidRPr="00772D93">
        <w:rPr>
          <w:rFonts w:ascii="Book Antiqua" w:hAnsi="Book Antiqua" w:cs="Times New Roman"/>
          <w:sz w:val="24"/>
          <w:szCs w:val="24"/>
        </w:rPr>
        <w:t>three</w:t>
      </w:r>
      <w:r w:rsidR="00BB6B48" w:rsidRPr="00772D93">
        <w:rPr>
          <w:rFonts w:ascii="Book Antiqua" w:hAnsi="Book Antiqua" w:cs="Times New Roman"/>
          <w:sz w:val="24"/>
          <w:szCs w:val="24"/>
        </w:rPr>
        <w:t xml:space="preserve"> </w:t>
      </w:r>
      <w:r w:rsidR="002D766B" w:rsidRPr="00772D93">
        <w:rPr>
          <w:rFonts w:ascii="Book Antiqua" w:hAnsi="Book Antiqua" w:cs="Times New Roman"/>
          <w:sz w:val="24"/>
          <w:szCs w:val="24"/>
        </w:rPr>
        <w:t xml:space="preserve">EGM </w:t>
      </w:r>
      <w:r w:rsidR="00BB6B48" w:rsidRPr="00772D93">
        <w:rPr>
          <w:rFonts w:ascii="Book Antiqua" w:hAnsi="Book Antiqua" w:cs="Times New Roman"/>
          <w:sz w:val="24"/>
          <w:szCs w:val="24"/>
        </w:rPr>
        <w:t xml:space="preserve">electrodes </w:t>
      </w:r>
      <w:r w:rsidR="00CD797D" w:rsidRPr="00772D93">
        <w:rPr>
          <w:rFonts w:ascii="Book Antiqua" w:hAnsi="Book Antiqua" w:cs="Times New Roman"/>
          <w:sz w:val="24"/>
          <w:szCs w:val="24"/>
        </w:rPr>
        <w:t xml:space="preserve">on the front and </w:t>
      </w:r>
      <w:r w:rsidR="00C06FC4" w:rsidRPr="00772D93">
        <w:rPr>
          <w:rFonts w:ascii="Book Antiqua" w:hAnsi="Book Antiqua" w:cs="Times New Roman"/>
          <w:sz w:val="24"/>
          <w:szCs w:val="24"/>
        </w:rPr>
        <w:t xml:space="preserve">three EGM electrodes on </w:t>
      </w:r>
      <w:r w:rsidR="00CD797D" w:rsidRPr="00772D93">
        <w:rPr>
          <w:rFonts w:ascii="Book Antiqua" w:hAnsi="Book Antiqua" w:cs="Times New Roman"/>
          <w:sz w:val="24"/>
          <w:szCs w:val="24"/>
        </w:rPr>
        <w:t>back side of the chest wall</w:t>
      </w:r>
      <w:r w:rsidRPr="00772D93">
        <w:rPr>
          <w:rFonts w:ascii="Book Antiqua" w:hAnsi="Book Antiqua" w:cs="Times New Roman"/>
          <w:sz w:val="24"/>
          <w:szCs w:val="24"/>
        </w:rPr>
        <w:t>,</w:t>
      </w:r>
      <w:r w:rsidR="00B032A1" w:rsidRPr="00772D93">
        <w:rPr>
          <w:rFonts w:ascii="Book Antiqua" w:hAnsi="Book Antiqua" w:cs="Times New Roman"/>
          <w:sz w:val="24"/>
          <w:szCs w:val="24"/>
        </w:rPr>
        <w:t xml:space="preserve"> </w:t>
      </w:r>
      <w:r w:rsidR="00C06FC4" w:rsidRPr="00772D93">
        <w:rPr>
          <w:rFonts w:ascii="Book Antiqua" w:hAnsi="Book Antiqua" w:cs="Times New Roman"/>
          <w:sz w:val="24"/>
          <w:szCs w:val="24"/>
        </w:rPr>
        <w:t xml:space="preserve">repeating </w:t>
      </w:r>
      <w:r w:rsidRPr="00772D93">
        <w:rPr>
          <w:rFonts w:ascii="Book Antiqua" w:hAnsi="Book Antiqua" w:cs="Times New Roman"/>
          <w:sz w:val="24"/>
          <w:szCs w:val="24"/>
        </w:rPr>
        <w:t xml:space="preserve">the </w:t>
      </w:r>
      <w:r w:rsidR="00850FC9" w:rsidRPr="00772D93">
        <w:rPr>
          <w:rFonts w:ascii="Book Antiqua" w:hAnsi="Book Antiqua" w:cs="Times New Roman"/>
          <w:sz w:val="24"/>
          <w:szCs w:val="24"/>
        </w:rPr>
        <w:t>measurements 3 times</w:t>
      </w:r>
      <w:r w:rsidR="00233DDE" w:rsidRPr="00772D93">
        <w:rPr>
          <w:rFonts w:ascii="Book Antiqua" w:hAnsi="Book Antiqua" w:cs="Times New Roman"/>
          <w:sz w:val="24"/>
          <w:szCs w:val="24"/>
        </w:rPr>
        <w:t xml:space="preserve"> </w:t>
      </w:r>
      <w:r w:rsidR="00752414" w:rsidRPr="00772D93">
        <w:rPr>
          <w:rFonts w:ascii="Book Antiqua" w:hAnsi="Book Antiqua" w:cs="Times New Roman"/>
          <w:sz w:val="24"/>
          <w:szCs w:val="24"/>
        </w:rPr>
        <w:t>(Fig</w:t>
      </w:r>
      <w:r w:rsidR="00476589">
        <w:rPr>
          <w:rFonts w:ascii="Book Antiqua" w:hAnsi="Book Antiqua" w:cs="Times New Roman" w:hint="eastAsia"/>
          <w:sz w:val="24"/>
          <w:szCs w:val="24"/>
          <w:lang w:eastAsia="zh-CN"/>
        </w:rPr>
        <w:t>ure</w:t>
      </w:r>
      <w:r w:rsidR="00752414" w:rsidRPr="00772D93">
        <w:rPr>
          <w:rFonts w:ascii="Book Antiqua" w:hAnsi="Book Antiqua" w:cs="Times New Roman"/>
          <w:sz w:val="24"/>
          <w:szCs w:val="24"/>
        </w:rPr>
        <w:t xml:space="preserve"> </w:t>
      </w:r>
      <w:r w:rsidR="002B43D6" w:rsidRPr="00772D93">
        <w:rPr>
          <w:rFonts w:ascii="Book Antiqua" w:hAnsi="Book Antiqua" w:cs="Times New Roman"/>
          <w:sz w:val="24"/>
          <w:szCs w:val="24"/>
        </w:rPr>
        <w:t>1</w:t>
      </w:r>
      <w:r w:rsidR="004763AF" w:rsidRPr="00772D93">
        <w:rPr>
          <w:rFonts w:ascii="Book Antiqua" w:hAnsi="Book Antiqua" w:cs="Times New Roman"/>
          <w:sz w:val="24"/>
          <w:szCs w:val="24"/>
        </w:rPr>
        <w:t>)</w:t>
      </w:r>
      <w:r w:rsidR="00850FC9" w:rsidRPr="00772D93">
        <w:rPr>
          <w:rFonts w:ascii="Book Antiqua" w:hAnsi="Book Antiqua" w:cs="Times New Roman"/>
          <w:sz w:val="24"/>
          <w:szCs w:val="24"/>
        </w:rPr>
        <w:t xml:space="preserve">. </w:t>
      </w:r>
      <w:r w:rsidR="00CE19D2" w:rsidRPr="00772D93">
        <w:rPr>
          <w:rFonts w:ascii="Book Antiqua" w:hAnsi="Book Antiqua" w:cs="Times New Roman"/>
          <w:sz w:val="24"/>
          <w:szCs w:val="24"/>
        </w:rPr>
        <w:t xml:space="preserve">The </w:t>
      </w:r>
      <w:r w:rsidR="005276C5" w:rsidRPr="00772D93">
        <w:rPr>
          <w:rFonts w:ascii="Book Antiqua" w:hAnsi="Book Antiqua" w:cs="Times New Roman"/>
          <w:sz w:val="24"/>
          <w:szCs w:val="24"/>
        </w:rPr>
        <w:t xml:space="preserve">LI values were </w:t>
      </w:r>
      <w:r w:rsidR="00CE19D2" w:rsidRPr="00772D93">
        <w:rPr>
          <w:rFonts w:ascii="Book Antiqua" w:hAnsi="Book Antiqua" w:cs="Times New Roman"/>
          <w:sz w:val="24"/>
          <w:szCs w:val="24"/>
        </w:rPr>
        <w:t xml:space="preserve">being daily </w:t>
      </w:r>
      <w:r w:rsidR="005276C5" w:rsidRPr="00772D93">
        <w:rPr>
          <w:rFonts w:ascii="Book Antiqua" w:hAnsi="Book Antiqua" w:cs="Times New Roman"/>
          <w:sz w:val="24"/>
          <w:szCs w:val="24"/>
        </w:rPr>
        <w:t xml:space="preserve">reported to a HF nurse </w:t>
      </w:r>
      <w:r w:rsidRPr="00772D93">
        <w:rPr>
          <w:rFonts w:ascii="Book Antiqua" w:hAnsi="Book Antiqua" w:cs="Times New Roman"/>
          <w:sz w:val="24"/>
          <w:szCs w:val="24"/>
        </w:rPr>
        <w:t>via phone</w:t>
      </w:r>
      <w:r w:rsidR="005276C5" w:rsidRPr="00772D93">
        <w:rPr>
          <w:rFonts w:ascii="Book Antiqua" w:hAnsi="Book Antiqua" w:cs="Times New Roman"/>
          <w:sz w:val="24"/>
          <w:szCs w:val="24"/>
        </w:rPr>
        <w:t xml:space="preserve"> call or SMS, along with arterial blood pressure (BP), heart rate (HR) and body weight.</w:t>
      </w:r>
      <w:r w:rsidR="00617058" w:rsidRPr="00772D93">
        <w:rPr>
          <w:rFonts w:ascii="Book Antiqua" w:hAnsi="Book Antiqua" w:cs="Times New Roman"/>
          <w:sz w:val="24"/>
          <w:szCs w:val="24"/>
        </w:rPr>
        <w:t xml:space="preserve"> </w:t>
      </w:r>
      <w:r w:rsidR="002962DA" w:rsidRPr="00772D93">
        <w:rPr>
          <w:rFonts w:ascii="Book Antiqua" w:hAnsi="Book Antiqua" w:cs="Times New Roman"/>
          <w:sz w:val="24"/>
          <w:szCs w:val="24"/>
        </w:rPr>
        <w:t>Two patients per</w:t>
      </w:r>
      <w:r w:rsidR="00F17A7C">
        <w:rPr>
          <w:rFonts w:ascii="Book Antiqua" w:hAnsi="Book Antiqua" w:cs="Times New Roman"/>
          <w:sz w:val="24"/>
          <w:szCs w:val="24"/>
        </w:rPr>
        <w:t>formed all 30 measurements (100</w:t>
      </w:r>
      <w:r w:rsidR="002962DA" w:rsidRPr="00772D93">
        <w:rPr>
          <w:rFonts w:ascii="Book Antiqua" w:hAnsi="Book Antiqua" w:cs="Times New Roman"/>
          <w:sz w:val="24"/>
          <w:szCs w:val="24"/>
        </w:rPr>
        <w:t xml:space="preserve">%) </w:t>
      </w:r>
      <w:r w:rsidR="00F17A7C">
        <w:rPr>
          <w:rFonts w:ascii="Book Antiqua" w:hAnsi="Book Antiqua" w:cs="Times New Roman"/>
          <w:sz w:val="24"/>
          <w:szCs w:val="24"/>
        </w:rPr>
        <w:t>and one 29 d out of 30 (96.7</w:t>
      </w:r>
      <w:r w:rsidR="002962DA" w:rsidRPr="00772D93">
        <w:rPr>
          <w:rFonts w:ascii="Book Antiqua" w:hAnsi="Book Antiqua" w:cs="Times New Roman"/>
          <w:sz w:val="24"/>
          <w:szCs w:val="24"/>
        </w:rPr>
        <w:t>%).</w:t>
      </w:r>
      <w:r w:rsidR="00F903B4">
        <w:rPr>
          <w:rFonts w:ascii="Book Antiqua" w:hAnsi="Book Antiqua" w:cs="Times New Roman" w:hint="eastAsia"/>
          <w:sz w:val="24"/>
          <w:szCs w:val="24"/>
          <w:lang w:eastAsia="zh-CN"/>
        </w:rPr>
        <w:t xml:space="preserve"> </w:t>
      </w:r>
      <w:r w:rsidR="001E5C23" w:rsidRPr="00772D93">
        <w:rPr>
          <w:rFonts w:ascii="Book Antiqua" w:hAnsi="Book Antiqua" w:cs="Times New Roman"/>
          <w:sz w:val="24"/>
          <w:szCs w:val="24"/>
        </w:rPr>
        <w:t>Echocardiography and laboratory tests were performed before discharge and 1 month later</w:t>
      </w:r>
      <w:r w:rsidR="00F903B4">
        <w:rPr>
          <w:rFonts w:ascii="Book Antiqua" w:hAnsi="Book Antiqua" w:cs="Times New Roman" w:hint="eastAsia"/>
          <w:sz w:val="24"/>
          <w:szCs w:val="24"/>
          <w:lang w:eastAsia="zh-CN"/>
        </w:rPr>
        <w:t xml:space="preserve"> (Figure 1)</w:t>
      </w:r>
      <w:r w:rsidR="001E5C23" w:rsidRPr="00772D93">
        <w:rPr>
          <w:rFonts w:ascii="Book Antiqua" w:hAnsi="Book Antiqua" w:cs="Times New Roman"/>
          <w:sz w:val="24"/>
          <w:szCs w:val="24"/>
        </w:rPr>
        <w:t xml:space="preserve">. </w:t>
      </w:r>
    </w:p>
    <w:p w14:paraId="588EBB54" w14:textId="4224638F" w:rsidR="001362BD" w:rsidRPr="00772D93" w:rsidRDefault="001362BD" w:rsidP="00772D93">
      <w:pPr>
        <w:spacing w:after="0" w:line="360" w:lineRule="auto"/>
        <w:jc w:val="both"/>
        <w:rPr>
          <w:rFonts w:ascii="Book Antiqua" w:hAnsi="Book Antiqua" w:cs="Times New Roman"/>
          <w:sz w:val="24"/>
          <w:szCs w:val="24"/>
        </w:rPr>
      </w:pPr>
    </w:p>
    <w:p w14:paraId="2861EB24" w14:textId="3A35552C" w:rsidR="002B43D6" w:rsidRPr="00F17A7C" w:rsidRDefault="002C3C52" w:rsidP="00772D93">
      <w:pPr>
        <w:spacing w:after="0" w:line="360" w:lineRule="auto"/>
        <w:jc w:val="both"/>
        <w:rPr>
          <w:rFonts w:ascii="Book Antiqua" w:hAnsi="Book Antiqua" w:cs="Times New Roman"/>
          <w:b/>
          <w:sz w:val="24"/>
          <w:szCs w:val="24"/>
        </w:rPr>
      </w:pPr>
      <w:r w:rsidRPr="00F17A7C">
        <w:rPr>
          <w:rFonts w:ascii="Book Antiqua" w:hAnsi="Book Antiqua" w:cs="Times New Roman"/>
          <w:b/>
          <w:sz w:val="24"/>
          <w:szCs w:val="24"/>
        </w:rPr>
        <w:t>CASE SERIES</w:t>
      </w:r>
      <w:r w:rsidR="00A20EFD" w:rsidRPr="00F17A7C">
        <w:rPr>
          <w:rFonts w:ascii="Book Antiqua" w:hAnsi="Book Antiqua" w:cs="Times New Roman"/>
          <w:b/>
          <w:sz w:val="24"/>
          <w:szCs w:val="24"/>
        </w:rPr>
        <w:t xml:space="preserve"> PRESENTATION</w:t>
      </w:r>
    </w:p>
    <w:p w14:paraId="4C4FE848" w14:textId="238CE14E" w:rsidR="009D08CD" w:rsidRDefault="00D44C24" w:rsidP="00772D93">
      <w:pPr>
        <w:spacing w:after="0"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t>We present three patients</w:t>
      </w:r>
      <w:r w:rsidR="003E0C2A" w:rsidRPr="00772D93">
        <w:rPr>
          <w:rFonts w:ascii="Book Antiqua" w:hAnsi="Book Antiqua" w:cs="Times New Roman"/>
          <w:sz w:val="24"/>
          <w:szCs w:val="24"/>
        </w:rPr>
        <w:t xml:space="preserve"> suffering from</w:t>
      </w:r>
      <w:r w:rsidRPr="00772D93">
        <w:rPr>
          <w:rFonts w:ascii="Book Antiqua" w:hAnsi="Book Antiqua" w:cs="Times New Roman"/>
          <w:sz w:val="24"/>
          <w:szCs w:val="24"/>
        </w:rPr>
        <w:t xml:space="preserve"> ischemic HF with</w:t>
      </w:r>
      <w:r w:rsidR="00CE19D2" w:rsidRPr="00772D93">
        <w:rPr>
          <w:rFonts w:ascii="Book Antiqua" w:hAnsi="Book Antiqua" w:cs="Times New Roman"/>
          <w:sz w:val="24"/>
          <w:szCs w:val="24"/>
        </w:rPr>
        <w:t xml:space="preserve"> a</w:t>
      </w:r>
      <w:r w:rsidRPr="00772D93">
        <w:rPr>
          <w:rFonts w:ascii="Book Antiqua" w:hAnsi="Book Antiqua" w:cs="Times New Roman"/>
          <w:sz w:val="24"/>
          <w:szCs w:val="24"/>
        </w:rPr>
        <w:t xml:space="preserve"> reduced ejection fraction, who were urgently hospitalized because of signs and symptoms of </w:t>
      </w:r>
      <w:r w:rsidR="00AD7864" w:rsidRPr="00772D93">
        <w:rPr>
          <w:rFonts w:ascii="Book Antiqua" w:hAnsi="Book Antiqua" w:cs="Times New Roman"/>
          <w:sz w:val="24"/>
          <w:szCs w:val="24"/>
        </w:rPr>
        <w:t>decompensation</w:t>
      </w:r>
      <w:r w:rsidRPr="00772D93">
        <w:rPr>
          <w:rFonts w:ascii="Book Antiqua" w:hAnsi="Book Antiqua" w:cs="Times New Roman"/>
          <w:sz w:val="24"/>
          <w:szCs w:val="24"/>
        </w:rPr>
        <w:t xml:space="preserve">. </w:t>
      </w:r>
    </w:p>
    <w:p w14:paraId="45EACA93" w14:textId="77777777" w:rsidR="00F17A7C" w:rsidRPr="00772D93" w:rsidRDefault="00F17A7C" w:rsidP="00772D93">
      <w:pPr>
        <w:spacing w:after="0" w:line="360" w:lineRule="auto"/>
        <w:jc w:val="both"/>
        <w:rPr>
          <w:rFonts w:ascii="Book Antiqua" w:hAnsi="Book Antiqua" w:cs="Times New Roman"/>
          <w:sz w:val="24"/>
          <w:szCs w:val="24"/>
          <w:lang w:eastAsia="zh-CN"/>
        </w:rPr>
      </w:pPr>
    </w:p>
    <w:p w14:paraId="69674D8E" w14:textId="28AA4320" w:rsidR="009D08CD" w:rsidRPr="00F17A7C" w:rsidRDefault="009D08CD" w:rsidP="00772D93">
      <w:pPr>
        <w:spacing w:after="0" w:line="360" w:lineRule="auto"/>
        <w:jc w:val="both"/>
        <w:rPr>
          <w:rFonts w:ascii="Book Antiqua" w:hAnsi="Book Antiqua"/>
          <w:b/>
          <w:i/>
          <w:sz w:val="24"/>
          <w:szCs w:val="24"/>
        </w:rPr>
      </w:pPr>
      <w:r w:rsidRPr="00F17A7C">
        <w:rPr>
          <w:rFonts w:ascii="Book Antiqua" w:hAnsi="Book Antiqua"/>
          <w:b/>
          <w:i/>
          <w:sz w:val="24"/>
          <w:szCs w:val="24"/>
        </w:rPr>
        <w:t>Chief complaints</w:t>
      </w:r>
    </w:p>
    <w:p w14:paraId="5FE41D49" w14:textId="1DB4E3B0" w:rsidR="009D08CD" w:rsidRDefault="000371D1" w:rsidP="00772D93">
      <w:pPr>
        <w:spacing w:after="0" w:line="360" w:lineRule="auto"/>
        <w:jc w:val="both"/>
        <w:rPr>
          <w:rFonts w:ascii="Book Antiqua" w:hAnsi="Book Antiqua"/>
          <w:sz w:val="24"/>
          <w:szCs w:val="24"/>
          <w:lang w:eastAsia="zh-CN"/>
        </w:rPr>
      </w:pPr>
      <w:r w:rsidRPr="00772D93">
        <w:rPr>
          <w:rFonts w:ascii="Book Antiqua" w:hAnsi="Book Antiqua"/>
          <w:sz w:val="24"/>
          <w:szCs w:val="24"/>
        </w:rPr>
        <w:t>At admission</w:t>
      </w:r>
      <w:r w:rsidR="009D08CD" w:rsidRPr="00772D93">
        <w:rPr>
          <w:rFonts w:ascii="Book Antiqua" w:hAnsi="Book Antiqua"/>
          <w:sz w:val="24"/>
          <w:szCs w:val="24"/>
        </w:rPr>
        <w:t xml:space="preserve"> patients complained </w:t>
      </w:r>
      <w:r w:rsidRPr="00772D93">
        <w:rPr>
          <w:rFonts w:ascii="Book Antiqua" w:hAnsi="Book Antiqua"/>
          <w:sz w:val="24"/>
          <w:szCs w:val="24"/>
        </w:rPr>
        <w:t>of</w:t>
      </w:r>
      <w:r w:rsidR="009D08CD" w:rsidRPr="00772D93">
        <w:rPr>
          <w:rFonts w:ascii="Book Antiqua" w:hAnsi="Book Antiqua"/>
          <w:sz w:val="24"/>
          <w:szCs w:val="24"/>
        </w:rPr>
        <w:t xml:space="preserve"> progressing </w:t>
      </w:r>
      <w:r w:rsidRPr="00772D93">
        <w:rPr>
          <w:rFonts w:ascii="Book Antiqua" w:hAnsi="Book Antiqua"/>
          <w:sz w:val="24"/>
          <w:szCs w:val="24"/>
        </w:rPr>
        <w:t>A</w:t>
      </w:r>
      <w:r w:rsidR="009D08CD" w:rsidRPr="00772D93">
        <w:rPr>
          <w:rFonts w:ascii="Book Antiqua" w:hAnsi="Book Antiqua"/>
          <w:sz w:val="24"/>
          <w:szCs w:val="24"/>
        </w:rPr>
        <w:t>HF symptoms: dyspnea at mild physical exertion or at rest, fatigue, palpitations and dizziness.</w:t>
      </w:r>
      <w:r w:rsidR="00772D93">
        <w:rPr>
          <w:rFonts w:ascii="Book Antiqua" w:hAnsi="Book Antiqua"/>
          <w:sz w:val="24"/>
          <w:szCs w:val="24"/>
        </w:rPr>
        <w:t xml:space="preserve"> </w:t>
      </w:r>
    </w:p>
    <w:p w14:paraId="5B6A53E0" w14:textId="77777777" w:rsidR="00F17A7C" w:rsidRPr="00772D93" w:rsidRDefault="00F17A7C" w:rsidP="00772D93">
      <w:pPr>
        <w:spacing w:after="0" w:line="360" w:lineRule="auto"/>
        <w:jc w:val="both"/>
        <w:rPr>
          <w:rFonts w:ascii="Book Antiqua" w:hAnsi="Book Antiqua"/>
          <w:sz w:val="24"/>
          <w:szCs w:val="24"/>
          <w:lang w:eastAsia="zh-CN"/>
        </w:rPr>
      </w:pPr>
    </w:p>
    <w:p w14:paraId="6A9C2AED" w14:textId="1838273C" w:rsidR="009D08CD" w:rsidRPr="00F17A7C" w:rsidRDefault="009D08CD" w:rsidP="00772D93">
      <w:pPr>
        <w:spacing w:after="0" w:line="360" w:lineRule="auto"/>
        <w:jc w:val="both"/>
        <w:rPr>
          <w:rFonts w:ascii="Book Antiqua" w:hAnsi="Book Antiqua"/>
          <w:b/>
          <w:i/>
          <w:sz w:val="24"/>
          <w:szCs w:val="24"/>
        </w:rPr>
      </w:pPr>
      <w:r w:rsidRPr="00F17A7C">
        <w:rPr>
          <w:rFonts w:ascii="Book Antiqua" w:hAnsi="Book Antiqua"/>
          <w:b/>
          <w:i/>
          <w:sz w:val="24"/>
          <w:szCs w:val="24"/>
        </w:rPr>
        <w:t>History of present illness</w:t>
      </w:r>
    </w:p>
    <w:p w14:paraId="41AB5B0B" w14:textId="4D452B5F" w:rsidR="009D08CD" w:rsidRDefault="000371D1" w:rsidP="00772D93">
      <w:pPr>
        <w:spacing w:after="0"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t>All</w:t>
      </w:r>
      <w:r w:rsidR="00CB6ACF" w:rsidRPr="00772D93">
        <w:rPr>
          <w:rFonts w:ascii="Book Antiqua" w:hAnsi="Book Antiqua" w:cs="Times New Roman"/>
          <w:sz w:val="24"/>
          <w:szCs w:val="24"/>
        </w:rPr>
        <w:t xml:space="preserve"> patients had </w:t>
      </w:r>
      <w:r w:rsidRPr="00772D93">
        <w:rPr>
          <w:rFonts w:ascii="Book Antiqua" w:hAnsi="Book Antiqua" w:cs="Times New Roman"/>
          <w:sz w:val="24"/>
          <w:szCs w:val="24"/>
        </w:rPr>
        <w:t>a</w:t>
      </w:r>
      <w:r w:rsidR="00CB6ACF" w:rsidRPr="00772D93">
        <w:rPr>
          <w:rFonts w:ascii="Book Antiqua" w:hAnsi="Book Antiqua" w:cs="Times New Roman"/>
          <w:sz w:val="24"/>
          <w:szCs w:val="24"/>
        </w:rPr>
        <w:t xml:space="preserve"> history of chronic ischemic HF with</w:t>
      </w:r>
      <w:r w:rsidR="000D42FB"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a </w:t>
      </w:r>
      <w:r w:rsidR="00CB6ACF" w:rsidRPr="00772D93">
        <w:rPr>
          <w:rFonts w:ascii="Book Antiqua" w:hAnsi="Book Antiqua" w:cs="Times New Roman"/>
          <w:sz w:val="24"/>
          <w:szCs w:val="24"/>
        </w:rPr>
        <w:t>reduced ejection fraction</w:t>
      </w:r>
      <w:r w:rsidR="00CB6ACF" w:rsidRPr="00772D93">
        <w:rPr>
          <w:rFonts w:ascii="Book Antiqua" w:hAnsi="Book Antiqua" w:cs="Times New Roman"/>
          <w:i/>
          <w:sz w:val="24"/>
          <w:szCs w:val="24"/>
        </w:rPr>
        <w:t xml:space="preserve"> </w:t>
      </w:r>
      <w:r w:rsidR="009313A3" w:rsidRPr="00772D93">
        <w:rPr>
          <w:rFonts w:ascii="Book Antiqua" w:hAnsi="Book Antiqua" w:cs="Times New Roman"/>
          <w:sz w:val="24"/>
          <w:szCs w:val="24"/>
        </w:rPr>
        <w:t>for</w:t>
      </w:r>
      <w:r w:rsidR="00CB6ACF" w:rsidRPr="00772D93">
        <w:rPr>
          <w:rFonts w:ascii="Book Antiqua" w:hAnsi="Book Antiqua" w:cs="Times New Roman"/>
          <w:sz w:val="24"/>
          <w:szCs w:val="24"/>
        </w:rPr>
        <w:t xml:space="preserve"> several years. </w:t>
      </w:r>
    </w:p>
    <w:p w14:paraId="1920967D" w14:textId="77777777" w:rsidR="00F17A7C" w:rsidRPr="00772D93" w:rsidRDefault="00F17A7C" w:rsidP="00772D93">
      <w:pPr>
        <w:spacing w:after="0" w:line="360" w:lineRule="auto"/>
        <w:jc w:val="both"/>
        <w:rPr>
          <w:rFonts w:ascii="Book Antiqua" w:hAnsi="Book Antiqua" w:cs="Times New Roman"/>
          <w:sz w:val="24"/>
          <w:szCs w:val="24"/>
          <w:lang w:eastAsia="zh-CN"/>
        </w:rPr>
      </w:pPr>
    </w:p>
    <w:p w14:paraId="789C54B6" w14:textId="5B1104DE" w:rsidR="00CB6ACF" w:rsidRPr="00F17A7C" w:rsidRDefault="00CB6ACF" w:rsidP="00772D93">
      <w:pPr>
        <w:spacing w:after="0" w:line="360" w:lineRule="auto"/>
        <w:jc w:val="both"/>
        <w:rPr>
          <w:rFonts w:ascii="Book Antiqua" w:hAnsi="Book Antiqua"/>
          <w:b/>
          <w:i/>
          <w:sz w:val="24"/>
          <w:szCs w:val="24"/>
        </w:rPr>
      </w:pPr>
      <w:r w:rsidRPr="00F17A7C">
        <w:rPr>
          <w:rFonts w:ascii="Book Antiqua" w:hAnsi="Book Antiqua"/>
          <w:b/>
          <w:i/>
          <w:sz w:val="24"/>
          <w:szCs w:val="24"/>
        </w:rPr>
        <w:t>History of past illness</w:t>
      </w:r>
    </w:p>
    <w:p w14:paraId="77E18BE0" w14:textId="2BE6E5E7" w:rsidR="00CB6ACF" w:rsidRDefault="009313A3" w:rsidP="00772D93">
      <w:pPr>
        <w:spacing w:after="0"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t xml:space="preserve">Patients’ past illnesses are shown in </w:t>
      </w:r>
      <w:r w:rsidRPr="00F17A7C">
        <w:rPr>
          <w:rFonts w:ascii="Book Antiqua" w:hAnsi="Book Antiqua" w:cs="Times New Roman"/>
          <w:sz w:val="24"/>
          <w:szCs w:val="24"/>
        </w:rPr>
        <w:t xml:space="preserve">Table 1. </w:t>
      </w:r>
    </w:p>
    <w:p w14:paraId="1239F249" w14:textId="77777777" w:rsidR="00F17A7C" w:rsidRPr="00772D93" w:rsidRDefault="00F17A7C" w:rsidP="00772D93">
      <w:pPr>
        <w:spacing w:after="0" w:line="360" w:lineRule="auto"/>
        <w:jc w:val="both"/>
        <w:rPr>
          <w:rFonts w:ascii="Book Antiqua" w:hAnsi="Book Antiqua" w:cs="Times New Roman"/>
          <w:sz w:val="24"/>
          <w:szCs w:val="24"/>
          <w:lang w:eastAsia="zh-CN"/>
        </w:rPr>
      </w:pPr>
    </w:p>
    <w:p w14:paraId="3426B63F" w14:textId="1A3BE626" w:rsidR="009313A3" w:rsidRPr="00F17A7C" w:rsidRDefault="009313A3" w:rsidP="00772D93">
      <w:pPr>
        <w:spacing w:after="0" w:line="360" w:lineRule="auto"/>
        <w:jc w:val="both"/>
        <w:rPr>
          <w:rFonts w:ascii="Book Antiqua" w:hAnsi="Book Antiqua"/>
          <w:b/>
          <w:i/>
          <w:sz w:val="24"/>
          <w:szCs w:val="24"/>
        </w:rPr>
      </w:pPr>
      <w:r w:rsidRPr="00F17A7C">
        <w:rPr>
          <w:rFonts w:ascii="Book Antiqua" w:hAnsi="Book Antiqua"/>
          <w:b/>
          <w:i/>
          <w:sz w:val="24"/>
          <w:szCs w:val="24"/>
        </w:rPr>
        <w:t>Personal and family history</w:t>
      </w:r>
    </w:p>
    <w:p w14:paraId="06ECF0A0" w14:textId="7C28C48A" w:rsidR="009313A3" w:rsidRDefault="009313A3" w:rsidP="00772D93">
      <w:pPr>
        <w:spacing w:after="0" w:line="360" w:lineRule="auto"/>
        <w:jc w:val="both"/>
        <w:rPr>
          <w:rFonts w:ascii="Book Antiqua" w:hAnsi="Book Antiqua"/>
          <w:sz w:val="24"/>
          <w:szCs w:val="24"/>
          <w:lang w:eastAsia="zh-CN"/>
        </w:rPr>
      </w:pPr>
      <w:r w:rsidRPr="00F17A7C">
        <w:rPr>
          <w:rFonts w:ascii="Book Antiqua" w:hAnsi="Book Antiqua"/>
          <w:sz w:val="24"/>
          <w:szCs w:val="24"/>
        </w:rPr>
        <w:t>Patients’ demographic characteristics are</w:t>
      </w:r>
      <w:r w:rsidR="00723EBE" w:rsidRPr="00F17A7C">
        <w:rPr>
          <w:rFonts w:ascii="Book Antiqua" w:hAnsi="Book Antiqua"/>
          <w:sz w:val="24"/>
          <w:szCs w:val="24"/>
        </w:rPr>
        <w:t xml:space="preserve"> presented</w:t>
      </w:r>
      <w:r w:rsidRPr="00F17A7C">
        <w:rPr>
          <w:rFonts w:ascii="Book Antiqua" w:hAnsi="Book Antiqua"/>
          <w:sz w:val="24"/>
          <w:szCs w:val="24"/>
        </w:rPr>
        <w:t xml:space="preserve"> in Table 1</w:t>
      </w:r>
      <w:r w:rsidR="00723EBE" w:rsidRPr="00F17A7C">
        <w:rPr>
          <w:rFonts w:ascii="Book Antiqua" w:hAnsi="Book Antiqua"/>
          <w:sz w:val="24"/>
          <w:szCs w:val="24"/>
        </w:rPr>
        <w:t>; family history was unremarkable.</w:t>
      </w:r>
    </w:p>
    <w:p w14:paraId="541088D3" w14:textId="77777777" w:rsidR="00F17A7C" w:rsidRPr="00F17A7C" w:rsidRDefault="00F17A7C" w:rsidP="00772D93">
      <w:pPr>
        <w:spacing w:after="0" w:line="360" w:lineRule="auto"/>
        <w:jc w:val="both"/>
        <w:rPr>
          <w:rFonts w:ascii="Book Antiqua" w:hAnsi="Book Antiqua"/>
          <w:sz w:val="24"/>
          <w:szCs w:val="24"/>
          <w:lang w:eastAsia="zh-CN"/>
        </w:rPr>
      </w:pPr>
    </w:p>
    <w:p w14:paraId="6A1FC01C" w14:textId="48437DB0" w:rsidR="002529AC" w:rsidRPr="00F17A7C" w:rsidRDefault="002529AC" w:rsidP="00772D93">
      <w:pPr>
        <w:spacing w:after="0" w:line="360" w:lineRule="auto"/>
        <w:jc w:val="both"/>
        <w:rPr>
          <w:rFonts w:ascii="Book Antiqua" w:hAnsi="Book Antiqua"/>
          <w:b/>
          <w:i/>
          <w:sz w:val="24"/>
          <w:szCs w:val="24"/>
        </w:rPr>
      </w:pPr>
      <w:r w:rsidRPr="00F17A7C">
        <w:rPr>
          <w:rFonts w:ascii="Book Antiqua" w:hAnsi="Book Antiqua"/>
          <w:b/>
          <w:i/>
          <w:sz w:val="24"/>
          <w:szCs w:val="24"/>
        </w:rPr>
        <w:lastRenderedPageBreak/>
        <w:t>Physical examination upon admission</w:t>
      </w:r>
    </w:p>
    <w:p w14:paraId="0B036CA5" w14:textId="5C7AF3E3" w:rsidR="002529AC" w:rsidRDefault="00F42C15" w:rsidP="00772D93">
      <w:pPr>
        <w:spacing w:after="0"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t>At admission</w:t>
      </w:r>
      <w:r w:rsidR="002529AC" w:rsidRPr="00772D93">
        <w:rPr>
          <w:rFonts w:ascii="Book Antiqua" w:hAnsi="Book Antiqua" w:cs="Times New Roman"/>
          <w:sz w:val="24"/>
          <w:szCs w:val="24"/>
        </w:rPr>
        <w:t xml:space="preserve"> physical examination </w:t>
      </w:r>
      <w:r w:rsidR="00B4011A" w:rsidRPr="00772D93">
        <w:rPr>
          <w:rFonts w:ascii="Book Antiqua" w:hAnsi="Book Antiqua" w:cs="Times New Roman"/>
          <w:sz w:val="24"/>
          <w:szCs w:val="24"/>
        </w:rPr>
        <w:t xml:space="preserve">of the patients </w:t>
      </w:r>
      <w:r w:rsidR="002529AC" w:rsidRPr="00772D93">
        <w:rPr>
          <w:rFonts w:ascii="Book Antiqua" w:hAnsi="Book Antiqua" w:cs="Times New Roman"/>
          <w:sz w:val="24"/>
          <w:szCs w:val="24"/>
        </w:rPr>
        <w:t xml:space="preserve">revealed normal </w:t>
      </w:r>
      <w:r w:rsidR="00616546" w:rsidRPr="00772D93">
        <w:rPr>
          <w:rFonts w:ascii="Book Antiqua" w:hAnsi="Book Antiqua" w:cs="Times New Roman"/>
          <w:sz w:val="24"/>
          <w:szCs w:val="24"/>
        </w:rPr>
        <w:t>BP</w:t>
      </w:r>
      <w:r w:rsidR="002529AC" w:rsidRPr="00772D93">
        <w:rPr>
          <w:rFonts w:ascii="Book Antiqua" w:hAnsi="Book Antiqua" w:cs="Times New Roman"/>
          <w:sz w:val="24"/>
          <w:szCs w:val="24"/>
        </w:rPr>
        <w:t xml:space="preserve">, tachycardia, </w:t>
      </w:r>
      <w:r w:rsidRPr="00772D93">
        <w:rPr>
          <w:rFonts w:ascii="Book Antiqua" w:hAnsi="Book Antiqua" w:cs="Times New Roman"/>
          <w:sz w:val="24"/>
          <w:szCs w:val="24"/>
        </w:rPr>
        <w:t>leg</w:t>
      </w:r>
      <w:r w:rsidR="002529AC" w:rsidRPr="00772D93">
        <w:rPr>
          <w:rFonts w:ascii="Book Antiqua" w:hAnsi="Book Antiqua" w:cs="Times New Roman"/>
          <w:sz w:val="24"/>
          <w:szCs w:val="24"/>
        </w:rPr>
        <w:t xml:space="preserve"> edema, </w:t>
      </w:r>
      <w:r w:rsidR="00B4011A" w:rsidRPr="00772D93">
        <w:rPr>
          <w:rFonts w:ascii="Book Antiqua" w:hAnsi="Book Antiqua" w:cs="Times New Roman"/>
          <w:sz w:val="24"/>
          <w:szCs w:val="24"/>
        </w:rPr>
        <w:t xml:space="preserve">fine crackles in the lungs. In </w:t>
      </w:r>
      <w:r w:rsidR="00D04DF8" w:rsidRPr="00F17A7C">
        <w:rPr>
          <w:rFonts w:ascii="Book Antiqua" w:hAnsi="Book Antiqua" w:cs="Times New Roman"/>
          <w:sz w:val="24"/>
          <w:szCs w:val="24"/>
        </w:rPr>
        <w:t>P</w:t>
      </w:r>
      <w:r w:rsidR="00B4011A" w:rsidRPr="00F17A7C">
        <w:rPr>
          <w:rFonts w:ascii="Book Antiqua" w:hAnsi="Book Antiqua" w:cs="Times New Roman"/>
          <w:sz w:val="24"/>
          <w:szCs w:val="24"/>
        </w:rPr>
        <w:t>atient 2</w:t>
      </w:r>
      <w:r w:rsidR="00B4011A" w:rsidRPr="00772D93">
        <w:rPr>
          <w:rFonts w:ascii="Book Antiqua" w:hAnsi="Book Antiqua" w:cs="Times New Roman"/>
          <w:sz w:val="24"/>
          <w:szCs w:val="24"/>
        </w:rPr>
        <w:t xml:space="preserve"> several paroxysms of ventricular tachycardia were seen</w:t>
      </w:r>
      <w:r w:rsidRPr="00772D93">
        <w:rPr>
          <w:rFonts w:ascii="Book Antiqua" w:hAnsi="Book Antiqua" w:cs="Times New Roman"/>
          <w:sz w:val="24"/>
          <w:szCs w:val="24"/>
        </w:rPr>
        <w:t xml:space="preserve"> on </w:t>
      </w:r>
      <w:r w:rsidR="00237D38" w:rsidRPr="00237D38">
        <w:rPr>
          <w:rFonts w:ascii="Book Antiqua" w:hAnsi="Book Antiqua" w:cs="Times New Roman"/>
          <w:sz w:val="24"/>
          <w:szCs w:val="24"/>
        </w:rPr>
        <w:t>electrocardiogram</w:t>
      </w:r>
      <w:r w:rsidR="00B4011A" w:rsidRPr="00772D93">
        <w:rPr>
          <w:rFonts w:ascii="Book Antiqua" w:hAnsi="Book Antiqua" w:cs="Times New Roman"/>
          <w:sz w:val="24"/>
          <w:szCs w:val="24"/>
        </w:rPr>
        <w:t xml:space="preserve">, led by cold sweat, extreme weakness and decrease of </w:t>
      </w:r>
      <w:r w:rsidR="00616546" w:rsidRPr="00772D93">
        <w:rPr>
          <w:rFonts w:ascii="Book Antiqua" w:hAnsi="Book Antiqua" w:cs="Times New Roman"/>
          <w:sz w:val="24"/>
          <w:szCs w:val="24"/>
        </w:rPr>
        <w:t>BP</w:t>
      </w:r>
      <w:r w:rsidR="00B4011A" w:rsidRPr="00772D93">
        <w:rPr>
          <w:rFonts w:ascii="Book Antiqua" w:hAnsi="Book Antiqua" w:cs="Times New Roman"/>
          <w:sz w:val="24"/>
          <w:szCs w:val="24"/>
        </w:rPr>
        <w:t>.</w:t>
      </w:r>
    </w:p>
    <w:p w14:paraId="195DEA3C" w14:textId="77777777" w:rsidR="00F17A7C" w:rsidRPr="00485A3A" w:rsidRDefault="00F17A7C" w:rsidP="00772D93">
      <w:pPr>
        <w:spacing w:after="0" w:line="360" w:lineRule="auto"/>
        <w:jc w:val="both"/>
        <w:rPr>
          <w:rFonts w:ascii="Book Antiqua" w:hAnsi="Book Antiqua" w:cs="Times New Roman"/>
          <w:sz w:val="24"/>
          <w:szCs w:val="24"/>
          <w:lang w:eastAsia="zh-CN"/>
        </w:rPr>
      </w:pPr>
    </w:p>
    <w:p w14:paraId="26F24462" w14:textId="576F507E" w:rsidR="00B4011A" w:rsidRPr="00F17A7C" w:rsidRDefault="00B4011A" w:rsidP="00772D93">
      <w:pPr>
        <w:spacing w:after="0" w:line="360" w:lineRule="auto"/>
        <w:jc w:val="both"/>
        <w:rPr>
          <w:rFonts w:ascii="Book Antiqua" w:hAnsi="Book Antiqua"/>
          <w:b/>
          <w:i/>
          <w:sz w:val="24"/>
          <w:szCs w:val="24"/>
        </w:rPr>
      </w:pPr>
      <w:r w:rsidRPr="00F17A7C">
        <w:rPr>
          <w:rFonts w:ascii="Book Antiqua" w:hAnsi="Book Antiqua"/>
          <w:b/>
          <w:i/>
          <w:sz w:val="24"/>
          <w:szCs w:val="24"/>
        </w:rPr>
        <w:t>Laboratory examinations</w:t>
      </w:r>
    </w:p>
    <w:p w14:paraId="3D16927A" w14:textId="470337AC" w:rsidR="00B4011A" w:rsidRDefault="006D01FB" w:rsidP="00772D93">
      <w:pPr>
        <w:spacing w:after="0" w:line="360" w:lineRule="auto"/>
        <w:jc w:val="both"/>
        <w:rPr>
          <w:rFonts w:ascii="Book Antiqua" w:hAnsi="Book Antiqua" w:cs="Times New Roman"/>
          <w:sz w:val="24"/>
          <w:szCs w:val="24"/>
          <w:lang w:eastAsia="zh-CN"/>
        </w:rPr>
      </w:pPr>
      <w:r w:rsidRPr="00F17A7C">
        <w:rPr>
          <w:rFonts w:ascii="Book Antiqua" w:hAnsi="Book Antiqua" w:cs="Times New Roman"/>
          <w:sz w:val="24"/>
          <w:szCs w:val="24"/>
        </w:rPr>
        <w:t>Laboratory tests parameters are s</w:t>
      </w:r>
      <w:r w:rsidR="00D73D07" w:rsidRPr="00F17A7C">
        <w:rPr>
          <w:rFonts w:ascii="Book Antiqua" w:hAnsi="Book Antiqua" w:cs="Times New Roman"/>
          <w:sz w:val="24"/>
          <w:szCs w:val="24"/>
        </w:rPr>
        <w:t>ummarized</w:t>
      </w:r>
      <w:r w:rsidRPr="00F17A7C">
        <w:rPr>
          <w:rFonts w:ascii="Book Antiqua" w:hAnsi="Book Antiqua" w:cs="Times New Roman"/>
          <w:sz w:val="24"/>
          <w:szCs w:val="24"/>
        </w:rPr>
        <w:t xml:space="preserve"> in Table 2. </w:t>
      </w:r>
    </w:p>
    <w:p w14:paraId="42EFC2A2" w14:textId="77777777" w:rsidR="00F17A7C" w:rsidRPr="00F17A7C" w:rsidRDefault="00F17A7C" w:rsidP="00772D93">
      <w:pPr>
        <w:spacing w:after="0" w:line="360" w:lineRule="auto"/>
        <w:jc w:val="both"/>
        <w:rPr>
          <w:rFonts w:ascii="Book Antiqua" w:hAnsi="Book Antiqua" w:cs="Times New Roman"/>
          <w:sz w:val="24"/>
          <w:szCs w:val="24"/>
          <w:lang w:eastAsia="zh-CN"/>
        </w:rPr>
      </w:pPr>
    </w:p>
    <w:p w14:paraId="1E947F54" w14:textId="4E860C38" w:rsidR="006D01FB" w:rsidRPr="00F17A7C" w:rsidRDefault="006D01FB" w:rsidP="00772D93">
      <w:pPr>
        <w:spacing w:after="0" w:line="360" w:lineRule="auto"/>
        <w:jc w:val="both"/>
        <w:rPr>
          <w:rFonts w:ascii="Book Antiqua" w:hAnsi="Book Antiqua"/>
          <w:b/>
          <w:i/>
          <w:sz w:val="24"/>
          <w:szCs w:val="24"/>
        </w:rPr>
      </w:pPr>
      <w:r w:rsidRPr="00F17A7C">
        <w:rPr>
          <w:rFonts w:ascii="Book Antiqua" w:hAnsi="Book Antiqua"/>
          <w:b/>
          <w:i/>
          <w:sz w:val="24"/>
          <w:szCs w:val="24"/>
        </w:rPr>
        <w:t>Imaging examinations</w:t>
      </w:r>
    </w:p>
    <w:p w14:paraId="5F8C34C1" w14:textId="2FE360ED" w:rsidR="006D01FB" w:rsidRDefault="006D01FB" w:rsidP="00772D93">
      <w:pPr>
        <w:spacing w:after="0" w:line="360" w:lineRule="auto"/>
        <w:jc w:val="both"/>
        <w:rPr>
          <w:rFonts w:ascii="Book Antiqua" w:hAnsi="Book Antiqua"/>
          <w:sz w:val="24"/>
          <w:szCs w:val="24"/>
          <w:lang w:eastAsia="zh-CN"/>
        </w:rPr>
      </w:pPr>
      <w:r w:rsidRPr="00F17A7C">
        <w:rPr>
          <w:rFonts w:ascii="Book Antiqua" w:hAnsi="Book Antiqua"/>
          <w:sz w:val="24"/>
          <w:szCs w:val="24"/>
        </w:rPr>
        <w:t>Echocardiograph</w:t>
      </w:r>
      <w:r w:rsidR="00022525" w:rsidRPr="00F17A7C">
        <w:rPr>
          <w:rFonts w:ascii="Book Antiqua" w:hAnsi="Book Antiqua"/>
          <w:sz w:val="24"/>
          <w:szCs w:val="24"/>
        </w:rPr>
        <w:t>ic</w:t>
      </w:r>
      <w:r w:rsidRPr="00F17A7C">
        <w:rPr>
          <w:rFonts w:ascii="Book Antiqua" w:hAnsi="Book Antiqua"/>
          <w:sz w:val="24"/>
          <w:szCs w:val="24"/>
        </w:rPr>
        <w:t xml:space="preserve"> parameters are shown in Table 2. </w:t>
      </w:r>
    </w:p>
    <w:p w14:paraId="030A9B98" w14:textId="77777777" w:rsidR="00F17A7C" w:rsidRPr="00F17A7C" w:rsidRDefault="00F17A7C" w:rsidP="00772D93">
      <w:pPr>
        <w:spacing w:after="0" w:line="360" w:lineRule="auto"/>
        <w:jc w:val="both"/>
        <w:rPr>
          <w:rFonts w:ascii="Book Antiqua" w:hAnsi="Book Antiqua"/>
          <w:sz w:val="24"/>
          <w:szCs w:val="24"/>
          <w:lang w:eastAsia="zh-CN"/>
        </w:rPr>
      </w:pPr>
    </w:p>
    <w:p w14:paraId="7FE76085" w14:textId="17B8A58A" w:rsidR="006D01FB" w:rsidRPr="00772D93" w:rsidRDefault="00F17A7C" w:rsidP="00772D93">
      <w:pPr>
        <w:adjustRightInd w:val="0"/>
        <w:snapToGrid w:val="0"/>
        <w:spacing w:after="0" w:line="360" w:lineRule="auto"/>
        <w:jc w:val="both"/>
        <w:rPr>
          <w:rFonts w:ascii="Book Antiqua" w:hAnsi="Book Antiqua" w:cs="Times New Roman"/>
          <w:sz w:val="24"/>
          <w:szCs w:val="24"/>
        </w:rPr>
      </w:pPr>
      <w:r w:rsidRPr="00772D93">
        <w:rPr>
          <w:rFonts w:ascii="Book Antiqua" w:hAnsi="Book Antiqua"/>
          <w:b/>
          <w:sz w:val="24"/>
          <w:szCs w:val="24"/>
        </w:rPr>
        <w:t>FINAL DIAGNOSIS</w:t>
      </w:r>
    </w:p>
    <w:p w14:paraId="31D60F77" w14:textId="10FD11C8" w:rsidR="006D01FB" w:rsidRDefault="006B62B7" w:rsidP="00772D93">
      <w:pPr>
        <w:spacing w:after="0"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t xml:space="preserve">Based on </w:t>
      </w:r>
      <w:r w:rsidR="006D01FB" w:rsidRPr="00772D93">
        <w:rPr>
          <w:rFonts w:ascii="Book Antiqua" w:hAnsi="Book Antiqua" w:cs="Times New Roman"/>
          <w:sz w:val="24"/>
          <w:szCs w:val="24"/>
        </w:rPr>
        <w:t xml:space="preserve">clinical symptoms, signs and </w:t>
      </w:r>
      <w:r w:rsidR="00B420DB" w:rsidRPr="00772D93">
        <w:rPr>
          <w:rFonts w:ascii="Book Antiqua" w:hAnsi="Book Antiqua" w:cs="Times New Roman"/>
          <w:sz w:val="24"/>
          <w:szCs w:val="24"/>
        </w:rPr>
        <w:t>objective</w:t>
      </w:r>
      <w:r w:rsidR="000D42FB" w:rsidRPr="00772D93">
        <w:rPr>
          <w:rFonts w:ascii="Book Antiqua" w:hAnsi="Book Antiqua" w:cs="Times New Roman"/>
          <w:sz w:val="24"/>
          <w:szCs w:val="24"/>
        </w:rPr>
        <w:t xml:space="preserve"> findings</w:t>
      </w:r>
      <w:r w:rsidR="006D01FB" w:rsidRPr="00772D93">
        <w:rPr>
          <w:rFonts w:ascii="Book Antiqua" w:hAnsi="Book Antiqua" w:cs="Times New Roman"/>
          <w:sz w:val="24"/>
          <w:szCs w:val="24"/>
        </w:rPr>
        <w:t xml:space="preserve">, acute </w:t>
      </w:r>
      <w:r w:rsidR="00BA4E87" w:rsidRPr="00772D93">
        <w:rPr>
          <w:rFonts w:ascii="Book Antiqua" w:hAnsi="Book Antiqua" w:cs="Times New Roman"/>
          <w:sz w:val="24"/>
          <w:szCs w:val="24"/>
        </w:rPr>
        <w:t xml:space="preserve">decompensated </w:t>
      </w:r>
      <w:r w:rsidR="00616546" w:rsidRPr="00772D93">
        <w:rPr>
          <w:rFonts w:ascii="Book Antiqua" w:hAnsi="Book Antiqua" w:cs="Times New Roman"/>
          <w:sz w:val="24"/>
          <w:szCs w:val="24"/>
        </w:rPr>
        <w:t>HF</w:t>
      </w:r>
      <w:r w:rsidR="006D01FB" w:rsidRPr="00772D93">
        <w:rPr>
          <w:rFonts w:ascii="Book Antiqua" w:hAnsi="Book Antiqua" w:cs="Times New Roman"/>
          <w:sz w:val="24"/>
          <w:szCs w:val="24"/>
        </w:rPr>
        <w:t xml:space="preserve"> was diagnosed </w:t>
      </w:r>
      <w:r w:rsidR="00B420DB" w:rsidRPr="00772D93">
        <w:rPr>
          <w:rFonts w:ascii="Book Antiqua" w:hAnsi="Book Antiqua" w:cs="Times New Roman"/>
          <w:sz w:val="24"/>
          <w:szCs w:val="24"/>
        </w:rPr>
        <w:t>in all</w:t>
      </w:r>
      <w:r w:rsidR="006D01FB" w:rsidRPr="00772D93">
        <w:rPr>
          <w:rFonts w:ascii="Book Antiqua" w:hAnsi="Book Antiqua" w:cs="Times New Roman"/>
          <w:sz w:val="24"/>
          <w:szCs w:val="24"/>
        </w:rPr>
        <w:t xml:space="preserve"> patients. </w:t>
      </w:r>
    </w:p>
    <w:p w14:paraId="21B3627F" w14:textId="77777777" w:rsidR="00F17A7C" w:rsidRPr="00772D93" w:rsidRDefault="00F17A7C" w:rsidP="00772D93">
      <w:pPr>
        <w:spacing w:after="0" w:line="360" w:lineRule="auto"/>
        <w:jc w:val="both"/>
        <w:rPr>
          <w:rFonts w:ascii="Book Antiqua" w:hAnsi="Book Antiqua" w:cs="Times New Roman"/>
          <w:sz w:val="24"/>
          <w:szCs w:val="24"/>
          <w:lang w:eastAsia="zh-CN"/>
        </w:rPr>
      </w:pPr>
    </w:p>
    <w:p w14:paraId="411AF29F" w14:textId="3051462E" w:rsidR="006D01FB" w:rsidRPr="00772D93" w:rsidRDefault="00F17A7C" w:rsidP="00772D93">
      <w:pPr>
        <w:adjustRightInd w:val="0"/>
        <w:snapToGrid w:val="0"/>
        <w:spacing w:after="0" w:line="360" w:lineRule="auto"/>
        <w:jc w:val="both"/>
        <w:rPr>
          <w:rFonts w:ascii="Book Antiqua" w:hAnsi="Book Antiqua"/>
          <w:b/>
          <w:sz w:val="24"/>
          <w:szCs w:val="24"/>
        </w:rPr>
      </w:pPr>
      <w:r w:rsidRPr="00772D93">
        <w:rPr>
          <w:rFonts w:ascii="Book Antiqua" w:hAnsi="Book Antiqua"/>
          <w:b/>
          <w:sz w:val="24"/>
          <w:szCs w:val="24"/>
        </w:rPr>
        <w:t>TREATMENT</w:t>
      </w:r>
    </w:p>
    <w:p w14:paraId="16E91FEB" w14:textId="349E426D" w:rsidR="0085343F" w:rsidRPr="00772D93" w:rsidRDefault="00D44C24" w:rsidP="00772D93">
      <w:pPr>
        <w:spacing w:after="0" w:line="360" w:lineRule="auto"/>
        <w:jc w:val="both"/>
        <w:rPr>
          <w:rFonts w:ascii="Book Antiqua" w:hAnsi="Book Antiqua" w:cs="Times New Roman"/>
          <w:sz w:val="24"/>
          <w:szCs w:val="24"/>
        </w:rPr>
      </w:pPr>
      <w:r w:rsidRPr="00772D93">
        <w:rPr>
          <w:rFonts w:ascii="Book Antiqua" w:hAnsi="Book Antiqua" w:cs="Times New Roman"/>
          <w:sz w:val="24"/>
          <w:szCs w:val="24"/>
        </w:rPr>
        <w:t>During hospitalization</w:t>
      </w:r>
      <w:r w:rsidR="009A32C2" w:rsidRPr="00772D93">
        <w:rPr>
          <w:rFonts w:ascii="Book Antiqua" w:hAnsi="Book Antiqua" w:cs="Times New Roman"/>
          <w:sz w:val="24"/>
          <w:szCs w:val="24"/>
        </w:rPr>
        <w:t xml:space="preserve">, </w:t>
      </w:r>
      <w:r w:rsidR="00F2641D" w:rsidRPr="00772D93">
        <w:rPr>
          <w:rFonts w:ascii="Book Antiqua" w:hAnsi="Book Antiqua" w:cs="Times New Roman"/>
          <w:sz w:val="24"/>
          <w:szCs w:val="24"/>
        </w:rPr>
        <w:t>patients</w:t>
      </w:r>
      <w:r w:rsidR="006B62B7"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were treated medically </w:t>
      </w:r>
      <w:r w:rsidR="00FB6FD1" w:rsidRPr="00772D93">
        <w:rPr>
          <w:rFonts w:ascii="Book Antiqua" w:hAnsi="Book Antiqua" w:cs="Times New Roman"/>
          <w:sz w:val="24"/>
          <w:szCs w:val="24"/>
        </w:rPr>
        <w:t>according to the ESC guidelines</w:t>
      </w:r>
      <w:r w:rsidR="00F2641D" w:rsidRPr="00772D93">
        <w:rPr>
          <w:rFonts w:ascii="Book Antiqua" w:hAnsi="Book Antiqua" w:cs="Times New Roman"/>
          <w:sz w:val="24"/>
          <w:szCs w:val="24"/>
        </w:rPr>
        <w:t xml:space="preserve"> </w:t>
      </w:r>
      <w:r w:rsidR="00F2641D" w:rsidRPr="00F17A7C">
        <w:rPr>
          <w:rFonts w:ascii="Book Antiqua" w:hAnsi="Book Antiqua" w:cs="Times New Roman"/>
          <w:sz w:val="24"/>
          <w:szCs w:val="24"/>
        </w:rPr>
        <w:t>(Table 2).</w:t>
      </w:r>
      <w:r w:rsidRPr="00F17A7C">
        <w:rPr>
          <w:rFonts w:ascii="Book Antiqua" w:hAnsi="Book Antiqua" w:cs="Times New Roman"/>
          <w:sz w:val="24"/>
          <w:szCs w:val="24"/>
        </w:rPr>
        <w:t xml:space="preserve"> </w:t>
      </w:r>
      <w:r w:rsidR="00F2641D" w:rsidRPr="00F17A7C">
        <w:rPr>
          <w:rFonts w:ascii="Book Antiqua" w:hAnsi="Book Antiqua" w:cs="Times New Roman"/>
          <w:sz w:val="24"/>
          <w:szCs w:val="24"/>
        </w:rPr>
        <w:t>I</w:t>
      </w:r>
      <w:r w:rsidRPr="00F17A7C">
        <w:rPr>
          <w:rFonts w:ascii="Book Antiqua" w:hAnsi="Book Antiqua" w:cs="Times New Roman"/>
          <w:sz w:val="24"/>
          <w:szCs w:val="24"/>
        </w:rPr>
        <w:t>n Patient 2</w:t>
      </w:r>
      <w:r w:rsidR="009A32C2" w:rsidRPr="00F17A7C">
        <w:rPr>
          <w:rFonts w:ascii="Book Antiqua" w:hAnsi="Book Antiqua" w:cs="Times New Roman"/>
          <w:sz w:val="24"/>
          <w:szCs w:val="24"/>
        </w:rPr>
        <w:t>,</w:t>
      </w:r>
      <w:r w:rsidR="00FB6FD1" w:rsidRPr="00F17A7C">
        <w:rPr>
          <w:rFonts w:ascii="Book Antiqua" w:hAnsi="Book Antiqua" w:cs="Times New Roman"/>
          <w:sz w:val="24"/>
          <w:szCs w:val="24"/>
        </w:rPr>
        <w:t xml:space="preserve"> several </w:t>
      </w:r>
      <w:r w:rsidR="00667422" w:rsidRPr="00F17A7C">
        <w:rPr>
          <w:rFonts w:ascii="Book Antiqua" w:hAnsi="Book Antiqua" w:cs="Times New Roman"/>
          <w:sz w:val="24"/>
          <w:szCs w:val="24"/>
        </w:rPr>
        <w:t xml:space="preserve">paroxysms of ventricular tachycardia were </w:t>
      </w:r>
      <w:r w:rsidR="00FB6FD1" w:rsidRPr="00F17A7C">
        <w:rPr>
          <w:rFonts w:ascii="Book Antiqua" w:hAnsi="Book Antiqua" w:cs="Times New Roman"/>
          <w:sz w:val="24"/>
          <w:szCs w:val="24"/>
        </w:rPr>
        <w:t>documented</w:t>
      </w:r>
      <w:r w:rsidRPr="00F17A7C">
        <w:rPr>
          <w:rFonts w:ascii="Book Antiqua" w:hAnsi="Book Antiqua" w:cs="Times New Roman"/>
          <w:sz w:val="24"/>
          <w:szCs w:val="24"/>
        </w:rPr>
        <w:t xml:space="preserve"> </w:t>
      </w:r>
      <w:r w:rsidR="00667422" w:rsidRPr="00F17A7C">
        <w:rPr>
          <w:rFonts w:ascii="Book Antiqua" w:hAnsi="Book Antiqua" w:cs="Times New Roman"/>
          <w:sz w:val="24"/>
          <w:szCs w:val="24"/>
        </w:rPr>
        <w:t xml:space="preserve">with </w:t>
      </w:r>
      <w:r w:rsidR="009A32C2" w:rsidRPr="00F17A7C">
        <w:rPr>
          <w:rFonts w:ascii="Book Antiqua" w:hAnsi="Book Antiqua" w:cs="Times New Roman"/>
          <w:sz w:val="24"/>
          <w:szCs w:val="24"/>
        </w:rPr>
        <w:t xml:space="preserve">a </w:t>
      </w:r>
      <w:r w:rsidR="00667422" w:rsidRPr="00F17A7C">
        <w:rPr>
          <w:rFonts w:ascii="Book Antiqua" w:hAnsi="Book Antiqua" w:cs="Times New Roman"/>
          <w:sz w:val="24"/>
          <w:szCs w:val="24"/>
        </w:rPr>
        <w:t xml:space="preserve">subsequent implantation of </w:t>
      </w:r>
      <w:r w:rsidR="009A32C2" w:rsidRPr="00F17A7C">
        <w:rPr>
          <w:rFonts w:ascii="Book Antiqua" w:hAnsi="Book Antiqua" w:cs="Times New Roman"/>
          <w:sz w:val="24"/>
          <w:szCs w:val="24"/>
        </w:rPr>
        <w:t xml:space="preserve">a </w:t>
      </w:r>
      <w:r w:rsidR="00FB6FD1" w:rsidRPr="00F17A7C">
        <w:rPr>
          <w:rFonts w:ascii="Book Antiqua" w:hAnsi="Book Antiqua" w:cs="Times New Roman"/>
          <w:sz w:val="24"/>
          <w:szCs w:val="24"/>
        </w:rPr>
        <w:t>biventricular defibrillator</w:t>
      </w:r>
      <w:r w:rsidR="00667422" w:rsidRPr="00F17A7C">
        <w:rPr>
          <w:rFonts w:ascii="Book Antiqua" w:hAnsi="Book Antiqua" w:cs="Times New Roman"/>
          <w:sz w:val="24"/>
          <w:szCs w:val="24"/>
        </w:rPr>
        <w:t>;</w:t>
      </w:r>
      <w:r w:rsidR="00FB6FD1" w:rsidRPr="00F17A7C">
        <w:rPr>
          <w:rFonts w:ascii="Book Antiqua" w:hAnsi="Book Antiqua" w:cs="Times New Roman"/>
          <w:sz w:val="24"/>
          <w:szCs w:val="24"/>
        </w:rPr>
        <w:t xml:space="preserve"> </w:t>
      </w:r>
      <w:r w:rsidRPr="00F17A7C">
        <w:rPr>
          <w:rFonts w:ascii="Book Antiqua" w:hAnsi="Book Antiqua" w:cs="Times New Roman"/>
          <w:sz w:val="24"/>
          <w:szCs w:val="24"/>
        </w:rPr>
        <w:t xml:space="preserve">Patient 3 was additionally treated </w:t>
      </w:r>
      <w:r w:rsidR="009A32C2" w:rsidRPr="00F17A7C">
        <w:rPr>
          <w:rFonts w:ascii="Book Antiqua" w:hAnsi="Book Antiqua" w:cs="Times New Roman"/>
          <w:sz w:val="24"/>
          <w:szCs w:val="24"/>
        </w:rPr>
        <w:t>with an</w:t>
      </w:r>
      <w:r w:rsidRPr="00F17A7C">
        <w:rPr>
          <w:rFonts w:ascii="Book Antiqua" w:hAnsi="Book Antiqua" w:cs="Times New Roman"/>
          <w:sz w:val="24"/>
          <w:szCs w:val="24"/>
        </w:rPr>
        <w:t xml:space="preserve"> implantation of drug-eluting stents in </w:t>
      </w:r>
      <w:r w:rsidR="009A32C2" w:rsidRPr="00F17A7C">
        <w:rPr>
          <w:rFonts w:ascii="Book Antiqua" w:hAnsi="Book Antiqua" w:cs="Times New Roman"/>
          <w:sz w:val="24"/>
          <w:szCs w:val="24"/>
        </w:rPr>
        <w:t xml:space="preserve">the </w:t>
      </w:r>
      <w:r w:rsidRPr="00F17A7C">
        <w:rPr>
          <w:rFonts w:ascii="Book Antiqua" w:hAnsi="Book Antiqua" w:cs="Times New Roman"/>
          <w:sz w:val="24"/>
          <w:szCs w:val="24"/>
        </w:rPr>
        <w:t xml:space="preserve">left main and 2 </w:t>
      </w:r>
      <w:r w:rsidR="0022239B" w:rsidRPr="00F17A7C">
        <w:rPr>
          <w:rFonts w:ascii="Book Antiqua" w:hAnsi="Book Antiqua" w:cs="Times New Roman"/>
          <w:sz w:val="24"/>
          <w:szCs w:val="24"/>
        </w:rPr>
        <w:t xml:space="preserve">other </w:t>
      </w:r>
      <w:r w:rsidRPr="00F17A7C">
        <w:rPr>
          <w:rFonts w:ascii="Book Antiqua" w:hAnsi="Book Antiqua" w:cs="Times New Roman"/>
          <w:sz w:val="24"/>
          <w:szCs w:val="24"/>
        </w:rPr>
        <w:t xml:space="preserve">coronary arteries. Given the severe systolic dysfunction, mitral regurgitation, pulmonary hypertension and anticipated </w:t>
      </w:r>
      <w:r w:rsidR="00FD2225" w:rsidRPr="00F17A7C">
        <w:rPr>
          <w:rFonts w:ascii="Book Antiqua" w:hAnsi="Book Antiqua" w:cs="Times New Roman"/>
          <w:sz w:val="24"/>
          <w:szCs w:val="24"/>
        </w:rPr>
        <w:t xml:space="preserve">long </w:t>
      </w:r>
      <w:r w:rsidRPr="00F17A7C">
        <w:rPr>
          <w:rFonts w:ascii="Book Antiqua" w:hAnsi="Book Antiqua" w:cs="Times New Roman"/>
          <w:sz w:val="24"/>
          <w:szCs w:val="24"/>
        </w:rPr>
        <w:t xml:space="preserve">duration of stenting, coronary intervention </w:t>
      </w:r>
      <w:r w:rsidR="00FD2225" w:rsidRPr="00F17A7C">
        <w:rPr>
          <w:rFonts w:ascii="Book Antiqua" w:hAnsi="Book Antiqua" w:cs="Times New Roman"/>
          <w:sz w:val="24"/>
          <w:szCs w:val="24"/>
        </w:rPr>
        <w:t xml:space="preserve">in Patient 3 </w:t>
      </w:r>
      <w:r w:rsidRPr="00F17A7C">
        <w:rPr>
          <w:rFonts w:ascii="Book Antiqua" w:hAnsi="Book Antiqua" w:cs="Times New Roman"/>
          <w:sz w:val="24"/>
          <w:szCs w:val="24"/>
        </w:rPr>
        <w:t xml:space="preserve">was protected </w:t>
      </w:r>
      <w:r w:rsidR="009A32C2" w:rsidRPr="00F17A7C">
        <w:rPr>
          <w:rFonts w:ascii="Book Antiqua" w:hAnsi="Book Antiqua" w:cs="Times New Roman"/>
          <w:sz w:val="24"/>
          <w:szCs w:val="24"/>
        </w:rPr>
        <w:t xml:space="preserve">with </w:t>
      </w:r>
      <w:r w:rsidRPr="00F17A7C">
        <w:rPr>
          <w:rFonts w:ascii="Book Antiqua" w:hAnsi="Book Antiqua" w:cs="Times New Roman"/>
          <w:sz w:val="24"/>
          <w:szCs w:val="24"/>
        </w:rPr>
        <w:t xml:space="preserve">extracorporeal membrane oxygenation. </w:t>
      </w:r>
      <w:r w:rsidR="00592B32" w:rsidRPr="00F17A7C">
        <w:rPr>
          <w:rFonts w:ascii="Book Antiqua" w:hAnsi="Book Antiqua" w:cs="Times New Roman"/>
          <w:sz w:val="24"/>
          <w:szCs w:val="24"/>
        </w:rPr>
        <w:t>The dynamics of laboratory, echocardiographic parameters</w:t>
      </w:r>
      <w:r w:rsidR="0099536F" w:rsidRPr="00F17A7C">
        <w:rPr>
          <w:rFonts w:ascii="Book Antiqua" w:hAnsi="Book Antiqua" w:cs="Times New Roman"/>
          <w:sz w:val="24"/>
          <w:szCs w:val="24"/>
        </w:rPr>
        <w:t>, LI, weight</w:t>
      </w:r>
      <w:r w:rsidR="00592B32" w:rsidRPr="00F17A7C">
        <w:rPr>
          <w:rFonts w:ascii="Book Antiqua" w:hAnsi="Book Antiqua" w:cs="Times New Roman"/>
          <w:sz w:val="24"/>
          <w:szCs w:val="24"/>
        </w:rPr>
        <w:t xml:space="preserve"> and discharge HF medications are presented in Table 2. </w:t>
      </w:r>
    </w:p>
    <w:p w14:paraId="4F3DE3C7" w14:textId="38FE23B6" w:rsidR="00BD703B" w:rsidRDefault="00BD703B" w:rsidP="00F17A7C">
      <w:pPr>
        <w:spacing w:after="0" w:line="360" w:lineRule="auto"/>
        <w:ind w:firstLineChars="100" w:firstLine="240"/>
        <w:jc w:val="both"/>
        <w:rPr>
          <w:rFonts w:ascii="Book Antiqua" w:hAnsi="Book Antiqua" w:cs="Times New Roman"/>
          <w:sz w:val="24"/>
          <w:szCs w:val="24"/>
          <w:lang w:eastAsia="zh-CN"/>
        </w:rPr>
      </w:pPr>
      <w:r w:rsidRPr="00772D93">
        <w:rPr>
          <w:rFonts w:ascii="Book Antiqua" w:hAnsi="Book Antiqua" w:cs="Times New Roman"/>
          <w:sz w:val="24"/>
          <w:szCs w:val="24"/>
        </w:rPr>
        <w:t>During the course of 30 d follow-up in all three patients, the dosages of medications were adjusted remotely with telephone calls or during four unplanned visits to the outpatient department.</w:t>
      </w:r>
    </w:p>
    <w:p w14:paraId="08ACBE29" w14:textId="77777777" w:rsidR="00F17A7C" w:rsidRPr="00F17A7C" w:rsidRDefault="00F17A7C" w:rsidP="00F17A7C">
      <w:pPr>
        <w:spacing w:after="0" w:line="360" w:lineRule="auto"/>
        <w:ind w:firstLineChars="100" w:firstLine="240"/>
        <w:jc w:val="both"/>
        <w:rPr>
          <w:rFonts w:ascii="Book Antiqua" w:hAnsi="Book Antiqua" w:cs="Times New Roman"/>
          <w:sz w:val="24"/>
          <w:szCs w:val="24"/>
          <w:lang w:eastAsia="zh-CN"/>
        </w:rPr>
      </w:pPr>
    </w:p>
    <w:p w14:paraId="6FB520C3" w14:textId="3C26C977" w:rsidR="00F70E1A" w:rsidRPr="00772D93" w:rsidRDefault="00010AC2" w:rsidP="00772D93">
      <w:pPr>
        <w:spacing w:after="0" w:line="360" w:lineRule="auto"/>
        <w:jc w:val="both"/>
        <w:rPr>
          <w:rFonts w:ascii="Book Antiqua" w:hAnsi="Book Antiqua"/>
          <w:b/>
          <w:sz w:val="24"/>
          <w:szCs w:val="24"/>
        </w:rPr>
      </w:pPr>
      <w:r w:rsidRPr="00772D93">
        <w:rPr>
          <w:rFonts w:ascii="Book Antiqua" w:hAnsi="Book Antiqua"/>
          <w:b/>
          <w:sz w:val="24"/>
          <w:szCs w:val="24"/>
        </w:rPr>
        <w:t>OUTCOME AND FOLLOW-UP</w:t>
      </w:r>
    </w:p>
    <w:p w14:paraId="437B0AC9" w14:textId="370BBCE9" w:rsidR="004E1382" w:rsidRPr="00772D93" w:rsidRDefault="00D0443F" w:rsidP="00772D93">
      <w:pPr>
        <w:spacing w:after="0" w:line="360" w:lineRule="auto"/>
        <w:jc w:val="both"/>
        <w:rPr>
          <w:rFonts w:ascii="Book Antiqua" w:hAnsi="Book Antiqua" w:cs="Times New Roman"/>
          <w:sz w:val="24"/>
          <w:szCs w:val="24"/>
        </w:rPr>
      </w:pPr>
      <w:r w:rsidRPr="00772D93">
        <w:rPr>
          <w:rFonts w:ascii="Book Antiqua" w:hAnsi="Book Antiqua" w:cs="Times New Roman"/>
          <w:sz w:val="24"/>
          <w:szCs w:val="24"/>
        </w:rPr>
        <w:t>The patients were asked to come for additional assessments due to deteriorating symptoms, and for laboratory assessments when an electrolyte imbalance or a worsening renal function were suspected. All p</w:t>
      </w:r>
      <w:r w:rsidR="00F70E1A" w:rsidRPr="00772D93">
        <w:rPr>
          <w:rFonts w:ascii="Book Antiqua" w:hAnsi="Book Antiqua" w:cs="Times New Roman"/>
          <w:sz w:val="24"/>
          <w:szCs w:val="24"/>
        </w:rPr>
        <w:t>atients were discharged in a better functional status, but they still remained in functional class III per the New York Heart Association classification.</w:t>
      </w:r>
    </w:p>
    <w:p w14:paraId="73FA31AA" w14:textId="77777777" w:rsidR="002B4675" w:rsidRPr="00772D93" w:rsidRDefault="002B4675" w:rsidP="00772D93">
      <w:pPr>
        <w:spacing w:after="0" w:line="360" w:lineRule="auto"/>
        <w:jc w:val="both"/>
        <w:rPr>
          <w:rFonts w:ascii="Book Antiqua" w:hAnsi="Book Antiqua" w:cs="Times New Roman"/>
          <w:sz w:val="24"/>
          <w:szCs w:val="24"/>
          <w:shd w:val="clear" w:color="auto" w:fill="FFFFFF"/>
        </w:rPr>
      </w:pPr>
    </w:p>
    <w:p w14:paraId="6A844741" w14:textId="1BD9CBD1" w:rsidR="00D84971" w:rsidRPr="00772D93" w:rsidRDefault="00165176" w:rsidP="00772D93">
      <w:pPr>
        <w:spacing w:after="0" w:line="360" w:lineRule="auto"/>
        <w:jc w:val="both"/>
        <w:rPr>
          <w:rFonts w:ascii="Book Antiqua" w:hAnsi="Book Antiqua" w:cs="Times New Roman"/>
          <w:b/>
          <w:i/>
          <w:sz w:val="24"/>
          <w:szCs w:val="24"/>
        </w:rPr>
      </w:pPr>
      <w:r w:rsidRPr="00772D93">
        <w:rPr>
          <w:rFonts w:ascii="Book Antiqua" w:hAnsi="Book Antiqua" w:cs="Times New Roman"/>
          <w:b/>
          <w:i/>
          <w:sz w:val="24"/>
          <w:szCs w:val="24"/>
        </w:rPr>
        <w:t xml:space="preserve">Case 1: </w:t>
      </w:r>
      <w:r w:rsidR="00342F62" w:rsidRPr="00772D93">
        <w:rPr>
          <w:rFonts w:ascii="Book Antiqua" w:hAnsi="Book Antiqua" w:cs="Times New Roman"/>
          <w:b/>
          <w:i/>
          <w:sz w:val="24"/>
          <w:szCs w:val="24"/>
        </w:rPr>
        <w:t xml:space="preserve">The dependence </w:t>
      </w:r>
      <w:r w:rsidRPr="00772D93">
        <w:rPr>
          <w:rFonts w:ascii="Book Antiqua" w:hAnsi="Book Antiqua" w:cs="Times New Roman"/>
          <w:b/>
          <w:i/>
          <w:sz w:val="24"/>
          <w:szCs w:val="24"/>
        </w:rPr>
        <w:t xml:space="preserve">of LI values on diuretic intake </w:t>
      </w:r>
    </w:p>
    <w:p w14:paraId="0F5CDC75" w14:textId="1E182BA0" w:rsidR="0013737B" w:rsidRPr="00772D93" w:rsidRDefault="00EF5E77" w:rsidP="00772D93">
      <w:pPr>
        <w:autoSpaceDE w:val="0"/>
        <w:autoSpaceDN w:val="0"/>
        <w:adjustRightInd w:val="0"/>
        <w:spacing w:after="0" w:line="360" w:lineRule="auto"/>
        <w:jc w:val="both"/>
        <w:rPr>
          <w:rFonts w:ascii="Book Antiqua" w:hAnsi="Book Antiqua" w:cs="Times New Roman"/>
          <w:sz w:val="24"/>
          <w:szCs w:val="24"/>
        </w:rPr>
      </w:pPr>
      <w:proofErr w:type="spellStart"/>
      <w:r w:rsidRPr="00772D93">
        <w:rPr>
          <w:rFonts w:ascii="Book Antiqua" w:hAnsi="Book Antiqua" w:cs="Times New Roman"/>
          <w:sz w:val="24"/>
          <w:szCs w:val="24"/>
        </w:rPr>
        <w:t>Torasemide</w:t>
      </w:r>
      <w:proofErr w:type="spellEnd"/>
      <w:r w:rsidRPr="00772D93">
        <w:rPr>
          <w:rFonts w:ascii="Book Antiqua" w:hAnsi="Book Antiqua" w:cs="Times New Roman"/>
          <w:i/>
          <w:sz w:val="24"/>
          <w:szCs w:val="24"/>
        </w:rPr>
        <w:t xml:space="preserve"> </w:t>
      </w:r>
      <w:r w:rsidR="0008387B" w:rsidRPr="008802E1">
        <w:rPr>
          <w:rFonts w:ascii="Book Antiqua" w:hAnsi="Book Antiqua" w:cs="Times New Roman"/>
          <w:sz w:val="24"/>
          <w:szCs w:val="24"/>
        </w:rPr>
        <w:t xml:space="preserve">50 mg </w:t>
      </w:r>
      <w:r w:rsidRPr="008802E1">
        <w:rPr>
          <w:rFonts w:ascii="Book Antiqua" w:hAnsi="Book Antiqua" w:cs="Times New Roman"/>
          <w:sz w:val="24"/>
          <w:szCs w:val="24"/>
        </w:rPr>
        <w:t>was</w:t>
      </w:r>
      <w:r w:rsidRPr="008802E1">
        <w:rPr>
          <w:rFonts w:ascii="Book Antiqua" w:hAnsi="Book Antiqua" w:cs="Times New Roman"/>
          <w:sz w:val="24"/>
          <w:szCs w:val="24"/>
          <w:lang w:val="lt-LT"/>
        </w:rPr>
        <w:t xml:space="preserve"> prescribed</w:t>
      </w:r>
      <w:r w:rsidRPr="008802E1">
        <w:rPr>
          <w:rFonts w:ascii="Book Antiqua" w:hAnsi="Book Antiqua" w:cs="Times New Roman"/>
          <w:sz w:val="24"/>
          <w:szCs w:val="24"/>
        </w:rPr>
        <w:t xml:space="preserve"> in </w:t>
      </w:r>
      <w:r w:rsidR="00DB39D6" w:rsidRPr="008802E1">
        <w:rPr>
          <w:rFonts w:ascii="Book Antiqua" w:hAnsi="Book Antiqua" w:cs="Times New Roman"/>
          <w:sz w:val="24"/>
          <w:szCs w:val="24"/>
        </w:rPr>
        <w:t>Patient 1</w:t>
      </w:r>
      <w:r w:rsidR="00DB39D6" w:rsidRPr="00772D93">
        <w:rPr>
          <w:rFonts w:ascii="Book Antiqua" w:hAnsi="Book Antiqua" w:cs="Times New Roman"/>
          <w:sz w:val="24"/>
          <w:szCs w:val="24"/>
        </w:rPr>
        <w:t xml:space="preserve"> every </w:t>
      </w:r>
      <w:r w:rsidR="0008387B" w:rsidRPr="00772D93">
        <w:rPr>
          <w:rFonts w:ascii="Book Antiqua" w:hAnsi="Book Antiqua" w:cs="Times New Roman"/>
          <w:sz w:val="24"/>
          <w:szCs w:val="24"/>
        </w:rPr>
        <w:t>other</w:t>
      </w:r>
      <w:r w:rsidR="00DB39D6" w:rsidRPr="00772D93">
        <w:rPr>
          <w:rFonts w:ascii="Book Antiqua" w:hAnsi="Book Antiqua" w:cs="Times New Roman"/>
          <w:sz w:val="24"/>
          <w:szCs w:val="24"/>
        </w:rPr>
        <w:t xml:space="preserve"> day during the first week. There were 5 d when the patient did not take </w:t>
      </w:r>
      <w:proofErr w:type="spellStart"/>
      <w:r w:rsidR="00DB39D6" w:rsidRPr="00772D93">
        <w:rPr>
          <w:rFonts w:ascii="Book Antiqua" w:hAnsi="Book Antiqua" w:cs="Times New Roman"/>
          <w:sz w:val="24"/>
          <w:szCs w:val="24"/>
        </w:rPr>
        <w:t>torasemide</w:t>
      </w:r>
      <w:proofErr w:type="spellEnd"/>
      <w:r w:rsidR="00DB39D6" w:rsidRPr="00772D93">
        <w:rPr>
          <w:rFonts w:ascii="Book Antiqua" w:hAnsi="Book Antiqua" w:cs="Times New Roman"/>
          <w:sz w:val="24"/>
          <w:szCs w:val="24"/>
        </w:rPr>
        <w:t xml:space="preserve"> at all</w:t>
      </w:r>
      <w:r w:rsidRPr="00772D93">
        <w:rPr>
          <w:rFonts w:ascii="Book Antiqua" w:hAnsi="Book Antiqua" w:cs="Times New Roman"/>
          <w:sz w:val="24"/>
          <w:szCs w:val="24"/>
        </w:rPr>
        <w:t>.</w:t>
      </w:r>
      <w:r w:rsidR="00DB39D6" w:rsidRPr="00772D93">
        <w:rPr>
          <w:rFonts w:ascii="Book Antiqua" w:hAnsi="Book Antiqua" w:cs="Times New Roman"/>
          <w:sz w:val="24"/>
          <w:szCs w:val="24"/>
        </w:rPr>
        <w:t xml:space="preserve"> </w:t>
      </w:r>
      <w:r w:rsidR="00075859" w:rsidRPr="00D53B15">
        <w:rPr>
          <w:rFonts w:ascii="Book Antiqua" w:hAnsi="Book Antiqua" w:cs="Times New Roman"/>
          <w:sz w:val="24"/>
          <w:szCs w:val="24"/>
        </w:rPr>
        <w:t>Fig</w:t>
      </w:r>
      <w:r w:rsidR="00D53B15" w:rsidRPr="00D53B15">
        <w:rPr>
          <w:rFonts w:ascii="Book Antiqua" w:hAnsi="Book Antiqua" w:cs="Times New Roman" w:hint="eastAsia"/>
          <w:sz w:val="24"/>
          <w:szCs w:val="24"/>
          <w:lang w:eastAsia="zh-CN"/>
        </w:rPr>
        <w:t>ure</w:t>
      </w:r>
      <w:r w:rsidR="00075859" w:rsidRPr="00D53B15">
        <w:rPr>
          <w:rFonts w:ascii="Book Antiqua" w:hAnsi="Book Antiqua" w:cs="Times New Roman"/>
          <w:sz w:val="24"/>
          <w:szCs w:val="24"/>
        </w:rPr>
        <w:t xml:space="preserve"> 1</w:t>
      </w:r>
      <w:r w:rsidR="00075859" w:rsidRPr="00772D93">
        <w:rPr>
          <w:rFonts w:ascii="Book Antiqua" w:hAnsi="Book Antiqua" w:cs="Times New Roman"/>
          <w:b/>
          <w:sz w:val="24"/>
          <w:szCs w:val="24"/>
        </w:rPr>
        <w:t xml:space="preserve"> </w:t>
      </w:r>
      <w:r w:rsidR="00075859" w:rsidRPr="00772D93">
        <w:rPr>
          <w:rFonts w:ascii="Book Antiqua" w:hAnsi="Book Antiqua" w:cs="Times New Roman"/>
          <w:sz w:val="24"/>
          <w:szCs w:val="24"/>
        </w:rPr>
        <w:t xml:space="preserve">illustrates the high dependence of the LI value on the use of </w:t>
      </w:r>
      <w:r w:rsidR="00465CC0" w:rsidRPr="00772D93">
        <w:rPr>
          <w:rFonts w:ascii="Book Antiqua" w:hAnsi="Book Antiqua" w:cs="Times New Roman"/>
          <w:sz w:val="24"/>
          <w:szCs w:val="24"/>
        </w:rPr>
        <w:t xml:space="preserve">a </w:t>
      </w:r>
      <w:r w:rsidR="00075859" w:rsidRPr="00772D93">
        <w:rPr>
          <w:rFonts w:ascii="Book Antiqua" w:hAnsi="Book Antiqua" w:cs="Times New Roman"/>
          <w:sz w:val="24"/>
          <w:szCs w:val="24"/>
        </w:rPr>
        <w:t xml:space="preserve">diuretic: each missed diuretic dose has caused the mean drop of LI value by 9 points, or 9.5% (maximal LI value was 97.8 Ω, minimal 82.6 Ω). </w:t>
      </w:r>
      <w:r w:rsidR="00CE40E6" w:rsidRPr="00772D93">
        <w:rPr>
          <w:rFonts w:ascii="Book Antiqua" w:hAnsi="Book Antiqua" w:cs="Times New Roman"/>
          <w:sz w:val="24"/>
          <w:szCs w:val="24"/>
        </w:rPr>
        <w:t xml:space="preserve">The concomitant fluctuation of </w:t>
      </w:r>
      <w:r w:rsidR="00465CC0" w:rsidRPr="00772D93">
        <w:rPr>
          <w:rFonts w:ascii="Book Antiqua" w:hAnsi="Book Antiqua" w:cs="Times New Roman"/>
          <w:sz w:val="24"/>
          <w:szCs w:val="24"/>
        </w:rPr>
        <w:t xml:space="preserve">the </w:t>
      </w:r>
      <w:r w:rsidR="00CE40E6" w:rsidRPr="00772D93">
        <w:rPr>
          <w:rFonts w:ascii="Book Antiqua" w:hAnsi="Book Antiqua" w:cs="Times New Roman"/>
          <w:sz w:val="24"/>
          <w:szCs w:val="24"/>
        </w:rPr>
        <w:t>patient’s weight was negligible, ranging between 0 and 500 g, mostly decreasing</w:t>
      </w:r>
      <w:r w:rsidR="00D53B15">
        <w:rPr>
          <w:rFonts w:ascii="Book Antiqua" w:hAnsi="Book Antiqua" w:cs="Times New Roman" w:hint="eastAsia"/>
          <w:sz w:val="24"/>
          <w:szCs w:val="24"/>
          <w:lang w:eastAsia="zh-CN"/>
        </w:rPr>
        <w:t xml:space="preserve"> (Figure 2)</w:t>
      </w:r>
      <w:r w:rsidR="00CE40E6" w:rsidRPr="00772D93">
        <w:rPr>
          <w:rFonts w:ascii="Book Antiqua" w:hAnsi="Book Antiqua" w:cs="Times New Roman"/>
          <w:sz w:val="24"/>
          <w:szCs w:val="24"/>
        </w:rPr>
        <w:t xml:space="preserve">. </w:t>
      </w:r>
    </w:p>
    <w:p w14:paraId="6247433D" w14:textId="77777777" w:rsidR="0008387B" w:rsidRPr="00772D93" w:rsidRDefault="0008387B" w:rsidP="00772D93">
      <w:pPr>
        <w:autoSpaceDE w:val="0"/>
        <w:autoSpaceDN w:val="0"/>
        <w:adjustRightInd w:val="0"/>
        <w:spacing w:after="0" w:line="360" w:lineRule="auto"/>
        <w:jc w:val="both"/>
        <w:rPr>
          <w:rFonts w:ascii="Book Antiqua" w:hAnsi="Book Antiqua" w:cs="Times New Roman"/>
          <w:b/>
          <w:i/>
          <w:sz w:val="24"/>
          <w:szCs w:val="24"/>
        </w:rPr>
      </w:pPr>
    </w:p>
    <w:p w14:paraId="3C2F0C9E" w14:textId="3A08A2E6" w:rsidR="00B6729E" w:rsidRPr="00772D93" w:rsidRDefault="00B6729E" w:rsidP="00772D93">
      <w:pPr>
        <w:autoSpaceDE w:val="0"/>
        <w:autoSpaceDN w:val="0"/>
        <w:adjustRightInd w:val="0"/>
        <w:spacing w:after="0" w:line="360" w:lineRule="auto"/>
        <w:jc w:val="both"/>
        <w:rPr>
          <w:rFonts w:ascii="Book Antiqua" w:hAnsi="Book Antiqua" w:cs="Times New Roman"/>
          <w:sz w:val="24"/>
          <w:szCs w:val="24"/>
        </w:rPr>
      </w:pPr>
      <w:r w:rsidRPr="00772D93">
        <w:rPr>
          <w:rFonts w:ascii="Book Antiqua" w:hAnsi="Book Antiqua" w:cs="Times New Roman"/>
          <w:b/>
          <w:i/>
          <w:sz w:val="24"/>
          <w:szCs w:val="24"/>
        </w:rPr>
        <w:t xml:space="preserve">Case 2: </w:t>
      </w:r>
      <w:r w:rsidR="00465CC0" w:rsidRPr="00772D93">
        <w:rPr>
          <w:rFonts w:ascii="Book Antiqua" w:hAnsi="Book Antiqua" w:cs="Times New Roman"/>
          <w:b/>
          <w:i/>
          <w:sz w:val="24"/>
          <w:szCs w:val="24"/>
        </w:rPr>
        <w:t xml:space="preserve">The adjustment </w:t>
      </w:r>
      <w:r w:rsidR="006A6195" w:rsidRPr="00772D93">
        <w:rPr>
          <w:rFonts w:ascii="Book Antiqua" w:hAnsi="Book Antiqua" w:cs="Times New Roman"/>
          <w:b/>
          <w:i/>
          <w:sz w:val="24"/>
          <w:szCs w:val="24"/>
        </w:rPr>
        <w:t xml:space="preserve">of treatment </w:t>
      </w:r>
      <w:r w:rsidR="003E1ADF" w:rsidRPr="00772D93">
        <w:rPr>
          <w:rFonts w:ascii="Book Antiqua" w:hAnsi="Book Antiqua" w:cs="Times New Roman"/>
          <w:b/>
          <w:i/>
          <w:sz w:val="24"/>
          <w:szCs w:val="24"/>
        </w:rPr>
        <w:t>in relation to</w:t>
      </w:r>
      <w:r w:rsidR="00465CC0" w:rsidRPr="00772D93">
        <w:rPr>
          <w:rFonts w:ascii="Book Antiqua" w:hAnsi="Book Antiqua" w:cs="Times New Roman"/>
          <w:b/>
          <w:i/>
          <w:sz w:val="24"/>
          <w:szCs w:val="24"/>
        </w:rPr>
        <w:t xml:space="preserve"> the</w:t>
      </w:r>
      <w:r w:rsidR="003E1ADF" w:rsidRPr="00772D93">
        <w:rPr>
          <w:rFonts w:ascii="Book Antiqua" w:hAnsi="Book Antiqua" w:cs="Times New Roman"/>
          <w:b/>
          <w:i/>
          <w:sz w:val="24"/>
          <w:szCs w:val="24"/>
        </w:rPr>
        <w:t xml:space="preserve"> LI measurement</w:t>
      </w:r>
    </w:p>
    <w:p w14:paraId="5B28BE69" w14:textId="35939319" w:rsidR="002B4675" w:rsidRPr="00772D93" w:rsidRDefault="006630C5" w:rsidP="00772D93">
      <w:pPr>
        <w:spacing w:after="0" w:line="360" w:lineRule="auto"/>
        <w:jc w:val="both"/>
        <w:rPr>
          <w:rFonts w:ascii="Book Antiqua" w:hAnsi="Book Antiqua" w:cs="Times New Roman"/>
          <w:sz w:val="24"/>
          <w:szCs w:val="24"/>
        </w:rPr>
      </w:pPr>
      <w:r w:rsidRPr="00772D93">
        <w:rPr>
          <w:rFonts w:ascii="Book Antiqua" w:hAnsi="Book Antiqua" w:cs="Times New Roman"/>
          <w:sz w:val="24"/>
          <w:szCs w:val="24"/>
        </w:rPr>
        <w:t>For</w:t>
      </w:r>
      <w:r w:rsidRPr="00772D93">
        <w:rPr>
          <w:rFonts w:ascii="Book Antiqua" w:hAnsi="Book Antiqua" w:cs="Times New Roman"/>
          <w:i/>
          <w:sz w:val="24"/>
          <w:szCs w:val="24"/>
        </w:rPr>
        <w:t xml:space="preserve"> </w:t>
      </w:r>
      <w:r w:rsidRPr="008802E1">
        <w:rPr>
          <w:rFonts w:ascii="Book Antiqua" w:hAnsi="Book Antiqua" w:cs="Times New Roman"/>
          <w:sz w:val="24"/>
          <w:szCs w:val="24"/>
        </w:rPr>
        <w:t>Patient 2</w:t>
      </w:r>
      <w:r w:rsidR="00465CC0" w:rsidRPr="008802E1">
        <w:rPr>
          <w:rFonts w:ascii="Book Antiqua" w:hAnsi="Book Antiqua" w:cs="Times New Roman"/>
          <w:sz w:val="24"/>
          <w:szCs w:val="24"/>
        </w:rPr>
        <w:t>,</w:t>
      </w:r>
      <w:r w:rsidR="00465CC0" w:rsidRPr="00772D93">
        <w:rPr>
          <w:rFonts w:ascii="Book Antiqua" w:hAnsi="Book Antiqua" w:cs="Times New Roman"/>
          <w:sz w:val="24"/>
          <w:szCs w:val="24"/>
        </w:rPr>
        <w:t xml:space="preserve"> the</w:t>
      </w:r>
      <w:r w:rsidRPr="00772D93">
        <w:rPr>
          <w:rFonts w:ascii="Book Antiqua" w:hAnsi="Book Antiqua" w:cs="Times New Roman"/>
          <w:i/>
          <w:sz w:val="24"/>
          <w:szCs w:val="24"/>
        </w:rPr>
        <w:t xml:space="preserve"> </w:t>
      </w:r>
      <w:r w:rsidR="00B94043" w:rsidRPr="00772D93">
        <w:rPr>
          <w:rFonts w:ascii="Book Antiqua" w:hAnsi="Book Antiqua" w:cs="Times New Roman"/>
          <w:sz w:val="24"/>
          <w:szCs w:val="24"/>
        </w:rPr>
        <w:t>d</w:t>
      </w:r>
      <w:r w:rsidRPr="00772D93">
        <w:rPr>
          <w:rFonts w:ascii="Book Antiqua" w:hAnsi="Book Antiqua" w:cs="Times New Roman"/>
          <w:sz w:val="24"/>
          <w:szCs w:val="24"/>
        </w:rPr>
        <w:t xml:space="preserve">ecrease of LI by -9% and -18%, compared with </w:t>
      </w:r>
      <w:r w:rsidR="00DC38E1" w:rsidRPr="00772D93">
        <w:rPr>
          <w:rFonts w:ascii="Book Antiqua" w:hAnsi="Book Antiqua" w:cs="Times New Roman"/>
          <w:sz w:val="24"/>
          <w:szCs w:val="24"/>
        </w:rPr>
        <w:t xml:space="preserve">the initial </w:t>
      </w:r>
      <w:r w:rsidRPr="00772D93">
        <w:rPr>
          <w:rFonts w:ascii="Book Antiqua" w:hAnsi="Book Antiqua" w:cs="Times New Roman"/>
          <w:sz w:val="24"/>
          <w:szCs w:val="24"/>
        </w:rPr>
        <w:t xml:space="preserve">LI, </w:t>
      </w:r>
      <w:r w:rsidR="00DC38E1" w:rsidRPr="00772D93">
        <w:rPr>
          <w:rFonts w:ascii="Book Antiqua" w:hAnsi="Book Antiqua" w:cs="Times New Roman"/>
          <w:sz w:val="24"/>
          <w:szCs w:val="24"/>
        </w:rPr>
        <w:t xml:space="preserve">was </w:t>
      </w:r>
      <w:r w:rsidRPr="00772D93">
        <w:rPr>
          <w:rFonts w:ascii="Book Antiqua" w:hAnsi="Book Antiqua" w:cs="Times New Roman"/>
          <w:sz w:val="24"/>
          <w:szCs w:val="24"/>
        </w:rPr>
        <w:t xml:space="preserve">twice treated </w:t>
      </w:r>
      <w:r w:rsidR="00465CC0" w:rsidRPr="00772D93">
        <w:rPr>
          <w:rFonts w:ascii="Book Antiqua" w:hAnsi="Book Antiqua" w:cs="Times New Roman"/>
          <w:sz w:val="24"/>
          <w:szCs w:val="24"/>
        </w:rPr>
        <w:t xml:space="preserve">by </w:t>
      </w:r>
      <w:r w:rsidRPr="00772D93">
        <w:rPr>
          <w:rFonts w:ascii="Book Antiqua" w:hAnsi="Book Antiqua" w:cs="Times New Roman"/>
          <w:sz w:val="24"/>
          <w:szCs w:val="24"/>
        </w:rPr>
        <w:t xml:space="preserve">increasing the dose of </w:t>
      </w:r>
      <w:proofErr w:type="spellStart"/>
      <w:r w:rsidRPr="00772D93">
        <w:rPr>
          <w:rFonts w:ascii="Book Antiqua" w:hAnsi="Book Antiqua" w:cs="Times New Roman"/>
          <w:sz w:val="24"/>
          <w:szCs w:val="24"/>
        </w:rPr>
        <w:t>torasemide</w:t>
      </w:r>
      <w:proofErr w:type="spellEnd"/>
      <w:r w:rsidR="0008387B" w:rsidRPr="00772D93">
        <w:rPr>
          <w:rFonts w:ascii="Book Antiqua" w:hAnsi="Book Antiqua" w:cs="Times New Roman"/>
          <w:sz w:val="24"/>
          <w:szCs w:val="24"/>
        </w:rPr>
        <w:t xml:space="preserve"> from 50 to 100 mg daily</w:t>
      </w:r>
      <w:r w:rsidRPr="00772D93">
        <w:rPr>
          <w:rFonts w:ascii="Book Antiqua" w:hAnsi="Book Antiqua" w:cs="Times New Roman"/>
          <w:sz w:val="24"/>
          <w:szCs w:val="24"/>
        </w:rPr>
        <w:t xml:space="preserve">. </w:t>
      </w:r>
      <w:r w:rsidR="00CE40E6" w:rsidRPr="00772D93">
        <w:rPr>
          <w:rFonts w:ascii="Book Antiqua" w:hAnsi="Book Antiqua" w:cs="Times New Roman"/>
          <w:sz w:val="24"/>
          <w:szCs w:val="24"/>
        </w:rPr>
        <w:t>Du</w:t>
      </w:r>
      <w:r w:rsidR="00511A59" w:rsidRPr="00772D93">
        <w:rPr>
          <w:rFonts w:ascii="Book Antiqua" w:hAnsi="Book Antiqua" w:cs="Times New Roman"/>
          <w:sz w:val="24"/>
          <w:szCs w:val="24"/>
        </w:rPr>
        <w:t xml:space="preserve">ring the follow-up period, the </w:t>
      </w:r>
      <w:r w:rsidR="00397A27">
        <w:rPr>
          <w:rFonts w:ascii="Book Antiqua" w:hAnsi="Book Antiqua" w:cs="Times New Roman"/>
          <w:sz w:val="24"/>
          <w:szCs w:val="24"/>
        </w:rPr>
        <w:t>Patient</w:t>
      </w:r>
      <w:r w:rsidR="008802E1" w:rsidRPr="008802E1">
        <w:rPr>
          <w:rFonts w:ascii="Book Antiqua" w:hAnsi="Book Antiqua" w:cs="Times New Roman"/>
          <w:sz w:val="24"/>
          <w:szCs w:val="24"/>
        </w:rPr>
        <w:t xml:space="preserve"> </w:t>
      </w:r>
      <w:r w:rsidR="00511A59" w:rsidRPr="008802E1">
        <w:rPr>
          <w:rFonts w:ascii="Book Antiqua" w:hAnsi="Book Antiqua" w:cs="Times New Roman"/>
          <w:sz w:val="24"/>
          <w:szCs w:val="24"/>
        </w:rPr>
        <w:t>2</w:t>
      </w:r>
      <w:r w:rsidR="00397A27">
        <w:rPr>
          <w:rFonts w:ascii="Book Antiqua" w:hAnsi="Book Antiqua" w:cs="Times New Roman"/>
          <w:sz w:val="24"/>
          <w:szCs w:val="24"/>
          <w:lang w:eastAsia="zh-CN"/>
        </w:rPr>
        <w:t>’</w:t>
      </w:r>
      <w:r w:rsidR="00397A27">
        <w:rPr>
          <w:rFonts w:ascii="Book Antiqua" w:hAnsi="Book Antiqua" w:cs="Times New Roman" w:hint="eastAsia"/>
          <w:sz w:val="24"/>
          <w:szCs w:val="24"/>
          <w:lang w:eastAsia="zh-CN"/>
        </w:rPr>
        <w:t>s</w:t>
      </w:r>
      <w:r w:rsidR="00511A59" w:rsidRPr="008802E1">
        <w:rPr>
          <w:rFonts w:ascii="Book Antiqua" w:hAnsi="Book Antiqua" w:cs="Times New Roman"/>
          <w:sz w:val="24"/>
          <w:szCs w:val="24"/>
        </w:rPr>
        <w:t xml:space="preserve"> </w:t>
      </w:r>
      <w:r w:rsidR="00CE40E6" w:rsidRPr="00772D93">
        <w:rPr>
          <w:rFonts w:ascii="Book Antiqua" w:hAnsi="Book Antiqua" w:cs="Times New Roman"/>
          <w:sz w:val="24"/>
          <w:szCs w:val="24"/>
        </w:rPr>
        <w:t xml:space="preserve">weight fluctuated between 103.3 to 105.7 kg. In 4 </w:t>
      </w:r>
      <w:r w:rsidR="007D421B">
        <w:rPr>
          <w:rFonts w:ascii="Book Antiqua" w:hAnsi="Book Antiqua" w:cs="Times New Roman" w:hint="eastAsia"/>
          <w:sz w:val="24"/>
          <w:szCs w:val="24"/>
          <w:lang w:eastAsia="zh-CN"/>
        </w:rPr>
        <w:t>d</w:t>
      </w:r>
      <w:r w:rsidR="00CE40E6" w:rsidRPr="00772D93">
        <w:rPr>
          <w:rFonts w:ascii="Book Antiqua" w:hAnsi="Book Antiqua" w:cs="Times New Roman"/>
          <w:sz w:val="24"/>
          <w:szCs w:val="24"/>
        </w:rPr>
        <w:t xml:space="preserve">, when LI </w:t>
      </w:r>
      <w:r w:rsidR="00465CC0" w:rsidRPr="00772D93">
        <w:rPr>
          <w:rFonts w:ascii="Book Antiqua" w:hAnsi="Book Antiqua" w:cs="Times New Roman"/>
          <w:sz w:val="24"/>
          <w:szCs w:val="24"/>
        </w:rPr>
        <w:t xml:space="preserve">had </w:t>
      </w:r>
      <w:r w:rsidR="00CE40E6" w:rsidRPr="00772D93">
        <w:rPr>
          <w:rFonts w:ascii="Book Antiqua" w:hAnsi="Book Antiqua" w:cs="Times New Roman"/>
          <w:sz w:val="24"/>
          <w:szCs w:val="24"/>
        </w:rPr>
        <w:t>decreased the most, the patient’s weight increased by 200 g (0.2%) averagely, as compared with the previous day</w:t>
      </w:r>
      <w:r w:rsidR="00D53B15">
        <w:rPr>
          <w:rFonts w:ascii="Book Antiqua" w:hAnsi="Book Antiqua" w:cs="Times New Roman" w:hint="eastAsia"/>
          <w:sz w:val="24"/>
          <w:szCs w:val="24"/>
          <w:lang w:eastAsia="zh-CN"/>
        </w:rPr>
        <w:t xml:space="preserve"> (</w:t>
      </w:r>
      <w:r w:rsidR="00D53B15">
        <w:rPr>
          <w:rFonts w:ascii="Book Antiqua" w:hAnsi="Book Antiqua" w:cs="Times New Roman"/>
          <w:sz w:val="24"/>
          <w:szCs w:val="24"/>
          <w:lang w:eastAsia="zh-CN"/>
        </w:rPr>
        <w:t xml:space="preserve">Figure </w:t>
      </w:r>
      <w:r w:rsidR="00D53B15">
        <w:rPr>
          <w:rFonts w:ascii="Book Antiqua" w:hAnsi="Book Antiqua" w:cs="Times New Roman" w:hint="eastAsia"/>
          <w:sz w:val="24"/>
          <w:szCs w:val="24"/>
          <w:lang w:eastAsia="zh-CN"/>
        </w:rPr>
        <w:t>3)</w:t>
      </w:r>
      <w:r w:rsidR="00CE40E6" w:rsidRPr="00772D93">
        <w:rPr>
          <w:rFonts w:ascii="Book Antiqua" w:hAnsi="Book Antiqua" w:cs="Times New Roman"/>
          <w:sz w:val="24"/>
          <w:szCs w:val="24"/>
        </w:rPr>
        <w:t>.</w:t>
      </w:r>
    </w:p>
    <w:p w14:paraId="6DEE5ABC" w14:textId="77777777" w:rsidR="004E1983" w:rsidRPr="007D421B" w:rsidRDefault="004E1983" w:rsidP="00772D93">
      <w:pPr>
        <w:spacing w:after="0" w:line="360" w:lineRule="auto"/>
        <w:jc w:val="both"/>
        <w:rPr>
          <w:rFonts w:ascii="Book Antiqua" w:hAnsi="Book Antiqua" w:cs="Times New Roman"/>
          <w:sz w:val="24"/>
          <w:szCs w:val="24"/>
          <w:lang w:eastAsia="zh-CN"/>
        </w:rPr>
      </w:pPr>
    </w:p>
    <w:p w14:paraId="441E2E2F" w14:textId="3FCBC7E7" w:rsidR="0008387B" w:rsidRPr="00C004FA" w:rsidRDefault="00714CCC" w:rsidP="00772D93">
      <w:pPr>
        <w:spacing w:after="0" w:line="360" w:lineRule="auto"/>
        <w:jc w:val="both"/>
        <w:rPr>
          <w:rFonts w:ascii="Book Antiqua" w:hAnsi="Book Antiqua" w:cs="Times New Roman"/>
          <w:b/>
          <w:i/>
          <w:sz w:val="24"/>
          <w:szCs w:val="24"/>
          <w:lang w:eastAsia="zh-CN"/>
        </w:rPr>
      </w:pPr>
      <w:r w:rsidRPr="00772D93">
        <w:rPr>
          <w:rFonts w:ascii="Book Antiqua" w:hAnsi="Book Antiqua" w:cs="Times New Roman"/>
          <w:b/>
          <w:i/>
          <w:sz w:val="24"/>
          <w:szCs w:val="24"/>
        </w:rPr>
        <w:t xml:space="preserve">Case 3: Dehydration and congestion </w:t>
      </w:r>
      <w:r w:rsidR="00C004FA">
        <w:rPr>
          <w:rFonts w:ascii="Book Antiqua" w:hAnsi="Book Antiqua" w:cs="Times New Roman"/>
          <w:b/>
          <w:i/>
          <w:sz w:val="24"/>
          <w:szCs w:val="24"/>
        </w:rPr>
        <w:t>reflected by LI changes</w:t>
      </w:r>
    </w:p>
    <w:p w14:paraId="2383A9F2" w14:textId="0C5CCA85" w:rsidR="00E76307" w:rsidRPr="00772D93" w:rsidRDefault="00A45988" w:rsidP="00772D93">
      <w:pPr>
        <w:autoSpaceDE w:val="0"/>
        <w:autoSpaceDN w:val="0"/>
        <w:adjustRightInd w:val="0"/>
        <w:spacing w:after="0" w:line="360" w:lineRule="auto"/>
        <w:jc w:val="both"/>
        <w:rPr>
          <w:rFonts w:ascii="Book Antiqua" w:hAnsi="Book Antiqua" w:cs="Times New Roman"/>
          <w:sz w:val="24"/>
          <w:szCs w:val="24"/>
        </w:rPr>
      </w:pPr>
      <w:r w:rsidRPr="00772D93">
        <w:rPr>
          <w:rFonts w:ascii="Book Antiqua" w:hAnsi="Book Antiqua" w:cs="Times New Roman"/>
          <w:i/>
          <w:sz w:val="24"/>
          <w:szCs w:val="24"/>
        </w:rPr>
        <w:t xml:space="preserve">In </w:t>
      </w:r>
      <w:r w:rsidR="003B6D06" w:rsidRPr="00772D93">
        <w:rPr>
          <w:rFonts w:ascii="Book Antiqua" w:hAnsi="Book Antiqua" w:cs="Times New Roman"/>
          <w:i/>
          <w:sz w:val="24"/>
          <w:szCs w:val="24"/>
        </w:rPr>
        <w:t>Patient 3</w:t>
      </w:r>
      <w:r w:rsidR="00465CC0" w:rsidRPr="00772D93">
        <w:rPr>
          <w:rFonts w:ascii="Book Antiqua" w:hAnsi="Book Antiqua" w:cs="Times New Roman"/>
          <w:sz w:val="24"/>
          <w:szCs w:val="24"/>
        </w:rPr>
        <w:t>, the</w:t>
      </w:r>
      <w:r w:rsidR="003B6D06" w:rsidRPr="00772D93">
        <w:rPr>
          <w:rFonts w:ascii="Book Antiqua" w:hAnsi="Book Antiqua" w:cs="Times New Roman"/>
          <w:sz w:val="24"/>
          <w:szCs w:val="24"/>
        </w:rPr>
        <w:t xml:space="preserve"> LI</w:t>
      </w:r>
      <w:r w:rsidR="00997012" w:rsidRPr="00772D93">
        <w:rPr>
          <w:rFonts w:ascii="Book Antiqua" w:hAnsi="Book Antiqua" w:cs="Times New Roman"/>
          <w:sz w:val="24"/>
          <w:szCs w:val="24"/>
        </w:rPr>
        <w:t xml:space="preserve"> value at discharge was 101.8 Ω</w:t>
      </w:r>
      <w:r w:rsidRPr="00772D93">
        <w:rPr>
          <w:rFonts w:ascii="Book Antiqua" w:hAnsi="Book Antiqua" w:cs="Times New Roman"/>
          <w:sz w:val="24"/>
          <w:szCs w:val="24"/>
        </w:rPr>
        <w:t>,</w:t>
      </w:r>
      <w:r w:rsidR="00860770" w:rsidRPr="00772D93">
        <w:rPr>
          <w:rFonts w:ascii="Book Antiqua" w:hAnsi="Book Antiqua" w:cs="Times New Roman"/>
          <w:sz w:val="24"/>
          <w:szCs w:val="24"/>
        </w:rPr>
        <w:t xml:space="preserve"> </w:t>
      </w:r>
      <w:r w:rsidRPr="00772D93">
        <w:rPr>
          <w:rFonts w:ascii="Book Antiqua" w:hAnsi="Book Antiqua" w:cs="Times New Roman"/>
          <w:sz w:val="24"/>
          <w:szCs w:val="24"/>
        </w:rPr>
        <w:t>while</w:t>
      </w:r>
      <w:r w:rsidR="003B6D06" w:rsidRPr="00772D93">
        <w:rPr>
          <w:rFonts w:ascii="Book Antiqua" w:hAnsi="Book Antiqua" w:cs="Times New Roman"/>
          <w:sz w:val="24"/>
          <w:szCs w:val="24"/>
        </w:rPr>
        <w:t xml:space="preserve"> during the next 3 d</w:t>
      </w:r>
      <w:r w:rsidR="00465CC0" w:rsidRPr="00772D93">
        <w:rPr>
          <w:rFonts w:ascii="Book Antiqua" w:hAnsi="Book Antiqua" w:cs="Times New Roman"/>
          <w:sz w:val="24"/>
          <w:szCs w:val="24"/>
        </w:rPr>
        <w:t>,</w:t>
      </w:r>
      <w:r w:rsidR="003B6D06" w:rsidRPr="00772D93">
        <w:rPr>
          <w:rFonts w:ascii="Book Antiqua" w:hAnsi="Book Antiqua" w:cs="Times New Roman"/>
          <w:sz w:val="24"/>
          <w:szCs w:val="24"/>
        </w:rPr>
        <w:t xml:space="preserve"> it was high and still increasing (101-</w:t>
      </w:r>
      <w:r w:rsidR="00240F1F" w:rsidRPr="00772D93">
        <w:rPr>
          <w:rFonts w:ascii="Book Antiqua" w:hAnsi="Book Antiqua" w:cs="Times New Roman"/>
          <w:sz w:val="24"/>
          <w:szCs w:val="24"/>
        </w:rPr>
        <w:t xml:space="preserve"> </w:t>
      </w:r>
      <w:r w:rsidR="003B6D06" w:rsidRPr="00772D93">
        <w:rPr>
          <w:rFonts w:ascii="Book Antiqua" w:hAnsi="Book Antiqua" w:cs="Times New Roman"/>
          <w:sz w:val="24"/>
          <w:szCs w:val="24"/>
        </w:rPr>
        <w:t>&gt;</w:t>
      </w:r>
      <w:r w:rsidR="00240F1F" w:rsidRPr="00772D93">
        <w:rPr>
          <w:rFonts w:ascii="Book Antiqua" w:hAnsi="Book Antiqua" w:cs="Times New Roman"/>
          <w:sz w:val="24"/>
          <w:szCs w:val="24"/>
        </w:rPr>
        <w:t xml:space="preserve"> </w:t>
      </w:r>
      <w:r w:rsidR="003B6D06" w:rsidRPr="00772D93">
        <w:rPr>
          <w:rFonts w:ascii="Book Antiqua" w:hAnsi="Book Antiqua" w:cs="Times New Roman"/>
          <w:sz w:val="24"/>
          <w:szCs w:val="24"/>
        </w:rPr>
        <w:t>112-</w:t>
      </w:r>
      <w:r w:rsidR="00240F1F" w:rsidRPr="00772D93">
        <w:rPr>
          <w:rFonts w:ascii="Book Antiqua" w:hAnsi="Book Antiqua" w:cs="Times New Roman"/>
          <w:sz w:val="24"/>
          <w:szCs w:val="24"/>
        </w:rPr>
        <w:t xml:space="preserve"> </w:t>
      </w:r>
      <w:r w:rsidR="003B6D06" w:rsidRPr="00772D93">
        <w:rPr>
          <w:rFonts w:ascii="Book Antiqua" w:hAnsi="Book Antiqua" w:cs="Times New Roman"/>
          <w:sz w:val="24"/>
          <w:szCs w:val="24"/>
        </w:rPr>
        <w:t>&gt;</w:t>
      </w:r>
      <w:r w:rsidR="00240F1F" w:rsidRPr="00772D93">
        <w:rPr>
          <w:rFonts w:ascii="Book Antiqua" w:hAnsi="Book Antiqua" w:cs="Times New Roman"/>
          <w:sz w:val="24"/>
          <w:szCs w:val="24"/>
        </w:rPr>
        <w:t xml:space="preserve"> </w:t>
      </w:r>
      <w:r w:rsidR="003B6D06" w:rsidRPr="00772D93">
        <w:rPr>
          <w:rFonts w:ascii="Book Antiqua" w:hAnsi="Book Antiqua" w:cs="Times New Roman"/>
          <w:sz w:val="24"/>
          <w:szCs w:val="24"/>
        </w:rPr>
        <w:t>117Ω; +15%)</w:t>
      </w:r>
      <w:r w:rsidR="00997012" w:rsidRPr="00772D93">
        <w:rPr>
          <w:rFonts w:ascii="Book Antiqua" w:hAnsi="Book Antiqua" w:cs="Times New Roman"/>
          <w:sz w:val="24"/>
          <w:szCs w:val="24"/>
        </w:rPr>
        <w:t>,</w:t>
      </w:r>
      <w:r w:rsidR="003B6D06" w:rsidRPr="00772D93">
        <w:rPr>
          <w:rFonts w:ascii="Book Antiqua" w:hAnsi="Book Antiqua" w:cs="Times New Roman"/>
          <w:sz w:val="24"/>
          <w:szCs w:val="24"/>
        </w:rPr>
        <w:t xml:space="preserve"> pointing to decreasing lung fluid, </w:t>
      </w:r>
      <w:r w:rsidR="00465CC0" w:rsidRPr="00772D93">
        <w:rPr>
          <w:rFonts w:ascii="Book Antiqua" w:hAnsi="Book Antiqua" w:cs="Times New Roman"/>
          <w:sz w:val="24"/>
          <w:szCs w:val="24"/>
        </w:rPr>
        <w:t xml:space="preserve">yet </w:t>
      </w:r>
      <w:r w:rsidR="003B6D06" w:rsidRPr="00772D93">
        <w:rPr>
          <w:rFonts w:ascii="Book Antiqua" w:hAnsi="Book Antiqua" w:cs="Times New Roman"/>
          <w:sz w:val="24"/>
          <w:szCs w:val="24"/>
        </w:rPr>
        <w:t>the patient felt poorly</w:t>
      </w:r>
      <w:r w:rsidR="00465CC0" w:rsidRPr="00772D93">
        <w:rPr>
          <w:rFonts w:ascii="Book Antiqua" w:hAnsi="Book Antiqua" w:cs="Times New Roman"/>
          <w:sz w:val="24"/>
          <w:szCs w:val="24"/>
        </w:rPr>
        <w:t>.</w:t>
      </w:r>
      <w:r w:rsidR="003B6D06" w:rsidRPr="00772D93">
        <w:rPr>
          <w:rFonts w:ascii="Book Antiqua" w:hAnsi="Book Antiqua" w:cs="Times New Roman"/>
          <w:sz w:val="24"/>
          <w:szCs w:val="24"/>
        </w:rPr>
        <w:t xml:space="preserve"> </w:t>
      </w:r>
      <w:r w:rsidR="00571F62" w:rsidRPr="00772D93">
        <w:rPr>
          <w:rFonts w:ascii="Book Antiqua" w:hAnsi="Book Antiqua" w:cs="Times New Roman"/>
          <w:sz w:val="24"/>
          <w:szCs w:val="24"/>
        </w:rPr>
        <w:t xml:space="preserve">The patient reported </w:t>
      </w:r>
      <w:r w:rsidR="00465CC0" w:rsidRPr="00772D93">
        <w:rPr>
          <w:rFonts w:ascii="Book Antiqua" w:hAnsi="Book Antiqua" w:cs="Times New Roman"/>
          <w:sz w:val="24"/>
          <w:szCs w:val="24"/>
        </w:rPr>
        <w:t xml:space="preserve">a </w:t>
      </w:r>
      <w:r w:rsidR="00571F62" w:rsidRPr="00772D93">
        <w:rPr>
          <w:rFonts w:ascii="Book Antiqua" w:hAnsi="Book Antiqua" w:cs="Times New Roman"/>
          <w:sz w:val="24"/>
          <w:szCs w:val="24"/>
        </w:rPr>
        <w:t xml:space="preserve">shortness of breath </w:t>
      </w:r>
      <w:r w:rsidR="00DA34C0" w:rsidRPr="00772D93">
        <w:rPr>
          <w:rFonts w:ascii="Book Antiqua" w:eastAsia="MinionPro-Regular" w:hAnsi="Book Antiqua" w:cs="Times New Roman"/>
          <w:sz w:val="24"/>
          <w:szCs w:val="24"/>
          <w:lang w:val="lt-LT"/>
        </w:rPr>
        <w:t xml:space="preserve">at rest and during night. </w:t>
      </w:r>
      <w:r w:rsidR="003B6D06" w:rsidRPr="00772D93">
        <w:rPr>
          <w:rFonts w:ascii="Book Antiqua" w:hAnsi="Book Antiqua" w:cs="Times New Roman"/>
          <w:sz w:val="24"/>
          <w:szCs w:val="24"/>
        </w:rPr>
        <w:t>On the 4</w:t>
      </w:r>
      <w:r w:rsidR="003B6D06" w:rsidRPr="00772D93">
        <w:rPr>
          <w:rFonts w:ascii="Book Antiqua" w:hAnsi="Book Antiqua" w:cs="Times New Roman"/>
          <w:sz w:val="24"/>
          <w:szCs w:val="24"/>
          <w:vertAlign w:val="superscript"/>
        </w:rPr>
        <w:t>th</w:t>
      </w:r>
      <w:r w:rsidR="003B6D06" w:rsidRPr="00772D93">
        <w:rPr>
          <w:rFonts w:ascii="Book Antiqua" w:hAnsi="Book Antiqua" w:cs="Times New Roman"/>
          <w:sz w:val="24"/>
          <w:szCs w:val="24"/>
        </w:rPr>
        <w:t xml:space="preserve"> </w:t>
      </w:r>
      <w:r w:rsidR="00DC3D9E">
        <w:rPr>
          <w:rFonts w:ascii="Book Antiqua" w:hAnsi="Book Antiqua" w:cs="Times New Roman" w:hint="eastAsia"/>
          <w:sz w:val="24"/>
          <w:szCs w:val="24"/>
          <w:lang w:eastAsia="zh-CN"/>
        </w:rPr>
        <w:t>d</w:t>
      </w:r>
      <w:r w:rsidR="00465CC0" w:rsidRPr="00772D93">
        <w:rPr>
          <w:rFonts w:ascii="Book Antiqua" w:hAnsi="Book Antiqua" w:cs="Times New Roman"/>
          <w:sz w:val="24"/>
          <w:szCs w:val="24"/>
        </w:rPr>
        <w:t>,</w:t>
      </w:r>
      <w:r w:rsidR="00D93B99" w:rsidRPr="00772D93">
        <w:rPr>
          <w:rFonts w:ascii="Book Antiqua" w:hAnsi="Book Antiqua" w:cs="Times New Roman"/>
          <w:sz w:val="24"/>
          <w:szCs w:val="24"/>
        </w:rPr>
        <w:t xml:space="preserve"> the patient was invited to</w:t>
      </w:r>
      <w:r w:rsidR="00860770" w:rsidRPr="00772D93">
        <w:rPr>
          <w:rFonts w:ascii="Book Antiqua" w:hAnsi="Book Antiqua" w:cs="Times New Roman"/>
          <w:sz w:val="24"/>
          <w:szCs w:val="24"/>
        </w:rPr>
        <w:t xml:space="preserve"> </w:t>
      </w:r>
      <w:r w:rsidR="00465CC0" w:rsidRPr="00772D93">
        <w:rPr>
          <w:rFonts w:ascii="Book Antiqua" w:hAnsi="Book Antiqua" w:cs="Times New Roman"/>
          <w:sz w:val="24"/>
          <w:szCs w:val="24"/>
        </w:rPr>
        <w:t xml:space="preserve">an </w:t>
      </w:r>
      <w:r w:rsidR="00997012" w:rsidRPr="00772D93">
        <w:rPr>
          <w:rFonts w:ascii="Book Antiqua" w:hAnsi="Book Antiqua" w:cs="Times New Roman"/>
          <w:sz w:val="24"/>
          <w:szCs w:val="24"/>
        </w:rPr>
        <w:t>un</w:t>
      </w:r>
      <w:r w:rsidR="00860770" w:rsidRPr="00772D93">
        <w:rPr>
          <w:rFonts w:ascii="Book Antiqua" w:hAnsi="Book Antiqua" w:cs="Times New Roman"/>
          <w:sz w:val="24"/>
          <w:szCs w:val="24"/>
        </w:rPr>
        <w:t>schedul</w:t>
      </w:r>
      <w:r w:rsidR="00997012" w:rsidRPr="00772D93">
        <w:rPr>
          <w:rFonts w:ascii="Book Antiqua" w:hAnsi="Book Antiqua" w:cs="Times New Roman"/>
          <w:sz w:val="24"/>
          <w:szCs w:val="24"/>
        </w:rPr>
        <w:t xml:space="preserve">ed </w:t>
      </w:r>
      <w:r w:rsidR="00465CC0" w:rsidRPr="00772D93">
        <w:rPr>
          <w:rFonts w:ascii="Book Antiqua" w:hAnsi="Book Antiqua" w:cs="Times New Roman"/>
          <w:sz w:val="24"/>
          <w:szCs w:val="24"/>
        </w:rPr>
        <w:t xml:space="preserve">cardiologist </w:t>
      </w:r>
      <w:r w:rsidR="00997012" w:rsidRPr="00772D93">
        <w:rPr>
          <w:rFonts w:ascii="Book Antiqua" w:hAnsi="Book Antiqua" w:cs="Times New Roman"/>
          <w:sz w:val="24"/>
          <w:szCs w:val="24"/>
        </w:rPr>
        <w:t>v</w:t>
      </w:r>
      <w:r w:rsidR="003B6D06" w:rsidRPr="00772D93">
        <w:rPr>
          <w:rFonts w:ascii="Book Antiqua" w:hAnsi="Book Antiqua" w:cs="Times New Roman"/>
          <w:sz w:val="24"/>
          <w:szCs w:val="24"/>
        </w:rPr>
        <w:t>isit</w:t>
      </w:r>
      <w:r w:rsidR="00D93B99" w:rsidRPr="00772D93">
        <w:rPr>
          <w:rFonts w:ascii="Book Antiqua" w:hAnsi="Book Antiqua" w:cs="Times New Roman"/>
          <w:sz w:val="24"/>
          <w:szCs w:val="24"/>
        </w:rPr>
        <w:t>;</w:t>
      </w:r>
      <w:r w:rsidR="00F53BD3" w:rsidRPr="00772D93">
        <w:rPr>
          <w:rFonts w:ascii="Book Antiqua" w:hAnsi="Book Antiqua" w:cs="Times New Roman"/>
          <w:sz w:val="24"/>
          <w:szCs w:val="24"/>
        </w:rPr>
        <w:t xml:space="preserve"> </w:t>
      </w:r>
      <w:r w:rsidR="003B6D06" w:rsidRPr="00772D93">
        <w:rPr>
          <w:rFonts w:ascii="Book Antiqua" w:hAnsi="Book Antiqua" w:cs="Times New Roman"/>
          <w:sz w:val="24"/>
          <w:szCs w:val="24"/>
        </w:rPr>
        <w:t>acute renal failure with hy</w:t>
      </w:r>
      <w:r w:rsidR="00997012" w:rsidRPr="00772D93">
        <w:rPr>
          <w:rFonts w:ascii="Book Antiqua" w:hAnsi="Book Antiqua" w:cs="Times New Roman"/>
          <w:sz w:val="24"/>
          <w:szCs w:val="24"/>
        </w:rPr>
        <w:t>perkalemia and hypochloremia were</w:t>
      </w:r>
      <w:r w:rsidR="003B6D06" w:rsidRPr="00772D93">
        <w:rPr>
          <w:rFonts w:ascii="Book Antiqua" w:hAnsi="Book Antiqua" w:cs="Times New Roman"/>
          <w:sz w:val="24"/>
          <w:szCs w:val="24"/>
        </w:rPr>
        <w:t xml:space="preserve"> diagnosed. The patient was </w:t>
      </w:r>
      <w:r w:rsidR="003B6D06" w:rsidRPr="00772D93">
        <w:rPr>
          <w:rFonts w:ascii="Book Antiqua" w:hAnsi="Book Antiqua" w:cs="Times New Roman"/>
          <w:sz w:val="24"/>
          <w:szCs w:val="24"/>
        </w:rPr>
        <w:lastRenderedPageBreak/>
        <w:t xml:space="preserve">readmitted for 3 d and treated with intravenous fluid and electrolyte </w:t>
      </w:r>
      <w:r w:rsidR="00277197" w:rsidRPr="00772D93">
        <w:rPr>
          <w:rFonts w:ascii="Book Antiqua" w:hAnsi="Book Antiqua" w:cs="Times New Roman"/>
          <w:sz w:val="24"/>
          <w:szCs w:val="24"/>
        </w:rPr>
        <w:t>infusion.</w:t>
      </w:r>
      <w:r w:rsidR="002950FD" w:rsidRPr="00772D93">
        <w:rPr>
          <w:rFonts w:ascii="Book Antiqua" w:hAnsi="Book Antiqua" w:cs="Times New Roman"/>
          <w:sz w:val="24"/>
          <w:szCs w:val="24"/>
        </w:rPr>
        <w:t xml:space="preserve"> </w:t>
      </w:r>
      <w:r w:rsidR="00465CC0" w:rsidRPr="00772D93">
        <w:rPr>
          <w:rFonts w:ascii="Book Antiqua" w:hAnsi="Book Antiqua" w:cs="Times New Roman"/>
          <w:sz w:val="24"/>
          <w:szCs w:val="24"/>
        </w:rPr>
        <w:t xml:space="preserve">An </w:t>
      </w:r>
      <w:r w:rsidR="00023E81" w:rsidRPr="00772D93">
        <w:rPr>
          <w:rFonts w:ascii="Book Antiqua" w:hAnsi="Book Antiqua" w:cs="Times New Roman"/>
          <w:sz w:val="24"/>
          <w:szCs w:val="24"/>
        </w:rPr>
        <w:t>a</w:t>
      </w:r>
      <w:r w:rsidR="006A73B3" w:rsidRPr="00772D93">
        <w:rPr>
          <w:rFonts w:ascii="Book Antiqua" w:hAnsi="Book Antiqua" w:cs="Times New Roman"/>
          <w:sz w:val="24"/>
          <w:szCs w:val="24"/>
        </w:rPr>
        <w:t xml:space="preserve">cute kidney injury was </w:t>
      </w:r>
      <w:r w:rsidR="00DA7977" w:rsidRPr="00772D93">
        <w:rPr>
          <w:rFonts w:ascii="Book Antiqua" w:hAnsi="Book Antiqua" w:cs="Times New Roman"/>
          <w:sz w:val="24"/>
          <w:szCs w:val="24"/>
        </w:rPr>
        <w:t>likely</w:t>
      </w:r>
      <w:r w:rsidR="002E51A0" w:rsidRPr="00772D93">
        <w:rPr>
          <w:rFonts w:ascii="Book Antiqua" w:hAnsi="Book Antiqua" w:cs="Times New Roman"/>
          <w:sz w:val="24"/>
          <w:szCs w:val="24"/>
        </w:rPr>
        <w:t xml:space="preserve"> </w:t>
      </w:r>
      <w:r w:rsidR="006A73B3" w:rsidRPr="00772D93">
        <w:rPr>
          <w:rFonts w:ascii="Book Antiqua" w:hAnsi="Book Antiqua" w:cs="Times New Roman"/>
          <w:sz w:val="24"/>
          <w:szCs w:val="24"/>
        </w:rPr>
        <w:t>associated with contrast-induced damage</w:t>
      </w:r>
      <w:r w:rsidR="006E7B5F" w:rsidRPr="00772D93">
        <w:rPr>
          <w:rFonts w:ascii="Book Antiqua" w:hAnsi="Book Antiqua" w:cs="Times New Roman"/>
          <w:sz w:val="24"/>
          <w:szCs w:val="24"/>
        </w:rPr>
        <w:t xml:space="preserve"> after the </w:t>
      </w:r>
      <w:r w:rsidR="008255B2" w:rsidRPr="00772D93">
        <w:rPr>
          <w:rFonts w:ascii="Book Antiqua" w:hAnsi="Book Antiqua" w:cs="Times New Roman"/>
          <w:sz w:val="24"/>
          <w:szCs w:val="24"/>
        </w:rPr>
        <w:t xml:space="preserve">complex </w:t>
      </w:r>
      <w:r w:rsidR="006E7B5F" w:rsidRPr="00772D93">
        <w:rPr>
          <w:rFonts w:ascii="Book Antiqua" w:hAnsi="Book Antiqua" w:cs="Times New Roman"/>
          <w:sz w:val="24"/>
          <w:szCs w:val="24"/>
        </w:rPr>
        <w:t>percutaneous coronary procedure</w:t>
      </w:r>
      <w:r w:rsidR="006A73B3" w:rsidRPr="00772D93">
        <w:rPr>
          <w:rFonts w:ascii="Book Antiqua" w:hAnsi="Book Antiqua" w:cs="Times New Roman"/>
          <w:sz w:val="24"/>
          <w:szCs w:val="24"/>
        </w:rPr>
        <w:t>.</w:t>
      </w:r>
      <w:r w:rsidR="00C004FA">
        <w:rPr>
          <w:rFonts w:ascii="Book Antiqua" w:hAnsi="Book Antiqua" w:cs="Times New Roman" w:hint="eastAsia"/>
          <w:sz w:val="24"/>
          <w:szCs w:val="24"/>
          <w:lang w:eastAsia="zh-CN"/>
        </w:rPr>
        <w:t xml:space="preserve"> </w:t>
      </w:r>
      <w:r w:rsidR="00EA59CE" w:rsidRPr="00772D93">
        <w:rPr>
          <w:rFonts w:ascii="Book Antiqua" w:hAnsi="Book Antiqua" w:cs="Times New Roman"/>
          <w:sz w:val="24"/>
          <w:szCs w:val="24"/>
        </w:rPr>
        <w:t xml:space="preserve">Subsequently, during </w:t>
      </w:r>
      <w:r w:rsidR="00465CC0" w:rsidRPr="00772D93">
        <w:rPr>
          <w:rFonts w:ascii="Book Antiqua" w:hAnsi="Book Antiqua" w:cs="Times New Roman"/>
          <w:sz w:val="24"/>
          <w:szCs w:val="24"/>
        </w:rPr>
        <w:t>a three-</w:t>
      </w:r>
      <w:r w:rsidR="00EA59CE" w:rsidRPr="00772D93">
        <w:rPr>
          <w:rFonts w:ascii="Book Antiqua" w:hAnsi="Book Antiqua" w:cs="Times New Roman"/>
          <w:sz w:val="24"/>
          <w:szCs w:val="24"/>
        </w:rPr>
        <w:t xml:space="preserve">day period (from </w:t>
      </w:r>
      <w:r w:rsidR="00465CC0" w:rsidRPr="00772D93">
        <w:rPr>
          <w:rFonts w:ascii="Book Antiqua" w:hAnsi="Book Antiqua" w:cs="Times New Roman"/>
          <w:sz w:val="24"/>
          <w:szCs w:val="24"/>
        </w:rPr>
        <w:t xml:space="preserve">the </w:t>
      </w:r>
      <w:r w:rsidR="00EA59CE" w:rsidRPr="00772D93">
        <w:rPr>
          <w:rFonts w:ascii="Book Antiqua" w:hAnsi="Book Antiqua" w:cs="Times New Roman"/>
          <w:sz w:val="24"/>
          <w:szCs w:val="24"/>
        </w:rPr>
        <w:t>17</w:t>
      </w:r>
      <w:r w:rsidR="00EA59CE" w:rsidRPr="00772D93">
        <w:rPr>
          <w:rFonts w:ascii="Book Antiqua" w:hAnsi="Book Antiqua" w:cs="Times New Roman"/>
          <w:sz w:val="24"/>
          <w:szCs w:val="24"/>
          <w:vertAlign w:val="superscript"/>
        </w:rPr>
        <w:t>th</w:t>
      </w:r>
      <w:r w:rsidR="00EA59CE" w:rsidRPr="00772D93">
        <w:rPr>
          <w:rFonts w:ascii="Book Antiqua" w:hAnsi="Book Antiqua" w:cs="Times New Roman"/>
          <w:sz w:val="24"/>
          <w:szCs w:val="24"/>
        </w:rPr>
        <w:t xml:space="preserve"> </w:t>
      </w:r>
      <w:r w:rsidR="00465CC0" w:rsidRPr="00772D93">
        <w:rPr>
          <w:rFonts w:ascii="Book Antiqua" w:hAnsi="Book Antiqua" w:cs="Times New Roman"/>
          <w:sz w:val="24"/>
          <w:szCs w:val="24"/>
        </w:rPr>
        <w:t xml:space="preserve">to the </w:t>
      </w:r>
      <w:r w:rsidR="00EA59CE" w:rsidRPr="00772D93">
        <w:rPr>
          <w:rFonts w:ascii="Book Antiqua" w:hAnsi="Book Antiqua" w:cs="Times New Roman"/>
          <w:sz w:val="24"/>
          <w:szCs w:val="24"/>
        </w:rPr>
        <w:t>20</w:t>
      </w:r>
      <w:r w:rsidR="00EA59CE" w:rsidRPr="00772D93">
        <w:rPr>
          <w:rFonts w:ascii="Book Antiqua" w:hAnsi="Book Antiqua" w:cs="Times New Roman"/>
          <w:sz w:val="24"/>
          <w:szCs w:val="24"/>
          <w:vertAlign w:val="superscript"/>
        </w:rPr>
        <w:t>th</w:t>
      </w:r>
      <w:r w:rsidR="00465CC0" w:rsidRPr="00772D93">
        <w:rPr>
          <w:rFonts w:ascii="Book Antiqua" w:hAnsi="Book Antiqua" w:cs="Times New Roman"/>
          <w:sz w:val="24"/>
          <w:szCs w:val="24"/>
        </w:rPr>
        <w:t xml:space="preserve"> of the month</w:t>
      </w:r>
      <w:r w:rsidR="00EA59CE" w:rsidRPr="00772D93">
        <w:rPr>
          <w:rFonts w:ascii="Book Antiqua" w:hAnsi="Book Antiqua" w:cs="Times New Roman"/>
          <w:sz w:val="24"/>
          <w:szCs w:val="24"/>
        </w:rPr>
        <w:t>)</w:t>
      </w:r>
      <w:r w:rsidR="00465CC0" w:rsidRPr="00772D93">
        <w:rPr>
          <w:rFonts w:ascii="Book Antiqua" w:hAnsi="Book Antiqua" w:cs="Times New Roman"/>
          <w:sz w:val="24"/>
          <w:szCs w:val="24"/>
        </w:rPr>
        <w:t>,</w:t>
      </w:r>
      <w:r w:rsidR="00EA59CE" w:rsidRPr="008802E1">
        <w:rPr>
          <w:rFonts w:ascii="Book Antiqua" w:hAnsi="Book Antiqua" w:cs="Times New Roman"/>
          <w:sz w:val="24"/>
          <w:szCs w:val="24"/>
        </w:rPr>
        <w:t xml:space="preserve"> Patient 3 gained 800 g</w:t>
      </w:r>
      <w:r w:rsidR="00465CC0" w:rsidRPr="008802E1">
        <w:rPr>
          <w:rFonts w:ascii="Book Antiqua" w:hAnsi="Book Antiqua" w:cs="Times New Roman"/>
          <w:sz w:val="24"/>
          <w:szCs w:val="24"/>
        </w:rPr>
        <w:t xml:space="preserve"> in </w:t>
      </w:r>
      <w:r w:rsidR="00EA59CE" w:rsidRPr="008802E1">
        <w:rPr>
          <w:rFonts w:ascii="Book Antiqua" w:hAnsi="Book Antiqua" w:cs="Times New Roman"/>
          <w:sz w:val="24"/>
          <w:szCs w:val="24"/>
        </w:rPr>
        <w:t xml:space="preserve">weight, felt </w:t>
      </w:r>
      <w:r w:rsidR="00994DEF" w:rsidRPr="008802E1">
        <w:rPr>
          <w:rFonts w:ascii="Book Antiqua" w:hAnsi="Book Antiqua" w:cs="Times New Roman"/>
          <w:sz w:val="24"/>
          <w:szCs w:val="24"/>
        </w:rPr>
        <w:t xml:space="preserve">increased </w:t>
      </w:r>
      <w:r w:rsidR="00EA59CE" w:rsidRPr="008802E1">
        <w:rPr>
          <w:rFonts w:ascii="Book Antiqua" w:hAnsi="Book Antiqua" w:cs="Times New Roman"/>
          <w:sz w:val="24"/>
          <w:szCs w:val="24"/>
        </w:rPr>
        <w:t xml:space="preserve">dyspnea </w:t>
      </w:r>
      <w:r w:rsidR="00994DEF" w:rsidRPr="008802E1">
        <w:rPr>
          <w:rFonts w:ascii="Book Antiqua" w:hAnsi="Book Antiqua" w:cs="Times New Roman"/>
          <w:sz w:val="24"/>
          <w:szCs w:val="24"/>
        </w:rPr>
        <w:t xml:space="preserve">on the </w:t>
      </w:r>
      <w:r w:rsidR="00465CC0" w:rsidRPr="008802E1">
        <w:rPr>
          <w:rFonts w:ascii="Book Antiqua" w:hAnsi="Book Antiqua" w:cs="Times New Roman"/>
          <w:sz w:val="24"/>
          <w:szCs w:val="24"/>
        </w:rPr>
        <w:t>20</w:t>
      </w:r>
      <w:r w:rsidR="00465CC0" w:rsidRPr="008802E1">
        <w:rPr>
          <w:rFonts w:ascii="Book Antiqua" w:hAnsi="Book Antiqua" w:cs="Times New Roman"/>
          <w:sz w:val="24"/>
          <w:szCs w:val="24"/>
          <w:vertAlign w:val="superscript"/>
        </w:rPr>
        <w:t>th</w:t>
      </w:r>
      <w:r w:rsidR="00465CC0" w:rsidRPr="008802E1">
        <w:rPr>
          <w:rFonts w:ascii="Book Antiqua" w:hAnsi="Book Antiqua" w:cs="Times New Roman"/>
          <w:sz w:val="24"/>
          <w:szCs w:val="24"/>
        </w:rPr>
        <w:t xml:space="preserve"> and 21</w:t>
      </w:r>
      <w:r w:rsidR="00465CC0" w:rsidRPr="008802E1">
        <w:rPr>
          <w:rFonts w:ascii="Book Antiqua" w:hAnsi="Book Antiqua" w:cs="Times New Roman"/>
          <w:sz w:val="24"/>
          <w:szCs w:val="24"/>
          <w:vertAlign w:val="superscript"/>
        </w:rPr>
        <w:t>st</w:t>
      </w:r>
      <w:r w:rsidR="00465CC0" w:rsidRPr="008802E1">
        <w:rPr>
          <w:rFonts w:ascii="Book Antiqua" w:hAnsi="Book Antiqua" w:cs="Times New Roman"/>
          <w:sz w:val="24"/>
          <w:szCs w:val="24"/>
        </w:rPr>
        <w:t xml:space="preserve"> </w:t>
      </w:r>
      <w:r w:rsidR="00BB4639">
        <w:rPr>
          <w:rFonts w:ascii="Book Antiqua" w:hAnsi="Book Antiqua" w:cs="Times New Roman" w:hint="eastAsia"/>
          <w:sz w:val="24"/>
          <w:szCs w:val="24"/>
          <w:lang w:eastAsia="zh-CN"/>
        </w:rPr>
        <w:t>d</w:t>
      </w:r>
      <w:r w:rsidR="00994DEF" w:rsidRPr="008802E1">
        <w:rPr>
          <w:rFonts w:ascii="Book Antiqua" w:hAnsi="Book Antiqua" w:cs="Times New Roman"/>
          <w:sz w:val="24"/>
          <w:szCs w:val="24"/>
        </w:rPr>
        <w:t xml:space="preserve"> </w:t>
      </w:r>
      <w:r w:rsidR="00EA59CE" w:rsidRPr="008802E1">
        <w:rPr>
          <w:rFonts w:ascii="Book Antiqua" w:hAnsi="Book Antiqua" w:cs="Times New Roman"/>
          <w:sz w:val="24"/>
          <w:szCs w:val="24"/>
        </w:rPr>
        <w:t>in parallel</w:t>
      </w:r>
      <w:r w:rsidR="00994DEF" w:rsidRPr="008802E1">
        <w:rPr>
          <w:rFonts w:ascii="Book Antiqua" w:hAnsi="Book Antiqua" w:cs="Times New Roman"/>
          <w:sz w:val="24"/>
          <w:szCs w:val="24"/>
        </w:rPr>
        <w:t xml:space="preserve"> with a decrease of LI. </w:t>
      </w:r>
      <w:bookmarkStart w:id="1" w:name="OLE_LINK3"/>
      <w:bookmarkStart w:id="2" w:name="OLE_LINK4"/>
      <w:bookmarkStart w:id="3" w:name="OLE_LINK6"/>
      <w:r w:rsidR="00DA7977" w:rsidRPr="008802E1">
        <w:rPr>
          <w:rFonts w:ascii="Book Antiqua" w:hAnsi="Book Antiqua" w:cs="Times New Roman"/>
          <w:sz w:val="24"/>
          <w:szCs w:val="24"/>
        </w:rPr>
        <w:t>The negative dynamics of NT-</w:t>
      </w:r>
      <w:proofErr w:type="spellStart"/>
      <w:r w:rsidR="00DA7977" w:rsidRPr="008802E1">
        <w:rPr>
          <w:rFonts w:ascii="Book Antiqua" w:hAnsi="Book Antiqua" w:cs="Times New Roman"/>
          <w:sz w:val="24"/>
          <w:szCs w:val="24"/>
        </w:rPr>
        <w:t>proBNP</w:t>
      </w:r>
      <w:proofErr w:type="spellEnd"/>
      <w:r w:rsidR="00DA7977" w:rsidRPr="008802E1">
        <w:rPr>
          <w:rFonts w:ascii="Book Antiqua" w:hAnsi="Book Antiqua" w:cs="Times New Roman"/>
          <w:sz w:val="24"/>
          <w:szCs w:val="24"/>
        </w:rPr>
        <w:t xml:space="preserve"> on </w:t>
      </w:r>
      <w:r w:rsidR="00465CC0" w:rsidRPr="008802E1">
        <w:rPr>
          <w:rFonts w:ascii="Book Antiqua" w:hAnsi="Book Antiqua" w:cs="Times New Roman"/>
          <w:sz w:val="24"/>
          <w:szCs w:val="24"/>
        </w:rPr>
        <w:t xml:space="preserve">the </w:t>
      </w:r>
      <w:r w:rsidR="00DA7977" w:rsidRPr="008802E1">
        <w:rPr>
          <w:rFonts w:ascii="Book Antiqua" w:hAnsi="Book Antiqua" w:cs="Times New Roman"/>
          <w:sz w:val="24"/>
          <w:szCs w:val="24"/>
        </w:rPr>
        <w:t>30</w:t>
      </w:r>
      <w:r w:rsidR="00DA7977" w:rsidRPr="008802E1">
        <w:rPr>
          <w:rFonts w:ascii="Book Antiqua" w:hAnsi="Book Antiqua" w:cs="Times New Roman"/>
          <w:sz w:val="24"/>
          <w:szCs w:val="24"/>
          <w:vertAlign w:val="superscript"/>
        </w:rPr>
        <w:t>th</w:t>
      </w:r>
      <w:r w:rsidR="00DA7977" w:rsidRPr="008802E1">
        <w:rPr>
          <w:rFonts w:ascii="Book Antiqua" w:hAnsi="Book Antiqua" w:cs="Times New Roman"/>
          <w:sz w:val="24"/>
          <w:szCs w:val="24"/>
        </w:rPr>
        <w:t xml:space="preserve"> </w:t>
      </w:r>
      <w:r w:rsidR="00BB4639">
        <w:rPr>
          <w:rFonts w:ascii="Book Antiqua" w:hAnsi="Book Antiqua" w:cs="Times New Roman" w:hint="eastAsia"/>
          <w:sz w:val="24"/>
          <w:szCs w:val="24"/>
          <w:lang w:eastAsia="zh-CN"/>
        </w:rPr>
        <w:t>d</w:t>
      </w:r>
      <w:r w:rsidR="00DA7977" w:rsidRPr="008802E1">
        <w:rPr>
          <w:rFonts w:ascii="Book Antiqua" w:hAnsi="Book Antiqua" w:cs="Times New Roman"/>
          <w:sz w:val="24"/>
          <w:szCs w:val="24"/>
        </w:rPr>
        <w:t xml:space="preserve"> </w:t>
      </w:r>
      <w:r w:rsidR="00465CC0" w:rsidRPr="008802E1">
        <w:rPr>
          <w:rFonts w:ascii="Book Antiqua" w:hAnsi="Book Antiqua" w:cs="Times New Roman"/>
          <w:sz w:val="24"/>
          <w:szCs w:val="24"/>
        </w:rPr>
        <w:t xml:space="preserve">were </w:t>
      </w:r>
      <w:r w:rsidR="00DA7977" w:rsidRPr="008802E1">
        <w:rPr>
          <w:rFonts w:ascii="Book Antiqua" w:hAnsi="Book Antiqua" w:cs="Times New Roman"/>
          <w:sz w:val="24"/>
          <w:szCs w:val="24"/>
        </w:rPr>
        <w:t xml:space="preserve">concordant </w:t>
      </w:r>
      <w:r w:rsidR="00703B29" w:rsidRPr="008802E1">
        <w:rPr>
          <w:rFonts w:ascii="Book Antiqua" w:hAnsi="Book Antiqua" w:cs="Times New Roman"/>
          <w:sz w:val="24"/>
          <w:szCs w:val="24"/>
        </w:rPr>
        <w:t>with</w:t>
      </w:r>
      <w:r w:rsidR="00DA7977" w:rsidRPr="008802E1">
        <w:rPr>
          <w:rFonts w:ascii="Book Antiqua" w:hAnsi="Book Antiqua" w:cs="Times New Roman"/>
          <w:sz w:val="24"/>
          <w:szCs w:val="24"/>
        </w:rPr>
        <w:t xml:space="preserve"> </w:t>
      </w:r>
      <w:r w:rsidR="00465CC0" w:rsidRPr="008802E1">
        <w:rPr>
          <w:rFonts w:ascii="Book Antiqua" w:hAnsi="Book Antiqua" w:cs="Times New Roman"/>
          <w:sz w:val="24"/>
          <w:szCs w:val="24"/>
        </w:rPr>
        <w:t xml:space="preserve">a </w:t>
      </w:r>
      <w:r w:rsidR="00DA7977" w:rsidRPr="008802E1">
        <w:rPr>
          <w:rFonts w:ascii="Book Antiqua" w:hAnsi="Book Antiqua" w:cs="Times New Roman"/>
          <w:sz w:val="24"/>
          <w:szCs w:val="24"/>
        </w:rPr>
        <w:t>gradual progressive decline of LI</w:t>
      </w:r>
      <w:r w:rsidR="00681E05" w:rsidRPr="008802E1">
        <w:rPr>
          <w:rFonts w:ascii="Book Antiqua" w:hAnsi="Book Antiqua" w:cs="Times New Roman"/>
          <w:sz w:val="24"/>
          <w:szCs w:val="24"/>
        </w:rPr>
        <w:t xml:space="preserve"> during</w:t>
      </w:r>
      <w:r w:rsidR="00465CC0" w:rsidRPr="008802E1">
        <w:rPr>
          <w:rFonts w:ascii="Book Antiqua" w:hAnsi="Book Antiqua" w:cs="Times New Roman"/>
          <w:sz w:val="24"/>
          <w:szCs w:val="24"/>
        </w:rPr>
        <w:t xml:space="preserve"> the</w:t>
      </w:r>
      <w:r w:rsidR="00681E05" w:rsidRPr="008802E1">
        <w:rPr>
          <w:rFonts w:ascii="Book Antiqua" w:hAnsi="Book Antiqua" w:cs="Times New Roman"/>
          <w:sz w:val="24"/>
          <w:szCs w:val="24"/>
        </w:rPr>
        <w:t xml:space="preserve"> </w:t>
      </w:r>
      <w:r w:rsidR="00465CC0" w:rsidRPr="008802E1">
        <w:rPr>
          <w:rFonts w:ascii="Book Antiqua" w:hAnsi="Book Antiqua" w:cs="Times New Roman"/>
          <w:sz w:val="24"/>
          <w:szCs w:val="24"/>
        </w:rPr>
        <w:t>follow-</w:t>
      </w:r>
      <w:r w:rsidR="00681E05" w:rsidRPr="008802E1">
        <w:rPr>
          <w:rFonts w:ascii="Book Antiqua" w:hAnsi="Book Antiqua" w:cs="Times New Roman"/>
          <w:sz w:val="24"/>
          <w:szCs w:val="24"/>
        </w:rPr>
        <w:t>up</w:t>
      </w:r>
      <w:r w:rsidR="00C004FA" w:rsidRPr="008802E1">
        <w:rPr>
          <w:rFonts w:ascii="Book Antiqua" w:hAnsi="Book Antiqua" w:cs="Times New Roman" w:hint="eastAsia"/>
          <w:sz w:val="24"/>
          <w:szCs w:val="24"/>
          <w:lang w:eastAsia="zh-CN"/>
        </w:rPr>
        <w:t xml:space="preserve"> (</w:t>
      </w:r>
      <w:r w:rsidR="00C004FA" w:rsidRPr="008802E1">
        <w:rPr>
          <w:rFonts w:ascii="Book Antiqua" w:hAnsi="Book Antiqua" w:cs="Times New Roman"/>
          <w:sz w:val="24"/>
          <w:szCs w:val="24"/>
          <w:lang w:eastAsia="zh-CN"/>
        </w:rPr>
        <w:t xml:space="preserve">Figure </w:t>
      </w:r>
      <w:r w:rsidR="00C004FA" w:rsidRPr="008802E1">
        <w:rPr>
          <w:rFonts w:ascii="Book Antiqua" w:hAnsi="Book Antiqua" w:cs="Times New Roman" w:hint="eastAsia"/>
          <w:sz w:val="24"/>
          <w:szCs w:val="24"/>
          <w:lang w:eastAsia="zh-CN"/>
        </w:rPr>
        <w:t>4)</w:t>
      </w:r>
      <w:r w:rsidR="00681E05" w:rsidRPr="008802E1">
        <w:rPr>
          <w:rFonts w:ascii="Book Antiqua" w:hAnsi="Book Antiqua" w:cs="Times New Roman"/>
          <w:sz w:val="24"/>
          <w:szCs w:val="24"/>
        </w:rPr>
        <w:t>.</w:t>
      </w:r>
    </w:p>
    <w:p w14:paraId="6811345C" w14:textId="77777777" w:rsidR="004E1983" w:rsidRPr="00772D93" w:rsidRDefault="004E1983" w:rsidP="00772D93">
      <w:pPr>
        <w:autoSpaceDE w:val="0"/>
        <w:autoSpaceDN w:val="0"/>
        <w:adjustRightInd w:val="0"/>
        <w:spacing w:after="0" w:line="360" w:lineRule="auto"/>
        <w:jc w:val="both"/>
        <w:rPr>
          <w:rFonts w:ascii="Book Antiqua" w:hAnsi="Book Antiqua" w:cs="Times New Roman"/>
          <w:b/>
          <w:i/>
          <w:sz w:val="24"/>
          <w:szCs w:val="24"/>
        </w:rPr>
      </w:pPr>
    </w:p>
    <w:p w14:paraId="2DA6C65A" w14:textId="38A69941" w:rsidR="00571F62" w:rsidRPr="00772D93" w:rsidRDefault="00465CC0" w:rsidP="00772D93">
      <w:pPr>
        <w:autoSpaceDE w:val="0"/>
        <w:autoSpaceDN w:val="0"/>
        <w:adjustRightInd w:val="0"/>
        <w:spacing w:after="0" w:line="360" w:lineRule="auto"/>
        <w:jc w:val="both"/>
        <w:rPr>
          <w:rFonts w:ascii="Book Antiqua" w:hAnsi="Book Antiqua" w:cs="Times New Roman"/>
          <w:b/>
          <w:i/>
          <w:sz w:val="24"/>
          <w:szCs w:val="24"/>
        </w:rPr>
      </w:pPr>
      <w:r w:rsidRPr="00772D93">
        <w:rPr>
          <w:rFonts w:ascii="Book Antiqua" w:hAnsi="Book Antiqua" w:cs="Times New Roman"/>
          <w:b/>
          <w:i/>
          <w:sz w:val="24"/>
          <w:szCs w:val="24"/>
        </w:rPr>
        <w:t xml:space="preserve">The </w:t>
      </w:r>
      <w:r w:rsidR="008802E1" w:rsidRPr="00772D93">
        <w:rPr>
          <w:rFonts w:ascii="Book Antiqua" w:hAnsi="Book Antiqua" w:cs="Times New Roman"/>
          <w:b/>
          <w:i/>
          <w:sz w:val="24"/>
          <w:szCs w:val="24"/>
        </w:rPr>
        <w:t>correlation between weight cha</w:t>
      </w:r>
      <w:r w:rsidRPr="00772D93">
        <w:rPr>
          <w:rFonts w:ascii="Book Antiqua" w:hAnsi="Book Antiqua" w:cs="Times New Roman"/>
          <w:b/>
          <w:i/>
          <w:sz w:val="24"/>
          <w:szCs w:val="24"/>
        </w:rPr>
        <w:t xml:space="preserve">nges and </w:t>
      </w:r>
      <w:r w:rsidR="00B34033" w:rsidRPr="00772D93">
        <w:rPr>
          <w:rFonts w:ascii="Book Antiqua" w:hAnsi="Book Antiqua" w:cs="Times New Roman"/>
          <w:b/>
          <w:i/>
          <w:sz w:val="24"/>
          <w:szCs w:val="24"/>
        </w:rPr>
        <w:t xml:space="preserve">LI </w:t>
      </w:r>
      <w:r w:rsidR="008802E1" w:rsidRPr="00772D93">
        <w:rPr>
          <w:rFonts w:ascii="Book Antiqua" w:hAnsi="Book Antiqua" w:cs="Times New Roman"/>
          <w:b/>
          <w:i/>
          <w:sz w:val="24"/>
          <w:szCs w:val="24"/>
        </w:rPr>
        <w:t>d</w:t>
      </w:r>
      <w:r w:rsidRPr="00772D93">
        <w:rPr>
          <w:rFonts w:ascii="Book Antiqua" w:hAnsi="Book Antiqua" w:cs="Times New Roman"/>
          <w:b/>
          <w:i/>
          <w:sz w:val="24"/>
          <w:szCs w:val="24"/>
        </w:rPr>
        <w:t xml:space="preserve">ecrease </w:t>
      </w:r>
    </w:p>
    <w:p w14:paraId="7B562401" w14:textId="66048DD8" w:rsidR="003A1920" w:rsidRPr="00772D93" w:rsidRDefault="00E97C95" w:rsidP="00772D93">
      <w:pPr>
        <w:spacing w:after="0" w:line="360" w:lineRule="auto"/>
        <w:jc w:val="both"/>
        <w:rPr>
          <w:rFonts w:ascii="Book Antiqua" w:eastAsia="MinionPro-Regular" w:hAnsi="Book Antiqua" w:cs="Times New Roman"/>
          <w:sz w:val="24"/>
          <w:szCs w:val="24"/>
          <w:lang w:val="lt-LT"/>
        </w:rPr>
      </w:pPr>
      <w:r w:rsidRPr="00772D93">
        <w:rPr>
          <w:rFonts w:ascii="Book Antiqua" w:hAnsi="Book Antiqua" w:cs="Times New Roman"/>
          <w:sz w:val="24"/>
          <w:szCs w:val="24"/>
        </w:rPr>
        <w:t xml:space="preserve">In </w:t>
      </w:r>
      <w:r w:rsidRPr="008802E1">
        <w:rPr>
          <w:rFonts w:ascii="Book Antiqua" w:hAnsi="Book Antiqua" w:cs="Times New Roman"/>
          <w:sz w:val="24"/>
          <w:szCs w:val="24"/>
        </w:rPr>
        <w:t>Patient 1 and Patient 3</w:t>
      </w:r>
      <w:r w:rsidR="00465CC0" w:rsidRPr="008802E1">
        <w:rPr>
          <w:rFonts w:ascii="Book Antiqua" w:hAnsi="Book Antiqua" w:cs="Times New Roman"/>
          <w:sz w:val="24"/>
          <w:szCs w:val="24"/>
        </w:rPr>
        <w:t>,</w:t>
      </w:r>
      <w:r w:rsidRPr="008802E1">
        <w:rPr>
          <w:rFonts w:ascii="Book Antiqua" w:hAnsi="Book Antiqua" w:cs="Times New Roman"/>
          <w:sz w:val="24"/>
          <w:szCs w:val="24"/>
        </w:rPr>
        <w:t xml:space="preserve"> </w:t>
      </w:r>
      <w:r w:rsidR="00B46128" w:rsidRPr="008802E1">
        <w:rPr>
          <w:rFonts w:ascii="Book Antiqua" w:eastAsia="MinionPro-Regular" w:hAnsi="Book Antiqua" w:cs="Times New Roman"/>
          <w:sz w:val="24"/>
          <w:szCs w:val="24"/>
          <w:lang w:val="lt-LT"/>
        </w:rPr>
        <w:t>clinically relevant inverse</w:t>
      </w:r>
      <w:r w:rsidR="00A932FD" w:rsidRPr="008802E1">
        <w:rPr>
          <w:rFonts w:ascii="Book Antiqua" w:eastAsia="MinionPro-Regular" w:hAnsi="Book Antiqua" w:cs="Times New Roman"/>
          <w:sz w:val="24"/>
          <w:szCs w:val="24"/>
          <w:lang w:val="lt-LT"/>
        </w:rPr>
        <w:t xml:space="preserve"> </w:t>
      </w:r>
      <w:r w:rsidR="00B46128" w:rsidRPr="008802E1">
        <w:rPr>
          <w:rFonts w:ascii="Book Antiqua" w:eastAsia="MinionPro-Regular" w:hAnsi="Book Antiqua" w:cs="Times New Roman"/>
          <w:sz w:val="24"/>
          <w:szCs w:val="24"/>
          <w:lang w:val="lt-LT"/>
        </w:rPr>
        <w:t>correlations (</w:t>
      </w:r>
      <w:r w:rsidR="00C027C0" w:rsidRPr="008802E1">
        <w:rPr>
          <w:rFonts w:ascii="Book Antiqua" w:eastAsia="MinionPro-Regular" w:hAnsi="Book Antiqua" w:cs="Times New Roman"/>
          <w:sz w:val="24"/>
          <w:szCs w:val="24"/>
          <w:lang w:val="lt-LT"/>
        </w:rPr>
        <w:t xml:space="preserve">a decrease of </w:t>
      </w:r>
      <w:r w:rsidR="00B46128" w:rsidRPr="008802E1">
        <w:rPr>
          <w:rFonts w:ascii="Book Antiqua" w:eastAsia="MinionPro-Regular" w:hAnsi="Book Antiqua" w:cs="Times New Roman"/>
          <w:sz w:val="24"/>
          <w:szCs w:val="24"/>
          <w:lang w:val="lt-LT"/>
        </w:rPr>
        <w:t xml:space="preserve">LI </w:t>
      </w:r>
      <w:r w:rsidR="00C027C0" w:rsidRPr="008802E1">
        <w:rPr>
          <w:rFonts w:ascii="Book Antiqua" w:eastAsia="MinionPro-Regular" w:hAnsi="Book Antiqua" w:cs="Times New Roman"/>
          <w:sz w:val="24"/>
          <w:szCs w:val="24"/>
          <w:lang w:val="lt-LT"/>
        </w:rPr>
        <w:t>and an increase in</w:t>
      </w:r>
      <w:r w:rsidR="00B46128" w:rsidRPr="008802E1">
        <w:rPr>
          <w:rFonts w:ascii="Book Antiqua" w:eastAsia="MinionPro-Regular" w:hAnsi="Book Antiqua" w:cs="Times New Roman"/>
          <w:sz w:val="24"/>
          <w:szCs w:val="24"/>
          <w:lang w:val="lt-LT"/>
        </w:rPr>
        <w:t xml:space="preserve"> weight) were found</w:t>
      </w:r>
      <w:r w:rsidRPr="008802E1">
        <w:rPr>
          <w:rFonts w:ascii="Book Antiqua" w:eastAsia="MinionPro-Regular" w:hAnsi="Book Antiqua" w:cs="Times New Roman"/>
          <w:sz w:val="24"/>
          <w:szCs w:val="24"/>
          <w:lang w:val="lt-LT"/>
        </w:rPr>
        <w:t>.</w:t>
      </w:r>
      <w:r w:rsidR="00B46128" w:rsidRPr="008802E1">
        <w:rPr>
          <w:rFonts w:ascii="Book Antiqua" w:eastAsia="MinionPro-Regular" w:hAnsi="Book Antiqua" w:cs="Times New Roman"/>
          <w:sz w:val="24"/>
          <w:szCs w:val="24"/>
          <w:lang w:val="lt-LT"/>
        </w:rPr>
        <w:t xml:space="preserve"> LI had decreased 1 </w:t>
      </w:r>
      <w:r w:rsidR="004D3260">
        <w:rPr>
          <w:rFonts w:ascii="Book Antiqua" w:hAnsi="Book Antiqua" w:cs="Times New Roman" w:hint="eastAsia"/>
          <w:sz w:val="24"/>
          <w:szCs w:val="24"/>
          <w:lang w:val="lt-LT" w:eastAsia="zh-CN"/>
        </w:rPr>
        <w:t>d</w:t>
      </w:r>
      <w:r w:rsidR="00B46128" w:rsidRPr="008802E1">
        <w:rPr>
          <w:rFonts w:ascii="Book Antiqua" w:eastAsia="MinionPro-Regular" w:hAnsi="Book Antiqua" w:cs="Times New Roman"/>
          <w:sz w:val="24"/>
          <w:szCs w:val="24"/>
          <w:lang w:val="lt-LT"/>
        </w:rPr>
        <w:t xml:space="preserve"> before the increase of weight </w:t>
      </w:r>
      <w:r w:rsidR="005B27DE" w:rsidRPr="008802E1">
        <w:rPr>
          <w:rFonts w:ascii="Book Antiqua" w:eastAsia="MinionPro-Regular" w:hAnsi="Book Antiqua" w:cs="Times New Roman"/>
          <w:sz w:val="24"/>
          <w:szCs w:val="24"/>
          <w:lang w:val="lt-LT"/>
        </w:rPr>
        <w:t xml:space="preserve">of Patient 1 </w:t>
      </w:r>
      <w:r w:rsidR="00B46128" w:rsidRPr="00772D93">
        <w:rPr>
          <w:rFonts w:ascii="Book Antiqua" w:eastAsia="MinionPro-Regular" w:hAnsi="Book Antiqua" w:cs="Times New Roman"/>
          <w:sz w:val="24"/>
          <w:szCs w:val="24"/>
          <w:lang w:val="lt-LT"/>
        </w:rPr>
        <w:t>with a cross-correlation coefficient equal to -0.738 (</w:t>
      </w:r>
      <w:r w:rsidR="008802E1" w:rsidRPr="008802E1">
        <w:rPr>
          <w:rFonts w:ascii="Book Antiqua" w:eastAsia="MinionPro-Regular" w:hAnsi="Book Antiqua" w:cs="Times New Roman"/>
          <w:i/>
          <w:sz w:val="24"/>
          <w:szCs w:val="24"/>
          <w:lang w:val="lt-LT"/>
        </w:rPr>
        <w:t>P</w:t>
      </w:r>
      <w:r w:rsidR="00240F1F" w:rsidRPr="00772D93">
        <w:rPr>
          <w:rFonts w:ascii="Book Antiqua" w:eastAsia="MinionPro-Regular" w:hAnsi="Book Antiqua" w:cs="Times New Roman"/>
          <w:sz w:val="24"/>
          <w:szCs w:val="24"/>
          <w:lang w:val="lt-LT"/>
        </w:rPr>
        <w:t xml:space="preserve"> </w:t>
      </w:r>
      <w:r w:rsidR="00B46128" w:rsidRPr="00772D93">
        <w:rPr>
          <w:rFonts w:ascii="Book Antiqua" w:eastAsia="MinionPro-Regular" w:hAnsi="Book Antiqua" w:cs="Times New Roman"/>
          <w:sz w:val="24"/>
          <w:szCs w:val="24"/>
          <w:lang w:val="lt-LT"/>
        </w:rPr>
        <w:t>&lt;</w:t>
      </w:r>
      <w:r w:rsidR="00240F1F" w:rsidRPr="00772D93">
        <w:rPr>
          <w:rFonts w:ascii="Book Antiqua" w:eastAsia="MinionPro-Regular" w:hAnsi="Book Antiqua" w:cs="Times New Roman"/>
          <w:sz w:val="24"/>
          <w:szCs w:val="24"/>
          <w:lang w:val="lt-LT"/>
        </w:rPr>
        <w:t xml:space="preserve"> </w:t>
      </w:r>
      <w:r w:rsidR="00B46128" w:rsidRPr="00772D93">
        <w:rPr>
          <w:rFonts w:ascii="Book Antiqua" w:eastAsia="MinionPro-Regular" w:hAnsi="Book Antiqua" w:cs="Times New Roman"/>
          <w:sz w:val="24"/>
          <w:szCs w:val="24"/>
          <w:lang w:val="lt-LT"/>
        </w:rPr>
        <w:t>0.001</w:t>
      </w:r>
      <w:r w:rsidR="00C027C0" w:rsidRPr="00772D93">
        <w:rPr>
          <w:rFonts w:ascii="Book Antiqua" w:eastAsia="MinionPro-Regular" w:hAnsi="Book Antiqua" w:cs="Times New Roman"/>
          <w:sz w:val="24"/>
          <w:szCs w:val="24"/>
          <w:lang w:val="lt-LT"/>
        </w:rPr>
        <w:t xml:space="preserve">); </w:t>
      </w:r>
      <w:r w:rsidR="005B27DE" w:rsidRPr="00772D93">
        <w:rPr>
          <w:rFonts w:ascii="Book Antiqua" w:eastAsia="MinionPro-Regular" w:hAnsi="Book Antiqua" w:cs="Times New Roman"/>
          <w:sz w:val="24"/>
          <w:szCs w:val="24"/>
          <w:lang w:val="lt-LT"/>
        </w:rPr>
        <w:t xml:space="preserve">in </w:t>
      </w:r>
      <w:r w:rsidR="00B46128" w:rsidRPr="008802E1">
        <w:rPr>
          <w:rFonts w:ascii="Book Antiqua" w:eastAsia="MinionPro-Regular" w:hAnsi="Book Antiqua" w:cs="Times New Roman"/>
          <w:sz w:val="24"/>
          <w:szCs w:val="24"/>
          <w:lang w:val="lt-LT"/>
        </w:rPr>
        <w:t>Patient 3</w:t>
      </w:r>
      <w:r w:rsidR="00C027C0" w:rsidRPr="008802E1">
        <w:rPr>
          <w:rFonts w:ascii="Book Antiqua" w:eastAsia="MinionPro-Regular" w:hAnsi="Book Antiqua" w:cs="Times New Roman"/>
          <w:sz w:val="24"/>
          <w:szCs w:val="24"/>
          <w:lang w:val="lt-LT"/>
        </w:rPr>
        <w:t>,</w:t>
      </w:r>
      <w:r w:rsidR="00B46128" w:rsidRPr="008802E1">
        <w:rPr>
          <w:rFonts w:ascii="Book Antiqua" w:eastAsia="MinionPro-Regular" w:hAnsi="Book Antiqua" w:cs="Times New Roman"/>
          <w:sz w:val="24"/>
          <w:szCs w:val="24"/>
          <w:lang w:val="lt-LT"/>
        </w:rPr>
        <w:t xml:space="preserve"> </w:t>
      </w:r>
      <w:r w:rsidR="00A932FD" w:rsidRPr="00772D93">
        <w:rPr>
          <w:rFonts w:ascii="Book Antiqua" w:eastAsia="MinionPro-Regular" w:hAnsi="Book Antiqua" w:cs="Times New Roman"/>
          <w:sz w:val="24"/>
          <w:szCs w:val="24"/>
          <w:lang w:val="lt-LT"/>
        </w:rPr>
        <w:t xml:space="preserve">LI and weight has had the maximum cross-correlation at the same day with </w:t>
      </w:r>
      <w:r w:rsidR="00C027C0" w:rsidRPr="00772D93">
        <w:rPr>
          <w:rFonts w:ascii="Book Antiqua" w:eastAsia="MinionPro-Regular" w:hAnsi="Book Antiqua" w:cs="Times New Roman"/>
          <w:sz w:val="24"/>
          <w:szCs w:val="24"/>
          <w:lang w:val="lt-LT"/>
        </w:rPr>
        <w:t xml:space="preserve">a </w:t>
      </w:r>
      <w:r w:rsidR="00A932FD" w:rsidRPr="00772D93">
        <w:rPr>
          <w:rFonts w:ascii="Book Antiqua" w:eastAsia="MinionPro-Regular" w:hAnsi="Book Antiqua" w:cs="Times New Roman"/>
          <w:sz w:val="24"/>
          <w:szCs w:val="24"/>
          <w:lang w:val="lt-LT"/>
        </w:rPr>
        <w:t>coefficient of -0.830 (</w:t>
      </w:r>
      <w:r w:rsidR="008802E1" w:rsidRPr="008802E1">
        <w:rPr>
          <w:rFonts w:ascii="Book Antiqua" w:eastAsia="MinionPro-Regular" w:hAnsi="Book Antiqua" w:cs="Times New Roman"/>
          <w:i/>
          <w:sz w:val="24"/>
          <w:szCs w:val="24"/>
          <w:lang w:val="lt-LT"/>
        </w:rPr>
        <w:t>P</w:t>
      </w:r>
      <w:r w:rsidR="00240F1F" w:rsidRPr="00772D93">
        <w:rPr>
          <w:rFonts w:ascii="Book Antiqua" w:eastAsia="MinionPro-Regular" w:hAnsi="Book Antiqua" w:cs="Times New Roman"/>
          <w:sz w:val="24"/>
          <w:szCs w:val="24"/>
          <w:lang w:val="lt-LT"/>
        </w:rPr>
        <w:t xml:space="preserve"> </w:t>
      </w:r>
      <w:r w:rsidR="00A932FD" w:rsidRPr="00772D93">
        <w:rPr>
          <w:rFonts w:ascii="Book Antiqua" w:eastAsia="MinionPro-Regular" w:hAnsi="Book Antiqua" w:cs="Times New Roman"/>
          <w:sz w:val="24"/>
          <w:szCs w:val="24"/>
          <w:lang w:val="lt-LT"/>
        </w:rPr>
        <w:t>&lt;</w:t>
      </w:r>
      <w:r w:rsidR="00240F1F" w:rsidRPr="00772D93">
        <w:rPr>
          <w:rFonts w:ascii="Book Antiqua" w:eastAsia="MinionPro-Regular" w:hAnsi="Book Antiqua" w:cs="Times New Roman"/>
          <w:sz w:val="24"/>
          <w:szCs w:val="24"/>
          <w:lang w:val="lt-LT"/>
        </w:rPr>
        <w:t xml:space="preserve"> </w:t>
      </w:r>
      <w:r w:rsidR="00A932FD" w:rsidRPr="00772D93">
        <w:rPr>
          <w:rFonts w:ascii="Book Antiqua" w:eastAsia="MinionPro-Regular" w:hAnsi="Book Antiqua" w:cs="Times New Roman"/>
          <w:sz w:val="24"/>
          <w:szCs w:val="24"/>
          <w:lang w:val="lt-LT"/>
        </w:rPr>
        <w:t>0.001).</w:t>
      </w:r>
      <w:r w:rsidR="00111DA2" w:rsidRPr="00772D93">
        <w:rPr>
          <w:rFonts w:ascii="Book Antiqua" w:eastAsia="MinionPro-Regular" w:hAnsi="Book Antiqua" w:cs="Times New Roman"/>
          <w:sz w:val="24"/>
          <w:szCs w:val="24"/>
          <w:lang w:val="lt-LT"/>
        </w:rPr>
        <w:t xml:space="preserve"> </w:t>
      </w:r>
      <w:bookmarkEnd w:id="1"/>
      <w:bookmarkEnd w:id="2"/>
      <w:bookmarkEnd w:id="3"/>
    </w:p>
    <w:p w14:paraId="2ABDE94C" w14:textId="77BF5CE3" w:rsidR="0085343F" w:rsidRPr="00772D93" w:rsidRDefault="00AD5DDD" w:rsidP="008802E1">
      <w:pPr>
        <w:spacing w:after="0" w:line="360" w:lineRule="auto"/>
        <w:ind w:firstLineChars="100" w:firstLine="240"/>
        <w:jc w:val="both"/>
        <w:rPr>
          <w:rFonts w:ascii="Book Antiqua" w:hAnsi="Book Antiqua" w:cs="Times New Roman"/>
          <w:sz w:val="24"/>
          <w:szCs w:val="24"/>
        </w:rPr>
      </w:pPr>
      <w:r w:rsidRPr="00772D93">
        <w:rPr>
          <w:rFonts w:ascii="Book Antiqua" w:hAnsi="Book Antiqua" w:cs="Times New Roman"/>
          <w:sz w:val="24"/>
          <w:szCs w:val="24"/>
        </w:rPr>
        <w:t xml:space="preserve">In the course of </w:t>
      </w:r>
      <w:r w:rsidR="00C027C0" w:rsidRPr="00772D93">
        <w:rPr>
          <w:rFonts w:ascii="Book Antiqua" w:hAnsi="Book Antiqua" w:cs="Times New Roman"/>
          <w:sz w:val="24"/>
          <w:szCs w:val="24"/>
        </w:rPr>
        <w:t xml:space="preserve">a </w:t>
      </w:r>
      <w:r w:rsidR="008802E1">
        <w:rPr>
          <w:rFonts w:ascii="Book Antiqua" w:hAnsi="Book Antiqua" w:cs="Times New Roman"/>
          <w:sz w:val="24"/>
          <w:szCs w:val="24"/>
        </w:rPr>
        <w:t>30 d</w:t>
      </w:r>
      <w:r w:rsidR="00C027C0" w:rsidRPr="00772D93">
        <w:rPr>
          <w:rFonts w:ascii="Book Antiqua" w:hAnsi="Book Antiqua" w:cs="Times New Roman"/>
          <w:sz w:val="24"/>
          <w:szCs w:val="24"/>
        </w:rPr>
        <w:t>-</w:t>
      </w:r>
      <w:r w:rsidRPr="00772D93">
        <w:rPr>
          <w:rFonts w:ascii="Book Antiqua" w:hAnsi="Book Antiqua" w:cs="Times New Roman"/>
          <w:sz w:val="24"/>
          <w:szCs w:val="24"/>
        </w:rPr>
        <w:t>follow-up</w:t>
      </w:r>
      <w:r w:rsidR="00C027C0" w:rsidRPr="00772D93">
        <w:rPr>
          <w:rFonts w:ascii="Book Antiqua" w:hAnsi="Book Antiqua" w:cs="Times New Roman"/>
          <w:sz w:val="24"/>
          <w:szCs w:val="24"/>
        </w:rPr>
        <w:t>,</w:t>
      </w:r>
      <w:r w:rsidR="00B22926" w:rsidRPr="00772D93">
        <w:rPr>
          <w:rFonts w:ascii="Book Antiqua" w:hAnsi="Book Antiqua" w:cs="Times New Roman"/>
          <w:sz w:val="24"/>
          <w:szCs w:val="24"/>
        </w:rPr>
        <w:t xml:space="preserve"> </w:t>
      </w:r>
      <w:r w:rsidR="00C027C0" w:rsidRPr="00772D93">
        <w:rPr>
          <w:rFonts w:ascii="Book Antiqua" w:hAnsi="Book Antiqua" w:cs="Times New Roman"/>
          <w:sz w:val="24"/>
          <w:szCs w:val="24"/>
        </w:rPr>
        <w:t xml:space="preserve">the </w:t>
      </w:r>
      <w:r w:rsidRPr="00772D93">
        <w:rPr>
          <w:rFonts w:ascii="Book Antiqua" w:hAnsi="Book Antiqua" w:cs="Times New Roman"/>
          <w:sz w:val="24"/>
          <w:szCs w:val="24"/>
        </w:rPr>
        <w:t xml:space="preserve">dosages of medications were adjusted remotely </w:t>
      </w:r>
      <w:r w:rsidR="00C027C0" w:rsidRPr="00772D93">
        <w:rPr>
          <w:rFonts w:ascii="Book Antiqua" w:hAnsi="Book Antiqua" w:cs="Times New Roman"/>
          <w:sz w:val="24"/>
          <w:szCs w:val="24"/>
        </w:rPr>
        <w:t xml:space="preserve">via </w:t>
      </w:r>
      <w:r w:rsidRPr="00772D93">
        <w:rPr>
          <w:rFonts w:ascii="Book Antiqua" w:hAnsi="Book Antiqua" w:cs="Times New Roman"/>
          <w:sz w:val="24"/>
          <w:szCs w:val="24"/>
        </w:rPr>
        <w:t xml:space="preserve">telephone calls </w:t>
      </w:r>
      <w:r w:rsidR="00E1776C" w:rsidRPr="00772D93">
        <w:rPr>
          <w:rFonts w:ascii="Book Antiqua" w:hAnsi="Book Antiqua" w:cs="Times New Roman"/>
          <w:sz w:val="24"/>
          <w:szCs w:val="24"/>
        </w:rPr>
        <w:t xml:space="preserve">reacting to the changes in symptoms, </w:t>
      </w:r>
      <w:r w:rsidR="00616546" w:rsidRPr="00772D93">
        <w:rPr>
          <w:rFonts w:ascii="Book Antiqua" w:hAnsi="Book Antiqua" w:cs="Times New Roman"/>
          <w:sz w:val="24"/>
          <w:szCs w:val="24"/>
        </w:rPr>
        <w:t>BP</w:t>
      </w:r>
      <w:r w:rsidR="00E1776C" w:rsidRPr="00772D93">
        <w:rPr>
          <w:rFonts w:ascii="Book Antiqua" w:hAnsi="Book Antiqua" w:cs="Times New Roman"/>
          <w:sz w:val="24"/>
          <w:szCs w:val="24"/>
        </w:rPr>
        <w:t xml:space="preserve">, </w:t>
      </w:r>
      <w:r w:rsidR="00616546" w:rsidRPr="00772D93">
        <w:rPr>
          <w:rFonts w:ascii="Book Antiqua" w:hAnsi="Book Antiqua" w:cs="Times New Roman"/>
          <w:sz w:val="24"/>
          <w:szCs w:val="24"/>
        </w:rPr>
        <w:t>HR</w:t>
      </w:r>
      <w:r w:rsidR="00E1776C"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or </w:t>
      </w:r>
      <w:r w:rsidR="00616546" w:rsidRPr="00772D93">
        <w:rPr>
          <w:rFonts w:ascii="Book Antiqua" w:hAnsi="Book Antiqua" w:cs="Times New Roman"/>
          <w:sz w:val="24"/>
          <w:szCs w:val="24"/>
        </w:rPr>
        <w:t>LI</w:t>
      </w:r>
      <w:r w:rsidR="00C027C0" w:rsidRPr="00772D93">
        <w:rPr>
          <w:rFonts w:ascii="Book Antiqua" w:hAnsi="Book Antiqua" w:cs="Times New Roman"/>
          <w:sz w:val="24"/>
          <w:szCs w:val="24"/>
        </w:rPr>
        <w:t xml:space="preserve"> in all three patients</w:t>
      </w:r>
      <w:r w:rsidR="00E1776C" w:rsidRPr="00772D93">
        <w:rPr>
          <w:rFonts w:ascii="Book Antiqua" w:hAnsi="Book Antiqua" w:cs="Times New Roman"/>
          <w:sz w:val="24"/>
          <w:szCs w:val="24"/>
        </w:rPr>
        <w:t>.</w:t>
      </w:r>
      <w:r w:rsidRPr="00772D93">
        <w:rPr>
          <w:rFonts w:ascii="Book Antiqua" w:hAnsi="Book Antiqua" w:cs="Times New Roman"/>
          <w:sz w:val="24"/>
          <w:szCs w:val="24"/>
        </w:rPr>
        <w:t xml:space="preserve"> The patients were asked to come for </w:t>
      </w:r>
      <w:r w:rsidR="00E1776C" w:rsidRPr="00772D93">
        <w:rPr>
          <w:rFonts w:ascii="Book Antiqua" w:hAnsi="Book Antiqua" w:cs="Times New Roman"/>
          <w:sz w:val="24"/>
          <w:szCs w:val="24"/>
        </w:rPr>
        <w:t xml:space="preserve">four unplanned visits to the outpatient department when </w:t>
      </w:r>
      <w:r w:rsidR="00C027C0" w:rsidRPr="00772D93">
        <w:rPr>
          <w:rFonts w:ascii="Book Antiqua" w:hAnsi="Book Antiqua" w:cs="Times New Roman"/>
          <w:sz w:val="24"/>
          <w:szCs w:val="24"/>
        </w:rPr>
        <w:t xml:space="preserve">the </w:t>
      </w:r>
      <w:r w:rsidR="00E1776C" w:rsidRPr="00772D93">
        <w:rPr>
          <w:rFonts w:ascii="Book Antiqua" w:hAnsi="Book Antiqua" w:cs="Times New Roman"/>
          <w:sz w:val="24"/>
          <w:szCs w:val="24"/>
        </w:rPr>
        <w:t xml:space="preserve">symptoms </w:t>
      </w:r>
      <w:r w:rsidR="00240F1F" w:rsidRPr="00772D93">
        <w:rPr>
          <w:rFonts w:ascii="Book Antiqua" w:hAnsi="Book Antiqua" w:cs="Times New Roman"/>
          <w:sz w:val="24"/>
          <w:szCs w:val="24"/>
        </w:rPr>
        <w:t xml:space="preserve">had been </w:t>
      </w:r>
      <w:r w:rsidR="00E1776C" w:rsidRPr="00772D93">
        <w:rPr>
          <w:rFonts w:ascii="Book Antiqua" w:hAnsi="Book Antiqua" w:cs="Times New Roman"/>
          <w:sz w:val="24"/>
          <w:szCs w:val="24"/>
        </w:rPr>
        <w:t xml:space="preserve">deteriorating, LI </w:t>
      </w:r>
      <w:r w:rsidR="00240F1F" w:rsidRPr="00772D93">
        <w:rPr>
          <w:rFonts w:ascii="Book Antiqua" w:hAnsi="Book Antiqua" w:cs="Times New Roman"/>
          <w:sz w:val="24"/>
          <w:szCs w:val="24"/>
        </w:rPr>
        <w:t xml:space="preserve">had </w:t>
      </w:r>
      <w:r w:rsidR="00E1776C" w:rsidRPr="00772D93">
        <w:rPr>
          <w:rFonts w:ascii="Book Antiqua" w:hAnsi="Book Antiqua" w:cs="Times New Roman"/>
          <w:sz w:val="24"/>
          <w:szCs w:val="24"/>
        </w:rPr>
        <w:t>decreased but</w:t>
      </w:r>
      <w:r w:rsidR="00240F1F" w:rsidRPr="00772D93">
        <w:rPr>
          <w:rFonts w:ascii="Book Antiqua" w:hAnsi="Book Antiqua" w:cs="Times New Roman"/>
          <w:sz w:val="24"/>
          <w:szCs w:val="24"/>
        </w:rPr>
        <w:t xml:space="preserve"> an</w:t>
      </w:r>
      <w:r w:rsidR="00E1776C"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electrolyte imbalance or </w:t>
      </w:r>
      <w:r w:rsidR="00240F1F" w:rsidRPr="00772D93">
        <w:rPr>
          <w:rFonts w:ascii="Book Antiqua" w:hAnsi="Book Antiqua" w:cs="Times New Roman"/>
          <w:sz w:val="24"/>
          <w:szCs w:val="24"/>
        </w:rPr>
        <w:t xml:space="preserve">a </w:t>
      </w:r>
      <w:r w:rsidRPr="00772D93">
        <w:rPr>
          <w:rFonts w:ascii="Book Antiqua" w:hAnsi="Book Antiqua" w:cs="Times New Roman"/>
          <w:sz w:val="24"/>
          <w:szCs w:val="24"/>
        </w:rPr>
        <w:t xml:space="preserve">worsening renal function </w:t>
      </w:r>
      <w:r w:rsidR="00240F1F" w:rsidRPr="00772D93">
        <w:rPr>
          <w:rFonts w:ascii="Book Antiqua" w:hAnsi="Book Antiqua" w:cs="Times New Roman"/>
          <w:sz w:val="24"/>
          <w:szCs w:val="24"/>
        </w:rPr>
        <w:t xml:space="preserve">had been </w:t>
      </w:r>
      <w:r w:rsidR="00E1776C" w:rsidRPr="00772D93">
        <w:rPr>
          <w:rFonts w:ascii="Book Antiqua" w:hAnsi="Book Antiqua" w:cs="Times New Roman"/>
          <w:sz w:val="24"/>
          <w:szCs w:val="24"/>
        </w:rPr>
        <w:t>concomitantly</w:t>
      </w:r>
      <w:r w:rsidRPr="00772D93">
        <w:rPr>
          <w:rFonts w:ascii="Book Antiqua" w:hAnsi="Book Antiqua" w:cs="Times New Roman"/>
          <w:sz w:val="24"/>
          <w:szCs w:val="24"/>
        </w:rPr>
        <w:t xml:space="preserve"> suspected. </w:t>
      </w:r>
      <w:r w:rsidR="00B75D73" w:rsidRPr="00772D93">
        <w:rPr>
          <w:rFonts w:ascii="Book Antiqua" w:hAnsi="Book Antiqua" w:cs="Times New Roman"/>
          <w:sz w:val="24"/>
          <w:szCs w:val="24"/>
        </w:rPr>
        <w:t>A</w:t>
      </w:r>
      <w:r w:rsidR="00015AB5" w:rsidRPr="00772D93">
        <w:rPr>
          <w:rFonts w:ascii="Book Antiqua" w:hAnsi="Book Antiqua" w:cs="Times New Roman"/>
          <w:sz w:val="24"/>
          <w:szCs w:val="24"/>
        </w:rPr>
        <w:t>mong other clinical parameters, the values of LI were the main trigger</w:t>
      </w:r>
      <w:r w:rsidR="00240F1F" w:rsidRPr="00772D93">
        <w:rPr>
          <w:rFonts w:ascii="Book Antiqua" w:hAnsi="Book Antiqua" w:cs="Times New Roman"/>
          <w:sz w:val="24"/>
          <w:szCs w:val="24"/>
        </w:rPr>
        <w:t>s</w:t>
      </w:r>
      <w:r w:rsidR="00015AB5" w:rsidRPr="00772D93">
        <w:rPr>
          <w:rFonts w:ascii="Book Antiqua" w:hAnsi="Book Antiqua" w:cs="Times New Roman"/>
          <w:sz w:val="24"/>
          <w:szCs w:val="24"/>
        </w:rPr>
        <w:t xml:space="preserve"> for </w:t>
      </w:r>
      <w:r w:rsidR="00240F1F" w:rsidRPr="00772D93">
        <w:rPr>
          <w:rFonts w:ascii="Book Antiqua" w:hAnsi="Book Antiqua" w:cs="Times New Roman"/>
          <w:sz w:val="24"/>
          <w:szCs w:val="24"/>
        </w:rPr>
        <w:t xml:space="preserve">adjusting </w:t>
      </w:r>
      <w:r w:rsidR="00015AB5" w:rsidRPr="00772D93">
        <w:rPr>
          <w:rFonts w:ascii="Book Antiqua" w:hAnsi="Book Antiqua" w:cs="Times New Roman"/>
          <w:sz w:val="24"/>
          <w:szCs w:val="24"/>
        </w:rPr>
        <w:t>treatment, especia</w:t>
      </w:r>
      <w:r w:rsidR="00B75D73" w:rsidRPr="00772D93">
        <w:rPr>
          <w:rFonts w:ascii="Book Antiqua" w:hAnsi="Book Antiqua" w:cs="Times New Roman"/>
          <w:sz w:val="24"/>
          <w:szCs w:val="24"/>
        </w:rPr>
        <w:t xml:space="preserve">lly for the dosage of diuretics </w:t>
      </w:r>
      <w:r w:rsidR="00B75D73" w:rsidRPr="008802E1">
        <w:rPr>
          <w:rFonts w:ascii="Book Antiqua" w:hAnsi="Book Antiqua" w:cs="Times New Roman"/>
          <w:sz w:val="24"/>
          <w:szCs w:val="24"/>
        </w:rPr>
        <w:t>(Table 3).</w:t>
      </w:r>
    </w:p>
    <w:p w14:paraId="21AE95A3" w14:textId="77777777" w:rsidR="00463CF9" w:rsidRPr="00772D93" w:rsidRDefault="00463CF9" w:rsidP="00772D93">
      <w:pPr>
        <w:spacing w:after="0" w:line="360" w:lineRule="auto"/>
        <w:jc w:val="both"/>
        <w:rPr>
          <w:rFonts w:ascii="Book Antiqua" w:hAnsi="Book Antiqua" w:cs="Times New Roman"/>
          <w:sz w:val="24"/>
          <w:szCs w:val="24"/>
          <w:lang w:eastAsia="zh-CN"/>
        </w:rPr>
      </w:pPr>
    </w:p>
    <w:p w14:paraId="5B7B4739" w14:textId="46BC73F7" w:rsidR="00EB6E27" w:rsidRPr="00061D9C" w:rsidRDefault="00EB6E27" w:rsidP="00772D93">
      <w:pPr>
        <w:spacing w:after="0" w:line="360" w:lineRule="auto"/>
        <w:jc w:val="both"/>
        <w:rPr>
          <w:rFonts w:ascii="Book Antiqua" w:hAnsi="Book Antiqua" w:cs="Times New Roman"/>
          <w:b/>
          <w:sz w:val="24"/>
          <w:szCs w:val="24"/>
        </w:rPr>
      </w:pPr>
      <w:r w:rsidRPr="00061D9C">
        <w:rPr>
          <w:rFonts w:ascii="Book Antiqua" w:hAnsi="Book Antiqua" w:cs="Times New Roman"/>
          <w:b/>
          <w:sz w:val="24"/>
          <w:szCs w:val="24"/>
        </w:rPr>
        <w:t xml:space="preserve">DISCUSSION </w:t>
      </w:r>
    </w:p>
    <w:p w14:paraId="11D8342F" w14:textId="4B5323FB" w:rsidR="00B414FF" w:rsidRPr="00772D93" w:rsidRDefault="00C95275" w:rsidP="00772D93">
      <w:pPr>
        <w:autoSpaceDE w:val="0"/>
        <w:autoSpaceDN w:val="0"/>
        <w:adjustRightInd w:val="0"/>
        <w:spacing w:after="0" w:line="360" w:lineRule="auto"/>
        <w:jc w:val="both"/>
        <w:rPr>
          <w:rFonts w:ascii="Book Antiqua" w:hAnsi="Book Antiqua" w:cs="Times New Roman"/>
          <w:sz w:val="24"/>
          <w:szCs w:val="24"/>
        </w:rPr>
      </w:pPr>
      <w:r w:rsidRPr="00772D93">
        <w:rPr>
          <w:rFonts w:ascii="Book Antiqua" w:hAnsi="Book Antiqua" w:cs="Times New Roman"/>
          <w:sz w:val="24"/>
          <w:szCs w:val="24"/>
        </w:rPr>
        <w:t>A variety of tools</w:t>
      </w:r>
      <w:r w:rsidR="00240F1F" w:rsidRPr="00772D93">
        <w:rPr>
          <w:rFonts w:ascii="Book Antiqua" w:hAnsi="Book Antiqua" w:cs="Times New Roman"/>
          <w:sz w:val="24"/>
          <w:szCs w:val="24"/>
        </w:rPr>
        <w:t xml:space="preserve"> that</w:t>
      </w:r>
      <w:r w:rsidRPr="00772D93">
        <w:rPr>
          <w:rFonts w:ascii="Book Antiqua" w:hAnsi="Book Antiqua" w:cs="Times New Roman"/>
          <w:sz w:val="24"/>
          <w:szCs w:val="24"/>
        </w:rPr>
        <w:t xml:space="preserve"> quantify changes in lung fluid content have been evaluated to aid in </w:t>
      </w:r>
      <w:r w:rsidR="00240F1F" w:rsidRPr="00772D93">
        <w:rPr>
          <w:rFonts w:ascii="Book Antiqua" w:hAnsi="Book Antiqua" w:cs="Times New Roman"/>
          <w:sz w:val="24"/>
          <w:szCs w:val="24"/>
        </w:rPr>
        <w:t xml:space="preserve">the </w:t>
      </w:r>
      <w:r w:rsidRPr="00772D93">
        <w:rPr>
          <w:rFonts w:ascii="Book Antiqua" w:hAnsi="Book Antiqua" w:cs="Times New Roman"/>
          <w:sz w:val="24"/>
          <w:szCs w:val="24"/>
        </w:rPr>
        <w:t>early detection of impending HF exacerbation, but in clinical practice</w:t>
      </w:r>
      <w:r w:rsidR="00240F1F" w:rsidRPr="00772D93">
        <w:rPr>
          <w:rFonts w:ascii="Book Antiqua" w:hAnsi="Book Antiqua" w:cs="Times New Roman"/>
          <w:sz w:val="24"/>
          <w:szCs w:val="24"/>
        </w:rPr>
        <w:t>, the</w:t>
      </w:r>
      <w:r w:rsidRPr="00772D93">
        <w:rPr>
          <w:rFonts w:ascii="Book Antiqua" w:hAnsi="Book Antiqua" w:cs="Times New Roman"/>
          <w:sz w:val="24"/>
          <w:szCs w:val="24"/>
        </w:rPr>
        <w:t xml:space="preserve"> prediction of pulmonary congestion is still a</w:t>
      </w:r>
      <w:r w:rsidR="00571F62" w:rsidRPr="00772D93">
        <w:rPr>
          <w:rFonts w:ascii="Book Antiqua" w:hAnsi="Book Antiqua" w:cs="Times New Roman"/>
          <w:sz w:val="24"/>
          <w:szCs w:val="24"/>
        </w:rPr>
        <w:t xml:space="preserve"> challenge</w:t>
      </w:r>
      <w:r w:rsidRPr="00772D93">
        <w:rPr>
          <w:rFonts w:ascii="Book Antiqua" w:hAnsi="Book Antiqua" w:cs="Times New Roman"/>
          <w:sz w:val="24"/>
          <w:szCs w:val="24"/>
        </w:rPr>
        <w:t xml:space="preserve">. </w:t>
      </w:r>
      <w:r w:rsidR="0037032A" w:rsidRPr="00772D93">
        <w:rPr>
          <w:rFonts w:ascii="Book Antiqua" w:hAnsi="Book Antiqua" w:cs="Times New Roman"/>
          <w:sz w:val="24"/>
          <w:szCs w:val="24"/>
        </w:rPr>
        <w:t xml:space="preserve">Invasive hemodynamic monitoring of </w:t>
      </w:r>
      <w:r w:rsidR="006F43B3" w:rsidRPr="00772D93">
        <w:rPr>
          <w:rFonts w:ascii="Book Antiqua" w:hAnsi="Book Antiqua" w:cs="Times New Roman"/>
          <w:sz w:val="24"/>
          <w:szCs w:val="24"/>
        </w:rPr>
        <w:t>PA</w:t>
      </w:r>
      <w:r w:rsidR="0037032A" w:rsidRPr="00772D93">
        <w:rPr>
          <w:rFonts w:ascii="Book Antiqua" w:hAnsi="Book Antiqua" w:cs="Times New Roman"/>
          <w:sz w:val="24"/>
          <w:szCs w:val="24"/>
        </w:rPr>
        <w:t xml:space="preserve"> pressure using a permanently implanted pressure sensor and</w:t>
      </w:r>
      <w:r w:rsidR="00A239B3" w:rsidRPr="00772D93">
        <w:rPr>
          <w:rFonts w:ascii="Book Antiqua" w:hAnsi="Book Antiqua" w:cs="Times New Roman"/>
          <w:sz w:val="24"/>
          <w:szCs w:val="24"/>
        </w:rPr>
        <w:t xml:space="preserve"> the</w:t>
      </w:r>
      <w:r w:rsidR="0037032A" w:rsidRPr="00772D93">
        <w:rPr>
          <w:rFonts w:ascii="Book Antiqua" w:hAnsi="Book Antiqua" w:cs="Times New Roman"/>
          <w:sz w:val="24"/>
          <w:szCs w:val="24"/>
        </w:rPr>
        <w:t xml:space="preserve"> titration of diuretics according to </w:t>
      </w:r>
      <w:r w:rsidR="006F43B3" w:rsidRPr="00772D93">
        <w:rPr>
          <w:rFonts w:ascii="Book Antiqua" w:hAnsi="Book Antiqua" w:cs="Times New Roman"/>
          <w:sz w:val="24"/>
          <w:szCs w:val="24"/>
        </w:rPr>
        <w:t>pressure</w:t>
      </w:r>
      <w:r w:rsidR="0037032A" w:rsidRPr="00772D93">
        <w:rPr>
          <w:rFonts w:ascii="Book Antiqua" w:hAnsi="Book Antiqua" w:cs="Times New Roman"/>
          <w:sz w:val="24"/>
          <w:szCs w:val="24"/>
        </w:rPr>
        <w:t xml:space="preserve"> value</w:t>
      </w:r>
      <w:r w:rsidR="006F43B3" w:rsidRPr="00772D93">
        <w:rPr>
          <w:rFonts w:ascii="Book Antiqua" w:hAnsi="Book Antiqua" w:cs="Times New Roman"/>
          <w:sz w:val="24"/>
          <w:szCs w:val="24"/>
        </w:rPr>
        <w:t>s</w:t>
      </w:r>
      <w:r w:rsidR="0037032A" w:rsidRPr="00772D93">
        <w:rPr>
          <w:rFonts w:ascii="Book Antiqua" w:hAnsi="Book Antiqua" w:cs="Times New Roman"/>
          <w:sz w:val="24"/>
          <w:szCs w:val="24"/>
        </w:rPr>
        <w:t xml:space="preserve"> </w:t>
      </w:r>
      <w:r w:rsidR="00A239B3" w:rsidRPr="00772D93">
        <w:rPr>
          <w:rFonts w:ascii="Book Antiqua" w:hAnsi="Book Antiqua" w:cs="Times New Roman"/>
          <w:sz w:val="24"/>
          <w:szCs w:val="24"/>
        </w:rPr>
        <w:t xml:space="preserve">have </w:t>
      </w:r>
      <w:r w:rsidR="0037032A" w:rsidRPr="00772D93">
        <w:rPr>
          <w:rFonts w:ascii="Book Antiqua" w:hAnsi="Book Antiqua" w:cs="Times New Roman"/>
          <w:sz w:val="24"/>
          <w:szCs w:val="24"/>
        </w:rPr>
        <w:t xml:space="preserve">been reported to decrease hospitalizations for acute </w:t>
      </w:r>
      <w:r w:rsidR="000F65C5" w:rsidRPr="00772D93">
        <w:rPr>
          <w:rFonts w:ascii="Book Antiqua" w:hAnsi="Book Antiqua" w:cs="Times New Roman"/>
          <w:sz w:val="24"/>
          <w:szCs w:val="24"/>
        </w:rPr>
        <w:t>HF</w:t>
      </w:r>
      <w:r w:rsidR="00D95D1A" w:rsidRPr="00772D93">
        <w:rPr>
          <w:rFonts w:ascii="Book Antiqua" w:hAnsi="Book Antiqua" w:cs="Times New Roman"/>
          <w:sz w:val="24"/>
          <w:szCs w:val="24"/>
        </w:rPr>
        <w:t xml:space="preserve"> during</w:t>
      </w:r>
      <w:r w:rsidR="006F43B3" w:rsidRPr="00772D93">
        <w:rPr>
          <w:rFonts w:ascii="Book Antiqua" w:hAnsi="Book Antiqua" w:cs="Times New Roman"/>
          <w:sz w:val="24"/>
          <w:szCs w:val="24"/>
        </w:rPr>
        <w:t xml:space="preserve"> 6 </w:t>
      </w:r>
      <w:proofErr w:type="spellStart"/>
      <w:r w:rsidR="009831D3">
        <w:rPr>
          <w:rFonts w:ascii="Book Antiqua" w:hAnsi="Book Antiqua" w:cs="Times New Roman"/>
          <w:sz w:val="24"/>
          <w:szCs w:val="24"/>
        </w:rPr>
        <w:t>mo</w:t>
      </w:r>
      <w:proofErr w:type="spellEnd"/>
      <w:r w:rsidR="00A239B3" w:rsidRPr="00772D93">
        <w:rPr>
          <w:rFonts w:ascii="Book Antiqua" w:hAnsi="Book Antiqua" w:cs="Times New Roman"/>
          <w:sz w:val="24"/>
          <w:szCs w:val="24"/>
          <w:vertAlign w:val="superscript"/>
        </w:rPr>
        <w:fldChar w:fldCharType="begin"/>
      </w:r>
      <w:r w:rsidR="004C181D" w:rsidRPr="00772D93">
        <w:rPr>
          <w:rFonts w:ascii="Book Antiqua" w:hAnsi="Book Antiqua" w:cs="Times New Roman"/>
          <w:sz w:val="24"/>
          <w:szCs w:val="24"/>
          <w:vertAlign w:val="superscript"/>
        </w:rPr>
        <w:instrText xml:space="preserve"> ADDIN ZOTERO_ITEM CSL_CITATION {"citationID":"4ErLL9h8","properties":{"formattedCitation":"(5)","plainCitation":"(5)","dontUpdate":true,"noteIndex":0},"citationItems":[{"id":82,"uris":["http://zotero.org/users/local/SMqWT9IS/items/TA8TQXI5"],"uri":["http://zotero.org/users/local/SMqWT9IS/items/TA8TQXI5"],"itemData":{"id":82,"type":"article-journal","title":"Wireless pulmonary artery haemodynamic monitoring in chronic heart failure: a randomised controlled trial","container-title":"Lancet (London, England)","page":"658-666","volume":"377","issue":"9766","source":"PubMed","abstract":"BACKGROUND: Results of previous studies support the hypothesis that implantable haemodynamic monitoring systems might reduce rates of hospitalisation in patients with heart failure. We undertook a single-blind trial to assess this approach.\nMETHODS: Patients with New York Heart Association (NYHA) class III heart failure, irrespective of the left ventricular ejection fraction, and a previous hospital admission for heart failure were enrolled in 64 centres in the USA. They were randomly assigned by use of a centralised electronic system to management with a wireless implantable haemodynamic monitoring (W-IHM) system (treatment group) or to a control group for at least 6 months. Only patients were masked to their assignment group. In the treatment group, clinicians used daily measurement of pulmonary artery pressures in addition to standard of care versus standard of care alone in the control group. The primary efficacy endpoint was the rate of heart-failure-related hospitalisations at 6 months. The safety endpoints assessed at 6 months were freedom from device-related or system-related complications (DSRC) and freedom from pressure-sensor failures. All analyses were by intention to treat. This trial is registered with ClinicalTrials.gov, number NCT00531661.\nFINDINGS: In 6 months, 83 heart-failure-related hospitalisations were reported in the treatment group (n=270) compared with 120 in the control group (n=280; rate 0·31 vs 0·44, hazard ratio [HR] 0·70, 95% CI 0·60-0·84, p&lt;0·0001). During the entire follow-up (mean 15 months [SD 7]), the treatment group had a 39% reduction in heart-failure-related hospitalisation compared with the control group (153 vs 253, HR 0·64, 95% CI 0·55-0·75; p&lt;0·0001). Eight patients had DSRC and overall freedom from DSRC was 98·6% (97·3-99·4) compared with a prespecified performance criterion of 80% (p&lt;0·0001); and overall freedom from pressure-sensor failures was 100% (99·3-100·0).\nINTERPRETATION: Our results are consistent with, and extend, previous findings by definitively showing a significant and large reduction in hospitalisation for patients with NYHA class III heart failure who were managed with a wireless implantable haemodynamic monitoring system. The addition of information about pulmonary artery pressure to clinical signs and symptoms allows for improved heart failure management.\nFUNDING: CardioMEMS.","DOI":"10.1016/S0140-6736(11)60101-3","ISSN":"1474-547X","note":"PMID: 21315441","shortTitle":"Wireless pulmonary artery haemodynamic monitoring in chronic heart failure","journalAbbreviation":"Lancet","language":"eng","author":[{"family":"Abraham","given":"William T."},{"family":"Adamson","given":"Philip B."},{"family":"Bourge","given":"Robert C."},{"family":"Aaron","given":"Mark F."},{"family":"Costanzo","given":"Maria Rosa"},{"family":"Stevenson","given":"Lynne W."},{"family":"Strickland","given":"Warren"},{"family":"Neelagaru","given":"Suresh"},{"family":"Raval","given":"Nirav"},{"family":"Krueger","given":"Steven"},{"family":"Weiner","given":"Stanislav"},{"family":"Shavelle","given":"David"},{"family":"Jeffries","given":"Bradley"},{"family":"Yadav","given":"Jay S."},{"literal":"CHAMPION Trial Study Group"}],"issued":{"date-parts":[["2011",2,19]]}}}],"schema":"https://github.com/citation-style-language/schema/raw/master/csl-citation.json"} </w:instrText>
      </w:r>
      <w:r w:rsidR="00A239B3" w:rsidRPr="00772D93">
        <w:rPr>
          <w:rFonts w:ascii="Book Antiqua" w:hAnsi="Book Antiqua" w:cs="Times New Roman"/>
          <w:sz w:val="24"/>
          <w:szCs w:val="24"/>
          <w:vertAlign w:val="superscript"/>
        </w:rPr>
        <w:fldChar w:fldCharType="separate"/>
      </w:r>
      <w:r w:rsidR="00A239B3" w:rsidRPr="00772D93">
        <w:rPr>
          <w:rFonts w:ascii="Book Antiqua" w:hAnsi="Book Antiqua" w:cs="Times New Roman"/>
          <w:sz w:val="24"/>
          <w:szCs w:val="24"/>
          <w:vertAlign w:val="superscript"/>
        </w:rPr>
        <w:t>[5]</w:t>
      </w:r>
      <w:r w:rsidR="00A239B3" w:rsidRPr="00772D93">
        <w:rPr>
          <w:rFonts w:ascii="Book Antiqua" w:hAnsi="Book Antiqua" w:cs="Times New Roman"/>
          <w:sz w:val="24"/>
          <w:szCs w:val="24"/>
          <w:vertAlign w:val="superscript"/>
        </w:rPr>
        <w:fldChar w:fldCharType="end"/>
      </w:r>
      <w:r w:rsidR="0037032A" w:rsidRPr="00772D93">
        <w:rPr>
          <w:rFonts w:ascii="Book Antiqua" w:hAnsi="Book Antiqua" w:cs="Times New Roman"/>
          <w:sz w:val="24"/>
          <w:szCs w:val="24"/>
        </w:rPr>
        <w:t xml:space="preserve">. </w:t>
      </w:r>
      <w:r w:rsidR="00B414FF" w:rsidRPr="00772D93">
        <w:rPr>
          <w:rFonts w:ascii="Book Antiqua" w:hAnsi="Book Antiqua" w:cs="Times New Roman"/>
          <w:bCs/>
          <w:sz w:val="24"/>
          <w:szCs w:val="24"/>
        </w:rPr>
        <w:t xml:space="preserve">Monitoring of </w:t>
      </w:r>
      <w:r w:rsidR="00616546" w:rsidRPr="00772D93">
        <w:rPr>
          <w:rFonts w:ascii="Book Antiqua" w:hAnsi="Book Antiqua" w:cs="Times New Roman"/>
          <w:sz w:val="24"/>
          <w:szCs w:val="24"/>
        </w:rPr>
        <w:t>LI</w:t>
      </w:r>
      <w:r w:rsidR="00B414FF" w:rsidRPr="00772D93">
        <w:rPr>
          <w:rFonts w:ascii="Book Antiqua" w:hAnsi="Book Antiqua" w:cs="Times New Roman"/>
          <w:bCs/>
          <w:sz w:val="24"/>
          <w:szCs w:val="24"/>
        </w:rPr>
        <w:t xml:space="preserve"> is also possible </w:t>
      </w:r>
      <w:r w:rsidR="00AE580E" w:rsidRPr="00772D93">
        <w:rPr>
          <w:rFonts w:ascii="Book Antiqua" w:hAnsi="Book Antiqua" w:cs="Times New Roman"/>
          <w:bCs/>
          <w:sz w:val="24"/>
          <w:szCs w:val="24"/>
        </w:rPr>
        <w:t xml:space="preserve">through </w:t>
      </w:r>
      <w:r w:rsidR="00AE580E" w:rsidRPr="00772D93">
        <w:rPr>
          <w:rFonts w:ascii="Book Antiqua" w:hAnsi="Book Antiqua" w:cs="Times New Roman"/>
          <w:bCs/>
          <w:sz w:val="24"/>
          <w:szCs w:val="24"/>
        </w:rPr>
        <w:lastRenderedPageBreak/>
        <w:t xml:space="preserve">the use of </w:t>
      </w:r>
      <w:proofErr w:type="spellStart"/>
      <w:r w:rsidR="00B414FF" w:rsidRPr="00772D93">
        <w:rPr>
          <w:rFonts w:ascii="Book Antiqua" w:hAnsi="Book Antiqua" w:cs="Times New Roman"/>
          <w:bCs/>
          <w:sz w:val="24"/>
          <w:szCs w:val="24"/>
        </w:rPr>
        <w:t>OptiVol</w:t>
      </w:r>
      <w:proofErr w:type="spellEnd"/>
      <w:r w:rsidR="00B414FF" w:rsidRPr="00772D93">
        <w:rPr>
          <w:rFonts w:ascii="Book Antiqua" w:hAnsi="Book Antiqua" w:cs="Times New Roman"/>
          <w:bCs/>
          <w:sz w:val="24"/>
          <w:szCs w:val="24"/>
        </w:rPr>
        <w:t xml:space="preserve"> feature </w:t>
      </w:r>
      <w:r w:rsidR="00AE580E" w:rsidRPr="00772D93">
        <w:rPr>
          <w:rFonts w:ascii="Book Antiqua" w:hAnsi="Book Antiqua" w:cs="Times New Roman"/>
          <w:bCs/>
          <w:sz w:val="24"/>
          <w:szCs w:val="24"/>
        </w:rPr>
        <w:t>and</w:t>
      </w:r>
      <w:r w:rsidR="00772D93">
        <w:rPr>
          <w:rFonts w:ascii="Book Antiqua" w:hAnsi="Book Antiqua" w:cs="Times New Roman"/>
          <w:bCs/>
          <w:sz w:val="24"/>
          <w:szCs w:val="24"/>
        </w:rPr>
        <w:t xml:space="preserve"> </w:t>
      </w:r>
      <w:r w:rsidR="00B414FF" w:rsidRPr="00772D93">
        <w:rPr>
          <w:rFonts w:ascii="Book Antiqua" w:hAnsi="Book Antiqua" w:cs="Times New Roman"/>
          <w:sz w:val="24"/>
          <w:szCs w:val="24"/>
          <w:lang w:val="lt-LT"/>
        </w:rPr>
        <w:t xml:space="preserve">implanted </w:t>
      </w:r>
      <w:r w:rsidR="00B414FF" w:rsidRPr="00772D93">
        <w:rPr>
          <w:rFonts w:ascii="Book Antiqua" w:hAnsi="Book Antiqua" w:cs="Times New Roman"/>
          <w:bCs/>
          <w:sz w:val="24"/>
          <w:szCs w:val="24"/>
        </w:rPr>
        <w:t xml:space="preserve">cardioverter defibrillator or biventricular </w:t>
      </w:r>
      <w:proofErr w:type="spellStart"/>
      <w:r w:rsidR="00B414FF" w:rsidRPr="00772D93">
        <w:rPr>
          <w:rFonts w:ascii="Book Antiqua" w:hAnsi="Book Antiqua" w:cs="Times New Roman"/>
          <w:bCs/>
          <w:sz w:val="24"/>
          <w:szCs w:val="24"/>
        </w:rPr>
        <w:t>pacemaker</w:t>
      </w:r>
      <w:r w:rsidR="00AE580E" w:rsidRPr="00772D93">
        <w:rPr>
          <w:rFonts w:ascii="Book Antiqua" w:hAnsi="Book Antiqua" w:cs="Times New Roman"/>
          <w:bCs/>
          <w:sz w:val="24"/>
          <w:szCs w:val="24"/>
        </w:rPr>
        <w:t>.A</w:t>
      </w:r>
      <w:r w:rsidR="00B414FF" w:rsidRPr="00772D93">
        <w:rPr>
          <w:rFonts w:ascii="Book Antiqua" w:hAnsi="Book Antiqua" w:cs="Times New Roman"/>
          <w:bCs/>
          <w:sz w:val="24"/>
          <w:szCs w:val="24"/>
        </w:rPr>
        <w:t>lthough</w:t>
      </w:r>
      <w:proofErr w:type="spellEnd"/>
      <w:r w:rsidR="00B414FF" w:rsidRPr="00772D93">
        <w:rPr>
          <w:rFonts w:ascii="Book Antiqua" w:hAnsi="Book Antiqua" w:cs="Times New Roman"/>
          <w:bCs/>
          <w:sz w:val="24"/>
          <w:szCs w:val="24"/>
        </w:rPr>
        <w:t xml:space="preserve"> adding </w:t>
      </w:r>
      <w:proofErr w:type="spellStart"/>
      <w:r w:rsidR="00B414FF" w:rsidRPr="00772D93">
        <w:rPr>
          <w:rFonts w:ascii="Book Antiqua" w:hAnsi="Book Antiqua" w:cs="Times New Roman"/>
          <w:bCs/>
          <w:sz w:val="24"/>
          <w:szCs w:val="24"/>
        </w:rPr>
        <w:t>OptiVol</w:t>
      </w:r>
      <w:proofErr w:type="spellEnd"/>
      <w:r w:rsidR="00B414FF" w:rsidRPr="00772D93">
        <w:rPr>
          <w:rFonts w:ascii="Book Antiqua" w:hAnsi="Book Antiqua" w:cs="Times New Roman"/>
          <w:bCs/>
          <w:sz w:val="24"/>
          <w:szCs w:val="24"/>
        </w:rPr>
        <w:t xml:space="preserve"> alerts to HF management in observational studies was shown to improve patient prognosis as well, </w:t>
      </w:r>
      <w:r w:rsidR="00B414FF" w:rsidRPr="00772D93">
        <w:rPr>
          <w:rFonts w:ascii="Book Antiqua" w:hAnsi="Book Antiqua" w:cs="Times New Roman"/>
          <w:sz w:val="24"/>
          <w:szCs w:val="24"/>
        </w:rPr>
        <w:t>the positive predictive value for HF exacerbations was found to be only moderate</w:t>
      </w:r>
      <w:r w:rsidR="008275C8" w:rsidRPr="00772D93">
        <w:rPr>
          <w:rFonts w:ascii="Book Antiqua" w:hAnsi="Book Antiqua" w:cs="Times New Roman"/>
          <w:sz w:val="24"/>
          <w:szCs w:val="24"/>
        </w:rPr>
        <w:fldChar w:fldCharType="begin"/>
      </w:r>
      <w:r w:rsidR="00461A50" w:rsidRPr="00772D93">
        <w:rPr>
          <w:rFonts w:ascii="Book Antiqua" w:hAnsi="Book Antiqua" w:cs="Times New Roman"/>
          <w:sz w:val="24"/>
          <w:szCs w:val="24"/>
        </w:rPr>
        <w:instrText xml:space="preserve"> ADDIN ZOTERO_ITEM CSL_CITATION {"citationID":"T0yPSD0i","properties":{"formattedCitation":"\\super [6,7]\\nosupersub{}","plainCitation":"[6,7]","noteIndex":0},"citationItems":[{"id":179,"uris":["http://zotero.org/users/local/SMqWT9IS/items/FNDG9DS9"],"uri":["http://zotero.org/users/local/SMqWT9IS/items/FNDG9DS9"],"itemData":{"id":179,"type":"article-journal","title":"Monitoring intrathoracic impedance with an implantable defibrillator reduces hospitalizations in patients with heart failure","container-title":"Pacing and clinical electrophysiology: PACE","page":"363-370","volume":"32","issue":"3","source":"PubMed","abstract":"PURPOSE: Some implantable cardioverter-defibrillators (ICDs) are now able to monitor intrathoracic impedance. The aim of the study was to describe the use of such monitoring in clinical practice and to evaluate the clinical impact of the fluid accumulation alert feature of these ICDs.\nMETHODS AND RESULTS: Five hundred thirty-two heart failure (HF) patients implanted with these ICDs were followed up for 11 +/- 7 months. A clinical event (CE) was deemed to have occurred if it resulted in hospitalization or milder manifestations of HF deterioration. Three hundred sixty-two acute decreases in intrathoracic impedance (Z events) occurred in 230 patients. Of these episodes, 171 (47%) were associated with a CE within 2 weeks of the Z event. In another 71 (20%) Z events, drug therapy was adjusted despite the absence of overt signs of clinical deterioration. The rate of unexplained Z events was 0.25 per patient-year and 25 hospitalizations were not associated with Z events. The audible alert was disabled in a group of 102 patients (OFF group). HF hospitalizations occurred in 29 (7%) patients in the ON group and 20 (20%, P &lt; 0.001) patients in the OFF group. The rate of combined cardiac death and HF hospitalization was lower in patients with Alert ON (log-rank test, P = 0.007).\nCONCLUSIONS: The ICD reliably detected CE and yielded low rates of unexplained and undetected events. The alert capability seemed to reduce the number of HF hospitalizations by allowing timely detection and therapeutic intervention.","DOI":"10.1111/j.1540-8159.2008.02245.x","ISSN":"1540-8159","note":"PMID: 19272067","journalAbbreviation":"Pacing Clin Electrophysiol","language":"eng","author":[{"family":"Catanzariti","given":"Domenico"},{"family":"Lunati","given":"Maurizio"},{"family":"Landolina","given":"Maurizio"},{"family":"Zanotto","given":"Gabriele"},{"family":"Lonardi","given":"Gabriele"},{"family":"Iacopino","given":"Saverio"},{"family":"Oliva","given":"Fabrizio"},{"family":"Perego","given":"Giovanni B."},{"family":"Varbaro","given":"Annamaria"},{"family":"Denaro","given":"Alessandra"},{"family":"Valsecchi","given":"Sergio"},{"family":"Vergara","given":"Giuseppe"},{"literal":"Italian Clinical Service Optivol-CRT Group"}],"issued":{"date-parts":[["2009",3]]}},"label":"page"},{"id":181,"uris":["http://zotero.org/users/local/SMqWT9IS/items/NC8JMGCF"],"uri":["http://zotero.org/users/local/SMqWT9IS/items/NC8JMGCF"],"itemData":{"id":181,"type":"article-journal","title":"Sensitivity and positive predictive value of implantable intrathoracic impedance monitoring as a predictor of heart failure hospitalizations: the SENSE-HF trial","container-title":"European Heart Journal","page":"2266-2273","volume":"32","issue":"18","source":"PubMed","abstract":"AIMS: Early recognition of impending decompensation and timely intervention may prevent heart failure (HF) hospitalization. We investigated the performance of OptiVol® intrathoracic fluid monitoring for the prediction of HF events in chronic HF patients newly implanted with a device (implantable cardioverter-defibrillator with or without cardiac resynchronization therapy).\nMETHODS AND RESULTS: SENSE-HF was a prospective, multi-centre study that enrolled 501 patients. Phase I (double blinded, 6 months) determined the sensitivity and positive predictive value (PPV) of the OptiVol data in predicting HF hospitalizations. Of 58 adjudicated HF hospitalizations that occurred during the first 6 months in Phase I, 12 were predicted by OptiVol (sensitivity = 20.7%). Sensitivity appeared to be dynamic in nature and at the end of Phase I, had increased to 42.1%. With 253 OptiVol detections, PPV for Phase I was 4.7%. Phase II/III (unblinded, 18 months) determined the PPV of the first OptiVol Patient Alert for detection of worsening HF status with signs and/or symptoms of pulmonary congestion. A total of 233 patients noted such an OptiVol alert and for 210, HF status was evaluated within 30 days. Heart failure status had worsened for 80 patients (PPV = 38.1%).\nCONCLUSIONS: An intrathoracic impedance-derived fluid index had low sensitivity and PPV in the early period after implantation of a device in chronic HF patients. Sensitivity improved within the first 6 months after implant. Further studies are needed to assess the place of this monitoring technology in the clinical management of patients with HF.","DOI":"10.1093/eurheartj/ehr050","ISSN":"1522-9645","note":"PMID: 21362703","shortTitle":"Sensitivity and positive predictive value of implantable intrathoracic impedance monitoring as a predictor of heart failure hospitalizations","journalAbbreviation":"Eur. Heart J.","language":"eng","author":[{"family":"Conraads","given":"Viviane M."},{"family":"Tavazzi","given":"Luigi"},{"family":"Santini","given":"Massimo"},{"family":"Oliva","given":"Fabrizio"},{"family":"Gerritse","given":"Bart"},{"family":"Yu","given":"Cheuk-Man"},{"family":"Cowie","given":"Martin R."}],"issued":{"date-parts":[["2011",9]]}},"label":"page"}],"schema":"https://github.com/citation-style-language/schema/raw/master/csl-citation.json"} </w:instrText>
      </w:r>
      <w:r w:rsidR="008275C8" w:rsidRPr="00772D93">
        <w:rPr>
          <w:rFonts w:ascii="Book Antiqua" w:hAnsi="Book Antiqua" w:cs="Times New Roman"/>
          <w:sz w:val="24"/>
          <w:szCs w:val="24"/>
        </w:rPr>
        <w:fldChar w:fldCharType="separate"/>
      </w:r>
      <w:r w:rsidR="00461A50" w:rsidRPr="00772D93">
        <w:rPr>
          <w:rFonts w:ascii="Book Antiqua" w:hAnsi="Book Antiqua" w:cs="Times New Roman"/>
          <w:sz w:val="24"/>
          <w:szCs w:val="24"/>
          <w:vertAlign w:val="superscript"/>
        </w:rPr>
        <w:t>[6,7]</w:t>
      </w:r>
      <w:r w:rsidR="008275C8" w:rsidRPr="00772D93">
        <w:rPr>
          <w:rFonts w:ascii="Book Antiqua" w:hAnsi="Book Antiqua" w:cs="Times New Roman"/>
          <w:sz w:val="24"/>
          <w:szCs w:val="24"/>
        </w:rPr>
        <w:fldChar w:fldCharType="end"/>
      </w:r>
      <w:r w:rsidR="00B414FF" w:rsidRPr="00772D93">
        <w:rPr>
          <w:rFonts w:ascii="Book Antiqua" w:hAnsi="Book Antiqua" w:cs="Times New Roman"/>
          <w:sz w:val="24"/>
          <w:szCs w:val="24"/>
        </w:rPr>
        <w:t>.</w:t>
      </w:r>
    </w:p>
    <w:p w14:paraId="29A9E8B5" w14:textId="4F983CB5" w:rsidR="008854BE" w:rsidRPr="00772D93" w:rsidRDefault="0037032A" w:rsidP="009831D3">
      <w:pPr>
        <w:spacing w:after="0" w:line="360" w:lineRule="auto"/>
        <w:ind w:firstLineChars="100" w:firstLine="240"/>
        <w:jc w:val="both"/>
        <w:rPr>
          <w:rFonts w:ascii="Book Antiqua" w:hAnsi="Book Antiqua" w:cs="Times New Roman"/>
          <w:sz w:val="24"/>
          <w:szCs w:val="24"/>
        </w:rPr>
      </w:pPr>
      <w:r w:rsidRPr="00772D93">
        <w:rPr>
          <w:rFonts w:ascii="Book Antiqua" w:hAnsi="Book Antiqua" w:cs="Times New Roman"/>
          <w:sz w:val="24"/>
          <w:szCs w:val="24"/>
        </w:rPr>
        <w:t xml:space="preserve">The main </w:t>
      </w:r>
      <w:proofErr w:type="spellStart"/>
      <w:r w:rsidR="00B414FF" w:rsidRPr="00772D93">
        <w:rPr>
          <w:rFonts w:ascii="Book Antiqua" w:hAnsi="Book Antiqua" w:cs="Times New Roman"/>
          <w:sz w:val="24"/>
          <w:szCs w:val="24"/>
        </w:rPr>
        <w:t>disadavan</w:t>
      </w:r>
      <w:r w:rsidR="00E554A5" w:rsidRPr="00772D93">
        <w:rPr>
          <w:rFonts w:ascii="Book Antiqua" w:hAnsi="Book Antiqua" w:cs="Times New Roman"/>
          <w:sz w:val="24"/>
          <w:szCs w:val="24"/>
        </w:rPr>
        <w:t>t</w:t>
      </w:r>
      <w:r w:rsidR="00B414FF" w:rsidRPr="00772D93">
        <w:rPr>
          <w:rFonts w:ascii="Book Antiqua" w:hAnsi="Book Antiqua" w:cs="Times New Roman"/>
          <w:sz w:val="24"/>
          <w:szCs w:val="24"/>
        </w:rPr>
        <w:t>ages</w:t>
      </w:r>
      <w:proofErr w:type="spellEnd"/>
      <w:r w:rsidR="00E554A5" w:rsidRPr="00772D93">
        <w:rPr>
          <w:rFonts w:ascii="Book Antiqua" w:hAnsi="Book Antiqua" w:cs="Times New Roman"/>
          <w:sz w:val="24"/>
          <w:szCs w:val="24"/>
        </w:rPr>
        <w:t xml:space="preserve"> of</w:t>
      </w:r>
      <w:r w:rsidRPr="00772D93">
        <w:rPr>
          <w:rFonts w:ascii="Book Antiqua" w:hAnsi="Book Antiqua" w:cs="Times New Roman"/>
          <w:sz w:val="24"/>
          <w:szCs w:val="24"/>
        </w:rPr>
        <w:t xml:space="preserve"> </w:t>
      </w:r>
      <w:r w:rsidR="00E554A5" w:rsidRPr="00772D93">
        <w:rPr>
          <w:rFonts w:ascii="Book Antiqua" w:hAnsi="Book Antiqua" w:cs="Times New Roman"/>
          <w:sz w:val="24"/>
          <w:szCs w:val="24"/>
        </w:rPr>
        <w:t>these</w:t>
      </w:r>
      <w:r w:rsidR="00772D93">
        <w:rPr>
          <w:rFonts w:ascii="Book Antiqua" w:hAnsi="Book Antiqua" w:cs="Times New Roman"/>
          <w:sz w:val="24"/>
          <w:szCs w:val="24"/>
        </w:rPr>
        <w:t xml:space="preserve"> </w:t>
      </w:r>
      <w:r w:rsidRPr="00772D93">
        <w:rPr>
          <w:rFonts w:ascii="Book Antiqua" w:hAnsi="Book Antiqua" w:cs="Times New Roman"/>
          <w:sz w:val="24"/>
          <w:szCs w:val="24"/>
        </w:rPr>
        <w:t>technique</w:t>
      </w:r>
      <w:r w:rsidR="00E554A5" w:rsidRPr="00772D93">
        <w:rPr>
          <w:rFonts w:ascii="Book Antiqua" w:hAnsi="Book Antiqua" w:cs="Times New Roman"/>
          <w:sz w:val="24"/>
          <w:szCs w:val="24"/>
        </w:rPr>
        <w:t>s</w:t>
      </w:r>
      <w:r w:rsidRPr="00772D93">
        <w:rPr>
          <w:rFonts w:ascii="Book Antiqua" w:hAnsi="Book Antiqua" w:cs="Times New Roman"/>
          <w:sz w:val="24"/>
          <w:szCs w:val="24"/>
        </w:rPr>
        <w:t xml:space="preserve"> </w:t>
      </w:r>
      <w:r w:rsidR="0019468E" w:rsidRPr="00772D93">
        <w:rPr>
          <w:rFonts w:ascii="Book Antiqua" w:hAnsi="Book Antiqua" w:cs="Times New Roman"/>
          <w:sz w:val="24"/>
          <w:szCs w:val="24"/>
        </w:rPr>
        <w:t xml:space="preserve">are </w:t>
      </w:r>
      <w:r w:rsidRPr="00772D93">
        <w:rPr>
          <w:rFonts w:ascii="Book Antiqua" w:hAnsi="Book Antiqua" w:cs="Times New Roman"/>
          <w:sz w:val="24"/>
          <w:szCs w:val="24"/>
        </w:rPr>
        <w:t>invasive</w:t>
      </w:r>
      <w:r w:rsidR="0019468E" w:rsidRPr="00772D93">
        <w:rPr>
          <w:rFonts w:ascii="Book Antiqua" w:hAnsi="Book Antiqua" w:cs="Times New Roman"/>
          <w:sz w:val="24"/>
          <w:szCs w:val="24"/>
        </w:rPr>
        <w:t>ness</w:t>
      </w:r>
      <w:r w:rsidRPr="00772D93">
        <w:rPr>
          <w:rFonts w:ascii="Book Antiqua" w:hAnsi="Book Antiqua" w:cs="Times New Roman"/>
          <w:sz w:val="24"/>
          <w:szCs w:val="24"/>
        </w:rPr>
        <w:t xml:space="preserve">, </w:t>
      </w:r>
      <w:r w:rsidR="0019468E" w:rsidRPr="00772D93">
        <w:rPr>
          <w:rFonts w:ascii="Book Antiqua" w:hAnsi="Book Antiqua" w:cs="Times New Roman"/>
          <w:sz w:val="24"/>
          <w:szCs w:val="24"/>
        </w:rPr>
        <w:t xml:space="preserve">relatively high cost </w:t>
      </w:r>
      <w:r w:rsidRPr="00772D93">
        <w:rPr>
          <w:rFonts w:ascii="Book Antiqua" w:hAnsi="Book Antiqua" w:cs="Times New Roman"/>
          <w:sz w:val="24"/>
          <w:szCs w:val="24"/>
        </w:rPr>
        <w:t xml:space="preserve">and </w:t>
      </w:r>
      <w:r w:rsidR="0019468E" w:rsidRPr="00772D93">
        <w:rPr>
          <w:rFonts w:ascii="Book Antiqua" w:hAnsi="Book Antiqua" w:cs="Times New Roman"/>
          <w:sz w:val="24"/>
          <w:szCs w:val="24"/>
        </w:rPr>
        <w:t>inapplicability</w:t>
      </w:r>
      <w:r w:rsidRPr="00772D93">
        <w:rPr>
          <w:rFonts w:ascii="Book Antiqua" w:hAnsi="Book Antiqua" w:cs="Times New Roman"/>
          <w:sz w:val="24"/>
          <w:szCs w:val="24"/>
        </w:rPr>
        <w:t xml:space="preserve"> on a rout</w:t>
      </w:r>
      <w:r w:rsidR="00714E64" w:rsidRPr="00772D93">
        <w:rPr>
          <w:rFonts w:ascii="Book Antiqua" w:hAnsi="Book Antiqua" w:cs="Times New Roman"/>
          <w:sz w:val="24"/>
          <w:szCs w:val="24"/>
        </w:rPr>
        <w:t>ine basis. Non-invasive t</w:t>
      </w:r>
      <w:r w:rsidRPr="00772D93">
        <w:rPr>
          <w:rFonts w:ascii="Book Antiqua" w:hAnsi="Book Antiqua" w:cs="Times New Roman"/>
          <w:sz w:val="24"/>
          <w:szCs w:val="24"/>
        </w:rPr>
        <w:t>ransthoracic impedance (TI) measurements are associated with chest congestion</w:t>
      </w:r>
      <w:r w:rsidR="00A239B3" w:rsidRPr="00772D93">
        <w:rPr>
          <w:rFonts w:ascii="Book Antiqua" w:hAnsi="Book Antiqua" w:cs="Times New Roman"/>
          <w:sz w:val="24"/>
          <w:szCs w:val="24"/>
        </w:rPr>
        <w:t>,</w:t>
      </w:r>
      <w:r w:rsidRPr="00772D93">
        <w:rPr>
          <w:rFonts w:ascii="Book Antiqua" w:hAnsi="Book Antiqua" w:cs="Times New Roman"/>
          <w:sz w:val="24"/>
          <w:szCs w:val="24"/>
        </w:rPr>
        <w:t xml:space="preserve"> as fluid increases the electrical conductivity of the tissue</w:t>
      </w:r>
      <w:r w:rsidR="00A239B3" w:rsidRPr="00772D93">
        <w:rPr>
          <w:rFonts w:ascii="Book Antiqua" w:hAnsi="Book Antiqua" w:cs="Times New Roman"/>
          <w:sz w:val="24"/>
          <w:szCs w:val="24"/>
          <w:vertAlign w:val="superscript"/>
        </w:rPr>
        <w:fldChar w:fldCharType="begin"/>
      </w:r>
      <w:r w:rsidR="00461A50" w:rsidRPr="00772D93">
        <w:rPr>
          <w:rFonts w:ascii="Book Antiqua" w:hAnsi="Book Antiqua" w:cs="Times New Roman"/>
          <w:sz w:val="24"/>
          <w:szCs w:val="24"/>
          <w:vertAlign w:val="superscript"/>
        </w:rPr>
        <w:instrText xml:space="preserve"> ADDIN ZOTERO_ITEM CSL_CITATION {"citationID":"EceweocH","properties":{"formattedCitation":"\\super [8,9]\\nosupersub{}","plainCitation":"[8,9]","noteIndex":0},"citationItems":[{"id":84,"uris":["http://zotero.org/users/local/SMqWT9IS/items/SSRV4IX9"],"uri":["http://zotero.org/users/local/SMqWT9IS/items/SSRV4IX9"],"itemData":{"id":84,"type":"article-journal","title":"Transthoracic electrical impedance at 1 and 100 kHz--a means for separating thoracic fluid compartments?","container-title":"Clinical Physiology (Oxford, England)","page":"105-113","volume":"7","issue":"2","source":"PubMed","abstract":"The electrical impedance of biological tissues varies with their water and electrolyte contents. Alternating current above 5-10 kHz passes both intra- and extracellular fluid, and lower frequency current preferentially extracellular fluid. In an attempt to evaluate thoracic fluid in different compartments, transthoracic electrical impedance (TEI) was measured at 1 and 100 kHz in 15 consecutive patients, without overt left heart failure and under haemodynamic surveillance, during the first two days of myocardial infarction. To achieve different states of hydration the patients were given i.v. furosemide, either 40 mg t.i.d. (high dose group--HDG) or 20 mg once daily (low dose group--LDG). Effects of altered body position and the respective furosemide injections, were evaluated on both days. Mean 24-h-diuresis was 3.9 l in the HDG and 2.5 l in the LDG. After 24 h mean pulmonary arterial diastolic pressure had decreased by 30% in the HDG but remained almost unchanged in the LDG. By then mean basal TEI was increased only in the HDG, by 17% at 1 kHz and 13% at 100 kHz. On Day 1, within one hour after furosemide, TEI increased temporarily by 3-5%, at both frequencies and in both groups. On Day 2, this short-term increase was similar in the LDG at both frequencies and in the HDG at 100 kHz, but not at 1 kHz, consistent with a major extracellular fluid loss in the HDG. TEI at 1 and 100 kHz may thus reflect extracellular and total thoracic fluid, respectively.","ISSN":"0144-5979","note":"PMID: 3568579","journalAbbreviation":"Clin Physiol","language":"eng","author":[{"family":"Larsen","given":"F. F."},{"family":"Mogensen","given":"L."},{"family":"Tedner","given":"B."}],"issued":{"date-parts":[["1987",4]]}},"label":"page"},{"id":86,"uris":["http://zotero.org/users/local/SMqWT9IS/items/29PIWSIZ"],"uri":["http://zotero.org/users/local/SMqWT9IS/items/29PIWSIZ"],"itemData":{"id":86,"type":"article-journal","title":"A novel wearable vest for tracking pulmonary congestion in acutely decompensated heart failure","container-title":"International Journal of Cardiology","page":"199-201","volume":"177","issue":"1","source":"PubMed","DOI":"10.1016/j.ijcard.2014.09.041","ISSN":"1874-1754","note":"PMID: 25499378","journalAbbreviation":"Int. J. Cardiol.","language":"eng","author":[{"family":"Cuba-Gyllensten","given":"Illapha"},{"family":"Gastelurrutia","given":"Paloma"},{"family":"Riistama","given":"Jarno"},{"family":"Aarts","given":"Ronald"},{"family":"Nuñez","given":"Julio"},{"family":"Lupon","given":"Josep"},{"family":"Bayes-Genis","given":"Antoni"}],"issued":{"date-parts":[["2014",11,15]]}},"label":"page"}],"schema":"https://github.com/citation-style-language/schema/raw/master/csl-citation.json"} </w:instrText>
      </w:r>
      <w:r w:rsidR="00A239B3" w:rsidRPr="00772D93">
        <w:rPr>
          <w:rFonts w:ascii="Book Antiqua" w:hAnsi="Book Antiqua" w:cs="Times New Roman"/>
          <w:sz w:val="24"/>
          <w:szCs w:val="24"/>
          <w:vertAlign w:val="superscript"/>
        </w:rPr>
        <w:fldChar w:fldCharType="separate"/>
      </w:r>
      <w:r w:rsidR="00461A50" w:rsidRPr="00772D93">
        <w:rPr>
          <w:rFonts w:ascii="Book Antiqua" w:hAnsi="Book Antiqua" w:cs="Times New Roman"/>
          <w:sz w:val="24"/>
          <w:szCs w:val="24"/>
          <w:vertAlign w:val="superscript"/>
        </w:rPr>
        <w:t>[8,9]</w:t>
      </w:r>
      <w:r w:rsidR="00A239B3" w:rsidRPr="00772D93">
        <w:rPr>
          <w:rFonts w:ascii="Book Antiqua" w:hAnsi="Book Antiqua" w:cs="Times New Roman"/>
          <w:sz w:val="24"/>
          <w:szCs w:val="24"/>
          <w:vertAlign w:val="superscript"/>
        </w:rPr>
        <w:fldChar w:fldCharType="end"/>
      </w:r>
      <w:r w:rsidRPr="00772D93">
        <w:rPr>
          <w:rFonts w:ascii="Book Antiqua" w:hAnsi="Book Antiqua" w:cs="Times New Roman"/>
          <w:sz w:val="24"/>
          <w:szCs w:val="24"/>
        </w:rPr>
        <w:t xml:space="preserve">. The use of </w:t>
      </w:r>
      <w:r w:rsidR="00F654BC" w:rsidRPr="00772D93">
        <w:rPr>
          <w:rFonts w:ascii="Book Antiqua" w:hAnsi="Book Antiqua" w:cs="Times New Roman"/>
          <w:sz w:val="24"/>
          <w:szCs w:val="24"/>
        </w:rPr>
        <w:t>conventional</w:t>
      </w:r>
      <w:r w:rsidR="00264D81"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electrical TI </w:t>
      </w:r>
      <w:r w:rsidR="00A239B3" w:rsidRPr="00772D93">
        <w:rPr>
          <w:rFonts w:ascii="Book Antiqua" w:hAnsi="Book Antiqua" w:cs="Times New Roman"/>
          <w:sz w:val="24"/>
          <w:szCs w:val="24"/>
        </w:rPr>
        <w:t xml:space="preserve">equipment for </w:t>
      </w:r>
      <w:r w:rsidRPr="00772D93">
        <w:rPr>
          <w:rFonts w:ascii="Book Antiqua" w:hAnsi="Book Antiqua" w:cs="Times New Roman"/>
          <w:sz w:val="24"/>
          <w:szCs w:val="24"/>
        </w:rPr>
        <w:t>monitor</w:t>
      </w:r>
      <w:r w:rsidR="00A239B3" w:rsidRPr="00772D93">
        <w:rPr>
          <w:rFonts w:ascii="Book Antiqua" w:hAnsi="Book Antiqua" w:cs="Times New Roman"/>
          <w:sz w:val="24"/>
          <w:szCs w:val="24"/>
        </w:rPr>
        <w:t>ing</w:t>
      </w:r>
      <w:r w:rsidRPr="00772D93">
        <w:rPr>
          <w:rFonts w:ascii="Book Antiqua" w:hAnsi="Book Antiqua" w:cs="Times New Roman"/>
          <w:sz w:val="24"/>
          <w:szCs w:val="24"/>
        </w:rPr>
        <w:t xml:space="preserve"> pulmonary congestion was found to be insufficiently sensitive and did not </w:t>
      </w:r>
      <w:r w:rsidR="00A239B3" w:rsidRPr="00772D93">
        <w:rPr>
          <w:rFonts w:ascii="Book Antiqua" w:hAnsi="Book Antiqua" w:cs="Times New Roman"/>
          <w:sz w:val="24"/>
          <w:szCs w:val="24"/>
        </w:rPr>
        <w:t xml:space="preserve">guarantee </w:t>
      </w:r>
      <w:r w:rsidRPr="00772D93">
        <w:rPr>
          <w:rFonts w:ascii="Book Antiqua" w:hAnsi="Book Antiqua" w:cs="Times New Roman"/>
          <w:sz w:val="24"/>
          <w:szCs w:val="24"/>
        </w:rPr>
        <w:t>reliable monitoring of lung fluid content in the individual patient</w:t>
      </w:r>
      <w:r w:rsidR="00A239B3" w:rsidRPr="00772D93">
        <w:rPr>
          <w:rFonts w:ascii="Book Antiqua" w:hAnsi="Book Antiqua" w:cs="Times New Roman"/>
          <w:sz w:val="24"/>
          <w:szCs w:val="24"/>
          <w:vertAlign w:val="superscript"/>
        </w:rPr>
        <w:fldChar w:fldCharType="begin"/>
      </w:r>
      <w:r w:rsidR="008275C8" w:rsidRPr="00772D93">
        <w:rPr>
          <w:rFonts w:ascii="Book Antiqua" w:hAnsi="Book Antiqua" w:cs="Times New Roman"/>
          <w:sz w:val="24"/>
          <w:szCs w:val="24"/>
          <w:vertAlign w:val="superscript"/>
        </w:rPr>
        <w:instrText xml:space="preserve"> ADDIN ZOTERO_ITEM CSL_CITATION {"citationID":"abe5AhBW","properties":{"formattedCitation":"\\super [10]\\nosupersub{}","plainCitation":"[10]","noteIndex":0},"citationItems":[{"id":88,"uris":["http://zotero.org/users/local/SMqWT9IS/items/7JE7EC9K"],"uri":["http://zotero.org/users/local/SMqWT9IS/items/7JE7EC9K"],"itemData":{"id":88,"type":"article-journal","title":"Utility of impedance cardiography for the identification of short-term risk of clinical decompensation in stable patients with chronic heart failure","container-title":"Journal of the American College of Cardiology","page":"2245-2252","volume":"47","issue":"11","source":"PubMed","abstract":"OBJECTIVES: This study sought to assess the potential utility of impedance cardiography (ICG) in predicting clinical deterioration in ambulatory patients with heart failure (HF).\nBACKGROUND: Impedance cardiography uses changes in thoracic electrical impedance to estimate hemodynamic variables, but its ability to predict clinical events has not been evaluated.\nMETHODS: We prospectively evaluated 212 stable patients with HF and a recent episode of clinical decompensation who underwent serial clinical evaluation and blinded ICG testing every 2 weeks for 26 weeks and were followed up for the occurrence of death or worsening HF requiring hospitalization or emergent care.\nRESULTS: During the study, 59 patients experienced 104 episodes of decompensated HF (16 deaths, 78 hospitalizations, and 10 emergency visits). Multivariate analysis identified 6 clinical and ICG variables that independently predicted an event within 14 days of assessment. These included three clinical variables (visual analog score, New York Heart Association functional class, and systolic blood pressure) and three ICG parameters (velocity index, thoracic fluid content index, and left ventricular ejection time). The three ICG parameters combined into a composite score was a powerful predictor of an event during the next 14 days (p = 0.0002). Visits with a high-risk composite score had 2.5 times greater likelihood and those with a low-risk score had a 70% lower likelihood of a near-term event compared with visits at intermediate risk.\nCONCLUSIONS: These results suggest that when performed at regular intervals in stable patients with HF with a recent episode of clinical decompensation, ICG can identify patients at increased near-term risk of recurrent decompensation.","DOI":"10.1016/j.jacc.2005.12.071","ISSN":"1558-3597","note":"PMID: 16750691","journalAbbreviation":"J. Am. Coll. Cardiol.","language":"eng","author":[{"family":"Packer","given":"Milton"},{"family":"Abraham","given":"William T."},{"family":"Mehra","given":"Mandeep R."},{"family":"Yancy","given":"Clyde W."},{"family":"Lawless","given":"Christine E."},{"family":"Mitchell","given":"Judith E."},{"family":"Smart","given":"Frank W."},{"family":"Bijou","given":"Rachel"},{"family":"O'Connor","given":"Christopher M."},{"family":"Massie","given":"Barry M."},{"family":"Pina","given":"Ileana L."},{"family":"Greenberg","given":"Barry H."},{"family":"Young","given":"James B."},{"family":"Fishbein","given":"Daniel P."},{"family":"Hauptman","given":"Paul J."},{"family":"Bourge","given":"Robert C."},{"family":"Strobeck","given":"John E."},{"family":"Murali","given":"Srinvivas"},{"family":"Schocken","given":"Douglas"},{"family":"Teerlink","given":"John R."},{"family":"Levy","given":"Wayne C."},{"family":"Trupp","given":"Robin J."},{"family":"Silver","given":"Marc A."},{"literal":"Prospective Evaluation and Identification of Cardiac Decompensation by ICG Test (PREDICT) Study Investigators and Coordinators"}],"issued":{"date-parts":[["2006",6,6]]}}}],"schema":"https://github.com/citation-style-language/schema/raw/master/csl-citation.json"} </w:instrText>
      </w:r>
      <w:r w:rsidR="00A239B3" w:rsidRPr="00772D93">
        <w:rPr>
          <w:rFonts w:ascii="Book Antiqua" w:hAnsi="Book Antiqua" w:cs="Times New Roman"/>
          <w:sz w:val="24"/>
          <w:szCs w:val="24"/>
          <w:vertAlign w:val="superscript"/>
        </w:rPr>
        <w:fldChar w:fldCharType="separate"/>
      </w:r>
      <w:r w:rsidR="008275C8" w:rsidRPr="00772D93">
        <w:rPr>
          <w:rFonts w:ascii="Book Antiqua" w:hAnsi="Book Antiqua" w:cs="Times New Roman"/>
          <w:sz w:val="24"/>
          <w:szCs w:val="24"/>
          <w:vertAlign w:val="superscript"/>
        </w:rPr>
        <w:t>[10]</w:t>
      </w:r>
      <w:r w:rsidR="00A239B3" w:rsidRPr="00772D93">
        <w:rPr>
          <w:rFonts w:ascii="Book Antiqua" w:hAnsi="Book Antiqua" w:cs="Times New Roman"/>
          <w:sz w:val="24"/>
          <w:szCs w:val="24"/>
          <w:vertAlign w:val="superscript"/>
        </w:rPr>
        <w:fldChar w:fldCharType="end"/>
      </w:r>
      <w:r w:rsidRPr="00772D93">
        <w:rPr>
          <w:rFonts w:ascii="Book Antiqua" w:hAnsi="Book Antiqua" w:cs="Times New Roman"/>
          <w:sz w:val="24"/>
          <w:szCs w:val="24"/>
        </w:rPr>
        <w:t xml:space="preserve">. </w:t>
      </w:r>
      <w:r w:rsidR="00577D50" w:rsidRPr="00772D93">
        <w:rPr>
          <w:rFonts w:ascii="Book Antiqua" w:hAnsi="Book Antiqua" w:cs="Times New Roman"/>
          <w:sz w:val="24"/>
          <w:szCs w:val="24"/>
        </w:rPr>
        <w:t>This</w:t>
      </w:r>
      <w:r w:rsidRPr="00772D93">
        <w:rPr>
          <w:rFonts w:ascii="Book Antiqua" w:hAnsi="Book Antiqua" w:cs="Times New Roman"/>
          <w:sz w:val="24"/>
          <w:szCs w:val="24"/>
        </w:rPr>
        <w:t xml:space="preserve"> may be explained by the fact that TI consists</w:t>
      </w:r>
      <w:r w:rsidR="00714E64" w:rsidRPr="00772D93">
        <w:rPr>
          <w:rFonts w:ascii="Book Antiqua" w:hAnsi="Book Antiqua" w:cs="Times New Roman"/>
          <w:sz w:val="24"/>
          <w:szCs w:val="24"/>
        </w:rPr>
        <w:t xml:space="preserve"> of the target net LI</w:t>
      </w:r>
      <w:r w:rsidRPr="00772D93">
        <w:rPr>
          <w:rFonts w:ascii="Book Antiqua" w:hAnsi="Book Antiqua" w:cs="Times New Roman"/>
          <w:sz w:val="24"/>
          <w:szCs w:val="24"/>
        </w:rPr>
        <w:t xml:space="preserve">, which is only a small fraction of the overall TI, plus the high impedance of the chest walls. </w:t>
      </w:r>
    </w:p>
    <w:p w14:paraId="51FA4126" w14:textId="30E132A9" w:rsidR="00821FAB" w:rsidRPr="00772D93" w:rsidRDefault="003B3376" w:rsidP="009831D3">
      <w:pPr>
        <w:spacing w:after="0" w:line="360" w:lineRule="auto"/>
        <w:ind w:firstLineChars="100" w:firstLine="240"/>
        <w:jc w:val="both"/>
        <w:rPr>
          <w:rFonts w:ascii="Book Antiqua" w:hAnsi="Book Antiqua" w:cs="Times New Roman"/>
          <w:sz w:val="24"/>
          <w:szCs w:val="24"/>
        </w:rPr>
      </w:pPr>
      <w:r w:rsidRPr="00772D93">
        <w:rPr>
          <w:rFonts w:ascii="Book Antiqua" w:hAnsi="Book Antiqua" w:cs="Times New Roman"/>
          <w:sz w:val="24"/>
          <w:szCs w:val="24"/>
        </w:rPr>
        <w:t>In this case series</w:t>
      </w:r>
      <w:r w:rsidR="00A239B3" w:rsidRPr="00772D93">
        <w:rPr>
          <w:rFonts w:ascii="Book Antiqua" w:hAnsi="Book Antiqua" w:cs="Times New Roman"/>
          <w:sz w:val="24"/>
          <w:szCs w:val="24"/>
        </w:rPr>
        <w:t>,</w:t>
      </w:r>
      <w:r w:rsidRPr="00772D93">
        <w:rPr>
          <w:rFonts w:ascii="Book Antiqua" w:hAnsi="Book Antiqua" w:cs="Times New Roman"/>
          <w:sz w:val="24"/>
          <w:szCs w:val="24"/>
        </w:rPr>
        <w:t xml:space="preserve"> we report </w:t>
      </w:r>
      <w:r w:rsidR="00A806DF" w:rsidRPr="00772D93">
        <w:rPr>
          <w:rFonts w:ascii="Book Antiqua" w:hAnsi="Book Antiqua" w:cs="Times New Roman"/>
          <w:sz w:val="24"/>
          <w:szCs w:val="24"/>
        </w:rPr>
        <w:t xml:space="preserve">three patients with </w:t>
      </w:r>
      <w:r w:rsidR="008854BE" w:rsidRPr="00772D93">
        <w:rPr>
          <w:rFonts w:ascii="Book Antiqua" w:hAnsi="Book Antiqua" w:cs="Times New Roman"/>
          <w:sz w:val="24"/>
          <w:szCs w:val="24"/>
        </w:rPr>
        <w:t xml:space="preserve">acute </w:t>
      </w:r>
      <w:r w:rsidR="00A806DF" w:rsidRPr="00772D93">
        <w:rPr>
          <w:rFonts w:ascii="Book Antiqua" w:hAnsi="Book Antiqua" w:cs="Times New Roman"/>
          <w:sz w:val="24"/>
          <w:szCs w:val="24"/>
        </w:rPr>
        <w:t>HF, who were monitored with the help of</w:t>
      </w:r>
      <w:r w:rsidR="00714E64" w:rsidRPr="00772D93">
        <w:rPr>
          <w:rFonts w:ascii="Book Antiqua" w:hAnsi="Book Antiqua" w:cs="Times New Roman"/>
          <w:sz w:val="24"/>
          <w:szCs w:val="24"/>
        </w:rPr>
        <w:t xml:space="preserve"> </w:t>
      </w:r>
      <w:r w:rsidR="00A239B3" w:rsidRPr="00772D93">
        <w:rPr>
          <w:rFonts w:ascii="Book Antiqua" w:hAnsi="Book Antiqua" w:cs="Times New Roman"/>
          <w:sz w:val="24"/>
          <w:szCs w:val="24"/>
        </w:rPr>
        <w:t xml:space="preserve">the </w:t>
      </w:r>
      <w:r w:rsidR="00714E64" w:rsidRPr="00772D93">
        <w:rPr>
          <w:rFonts w:ascii="Book Antiqua" w:hAnsi="Book Antiqua" w:cs="Times New Roman"/>
          <w:sz w:val="24"/>
          <w:szCs w:val="24"/>
        </w:rPr>
        <w:t>EGM – a</w:t>
      </w:r>
      <w:r w:rsidR="00A806DF" w:rsidRPr="00772D93">
        <w:rPr>
          <w:rFonts w:ascii="Book Antiqua" w:hAnsi="Book Antiqua" w:cs="Times New Roman"/>
          <w:sz w:val="24"/>
          <w:szCs w:val="24"/>
        </w:rPr>
        <w:t xml:space="preserve"> </w:t>
      </w:r>
      <w:r w:rsidR="008854BE" w:rsidRPr="00772D93">
        <w:rPr>
          <w:rFonts w:ascii="Book Antiqua" w:hAnsi="Book Antiqua" w:cs="Times New Roman"/>
          <w:sz w:val="24"/>
          <w:szCs w:val="24"/>
        </w:rPr>
        <w:t>highly sensitive</w:t>
      </w:r>
      <w:r w:rsidR="00A239B3" w:rsidRPr="00772D93">
        <w:rPr>
          <w:rFonts w:ascii="Book Antiqua" w:hAnsi="Book Antiqua" w:cs="Times New Roman"/>
          <w:sz w:val="24"/>
          <w:szCs w:val="24"/>
        </w:rPr>
        <w:t>,</w:t>
      </w:r>
      <w:r w:rsidR="008854BE" w:rsidRPr="00772D93">
        <w:rPr>
          <w:rFonts w:ascii="Book Antiqua" w:hAnsi="Book Antiqua" w:cs="Times New Roman"/>
          <w:sz w:val="24"/>
          <w:szCs w:val="24"/>
        </w:rPr>
        <w:t xml:space="preserve"> </w:t>
      </w:r>
      <w:r w:rsidR="00A806DF" w:rsidRPr="00772D93">
        <w:rPr>
          <w:rFonts w:ascii="Book Antiqua" w:hAnsi="Book Antiqua" w:cs="Times New Roman"/>
          <w:sz w:val="24"/>
          <w:szCs w:val="24"/>
        </w:rPr>
        <w:t>non–invasive</w:t>
      </w:r>
      <w:r w:rsidR="00A239B3" w:rsidRPr="00772D93">
        <w:rPr>
          <w:rFonts w:ascii="Book Antiqua" w:hAnsi="Book Antiqua" w:cs="Times New Roman"/>
          <w:sz w:val="24"/>
          <w:szCs w:val="24"/>
        </w:rPr>
        <w:t>,</w:t>
      </w:r>
      <w:r w:rsidR="00A806DF" w:rsidRPr="00772D93">
        <w:rPr>
          <w:rFonts w:ascii="Book Antiqua" w:hAnsi="Book Antiqua" w:cs="Times New Roman"/>
          <w:sz w:val="24"/>
          <w:szCs w:val="24"/>
        </w:rPr>
        <w:t xml:space="preserve"> </w:t>
      </w:r>
      <w:r w:rsidR="00A239B3" w:rsidRPr="00772D93">
        <w:rPr>
          <w:rFonts w:ascii="Book Antiqua" w:hAnsi="Book Antiqua" w:cs="Times New Roman"/>
          <w:sz w:val="24"/>
          <w:szCs w:val="24"/>
        </w:rPr>
        <w:t xml:space="preserve">LI measuring </w:t>
      </w:r>
      <w:r w:rsidR="00714E64" w:rsidRPr="00772D93">
        <w:rPr>
          <w:rFonts w:ascii="Book Antiqua" w:hAnsi="Book Antiqua" w:cs="Times New Roman"/>
          <w:sz w:val="24"/>
          <w:szCs w:val="24"/>
        </w:rPr>
        <w:t>device</w:t>
      </w:r>
      <w:r w:rsidR="00A806DF" w:rsidRPr="00772D93">
        <w:rPr>
          <w:rFonts w:ascii="Book Antiqua" w:hAnsi="Book Antiqua" w:cs="Times New Roman"/>
          <w:sz w:val="24"/>
          <w:szCs w:val="24"/>
        </w:rPr>
        <w:t>.</w:t>
      </w:r>
      <w:r w:rsidRPr="00772D93">
        <w:rPr>
          <w:rFonts w:ascii="Book Antiqua" w:hAnsi="Book Antiqua" w:cs="Times New Roman"/>
          <w:sz w:val="24"/>
          <w:szCs w:val="24"/>
        </w:rPr>
        <w:t xml:space="preserve"> </w:t>
      </w:r>
      <w:r w:rsidR="004C181D" w:rsidRPr="00772D93">
        <w:rPr>
          <w:rFonts w:ascii="Book Antiqua" w:hAnsi="Book Antiqua" w:cs="Times New Roman"/>
          <w:sz w:val="24"/>
          <w:szCs w:val="24"/>
        </w:rPr>
        <w:t>A</w:t>
      </w:r>
      <w:r w:rsidR="00216EA9" w:rsidRPr="00772D93">
        <w:rPr>
          <w:rFonts w:ascii="Book Antiqua" w:hAnsi="Book Antiqua" w:cs="Times New Roman"/>
          <w:sz w:val="24"/>
          <w:szCs w:val="24"/>
        </w:rPr>
        <w:t>n arrangement</w:t>
      </w:r>
      <w:r w:rsidR="004C181D" w:rsidRPr="00772D93">
        <w:rPr>
          <w:rFonts w:ascii="Book Antiqua" w:hAnsi="Book Antiqua" w:cs="Times New Roman"/>
          <w:sz w:val="24"/>
          <w:szCs w:val="24"/>
        </w:rPr>
        <w:t xml:space="preserve"> of </w:t>
      </w:r>
      <w:r w:rsidR="00AE580E" w:rsidRPr="00772D93">
        <w:rPr>
          <w:rFonts w:ascii="Book Antiqua" w:hAnsi="Book Antiqua" w:cs="Times New Roman"/>
          <w:sz w:val="24"/>
          <w:szCs w:val="24"/>
        </w:rPr>
        <w:t>three</w:t>
      </w:r>
      <w:r w:rsidR="004C181D" w:rsidRPr="00772D93">
        <w:rPr>
          <w:rFonts w:ascii="Book Antiqua" w:hAnsi="Book Antiqua" w:cs="Times New Roman"/>
          <w:sz w:val="24"/>
          <w:szCs w:val="24"/>
        </w:rPr>
        <w:t xml:space="preserve"> electrodes on each side of the chest allow</w:t>
      </w:r>
      <w:r w:rsidR="00216EA9" w:rsidRPr="00772D93">
        <w:rPr>
          <w:rFonts w:ascii="Book Antiqua" w:hAnsi="Book Antiqua" w:cs="Times New Roman"/>
          <w:sz w:val="24"/>
          <w:szCs w:val="24"/>
        </w:rPr>
        <w:t>s</w:t>
      </w:r>
      <w:r w:rsidR="004C181D" w:rsidRPr="00772D93">
        <w:rPr>
          <w:rFonts w:ascii="Book Antiqua" w:hAnsi="Book Antiqua" w:cs="Times New Roman"/>
          <w:sz w:val="24"/>
          <w:szCs w:val="24"/>
        </w:rPr>
        <w:t xml:space="preserve"> additional electrical circuits between electrodes, which enables calculation of the chest wall impedance and its subtraction from TI; this approach increase</w:t>
      </w:r>
      <w:r w:rsidR="00216EA9" w:rsidRPr="00772D93">
        <w:rPr>
          <w:rFonts w:ascii="Book Antiqua" w:hAnsi="Book Antiqua" w:cs="Times New Roman"/>
          <w:sz w:val="24"/>
          <w:szCs w:val="24"/>
        </w:rPr>
        <w:t>s</w:t>
      </w:r>
      <w:r w:rsidR="004C181D" w:rsidRPr="00772D93">
        <w:rPr>
          <w:rFonts w:ascii="Book Antiqua" w:hAnsi="Book Antiqua" w:cs="Times New Roman"/>
          <w:sz w:val="24"/>
          <w:szCs w:val="24"/>
        </w:rPr>
        <w:t xml:space="preserve"> </w:t>
      </w:r>
      <w:r w:rsidR="00216EA9" w:rsidRPr="00772D93">
        <w:rPr>
          <w:rFonts w:ascii="Book Antiqua" w:hAnsi="Book Antiqua" w:cs="Times New Roman"/>
          <w:sz w:val="24"/>
          <w:szCs w:val="24"/>
        </w:rPr>
        <w:t xml:space="preserve">the sensitivity of the device to measure changes in lung fluid content </w:t>
      </w:r>
      <w:r w:rsidR="004C181D" w:rsidRPr="00772D93">
        <w:rPr>
          <w:rFonts w:ascii="Book Antiqua" w:hAnsi="Book Antiqua" w:cs="Times New Roman"/>
          <w:sz w:val="24"/>
          <w:szCs w:val="24"/>
        </w:rPr>
        <w:t>by approximately 25</w:t>
      </w:r>
      <w:r w:rsidR="00AE580E" w:rsidRPr="00772D93">
        <w:rPr>
          <w:rFonts w:ascii="Book Antiqua" w:hAnsi="Book Antiqua" w:cs="Times New Roman"/>
          <w:sz w:val="24"/>
          <w:szCs w:val="24"/>
        </w:rPr>
        <w:t xml:space="preserve"> times</w:t>
      </w:r>
      <w:r w:rsidR="004C181D" w:rsidRPr="00772D93">
        <w:rPr>
          <w:rFonts w:ascii="Book Antiqua" w:hAnsi="Book Antiqua" w:cs="Times New Roman"/>
          <w:sz w:val="24"/>
          <w:szCs w:val="24"/>
          <w:vertAlign w:val="superscript"/>
        </w:rPr>
        <w:fldChar w:fldCharType="begin"/>
      </w:r>
      <w:r w:rsidR="002F1D8E" w:rsidRPr="00772D93">
        <w:rPr>
          <w:rFonts w:ascii="Book Antiqua" w:hAnsi="Book Antiqua" w:cs="Times New Roman"/>
          <w:sz w:val="24"/>
          <w:szCs w:val="24"/>
          <w:vertAlign w:val="superscript"/>
        </w:rPr>
        <w:instrText xml:space="preserve"> ADDIN ZOTERO_ITEM CSL_CITATION {"citationID":"9YsUpk9S","properties":{"formattedCitation":"(3)","plainCitation":"(3)","dontUpdate":true,"noteIndex":0},"citationItems":[{"id":68,"uris":["http://zotero.org/users/local/SMqWT9IS/items/42K3H4QE"],"uri":["http://zotero.org/users/local/SMqWT9IS/items/42K3H4QE"],"itemData":{"id":68,"type":"article-journal","title":"Non-Invasive Lung IMPEDANCE-Guided Preemptive Treatment in Chronic Heart Failure Patients: A Randomized Controlled Trial (IMPEDANCE-HF Trial)","container-title":"Journal of Cardiac Failure","page":"713-722","volume":"22","issue":"9","source":"PubMed","abstract":"BACKGROUND: Previous investigations have suggested that lung impedance (LI)-guided treatment reduces hospitalizations for acute heart failure (AHF). A single-blind 2-center trial was performed to evaluate this hypothesis (ClinicalTrials.gov-NCT01315223).\nMETHODS: The study population included 256 patients from 2 medical centers with chronic heart failure and left ventricular ejection fraction ≤35% in New York Heart Association class II-IV, who were admitted for AHF within 12 months before recruitment. Patients were randomized to a control group treated by clinical assessment and a monitored group whose therapy was also assisted by LI, and followed for at least 12 months. Noninvasive LI measurements were performed with a new high-sensitivity device. Patients, blinded to their assignment group, were scheduled for monthly visits in the outpatient clinics. The primary efficacy endpoint was AHF hospitalizations; the secondary endpoints were all-cause hospitalizations and mortality.\nRESULTS: There were 67 vs 158 AHF hospitalizations during the first year (P</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&lt;</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.001) and 211 vs 386 AHF hospitalizations (P</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&lt;</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.001) during the entire follow-up among the monitored patients (48</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Book Antiqua"/>
          <w:sz w:val="24"/>
          <w:szCs w:val="24"/>
          <w:vertAlign w:val="superscript"/>
        </w:rPr>
        <w:instrText>±</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32 months) and control patients (39</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Book Antiqua"/>
          <w:sz w:val="24"/>
          <w:szCs w:val="24"/>
          <w:vertAlign w:val="superscript"/>
        </w:rPr>
        <w:instrText>±</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26 months, P</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.01), respectively. During the follow-up, there were 42 and 59 deaths (hazard ratio</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0.52, 95% confidence interval 0.35-0.78, P</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.002) with 13 and 31 of them resulting from heart failure (hazard ratio</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0.30, 95% confidence interval 0.15-0.58 P</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&lt;</w:instrText>
      </w:r>
      <w:r w:rsidR="002F1D8E" w:rsidRPr="00772D93">
        <w:rPr>
          <w:rFonts w:ascii="Times New Roman" w:hAnsi="Times New Roman" w:cs="Times New Roman"/>
          <w:sz w:val="24"/>
          <w:szCs w:val="24"/>
          <w:vertAlign w:val="superscript"/>
        </w:rPr>
        <w:instrText> </w:instrText>
      </w:r>
      <w:r w:rsidR="002F1D8E" w:rsidRPr="00772D93">
        <w:rPr>
          <w:rFonts w:ascii="Book Antiqua" w:hAnsi="Book Antiqua" w:cs="Times New Roman"/>
          <w:sz w:val="24"/>
          <w:szCs w:val="24"/>
          <w:vertAlign w:val="superscript"/>
        </w:rPr>
        <w:instrText xml:space="preserve">.001) in the monitored and control groups, respectively. The incidence of noncardiovascular death was similar.\nCONCLUSION: Our results seem to validate the concept that LI-guided preemptive treatment of chronic heart failure patients reduces hospitalizations for AHF as well as the incidence of heart failure, cardiovascular, and all-cause mortality.","DOI":"10.1016/j.cardfail.2016.03.015","ISSN":"1532-8414","note":"PMID: 27058408","shortTitle":"Non-Invasive Lung IMPEDANCE-Guided Preemptive Treatment in Chronic Heart Failure Patients","journalAbbreviation":"J. Card. Fail.","language":"eng","author":[{"family":"Shochat","given":"Michael Kleiner"},{"family":"Shotan","given":"Avraham"},{"family":"Blondheim","given":"David S."},{"family":"Kazatsker","given":"Mark"},{"family":"Dahan","given":"Iris"},{"family":"Asif","given":"Aya"},{"family":"Rozenman","given":"Yoseph"},{"family":"Kleiner","given":"Ilia"},{"family":"Weinstein","given":"Jean Marc"},{"family":"Frimerman","given":"Aaron"},{"family":"Vasilenko","given":"Lubov"},{"family":"Meisel","given":"Simcha R."}],"issued":{"date-parts":[["2016",9]]}}}],"schema":"https://github.com/citation-style-language/schema/raw/master/csl-citation.json"} </w:instrText>
      </w:r>
      <w:r w:rsidR="004C181D" w:rsidRPr="00772D93">
        <w:rPr>
          <w:rFonts w:ascii="Book Antiqua" w:hAnsi="Book Antiqua" w:cs="Times New Roman"/>
          <w:sz w:val="24"/>
          <w:szCs w:val="24"/>
          <w:vertAlign w:val="superscript"/>
        </w:rPr>
        <w:fldChar w:fldCharType="separate"/>
      </w:r>
      <w:r w:rsidR="004C181D" w:rsidRPr="00772D93">
        <w:rPr>
          <w:rFonts w:ascii="Book Antiqua" w:hAnsi="Book Antiqua" w:cs="Times New Roman"/>
          <w:sz w:val="24"/>
          <w:szCs w:val="24"/>
          <w:vertAlign w:val="superscript"/>
        </w:rPr>
        <w:t>[3</w:t>
      </w:r>
      <w:r w:rsidR="004C181D" w:rsidRPr="00772D93">
        <w:rPr>
          <w:rFonts w:ascii="Book Antiqua" w:hAnsi="Book Antiqua" w:cs="Times New Roman"/>
          <w:sz w:val="24"/>
          <w:szCs w:val="24"/>
          <w:vertAlign w:val="superscript"/>
        </w:rPr>
        <w:fldChar w:fldCharType="end"/>
      </w:r>
      <w:r w:rsidR="004C181D" w:rsidRPr="00772D93">
        <w:rPr>
          <w:rFonts w:ascii="Book Antiqua" w:hAnsi="Book Antiqua" w:cs="Times New Roman"/>
          <w:sz w:val="24"/>
          <w:szCs w:val="24"/>
          <w:vertAlign w:val="superscript"/>
        </w:rPr>
        <w:t>]</w:t>
      </w:r>
      <w:r w:rsidR="004C181D" w:rsidRPr="00772D93">
        <w:rPr>
          <w:rFonts w:ascii="Book Antiqua" w:hAnsi="Book Antiqua" w:cs="Times New Roman"/>
          <w:sz w:val="24"/>
          <w:szCs w:val="24"/>
        </w:rPr>
        <w:t>.</w:t>
      </w:r>
      <w:r w:rsidR="004F22D0" w:rsidRPr="00772D93">
        <w:rPr>
          <w:rFonts w:ascii="Book Antiqua" w:hAnsi="Book Antiqua" w:cs="Times New Roman"/>
          <w:sz w:val="24"/>
          <w:szCs w:val="24"/>
        </w:rPr>
        <w:t xml:space="preserve"> </w:t>
      </w:r>
      <w:r w:rsidR="004C181D" w:rsidRPr="00772D93">
        <w:rPr>
          <w:rFonts w:ascii="Book Antiqua" w:hAnsi="Book Antiqua" w:cs="Times New Roman"/>
          <w:sz w:val="24"/>
          <w:szCs w:val="24"/>
        </w:rPr>
        <w:t xml:space="preserve">As a result, preemptive treatment of </w:t>
      </w:r>
      <w:r w:rsidR="00216EA9" w:rsidRPr="00772D93">
        <w:rPr>
          <w:rFonts w:ascii="Book Antiqua" w:hAnsi="Book Antiqua" w:cs="Times New Roman"/>
          <w:sz w:val="24"/>
          <w:szCs w:val="24"/>
        </w:rPr>
        <w:t xml:space="preserve">an </w:t>
      </w:r>
      <w:r w:rsidR="004C181D" w:rsidRPr="00772D93">
        <w:rPr>
          <w:rFonts w:ascii="Book Antiqua" w:hAnsi="Book Antiqua" w:cs="Times New Roman"/>
          <w:sz w:val="24"/>
          <w:szCs w:val="24"/>
        </w:rPr>
        <w:t>evolving pulmonary congestion c</w:t>
      </w:r>
      <w:r w:rsidR="00216EA9" w:rsidRPr="00772D93">
        <w:rPr>
          <w:rFonts w:ascii="Book Antiqua" w:hAnsi="Book Antiqua" w:cs="Times New Roman"/>
          <w:sz w:val="24"/>
          <w:szCs w:val="24"/>
        </w:rPr>
        <w:t>an</w:t>
      </w:r>
      <w:r w:rsidR="004C181D" w:rsidRPr="00772D93">
        <w:rPr>
          <w:rFonts w:ascii="Book Antiqua" w:hAnsi="Book Antiqua" w:cs="Times New Roman"/>
          <w:sz w:val="24"/>
          <w:szCs w:val="24"/>
        </w:rPr>
        <w:t xml:space="preserve"> be initiated very early, a therapeutic policy </w:t>
      </w:r>
      <w:r w:rsidR="00216EA9" w:rsidRPr="00772D93">
        <w:rPr>
          <w:rFonts w:ascii="Book Antiqua" w:hAnsi="Book Antiqua" w:cs="Times New Roman"/>
          <w:sz w:val="24"/>
          <w:szCs w:val="24"/>
        </w:rPr>
        <w:t xml:space="preserve">that </w:t>
      </w:r>
      <w:r w:rsidR="008B3902" w:rsidRPr="00772D93">
        <w:rPr>
          <w:rFonts w:ascii="Book Antiqua" w:hAnsi="Book Antiqua" w:cs="Times New Roman"/>
          <w:sz w:val="24"/>
          <w:szCs w:val="24"/>
        </w:rPr>
        <w:t>has proven its</w:t>
      </w:r>
      <w:r w:rsidR="004C181D" w:rsidRPr="00772D93">
        <w:rPr>
          <w:rFonts w:ascii="Book Antiqua" w:hAnsi="Book Antiqua" w:cs="Times New Roman"/>
          <w:sz w:val="24"/>
          <w:szCs w:val="24"/>
        </w:rPr>
        <w:t xml:space="preserve"> effective</w:t>
      </w:r>
      <w:r w:rsidR="008B3902" w:rsidRPr="00772D93">
        <w:rPr>
          <w:rFonts w:ascii="Book Antiqua" w:hAnsi="Book Antiqua" w:cs="Times New Roman"/>
          <w:sz w:val="24"/>
          <w:szCs w:val="24"/>
        </w:rPr>
        <w:t>ness</w:t>
      </w:r>
      <w:r w:rsidR="004C181D" w:rsidRPr="00772D93">
        <w:rPr>
          <w:rFonts w:ascii="Book Antiqua" w:hAnsi="Book Antiqua" w:cs="Times New Roman"/>
          <w:sz w:val="24"/>
          <w:szCs w:val="24"/>
        </w:rPr>
        <w:t xml:space="preserve"> in patients with ST elevation myocardial infarction</w:t>
      </w:r>
      <w:r w:rsidR="00F32890" w:rsidRPr="00772D93">
        <w:rPr>
          <w:rFonts w:ascii="Book Antiqua" w:hAnsi="Book Antiqua" w:cs="Times New Roman"/>
          <w:sz w:val="24"/>
          <w:szCs w:val="24"/>
        </w:rPr>
        <w:fldChar w:fldCharType="begin"/>
      </w:r>
      <w:r w:rsidR="008275C8" w:rsidRPr="00772D93">
        <w:rPr>
          <w:rFonts w:ascii="Book Antiqua" w:hAnsi="Book Antiqua" w:cs="Times New Roman"/>
          <w:sz w:val="24"/>
          <w:szCs w:val="24"/>
        </w:rPr>
        <w:instrText xml:space="preserve"> ADDIN ZOTERO_ITEM CSL_CITATION {"citationID":"UqGMij98","properties":{"formattedCitation":"\\super [11]\\nosupersub{}","plainCitation":"[11]","noteIndex":0},"citationItems":[{"id":166,"uris":["http://zotero.org/users/local/SMqWT9IS/items/CU4A7EU4"],"uri":["http://zotero.org/users/local/SMqWT9IS/items/CU4A7EU4"],"itemData":{"id":166,"type":"article-journal","title":"Usefulness of Lung Impedance-Guided Pre-Emptive Therapy to Prevent Pulmonary Edema During ST-Elevation Myocardial Infarction and to Improve Long-Term Outcomes","container-title":"The American Journal of Cardiology","page":"190-196","volume":"110","issue":"2","source":"ScienceDirect","abstract":"Patients sustaining an ST-segment elevation myocardial infarction (STEMI) frequently develop pulmonary congestion or pulmonary edema (PED). We previously showed that lung impedance (LI) threshold decrease of 12% to 14% from baseline during admission for STEMI marks the onset of the transition zone from interstitial to alveolar edema and predicts evolution to PED with 98% probability. The aim of this study was to prove that pre-emptive LI-guided treatment may prevent PED and improve clinical outcomes. Five hundred sixty patients with STEMI and no signs of heart failure underwent LI monitoring for 84 ± 36 hours. Maximal LI decrease throughout monitoring did not exceed 12% in 347 patients who did not develop PED (group 1). In 213 patients LI reached the threshold level and, although still asymptomatic (Killip class I), these patients were then randomized to conventional (group 2, n = 142) or LI-guided (group 3, n = 71) pre-emptive therapy. In group 3, treatment was initiated at randomization (LI = −13.8 ± 0.6%). In contrast, conventionally treated patients (group 2) were treated only at onset of dyspnea occurring 4.1 ± 3.1 hours after randomization (LI = −25.8 ± 4.3%, p &lt;0.001). All patients in group 2 but only 8 patients in group 3 (11%) developed Killip class II to IV PED (p &lt;0.001). Unadjusted hospital mortality, length of stay, 1-year readmission rate, 6-year mortality, and new-onset heart failure occurred less in group 3 (p &lt;0.001). Multivariate analysis adjusted for age, left ventricular ejection fraction, risk factors, peak creatine kinase, and admission creatinine and hemoglobin levels showed improved clinical outcome in group 3 (p &lt;0.001). In conclusion, LI-guided pre-emptive therapy in patients with STEMI decreases the incidence of in-hospital PED and results in better short- and long-term outcomes.","DOI":"10.1016/j.amjcard.2012.03.009","ISSN":"0002-9149","journalAbbreviation":"The American Journal of Cardiology","author":[{"family":"Shochat","given":"Michael"},{"family":"Shotan","given":"Avraham"},{"family":"Blondheim","given":"David S."},{"family":"Kazatsker","given":"Mark"},{"family":"Dahan","given":"Iris"},{"family":"Asif","given":"Aya"},{"family":"Shochat","given":"Ilia"},{"family":"Rabinovich","given":"Paul"},{"family":"Rozenman","given":"Yoseph"},{"family":"Meisel","given":"Simcha R."}],"issued":{"date-parts":[["2012",7,15]]}}}],"schema":"https://github.com/citation-style-language/schema/raw/master/csl-citation.json"} </w:instrText>
      </w:r>
      <w:r w:rsidR="00F32890" w:rsidRPr="00772D93">
        <w:rPr>
          <w:rFonts w:ascii="Book Antiqua" w:hAnsi="Book Antiqua" w:cs="Times New Roman"/>
          <w:sz w:val="24"/>
          <w:szCs w:val="24"/>
        </w:rPr>
        <w:fldChar w:fldCharType="separate"/>
      </w:r>
      <w:r w:rsidR="008275C8" w:rsidRPr="00772D93">
        <w:rPr>
          <w:rFonts w:ascii="Book Antiqua" w:hAnsi="Book Antiqua" w:cs="Times New Roman"/>
          <w:sz w:val="24"/>
          <w:szCs w:val="24"/>
          <w:vertAlign w:val="superscript"/>
        </w:rPr>
        <w:t>[11]</w:t>
      </w:r>
      <w:r w:rsidR="00F32890" w:rsidRPr="00772D93">
        <w:rPr>
          <w:rFonts w:ascii="Book Antiqua" w:hAnsi="Book Antiqua" w:cs="Times New Roman"/>
          <w:sz w:val="24"/>
          <w:szCs w:val="24"/>
        </w:rPr>
        <w:fldChar w:fldCharType="end"/>
      </w:r>
      <w:r w:rsidR="004C181D" w:rsidRPr="00772D93">
        <w:rPr>
          <w:rFonts w:ascii="Book Antiqua" w:hAnsi="Book Antiqua" w:cs="Times New Roman"/>
          <w:sz w:val="24"/>
          <w:szCs w:val="24"/>
        </w:rPr>
        <w:t xml:space="preserve">. </w:t>
      </w:r>
      <w:r w:rsidR="00912BCC" w:rsidRPr="00772D93">
        <w:rPr>
          <w:rFonts w:ascii="Book Antiqua" w:hAnsi="Book Antiqua" w:cs="Times New Roman"/>
          <w:sz w:val="24"/>
          <w:szCs w:val="24"/>
        </w:rPr>
        <w:t xml:space="preserve">Our experience with these patients </w:t>
      </w:r>
      <w:r w:rsidR="008953AF" w:rsidRPr="00772D93">
        <w:rPr>
          <w:rFonts w:ascii="Book Antiqua" w:hAnsi="Book Antiqua" w:cs="Times New Roman"/>
          <w:sz w:val="24"/>
          <w:szCs w:val="24"/>
        </w:rPr>
        <w:t xml:space="preserve">suggests </w:t>
      </w:r>
      <w:r w:rsidR="00A239B3" w:rsidRPr="00772D93">
        <w:rPr>
          <w:rFonts w:ascii="Book Antiqua" w:hAnsi="Book Antiqua" w:cs="Times New Roman"/>
          <w:sz w:val="24"/>
          <w:szCs w:val="24"/>
        </w:rPr>
        <w:t xml:space="preserve">the </w:t>
      </w:r>
      <w:r w:rsidR="00714E64" w:rsidRPr="00772D93">
        <w:rPr>
          <w:rFonts w:ascii="Book Antiqua" w:hAnsi="Book Antiqua" w:cs="Times New Roman"/>
          <w:sz w:val="24"/>
          <w:szCs w:val="24"/>
        </w:rPr>
        <w:t>EGM</w:t>
      </w:r>
      <w:r w:rsidR="00912BCC" w:rsidRPr="00772D93">
        <w:rPr>
          <w:rFonts w:ascii="Book Antiqua" w:hAnsi="Book Antiqua" w:cs="Times New Roman"/>
          <w:sz w:val="24"/>
          <w:szCs w:val="24"/>
        </w:rPr>
        <w:t xml:space="preserve"> to be a </w:t>
      </w:r>
      <w:r w:rsidR="008953AF" w:rsidRPr="00772D93">
        <w:rPr>
          <w:rFonts w:ascii="Book Antiqua" w:hAnsi="Book Antiqua" w:cs="Times New Roman"/>
          <w:sz w:val="24"/>
          <w:szCs w:val="24"/>
        </w:rPr>
        <w:t>practical tool</w:t>
      </w:r>
      <w:r w:rsidR="005C3C06" w:rsidRPr="00772D93">
        <w:rPr>
          <w:rFonts w:ascii="Book Antiqua" w:hAnsi="Book Antiqua" w:cs="Times New Roman"/>
          <w:sz w:val="24"/>
          <w:szCs w:val="24"/>
        </w:rPr>
        <w:t xml:space="preserve"> </w:t>
      </w:r>
      <w:r w:rsidR="00A239B3" w:rsidRPr="00772D93">
        <w:rPr>
          <w:rFonts w:ascii="Book Antiqua" w:hAnsi="Book Antiqua" w:cs="Times New Roman"/>
          <w:sz w:val="24"/>
          <w:szCs w:val="24"/>
        </w:rPr>
        <w:t xml:space="preserve">that </w:t>
      </w:r>
      <w:r w:rsidR="00912BCC" w:rsidRPr="00772D93">
        <w:rPr>
          <w:rFonts w:ascii="Book Antiqua" w:hAnsi="Book Antiqua" w:cs="Times New Roman"/>
          <w:sz w:val="24"/>
          <w:szCs w:val="24"/>
        </w:rPr>
        <w:t xml:space="preserve">can be used </w:t>
      </w:r>
      <w:r w:rsidR="008953AF" w:rsidRPr="00772D93">
        <w:rPr>
          <w:rFonts w:ascii="Book Antiqua" w:hAnsi="Book Antiqua" w:cs="Times New Roman"/>
          <w:sz w:val="24"/>
          <w:szCs w:val="24"/>
        </w:rPr>
        <w:t xml:space="preserve">for </w:t>
      </w:r>
      <w:r w:rsidR="00912BCC" w:rsidRPr="00772D93">
        <w:rPr>
          <w:rFonts w:ascii="Book Antiqua" w:hAnsi="Book Antiqua" w:cs="Times New Roman"/>
          <w:sz w:val="24"/>
          <w:szCs w:val="24"/>
        </w:rPr>
        <w:t>monitoring</w:t>
      </w:r>
      <w:r w:rsidR="00A239B3" w:rsidRPr="00772D93">
        <w:rPr>
          <w:rFonts w:ascii="Book Antiqua" w:hAnsi="Book Antiqua" w:cs="Times New Roman"/>
          <w:sz w:val="24"/>
          <w:szCs w:val="24"/>
        </w:rPr>
        <w:t xml:space="preserve"> of </w:t>
      </w:r>
      <w:r w:rsidR="00912BCC" w:rsidRPr="00772D93">
        <w:rPr>
          <w:rFonts w:ascii="Book Antiqua" w:hAnsi="Book Antiqua" w:cs="Times New Roman"/>
          <w:sz w:val="24"/>
          <w:szCs w:val="24"/>
        </w:rPr>
        <w:t xml:space="preserve">lung </w:t>
      </w:r>
      <w:r w:rsidR="008953AF" w:rsidRPr="00772D93">
        <w:rPr>
          <w:rFonts w:ascii="Book Antiqua" w:hAnsi="Book Antiqua" w:cs="Times New Roman"/>
          <w:sz w:val="24"/>
          <w:szCs w:val="24"/>
        </w:rPr>
        <w:t>fluid</w:t>
      </w:r>
      <w:r w:rsidR="00912BCC" w:rsidRPr="00772D93">
        <w:rPr>
          <w:rFonts w:ascii="Book Antiqua" w:hAnsi="Book Antiqua" w:cs="Times New Roman"/>
          <w:sz w:val="24"/>
          <w:szCs w:val="24"/>
        </w:rPr>
        <w:t xml:space="preserve">, especially while adjusting the dose of diuretics. </w:t>
      </w:r>
      <w:r w:rsidR="00D2468A" w:rsidRPr="00772D93">
        <w:rPr>
          <w:rFonts w:ascii="Book Antiqua" w:hAnsi="Book Antiqua" w:cs="Times New Roman"/>
          <w:sz w:val="24"/>
          <w:szCs w:val="24"/>
        </w:rPr>
        <w:t xml:space="preserve">We </w:t>
      </w:r>
      <w:r w:rsidR="00B5487D" w:rsidRPr="00772D93">
        <w:rPr>
          <w:rFonts w:ascii="Book Antiqua" w:hAnsi="Book Antiqua" w:cs="Times New Roman"/>
          <w:sz w:val="24"/>
          <w:szCs w:val="24"/>
        </w:rPr>
        <w:t>have applied</w:t>
      </w:r>
      <w:r w:rsidR="00D2468A" w:rsidRPr="00772D93">
        <w:rPr>
          <w:rFonts w:ascii="Book Antiqua" w:hAnsi="Book Antiqua" w:cs="Times New Roman"/>
          <w:sz w:val="24"/>
          <w:szCs w:val="24"/>
        </w:rPr>
        <w:t xml:space="preserve"> a threshold of approximately 10</w:t>
      </w:r>
      <w:r w:rsidR="00B5487D" w:rsidRPr="00772D93">
        <w:rPr>
          <w:rFonts w:ascii="Book Antiqua" w:hAnsi="Book Antiqua" w:cs="Times New Roman"/>
          <w:sz w:val="24"/>
          <w:szCs w:val="24"/>
        </w:rPr>
        <w:t>% for reduction of</w:t>
      </w:r>
      <w:r w:rsidR="00D2468A" w:rsidRPr="00772D93">
        <w:rPr>
          <w:rFonts w:ascii="Book Antiqua" w:hAnsi="Book Antiqua" w:cs="Times New Roman"/>
          <w:sz w:val="24"/>
          <w:szCs w:val="24"/>
        </w:rPr>
        <w:t xml:space="preserve"> LI </w:t>
      </w:r>
      <w:r w:rsidR="00DC673E" w:rsidRPr="00772D93">
        <w:rPr>
          <w:rFonts w:ascii="Book Antiqua" w:hAnsi="Book Antiqua" w:cs="Times New Roman"/>
          <w:sz w:val="24"/>
          <w:szCs w:val="24"/>
        </w:rPr>
        <w:t xml:space="preserve">(from the initial value measured on discharge) </w:t>
      </w:r>
      <w:r w:rsidR="00D2468A" w:rsidRPr="00772D93">
        <w:rPr>
          <w:rFonts w:ascii="Book Antiqua" w:hAnsi="Book Antiqua" w:cs="Times New Roman"/>
          <w:sz w:val="24"/>
          <w:szCs w:val="24"/>
        </w:rPr>
        <w:t>for therapy adjustment</w:t>
      </w:r>
      <w:r w:rsidR="0085653B" w:rsidRPr="00772D93">
        <w:rPr>
          <w:rFonts w:ascii="Book Antiqua" w:hAnsi="Book Antiqua" w:cs="Times New Roman"/>
          <w:sz w:val="24"/>
          <w:szCs w:val="24"/>
        </w:rPr>
        <w:t>.</w:t>
      </w:r>
      <w:r w:rsidR="00D2468A" w:rsidRPr="00772D93">
        <w:rPr>
          <w:rFonts w:ascii="Book Antiqua" w:hAnsi="Book Antiqua" w:cs="Times New Roman"/>
          <w:sz w:val="24"/>
          <w:szCs w:val="24"/>
        </w:rPr>
        <w:t xml:space="preserve"> </w:t>
      </w:r>
      <w:r w:rsidR="0085653B" w:rsidRPr="00772D93">
        <w:rPr>
          <w:rFonts w:ascii="Book Antiqua" w:hAnsi="Book Antiqua" w:cs="Times New Roman"/>
          <w:sz w:val="24"/>
          <w:szCs w:val="24"/>
        </w:rPr>
        <w:t>T</w:t>
      </w:r>
      <w:r w:rsidR="00D2468A" w:rsidRPr="00772D93">
        <w:rPr>
          <w:rFonts w:ascii="Book Antiqua" w:hAnsi="Book Antiqua" w:cs="Times New Roman"/>
          <w:sz w:val="24"/>
          <w:szCs w:val="24"/>
        </w:rPr>
        <w:t>his value is based on previous publications showing the LI dynamics during HF hospitalization and our own experience</w:t>
      </w:r>
      <w:r w:rsidR="00850A12" w:rsidRPr="00772D93">
        <w:rPr>
          <w:rFonts w:ascii="Book Antiqua" w:hAnsi="Book Antiqua" w:cs="Times New Roman"/>
          <w:sz w:val="24"/>
          <w:szCs w:val="24"/>
        </w:rPr>
        <w:fldChar w:fldCharType="begin"/>
      </w:r>
      <w:r w:rsidR="00850A12" w:rsidRPr="00772D93">
        <w:rPr>
          <w:rFonts w:ascii="Book Antiqua" w:hAnsi="Book Antiqua" w:cs="Times New Roman"/>
          <w:sz w:val="24"/>
          <w:szCs w:val="24"/>
        </w:rPr>
        <w:instrText xml:space="preserve"> ADDIN ZOTERO_ITEM CSL_CITATION {"citationID":"4sHy0pzJ","properties":{"formattedCitation":"\\super [12]\\nosupersub{}","plainCitation":"[12]","noteIndex":0},"citationItems":[{"id":190,"uris":["http://zotero.org/users/local/SMqWT9IS/items/KXP7AYLC"],"uri":["http://zotero.org/users/local/SMqWT9IS/items/KXP7AYLC"],"itemData":{"id":190,"type":"book","title":"DOCTORAL DISSERTATION: \"TELEMONITORING TECHNOLOGIES FOR HEART FAILURE PATIENTS:OPINIONS OF PROFESSIONALS, PATIENT-REPORTED OUTCOMES AND MEASUREMENTS OF LUNG IMPEDANCE\"","author":[{"family":"Edita Lycholip; Jelena Čelutkienė","given":""}]}}],"schema":"https://github.com/citation-style-language/schema/raw/master/csl-citation.json"} </w:instrText>
      </w:r>
      <w:r w:rsidR="00850A12" w:rsidRPr="00772D93">
        <w:rPr>
          <w:rFonts w:ascii="Book Antiqua" w:hAnsi="Book Antiqua" w:cs="Times New Roman"/>
          <w:sz w:val="24"/>
          <w:szCs w:val="24"/>
        </w:rPr>
        <w:fldChar w:fldCharType="separate"/>
      </w:r>
      <w:r w:rsidR="009831D3">
        <w:rPr>
          <w:rFonts w:ascii="Book Antiqua" w:hAnsi="Book Antiqua" w:cs="Times New Roman"/>
          <w:sz w:val="24"/>
          <w:szCs w:val="24"/>
          <w:vertAlign w:val="superscript"/>
        </w:rPr>
        <w:t>[12,</w:t>
      </w:r>
      <w:r w:rsidR="009831D3">
        <w:rPr>
          <w:rFonts w:ascii="Book Antiqua" w:hAnsi="Book Antiqua" w:cs="Times New Roman" w:hint="eastAsia"/>
          <w:sz w:val="24"/>
          <w:szCs w:val="24"/>
          <w:vertAlign w:val="superscript"/>
          <w:lang w:eastAsia="zh-CN"/>
        </w:rPr>
        <w:t>1</w:t>
      </w:r>
      <w:r w:rsidR="00B319FA">
        <w:rPr>
          <w:rFonts w:ascii="Book Antiqua" w:hAnsi="Book Antiqua" w:cs="Times New Roman" w:hint="eastAsia"/>
          <w:sz w:val="24"/>
          <w:szCs w:val="24"/>
          <w:vertAlign w:val="superscript"/>
          <w:lang w:eastAsia="zh-CN"/>
        </w:rPr>
        <w:t>3</w:t>
      </w:r>
      <w:r w:rsidR="00850A12" w:rsidRPr="00772D93">
        <w:rPr>
          <w:rFonts w:ascii="Book Antiqua" w:hAnsi="Book Antiqua" w:cs="Times New Roman"/>
          <w:sz w:val="24"/>
          <w:szCs w:val="24"/>
          <w:vertAlign w:val="superscript"/>
        </w:rPr>
        <w:t>]</w:t>
      </w:r>
      <w:r w:rsidR="00850A12" w:rsidRPr="00772D93">
        <w:rPr>
          <w:rFonts w:ascii="Book Antiqua" w:hAnsi="Book Antiqua" w:cs="Times New Roman"/>
          <w:sz w:val="24"/>
          <w:szCs w:val="24"/>
        </w:rPr>
        <w:fldChar w:fldCharType="end"/>
      </w:r>
      <w:r w:rsidR="00D2468A" w:rsidRPr="00772D93">
        <w:rPr>
          <w:rFonts w:ascii="Book Antiqua" w:hAnsi="Book Antiqua" w:cs="Times New Roman"/>
          <w:sz w:val="24"/>
          <w:szCs w:val="24"/>
        </w:rPr>
        <w:t xml:space="preserve"> </w:t>
      </w:r>
      <w:r w:rsidR="00A239B3" w:rsidRPr="00772D93">
        <w:rPr>
          <w:rFonts w:ascii="Book Antiqua" w:hAnsi="Book Antiqua" w:cs="Times New Roman"/>
          <w:sz w:val="24"/>
          <w:szCs w:val="24"/>
        </w:rPr>
        <w:t xml:space="preserve">The presented example of </w:t>
      </w:r>
      <w:r w:rsidR="00DA13F0" w:rsidRPr="009831D3">
        <w:rPr>
          <w:rFonts w:ascii="Book Antiqua" w:hAnsi="Book Antiqua" w:cs="Times New Roman"/>
          <w:sz w:val="24"/>
          <w:szCs w:val="24"/>
        </w:rPr>
        <w:t>Patient 1</w:t>
      </w:r>
      <w:r w:rsidR="00DA13F0" w:rsidRPr="00772D93">
        <w:rPr>
          <w:rFonts w:ascii="Book Antiqua" w:hAnsi="Book Antiqua" w:cs="Times New Roman"/>
          <w:sz w:val="24"/>
          <w:szCs w:val="24"/>
        </w:rPr>
        <w:t xml:space="preserve"> clearly illustrates</w:t>
      </w:r>
      <w:r w:rsidR="00A239B3" w:rsidRPr="00772D93">
        <w:rPr>
          <w:rFonts w:ascii="Book Antiqua" w:hAnsi="Book Antiqua" w:cs="Times New Roman"/>
          <w:sz w:val="24"/>
          <w:szCs w:val="24"/>
        </w:rPr>
        <w:t xml:space="preserve"> a</w:t>
      </w:r>
      <w:r w:rsidR="00DA13F0" w:rsidRPr="00772D93">
        <w:rPr>
          <w:rFonts w:ascii="Book Antiqua" w:hAnsi="Book Antiqua" w:cs="Times New Roman"/>
          <w:sz w:val="24"/>
          <w:szCs w:val="24"/>
        </w:rPr>
        <w:t xml:space="preserve"> high dependence of the LI value on the use of diuretic</w:t>
      </w:r>
      <w:r w:rsidR="00A239B3" w:rsidRPr="00772D93">
        <w:rPr>
          <w:rFonts w:ascii="Book Antiqua" w:hAnsi="Book Antiqua" w:cs="Times New Roman"/>
          <w:sz w:val="24"/>
          <w:szCs w:val="24"/>
        </w:rPr>
        <w:t>s,</w:t>
      </w:r>
      <w:r w:rsidR="00DA13F0" w:rsidRPr="00772D93">
        <w:rPr>
          <w:rFonts w:ascii="Book Antiqua" w:hAnsi="Book Antiqua" w:cs="Times New Roman"/>
          <w:sz w:val="24"/>
          <w:szCs w:val="24"/>
        </w:rPr>
        <w:t xml:space="preserve"> reflect</w:t>
      </w:r>
      <w:r w:rsidR="00E62709" w:rsidRPr="00772D93">
        <w:rPr>
          <w:rFonts w:ascii="Book Antiqua" w:hAnsi="Book Antiqua" w:cs="Times New Roman"/>
          <w:sz w:val="24"/>
          <w:szCs w:val="24"/>
        </w:rPr>
        <w:t>ing</w:t>
      </w:r>
      <w:r w:rsidR="00DA13F0" w:rsidRPr="00772D93">
        <w:rPr>
          <w:rFonts w:ascii="Book Antiqua" w:hAnsi="Book Antiqua" w:cs="Times New Roman"/>
          <w:sz w:val="24"/>
          <w:szCs w:val="24"/>
        </w:rPr>
        <w:t xml:space="preserve"> </w:t>
      </w:r>
      <w:r w:rsidR="00A239B3" w:rsidRPr="00772D93">
        <w:rPr>
          <w:rFonts w:ascii="Book Antiqua" w:hAnsi="Book Antiqua" w:cs="Times New Roman"/>
          <w:sz w:val="24"/>
          <w:szCs w:val="24"/>
        </w:rPr>
        <w:t xml:space="preserve">an </w:t>
      </w:r>
      <w:r w:rsidR="00DA13F0" w:rsidRPr="00772D93">
        <w:rPr>
          <w:rFonts w:ascii="Book Antiqua" w:hAnsi="Book Antiqua" w:cs="Times New Roman"/>
          <w:sz w:val="24"/>
          <w:szCs w:val="24"/>
        </w:rPr>
        <w:t>increase in congestion following after the day when the medication was not taken.</w:t>
      </w:r>
      <w:r w:rsidR="00E96819" w:rsidRPr="00772D93">
        <w:rPr>
          <w:rFonts w:ascii="Book Antiqua" w:hAnsi="Book Antiqua" w:cs="Times New Roman"/>
          <w:sz w:val="24"/>
          <w:szCs w:val="24"/>
        </w:rPr>
        <w:t xml:space="preserve"> </w:t>
      </w:r>
    </w:p>
    <w:p w14:paraId="55418B64" w14:textId="48A032D3" w:rsidR="00F51D71" w:rsidRPr="00772D93" w:rsidRDefault="009D62EE" w:rsidP="009831D3">
      <w:pPr>
        <w:spacing w:after="0" w:line="360" w:lineRule="auto"/>
        <w:ind w:firstLineChars="100" w:firstLine="240"/>
        <w:jc w:val="both"/>
        <w:rPr>
          <w:rFonts w:ascii="Book Antiqua" w:hAnsi="Book Antiqua" w:cs="Times New Roman"/>
          <w:sz w:val="24"/>
          <w:szCs w:val="24"/>
        </w:rPr>
      </w:pPr>
      <w:r w:rsidRPr="00772D93">
        <w:rPr>
          <w:rFonts w:ascii="Book Antiqua" w:hAnsi="Book Antiqua" w:cs="Times New Roman"/>
          <w:sz w:val="24"/>
          <w:szCs w:val="24"/>
        </w:rPr>
        <w:lastRenderedPageBreak/>
        <w:t xml:space="preserve">Importantly, the </w:t>
      </w:r>
      <w:r w:rsidR="00E96819" w:rsidRPr="00772D93">
        <w:rPr>
          <w:rFonts w:ascii="Book Antiqua" w:hAnsi="Book Antiqua" w:cs="Times New Roman"/>
          <w:sz w:val="24"/>
          <w:szCs w:val="24"/>
        </w:rPr>
        <w:t>measure</w:t>
      </w:r>
      <w:r w:rsidR="00821FAB" w:rsidRPr="00772D93">
        <w:rPr>
          <w:rFonts w:ascii="Book Antiqua" w:hAnsi="Book Antiqua" w:cs="Times New Roman"/>
          <w:sz w:val="24"/>
          <w:szCs w:val="24"/>
        </w:rPr>
        <w:t>ment of</w:t>
      </w:r>
      <w:r w:rsidR="00E96819" w:rsidRPr="00772D93">
        <w:rPr>
          <w:rFonts w:ascii="Book Antiqua" w:hAnsi="Book Antiqua" w:cs="Times New Roman"/>
          <w:sz w:val="24"/>
          <w:szCs w:val="24"/>
        </w:rPr>
        <w:t xml:space="preserve"> LI with </w:t>
      </w:r>
      <w:r w:rsidR="00A239B3" w:rsidRPr="00772D93">
        <w:rPr>
          <w:rFonts w:ascii="Book Antiqua" w:hAnsi="Book Antiqua" w:cs="Times New Roman"/>
          <w:sz w:val="24"/>
          <w:szCs w:val="24"/>
        </w:rPr>
        <w:t xml:space="preserve">the </w:t>
      </w:r>
      <w:r w:rsidR="00E96819" w:rsidRPr="00772D93">
        <w:rPr>
          <w:rFonts w:ascii="Book Antiqua" w:hAnsi="Book Antiqua" w:cs="Times New Roman"/>
          <w:sz w:val="24"/>
          <w:szCs w:val="24"/>
        </w:rPr>
        <w:t xml:space="preserve">EGM </w:t>
      </w:r>
      <w:r w:rsidR="00821FAB" w:rsidRPr="00772D93">
        <w:rPr>
          <w:rFonts w:ascii="Book Antiqua" w:hAnsi="Book Antiqua" w:cs="Times New Roman"/>
          <w:sz w:val="24"/>
          <w:szCs w:val="24"/>
        </w:rPr>
        <w:t xml:space="preserve">at home requires the help of </w:t>
      </w:r>
      <w:r w:rsidR="00A239B3" w:rsidRPr="00772D93">
        <w:rPr>
          <w:rFonts w:ascii="Book Antiqua" w:hAnsi="Book Antiqua" w:cs="Times New Roman"/>
          <w:sz w:val="24"/>
          <w:szCs w:val="24"/>
        </w:rPr>
        <w:t xml:space="preserve">a </w:t>
      </w:r>
      <w:r w:rsidR="00821FAB" w:rsidRPr="00772D93">
        <w:rPr>
          <w:rFonts w:ascii="Book Antiqua" w:hAnsi="Book Antiqua" w:cs="Times New Roman"/>
          <w:sz w:val="24"/>
          <w:szCs w:val="24"/>
        </w:rPr>
        <w:t>caregiver to attach electrodes</w:t>
      </w:r>
      <w:r w:rsidR="00EF60C7" w:rsidRPr="00772D93">
        <w:rPr>
          <w:rFonts w:ascii="Book Antiqua" w:hAnsi="Book Antiqua" w:cs="Times New Roman"/>
          <w:sz w:val="24"/>
          <w:szCs w:val="24"/>
        </w:rPr>
        <w:t xml:space="preserve"> to the chest.</w:t>
      </w:r>
      <w:r w:rsidR="00821FAB" w:rsidRPr="00772D93">
        <w:rPr>
          <w:rFonts w:ascii="Book Antiqua" w:hAnsi="Book Antiqua" w:cs="Times New Roman"/>
          <w:sz w:val="24"/>
          <w:szCs w:val="24"/>
        </w:rPr>
        <w:t xml:space="preserve"> </w:t>
      </w:r>
      <w:r w:rsidR="00EF60C7" w:rsidRPr="00772D93">
        <w:rPr>
          <w:rFonts w:ascii="Book Antiqua" w:hAnsi="Book Antiqua" w:cs="Times New Roman"/>
          <w:sz w:val="24"/>
          <w:szCs w:val="24"/>
        </w:rPr>
        <w:t>Though</w:t>
      </w:r>
      <w:r w:rsidR="00E96819" w:rsidRPr="00772D93">
        <w:rPr>
          <w:rFonts w:ascii="Book Antiqua" w:hAnsi="Book Antiqua" w:cs="Times New Roman"/>
          <w:sz w:val="24"/>
          <w:szCs w:val="24"/>
        </w:rPr>
        <w:t xml:space="preserve"> not </w:t>
      </w:r>
      <w:r w:rsidR="00821FAB" w:rsidRPr="00772D93">
        <w:rPr>
          <w:rFonts w:ascii="Book Antiqua" w:hAnsi="Book Antiqua" w:cs="Times New Roman"/>
          <w:sz w:val="24"/>
          <w:szCs w:val="24"/>
        </w:rPr>
        <w:t xml:space="preserve">technically </w:t>
      </w:r>
      <w:r w:rsidR="00E96819" w:rsidRPr="00772D93">
        <w:rPr>
          <w:rFonts w:ascii="Book Antiqua" w:hAnsi="Book Antiqua" w:cs="Times New Roman"/>
          <w:sz w:val="24"/>
          <w:szCs w:val="24"/>
        </w:rPr>
        <w:t>difficult</w:t>
      </w:r>
      <w:r w:rsidR="00EF60C7" w:rsidRPr="00772D93">
        <w:rPr>
          <w:rFonts w:ascii="Book Antiqua" w:hAnsi="Book Antiqua" w:cs="Times New Roman"/>
          <w:sz w:val="24"/>
          <w:szCs w:val="24"/>
        </w:rPr>
        <w:t>, this dependence on family members may be considered a disadvantage of the method.</w:t>
      </w:r>
      <w:r w:rsidR="00772D93">
        <w:rPr>
          <w:rFonts w:ascii="Book Antiqua" w:hAnsi="Book Antiqua" w:cs="Times New Roman"/>
          <w:sz w:val="24"/>
          <w:szCs w:val="24"/>
        </w:rPr>
        <w:t xml:space="preserve"> </w:t>
      </w:r>
      <w:r w:rsidR="00EF60C7" w:rsidRPr="00772D93">
        <w:rPr>
          <w:rFonts w:ascii="Book Antiqua" w:hAnsi="Book Antiqua" w:cs="Times New Roman"/>
          <w:sz w:val="24"/>
          <w:szCs w:val="24"/>
        </w:rPr>
        <w:t>A</w:t>
      </w:r>
      <w:r w:rsidRPr="00772D93">
        <w:rPr>
          <w:rFonts w:ascii="Book Antiqua" w:hAnsi="Book Antiqua" w:cs="Times New Roman"/>
          <w:sz w:val="24"/>
          <w:szCs w:val="24"/>
        </w:rPr>
        <w:t>n essential aspect is the availability of</w:t>
      </w:r>
      <w:r w:rsidR="00821FAB" w:rsidRPr="00772D93">
        <w:rPr>
          <w:rFonts w:ascii="Book Antiqua" w:hAnsi="Book Antiqua" w:cs="Times New Roman"/>
          <w:sz w:val="24"/>
          <w:szCs w:val="24"/>
        </w:rPr>
        <w:t xml:space="preserve"> </w:t>
      </w:r>
      <w:r w:rsidRPr="00772D93">
        <w:rPr>
          <w:rFonts w:ascii="Book Antiqua" w:hAnsi="Book Antiqua" w:cs="Times New Roman"/>
          <w:sz w:val="24"/>
          <w:szCs w:val="24"/>
        </w:rPr>
        <w:t>healthcare professional who daily accepts and reacts to LI values.</w:t>
      </w:r>
      <w:r w:rsidR="00772D93">
        <w:rPr>
          <w:rFonts w:ascii="Book Antiqua" w:hAnsi="Book Antiqua" w:cs="Times New Roman"/>
          <w:sz w:val="24"/>
          <w:szCs w:val="24"/>
        </w:rPr>
        <w:t xml:space="preserve"> </w:t>
      </w:r>
      <w:r w:rsidR="000F1B56" w:rsidRPr="00772D93">
        <w:rPr>
          <w:rFonts w:ascii="Book Antiqua" w:hAnsi="Book Antiqua" w:cs="Times New Roman"/>
          <w:sz w:val="24"/>
          <w:szCs w:val="24"/>
        </w:rPr>
        <w:t>Considering</w:t>
      </w:r>
      <w:r w:rsidR="00F51D71" w:rsidRPr="00772D93">
        <w:rPr>
          <w:rFonts w:ascii="Book Antiqua" w:hAnsi="Book Antiqua" w:cs="Times New Roman"/>
          <w:sz w:val="24"/>
          <w:szCs w:val="24"/>
        </w:rPr>
        <w:t xml:space="preserve"> data on reduction of HF hospitalizations using this kind </w:t>
      </w:r>
      <w:r w:rsidR="000D7916" w:rsidRPr="00772D93">
        <w:rPr>
          <w:rFonts w:ascii="Book Antiqua" w:hAnsi="Book Antiqua" w:cs="Times New Roman"/>
          <w:sz w:val="24"/>
          <w:szCs w:val="24"/>
        </w:rPr>
        <w:t xml:space="preserve">of congestion </w:t>
      </w:r>
      <w:proofErr w:type="gramStart"/>
      <w:r w:rsidR="000D7916" w:rsidRPr="00772D93">
        <w:rPr>
          <w:rFonts w:ascii="Book Antiqua" w:hAnsi="Book Antiqua" w:cs="Times New Roman"/>
          <w:sz w:val="24"/>
          <w:szCs w:val="24"/>
        </w:rPr>
        <w:t>monitoring</w:t>
      </w:r>
      <w:r w:rsidR="002D0A6F" w:rsidRPr="00772D93">
        <w:rPr>
          <w:rFonts w:ascii="Book Antiqua" w:hAnsi="Book Antiqua" w:cs="Times New Roman"/>
          <w:sz w:val="24"/>
          <w:szCs w:val="24"/>
          <w:vertAlign w:val="superscript"/>
        </w:rPr>
        <w:t>[</w:t>
      </w:r>
      <w:proofErr w:type="gramEnd"/>
      <w:r w:rsidR="002D0A6F" w:rsidRPr="00772D93">
        <w:rPr>
          <w:rFonts w:ascii="Book Antiqua" w:hAnsi="Book Antiqua" w:cs="Times New Roman"/>
          <w:sz w:val="24"/>
          <w:szCs w:val="24"/>
          <w:vertAlign w:val="superscript"/>
        </w:rPr>
        <w:t>3]</w:t>
      </w:r>
      <w:r w:rsidR="000D7916" w:rsidRPr="00772D93">
        <w:rPr>
          <w:rFonts w:ascii="Book Antiqua" w:hAnsi="Book Antiqua" w:cs="Times New Roman"/>
          <w:sz w:val="24"/>
          <w:szCs w:val="24"/>
        </w:rPr>
        <w:t>,</w:t>
      </w:r>
      <w:r w:rsidR="00F51D71" w:rsidRPr="00772D93">
        <w:rPr>
          <w:rFonts w:ascii="Book Antiqua" w:hAnsi="Book Antiqua" w:cs="Times New Roman"/>
          <w:sz w:val="24"/>
          <w:szCs w:val="24"/>
        </w:rPr>
        <w:t xml:space="preserve"> financial savings </w:t>
      </w:r>
      <w:r w:rsidR="000D7916" w:rsidRPr="00772D93">
        <w:rPr>
          <w:rFonts w:ascii="Book Antiqua" w:hAnsi="Book Antiqua" w:cs="Times New Roman"/>
          <w:sz w:val="24"/>
          <w:szCs w:val="24"/>
        </w:rPr>
        <w:t>with</w:t>
      </w:r>
      <w:r w:rsidR="00F51D71" w:rsidRPr="00772D93">
        <w:rPr>
          <w:rFonts w:ascii="Book Antiqua" w:hAnsi="Book Antiqua" w:cs="Times New Roman"/>
          <w:sz w:val="24"/>
          <w:szCs w:val="24"/>
        </w:rPr>
        <w:t xml:space="preserve"> EGM may be highly significant due to </w:t>
      </w:r>
      <w:r w:rsidR="0085653B" w:rsidRPr="00772D93">
        <w:rPr>
          <w:rFonts w:ascii="Book Antiqua" w:hAnsi="Book Antiqua" w:cs="Times New Roman"/>
          <w:sz w:val="24"/>
          <w:szCs w:val="24"/>
        </w:rPr>
        <w:t xml:space="preserve">the </w:t>
      </w:r>
      <w:r w:rsidR="00F51D71" w:rsidRPr="00772D93">
        <w:rPr>
          <w:rFonts w:ascii="Book Antiqua" w:hAnsi="Book Antiqua" w:cs="Times New Roman"/>
          <w:sz w:val="24"/>
          <w:szCs w:val="24"/>
        </w:rPr>
        <w:t>relatively low cost of the device and regular service.</w:t>
      </w:r>
    </w:p>
    <w:p w14:paraId="40147E09" w14:textId="2FCAEACA" w:rsidR="0017296B" w:rsidRPr="00772D93" w:rsidRDefault="00A239B3" w:rsidP="009831D3">
      <w:pPr>
        <w:spacing w:after="0" w:line="360" w:lineRule="auto"/>
        <w:ind w:firstLineChars="100" w:firstLine="240"/>
        <w:jc w:val="both"/>
        <w:rPr>
          <w:rFonts w:ascii="Book Antiqua" w:eastAsia="MinionPro-Regular" w:hAnsi="Book Antiqua" w:cs="Times New Roman"/>
          <w:sz w:val="24"/>
          <w:szCs w:val="24"/>
          <w:lang w:val="en-GB"/>
        </w:rPr>
      </w:pPr>
      <w:r w:rsidRPr="00772D93">
        <w:rPr>
          <w:rFonts w:ascii="Book Antiqua" w:hAnsi="Book Antiqua" w:cs="Times New Roman"/>
          <w:sz w:val="24"/>
          <w:szCs w:val="24"/>
        </w:rPr>
        <w:t xml:space="preserve">Significant fluctuations of LI were noticed in </w:t>
      </w:r>
      <w:r w:rsidR="001B2E0F" w:rsidRPr="00772D93">
        <w:rPr>
          <w:rFonts w:ascii="Book Antiqua" w:hAnsi="Book Antiqua" w:cs="Times New Roman"/>
          <w:sz w:val="24"/>
          <w:szCs w:val="24"/>
        </w:rPr>
        <w:t>all these cases</w:t>
      </w:r>
      <w:r w:rsidRPr="00772D93">
        <w:rPr>
          <w:rFonts w:ascii="Book Antiqua" w:hAnsi="Book Antiqua" w:cs="Times New Roman"/>
          <w:sz w:val="24"/>
          <w:szCs w:val="24"/>
        </w:rPr>
        <w:t>;</w:t>
      </w:r>
      <w:r w:rsidR="001B2E0F" w:rsidRPr="00772D93">
        <w:rPr>
          <w:rFonts w:ascii="Book Antiqua" w:hAnsi="Book Antiqua" w:cs="Times New Roman"/>
          <w:sz w:val="24"/>
          <w:szCs w:val="24"/>
        </w:rPr>
        <w:t xml:space="preserve"> </w:t>
      </w:r>
      <w:r w:rsidR="009437B9" w:rsidRPr="00772D93">
        <w:rPr>
          <w:rFonts w:ascii="Book Antiqua" w:hAnsi="Book Antiqua" w:cs="Times New Roman"/>
          <w:sz w:val="24"/>
          <w:szCs w:val="24"/>
        </w:rPr>
        <w:t>moreover,</w:t>
      </w:r>
      <w:r w:rsidR="001B2E0F" w:rsidRPr="00772D93">
        <w:rPr>
          <w:rFonts w:ascii="Book Antiqua" w:hAnsi="Book Antiqua" w:cs="Times New Roman"/>
          <w:sz w:val="24"/>
          <w:szCs w:val="24"/>
        </w:rPr>
        <w:t xml:space="preserve"> </w:t>
      </w:r>
      <w:r w:rsidRPr="00772D93">
        <w:rPr>
          <w:rFonts w:ascii="Book Antiqua" w:hAnsi="Book Antiqua" w:cs="Times New Roman"/>
          <w:sz w:val="24"/>
          <w:szCs w:val="24"/>
        </w:rPr>
        <w:t xml:space="preserve">the </w:t>
      </w:r>
      <w:r w:rsidR="00817441" w:rsidRPr="00772D93">
        <w:rPr>
          <w:rFonts w:ascii="Book Antiqua" w:hAnsi="Book Antiqua" w:cs="Times New Roman"/>
          <w:sz w:val="24"/>
          <w:szCs w:val="24"/>
        </w:rPr>
        <w:t xml:space="preserve">LI change was </w:t>
      </w:r>
      <w:r w:rsidR="001B2E0F" w:rsidRPr="00772D93">
        <w:rPr>
          <w:rFonts w:ascii="Book Antiqua" w:hAnsi="Book Antiqua" w:cs="Times New Roman"/>
          <w:sz w:val="24"/>
          <w:szCs w:val="24"/>
        </w:rPr>
        <w:t>t</w:t>
      </w:r>
      <w:r w:rsidR="000C3CA5" w:rsidRPr="00772D93">
        <w:rPr>
          <w:rFonts w:ascii="Book Antiqua" w:hAnsi="Book Antiqua" w:cs="Times New Roman"/>
          <w:sz w:val="24"/>
          <w:szCs w:val="24"/>
        </w:rPr>
        <w:t xml:space="preserve">he most important trigger </w:t>
      </w:r>
      <w:r w:rsidRPr="00772D93">
        <w:rPr>
          <w:rFonts w:ascii="Book Antiqua" w:hAnsi="Book Antiqua" w:cs="Times New Roman"/>
          <w:sz w:val="24"/>
          <w:szCs w:val="24"/>
        </w:rPr>
        <w:t xml:space="preserve">for </w:t>
      </w:r>
      <w:r w:rsidR="000C3CA5" w:rsidRPr="00772D93">
        <w:rPr>
          <w:rFonts w:ascii="Book Antiqua" w:hAnsi="Book Antiqua" w:cs="Times New Roman"/>
          <w:sz w:val="24"/>
          <w:szCs w:val="24"/>
        </w:rPr>
        <w:t xml:space="preserve">medication adjustment </w:t>
      </w:r>
      <w:r w:rsidR="009437B9" w:rsidRPr="00772D93">
        <w:rPr>
          <w:rFonts w:ascii="Book Antiqua" w:hAnsi="Book Antiqua" w:cs="Times New Roman"/>
          <w:sz w:val="24"/>
          <w:szCs w:val="24"/>
        </w:rPr>
        <w:t xml:space="preserve">compared to </w:t>
      </w:r>
      <w:r w:rsidR="00817441" w:rsidRPr="00772D93">
        <w:rPr>
          <w:rFonts w:ascii="Book Antiqua" w:hAnsi="Book Antiqua" w:cs="Times New Roman"/>
          <w:sz w:val="24"/>
          <w:szCs w:val="24"/>
        </w:rPr>
        <w:t>standard monitoring</w:t>
      </w:r>
      <w:r w:rsidR="000C3CA5" w:rsidRPr="00772D93">
        <w:rPr>
          <w:rFonts w:ascii="Book Antiqua" w:hAnsi="Book Antiqua" w:cs="Times New Roman"/>
          <w:sz w:val="24"/>
          <w:szCs w:val="24"/>
        </w:rPr>
        <w:t xml:space="preserve"> </w:t>
      </w:r>
      <w:r w:rsidR="009437B9" w:rsidRPr="00772D93">
        <w:rPr>
          <w:rFonts w:ascii="Book Antiqua" w:hAnsi="Book Antiqua" w:cs="Times New Roman"/>
          <w:sz w:val="24"/>
          <w:szCs w:val="24"/>
        </w:rPr>
        <w:t>variables</w:t>
      </w:r>
      <w:r w:rsidRPr="00772D93">
        <w:rPr>
          <w:rFonts w:ascii="Book Antiqua" w:hAnsi="Book Antiqua" w:cs="Times New Roman"/>
          <w:sz w:val="24"/>
          <w:szCs w:val="24"/>
        </w:rPr>
        <w:t>,</w:t>
      </w:r>
      <w:r w:rsidR="009437B9" w:rsidRPr="00772D93">
        <w:rPr>
          <w:rFonts w:ascii="Book Antiqua" w:hAnsi="Book Antiqua" w:cs="Times New Roman"/>
          <w:sz w:val="24"/>
          <w:szCs w:val="24"/>
        </w:rPr>
        <w:t xml:space="preserve"> such as </w:t>
      </w:r>
      <w:r w:rsidR="000C3CA5" w:rsidRPr="00772D93">
        <w:rPr>
          <w:rFonts w:ascii="Book Antiqua" w:hAnsi="Book Antiqua" w:cs="Times New Roman"/>
          <w:sz w:val="24"/>
          <w:szCs w:val="24"/>
        </w:rPr>
        <w:t xml:space="preserve">BP, HR, symptoms and </w:t>
      </w:r>
      <w:r w:rsidR="00E10BDD" w:rsidRPr="00772D93">
        <w:rPr>
          <w:rFonts w:ascii="Book Antiqua" w:hAnsi="Book Antiqua" w:cs="Times New Roman"/>
          <w:sz w:val="24"/>
          <w:szCs w:val="24"/>
        </w:rPr>
        <w:t xml:space="preserve">markers of </w:t>
      </w:r>
      <w:r w:rsidR="000C3CA5" w:rsidRPr="00772D93">
        <w:rPr>
          <w:rFonts w:ascii="Book Antiqua" w:hAnsi="Book Antiqua" w:cs="Times New Roman"/>
          <w:sz w:val="24"/>
          <w:szCs w:val="24"/>
        </w:rPr>
        <w:t xml:space="preserve">renal function. </w:t>
      </w:r>
      <w:r w:rsidR="0017296B" w:rsidRPr="00772D93">
        <w:rPr>
          <w:rFonts w:ascii="Book Antiqua" w:hAnsi="Book Antiqua" w:cs="Times New Roman"/>
          <w:sz w:val="24"/>
          <w:szCs w:val="24"/>
        </w:rPr>
        <w:t xml:space="preserve">Though </w:t>
      </w:r>
      <w:r w:rsidRPr="00772D93">
        <w:rPr>
          <w:rFonts w:ascii="Book Antiqua" w:hAnsi="Book Antiqua" w:cs="Times New Roman"/>
          <w:sz w:val="24"/>
          <w:szCs w:val="24"/>
        </w:rPr>
        <w:t xml:space="preserve">the </w:t>
      </w:r>
      <w:r w:rsidR="0017296B" w:rsidRPr="00772D93">
        <w:rPr>
          <w:rFonts w:ascii="Book Antiqua" w:hAnsi="Book Antiqua" w:cs="Times New Roman"/>
          <w:sz w:val="24"/>
          <w:szCs w:val="24"/>
        </w:rPr>
        <w:t xml:space="preserve">monitoring of weight changes </w:t>
      </w:r>
      <w:r w:rsidR="002500F8" w:rsidRPr="00772D93">
        <w:rPr>
          <w:rFonts w:ascii="Book Antiqua" w:hAnsi="Book Antiqua" w:cs="Times New Roman"/>
          <w:sz w:val="24"/>
          <w:szCs w:val="24"/>
        </w:rPr>
        <w:t xml:space="preserve">caused by fluid retention </w:t>
      </w:r>
      <w:r w:rsidR="0017296B" w:rsidRPr="00772D93">
        <w:rPr>
          <w:rFonts w:ascii="Book Antiqua" w:hAnsi="Book Antiqua" w:cs="Times New Roman"/>
          <w:sz w:val="24"/>
          <w:szCs w:val="24"/>
        </w:rPr>
        <w:t>is routinely recommended for HF patients</w:t>
      </w:r>
      <w:r w:rsidRPr="00772D93">
        <w:rPr>
          <w:rFonts w:ascii="Book Antiqua" w:hAnsi="Book Antiqua" w:cs="Times New Roman"/>
          <w:sz w:val="24"/>
          <w:szCs w:val="24"/>
          <w:vertAlign w:val="superscript"/>
        </w:rPr>
        <w:fldChar w:fldCharType="begin"/>
      </w:r>
      <w:r w:rsidR="00850A12" w:rsidRPr="00772D93">
        <w:rPr>
          <w:rFonts w:ascii="Book Antiqua" w:hAnsi="Book Antiqua" w:cs="Times New Roman"/>
          <w:sz w:val="24"/>
          <w:szCs w:val="24"/>
          <w:vertAlign w:val="superscript"/>
        </w:rPr>
        <w:instrText xml:space="preserve"> ADDIN ZOTERO_ITEM CSL_CITATION {"citationID":"BiuQScED","properties":{"formattedCitation":"\\super [13]\\nosupersub{}","plainCitation":"[13]","noteIndex":0},"citationItems":[{"id":90,"uris":["http://zotero.org/users/local/SMqWT9IS/items/7CL4QKJH"],"uri":["http://zotero.org/users/local/SMqWT9IS/items/7CL4QKJH"],"itemData":{"id":90,"type":"article-journal","title":"2016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ESC","container-title":"European Journal of Heart Failure","page":"891-975","volume":"18","issue":"8","source":"PubMed","DOI":"10.1002/ejhf.592","ISSN":"1879-0844","note":"PMID: 27207191","shortTitle":"2016 ESC Guidelines for the diagnosis and treatment of acute and chronic heart failure","journalAbbreviation":"Eur. J. Heart Fail.","language":"eng","author":[{"family":"Ponikowski","given":"Piotr"},{"family":"Voors","given":"Adriaan A."},{"family":"Anker","given":"Stefan D."},{"family":"Bueno","given":"Héctor"},{"family":"Cleland","given":"John G. F."},{"family":"Coats","given":"Andrew J. S."},{"family":"Falk","given":"Volkmar"},{"family":"González-Juanatey","given":"José Ramón"},{"family":"Harjola","given":"Veli-Pekka"},{"family":"Jankowska","given":"Ewa A."},{"family":"Jessup","given":"Mariell"},{"family":"Linde","given":"Cecilia"},{"family":"Nihoyannopoulos","given":"Petros"},{"family":"Parissis","given":"John T."},{"family":"Pieske","given":"Burkert"},{"family":"Riley","given":"Jillian P."},{"family":"Rosano","given":"Giuseppe M. C."},{"family":"Ruilope","given":"Luis M."},{"family":"Ruschitzka","given":"Frank"},{"family":"Rutten","given":"Frans H."},{"family":"Meer","given":"Peter","non-dropping-particle":"van der"},{"literal":"Authors/Task Force Members"},{"literal":"Document Reviewers"}],"issued":{"date-parts":[["2016"]]}}}],"schema":"https://github.com/citation-style-language/schema/raw/master/csl-citation.json"} </w:instrText>
      </w:r>
      <w:r w:rsidRPr="00772D93">
        <w:rPr>
          <w:rFonts w:ascii="Book Antiqua" w:hAnsi="Book Antiqua" w:cs="Times New Roman"/>
          <w:sz w:val="24"/>
          <w:szCs w:val="24"/>
          <w:vertAlign w:val="superscript"/>
        </w:rPr>
        <w:fldChar w:fldCharType="separate"/>
      </w:r>
      <w:r w:rsidR="00850A12" w:rsidRPr="00772D93">
        <w:rPr>
          <w:rFonts w:ascii="Book Antiqua" w:hAnsi="Book Antiqua" w:cs="Times New Roman"/>
          <w:sz w:val="24"/>
          <w:szCs w:val="24"/>
          <w:vertAlign w:val="superscript"/>
        </w:rPr>
        <w:t>[13]</w:t>
      </w:r>
      <w:r w:rsidRPr="00772D93">
        <w:rPr>
          <w:rFonts w:ascii="Book Antiqua" w:hAnsi="Book Antiqua" w:cs="Times New Roman"/>
          <w:sz w:val="24"/>
          <w:szCs w:val="24"/>
          <w:vertAlign w:val="superscript"/>
        </w:rPr>
        <w:fldChar w:fldCharType="end"/>
      </w:r>
      <w:r w:rsidR="0017296B" w:rsidRPr="00772D93">
        <w:rPr>
          <w:rFonts w:ascii="Book Antiqua" w:hAnsi="Book Antiqua" w:cs="Times New Roman"/>
          <w:sz w:val="24"/>
          <w:szCs w:val="24"/>
        </w:rPr>
        <w:t>, several</w:t>
      </w:r>
      <w:r w:rsidR="0017296B" w:rsidRPr="00772D93">
        <w:rPr>
          <w:rFonts w:ascii="Book Antiqua" w:eastAsia="MinionPro-Regular" w:hAnsi="Book Antiqua" w:cs="Times New Roman"/>
          <w:sz w:val="24"/>
          <w:szCs w:val="24"/>
          <w:lang w:val="lt-LT"/>
        </w:rPr>
        <w:t xml:space="preserve"> studies showed that many episodes of worsening HF did not appear to be associated with weight gain</w:t>
      </w:r>
      <w:r w:rsidR="00B57825" w:rsidRPr="00772D93">
        <w:rPr>
          <w:rFonts w:ascii="Book Antiqua" w:eastAsia="MinionPro-Regular" w:hAnsi="Book Antiqua" w:cs="Times New Roman"/>
          <w:sz w:val="24"/>
          <w:szCs w:val="24"/>
          <w:lang w:val="lt-LT"/>
        </w:rPr>
        <w:t>. For example, in a case-control stud</w:t>
      </w:r>
      <w:r w:rsidR="00F65585" w:rsidRPr="00772D93">
        <w:rPr>
          <w:rFonts w:ascii="Book Antiqua" w:eastAsia="MinionPro-Regular" w:hAnsi="Book Antiqua" w:cs="Times New Roman"/>
          <w:sz w:val="24"/>
          <w:szCs w:val="24"/>
          <w:lang w:val="lt-LT"/>
        </w:rPr>
        <w:t>y</w:t>
      </w:r>
      <w:r w:rsidR="00B57825" w:rsidRPr="00772D93">
        <w:rPr>
          <w:rFonts w:ascii="Book Antiqua" w:eastAsia="MinionPro-Regular" w:hAnsi="Book Antiqua" w:cs="Times New Roman"/>
          <w:sz w:val="24"/>
          <w:szCs w:val="24"/>
          <w:lang w:val="lt-LT"/>
        </w:rPr>
        <w:t xml:space="preserve"> </w:t>
      </w:r>
      <w:r w:rsidR="00F65585" w:rsidRPr="00772D93">
        <w:rPr>
          <w:rFonts w:ascii="Book Antiqua" w:eastAsia="MinionPro-Regular" w:hAnsi="Book Antiqua" w:cs="Times New Roman"/>
          <w:sz w:val="24"/>
          <w:szCs w:val="24"/>
          <w:lang w:val="en-GB"/>
        </w:rPr>
        <w:t>54% of patients hospitalized due to AHF gained ≤</w:t>
      </w:r>
      <w:r w:rsidR="009831D3">
        <w:rPr>
          <w:rFonts w:ascii="Book Antiqua" w:hAnsi="Book Antiqua" w:cs="Times New Roman" w:hint="eastAsia"/>
          <w:sz w:val="24"/>
          <w:szCs w:val="24"/>
          <w:lang w:val="en-GB" w:eastAsia="zh-CN"/>
        </w:rPr>
        <w:t xml:space="preserve"> </w:t>
      </w:r>
      <w:r w:rsidR="00F65585" w:rsidRPr="00772D93">
        <w:rPr>
          <w:rFonts w:ascii="Book Antiqua" w:eastAsia="MinionPro-Regular" w:hAnsi="Book Antiqua" w:cs="Times New Roman"/>
          <w:sz w:val="24"/>
          <w:szCs w:val="24"/>
          <w:lang w:val="en-GB"/>
        </w:rPr>
        <w:t>1 kg during the month prior to admission</w:t>
      </w:r>
      <w:r w:rsidR="002173DB" w:rsidRPr="00772D93">
        <w:rPr>
          <w:rFonts w:ascii="Book Antiqua" w:eastAsia="MinionPro-Regular" w:hAnsi="Book Antiqua" w:cs="Times New Roman"/>
          <w:sz w:val="24"/>
          <w:szCs w:val="24"/>
          <w:lang w:val="en-GB"/>
        </w:rPr>
        <w:fldChar w:fldCharType="begin"/>
      </w:r>
      <w:r w:rsidR="00850A12" w:rsidRPr="00772D93">
        <w:rPr>
          <w:rFonts w:ascii="Book Antiqua" w:eastAsia="MinionPro-Regular" w:hAnsi="Book Antiqua" w:cs="Times New Roman"/>
          <w:sz w:val="24"/>
          <w:szCs w:val="24"/>
          <w:lang w:val="en-GB"/>
        </w:rPr>
        <w:instrText xml:space="preserve"> ADDIN ZOTERO_ITEM CSL_CITATION {"citationID":"3Iq5r301","properties":{"formattedCitation":"\\super [14]\\nosupersub{}","plainCitation":"[14]","noteIndex":0},"citationItems":[{"id":169,"uris":["http://zotero.org/users/local/SMqWT9IS/items/3IBGFUFH"],"uri":["http://zotero.org/users/local/SMqWT9IS/items/3IBGFUFH"],"itemData":{"id":169,"type":"article-journal","title":"The use of diuretics in heart failure with congestion — a position statement from the Heart Failure Association of the European Society of Cardiology","container-title":"European Journal of Heart Failure","volume":"0","issue":"0","source":"onlinelibrary.wiley.com (Atypon)","abstract":"The vast majority of acute heart failure episodes are characterized by increasing symptoms and signs of congestion with volume overload. The goal of therapy in those patients is the relief of congestion through achieving a state of euvolaemia, mainly through the use of diuretic therapy. The appropriate use of diuretics however remains challenging, especially when worsening renal function, diuretic resistance and electrolyte disturbances occur. This position paper focuses on the use of diuretics in heart failure with congestion. The manuscript addresses frequently encountered challenges, such as (i) evaluation of congestion and clinical euvolaemia, (ii) assessment of diuretic response/resistance in the treatment of acute heart failure, (iii) an approach towards stepped pharmacologic diuretic strategies, based upon diuretic response, and (iv) management of common electrolyte disturbances. Recommendations are made in line with available guidelines, evidence and expert opinion.","URL":"https://onlinelibrary.wiley.com/doi/full/10.1002/ejhf.1369","DOI":"10.1002/ejhf.1369","ISSN":"1388-9842","journalAbbreviation":"European Journal of Heart Failure","author":[{"family":"Mullens","given":"Wilfried"},{"family":"Damman","given":"Kevin"},{"family":"Harjola","given":"Veli-Pekka"},{"family":"Mebazaa","given":"Alexandre"},{"family":"Brunner-La Rocca","given":"Hans-Peter"},{"family":"Martens","given":"Pieter"},{"family":"Testani","given":"Jeffrey M."},{"family":"Tang","given":"W.H. Wilson"},{"family":"Orso","given":"Francesco"},{"family":"Rossignol","given":"Patrick"},{"family":"Metra","given":"Marco"},{"family":"Filippatos","given":"Gerasimos"},{"family":"Seferovic","given":"Petar  M."},{"family":"Ruschitzka","given":"Frank"},{"family":"Coats","given":"Andrew  J."}],"issued":{"date-parts":[["2019",1,1]]},"accessed":{"date-parts":[["2019",2,7]]}}}],"schema":"https://github.com/citation-style-language/schema/raw/master/csl-citation.json"} </w:instrText>
      </w:r>
      <w:r w:rsidR="002173DB" w:rsidRPr="00772D93">
        <w:rPr>
          <w:rFonts w:ascii="Book Antiqua" w:eastAsia="MinionPro-Regular" w:hAnsi="Book Antiqua" w:cs="Times New Roman"/>
          <w:sz w:val="24"/>
          <w:szCs w:val="24"/>
          <w:lang w:val="en-GB"/>
        </w:rPr>
        <w:fldChar w:fldCharType="separate"/>
      </w:r>
      <w:r w:rsidR="00850A12" w:rsidRPr="00772D93">
        <w:rPr>
          <w:rFonts w:ascii="Book Antiqua" w:hAnsi="Book Antiqua" w:cs="Times New Roman"/>
          <w:sz w:val="24"/>
          <w:szCs w:val="24"/>
          <w:vertAlign w:val="superscript"/>
        </w:rPr>
        <w:t>[14]</w:t>
      </w:r>
      <w:r w:rsidR="002173DB" w:rsidRPr="00772D93">
        <w:rPr>
          <w:rFonts w:ascii="Book Antiqua" w:eastAsia="MinionPro-Regular" w:hAnsi="Book Antiqua" w:cs="Times New Roman"/>
          <w:sz w:val="24"/>
          <w:szCs w:val="24"/>
          <w:lang w:val="en-GB"/>
        </w:rPr>
        <w:fldChar w:fldCharType="end"/>
      </w:r>
      <w:r w:rsidR="0006275F" w:rsidRPr="00772D93">
        <w:rPr>
          <w:rFonts w:ascii="Book Antiqua" w:eastAsia="MinionPro-Regular" w:hAnsi="Book Antiqua" w:cs="Times New Roman"/>
          <w:sz w:val="24"/>
          <w:szCs w:val="24"/>
          <w:lang w:val="en-GB"/>
        </w:rPr>
        <w:t>.</w:t>
      </w:r>
      <w:r w:rsidR="00772D93">
        <w:rPr>
          <w:rFonts w:ascii="Book Antiqua" w:eastAsia="MinionPro-Regular" w:hAnsi="Book Antiqua" w:cs="Times New Roman"/>
          <w:sz w:val="24"/>
          <w:szCs w:val="24"/>
          <w:lang w:val="en-GB"/>
        </w:rPr>
        <w:t xml:space="preserve"> </w:t>
      </w:r>
      <w:r w:rsidR="00F65585" w:rsidRPr="00772D93">
        <w:rPr>
          <w:rFonts w:ascii="Book Antiqua" w:eastAsia="MinionPro-Regular" w:hAnsi="Book Antiqua" w:cs="Times New Roman"/>
          <w:sz w:val="24"/>
          <w:szCs w:val="24"/>
          <w:lang w:val="en-GB"/>
        </w:rPr>
        <w:t xml:space="preserve">This </w:t>
      </w:r>
      <w:r w:rsidR="0006275F" w:rsidRPr="00772D93">
        <w:rPr>
          <w:rFonts w:ascii="Book Antiqua" w:eastAsia="MinionPro-Regular" w:hAnsi="Book Antiqua" w:cs="Times New Roman"/>
          <w:sz w:val="24"/>
          <w:szCs w:val="24"/>
          <w:lang w:val="en-GB"/>
        </w:rPr>
        <w:t>suggest</w:t>
      </w:r>
      <w:r w:rsidR="00F65585" w:rsidRPr="00772D93">
        <w:rPr>
          <w:rFonts w:ascii="Book Antiqua" w:eastAsia="MinionPro-Regular" w:hAnsi="Book Antiqua" w:cs="Times New Roman"/>
          <w:sz w:val="24"/>
          <w:szCs w:val="24"/>
          <w:lang w:val="en-GB"/>
        </w:rPr>
        <w:t>s</w:t>
      </w:r>
      <w:r w:rsidR="0006275F" w:rsidRPr="00772D93">
        <w:rPr>
          <w:rFonts w:ascii="Book Antiqua" w:eastAsia="MinionPro-Regular" w:hAnsi="Book Antiqua" w:cs="Times New Roman"/>
          <w:sz w:val="24"/>
          <w:szCs w:val="24"/>
          <w:lang w:val="en-GB"/>
        </w:rPr>
        <w:t xml:space="preserve"> that volume overload</w:t>
      </w:r>
      <w:r w:rsidR="00DA220E" w:rsidRPr="00772D93">
        <w:rPr>
          <w:rFonts w:ascii="Book Antiqua" w:eastAsia="MinionPro-Regular" w:hAnsi="Book Antiqua" w:cs="Times New Roman"/>
          <w:sz w:val="24"/>
          <w:szCs w:val="24"/>
          <w:lang w:val="en-GB"/>
        </w:rPr>
        <w:t xml:space="preserve"> incompletely characterizes the </w:t>
      </w:r>
      <w:r w:rsidR="0006275F" w:rsidRPr="00772D93">
        <w:rPr>
          <w:rFonts w:ascii="Book Antiqua" w:eastAsia="MinionPro-Regular" w:hAnsi="Book Antiqua" w:cs="Times New Roman"/>
          <w:sz w:val="24"/>
          <w:szCs w:val="24"/>
          <w:lang w:val="en-GB"/>
        </w:rPr>
        <w:t xml:space="preserve">pathophysiology of </w:t>
      </w:r>
      <w:r w:rsidR="00DA220E" w:rsidRPr="00772D93">
        <w:rPr>
          <w:rFonts w:ascii="Book Antiqua" w:eastAsia="MinionPro-Regular" w:hAnsi="Book Antiqua" w:cs="Times New Roman"/>
          <w:sz w:val="24"/>
          <w:szCs w:val="24"/>
          <w:lang w:val="en-GB"/>
        </w:rPr>
        <w:t>AHF</w:t>
      </w:r>
      <w:r w:rsidR="0006275F" w:rsidRPr="00772D93">
        <w:rPr>
          <w:rFonts w:ascii="Book Antiqua" w:eastAsia="MinionPro-Regular" w:hAnsi="Book Antiqua" w:cs="Times New Roman"/>
          <w:sz w:val="24"/>
          <w:szCs w:val="24"/>
          <w:lang w:val="en-GB"/>
        </w:rPr>
        <w:t xml:space="preserve"> and redistribution of volume</w:t>
      </w:r>
      <w:r w:rsidR="002173DB" w:rsidRPr="00772D93">
        <w:rPr>
          <w:rFonts w:ascii="Book Antiqua" w:eastAsia="MinionPro-Regular" w:hAnsi="Book Antiqua" w:cs="Times New Roman"/>
          <w:sz w:val="24"/>
          <w:szCs w:val="24"/>
          <w:lang w:val="en-GB"/>
        </w:rPr>
        <w:t xml:space="preserve"> </w:t>
      </w:r>
      <w:r w:rsidR="0006275F" w:rsidRPr="00772D93">
        <w:rPr>
          <w:rFonts w:ascii="Book Antiqua" w:eastAsia="MinionPro-Regular" w:hAnsi="Book Antiqua" w:cs="Times New Roman"/>
          <w:sz w:val="24"/>
          <w:szCs w:val="24"/>
          <w:lang w:val="en-GB"/>
        </w:rPr>
        <w:t>may also contribute to the de</w:t>
      </w:r>
      <w:r w:rsidR="00DA220E" w:rsidRPr="00772D93">
        <w:rPr>
          <w:rFonts w:ascii="Book Antiqua" w:eastAsia="MinionPro-Regular" w:hAnsi="Book Antiqua" w:cs="Times New Roman"/>
          <w:sz w:val="24"/>
          <w:szCs w:val="24"/>
          <w:lang w:val="en-GB"/>
        </w:rPr>
        <w:t xml:space="preserve">velopment of signs and symptoms </w:t>
      </w:r>
      <w:r w:rsidR="0006275F" w:rsidRPr="00772D93">
        <w:rPr>
          <w:rFonts w:ascii="Book Antiqua" w:eastAsia="MinionPro-Regular" w:hAnsi="Book Antiqua" w:cs="Times New Roman"/>
          <w:sz w:val="24"/>
          <w:szCs w:val="24"/>
          <w:lang w:val="en-GB"/>
        </w:rPr>
        <w:t>of congestion</w:t>
      </w:r>
      <w:r w:rsidR="002173DB" w:rsidRPr="00772D93">
        <w:rPr>
          <w:rFonts w:ascii="Book Antiqua" w:eastAsia="MinionPro-Regular" w:hAnsi="Book Antiqua" w:cs="Times New Roman"/>
          <w:sz w:val="24"/>
          <w:szCs w:val="24"/>
          <w:lang w:val="en-GB"/>
        </w:rPr>
        <w:fldChar w:fldCharType="begin"/>
      </w:r>
      <w:r w:rsidR="00850A12" w:rsidRPr="00772D93">
        <w:rPr>
          <w:rFonts w:ascii="Book Antiqua" w:eastAsia="MinionPro-Regular" w:hAnsi="Book Antiqua" w:cs="Times New Roman"/>
          <w:sz w:val="24"/>
          <w:szCs w:val="24"/>
          <w:lang w:val="en-GB"/>
        </w:rPr>
        <w:instrText xml:space="preserve"> ADDIN ZOTERO_ITEM CSL_CITATION {"citationID":"DCPyQKuK","properties":{"formattedCitation":"\\super [15,16]\\nosupersub{}","plainCitation":"[15,16]","noteIndex":0},"citationItems":[{"id":172,"uris":["http://zotero.org/users/local/SMqWT9IS/items/N5UEW3KX"],"uri":["http://zotero.org/users/local/SMqWT9IS/items/N5UEW3KX"],"itemData":{"id":172,"type":"article-journal","title":"The effects of short-term omission of daily medication on the pathophysiology of heart failure","container-title":"European Journal of Heart Failure","page":"643-649","volume":"19","issue":"5","source":"PubMed","abstract":"AIMS: Pharmacological therapies for heart failure (HF) aim to improve congestion, symptoms, and prognosis. Failing to take medication is a potential cause of worsening HF. Characterizing the effects of short-term medication omission could inform the development of better technologies and strategies to detect and interpret the reasons for worsening HF. We examined the effect of planned HF medication omission for 48 h on weight, echocardiograms, transthoracic bio-impedance, and plasma concentrations of NT-proBNP.\nMETHODS AND RESULTS: Outpatients with stable HF and an LVEF &lt;45% were assigned to take or omit their HF medication for 48 h in a randomized, crossover trial. Twenty patients (16 men, LVEF 32 ± 9%, median NT-proBNP 962 ng/L) were included. Compared with regular medication, omission led to an increase in NT-proBNP by 99% (from 962 to 1883 ng/L, P &lt; 0.001), systolic blood pressure by 16% (from 131 to 152 mmHg, P &lt; 0.001), and left atrial volume by 21% (from 69 to 80 mL, P = 0.001), and reductions in transthoracic bio-impedance by 10% (from 33 to 30 Σ, P = 0.001) and serum creatinine by 8% (from 135 to 118 µmol/L, P = 0.012). No significant changes in body weight, heart rate, or LVEF were observed.\nCONCLUSIONS: The characteristic pattern of response to short-term medication omission is of increasing congestion but, in contrast to the pattern reported for disease progression, with a rise in blood pressure and improved renal function. In stable HF, weight is not a sensitive marker of short-term diuretic omission.","DOI":"10.1002/ejhf.748","ISSN":"1879-0844","note":"PMID: 28295907\nPMCID: PMC5434940","journalAbbreviation":"Eur. J. Heart Fail.","language":"eng","author":[{"family":"Dovancescu","given":"Silviu"},{"family":"Pellicori","given":"Pierpaolo"},{"family":"Mabote","given":"Thato"},{"family":"Torabi","given":"Azam"},{"family":"Clark","given":"Andrew L."},{"family":"Cleland","given":"John G. F."}],"issued":{"date-parts":[["2017"]]}},"label":"page"},{"id":175,"uris":["http://zotero.org/users/local/SMqWT9IS/items/SMYLG6NY"],"uri":["http://zotero.org/users/local/SMqWT9IS/items/SMYLG6NY"],"itemData":{"id":175,"type":"article-journal","title":"Patterns of weight change preceding hospitalization for heart failure","container-title":"Circulation","page":"1549-1554","volume":"116","issue":"14","source":"PubMed","abstract":"BACKGROUND: Weight gain is used by disease-management programs as a marker of heart failure decompensation, but little information is available to quantify the relationship between weight change in patients with heart failure and the risk for imminent hospitalization.\nMETHODS AND RESULTS: We conducted a nested case-control study among patients with heart failure referred to a home monitoring system by managed care organizations. We matched 134 case patients with heart failure hospitalization to 134 control patients without heart failure hospitalization on the basis of age, sex, duration of home monitoring, heart failure severity, and baseline body weight. Compared with control patients, case patients experienced gradual weight gain beginning approximately 30 days before hospitalization; changes in daily weight between case and control patients were statistically significant (P&lt;0.001). Within the week before hospitalization, when weight patterns in case and control patients began to diverge more substantially, mean increases of more than 2 and up to 5 pounds, more than 5 and up to 10 pounds, and more than 10 pounds (relative to time of enrollment in the monitoring system) were associated with matched adjusted odds ratios for heart failure hospitalization of 2.77 (95% confidence interval 1.13 to 6.80), 4.46 (95% confidence interval 1.45 to 13.75), and 7.65 (95% confidence interval 2.22 to 26.39), respectively, compared with mean increases of 2 pounds or less.\nCONCLUSIONS: Increases in body weight are associated with hospitalization for heart failure and begin at least 1 week before admission. Daily information about patients' body weight identifies a high-risk period during which interventions to avert decompensated heart failure that necessitates hospitalization may be beneficial.","DOI":"10.1161/CIRCULATIONAHA.107.690768","ISSN":"1524-4539","note":"PMID: 17846286\nPMCID: PMC2892745","journalAbbreviation":"Circulation","language":"eng","author":[{"family":"Chaudhry","given":"Sarwat I."},{"family":"Wang","given":"Yongfei"},{"family":"Concato","given":"John"},{"family":"Gill","given":"Thomas M."},{"family":"Krumholz","given":"Harlan M."}],"issued":{"date-parts":[["2007",10,2]]}},"label":"page"}],"schema":"https://github.com/citation-style-language/schema/raw/master/csl-citation.json"} </w:instrText>
      </w:r>
      <w:r w:rsidR="002173DB" w:rsidRPr="00772D93">
        <w:rPr>
          <w:rFonts w:ascii="Book Antiqua" w:eastAsia="MinionPro-Regular" w:hAnsi="Book Antiqua" w:cs="Times New Roman"/>
          <w:sz w:val="24"/>
          <w:szCs w:val="24"/>
          <w:lang w:val="en-GB"/>
        </w:rPr>
        <w:fldChar w:fldCharType="separate"/>
      </w:r>
      <w:r w:rsidR="00850A12" w:rsidRPr="00772D93">
        <w:rPr>
          <w:rFonts w:ascii="Book Antiqua" w:hAnsi="Book Antiqua" w:cs="Times New Roman"/>
          <w:sz w:val="24"/>
          <w:szCs w:val="24"/>
          <w:vertAlign w:val="superscript"/>
        </w:rPr>
        <w:t>[15,16]</w:t>
      </w:r>
      <w:r w:rsidR="002173DB" w:rsidRPr="00772D93">
        <w:rPr>
          <w:rFonts w:ascii="Book Antiqua" w:eastAsia="MinionPro-Regular" w:hAnsi="Book Antiqua" w:cs="Times New Roman"/>
          <w:sz w:val="24"/>
          <w:szCs w:val="24"/>
          <w:lang w:val="en-GB"/>
        </w:rPr>
        <w:fldChar w:fldCharType="end"/>
      </w:r>
      <w:r w:rsidR="00DA220E" w:rsidRPr="00772D93">
        <w:rPr>
          <w:rFonts w:ascii="Book Antiqua" w:eastAsia="MinionPro-Regular" w:hAnsi="Book Antiqua" w:cs="Times New Roman"/>
          <w:sz w:val="24"/>
          <w:szCs w:val="24"/>
          <w:lang w:val="en-GB"/>
        </w:rPr>
        <w:t>.</w:t>
      </w:r>
    </w:p>
    <w:p w14:paraId="1D3BACA7" w14:textId="34D26FF2" w:rsidR="006518EF" w:rsidRPr="00772D93" w:rsidRDefault="00571F62" w:rsidP="009831D3">
      <w:pPr>
        <w:spacing w:after="0" w:line="360" w:lineRule="auto"/>
        <w:ind w:firstLineChars="100" w:firstLine="240"/>
        <w:jc w:val="both"/>
        <w:rPr>
          <w:rFonts w:ascii="Book Antiqua" w:hAnsi="Book Antiqua" w:cs="Times New Roman"/>
          <w:sz w:val="24"/>
          <w:szCs w:val="24"/>
        </w:rPr>
      </w:pPr>
      <w:r w:rsidRPr="00772D93">
        <w:rPr>
          <w:rFonts w:ascii="Book Antiqua" w:hAnsi="Book Antiqua" w:cs="Times New Roman"/>
          <w:sz w:val="24"/>
          <w:szCs w:val="24"/>
        </w:rPr>
        <w:t>These cases illustrate</w:t>
      </w:r>
      <w:r w:rsidR="000D72C1" w:rsidRPr="00772D93">
        <w:rPr>
          <w:rFonts w:ascii="Book Antiqua" w:hAnsi="Book Antiqua" w:cs="Times New Roman"/>
          <w:sz w:val="24"/>
          <w:szCs w:val="24"/>
        </w:rPr>
        <w:t xml:space="preserve"> that</w:t>
      </w:r>
      <w:r w:rsidR="0085083F" w:rsidRPr="00772D93">
        <w:rPr>
          <w:rFonts w:ascii="Book Antiqua" w:hAnsi="Book Antiqua" w:cs="Times New Roman"/>
          <w:sz w:val="24"/>
          <w:szCs w:val="24"/>
        </w:rPr>
        <w:t xml:space="preserve"> </w:t>
      </w:r>
      <w:r w:rsidR="000D72C1" w:rsidRPr="00772D93">
        <w:rPr>
          <w:rFonts w:ascii="Book Antiqua" w:hAnsi="Book Antiqua" w:cs="Times New Roman"/>
          <w:sz w:val="24"/>
          <w:szCs w:val="24"/>
        </w:rPr>
        <w:t xml:space="preserve">LI measurements may represent </w:t>
      </w:r>
      <w:r w:rsidR="00E5429B" w:rsidRPr="00772D93">
        <w:rPr>
          <w:rFonts w:ascii="Book Antiqua" w:hAnsi="Book Antiqua" w:cs="Times New Roman"/>
          <w:sz w:val="24"/>
          <w:szCs w:val="24"/>
        </w:rPr>
        <w:t xml:space="preserve">a </w:t>
      </w:r>
      <w:r w:rsidR="00633850" w:rsidRPr="00772D93">
        <w:rPr>
          <w:rFonts w:ascii="Book Antiqua" w:hAnsi="Book Antiqua" w:cs="Times New Roman"/>
          <w:sz w:val="24"/>
          <w:szCs w:val="24"/>
        </w:rPr>
        <w:t xml:space="preserve">more sensitive method for the evaluation of </w:t>
      </w:r>
      <w:r w:rsidR="000D72C1" w:rsidRPr="00772D93">
        <w:rPr>
          <w:rFonts w:ascii="Book Antiqua" w:hAnsi="Book Antiqua" w:cs="Times New Roman"/>
          <w:sz w:val="24"/>
          <w:szCs w:val="24"/>
        </w:rPr>
        <w:t>fluid retention compared to weight and subjective symptoms</w:t>
      </w:r>
      <w:r w:rsidR="006158BA" w:rsidRPr="00772D93">
        <w:rPr>
          <w:rFonts w:ascii="Book Antiqua" w:hAnsi="Book Antiqua" w:cs="Times New Roman"/>
          <w:sz w:val="24"/>
          <w:szCs w:val="24"/>
        </w:rPr>
        <w:t>.</w:t>
      </w:r>
      <w:r w:rsidR="000D72C1" w:rsidRPr="00772D93">
        <w:rPr>
          <w:rFonts w:ascii="Book Antiqua" w:hAnsi="Book Antiqua" w:cs="Times New Roman"/>
          <w:sz w:val="24"/>
          <w:szCs w:val="24"/>
        </w:rPr>
        <w:t xml:space="preserve"> </w:t>
      </w:r>
      <w:r w:rsidR="00D64DC5" w:rsidRPr="00772D93">
        <w:rPr>
          <w:rFonts w:ascii="Book Antiqua" w:hAnsi="Book Antiqua" w:cs="Times New Roman"/>
          <w:sz w:val="24"/>
          <w:szCs w:val="24"/>
        </w:rPr>
        <w:t>In two out of these three patients</w:t>
      </w:r>
      <w:r w:rsidR="003A1F11" w:rsidRPr="00772D93">
        <w:rPr>
          <w:rFonts w:ascii="Book Antiqua" w:hAnsi="Book Antiqua" w:cs="Times New Roman"/>
          <w:sz w:val="24"/>
          <w:szCs w:val="24"/>
        </w:rPr>
        <w:t>,</w:t>
      </w:r>
      <w:r w:rsidR="00D64DC5" w:rsidRPr="00772D93">
        <w:rPr>
          <w:rFonts w:ascii="Book Antiqua" w:hAnsi="Book Antiqua" w:cs="Times New Roman"/>
          <w:sz w:val="24"/>
          <w:szCs w:val="24"/>
        </w:rPr>
        <w:t xml:space="preserve"> we found a clinically and statistically signifi</w:t>
      </w:r>
      <w:r w:rsidR="00566014" w:rsidRPr="00772D93">
        <w:rPr>
          <w:rFonts w:ascii="Book Antiqua" w:hAnsi="Book Antiqua" w:cs="Times New Roman"/>
          <w:sz w:val="24"/>
          <w:szCs w:val="24"/>
        </w:rPr>
        <w:t>cant correlation (lag -1; 0</w:t>
      </w:r>
      <w:r w:rsidR="00D64DC5" w:rsidRPr="00772D93">
        <w:rPr>
          <w:rFonts w:ascii="Book Antiqua" w:hAnsi="Book Antiqua" w:cs="Times New Roman"/>
          <w:sz w:val="24"/>
          <w:szCs w:val="24"/>
        </w:rPr>
        <w:t>) of w</w:t>
      </w:r>
      <w:r w:rsidR="00566014" w:rsidRPr="00772D93">
        <w:rPr>
          <w:rFonts w:ascii="Book Antiqua" w:hAnsi="Book Antiqua" w:cs="Times New Roman"/>
          <w:sz w:val="24"/>
          <w:szCs w:val="24"/>
        </w:rPr>
        <w:t xml:space="preserve">eight increase with the drop of </w:t>
      </w:r>
      <w:r w:rsidR="00D64DC5" w:rsidRPr="00772D93">
        <w:rPr>
          <w:rFonts w:ascii="Book Antiqua" w:hAnsi="Book Antiqua" w:cs="Times New Roman"/>
          <w:sz w:val="24"/>
          <w:szCs w:val="24"/>
        </w:rPr>
        <w:t>LI. It was shown previously that the sensitivity o</w:t>
      </w:r>
      <w:r w:rsidR="00566014" w:rsidRPr="00772D93">
        <w:rPr>
          <w:rFonts w:ascii="Book Antiqua" w:hAnsi="Book Antiqua" w:cs="Times New Roman"/>
          <w:sz w:val="24"/>
          <w:szCs w:val="24"/>
        </w:rPr>
        <w:t xml:space="preserve">f LI for HF hospitalization and </w:t>
      </w:r>
      <w:r w:rsidR="003A1F11" w:rsidRPr="00772D93">
        <w:rPr>
          <w:rFonts w:ascii="Book Antiqua" w:hAnsi="Book Antiqua" w:cs="Times New Roman"/>
          <w:sz w:val="24"/>
          <w:szCs w:val="24"/>
        </w:rPr>
        <w:t xml:space="preserve">the </w:t>
      </w:r>
      <w:r w:rsidR="00D64DC5" w:rsidRPr="00772D93">
        <w:rPr>
          <w:rFonts w:ascii="Book Antiqua" w:hAnsi="Book Antiqua" w:cs="Times New Roman"/>
          <w:sz w:val="24"/>
          <w:szCs w:val="24"/>
        </w:rPr>
        <w:t>ambulatory adjustment of diuretics was twice as high as of body weight (83.3%</w:t>
      </w:r>
      <w:r w:rsidR="00566014" w:rsidRPr="00772D93">
        <w:rPr>
          <w:rFonts w:ascii="Book Antiqua" w:hAnsi="Book Antiqua" w:cs="Times New Roman"/>
          <w:sz w:val="24"/>
          <w:szCs w:val="24"/>
        </w:rPr>
        <w:t xml:space="preserve"> </w:t>
      </w:r>
      <w:r w:rsidR="009831D3" w:rsidRPr="009831D3">
        <w:rPr>
          <w:rFonts w:ascii="Book Antiqua" w:hAnsi="Book Antiqua" w:cs="Times New Roman"/>
          <w:i/>
          <w:sz w:val="24"/>
          <w:szCs w:val="24"/>
        </w:rPr>
        <w:t>vs</w:t>
      </w:r>
      <w:r w:rsidR="00D64DC5" w:rsidRPr="00772D93">
        <w:rPr>
          <w:rFonts w:ascii="Book Antiqua" w:hAnsi="Book Antiqua" w:cs="Times New Roman"/>
          <w:sz w:val="24"/>
          <w:szCs w:val="24"/>
        </w:rPr>
        <w:t xml:space="preserve"> 43.9%)</w:t>
      </w:r>
      <w:r w:rsidR="003A1F11" w:rsidRPr="00772D93">
        <w:rPr>
          <w:rFonts w:ascii="Book Antiqua" w:hAnsi="Book Antiqua" w:cs="Times New Roman"/>
          <w:sz w:val="24"/>
          <w:szCs w:val="24"/>
        </w:rPr>
        <w:t>,</w:t>
      </w:r>
      <w:r w:rsidR="00D64DC5" w:rsidRPr="00772D93">
        <w:rPr>
          <w:rFonts w:ascii="Book Antiqua" w:hAnsi="Book Antiqua" w:cs="Times New Roman"/>
          <w:sz w:val="24"/>
          <w:szCs w:val="24"/>
        </w:rPr>
        <w:t xml:space="preserve"> and the unexplained detection rate pe</w:t>
      </w:r>
      <w:r w:rsidR="00566014" w:rsidRPr="00772D93">
        <w:rPr>
          <w:rFonts w:ascii="Book Antiqua" w:hAnsi="Book Antiqua" w:cs="Times New Roman"/>
          <w:sz w:val="24"/>
          <w:szCs w:val="24"/>
        </w:rPr>
        <w:t xml:space="preserve">r patient-year was 1.6 </w:t>
      </w:r>
      <w:r w:rsidR="009831D3" w:rsidRPr="009831D3">
        <w:rPr>
          <w:rFonts w:ascii="Book Antiqua" w:hAnsi="Book Antiqua" w:cs="Times New Roman"/>
          <w:i/>
          <w:sz w:val="24"/>
          <w:szCs w:val="24"/>
        </w:rPr>
        <w:t>vs</w:t>
      </w:r>
      <w:r w:rsidR="00566014" w:rsidRPr="00772D93">
        <w:rPr>
          <w:rFonts w:ascii="Book Antiqua" w:hAnsi="Book Antiqua" w:cs="Times New Roman"/>
          <w:sz w:val="24"/>
          <w:szCs w:val="24"/>
        </w:rPr>
        <w:t xml:space="preserve"> 4.8, </w:t>
      </w:r>
      <w:r w:rsidR="00D64DC5" w:rsidRPr="00772D93">
        <w:rPr>
          <w:rFonts w:ascii="Book Antiqua" w:hAnsi="Book Antiqua" w:cs="Times New Roman"/>
          <w:sz w:val="24"/>
          <w:szCs w:val="24"/>
        </w:rPr>
        <w:t>respectively</w:t>
      </w:r>
      <w:r w:rsidR="00A239B3" w:rsidRPr="00772D93">
        <w:rPr>
          <w:rFonts w:ascii="Book Antiqua" w:hAnsi="Book Antiqua" w:cs="Times New Roman"/>
          <w:sz w:val="24"/>
          <w:szCs w:val="24"/>
          <w:vertAlign w:val="superscript"/>
        </w:rPr>
        <w:fldChar w:fldCharType="begin"/>
      </w:r>
      <w:r w:rsidR="00850A12" w:rsidRPr="00772D93">
        <w:rPr>
          <w:rFonts w:ascii="Book Antiqua" w:hAnsi="Book Antiqua" w:cs="Times New Roman"/>
          <w:sz w:val="24"/>
          <w:szCs w:val="24"/>
          <w:vertAlign w:val="superscript"/>
        </w:rPr>
        <w:instrText xml:space="preserve"> ADDIN ZOTERO_ITEM CSL_CITATION {"citationID":"zOH8vVOk","properties":{"formattedCitation":"\\super [17]\\nosupersub{}","plainCitation":"[17]","noteIndex":0},"citationItems":[{"id":93,"uris":["http://zotero.org/users/local/SMqWT9IS/items/AHFLK7L8"],"uri":["http://zotero.org/users/local/SMqWT9IS/items/AHFLK7L8"],"itemData":{"id":93,"type":"article-journal","title":"Addition of Blood Pressure and Weight Transmissions to Standard Remote Monitoring of Implantable Defibrillators and its Association with Mortality and Rehospitalization","container-title":"Circulation. Cardiovascular Quality and Outcomes","volume":"10","issue":"5","source":"PubMed","abstract":"BACKGROUND: Among patients with implantable defibrillators (ICD), use of remote patient monitoring (RPM) is associated with lower risk of death and rehospitalization. Standard ICD RPM can be supplemented with weight and blood pressure data. It is not known whether standard RPM plus routine weight and blood pressure transmission (RPM+) is associated with better outcomes.\nMETHODS AND RESULTS: RPM+ patients (n=4106) were compared with patients who only transmitted standard ICD RPM data (n=14 183). Logistic regression models identified patient, physician, and hospital characteristics associated with RPM+ utilization. Mortality and rehospitalization were examined using landmark analyses at 180 days after ICD implant in Medicare fee-for-service patients. In these analyses, we examined the independent association between RPM+ utilization and times to events up to 3 years after device implantation with Cox regression models. We further examined whether the association between RPM+ and outcomes varied by frequency or type of transmissions. Determinants of RPM+ utilization included impaired ejection fraction, cardiac resynchronization therapy, and institutional practice. The risk of mortality of RPM+ patients was similar to standard ICD RPM patients (hazard ratio, 1.06; 95% confidence interval, 0.94-1.19; P=0.34). RPM+ patients also had similar risks of all-cause hospitalization (subdistribution hazard ratio, 1.03; 95% confidence interval, 0.94-1.14; P=0.52), cardiovascular hospitalization (subdistribution hazard ratio, 0.92; 95% confidence interval, 0.83-1.02; P=0.15), or heart failure hospitalizations (subdistribution hazard ratio, 0.90; 95% confidence interval, 0.78-1.05; P=0.18). RPM+ transmission frequency was not associated with outcomes.\nCONCLUSIONS: In patients using standard ICD RPM, the added transmission of weight and blood pressure data was not associated with improved outcomes.","DOI":"10.1161/CIRCOUTCOMES.116.003087","ISSN":"1941-7705","note":"PMID: 28506978","journalAbbreviation":"Circ Cardiovasc Qual Outcomes","language":"eng","author":[{"family":"Al-Chekakie","given":"M. Obadah"},{"family":"Bao","given":"Haikun"},{"family":"Jones","given":"Paul W."},{"family":"Stein","given":"Kenneth M."},{"family":"Marzec","given":"Lucas"},{"family":"Varosy","given":"Paul D."},{"family":"Masoudi","given":"Frederick A."},{"family":"Curtis","given":"Jeptha P."},{"family":"Akar","given":"Joseph G."}],"issued":{"date-parts":[["2017",5]]}}}],"schema":"https://github.com/citation-style-language/schema/raw/master/csl-citation.json"} </w:instrText>
      </w:r>
      <w:r w:rsidR="00A239B3" w:rsidRPr="00772D93">
        <w:rPr>
          <w:rFonts w:ascii="Book Antiqua" w:hAnsi="Book Antiqua" w:cs="Times New Roman"/>
          <w:sz w:val="24"/>
          <w:szCs w:val="24"/>
          <w:vertAlign w:val="superscript"/>
        </w:rPr>
        <w:fldChar w:fldCharType="separate"/>
      </w:r>
      <w:r w:rsidR="00850A12" w:rsidRPr="00772D93">
        <w:rPr>
          <w:rFonts w:ascii="Book Antiqua" w:hAnsi="Book Antiqua" w:cs="Times New Roman"/>
          <w:sz w:val="24"/>
          <w:szCs w:val="24"/>
          <w:vertAlign w:val="superscript"/>
        </w:rPr>
        <w:t>[17]</w:t>
      </w:r>
      <w:r w:rsidR="00A239B3" w:rsidRPr="00772D93">
        <w:rPr>
          <w:rFonts w:ascii="Book Antiqua" w:hAnsi="Book Antiqua" w:cs="Times New Roman"/>
          <w:sz w:val="24"/>
          <w:szCs w:val="24"/>
          <w:vertAlign w:val="superscript"/>
        </w:rPr>
        <w:fldChar w:fldCharType="end"/>
      </w:r>
      <w:r w:rsidR="00566014" w:rsidRPr="00772D93">
        <w:rPr>
          <w:rFonts w:ascii="Book Antiqua" w:hAnsi="Book Antiqua" w:cs="Times New Roman"/>
          <w:sz w:val="24"/>
          <w:szCs w:val="24"/>
        </w:rPr>
        <w:t xml:space="preserve">. </w:t>
      </w:r>
      <w:r w:rsidR="00F34CA5" w:rsidRPr="00772D93">
        <w:rPr>
          <w:rFonts w:ascii="Book Antiqua" w:hAnsi="Book Antiqua" w:cs="Times New Roman"/>
          <w:sz w:val="24"/>
          <w:szCs w:val="24"/>
        </w:rPr>
        <w:t>The</w:t>
      </w:r>
      <w:r w:rsidR="00D154E9" w:rsidRPr="00772D93">
        <w:rPr>
          <w:rFonts w:ascii="Book Antiqua" w:hAnsi="Book Antiqua" w:cs="Times New Roman"/>
          <w:sz w:val="24"/>
          <w:szCs w:val="24"/>
        </w:rPr>
        <w:t xml:space="preserve"> case </w:t>
      </w:r>
      <w:r w:rsidR="00F34CA5" w:rsidRPr="00772D93">
        <w:rPr>
          <w:rFonts w:ascii="Book Antiqua" w:hAnsi="Book Antiqua" w:cs="Times New Roman"/>
          <w:sz w:val="24"/>
          <w:szCs w:val="24"/>
        </w:rPr>
        <w:t xml:space="preserve">of </w:t>
      </w:r>
      <w:r w:rsidR="00F34CA5" w:rsidRPr="009831D3">
        <w:rPr>
          <w:rFonts w:ascii="Book Antiqua" w:hAnsi="Book Antiqua" w:cs="Times New Roman"/>
          <w:sz w:val="24"/>
          <w:szCs w:val="24"/>
        </w:rPr>
        <w:t xml:space="preserve">Patient 3 </w:t>
      </w:r>
      <w:r w:rsidR="00D154E9" w:rsidRPr="00772D93">
        <w:rPr>
          <w:rFonts w:ascii="Book Antiqua" w:hAnsi="Book Antiqua" w:cs="Times New Roman"/>
          <w:sz w:val="24"/>
          <w:szCs w:val="24"/>
        </w:rPr>
        <w:t>illustrate</w:t>
      </w:r>
      <w:r w:rsidR="00F34CA5" w:rsidRPr="00772D93">
        <w:rPr>
          <w:rFonts w:ascii="Book Antiqua" w:hAnsi="Book Antiqua" w:cs="Times New Roman"/>
          <w:sz w:val="24"/>
          <w:szCs w:val="24"/>
        </w:rPr>
        <w:t>s</w:t>
      </w:r>
      <w:r w:rsidR="00D154E9" w:rsidRPr="00772D93">
        <w:rPr>
          <w:rFonts w:ascii="Book Antiqua" w:hAnsi="Book Antiqua" w:cs="Times New Roman"/>
          <w:sz w:val="24"/>
          <w:szCs w:val="24"/>
        </w:rPr>
        <w:t xml:space="preserve"> </w:t>
      </w:r>
      <w:r w:rsidR="00F34CA5" w:rsidRPr="00772D93">
        <w:rPr>
          <w:rFonts w:ascii="Book Antiqua" w:hAnsi="Book Antiqua" w:cs="Times New Roman"/>
          <w:sz w:val="24"/>
          <w:szCs w:val="24"/>
        </w:rPr>
        <w:t>that</w:t>
      </w:r>
      <w:r w:rsidR="003A1F11" w:rsidRPr="00772D93">
        <w:rPr>
          <w:rFonts w:ascii="Book Antiqua" w:hAnsi="Book Antiqua" w:cs="Times New Roman"/>
          <w:sz w:val="24"/>
          <w:szCs w:val="24"/>
        </w:rPr>
        <w:t xml:space="preserve"> the</w:t>
      </w:r>
      <w:r w:rsidR="00704CAE" w:rsidRPr="00772D93">
        <w:rPr>
          <w:rFonts w:ascii="Book Antiqua" w:hAnsi="Book Antiqua" w:cs="Times New Roman"/>
          <w:sz w:val="24"/>
          <w:szCs w:val="24"/>
        </w:rPr>
        <w:t xml:space="preserve"> </w:t>
      </w:r>
      <w:r w:rsidR="00D154E9" w:rsidRPr="00772D93">
        <w:rPr>
          <w:rFonts w:ascii="Book Antiqua" w:hAnsi="Book Antiqua" w:cs="Times New Roman"/>
          <w:sz w:val="24"/>
          <w:szCs w:val="24"/>
        </w:rPr>
        <w:t>LI measurements can sometimes even reflect excessive dehydration</w:t>
      </w:r>
      <w:r w:rsidR="00ED6998" w:rsidRPr="00772D93">
        <w:rPr>
          <w:rFonts w:ascii="Book Antiqua" w:hAnsi="Book Antiqua" w:cs="Times New Roman"/>
          <w:sz w:val="24"/>
          <w:szCs w:val="24"/>
        </w:rPr>
        <w:t>,</w:t>
      </w:r>
      <w:r w:rsidR="00D154E9" w:rsidRPr="00772D93">
        <w:rPr>
          <w:rFonts w:ascii="Book Antiqua" w:hAnsi="Book Antiqua" w:cs="Times New Roman"/>
          <w:sz w:val="24"/>
          <w:szCs w:val="24"/>
        </w:rPr>
        <w:t xml:space="preserve"> </w:t>
      </w:r>
      <w:r w:rsidR="00586D0F" w:rsidRPr="00772D93">
        <w:rPr>
          <w:rFonts w:ascii="Book Antiqua" w:hAnsi="Book Antiqua" w:cs="Times New Roman"/>
          <w:sz w:val="24"/>
          <w:szCs w:val="24"/>
        </w:rPr>
        <w:t>assisting</w:t>
      </w:r>
      <w:r w:rsidR="00704CAE" w:rsidRPr="00772D93">
        <w:rPr>
          <w:rFonts w:ascii="Book Antiqua" w:hAnsi="Book Antiqua" w:cs="Times New Roman"/>
          <w:sz w:val="24"/>
          <w:szCs w:val="24"/>
        </w:rPr>
        <w:t xml:space="preserve"> </w:t>
      </w:r>
      <w:r w:rsidR="00586D0F" w:rsidRPr="00772D93">
        <w:rPr>
          <w:rFonts w:ascii="Book Antiqua" w:hAnsi="Book Antiqua" w:cs="Times New Roman"/>
          <w:sz w:val="24"/>
          <w:szCs w:val="24"/>
        </w:rPr>
        <w:t>in the</w:t>
      </w:r>
      <w:r w:rsidR="00704CAE" w:rsidRPr="00772D93">
        <w:rPr>
          <w:rFonts w:ascii="Book Antiqua" w:hAnsi="Book Antiqua" w:cs="Times New Roman"/>
          <w:sz w:val="24"/>
          <w:szCs w:val="24"/>
        </w:rPr>
        <w:t xml:space="preserve"> detect</w:t>
      </w:r>
      <w:r w:rsidR="00586D0F" w:rsidRPr="00772D93">
        <w:rPr>
          <w:rFonts w:ascii="Book Antiqua" w:hAnsi="Book Antiqua" w:cs="Times New Roman"/>
          <w:sz w:val="24"/>
          <w:szCs w:val="24"/>
        </w:rPr>
        <w:t>ion</w:t>
      </w:r>
      <w:r w:rsidR="00704CAE" w:rsidRPr="00772D93">
        <w:rPr>
          <w:rFonts w:ascii="Book Antiqua" w:hAnsi="Book Antiqua" w:cs="Times New Roman"/>
          <w:sz w:val="24"/>
          <w:szCs w:val="24"/>
        </w:rPr>
        <w:t xml:space="preserve"> </w:t>
      </w:r>
      <w:r w:rsidR="00586D0F" w:rsidRPr="00772D93">
        <w:rPr>
          <w:rFonts w:ascii="Book Antiqua" w:hAnsi="Book Antiqua" w:cs="Times New Roman"/>
          <w:sz w:val="24"/>
          <w:szCs w:val="24"/>
        </w:rPr>
        <w:t xml:space="preserve">of </w:t>
      </w:r>
      <w:r w:rsidR="00704CAE" w:rsidRPr="00772D93">
        <w:rPr>
          <w:rFonts w:ascii="Book Antiqua" w:hAnsi="Book Antiqua" w:cs="Times New Roman"/>
          <w:sz w:val="24"/>
          <w:szCs w:val="24"/>
        </w:rPr>
        <w:t xml:space="preserve">not only </w:t>
      </w:r>
      <w:r w:rsidR="003A1F11" w:rsidRPr="00772D93">
        <w:rPr>
          <w:rFonts w:ascii="Book Antiqua" w:hAnsi="Book Antiqua" w:cs="Times New Roman"/>
          <w:sz w:val="24"/>
          <w:szCs w:val="24"/>
        </w:rPr>
        <w:t xml:space="preserve">an </w:t>
      </w:r>
      <w:r w:rsidR="00704CAE" w:rsidRPr="00772D93">
        <w:rPr>
          <w:rFonts w:ascii="Book Antiqua" w:hAnsi="Book Antiqua" w:cs="Times New Roman"/>
          <w:sz w:val="24"/>
          <w:szCs w:val="24"/>
        </w:rPr>
        <w:t>under- but also over-dosage of diuretics</w:t>
      </w:r>
      <w:r w:rsidR="00586D0F" w:rsidRPr="00772D93">
        <w:rPr>
          <w:rFonts w:ascii="Book Antiqua" w:hAnsi="Book Antiqua" w:cs="Times New Roman"/>
          <w:sz w:val="24"/>
          <w:szCs w:val="24"/>
        </w:rPr>
        <w:t>.</w:t>
      </w:r>
    </w:p>
    <w:p w14:paraId="02A91A61" w14:textId="77777777" w:rsidR="00B84CE1" w:rsidRPr="00772D93" w:rsidRDefault="00B84CE1" w:rsidP="00772D93">
      <w:pPr>
        <w:spacing w:after="0" w:line="360" w:lineRule="auto"/>
        <w:jc w:val="both"/>
        <w:rPr>
          <w:rFonts w:ascii="Book Antiqua" w:hAnsi="Book Antiqua" w:cs="Times New Roman"/>
          <w:sz w:val="24"/>
          <w:szCs w:val="24"/>
        </w:rPr>
      </w:pPr>
    </w:p>
    <w:p w14:paraId="62246C78" w14:textId="23AF232A" w:rsidR="00D85293" w:rsidRPr="009831D3" w:rsidRDefault="00D85293" w:rsidP="00772D93">
      <w:pPr>
        <w:spacing w:after="0" w:line="360" w:lineRule="auto"/>
        <w:jc w:val="both"/>
        <w:rPr>
          <w:rFonts w:ascii="Book Antiqua" w:hAnsi="Book Antiqua" w:cs="Times New Roman"/>
          <w:b/>
          <w:sz w:val="24"/>
          <w:szCs w:val="24"/>
        </w:rPr>
      </w:pPr>
      <w:r w:rsidRPr="009831D3">
        <w:rPr>
          <w:rFonts w:ascii="Book Antiqua" w:hAnsi="Book Antiqua" w:cs="Times New Roman"/>
          <w:b/>
          <w:sz w:val="24"/>
          <w:szCs w:val="24"/>
        </w:rPr>
        <w:t>CONCLUSION</w:t>
      </w:r>
    </w:p>
    <w:p w14:paraId="1A0973F8" w14:textId="73009B78" w:rsidR="00CE5B59" w:rsidRDefault="00015AB5" w:rsidP="00772D93">
      <w:pPr>
        <w:spacing w:after="0"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lastRenderedPageBreak/>
        <w:t xml:space="preserve">Our first experience with </w:t>
      </w:r>
      <w:r w:rsidR="007769E4" w:rsidRPr="00772D93">
        <w:rPr>
          <w:rFonts w:ascii="Book Antiqua" w:hAnsi="Book Antiqua" w:cs="Times New Roman"/>
          <w:sz w:val="24"/>
          <w:szCs w:val="24"/>
        </w:rPr>
        <w:t xml:space="preserve">taking </w:t>
      </w:r>
      <w:r w:rsidRPr="00772D93">
        <w:rPr>
          <w:rFonts w:ascii="Book Antiqua" w:hAnsi="Book Antiqua" w:cs="Times New Roman"/>
          <w:sz w:val="24"/>
          <w:szCs w:val="24"/>
        </w:rPr>
        <w:t xml:space="preserve">LI measurements </w:t>
      </w:r>
      <w:r w:rsidR="00E957D5" w:rsidRPr="00772D93">
        <w:rPr>
          <w:rFonts w:ascii="Book Antiqua" w:hAnsi="Book Antiqua" w:cs="Times New Roman"/>
          <w:sz w:val="24"/>
          <w:szCs w:val="24"/>
        </w:rPr>
        <w:t xml:space="preserve">using </w:t>
      </w:r>
      <w:r w:rsidR="007769E4" w:rsidRPr="00772D93">
        <w:rPr>
          <w:rFonts w:ascii="Book Antiqua" w:hAnsi="Book Antiqua" w:cs="Times New Roman"/>
          <w:sz w:val="24"/>
          <w:szCs w:val="24"/>
        </w:rPr>
        <w:t xml:space="preserve">the </w:t>
      </w:r>
      <w:r w:rsidR="00E957D5" w:rsidRPr="00772D93">
        <w:rPr>
          <w:rFonts w:ascii="Book Antiqua" w:hAnsi="Book Antiqua" w:cs="Times New Roman"/>
          <w:sz w:val="24"/>
          <w:szCs w:val="24"/>
        </w:rPr>
        <w:t xml:space="preserve">EGM </w:t>
      </w:r>
      <w:r w:rsidRPr="00772D93">
        <w:rPr>
          <w:rFonts w:ascii="Book Antiqua" w:hAnsi="Book Antiqua" w:cs="Times New Roman"/>
          <w:sz w:val="24"/>
          <w:szCs w:val="24"/>
        </w:rPr>
        <w:t xml:space="preserve">implies the high sensitivity and </w:t>
      </w:r>
      <w:r w:rsidR="008B3431" w:rsidRPr="00772D93">
        <w:rPr>
          <w:rFonts w:ascii="Book Antiqua" w:hAnsi="Book Antiqua" w:cs="Times New Roman"/>
          <w:sz w:val="24"/>
          <w:szCs w:val="24"/>
        </w:rPr>
        <w:t xml:space="preserve">potential </w:t>
      </w:r>
      <w:r w:rsidRPr="00772D93">
        <w:rPr>
          <w:rFonts w:ascii="Book Antiqua" w:hAnsi="Book Antiqua" w:cs="Times New Roman"/>
          <w:sz w:val="24"/>
          <w:szCs w:val="24"/>
        </w:rPr>
        <w:t xml:space="preserve">clinical utility of this tool consistently reflected the changes in </w:t>
      </w:r>
      <w:r w:rsidR="007769E4" w:rsidRPr="00772D93">
        <w:rPr>
          <w:rFonts w:ascii="Book Antiqua" w:hAnsi="Book Antiqua" w:cs="Times New Roman"/>
          <w:sz w:val="24"/>
          <w:szCs w:val="24"/>
        </w:rPr>
        <w:t xml:space="preserve">the </w:t>
      </w:r>
      <w:r w:rsidRPr="00772D93">
        <w:rPr>
          <w:rFonts w:ascii="Book Antiqua" w:hAnsi="Book Antiqua" w:cs="Times New Roman"/>
          <w:sz w:val="24"/>
          <w:szCs w:val="24"/>
        </w:rPr>
        <w:t>dose of diuretics. Non-invasive daily</w:t>
      </w:r>
      <w:r w:rsidR="00880202" w:rsidRPr="00772D93">
        <w:rPr>
          <w:rFonts w:ascii="Book Antiqua" w:hAnsi="Book Antiqua" w:cs="Times New Roman"/>
          <w:sz w:val="24"/>
          <w:szCs w:val="24"/>
        </w:rPr>
        <w:t xml:space="preserve"> monitoring of LI may become an </w:t>
      </w:r>
      <w:r w:rsidRPr="00772D93">
        <w:rPr>
          <w:rFonts w:ascii="Book Antiqua" w:hAnsi="Book Antiqua" w:cs="Times New Roman"/>
          <w:sz w:val="24"/>
          <w:szCs w:val="24"/>
        </w:rPr>
        <w:t>important component of successful transitions</w:t>
      </w:r>
      <w:r w:rsidR="00880202" w:rsidRPr="00772D93">
        <w:rPr>
          <w:rFonts w:ascii="Book Antiqua" w:hAnsi="Book Antiqua" w:cs="Times New Roman"/>
          <w:sz w:val="24"/>
          <w:szCs w:val="24"/>
        </w:rPr>
        <w:t xml:space="preserve"> from acute to stable phases of </w:t>
      </w:r>
      <w:r w:rsidRPr="00772D93">
        <w:rPr>
          <w:rFonts w:ascii="Book Antiqua" w:hAnsi="Book Antiqua" w:cs="Times New Roman"/>
          <w:sz w:val="24"/>
          <w:szCs w:val="24"/>
        </w:rPr>
        <w:t xml:space="preserve">HF, but more clinical experience is needed in order to </w:t>
      </w:r>
      <w:r w:rsidR="00880202" w:rsidRPr="00772D93">
        <w:rPr>
          <w:rFonts w:ascii="Book Antiqua" w:hAnsi="Book Antiqua" w:cs="Times New Roman"/>
          <w:sz w:val="24"/>
          <w:szCs w:val="24"/>
        </w:rPr>
        <w:t xml:space="preserve">find the best algorithms </w:t>
      </w:r>
      <w:r w:rsidRPr="00772D93">
        <w:rPr>
          <w:rFonts w:ascii="Book Antiqua" w:hAnsi="Book Antiqua" w:cs="Times New Roman"/>
          <w:sz w:val="24"/>
          <w:szCs w:val="24"/>
        </w:rPr>
        <w:t xml:space="preserve">for the reactions of </w:t>
      </w:r>
      <w:r w:rsidR="00880202" w:rsidRPr="00772D93">
        <w:rPr>
          <w:rFonts w:ascii="Book Antiqua" w:hAnsi="Book Antiqua" w:cs="Times New Roman"/>
          <w:sz w:val="24"/>
          <w:szCs w:val="24"/>
        </w:rPr>
        <w:t>health care professionals to</w:t>
      </w:r>
      <w:r w:rsidRPr="00772D93">
        <w:rPr>
          <w:rFonts w:ascii="Book Antiqua" w:hAnsi="Book Antiqua" w:cs="Times New Roman"/>
          <w:sz w:val="24"/>
          <w:szCs w:val="24"/>
        </w:rPr>
        <w:t xml:space="preserve"> </w:t>
      </w:r>
      <w:r w:rsidR="00880202" w:rsidRPr="00772D93">
        <w:rPr>
          <w:rFonts w:ascii="Book Antiqua" w:hAnsi="Book Antiqua" w:cs="Times New Roman"/>
          <w:sz w:val="24"/>
          <w:szCs w:val="24"/>
        </w:rPr>
        <w:t>different</w:t>
      </w:r>
      <w:r w:rsidRPr="00772D93">
        <w:rPr>
          <w:rFonts w:ascii="Book Antiqua" w:hAnsi="Book Antiqua" w:cs="Times New Roman"/>
          <w:sz w:val="24"/>
          <w:szCs w:val="24"/>
        </w:rPr>
        <w:t xml:space="preserve"> LI changes.</w:t>
      </w:r>
    </w:p>
    <w:p w14:paraId="081D6B23" w14:textId="77777777" w:rsidR="009831D3" w:rsidRPr="00772D93" w:rsidRDefault="009831D3" w:rsidP="00772D93">
      <w:pPr>
        <w:spacing w:after="0" w:line="360" w:lineRule="auto"/>
        <w:jc w:val="both"/>
        <w:rPr>
          <w:rFonts w:ascii="Book Antiqua" w:hAnsi="Book Antiqua" w:cs="Times New Roman"/>
          <w:sz w:val="24"/>
          <w:szCs w:val="24"/>
          <w:lang w:eastAsia="zh-CN"/>
        </w:rPr>
      </w:pPr>
    </w:p>
    <w:p w14:paraId="078E8B9D" w14:textId="77777777" w:rsidR="009831D3" w:rsidRPr="002E3F3D" w:rsidRDefault="009831D3" w:rsidP="002E3F3D">
      <w:pPr>
        <w:spacing w:after="0" w:line="360" w:lineRule="auto"/>
        <w:jc w:val="both"/>
        <w:rPr>
          <w:rFonts w:ascii="Book Antiqua" w:hAnsi="Book Antiqua" w:cs="Times New Roman"/>
          <w:b/>
          <w:sz w:val="24"/>
          <w:szCs w:val="24"/>
        </w:rPr>
      </w:pPr>
      <w:r w:rsidRPr="002E3F3D">
        <w:rPr>
          <w:rFonts w:ascii="Book Antiqua" w:hAnsi="Book Antiqua" w:cs="Times New Roman"/>
          <w:b/>
          <w:sz w:val="24"/>
          <w:szCs w:val="24"/>
        </w:rPr>
        <w:br w:type="page"/>
      </w:r>
    </w:p>
    <w:p w14:paraId="5DD2B9B7" w14:textId="077797E3" w:rsidR="009831D3" w:rsidRPr="002E3F3D" w:rsidRDefault="00CC7C35" w:rsidP="002E3F3D">
      <w:pPr>
        <w:spacing w:after="0" w:line="360" w:lineRule="auto"/>
        <w:jc w:val="both"/>
        <w:rPr>
          <w:rFonts w:ascii="Book Antiqua" w:hAnsi="Book Antiqua" w:cs="Times New Roman"/>
          <w:sz w:val="24"/>
          <w:szCs w:val="24"/>
        </w:rPr>
      </w:pPr>
      <w:r w:rsidRPr="002E3F3D">
        <w:rPr>
          <w:rFonts w:ascii="Book Antiqua" w:hAnsi="Book Antiqua" w:cs="Times New Roman"/>
          <w:b/>
          <w:sz w:val="24"/>
          <w:szCs w:val="24"/>
        </w:rPr>
        <w:lastRenderedPageBreak/>
        <w:t>REFERENCE</w:t>
      </w:r>
      <w:r w:rsidR="00752414" w:rsidRPr="002E3F3D">
        <w:rPr>
          <w:rFonts w:ascii="Book Antiqua" w:hAnsi="Book Antiqua" w:cs="Times New Roman"/>
          <w:b/>
          <w:sz w:val="24"/>
          <w:szCs w:val="24"/>
        </w:rPr>
        <w:t>S</w:t>
      </w:r>
    </w:p>
    <w:p w14:paraId="192C6019"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1 </w:t>
      </w:r>
      <w:r w:rsidRPr="002E3F3D">
        <w:rPr>
          <w:rFonts w:ascii="Book Antiqua" w:hAnsi="Book Antiqua"/>
          <w:b/>
          <w:sz w:val="24"/>
          <w:szCs w:val="24"/>
        </w:rPr>
        <w:t>Gupta A</w:t>
      </w:r>
      <w:r w:rsidRPr="002E3F3D">
        <w:rPr>
          <w:rFonts w:ascii="Book Antiqua" w:hAnsi="Book Antiqua"/>
          <w:sz w:val="24"/>
          <w:szCs w:val="24"/>
        </w:rPr>
        <w:t xml:space="preserve">, Allen LA, Bhatt DL, Cox M, DeVore AD, Heidenreich PA, Hernandez AF, Peterson ED, </w:t>
      </w:r>
      <w:proofErr w:type="spellStart"/>
      <w:r w:rsidRPr="002E3F3D">
        <w:rPr>
          <w:rFonts w:ascii="Book Antiqua" w:hAnsi="Book Antiqua"/>
          <w:sz w:val="24"/>
          <w:szCs w:val="24"/>
        </w:rPr>
        <w:t>Matsouaka</w:t>
      </w:r>
      <w:proofErr w:type="spellEnd"/>
      <w:r w:rsidRPr="002E3F3D">
        <w:rPr>
          <w:rFonts w:ascii="Book Antiqua" w:hAnsi="Book Antiqua"/>
          <w:sz w:val="24"/>
          <w:szCs w:val="24"/>
        </w:rPr>
        <w:t xml:space="preserve"> RA, Yancy CW, </w:t>
      </w:r>
      <w:proofErr w:type="spellStart"/>
      <w:r w:rsidRPr="002E3F3D">
        <w:rPr>
          <w:rFonts w:ascii="Book Antiqua" w:hAnsi="Book Antiqua"/>
          <w:sz w:val="24"/>
          <w:szCs w:val="24"/>
        </w:rPr>
        <w:t>Fonarow</w:t>
      </w:r>
      <w:proofErr w:type="spellEnd"/>
      <w:r w:rsidRPr="002E3F3D">
        <w:rPr>
          <w:rFonts w:ascii="Book Antiqua" w:hAnsi="Book Antiqua"/>
          <w:sz w:val="24"/>
          <w:szCs w:val="24"/>
        </w:rPr>
        <w:t xml:space="preserve"> GC. Association of the Hospital Readmissions Reduction Program Implementation </w:t>
      </w:r>
      <w:proofErr w:type="gramStart"/>
      <w:r w:rsidRPr="002E3F3D">
        <w:rPr>
          <w:rFonts w:ascii="Book Antiqua" w:hAnsi="Book Antiqua"/>
          <w:sz w:val="24"/>
          <w:szCs w:val="24"/>
        </w:rPr>
        <w:t>With</w:t>
      </w:r>
      <w:proofErr w:type="gramEnd"/>
      <w:r w:rsidRPr="002E3F3D">
        <w:rPr>
          <w:rFonts w:ascii="Book Antiqua" w:hAnsi="Book Antiqua"/>
          <w:sz w:val="24"/>
          <w:szCs w:val="24"/>
        </w:rPr>
        <w:t xml:space="preserve"> Readmission and Mortality Outcomes in Heart Failure. </w:t>
      </w:r>
      <w:r w:rsidRPr="002E3F3D">
        <w:rPr>
          <w:rFonts w:ascii="Book Antiqua" w:hAnsi="Book Antiqua"/>
          <w:i/>
          <w:sz w:val="24"/>
          <w:szCs w:val="24"/>
        </w:rPr>
        <w:t xml:space="preserve">JAMA </w:t>
      </w:r>
      <w:proofErr w:type="spellStart"/>
      <w:r w:rsidRPr="002E3F3D">
        <w:rPr>
          <w:rFonts w:ascii="Book Antiqua" w:hAnsi="Book Antiqua"/>
          <w:i/>
          <w:sz w:val="24"/>
          <w:szCs w:val="24"/>
        </w:rPr>
        <w:t>Cardiol</w:t>
      </w:r>
      <w:proofErr w:type="spellEnd"/>
      <w:r w:rsidRPr="002E3F3D">
        <w:rPr>
          <w:rFonts w:ascii="Book Antiqua" w:hAnsi="Book Antiqua"/>
          <w:sz w:val="24"/>
          <w:szCs w:val="24"/>
        </w:rPr>
        <w:t xml:space="preserve"> 2018; </w:t>
      </w:r>
      <w:r w:rsidRPr="002E3F3D">
        <w:rPr>
          <w:rFonts w:ascii="Book Antiqua" w:hAnsi="Book Antiqua"/>
          <w:b/>
          <w:sz w:val="24"/>
          <w:szCs w:val="24"/>
        </w:rPr>
        <w:t>3</w:t>
      </w:r>
      <w:r w:rsidRPr="002E3F3D">
        <w:rPr>
          <w:rFonts w:ascii="Book Antiqua" w:hAnsi="Book Antiqua"/>
          <w:sz w:val="24"/>
          <w:szCs w:val="24"/>
        </w:rPr>
        <w:t>: 44-53 [PMID: 29128869 DOI: 10.1001/jamacardio.2017.4265]</w:t>
      </w:r>
    </w:p>
    <w:p w14:paraId="566F631E"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2 </w:t>
      </w:r>
      <w:proofErr w:type="spellStart"/>
      <w:r w:rsidRPr="002E3F3D">
        <w:rPr>
          <w:rFonts w:ascii="Book Antiqua" w:hAnsi="Book Antiqua"/>
          <w:b/>
          <w:sz w:val="24"/>
          <w:szCs w:val="24"/>
        </w:rPr>
        <w:t>Čerlinskaitė</w:t>
      </w:r>
      <w:proofErr w:type="spellEnd"/>
      <w:r w:rsidRPr="002E3F3D">
        <w:rPr>
          <w:rFonts w:ascii="Book Antiqua" w:hAnsi="Book Antiqua"/>
          <w:b/>
          <w:sz w:val="24"/>
          <w:szCs w:val="24"/>
        </w:rPr>
        <w:t xml:space="preserve"> K</w:t>
      </w:r>
      <w:r w:rsidRPr="002E3F3D">
        <w:rPr>
          <w:rFonts w:ascii="Book Antiqua" w:hAnsi="Book Antiqua"/>
          <w:sz w:val="24"/>
          <w:szCs w:val="24"/>
        </w:rPr>
        <w:t xml:space="preserve">, Hollinger A, </w:t>
      </w:r>
      <w:proofErr w:type="spellStart"/>
      <w:r w:rsidRPr="002E3F3D">
        <w:rPr>
          <w:rFonts w:ascii="Book Antiqua" w:hAnsi="Book Antiqua"/>
          <w:sz w:val="24"/>
          <w:szCs w:val="24"/>
        </w:rPr>
        <w:t>Mebazaa</w:t>
      </w:r>
      <w:proofErr w:type="spellEnd"/>
      <w:r w:rsidRPr="002E3F3D">
        <w:rPr>
          <w:rFonts w:ascii="Book Antiqua" w:hAnsi="Book Antiqua"/>
          <w:sz w:val="24"/>
          <w:szCs w:val="24"/>
        </w:rPr>
        <w:t xml:space="preserve"> A, </w:t>
      </w:r>
      <w:proofErr w:type="spellStart"/>
      <w:r w:rsidRPr="002E3F3D">
        <w:rPr>
          <w:rFonts w:ascii="Book Antiqua" w:hAnsi="Book Antiqua"/>
          <w:sz w:val="24"/>
          <w:szCs w:val="24"/>
        </w:rPr>
        <w:t>Cinotti</w:t>
      </w:r>
      <w:proofErr w:type="spellEnd"/>
      <w:r w:rsidRPr="002E3F3D">
        <w:rPr>
          <w:rFonts w:ascii="Book Antiqua" w:hAnsi="Book Antiqua"/>
          <w:sz w:val="24"/>
          <w:szCs w:val="24"/>
        </w:rPr>
        <w:t xml:space="preserve"> R. Finding the balance between costs and quality in heart failure: a global challenge. </w:t>
      </w:r>
      <w:r w:rsidRPr="002E3F3D">
        <w:rPr>
          <w:rFonts w:ascii="Book Antiqua" w:hAnsi="Book Antiqua"/>
          <w:i/>
          <w:sz w:val="24"/>
          <w:szCs w:val="24"/>
        </w:rPr>
        <w:t>Eur J Heart Fail</w:t>
      </w:r>
      <w:r w:rsidRPr="002E3F3D">
        <w:rPr>
          <w:rFonts w:ascii="Book Antiqua" w:hAnsi="Book Antiqua"/>
          <w:sz w:val="24"/>
          <w:szCs w:val="24"/>
        </w:rPr>
        <w:t xml:space="preserve"> 2018; </w:t>
      </w:r>
      <w:r w:rsidRPr="002E3F3D">
        <w:rPr>
          <w:rFonts w:ascii="Book Antiqua" w:hAnsi="Book Antiqua"/>
          <w:b/>
          <w:sz w:val="24"/>
          <w:szCs w:val="24"/>
        </w:rPr>
        <w:t>20</w:t>
      </w:r>
      <w:r w:rsidRPr="002E3F3D">
        <w:rPr>
          <w:rFonts w:ascii="Book Antiqua" w:hAnsi="Book Antiqua"/>
          <w:sz w:val="24"/>
          <w:szCs w:val="24"/>
        </w:rPr>
        <w:t>: 1175-1178 [PMID: 29673007 DOI: 10.1002/ejhf.1195]</w:t>
      </w:r>
    </w:p>
    <w:p w14:paraId="0A3A4D0B"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3 </w:t>
      </w:r>
      <w:proofErr w:type="spellStart"/>
      <w:r w:rsidRPr="002E3F3D">
        <w:rPr>
          <w:rFonts w:ascii="Book Antiqua" w:hAnsi="Book Antiqua"/>
          <w:b/>
          <w:sz w:val="24"/>
          <w:szCs w:val="24"/>
        </w:rPr>
        <w:t>Shochat</w:t>
      </w:r>
      <w:proofErr w:type="spellEnd"/>
      <w:r w:rsidRPr="002E3F3D">
        <w:rPr>
          <w:rFonts w:ascii="Book Antiqua" w:hAnsi="Book Antiqua"/>
          <w:b/>
          <w:sz w:val="24"/>
          <w:szCs w:val="24"/>
        </w:rPr>
        <w:t xml:space="preserve"> MK</w:t>
      </w:r>
      <w:r w:rsidRPr="002E3F3D">
        <w:rPr>
          <w:rFonts w:ascii="Book Antiqua" w:hAnsi="Book Antiqua"/>
          <w:sz w:val="24"/>
          <w:szCs w:val="24"/>
        </w:rPr>
        <w:t xml:space="preserve">, </w:t>
      </w:r>
      <w:proofErr w:type="spellStart"/>
      <w:r w:rsidRPr="002E3F3D">
        <w:rPr>
          <w:rFonts w:ascii="Book Antiqua" w:hAnsi="Book Antiqua"/>
          <w:sz w:val="24"/>
          <w:szCs w:val="24"/>
        </w:rPr>
        <w:t>Shotan</w:t>
      </w:r>
      <w:proofErr w:type="spellEnd"/>
      <w:r w:rsidRPr="002E3F3D">
        <w:rPr>
          <w:rFonts w:ascii="Book Antiqua" w:hAnsi="Book Antiqua"/>
          <w:sz w:val="24"/>
          <w:szCs w:val="24"/>
        </w:rPr>
        <w:t xml:space="preserve"> A, </w:t>
      </w:r>
      <w:proofErr w:type="spellStart"/>
      <w:r w:rsidRPr="002E3F3D">
        <w:rPr>
          <w:rFonts w:ascii="Book Antiqua" w:hAnsi="Book Antiqua"/>
          <w:sz w:val="24"/>
          <w:szCs w:val="24"/>
        </w:rPr>
        <w:t>Blondheim</w:t>
      </w:r>
      <w:proofErr w:type="spellEnd"/>
      <w:r w:rsidRPr="002E3F3D">
        <w:rPr>
          <w:rFonts w:ascii="Book Antiqua" w:hAnsi="Book Antiqua"/>
          <w:sz w:val="24"/>
          <w:szCs w:val="24"/>
        </w:rPr>
        <w:t xml:space="preserve"> DS, </w:t>
      </w:r>
      <w:proofErr w:type="spellStart"/>
      <w:r w:rsidRPr="002E3F3D">
        <w:rPr>
          <w:rFonts w:ascii="Book Antiqua" w:hAnsi="Book Antiqua"/>
          <w:sz w:val="24"/>
          <w:szCs w:val="24"/>
        </w:rPr>
        <w:t>Kazatsker</w:t>
      </w:r>
      <w:proofErr w:type="spellEnd"/>
      <w:r w:rsidRPr="002E3F3D">
        <w:rPr>
          <w:rFonts w:ascii="Book Antiqua" w:hAnsi="Book Antiqua"/>
          <w:sz w:val="24"/>
          <w:szCs w:val="24"/>
        </w:rPr>
        <w:t xml:space="preserve"> M, </w:t>
      </w:r>
      <w:proofErr w:type="spellStart"/>
      <w:r w:rsidRPr="002E3F3D">
        <w:rPr>
          <w:rFonts w:ascii="Book Antiqua" w:hAnsi="Book Antiqua"/>
          <w:sz w:val="24"/>
          <w:szCs w:val="24"/>
        </w:rPr>
        <w:t>Dahan</w:t>
      </w:r>
      <w:proofErr w:type="spellEnd"/>
      <w:r w:rsidRPr="002E3F3D">
        <w:rPr>
          <w:rFonts w:ascii="Book Antiqua" w:hAnsi="Book Antiqua"/>
          <w:sz w:val="24"/>
          <w:szCs w:val="24"/>
        </w:rPr>
        <w:t xml:space="preserve"> I, Asif A, </w:t>
      </w:r>
      <w:proofErr w:type="spellStart"/>
      <w:r w:rsidRPr="002E3F3D">
        <w:rPr>
          <w:rFonts w:ascii="Book Antiqua" w:hAnsi="Book Antiqua"/>
          <w:sz w:val="24"/>
          <w:szCs w:val="24"/>
        </w:rPr>
        <w:t>Rozenman</w:t>
      </w:r>
      <w:proofErr w:type="spellEnd"/>
      <w:r w:rsidRPr="002E3F3D">
        <w:rPr>
          <w:rFonts w:ascii="Book Antiqua" w:hAnsi="Book Antiqua"/>
          <w:sz w:val="24"/>
          <w:szCs w:val="24"/>
        </w:rPr>
        <w:t xml:space="preserve"> Y, Kleiner I, Weinstein JM, </w:t>
      </w:r>
      <w:proofErr w:type="spellStart"/>
      <w:r w:rsidRPr="002E3F3D">
        <w:rPr>
          <w:rFonts w:ascii="Book Antiqua" w:hAnsi="Book Antiqua"/>
          <w:sz w:val="24"/>
          <w:szCs w:val="24"/>
        </w:rPr>
        <w:t>Frimerman</w:t>
      </w:r>
      <w:proofErr w:type="spellEnd"/>
      <w:r w:rsidRPr="002E3F3D">
        <w:rPr>
          <w:rFonts w:ascii="Book Antiqua" w:hAnsi="Book Antiqua"/>
          <w:sz w:val="24"/>
          <w:szCs w:val="24"/>
        </w:rPr>
        <w:t xml:space="preserve"> A, </w:t>
      </w:r>
      <w:proofErr w:type="spellStart"/>
      <w:r w:rsidRPr="002E3F3D">
        <w:rPr>
          <w:rFonts w:ascii="Book Antiqua" w:hAnsi="Book Antiqua"/>
          <w:sz w:val="24"/>
          <w:szCs w:val="24"/>
        </w:rPr>
        <w:t>Vasilenko</w:t>
      </w:r>
      <w:proofErr w:type="spellEnd"/>
      <w:r w:rsidRPr="002E3F3D">
        <w:rPr>
          <w:rFonts w:ascii="Book Antiqua" w:hAnsi="Book Antiqua"/>
          <w:sz w:val="24"/>
          <w:szCs w:val="24"/>
        </w:rPr>
        <w:t xml:space="preserve"> L, Meisel SR. Non-Invasive Lung IMPEDANCE-Guided Preemptive Treatment in Chronic Heart Failure Patients: A Randomized Controlled Trial (IMPEDANCE-HF Trial). </w:t>
      </w:r>
      <w:r w:rsidRPr="002E3F3D">
        <w:rPr>
          <w:rFonts w:ascii="Book Antiqua" w:hAnsi="Book Antiqua"/>
          <w:i/>
          <w:sz w:val="24"/>
          <w:szCs w:val="24"/>
        </w:rPr>
        <w:t>J Card Fail</w:t>
      </w:r>
      <w:r w:rsidRPr="002E3F3D">
        <w:rPr>
          <w:rFonts w:ascii="Book Antiqua" w:hAnsi="Book Antiqua"/>
          <w:sz w:val="24"/>
          <w:szCs w:val="24"/>
        </w:rPr>
        <w:t xml:space="preserve"> 2016; </w:t>
      </w:r>
      <w:r w:rsidRPr="002E3F3D">
        <w:rPr>
          <w:rFonts w:ascii="Book Antiqua" w:hAnsi="Book Antiqua"/>
          <w:b/>
          <w:sz w:val="24"/>
          <w:szCs w:val="24"/>
        </w:rPr>
        <w:t>22</w:t>
      </w:r>
      <w:r w:rsidRPr="002E3F3D">
        <w:rPr>
          <w:rFonts w:ascii="Book Antiqua" w:hAnsi="Book Antiqua"/>
          <w:sz w:val="24"/>
          <w:szCs w:val="24"/>
        </w:rPr>
        <w:t>: 713-722 [PMID: 27058408 DOI: 10.1016/j.cardfail.2016.03.015]</w:t>
      </w:r>
    </w:p>
    <w:p w14:paraId="79AA5BFC"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4 </w:t>
      </w:r>
      <w:proofErr w:type="spellStart"/>
      <w:r w:rsidRPr="002E3F3D">
        <w:rPr>
          <w:rFonts w:ascii="Book Antiqua" w:hAnsi="Book Antiqua"/>
          <w:b/>
          <w:sz w:val="24"/>
          <w:szCs w:val="24"/>
        </w:rPr>
        <w:t>Shochat</w:t>
      </w:r>
      <w:proofErr w:type="spellEnd"/>
      <w:r w:rsidRPr="002E3F3D">
        <w:rPr>
          <w:rFonts w:ascii="Book Antiqua" w:hAnsi="Book Antiqua"/>
          <w:b/>
          <w:sz w:val="24"/>
          <w:szCs w:val="24"/>
        </w:rPr>
        <w:t xml:space="preserve"> M</w:t>
      </w:r>
      <w:r w:rsidRPr="002E3F3D">
        <w:rPr>
          <w:rFonts w:ascii="Book Antiqua" w:hAnsi="Book Antiqua"/>
          <w:sz w:val="24"/>
          <w:szCs w:val="24"/>
        </w:rPr>
        <w:t xml:space="preserve">, </w:t>
      </w:r>
      <w:proofErr w:type="spellStart"/>
      <w:r w:rsidRPr="002E3F3D">
        <w:rPr>
          <w:rFonts w:ascii="Book Antiqua" w:hAnsi="Book Antiqua"/>
          <w:sz w:val="24"/>
          <w:szCs w:val="24"/>
        </w:rPr>
        <w:t>Shotan</w:t>
      </w:r>
      <w:proofErr w:type="spellEnd"/>
      <w:r w:rsidRPr="002E3F3D">
        <w:rPr>
          <w:rFonts w:ascii="Book Antiqua" w:hAnsi="Book Antiqua"/>
          <w:sz w:val="24"/>
          <w:szCs w:val="24"/>
        </w:rPr>
        <w:t xml:space="preserve"> A, </w:t>
      </w:r>
      <w:proofErr w:type="spellStart"/>
      <w:r w:rsidRPr="002E3F3D">
        <w:rPr>
          <w:rFonts w:ascii="Book Antiqua" w:hAnsi="Book Antiqua"/>
          <w:sz w:val="24"/>
          <w:szCs w:val="24"/>
        </w:rPr>
        <w:t>Blondheim</w:t>
      </w:r>
      <w:proofErr w:type="spellEnd"/>
      <w:r w:rsidRPr="002E3F3D">
        <w:rPr>
          <w:rFonts w:ascii="Book Antiqua" w:hAnsi="Book Antiqua"/>
          <w:sz w:val="24"/>
          <w:szCs w:val="24"/>
        </w:rPr>
        <w:t xml:space="preserve"> DS, </w:t>
      </w:r>
      <w:proofErr w:type="spellStart"/>
      <w:r w:rsidRPr="002E3F3D">
        <w:rPr>
          <w:rFonts w:ascii="Book Antiqua" w:hAnsi="Book Antiqua"/>
          <w:sz w:val="24"/>
          <w:szCs w:val="24"/>
        </w:rPr>
        <w:t>Kazatsker</w:t>
      </w:r>
      <w:proofErr w:type="spellEnd"/>
      <w:r w:rsidRPr="002E3F3D">
        <w:rPr>
          <w:rFonts w:ascii="Book Antiqua" w:hAnsi="Book Antiqua"/>
          <w:sz w:val="24"/>
          <w:szCs w:val="24"/>
        </w:rPr>
        <w:t xml:space="preserve"> M, </w:t>
      </w:r>
      <w:proofErr w:type="spellStart"/>
      <w:r w:rsidRPr="002E3F3D">
        <w:rPr>
          <w:rFonts w:ascii="Book Antiqua" w:hAnsi="Book Antiqua"/>
          <w:sz w:val="24"/>
          <w:szCs w:val="24"/>
        </w:rPr>
        <w:t>Dahan</w:t>
      </w:r>
      <w:proofErr w:type="spellEnd"/>
      <w:r w:rsidRPr="002E3F3D">
        <w:rPr>
          <w:rFonts w:ascii="Book Antiqua" w:hAnsi="Book Antiqua"/>
          <w:sz w:val="24"/>
          <w:szCs w:val="24"/>
        </w:rPr>
        <w:t xml:space="preserve"> I, Asif A, </w:t>
      </w:r>
      <w:proofErr w:type="spellStart"/>
      <w:r w:rsidRPr="002E3F3D">
        <w:rPr>
          <w:rFonts w:ascii="Book Antiqua" w:hAnsi="Book Antiqua"/>
          <w:sz w:val="24"/>
          <w:szCs w:val="24"/>
        </w:rPr>
        <w:t>Shochat</w:t>
      </w:r>
      <w:proofErr w:type="spellEnd"/>
      <w:r w:rsidRPr="002E3F3D">
        <w:rPr>
          <w:rFonts w:ascii="Book Antiqua" w:hAnsi="Book Antiqua"/>
          <w:sz w:val="24"/>
          <w:szCs w:val="24"/>
        </w:rPr>
        <w:t xml:space="preserve"> I, </w:t>
      </w:r>
      <w:proofErr w:type="spellStart"/>
      <w:r w:rsidRPr="002E3F3D">
        <w:rPr>
          <w:rFonts w:ascii="Book Antiqua" w:hAnsi="Book Antiqua"/>
          <w:sz w:val="24"/>
          <w:szCs w:val="24"/>
        </w:rPr>
        <w:t>Frimerman</w:t>
      </w:r>
      <w:proofErr w:type="spellEnd"/>
      <w:r w:rsidRPr="002E3F3D">
        <w:rPr>
          <w:rFonts w:ascii="Book Antiqua" w:hAnsi="Book Antiqua"/>
          <w:sz w:val="24"/>
          <w:szCs w:val="24"/>
        </w:rPr>
        <w:t xml:space="preserve"> A, </w:t>
      </w:r>
      <w:proofErr w:type="spellStart"/>
      <w:r w:rsidRPr="002E3F3D">
        <w:rPr>
          <w:rFonts w:ascii="Book Antiqua" w:hAnsi="Book Antiqua"/>
          <w:sz w:val="24"/>
          <w:szCs w:val="24"/>
        </w:rPr>
        <w:t>Rozenman</w:t>
      </w:r>
      <w:proofErr w:type="spellEnd"/>
      <w:r w:rsidRPr="002E3F3D">
        <w:rPr>
          <w:rFonts w:ascii="Book Antiqua" w:hAnsi="Book Antiqua"/>
          <w:sz w:val="24"/>
          <w:szCs w:val="24"/>
        </w:rPr>
        <w:t xml:space="preserve"> Y, Meisel SR. Derivation of baseline lung impedance in chronic heart failure patients: use for monitoring pulmonary congestion and predicting admissions for decompensation. </w:t>
      </w:r>
      <w:r w:rsidRPr="002E3F3D">
        <w:rPr>
          <w:rFonts w:ascii="Book Antiqua" w:hAnsi="Book Antiqua"/>
          <w:i/>
          <w:sz w:val="24"/>
          <w:szCs w:val="24"/>
        </w:rPr>
        <w:t xml:space="preserve">J Clin </w:t>
      </w:r>
      <w:proofErr w:type="spellStart"/>
      <w:r w:rsidRPr="002E3F3D">
        <w:rPr>
          <w:rFonts w:ascii="Book Antiqua" w:hAnsi="Book Antiqua"/>
          <w:i/>
          <w:sz w:val="24"/>
          <w:szCs w:val="24"/>
        </w:rPr>
        <w:t>Monit</w:t>
      </w:r>
      <w:proofErr w:type="spellEnd"/>
      <w:r w:rsidRPr="002E3F3D">
        <w:rPr>
          <w:rFonts w:ascii="Book Antiqua" w:hAnsi="Book Antiqua"/>
          <w:i/>
          <w:sz w:val="24"/>
          <w:szCs w:val="24"/>
        </w:rPr>
        <w:t xml:space="preserve"> </w:t>
      </w:r>
      <w:proofErr w:type="spellStart"/>
      <w:r w:rsidRPr="002E3F3D">
        <w:rPr>
          <w:rFonts w:ascii="Book Antiqua" w:hAnsi="Book Antiqua"/>
          <w:i/>
          <w:sz w:val="24"/>
          <w:szCs w:val="24"/>
        </w:rPr>
        <w:t>Comput</w:t>
      </w:r>
      <w:proofErr w:type="spellEnd"/>
      <w:r w:rsidRPr="002E3F3D">
        <w:rPr>
          <w:rFonts w:ascii="Book Antiqua" w:hAnsi="Book Antiqua"/>
          <w:sz w:val="24"/>
          <w:szCs w:val="24"/>
        </w:rPr>
        <w:t xml:space="preserve"> 2015; </w:t>
      </w:r>
      <w:r w:rsidRPr="002E3F3D">
        <w:rPr>
          <w:rFonts w:ascii="Book Antiqua" w:hAnsi="Book Antiqua"/>
          <w:b/>
          <w:sz w:val="24"/>
          <w:szCs w:val="24"/>
        </w:rPr>
        <w:t>29</w:t>
      </w:r>
      <w:r w:rsidRPr="002E3F3D">
        <w:rPr>
          <w:rFonts w:ascii="Book Antiqua" w:hAnsi="Book Antiqua"/>
          <w:sz w:val="24"/>
          <w:szCs w:val="24"/>
        </w:rPr>
        <w:t>: 341-349 [PMID: 25193676 DOI: 10.1007/s10877-014-9610-6]</w:t>
      </w:r>
    </w:p>
    <w:p w14:paraId="1797CD35"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5 </w:t>
      </w:r>
      <w:r w:rsidRPr="002E3F3D">
        <w:rPr>
          <w:rFonts w:ascii="Book Antiqua" w:hAnsi="Book Antiqua"/>
          <w:b/>
          <w:sz w:val="24"/>
          <w:szCs w:val="24"/>
        </w:rPr>
        <w:t>Abraham WT</w:t>
      </w:r>
      <w:r w:rsidRPr="002E3F3D">
        <w:rPr>
          <w:rFonts w:ascii="Book Antiqua" w:hAnsi="Book Antiqua"/>
          <w:sz w:val="24"/>
          <w:szCs w:val="24"/>
        </w:rPr>
        <w:t xml:space="preserve">, Adamson PB, </w:t>
      </w:r>
      <w:proofErr w:type="spellStart"/>
      <w:r w:rsidRPr="002E3F3D">
        <w:rPr>
          <w:rFonts w:ascii="Book Antiqua" w:hAnsi="Book Antiqua"/>
          <w:sz w:val="24"/>
          <w:szCs w:val="24"/>
        </w:rPr>
        <w:t>Bourge</w:t>
      </w:r>
      <w:proofErr w:type="spellEnd"/>
      <w:r w:rsidRPr="002E3F3D">
        <w:rPr>
          <w:rFonts w:ascii="Book Antiqua" w:hAnsi="Book Antiqua"/>
          <w:sz w:val="24"/>
          <w:szCs w:val="24"/>
        </w:rPr>
        <w:t xml:space="preserve"> RC, Aaron MF, Costanzo MR, Stevenson LW, Strickland W, </w:t>
      </w:r>
      <w:proofErr w:type="spellStart"/>
      <w:r w:rsidRPr="002E3F3D">
        <w:rPr>
          <w:rFonts w:ascii="Book Antiqua" w:hAnsi="Book Antiqua"/>
          <w:sz w:val="24"/>
          <w:szCs w:val="24"/>
        </w:rPr>
        <w:t>Neelagaru</w:t>
      </w:r>
      <w:proofErr w:type="spellEnd"/>
      <w:r w:rsidRPr="002E3F3D">
        <w:rPr>
          <w:rFonts w:ascii="Book Antiqua" w:hAnsi="Book Antiqua"/>
          <w:sz w:val="24"/>
          <w:szCs w:val="24"/>
        </w:rPr>
        <w:t xml:space="preserve"> S, </w:t>
      </w:r>
      <w:proofErr w:type="spellStart"/>
      <w:r w:rsidRPr="002E3F3D">
        <w:rPr>
          <w:rFonts w:ascii="Book Antiqua" w:hAnsi="Book Antiqua"/>
          <w:sz w:val="24"/>
          <w:szCs w:val="24"/>
        </w:rPr>
        <w:t>Raval</w:t>
      </w:r>
      <w:proofErr w:type="spellEnd"/>
      <w:r w:rsidRPr="002E3F3D">
        <w:rPr>
          <w:rFonts w:ascii="Book Antiqua" w:hAnsi="Book Antiqua"/>
          <w:sz w:val="24"/>
          <w:szCs w:val="24"/>
        </w:rPr>
        <w:t xml:space="preserve"> N, Krueger S, Weiner S, </w:t>
      </w:r>
      <w:proofErr w:type="spellStart"/>
      <w:r w:rsidRPr="002E3F3D">
        <w:rPr>
          <w:rFonts w:ascii="Book Antiqua" w:hAnsi="Book Antiqua"/>
          <w:sz w:val="24"/>
          <w:szCs w:val="24"/>
        </w:rPr>
        <w:t>Shavelle</w:t>
      </w:r>
      <w:proofErr w:type="spellEnd"/>
      <w:r w:rsidRPr="002E3F3D">
        <w:rPr>
          <w:rFonts w:ascii="Book Antiqua" w:hAnsi="Book Antiqua"/>
          <w:sz w:val="24"/>
          <w:szCs w:val="24"/>
        </w:rPr>
        <w:t xml:space="preserve"> D, Jeffries B, Yadav JS; CHAMPION Trial Study Group. Wireless pulmonary artery </w:t>
      </w:r>
      <w:proofErr w:type="spellStart"/>
      <w:r w:rsidRPr="002E3F3D">
        <w:rPr>
          <w:rFonts w:ascii="Book Antiqua" w:hAnsi="Book Antiqua"/>
          <w:sz w:val="24"/>
          <w:szCs w:val="24"/>
        </w:rPr>
        <w:t>haemodynamic</w:t>
      </w:r>
      <w:proofErr w:type="spellEnd"/>
      <w:r w:rsidRPr="002E3F3D">
        <w:rPr>
          <w:rFonts w:ascii="Book Antiqua" w:hAnsi="Book Antiqua"/>
          <w:sz w:val="24"/>
          <w:szCs w:val="24"/>
        </w:rPr>
        <w:t xml:space="preserve"> monitoring in chronic heart failure: a </w:t>
      </w:r>
      <w:proofErr w:type="spellStart"/>
      <w:r w:rsidRPr="002E3F3D">
        <w:rPr>
          <w:rFonts w:ascii="Book Antiqua" w:hAnsi="Book Antiqua"/>
          <w:sz w:val="24"/>
          <w:szCs w:val="24"/>
        </w:rPr>
        <w:t>randomised</w:t>
      </w:r>
      <w:proofErr w:type="spellEnd"/>
      <w:r w:rsidRPr="002E3F3D">
        <w:rPr>
          <w:rFonts w:ascii="Book Antiqua" w:hAnsi="Book Antiqua"/>
          <w:sz w:val="24"/>
          <w:szCs w:val="24"/>
        </w:rPr>
        <w:t xml:space="preserve"> controlled trial. </w:t>
      </w:r>
      <w:r w:rsidRPr="002E3F3D">
        <w:rPr>
          <w:rFonts w:ascii="Book Antiqua" w:hAnsi="Book Antiqua"/>
          <w:i/>
          <w:sz w:val="24"/>
          <w:szCs w:val="24"/>
        </w:rPr>
        <w:t>Lancet</w:t>
      </w:r>
      <w:r w:rsidRPr="002E3F3D">
        <w:rPr>
          <w:rFonts w:ascii="Book Antiqua" w:hAnsi="Book Antiqua"/>
          <w:sz w:val="24"/>
          <w:szCs w:val="24"/>
        </w:rPr>
        <w:t xml:space="preserve"> 2011; </w:t>
      </w:r>
      <w:r w:rsidRPr="002E3F3D">
        <w:rPr>
          <w:rFonts w:ascii="Book Antiqua" w:hAnsi="Book Antiqua"/>
          <w:b/>
          <w:sz w:val="24"/>
          <w:szCs w:val="24"/>
        </w:rPr>
        <w:t>377</w:t>
      </w:r>
      <w:r w:rsidRPr="002E3F3D">
        <w:rPr>
          <w:rFonts w:ascii="Book Antiqua" w:hAnsi="Book Antiqua"/>
          <w:sz w:val="24"/>
          <w:szCs w:val="24"/>
        </w:rPr>
        <w:t>: 658-666 [PMID: 21315441 DOI: 10.1016/S0140-6736(11)60101-3]</w:t>
      </w:r>
    </w:p>
    <w:p w14:paraId="35A82B11"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6 </w:t>
      </w:r>
      <w:proofErr w:type="spellStart"/>
      <w:r w:rsidRPr="002E3F3D">
        <w:rPr>
          <w:rFonts w:ascii="Book Antiqua" w:hAnsi="Book Antiqua"/>
          <w:b/>
          <w:sz w:val="24"/>
          <w:szCs w:val="24"/>
        </w:rPr>
        <w:t>Catanzariti</w:t>
      </w:r>
      <w:proofErr w:type="spellEnd"/>
      <w:r w:rsidRPr="002E3F3D">
        <w:rPr>
          <w:rFonts w:ascii="Book Antiqua" w:hAnsi="Book Antiqua"/>
          <w:b/>
          <w:sz w:val="24"/>
          <w:szCs w:val="24"/>
        </w:rPr>
        <w:t xml:space="preserve"> D</w:t>
      </w:r>
      <w:r w:rsidRPr="002E3F3D">
        <w:rPr>
          <w:rFonts w:ascii="Book Antiqua" w:hAnsi="Book Antiqua"/>
          <w:sz w:val="24"/>
          <w:szCs w:val="24"/>
        </w:rPr>
        <w:t xml:space="preserve">, </w:t>
      </w:r>
      <w:proofErr w:type="spellStart"/>
      <w:r w:rsidRPr="002E3F3D">
        <w:rPr>
          <w:rFonts w:ascii="Book Antiqua" w:hAnsi="Book Antiqua"/>
          <w:sz w:val="24"/>
          <w:szCs w:val="24"/>
        </w:rPr>
        <w:t>Lunati</w:t>
      </w:r>
      <w:proofErr w:type="spellEnd"/>
      <w:r w:rsidRPr="002E3F3D">
        <w:rPr>
          <w:rFonts w:ascii="Book Antiqua" w:hAnsi="Book Antiqua"/>
          <w:sz w:val="24"/>
          <w:szCs w:val="24"/>
        </w:rPr>
        <w:t xml:space="preserve"> M, Landolina M, </w:t>
      </w:r>
      <w:proofErr w:type="spellStart"/>
      <w:r w:rsidRPr="002E3F3D">
        <w:rPr>
          <w:rFonts w:ascii="Book Antiqua" w:hAnsi="Book Antiqua"/>
          <w:sz w:val="24"/>
          <w:szCs w:val="24"/>
        </w:rPr>
        <w:t>Zanotto</w:t>
      </w:r>
      <w:proofErr w:type="spellEnd"/>
      <w:r w:rsidRPr="002E3F3D">
        <w:rPr>
          <w:rFonts w:ascii="Book Antiqua" w:hAnsi="Book Antiqua"/>
          <w:sz w:val="24"/>
          <w:szCs w:val="24"/>
        </w:rPr>
        <w:t xml:space="preserve"> G, </w:t>
      </w:r>
      <w:proofErr w:type="spellStart"/>
      <w:r w:rsidRPr="002E3F3D">
        <w:rPr>
          <w:rFonts w:ascii="Book Antiqua" w:hAnsi="Book Antiqua"/>
          <w:sz w:val="24"/>
          <w:szCs w:val="24"/>
        </w:rPr>
        <w:t>Lonardi</w:t>
      </w:r>
      <w:proofErr w:type="spellEnd"/>
      <w:r w:rsidRPr="002E3F3D">
        <w:rPr>
          <w:rFonts w:ascii="Book Antiqua" w:hAnsi="Book Antiqua"/>
          <w:sz w:val="24"/>
          <w:szCs w:val="24"/>
        </w:rPr>
        <w:t xml:space="preserve"> G, </w:t>
      </w:r>
      <w:proofErr w:type="spellStart"/>
      <w:r w:rsidRPr="002E3F3D">
        <w:rPr>
          <w:rFonts w:ascii="Book Antiqua" w:hAnsi="Book Antiqua"/>
          <w:sz w:val="24"/>
          <w:szCs w:val="24"/>
        </w:rPr>
        <w:t>Iacopino</w:t>
      </w:r>
      <w:proofErr w:type="spellEnd"/>
      <w:r w:rsidRPr="002E3F3D">
        <w:rPr>
          <w:rFonts w:ascii="Book Antiqua" w:hAnsi="Book Antiqua"/>
          <w:sz w:val="24"/>
          <w:szCs w:val="24"/>
        </w:rPr>
        <w:t xml:space="preserve"> S, Oliva F, </w:t>
      </w:r>
      <w:proofErr w:type="spellStart"/>
      <w:r w:rsidRPr="002E3F3D">
        <w:rPr>
          <w:rFonts w:ascii="Book Antiqua" w:hAnsi="Book Antiqua"/>
          <w:sz w:val="24"/>
          <w:szCs w:val="24"/>
        </w:rPr>
        <w:t>Perego</w:t>
      </w:r>
      <w:proofErr w:type="spellEnd"/>
      <w:r w:rsidRPr="002E3F3D">
        <w:rPr>
          <w:rFonts w:ascii="Book Antiqua" w:hAnsi="Book Antiqua"/>
          <w:sz w:val="24"/>
          <w:szCs w:val="24"/>
        </w:rPr>
        <w:t xml:space="preserve"> GB, </w:t>
      </w:r>
      <w:proofErr w:type="spellStart"/>
      <w:r w:rsidRPr="002E3F3D">
        <w:rPr>
          <w:rFonts w:ascii="Book Antiqua" w:hAnsi="Book Antiqua"/>
          <w:sz w:val="24"/>
          <w:szCs w:val="24"/>
        </w:rPr>
        <w:t>Varbaro</w:t>
      </w:r>
      <w:proofErr w:type="spellEnd"/>
      <w:r w:rsidRPr="002E3F3D">
        <w:rPr>
          <w:rFonts w:ascii="Book Antiqua" w:hAnsi="Book Antiqua"/>
          <w:sz w:val="24"/>
          <w:szCs w:val="24"/>
        </w:rPr>
        <w:t xml:space="preserve"> A, </w:t>
      </w:r>
      <w:proofErr w:type="spellStart"/>
      <w:r w:rsidRPr="002E3F3D">
        <w:rPr>
          <w:rFonts w:ascii="Book Antiqua" w:hAnsi="Book Antiqua"/>
          <w:sz w:val="24"/>
          <w:szCs w:val="24"/>
        </w:rPr>
        <w:t>Denaro</w:t>
      </w:r>
      <w:proofErr w:type="spellEnd"/>
      <w:r w:rsidRPr="002E3F3D">
        <w:rPr>
          <w:rFonts w:ascii="Book Antiqua" w:hAnsi="Book Antiqua"/>
          <w:sz w:val="24"/>
          <w:szCs w:val="24"/>
        </w:rPr>
        <w:t xml:space="preserve"> A, Valsecchi S, Vergara G; Italian Clinical Service </w:t>
      </w:r>
      <w:proofErr w:type="spellStart"/>
      <w:r w:rsidRPr="002E3F3D">
        <w:rPr>
          <w:rFonts w:ascii="Book Antiqua" w:hAnsi="Book Antiqua"/>
          <w:sz w:val="24"/>
          <w:szCs w:val="24"/>
        </w:rPr>
        <w:t>Optivol</w:t>
      </w:r>
      <w:proofErr w:type="spellEnd"/>
      <w:r w:rsidRPr="002E3F3D">
        <w:rPr>
          <w:rFonts w:ascii="Book Antiqua" w:hAnsi="Book Antiqua"/>
          <w:sz w:val="24"/>
          <w:szCs w:val="24"/>
        </w:rPr>
        <w:t xml:space="preserve">-CRT Group. Monitoring intrathoracic impedance with an implantable defibrillator reduces hospitalizations in patients with heart failure. </w:t>
      </w:r>
      <w:r w:rsidRPr="002E3F3D">
        <w:rPr>
          <w:rFonts w:ascii="Book Antiqua" w:hAnsi="Book Antiqua"/>
          <w:i/>
          <w:sz w:val="24"/>
          <w:szCs w:val="24"/>
        </w:rPr>
        <w:t xml:space="preserve">Pacing Clin </w:t>
      </w:r>
      <w:proofErr w:type="spellStart"/>
      <w:r w:rsidRPr="002E3F3D">
        <w:rPr>
          <w:rFonts w:ascii="Book Antiqua" w:hAnsi="Book Antiqua"/>
          <w:i/>
          <w:sz w:val="24"/>
          <w:szCs w:val="24"/>
        </w:rPr>
        <w:t>Electrophysiol</w:t>
      </w:r>
      <w:proofErr w:type="spellEnd"/>
      <w:r w:rsidRPr="002E3F3D">
        <w:rPr>
          <w:rFonts w:ascii="Book Antiqua" w:hAnsi="Book Antiqua"/>
          <w:sz w:val="24"/>
          <w:szCs w:val="24"/>
        </w:rPr>
        <w:t xml:space="preserve"> 2009; </w:t>
      </w:r>
      <w:r w:rsidRPr="002E3F3D">
        <w:rPr>
          <w:rFonts w:ascii="Book Antiqua" w:hAnsi="Book Antiqua"/>
          <w:b/>
          <w:sz w:val="24"/>
          <w:szCs w:val="24"/>
        </w:rPr>
        <w:t>32</w:t>
      </w:r>
      <w:r w:rsidRPr="002E3F3D">
        <w:rPr>
          <w:rFonts w:ascii="Book Antiqua" w:hAnsi="Book Antiqua"/>
          <w:sz w:val="24"/>
          <w:szCs w:val="24"/>
        </w:rPr>
        <w:t>: 363-370 [PMID: 19272067 DOI: 10.1111/j.1540-8159.2008.02245.x]</w:t>
      </w:r>
    </w:p>
    <w:p w14:paraId="0F890997"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lastRenderedPageBreak/>
        <w:t xml:space="preserve">7 </w:t>
      </w:r>
      <w:proofErr w:type="spellStart"/>
      <w:r w:rsidRPr="002E3F3D">
        <w:rPr>
          <w:rFonts w:ascii="Book Antiqua" w:hAnsi="Book Antiqua"/>
          <w:b/>
          <w:sz w:val="24"/>
          <w:szCs w:val="24"/>
        </w:rPr>
        <w:t>Conraads</w:t>
      </w:r>
      <w:proofErr w:type="spellEnd"/>
      <w:r w:rsidRPr="002E3F3D">
        <w:rPr>
          <w:rFonts w:ascii="Book Antiqua" w:hAnsi="Book Antiqua"/>
          <w:b/>
          <w:sz w:val="24"/>
          <w:szCs w:val="24"/>
        </w:rPr>
        <w:t xml:space="preserve"> VM</w:t>
      </w:r>
      <w:r w:rsidRPr="002E3F3D">
        <w:rPr>
          <w:rFonts w:ascii="Book Antiqua" w:hAnsi="Book Antiqua"/>
          <w:sz w:val="24"/>
          <w:szCs w:val="24"/>
        </w:rPr>
        <w:t xml:space="preserve">, </w:t>
      </w:r>
      <w:proofErr w:type="spellStart"/>
      <w:r w:rsidRPr="002E3F3D">
        <w:rPr>
          <w:rFonts w:ascii="Book Antiqua" w:hAnsi="Book Antiqua"/>
          <w:sz w:val="24"/>
          <w:szCs w:val="24"/>
        </w:rPr>
        <w:t>Tavazzi</w:t>
      </w:r>
      <w:proofErr w:type="spellEnd"/>
      <w:r w:rsidRPr="002E3F3D">
        <w:rPr>
          <w:rFonts w:ascii="Book Antiqua" w:hAnsi="Book Antiqua"/>
          <w:sz w:val="24"/>
          <w:szCs w:val="24"/>
        </w:rPr>
        <w:t xml:space="preserve"> L, Santini M, Oliva F, </w:t>
      </w:r>
      <w:proofErr w:type="spellStart"/>
      <w:r w:rsidRPr="002E3F3D">
        <w:rPr>
          <w:rFonts w:ascii="Book Antiqua" w:hAnsi="Book Antiqua"/>
          <w:sz w:val="24"/>
          <w:szCs w:val="24"/>
        </w:rPr>
        <w:t>Gerritse</w:t>
      </w:r>
      <w:proofErr w:type="spellEnd"/>
      <w:r w:rsidRPr="002E3F3D">
        <w:rPr>
          <w:rFonts w:ascii="Book Antiqua" w:hAnsi="Book Antiqua"/>
          <w:sz w:val="24"/>
          <w:szCs w:val="24"/>
        </w:rPr>
        <w:t xml:space="preserve"> B, Yu CM, Cowie MR. Sensitivity and positive predictive value of implantable intrathoracic impedance monitoring as a predictor of heart failure hospitalizations: the SENSE-HF trial. </w:t>
      </w:r>
      <w:r w:rsidRPr="002E3F3D">
        <w:rPr>
          <w:rFonts w:ascii="Book Antiqua" w:hAnsi="Book Antiqua"/>
          <w:i/>
          <w:sz w:val="24"/>
          <w:szCs w:val="24"/>
        </w:rPr>
        <w:t>Eur Heart J</w:t>
      </w:r>
      <w:r w:rsidRPr="002E3F3D">
        <w:rPr>
          <w:rFonts w:ascii="Book Antiqua" w:hAnsi="Book Antiqua"/>
          <w:sz w:val="24"/>
          <w:szCs w:val="24"/>
        </w:rPr>
        <w:t xml:space="preserve"> 2011; </w:t>
      </w:r>
      <w:r w:rsidRPr="002E3F3D">
        <w:rPr>
          <w:rFonts w:ascii="Book Antiqua" w:hAnsi="Book Antiqua"/>
          <w:b/>
          <w:sz w:val="24"/>
          <w:szCs w:val="24"/>
        </w:rPr>
        <w:t>32</w:t>
      </w:r>
      <w:r w:rsidRPr="002E3F3D">
        <w:rPr>
          <w:rFonts w:ascii="Book Antiqua" w:hAnsi="Book Antiqua"/>
          <w:sz w:val="24"/>
          <w:szCs w:val="24"/>
        </w:rPr>
        <w:t>: 2266-2273 [PMID: 21362703 DOI: 10.1093/</w:t>
      </w:r>
      <w:proofErr w:type="spellStart"/>
      <w:r w:rsidRPr="002E3F3D">
        <w:rPr>
          <w:rFonts w:ascii="Book Antiqua" w:hAnsi="Book Antiqua"/>
          <w:sz w:val="24"/>
          <w:szCs w:val="24"/>
        </w:rPr>
        <w:t>eurheartj</w:t>
      </w:r>
      <w:proofErr w:type="spellEnd"/>
      <w:r w:rsidRPr="002E3F3D">
        <w:rPr>
          <w:rFonts w:ascii="Book Antiqua" w:hAnsi="Book Antiqua"/>
          <w:sz w:val="24"/>
          <w:szCs w:val="24"/>
        </w:rPr>
        <w:t>/ehr050]</w:t>
      </w:r>
    </w:p>
    <w:p w14:paraId="1741943D"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8 </w:t>
      </w:r>
      <w:r w:rsidRPr="002E3F3D">
        <w:rPr>
          <w:rFonts w:ascii="Book Antiqua" w:hAnsi="Book Antiqua"/>
          <w:b/>
          <w:sz w:val="24"/>
          <w:szCs w:val="24"/>
        </w:rPr>
        <w:t>Larsen FF</w:t>
      </w:r>
      <w:r w:rsidRPr="002E3F3D">
        <w:rPr>
          <w:rFonts w:ascii="Book Antiqua" w:hAnsi="Book Antiqua"/>
          <w:sz w:val="24"/>
          <w:szCs w:val="24"/>
        </w:rPr>
        <w:t xml:space="preserve">, </w:t>
      </w:r>
      <w:proofErr w:type="spellStart"/>
      <w:r w:rsidRPr="002E3F3D">
        <w:rPr>
          <w:rFonts w:ascii="Book Antiqua" w:hAnsi="Book Antiqua"/>
          <w:sz w:val="24"/>
          <w:szCs w:val="24"/>
        </w:rPr>
        <w:t>Mogensen</w:t>
      </w:r>
      <w:proofErr w:type="spellEnd"/>
      <w:r w:rsidRPr="002E3F3D">
        <w:rPr>
          <w:rFonts w:ascii="Book Antiqua" w:hAnsi="Book Antiqua"/>
          <w:sz w:val="24"/>
          <w:szCs w:val="24"/>
        </w:rPr>
        <w:t xml:space="preserve"> L, </w:t>
      </w:r>
      <w:proofErr w:type="spellStart"/>
      <w:r w:rsidRPr="002E3F3D">
        <w:rPr>
          <w:rFonts w:ascii="Book Antiqua" w:hAnsi="Book Antiqua"/>
          <w:sz w:val="24"/>
          <w:szCs w:val="24"/>
        </w:rPr>
        <w:t>Tedner</w:t>
      </w:r>
      <w:proofErr w:type="spellEnd"/>
      <w:r w:rsidRPr="002E3F3D">
        <w:rPr>
          <w:rFonts w:ascii="Book Antiqua" w:hAnsi="Book Antiqua"/>
          <w:sz w:val="24"/>
          <w:szCs w:val="24"/>
        </w:rPr>
        <w:t xml:space="preserve"> B. Transthoracic electrical impedance at 1 and 100 kHz--a means for separating thoracic fluid compartments? </w:t>
      </w:r>
      <w:r w:rsidRPr="002E3F3D">
        <w:rPr>
          <w:rFonts w:ascii="Book Antiqua" w:hAnsi="Book Antiqua"/>
          <w:i/>
          <w:sz w:val="24"/>
          <w:szCs w:val="24"/>
        </w:rPr>
        <w:t xml:space="preserve">Clin </w:t>
      </w:r>
      <w:proofErr w:type="spellStart"/>
      <w:r w:rsidRPr="002E3F3D">
        <w:rPr>
          <w:rFonts w:ascii="Book Antiqua" w:hAnsi="Book Antiqua"/>
          <w:i/>
          <w:sz w:val="24"/>
          <w:szCs w:val="24"/>
        </w:rPr>
        <w:t>Physiol</w:t>
      </w:r>
      <w:proofErr w:type="spellEnd"/>
      <w:r w:rsidRPr="002E3F3D">
        <w:rPr>
          <w:rFonts w:ascii="Book Antiqua" w:hAnsi="Book Antiqua"/>
          <w:sz w:val="24"/>
          <w:szCs w:val="24"/>
        </w:rPr>
        <w:t xml:space="preserve"> 1987; </w:t>
      </w:r>
      <w:r w:rsidRPr="002E3F3D">
        <w:rPr>
          <w:rFonts w:ascii="Book Antiqua" w:hAnsi="Book Antiqua"/>
          <w:b/>
          <w:sz w:val="24"/>
          <w:szCs w:val="24"/>
        </w:rPr>
        <w:t>7</w:t>
      </w:r>
      <w:r w:rsidRPr="002E3F3D">
        <w:rPr>
          <w:rFonts w:ascii="Book Antiqua" w:hAnsi="Book Antiqua"/>
          <w:sz w:val="24"/>
          <w:szCs w:val="24"/>
        </w:rPr>
        <w:t>: 105-113 [PMID: 3568579 DOI: 10.1111/j.1475-097X.1987.tb00152.x]</w:t>
      </w:r>
    </w:p>
    <w:p w14:paraId="49E0AC58"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9 </w:t>
      </w:r>
      <w:r w:rsidRPr="002E3F3D">
        <w:rPr>
          <w:rFonts w:ascii="Book Antiqua" w:hAnsi="Book Antiqua"/>
          <w:b/>
          <w:sz w:val="24"/>
          <w:szCs w:val="24"/>
        </w:rPr>
        <w:t>Cuba-</w:t>
      </w:r>
      <w:proofErr w:type="spellStart"/>
      <w:r w:rsidRPr="002E3F3D">
        <w:rPr>
          <w:rFonts w:ascii="Book Antiqua" w:hAnsi="Book Antiqua"/>
          <w:b/>
          <w:sz w:val="24"/>
          <w:szCs w:val="24"/>
        </w:rPr>
        <w:t>Gyllensten</w:t>
      </w:r>
      <w:proofErr w:type="spellEnd"/>
      <w:r w:rsidRPr="002E3F3D">
        <w:rPr>
          <w:rFonts w:ascii="Book Antiqua" w:hAnsi="Book Antiqua"/>
          <w:b/>
          <w:sz w:val="24"/>
          <w:szCs w:val="24"/>
        </w:rPr>
        <w:t xml:space="preserve"> I</w:t>
      </w:r>
      <w:r w:rsidRPr="002E3F3D">
        <w:rPr>
          <w:rFonts w:ascii="Book Antiqua" w:hAnsi="Book Antiqua"/>
          <w:sz w:val="24"/>
          <w:szCs w:val="24"/>
        </w:rPr>
        <w:t xml:space="preserve">, </w:t>
      </w:r>
      <w:proofErr w:type="spellStart"/>
      <w:r w:rsidRPr="002E3F3D">
        <w:rPr>
          <w:rFonts w:ascii="Book Antiqua" w:hAnsi="Book Antiqua"/>
          <w:sz w:val="24"/>
          <w:szCs w:val="24"/>
        </w:rPr>
        <w:t>Gastelurrutia</w:t>
      </w:r>
      <w:proofErr w:type="spellEnd"/>
      <w:r w:rsidRPr="002E3F3D">
        <w:rPr>
          <w:rFonts w:ascii="Book Antiqua" w:hAnsi="Book Antiqua"/>
          <w:sz w:val="24"/>
          <w:szCs w:val="24"/>
        </w:rPr>
        <w:t xml:space="preserve"> P, </w:t>
      </w:r>
      <w:proofErr w:type="spellStart"/>
      <w:r w:rsidRPr="002E3F3D">
        <w:rPr>
          <w:rFonts w:ascii="Book Antiqua" w:hAnsi="Book Antiqua"/>
          <w:sz w:val="24"/>
          <w:szCs w:val="24"/>
        </w:rPr>
        <w:t>Riistama</w:t>
      </w:r>
      <w:proofErr w:type="spellEnd"/>
      <w:r w:rsidRPr="002E3F3D">
        <w:rPr>
          <w:rFonts w:ascii="Book Antiqua" w:hAnsi="Book Antiqua"/>
          <w:sz w:val="24"/>
          <w:szCs w:val="24"/>
        </w:rPr>
        <w:t xml:space="preserve"> J, </w:t>
      </w:r>
      <w:proofErr w:type="spellStart"/>
      <w:r w:rsidRPr="002E3F3D">
        <w:rPr>
          <w:rFonts w:ascii="Book Antiqua" w:hAnsi="Book Antiqua"/>
          <w:sz w:val="24"/>
          <w:szCs w:val="24"/>
        </w:rPr>
        <w:t>Aarts</w:t>
      </w:r>
      <w:proofErr w:type="spellEnd"/>
      <w:r w:rsidRPr="002E3F3D">
        <w:rPr>
          <w:rFonts w:ascii="Book Antiqua" w:hAnsi="Book Antiqua"/>
          <w:sz w:val="24"/>
          <w:szCs w:val="24"/>
        </w:rPr>
        <w:t xml:space="preserve"> R, </w:t>
      </w:r>
      <w:proofErr w:type="spellStart"/>
      <w:r w:rsidRPr="002E3F3D">
        <w:rPr>
          <w:rFonts w:ascii="Book Antiqua" w:hAnsi="Book Antiqua"/>
          <w:sz w:val="24"/>
          <w:szCs w:val="24"/>
        </w:rPr>
        <w:t>Nuñez</w:t>
      </w:r>
      <w:proofErr w:type="spellEnd"/>
      <w:r w:rsidRPr="002E3F3D">
        <w:rPr>
          <w:rFonts w:ascii="Book Antiqua" w:hAnsi="Book Antiqua"/>
          <w:sz w:val="24"/>
          <w:szCs w:val="24"/>
        </w:rPr>
        <w:t xml:space="preserve"> J, </w:t>
      </w:r>
      <w:proofErr w:type="spellStart"/>
      <w:r w:rsidRPr="002E3F3D">
        <w:rPr>
          <w:rFonts w:ascii="Book Antiqua" w:hAnsi="Book Antiqua"/>
          <w:sz w:val="24"/>
          <w:szCs w:val="24"/>
        </w:rPr>
        <w:t>Lupon</w:t>
      </w:r>
      <w:proofErr w:type="spellEnd"/>
      <w:r w:rsidRPr="002E3F3D">
        <w:rPr>
          <w:rFonts w:ascii="Book Antiqua" w:hAnsi="Book Antiqua"/>
          <w:sz w:val="24"/>
          <w:szCs w:val="24"/>
        </w:rPr>
        <w:t xml:space="preserve"> J, Bayes-</w:t>
      </w:r>
      <w:proofErr w:type="spellStart"/>
      <w:r w:rsidRPr="002E3F3D">
        <w:rPr>
          <w:rFonts w:ascii="Book Antiqua" w:hAnsi="Book Antiqua"/>
          <w:sz w:val="24"/>
          <w:szCs w:val="24"/>
        </w:rPr>
        <w:t>Genis</w:t>
      </w:r>
      <w:proofErr w:type="spellEnd"/>
      <w:r w:rsidRPr="002E3F3D">
        <w:rPr>
          <w:rFonts w:ascii="Book Antiqua" w:hAnsi="Book Antiqua"/>
          <w:sz w:val="24"/>
          <w:szCs w:val="24"/>
        </w:rPr>
        <w:t xml:space="preserve"> A. A novel wearable vest for tracking pulmonary congestion in acutely decompensated heart failure. </w:t>
      </w:r>
      <w:r w:rsidRPr="002E3F3D">
        <w:rPr>
          <w:rFonts w:ascii="Book Antiqua" w:hAnsi="Book Antiqua"/>
          <w:i/>
          <w:sz w:val="24"/>
          <w:szCs w:val="24"/>
        </w:rPr>
        <w:t xml:space="preserve">Int J </w:t>
      </w:r>
      <w:proofErr w:type="spellStart"/>
      <w:r w:rsidRPr="002E3F3D">
        <w:rPr>
          <w:rFonts w:ascii="Book Antiqua" w:hAnsi="Book Antiqua"/>
          <w:i/>
          <w:sz w:val="24"/>
          <w:szCs w:val="24"/>
        </w:rPr>
        <w:t>Cardiol</w:t>
      </w:r>
      <w:proofErr w:type="spellEnd"/>
      <w:r w:rsidRPr="002E3F3D">
        <w:rPr>
          <w:rFonts w:ascii="Book Antiqua" w:hAnsi="Book Antiqua"/>
          <w:sz w:val="24"/>
          <w:szCs w:val="24"/>
        </w:rPr>
        <w:t xml:space="preserve"> 2014; </w:t>
      </w:r>
      <w:r w:rsidRPr="002E3F3D">
        <w:rPr>
          <w:rFonts w:ascii="Book Antiqua" w:hAnsi="Book Antiqua"/>
          <w:b/>
          <w:sz w:val="24"/>
          <w:szCs w:val="24"/>
        </w:rPr>
        <w:t>177</w:t>
      </w:r>
      <w:r w:rsidRPr="002E3F3D">
        <w:rPr>
          <w:rFonts w:ascii="Book Antiqua" w:hAnsi="Book Antiqua"/>
          <w:sz w:val="24"/>
          <w:szCs w:val="24"/>
        </w:rPr>
        <w:t>: 199-201 [PMID: 25499378 DOI: 10.1016/j.ijcard.2014.09.041]</w:t>
      </w:r>
    </w:p>
    <w:p w14:paraId="4B40910C"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10 </w:t>
      </w:r>
      <w:r w:rsidRPr="002E3F3D">
        <w:rPr>
          <w:rFonts w:ascii="Book Antiqua" w:hAnsi="Book Antiqua"/>
          <w:b/>
          <w:sz w:val="24"/>
          <w:szCs w:val="24"/>
        </w:rPr>
        <w:t>Packer M</w:t>
      </w:r>
      <w:r w:rsidRPr="002E3F3D">
        <w:rPr>
          <w:rFonts w:ascii="Book Antiqua" w:hAnsi="Book Antiqua"/>
          <w:sz w:val="24"/>
          <w:szCs w:val="24"/>
        </w:rPr>
        <w:t xml:space="preserve">, Abraham WT, </w:t>
      </w:r>
      <w:proofErr w:type="spellStart"/>
      <w:r w:rsidRPr="002E3F3D">
        <w:rPr>
          <w:rFonts w:ascii="Book Antiqua" w:hAnsi="Book Antiqua"/>
          <w:sz w:val="24"/>
          <w:szCs w:val="24"/>
        </w:rPr>
        <w:t>Mehra</w:t>
      </w:r>
      <w:proofErr w:type="spellEnd"/>
      <w:r w:rsidRPr="002E3F3D">
        <w:rPr>
          <w:rFonts w:ascii="Book Antiqua" w:hAnsi="Book Antiqua"/>
          <w:sz w:val="24"/>
          <w:szCs w:val="24"/>
        </w:rPr>
        <w:t xml:space="preserve"> MR, Yancy CW, Lawless CE, Mitchell JE, Smart FW, Bijou R, O'Connor CM, Massie BM, Pina IL, Greenberg BH, Young JB, Fishbein DP, Hauptman PJ, </w:t>
      </w:r>
      <w:proofErr w:type="spellStart"/>
      <w:r w:rsidRPr="002E3F3D">
        <w:rPr>
          <w:rFonts w:ascii="Book Antiqua" w:hAnsi="Book Antiqua"/>
          <w:sz w:val="24"/>
          <w:szCs w:val="24"/>
        </w:rPr>
        <w:t>Bourge</w:t>
      </w:r>
      <w:proofErr w:type="spellEnd"/>
      <w:r w:rsidRPr="002E3F3D">
        <w:rPr>
          <w:rFonts w:ascii="Book Antiqua" w:hAnsi="Book Antiqua"/>
          <w:sz w:val="24"/>
          <w:szCs w:val="24"/>
        </w:rPr>
        <w:t xml:space="preserve"> RC, Strobeck JE, Murali S, </w:t>
      </w:r>
      <w:proofErr w:type="spellStart"/>
      <w:r w:rsidRPr="002E3F3D">
        <w:rPr>
          <w:rFonts w:ascii="Book Antiqua" w:hAnsi="Book Antiqua"/>
          <w:sz w:val="24"/>
          <w:szCs w:val="24"/>
        </w:rPr>
        <w:t>Schocken</w:t>
      </w:r>
      <w:proofErr w:type="spellEnd"/>
      <w:r w:rsidRPr="002E3F3D">
        <w:rPr>
          <w:rFonts w:ascii="Book Antiqua" w:hAnsi="Book Antiqua"/>
          <w:sz w:val="24"/>
          <w:szCs w:val="24"/>
        </w:rPr>
        <w:t xml:space="preserve"> D, </w:t>
      </w:r>
      <w:proofErr w:type="spellStart"/>
      <w:r w:rsidRPr="002E3F3D">
        <w:rPr>
          <w:rFonts w:ascii="Book Antiqua" w:hAnsi="Book Antiqua"/>
          <w:sz w:val="24"/>
          <w:szCs w:val="24"/>
        </w:rPr>
        <w:t>Teerlink</w:t>
      </w:r>
      <w:proofErr w:type="spellEnd"/>
      <w:r w:rsidRPr="002E3F3D">
        <w:rPr>
          <w:rFonts w:ascii="Book Antiqua" w:hAnsi="Book Antiqua"/>
          <w:sz w:val="24"/>
          <w:szCs w:val="24"/>
        </w:rPr>
        <w:t xml:space="preserve"> JR, Levy WC, </w:t>
      </w:r>
      <w:proofErr w:type="spellStart"/>
      <w:r w:rsidRPr="002E3F3D">
        <w:rPr>
          <w:rFonts w:ascii="Book Antiqua" w:hAnsi="Book Antiqua"/>
          <w:sz w:val="24"/>
          <w:szCs w:val="24"/>
        </w:rPr>
        <w:t>Trupp</w:t>
      </w:r>
      <w:proofErr w:type="spellEnd"/>
      <w:r w:rsidRPr="002E3F3D">
        <w:rPr>
          <w:rFonts w:ascii="Book Antiqua" w:hAnsi="Book Antiqua"/>
          <w:sz w:val="24"/>
          <w:szCs w:val="24"/>
        </w:rPr>
        <w:t xml:space="preserve"> RJ, Silver MA; Prospective Evaluation and Identification of Cardiac Decompensation by ICG Test (PREDICT) Study Investigators and Coordinators. Utility of impedance </w:t>
      </w:r>
      <w:proofErr w:type="spellStart"/>
      <w:r w:rsidRPr="002E3F3D">
        <w:rPr>
          <w:rFonts w:ascii="Book Antiqua" w:hAnsi="Book Antiqua"/>
          <w:sz w:val="24"/>
          <w:szCs w:val="24"/>
        </w:rPr>
        <w:t>cardiography</w:t>
      </w:r>
      <w:proofErr w:type="spellEnd"/>
      <w:r w:rsidRPr="002E3F3D">
        <w:rPr>
          <w:rFonts w:ascii="Book Antiqua" w:hAnsi="Book Antiqua"/>
          <w:sz w:val="24"/>
          <w:szCs w:val="24"/>
        </w:rPr>
        <w:t xml:space="preserve"> for the identification of short-term risk of clinical decompensation in stable patients with chronic heart failure. </w:t>
      </w:r>
      <w:r w:rsidRPr="002E3F3D">
        <w:rPr>
          <w:rFonts w:ascii="Book Antiqua" w:hAnsi="Book Antiqua"/>
          <w:i/>
          <w:sz w:val="24"/>
          <w:szCs w:val="24"/>
        </w:rPr>
        <w:t xml:space="preserve">J Am Coll </w:t>
      </w:r>
      <w:proofErr w:type="spellStart"/>
      <w:r w:rsidRPr="002E3F3D">
        <w:rPr>
          <w:rFonts w:ascii="Book Antiqua" w:hAnsi="Book Antiqua"/>
          <w:i/>
          <w:sz w:val="24"/>
          <w:szCs w:val="24"/>
        </w:rPr>
        <w:t>Cardiol</w:t>
      </w:r>
      <w:proofErr w:type="spellEnd"/>
      <w:r w:rsidRPr="002E3F3D">
        <w:rPr>
          <w:rFonts w:ascii="Book Antiqua" w:hAnsi="Book Antiqua"/>
          <w:sz w:val="24"/>
          <w:szCs w:val="24"/>
        </w:rPr>
        <w:t xml:space="preserve"> 2006; </w:t>
      </w:r>
      <w:r w:rsidRPr="002E3F3D">
        <w:rPr>
          <w:rFonts w:ascii="Book Antiqua" w:hAnsi="Book Antiqua"/>
          <w:b/>
          <w:sz w:val="24"/>
          <w:szCs w:val="24"/>
        </w:rPr>
        <w:t>47</w:t>
      </w:r>
      <w:r w:rsidRPr="002E3F3D">
        <w:rPr>
          <w:rFonts w:ascii="Book Antiqua" w:hAnsi="Book Antiqua"/>
          <w:sz w:val="24"/>
          <w:szCs w:val="24"/>
        </w:rPr>
        <w:t>: 2245-2252 [PMID: 16750691 DOI: 10.1016/j.jacc.2005.12.071]</w:t>
      </w:r>
    </w:p>
    <w:p w14:paraId="0709547A"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11 </w:t>
      </w:r>
      <w:proofErr w:type="spellStart"/>
      <w:r w:rsidRPr="002E3F3D">
        <w:rPr>
          <w:rFonts w:ascii="Book Antiqua" w:hAnsi="Book Antiqua"/>
          <w:b/>
          <w:sz w:val="24"/>
          <w:szCs w:val="24"/>
        </w:rPr>
        <w:t>Shochat</w:t>
      </w:r>
      <w:proofErr w:type="spellEnd"/>
      <w:r w:rsidRPr="002E3F3D">
        <w:rPr>
          <w:rFonts w:ascii="Book Antiqua" w:hAnsi="Book Antiqua"/>
          <w:b/>
          <w:sz w:val="24"/>
          <w:szCs w:val="24"/>
        </w:rPr>
        <w:t xml:space="preserve"> M</w:t>
      </w:r>
      <w:r w:rsidRPr="002E3F3D">
        <w:rPr>
          <w:rFonts w:ascii="Book Antiqua" w:hAnsi="Book Antiqua"/>
          <w:sz w:val="24"/>
          <w:szCs w:val="24"/>
        </w:rPr>
        <w:t xml:space="preserve">, </w:t>
      </w:r>
      <w:proofErr w:type="spellStart"/>
      <w:r w:rsidRPr="002E3F3D">
        <w:rPr>
          <w:rFonts w:ascii="Book Antiqua" w:hAnsi="Book Antiqua"/>
          <w:sz w:val="24"/>
          <w:szCs w:val="24"/>
        </w:rPr>
        <w:t>Shotan</w:t>
      </w:r>
      <w:proofErr w:type="spellEnd"/>
      <w:r w:rsidRPr="002E3F3D">
        <w:rPr>
          <w:rFonts w:ascii="Book Antiqua" w:hAnsi="Book Antiqua"/>
          <w:sz w:val="24"/>
          <w:szCs w:val="24"/>
        </w:rPr>
        <w:t xml:space="preserve"> A, </w:t>
      </w:r>
      <w:proofErr w:type="spellStart"/>
      <w:r w:rsidRPr="002E3F3D">
        <w:rPr>
          <w:rFonts w:ascii="Book Antiqua" w:hAnsi="Book Antiqua"/>
          <w:sz w:val="24"/>
          <w:szCs w:val="24"/>
        </w:rPr>
        <w:t>Blondheim</w:t>
      </w:r>
      <w:proofErr w:type="spellEnd"/>
      <w:r w:rsidRPr="002E3F3D">
        <w:rPr>
          <w:rFonts w:ascii="Book Antiqua" w:hAnsi="Book Antiqua"/>
          <w:sz w:val="24"/>
          <w:szCs w:val="24"/>
        </w:rPr>
        <w:t xml:space="preserve"> DS, </w:t>
      </w:r>
      <w:proofErr w:type="spellStart"/>
      <w:r w:rsidRPr="002E3F3D">
        <w:rPr>
          <w:rFonts w:ascii="Book Antiqua" w:hAnsi="Book Antiqua"/>
          <w:sz w:val="24"/>
          <w:szCs w:val="24"/>
        </w:rPr>
        <w:t>Kazatsker</w:t>
      </w:r>
      <w:proofErr w:type="spellEnd"/>
      <w:r w:rsidRPr="002E3F3D">
        <w:rPr>
          <w:rFonts w:ascii="Book Antiqua" w:hAnsi="Book Antiqua"/>
          <w:sz w:val="24"/>
          <w:szCs w:val="24"/>
        </w:rPr>
        <w:t xml:space="preserve"> M, </w:t>
      </w:r>
      <w:proofErr w:type="spellStart"/>
      <w:r w:rsidRPr="002E3F3D">
        <w:rPr>
          <w:rFonts w:ascii="Book Antiqua" w:hAnsi="Book Antiqua"/>
          <w:sz w:val="24"/>
          <w:szCs w:val="24"/>
        </w:rPr>
        <w:t>Dahan</w:t>
      </w:r>
      <w:proofErr w:type="spellEnd"/>
      <w:r w:rsidRPr="002E3F3D">
        <w:rPr>
          <w:rFonts w:ascii="Book Antiqua" w:hAnsi="Book Antiqua"/>
          <w:sz w:val="24"/>
          <w:szCs w:val="24"/>
        </w:rPr>
        <w:t xml:space="preserve"> I, Asif A, </w:t>
      </w:r>
      <w:proofErr w:type="spellStart"/>
      <w:r w:rsidRPr="002E3F3D">
        <w:rPr>
          <w:rFonts w:ascii="Book Antiqua" w:hAnsi="Book Antiqua"/>
          <w:sz w:val="24"/>
          <w:szCs w:val="24"/>
        </w:rPr>
        <w:t>Shochat</w:t>
      </w:r>
      <w:proofErr w:type="spellEnd"/>
      <w:r w:rsidRPr="002E3F3D">
        <w:rPr>
          <w:rFonts w:ascii="Book Antiqua" w:hAnsi="Book Antiqua"/>
          <w:sz w:val="24"/>
          <w:szCs w:val="24"/>
        </w:rPr>
        <w:t xml:space="preserve"> I, </w:t>
      </w:r>
      <w:proofErr w:type="spellStart"/>
      <w:r w:rsidRPr="002E3F3D">
        <w:rPr>
          <w:rFonts w:ascii="Book Antiqua" w:hAnsi="Book Antiqua"/>
          <w:sz w:val="24"/>
          <w:szCs w:val="24"/>
        </w:rPr>
        <w:t>Rabinovich</w:t>
      </w:r>
      <w:proofErr w:type="spellEnd"/>
      <w:r w:rsidRPr="002E3F3D">
        <w:rPr>
          <w:rFonts w:ascii="Book Antiqua" w:hAnsi="Book Antiqua"/>
          <w:sz w:val="24"/>
          <w:szCs w:val="24"/>
        </w:rPr>
        <w:t xml:space="preserve"> P, </w:t>
      </w:r>
      <w:proofErr w:type="spellStart"/>
      <w:r w:rsidRPr="002E3F3D">
        <w:rPr>
          <w:rFonts w:ascii="Book Antiqua" w:hAnsi="Book Antiqua"/>
          <w:sz w:val="24"/>
          <w:szCs w:val="24"/>
        </w:rPr>
        <w:t>Rozenman</w:t>
      </w:r>
      <w:proofErr w:type="spellEnd"/>
      <w:r w:rsidRPr="002E3F3D">
        <w:rPr>
          <w:rFonts w:ascii="Book Antiqua" w:hAnsi="Book Antiqua"/>
          <w:sz w:val="24"/>
          <w:szCs w:val="24"/>
        </w:rPr>
        <w:t xml:space="preserve"> Y, Meisel SR. Usefulness of lung impedance-guided pre-emptive therapy to prevent pulmonary edema during ST-elevation myocardial infarction and to improve long-term outcomes. </w:t>
      </w:r>
      <w:r w:rsidRPr="002E3F3D">
        <w:rPr>
          <w:rFonts w:ascii="Book Antiqua" w:hAnsi="Book Antiqua"/>
          <w:i/>
          <w:sz w:val="24"/>
          <w:szCs w:val="24"/>
        </w:rPr>
        <w:t xml:space="preserve">Am J </w:t>
      </w:r>
      <w:proofErr w:type="spellStart"/>
      <w:r w:rsidRPr="002E3F3D">
        <w:rPr>
          <w:rFonts w:ascii="Book Antiqua" w:hAnsi="Book Antiqua"/>
          <w:i/>
          <w:sz w:val="24"/>
          <w:szCs w:val="24"/>
        </w:rPr>
        <w:t>Cardiol</w:t>
      </w:r>
      <w:proofErr w:type="spellEnd"/>
      <w:r w:rsidRPr="002E3F3D">
        <w:rPr>
          <w:rFonts w:ascii="Book Antiqua" w:hAnsi="Book Antiqua"/>
          <w:sz w:val="24"/>
          <w:szCs w:val="24"/>
        </w:rPr>
        <w:t xml:space="preserve"> 2012; </w:t>
      </w:r>
      <w:r w:rsidRPr="002E3F3D">
        <w:rPr>
          <w:rFonts w:ascii="Book Antiqua" w:hAnsi="Book Antiqua"/>
          <w:b/>
          <w:sz w:val="24"/>
          <w:szCs w:val="24"/>
        </w:rPr>
        <w:t>110</w:t>
      </w:r>
      <w:r w:rsidRPr="002E3F3D">
        <w:rPr>
          <w:rFonts w:ascii="Book Antiqua" w:hAnsi="Book Antiqua"/>
          <w:sz w:val="24"/>
          <w:szCs w:val="24"/>
        </w:rPr>
        <w:t>: 190-196 [PMID: 22482863 DOI: 10.1016/j.amjcard.2012.03.009]</w:t>
      </w:r>
    </w:p>
    <w:p w14:paraId="0BFA7B01" w14:textId="128FFBDB" w:rsidR="002E3F3D" w:rsidRPr="002E3F3D" w:rsidRDefault="002E3F3D" w:rsidP="002E3F3D">
      <w:pPr>
        <w:spacing w:after="0" w:line="360" w:lineRule="auto"/>
        <w:jc w:val="both"/>
        <w:rPr>
          <w:rFonts w:ascii="Book Antiqua" w:hAnsi="Book Antiqua"/>
          <w:sz w:val="24"/>
          <w:szCs w:val="24"/>
        </w:rPr>
      </w:pPr>
      <w:r w:rsidRPr="00650FF6">
        <w:rPr>
          <w:rFonts w:ascii="Book Antiqua" w:hAnsi="Book Antiqua"/>
          <w:sz w:val="24"/>
          <w:szCs w:val="24"/>
          <w:highlight w:val="yellow"/>
        </w:rPr>
        <w:t xml:space="preserve">12 </w:t>
      </w:r>
      <w:proofErr w:type="spellStart"/>
      <w:r w:rsidRPr="00650FF6">
        <w:rPr>
          <w:rFonts w:ascii="Book Antiqua" w:hAnsi="Book Antiqua"/>
          <w:b/>
          <w:sz w:val="24"/>
          <w:szCs w:val="24"/>
          <w:highlight w:val="yellow"/>
        </w:rPr>
        <w:t>Lycholip</w:t>
      </w:r>
      <w:proofErr w:type="spellEnd"/>
      <w:r w:rsidRPr="00650FF6">
        <w:rPr>
          <w:rFonts w:ascii="Book Antiqua" w:hAnsi="Book Antiqua"/>
          <w:b/>
          <w:sz w:val="24"/>
          <w:szCs w:val="24"/>
          <w:highlight w:val="yellow"/>
        </w:rPr>
        <w:t xml:space="preserve"> E</w:t>
      </w:r>
      <w:r w:rsidRPr="00650FF6">
        <w:rPr>
          <w:rFonts w:ascii="Book Antiqua" w:hAnsi="Book Antiqua"/>
          <w:sz w:val="24"/>
          <w:szCs w:val="24"/>
          <w:highlight w:val="yellow"/>
        </w:rPr>
        <w:t xml:space="preserve">, </w:t>
      </w:r>
      <w:proofErr w:type="spellStart"/>
      <w:r w:rsidRPr="00650FF6">
        <w:rPr>
          <w:rFonts w:ascii="Book Antiqua" w:hAnsi="Book Antiqua"/>
          <w:sz w:val="24"/>
          <w:szCs w:val="24"/>
          <w:highlight w:val="yellow"/>
        </w:rPr>
        <w:t>Čelutkienė</w:t>
      </w:r>
      <w:proofErr w:type="spellEnd"/>
      <w:r w:rsidRPr="00650FF6">
        <w:rPr>
          <w:rFonts w:ascii="Book Antiqua" w:hAnsi="Book Antiqua"/>
          <w:sz w:val="24"/>
          <w:szCs w:val="24"/>
          <w:highlight w:val="yellow"/>
        </w:rPr>
        <w:t xml:space="preserve"> J. Doctoral dissertation: ‘Telemonitoring technologies for heart failure patients: opinions of professionals, patient-reported outcomes and measurements of lung impedance’. 2018: 46-49. Available from: URL: http://www.lmb.lt/nr-36-spalio-1-7-d/</w:t>
      </w:r>
    </w:p>
    <w:p w14:paraId="234D8F0F"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lastRenderedPageBreak/>
        <w:t xml:space="preserve">13 </w:t>
      </w:r>
      <w:proofErr w:type="spellStart"/>
      <w:r w:rsidRPr="002E3F3D">
        <w:rPr>
          <w:rFonts w:ascii="Book Antiqua" w:hAnsi="Book Antiqua"/>
          <w:b/>
          <w:sz w:val="24"/>
          <w:szCs w:val="24"/>
        </w:rPr>
        <w:t>Ponikowski</w:t>
      </w:r>
      <w:proofErr w:type="spellEnd"/>
      <w:r w:rsidRPr="002E3F3D">
        <w:rPr>
          <w:rFonts w:ascii="Book Antiqua" w:hAnsi="Book Antiqua"/>
          <w:b/>
          <w:sz w:val="24"/>
          <w:szCs w:val="24"/>
        </w:rPr>
        <w:t xml:space="preserve"> P</w:t>
      </w:r>
      <w:r w:rsidRPr="002E3F3D">
        <w:rPr>
          <w:rFonts w:ascii="Book Antiqua" w:hAnsi="Book Antiqua"/>
          <w:sz w:val="24"/>
          <w:szCs w:val="24"/>
        </w:rPr>
        <w:t xml:space="preserve">, </w:t>
      </w:r>
      <w:proofErr w:type="spellStart"/>
      <w:r w:rsidRPr="002E3F3D">
        <w:rPr>
          <w:rFonts w:ascii="Book Antiqua" w:hAnsi="Book Antiqua"/>
          <w:sz w:val="24"/>
          <w:szCs w:val="24"/>
        </w:rPr>
        <w:t>Voors</w:t>
      </w:r>
      <w:proofErr w:type="spellEnd"/>
      <w:r w:rsidRPr="002E3F3D">
        <w:rPr>
          <w:rFonts w:ascii="Book Antiqua" w:hAnsi="Book Antiqua"/>
          <w:sz w:val="24"/>
          <w:szCs w:val="24"/>
        </w:rPr>
        <w:t xml:space="preserve"> AA, Anker SD, Bueno H, Cleland JG, Coats AJ, Falk V, González-</w:t>
      </w:r>
      <w:proofErr w:type="spellStart"/>
      <w:r w:rsidRPr="002E3F3D">
        <w:rPr>
          <w:rFonts w:ascii="Book Antiqua" w:hAnsi="Book Antiqua"/>
          <w:sz w:val="24"/>
          <w:szCs w:val="24"/>
        </w:rPr>
        <w:t>Juanatey</w:t>
      </w:r>
      <w:proofErr w:type="spellEnd"/>
      <w:r w:rsidRPr="002E3F3D">
        <w:rPr>
          <w:rFonts w:ascii="Book Antiqua" w:hAnsi="Book Antiqua"/>
          <w:sz w:val="24"/>
          <w:szCs w:val="24"/>
        </w:rPr>
        <w:t xml:space="preserve"> JR, </w:t>
      </w:r>
      <w:proofErr w:type="spellStart"/>
      <w:r w:rsidRPr="002E3F3D">
        <w:rPr>
          <w:rFonts w:ascii="Book Antiqua" w:hAnsi="Book Antiqua"/>
          <w:sz w:val="24"/>
          <w:szCs w:val="24"/>
        </w:rPr>
        <w:t>Harjola</w:t>
      </w:r>
      <w:proofErr w:type="spellEnd"/>
      <w:r w:rsidRPr="002E3F3D">
        <w:rPr>
          <w:rFonts w:ascii="Book Antiqua" w:hAnsi="Book Antiqua"/>
          <w:sz w:val="24"/>
          <w:szCs w:val="24"/>
        </w:rPr>
        <w:t xml:space="preserve"> VP, </w:t>
      </w:r>
      <w:proofErr w:type="spellStart"/>
      <w:r w:rsidRPr="002E3F3D">
        <w:rPr>
          <w:rFonts w:ascii="Book Antiqua" w:hAnsi="Book Antiqua"/>
          <w:sz w:val="24"/>
          <w:szCs w:val="24"/>
        </w:rPr>
        <w:t>Jankowska</w:t>
      </w:r>
      <w:proofErr w:type="spellEnd"/>
      <w:r w:rsidRPr="002E3F3D">
        <w:rPr>
          <w:rFonts w:ascii="Book Antiqua" w:hAnsi="Book Antiqua"/>
          <w:sz w:val="24"/>
          <w:szCs w:val="24"/>
        </w:rPr>
        <w:t xml:space="preserve"> EA, Jessup M, Linde C, </w:t>
      </w:r>
      <w:proofErr w:type="spellStart"/>
      <w:r w:rsidRPr="002E3F3D">
        <w:rPr>
          <w:rFonts w:ascii="Book Antiqua" w:hAnsi="Book Antiqua"/>
          <w:sz w:val="24"/>
          <w:szCs w:val="24"/>
        </w:rPr>
        <w:t>Nihoyannopoulos</w:t>
      </w:r>
      <w:proofErr w:type="spellEnd"/>
      <w:r w:rsidRPr="002E3F3D">
        <w:rPr>
          <w:rFonts w:ascii="Book Antiqua" w:hAnsi="Book Antiqua"/>
          <w:sz w:val="24"/>
          <w:szCs w:val="24"/>
        </w:rPr>
        <w:t xml:space="preserve"> P, </w:t>
      </w:r>
      <w:proofErr w:type="spellStart"/>
      <w:r w:rsidRPr="002E3F3D">
        <w:rPr>
          <w:rFonts w:ascii="Book Antiqua" w:hAnsi="Book Antiqua"/>
          <w:sz w:val="24"/>
          <w:szCs w:val="24"/>
        </w:rPr>
        <w:t>Parissis</w:t>
      </w:r>
      <w:proofErr w:type="spellEnd"/>
      <w:r w:rsidRPr="002E3F3D">
        <w:rPr>
          <w:rFonts w:ascii="Book Antiqua" w:hAnsi="Book Antiqua"/>
          <w:sz w:val="24"/>
          <w:szCs w:val="24"/>
        </w:rPr>
        <w:t xml:space="preserve"> JT, </w:t>
      </w:r>
      <w:proofErr w:type="spellStart"/>
      <w:r w:rsidRPr="002E3F3D">
        <w:rPr>
          <w:rFonts w:ascii="Book Antiqua" w:hAnsi="Book Antiqua"/>
          <w:sz w:val="24"/>
          <w:szCs w:val="24"/>
        </w:rPr>
        <w:t>Pieske</w:t>
      </w:r>
      <w:proofErr w:type="spellEnd"/>
      <w:r w:rsidRPr="002E3F3D">
        <w:rPr>
          <w:rFonts w:ascii="Book Antiqua" w:hAnsi="Book Antiqua"/>
          <w:sz w:val="24"/>
          <w:szCs w:val="24"/>
        </w:rPr>
        <w:t xml:space="preserve"> B, Riley JP, </w:t>
      </w:r>
      <w:proofErr w:type="spellStart"/>
      <w:r w:rsidRPr="002E3F3D">
        <w:rPr>
          <w:rFonts w:ascii="Book Antiqua" w:hAnsi="Book Antiqua"/>
          <w:sz w:val="24"/>
          <w:szCs w:val="24"/>
        </w:rPr>
        <w:t>Rosano</w:t>
      </w:r>
      <w:proofErr w:type="spellEnd"/>
      <w:r w:rsidRPr="002E3F3D">
        <w:rPr>
          <w:rFonts w:ascii="Book Antiqua" w:hAnsi="Book Antiqua"/>
          <w:sz w:val="24"/>
          <w:szCs w:val="24"/>
        </w:rPr>
        <w:t xml:space="preserve"> GM, </w:t>
      </w:r>
      <w:proofErr w:type="spellStart"/>
      <w:r w:rsidRPr="002E3F3D">
        <w:rPr>
          <w:rFonts w:ascii="Book Antiqua" w:hAnsi="Book Antiqua"/>
          <w:sz w:val="24"/>
          <w:szCs w:val="24"/>
        </w:rPr>
        <w:t>Ruilope</w:t>
      </w:r>
      <w:proofErr w:type="spellEnd"/>
      <w:r w:rsidRPr="002E3F3D">
        <w:rPr>
          <w:rFonts w:ascii="Book Antiqua" w:hAnsi="Book Antiqua"/>
          <w:sz w:val="24"/>
          <w:szCs w:val="24"/>
        </w:rPr>
        <w:t xml:space="preserve"> LM, </w:t>
      </w:r>
      <w:proofErr w:type="spellStart"/>
      <w:r w:rsidRPr="002E3F3D">
        <w:rPr>
          <w:rFonts w:ascii="Book Antiqua" w:hAnsi="Book Antiqua"/>
          <w:sz w:val="24"/>
          <w:szCs w:val="24"/>
        </w:rPr>
        <w:t>Ruschitzka</w:t>
      </w:r>
      <w:proofErr w:type="spellEnd"/>
      <w:r w:rsidRPr="002E3F3D">
        <w:rPr>
          <w:rFonts w:ascii="Book Antiqua" w:hAnsi="Book Antiqua"/>
          <w:sz w:val="24"/>
          <w:szCs w:val="24"/>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2E3F3D">
        <w:rPr>
          <w:rFonts w:ascii="Book Antiqua" w:hAnsi="Book Antiqua"/>
          <w:i/>
          <w:sz w:val="24"/>
          <w:szCs w:val="24"/>
        </w:rPr>
        <w:t>Eur J Heart Fail</w:t>
      </w:r>
      <w:r w:rsidRPr="002E3F3D">
        <w:rPr>
          <w:rFonts w:ascii="Book Antiqua" w:hAnsi="Book Antiqua"/>
          <w:sz w:val="24"/>
          <w:szCs w:val="24"/>
        </w:rPr>
        <w:t xml:space="preserve"> 2016; </w:t>
      </w:r>
      <w:r w:rsidRPr="002E3F3D">
        <w:rPr>
          <w:rFonts w:ascii="Book Antiqua" w:hAnsi="Book Antiqua"/>
          <w:b/>
          <w:sz w:val="24"/>
          <w:szCs w:val="24"/>
        </w:rPr>
        <w:t>18</w:t>
      </w:r>
      <w:r w:rsidRPr="002E3F3D">
        <w:rPr>
          <w:rFonts w:ascii="Book Antiqua" w:hAnsi="Book Antiqua"/>
          <w:sz w:val="24"/>
          <w:szCs w:val="24"/>
        </w:rPr>
        <w:t>: 891-975 [PMID: 27207191 DOI: 10.1002/ejhf.592]</w:t>
      </w:r>
    </w:p>
    <w:p w14:paraId="7176070A"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14 </w:t>
      </w:r>
      <w:r w:rsidRPr="002E3F3D">
        <w:rPr>
          <w:rFonts w:ascii="Book Antiqua" w:hAnsi="Book Antiqua"/>
          <w:b/>
          <w:sz w:val="24"/>
          <w:szCs w:val="24"/>
        </w:rPr>
        <w:t>Mullens W</w:t>
      </w:r>
      <w:r w:rsidRPr="002E3F3D">
        <w:rPr>
          <w:rFonts w:ascii="Book Antiqua" w:hAnsi="Book Antiqua"/>
          <w:sz w:val="24"/>
          <w:szCs w:val="24"/>
        </w:rPr>
        <w:t xml:space="preserve">, </w:t>
      </w:r>
      <w:proofErr w:type="spellStart"/>
      <w:r w:rsidRPr="002E3F3D">
        <w:rPr>
          <w:rFonts w:ascii="Book Antiqua" w:hAnsi="Book Antiqua"/>
          <w:sz w:val="24"/>
          <w:szCs w:val="24"/>
        </w:rPr>
        <w:t>Damman</w:t>
      </w:r>
      <w:proofErr w:type="spellEnd"/>
      <w:r w:rsidRPr="002E3F3D">
        <w:rPr>
          <w:rFonts w:ascii="Book Antiqua" w:hAnsi="Book Antiqua"/>
          <w:sz w:val="24"/>
          <w:szCs w:val="24"/>
        </w:rPr>
        <w:t xml:space="preserve"> K, </w:t>
      </w:r>
      <w:proofErr w:type="spellStart"/>
      <w:r w:rsidRPr="002E3F3D">
        <w:rPr>
          <w:rFonts w:ascii="Book Antiqua" w:hAnsi="Book Antiqua"/>
          <w:sz w:val="24"/>
          <w:szCs w:val="24"/>
        </w:rPr>
        <w:t>Harjola</w:t>
      </w:r>
      <w:proofErr w:type="spellEnd"/>
      <w:r w:rsidRPr="002E3F3D">
        <w:rPr>
          <w:rFonts w:ascii="Book Antiqua" w:hAnsi="Book Antiqua"/>
          <w:sz w:val="24"/>
          <w:szCs w:val="24"/>
        </w:rPr>
        <w:t xml:space="preserve"> VP, </w:t>
      </w:r>
      <w:proofErr w:type="spellStart"/>
      <w:r w:rsidRPr="002E3F3D">
        <w:rPr>
          <w:rFonts w:ascii="Book Antiqua" w:hAnsi="Book Antiqua"/>
          <w:sz w:val="24"/>
          <w:szCs w:val="24"/>
        </w:rPr>
        <w:t>Mebazaa</w:t>
      </w:r>
      <w:proofErr w:type="spellEnd"/>
      <w:r w:rsidRPr="002E3F3D">
        <w:rPr>
          <w:rFonts w:ascii="Book Antiqua" w:hAnsi="Book Antiqua"/>
          <w:sz w:val="24"/>
          <w:szCs w:val="24"/>
        </w:rPr>
        <w:t xml:space="preserve"> A, Brunner-La Rocca HP, Martens P, </w:t>
      </w:r>
      <w:proofErr w:type="spellStart"/>
      <w:r w:rsidRPr="002E3F3D">
        <w:rPr>
          <w:rFonts w:ascii="Book Antiqua" w:hAnsi="Book Antiqua"/>
          <w:sz w:val="24"/>
          <w:szCs w:val="24"/>
        </w:rPr>
        <w:t>Testani</w:t>
      </w:r>
      <w:proofErr w:type="spellEnd"/>
      <w:r w:rsidRPr="002E3F3D">
        <w:rPr>
          <w:rFonts w:ascii="Book Antiqua" w:hAnsi="Book Antiqua"/>
          <w:sz w:val="24"/>
          <w:szCs w:val="24"/>
        </w:rPr>
        <w:t xml:space="preserve"> JM, Tang WHW, </w:t>
      </w:r>
      <w:proofErr w:type="spellStart"/>
      <w:r w:rsidRPr="002E3F3D">
        <w:rPr>
          <w:rFonts w:ascii="Book Antiqua" w:hAnsi="Book Antiqua"/>
          <w:sz w:val="24"/>
          <w:szCs w:val="24"/>
        </w:rPr>
        <w:t>Orso</w:t>
      </w:r>
      <w:proofErr w:type="spellEnd"/>
      <w:r w:rsidRPr="002E3F3D">
        <w:rPr>
          <w:rFonts w:ascii="Book Antiqua" w:hAnsi="Book Antiqua"/>
          <w:sz w:val="24"/>
          <w:szCs w:val="24"/>
        </w:rPr>
        <w:t xml:space="preserve"> F, Rossignol P, Metra M, </w:t>
      </w:r>
      <w:proofErr w:type="spellStart"/>
      <w:r w:rsidRPr="002E3F3D">
        <w:rPr>
          <w:rFonts w:ascii="Book Antiqua" w:hAnsi="Book Antiqua"/>
          <w:sz w:val="24"/>
          <w:szCs w:val="24"/>
        </w:rPr>
        <w:t>Filippatos</w:t>
      </w:r>
      <w:proofErr w:type="spellEnd"/>
      <w:r w:rsidRPr="002E3F3D">
        <w:rPr>
          <w:rFonts w:ascii="Book Antiqua" w:hAnsi="Book Antiqua"/>
          <w:sz w:val="24"/>
          <w:szCs w:val="24"/>
        </w:rPr>
        <w:t xml:space="preserve"> G, </w:t>
      </w:r>
      <w:proofErr w:type="spellStart"/>
      <w:r w:rsidRPr="002E3F3D">
        <w:rPr>
          <w:rFonts w:ascii="Book Antiqua" w:hAnsi="Book Antiqua"/>
          <w:sz w:val="24"/>
          <w:szCs w:val="24"/>
        </w:rPr>
        <w:t>Seferovic</w:t>
      </w:r>
      <w:proofErr w:type="spellEnd"/>
      <w:r w:rsidRPr="002E3F3D">
        <w:rPr>
          <w:rFonts w:ascii="Book Antiqua" w:hAnsi="Book Antiqua"/>
          <w:sz w:val="24"/>
          <w:szCs w:val="24"/>
        </w:rPr>
        <w:t xml:space="preserve"> PM, </w:t>
      </w:r>
      <w:proofErr w:type="spellStart"/>
      <w:r w:rsidRPr="002E3F3D">
        <w:rPr>
          <w:rFonts w:ascii="Book Antiqua" w:hAnsi="Book Antiqua"/>
          <w:sz w:val="24"/>
          <w:szCs w:val="24"/>
        </w:rPr>
        <w:t>Ruschitzka</w:t>
      </w:r>
      <w:proofErr w:type="spellEnd"/>
      <w:r w:rsidRPr="002E3F3D">
        <w:rPr>
          <w:rFonts w:ascii="Book Antiqua" w:hAnsi="Book Antiqua"/>
          <w:sz w:val="24"/>
          <w:szCs w:val="24"/>
        </w:rPr>
        <w:t xml:space="preserve"> F, Coats AJ. The use of diuretics in heart failure with congestion - a position statement from the Heart Failure Association of the European Society of Cardiology. </w:t>
      </w:r>
      <w:r w:rsidRPr="002E3F3D">
        <w:rPr>
          <w:rFonts w:ascii="Book Antiqua" w:hAnsi="Book Antiqua"/>
          <w:i/>
          <w:sz w:val="24"/>
          <w:szCs w:val="24"/>
        </w:rPr>
        <w:t>Eur J Heart Fail</w:t>
      </w:r>
      <w:r w:rsidRPr="002E3F3D">
        <w:rPr>
          <w:rFonts w:ascii="Book Antiqua" w:hAnsi="Book Antiqua"/>
          <w:sz w:val="24"/>
          <w:szCs w:val="24"/>
        </w:rPr>
        <w:t xml:space="preserve"> 2019; </w:t>
      </w:r>
      <w:r w:rsidRPr="002E3F3D">
        <w:rPr>
          <w:rFonts w:ascii="Book Antiqua" w:hAnsi="Book Antiqua"/>
          <w:b/>
          <w:sz w:val="24"/>
          <w:szCs w:val="24"/>
        </w:rPr>
        <w:t>21</w:t>
      </w:r>
      <w:r w:rsidRPr="002E3F3D">
        <w:rPr>
          <w:rFonts w:ascii="Book Antiqua" w:hAnsi="Book Antiqua"/>
          <w:sz w:val="24"/>
          <w:szCs w:val="24"/>
        </w:rPr>
        <w:t>: 137-155 [PMID: 30600580 DOI: 10.1002/ejhf.1369]</w:t>
      </w:r>
    </w:p>
    <w:p w14:paraId="57F90D9B"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15 </w:t>
      </w:r>
      <w:proofErr w:type="spellStart"/>
      <w:r w:rsidRPr="002E3F3D">
        <w:rPr>
          <w:rFonts w:ascii="Book Antiqua" w:hAnsi="Book Antiqua"/>
          <w:b/>
          <w:sz w:val="24"/>
          <w:szCs w:val="24"/>
        </w:rPr>
        <w:t>Dovancescu</w:t>
      </w:r>
      <w:proofErr w:type="spellEnd"/>
      <w:r w:rsidRPr="002E3F3D">
        <w:rPr>
          <w:rFonts w:ascii="Book Antiqua" w:hAnsi="Book Antiqua"/>
          <w:b/>
          <w:sz w:val="24"/>
          <w:szCs w:val="24"/>
        </w:rPr>
        <w:t xml:space="preserve"> S</w:t>
      </w:r>
      <w:r w:rsidRPr="002E3F3D">
        <w:rPr>
          <w:rFonts w:ascii="Book Antiqua" w:hAnsi="Book Antiqua"/>
          <w:sz w:val="24"/>
          <w:szCs w:val="24"/>
        </w:rPr>
        <w:t xml:space="preserve">, </w:t>
      </w:r>
      <w:proofErr w:type="spellStart"/>
      <w:r w:rsidRPr="002E3F3D">
        <w:rPr>
          <w:rFonts w:ascii="Book Antiqua" w:hAnsi="Book Antiqua"/>
          <w:sz w:val="24"/>
          <w:szCs w:val="24"/>
        </w:rPr>
        <w:t>Pellicori</w:t>
      </w:r>
      <w:proofErr w:type="spellEnd"/>
      <w:r w:rsidRPr="002E3F3D">
        <w:rPr>
          <w:rFonts w:ascii="Book Antiqua" w:hAnsi="Book Antiqua"/>
          <w:sz w:val="24"/>
          <w:szCs w:val="24"/>
        </w:rPr>
        <w:t xml:space="preserve"> P, </w:t>
      </w:r>
      <w:proofErr w:type="spellStart"/>
      <w:r w:rsidRPr="002E3F3D">
        <w:rPr>
          <w:rFonts w:ascii="Book Antiqua" w:hAnsi="Book Antiqua"/>
          <w:sz w:val="24"/>
          <w:szCs w:val="24"/>
        </w:rPr>
        <w:t>Mabote</w:t>
      </w:r>
      <w:proofErr w:type="spellEnd"/>
      <w:r w:rsidRPr="002E3F3D">
        <w:rPr>
          <w:rFonts w:ascii="Book Antiqua" w:hAnsi="Book Antiqua"/>
          <w:sz w:val="24"/>
          <w:szCs w:val="24"/>
        </w:rPr>
        <w:t xml:space="preserve"> T, </w:t>
      </w:r>
      <w:proofErr w:type="spellStart"/>
      <w:r w:rsidRPr="002E3F3D">
        <w:rPr>
          <w:rFonts w:ascii="Book Antiqua" w:hAnsi="Book Antiqua"/>
          <w:sz w:val="24"/>
          <w:szCs w:val="24"/>
        </w:rPr>
        <w:t>Torabi</w:t>
      </w:r>
      <w:proofErr w:type="spellEnd"/>
      <w:r w:rsidRPr="002E3F3D">
        <w:rPr>
          <w:rFonts w:ascii="Book Antiqua" w:hAnsi="Book Antiqua"/>
          <w:sz w:val="24"/>
          <w:szCs w:val="24"/>
        </w:rPr>
        <w:t xml:space="preserve"> A, Clark AL, Cleland JGF. The effects of short-term omission of daily medication on the pathophysiology of heart failure. </w:t>
      </w:r>
      <w:r w:rsidRPr="002E3F3D">
        <w:rPr>
          <w:rFonts w:ascii="Book Antiqua" w:hAnsi="Book Antiqua"/>
          <w:i/>
          <w:sz w:val="24"/>
          <w:szCs w:val="24"/>
        </w:rPr>
        <w:t>Eur J Heart Fail</w:t>
      </w:r>
      <w:r w:rsidRPr="002E3F3D">
        <w:rPr>
          <w:rFonts w:ascii="Book Antiqua" w:hAnsi="Book Antiqua"/>
          <w:sz w:val="24"/>
          <w:szCs w:val="24"/>
        </w:rPr>
        <w:t xml:space="preserve"> 2017; </w:t>
      </w:r>
      <w:r w:rsidRPr="002E3F3D">
        <w:rPr>
          <w:rFonts w:ascii="Book Antiqua" w:hAnsi="Book Antiqua"/>
          <w:b/>
          <w:sz w:val="24"/>
          <w:szCs w:val="24"/>
        </w:rPr>
        <w:t>19</w:t>
      </w:r>
      <w:r w:rsidRPr="002E3F3D">
        <w:rPr>
          <w:rFonts w:ascii="Book Antiqua" w:hAnsi="Book Antiqua"/>
          <w:sz w:val="24"/>
          <w:szCs w:val="24"/>
        </w:rPr>
        <w:t>: 643-649 [PMID: 28295907 DOI: 10.1002/ejhf.748]</w:t>
      </w:r>
    </w:p>
    <w:p w14:paraId="088BE0A2"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16 </w:t>
      </w:r>
      <w:r w:rsidRPr="002E3F3D">
        <w:rPr>
          <w:rFonts w:ascii="Book Antiqua" w:hAnsi="Book Antiqua"/>
          <w:b/>
          <w:sz w:val="24"/>
          <w:szCs w:val="24"/>
        </w:rPr>
        <w:t>Chaudhry SI</w:t>
      </w:r>
      <w:r w:rsidRPr="002E3F3D">
        <w:rPr>
          <w:rFonts w:ascii="Book Antiqua" w:hAnsi="Book Antiqua"/>
          <w:sz w:val="24"/>
          <w:szCs w:val="24"/>
        </w:rPr>
        <w:t xml:space="preserve">, Wang Y, </w:t>
      </w:r>
      <w:proofErr w:type="spellStart"/>
      <w:r w:rsidRPr="002E3F3D">
        <w:rPr>
          <w:rFonts w:ascii="Book Antiqua" w:hAnsi="Book Antiqua"/>
          <w:sz w:val="24"/>
          <w:szCs w:val="24"/>
        </w:rPr>
        <w:t>Concato</w:t>
      </w:r>
      <w:proofErr w:type="spellEnd"/>
      <w:r w:rsidRPr="002E3F3D">
        <w:rPr>
          <w:rFonts w:ascii="Book Antiqua" w:hAnsi="Book Antiqua"/>
          <w:sz w:val="24"/>
          <w:szCs w:val="24"/>
        </w:rPr>
        <w:t xml:space="preserve"> J, Gill TM, </w:t>
      </w:r>
      <w:proofErr w:type="spellStart"/>
      <w:r w:rsidRPr="002E3F3D">
        <w:rPr>
          <w:rFonts w:ascii="Book Antiqua" w:hAnsi="Book Antiqua"/>
          <w:sz w:val="24"/>
          <w:szCs w:val="24"/>
        </w:rPr>
        <w:t>Krumholz</w:t>
      </w:r>
      <w:proofErr w:type="spellEnd"/>
      <w:r w:rsidRPr="002E3F3D">
        <w:rPr>
          <w:rFonts w:ascii="Book Antiqua" w:hAnsi="Book Antiqua"/>
          <w:sz w:val="24"/>
          <w:szCs w:val="24"/>
        </w:rPr>
        <w:t xml:space="preserve"> HM. Patterns of weight change preceding hospitalization for heart failure. </w:t>
      </w:r>
      <w:r w:rsidRPr="002E3F3D">
        <w:rPr>
          <w:rFonts w:ascii="Book Antiqua" w:hAnsi="Book Antiqua"/>
          <w:i/>
          <w:sz w:val="24"/>
          <w:szCs w:val="24"/>
        </w:rPr>
        <w:t>Circulation</w:t>
      </w:r>
      <w:r w:rsidRPr="002E3F3D">
        <w:rPr>
          <w:rFonts w:ascii="Book Antiqua" w:hAnsi="Book Antiqua"/>
          <w:sz w:val="24"/>
          <w:szCs w:val="24"/>
        </w:rPr>
        <w:t xml:space="preserve"> 2007; </w:t>
      </w:r>
      <w:r w:rsidRPr="002E3F3D">
        <w:rPr>
          <w:rFonts w:ascii="Book Antiqua" w:hAnsi="Book Antiqua"/>
          <w:b/>
          <w:sz w:val="24"/>
          <w:szCs w:val="24"/>
        </w:rPr>
        <w:t>116</w:t>
      </w:r>
      <w:r w:rsidRPr="002E3F3D">
        <w:rPr>
          <w:rFonts w:ascii="Book Antiqua" w:hAnsi="Book Antiqua"/>
          <w:sz w:val="24"/>
          <w:szCs w:val="24"/>
        </w:rPr>
        <w:t>: 1549-1554 [PMID: 17846286 DOI: 10.1161/CIRCULATIONAHA.107.690768]</w:t>
      </w:r>
    </w:p>
    <w:p w14:paraId="79355AD9" w14:textId="77777777" w:rsidR="002E3F3D" w:rsidRPr="002E3F3D" w:rsidRDefault="002E3F3D" w:rsidP="002E3F3D">
      <w:pPr>
        <w:spacing w:after="0" w:line="360" w:lineRule="auto"/>
        <w:jc w:val="both"/>
        <w:rPr>
          <w:rFonts w:ascii="Book Antiqua" w:hAnsi="Book Antiqua"/>
          <w:sz w:val="24"/>
          <w:szCs w:val="24"/>
        </w:rPr>
      </w:pPr>
      <w:r w:rsidRPr="002E3F3D">
        <w:rPr>
          <w:rFonts w:ascii="Book Antiqua" w:hAnsi="Book Antiqua"/>
          <w:sz w:val="24"/>
          <w:szCs w:val="24"/>
        </w:rPr>
        <w:t xml:space="preserve">17 </w:t>
      </w:r>
      <w:r w:rsidRPr="002E3F3D">
        <w:rPr>
          <w:rFonts w:ascii="Book Antiqua" w:hAnsi="Book Antiqua"/>
          <w:b/>
          <w:sz w:val="24"/>
          <w:szCs w:val="24"/>
        </w:rPr>
        <w:t>Al-</w:t>
      </w:r>
      <w:proofErr w:type="spellStart"/>
      <w:r w:rsidRPr="002E3F3D">
        <w:rPr>
          <w:rFonts w:ascii="Book Antiqua" w:hAnsi="Book Antiqua"/>
          <w:b/>
          <w:sz w:val="24"/>
          <w:szCs w:val="24"/>
        </w:rPr>
        <w:t>Chekakie</w:t>
      </w:r>
      <w:proofErr w:type="spellEnd"/>
      <w:r w:rsidRPr="002E3F3D">
        <w:rPr>
          <w:rFonts w:ascii="Book Antiqua" w:hAnsi="Book Antiqua"/>
          <w:b/>
          <w:sz w:val="24"/>
          <w:szCs w:val="24"/>
        </w:rPr>
        <w:t xml:space="preserve"> MO</w:t>
      </w:r>
      <w:r w:rsidRPr="002E3F3D">
        <w:rPr>
          <w:rFonts w:ascii="Book Antiqua" w:hAnsi="Book Antiqua"/>
          <w:sz w:val="24"/>
          <w:szCs w:val="24"/>
        </w:rPr>
        <w:t xml:space="preserve">, Bao H, Jones PW, Stein KM, </w:t>
      </w:r>
      <w:proofErr w:type="spellStart"/>
      <w:r w:rsidRPr="002E3F3D">
        <w:rPr>
          <w:rFonts w:ascii="Book Antiqua" w:hAnsi="Book Antiqua"/>
          <w:sz w:val="24"/>
          <w:szCs w:val="24"/>
        </w:rPr>
        <w:t>Marzec</w:t>
      </w:r>
      <w:proofErr w:type="spellEnd"/>
      <w:r w:rsidRPr="002E3F3D">
        <w:rPr>
          <w:rFonts w:ascii="Book Antiqua" w:hAnsi="Book Antiqua"/>
          <w:sz w:val="24"/>
          <w:szCs w:val="24"/>
        </w:rPr>
        <w:t xml:space="preserve"> L, </w:t>
      </w:r>
      <w:proofErr w:type="spellStart"/>
      <w:r w:rsidRPr="002E3F3D">
        <w:rPr>
          <w:rFonts w:ascii="Book Antiqua" w:hAnsi="Book Antiqua"/>
          <w:sz w:val="24"/>
          <w:szCs w:val="24"/>
        </w:rPr>
        <w:t>Varosy</w:t>
      </w:r>
      <w:proofErr w:type="spellEnd"/>
      <w:r w:rsidRPr="002E3F3D">
        <w:rPr>
          <w:rFonts w:ascii="Book Antiqua" w:hAnsi="Book Antiqua"/>
          <w:sz w:val="24"/>
          <w:szCs w:val="24"/>
        </w:rPr>
        <w:t xml:space="preserve"> PD, </w:t>
      </w:r>
      <w:proofErr w:type="spellStart"/>
      <w:r w:rsidRPr="002E3F3D">
        <w:rPr>
          <w:rFonts w:ascii="Book Antiqua" w:hAnsi="Book Antiqua"/>
          <w:sz w:val="24"/>
          <w:szCs w:val="24"/>
        </w:rPr>
        <w:t>Masoudi</w:t>
      </w:r>
      <w:proofErr w:type="spellEnd"/>
      <w:r w:rsidRPr="002E3F3D">
        <w:rPr>
          <w:rFonts w:ascii="Book Antiqua" w:hAnsi="Book Antiqua"/>
          <w:sz w:val="24"/>
          <w:szCs w:val="24"/>
        </w:rPr>
        <w:t xml:space="preserve"> FA, Curtis JP, </w:t>
      </w:r>
      <w:proofErr w:type="spellStart"/>
      <w:r w:rsidRPr="002E3F3D">
        <w:rPr>
          <w:rFonts w:ascii="Book Antiqua" w:hAnsi="Book Antiqua"/>
          <w:sz w:val="24"/>
          <w:szCs w:val="24"/>
        </w:rPr>
        <w:t>Akar</w:t>
      </w:r>
      <w:proofErr w:type="spellEnd"/>
      <w:r w:rsidRPr="002E3F3D">
        <w:rPr>
          <w:rFonts w:ascii="Book Antiqua" w:hAnsi="Book Antiqua"/>
          <w:sz w:val="24"/>
          <w:szCs w:val="24"/>
        </w:rPr>
        <w:t xml:space="preserve"> JG. Addition of Blood Pressure and Weight Transmissions to Standard Remote Monitoring of Implantable Defibrillators and its Association with Mortality and Rehospitalization. </w:t>
      </w:r>
      <w:r w:rsidRPr="002E3F3D">
        <w:rPr>
          <w:rFonts w:ascii="Book Antiqua" w:hAnsi="Book Antiqua"/>
          <w:i/>
          <w:sz w:val="24"/>
          <w:szCs w:val="24"/>
        </w:rPr>
        <w:t>Circ Cardiovasc Qual Outcomes</w:t>
      </w:r>
      <w:r w:rsidRPr="002E3F3D">
        <w:rPr>
          <w:rFonts w:ascii="Book Antiqua" w:hAnsi="Book Antiqua"/>
          <w:sz w:val="24"/>
          <w:szCs w:val="24"/>
        </w:rPr>
        <w:t xml:space="preserve"> 2017; </w:t>
      </w:r>
      <w:r w:rsidRPr="002E3F3D">
        <w:rPr>
          <w:rFonts w:ascii="Book Antiqua" w:hAnsi="Book Antiqua"/>
          <w:b/>
          <w:sz w:val="24"/>
          <w:szCs w:val="24"/>
        </w:rPr>
        <w:t>10</w:t>
      </w:r>
      <w:r w:rsidRPr="002E3F3D">
        <w:rPr>
          <w:rFonts w:ascii="Book Antiqua" w:hAnsi="Book Antiqua"/>
          <w:sz w:val="24"/>
          <w:szCs w:val="24"/>
        </w:rPr>
        <w:t>:  [PMID: 28506978 DOI: 10.1161/CIRCOUTCOMES.116.003087]</w:t>
      </w:r>
    </w:p>
    <w:p w14:paraId="0F9AD025" w14:textId="3A14846E" w:rsidR="00BC505C" w:rsidRPr="002E3F3D" w:rsidRDefault="00BC505C" w:rsidP="002E3F3D">
      <w:pPr>
        <w:spacing w:after="0" w:line="360" w:lineRule="auto"/>
        <w:jc w:val="both"/>
        <w:rPr>
          <w:rFonts w:ascii="Book Antiqua" w:hAnsi="Book Antiqua" w:cs="Times New Roman"/>
          <w:sz w:val="24"/>
          <w:szCs w:val="24"/>
          <w:lang w:eastAsia="zh-CN"/>
        </w:rPr>
      </w:pPr>
    </w:p>
    <w:p w14:paraId="125C17DA" w14:textId="131AB9F5" w:rsidR="009831D3" w:rsidRPr="00650FF6" w:rsidRDefault="009831D3" w:rsidP="00650FF6">
      <w:pPr>
        <w:pStyle w:val="PlainText"/>
        <w:spacing w:line="360" w:lineRule="auto"/>
        <w:jc w:val="right"/>
        <w:rPr>
          <w:rFonts w:ascii="Book Antiqua" w:hAnsi="Book Antiqua"/>
          <w:b/>
          <w:sz w:val="24"/>
          <w:szCs w:val="24"/>
        </w:rPr>
      </w:pPr>
      <w:r w:rsidRPr="00650FF6">
        <w:rPr>
          <w:rFonts w:ascii="Book Antiqua" w:hAnsi="Book Antiqua"/>
          <w:b/>
          <w:sz w:val="24"/>
          <w:szCs w:val="24"/>
        </w:rPr>
        <w:t xml:space="preserve">P-Reviewer: </w:t>
      </w:r>
      <w:proofErr w:type="spellStart"/>
      <w:r w:rsidR="00826CD7" w:rsidRPr="00650FF6">
        <w:rPr>
          <w:rFonts w:ascii="Book Antiqua" w:hAnsi="Book Antiqua"/>
          <w:color w:val="000000"/>
          <w:sz w:val="24"/>
          <w:szCs w:val="24"/>
        </w:rPr>
        <w:t>Iacoviello</w:t>
      </w:r>
      <w:proofErr w:type="spellEnd"/>
      <w:r w:rsidR="00826CD7" w:rsidRPr="00650FF6">
        <w:rPr>
          <w:rFonts w:ascii="Book Antiqua" w:hAnsi="Book Antiqua"/>
          <w:color w:val="000000"/>
          <w:sz w:val="24"/>
          <w:szCs w:val="24"/>
        </w:rPr>
        <w:t xml:space="preserve"> M, </w:t>
      </w:r>
      <w:proofErr w:type="spellStart"/>
      <w:r w:rsidR="00826CD7" w:rsidRPr="00650FF6">
        <w:rPr>
          <w:rFonts w:ascii="Book Antiqua" w:hAnsi="Book Antiqua"/>
          <w:color w:val="000000"/>
          <w:sz w:val="24"/>
          <w:szCs w:val="24"/>
        </w:rPr>
        <w:t>Rostagno</w:t>
      </w:r>
      <w:proofErr w:type="spellEnd"/>
      <w:r w:rsidR="00826CD7" w:rsidRPr="00650FF6">
        <w:rPr>
          <w:rFonts w:ascii="Book Antiqua" w:hAnsi="Book Antiqua"/>
          <w:color w:val="000000"/>
          <w:sz w:val="24"/>
          <w:szCs w:val="24"/>
        </w:rPr>
        <w:t xml:space="preserve"> C </w:t>
      </w:r>
      <w:r w:rsidRPr="00650FF6">
        <w:rPr>
          <w:rFonts w:ascii="Book Antiqua" w:hAnsi="Book Antiqua"/>
          <w:b/>
          <w:sz w:val="24"/>
          <w:szCs w:val="24"/>
        </w:rPr>
        <w:t xml:space="preserve">S-Editor: </w:t>
      </w:r>
      <w:r w:rsidRPr="00650FF6">
        <w:rPr>
          <w:rFonts w:ascii="Book Antiqua" w:hAnsi="Book Antiqua"/>
          <w:sz w:val="24"/>
          <w:szCs w:val="24"/>
        </w:rPr>
        <w:t>Ji FF</w:t>
      </w:r>
      <w:r w:rsidRPr="00650FF6">
        <w:rPr>
          <w:rFonts w:ascii="Book Antiqua" w:hAnsi="Book Antiqua"/>
          <w:b/>
          <w:sz w:val="24"/>
          <w:szCs w:val="24"/>
        </w:rPr>
        <w:t xml:space="preserve"> L-Editor: E-Editor: </w:t>
      </w:r>
    </w:p>
    <w:p w14:paraId="720BC9BE" w14:textId="77777777" w:rsidR="009831D3" w:rsidRPr="002E3F3D" w:rsidRDefault="009831D3" w:rsidP="002E3F3D">
      <w:pPr>
        <w:pStyle w:val="PlainText"/>
        <w:spacing w:line="360" w:lineRule="auto"/>
        <w:rPr>
          <w:rFonts w:ascii="Book Antiqua" w:hAnsi="Book Antiqua"/>
          <w:b/>
          <w:sz w:val="24"/>
          <w:szCs w:val="24"/>
        </w:rPr>
      </w:pPr>
      <w:r w:rsidRPr="002E3F3D">
        <w:rPr>
          <w:rFonts w:ascii="Book Antiqua" w:hAnsi="Book Antiqua"/>
          <w:b/>
          <w:sz w:val="24"/>
          <w:szCs w:val="24"/>
        </w:rPr>
        <w:t xml:space="preserve"> </w:t>
      </w:r>
    </w:p>
    <w:p w14:paraId="4947616A" w14:textId="432D8D47" w:rsidR="009831D3" w:rsidRPr="002E3F3D" w:rsidRDefault="009831D3" w:rsidP="002E3F3D">
      <w:pPr>
        <w:snapToGrid w:val="0"/>
        <w:spacing w:after="0" w:line="360" w:lineRule="auto"/>
        <w:jc w:val="both"/>
        <w:rPr>
          <w:rFonts w:ascii="Book Antiqua" w:eastAsia="SimSun" w:hAnsi="Book Antiqua" w:cs="Helvetica"/>
          <w:b/>
          <w:sz w:val="24"/>
          <w:szCs w:val="24"/>
        </w:rPr>
      </w:pPr>
      <w:r w:rsidRPr="002E3F3D">
        <w:rPr>
          <w:rFonts w:ascii="Book Antiqua" w:eastAsia="SimSun" w:hAnsi="Book Antiqua" w:cs="Helvetica"/>
          <w:b/>
          <w:sz w:val="24"/>
          <w:szCs w:val="24"/>
        </w:rPr>
        <w:t xml:space="preserve">Specialty type: </w:t>
      </w:r>
      <w:r w:rsidR="00826CD7" w:rsidRPr="002E3F3D">
        <w:rPr>
          <w:rFonts w:ascii="Book Antiqua" w:eastAsia="Microsoft YaHei" w:hAnsi="Book Antiqua" w:cs="SimSun"/>
          <w:sz w:val="24"/>
          <w:szCs w:val="24"/>
        </w:rPr>
        <w:t>Medicine, research and experimental</w:t>
      </w:r>
    </w:p>
    <w:p w14:paraId="52710A94" w14:textId="5622FE04" w:rsidR="009831D3" w:rsidRPr="002E3F3D" w:rsidRDefault="009831D3" w:rsidP="002E3F3D">
      <w:pPr>
        <w:snapToGrid w:val="0"/>
        <w:spacing w:after="0" w:line="360" w:lineRule="auto"/>
        <w:jc w:val="both"/>
        <w:rPr>
          <w:rFonts w:ascii="Book Antiqua" w:eastAsia="SimSun" w:hAnsi="Book Antiqua" w:cs="Helvetica"/>
          <w:b/>
          <w:sz w:val="24"/>
          <w:szCs w:val="24"/>
        </w:rPr>
      </w:pPr>
      <w:r w:rsidRPr="002E3F3D">
        <w:rPr>
          <w:rFonts w:ascii="Book Antiqua" w:eastAsia="SimSun" w:hAnsi="Book Antiqua" w:cs="Helvetica"/>
          <w:b/>
          <w:sz w:val="24"/>
          <w:szCs w:val="24"/>
        </w:rPr>
        <w:lastRenderedPageBreak/>
        <w:t xml:space="preserve">Country of origin: </w:t>
      </w:r>
      <w:r w:rsidR="00826CD7" w:rsidRPr="002E3F3D">
        <w:rPr>
          <w:rFonts w:ascii="Book Antiqua" w:eastAsia="SimSun" w:hAnsi="Book Antiqua"/>
          <w:sz w:val="24"/>
          <w:szCs w:val="24"/>
        </w:rPr>
        <w:t>Lithuania</w:t>
      </w:r>
    </w:p>
    <w:p w14:paraId="55AFBF42" w14:textId="77777777" w:rsidR="009831D3" w:rsidRPr="002E3F3D" w:rsidRDefault="009831D3" w:rsidP="002E3F3D">
      <w:pPr>
        <w:snapToGrid w:val="0"/>
        <w:spacing w:after="0" w:line="360" w:lineRule="auto"/>
        <w:jc w:val="both"/>
        <w:rPr>
          <w:rFonts w:ascii="Book Antiqua" w:eastAsia="SimSun" w:hAnsi="Book Antiqua" w:cs="Helvetica"/>
          <w:b/>
          <w:sz w:val="24"/>
          <w:szCs w:val="24"/>
        </w:rPr>
      </w:pPr>
      <w:r w:rsidRPr="002E3F3D">
        <w:rPr>
          <w:rFonts w:ascii="Book Antiqua" w:eastAsia="SimSun" w:hAnsi="Book Antiqua" w:cs="Helvetica"/>
          <w:b/>
          <w:sz w:val="24"/>
          <w:szCs w:val="24"/>
        </w:rPr>
        <w:t>Peer-review report classification</w:t>
      </w:r>
    </w:p>
    <w:p w14:paraId="52492B9B" w14:textId="6881F31A" w:rsidR="009831D3" w:rsidRPr="002E3F3D" w:rsidRDefault="009831D3" w:rsidP="002E3F3D">
      <w:pPr>
        <w:snapToGrid w:val="0"/>
        <w:spacing w:after="0" w:line="360" w:lineRule="auto"/>
        <w:jc w:val="both"/>
        <w:rPr>
          <w:rFonts w:ascii="Book Antiqua" w:eastAsia="SimSun" w:hAnsi="Book Antiqua" w:cs="Helvetica"/>
          <w:sz w:val="24"/>
          <w:szCs w:val="24"/>
          <w:lang w:eastAsia="zh-CN"/>
        </w:rPr>
      </w:pPr>
      <w:r w:rsidRPr="002E3F3D">
        <w:rPr>
          <w:rFonts w:ascii="Book Antiqua" w:eastAsia="SimSun" w:hAnsi="Book Antiqua" w:cs="Helvetica"/>
          <w:sz w:val="24"/>
          <w:szCs w:val="24"/>
        </w:rPr>
        <w:t xml:space="preserve">Grade A (Excellent): </w:t>
      </w:r>
      <w:r w:rsidR="00826CD7" w:rsidRPr="002E3F3D">
        <w:rPr>
          <w:rFonts w:ascii="Book Antiqua" w:eastAsia="SimSun" w:hAnsi="Book Antiqua" w:cs="Helvetica"/>
          <w:sz w:val="24"/>
          <w:szCs w:val="24"/>
          <w:lang w:eastAsia="zh-CN"/>
        </w:rPr>
        <w:t>0</w:t>
      </w:r>
    </w:p>
    <w:p w14:paraId="5C1AB0F9" w14:textId="77777777" w:rsidR="009831D3" w:rsidRPr="002E3F3D" w:rsidRDefault="009831D3" w:rsidP="002E3F3D">
      <w:pPr>
        <w:snapToGrid w:val="0"/>
        <w:spacing w:after="0" w:line="360" w:lineRule="auto"/>
        <w:jc w:val="both"/>
        <w:rPr>
          <w:rFonts w:ascii="Book Antiqua" w:eastAsia="SimSun" w:hAnsi="Book Antiqua" w:cs="Helvetica"/>
          <w:sz w:val="24"/>
          <w:szCs w:val="24"/>
        </w:rPr>
      </w:pPr>
      <w:r w:rsidRPr="002E3F3D">
        <w:rPr>
          <w:rFonts w:ascii="Book Antiqua" w:eastAsia="SimSun" w:hAnsi="Book Antiqua" w:cs="Helvetica"/>
          <w:sz w:val="24"/>
          <w:szCs w:val="24"/>
        </w:rPr>
        <w:t>Grade B (Very good): B</w:t>
      </w:r>
    </w:p>
    <w:p w14:paraId="07042E3B" w14:textId="77777777" w:rsidR="009831D3" w:rsidRPr="002E3F3D" w:rsidRDefault="009831D3" w:rsidP="002E3F3D">
      <w:pPr>
        <w:snapToGrid w:val="0"/>
        <w:spacing w:after="0" w:line="360" w:lineRule="auto"/>
        <w:jc w:val="both"/>
        <w:rPr>
          <w:rFonts w:ascii="Book Antiqua" w:eastAsia="SimSun" w:hAnsi="Book Antiqua" w:cs="Helvetica"/>
          <w:sz w:val="24"/>
          <w:szCs w:val="24"/>
        </w:rPr>
      </w:pPr>
      <w:r w:rsidRPr="002E3F3D">
        <w:rPr>
          <w:rFonts w:ascii="Book Antiqua" w:eastAsia="SimSun" w:hAnsi="Book Antiqua" w:cs="Helvetica"/>
          <w:sz w:val="24"/>
          <w:szCs w:val="24"/>
        </w:rPr>
        <w:t>Grade C (Good): C</w:t>
      </w:r>
    </w:p>
    <w:p w14:paraId="466E44E1" w14:textId="77777777" w:rsidR="009831D3" w:rsidRPr="002E3F3D" w:rsidRDefault="009831D3" w:rsidP="002E3F3D">
      <w:pPr>
        <w:snapToGrid w:val="0"/>
        <w:spacing w:after="0" w:line="360" w:lineRule="auto"/>
        <w:jc w:val="both"/>
        <w:rPr>
          <w:rFonts w:ascii="Book Antiqua" w:eastAsia="SimSun" w:hAnsi="Book Antiqua" w:cs="Helvetica"/>
          <w:sz w:val="24"/>
          <w:szCs w:val="24"/>
        </w:rPr>
      </w:pPr>
      <w:r w:rsidRPr="002E3F3D">
        <w:rPr>
          <w:rFonts w:ascii="Book Antiqua" w:eastAsia="SimSun" w:hAnsi="Book Antiqua" w:cs="Helvetica"/>
          <w:sz w:val="24"/>
          <w:szCs w:val="24"/>
        </w:rPr>
        <w:t xml:space="preserve">Grade D (Fair): 0 </w:t>
      </w:r>
    </w:p>
    <w:p w14:paraId="592BE39D" w14:textId="0F555577" w:rsidR="009831D3" w:rsidRPr="002E3F3D" w:rsidRDefault="009831D3" w:rsidP="002E3F3D">
      <w:pPr>
        <w:spacing w:after="0" w:line="360" w:lineRule="auto"/>
        <w:jc w:val="both"/>
        <w:rPr>
          <w:rFonts w:ascii="Book Antiqua" w:hAnsi="Book Antiqua" w:cs="Times New Roman"/>
          <w:sz w:val="24"/>
          <w:szCs w:val="24"/>
          <w:lang w:eastAsia="zh-CN"/>
        </w:rPr>
      </w:pPr>
      <w:r w:rsidRPr="002E3F3D">
        <w:rPr>
          <w:rFonts w:ascii="Book Antiqua" w:eastAsia="SimSun" w:hAnsi="Book Antiqua" w:cs="Helvetica"/>
          <w:sz w:val="24"/>
          <w:szCs w:val="24"/>
        </w:rPr>
        <w:t>Grade E (Poor): 0</w:t>
      </w:r>
    </w:p>
    <w:p w14:paraId="2599ED89" w14:textId="7ED07405" w:rsidR="00F903B4" w:rsidRPr="002E3F3D" w:rsidRDefault="00F903B4" w:rsidP="002E3F3D">
      <w:pPr>
        <w:spacing w:after="0" w:line="360" w:lineRule="auto"/>
        <w:jc w:val="both"/>
        <w:rPr>
          <w:rFonts w:ascii="Book Antiqua" w:hAnsi="Book Antiqua" w:cs="Times New Roman"/>
          <w:sz w:val="24"/>
          <w:szCs w:val="24"/>
        </w:rPr>
      </w:pPr>
      <w:r w:rsidRPr="002E3F3D">
        <w:rPr>
          <w:rFonts w:ascii="Book Antiqua" w:hAnsi="Book Antiqua" w:cs="Times New Roman"/>
          <w:sz w:val="24"/>
          <w:szCs w:val="24"/>
        </w:rPr>
        <w:br w:type="page"/>
      </w:r>
    </w:p>
    <w:p w14:paraId="7E9EB12E" w14:textId="77777777" w:rsidR="00F903B4" w:rsidRPr="00772D93" w:rsidRDefault="00F903B4" w:rsidP="00F903B4">
      <w:pPr>
        <w:spacing w:after="0" w:line="360" w:lineRule="auto"/>
        <w:jc w:val="both"/>
        <w:rPr>
          <w:rFonts w:ascii="Book Antiqua" w:hAnsi="Book Antiqua" w:cs="Times New Roman"/>
          <w:b/>
          <w:i/>
          <w:sz w:val="24"/>
          <w:szCs w:val="24"/>
        </w:rPr>
      </w:pPr>
    </w:p>
    <w:p w14:paraId="290036A3" w14:textId="77777777" w:rsidR="00F903B4" w:rsidRPr="00772D93" w:rsidRDefault="00F903B4" w:rsidP="00F903B4">
      <w:pPr>
        <w:spacing w:after="0" w:line="360" w:lineRule="auto"/>
        <w:jc w:val="both"/>
        <w:rPr>
          <w:rFonts w:ascii="Book Antiqua" w:hAnsi="Book Antiqua" w:cs="Times New Roman"/>
          <w:sz w:val="24"/>
          <w:szCs w:val="24"/>
          <w:lang w:val="en-GB"/>
        </w:rPr>
      </w:pPr>
      <w:r w:rsidRPr="00772D93">
        <w:rPr>
          <w:rFonts w:ascii="Book Antiqua" w:hAnsi="Book Antiqua"/>
          <w:noProof/>
          <w:sz w:val="24"/>
          <w:szCs w:val="24"/>
          <w:lang w:eastAsia="zh-CN"/>
        </w:rPr>
        <w:drawing>
          <wp:anchor distT="0" distB="0" distL="114300" distR="114300" simplePos="0" relativeHeight="251659264" behindDoc="0" locked="0" layoutInCell="1" allowOverlap="1" wp14:anchorId="125F95BB" wp14:editId="77FFD563">
            <wp:simplePos x="0" y="0"/>
            <wp:positionH relativeFrom="column">
              <wp:posOffset>-65405</wp:posOffset>
            </wp:positionH>
            <wp:positionV relativeFrom="paragraph">
              <wp:posOffset>370205</wp:posOffset>
            </wp:positionV>
            <wp:extent cx="2488565" cy="1782445"/>
            <wp:effectExtent l="0" t="8890" r="0" b="0"/>
            <wp:wrapSquare wrapText="bothSides"/>
            <wp:docPr id="3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rot="5400000">
                      <a:off x="0" y="0"/>
                      <a:ext cx="2488565" cy="178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2D93">
        <w:rPr>
          <w:rFonts w:ascii="Book Antiqua" w:hAnsi="Book Antiqua"/>
          <w:noProof/>
          <w:sz w:val="24"/>
          <w:szCs w:val="24"/>
          <w:lang w:eastAsia="zh-CN"/>
        </w:rPr>
        <w:drawing>
          <wp:inline distT="0" distB="0" distL="0" distR="0" wp14:anchorId="2CAA287C" wp14:editId="16DFD7B8">
            <wp:extent cx="2493010" cy="1747370"/>
            <wp:effectExtent l="0" t="7938"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43446" cy="1922903"/>
                    </a:xfrm>
                    <a:prstGeom prst="rect">
                      <a:avLst/>
                    </a:prstGeom>
                  </pic:spPr>
                </pic:pic>
              </a:graphicData>
            </a:graphic>
          </wp:inline>
        </w:drawing>
      </w:r>
      <w:r>
        <w:rPr>
          <w:rFonts w:ascii="Book Antiqua" w:hAnsi="Book Antiqua" w:cs="Times New Roman"/>
          <w:b/>
          <w:sz w:val="24"/>
          <w:szCs w:val="24"/>
        </w:rPr>
        <w:t xml:space="preserve"> </w:t>
      </w:r>
      <w:r w:rsidRPr="00772D93">
        <w:rPr>
          <w:rFonts w:ascii="Book Antiqua" w:hAnsi="Book Antiqua"/>
          <w:noProof/>
          <w:sz w:val="24"/>
          <w:szCs w:val="24"/>
          <w:lang w:eastAsia="zh-CN"/>
        </w:rPr>
        <w:drawing>
          <wp:inline distT="0" distB="0" distL="0" distR="0" wp14:anchorId="246369F0" wp14:editId="14E3E997">
            <wp:extent cx="2495504" cy="1755775"/>
            <wp:effectExtent l="7620" t="0" r="8255" b="8255"/>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826548" cy="1988689"/>
                    </a:xfrm>
                    <a:prstGeom prst="rect">
                      <a:avLst/>
                    </a:prstGeom>
                  </pic:spPr>
                </pic:pic>
              </a:graphicData>
            </a:graphic>
          </wp:inline>
        </w:drawing>
      </w:r>
      <w:r w:rsidRPr="00772D93">
        <w:rPr>
          <w:rFonts w:ascii="Book Antiqua" w:hAnsi="Book Antiqua" w:cs="Times New Roman"/>
          <w:sz w:val="24"/>
          <w:szCs w:val="24"/>
          <w:lang w:val="en-GB"/>
        </w:rPr>
        <w:t xml:space="preserve"> </w:t>
      </w:r>
    </w:p>
    <w:p w14:paraId="083CC7B0" w14:textId="77777777" w:rsidR="00F903B4" w:rsidRPr="00772D93" w:rsidRDefault="00F903B4" w:rsidP="00F903B4">
      <w:pPr>
        <w:spacing w:after="0" w:line="360" w:lineRule="auto"/>
        <w:jc w:val="both"/>
        <w:rPr>
          <w:rFonts w:ascii="Book Antiqua" w:hAnsi="Book Antiqua" w:cs="Times New Roman"/>
          <w:sz w:val="24"/>
          <w:szCs w:val="24"/>
          <w:lang w:val="en-GB"/>
        </w:rPr>
      </w:pP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t>A</w:t>
      </w: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t>B</w:t>
      </w: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r>
      <w:r w:rsidRPr="00772D93">
        <w:rPr>
          <w:rFonts w:ascii="Book Antiqua" w:hAnsi="Book Antiqua" w:cs="Times New Roman"/>
          <w:sz w:val="24"/>
          <w:szCs w:val="24"/>
          <w:lang w:val="en-GB"/>
        </w:rPr>
        <w:tab/>
        <w:t>C</w:t>
      </w:r>
    </w:p>
    <w:p w14:paraId="1EC54E75" w14:textId="2F820669" w:rsidR="009B474C" w:rsidRDefault="00F903B4" w:rsidP="00F903B4">
      <w:pPr>
        <w:spacing w:after="0" w:line="360" w:lineRule="auto"/>
        <w:jc w:val="both"/>
        <w:rPr>
          <w:rFonts w:ascii="Book Antiqua" w:hAnsi="Book Antiqua" w:cs="Times New Roman"/>
          <w:sz w:val="24"/>
          <w:szCs w:val="24"/>
          <w:lang w:val="en-GB"/>
        </w:rPr>
      </w:pPr>
      <w:r w:rsidRPr="00F903B4" w:rsidDel="007C0118">
        <w:rPr>
          <w:rFonts w:ascii="Book Antiqua" w:hAnsi="Book Antiqua" w:cs="Times New Roman"/>
          <w:b/>
          <w:sz w:val="24"/>
          <w:szCs w:val="24"/>
        </w:rPr>
        <w:t>Figure 1</w:t>
      </w:r>
      <w:r w:rsidRPr="00F903B4">
        <w:rPr>
          <w:rFonts w:ascii="Book Antiqua" w:hAnsi="Book Antiqua" w:cs="Times New Roman"/>
          <w:b/>
          <w:sz w:val="24"/>
          <w:szCs w:val="24"/>
          <w:lang w:val="en-GB"/>
        </w:rPr>
        <w:t xml:space="preserve"> The technique of lung impedance measurements.</w:t>
      </w:r>
      <w:r>
        <w:rPr>
          <w:rFonts w:ascii="Book Antiqua" w:hAnsi="Book Antiqua" w:cs="Times New Roman" w:hint="eastAsia"/>
          <w:b/>
          <w:sz w:val="24"/>
          <w:szCs w:val="24"/>
          <w:lang w:eastAsia="zh-CN"/>
        </w:rPr>
        <w:t xml:space="preserve"> </w:t>
      </w:r>
      <w:r>
        <w:rPr>
          <w:rFonts w:ascii="Book Antiqua" w:hAnsi="Book Antiqua" w:cs="Times New Roman" w:hint="eastAsia"/>
          <w:sz w:val="24"/>
          <w:szCs w:val="24"/>
          <w:lang w:val="en-GB" w:eastAsia="zh-CN"/>
        </w:rPr>
        <w:t xml:space="preserve">A: </w:t>
      </w:r>
      <w:r w:rsidRPr="00F903B4">
        <w:rPr>
          <w:rFonts w:ascii="Book Antiqua" w:hAnsi="Book Antiqua" w:cs="Times New Roman"/>
          <w:sz w:val="24"/>
          <w:szCs w:val="24"/>
          <w:lang w:val="en-GB"/>
        </w:rPr>
        <w:t>Three electrodes were placed vertically on the front right side of the chest, 4.5 cm from the midline of the sternum with the upper electrode attached precisely under the clavicle</w:t>
      </w:r>
      <w:r>
        <w:rPr>
          <w:rFonts w:ascii="Book Antiqua" w:hAnsi="Book Antiqua" w:cs="Times New Roman" w:hint="eastAsia"/>
          <w:sz w:val="24"/>
          <w:szCs w:val="24"/>
          <w:lang w:val="en-GB" w:eastAsia="zh-CN"/>
        </w:rPr>
        <w:t>; B:</w:t>
      </w:r>
      <w:r w:rsidRPr="00F903B4">
        <w:rPr>
          <w:rFonts w:ascii="Book Antiqua" w:hAnsi="Book Antiqua" w:cs="Times New Roman"/>
          <w:sz w:val="24"/>
          <w:szCs w:val="24"/>
          <w:lang w:val="en-GB"/>
        </w:rPr>
        <w:t xml:space="preserve"> Another set of 3 electrodes was placed on the back along the horizontal line crossing the low edge of the right scapula, with the most leftward electrode placed at the crossing point of the horizontal line with the spine</w:t>
      </w:r>
      <w:r>
        <w:rPr>
          <w:rFonts w:ascii="Book Antiqua" w:hAnsi="Book Antiqua" w:cs="Times New Roman" w:hint="eastAsia"/>
          <w:sz w:val="24"/>
          <w:szCs w:val="24"/>
          <w:lang w:val="en-GB" w:eastAsia="zh-CN"/>
        </w:rPr>
        <w:t>; C:</w:t>
      </w:r>
      <w:r w:rsidRPr="00F903B4">
        <w:rPr>
          <w:rFonts w:ascii="Book Antiqua" w:hAnsi="Book Antiqua" w:cs="Times New Roman"/>
          <w:sz w:val="24"/>
          <w:szCs w:val="24"/>
          <w:lang w:val="en-GB"/>
        </w:rPr>
        <w:t xml:space="preserve"> The LI measurement result was displayed as a number on the screen.</w:t>
      </w:r>
    </w:p>
    <w:p w14:paraId="2A3CC58F" w14:textId="77777777" w:rsidR="009B474C" w:rsidRDefault="009B474C">
      <w:pPr>
        <w:rPr>
          <w:rFonts w:ascii="Book Antiqua" w:hAnsi="Book Antiqua" w:cs="Times New Roman"/>
          <w:sz w:val="24"/>
          <w:szCs w:val="24"/>
          <w:lang w:val="en-GB"/>
        </w:rPr>
      </w:pPr>
      <w:r>
        <w:rPr>
          <w:rFonts w:ascii="Book Antiqua" w:hAnsi="Book Antiqua" w:cs="Times New Roman"/>
          <w:sz w:val="24"/>
          <w:szCs w:val="24"/>
          <w:lang w:val="en-GB"/>
        </w:rPr>
        <w:br w:type="page"/>
      </w:r>
    </w:p>
    <w:p w14:paraId="7873C980" w14:textId="77777777" w:rsidR="009B474C" w:rsidRPr="00772D93" w:rsidRDefault="009B474C" w:rsidP="009B474C">
      <w:pPr>
        <w:spacing w:after="0" w:line="360" w:lineRule="auto"/>
        <w:jc w:val="both"/>
        <w:rPr>
          <w:rFonts w:ascii="Book Antiqua" w:hAnsi="Book Antiqua" w:cs="Times New Roman"/>
          <w:sz w:val="24"/>
          <w:szCs w:val="24"/>
        </w:rPr>
      </w:pPr>
      <w:r w:rsidRPr="00772D93">
        <w:rPr>
          <w:rFonts w:ascii="Book Antiqua" w:hAnsi="Book Antiqua" w:cs="Times New Roman"/>
          <w:i/>
          <w:noProof/>
          <w:sz w:val="24"/>
          <w:szCs w:val="24"/>
          <w:lang w:eastAsia="zh-CN"/>
        </w:rPr>
        <w:lastRenderedPageBreak/>
        <w:drawing>
          <wp:inline distT="0" distB="0" distL="0" distR="0" wp14:anchorId="407083EE" wp14:editId="37821DEC">
            <wp:extent cx="5943600" cy="3896887"/>
            <wp:effectExtent l="0" t="0" r="0" b="8890"/>
            <wp:docPr id="10" name="Picture 10" descr="C:\Users\el3019sa\Desktop\02.15 Dokument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3019sa\Desktop\02.15 Dokumentai\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96887"/>
                    </a:xfrm>
                    <a:prstGeom prst="rect">
                      <a:avLst/>
                    </a:prstGeom>
                    <a:noFill/>
                    <a:ln>
                      <a:noFill/>
                    </a:ln>
                  </pic:spPr>
                </pic:pic>
              </a:graphicData>
            </a:graphic>
          </wp:inline>
        </w:drawing>
      </w:r>
    </w:p>
    <w:p w14:paraId="0D062971" w14:textId="6B6E4CF2" w:rsidR="00D53B15" w:rsidRDefault="009B474C" w:rsidP="009B474C">
      <w:pPr>
        <w:spacing w:after="0" w:line="360" w:lineRule="auto"/>
        <w:jc w:val="both"/>
        <w:rPr>
          <w:rFonts w:ascii="Book Antiqua" w:hAnsi="Book Antiqua" w:cs="Times New Roman"/>
          <w:sz w:val="24"/>
          <w:szCs w:val="24"/>
          <w:lang w:val="en-GB" w:eastAsia="zh-CN"/>
        </w:rPr>
      </w:pPr>
      <w:r w:rsidRPr="009E27FB">
        <w:rPr>
          <w:rFonts w:ascii="Book Antiqua" w:hAnsi="Book Antiqua" w:cs="Times New Roman"/>
          <w:b/>
          <w:sz w:val="24"/>
          <w:szCs w:val="24"/>
        </w:rPr>
        <w:t>Figure 2 The dynamics of lung impedance, weight and diuretic dose for</w:t>
      </w:r>
      <w:r w:rsidRPr="009E27FB">
        <w:rPr>
          <w:rFonts w:ascii="Book Antiqua" w:hAnsi="Book Antiqua" w:cs="Times New Roman"/>
          <w:b/>
          <w:i/>
          <w:sz w:val="24"/>
          <w:szCs w:val="24"/>
        </w:rPr>
        <w:t xml:space="preserve"> </w:t>
      </w:r>
      <w:r w:rsidRPr="009E27FB">
        <w:rPr>
          <w:rFonts w:ascii="Book Antiqua" w:hAnsi="Book Antiqua" w:cs="Times New Roman"/>
          <w:b/>
          <w:sz w:val="24"/>
          <w:szCs w:val="24"/>
        </w:rPr>
        <w:t>Patient 1</w:t>
      </w:r>
      <w:r w:rsidRPr="009E27FB">
        <w:rPr>
          <w:rFonts w:ascii="Book Antiqua" w:hAnsi="Book Antiqua" w:cs="Times New Roman" w:hint="eastAsia"/>
          <w:b/>
          <w:sz w:val="24"/>
          <w:szCs w:val="24"/>
          <w:lang w:eastAsia="zh-CN"/>
        </w:rPr>
        <w:t>.</w:t>
      </w:r>
      <w:r>
        <w:rPr>
          <w:rFonts w:ascii="Book Antiqua" w:hAnsi="Book Antiqua" w:cs="Times New Roman" w:hint="eastAsia"/>
          <w:b/>
          <w:i/>
          <w:sz w:val="24"/>
          <w:szCs w:val="24"/>
          <w:lang w:eastAsia="zh-CN"/>
        </w:rPr>
        <w:t xml:space="preserve"> </w:t>
      </w:r>
      <w:r w:rsidRPr="009E27FB">
        <w:rPr>
          <w:rFonts w:ascii="Book Antiqua" w:hAnsi="Book Antiqua" w:cs="Times New Roman"/>
          <w:sz w:val="24"/>
          <w:szCs w:val="24"/>
        </w:rPr>
        <w:t xml:space="preserve">The </w:t>
      </w:r>
      <w:r w:rsidR="00D53B15" w:rsidRPr="00010AC2">
        <w:rPr>
          <w:rFonts w:ascii="Book Antiqua" w:hAnsi="Book Antiqua" w:cs="Times New Roman"/>
          <w:sz w:val="24"/>
          <w:szCs w:val="24"/>
          <w:lang w:val="en-GB"/>
        </w:rPr>
        <w:t>N-terminal pro B-type natriuretic peptide</w:t>
      </w:r>
      <w:r w:rsidRPr="009E27FB">
        <w:rPr>
          <w:rFonts w:ascii="Book Antiqua" w:hAnsi="Book Antiqua" w:cs="Times New Roman"/>
          <w:sz w:val="24"/>
          <w:szCs w:val="24"/>
        </w:rPr>
        <w:t xml:space="preserve"> level was not high at the day of discharge, but the patient had clear signs and symptoms of congestive </w:t>
      </w:r>
      <w:r w:rsidR="00D53B15" w:rsidRPr="00772D93">
        <w:rPr>
          <w:rFonts w:ascii="Book Antiqua" w:hAnsi="Book Antiqua" w:cs="Times New Roman"/>
          <w:sz w:val="24"/>
          <w:szCs w:val="24"/>
        </w:rPr>
        <w:t>heart failure</w:t>
      </w:r>
      <w:r w:rsidR="00D53B15" w:rsidRPr="009E27FB">
        <w:rPr>
          <w:rFonts w:ascii="Book Antiqua" w:hAnsi="Book Antiqua" w:cs="Times New Roman"/>
          <w:sz w:val="24"/>
          <w:szCs w:val="24"/>
        </w:rPr>
        <w:t xml:space="preserve"> </w:t>
      </w:r>
      <w:r w:rsidR="00D53B15">
        <w:rPr>
          <w:rFonts w:ascii="Book Antiqua" w:hAnsi="Book Antiqua" w:cs="Times New Roman" w:hint="eastAsia"/>
          <w:sz w:val="24"/>
          <w:szCs w:val="24"/>
          <w:lang w:eastAsia="zh-CN"/>
        </w:rPr>
        <w:t>(</w:t>
      </w:r>
      <w:r w:rsidRPr="009E27FB">
        <w:rPr>
          <w:rFonts w:ascii="Book Antiqua" w:hAnsi="Book Antiqua" w:cs="Times New Roman"/>
          <w:sz w:val="24"/>
          <w:szCs w:val="24"/>
        </w:rPr>
        <w:t>HF</w:t>
      </w:r>
      <w:r w:rsidR="00D53B15">
        <w:rPr>
          <w:rFonts w:ascii="Book Antiqua" w:hAnsi="Book Antiqua" w:cs="Times New Roman" w:hint="eastAsia"/>
          <w:sz w:val="24"/>
          <w:szCs w:val="24"/>
          <w:lang w:eastAsia="zh-CN"/>
        </w:rPr>
        <w:t>)</w:t>
      </w:r>
      <w:r w:rsidRPr="009E27FB">
        <w:rPr>
          <w:rFonts w:ascii="Book Antiqua" w:hAnsi="Book Antiqua" w:cs="Times New Roman"/>
          <w:sz w:val="24"/>
          <w:szCs w:val="24"/>
        </w:rPr>
        <w:t xml:space="preserve"> on admission (shortness of breath, bilateral rales in the lungs, leg edema, poor </w:t>
      </w:r>
      <w:r w:rsidR="00D53B15" w:rsidRPr="00010AC2">
        <w:rPr>
          <w:rFonts w:ascii="Book Antiqua" w:hAnsi="Book Antiqua" w:cs="Times New Roman"/>
          <w:sz w:val="24"/>
          <w:szCs w:val="24"/>
          <w:lang w:val="en-GB"/>
        </w:rPr>
        <w:t>left ventricular</w:t>
      </w:r>
      <w:r w:rsidRPr="009E27FB">
        <w:rPr>
          <w:rFonts w:ascii="Book Antiqua" w:hAnsi="Book Antiqua" w:cs="Times New Roman"/>
          <w:sz w:val="24"/>
          <w:szCs w:val="24"/>
        </w:rPr>
        <w:t xml:space="preserve"> function on echocardiography). HF with reduced ejection fraction developed after an acute myocardial infarction more than 4 years ago; then, his BNP was 2611 ng/L, but 2 years after, it had reduced to the level of 200 ng/L. </w:t>
      </w:r>
      <w:r w:rsidR="00D53B15" w:rsidRPr="00010AC2">
        <w:rPr>
          <w:rFonts w:ascii="Book Antiqua" w:hAnsi="Book Antiqua" w:cs="Times New Roman"/>
          <w:sz w:val="24"/>
          <w:szCs w:val="24"/>
          <w:lang w:val="en-GB"/>
        </w:rPr>
        <w:t>NT-</w:t>
      </w:r>
      <w:proofErr w:type="spellStart"/>
      <w:r w:rsidR="00D53B15" w:rsidRPr="00010AC2">
        <w:rPr>
          <w:rFonts w:ascii="Book Antiqua" w:hAnsi="Book Antiqua" w:cs="Times New Roman"/>
          <w:sz w:val="24"/>
          <w:szCs w:val="24"/>
          <w:lang w:val="en-GB"/>
        </w:rPr>
        <w:t>proBNP</w:t>
      </w:r>
      <w:proofErr w:type="spellEnd"/>
      <w:r w:rsidR="00D53B15" w:rsidRPr="00010AC2">
        <w:rPr>
          <w:rFonts w:ascii="Book Antiqua" w:hAnsi="Book Antiqua" w:cs="Times New Roman" w:hint="eastAsia"/>
          <w:sz w:val="24"/>
          <w:szCs w:val="24"/>
          <w:lang w:val="en-GB" w:eastAsia="zh-CN"/>
        </w:rPr>
        <w:t>:</w:t>
      </w:r>
      <w:r w:rsidR="00D53B15" w:rsidRPr="00010AC2">
        <w:rPr>
          <w:rFonts w:ascii="Book Antiqua" w:hAnsi="Book Antiqua" w:cs="Times New Roman"/>
          <w:sz w:val="24"/>
          <w:szCs w:val="24"/>
          <w:lang w:val="en-GB"/>
        </w:rPr>
        <w:t xml:space="preserve"> N-terminal pro B</w:t>
      </w:r>
      <w:r w:rsidR="00D53B15">
        <w:rPr>
          <w:rFonts w:ascii="Book Antiqua" w:hAnsi="Book Antiqua" w:cs="Times New Roman"/>
          <w:sz w:val="24"/>
          <w:szCs w:val="24"/>
          <w:lang w:val="en-GB"/>
        </w:rPr>
        <w:t xml:space="preserve">-type natriuretic peptide; </w:t>
      </w:r>
      <w:r w:rsidR="00D53B15" w:rsidRPr="00010AC2">
        <w:rPr>
          <w:rFonts w:ascii="Book Antiqua" w:hAnsi="Book Antiqua" w:cs="Times New Roman"/>
          <w:sz w:val="24"/>
          <w:szCs w:val="24"/>
          <w:lang w:val="en-GB"/>
        </w:rPr>
        <w:t>GFR</w:t>
      </w:r>
      <w:r w:rsidR="00D53B15" w:rsidRPr="00010AC2">
        <w:rPr>
          <w:rFonts w:ascii="Book Antiqua" w:hAnsi="Book Antiqua" w:cs="Times New Roman" w:hint="eastAsia"/>
          <w:sz w:val="24"/>
          <w:szCs w:val="24"/>
          <w:lang w:val="en-GB" w:eastAsia="zh-CN"/>
        </w:rPr>
        <w:t>:</w:t>
      </w:r>
      <w:r w:rsidR="00D53B15" w:rsidRPr="00010AC2">
        <w:rPr>
          <w:rFonts w:ascii="Book Antiqua" w:hAnsi="Book Antiqua" w:cs="Times New Roman"/>
          <w:sz w:val="24"/>
          <w:szCs w:val="24"/>
          <w:lang w:val="en-GB"/>
        </w:rPr>
        <w:t xml:space="preserve"> Glomerular filtration rate</w:t>
      </w:r>
      <w:r w:rsidR="00D53B15">
        <w:rPr>
          <w:rFonts w:ascii="Book Antiqua" w:hAnsi="Book Antiqua" w:cs="Times New Roman" w:hint="eastAsia"/>
          <w:sz w:val="24"/>
          <w:szCs w:val="24"/>
          <w:lang w:val="en-GB" w:eastAsia="zh-CN"/>
        </w:rPr>
        <w:t>.</w:t>
      </w:r>
    </w:p>
    <w:p w14:paraId="018ADC4D" w14:textId="77777777" w:rsidR="00D53B15" w:rsidRDefault="00D53B15">
      <w:pPr>
        <w:rPr>
          <w:rFonts w:ascii="Book Antiqua" w:hAnsi="Book Antiqua" w:cs="Times New Roman"/>
          <w:sz w:val="24"/>
          <w:szCs w:val="24"/>
          <w:lang w:val="en-GB" w:eastAsia="zh-CN"/>
        </w:rPr>
      </w:pPr>
      <w:r>
        <w:rPr>
          <w:rFonts w:ascii="Book Antiqua" w:hAnsi="Book Antiqua" w:cs="Times New Roman"/>
          <w:sz w:val="24"/>
          <w:szCs w:val="24"/>
          <w:lang w:val="en-GB" w:eastAsia="zh-CN"/>
        </w:rPr>
        <w:br w:type="page"/>
      </w:r>
    </w:p>
    <w:p w14:paraId="4732172A" w14:textId="77777777" w:rsidR="00D53B15" w:rsidRPr="00772D93" w:rsidRDefault="00D53B15" w:rsidP="00D53B15">
      <w:pPr>
        <w:spacing w:after="0" w:line="360" w:lineRule="auto"/>
        <w:jc w:val="both"/>
        <w:rPr>
          <w:rFonts w:ascii="Book Antiqua" w:hAnsi="Book Antiqua" w:cs="Times New Roman"/>
          <w:sz w:val="24"/>
          <w:szCs w:val="24"/>
        </w:rPr>
      </w:pPr>
      <w:r w:rsidRPr="00772D93">
        <w:rPr>
          <w:rFonts w:ascii="Book Antiqua" w:hAnsi="Book Antiqua" w:cs="Times New Roman"/>
          <w:noProof/>
          <w:sz w:val="24"/>
          <w:szCs w:val="24"/>
          <w:lang w:eastAsia="zh-CN"/>
        </w:rPr>
        <w:lastRenderedPageBreak/>
        <w:drawing>
          <wp:inline distT="0" distB="0" distL="0" distR="0" wp14:anchorId="554E3D95" wp14:editId="359D6DD2">
            <wp:extent cx="5943600" cy="4624237"/>
            <wp:effectExtent l="0" t="0" r="0" b="5080"/>
            <wp:docPr id="12" name="Picture 12" descr="C:\Users\el3019sa\Desktop\02.15 Dokument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3019sa\Desktop\02.15 Dokumentai\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624237"/>
                    </a:xfrm>
                    <a:prstGeom prst="rect">
                      <a:avLst/>
                    </a:prstGeom>
                    <a:noFill/>
                    <a:ln>
                      <a:noFill/>
                    </a:ln>
                  </pic:spPr>
                </pic:pic>
              </a:graphicData>
            </a:graphic>
          </wp:inline>
        </w:drawing>
      </w:r>
    </w:p>
    <w:p w14:paraId="67AF9201" w14:textId="77777777" w:rsidR="00D53B15" w:rsidRPr="00772D93" w:rsidRDefault="00D53B15" w:rsidP="00D53B15">
      <w:pPr>
        <w:spacing w:after="0" w:line="360" w:lineRule="auto"/>
        <w:jc w:val="both"/>
        <w:rPr>
          <w:rFonts w:ascii="Book Antiqua" w:hAnsi="Book Antiqua" w:cs="Times New Roman"/>
          <w:sz w:val="24"/>
          <w:szCs w:val="24"/>
        </w:rPr>
      </w:pPr>
    </w:p>
    <w:p w14:paraId="55811D4F" w14:textId="40677AEE" w:rsidR="00D53B15" w:rsidRPr="00D53B15" w:rsidRDefault="00D53B15" w:rsidP="00D53B15">
      <w:pPr>
        <w:spacing w:after="0" w:line="360" w:lineRule="auto"/>
        <w:jc w:val="both"/>
        <w:rPr>
          <w:rFonts w:ascii="Book Antiqua" w:hAnsi="Book Antiqua" w:cs="Times New Roman"/>
          <w:b/>
          <w:sz w:val="24"/>
          <w:szCs w:val="24"/>
          <w:lang w:eastAsia="zh-CN"/>
        </w:rPr>
      </w:pPr>
      <w:r w:rsidRPr="00D53B15">
        <w:rPr>
          <w:rFonts w:ascii="Book Antiqua" w:hAnsi="Book Antiqua" w:cs="Times New Roman"/>
          <w:b/>
          <w:sz w:val="24"/>
          <w:szCs w:val="24"/>
        </w:rPr>
        <w:t>Figure 3 The dynamics of lung congestion, weight, hemodynamics and medication dosage for Patient 2</w:t>
      </w:r>
      <w:r>
        <w:rPr>
          <w:rFonts w:ascii="Book Antiqua" w:hAnsi="Book Antiqua" w:cs="Times New Roman" w:hint="eastAsia"/>
          <w:b/>
          <w:sz w:val="24"/>
          <w:szCs w:val="24"/>
          <w:lang w:eastAsia="zh-CN"/>
        </w:rPr>
        <w:t>.</w:t>
      </w:r>
      <w:r w:rsidR="00D64EC5" w:rsidRPr="00D64EC5">
        <w:rPr>
          <w:rFonts w:ascii="Book Antiqua" w:hAnsi="Book Antiqua" w:cs="Times New Roman"/>
          <w:sz w:val="24"/>
          <w:szCs w:val="24"/>
          <w:lang w:val="en-GB"/>
        </w:rPr>
        <w:t xml:space="preserve"> </w:t>
      </w:r>
      <w:r w:rsidR="00D64EC5" w:rsidRPr="00010AC2">
        <w:rPr>
          <w:rFonts w:ascii="Book Antiqua" w:hAnsi="Book Antiqua" w:cs="Times New Roman"/>
          <w:sz w:val="24"/>
          <w:szCs w:val="24"/>
          <w:lang w:val="en-GB"/>
        </w:rPr>
        <w:t>NT-</w:t>
      </w:r>
      <w:proofErr w:type="spellStart"/>
      <w:r w:rsidR="00D64EC5" w:rsidRPr="00010AC2">
        <w:rPr>
          <w:rFonts w:ascii="Book Antiqua" w:hAnsi="Book Antiqua" w:cs="Times New Roman"/>
          <w:sz w:val="24"/>
          <w:szCs w:val="24"/>
          <w:lang w:val="en-GB"/>
        </w:rPr>
        <w:t>proBNP</w:t>
      </w:r>
      <w:proofErr w:type="spellEnd"/>
      <w:r w:rsidR="00D64EC5" w:rsidRPr="00010AC2">
        <w:rPr>
          <w:rFonts w:ascii="Book Antiqua" w:hAnsi="Book Antiqua" w:cs="Times New Roman" w:hint="eastAsia"/>
          <w:sz w:val="24"/>
          <w:szCs w:val="24"/>
          <w:lang w:val="en-GB" w:eastAsia="zh-CN"/>
        </w:rPr>
        <w:t>:</w:t>
      </w:r>
      <w:r w:rsidR="00D64EC5" w:rsidRPr="00010AC2">
        <w:rPr>
          <w:rFonts w:ascii="Book Antiqua" w:hAnsi="Book Antiqua" w:cs="Times New Roman"/>
          <w:sz w:val="24"/>
          <w:szCs w:val="24"/>
          <w:lang w:val="en-GB"/>
        </w:rPr>
        <w:t xml:space="preserve"> N-terminal pro B</w:t>
      </w:r>
      <w:r w:rsidR="00D64EC5">
        <w:rPr>
          <w:rFonts w:ascii="Book Antiqua" w:hAnsi="Book Antiqua" w:cs="Times New Roman"/>
          <w:sz w:val="24"/>
          <w:szCs w:val="24"/>
          <w:lang w:val="en-GB"/>
        </w:rPr>
        <w:t>-type natriuretic peptide</w:t>
      </w:r>
      <w:r w:rsidR="00D64EC5">
        <w:rPr>
          <w:rFonts w:ascii="Book Antiqua" w:hAnsi="Book Antiqua" w:cs="Times New Roman" w:hint="eastAsia"/>
          <w:sz w:val="24"/>
          <w:szCs w:val="24"/>
          <w:lang w:val="en-GB" w:eastAsia="zh-CN"/>
        </w:rPr>
        <w:t>.</w:t>
      </w:r>
    </w:p>
    <w:p w14:paraId="44BEEBF1" w14:textId="77777777" w:rsidR="009B474C" w:rsidRPr="00D53B15" w:rsidRDefault="009B474C" w:rsidP="009B474C">
      <w:pPr>
        <w:spacing w:after="0" w:line="360" w:lineRule="auto"/>
        <w:jc w:val="both"/>
        <w:rPr>
          <w:rFonts w:ascii="Book Antiqua" w:hAnsi="Book Antiqua" w:cs="Times New Roman"/>
          <w:sz w:val="24"/>
          <w:szCs w:val="24"/>
          <w:lang w:eastAsia="zh-CN"/>
        </w:rPr>
      </w:pPr>
    </w:p>
    <w:p w14:paraId="193C0B16" w14:textId="774356A1" w:rsidR="00C004FA" w:rsidRDefault="00C004FA">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6B89018C" w14:textId="77777777" w:rsidR="00C004FA" w:rsidRPr="00772D93" w:rsidRDefault="00C004FA" w:rsidP="00C004FA">
      <w:pPr>
        <w:spacing w:after="0" w:line="360" w:lineRule="auto"/>
        <w:jc w:val="both"/>
        <w:rPr>
          <w:rFonts w:ascii="Book Antiqua" w:hAnsi="Book Antiqua" w:cs="Times New Roman"/>
          <w:sz w:val="24"/>
          <w:szCs w:val="24"/>
        </w:rPr>
      </w:pPr>
      <w:r w:rsidRPr="00772D93">
        <w:rPr>
          <w:rFonts w:ascii="Book Antiqua" w:hAnsi="Book Antiqua" w:cs="Times New Roman"/>
          <w:noProof/>
          <w:sz w:val="24"/>
          <w:szCs w:val="24"/>
          <w:lang w:eastAsia="zh-CN"/>
        </w:rPr>
        <w:lastRenderedPageBreak/>
        <w:drawing>
          <wp:inline distT="0" distB="0" distL="0" distR="0" wp14:anchorId="020D4915" wp14:editId="52B9496C">
            <wp:extent cx="5943600" cy="3827066"/>
            <wp:effectExtent l="0" t="0" r="0" b="2540"/>
            <wp:docPr id="13" name="Picture 13" descr="C:\Users\el3019sa\Desktop\02.15 Dokument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3019sa\Desktop\02.15 Dokumentai\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27066"/>
                    </a:xfrm>
                    <a:prstGeom prst="rect">
                      <a:avLst/>
                    </a:prstGeom>
                    <a:noFill/>
                    <a:ln>
                      <a:noFill/>
                    </a:ln>
                  </pic:spPr>
                </pic:pic>
              </a:graphicData>
            </a:graphic>
          </wp:inline>
        </w:drawing>
      </w:r>
    </w:p>
    <w:p w14:paraId="4BB4D3F1" w14:textId="7333AE6C" w:rsidR="00C004FA" w:rsidRDefault="00C004FA" w:rsidP="00C004FA">
      <w:pPr>
        <w:spacing w:after="0" w:line="360" w:lineRule="auto"/>
        <w:jc w:val="both"/>
        <w:rPr>
          <w:rFonts w:ascii="Book Antiqua" w:hAnsi="Book Antiqua" w:cs="Times New Roman"/>
          <w:sz w:val="24"/>
          <w:szCs w:val="24"/>
          <w:lang w:val="en-GB" w:eastAsia="zh-CN"/>
        </w:rPr>
      </w:pPr>
      <w:r w:rsidRPr="00C004FA">
        <w:rPr>
          <w:rFonts w:ascii="Book Antiqua" w:hAnsi="Book Antiqua" w:cs="Times New Roman"/>
          <w:b/>
          <w:sz w:val="24"/>
          <w:szCs w:val="24"/>
        </w:rPr>
        <w:t>Figure 4</w:t>
      </w:r>
      <w:r w:rsidRPr="00C004FA" w:rsidDel="002F0E45">
        <w:rPr>
          <w:rFonts w:ascii="Book Antiqua" w:hAnsi="Book Antiqua" w:cs="Times New Roman"/>
          <w:b/>
          <w:noProof/>
          <w:sz w:val="24"/>
          <w:szCs w:val="24"/>
        </w:rPr>
        <w:t xml:space="preserve"> </w:t>
      </w:r>
      <w:r w:rsidRPr="00C004FA">
        <w:rPr>
          <w:rFonts w:ascii="Book Antiqua" w:hAnsi="Book Antiqua" w:cs="Times New Roman"/>
          <w:b/>
          <w:sz w:val="24"/>
          <w:szCs w:val="24"/>
        </w:rPr>
        <w:t>The dynamics of lung congestion, weight and diuretic dose for Patient 3 (in this figure, the legend is different than the others (LI).</w:t>
      </w:r>
      <w:r w:rsidRPr="00C004FA">
        <w:rPr>
          <w:rFonts w:ascii="Book Antiqua" w:hAnsi="Book Antiqua" w:cs="Times New Roman"/>
          <w:sz w:val="24"/>
          <w:szCs w:val="24"/>
          <w:lang w:val="en-GB"/>
        </w:rPr>
        <w:t xml:space="preserve"> </w:t>
      </w:r>
      <w:r w:rsidRPr="00010AC2">
        <w:rPr>
          <w:rFonts w:ascii="Book Antiqua" w:hAnsi="Book Antiqua" w:cs="Times New Roman"/>
          <w:sz w:val="24"/>
          <w:szCs w:val="24"/>
          <w:lang w:val="en-GB"/>
        </w:rPr>
        <w:t>NT-</w:t>
      </w:r>
      <w:proofErr w:type="spellStart"/>
      <w:r w:rsidRPr="00010AC2">
        <w:rPr>
          <w:rFonts w:ascii="Book Antiqua" w:hAnsi="Book Antiqua" w:cs="Times New Roman"/>
          <w:sz w:val="24"/>
          <w:szCs w:val="24"/>
          <w:lang w:val="en-GB"/>
        </w:rPr>
        <w:t>proBNP</w:t>
      </w:r>
      <w:proofErr w:type="spellEnd"/>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N-terminal pro B</w:t>
      </w:r>
      <w:r>
        <w:rPr>
          <w:rFonts w:ascii="Book Antiqua" w:hAnsi="Book Antiqua" w:cs="Times New Roman"/>
          <w:sz w:val="24"/>
          <w:szCs w:val="24"/>
          <w:lang w:val="en-GB"/>
        </w:rPr>
        <w:t xml:space="preserve">-type natriuretic peptide; </w:t>
      </w:r>
      <w:r w:rsidRPr="00010AC2">
        <w:rPr>
          <w:rFonts w:ascii="Book Antiqua" w:hAnsi="Book Antiqua" w:cs="Times New Roman"/>
          <w:sz w:val="24"/>
          <w:szCs w:val="24"/>
          <w:lang w:val="en-GB"/>
        </w:rPr>
        <w:t>GFR</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Glomerular filtration rate</w:t>
      </w:r>
      <w:r>
        <w:rPr>
          <w:rFonts w:ascii="Book Antiqua" w:hAnsi="Book Antiqua" w:cs="Times New Roman" w:hint="eastAsia"/>
          <w:sz w:val="24"/>
          <w:szCs w:val="24"/>
          <w:lang w:val="en-GB" w:eastAsia="zh-CN"/>
        </w:rPr>
        <w:t>.</w:t>
      </w:r>
    </w:p>
    <w:p w14:paraId="7D144C40" w14:textId="0EBE2A77" w:rsidR="00C004FA" w:rsidRPr="00C004FA" w:rsidRDefault="00C004FA" w:rsidP="00C004FA">
      <w:pPr>
        <w:spacing w:after="0" w:line="360" w:lineRule="auto"/>
        <w:jc w:val="both"/>
        <w:rPr>
          <w:rFonts w:ascii="Book Antiqua" w:hAnsi="Book Antiqua" w:cs="Times New Roman"/>
          <w:b/>
          <w:sz w:val="24"/>
          <w:szCs w:val="24"/>
          <w:lang w:val="en-GB"/>
        </w:rPr>
      </w:pPr>
    </w:p>
    <w:p w14:paraId="6D5F4596" w14:textId="77777777" w:rsidR="00F903B4" w:rsidRPr="00C004FA" w:rsidRDefault="00F903B4" w:rsidP="00F903B4">
      <w:pPr>
        <w:spacing w:after="0" w:line="360" w:lineRule="auto"/>
        <w:jc w:val="both"/>
        <w:rPr>
          <w:rFonts w:ascii="Book Antiqua" w:hAnsi="Book Antiqua" w:cs="Times New Roman"/>
          <w:b/>
          <w:sz w:val="24"/>
          <w:szCs w:val="24"/>
          <w:lang w:eastAsia="zh-CN"/>
        </w:rPr>
      </w:pPr>
    </w:p>
    <w:p w14:paraId="1DFFEFC9" w14:textId="2FD759AE" w:rsidR="00010AC2" w:rsidRDefault="00010AC2">
      <w:pPr>
        <w:rPr>
          <w:rFonts w:ascii="Book Antiqua" w:hAnsi="Book Antiqua" w:cs="Times New Roman"/>
          <w:sz w:val="24"/>
          <w:szCs w:val="24"/>
        </w:rPr>
      </w:pPr>
      <w:r>
        <w:rPr>
          <w:rFonts w:ascii="Book Antiqua" w:hAnsi="Book Antiqua" w:cs="Times New Roman"/>
          <w:sz w:val="24"/>
          <w:szCs w:val="24"/>
        </w:rPr>
        <w:br w:type="page"/>
      </w:r>
    </w:p>
    <w:p w14:paraId="2F6DA077" w14:textId="77777777" w:rsidR="00010AC2" w:rsidRPr="00F17A7C" w:rsidRDefault="00010AC2" w:rsidP="00010AC2">
      <w:pPr>
        <w:spacing w:after="0" w:line="360" w:lineRule="auto"/>
        <w:jc w:val="both"/>
        <w:rPr>
          <w:rFonts w:ascii="Book Antiqua" w:hAnsi="Book Antiqua" w:cs="Times New Roman"/>
          <w:b/>
          <w:sz w:val="24"/>
          <w:szCs w:val="24"/>
        </w:rPr>
      </w:pPr>
      <w:r w:rsidRPr="00F17A7C">
        <w:rPr>
          <w:rFonts w:ascii="Book Antiqua" w:hAnsi="Book Antiqua" w:cs="Times New Roman"/>
          <w:b/>
          <w:sz w:val="24"/>
          <w:szCs w:val="24"/>
        </w:rPr>
        <w:lastRenderedPageBreak/>
        <w:t>Table 1 Patients’ demographics, medical history and length of hospital stay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687"/>
        <w:gridCol w:w="2214"/>
        <w:gridCol w:w="2214"/>
      </w:tblGrid>
      <w:tr w:rsidR="00010AC2" w:rsidRPr="00772D93" w14:paraId="10C1545D" w14:textId="77777777" w:rsidTr="00636E17">
        <w:trPr>
          <w:trHeight w:val="557"/>
        </w:trPr>
        <w:tc>
          <w:tcPr>
            <w:tcW w:w="3235" w:type="dxa"/>
            <w:tcBorders>
              <w:top w:val="single" w:sz="4" w:space="0" w:color="auto"/>
              <w:bottom w:val="single" w:sz="4" w:space="0" w:color="auto"/>
            </w:tcBorders>
          </w:tcPr>
          <w:p w14:paraId="1BB1BCCA" w14:textId="77777777" w:rsidR="00010AC2" w:rsidRPr="00772D93" w:rsidRDefault="00010AC2" w:rsidP="00636E17">
            <w:pPr>
              <w:spacing w:line="360" w:lineRule="auto"/>
              <w:jc w:val="both"/>
              <w:rPr>
                <w:rFonts w:ascii="Book Antiqua" w:hAnsi="Book Antiqua" w:cs="Times New Roman"/>
                <w:sz w:val="24"/>
                <w:szCs w:val="24"/>
              </w:rPr>
            </w:pPr>
          </w:p>
        </w:tc>
        <w:tc>
          <w:tcPr>
            <w:tcW w:w="1687" w:type="dxa"/>
            <w:tcBorders>
              <w:top w:val="single" w:sz="4" w:space="0" w:color="auto"/>
              <w:bottom w:val="single" w:sz="4" w:space="0" w:color="auto"/>
            </w:tcBorders>
          </w:tcPr>
          <w:p w14:paraId="0CA456C5" w14:textId="77777777" w:rsidR="00010AC2" w:rsidRPr="00F17A7C" w:rsidRDefault="00010AC2" w:rsidP="00636E17">
            <w:pPr>
              <w:spacing w:line="360" w:lineRule="auto"/>
              <w:jc w:val="both"/>
              <w:rPr>
                <w:rFonts w:ascii="Book Antiqua" w:hAnsi="Book Antiqua" w:cs="Times New Roman"/>
                <w:b/>
                <w:sz w:val="24"/>
                <w:szCs w:val="24"/>
              </w:rPr>
            </w:pPr>
            <w:r w:rsidRPr="00F17A7C">
              <w:rPr>
                <w:rFonts w:ascii="Book Antiqua" w:hAnsi="Book Antiqua" w:cs="Times New Roman"/>
                <w:b/>
                <w:sz w:val="24"/>
                <w:szCs w:val="24"/>
              </w:rPr>
              <w:t>Patient 1</w:t>
            </w:r>
          </w:p>
        </w:tc>
        <w:tc>
          <w:tcPr>
            <w:tcW w:w="2214" w:type="dxa"/>
            <w:tcBorders>
              <w:top w:val="single" w:sz="4" w:space="0" w:color="auto"/>
              <w:bottom w:val="single" w:sz="4" w:space="0" w:color="auto"/>
            </w:tcBorders>
          </w:tcPr>
          <w:p w14:paraId="17A17EB0" w14:textId="77777777" w:rsidR="00010AC2" w:rsidRPr="00F17A7C" w:rsidRDefault="00010AC2" w:rsidP="00636E17">
            <w:pPr>
              <w:spacing w:line="360" w:lineRule="auto"/>
              <w:jc w:val="both"/>
              <w:rPr>
                <w:rFonts w:ascii="Book Antiqua" w:hAnsi="Book Antiqua" w:cs="Times New Roman"/>
                <w:b/>
                <w:sz w:val="24"/>
                <w:szCs w:val="24"/>
              </w:rPr>
            </w:pPr>
            <w:r w:rsidRPr="00F17A7C">
              <w:rPr>
                <w:rFonts w:ascii="Book Antiqua" w:hAnsi="Book Antiqua" w:cs="Times New Roman"/>
                <w:b/>
                <w:sz w:val="24"/>
                <w:szCs w:val="24"/>
              </w:rPr>
              <w:t>Patient 2</w:t>
            </w:r>
          </w:p>
        </w:tc>
        <w:tc>
          <w:tcPr>
            <w:tcW w:w="2214" w:type="dxa"/>
            <w:tcBorders>
              <w:top w:val="single" w:sz="4" w:space="0" w:color="auto"/>
              <w:bottom w:val="single" w:sz="4" w:space="0" w:color="auto"/>
            </w:tcBorders>
          </w:tcPr>
          <w:p w14:paraId="2985E57A" w14:textId="77777777" w:rsidR="00010AC2" w:rsidRPr="00F17A7C" w:rsidRDefault="00010AC2" w:rsidP="00636E17">
            <w:pPr>
              <w:spacing w:line="360" w:lineRule="auto"/>
              <w:jc w:val="both"/>
              <w:rPr>
                <w:rFonts w:ascii="Book Antiqua" w:hAnsi="Book Antiqua" w:cs="Times New Roman"/>
                <w:b/>
                <w:sz w:val="24"/>
                <w:szCs w:val="24"/>
              </w:rPr>
            </w:pPr>
            <w:r w:rsidRPr="00F17A7C">
              <w:rPr>
                <w:rFonts w:ascii="Book Antiqua" w:hAnsi="Book Antiqua" w:cs="Times New Roman"/>
                <w:b/>
                <w:sz w:val="24"/>
                <w:szCs w:val="24"/>
              </w:rPr>
              <w:t>Patient 3</w:t>
            </w:r>
          </w:p>
        </w:tc>
      </w:tr>
      <w:tr w:rsidR="00010AC2" w:rsidRPr="00772D93" w14:paraId="4EAA3C77" w14:textId="77777777" w:rsidTr="00636E17">
        <w:tc>
          <w:tcPr>
            <w:tcW w:w="3235" w:type="dxa"/>
            <w:tcBorders>
              <w:top w:val="single" w:sz="4" w:space="0" w:color="auto"/>
            </w:tcBorders>
          </w:tcPr>
          <w:p w14:paraId="63CE1B7F"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Age</w:t>
            </w:r>
          </w:p>
        </w:tc>
        <w:tc>
          <w:tcPr>
            <w:tcW w:w="1687" w:type="dxa"/>
            <w:tcBorders>
              <w:top w:val="single" w:sz="4" w:space="0" w:color="auto"/>
            </w:tcBorders>
          </w:tcPr>
          <w:p w14:paraId="7501BB5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66</w:t>
            </w:r>
          </w:p>
        </w:tc>
        <w:tc>
          <w:tcPr>
            <w:tcW w:w="2214" w:type="dxa"/>
            <w:tcBorders>
              <w:top w:val="single" w:sz="4" w:space="0" w:color="auto"/>
            </w:tcBorders>
          </w:tcPr>
          <w:p w14:paraId="5E7BE6A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62</w:t>
            </w:r>
          </w:p>
        </w:tc>
        <w:tc>
          <w:tcPr>
            <w:tcW w:w="2214" w:type="dxa"/>
            <w:tcBorders>
              <w:top w:val="single" w:sz="4" w:space="0" w:color="auto"/>
            </w:tcBorders>
          </w:tcPr>
          <w:p w14:paraId="524C281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83</w:t>
            </w:r>
          </w:p>
        </w:tc>
      </w:tr>
      <w:tr w:rsidR="00010AC2" w:rsidRPr="00772D93" w14:paraId="606BE1E6" w14:textId="77777777" w:rsidTr="00636E17">
        <w:tc>
          <w:tcPr>
            <w:tcW w:w="3235" w:type="dxa"/>
          </w:tcPr>
          <w:p w14:paraId="73DE79B8"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Gender</w:t>
            </w:r>
          </w:p>
        </w:tc>
        <w:tc>
          <w:tcPr>
            <w:tcW w:w="1687" w:type="dxa"/>
          </w:tcPr>
          <w:p w14:paraId="38F0758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Male</w:t>
            </w:r>
          </w:p>
        </w:tc>
        <w:tc>
          <w:tcPr>
            <w:tcW w:w="2214" w:type="dxa"/>
          </w:tcPr>
          <w:p w14:paraId="7BDA05F9"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Male</w:t>
            </w:r>
          </w:p>
        </w:tc>
        <w:tc>
          <w:tcPr>
            <w:tcW w:w="2214" w:type="dxa"/>
          </w:tcPr>
          <w:p w14:paraId="76240F4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Female</w:t>
            </w:r>
          </w:p>
        </w:tc>
      </w:tr>
      <w:tr w:rsidR="00010AC2" w:rsidRPr="00772D93" w14:paraId="06121918" w14:textId="77777777" w:rsidTr="00636E17">
        <w:tc>
          <w:tcPr>
            <w:tcW w:w="3235" w:type="dxa"/>
          </w:tcPr>
          <w:p w14:paraId="25C6282C" w14:textId="77777777" w:rsidR="00010AC2" w:rsidRPr="00772D93" w:rsidRDefault="00010AC2" w:rsidP="00636E17">
            <w:pPr>
              <w:spacing w:line="360" w:lineRule="auto"/>
              <w:jc w:val="both"/>
              <w:rPr>
                <w:rFonts w:ascii="Book Antiqua" w:hAnsi="Book Antiqua" w:cs="Times New Roman"/>
                <w:b/>
                <w:sz w:val="24"/>
                <w:szCs w:val="24"/>
                <w:lang w:eastAsia="zh-CN"/>
              </w:rPr>
            </w:pPr>
            <w:r w:rsidRPr="00772D93">
              <w:rPr>
                <w:rFonts w:ascii="Book Antiqua" w:hAnsi="Book Antiqua" w:cs="Times New Roman"/>
                <w:b/>
                <w:sz w:val="24"/>
                <w:szCs w:val="24"/>
              </w:rPr>
              <w:t>Medical h</w:t>
            </w:r>
            <w:r>
              <w:rPr>
                <w:rFonts w:ascii="Book Antiqua" w:hAnsi="Book Antiqua" w:cs="Times New Roman"/>
                <w:b/>
                <w:sz w:val="24"/>
                <w:szCs w:val="24"/>
              </w:rPr>
              <w:t>istory</w:t>
            </w:r>
          </w:p>
        </w:tc>
        <w:tc>
          <w:tcPr>
            <w:tcW w:w="1687" w:type="dxa"/>
          </w:tcPr>
          <w:p w14:paraId="3DFFDDE0" w14:textId="77777777" w:rsidR="00010AC2" w:rsidRPr="00772D93" w:rsidRDefault="00010AC2" w:rsidP="00636E17">
            <w:pPr>
              <w:spacing w:line="360" w:lineRule="auto"/>
              <w:jc w:val="both"/>
              <w:rPr>
                <w:rFonts w:ascii="Book Antiqua" w:hAnsi="Book Antiqua" w:cs="Times New Roman"/>
                <w:sz w:val="24"/>
                <w:szCs w:val="24"/>
              </w:rPr>
            </w:pPr>
          </w:p>
        </w:tc>
        <w:tc>
          <w:tcPr>
            <w:tcW w:w="2214" w:type="dxa"/>
          </w:tcPr>
          <w:p w14:paraId="1BEFB591" w14:textId="77777777" w:rsidR="00010AC2" w:rsidRPr="00772D93" w:rsidRDefault="00010AC2" w:rsidP="00636E17">
            <w:pPr>
              <w:spacing w:line="360" w:lineRule="auto"/>
              <w:jc w:val="both"/>
              <w:rPr>
                <w:rFonts w:ascii="Book Antiqua" w:hAnsi="Book Antiqua" w:cs="Times New Roman"/>
                <w:sz w:val="24"/>
                <w:szCs w:val="24"/>
              </w:rPr>
            </w:pPr>
          </w:p>
        </w:tc>
        <w:tc>
          <w:tcPr>
            <w:tcW w:w="2214" w:type="dxa"/>
          </w:tcPr>
          <w:p w14:paraId="56153153" w14:textId="77777777" w:rsidR="00010AC2" w:rsidRPr="00772D93" w:rsidRDefault="00010AC2" w:rsidP="00636E17">
            <w:pPr>
              <w:spacing w:line="360" w:lineRule="auto"/>
              <w:jc w:val="both"/>
              <w:rPr>
                <w:rFonts w:ascii="Book Antiqua" w:hAnsi="Book Antiqua" w:cs="Times New Roman"/>
                <w:sz w:val="24"/>
                <w:szCs w:val="24"/>
              </w:rPr>
            </w:pPr>
          </w:p>
        </w:tc>
      </w:tr>
      <w:tr w:rsidR="00010AC2" w:rsidRPr="00772D93" w14:paraId="3D17816D" w14:textId="77777777" w:rsidTr="00636E17">
        <w:tc>
          <w:tcPr>
            <w:tcW w:w="3235" w:type="dxa"/>
          </w:tcPr>
          <w:p w14:paraId="7F595C52" w14:textId="77777777" w:rsidR="00010AC2" w:rsidRPr="003631DC" w:rsidRDefault="00010AC2" w:rsidP="00636E17">
            <w:pPr>
              <w:pStyle w:val="ListParagraph"/>
              <w:spacing w:line="360" w:lineRule="auto"/>
              <w:ind w:left="0" w:firstLineChars="50" w:firstLine="120"/>
              <w:jc w:val="both"/>
              <w:rPr>
                <w:rFonts w:ascii="Book Antiqua" w:hAnsi="Book Antiqua" w:cs="Times New Roman"/>
                <w:sz w:val="24"/>
                <w:szCs w:val="24"/>
              </w:rPr>
            </w:pPr>
            <w:r w:rsidRPr="003631DC">
              <w:rPr>
                <w:rFonts w:ascii="Book Antiqua" w:hAnsi="Book Antiqua" w:cs="Times New Roman"/>
                <w:sz w:val="24"/>
                <w:szCs w:val="24"/>
              </w:rPr>
              <w:t>Arterial hypertension</w:t>
            </w:r>
          </w:p>
        </w:tc>
        <w:tc>
          <w:tcPr>
            <w:tcW w:w="1687" w:type="dxa"/>
          </w:tcPr>
          <w:p w14:paraId="2237B53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4E30E45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44B3B44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r>
      <w:tr w:rsidR="00010AC2" w:rsidRPr="00772D93" w14:paraId="535F3C1C" w14:textId="77777777" w:rsidTr="00636E17">
        <w:tc>
          <w:tcPr>
            <w:tcW w:w="3235" w:type="dxa"/>
          </w:tcPr>
          <w:p w14:paraId="49CCFB94" w14:textId="77777777" w:rsidR="00010AC2" w:rsidRPr="003631DC" w:rsidRDefault="00010AC2" w:rsidP="00636E17">
            <w:pPr>
              <w:pStyle w:val="ListParagraph"/>
              <w:spacing w:line="360" w:lineRule="auto"/>
              <w:ind w:left="0" w:firstLineChars="50" w:firstLine="120"/>
              <w:jc w:val="both"/>
              <w:rPr>
                <w:rFonts w:ascii="Book Antiqua" w:hAnsi="Book Antiqua" w:cs="Times New Roman"/>
                <w:sz w:val="24"/>
                <w:szCs w:val="24"/>
              </w:rPr>
            </w:pPr>
            <w:r w:rsidRPr="003631DC">
              <w:rPr>
                <w:rFonts w:ascii="Book Antiqua" w:hAnsi="Book Antiqua" w:cs="Times New Roman"/>
                <w:sz w:val="24"/>
                <w:szCs w:val="24"/>
              </w:rPr>
              <w:t>Kidney disease</w:t>
            </w:r>
          </w:p>
        </w:tc>
        <w:tc>
          <w:tcPr>
            <w:tcW w:w="1687" w:type="dxa"/>
          </w:tcPr>
          <w:p w14:paraId="57DC337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35AEEF6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13237C2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r>
      <w:tr w:rsidR="00010AC2" w:rsidRPr="00772D93" w14:paraId="3F413065" w14:textId="77777777" w:rsidTr="00636E17">
        <w:tc>
          <w:tcPr>
            <w:tcW w:w="3235" w:type="dxa"/>
          </w:tcPr>
          <w:p w14:paraId="0791EABF" w14:textId="77777777" w:rsidR="00010AC2" w:rsidRPr="003631DC" w:rsidRDefault="00010AC2" w:rsidP="00636E17">
            <w:pPr>
              <w:pStyle w:val="ListParagraph"/>
              <w:spacing w:line="360" w:lineRule="auto"/>
              <w:ind w:left="0" w:firstLineChars="50" w:firstLine="120"/>
              <w:jc w:val="both"/>
              <w:rPr>
                <w:rFonts w:ascii="Book Antiqua" w:hAnsi="Book Antiqua" w:cs="Times New Roman"/>
                <w:sz w:val="24"/>
                <w:szCs w:val="24"/>
              </w:rPr>
            </w:pPr>
            <w:r w:rsidRPr="003631DC">
              <w:rPr>
                <w:rFonts w:ascii="Book Antiqua" w:hAnsi="Book Antiqua" w:cs="Times New Roman"/>
                <w:sz w:val="24"/>
                <w:szCs w:val="24"/>
              </w:rPr>
              <w:t>Myocardial infarction</w:t>
            </w:r>
          </w:p>
        </w:tc>
        <w:tc>
          <w:tcPr>
            <w:tcW w:w="1687" w:type="dxa"/>
          </w:tcPr>
          <w:p w14:paraId="03E75C6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5DD1C6E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53C81E59"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r>
      <w:tr w:rsidR="00010AC2" w:rsidRPr="00772D93" w14:paraId="729D44FE" w14:textId="77777777" w:rsidTr="00636E17">
        <w:tc>
          <w:tcPr>
            <w:tcW w:w="3235" w:type="dxa"/>
          </w:tcPr>
          <w:p w14:paraId="42EA7A64" w14:textId="77777777" w:rsidR="00010AC2" w:rsidRPr="003631DC" w:rsidRDefault="00010AC2" w:rsidP="00636E17">
            <w:pPr>
              <w:spacing w:line="360" w:lineRule="auto"/>
              <w:jc w:val="both"/>
              <w:rPr>
                <w:rFonts w:ascii="Book Antiqua" w:hAnsi="Book Antiqua" w:cs="Times New Roman"/>
                <w:sz w:val="24"/>
                <w:szCs w:val="24"/>
              </w:rPr>
            </w:pPr>
            <w:r w:rsidRPr="003631DC">
              <w:rPr>
                <w:rFonts w:ascii="Book Antiqua" w:hAnsi="Book Antiqua" w:cs="Times New Roman"/>
                <w:sz w:val="24"/>
                <w:szCs w:val="24"/>
              </w:rPr>
              <w:t xml:space="preserve">  Revascularization</w:t>
            </w:r>
          </w:p>
        </w:tc>
        <w:tc>
          <w:tcPr>
            <w:tcW w:w="1687" w:type="dxa"/>
          </w:tcPr>
          <w:p w14:paraId="3866372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445EB16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7FC98FC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r>
      <w:tr w:rsidR="00010AC2" w:rsidRPr="00772D93" w14:paraId="5001274F" w14:textId="77777777" w:rsidTr="00636E17">
        <w:tc>
          <w:tcPr>
            <w:tcW w:w="3235" w:type="dxa"/>
          </w:tcPr>
          <w:p w14:paraId="166CA89B"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Atrial fibrillation</w:t>
            </w:r>
          </w:p>
        </w:tc>
        <w:tc>
          <w:tcPr>
            <w:tcW w:w="1687" w:type="dxa"/>
          </w:tcPr>
          <w:p w14:paraId="618CFE2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78FFE33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c>
          <w:tcPr>
            <w:tcW w:w="2214" w:type="dxa"/>
          </w:tcPr>
          <w:p w14:paraId="0BBC407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r>
      <w:tr w:rsidR="00010AC2" w:rsidRPr="00772D93" w14:paraId="71FEBC2B" w14:textId="77777777" w:rsidTr="00636E17">
        <w:tc>
          <w:tcPr>
            <w:tcW w:w="3235" w:type="dxa"/>
          </w:tcPr>
          <w:p w14:paraId="574DEFFE"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Implanted devices</w:t>
            </w:r>
          </w:p>
        </w:tc>
        <w:tc>
          <w:tcPr>
            <w:tcW w:w="1687" w:type="dxa"/>
          </w:tcPr>
          <w:p w14:paraId="63FCCB7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Biventricular pacemaker</w:t>
            </w:r>
          </w:p>
        </w:tc>
        <w:tc>
          <w:tcPr>
            <w:tcW w:w="2214" w:type="dxa"/>
          </w:tcPr>
          <w:p w14:paraId="7417BA6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Biventricular defibrillator</w:t>
            </w:r>
          </w:p>
        </w:tc>
        <w:tc>
          <w:tcPr>
            <w:tcW w:w="2214" w:type="dxa"/>
          </w:tcPr>
          <w:p w14:paraId="4D55DCA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tc>
      </w:tr>
      <w:tr w:rsidR="00010AC2" w:rsidRPr="00772D93" w14:paraId="5FB5C7D3" w14:textId="77777777" w:rsidTr="00636E17">
        <w:tc>
          <w:tcPr>
            <w:tcW w:w="3235" w:type="dxa"/>
          </w:tcPr>
          <w:p w14:paraId="5485C517"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Length of stay</w:t>
            </w:r>
            <w:r w:rsidRPr="003631DC">
              <w:rPr>
                <w:rFonts w:ascii="Book Antiqua" w:hAnsi="Book Antiqua" w:cs="Times New Roman"/>
                <w:b/>
                <w:sz w:val="24"/>
                <w:szCs w:val="24"/>
              </w:rPr>
              <w:t xml:space="preserve"> </w:t>
            </w:r>
            <w:r w:rsidRPr="003631DC">
              <w:rPr>
                <w:rFonts w:ascii="Book Antiqua" w:hAnsi="Book Antiqua" w:cs="Times New Roman"/>
                <w:sz w:val="24"/>
                <w:szCs w:val="24"/>
              </w:rPr>
              <w:t>(d)</w:t>
            </w:r>
          </w:p>
        </w:tc>
        <w:tc>
          <w:tcPr>
            <w:tcW w:w="1687" w:type="dxa"/>
          </w:tcPr>
          <w:p w14:paraId="2AE6ECC8"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 xml:space="preserve">6 </w:t>
            </w:r>
          </w:p>
        </w:tc>
        <w:tc>
          <w:tcPr>
            <w:tcW w:w="2214" w:type="dxa"/>
          </w:tcPr>
          <w:p w14:paraId="78167DE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17</w:t>
            </w:r>
          </w:p>
        </w:tc>
        <w:tc>
          <w:tcPr>
            <w:tcW w:w="2214" w:type="dxa"/>
          </w:tcPr>
          <w:p w14:paraId="11EA2C6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15</w:t>
            </w:r>
          </w:p>
        </w:tc>
      </w:tr>
    </w:tbl>
    <w:p w14:paraId="5BBFDF23" w14:textId="77777777" w:rsidR="00010AC2" w:rsidRPr="00772D93" w:rsidRDefault="00010AC2" w:rsidP="00010AC2">
      <w:pPr>
        <w:spacing w:after="0" w:line="360" w:lineRule="auto"/>
        <w:jc w:val="both"/>
        <w:rPr>
          <w:rFonts w:ascii="Book Antiqua" w:hAnsi="Book Antiqua" w:cs="Times New Roman"/>
          <w:sz w:val="24"/>
          <w:szCs w:val="24"/>
        </w:rPr>
      </w:pPr>
    </w:p>
    <w:p w14:paraId="73982919" w14:textId="1DF72D3F" w:rsidR="00010AC2" w:rsidRDefault="00010AC2">
      <w:pPr>
        <w:rPr>
          <w:rFonts w:ascii="Book Antiqua" w:hAnsi="Book Antiqua" w:cs="Times New Roman"/>
          <w:sz w:val="24"/>
          <w:szCs w:val="24"/>
        </w:rPr>
      </w:pPr>
      <w:r>
        <w:rPr>
          <w:rFonts w:ascii="Book Antiqua" w:hAnsi="Book Antiqua" w:cs="Times New Roman"/>
          <w:sz w:val="24"/>
          <w:szCs w:val="24"/>
        </w:rPr>
        <w:br w:type="page"/>
      </w:r>
    </w:p>
    <w:p w14:paraId="5569A0AF" w14:textId="77777777" w:rsidR="00010AC2" w:rsidRPr="00010AC2" w:rsidRDefault="00010AC2" w:rsidP="00010AC2">
      <w:pPr>
        <w:spacing w:after="0" w:line="360" w:lineRule="auto"/>
        <w:jc w:val="both"/>
        <w:rPr>
          <w:rFonts w:ascii="Book Antiqua" w:hAnsi="Book Antiqua" w:cs="Times New Roman"/>
          <w:b/>
          <w:sz w:val="24"/>
          <w:szCs w:val="24"/>
        </w:rPr>
      </w:pPr>
      <w:r w:rsidRPr="00010AC2">
        <w:rPr>
          <w:rFonts w:ascii="Book Antiqua" w:hAnsi="Book Antiqua" w:cs="Times New Roman"/>
          <w:b/>
          <w:sz w:val="24"/>
          <w:szCs w:val="24"/>
          <w:lang w:val="en-GB"/>
        </w:rPr>
        <w:lastRenderedPageBreak/>
        <w:t xml:space="preserve">Table 2 The dynamics of laboratory tests, echocardiography parameters, </w:t>
      </w:r>
      <w:r w:rsidRPr="00010AC2">
        <w:rPr>
          <w:rFonts w:ascii="Book Antiqua" w:hAnsi="Book Antiqua" w:cs="Times New Roman"/>
          <w:b/>
          <w:sz w:val="24"/>
          <w:szCs w:val="24"/>
        </w:rPr>
        <w:t>lung impedance</w:t>
      </w:r>
      <w:r w:rsidRPr="00010AC2">
        <w:rPr>
          <w:rFonts w:ascii="Book Antiqua" w:hAnsi="Book Antiqua" w:cs="Times New Roman"/>
          <w:b/>
          <w:sz w:val="24"/>
          <w:szCs w:val="24"/>
          <w:lang w:val="en-GB"/>
        </w:rPr>
        <w:t>, weight and medications throughout 30 d</w:t>
      </w:r>
    </w:p>
    <w:tbl>
      <w:tblPr>
        <w:tblStyle w:val="TableGrid"/>
        <w:tblW w:w="102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1316"/>
        <w:gridCol w:w="990"/>
        <w:gridCol w:w="1260"/>
        <w:gridCol w:w="957"/>
        <w:gridCol w:w="1293"/>
        <w:gridCol w:w="975"/>
      </w:tblGrid>
      <w:tr w:rsidR="00010AC2" w:rsidRPr="00772D93" w14:paraId="56314837" w14:textId="77777777" w:rsidTr="00010AC2">
        <w:tc>
          <w:tcPr>
            <w:tcW w:w="3505" w:type="dxa"/>
            <w:vMerge w:val="restart"/>
            <w:tcBorders>
              <w:top w:val="single" w:sz="4" w:space="0" w:color="auto"/>
              <w:bottom w:val="nil"/>
            </w:tcBorders>
            <w:shd w:val="clear" w:color="auto" w:fill="auto"/>
          </w:tcPr>
          <w:p w14:paraId="50463E94"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Characteristics</w:t>
            </w:r>
          </w:p>
        </w:tc>
        <w:tc>
          <w:tcPr>
            <w:tcW w:w="2306" w:type="dxa"/>
            <w:gridSpan w:val="2"/>
            <w:tcBorders>
              <w:top w:val="single" w:sz="4" w:space="0" w:color="auto"/>
              <w:bottom w:val="single" w:sz="4" w:space="0" w:color="auto"/>
            </w:tcBorders>
            <w:shd w:val="clear" w:color="auto" w:fill="auto"/>
          </w:tcPr>
          <w:p w14:paraId="31DB87E9"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Patient 1</w:t>
            </w:r>
          </w:p>
        </w:tc>
        <w:tc>
          <w:tcPr>
            <w:tcW w:w="2217" w:type="dxa"/>
            <w:gridSpan w:val="2"/>
            <w:tcBorders>
              <w:top w:val="single" w:sz="4" w:space="0" w:color="auto"/>
              <w:bottom w:val="single" w:sz="4" w:space="0" w:color="auto"/>
            </w:tcBorders>
            <w:shd w:val="clear" w:color="auto" w:fill="auto"/>
          </w:tcPr>
          <w:p w14:paraId="4DF9CECF"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Patient 2</w:t>
            </w:r>
          </w:p>
        </w:tc>
        <w:tc>
          <w:tcPr>
            <w:tcW w:w="2268" w:type="dxa"/>
            <w:gridSpan w:val="2"/>
            <w:tcBorders>
              <w:top w:val="single" w:sz="4" w:space="0" w:color="auto"/>
              <w:bottom w:val="single" w:sz="4" w:space="0" w:color="auto"/>
            </w:tcBorders>
            <w:shd w:val="clear" w:color="auto" w:fill="auto"/>
          </w:tcPr>
          <w:p w14:paraId="037FBAE3"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Patient 3</w:t>
            </w:r>
          </w:p>
        </w:tc>
      </w:tr>
      <w:tr w:rsidR="00010AC2" w:rsidRPr="00772D93" w14:paraId="6CDDF7A3" w14:textId="77777777" w:rsidTr="00010AC2">
        <w:tc>
          <w:tcPr>
            <w:tcW w:w="3505" w:type="dxa"/>
            <w:vMerge/>
            <w:tcBorders>
              <w:top w:val="nil"/>
              <w:bottom w:val="single" w:sz="4" w:space="0" w:color="auto"/>
            </w:tcBorders>
            <w:shd w:val="clear" w:color="auto" w:fill="auto"/>
          </w:tcPr>
          <w:p w14:paraId="3BAC5733" w14:textId="77777777" w:rsidR="00010AC2" w:rsidRPr="00772D93" w:rsidRDefault="00010AC2" w:rsidP="00636E17">
            <w:pPr>
              <w:spacing w:line="360" w:lineRule="auto"/>
              <w:jc w:val="both"/>
              <w:rPr>
                <w:rFonts w:ascii="Book Antiqua" w:hAnsi="Book Antiqua" w:cs="Times New Roman"/>
                <w:b/>
                <w:sz w:val="24"/>
                <w:szCs w:val="24"/>
              </w:rPr>
            </w:pPr>
          </w:p>
        </w:tc>
        <w:tc>
          <w:tcPr>
            <w:tcW w:w="1316" w:type="dxa"/>
            <w:tcBorders>
              <w:top w:val="single" w:sz="4" w:space="0" w:color="auto"/>
              <w:bottom w:val="single" w:sz="4" w:space="0" w:color="auto"/>
            </w:tcBorders>
            <w:shd w:val="clear" w:color="auto" w:fill="auto"/>
          </w:tcPr>
          <w:p w14:paraId="5D9A049C"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Discharge</w:t>
            </w:r>
          </w:p>
        </w:tc>
        <w:tc>
          <w:tcPr>
            <w:tcW w:w="990" w:type="dxa"/>
            <w:tcBorders>
              <w:top w:val="single" w:sz="4" w:space="0" w:color="auto"/>
              <w:bottom w:val="single" w:sz="4" w:space="0" w:color="auto"/>
            </w:tcBorders>
            <w:shd w:val="clear" w:color="auto" w:fill="auto"/>
          </w:tcPr>
          <w:p w14:paraId="78AFC0A4"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 xml:space="preserve">After 30 d </w:t>
            </w:r>
          </w:p>
        </w:tc>
        <w:tc>
          <w:tcPr>
            <w:tcW w:w="1260" w:type="dxa"/>
            <w:tcBorders>
              <w:top w:val="single" w:sz="4" w:space="0" w:color="auto"/>
              <w:bottom w:val="single" w:sz="4" w:space="0" w:color="auto"/>
            </w:tcBorders>
            <w:shd w:val="clear" w:color="auto" w:fill="auto"/>
          </w:tcPr>
          <w:p w14:paraId="097E49F8"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Discharge</w:t>
            </w:r>
          </w:p>
        </w:tc>
        <w:tc>
          <w:tcPr>
            <w:tcW w:w="957" w:type="dxa"/>
            <w:tcBorders>
              <w:top w:val="single" w:sz="4" w:space="0" w:color="auto"/>
              <w:bottom w:val="single" w:sz="4" w:space="0" w:color="auto"/>
            </w:tcBorders>
            <w:shd w:val="clear" w:color="auto" w:fill="auto"/>
          </w:tcPr>
          <w:p w14:paraId="4CE86245"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 xml:space="preserve">After 30 d </w:t>
            </w:r>
          </w:p>
        </w:tc>
        <w:tc>
          <w:tcPr>
            <w:tcW w:w="1293" w:type="dxa"/>
            <w:tcBorders>
              <w:top w:val="single" w:sz="4" w:space="0" w:color="auto"/>
              <w:bottom w:val="single" w:sz="4" w:space="0" w:color="auto"/>
            </w:tcBorders>
            <w:shd w:val="clear" w:color="auto" w:fill="auto"/>
          </w:tcPr>
          <w:p w14:paraId="0A0ECD3B"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Discharge</w:t>
            </w:r>
          </w:p>
        </w:tc>
        <w:tc>
          <w:tcPr>
            <w:tcW w:w="975" w:type="dxa"/>
            <w:tcBorders>
              <w:top w:val="single" w:sz="4" w:space="0" w:color="auto"/>
              <w:bottom w:val="single" w:sz="4" w:space="0" w:color="auto"/>
            </w:tcBorders>
            <w:shd w:val="clear" w:color="auto" w:fill="auto"/>
          </w:tcPr>
          <w:p w14:paraId="74E413F1"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After 30 d</w:t>
            </w:r>
          </w:p>
        </w:tc>
      </w:tr>
      <w:tr w:rsidR="00010AC2" w:rsidRPr="00772D93" w14:paraId="1C3C3238" w14:textId="77777777" w:rsidTr="00010AC2">
        <w:trPr>
          <w:trHeight w:val="1340"/>
        </w:trPr>
        <w:tc>
          <w:tcPr>
            <w:tcW w:w="3505" w:type="dxa"/>
            <w:tcBorders>
              <w:top w:val="single" w:sz="4" w:space="0" w:color="auto"/>
            </w:tcBorders>
          </w:tcPr>
          <w:p w14:paraId="1A72286B"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Laboratory tests</w:t>
            </w:r>
          </w:p>
          <w:p w14:paraId="2885629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NT-</w:t>
            </w:r>
            <w:proofErr w:type="spellStart"/>
            <w:r w:rsidRPr="00772D93">
              <w:rPr>
                <w:rFonts w:ascii="Book Antiqua" w:hAnsi="Book Antiqua" w:cs="Times New Roman"/>
                <w:sz w:val="24"/>
                <w:szCs w:val="24"/>
              </w:rPr>
              <w:t>proBNP</w:t>
            </w:r>
            <w:proofErr w:type="spellEnd"/>
            <w:r w:rsidRPr="00772D93">
              <w:rPr>
                <w:rFonts w:ascii="Book Antiqua" w:hAnsi="Book Antiqua" w:cs="Times New Roman"/>
                <w:sz w:val="24"/>
                <w:szCs w:val="24"/>
              </w:rPr>
              <w:t xml:space="preserve"> (ng/L)</w:t>
            </w:r>
          </w:p>
          <w:p w14:paraId="202527C2" w14:textId="77777777" w:rsidR="00010AC2" w:rsidRPr="00772D93" w:rsidRDefault="00010AC2" w:rsidP="00636E17">
            <w:pPr>
              <w:spacing w:line="360" w:lineRule="auto"/>
              <w:jc w:val="both"/>
              <w:rPr>
                <w:rFonts w:ascii="Book Antiqua" w:hAnsi="Book Antiqua" w:cs="Times New Roman"/>
                <w:sz w:val="24"/>
                <w:szCs w:val="24"/>
                <w:lang w:val="sv-SE"/>
              </w:rPr>
            </w:pPr>
            <w:r w:rsidRPr="00772D93">
              <w:rPr>
                <w:rFonts w:ascii="Book Antiqua" w:hAnsi="Book Antiqua" w:cs="Times New Roman"/>
                <w:sz w:val="24"/>
                <w:szCs w:val="24"/>
                <w:lang w:val="sv-SE"/>
              </w:rPr>
              <w:t>Troponin I (ng/L)</w:t>
            </w:r>
          </w:p>
          <w:p w14:paraId="4C730795" w14:textId="77777777" w:rsidR="00010AC2" w:rsidRPr="00772D93" w:rsidRDefault="00010AC2" w:rsidP="00636E17">
            <w:pPr>
              <w:spacing w:line="360" w:lineRule="auto"/>
              <w:jc w:val="both"/>
              <w:rPr>
                <w:rFonts w:ascii="Book Antiqua" w:hAnsi="Book Antiqua" w:cs="Times New Roman"/>
                <w:sz w:val="24"/>
                <w:szCs w:val="24"/>
                <w:lang w:val="sv-SE"/>
              </w:rPr>
            </w:pPr>
            <w:r w:rsidRPr="00772D93">
              <w:rPr>
                <w:rFonts w:ascii="Book Antiqua" w:hAnsi="Book Antiqua" w:cs="Times New Roman"/>
                <w:sz w:val="24"/>
                <w:szCs w:val="24"/>
                <w:lang w:val="sv-SE"/>
              </w:rPr>
              <w:t>Potassium (mmol/L)</w:t>
            </w:r>
          </w:p>
          <w:p w14:paraId="73F6AB41"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Sodium (mmol/L)</w:t>
            </w:r>
          </w:p>
          <w:p w14:paraId="5914CB6E" w14:textId="77777777" w:rsidR="00010AC2" w:rsidRPr="00772D93" w:rsidRDefault="00010AC2" w:rsidP="00636E17">
            <w:pPr>
              <w:spacing w:line="360" w:lineRule="auto"/>
              <w:jc w:val="both"/>
              <w:rPr>
                <w:rFonts w:ascii="Book Antiqua" w:hAnsi="Book Antiqua" w:cs="Times New Roman"/>
                <w:sz w:val="24"/>
                <w:szCs w:val="24"/>
                <w:lang w:val="en-GB"/>
              </w:rPr>
            </w:pPr>
            <w:r w:rsidRPr="00772D93">
              <w:rPr>
                <w:rFonts w:ascii="Book Antiqua" w:hAnsi="Book Antiqua" w:cs="Times New Roman"/>
                <w:sz w:val="24"/>
                <w:szCs w:val="24"/>
                <w:lang w:val="en-GB"/>
              </w:rPr>
              <w:t>Chlorine (mmol/L)</w:t>
            </w:r>
          </w:p>
          <w:p w14:paraId="0DCD2DA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Creatinine (</w:t>
            </w:r>
            <w:proofErr w:type="spellStart"/>
            <w:r w:rsidRPr="00772D93">
              <w:rPr>
                <w:rFonts w:ascii="Book Antiqua" w:hAnsi="Book Antiqua" w:cs="Times New Roman"/>
                <w:sz w:val="24"/>
                <w:szCs w:val="24"/>
              </w:rPr>
              <w:t>mkmol</w:t>
            </w:r>
            <w:proofErr w:type="spellEnd"/>
            <w:r w:rsidRPr="00772D93">
              <w:rPr>
                <w:rFonts w:ascii="Book Antiqua" w:hAnsi="Book Antiqua" w:cs="Times New Roman"/>
                <w:sz w:val="24"/>
                <w:szCs w:val="24"/>
              </w:rPr>
              <w:t>/L)</w:t>
            </w:r>
          </w:p>
          <w:p w14:paraId="135E233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eGFR (mL/min</w:t>
            </w:r>
            <w:r>
              <w:rPr>
                <w:rFonts w:ascii="Book Antiqua" w:hAnsi="Book Antiqua" w:cs="Times New Roman" w:hint="eastAsia"/>
                <w:sz w:val="24"/>
                <w:szCs w:val="24"/>
                <w:lang w:eastAsia="zh-CN"/>
              </w:rPr>
              <w:t xml:space="preserve"> per </w:t>
            </w:r>
            <w:r w:rsidRPr="00772D93">
              <w:rPr>
                <w:rFonts w:ascii="Book Antiqua" w:hAnsi="Book Antiqua" w:cs="Times New Roman"/>
                <w:sz w:val="24"/>
                <w:szCs w:val="24"/>
              </w:rPr>
              <w:t>1.73 m</w:t>
            </w:r>
            <w:r w:rsidRPr="00772D93">
              <w:rPr>
                <w:rFonts w:ascii="Book Antiqua" w:hAnsi="Book Antiqua" w:cs="Times New Roman"/>
                <w:sz w:val="24"/>
                <w:szCs w:val="24"/>
                <w:vertAlign w:val="superscript"/>
              </w:rPr>
              <w:t>2</w:t>
            </w:r>
            <w:r w:rsidRPr="00772D93">
              <w:rPr>
                <w:rFonts w:ascii="Book Antiqua" w:hAnsi="Book Antiqua" w:cs="Times New Roman"/>
                <w:sz w:val="24"/>
                <w:szCs w:val="24"/>
              </w:rPr>
              <w:t>)</w:t>
            </w:r>
          </w:p>
        </w:tc>
        <w:tc>
          <w:tcPr>
            <w:tcW w:w="1316" w:type="dxa"/>
            <w:tcBorders>
              <w:top w:val="single" w:sz="4" w:space="0" w:color="auto"/>
            </w:tcBorders>
          </w:tcPr>
          <w:p w14:paraId="1D798E89" w14:textId="77777777" w:rsidR="00010AC2" w:rsidRPr="00772D93" w:rsidRDefault="00010AC2" w:rsidP="00636E17">
            <w:pPr>
              <w:spacing w:line="360" w:lineRule="auto"/>
              <w:jc w:val="both"/>
              <w:rPr>
                <w:rFonts w:ascii="Book Antiqua" w:hAnsi="Book Antiqua" w:cs="Times New Roman"/>
                <w:sz w:val="24"/>
                <w:szCs w:val="24"/>
              </w:rPr>
            </w:pPr>
          </w:p>
          <w:p w14:paraId="5B5DCEE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109</w:t>
            </w:r>
          </w:p>
          <w:p w14:paraId="38D8139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13.5</w:t>
            </w:r>
          </w:p>
          <w:p w14:paraId="547387B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5.2</w:t>
            </w:r>
          </w:p>
          <w:p w14:paraId="6F2AD38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139</w:t>
            </w:r>
          </w:p>
          <w:p w14:paraId="590267B1"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100</w:t>
            </w:r>
          </w:p>
          <w:p w14:paraId="4C50D63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133</w:t>
            </w:r>
          </w:p>
          <w:p w14:paraId="5437629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48</w:t>
            </w:r>
          </w:p>
        </w:tc>
        <w:tc>
          <w:tcPr>
            <w:tcW w:w="990" w:type="dxa"/>
            <w:tcBorders>
              <w:top w:val="single" w:sz="4" w:space="0" w:color="auto"/>
            </w:tcBorders>
          </w:tcPr>
          <w:p w14:paraId="6BCED7F5" w14:textId="77777777" w:rsidR="00010AC2" w:rsidRPr="00772D93" w:rsidRDefault="00010AC2" w:rsidP="00636E17">
            <w:pPr>
              <w:spacing w:line="360" w:lineRule="auto"/>
              <w:jc w:val="both"/>
              <w:rPr>
                <w:rFonts w:ascii="Book Antiqua" w:hAnsi="Book Antiqua" w:cs="Times New Roman"/>
                <w:sz w:val="24"/>
                <w:szCs w:val="24"/>
              </w:rPr>
            </w:pPr>
          </w:p>
          <w:p w14:paraId="793FB14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179</w:t>
            </w:r>
          </w:p>
          <w:p w14:paraId="1B8225B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15.4</w:t>
            </w:r>
          </w:p>
          <w:p w14:paraId="6AED238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6.3</w:t>
            </w:r>
          </w:p>
          <w:p w14:paraId="267A157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138</w:t>
            </w:r>
          </w:p>
          <w:p w14:paraId="3497560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95</w:t>
            </w:r>
          </w:p>
          <w:p w14:paraId="2CCBD01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282</w:t>
            </w:r>
          </w:p>
          <w:p w14:paraId="21FAC6C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19</w:t>
            </w:r>
          </w:p>
        </w:tc>
        <w:tc>
          <w:tcPr>
            <w:tcW w:w="1260" w:type="dxa"/>
            <w:tcBorders>
              <w:top w:val="single" w:sz="4" w:space="0" w:color="auto"/>
            </w:tcBorders>
          </w:tcPr>
          <w:p w14:paraId="2CA820D3" w14:textId="77777777" w:rsidR="00010AC2" w:rsidRPr="00772D93" w:rsidRDefault="00010AC2" w:rsidP="00636E17">
            <w:pPr>
              <w:spacing w:line="360" w:lineRule="auto"/>
              <w:jc w:val="both"/>
              <w:rPr>
                <w:rFonts w:ascii="Book Antiqua" w:hAnsi="Book Antiqua" w:cs="Times New Roman"/>
                <w:sz w:val="24"/>
                <w:szCs w:val="24"/>
              </w:rPr>
            </w:pPr>
          </w:p>
          <w:p w14:paraId="49000D6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3485</w:t>
            </w:r>
          </w:p>
          <w:p w14:paraId="220EFE9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50.2</w:t>
            </w:r>
          </w:p>
          <w:p w14:paraId="344995F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4.7</w:t>
            </w:r>
          </w:p>
          <w:p w14:paraId="060BC80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139</w:t>
            </w:r>
          </w:p>
          <w:p w14:paraId="0D067CF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101</w:t>
            </w:r>
          </w:p>
          <w:p w14:paraId="4CF47B8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96</w:t>
            </w:r>
          </w:p>
          <w:p w14:paraId="5A32B5B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73</w:t>
            </w:r>
          </w:p>
        </w:tc>
        <w:tc>
          <w:tcPr>
            <w:tcW w:w="957" w:type="dxa"/>
            <w:tcBorders>
              <w:top w:val="single" w:sz="4" w:space="0" w:color="auto"/>
            </w:tcBorders>
          </w:tcPr>
          <w:p w14:paraId="6671191F" w14:textId="77777777" w:rsidR="00010AC2" w:rsidRPr="00772D93" w:rsidRDefault="00010AC2" w:rsidP="00636E17">
            <w:pPr>
              <w:spacing w:line="360" w:lineRule="auto"/>
              <w:jc w:val="both"/>
              <w:rPr>
                <w:rFonts w:ascii="Book Antiqua" w:hAnsi="Book Antiqua" w:cs="Times New Roman"/>
                <w:sz w:val="24"/>
                <w:szCs w:val="24"/>
              </w:rPr>
            </w:pPr>
          </w:p>
          <w:p w14:paraId="1BDDA19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2061</w:t>
            </w:r>
          </w:p>
          <w:p w14:paraId="208CE3D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20.8</w:t>
            </w:r>
          </w:p>
          <w:p w14:paraId="580D7B9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4.0</w:t>
            </w:r>
          </w:p>
          <w:p w14:paraId="184BD49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139</w:t>
            </w:r>
          </w:p>
          <w:p w14:paraId="30281C58"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98</w:t>
            </w:r>
          </w:p>
          <w:p w14:paraId="0DD4343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103</w:t>
            </w:r>
          </w:p>
          <w:p w14:paraId="20E4BA9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68</w:t>
            </w:r>
          </w:p>
        </w:tc>
        <w:tc>
          <w:tcPr>
            <w:tcW w:w="1293" w:type="dxa"/>
            <w:tcBorders>
              <w:top w:val="single" w:sz="4" w:space="0" w:color="auto"/>
            </w:tcBorders>
          </w:tcPr>
          <w:p w14:paraId="01D6EFB4" w14:textId="77777777" w:rsidR="00010AC2" w:rsidRPr="00772D93" w:rsidRDefault="00010AC2" w:rsidP="00636E17">
            <w:pPr>
              <w:spacing w:line="360" w:lineRule="auto"/>
              <w:jc w:val="both"/>
              <w:rPr>
                <w:rFonts w:ascii="Book Antiqua" w:hAnsi="Book Antiqua" w:cs="Times New Roman"/>
                <w:sz w:val="24"/>
                <w:szCs w:val="24"/>
              </w:rPr>
            </w:pPr>
          </w:p>
          <w:p w14:paraId="2DB66C6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2927</w:t>
            </w:r>
          </w:p>
          <w:p w14:paraId="4A68DAF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168.0</w:t>
            </w:r>
          </w:p>
          <w:p w14:paraId="33A4639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5.1</w:t>
            </w:r>
          </w:p>
          <w:p w14:paraId="448E2E8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137</w:t>
            </w:r>
          </w:p>
          <w:p w14:paraId="1D9B457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98</w:t>
            </w:r>
          </w:p>
          <w:p w14:paraId="68C3981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111</w:t>
            </w:r>
          </w:p>
          <w:p w14:paraId="32AF030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40</w:t>
            </w:r>
          </w:p>
        </w:tc>
        <w:tc>
          <w:tcPr>
            <w:tcW w:w="975" w:type="dxa"/>
            <w:tcBorders>
              <w:top w:val="single" w:sz="4" w:space="0" w:color="auto"/>
            </w:tcBorders>
          </w:tcPr>
          <w:p w14:paraId="7F14C8E2" w14:textId="77777777" w:rsidR="00010AC2" w:rsidRPr="00772D93" w:rsidRDefault="00010AC2" w:rsidP="00636E17">
            <w:pPr>
              <w:spacing w:line="360" w:lineRule="auto"/>
              <w:jc w:val="both"/>
              <w:rPr>
                <w:rFonts w:ascii="Book Antiqua" w:hAnsi="Book Antiqua" w:cs="Times New Roman"/>
                <w:sz w:val="24"/>
                <w:szCs w:val="24"/>
              </w:rPr>
            </w:pPr>
          </w:p>
          <w:p w14:paraId="5B6B8B0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5398</w:t>
            </w:r>
          </w:p>
          <w:p w14:paraId="47C1480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25.1</w:t>
            </w:r>
          </w:p>
          <w:p w14:paraId="5CF464F8"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4.2</w:t>
            </w:r>
          </w:p>
          <w:p w14:paraId="26D25BA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143</w:t>
            </w:r>
          </w:p>
          <w:p w14:paraId="6F13F70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103</w:t>
            </w:r>
          </w:p>
          <w:p w14:paraId="6BF8B90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118</w:t>
            </w:r>
          </w:p>
          <w:p w14:paraId="3FE0557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37</w:t>
            </w:r>
          </w:p>
        </w:tc>
      </w:tr>
      <w:tr w:rsidR="00010AC2" w:rsidRPr="00772D93" w14:paraId="4D1D332D" w14:textId="77777777" w:rsidTr="00010AC2">
        <w:trPr>
          <w:trHeight w:val="1518"/>
        </w:trPr>
        <w:tc>
          <w:tcPr>
            <w:tcW w:w="3505" w:type="dxa"/>
          </w:tcPr>
          <w:p w14:paraId="4C5F3C59"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Echocardiography</w:t>
            </w:r>
          </w:p>
          <w:p w14:paraId="7C9B106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LV diastolic diameter (mm)</w:t>
            </w:r>
          </w:p>
          <w:p w14:paraId="63D112B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 xml:space="preserve">LV ejection fraction 2D (%) </w:t>
            </w:r>
          </w:p>
          <w:p w14:paraId="66C8B5E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LV ejection fraction 3D (%)</w:t>
            </w:r>
          </w:p>
          <w:p w14:paraId="3CF71F3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Cardiac output (L/min) 2D</w:t>
            </w:r>
          </w:p>
          <w:p w14:paraId="6F75083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 xml:space="preserve">Cardiac output (L/min) 3D </w:t>
            </w:r>
          </w:p>
          <w:p w14:paraId="77CA4A7A" w14:textId="77777777" w:rsidR="00010AC2" w:rsidRPr="00772D93" w:rsidRDefault="00010AC2" w:rsidP="00636E17">
            <w:pPr>
              <w:spacing w:line="360" w:lineRule="auto"/>
              <w:jc w:val="both"/>
              <w:rPr>
                <w:rFonts w:ascii="Book Antiqua" w:hAnsi="Book Antiqua" w:cs="Times New Roman"/>
                <w:sz w:val="24"/>
                <w:szCs w:val="24"/>
                <w:lang w:val="nl-NL"/>
              </w:rPr>
            </w:pPr>
            <w:r w:rsidRPr="00772D93">
              <w:rPr>
                <w:rFonts w:ascii="Book Antiqua" w:hAnsi="Book Antiqua" w:cs="Times New Roman"/>
                <w:sz w:val="24"/>
                <w:szCs w:val="24"/>
                <w:lang w:val="nl-NL"/>
              </w:rPr>
              <w:t>LV stroke volume 2D (mL)</w:t>
            </w:r>
          </w:p>
          <w:p w14:paraId="2698123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 xml:space="preserve">PCWP (by </w:t>
            </w:r>
            <w:proofErr w:type="spellStart"/>
            <w:r w:rsidRPr="00772D93">
              <w:rPr>
                <w:rFonts w:ascii="Book Antiqua" w:hAnsi="Book Antiqua" w:cs="Times New Roman"/>
                <w:sz w:val="24"/>
                <w:szCs w:val="24"/>
              </w:rPr>
              <w:t>Nagueh</w:t>
            </w:r>
            <w:proofErr w:type="spellEnd"/>
            <w:r w:rsidRPr="00772D93">
              <w:rPr>
                <w:rFonts w:ascii="Book Antiqua" w:hAnsi="Book Antiqua" w:cs="Times New Roman"/>
                <w:sz w:val="24"/>
                <w:szCs w:val="24"/>
              </w:rPr>
              <w:t>, mmHg)</w:t>
            </w:r>
          </w:p>
          <w:p w14:paraId="3300D25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lang w:val="en-GB"/>
              </w:rPr>
              <w:t>Global longitudinal 2D strain (%)</w:t>
            </w:r>
          </w:p>
          <w:p w14:paraId="4191B961" w14:textId="77777777" w:rsidR="00010AC2" w:rsidRPr="00772D93" w:rsidRDefault="00010AC2" w:rsidP="00636E17">
            <w:pPr>
              <w:spacing w:line="360" w:lineRule="auto"/>
              <w:jc w:val="both"/>
              <w:rPr>
                <w:rFonts w:ascii="Book Antiqua" w:hAnsi="Book Antiqua" w:cs="Times New Roman"/>
                <w:sz w:val="24"/>
                <w:szCs w:val="24"/>
                <w:lang w:val="en-GB"/>
              </w:rPr>
            </w:pPr>
            <w:r w:rsidRPr="00772D93">
              <w:rPr>
                <w:rFonts w:ascii="Book Antiqua" w:hAnsi="Book Antiqua" w:cs="Times New Roman"/>
                <w:sz w:val="24"/>
                <w:szCs w:val="24"/>
                <w:lang w:val="en-GB"/>
              </w:rPr>
              <w:t>Right ventricular diameter (cm)</w:t>
            </w:r>
          </w:p>
          <w:p w14:paraId="0E81A86A" w14:textId="77777777" w:rsidR="00010AC2" w:rsidRPr="00772D93" w:rsidRDefault="00010AC2" w:rsidP="00636E17">
            <w:pPr>
              <w:spacing w:line="360" w:lineRule="auto"/>
              <w:jc w:val="both"/>
              <w:rPr>
                <w:rFonts w:ascii="Book Antiqua" w:hAnsi="Book Antiqua" w:cs="Times New Roman"/>
                <w:sz w:val="24"/>
                <w:szCs w:val="24"/>
                <w:lang w:val="en-GB"/>
              </w:rPr>
            </w:pPr>
            <w:r w:rsidRPr="00772D93">
              <w:rPr>
                <w:rFonts w:ascii="Book Antiqua" w:hAnsi="Book Antiqua" w:cs="Times New Roman"/>
                <w:sz w:val="24"/>
                <w:szCs w:val="24"/>
                <w:lang w:val="en-GB"/>
              </w:rPr>
              <w:t>RV S’ (cm/s)</w:t>
            </w:r>
          </w:p>
          <w:p w14:paraId="1F26ACBF" w14:textId="77777777" w:rsidR="00010AC2" w:rsidRPr="00772D93" w:rsidRDefault="00010AC2" w:rsidP="00636E17">
            <w:pPr>
              <w:spacing w:line="360" w:lineRule="auto"/>
              <w:jc w:val="both"/>
              <w:rPr>
                <w:rFonts w:ascii="Book Antiqua" w:hAnsi="Book Antiqua" w:cs="Times New Roman"/>
                <w:sz w:val="24"/>
                <w:szCs w:val="24"/>
                <w:lang w:val="en-GB"/>
              </w:rPr>
            </w:pPr>
            <w:r w:rsidRPr="00772D93">
              <w:rPr>
                <w:rFonts w:ascii="Book Antiqua" w:hAnsi="Book Antiqua" w:cs="Times New Roman"/>
                <w:sz w:val="24"/>
                <w:szCs w:val="24"/>
                <w:lang w:val="en-GB"/>
              </w:rPr>
              <w:t>TAPSE (cm)</w:t>
            </w:r>
          </w:p>
          <w:p w14:paraId="29BDE4BE" w14:textId="77777777" w:rsidR="00010AC2" w:rsidRPr="00772D93" w:rsidRDefault="00010AC2" w:rsidP="00636E17">
            <w:pPr>
              <w:spacing w:line="360" w:lineRule="auto"/>
              <w:jc w:val="both"/>
              <w:rPr>
                <w:rFonts w:ascii="Book Antiqua" w:hAnsi="Book Antiqua" w:cs="Times New Roman"/>
                <w:sz w:val="24"/>
                <w:szCs w:val="24"/>
                <w:lang w:val="en-GB"/>
              </w:rPr>
            </w:pPr>
            <w:r w:rsidRPr="00772D93">
              <w:rPr>
                <w:rFonts w:ascii="Book Antiqua" w:hAnsi="Book Antiqua" w:cs="Times New Roman"/>
                <w:sz w:val="24"/>
                <w:szCs w:val="24"/>
                <w:lang w:val="en-GB"/>
              </w:rPr>
              <w:t>RV FAC (%)</w:t>
            </w:r>
          </w:p>
        </w:tc>
        <w:tc>
          <w:tcPr>
            <w:tcW w:w="1316" w:type="dxa"/>
          </w:tcPr>
          <w:p w14:paraId="74FD2031" w14:textId="77777777" w:rsidR="00010AC2" w:rsidRPr="00772D93" w:rsidRDefault="00010AC2" w:rsidP="00636E17">
            <w:pPr>
              <w:spacing w:line="360" w:lineRule="auto"/>
              <w:jc w:val="both"/>
              <w:rPr>
                <w:rFonts w:ascii="Book Antiqua" w:hAnsi="Book Antiqua" w:cs="Times New Roman"/>
                <w:sz w:val="24"/>
                <w:szCs w:val="24"/>
              </w:rPr>
            </w:pPr>
          </w:p>
          <w:p w14:paraId="2DC8E978"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59</w:t>
            </w:r>
          </w:p>
          <w:p w14:paraId="0FB1693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29</w:t>
            </w:r>
          </w:p>
          <w:p w14:paraId="241DA3B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26</w:t>
            </w:r>
          </w:p>
          <w:p w14:paraId="201F7E2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3.1</w:t>
            </w:r>
          </w:p>
          <w:p w14:paraId="73384921"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1.7</w:t>
            </w:r>
          </w:p>
          <w:p w14:paraId="515A6D7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36</w:t>
            </w:r>
          </w:p>
          <w:p w14:paraId="1525B55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9.34</w:t>
            </w:r>
          </w:p>
          <w:p w14:paraId="62AB696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w:t>
            </w:r>
          </w:p>
          <w:p w14:paraId="64F88716" w14:textId="77777777" w:rsidR="00010AC2" w:rsidRPr="00772D93" w:rsidRDefault="00010AC2" w:rsidP="00636E17">
            <w:pPr>
              <w:spacing w:line="360" w:lineRule="auto"/>
              <w:jc w:val="both"/>
              <w:rPr>
                <w:rFonts w:ascii="Book Antiqua" w:hAnsi="Book Antiqua" w:cs="Times New Roman"/>
                <w:sz w:val="24"/>
                <w:szCs w:val="24"/>
              </w:rPr>
            </w:pPr>
          </w:p>
          <w:p w14:paraId="2D6346F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3.3</w:t>
            </w:r>
          </w:p>
          <w:p w14:paraId="54A526E6" w14:textId="77777777" w:rsidR="00010AC2" w:rsidRPr="00772D93" w:rsidRDefault="00010AC2" w:rsidP="00636E17">
            <w:pPr>
              <w:spacing w:line="360" w:lineRule="auto"/>
              <w:jc w:val="both"/>
              <w:rPr>
                <w:rFonts w:ascii="Book Antiqua" w:hAnsi="Book Antiqua" w:cs="Times New Roman"/>
                <w:sz w:val="24"/>
                <w:szCs w:val="24"/>
              </w:rPr>
            </w:pPr>
          </w:p>
          <w:p w14:paraId="5ED22AD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w:t>
            </w:r>
          </w:p>
          <w:p w14:paraId="3FC3039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1.7</w:t>
            </w:r>
          </w:p>
          <w:p w14:paraId="376D0D7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32.3</w:t>
            </w:r>
          </w:p>
        </w:tc>
        <w:tc>
          <w:tcPr>
            <w:tcW w:w="990" w:type="dxa"/>
          </w:tcPr>
          <w:p w14:paraId="6DA9AF98" w14:textId="77777777" w:rsidR="00010AC2" w:rsidRPr="00772D93" w:rsidRDefault="00010AC2" w:rsidP="00636E17">
            <w:pPr>
              <w:spacing w:line="360" w:lineRule="auto"/>
              <w:jc w:val="both"/>
              <w:rPr>
                <w:rFonts w:ascii="Book Antiqua" w:hAnsi="Book Antiqua" w:cs="Times New Roman"/>
                <w:sz w:val="24"/>
                <w:szCs w:val="24"/>
              </w:rPr>
            </w:pPr>
          </w:p>
          <w:p w14:paraId="21C24A9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56</w:t>
            </w:r>
          </w:p>
          <w:p w14:paraId="35B52E3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27</w:t>
            </w:r>
          </w:p>
          <w:p w14:paraId="02BA00B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29</w:t>
            </w:r>
          </w:p>
          <w:p w14:paraId="34BB44E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3.43</w:t>
            </w:r>
          </w:p>
          <w:p w14:paraId="0F50120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2.2</w:t>
            </w:r>
          </w:p>
          <w:p w14:paraId="0DCFECB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47</w:t>
            </w:r>
          </w:p>
          <w:p w14:paraId="7CB9B47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12.7</w:t>
            </w:r>
          </w:p>
          <w:p w14:paraId="7B4E61E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-8.8</w:t>
            </w:r>
          </w:p>
          <w:p w14:paraId="090F8942" w14:textId="77777777" w:rsidR="00010AC2" w:rsidRPr="00772D93" w:rsidRDefault="00010AC2" w:rsidP="00636E17">
            <w:pPr>
              <w:spacing w:line="360" w:lineRule="auto"/>
              <w:jc w:val="both"/>
              <w:rPr>
                <w:rFonts w:ascii="Book Antiqua" w:hAnsi="Book Antiqua" w:cs="Times New Roman"/>
                <w:sz w:val="24"/>
                <w:szCs w:val="24"/>
              </w:rPr>
            </w:pPr>
          </w:p>
          <w:p w14:paraId="3411597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3.8</w:t>
            </w:r>
          </w:p>
          <w:p w14:paraId="18A1A4FD" w14:textId="77777777" w:rsidR="00010AC2" w:rsidRPr="00772D93" w:rsidRDefault="00010AC2" w:rsidP="00636E17">
            <w:pPr>
              <w:spacing w:line="360" w:lineRule="auto"/>
              <w:jc w:val="both"/>
              <w:rPr>
                <w:rFonts w:ascii="Book Antiqua" w:hAnsi="Book Antiqua" w:cs="Times New Roman"/>
                <w:sz w:val="24"/>
                <w:szCs w:val="24"/>
              </w:rPr>
            </w:pPr>
          </w:p>
          <w:p w14:paraId="0C433C5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11</w:t>
            </w:r>
          </w:p>
          <w:p w14:paraId="0A6E21C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1.9</w:t>
            </w:r>
          </w:p>
          <w:p w14:paraId="3E11CEA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35</w:t>
            </w:r>
          </w:p>
        </w:tc>
        <w:tc>
          <w:tcPr>
            <w:tcW w:w="1260" w:type="dxa"/>
          </w:tcPr>
          <w:p w14:paraId="4C314823" w14:textId="77777777" w:rsidR="00010AC2" w:rsidRPr="00772D93" w:rsidRDefault="00010AC2" w:rsidP="00636E17">
            <w:pPr>
              <w:spacing w:line="360" w:lineRule="auto"/>
              <w:jc w:val="both"/>
              <w:rPr>
                <w:rFonts w:ascii="Book Antiqua" w:hAnsi="Book Antiqua" w:cs="Times New Roman"/>
                <w:sz w:val="24"/>
                <w:szCs w:val="24"/>
              </w:rPr>
            </w:pPr>
          </w:p>
          <w:p w14:paraId="19A9496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76</w:t>
            </w:r>
          </w:p>
          <w:p w14:paraId="0E718A0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20</w:t>
            </w:r>
          </w:p>
          <w:p w14:paraId="34C7E17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19</w:t>
            </w:r>
          </w:p>
          <w:p w14:paraId="7321664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4.14</w:t>
            </w:r>
          </w:p>
          <w:p w14:paraId="635E6A2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4.4</w:t>
            </w:r>
          </w:p>
          <w:p w14:paraId="381BD78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41</w:t>
            </w:r>
          </w:p>
          <w:p w14:paraId="1F27283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21.0</w:t>
            </w:r>
          </w:p>
          <w:p w14:paraId="3C3E69D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w:t>
            </w:r>
          </w:p>
          <w:p w14:paraId="41706A13" w14:textId="77777777" w:rsidR="00010AC2" w:rsidRPr="00772D93" w:rsidRDefault="00010AC2" w:rsidP="00636E17">
            <w:pPr>
              <w:spacing w:line="360" w:lineRule="auto"/>
              <w:jc w:val="both"/>
              <w:rPr>
                <w:rFonts w:ascii="Book Antiqua" w:hAnsi="Book Antiqua" w:cs="Times New Roman"/>
                <w:sz w:val="24"/>
                <w:szCs w:val="24"/>
              </w:rPr>
            </w:pPr>
          </w:p>
          <w:p w14:paraId="10A2417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5.2</w:t>
            </w:r>
          </w:p>
          <w:p w14:paraId="3BB6D8B6" w14:textId="77777777" w:rsidR="00010AC2" w:rsidRPr="00772D93" w:rsidRDefault="00010AC2" w:rsidP="00636E17">
            <w:pPr>
              <w:spacing w:line="360" w:lineRule="auto"/>
              <w:jc w:val="both"/>
              <w:rPr>
                <w:rFonts w:ascii="Book Antiqua" w:hAnsi="Book Antiqua" w:cs="Times New Roman"/>
                <w:sz w:val="24"/>
                <w:szCs w:val="24"/>
              </w:rPr>
            </w:pPr>
          </w:p>
          <w:p w14:paraId="70A48D7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w:t>
            </w:r>
          </w:p>
          <w:p w14:paraId="73D3F5C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0.6</w:t>
            </w:r>
          </w:p>
          <w:p w14:paraId="2588D4B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16.6</w:t>
            </w:r>
          </w:p>
        </w:tc>
        <w:tc>
          <w:tcPr>
            <w:tcW w:w="957" w:type="dxa"/>
          </w:tcPr>
          <w:p w14:paraId="0D547ED1" w14:textId="77777777" w:rsidR="00010AC2" w:rsidRPr="00772D93" w:rsidRDefault="00010AC2" w:rsidP="00636E17">
            <w:pPr>
              <w:spacing w:line="360" w:lineRule="auto"/>
              <w:jc w:val="both"/>
              <w:rPr>
                <w:rFonts w:ascii="Book Antiqua" w:hAnsi="Book Antiqua" w:cs="Times New Roman"/>
                <w:sz w:val="24"/>
                <w:szCs w:val="24"/>
              </w:rPr>
            </w:pPr>
          </w:p>
          <w:p w14:paraId="7D91DCB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76</w:t>
            </w:r>
          </w:p>
          <w:p w14:paraId="5FCD023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28</w:t>
            </w:r>
          </w:p>
          <w:p w14:paraId="56DAD89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25</w:t>
            </w:r>
          </w:p>
          <w:p w14:paraId="24B2EB5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4.68</w:t>
            </w:r>
          </w:p>
          <w:p w14:paraId="7EFA8EE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w:t>
            </w:r>
          </w:p>
          <w:p w14:paraId="6D4996F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52</w:t>
            </w:r>
          </w:p>
          <w:p w14:paraId="3B30D081"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17</w:t>
            </w:r>
          </w:p>
          <w:p w14:paraId="5ABBB1D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-3.6</w:t>
            </w:r>
          </w:p>
          <w:p w14:paraId="6DA1674E" w14:textId="77777777" w:rsidR="00010AC2" w:rsidRPr="00772D93" w:rsidRDefault="00010AC2" w:rsidP="00636E17">
            <w:pPr>
              <w:spacing w:line="360" w:lineRule="auto"/>
              <w:jc w:val="both"/>
              <w:rPr>
                <w:rFonts w:ascii="Book Antiqua" w:hAnsi="Book Antiqua" w:cs="Times New Roman"/>
                <w:sz w:val="24"/>
                <w:szCs w:val="24"/>
              </w:rPr>
            </w:pPr>
          </w:p>
          <w:p w14:paraId="6405070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5.3</w:t>
            </w:r>
          </w:p>
          <w:p w14:paraId="2FEAB251" w14:textId="77777777" w:rsidR="00010AC2" w:rsidRPr="00772D93" w:rsidRDefault="00010AC2" w:rsidP="00636E17">
            <w:pPr>
              <w:spacing w:line="360" w:lineRule="auto"/>
              <w:jc w:val="both"/>
              <w:rPr>
                <w:rFonts w:ascii="Book Antiqua" w:hAnsi="Book Antiqua" w:cs="Times New Roman"/>
                <w:sz w:val="24"/>
                <w:szCs w:val="24"/>
              </w:rPr>
            </w:pPr>
          </w:p>
          <w:p w14:paraId="59C7980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w:t>
            </w:r>
          </w:p>
          <w:p w14:paraId="592127A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1.6</w:t>
            </w:r>
          </w:p>
          <w:p w14:paraId="67FA1D7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28.8</w:t>
            </w:r>
          </w:p>
        </w:tc>
        <w:tc>
          <w:tcPr>
            <w:tcW w:w="1293" w:type="dxa"/>
          </w:tcPr>
          <w:p w14:paraId="014906C5" w14:textId="77777777" w:rsidR="00010AC2" w:rsidRPr="00772D93" w:rsidRDefault="00010AC2" w:rsidP="00636E17">
            <w:pPr>
              <w:spacing w:line="360" w:lineRule="auto"/>
              <w:jc w:val="both"/>
              <w:rPr>
                <w:rFonts w:ascii="Book Antiqua" w:hAnsi="Book Antiqua" w:cs="Times New Roman"/>
                <w:sz w:val="24"/>
                <w:szCs w:val="24"/>
              </w:rPr>
            </w:pPr>
          </w:p>
          <w:p w14:paraId="6995714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71</w:t>
            </w:r>
          </w:p>
          <w:p w14:paraId="2528B0F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23</w:t>
            </w:r>
          </w:p>
          <w:p w14:paraId="251949F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35</w:t>
            </w:r>
          </w:p>
          <w:p w14:paraId="56388EC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4.1</w:t>
            </w:r>
          </w:p>
          <w:p w14:paraId="52CB668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4.3</w:t>
            </w:r>
          </w:p>
          <w:p w14:paraId="60282B6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48</w:t>
            </w:r>
          </w:p>
          <w:p w14:paraId="001594F1"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13.0</w:t>
            </w:r>
          </w:p>
          <w:p w14:paraId="56FF8D7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-6.2</w:t>
            </w:r>
          </w:p>
          <w:p w14:paraId="24E2AC48" w14:textId="77777777" w:rsidR="00010AC2" w:rsidRPr="00772D93" w:rsidRDefault="00010AC2" w:rsidP="00636E17">
            <w:pPr>
              <w:spacing w:line="360" w:lineRule="auto"/>
              <w:jc w:val="both"/>
              <w:rPr>
                <w:rFonts w:ascii="Book Antiqua" w:hAnsi="Book Antiqua" w:cs="Times New Roman"/>
                <w:sz w:val="24"/>
                <w:szCs w:val="24"/>
              </w:rPr>
            </w:pPr>
          </w:p>
          <w:p w14:paraId="26F8010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2.3</w:t>
            </w:r>
          </w:p>
          <w:p w14:paraId="134D20B9" w14:textId="77777777" w:rsidR="00010AC2" w:rsidRPr="00772D93" w:rsidRDefault="00010AC2" w:rsidP="00636E17">
            <w:pPr>
              <w:spacing w:line="360" w:lineRule="auto"/>
              <w:jc w:val="both"/>
              <w:rPr>
                <w:rFonts w:ascii="Book Antiqua" w:hAnsi="Book Antiqua" w:cs="Times New Roman"/>
                <w:sz w:val="24"/>
                <w:szCs w:val="24"/>
              </w:rPr>
            </w:pPr>
          </w:p>
          <w:p w14:paraId="10ED1A3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15</w:t>
            </w:r>
          </w:p>
          <w:p w14:paraId="7314AFD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2.1</w:t>
            </w:r>
          </w:p>
          <w:p w14:paraId="7BAA937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49.6</w:t>
            </w:r>
          </w:p>
        </w:tc>
        <w:tc>
          <w:tcPr>
            <w:tcW w:w="975" w:type="dxa"/>
          </w:tcPr>
          <w:p w14:paraId="59E8E7DE" w14:textId="77777777" w:rsidR="00010AC2" w:rsidRPr="00772D93" w:rsidRDefault="00010AC2" w:rsidP="00636E17">
            <w:pPr>
              <w:spacing w:line="360" w:lineRule="auto"/>
              <w:jc w:val="both"/>
              <w:rPr>
                <w:rFonts w:ascii="Book Antiqua" w:hAnsi="Book Antiqua" w:cs="Times New Roman"/>
                <w:sz w:val="24"/>
                <w:szCs w:val="24"/>
              </w:rPr>
            </w:pPr>
          </w:p>
          <w:p w14:paraId="5714182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71</w:t>
            </w:r>
          </w:p>
          <w:p w14:paraId="38F038B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30</w:t>
            </w:r>
          </w:p>
          <w:p w14:paraId="72BD5B96"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23</w:t>
            </w:r>
          </w:p>
          <w:p w14:paraId="656F7AC8"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3.9</w:t>
            </w:r>
          </w:p>
          <w:p w14:paraId="00C63D1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2.2</w:t>
            </w:r>
          </w:p>
          <w:p w14:paraId="5021C36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58</w:t>
            </w:r>
          </w:p>
          <w:p w14:paraId="3A51A3B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8.2</w:t>
            </w:r>
          </w:p>
          <w:p w14:paraId="6902F80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-7.7</w:t>
            </w:r>
          </w:p>
          <w:p w14:paraId="31F2F0A0" w14:textId="77777777" w:rsidR="00010AC2" w:rsidRPr="00772D93" w:rsidRDefault="00010AC2" w:rsidP="00636E17">
            <w:pPr>
              <w:spacing w:line="360" w:lineRule="auto"/>
              <w:jc w:val="both"/>
              <w:rPr>
                <w:rFonts w:ascii="Book Antiqua" w:hAnsi="Book Antiqua" w:cs="Times New Roman"/>
                <w:sz w:val="24"/>
                <w:szCs w:val="24"/>
              </w:rPr>
            </w:pPr>
          </w:p>
          <w:p w14:paraId="5006052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1.9</w:t>
            </w:r>
          </w:p>
          <w:p w14:paraId="1200EA56" w14:textId="77777777" w:rsidR="00010AC2" w:rsidRPr="00772D93" w:rsidRDefault="00010AC2" w:rsidP="00636E17">
            <w:pPr>
              <w:spacing w:line="360" w:lineRule="auto"/>
              <w:jc w:val="both"/>
              <w:rPr>
                <w:rFonts w:ascii="Book Antiqua" w:hAnsi="Book Antiqua" w:cs="Times New Roman"/>
                <w:sz w:val="24"/>
                <w:szCs w:val="24"/>
              </w:rPr>
            </w:pPr>
          </w:p>
          <w:p w14:paraId="482AA30F"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14</w:t>
            </w:r>
          </w:p>
          <w:p w14:paraId="26BE4AA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1.9</w:t>
            </w:r>
          </w:p>
          <w:p w14:paraId="6D436240" w14:textId="77777777" w:rsidR="00010AC2" w:rsidRPr="00772D93" w:rsidRDefault="00010AC2" w:rsidP="00636E17">
            <w:pPr>
              <w:spacing w:line="360" w:lineRule="auto"/>
              <w:jc w:val="both"/>
              <w:rPr>
                <w:rFonts w:ascii="Book Antiqua" w:hAnsi="Book Antiqua" w:cs="Times New Roman"/>
                <w:sz w:val="24"/>
                <w:szCs w:val="24"/>
                <w:lang w:eastAsia="zh-CN"/>
              </w:rPr>
            </w:pPr>
            <w:r>
              <w:rPr>
                <w:rFonts w:ascii="Book Antiqua" w:hAnsi="Book Antiqua" w:cs="Times New Roman"/>
                <w:sz w:val="24"/>
                <w:szCs w:val="24"/>
              </w:rPr>
              <w:t>74.8</w:t>
            </w:r>
          </w:p>
        </w:tc>
      </w:tr>
      <w:tr w:rsidR="00010AC2" w:rsidRPr="00772D93" w14:paraId="56AD9306" w14:textId="77777777" w:rsidTr="00010AC2">
        <w:tc>
          <w:tcPr>
            <w:tcW w:w="3505" w:type="dxa"/>
          </w:tcPr>
          <w:p w14:paraId="74411DF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b/>
                <w:sz w:val="24"/>
                <w:szCs w:val="24"/>
              </w:rPr>
              <w:t>Lung impedance (Ω)</w:t>
            </w:r>
          </w:p>
        </w:tc>
        <w:tc>
          <w:tcPr>
            <w:tcW w:w="1316" w:type="dxa"/>
          </w:tcPr>
          <w:p w14:paraId="0128482F" w14:textId="77777777" w:rsidR="00010AC2" w:rsidRPr="00772D93" w:rsidRDefault="00010AC2" w:rsidP="00636E17">
            <w:pPr>
              <w:tabs>
                <w:tab w:val="left" w:pos="945"/>
                <w:tab w:val="center" w:pos="1197"/>
              </w:tabs>
              <w:spacing w:line="360" w:lineRule="auto"/>
              <w:jc w:val="both"/>
              <w:rPr>
                <w:rFonts w:ascii="Book Antiqua" w:hAnsi="Book Antiqua" w:cs="Times New Roman"/>
                <w:sz w:val="24"/>
                <w:szCs w:val="24"/>
              </w:rPr>
            </w:pPr>
            <w:r w:rsidRPr="00772D93">
              <w:rPr>
                <w:rFonts w:ascii="Book Antiqua" w:hAnsi="Book Antiqua" w:cs="Times New Roman"/>
                <w:sz w:val="24"/>
                <w:szCs w:val="24"/>
              </w:rPr>
              <w:t>88.6</w:t>
            </w:r>
          </w:p>
        </w:tc>
        <w:tc>
          <w:tcPr>
            <w:tcW w:w="990" w:type="dxa"/>
          </w:tcPr>
          <w:p w14:paraId="0165DB7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93.0</w:t>
            </w:r>
          </w:p>
        </w:tc>
        <w:tc>
          <w:tcPr>
            <w:tcW w:w="1260" w:type="dxa"/>
          </w:tcPr>
          <w:p w14:paraId="3BA11409"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107.9</w:t>
            </w:r>
          </w:p>
        </w:tc>
        <w:tc>
          <w:tcPr>
            <w:tcW w:w="957" w:type="dxa"/>
          </w:tcPr>
          <w:p w14:paraId="2D8A7E4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97.1</w:t>
            </w:r>
          </w:p>
        </w:tc>
        <w:tc>
          <w:tcPr>
            <w:tcW w:w="1293" w:type="dxa"/>
          </w:tcPr>
          <w:p w14:paraId="351AAB8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101.8</w:t>
            </w:r>
          </w:p>
        </w:tc>
        <w:tc>
          <w:tcPr>
            <w:tcW w:w="975" w:type="dxa"/>
          </w:tcPr>
          <w:p w14:paraId="5B33360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88.1</w:t>
            </w:r>
          </w:p>
        </w:tc>
      </w:tr>
      <w:tr w:rsidR="00010AC2" w:rsidRPr="00772D93" w14:paraId="230903D1" w14:textId="77777777" w:rsidTr="00010AC2">
        <w:tc>
          <w:tcPr>
            <w:tcW w:w="3505" w:type="dxa"/>
          </w:tcPr>
          <w:p w14:paraId="5BEE2226"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lastRenderedPageBreak/>
              <w:t>Weight (kg)</w:t>
            </w:r>
          </w:p>
        </w:tc>
        <w:tc>
          <w:tcPr>
            <w:tcW w:w="1316" w:type="dxa"/>
          </w:tcPr>
          <w:p w14:paraId="59A0E4E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80</w:t>
            </w:r>
          </w:p>
        </w:tc>
        <w:tc>
          <w:tcPr>
            <w:tcW w:w="990" w:type="dxa"/>
          </w:tcPr>
          <w:p w14:paraId="0C79FDE9"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81.3</w:t>
            </w:r>
          </w:p>
        </w:tc>
        <w:tc>
          <w:tcPr>
            <w:tcW w:w="1260" w:type="dxa"/>
          </w:tcPr>
          <w:p w14:paraId="3F0E898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104</w:t>
            </w:r>
          </w:p>
        </w:tc>
        <w:tc>
          <w:tcPr>
            <w:tcW w:w="957" w:type="dxa"/>
          </w:tcPr>
          <w:p w14:paraId="2BBE7DC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105</w:t>
            </w:r>
          </w:p>
        </w:tc>
        <w:tc>
          <w:tcPr>
            <w:tcW w:w="1293" w:type="dxa"/>
          </w:tcPr>
          <w:p w14:paraId="45ECC3B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60.0</w:t>
            </w:r>
          </w:p>
        </w:tc>
        <w:tc>
          <w:tcPr>
            <w:tcW w:w="975" w:type="dxa"/>
          </w:tcPr>
          <w:p w14:paraId="271D1DB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61.8</w:t>
            </w:r>
          </w:p>
        </w:tc>
      </w:tr>
      <w:tr w:rsidR="00010AC2" w:rsidRPr="00772D93" w14:paraId="76037F66" w14:textId="77777777" w:rsidTr="00010AC2">
        <w:trPr>
          <w:trHeight w:val="4220"/>
        </w:trPr>
        <w:tc>
          <w:tcPr>
            <w:tcW w:w="3505" w:type="dxa"/>
          </w:tcPr>
          <w:p w14:paraId="2BE42DB6" w14:textId="77777777" w:rsidR="00010AC2" w:rsidRPr="00772D93" w:rsidRDefault="00010AC2" w:rsidP="00636E17">
            <w:pPr>
              <w:spacing w:line="360" w:lineRule="auto"/>
              <w:jc w:val="both"/>
              <w:rPr>
                <w:rFonts w:ascii="Book Antiqua" w:hAnsi="Book Antiqua" w:cs="Times New Roman"/>
                <w:b/>
                <w:sz w:val="24"/>
                <w:szCs w:val="24"/>
              </w:rPr>
            </w:pPr>
            <w:r w:rsidRPr="00772D93">
              <w:rPr>
                <w:rFonts w:ascii="Book Antiqua" w:hAnsi="Book Antiqua" w:cs="Times New Roman"/>
                <w:b/>
                <w:sz w:val="24"/>
                <w:szCs w:val="24"/>
              </w:rPr>
              <w:t>Medication</w:t>
            </w:r>
          </w:p>
          <w:p w14:paraId="6BBA6F37"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Percentage of target dose of beta-blocker</w:t>
            </w:r>
          </w:p>
          <w:p w14:paraId="6A49717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Percentage of target dose of ACEI</w:t>
            </w:r>
          </w:p>
          <w:p w14:paraId="1E93A07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Percentage of target dose of Spironolactone</w:t>
            </w:r>
          </w:p>
          <w:p w14:paraId="207F4607" w14:textId="77777777" w:rsidR="00010AC2" w:rsidRPr="00772D93" w:rsidRDefault="00010AC2" w:rsidP="00636E17">
            <w:pPr>
              <w:spacing w:line="360" w:lineRule="auto"/>
              <w:jc w:val="both"/>
              <w:rPr>
                <w:rFonts w:ascii="Book Antiqua" w:hAnsi="Book Antiqua" w:cs="Times New Roman"/>
                <w:sz w:val="24"/>
                <w:szCs w:val="24"/>
              </w:rPr>
            </w:pPr>
            <w:proofErr w:type="spellStart"/>
            <w:r w:rsidRPr="00772D93">
              <w:rPr>
                <w:rFonts w:ascii="Book Antiqua" w:hAnsi="Book Antiqua" w:cs="Times New Roman"/>
                <w:sz w:val="24"/>
                <w:szCs w:val="24"/>
              </w:rPr>
              <w:t>Torasemide</w:t>
            </w:r>
            <w:proofErr w:type="spellEnd"/>
            <w:r w:rsidRPr="00772D93">
              <w:rPr>
                <w:rFonts w:ascii="Book Antiqua" w:hAnsi="Book Antiqua" w:cs="Times New Roman"/>
                <w:sz w:val="24"/>
                <w:szCs w:val="24"/>
              </w:rPr>
              <w:t xml:space="preserve"> daily dose (mg)</w:t>
            </w:r>
          </w:p>
        </w:tc>
        <w:tc>
          <w:tcPr>
            <w:tcW w:w="1316" w:type="dxa"/>
          </w:tcPr>
          <w:p w14:paraId="4DAE43BF" w14:textId="77777777" w:rsidR="00010AC2" w:rsidRPr="00772D93" w:rsidRDefault="00010AC2" w:rsidP="00636E17">
            <w:pPr>
              <w:spacing w:line="360" w:lineRule="auto"/>
              <w:jc w:val="both"/>
              <w:rPr>
                <w:rFonts w:ascii="Book Antiqua" w:hAnsi="Book Antiqua" w:cs="Times New Roman"/>
                <w:sz w:val="24"/>
                <w:szCs w:val="24"/>
              </w:rPr>
            </w:pPr>
          </w:p>
          <w:p w14:paraId="3169E1FC"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25%</w:t>
            </w:r>
          </w:p>
          <w:p w14:paraId="460F5418" w14:textId="77777777" w:rsidR="00010AC2" w:rsidRPr="00772D93" w:rsidRDefault="00010AC2" w:rsidP="00636E17">
            <w:pPr>
              <w:spacing w:line="360" w:lineRule="auto"/>
              <w:jc w:val="both"/>
              <w:rPr>
                <w:rFonts w:ascii="Book Antiqua" w:hAnsi="Book Antiqua" w:cs="Times New Roman"/>
                <w:sz w:val="24"/>
                <w:szCs w:val="24"/>
              </w:rPr>
            </w:pPr>
          </w:p>
          <w:p w14:paraId="5519E48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100%</w:t>
            </w:r>
          </w:p>
          <w:p w14:paraId="5D5FDCCA" w14:textId="77777777" w:rsidR="00010AC2" w:rsidRPr="00772D93" w:rsidRDefault="00010AC2" w:rsidP="00636E17">
            <w:pPr>
              <w:spacing w:line="360" w:lineRule="auto"/>
              <w:jc w:val="both"/>
              <w:rPr>
                <w:rFonts w:ascii="Book Antiqua" w:hAnsi="Book Antiqua" w:cs="Times New Roman"/>
                <w:sz w:val="24"/>
                <w:szCs w:val="24"/>
              </w:rPr>
            </w:pPr>
          </w:p>
          <w:p w14:paraId="41A60680"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50%</w:t>
            </w:r>
          </w:p>
          <w:p w14:paraId="19544387" w14:textId="77777777" w:rsidR="00010AC2" w:rsidRPr="00772D93" w:rsidRDefault="00010AC2" w:rsidP="00636E17">
            <w:pPr>
              <w:spacing w:line="360" w:lineRule="auto"/>
              <w:jc w:val="both"/>
              <w:rPr>
                <w:rFonts w:ascii="Book Antiqua" w:hAnsi="Book Antiqua" w:cs="Times New Roman"/>
                <w:sz w:val="24"/>
                <w:szCs w:val="24"/>
              </w:rPr>
            </w:pPr>
          </w:p>
          <w:p w14:paraId="73633EF0" w14:textId="339129C7" w:rsidR="00010AC2" w:rsidRPr="00772D93" w:rsidRDefault="00010AC2" w:rsidP="00636E17">
            <w:pPr>
              <w:spacing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t>50 mg</w:t>
            </w:r>
            <w:r w:rsidR="00D53B15">
              <w:rPr>
                <w:rFonts w:ascii="Book Antiqua" w:hAnsi="Book Antiqua" w:cs="Times New Roman"/>
                <w:sz w:val="24"/>
                <w:szCs w:val="24"/>
              </w:rPr>
              <w:t xml:space="preserve"> (</w:t>
            </w:r>
            <w:proofErr w:type="spellStart"/>
            <w:r w:rsidR="00D53B15">
              <w:rPr>
                <w:rFonts w:ascii="Book Antiqua" w:hAnsi="Book Antiqua" w:cs="Times New Roman"/>
                <w:sz w:val="24"/>
                <w:szCs w:val="24"/>
              </w:rPr>
              <w:t>e.s.d</w:t>
            </w:r>
            <w:proofErr w:type="spellEnd"/>
            <w:r w:rsidR="00D53B15">
              <w:rPr>
                <w:rFonts w:ascii="Book Antiqua" w:hAnsi="Book Antiqua" w:cs="Times New Roman"/>
                <w:sz w:val="24"/>
                <w:szCs w:val="24"/>
              </w:rPr>
              <w:t>.)</w:t>
            </w:r>
          </w:p>
        </w:tc>
        <w:tc>
          <w:tcPr>
            <w:tcW w:w="990" w:type="dxa"/>
          </w:tcPr>
          <w:p w14:paraId="417266FD" w14:textId="77777777" w:rsidR="00010AC2" w:rsidRPr="00772D93" w:rsidRDefault="00010AC2" w:rsidP="00636E17">
            <w:pPr>
              <w:spacing w:line="360" w:lineRule="auto"/>
              <w:jc w:val="both"/>
              <w:rPr>
                <w:rFonts w:ascii="Book Antiqua" w:hAnsi="Book Antiqua" w:cs="Times New Roman"/>
                <w:sz w:val="24"/>
                <w:szCs w:val="24"/>
              </w:rPr>
            </w:pPr>
          </w:p>
          <w:p w14:paraId="5CE5BDA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50 %</w:t>
            </w:r>
          </w:p>
          <w:p w14:paraId="74AA2714" w14:textId="77777777" w:rsidR="00010AC2" w:rsidRPr="00772D93" w:rsidRDefault="00010AC2" w:rsidP="00636E17">
            <w:pPr>
              <w:spacing w:line="360" w:lineRule="auto"/>
              <w:jc w:val="both"/>
              <w:rPr>
                <w:rFonts w:ascii="Book Antiqua" w:hAnsi="Book Antiqua" w:cs="Times New Roman"/>
                <w:sz w:val="24"/>
                <w:szCs w:val="24"/>
              </w:rPr>
            </w:pPr>
          </w:p>
          <w:p w14:paraId="3EAA21ED"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100%</w:t>
            </w:r>
          </w:p>
          <w:p w14:paraId="1FE45E16" w14:textId="77777777" w:rsidR="00010AC2" w:rsidRPr="00772D93" w:rsidRDefault="00010AC2" w:rsidP="00636E17">
            <w:pPr>
              <w:spacing w:line="360" w:lineRule="auto"/>
              <w:jc w:val="both"/>
              <w:rPr>
                <w:rFonts w:ascii="Book Antiqua" w:hAnsi="Book Antiqua" w:cs="Times New Roman"/>
                <w:sz w:val="24"/>
                <w:szCs w:val="24"/>
              </w:rPr>
            </w:pPr>
          </w:p>
          <w:p w14:paraId="16FA356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p w14:paraId="17E082B9" w14:textId="77777777" w:rsidR="00010AC2" w:rsidRPr="00772D93" w:rsidRDefault="00010AC2" w:rsidP="00636E17">
            <w:pPr>
              <w:spacing w:line="360" w:lineRule="auto"/>
              <w:jc w:val="both"/>
              <w:rPr>
                <w:rFonts w:ascii="Book Antiqua" w:hAnsi="Book Antiqua" w:cs="Times New Roman"/>
                <w:sz w:val="24"/>
                <w:szCs w:val="24"/>
              </w:rPr>
            </w:pPr>
          </w:p>
          <w:p w14:paraId="1B03AACE" w14:textId="77777777" w:rsidR="00010AC2" w:rsidRPr="00772D93" w:rsidRDefault="00010AC2" w:rsidP="00636E17">
            <w:pPr>
              <w:spacing w:line="360" w:lineRule="auto"/>
              <w:jc w:val="both"/>
              <w:rPr>
                <w:rFonts w:ascii="Book Antiqua" w:hAnsi="Book Antiqua" w:cs="Times New Roman"/>
                <w:sz w:val="24"/>
                <w:szCs w:val="24"/>
                <w:lang w:eastAsia="zh-CN"/>
              </w:rPr>
            </w:pPr>
            <w:r w:rsidRPr="00772D93">
              <w:rPr>
                <w:rFonts w:ascii="Book Antiqua" w:hAnsi="Book Antiqua" w:cs="Times New Roman"/>
                <w:sz w:val="24"/>
                <w:szCs w:val="24"/>
              </w:rPr>
              <w:t>10 mg</w:t>
            </w:r>
            <w:r>
              <w:rPr>
                <w:rFonts w:ascii="Book Antiqua" w:hAnsi="Book Antiqua" w:cs="Times New Roman"/>
                <w:sz w:val="24"/>
                <w:szCs w:val="24"/>
              </w:rPr>
              <w:t xml:space="preserve">   </w:t>
            </w:r>
          </w:p>
        </w:tc>
        <w:tc>
          <w:tcPr>
            <w:tcW w:w="1260" w:type="dxa"/>
          </w:tcPr>
          <w:p w14:paraId="76BC7221" w14:textId="77777777" w:rsidR="00010AC2" w:rsidRPr="00772D93" w:rsidRDefault="00010AC2" w:rsidP="00636E17">
            <w:pPr>
              <w:spacing w:line="360" w:lineRule="auto"/>
              <w:jc w:val="both"/>
              <w:rPr>
                <w:rFonts w:ascii="Book Antiqua" w:hAnsi="Book Antiqua" w:cs="Times New Roman"/>
                <w:sz w:val="24"/>
                <w:szCs w:val="24"/>
              </w:rPr>
            </w:pPr>
          </w:p>
          <w:p w14:paraId="36735F4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100 %</w:t>
            </w:r>
          </w:p>
          <w:p w14:paraId="031A702D" w14:textId="77777777" w:rsidR="00010AC2" w:rsidRPr="00772D93" w:rsidRDefault="00010AC2" w:rsidP="00636E17">
            <w:pPr>
              <w:spacing w:line="360" w:lineRule="auto"/>
              <w:jc w:val="both"/>
              <w:rPr>
                <w:rFonts w:ascii="Book Antiqua" w:hAnsi="Book Antiqua" w:cs="Times New Roman"/>
                <w:sz w:val="24"/>
                <w:szCs w:val="24"/>
              </w:rPr>
            </w:pPr>
          </w:p>
          <w:p w14:paraId="284E11DE"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12.5%</w:t>
            </w:r>
          </w:p>
          <w:p w14:paraId="561028DF" w14:textId="77777777" w:rsidR="00010AC2" w:rsidRPr="00772D93" w:rsidRDefault="00010AC2" w:rsidP="00636E17">
            <w:pPr>
              <w:spacing w:line="360" w:lineRule="auto"/>
              <w:jc w:val="both"/>
              <w:rPr>
                <w:rFonts w:ascii="Book Antiqua" w:hAnsi="Book Antiqua" w:cs="Times New Roman"/>
                <w:sz w:val="24"/>
                <w:szCs w:val="24"/>
              </w:rPr>
            </w:pPr>
          </w:p>
          <w:p w14:paraId="44FCDED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50%</w:t>
            </w:r>
          </w:p>
          <w:p w14:paraId="33FD79D4" w14:textId="77777777" w:rsidR="00010AC2" w:rsidRPr="00772D93" w:rsidRDefault="00010AC2" w:rsidP="00636E17">
            <w:pPr>
              <w:spacing w:line="360" w:lineRule="auto"/>
              <w:jc w:val="both"/>
              <w:rPr>
                <w:rFonts w:ascii="Book Antiqua" w:hAnsi="Book Antiqua" w:cs="Times New Roman"/>
                <w:sz w:val="24"/>
                <w:szCs w:val="24"/>
              </w:rPr>
            </w:pPr>
          </w:p>
          <w:p w14:paraId="1E379BCD" w14:textId="77777777" w:rsidR="00010AC2" w:rsidRPr="00772D93" w:rsidRDefault="00010AC2" w:rsidP="00636E17">
            <w:pPr>
              <w:spacing w:line="360" w:lineRule="auto"/>
              <w:jc w:val="both"/>
              <w:rPr>
                <w:rFonts w:ascii="Book Antiqua" w:hAnsi="Book Antiqua" w:cs="Times New Roman"/>
                <w:sz w:val="24"/>
                <w:szCs w:val="24"/>
                <w:lang w:eastAsia="zh-CN"/>
              </w:rPr>
            </w:pPr>
            <w:r>
              <w:rPr>
                <w:rFonts w:ascii="Book Antiqua" w:hAnsi="Book Antiqua" w:cs="Times New Roman"/>
                <w:sz w:val="24"/>
                <w:szCs w:val="24"/>
              </w:rPr>
              <w:t>50 mg</w:t>
            </w:r>
          </w:p>
        </w:tc>
        <w:tc>
          <w:tcPr>
            <w:tcW w:w="957" w:type="dxa"/>
          </w:tcPr>
          <w:p w14:paraId="5660BC85" w14:textId="77777777" w:rsidR="00010AC2" w:rsidRPr="00772D93" w:rsidRDefault="00010AC2" w:rsidP="00636E17">
            <w:pPr>
              <w:spacing w:line="360" w:lineRule="auto"/>
              <w:jc w:val="both"/>
              <w:rPr>
                <w:rFonts w:ascii="Book Antiqua" w:hAnsi="Book Antiqua" w:cs="Times New Roman"/>
                <w:sz w:val="24"/>
                <w:szCs w:val="24"/>
              </w:rPr>
            </w:pPr>
          </w:p>
          <w:p w14:paraId="582D2B3B"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100%</w:t>
            </w:r>
          </w:p>
          <w:p w14:paraId="57E06C5F" w14:textId="77777777" w:rsidR="00010AC2" w:rsidRPr="00772D93" w:rsidRDefault="00010AC2" w:rsidP="00636E17">
            <w:pPr>
              <w:spacing w:line="360" w:lineRule="auto"/>
              <w:jc w:val="both"/>
              <w:rPr>
                <w:rFonts w:ascii="Book Antiqua" w:hAnsi="Book Antiqua" w:cs="Times New Roman"/>
                <w:sz w:val="24"/>
                <w:szCs w:val="24"/>
              </w:rPr>
            </w:pPr>
          </w:p>
          <w:p w14:paraId="57AA4E9A"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25%</w:t>
            </w:r>
          </w:p>
          <w:p w14:paraId="3B965ED6" w14:textId="77777777" w:rsidR="00010AC2" w:rsidRPr="00772D93" w:rsidRDefault="00010AC2" w:rsidP="00636E17">
            <w:pPr>
              <w:spacing w:line="360" w:lineRule="auto"/>
              <w:jc w:val="both"/>
              <w:rPr>
                <w:rFonts w:ascii="Book Antiqua" w:hAnsi="Book Antiqua" w:cs="Times New Roman"/>
                <w:sz w:val="24"/>
                <w:szCs w:val="24"/>
              </w:rPr>
            </w:pPr>
          </w:p>
          <w:p w14:paraId="12C0F90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100%</w:t>
            </w:r>
          </w:p>
          <w:p w14:paraId="101D7D39" w14:textId="77777777" w:rsidR="00010AC2" w:rsidRPr="00772D93" w:rsidRDefault="00010AC2" w:rsidP="00636E17">
            <w:pPr>
              <w:spacing w:line="360" w:lineRule="auto"/>
              <w:jc w:val="both"/>
              <w:rPr>
                <w:rFonts w:ascii="Book Antiqua" w:hAnsi="Book Antiqua" w:cs="Times New Roman"/>
                <w:sz w:val="24"/>
                <w:szCs w:val="24"/>
              </w:rPr>
            </w:pPr>
          </w:p>
          <w:p w14:paraId="5659AFB9" w14:textId="77777777" w:rsidR="00010AC2" w:rsidRPr="00772D93" w:rsidRDefault="00010AC2" w:rsidP="00636E17">
            <w:pPr>
              <w:spacing w:line="360" w:lineRule="auto"/>
              <w:jc w:val="both"/>
              <w:rPr>
                <w:rFonts w:ascii="Book Antiqua" w:hAnsi="Book Antiqua" w:cs="Times New Roman"/>
                <w:sz w:val="24"/>
                <w:szCs w:val="24"/>
                <w:lang w:eastAsia="zh-CN"/>
              </w:rPr>
            </w:pPr>
            <w:r>
              <w:rPr>
                <w:rFonts w:ascii="Book Antiqua" w:hAnsi="Book Antiqua" w:cs="Times New Roman"/>
                <w:sz w:val="24"/>
                <w:szCs w:val="24"/>
              </w:rPr>
              <w:t>100 mg</w:t>
            </w:r>
          </w:p>
        </w:tc>
        <w:tc>
          <w:tcPr>
            <w:tcW w:w="1293" w:type="dxa"/>
          </w:tcPr>
          <w:p w14:paraId="49B73901" w14:textId="77777777" w:rsidR="00010AC2" w:rsidRPr="00772D93" w:rsidRDefault="00010AC2" w:rsidP="00636E17">
            <w:pPr>
              <w:spacing w:line="360" w:lineRule="auto"/>
              <w:jc w:val="both"/>
              <w:rPr>
                <w:rFonts w:ascii="Book Antiqua" w:hAnsi="Book Antiqua" w:cs="Times New Roman"/>
                <w:sz w:val="24"/>
                <w:szCs w:val="24"/>
              </w:rPr>
            </w:pPr>
          </w:p>
          <w:p w14:paraId="1512AB51"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25%</w:t>
            </w:r>
          </w:p>
          <w:p w14:paraId="0842EEA3" w14:textId="77777777" w:rsidR="00010AC2" w:rsidRPr="00772D93" w:rsidRDefault="00010AC2" w:rsidP="00636E17">
            <w:pPr>
              <w:spacing w:line="360" w:lineRule="auto"/>
              <w:jc w:val="both"/>
              <w:rPr>
                <w:rFonts w:ascii="Book Antiqua" w:hAnsi="Book Antiqua" w:cs="Times New Roman"/>
                <w:sz w:val="24"/>
                <w:szCs w:val="24"/>
              </w:rPr>
            </w:pPr>
          </w:p>
          <w:p w14:paraId="0AC99D23"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50%</w:t>
            </w:r>
          </w:p>
          <w:p w14:paraId="739E0AD9" w14:textId="77777777" w:rsidR="00010AC2" w:rsidRPr="00772D93" w:rsidRDefault="00010AC2" w:rsidP="00636E17">
            <w:pPr>
              <w:spacing w:line="360" w:lineRule="auto"/>
              <w:jc w:val="both"/>
              <w:rPr>
                <w:rFonts w:ascii="Book Antiqua" w:hAnsi="Book Antiqua" w:cs="Times New Roman"/>
                <w:sz w:val="24"/>
                <w:szCs w:val="24"/>
              </w:rPr>
            </w:pPr>
          </w:p>
          <w:p w14:paraId="11131D72"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100%</w:t>
            </w:r>
          </w:p>
          <w:p w14:paraId="255D6692" w14:textId="77777777" w:rsidR="00010AC2" w:rsidRPr="00772D93" w:rsidRDefault="00010AC2" w:rsidP="00636E17">
            <w:pPr>
              <w:spacing w:line="360" w:lineRule="auto"/>
              <w:jc w:val="both"/>
              <w:rPr>
                <w:rFonts w:ascii="Book Antiqua" w:hAnsi="Book Antiqua" w:cs="Times New Roman"/>
                <w:sz w:val="24"/>
                <w:szCs w:val="24"/>
              </w:rPr>
            </w:pPr>
          </w:p>
          <w:p w14:paraId="0B34C5CF" w14:textId="77777777" w:rsidR="00010AC2" w:rsidRPr="00772D93" w:rsidRDefault="00010AC2" w:rsidP="00636E17">
            <w:pPr>
              <w:spacing w:line="360" w:lineRule="auto"/>
              <w:jc w:val="both"/>
              <w:rPr>
                <w:rFonts w:ascii="Book Antiqua" w:hAnsi="Book Antiqua" w:cs="Times New Roman"/>
                <w:sz w:val="24"/>
                <w:szCs w:val="24"/>
                <w:lang w:eastAsia="zh-CN"/>
              </w:rPr>
            </w:pPr>
            <w:r>
              <w:rPr>
                <w:rFonts w:ascii="Book Antiqua" w:hAnsi="Book Antiqua" w:cs="Times New Roman"/>
                <w:sz w:val="24"/>
                <w:szCs w:val="24"/>
              </w:rPr>
              <w:t>25 mg</w:t>
            </w:r>
          </w:p>
        </w:tc>
        <w:tc>
          <w:tcPr>
            <w:tcW w:w="975" w:type="dxa"/>
          </w:tcPr>
          <w:p w14:paraId="029556B7" w14:textId="77777777" w:rsidR="00010AC2" w:rsidRPr="00772D93" w:rsidRDefault="00010AC2" w:rsidP="00636E17">
            <w:pPr>
              <w:spacing w:line="360" w:lineRule="auto"/>
              <w:jc w:val="both"/>
              <w:rPr>
                <w:rFonts w:ascii="Book Antiqua" w:hAnsi="Book Antiqua" w:cs="Times New Roman"/>
                <w:sz w:val="24"/>
                <w:szCs w:val="24"/>
              </w:rPr>
            </w:pPr>
          </w:p>
          <w:p w14:paraId="362C6D05"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25%</w:t>
            </w:r>
          </w:p>
          <w:p w14:paraId="615F17AF" w14:textId="77777777" w:rsidR="00010AC2" w:rsidRPr="00772D93" w:rsidRDefault="00010AC2" w:rsidP="00636E17">
            <w:pPr>
              <w:spacing w:line="360" w:lineRule="auto"/>
              <w:jc w:val="both"/>
              <w:rPr>
                <w:rFonts w:ascii="Book Antiqua" w:hAnsi="Book Antiqua" w:cs="Times New Roman"/>
                <w:sz w:val="24"/>
                <w:szCs w:val="24"/>
              </w:rPr>
            </w:pPr>
          </w:p>
          <w:p w14:paraId="181C6E44"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25%</w:t>
            </w:r>
          </w:p>
          <w:p w14:paraId="15BEEA71" w14:textId="77777777" w:rsidR="00010AC2" w:rsidRPr="00772D93" w:rsidRDefault="00010AC2" w:rsidP="00636E17">
            <w:pPr>
              <w:spacing w:line="360" w:lineRule="auto"/>
              <w:jc w:val="both"/>
              <w:rPr>
                <w:rFonts w:ascii="Book Antiqua" w:hAnsi="Book Antiqua" w:cs="Times New Roman"/>
                <w:sz w:val="24"/>
                <w:szCs w:val="24"/>
              </w:rPr>
            </w:pPr>
          </w:p>
          <w:p w14:paraId="5834AC51" w14:textId="77777777" w:rsidR="00010AC2" w:rsidRPr="00772D93" w:rsidRDefault="00010AC2"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w:t>
            </w:r>
          </w:p>
          <w:p w14:paraId="77C39343" w14:textId="77777777" w:rsidR="00010AC2" w:rsidRPr="00772D93" w:rsidRDefault="00010AC2" w:rsidP="00636E17">
            <w:pPr>
              <w:spacing w:line="360" w:lineRule="auto"/>
              <w:jc w:val="both"/>
              <w:rPr>
                <w:rFonts w:ascii="Book Antiqua" w:hAnsi="Book Antiqua" w:cs="Times New Roman"/>
                <w:sz w:val="24"/>
                <w:szCs w:val="24"/>
              </w:rPr>
            </w:pPr>
          </w:p>
          <w:p w14:paraId="24F56A80" w14:textId="77777777" w:rsidR="00010AC2" w:rsidRPr="00772D93" w:rsidRDefault="00010AC2" w:rsidP="00636E17">
            <w:pPr>
              <w:spacing w:line="360" w:lineRule="auto"/>
              <w:jc w:val="both"/>
              <w:rPr>
                <w:rFonts w:ascii="Book Antiqua" w:hAnsi="Book Antiqua" w:cs="Times New Roman"/>
                <w:sz w:val="24"/>
                <w:szCs w:val="24"/>
                <w:lang w:eastAsia="zh-CN"/>
              </w:rPr>
            </w:pPr>
            <w:r>
              <w:rPr>
                <w:rFonts w:ascii="Book Antiqua" w:hAnsi="Book Antiqua" w:cs="Times New Roman"/>
                <w:sz w:val="24"/>
                <w:szCs w:val="24"/>
              </w:rPr>
              <w:t>10 mg</w:t>
            </w:r>
          </w:p>
        </w:tc>
      </w:tr>
    </w:tbl>
    <w:p w14:paraId="676B4A63" w14:textId="77777777" w:rsidR="00D53B15" w:rsidRDefault="00D53B15" w:rsidP="00010AC2">
      <w:pPr>
        <w:spacing w:after="0" w:line="360" w:lineRule="auto"/>
        <w:jc w:val="both"/>
        <w:rPr>
          <w:rFonts w:ascii="Book Antiqua" w:hAnsi="Book Antiqua" w:cs="Times New Roman"/>
          <w:sz w:val="24"/>
          <w:szCs w:val="24"/>
          <w:lang w:val="en-GB" w:eastAsia="zh-CN"/>
        </w:rPr>
      </w:pPr>
    </w:p>
    <w:p w14:paraId="7F3B5028" w14:textId="77777777" w:rsidR="00010AC2" w:rsidRPr="00010AC2" w:rsidRDefault="00010AC2" w:rsidP="00010AC2">
      <w:pPr>
        <w:spacing w:after="0" w:line="360" w:lineRule="auto"/>
        <w:jc w:val="both"/>
        <w:rPr>
          <w:rFonts w:ascii="Book Antiqua" w:hAnsi="Book Antiqua" w:cs="Times New Roman"/>
          <w:sz w:val="24"/>
          <w:szCs w:val="24"/>
          <w:lang w:val="en-GB"/>
        </w:rPr>
      </w:pPr>
      <w:r w:rsidRPr="00010AC2">
        <w:rPr>
          <w:rFonts w:ascii="Book Antiqua" w:hAnsi="Book Antiqua" w:cs="Times New Roman"/>
          <w:sz w:val="24"/>
          <w:szCs w:val="24"/>
          <w:lang w:val="en-GB"/>
        </w:rPr>
        <w:t>NT-</w:t>
      </w:r>
      <w:proofErr w:type="spellStart"/>
      <w:r w:rsidRPr="00010AC2">
        <w:rPr>
          <w:rFonts w:ascii="Book Antiqua" w:hAnsi="Book Antiqua" w:cs="Times New Roman"/>
          <w:sz w:val="24"/>
          <w:szCs w:val="24"/>
          <w:lang w:val="en-GB"/>
        </w:rPr>
        <w:t>proBNP</w:t>
      </w:r>
      <w:proofErr w:type="spellEnd"/>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N-terminal pro B-type natriuretic peptide; eGFR</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Estimated glomerular filtration rate; LV</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Left ventricular; PCWP</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Pulmonary capillary wedge pressure; RV S’</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Systolic velocity of tricuspid valve; TAPSE</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Tricuspid annular plain systolic excursion; FAC</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Fractional area change; ACEI</w:t>
      </w:r>
      <w:r w:rsidRPr="00010AC2">
        <w:rPr>
          <w:rFonts w:ascii="Book Antiqua" w:hAnsi="Book Antiqua" w:cs="Times New Roman" w:hint="eastAsia"/>
          <w:sz w:val="24"/>
          <w:szCs w:val="24"/>
          <w:lang w:val="en-GB" w:eastAsia="zh-CN"/>
        </w:rPr>
        <w:t>:</w:t>
      </w:r>
      <w:r w:rsidRPr="00010AC2">
        <w:rPr>
          <w:rFonts w:ascii="Book Antiqua" w:hAnsi="Book Antiqua" w:cs="Times New Roman"/>
          <w:sz w:val="24"/>
          <w:szCs w:val="24"/>
          <w:lang w:val="en-GB"/>
        </w:rPr>
        <w:t xml:space="preserve"> </w:t>
      </w:r>
      <w:r w:rsidRPr="00010AC2">
        <w:rPr>
          <w:rFonts w:ascii="Book Antiqua" w:hAnsi="Book Antiqua" w:cs="Times New Roman"/>
          <w:sz w:val="24"/>
          <w:szCs w:val="24"/>
          <w:lang w:val="lt-LT"/>
        </w:rPr>
        <w:t>Angiotensin-converting enzyme inhibitor.</w:t>
      </w:r>
    </w:p>
    <w:p w14:paraId="2E8F9591" w14:textId="1B1EADC8" w:rsidR="008802E1" w:rsidRDefault="008802E1">
      <w:pPr>
        <w:rPr>
          <w:rFonts w:ascii="Book Antiqua" w:hAnsi="Book Antiqua" w:cs="Times New Roman"/>
          <w:sz w:val="24"/>
          <w:szCs w:val="24"/>
          <w:lang w:val="en-GB"/>
        </w:rPr>
      </w:pPr>
      <w:r>
        <w:rPr>
          <w:rFonts w:ascii="Book Antiqua" w:hAnsi="Book Antiqua" w:cs="Times New Roman"/>
          <w:sz w:val="24"/>
          <w:szCs w:val="24"/>
          <w:lang w:val="en-GB"/>
        </w:rPr>
        <w:br w:type="page"/>
      </w:r>
    </w:p>
    <w:p w14:paraId="562AD585" w14:textId="77777777" w:rsidR="008802E1" w:rsidRPr="008802E1" w:rsidRDefault="008802E1" w:rsidP="008802E1">
      <w:pPr>
        <w:spacing w:after="0" w:line="360" w:lineRule="auto"/>
        <w:jc w:val="both"/>
        <w:rPr>
          <w:rFonts w:ascii="Book Antiqua" w:hAnsi="Book Antiqua" w:cs="Times New Roman"/>
          <w:b/>
          <w:sz w:val="24"/>
          <w:szCs w:val="24"/>
          <w:lang w:eastAsia="zh-CN"/>
        </w:rPr>
      </w:pPr>
      <w:r w:rsidRPr="008802E1">
        <w:rPr>
          <w:rFonts w:ascii="Book Antiqua" w:hAnsi="Book Antiqua" w:cs="Times New Roman"/>
          <w:b/>
          <w:sz w:val="24"/>
          <w:szCs w:val="24"/>
        </w:rPr>
        <w:lastRenderedPageBreak/>
        <w:t>Table 3 Triggers for treatment adjustments reacting to clinical and monitoring parameters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5171"/>
        <w:gridCol w:w="1685"/>
      </w:tblGrid>
      <w:tr w:rsidR="008802E1" w:rsidRPr="00772D93" w14:paraId="3139F4C9" w14:textId="77777777" w:rsidTr="00636E17">
        <w:tc>
          <w:tcPr>
            <w:tcW w:w="2494" w:type="dxa"/>
            <w:tcBorders>
              <w:top w:val="single" w:sz="4" w:space="0" w:color="auto"/>
              <w:bottom w:val="single" w:sz="4" w:space="0" w:color="auto"/>
            </w:tcBorders>
            <w:shd w:val="clear" w:color="auto" w:fill="auto"/>
          </w:tcPr>
          <w:p w14:paraId="444E22DD"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Trigger</w:t>
            </w:r>
          </w:p>
        </w:tc>
        <w:tc>
          <w:tcPr>
            <w:tcW w:w="5171" w:type="dxa"/>
            <w:tcBorders>
              <w:top w:val="single" w:sz="4" w:space="0" w:color="auto"/>
              <w:bottom w:val="single" w:sz="4" w:space="0" w:color="auto"/>
            </w:tcBorders>
            <w:shd w:val="clear" w:color="auto" w:fill="auto"/>
          </w:tcPr>
          <w:p w14:paraId="049C5713"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Intervention</w:t>
            </w:r>
          </w:p>
        </w:tc>
        <w:tc>
          <w:tcPr>
            <w:tcW w:w="1685" w:type="dxa"/>
            <w:tcBorders>
              <w:top w:val="single" w:sz="4" w:space="0" w:color="auto"/>
              <w:bottom w:val="single" w:sz="4" w:space="0" w:color="auto"/>
            </w:tcBorders>
            <w:shd w:val="clear" w:color="auto" w:fill="auto"/>
          </w:tcPr>
          <w:p w14:paraId="7CC51EC2"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Frequency of intervention, times</w:t>
            </w:r>
          </w:p>
        </w:tc>
      </w:tr>
      <w:tr w:rsidR="008802E1" w:rsidRPr="00772D93" w14:paraId="0B16E7C5" w14:textId="77777777" w:rsidTr="00636E17">
        <w:tc>
          <w:tcPr>
            <w:tcW w:w="2494" w:type="dxa"/>
            <w:tcBorders>
              <w:top w:val="single" w:sz="4" w:space="0" w:color="auto"/>
            </w:tcBorders>
            <w:shd w:val="clear" w:color="auto" w:fill="auto"/>
          </w:tcPr>
          <w:p w14:paraId="177083AF"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b/>
                <w:sz w:val="24"/>
                <w:szCs w:val="24"/>
                <w:lang w:val="lt-LT"/>
              </w:rPr>
              <w:t>Symptoms</w:t>
            </w:r>
            <w:r w:rsidRPr="00772D93">
              <w:rPr>
                <w:rFonts w:ascii="Book Antiqua" w:hAnsi="Book Antiqua" w:cs="Times New Roman"/>
                <w:sz w:val="24"/>
                <w:szCs w:val="24"/>
                <w:lang w:val="lt-LT"/>
              </w:rPr>
              <w:t xml:space="preserve"> </w:t>
            </w:r>
            <w:r w:rsidRPr="008802E1">
              <w:rPr>
                <w:rFonts w:ascii="Book Antiqua" w:hAnsi="Book Antiqua" w:cs="Times New Roman"/>
                <w:sz w:val="24"/>
                <w:szCs w:val="24"/>
                <w:lang w:val="lt-LT"/>
              </w:rPr>
              <w:t>(weakness)</w:t>
            </w:r>
          </w:p>
        </w:tc>
        <w:tc>
          <w:tcPr>
            <w:tcW w:w="5171" w:type="dxa"/>
            <w:tcBorders>
              <w:top w:val="single" w:sz="4" w:space="0" w:color="auto"/>
            </w:tcBorders>
            <w:shd w:val="clear" w:color="auto" w:fill="auto"/>
          </w:tcPr>
          <w:p w14:paraId="5278A10C"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 xml:space="preserve">Hospitalization because of revealed renal failure, hyperkalemia </w:t>
            </w:r>
          </w:p>
        </w:tc>
        <w:tc>
          <w:tcPr>
            <w:tcW w:w="1685" w:type="dxa"/>
            <w:tcBorders>
              <w:top w:val="single" w:sz="4" w:space="0" w:color="auto"/>
            </w:tcBorders>
            <w:shd w:val="clear" w:color="auto" w:fill="auto"/>
          </w:tcPr>
          <w:p w14:paraId="78C72658"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1</w:t>
            </w:r>
          </w:p>
        </w:tc>
      </w:tr>
      <w:tr w:rsidR="008802E1" w:rsidRPr="00772D93" w14:paraId="4B352C5C" w14:textId="77777777" w:rsidTr="00636E17">
        <w:tc>
          <w:tcPr>
            <w:tcW w:w="2494" w:type="dxa"/>
            <w:shd w:val="clear" w:color="auto" w:fill="auto"/>
          </w:tcPr>
          <w:p w14:paraId="08C63654"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 xml:space="preserve">High HR </w:t>
            </w:r>
          </w:p>
        </w:tc>
        <w:tc>
          <w:tcPr>
            <w:tcW w:w="5171" w:type="dxa"/>
            <w:shd w:val="clear" w:color="auto" w:fill="auto"/>
          </w:tcPr>
          <w:p w14:paraId="371EEC1D"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Increasing the dose of beta-blockers</w:t>
            </w:r>
          </w:p>
          <w:p w14:paraId="3854E5D5"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Administration of Ivabradine</w:t>
            </w:r>
          </w:p>
        </w:tc>
        <w:tc>
          <w:tcPr>
            <w:tcW w:w="1685" w:type="dxa"/>
            <w:shd w:val="clear" w:color="auto" w:fill="auto"/>
          </w:tcPr>
          <w:p w14:paraId="2C01F94B" w14:textId="77777777" w:rsidR="008802E1" w:rsidRPr="00772D93" w:rsidRDefault="008802E1"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3</w:t>
            </w:r>
          </w:p>
          <w:p w14:paraId="62C56EB6" w14:textId="77777777" w:rsidR="008802E1" w:rsidRPr="00772D93" w:rsidRDefault="008802E1"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rPr>
              <w:t>1</w:t>
            </w:r>
          </w:p>
        </w:tc>
      </w:tr>
      <w:tr w:rsidR="008802E1" w:rsidRPr="00772D93" w14:paraId="517C5A0C" w14:textId="77777777" w:rsidTr="00636E17">
        <w:tc>
          <w:tcPr>
            <w:tcW w:w="2494" w:type="dxa"/>
            <w:shd w:val="clear" w:color="auto" w:fill="auto"/>
          </w:tcPr>
          <w:p w14:paraId="51F3A302"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Uncontrolled BP</w:t>
            </w:r>
          </w:p>
        </w:tc>
        <w:tc>
          <w:tcPr>
            <w:tcW w:w="5171" w:type="dxa"/>
            <w:shd w:val="clear" w:color="auto" w:fill="auto"/>
          </w:tcPr>
          <w:p w14:paraId="0AC1588D"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 xml:space="preserve">Increasing the dose of ACE inhibitors </w:t>
            </w:r>
          </w:p>
        </w:tc>
        <w:tc>
          <w:tcPr>
            <w:tcW w:w="1685" w:type="dxa"/>
            <w:shd w:val="clear" w:color="auto" w:fill="auto"/>
          </w:tcPr>
          <w:p w14:paraId="366EBE03"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1</w:t>
            </w:r>
          </w:p>
        </w:tc>
      </w:tr>
      <w:tr w:rsidR="008802E1" w:rsidRPr="00772D93" w14:paraId="46A1B10F" w14:textId="77777777" w:rsidTr="00636E17">
        <w:tc>
          <w:tcPr>
            <w:tcW w:w="2494" w:type="dxa"/>
            <w:shd w:val="clear" w:color="auto" w:fill="auto"/>
          </w:tcPr>
          <w:p w14:paraId="2A9759D9"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Electrolyte imbalance</w:t>
            </w:r>
          </w:p>
        </w:tc>
        <w:tc>
          <w:tcPr>
            <w:tcW w:w="5171" w:type="dxa"/>
            <w:shd w:val="clear" w:color="auto" w:fill="auto"/>
          </w:tcPr>
          <w:p w14:paraId="0B5EAB5C"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Increasing the dose of Spironolactone and decreasing the dose of Torasemide</w:t>
            </w:r>
          </w:p>
        </w:tc>
        <w:tc>
          <w:tcPr>
            <w:tcW w:w="1685" w:type="dxa"/>
            <w:shd w:val="clear" w:color="auto" w:fill="auto"/>
          </w:tcPr>
          <w:p w14:paraId="49E08D83"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1</w:t>
            </w:r>
          </w:p>
        </w:tc>
      </w:tr>
      <w:tr w:rsidR="008802E1" w:rsidRPr="00772D93" w14:paraId="328410AE" w14:textId="77777777" w:rsidTr="00636E17">
        <w:tc>
          <w:tcPr>
            <w:tcW w:w="2494" w:type="dxa"/>
            <w:shd w:val="clear" w:color="auto" w:fill="auto"/>
          </w:tcPr>
          <w:p w14:paraId="44125774"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LI decrease</w:t>
            </w:r>
          </w:p>
        </w:tc>
        <w:tc>
          <w:tcPr>
            <w:tcW w:w="5171" w:type="dxa"/>
            <w:shd w:val="clear" w:color="auto" w:fill="auto"/>
          </w:tcPr>
          <w:p w14:paraId="0EB1D02A"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 xml:space="preserve">Increasing the dose of beta-blockers and Spironolactone </w:t>
            </w:r>
          </w:p>
          <w:p w14:paraId="568B989F"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Increasing the dose of ACE inhibitors and beta-blockers</w:t>
            </w:r>
          </w:p>
          <w:p w14:paraId="446B02E6"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Increasing the dose of Torasemide</w:t>
            </w:r>
          </w:p>
        </w:tc>
        <w:tc>
          <w:tcPr>
            <w:tcW w:w="1685" w:type="dxa"/>
            <w:shd w:val="clear" w:color="auto" w:fill="auto"/>
          </w:tcPr>
          <w:p w14:paraId="585B040D"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1</w:t>
            </w:r>
          </w:p>
          <w:p w14:paraId="36B7400A" w14:textId="77777777" w:rsidR="008802E1" w:rsidRPr="00772D93" w:rsidRDefault="008802E1" w:rsidP="00636E17">
            <w:pPr>
              <w:spacing w:line="360" w:lineRule="auto"/>
              <w:jc w:val="both"/>
              <w:rPr>
                <w:rFonts w:ascii="Book Antiqua" w:hAnsi="Book Antiqua" w:cs="Times New Roman"/>
                <w:sz w:val="24"/>
                <w:szCs w:val="24"/>
                <w:lang w:val="lt-LT" w:eastAsia="zh-CN"/>
              </w:rPr>
            </w:pPr>
          </w:p>
          <w:p w14:paraId="2F2086E4" w14:textId="77777777" w:rsidR="008802E1" w:rsidRDefault="008802E1" w:rsidP="00636E17">
            <w:pPr>
              <w:spacing w:line="360" w:lineRule="auto"/>
              <w:jc w:val="both"/>
              <w:rPr>
                <w:rFonts w:ascii="Book Antiqua" w:hAnsi="Book Antiqua" w:cs="Times New Roman"/>
                <w:sz w:val="24"/>
                <w:szCs w:val="24"/>
                <w:lang w:val="lt-LT" w:eastAsia="zh-CN"/>
              </w:rPr>
            </w:pPr>
            <w:r w:rsidRPr="00772D93">
              <w:rPr>
                <w:rFonts w:ascii="Book Antiqua" w:hAnsi="Book Antiqua" w:cs="Times New Roman"/>
                <w:sz w:val="24"/>
                <w:szCs w:val="24"/>
                <w:lang w:val="lt-LT"/>
              </w:rPr>
              <w:t>1</w:t>
            </w:r>
          </w:p>
          <w:p w14:paraId="0DE3A8B4" w14:textId="77777777" w:rsidR="008802E1" w:rsidRPr="00772D93" w:rsidRDefault="008802E1" w:rsidP="00636E17">
            <w:pPr>
              <w:spacing w:line="360" w:lineRule="auto"/>
              <w:jc w:val="both"/>
              <w:rPr>
                <w:rFonts w:ascii="Book Antiqua" w:hAnsi="Book Antiqua" w:cs="Times New Roman"/>
                <w:sz w:val="24"/>
                <w:szCs w:val="24"/>
                <w:lang w:val="lt-LT" w:eastAsia="zh-CN"/>
              </w:rPr>
            </w:pPr>
          </w:p>
          <w:p w14:paraId="71CBCCFE" w14:textId="77777777" w:rsidR="008802E1" w:rsidRPr="00772D93" w:rsidRDefault="008802E1" w:rsidP="00636E17">
            <w:pPr>
              <w:spacing w:line="360" w:lineRule="auto"/>
              <w:jc w:val="both"/>
              <w:rPr>
                <w:rFonts w:ascii="Book Antiqua" w:hAnsi="Book Antiqua" w:cs="Times New Roman"/>
                <w:sz w:val="24"/>
                <w:szCs w:val="24"/>
              </w:rPr>
            </w:pPr>
            <w:r w:rsidRPr="00772D93">
              <w:rPr>
                <w:rFonts w:ascii="Book Antiqua" w:hAnsi="Book Antiqua" w:cs="Times New Roman"/>
                <w:sz w:val="24"/>
                <w:szCs w:val="24"/>
                <w:lang w:val="lt-LT"/>
              </w:rPr>
              <w:t>5</w:t>
            </w:r>
          </w:p>
        </w:tc>
      </w:tr>
      <w:tr w:rsidR="008802E1" w:rsidRPr="00772D93" w14:paraId="2D499667" w14:textId="77777777" w:rsidTr="00636E17">
        <w:tc>
          <w:tcPr>
            <w:tcW w:w="2494" w:type="dxa"/>
            <w:shd w:val="clear" w:color="auto" w:fill="auto"/>
          </w:tcPr>
          <w:p w14:paraId="0F80A5FA" w14:textId="77777777" w:rsidR="008802E1" w:rsidRPr="00772D93" w:rsidRDefault="008802E1" w:rsidP="00636E17">
            <w:pPr>
              <w:spacing w:line="360" w:lineRule="auto"/>
              <w:jc w:val="both"/>
              <w:rPr>
                <w:rFonts w:ascii="Book Antiqua" w:hAnsi="Book Antiqua" w:cs="Times New Roman"/>
                <w:b/>
                <w:sz w:val="24"/>
                <w:szCs w:val="24"/>
                <w:lang w:val="lt-LT"/>
              </w:rPr>
            </w:pPr>
            <w:r w:rsidRPr="00772D93">
              <w:rPr>
                <w:rFonts w:ascii="Book Antiqua" w:hAnsi="Book Antiqua" w:cs="Times New Roman"/>
                <w:b/>
                <w:sz w:val="24"/>
                <w:szCs w:val="24"/>
                <w:lang w:val="lt-LT"/>
              </w:rPr>
              <w:t xml:space="preserve">Weight gain </w:t>
            </w:r>
          </w:p>
        </w:tc>
        <w:tc>
          <w:tcPr>
            <w:tcW w:w="5171" w:type="dxa"/>
            <w:shd w:val="clear" w:color="auto" w:fill="auto"/>
          </w:tcPr>
          <w:p w14:paraId="556C153A"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w:t>
            </w:r>
          </w:p>
        </w:tc>
        <w:tc>
          <w:tcPr>
            <w:tcW w:w="1685" w:type="dxa"/>
            <w:shd w:val="clear" w:color="auto" w:fill="auto"/>
          </w:tcPr>
          <w:p w14:paraId="2E772EC2" w14:textId="77777777" w:rsidR="008802E1" w:rsidRPr="00772D93" w:rsidRDefault="008802E1" w:rsidP="00636E17">
            <w:pPr>
              <w:spacing w:line="360" w:lineRule="auto"/>
              <w:jc w:val="both"/>
              <w:rPr>
                <w:rFonts w:ascii="Book Antiqua" w:hAnsi="Book Antiqua" w:cs="Times New Roman"/>
                <w:sz w:val="24"/>
                <w:szCs w:val="24"/>
                <w:lang w:val="lt-LT"/>
              </w:rPr>
            </w:pPr>
            <w:r w:rsidRPr="00772D93">
              <w:rPr>
                <w:rFonts w:ascii="Book Antiqua" w:hAnsi="Book Antiqua" w:cs="Times New Roman"/>
                <w:sz w:val="24"/>
                <w:szCs w:val="24"/>
                <w:lang w:val="lt-LT"/>
              </w:rPr>
              <w:t>0</w:t>
            </w:r>
          </w:p>
        </w:tc>
      </w:tr>
    </w:tbl>
    <w:p w14:paraId="7B1BC3A8" w14:textId="77777777" w:rsidR="008802E1" w:rsidRDefault="008802E1" w:rsidP="008802E1">
      <w:pPr>
        <w:spacing w:after="0" w:line="360" w:lineRule="auto"/>
        <w:jc w:val="both"/>
        <w:rPr>
          <w:rFonts w:ascii="Book Antiqua" w:hAnsi="Book Antiqua" w:cs="Times New Roman"/>
          <w:sz w:val="24"/>
          <w:szCs w:val="24"/>
          <w:lang w:val="en-GB" w:eastAsia="zh-CN"/>
        </w:rPr>
      </w:pPr>
    </w:p>
    <w:p w14:paraId="732E06DA" w14:textId="77777777" w:rsidR="008802E1" w:rsidRPr="008802E1" w:rsidRDefault="008802E1" w:rsidP="008802E1">
      <w:pPr>
        <w:spacing w:after="0" w:line="360" w:lineRule="auto"/>
        <w:jc w:val="both"/>
        <w:rPr>
          <w:rFonts w:ascii="Book Antiqua" w:hAnsi="Book Antiqua" w:cs="Times New Roman"/>
          <w:b/>
          <w:sz w:val="24"/>
          <w:szCs w:val="24"/>
          <w:lang w:eastAsia="zh-CN"/>
        </w:rPr>
      </w:pPr>
      <w:r w:rsidRPr="008802E1">
        <w:rPr>
          <w:rFonts w:ascii="Book Antiqua" w:hAnsi="Book Antiqua" w:cs="Times New Roman"/>
          <w:sz w:val="24"/>
          <w:szCs w:val="24"/>
          <w:lang w:val="en-GB"/>
        </w:rPr>
        <w:t>HR</w:t>
      </w:r>
      <w:r w:rsidRPr="008802E1">
        <w:rPr>
          <w:rFonts w:ascii="Book Antiqua" w:hAnsi="Book Antiqua" w:cs="Times New Roman" w:hint="eastAsia"/>
          <w:sz w:val="24"/>
          <w:szCs w:val="24"/>
          <w:lang w:val="en-GB" w:eastAsia="zh-CN"/>
        </w:rPr>
        <w:t>:</w:t>
      </w:r>
      <w:r w:rsidRPr="008802E1">
        <w:rPr>
          <w:rFonts w:ascii="Book Antiqua" w:hAnsi="Book Antiqua" w:cs="Times New Roman"/>
          <w:sz w:val="24"/>
          <w:szCs w:val="24"/>
          <w:lang w:val="en-GB"/>
        </w:rPr>
        <w:t xml:space="preserve"> Heart rate; BP</w:t>
      </w:r>
      <w:r w:rsidRPr="008802E1">
        <w:rPr>
          <w:rFonts w:ascii="Book Antiqua" w:hAnsi="Book Antiqua" w:cs="Times New Roman" w:hint="eastAsia"/>
          <w:sz w:val="24"/>
          <w:szCs w:val="24"/>
          <w:lang w:val="en-GB" w:eastAsia="zh-CN"/>
        </w:rPr>
        <w:t>:</w:t>
      </w:r>
      <w:r w:rsidRPr="008802E1">
        <w:rPr>
          <w:rFonts w:ascii="Book Antiqua" w:hAnsi="Book Antiqua" w:cs="Times New Roman"/>
          <w:sz w:val="24"/>
          <w:szCs w:val="24"/>
          <w:lang w:val="en-GB"/>
        </w:rPr>
        <w:t xml:space="preserve"> Blood pressure; LI</w:t>
      </w:r>
      <w:r w:rsidRPr="008802E1">
        <w:rPr>
          <w:rFonts w:ascii="Book Antiqua" w:hAnsi="Book Antiqua" w:cs="Times New Roman" w:hint="eastAsia"/>
          <w:sz w:val="24"/>
          <w:szCs w:val="24"/>
          <w:lang w:val="en-GB" w:eastAsia="zh-CN"/>
        </w:rPr>
        <w:t>:</w:t>
      </w:r>
      <w:r w:rsidRPr="008802E1">
        <w:rPr>
          <w:rFonts w:ascii="Book Antiqua" w:hAnsi="Book Antiqua" w:cs="Times New Roman"/>
          <w:sz w:val="24"/>
          <w:szCs w:val="24"/>
          <w:lang w:val="en-GB"/>
        </w:rPr>
        <w:t xml:space="preserve"> Lung impedance; </w:t>
      </w:r>
      <w:r w:rsidRPr="008802E1">
        <w:rPr>
          <w:rFonts w:ascii="Book Antiqua" w:hAnsi="Book Antiqua" w:cs="Times New Roman"/>
          <w:sz w:val="24"/>
          <w:szCs w:val="24"/>
        </w:rPr>
        <w:t>ACE</w:t>
      </w:r>
      <w:r w:rsidRPr="008802E1">
        <w:rPr>
          <w:rFonts w:ascii="Book Antiqua" w:hAnsi="Book Antiqua" w:cs="Times New Roman" w:hint="eastAsia"/>
          <w:sz w:val="24"/>
          <w:szCs w:val="24"/>
          <w:lang w:eastAsia="zh-CN"/>
        </w:rPr>
        <w:t>:</w:t>
      </w:r>
      <w:r w:rsidRPr="008802E1">
        <w:rPr>
          <w:rFonts w:ascii="Book Antiqua" w:hAnsi="Book Antiqua" w:cs="Times New Roman"/>
          <w:sz w:val="24"/>
          <w:szCs w:val="24"/>
        </w:rPr>
        <w:t xml:space="preserve"> Angiotensin-converting enzyme.</w:t>
      </w:r>
    </w:p>
    <w:p w14:paraId="02FD9ADE" w14:textId="77777777" w:rsidR="002950FD" w:rsidRPr="00010AC2" w:rsidRDefault="002950FD" w:rsidP="00772D93">
      <w:pPr>
        <w:spacing w:after="0" w:line="360" w:lineRule="auto"/>
        <w:jc w:val="both"/>
        <w:rPr>
          <w:rFonts w:ascii="Book Antiqua" w:hAnsi="Book Antiqua" w:cs="Times New Roman"/>
          <w:sz w:val="24"/>
          <w:szCs w:val="24"/>
          <w:lang w:val="en-GB"/>
        </w:rPr>
      </w:pPr>
    </w:p>
    <w:p w14:paraId="64372A1B" w14:textId="60818417" w:rsidR="002950FD" w:rsidRPr="00772D93" w:rsidRDefault="000238C3" w:rsidP="00772D93">
      <w:pPr>
        <w:tabs>
          <w:tab w:val="left" w:pos="6225"/>
        </w:tabs>
        <w:spacing w:after="0" w:line="360" w:lineRule="auto"/>
        <w:jc w:val="both"/>
        <w:rPr>
          <w:rFonts w:ascii="Book Antiqua" w:hAnsi="Book Antiqua" w:cs="Times New Roman"/>
          <w:sz w:val="24"/>
          <w:szCs w:val="24"/>
        </w:rPr>
      </w:pPr>
      <w:r w:rsidRPr="00772D93">
        <w:rPr>
          <w:rFonts w:ascii="Book Antiqua" w:hAnsi="Book Antiqua" w:cs="Times New Roman"/>
          <w:sz w:val="24"/>
          <w:szCs w:val="24"/>
        </w:rPr>
        <w:tab/>
      </w:r>
    </w:p>
    <w:sectPr w:rsidR="002950FD" w:rsidRPr="00772D93" w:rsidSect="00236B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A001" w14:textId="77777777" w:rsidR="003F3C52" w:rsidRDefault="003F3C52" w:rsidP="00A84A51">
      <w:pPr>
        <w:spacing w:after="0" w:line="240" w:lineRule="auto"/>
      </w:pPr>
      <w:r>
        <w:separator/>
      </w:r>
    </w:p>
  </w:endnote>
  <w:endnote w:type="continuationSeparator" w:id="0">
    <w:p w14:paraId="54D2B805" w14:textId="77777777" w:rsidR="003F3C52" w:rsidRDefault="003F3C52" w:rsidP="00A8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BA"/>
    <w:family w:val="auto"/>
    <w:notTrueType/>
    <w:pitch w:val="default"/>
    <w:sig w:usb0="00000005" w:usb1="00000000" w:usb2="00000000" w:usb3="00000000" w:csb0="00000080"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096933"/>
      <w:docPartObj>
        <w:docPartGallery w:val="Page Numbers (Bottom of Page)"/>
        <w:docPartUnique/>
      </w:docPartObj>
    </w:sdtPr>
    <w:sdtEndPr/>
    <w:sdtContent>
      <w:p w14:paraId="09C60B5C" w14:textId="7A2A3458" w:rsidR="006D009A" w:rsidRDefault="006D009A">
        <w:pPr>
          <w:pStyle w:val="Footer"/>
          <w:jc w:val="center"/>
        </w:pPr>
        <w:r>
          <w:fldChar w:fldCharType="begin"/>
        </w:r>
        <w:r>
          <w:instrText>PAGE   \* MERGEFORMAT</w:instrText>
        </w:r>
        <w:r>
          <w:fldChar w:fldCharType="separate"/>
        </w:r>
        <w:r w:rsidR="004D3260" w:rsidRPr="004D3260">
          <w:rPr>
            <w:noProof/>
            <w:lang w:val="lt-LT"/>
          </w:rPr>
          <w:t>10</w:t>
        </w:r>
        <w:r>
          <w:fldChar w:fldCharType="end"/>
        </w:r>
      </w:p>
    </w:sdtContent>
  </w:sdt>
  <w:p w14:paraId="0C3D5E66" w14:textId="77777777" w:rsidR="006D009A" w:rsidRDefault="006D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D259" w14:textId="77777777" w:rsidR="003F3C52" w:rsidRDefault="003F3C52" w:rsidP="00A84A51">
      <w:pPr>
        <w:spacing w:after="0" w:line="240" w:lineRule="auto"/>
      </w:pPr>
      <w:r>
        <w:separator/>
      </w:r>
    </w:p>
  </w:footnote>
  <w:footnote w:type="continuationSeparator" w:id="0">
    <w:p w14:paraId="6066FBF8" w14:textId="77777777" w:rsidR="003F3C52" w:rsidRDefault="003F3C52" w:rsidP="00A84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063"/>
    <w:multiLevelType w:val="hybridMultilevel"/>
    <w:tmpl w:val="BD32C1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5237F7"/>
    <w:multiLevelType w:val="hybridMultilevel"/>
    <w:tmpl w:val="09BA8E5C"/>
    <w:lvl w:ilvl="0" w:tplc="AAB698E4">
      <w:start w:val="1"/>
      <w:numFmt w:val="decimal"/>
      <w:lvlText w:val="(%1)"/>
      <w:lvlJc w:val="left"/>
      <w:pPr>
        <w:ind w:left="390" w:hanging="39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15:restartNumberingAfterBreak="0">
    <w:nsid w:val="366F0754"/>
    <w:multiLevelType w:val="hybridMultilevel"/>
    <w:tmpl w:val="27CAB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D7928"/>
    <w:multiLevelType w:val="hybridMultilevel"/>
    <w:tmpl w:val="67CEA04E"/>
    <w:lvl w:ilvl="0" w:tplc="48DA266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A474E"/>
    <w:multiLevelType w:val="hybridMultilevel"/>
    <w:tmpl w:val="FA90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A316E"/>
    <w:multiLevelType w:val="hybridMultilevel"/>
    <w:tmpl w:val="2B76D6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DB94EAC"/>
    <w:multiLevelType w:val="hybridMultilevel"/>
    <w:tmpl w:val="1AA6C0C4"/>
    <w:lvl w:ilvl="0" w:tplc="B996699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26C0E9A"/>
    <w:multiLevelType w:val="hybridMultilevel"/>
    <w:tmpl w:val="9AF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E7AE6"/>
    <w:multiLevelType w:val="hybridMultilevel"/>
    <w:tmpl w:val="9E407B78"/>
    <w:lvl w:ilvl="0" w:tplc="4DDA0088">
      <w:start w:val="9"/>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82F796B"/>
    <w:multiLevelType w:val="hybridMultilevel"/>
    <w:tmpl w:val="7DB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23061"/>
    <w:multiLevelType w:val="hybridMultilevel"/>
    <w:tmpl w:val="DF487C46"/>
    <w:lvl w:ilvl="0" w:tplc="CCF69530">
      <w:start w:val="9"/>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9"/>
  </w:num>
  <w:num w:numId="5">
    <w:abstractNumId w:val="6"/>
  </w:num>
  <w:num w:numId="6">
    <w:abstractNumId w:val="3"/>
  </w:num>
  <w:num w:numId="7">
    <w:abstractNumId w:val="2"/>
  </w:num>
  <w:num w:numId="8">
    <w:abstractNumId w:val="8"/>
  </w:num>
  <w:num w:numId="9">
    <w:abstractNumId w:val="4"/>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nl-NL" w:vendorID="64" w:dllVersion="6" w:nlCheck="1" w:checkStyle="0"/>
  <w:activeWritingStyle w:appName="MSWord" w:lang="zh-CN" w:vendorID="64" w:dllVersion="5" w:nlCheck="1" w:checkStyle="1"/>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04"/>
    <w:rsid w:val="00000139"/>
    <w:rsid w:val="000009C1"/>
    <w:rsid w:val="0000429F"/>
    <w:rsid w:val="00005BA2"/>
    <w:rsid w:val="000071DB"/>
    <w:rsid w:val="00010AC2"/>
    <w:rsid w:val="00011C5F"/>
    <w:rsid w:val="00012D6B"/>
    <w:rsid w:val="000147BA"/>
    <w:rsid w:val="0001592B"/>
    <w:rsid w:val="00015AB5"/>
    <w:rsid w:val="000168B0"/>
    <w:rsid w:val="00022525"/>
    <w:rsid w:val="00022C39"/>
    <w:rsid w:val="000238C3"/>
    <w:rsid w:val="00023E81"/>
    <w:rsid w:val="00024601"/>
    <w:rsid w:val="00025FEE"/>
    <w:rsid w:val="000264C6"/>
    <w:rsid w:val="00027E9F"/>
    <w:rsid w:val="00030F91"/>
    <w:rsid w:val="0003290E"/>
    <w:rsid w:val="00033795"/>
    <w:rsid w:val="0003382B"/>
    <w:rsid w:val="00033C4C"/>
    <w:rsid w:val="00035C9C"/>
    <w:rsid w:val="000371D1"/>
    <w:rsid w:val="00042BB5"/>
    <w:rsid w:val="000439F1"/>
    <w:rsid w:val="00044AE8"/>
    <w:rsid w:val="00044C04"/>
    <w:rsid w:val="00045099"/>
    <w:rsid w:val="0004628D"/>
    <w:rsid w:val="00046A0F"/>
    <w:rsid w:val="00047A55"/>
    <w:rsid w:val="00047E2F"/>
    <w:rsid w:val="00050633"/>
    <w:rsid w:val="00053919"/>
    <w:rsid w:val="00056147"/>
    <w:rsid w:val="000612FF"/>
    <w:rsid w:val="00061D9C"/>
    <w:rsid w:val="0006275F"/>
    <w:rsid w:val="000632D7"/>
    <w:rsid w:val="00063E2E"/>
    <w:rsid w:val="00070551"/>
    <w:rsid w:val="000713B2"/>
    <w:rsid w:val="00074AAB"/>
    <w:rsid w:val="00075859"/>
    <w:rsid w:val="000760C0"/>
    <w:rsid w:val="00077D1E"/>
    <w:rsid w:val="00082A83"/>
    <w:rsid w:val="00082ABF"/>
    <w:rsid w:val="0008337A"/>
    <w:rsid w:val="0008387B"/>
    <w:rsid w:val="00084053"/>
    <w:rsid w:val="00086162"/>
    <w:rsid w:val="000876CF"/>
    <w:rsid w:val="00094C27"/>
    <w:rsid w:val="00096134"/>
    <w:rsid w:val="00096312"/>
    <w:rsid w:val="000A0287"/>
    <w:rsid w:val="000A08C6"/>
    <w:rsid w:val="000A1F4D"/>
    <w:rsid w:val="000A2C01"/>
    <w:rsid w:val="000B0750"/>
    <w:rsid w:val="000B11F8"/>
    <w:rsid w:val="000B3015"/>
    <w:rsid w:val="000B31D9"/>
    <w:rsid w:val="000C3CA5"/>
    <w:rsid w:val="000C59D9"/>
    <w:rsid w:val="000C7B76"/>
    <w:rsid w:val="000D26FE"/>
    <w:rsid w:val="000D275B"/>
    <w:rsid w:val="000D32F2"/>
    <w:rsid w:val="000D42FB"/>
    <w:rsid w:val="000D4A57"/>
    <w:rsid w:val="000D64A2"/>
    <w:rsid w:val="000D72C1"/>
    <w:rsid w:val="000D7916"/>
    <w:rsid w:val="000E4A1D"/>
    <w:rsid w:val="000F0C8A"/>
    <w:rsid w:val="000F1B56"/>
    <w:rsid w:val="000F3042"/>
    <w:rsid w:val="000F30E6"/>
    <w:rsid w:val="000F5C3F"/>
    <w:rsid w:val="000F65C5"/>
    <w:rsid w:val="000F6C50"/>
    <w:rsid w:val="001004FF"/>
    <w:rsid w:val="0010087F"/>
    <w:rsid w:val="00104265"/>
    <w:rsid w:val="001045DD"/>
    <w:rsid w:val="001058E0"/>
    <w:rsid w:val="00106F60"/>
    <w:rsid w:val="00107183"/>
    <w:rsid w:val="00107543"/>
    <w:rsid w:val="00111DA2"/>
    <w:rsid w:val="0011393B"/>
    <w:rsid w:val="001157B9"/>
    <w:rsid w:val="001157F7"/>
    <w:rsid w:val="00116659"/>
    <w:rsid w:val="00117657"/>
    <w:rsid w:val="00120A79"/>
    <w:rsid w:val="001219A7"/>
    <w:rsid w:val="00122AC9"/>
    <w:rsid w:val="0012331E"/>
    <w:rsid w:val="00125853"/>
    <w:rsid w:val="00125BAB"/>
    <w:rsid w:val="001263E0"/>
    <w:rsid w:val="001277BF"/>
    <w:rsid w:val="00134202"/>
    <w:rsid w:val="001354C4"/>
    <w:rsid w:val="001362BD"/>
    <w:rsid w:val="0013654A"/>
    <w:rsid w:val="0013737B"/>
    <w:rsid w:val="001374CB"/>
    <w:rsid w:val="001438CB"/>
    <w:rsid w:val="001457E1"/>
    <w:rsid w:val="00146A4E"/>
    <w:rsid w:val="00147548"/>
    <w:rsid w:val="00147A3E"/>
    <w:rsid w:val="0015206D"/>
    <w:rsid w:val="00163C60"/>
    <w:rsid w:val="00164451"/>
    <w:rsid w:val="00165176"/>
    <w:rsid w:val="00165889"/>
    <w:rsid w:val="00170AD0"/>
    <w:rsid w:val="00170E47"/>
    <w:rsid w:val="00171A33"/>
    <w:rsid w:val="0017296B"/>
    <w:rsid w:val="00172C7B"/>
    <w:rsid w:val="00173E49"/>
    <w:rsid w:val="001747A3"/>
    <w:rsid w:val="00181DD9"/>
    <w:rsid w:val="0018225E"/>
    <w:rsid w:val="001861B4"/>
    <w:rsid w:val="001872C2"/>
    <w:rsid w:val="001876D7"/>
    <w:rsid w:val="0019468E"/>
    <w:rsid w:val="001A44DB"/>
    <w:rsid w:val="001B174D"/>
    <w:rsid w:val="001B2E0F"/>
    <w:rsid w:val="001B39E7"/>
    <w:rsid w:val="001B51D3"/>
    <w:rsid w:val="001C2AC7"/>
    <w:rsid w:val="001C41AE"/>
    <w:rsid w:val="001C47BB"/>
    <w:rsid w:val="001D231D"/>
    <w:rsid w:val="001D34EC"/>
    <w:rsid w:val="001D437B"/>
    <w:rsid w:val="001D4CF8"/>
    <w:rsid w:val="001E1D7A"/>
    <w:rsid w:val="001E5C23"/>
    <w:rsid w:val="001E645C"/>
    <w:rsid w:val="001E77B0"/>
    <w:rsid w:val="001F24DB"/>
    <w:rsid w:val="001F3C92"/>
    <w:rsid w:val="001F3DE5"/>
    <w:rsid w:val="001F41A0"/>
    <w:rsid w:val="001F522E"/>
    <w:rsid w:val="001F702E"/>
    <w:rsid w:val="001F7151"/>
    <w:rsid w:val="00201021"/>
    <w:rsid w:val="00202F83"/>
    <w:rsid w:val="00203A02"/>
    <w:rsid w:val="00210CEB"/>
    <w:rsid w:val="00213A17"/>
    <w:rsid w:val="00216B22"/>
    <w:rsid w:val="00216EA9"/>
    <w:rsid w:val="002173AC"/>
    <w:rsid w:val="002173DB"/>
    <w:rsid w:val="00217B9B"/>
    <w:rsid w:val="002207EE"/>
    <w:rsid w:val="0022088D"/>
    <w:rsid w:val="0022239B"/>
    <w:rsid w:val="00222959"/>
    <w:rsid w:val="002244DD"/>
    <w:rsid w:val="002259A9"/>
    <w:rsid w:val="002268C2"/>
    <w:rsid w:val="00226A7D"/>
    <w:rsid w:val="00227910"/>
    <w:rsid w:val="00233DDE"/>
    <w:rsid w:val="002350BB"/>
    <w:rsid w:val="00235BAB"/>
    <w:rsid w:val="00235D2C"/>
    <w:rsid w:val="00236BB3"/>
    <w:rsid w:val="00237D38"/>
    <w:rsid w:val="00240F1F"/>
    <w:rsid w:val="0024439B"/>
    <w:rsid w:val="00247EE2"/>
    <w:rsid w:val="002500F8"/>
    <w:rsid w:val="002522E5"/>
    <w:rsid w:val="00252551"/>
    <w:rsid w:val="002529AC"/>
    <w:rsid w:val="00261D0D"/>
    <w:rsid w:val="0026465D"/>
    <w:rsid w:val="00264D81"/>
    <w:rsid w:val="0026571F"/>
    <w:rsid w:val="00267BE8"/>
    <w:rsid w:val="00270446"/>
    <w:rsid w:val="00270957"/>
    <w:rsid w:val="0027230F"/>
    <w:rsid w:val="00274ADA"/>
    <w:rsid w:val="00276A4F"/>
    <w:rsid w:val="00277197"/>
    <w:rsid w:val="00277729"/>
    <w:rsid w:val="00277CBE"/>
    <w:rsid w:val="00281A72"/>
    <w:rsid w:val="00285934"/>
    <w:rsid w:val="00286BA4"/>
    <w:rsid w:val="00294529"/>
    <w:rsid w:val="002950FD"/>
    <w:rsid w:val="002958E5"/>
    <w:rsid w:val="002961D7"/>
    <w:rsid w:val="002962DA"/>
    <w:rsid w:val="00296D4B"/>
    <w:rsid w:val="00296DAC"/>
    <w:rsid w:val="00297B7A"/>
    <w:rsid w:val="002A0CBB"/>
    <w:rsid w:val="002A4FA3"/>
    <w:rsid w:val="002B0CA8"/>
    <w:rsid w:val="002B43D6"/>
    <w:rsid w:val="002B4675"/>
    <w:rsid w:val="002B6B64"/>
    <w:rsid w:val="002C0B4B"/>
    <w:rsid w:val="002C157A"/>
    <w:rsid w:val="002C35DD"/>
    <w:rsid w:val="002C3C52"/>
    <w:rsid w:val="002C4B54"/>
    <w:rsid w:val="002C6976"/>
    <w:rsid w:val="002C7937"/>
    <w:rsid w:val="002C7A2F"/>
    <w:rsid w:val="002D02F8"/>
    <w:rsid w:val="002D0A6F"/>
    <w:rsid w:val="002D49DA"/>
    <w:rsid w:val="002D766B"/>
    <w:rsid w:val="002E0463"/>
    <w:rsid w:val="002E1CDD"/>
    <w:rsid w:val="002E1E0F"/>
    <w:rsid w:val="002E2EDB"/>
    <w:rsid w:val="002E3F3D"/>
    <w:rsid w:val="002E51A0"/>
    <w:rsid w:val="002E7263"/>
    <w:rsid w:val="002F0E45"/>
    <w:rsid w:val="002F1D8E"/>
    <w:rsid w:val="002F3BC8"/>
    <w:rsid w:val="002F7792"/>
    <w:rsid w:val="00300494"/>
    <w:rsid w:val="003008E9"/>
    <w:rsid w:val="003034A1"/>
    <w:rsid w:val="00304B1F"/>
    <w:rsid w:val="00305A16"/>
    <w:rsid w:val="00306228"/>
    <w:rsid w:val="0030727A"/>
    <w:rsid w:val="00314AEA"/>
    <w:rsid w:val="0031520D"/>
    <w:rsid w:val="00316BCC"/>
    <w:rsid w:val="00321BE3"/>
    <w:rsid w:val="00321E0F"/>
    <w:rsid w:val="00322459"/>
    <w:rsid w:val="00323F3A"/>
    <w:rsid w:val="00332E08"/>
    <w:rsid w:val="00336DD0"/>
    <w:rsid w:val="003416F4"/>
    <w:rsid w:val="00342F62"/>
    <w:rsid w:val="00344809"/>
    <w:rsid w:val="00344EF0"/>
    <w:rsid w:val="00347ECB"/>
    <w:rsid w:val="00347F27"/>
    <w:rsid w:val="00353E42"/>
    <w:rsid w:val="003549EE"/>
    <w:rsid w:val="0035544E"/>
    <w:rsid w:val="00356143"/>
    <w:rsid w:val="00360863"/>
    <w:rsid w:val="00360C5C"/>
    <w:rsid w:val="00360E17"/>
    <w:rsid w:val="00361556"/>
    <w:rsid w:val="00362E14"/>
    <w:rsid w:val="003631DC"/>
    <w:rsid w:val="00366351"/>
    <w:rsid w:val="00366829"/>
    <w:rsid w:val="0037032A"/>
    <w:rsid w:val="0037073C"/>
    <w:rsid w:val="00371E65"/>
    <w:rsid w:val="00372F83"/>
    <w:rsid w:val="00375369"/>
    <w:rsid w:val="0037586F"/>
    <w:rsid w:val="00375FE1"/>
    <w:rsid w:val="00377360"/>
    <w:rsid w:val="00377720"/>
    <w:rsid w:val="00380CA9"/>
    <w:rsid w:val="003829E9"/>
    <w:rsid w:val="0038351D"/>
    <w:rsid w:val="0038445C"/>
    <w:rsid w:val="00384DBE"/>
    <w:rsid w:val="0038612B"/>
    <w:rsid w:val="00387FB9"/>
    <w:rsid w:val="003902EB"/>
    <w:rsid w:val="00390D75"/>
    <w:rsid w:val="00397A27"/>
    <w:rsid w:val="003A07BB"/>
    <w:rsid w:val="003A190F"/>
    <w:rsid w:val="003A1920"/>
    <w:rsid w:val="003A19DB"/>
    <w:rsid w:val="003A1F11"/>
    <w:rsid w:val="003A2C94"/>
    <w:rsid w:val="003A3A75"/>
    <w:rsid w:val="003A534A"/>
    <w:rsid w:val="003A68B6"/>
    <w:rsid w:val="003B0DEF"/>
    <w:rsid w:val="003B155C"/>
    <w:rsid w:val="003B3376"/>
    <w:rsid w:val="003B5FEC"/>
    <w:rsid w:val="003B6D06"/>
    <w:rsid w:val="003C38CC"/>
    <w:rsid w:val="003C612C"/>
    <w:rsid w:val="003C694E"/>
    <w:rsid w:val="003D1C2D"/>
    <w:rsid w:val="003D454A"/>
    <w:rsid w:val="003D4AD5"/>
    <w:rsid w:val="003D5CE5"/>
    <w:rsid w:val="003E0C02"/>
    <w:rsid w:val="003E0C2A"/>
    <w:rsid w:val="003E1ADF"/>
    <w:rsid w:val="003E4589"/>
    <w:rsid w:val="003E51C1"/>
    <w:rsid w:val="003F1EFE"/>
    <w:rsid w:val="003F3C52"/>
    <w:rsid w:val="003F6C38"/>
    <w:rsid w:val="00400CFE"/>
    <w:rsid w:val="00401D82"/>
    <w:rsid w:val="00402DC4"/>
    <w:rsid w:val="0040397A"/>
    <w:rsid w:val="00403CD4"/>
    <w:rsid w:val="00404E39"/>
    <w:rsid w:val="0040511C"/>
    <w:rsid w:val="004053FC"/>
    <w:rsid w:val="00413692"/>
    <w:rsid w:val="00414284"/>
    <w:rsid w:val="00416C28"/>
    <w:rsid w:val="00421464"/>
    <w:rsid w:val="00421E83"/>
    <w:rsid w:val="00422F47"/>
    <w:rsid w:val="00430244"/>
    <w:rsid w:val="00434527"/>
    <w:rsid w:val="004373C1"/>
    <w:rsid w:val="004412CC"/>
    <w:rsid w:val="00441CBD"/>
    <w:rsid w:val="004509E1"/>
    <w:rsid w:val="0045205B"/>
    <w:rsid w:val="004540CC"/>
    <w:rsid w:val="00455C9C"/>
    <w:rsid w:val="004576ED"/>
    <w:rsid w:val="00461A50"/>
    <w:rsid w:val="00462F1A"/>
    <w:rsid w:val="00463CF9"/>
    <w:rsid w:val="00465CC0"/>
    <w:rsid w:val="00466699"/>
    <w:rsid w:val="00466C9B"/>
    <w:rsid w:val="004727AA"/>
    <w:rsid w:val="00473E66"/>
    <w:rsid w:val="00473E68"/>
    <w:rsid w:val="004744B7"/>
    <w:rsid w:val="00474767"/>
    <w:rsid w:val="004763AF"/>
    <w:rsid w:val="00476589"/>
    <w:rsid w:val="00477420"/>
    <w:rsid w:val="00477D18"/>
    <w:rsid w:val="00481E15"/>
    <w:rsid w:val="00485A3A"/>
    <w:rsid w:val="00486B2F"/>
    <w:rsid w:val="00492067"/>
    <w:rsid w:val="00492281"/>
    <w:rsid w:val="00497D51"/>
    <w:rsid w:val="004A076E"/>
    <w:rsid w:val="004A15D2"/>
    <w:rsid w:val="004A1713"/>
    <w:rsid w:val="004A1B47"/>
    <w:rsid w:val="004A656E"/>
    <w:rsid w:val="004A6A44"/>
    <w:rsid w:val="004A6C74"/>
    <w:rsid w:val="004A75D6"/>
    <w:rsid w:val="004B088D"/>
    <w:rsid w:val="004B2AF8"/>
    <w:rsid w:val="004B318E"/>
    <w:rsid w:val="004B35E9"/>
    <w:rsid w:val="004B5765"/>
    <w:rsid w:val="004B6FB8"/>
    <w:rsid w:val="004C0826"/>
    <w:rsid w:val="004C181D"/>
    <w:rsid w:val="004C46EE"/>
    <w:rsid w:val="004C5468"/>
    <w:rsid w:val="004D0236"/>
    <w:rsid w:val="004D06CE"/>
    <w:rsid w:val="004D185C"/>
    <w:rsid w:val="004D3260"/>
    <w:rsid w:val="004D5FF8"/>
    <w:rsid w:val="004D6405"/>
    <w:rsid w:val="004E0354"/>
    <w:rsid w:val="004E0B34"/>
    <w:rsid w:val="004E1382"/>
    <w:rsid w:val="004E1983"/>
    <w:rsid w:val="004E44E0"/>
    <w:rsid w:val="004E58F1"/>
    <w:rsid w:val="004E5D42"/>
    <w:rsid w:val="004E75D8"/>
    <w:rsid w:val="004E7A44"/>
    <w:rsid w:val="004E7DFC"/>
    <w:rsid w:val="004F1FA5"/>
    <w:rsid w:val="004F2081"/>
    <w:rsid w:val="004F22D0"/>
    <w:rsid w:val="004F32D3"/>
    <w:rsid w:val="004F6F28"/>
    <w:rsid w:val="0050206B"/>
    <w:rsid w:val="005062E4"/>
    <w:rsid w:val="00507E35"/>
    <w:rsid w:val="005101F9"/>
    <w:rsid w:val="005109FB"/>
    <w:rsid w:val="005117E1"/>
    <w:rsid w:val="00511A59"/>
    <w:rsid w:val="00512D39"/>
    <w:rsid w:val="00513A5F"/>
    <w:rsid w:val="00513C01"/>
    <w:rsid w:val="00513C48"/>
    <w:rsid w:val="00515931"/>
    <w:rsid w:val="00515C58"/>
    <w:rsid w:val="00520428"/>
    <w:rsid w:val="0052185F"/>
    <w:rsid w:val="005232DD"/>
    <w:rsid w:val="0052403E"/>
    <w:rsid w:val="00526CE3"/>
    <w:rsid w:val="0052719C"/>
    <w:rsid w:val="005276C5"/>
    <w:rsid w:val="005278A2"/>
    <w:rsid w:val="00531F12"/>
    <w:rsid w:val="005326A2"/>
    <w:rsid w:val="005345F2"/>
    <w:rsid w:val="00540C73"/>
    <w:rsid w:val="00542D37"/>
    <w:rsid w:val="0054441B"/>
    <w:rsid w:val="00544C53"/>
    <w:rsid w:val="00545648"/>
    <w:rsid w:val="0054696A"/>
    <w:rsid w:val="0055258A"/>
    <w:rsid w:val="0055380E"/>
    <w:rsid w:val="00556976"/>
    <w:rsid w:val="005626AF"/>
    <w:rsid w:val="00566014"/>
    <w:rsid w:val="00566C7E"/>
    <w:rsid w:val="00566C7F"/>
    <w:rsid w:val="00570F4D"/>
    <w:rsid w:val="005714AE"/>
    <w:rsid w:val="00571F62"/>
    <w:rsid w:val="00572A34"/>
    <w:rsid w:val="00572C2B"/>
    <w:rsid w:val="00576246"/>
    <w:rsid w:val="00576706"/>
    <w:rsid w:val="00577D50"/>
    <w:rsid w:val="005815FA"/>
    <w:rsid w:val="00584110"/>
    <w:rsid w:val="00586D0F"/>
    <w:rsid w:val="00587315"/>
    <w:rsid w:val="005902F6"/>
    <w:rsid w:val="0059209F"/>
    <w:rsid w:val="00592B32"/>
    <w:rsid w:val="00595586"/>
    <w:rsid w:val="00595A04"/>
    <w:rsid w:val="00596771"/>
    <w:rsid w:val="00596906"/>
    <w:rsid w:val="005A249D"/>
    <w:rsid w:val="005A3496"/>
    <w:rsid w:val="005A371D"/>
    <w:rsid w:val="005B126E"/>
    <w:rsid w:val="005B27DE"/>
    <w:rsid w:val="005B337D"/>
    <w:rsid w:val="005B5CB3"/>
    <w:rsid w:val="005C0219"/>
    <w:rsid w:val="005C0903"/>
    <w:rsid w:val="005C1306"/>
    <w:rsid w:val="005C3A01"/>
    <w:rsid w:val="005C3C06"/>
    <w:rsid w:val="005C6B1A"/>
    <w:rsid w:val="005C76E9"/>
    <w:rsid w:val="005D01DE"/>
    <w:rsid w:val="005D0747"/>
    <w:rsid w:val="005D11ED"/>
    <w:rsid w:val="005D14AE"/>
    <w:rsid w:val="005D54E6"/>
    <w:rsid w:val="005D63F8"/>
    <w:rsid w:val="005E04A9"/>
    <w:rsid w:val="005E223D"/>
    <w:rsid w:val="005E373C"/>
    <w:rsid w:val="005E7A5E"/>
    <w:rsid w:val="005F2082"/>
    <w:rsid w:val="005F3D8C"/>
    <w:rsid w:val="005F69F2"/>
    <w:rsid w:val="00600FD8"/>
    <w:rsid w:val="00601AAE"/>
    <w:rsid w:val="0060299B"/>
    <w:rsid w:val="00604315"/>
    <w:rsid w:val="006057FE"/>
    <w:rsid w:val="00606D83"/>
    <w:rsid w:val="006158BA"/>
    <w:rsid w:val="0061651F"/>
    <w:rsid w:val="00616546"/>
    <w:rsid w:val="00617058"/>
    <w:rsid w:val="0062038B"/>
    <w:rsid w:val="00623B8D"/>
    <w:rsid w:val="00626E39"/>
    <w:rsid w:val="00630172"/>
    <w:rsid w:val="0063122E"/>
    <w:rsid w:val="00633850"/>
    <w:rsid w:val="00633BD8"/>
    <w:rsid w:val="00634413"/>
    <w:rsid w:val="0063478B"/>
    <w:rsid w:val="00636B3F"/>
    <w:rsid w:val="00640BFE"/>
    <w:rsid w:val="00647566"/>
    <w:rsid w:val="00647F4D"/>
    <w:rsid w:val="00650FF6"/>
    <w:rsid w:val="006518EF"/>
    <w:rsid w:val="00651E15"/>
    <w:rsid w:val="00655F36"/>
    <w:rsid w:val="006608C2"/>
    <w:rsid w:val="00662B8E"/>
    <w:rsid w:val="006630C5"/>
    <w:rsid w:val="00667422"/>
    <w:rsid w:val="00670308"/>
    <w:rsid w:val="0067790D"/>
    <w:rsid w:val="00681438"/>
    <w:rsid w:val="00681E05"/>
    <w:rsid w:val="00685D7E"/>
    <w:rsid w:val="00686DD3"/>
    <w:rsid w:val="0069178E"/>
    <w:rsid w:val="006A0264"/>
    <w:rsid w:val="006A0AA1"/>
    <w:rsid w:val="006A0C17"/>
    <w:rsid w:val="006A2AC1"/>
    <w:rsid w:val="006A456B"/>
    <w:rsid w:val="006A6195"/>
    <w:rsid w:val="006A73B3"/>
    <w:rsid w:val="006B0EFE"/>
    <w:rsid w:val="006B62B7"/>
    <w:rsid w:val="006C38A4"/>
    <w:rsid w:val="006D009A"/>
    <w:rsid w:val="006D01FB"/>
    <w:rsid w:val="006D163E"/>
    <w:rsid w:val="006D52F7"/>
    <w:rsid w:val="006D7892"/>
    <w:rsid w:val="006E08F0"/>
    <w:rsid w:val="006E27E3"/>
    <w:rsid w:val="006E65B3"/>
    <w:rsid w:val="006E7B5F"/>
    <w:rsid w:val="006F1EF8"/>
    <w:rsid w:val="006F202D"/>
    <w:rsid w:val="006F253E"/>
    <w:rsid w:val="006F43B3"/>
    <w:rsid w:val="006F4504"/>
    <w:rsid w:val="006F7367"/>
    <w:rsid w:val="006F7665"/>
    <w:rsid w:val="0070177F"/>
    <w:rsid w:val="00701BBE"/>
    <w:rsid w:val="00702CF1"/>
    <w:rsid w:val="00703AB0"/>
    <w:rsid w:val="00703B29"/>
    <w:rsid w:val="00704CAE"/>
    <w:rsid w:val="007106EE"/>
    <w:rsid w:val="00714CCC"/>
    <w:rsid w:val="00714E64"/>
    <w:rsid w:val="00715B34"/>
    <w:rsid w:val="007164D0"/>
    <w:rsid w:val="0071744D"/>
    <w:rsid w:val="007178A4"/>
    <w:rsid w:val="007218F3"/>
    <w:rsid w:val="00721962"/>
    <w:rsid w:val="00722D3E"/>
    <w:rsid w:val="00723BFD"/>
    <w:rsid w:val="00723EBE"/>
    <w:rsid w:val="007249A7"/>
    <w:rsid w:val="00725DE6"/>
    <w:rsid w:val="0072622A"/>
    <w:rsid w:val="00727A9D"/>
    <w:rsid w:val="00736DDF"/>
    <w:rsid w:val="00737702"/>
    <w:rsid w:val="00737A3E"/>
    <w:rsid w:val="00740E05"/>
    <w:rsid w:val="00740F70"/>
    <w:rsid w:val="00745588"/>
    <w:rsid w:val="007456E1"/>
    <w:rsid w:val="0075100B"/>
    <w:rsid w:val="00752414"/>
    <w:rsid w:val="00754E60"/>
    <w:rsid w:val="00754EC8"/>
    <w:rsid w:val="007561CE"/>
    <w:rsid w:val="00763E23"/>
    <w:rsid w:val="00767D94"/>
    <w:rsid w:val="00770051"/>
    <w:rsid w:val="00772D93"/>
    <w:rsid w:val="0077411F"/>
    <w:rsid w:val="007764C8"/>
    <w:rsid w:val="007769E4"/>
    <w:rsid w:val="00776E40"/>
    <w:rsid w:val="00777470"/>
    <w:rsid w:val="0078315E"/>
    <w:rsid w:val="00783220"/>
    <w:rsid w:val="0078421D"/>
    <w:rsid w:val="0078475D"/>
    <w:rsid w:val="007872CB"/>
    <w:rsid w:val="007913FE"/>
    <w:rsid w:val="0079216E"/>
    <w:rsid w:val="007A3629"/>
    <w:rsid w:val="007B0D51"/>
    <w:rsid w:val="007B2309"/>
    <w:rsid w:val="007B4CD5"/>
    <w:rsid w:val="007B6062"/>
    <w:rsid w:val="007B7F2E"/>
    <w:rsid w:val="007C0118"/>
    <w:rsid w:val="007C0900"/>
    <w:rsid w:val="007C0D10"/>
    <w:rsid w:val="007C50A5"/>
    <w:rsid w:val="007C5E77"/>
    <w:rsid w:val="007D0A7C"/>
    <w:rsid w:val="007D0D90"/>
    <w:rsid w:val="007D20E8"/>
    <w:rsid w:val="007D4127"/>
    <w:rsid w:val="007D4211"/>
    <w:rsid w:val="007D421B"/>
    <w:rsid w:val="007D425A"/>
    <w:rsid w:val="007D66CF"/>
    <w:rsid w:val="007E1AFE"/>
    <w:rsid w:val="007E4CCF"/>
    <w:rsid w:val="007F7489"/>
    <w:rsid w:val="007F7DC4"/>
    <w:rsid w:val="00801F87"/>
    <w:rsid w:val="00803AA9"/>
    <w:rsid w:val="00806F60"/>
    <w:rsid w:val="00807175"/>
    <w:rsid w:val="00811A5F"/>
    <w:rsid w:val="00812292"/>
    <w:rsid w:val="00817441"/>
    <w:rsid w:val="0082193C"/>
    <w:rsid w:val="00821FAB"/>
    <w:rsid w:val="0082270A"/>
    <w:rsid w:val="0082346F"/>
    <w:rsid w:val="008255B2"/>
    <w:rsid w:val="00826CD7"/>
    <w:rsid w:val="008275C8"/>
    <w:rsid w:val="00832744"/>
    <w:rsid w:val="00833E86"/>
    <w:rsid w:val="00835FB4"/>
    <w:rsid w:val="008409D2"/>
    <w:rsid w:val="00840B52"/>
    <w:rsid w:val="0084293F"/>
    <w:rsid w:val="008444E8"/>
    <w:rsid w:val="008452B4"/>
    <w:rsid w:val="00845A79"/>
    <w:rsid w:val="00850493"/>
    <w:rsid w:val="0085083F"/>
    <w:rsid w:val="00850A12"/>
    <w:rsid w:val="00850AFC"/>
    <w:rsid w:val="00850FC9"/>
    <w:rsid w:val="00851225"/>
    <w:rsid w:val="0085343F"/>
    <w:rsid w:val="00853B54"/>
    <w:rsid w:val="00854E2A"/>
    <w:rsid w:val="0085653B"/>
    <w:rsid w:val="008572C2"/>
    <w:rsid w:val="00860621"/>
    <w:rsid w:val="00860770"/>
    <w:rsid w:val="00860E88"/>
    <w:rsid w:val="00863C91"/>
    <w:rsid w:val="00863DAE"/>
    <w:rsid w:val="00865758"/>
    <w:rsid w:val="00867A16"/>
    <w:rsid w:val="00871F31"/>
    <w:rsid w:val="0087545D"/>
    <w:rsid w:val="00875EF9"/>
    <w:rsid w:val="00876BD0"/>
    <w:rsid w:val="00877287"/>
    <w:rsid w:val="00877F96"/>
    <w:rsid w:val="00880202"/>
    <w:rsid w:val="008802E1"/>
    <w:rsid w:val="00880DFC"/>
    <w:rsid w:val="00881B89"/>
    <w:rsid w:val="00881BD8"/>
    <w:rsid w:val="00881C52"/>
    <w:rsid w:val="0088368B"/>
    <w:rsid w:val="00884DA1"/>
    <w:rsid w:val="00885287"/>
    <w:rsid w:val="00885384"/>
    <w:rsid w:val="008854BE"/>
    <w:rsid w:val="00886710"/>
    <w:rsid w:val="00890C35"/>
    <w:rsid w:val="0089159B"/>
    <w:rsid w:val="008953AF"/>
    <w:rsid w:val="00895CA7"/>
    <w:rsid w:val="008961CB"/>
    <w:rsid w:val="00897539"/>
    <w:rsid w:val="008A3C29"/>
    <w:rsid w:val="008A462A"/>
    <w:rsid w:val="008A7EBD"/>
    <w:rsid w:val="008B0A87"/>
    <w:rsid w:val="008B1665"/>
    <w:rsid w:val="008B2347"/>
    <w:rsid w:val="008B3431"/>
    <w:rsid w:val="008B3902"/>
    <w:rsid w:val="008B4D55"/>
    <w:rsid w:val="008B57E8"/>
    <w:rsid w:val="008B5E9F"/>
    <w:rsid w:val="008C1826"/>
    <w:rsid w:val="008C2319"/>
    <w:rsid w:val="008C4171"/>
    <w:rsid w:val="008C5A8D"/>
    <w:rsid w:val="008C65D4"/>
    <w:rsid w:val="008C7F72"/>
    <w:rsid w:val="008D08F5"/>
    <w:rsid w:val="008D2006"/>
    <w:rsid w:val="008D3804"/>
    <w:rsid w:val="008E36F8"/>
    <w:rsid w:val="008E392E"/>
    <w:rsid w:val="008E426C"/>
    <w:rsid w:val="008E531D"/>
    <w:rsid w:val="008F0742"/>
    <w:rsid w:val="008F25AF"/>
    <w:rsid w:val="008F3D53"/>
    <w:rsid w:val="008F602A"/>
    <w:rsid w:val="008F720E"/>
    <w:rsid w:val="00900250"/>
    <w:rsid w:val="00900E58"/>
    <w:rsid w:val="00901199"/>
    <w:rsid w:val="00902736"/>
    <w:rsid w:val="00904A11"/>
    <w:rsid w:val="00905ADC"/>
    <w:rsid w:val="0090633F"/>
    <w:rsid w:val="009067D2"/>
    <w:rsid w:val="0091088B"/>
    <w:rsid w:val="009129BD"/>
    <w:rsid w:val="00912BCC"/>
    <w:rsid w:val="00913CEC"/>
    <w:rsid w:val="00921037"/>
    <w:rsid w:val="0092308C"/>
    <w:rsid w:val="009313A3"/>
    <w:rsid w:val="00935381"/>
    <w:rsid w:val="009370D7"/>
    <w:rsid w:val="00937106"/>
    <w:rsid w:val="0094169D"/>
    <w:rsid w:val="009417C8"/>
    <w:rsid w:val="009437B9"/>
    <w:rsid w:val="009441E6"/>
    <w:rsid w:val="0094431C"/>
    <w:rsid w:val="009455E6"/>
    <w:rsid w:val="00945E85"/>
    <w:rsid w:val="00951C24"/>
    <w:rsid w:val="009563A6"/>
    <w:rsid w:val="009564E6"/>
    <w:rsid w:val="009577DF"/>
    <w:rsid w:val="00960A6E"/>
    <w:rsid w:val="00962D8C"/>
    <w:rsid w:val="009674B6"/>
    <w:rsid w:val="0096798E"/>
    <w:rsid w:val="00971B20"/>
    <w:rsid w:val="009740C8"/>
    <w:rsid w:val="00974C1C"/>
    <w:rsid w:val="00974D13"/>
    <w:rsid w:val="00976A38"/>
    <w:rsid w:val="009831D3"/>
    <w:rsid w:val="009844BB"/>
    <w:rsid w:val="00985274"/>
    <w:rsid w:val="0099256F"/>
    <w:rsid w:val="00994DEF"/>
    <w:rsid w:val="0099536F"/>
    <w:rsid w:val="00997012"/>
    <w:rsid w:val="009A2A8C"/>
    <w:rsid w:val="009A2ABD"/>
    <w:rsid w:val="009A32C2"/>
    <w:rsid w:val="009A4E2B"/>
    <w:rsid w:val="009A7699"/>
    <w:rsid w:val="009B00ED"/>
    <w:rsid w:val="009B0BD1"/>
    <w:rsid w:val="009B474C"/>
    <w:rsid w:val="009B49B1"/>
    <w:rsid w:val="009B5AA8"/>
    <w:rsid w:val="009B7A4D"/>
    <w:rsid w:val="009C12C8"/>
    <w:rsid w:val="009C1A46"/>
    <w:rsid w:val="009C4A54"/>
    <w:rsid w:val="009C50D0"/>
    <w:rsid w:val="009C59B9"/>
    <w:rsid w:val="009D08CD"/>
    <w:rsid w:val="009D1443"/>
    <w:rsid w:val="009D1C1E"/>
    <w:rsid w:val="009D31EF"/>
    <w:rsid w:val="009D62EE"/>
    <w:rsid w:val="009E27FB"/>
    <w:rsid w:val="009E373F"/>
    <w:rsid w:val="009E4584"/>
    <w:rsid w:val="009E5D01"/>
    <w:rsid w:val="009F4A5F"/>
    <w:rsid w:val="00A017C4"/>
    <w:rsid w:val="00A041A2"/>
    <w:rsid w:val="00A04BA8"/>
    <w:rsid w:val="00A07C2C"/>
    <w:rsid w:val="00A109BC"/>
    <w:rsid w:val="00A16D06"/>
    <w:rsid w:val="00A17291"/>
    <w:rsid w:val="00A20EFD"/>
    <w:rsid w:val="00A21377"/>
    <w:rsid w:val="00A239B3"/>
    <w:rsid w:val="00A24F61"/>
    <w:rsid w:val="00A27C06"/>
    <w:rsid w:val="00A32D03"/>
    <w:rsid w:val="00A33490"/>
    <w:rsid w:val="00A33CCB"/>
    <w:rsid w:val="00A348C1"/>
    <w:rsid w:val="00A352C0"/>
    <w:rsid w:val="00A40276"/>
    <w:rsid w:val="00A40B58"/>
    <w:rsid w:val="00A422D3"/>
    <w:rsid w:val="00A435D0"/>
    <w:rsid w:val="00A44479"/>
    <w:rsid w:val="00A45988"/>
    <w:rsid w:val="00A47E43"/>
    <w:rsid w:val="00A5008D"/>
    <w:rsid w:val="00A50E08"/>
    <w:rsid w:val="00A5486B"/>
    <w:rsid w:val="00A61DEF"/>
    <w:rsid w:val="00A63099"/>
    <w:rsid w:val="00A66843"/>
    <w:rsid w:val="00A71AFA"/>
    <w:rsid w:val="00A73CC9"/>
    <w:rsid w:val="00A74255"/>
    <w:rsid w:val="00A75470"/>
    <w:rsid w:val="00A75591"/>
    <w:rsid w:val="00A806DF"/>
    <w:rsid w:val="00A82375"/>
    <w:rsid w:val="00A84A51"/>
    <w:rsid w:val="00A84B6F"/>
    <w:rsid w:val="00A86162"/>
    <w:rsid w:val="00A875ED"/>
    <w:rsid w:val="00A90DBE"/>
    <w:rsid w:val="00A9191C"/>
    <w:rsid w:val="00A932FD"/>
    <w:rsid w:val="00A937A4"/>
    <w:rsid w:val="00A9451D"/>
    <w:rsid w:val="00A97FF5"/>
    <w:rsid w:val="00AA5F60"/>
    <w:rsid w:val="00AA6678"/>
    <w:rsid w:val="00AA6713"/>
    <w:rsid w:val="00AB0C41"/>
    <w:rsid w:val="00AB32F9"/>
    <w:rsid w:val="00AB3CE3"/>
    <w:rsid w:val="00AB3FDE"/>
    <w:rsid w:val="00AC12CB"/>
    <w:rsid w:val="00AC68A4"/>
    <w:rsid w:val="00AD091C"/>
    <w:rsid w:val="00AD2375"/>
    <w:rsid w:val="00AD29C6"/>
    <w:rsid w:val="00AD33A7"/>
    <w:rsid w:val="00AD5681"/>
    <w:rsid w:val="00AD5DDD"/>
    <w:rsid w:val="00AD6BCD"/>
    <w:rsid w:val="00AD7864"/>
    <w:rsid w:val="00AE56C1"/>
    <w:rsid w:val="00AE580E"/>
    <w:rsid w:val="00AE7F0F"/>
    <w:rsid w:val="00AF071E"/>
    <w:rsid w:val="00AF1208"/>
    <w:rsid w:val="00AF1950"/>
    <w:rsid w:val="00AF589F"/>
    <w:rsid w:val="00B01341"/>
    <w:rsid w:val="00B032A1"/>
    <w:rsid w:val="00B06200"/>
    <w:rsid w:val="00B06DE6"/>
    <w:rsid w:val="00B11FDA"/>
    <w:rsid w:val="00B135FF"/>
    <w:rsid w:val="00B1430A"/>
    <w:rsid w:val="00B14B6A"/>
    <w:rsid w:val="00B16511"/>
    <w:rsid w:val="00B17692"/>
    <w:rsid w:val="00B176DF"/>
    <w:rsid w:val="00B17F15"/>
    <w:rsid w:val="00B2082F"/>
    <w:rsid w:val="00B20AD9"/>
    <w:rsid w:val="00B22926"/>
    <w:rsid w:val="00B25EBC"/>
    <w:rsid w:val="00B27016"/>
    <w:rsid w:val="00B27118"/>
    <w:rsid w:val="00B30323"/>
    <w:rsid w:val="00B319FA"/>
    <w:rsid w:val="00B3300F"/>
    <w:rsid w:val="00B34033"/>
    <w:rsid w:val="00B36080"/>
    <w:rsid w:val="00B36B33"/>
    <w:rsid w:val="00B379E7"/>
    <w:rsid w:val="00B4011A"/>
    <w:rsid w:val="00B407E9"/>
    <w:rsid w:val="00B40EB5"/>
    <w:rsid w:val="00B414FF"/>
    <w:rsid w:val="00B420DB"/>
    <w:rsid w:val="00B42152"/>
    <w:rsid w:val="00B438FC"/>
    <w:rsid w:val="00B45876"/>
    <w:rsid w:val="00B45D9E"/>
    <w:rsid w:val="00B46128"/>
    <w:rsid w:val="00B46535"/>
    <w:rsid w:val="00B46E2C"/>
    <w:rsid w:val="00B504BE"/>
    <w:rsid w:val="00B52944"/>
    <w:rsid w:val="00B52DDB"/>
    <w:rsid w:val="00B535D2"/>
    <w:rsid w:val="00B540AB"/>
    <w:rsid w:val="00B5487D"/>
    <w:rsid w:val="00B55CF3"/>
    <w:rsid w:val="00B57825"/>
    <w:rsid w:val="00B624EC"/>
    <w:rsid w:val="00B6729E"/>
    <w:rsid w:val="00B7062A"/>
    <w:rsid w:val="00B7196E"/>
    <w:rsid w:val="00B72BDE"/>
    <w:rsid w:val="00B734FC"/>
    <w:rsid w:val="00B75D73"/>
    <w:rsid w:val="00B77A32"/>
    <w:rsid w:val="00B81227"/>
    <w:rsid w:val="00B81C78"/>
    <w:rsid w:val="00B84CE1"/>
    <w:rsid w:val="00B86EB5"/>
    <w:rsid w:val="00B87849"/>
    <w:rsid w:val="00B913FB"/>
    <w:rsid w:val="00B928FD"/>
    <w:rsid w:val="00B92EB9"/>
    <w:rsid w:val="00B92EC6"/>
    <w:rsid w:val="00B93D0A"/>
    <w:rsid w:val="00B93E34"/>
    <w:rsid w:val="00B94043"/>
    <w:rsid w:val="00BA0FB3"/>
    <w:rsid w:val="00BA1803"/>
    <w:rsid w:val="00BA1B7E"/>
    <w:rsid w:val="00BA26F4"/>
    <w:rsid w:val="00BA384F"/>
    <w:rsid w:val="00BA4E87"/>
    <w:rsid w:val="00BA66D2"/>
    <w:rsid w:val="00BA75E1"/>
    <w:rsid w:val="00BB01B4"/>
    <w:rsid w:val="00BB01CF"/>
    <w:rsid w:val="00BB1B48"/>
    <w:rsid w:val="00BB37CC"/>
    <w:rsid w:val="00BB4639"/>
    <w:rsid w:val="00BB5234"/>
    <w:rsid w:val="00BB5D89"/>
    <w:rsid w:val="00BB681A"/>
    <w:rsid w:val="00BB6B48"/>
    <w:rsid w:val="00BB7E9D"/>
    <w:rsid w:val="00BC0125"/>
    <w:rsid w:val="00BC32C2"/>
    <w:rsid w:val="00BC505C"/>
    <w:rsid w:val="00BC5E3B"/>
    <w:rsid w:val="00BC772F"/>
    <w:rsid w:val="00BD0635"/>
    <w:rsid w:val="00BD1439"/>
    <w:rsid w:val="00BD528D"/>
    <w:rsid w:val="00BD553E"/>
    <w:rsid w:val="00BD703B"/>
    <w:rsid w:val="00BD7987"/>
    <w:rsid w:val="00BD7A37"/>
    <w:rsid w:val="00BE0F93"/>
    <w:rsid w:val="00BE1C3A"/>
    <w:rsid w:val="00BE23BF"/>
    <w:rsid w:val="00BE4E66"/>
    <w:rsid w:val="00BF135D"/>
    <w:rsid w:val="00BF5A34"/>
    <w:rsid w:val="00BF72B8"/>
    <w:rsid w:val="00C004FA"/>
    <w:rsid w:val="00C027C0"/>
    <w:rsid w:val="00C04641"/>
    <w:rsid w:val="00C05A20"/>
    <w:rsid w:val="00C06FC4"/>
    <w:rsid w:val="00C1749A"/>
    <w:rsid w:val="00C2274A"/>
    <w:rsid w:val="00C244C9"/>
    <w:rsid w:val="00C2502C"/>
    <w:rsid w:val="00C2547A"/>
    <w:rsid w:val="00C272C2"/>
    <w:rsid w:val="00C305BE"/>
    <w:rsid w:val="00C306B7"/>
    <w:rsid w:val="00C35555"/>
    <w:rsid w:val="00C3776C"/>
    <w:rsid w:val="00C37902"/>
    <w:rsid w:val="00C40CBC"/>
    <w:rsid w:val="00C43BEA"/>
    <w:rsid w:val="00C44EE8"/>
    <w:rsid w:val="00C45E6B"/>
    <w:rsid w:val="00C471C6"/>
    <w:rsid w:val="00C52586"/>
    <w:rsid w:val="00C56754"/>
    <w:rsid w:val="00C60943"/>
    <w:rsid w:val="00C60AAB"/>
    <w:rsid w:val="00C6632A"/>
    <w:rsid w:val="00C67395"/>
    <w:rsid w:val="00C67D4F"/>
    <w:rsid w:val="00C706BA"/>
    <w:rsid w:val="00C74C6B"/>
    <w:rsid w:val="00C802B8"/>
    <w:rsid w:val="00C83FC2"/>
    <w:rsid w:val="00C84AE3"/>
    <w:rsid w:val="00C90C07"/>
    <w:rsid w:val="00C94ED3"/>
    <w:rsid w:val="00C95275"/>
    <w:rsid w:val="00CA1944"/>
    <w:rsid w:val="00CA6936"/>
    <w:rsid w:val="00CA7A21"/>
    <w:rsid w:val="00CB2A8F"/>
    <w:rsid w:val="00CB3C15"/>
    <w:rsid w:val="00CB6ACF"/>
    <w:rsid w:val="00CC002F"/>
    <w:rsid w:val="00CC09DD"/>
    <w:rsid w:val="00CC5044"/>
    <w:rsid w:val="00CC7C35"/>
    <w:rsid w:val="00CD1C4F"/>
    <w:rsid w:val="00CD2932"/>
    <w:rsid w:val="00CD41DB"/>
    <w:rsid w:val="00CD64C6"/>
    <w:rsid w:val="00CD6F8D"/>
    <w:rsid w:val="00CD797D"/>
    <w:rsid w:val="00CE19D2"/>
    <w:rsid w:val="00CE3514"/>
    <w:rsid w:val="00CE40E6"/>
    <w:rsid w:val="00CE5B59"/>
    <w:rsid w:val="00CE5E6D"/>
    <w:rsid w:val="00CE62FD"/>
    <w:rsid w:val="00CE63DC"/>
    <w:rsid w:val="00CE7FB6"/>
    <w:rsid w:val="00CF20A7"/>
    <w:rsid w:val="00CF2EE5"/>
    <w:rsid w:val="00CF2FA9"/>
    <w:rsid w:val="00CF4F56"/>
    <w:rsid w:val="00CF599A"/>
    <w:rsid w:val="00CF6B90"/>
    <w:rsid w:val="00CF6ED5"/>
    <w:rsid w:val="00D0000A"/>
    <w:rsid w:val="00D0443F"/>
    <w:rsid w:val="00D04DF8"/>
    <w:rsid w:val="00D066C9"/>
    <w:rsid w:val="00D07B21"/>
    <w:rsid w:val="00D10410"/>
    <w:rsid w:val="00D154E9"/>
    <w:rsid w:val="00D227EC"/>
    <w:rsid w:val="00D23634"/>
    <w:rsid w:val="00D2468A"/>
    <w:rsid w:val="00D248A8"/>
    <w:rsid w:val="00D25150"/>
    <w:rsid w:val="00D2537B"/>
    <w:rsid w:val="00D30AE6"/>
    <w:rsid w:val="00D31131"/>
    <w:rsid w:val="00D3226A"/>
    <w:rsid w:val="00D34BFC"/>
    <w:rsid w:val="00D352B4"/>
    <w:rsid w:val="00D37B5E"/>
    <w:rsid w:val="00D41A0D"/>
    <w:rsid w:val="00D41C00"/>
    <w:rsid w:val="00D4493B"/>
    <w:rsid w:val="00D44C24"/>
    <w:rsid w:val="00D46F88"/>
    <w:rsid w:val="00D503A8"/>
    <w:rsid w:val="00D50B3D"/>
    <w:rsid w:val="00D53B15"/>
    <w:rsid w:val="00D553EC"/>
    <w:rsid w:val="00D57A5F"/>
    <w:rsid w:val="00D60F18"/>
    <w:rsid w:val="00D61EB1"/>
    <w:rsid w:val="00D626ED"/>
    <w:rsid w:val="00D6358A"/>
    <w:rsid w:val="00D64DC5"/>
    <w:rsid w:val="00D64E5D"/>
    <w:rsid w:val="00D64EC5"/>
    <w:rsid w:val="00D674D6"/>
    <w:rsid w:val="00D70B1E"/>
    <w:rsid w:val="00D73D07"/>
    <w:rsid w:val="00D73E45"/>
    <w:rsid w:val="00D743A7"/>
    <w:rsid w:val="00D801A2"/>
    <w:rsid w:val="00D82BC6"/>
    <w:rsid w:val="00D8309D"/>
    <w:rsid w:val="00D83F23"/>
    <w:rsid w:val="00D845DF"/>
    <w:rsid w:val="00D84971"/>
    <w:rsid w:val="00D85293"/>
    <w:rsid w:val="00D93B99"/>
    <w:rsid w:val="00D94B89"/>
    <w:rsid w:val="00D95D1A"/>
    <w:rsid w:val="00DA13F0"/>
    <w:rsid w:val="00DA17E1"/>
    <w:rsid w:val="00DA220E"/>
    <w:rsid w:val="00DA252E"/>
    <w:rsid w:val="00DA34C0"/>
    <w:rsid w:val="00DA44F8"/>
    <w:rsid w:val="00DA7977"/>
    <w:rsid w:val="00DB03BB"/>
    <w:rsid w:val="00DB0C2D"/>
    <w:rsid w:val="00DB2E41"/>
    <w:rsid w:val="00DB39D6"/>
    <w:rsid w:val="00DB4B96"/>
    <w:rsid w:val="00DB511F"/>
    <w:rsid w:val="00DB73D1"/>
    <w:rsid w:val="00DC0001"/>
    <w:rsid w:val="00DC142D"/>
    <w:rsid w:val="00DC2107"/>
    <w:rsid w:val="00DC2D53"/>
    <w:rsid w:val="00DC38E1"/>
    <w:rsid w:val="00DC3D9E"/>
    <w:rsid w:val="00DC673E"/>
    <w:rsid w:val="00DC6CF3"/>
    <w:rsid w:val="00DD2565"/>
    <w:rsid w:val="00DD3CD0"/>
    <w:rsid w:val="00DD56DC"/>
    <w:rsid w:val="00DD78D0"/>
    <w:rsid w:val="00DE0463"/>
    <w:rsid w:val="00DE1751"/>
    <w:rsid w:val="00DE54EC"/>
    <w:rsid w:val="00DF2756"/>
    <w:rsid w:val="00DF2772"/>
    <w:rsid w:val="00DF3861"/>
    <w:rsid w:val="00DF53CB"/>
    <w:rsid w:val="00DF7503"/>
    <w:rsid w:val="00DF7BFE"/>
    <w:rsid w:val="00E00D12"/>
    <w:rsid w:val="00E040E9"/>
    <w:rsid w:val="00E108FE"/>
    <w:rsid w:val="00E10BDD"/>
    <w:rsid w:val="00E16200"/>
    <w:rsid w:val="00E16429"/>
    <w:rsid w:val="00E1776C"/>
    <w:rsid w:val="00E17F61"/>
    <w:rsid w:val="00E20132"/>
    <w:rsid w:val="00E231EB"/>
    <w:rsid w:val="00E24032"/>
    <w:rsid w:val="00E25257"/>
    <w:rsid w:val="00E25943"/>
    <w:rsid w:val="00E2742F"/>
    <w:rsid w:val="00E309D6"/>
    <w:rsid w:val="00E32F09"/>
    <w:rsid w:val="00E338BF"/>
    <w:rsid w:val="00E422DE"/>
    <w:rsid w:val="00E45391"/>
    <w:rsid w:val="00E504FA"/>
    <w:rsid w:val="00E52190"/>
    <w:rsid w:val="00E52494"/>
    <w:rsid w:val="00E5429B"/>
    <w:rsid w:val="00E554A5"/>
    <w:rsid w:val="00E62709"/>
    <w:rsid w:val="00E64277"/>
    <w:rsid w:val="00E65B42"/>
    <w:rsid w:val="00E72404"/>
    <w:rsid w:val="00E741E5"/>
    <w:rsid w:val="00E741E8"/>
    <w:rsid w:val="00E74863"/>
    <w:rsid w:val="00E75310"/>
    <w:rsid w:val="00E75317"/>
    <w:rsid w:val="00E76307"/>
    <w:rsid w:val="00E7653F"/>
    <w:rsid w:val="00E77788"/>
    <w:rsid w:val="00E80420"/>
    <w:rsid w:val="00E81B3F"/>
    <w:rsid w:val="00E82AD3"/>
    <w:rsid w:val="00E863E7"/>
    <w:rsid w:val="00E8643F"/>
    <w:rsid w:val="00E86575"/>
    <w:rsid w:val="00E86E01"/>
    <w:rsid w:val="00E870DC"/>
    <w:rsid w:val="00E90A61"/>
    <w:rsid w:val="00E91A53"/>
    <w:rsid w:val="00E928A1"/>
    <w:rsid w:val="00E9442E"/>
    <w:rsid w:val="00E9451A"/>
    <w:rsid w:val="00E957D5"/>
    <w:rsid w:val="00E96819"/>
    <w:rsid w:val="00E97C95"/>
    <w:rsid w:val="00EA04FF"/>
    <w:rsid w:val="00EA1983"/>
    <w:rsid w:val="00EA59CE"/>
    <w:rsid w:val="00EB01C0"/>
    <w:rsid w:val="00EB5771"/>
    <w:rsid w:val="00EB5EA2"/>
    <w:rsid w:val="00EB6E27"/>
    <w:rsid w:val="00EC0C73"/>
    <w:rsid w:val="00EC3B5A"/>
    <w:rsid w:val="00EC455B"/>
    <w:rsid w:val="00EC5534"/>
    <w:rsid w:val="00EC66E8"/>
    <w:rsid w:val="00EC6FCA"/>
    <w:rsid w:val="00ED0B1E"/>
    <w:rsid w:val="00ED340A"/>
    <w:rsid w:val="00ED47DE"/>
    <w:rsid w:val="00ED6998"/>
    <w:rsid w:val="00ED6AF6"/>
    <w:rsid w:val="00ED7194"/>
    <w:rsid w:val="00EE0A11"/>
    <w:rsid w:val="00EE1439"/>
    <w:rsid w:val="00EE1AC3"/>
    <w:rsid w:val="00EE5BAA"/>
    <w:rsid w:val="00EE7CC5"/>
    <w:rsid w:val="00EF06BE"/>
    <w:rsid w:val="00EF1421"/>
    <w:rsid w:val="00EF194C"/>
    <w:rsid w:val="00EF5391"/>
    <w:rsid w:val="00EF5E77"/>
    <w:rsid w:val="00EF60C7"/>
    <w:rsid w:val="00F00D03"/>
    <w:rsid w:val="00F04182"/>
    <w:rsid w:val="00F069EE"/>
    <w:rsid w:val="00F127CE"/>
    <w:rsid w:val="00F135D8"/>
    <w:rsid w:val="00F1449B"/>
    <w:rsid w:val="00F1582C"/>
    <w:rsid w:val="00F17A7C"/>
    <w:rsid w:val="00F20799"/>
    <w:rsid w:val="00F21B53"/>
    <w:rsid w:val="00F23ABA"/>
    <w:rsid w:val="00F25794"/>
    <w:rsid w:val="00F2641D"/>
    <w:rsid w:val="00F32466"/>
    <w:rsid w:val="00F32890"/>
    <w:rsid w:val="00F34CA5"/>
    <w:rsid w:val="00F358A0"/>
    <w:rsid w:val="00F35B18"/>
    <w:rsid w:val="00F42C15"/>
    <w:rsid w:val="00F43C88"/>
    <w:rsid w:val="00F47804"/>
    <w:rsid w:val="00F50319"/>
    <w:rsid w:val="00F51CAF"/>
    <w:rsid w:val="00F51D71"/>
    <w:rsid w:val="00F52833"/>
    <w:rsid w:val="00F53BD3"/>
    <w:rsid w:val="00F55516"/>
    <w:rsid w:val="00F555D9"/>
    <w:rsid w:val="00F56FCF"/>
    <w:rsid w:val="00F61EAF"/>
    <w:rsid w:val="00F63B46"/>
    <w:rsid w:val="00F654BC"/>
    <w:rsid w:val="00F65585"/>
    <w:rsid w:val="00F70871"/>
    <w:rsid w:val="00F70E1A"/>
    <w:rsid w:val="00F7308E"/>
    <w:rsid w:val="00F81393"/>
    <w:rsid w:val="00F85BF5"/>
    <w:rsid w:val="00F903B4"/>
    <w:rsid w:val="00F91338"/>
    <w:rsid w:val="00F9327B"/>
    <w:rsid w:val="00F96605"/>
    <w:rsid w:val="00F96680"/>
    <w:rsid w:val="00FA00F4"/>
    <w:rsid w:val="00FA3CD2"/>
    <w:rsid w:val="00FB08F2"/>
    <w:rsid w:val="00FB0A64"/>
    <w:rsid w:val="00FB0BBC"/>
    <w:rsid w:val="00FB31FC"/>
    <w:rsid w:val="00FB47AC"/>
    <w:rsid w:val="00FB5A4B"/>
    <w:rsid w:val="00FB6DE5"/>
    <w:rsid w:val="00FB6FD1"/>
    <w:rsid w:val="00FC7C13"/>
    <w:rsid w:val="00FD136B"/>
    <w:rsid w:val="00FD2225"/>
    <w:rsid w:val="00FD3166"/>
    <w:rsid w:val="00FE0B98"/>
    <w:rsid w:val="00FE21AE"/>
    <w:rsid w:val="00FF0E0B"/>
    <w:rsid w:val="00FF130A"/>
    <w:rsid w:val="00FF19FE"/>
    <w:rsid w:val="00FF5004"/>
    <w:rsid w:val="00FF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F877"/>
  <w15:docId w15:val="{9D1864E6-5D1F-4ECC-A1A3-050E514A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8CC"/>
  </w:style>
  <w:style w:type="paragraph" w:styleId="Heading1">
    <w:name w:val="heading 1"/>
    <w:basedOn w:val="Normal"/>
    <w:next w:val="Normal"/>
    <w:link w:val="Heading1Char"/>
    <w:uiPriority w:val="9"/>
    <w:qFormat/>
    <w:rsid w:val="003C38C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3C38C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C38C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C38C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C38C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C38C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C38C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38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C38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04"/>
    <w:pPr>
      <w:ind w:left="720"/>
      <w:contextualSpacing/>
    </w:pPr>
  </w:style>
  <w:style w:type="character" w:styleId="CommentReference">
    <w:name w:val="annotation reference"/>
    <w:basedOn w:val="DefaultParagraphFont"/>
    <w:uiPriority w:val="99"/>
    <w:semiHidden/>
    <w:unhideWhenUsed/>
    <w:rsid w:val="006A0AA1"/>
    <w:rPr>
      <w:sz w:val="16"/>
      <w:szCs w:val="16"/>
    </w:rPr>
  </w:style>
  <w:style w:type="paragraph" w:styleId="CommentText">
    <w:name w:val="annotation text"/>
    <w:basedOn w:val="Normal"/>
    <w:link w:val="CommentTextChar"/>
    <w:uiPriority w:val="99"/>
    <w:unhideWhenUsed/>
    <w:rsid w:val="006A0AA1"/>
    <w:pPr>
      <w:spacing w:line="240" w:lineRule="auto"/>
    </w:pPr>
    <w:rPr>
      <w:sz w:val="20"/>
      <w:szCs w:val="20"/>
    </w:rPr>
  </w:style>
  <w:style w:type="character" w:customStyle="1" w:styleId="CommentTextChar">
    <w:name w:val="Comment Text Char"/>
    <w:basedOn w:val="DefaultParagraphFont"/>
    <w:link w:val="CommentText"/>
    <w:uiPriority w:val="99"/>
    <w:rsid w:val="006A0AA1"/>
    <w:rPr>
      <w:sz w:val="20"/>
      <w:szCs w:val="20"/>
    </w:rPr>
  </w:style>
  <w:style w:type="paragraph" w:styleId="BalloonText">
    <w:name w:val="Balloon Text"/>
    <w:basedOn w:val="Normal"/>
    <w:link w:val="BalloonTextChar"/>
    <w:uiPriority w:val="99"/>
    <w:semiHidden/>
    <w:unhideWhenUsed/>
    <w:rsid w:val="006A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A1"/>
    <w:rPr>
      <w:rFonts w:ascii="Segoe UI" w:hAnsi="Segoe UI" w:cs="Segoe UI"/>
      <w:sz w:val="18"/>
      <w:szCs w:val="18"/>
    </w:rPr>
  </w:style>
  <w:style w:type="table" w:styleId="TableGrid">
    <w:name w:val="Table Grid"/>
    <w:basedOn w:val="TableNormal"/>
    <w:uiPriority w:val="39"/>
    <w:rsid w:val="00AA6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6511"/>
    <w:rPr>
      <w:b/>
      <w:bCs/>
    </w:rPr>
  </w:style>
  <w:style w:type="character" w:customStyle="1" w:styleId="CommentSubjectChar">
    <w:name w:val="Comment Subject Char"/>
    <w:basedOn w:val="CommentTextChar"/>
    <w:link w:val="CommentSubject"/>
    <w:uiPriority w:val="99"/>
    <w:semiHidden/>
    <w:rsid w:val="00B16511"/>
    <w:rPr>
      <w:b/>
      <w:bCs/>
      <w:sz w:val="20"/>
      <w:szCs w:val="20"/>
    </w:rPr>
  </w:style>
  <w:style w:type="paragraph" w:styleId="Header">
    <w:name w:val="header"/>
    <w:basedOn w:val="Normal"/>
    <w:link w:val="HeaderChar"/>
    <w:uiPriority w:val="99"/>
    <w:unhideWhenUsed/>
    <w:rsid w:val="00A84A5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84A51"/>
  </w:style>
  <w:style w:type="paragraph" w:styleId="Footer">
    <w:name w:val="footer"/>
    <w:basedOn w:val="Normal"/>
    <w:link w:val="FooterChar"/>
    <w:uiPriority w:val="99"/>
    <w:unhideWhenUsed/>
    <w:rsid w:val="00A84A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84A51"/>
  </w:style>
  <w:style w:type="character" w:customStyle="1" w:styleId="publication-meta-journal">
    <w:name w:val="publication-meta-journal"/>
    <w:basedOn w:val="DefaultParagraphFont"/>
    <w:rsid w:val="00D227EC"/>
  </w:style>
  <w:style w:type="character" w:customStyle="1" w:styleId="text-color-grey">
    <w:name w:val="text-color-grey"/>
    <w:basedOn w:val="DefaultParagraphFont"/>
    <w:rsid w:val="00D227EC"/>
  </w:style>
  <w:style w:type="character" w:customStyle="1" w:styleId="publication-meta-date">
    <w:name w:val="publication-meta-date"/>
    <w:basedOn w:val="DefaultParagraphFont"/>
    <w:rsid w:val="00D227EC"/>
  </w:style>
  <w:style w:type="character" w:customStyle="1" w:styleId="publication-meta-separator">
    <w:name w:val="publication-meta-separator"/>
    <w:basedOn w:val="DefaultParagraphFont"/>
    <w:rsid w:val="00D227EC"/>
  </w:style>
  <w:style w:type="character" w:customStyle="1" w:styleId="publication-meta-stats">
    <w:name w:val="publication-meta-stats"/>
    <w:basedOn w:val="DefaultParagraphFont"/>
    <w:rsid w:val="00D227EC"/>
  </w:style>
  <w:style w:type="paragraph" w:customStyle="1" w:styleId="Body">
    <w:name w:val="Body"/>
    <w:rsid w:val="0049206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t-LT"/>
    </w:rPr>
  </w:style>
  <w:style w:type="character" w:customStyle="1" w:styleId="hps">
    <w:name w:val="hps"/>
    <w:rsid w:val="00492067"/>
    <w:rPr>
      <w:lang w:val="en-US"/>
    </w:rPr>
  </w:style>
  <w:style w:type="character" w:styleId="Hyperlink">
    <w:name w:val="Hyperlink"/>
    <w:basedOn w:val="DefaultParagraphFont"/>
    <w:uiPriority w:val="99"/>
    <w:unhideWhenUsed/>
    <w:rsid w:val="001B174D"/>
    <w:rPr>
      <w:color w:val="0000FF" w:themeColor="hyperlink"/>
      <w:u w:val="single"/>
    </w:rPr>
  </w:style>
  <w:style w:type="paragraph" w:styleId="Revision">
    <w:name w:val="Revision"/>
    <w:hidden/>
    <w:uiPriority w:val="99"/>
    <w:semiHidden/>
    <w:rsid w:val="001157F7"/>
    <w:pPr>
      <w:spacing w:after="0" w:line="240" w:lineRule="auto"/>
    </w:pPr>
  </w:style>
  <w:style w:type="character" w:customStyle="1" w:styleId="Heading1Char">
    <w:name w:val="Heading 1 Char"/>
    <w:basedOn w:val="DefaultParagraphFont"/>
    <w:link w:val="Heading1"/>
    <w:uiPriority w:val="9"/>
    <w:rsid w:val="003C38C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3C38C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C38C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C38C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C38C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C38C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C38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38C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C38C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C38CC"/>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3C38C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C38C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C38C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C38CC"/>
    <w:rPr>
      <w:color w:val="5A5A5A" w:themeColor="text1" w:themeTint="A5"/>
      <w:spacing w:val="15"/>
    </w:rPr>
  </w:style>
  <w:style w:type="character" w:styleId="Strong">
    <w:name w:val="Strong"/>
    <w:basedOn w:val="DefaultParagraphFont"/>
    <w:uiPriority w:val="22"/>
    <w:qFormat/>
    <w:rsid w:val="003C38CC"/>
    <w:rPr>
      <w:b/>
      <w:bCs/>
      <w:color w:val="auto"/>
    </w:rPr>
  </w:style>
  <w:style w:type="character" w:styleId="Emphasis">
    <w:name w:val="Emphasis"/>
    <w:basedOn w:val="DefaultParagraphFont"/>
    <w:uiPriority w:val="20"/>
    <w:qFormat/>
    <w:rsid w:val="003C38CC"/>
    <w:rPr>
      <w:i/>
      <w:iCs/>
      <w:color w:val="auto"/>
    </w:rPr>
  </w:style>
  <w:style w:type="paragraph" w:styleId="NoSpacing">
    <w:name w:val="No Spacing"/>
    <w:uiPriority w:val="1"/>
    <w:qFormat/>
    <w:rsid w:val="003C38CC"/>
    <w:pPr>
      <w:spacing w:after="0" w:line="240" w:lineRule="auto"/>
    </w:pPr>
  </w:style>
  <w:style w:type="paragraph" w:styleId="Quote">
    <w:name w:val="Quote"/>
    <w:basedOn w:val="Normal"/>
    <w:next w:val="Normal"/>
    <w:link w:val="QuoteChar"/>
    <w:uiPriority w:val="29"/>
    <w:qFormat/>
    <w:rsid w:val="003C38C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C38CC"/>
    <w:rPr>
      <w:i/>
      <w:iCs/>
      <w:color w:val="404040" w:themeColor="text1" w:themeTint="BF"/>
    </w:rPr>
  </w:style>
  <w:style w:type="paragraph" w:styleId="IntenseQuote">
    <w:name w:val="Intense Quote"/>
    <w:basedOn w:val="Normal"/>
    <w:next w:val="Normal"/>
    <w:link w:val="IntenseQuoteChar"/>
    <w:uiPriority w:val="30"/>
    <w:qFormat/>
    <w:rsid w:val="003C38C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C38CC"/>
    <w:rPr>
      <w:i/>
      <w:iCs/>
      <w:color w:val="404040" w:themeColor="text1" w:themeTint="BF"/>
    </w:rPr>
  </w:style>
  <w:style w:type="character" w:styleId="SubtleEmphasis">
    <w:name w:val="Subtle Emphasis"/>
    <w:basedOn w:val="DefaultParagraphFont"/>
    <w:uiPriority w:val="19"/>
    <w:qFormat/>
    <w:rsid w:val="003C38CC"/>
    <w:rPr>
      <w:i/>
      <w:iCs/>
      <w:color w:val="404040" w:themeColor="text1" w:themeTint="BF"/>
    </w:rPr>
  </w:style>
  <w:style w:type="character" w:styleId="IntenseEmphasis">
    <w:name w:val="Intense Emphasis"/>
    <w:basedOn w:val="DefaultParagraphFont"/>
    <w:uiPriority w:val="21"/>
    <w:qFormat/>
    <w:rsid w:val="003C38CC"/>
    <w:rPr>
      <w:b/>
      <w:bCs/>
      <w:i/>
      <w:iCs/>
      <w:color w:val="auto"/>
    </w:rPr>
  </w:style>
  <w:style w:type="character" w:styleId="SubtleReference">
    <w:name w:val="Subtle Reference"/>
    <w:basedOn w:val="DefaultParagraphFont"/>
    <w:uiPriority w:val="31"/>
    <w:qFormat/>
    <w:rsid w:val="003C38CC"/>
    <w:rPr>
      <w:smallCaps/>
      <w:color w:val="404040" w:themeColor="text1" w:themeTint="BF"/>
    </w:rPr>
  </w:style>
  <w:style w:type="character" w:styleId="IntenseReference">
    <w:name w:val="Intense Reference"/>
    <w:basedOn w:val="DefaultParagraphFont"/>
    <w:uiPriority w:val="32"/>
    <w:qFormat/>
    <w:rsid w:val="003C38CC"/>
    <w:rPr>
      <w:b/>
      <w:bCs/>
      <w:smallCaps/>
      <w:color w:val="404040" w:themeColor="text1" w:themeTint="BF"/>
      <w:spacing w:val="5"/>
    </w:rPr>
  </w:style>
  <w:style w:type="character" w:styleId="BookTitle">
    <w:name w:val="Book Title"/>
    <w:basedOn w:val="DefaultParagraphFont"/>
    <w:uiPriority w:val="33"/>
    <w:qFormat/>
    <w:rsid w:val="003C38CC"/>
    <w:rPr>
      <w:b/>
      <w:bCs/>
      <w:i/>
      <w:iCs/>
      <w:spacing w:val="5"/>
    </w:rPr>
  </w:style>
  <w:style w:type="paragraph" w:styleId="TOCHeading">
    <w:name w:val="TOC Heading"/>
    <w:basedOn w:val="Heading1"/>
    <w:next w:val="Normal"/>
    <w:uiPriority w:val="39"/>
    <w:semiHidden/>
    <w:unhideWhenUsed/>
    <w:qFormat/>
    <w:rsid w:val="003C38CC"/>
    <w:pPr>
      <w:outlineLvl w:val="9"/>
    </w:pPr>
  </w:style>
  <w:style w:type="paragraph" w:styleId="Bibliography">
    <w:name w:val="Bibliography"/>
    <w:basedOn w:val="Normal"/>
    <w:next w:val="Normal"/>
    <w:uiPriority w:val="37"/>
    <w:unhideWhenUsed/>
    <w:rsid w:val="00867A16"/>
    <w:pPr>
      <w:tabs>
        <w:tab w:val="left" w:pos="504"/>
      </w:tabs>
      <w:spacing w:after="240" w:line="240" w:lineRule="auto"/>
      <w:ind w:left="504" w:hanging="504"/>
    </w:pPr>
  </w:style>
  <w:style w:type="table" w:customStyle="1" w:styleId="Lentelstinklelis1">
    <w:name w:val="Lentelės tinklelis1"/>
    <w:basedOn w:val="TableNormal"/>
    <w:next w:val="TableGrid"/>
    <w:uiPriority w:val="39"/>
    <w:rsid w:val="00BC505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TableNormal"/>
    <w:next w:val="TableGrid"/>
    <w:uiPriority w:val="39"/>
    <w:rsid w:val="00BC505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E1983"/>
  </w:style>
  <w:style w:type="character" w:customStyle="1" w:styleId="A5">
    <w:name w:val="A5"/>
    <w:uiPriority w:val="99"/>
    <w:rsid w:val="004E44E0"/>
    <w:rPr>
      <w:rFonts w:cs="Minion Pro"/>
      <w:color w:val="000000"/>
    </w:rPr>
  </w:style>
  <w:style w:type="paragraph" w:styleId="PlainText">
    <w:name w:val="Plain Text"/>
    <w:basedOn w:val="Normal"/>
    <w:link w:val="PlainTextChar"/>
    <w:semiHidden/>
    <w:unhideWhenUsed/>
    <w:rsid w:val="009831D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9831D3"/>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109">
      <w:bodyDiv w:val="1"/>
      <w:marLeft w:val="0"/>
      <w:marRight w:val="0"/>
      <w:marTop w:val="0"/>
      <w:marBottom w:val="0"/>
      <w:divBdr>
        <w:top w:val="none" w:sz="0" w:space="0" w:color="auto"/>
        <w:left w:val="none" w:sz="0" w:space="0" w:color="auto"/>
        <w:bottom w:val="none" w:sz="0" w:space="0" w:color="auto"/>
        <w:right w:val="none" w:sz="0" w:space="0" w:color="auto"/>
      </w:divBdr>
    </w:div>
    <w:div w:id="80180516">
      <w:bodyDiv w:val="1"/>
      <w:marLeft w:val="0"/>
      <w:marRight w:val="0"/>
      <w:marTop w:val="0"/>
      <w:marBottom w:val="0"/>
      <w:divBdr>
        <w:top w:val="none" w:sz="0" w:space="0" w:color="auto"/>
        <w:left w:val="none" w:sz="0" w:space="0" w:color="auto"/>
        <w:bottom w:val="none" w:sz="0" w:space="0" w:color="auto"/>
        <w:right w:val="none" w:sz="0" w:space="0" w:color="auto"/>
      </w:divBdr>
    </w:div>
    <w:div w:id="105194031">
      <w:bodyDiv w:val="1"/>
      <w:marLeft w:val="0"/>
      <w:marRight w:val="0"/>
      <w:marTop w:val="0"/>
      <w:marBottom w:val="0"/>
      <w:divBdr>
        <w:top w:val="none" w:sz="0" w:space="0" w:color="auto"/>
        <w:left w:val="none" w:sz="0" w:space="0" w:color="auto"/>
        <w:bottom w:val="none" w:sz="0" w:space="0" w:color="auto"/>
        <w:right w:val="none" w:sz="0" w:space="0" w:color="auto"/>
      </w:divBdr>
      <w:divsChild>
        <w:div w:id="473370101">
          <w:marLeft w:val="0"/>
          <w:marRight w:val="1"/>
          <w:marTop w:val="0"/>
          <w:marBottom w:val="0"/>
          <w:divBdr>
            <w:top w:val="none" w:sz="0" w:space="0" w:color="auto"/>
            <w:left w:val="none" w:sz="0" w:space="0" w:color="auto"/>
            <w:bottom w:val="none" w:sz="0" w:space="0" w:color="auto"/>
            <w:right w:val="none" w:sz="0" w:space="0" w:color="auto"/>
          </w:divBdr>
          <w:divsChild>
            <w:div w:id="1191143108">
              <w:marLeft w:val="0"/>
              <w:marRight w:val="0"/>
              <w:marTop w:val="0"/>
              <w:marBottom w:val="0"/>
              <w:divBdr>
                <w:top w:val="none" w:sz="0" w:space="0" w:color="auto"/>
                <w:left w:val="none" w:sz="0" w:space="0" w:color="auto"/>
                <w:bottom w:val="none" w:sz="0" w:space="0" w:color="auto"/>
                <w:right w:val="none" w:sz="0" w:space="0" w:color="auto"/>
              </w:divBdr>
              <w:divsChild>
                <w:div w:id="392777111">
                  <w:marLeft w:val="0"/>
                  <w:marRight w:val="1"/>
                  <w:marTop w:val="0"/>
                  <w:marBottom w:val="0"/>
                  <w:divBdr>
                    <w:top w:val="none" w:sz="0" w:space="0" w:color="auto"/>
                    <w:left w:val="none" w:sz="0" w:space="0" w:color="auto"/>
                    <w:bottom w:val="none" w:sz="0" w:space="0" w:color="auto"/>
                    <w:right w:val="none" w:sz="0" w:space="0" w:color="auto"/>
                  </w:divBdr>
                  <w:divsChild>
                    <w:div w:id="2022968818">
                      <w:marLeft w:val="0"/>
                      <w:marRight w:val="0"/>
                      <w:marTop w:val="0"/>
                      <w:marBottom w:val="0"/>
                      <w:divBdr>
                        <w:top w:val="none" w:sz="0" w:space="0" w:color="auto"/>
                        <w:left w:val="none" w:sz="0" w:space="0" w:color="auto"/>
                        <w:bottom w:val="none" w:sz="0" w:space="0" w:color="auto"/>
                        <w:right w:val="none" w:sz="0" w:space="0" w:color="auto"/>
                      </w:divBdr>
                      <w:divsChild>
                        <w:div w:id="286353779">
                          <w:marLeft w:val="0"/>
                          <w:marRight w:val="0"/>
                          <w:marTop w:val="0"/>
                          <w:marBottom w:val="0"/>
                          <w:divBdr>
                            <w:top w:val="none" w:sz="0" w:space="0" w:color="auto"/>
                            <w:left w:val="none" w:sz="0" w:space="0" w:color="auto"/>
                            <w:bottom w:val="none" w:sz="0" w:space="0" w:color="auto"/>
                            <w:right w:val="none" w:sz="0" w:space="0" w:color="auto"/>
                          </w:divBdr>
                          <w:divsChild>
                            <w:div w:id="1352872840">
                              <w:marLeft w:val="0"/>
                              <w:marRight w:val="0"/>
                              <w:marTop w:val="120"/>
                              <w:marBottom w:val="360"/>
                              <w:divBdr>
                                <w:top w:val="none" w:sz="0" w:space="0" w:color="auto"/>
                                <w:left w:val="none" w:sz="0" w:space="0" w:color="auto"/>
                                <w:bottom w:val="none" w:sz="0" w:space="0" w:color="auto"/>
                                <w:right w:val="none" w:sz="0" w:space="0" w:color="auto"/>
                              </w:divBdr>
                              <w:divsChild>
                                <w:div w:id="937175625">
                                  <w:marLeft w:val="420"/>
                                  <w:marRight w:val="0"/>
                                  <w:marTop w:val="0"/>
                                  <w:marBottom w:val="0"/>
                                  <w:divBdr>
                                    <w:top w:val="none" w:sz="0" w:space="0" w:color="auto"/>
                                    <w:left w:val="none" w:sz="0" w:space="0" w:color="auto"/>
                                    <w:bottom w:val="none" w:sz="0" w:space="0" w:color="auto"/>
                                    <w:right w:val="none" w:sz="0" w:space="0" w:color="auto"/>
                                  </w:divBdr>
                                  <w:divsChild>
                                    <w:div w:id="465440297">
                                      <w:marLeft w:val="0"/>
                                      <w:marRight w:val="0"/>
                                      <w:marTop w:val="0"/>
                                      <w:marBottom w:val="0"/>
                                      <w:divBdr>
                                        <w:top w:val="none" w:sz="0" w:space="0" w:color="auto"/>
                                        <w:left w:val="none" w:sz="0" w:space="0" w:color="auto"/>
                                        <w:bottom w:val="none" w:sz="0" w:space="0" w:color="auto"/>
                                        <w:right w:val="none" w:sz="0" w:space="0" w:color="auto"/>
                                      </w:divBdr>
                                      <w:divsChild>
                                        <w:div w:id="13720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40829">
      <w:bodyDiv w:val="1"/>
      <w:marLeft w:val="0"/>
      <w:marRight w:val="0"/>
      <w:marTop w:val="0"/>
      <w:marBottom w:val="0"/>
      <w:divBdr>
        <w:top w:val="none" w:sz="0" w:space="0" w:color="auto"/>
        <w:left w:val="none" w:sz="0" w:space="0" w:color="auto"/>
        <w:bottom w:val="none" w:sz="0" w:space="0" w:color="auto"/>
        <w:right w:val="none" w:sz="0" w:space="0" w:color="auto"/>
      </w:divBdr>
      <w:divsChild>
        <w:div w:id="886070365">
          <w:marLeft w:val="0"/>
          <w:marRight w:val="1"/>
          <w:marTop w:val="0"/>
          <w:marBottom w:val="0"/>
          <w:divBdr>
            <w:top w:val="none" w:sz="0" w:space="0" w:color="auto"/>
            <w:left w:val="none" w:sz="0" w:space="0" w:color="auto"/>
            <w:bottom w:val="none" w:sz="0" w:space="0" w:color="auto"/>
            <w:right w:val="none" w:sz="0" w:space="0" w:color="auto"/>
          </w:divBdr>
          <w:divsChild>
            <w:div w:id="482090628">
              <w:marLeft w:val="0"/>
              <w:marRight w:val="0"/>
              <w:marTop w:val="0"/>
              <w:marBottom w:val="0"/>
              <w:divBdr>
                <w:top w:val="none" w:sz="0" w:space="0" w:color="auto"/>
                <w:left w:val="none" w:sz="0" w:space="0" w:color="auto"/>
                <w:bottom w:val="none" w:sz="0" w:space="0" w:color="auto"/>
                <w:right w:val="none" w:sz="0" w:space="0" w:color="auto"/>
              </w:divBdr>
              <w:divsChild>
                <w:div w:id="1334793339">
                  <w:marLeft w:val="0"/>
                  <w:marRight w:val="1"/>
                  <w:marTop w:val="0"/>
                  <w:marBottom w:val="0"/>
                  <w:divBdr>
                    <w:top w:val="none" w:sz="0" w:space="0" w:color="auto"/>
                    <w:left w:val="none" w:sz="0" w:space="0" w:color="auto"/>
                    <w:bottom w:val="none" w:sz="0" w:space="0" w:color="auto"/>
                    <w:right w:val="none" w:sz="0" w:space="0" w:color="auto"/>
                  </w:divBdr>
                  <w:divsChild>
                    <w:div w:id="1049500759">
                      <w:marLeft w:val="0"/>
                      <w:marRight w:val="0"/>
                      <w:marTop w:val="0"/>
                      <w:marBottom w:val="0"/>
                      <w:divBdr>
                        <w:top w:val="none" w:sz="0" w:space="0" w:color="auto"/>
                        <w:left w:val="none" w:sz="0" w:space="0" w:color="auto"/>
                        <w:bottom w:val="none" w:sz="0" w:space="0" w:color="auto"/>
                        <w:right w:val="none" w:sz="0" w:space="0" w:color="auto"/>
                      </w:divBdr>
                      <w:divsChild>
                        <w:div w:id="1000355308">
                          <w:marLeft w:val="0"/>
                          <w:marRight w:val="0"/>
                          <w:marTop w:val="0"/>
                          <w:marBottom w:val="0"/>
                          <w:divBdr>
                            <w:top w:val="none" w:sz="0" w:space="0" w:color="auto"/>
                            <w:left w:val="none" w:sz="0" w:space="0" w:color="auto"/>
                            <w:bottom w:val="none" w:sz="0" w:space="0" w:color="auto"/>
                            <w:right w:val="none" w:sz="0" w:space="0" w:color="auto"/>
                          </w:divBdr>
                          <w:divsChild>
                            <w:div w:id="480773832">
                              <w:marLeft w:val="0"/>
                              <w:marRight w:val="0"/>
                              <w:marTop w:val="120"/>
                              <w:marBottom w:val="360"/>
                              <w:divBdr>
                                <w:top w:val="none" w:sz="0" w:space="0" w:color="auto"/>
                                <w:left w:val="none" w:sz="0" w:space="0" w:color="auto"/>
                                <w:bottom w:val="none" w:sz="0" w:space="0" w:color="auto"/>
                                <w:right w:val="none" w:sz="0" w:space="0" w:color="auto"/>
                              </w:divBdr>
                              <w:divsChild>
                                <w:div w:id="1620987363">
                                  <w:marLeft w:val="0"/>
                                  <w:marRight w:val="0"/>
                                  <w:marTop w:val="0"/>
                                  <w:marBottom w:val="0"/>
                                  <w:divBdr>
                                    <w:top w:val="none" w:sz="0" w:space="0" w:color="auto"/>
                                    <w:left w:val="none" w:sz="0" w:space="0" w:color="auto"/>
                                    <w:bottom w:val="none" w:sz="0" w:space="0" w:color="auto"/>
                                    <w:right w:val="none" w:sz="0" w:space="0" w:color="auto"/>
                                  </w:divBdr>
                                  <w:divsChild>
                                    <w:div w:id="121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755">
      <w:bodyDiv w:val="1"/>
      <w:marLeft w:val="0"/>
      <w:marRight w:val="0"/>
      <w:marTop w:val="0"/>
      <w:marBottom w:val="0"/>
      <w:divBdr>
        <w:top w:val="none" w:sz="0" w:space="0" w:color="auto"/>
        <w:left w:val="none" w:sz="0" w:space="0" w:color="auto"/>
        <w:bottom w:val="none" w:sz="0" w:space="0" w:color="auto"/>
        <w:right w:val="none" w:sz="0" w:space="0" w:color="auto"/>
      </w:divBdr>
    </w:div>
    <w:div w:id="215166254">
      <w:bodyDiv w:val="1"/>
      <w:marLeft w:val="0"/>
      <w:marRight w:val="0"/>
      <w:marTop w:val="0"/>
      <w:marBottom w:val="0"/>
      <w:divBdr>
        <w:top w:val="none" w:sz="0" w:space="0" w:color="auto"/>
        <w:left w:val="none" w:sz="0" w:space="0" w:color="auto"/>
        <w:bottom w:val="none" w:sz="0" w:space="0" w:color="auto"/>
        <w:right w:val="none" w:sz="0" w:space="0" w:color="auto"/>
      </w:divBdr>
      <w:divsChild>
        <w:div w:id="1802767858">
          <w:marLeft w:val="0"/>
          <w:marRight w:val="0"/>
          <w:marTop w:val="75"/>
          <w:marBottom w:val="0"/>
          <w:divBdr>
            <w:top w:val="none" w:sz="0" w:space="0" w:color="auto"/>
            <w:left w:val="none" w:sz="0" w:space="0" w:color="auto"/>
            <w:bottom w:val="none" w:sz="0" w:space="0" w:color="auto"/>
            <w:right w:val="none" w:sz="0" w:space="0" w:color="auto"/>
          </w:divBdr>
        </w:div>
      </w:divsChild>
    </w:div>
    <w:div w:id="297539962">
      <w:bodyDiv w:val="1"/>
      <w:marLeft w:val="0"/>
      <w:marRight w:val="0"/>
      <w:marTop w:val="0"/>
      <w:marBottom w:val="0"/>
      <w:divBdr>
        <w:top w:val="none" w:sz="0" w:space="0" w:color="auto"/>
        <w:left w:val="none" w:sz="0" w:space="0" w:color="auto"/>
        <w:bottom w:val="none" w:sz="0" w:space="0" w:color="auto"/>
        <w:right w:val="none" w:sz="0" w:space="0" w:color="auto"/>
      </w:divBdr>
    </w:div>
    <w:div w:id="597493851">
      <w:bodyDiv w:val="1"/>
      <w:marLeft w:val="0"/>
      <w:marRight w:val="0"/>
      <w:marTop w:val="0"/>
      <w:marBottom w:val="0"/>
      <w:divBdr>
        <w:top w:val="none" w:sz="0" w:space="0" w:color="auto"/>
        <w:left w:val="none" w:sz="0" w:space="0" w:color="auto"/>
        <w:bottom w:val="none" w:sz="0" w:space="0" w:color="auto"/>
        <w:right w:val="none" w:sz="0" w:space="0" w:color="auto"/>
      </w:divBdr>
    </w:div>
    <w:div w:id="623389310">
      <w:bodyDiv w:val="1"/>
      <w:marLeft w:val="0"/>
      <w:marRight w:val="0"/>
      <w:marTop w:val="0"/>
      <w:marBottom w:val="0"/>
      <w:divBdr>
        <w:top w:val="none" w:sz="0" w:space="0" w:color="auto"/>
        <w:left w:val="none" w:sz="0" w:space="0" w:color="auto"/>
        <w:bottom w:val="none" w:sz="0" w:space="0" w:color="auto"/>
        <w:right w:val="none" w:sz="0" w:space="0" w:color="auto"/>
      </w:divBdr>
    </w:div>
    <w:div w:id="682438537">
      <w:bodyDiv w:val="1"/>
      <w:marLeft w:val="0"/>
      <w:marRight w:val="0"/>
      <w:marTop w:val="0"/>
      <w:marBottom w:val="0"/>
      <w:divBdr>
        <w:top w:val="none" w:sz="0" w:space="0" w:color="auto"/>
        <w:left w:val="none" w:sz="0" w:space="0" w:color="auto"/>
        <w:bottom w:val="none" w:sz="0" w:space="0" w:color="auto"/>
        <w:right w:val="none" w:sz="0" w:space="0" w:color="auto"/>
      </w:divBdr>
      <w:divsChild>
        <w:div w:id="1305280516">
          <w:marLeft w:val="0"/>
          <w:marRight w:val="1"/>
          <w:marTop w:val="0"/>
          <w:marBottom w:val="0"/>
          <w:divBdr>
            <w:top w:val="none" w:sz="0" w:space="0" w:color="auto"/>
            <w:left w:val="none" w:sz="0" w:space="0" w:color="auto"/>
            <w:bottom w:val="none" w:sz="0" w:space="0" w:color="auto"/>
            <w:right w:val="none" w:sz="0" w:space="0" w:color="auto"/>
          </w:divBdr>
          <w:divsChild>
            <w:div w:id="777338146">
              <w:marLeft w:val="0"/>
              <w:marRight w:val="0"/>
              <w:marTop w:val="0"/>
              <w:marBottom w:val="0"/>
              <w:divBdr>
                <w:top w:val="none" w:sz="0" w:space="0" w:color="auto"/>
                <w:left w:val="none" w:sz="0" w:space="0" w:color="auto"/>
                <w:bottom w:val="none" w:sz="0" w:space="0" w:color="auto"/>
                <w:right w:val="none" w:sz="0" w:space="0" w:color="auto"/>
              </w:divBdr>
              <w:divsChild>
                <w:div w:id="40712057">
                  <w:marLeft w:val="0"/>
                  <w:marRight w:val="1"/>
                  <w:marTop w:val="0"/>
                  <w:marBottom w:val="0"/>
                  <w:divBdr>
                    <w:top w:val="none" w:sz="0" w:space="0" w:color="auto"/>
                    <w:left w:val="none" w:sz="0" w:space="0" w:color="auto"/>
                    <w:bottom w:val="none" w:sz="0" w:space="0" w:color="auto"/>
                    <w:right w:val="none" w:sz="0" w:space="0" w:color="auto"/>
                  </w:divBdr>
                  <w:divsChild>
                    <w:div w:id="1811436079">
                      <w:marLeft w:val="0"/>
                      <w:marRight w:val="0"/>
                      <w:marTop w:val="0"/>
                      <w:marBottom w:val="0"/>
                      <w:divBdr>
                        <w:top w:val="none" w:sz="0" w:space="0" w:color="auto"/>
                        <w:left w:val="none" w:sz="0" w:space="0" w:color="auto"/>
                        <w:bottom w:val="none" w:sz="0" w:space="0" w:color="auto"/>
                        <w:right w:val="none" w:sz="0" w:space="0" w:color="auto"/>
                      </w:divBdr>
                      <w:divsChild>
                        <w:div w:id="1694838303">
                          <w:marLeft w:val="0"/>
                          <w:marRight w:val="0"/>
                          <w:marTop w:val="0"/>
                          <w:marBottom w:val="0"/>
                          <w:divBdr>
                            <w:top w:val="none" w:sz="0" w:space="0" w:color="auto"/>
                            <w:left w:val="none" w:sz="0" w:space="0" w:color="auto"/>
                            <w:bottom w:val="none" w:sz="0" w:space="0" w:color="auto"/>
                            <w:right w:val="none" w:sz="0" w:space="0" w:color="auto"/>
                          </w:divBdr>
                          <w:divsChild>
                            <w:div w:id="1385249105">
                              <w:marLeft w:val="0"/>
                              <w:marRight w:val="0"/>
                              <w:marTop w:val="120"/>
                              <w:marBottom w:val="360"/>
                              <w:divBdr>
                                <w:top w:val="none" w:sz="0" w:space="0" w:color="auto"/>
                                <w:left w:val="none" w:sz="0" w:space="0" w:color="auto"/>
                                <w:bottom w:val="none" w:sz="0" w:space="0" w:color="auto"/>
                                <w:right w:val="none" w:sz="0" w:space="0" w:color="auto"/>
                              </w:divBdr>
                              <w:divsChild>
                                <w:div w:id="59638679">
                                  <w:marLeft w:val="0"/>
                                  <w:marRight w:val="0"/>
                                  <w:marTop w:val="0"/>
                                  <w:marBottom w:val="0"/>
                                  <w:divBdr>
                                    <w:top w:val="none" w:sz="0" w:space="0" w:color="auto"/>
                                    <w:left w:val="none" w:sz="0" w:space="0" w:color="auto"/>
                                    <w:bottom w:val="none" w:sz="0" w:space="0" w:color="auto"/>
                                    <w:right w:val="none" w:sz="0" w:space="0" w:color="auto"/>
                                  </w:divBdr>
                                  <w:divsChild>
                                    <w:div w:id="3527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747803">
      <w:bodyDiv w:val="1"/>
      <w:marLeft w:val="0"/>
      <w:marRight w:val="0"/>
      <w:marTop w:val="0"/>
      <w:marBottom w:val="0"/>
      <w:divBdr>
        <w:top w:val="none" w:sz="0" w:space="0" w:color="auto"/>
        <w:left w:val="none" w:sz="0" w:space="0" w:color="auto"/>
        <w:bottom w:val="none" w:sz="0" w:space="0" w:color="auto"/>
        <w:right w:val="none" w:sz="0" w:space="0" w:color="auto"/>
      </w:divBdr>
    </w:div>
    <w:div w:id="855658619">
      <w:bodyDiv w:val="1"/>
      <w:marLeft w:val="0"/>
      <w:marRight w:val="0"/>
      <w:marTop w:val="0"/>
      <w:marBottom w:val="0"/>
      <w:divBdr>
        <w:top w:val="none" w:sz="0" w:space="0" w:color="auto"/>
        <w:left w:val="none" w:sz="0" w:space="0" w:color="auto"/>
        <w:bottom w:val="none" w:sz="0" w:space="0" w:color="auto"/>
        <w:right w:val="none" w:sz="0" w:space="0" w:color="auto"/>
      </w:divBdr>
    </w:div>
    <w:div w:id="866139216">
      <w:bodyDiv w:val="1"/>
      <w:marLeft w:val="0"/>
      <w:marRight w:val="0"/>
      <w:marTop w:val="0"/>
      <w:marBottom w:val="0"/>
      <w:divBdr>
        <w:top w:val="none" w:sz="0" w:space="0" w:color="auto"/>
        <w:left w:val="none" w:sz="0" w:space="0" w:color="auto"/>
        <w:bottom w:val="none" w:sz="0" w:space="0" w:color="auto"/>
        <w:right w:val="none" w:sz="0" w:space="0" w:color="auto"/>
      </w:divBdr>
      <w:divsChild>
        <w:div w:id="1178428845">
          <w:marLeft w:val="0"/>
          <w:marRight w:val="1"/>
          <w:marTop w:val="0"/>
          <w:marBottom w:val="0"/>
          <w:divBdr>
            <w:top w:val="none" w:sz="0" w:space="0" w:color="auto"/>
            <w:left w:val="none" w:sz="0" w:space="0" w:color="auto"/>
            <w:bottom w:val="none" w:sz="0" w:space="0" w:color="auto"/>
            <w:right w:val="none" w:sz="0" w:space="0" w:color="auto"/>
          </w:divBdr>
          <w:divsChild>
            <w:div w:id="577401656">
              <w:marLeft w:val="0"/>
              <w:marRight w:val="0"/>
              <w:marTop w:val="0"/>
              <w:marBottom w:val="0"/>
              <w:divBdr>
                <w:top w:val="none" w:sz="0" w:space="0" w:color="auto"/>
                <w:left w:val="none" w:sz="0" w:space="0" w:color="auto"/>
                <w:bottom w:val="none" w:sz="0" w:space="0" w:color="auto"/>
                <w:right w:val="none" w:sz="0" w:space="0" w:color="auto"/>
              </w:divBdr>
              <w:divsChild>
                <w:div w:id="784541629">
                  <w:marLeft w:val="0"/>
                  <w:marRight w:val="1"/>
                  <w:marTop w:val="0"/>
                  <w:marBottom w:val="0"/>
                  <w:divBdr>
                    <w:top w:val="none" w:sz="0" w:space="0" w:color="auto"/>
                    <w:left w:val="none" w:sz="0" w:space="0" w:color="auto"/>
                    <w:bottom w:val="none" w:sz="0" w:space="0" w:color="auto"/>
                    <w:right w:val="none" w:sz="0" w:space="0" w:color="auto"/>
                  </w:divBdr>
                  <w:divsChild>
                    <w:div w:id="463424518">
                      <w:marLeft w:val="0"/>
                      <w:marRight w:val="0"/>
                      <w:marTop w:val="0"/>
                      <w:marBottom w:val="0"/>
                      <w:divBdr>
                        <w:top w:val="none" w:sz="0" w:space="0" w:color="auto"/>
                        <w:left w:val="none" w:sz="0" w:space="0" w:color="auto"/>
                        <w:bottom w:val="none" w:sz="0" w:space="0" w:color="auto"/>
                        <w:right w:val="none" w:sz="0" w:space="0" w:color="auto"/>
                      </w:divBdr>
                      <w:divsChild>
                        <w:div w:id="1835293036">
                          <w:marLeft w:val="0"/>
                          <w:marRight w:val="0"/>
                          <w:marTop w:val="0"/>
                          <w:marBottom w:val="0"/>
                          <w:divBdr>
                            <w:top w:val="none" w:sz="0" w:space="0" w:color="auto"/>
                            <w:left w:val="none" w:sz="0" w:space="0" w:color="auto"/>
                            <w:bottom w:val="none" w:sz="0" w:space="0" w:color="auto"/>
                            <w:right w:val="none" w:sz="0" w:space="0" w:color="auto"/>
                          </w:divBdr>
                          <w:divsChild>
                            <w:div w:id="134418706">
                              <w:marLeft w:val="0"/>
                              <w:marRight w:val="0"/>
                              <w:marTop w:val="120"/>
                              <w:marBottom w:val="360"/>
                              <w:divBdr>
                                <w:top w:val="none" w:sz="0" w:space="0" w:color="auto"/>
                                <w:left w:val="none" w:sz="0" w:space="0" w:color="auto"/>
                                <w:bottom w:val="none" w:sz="0" w:space="0" w:color="auto"/>
                                <w:right w:val="none" w:sz="0" w:space="0" w:color="auto"/>
                              </w:divBdr>
                              <w:divsChild>
                                <w:div w:id="1987859068">
                                  <w:marLeft w:val="0"/>
                                  <w:marRight w:val="0"/>
                                  <w:marTop w:val="0"/>
                                  <w:marBottom w:val="0"/>
                                  <w:divBdr>
                                    <w:top w:val="none" w:sz="0" w:space="0" w:color="auto"/>
                                    <w:left w:val="none" w:sz="0" w:space="0" w:color="auto"/>
                                    <w:bottom w:val="none" w:sz="0" w:space="0" w:color="auto"/>
                                    <w:right w:val="none" w:sz="0" w:space="0" w:color="auto"/>
                                  </w:divBdr>
                                  <w:divsChild>
                                    <w:div w:id="1523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733740">
      <w:bodyDiv w:val="1"/>
      <w:marLeft w:val="0"/>
      <w:marRight w:val="0"/>
      <w:marTop w:val="0"/>
      <w:marBottom w:val="0"/>
      <w:divBdr>
        <w:top w:val="none" w:sz="0" w:space="0" w:color="auto"/>
        <w:left w:val="none" w:sz="0" w:space="0" w:color="auto"/>
        <w:bottom w:val="none" w:sz="0" w:space="0" w:color="auto"/>
        <w:right w:val="none" w:sz="0" w:space="0" w:color="auto"/>
      </w:divBdr>
      <w:divsChild>
        <w:div w:id="589850602">
          <w:marLeft w:val="0"/>
          <w:marRight w:val="1"/>
          <w:marTop w:val="0"/>
          <w:marBottom w:val="0"/>
          <w:divBdr>
            <w:top w:val="none" w:sz="0" w:space="0" w:color="auto"/>
            <w:left w:val="none" w:sz="0" w:space="0" w:color="auto"/>
            <w:bottom w:val="none" w:sz="0" w:space="0" w:color="auto"/>
            <w:right w:val="none" w:sz="0" w:space="0" w:color="auto"/>
          </w:divBdr>
          <w:divsChild>
            <w:div w:id="1485927643">
              <w:marLeft w:val="0"/>
              <w:marRight w:val="0"/>
              <w:marTop w:val="0"/>
              <w:marBottom w:val="0"/>
              <w:divBdr>
                <w:top w:val="none" w:sz="0" w:space="0" w:color="auto"/>
                <w:left w:val="none" w:sz="0" w:space="0" w:color="auto"/>
                <w:bottom w:val="none" w:sz="0" w:space="0" w:color="auto"/>
                <w:right w:val="none" w:sz="0" w:space="0" w:color="auto"/>
              </w:divBdr>
              <w:divsChild>
                <w:div w:id="1959413367">
                  <w:marLeft w:val="0"/>
                  <w:marRight w:val="1"/>
                  <w:marTop w:val="0"/>
                  <w:marBottom w:val="0"/>
                  <w:divBdr>
                    <w:top w:val="none" w:sz="0" w:space="0" w:color="auto"/>
                    <w:left w:val="none" w:sz="0" w:space="0" w:color="auto"/>
                    <w:bottom w:val="none" w:sz="0" w:space="0" w:color="auto"/>
                    <w:right w:val="none" w:sz="0" w:space="0" w:color="auto"/>
                  </w:divBdr>
                  <w:divsChild>
                    <w:div w:id="253705820">
                      <w:marLeft w:val="0"/>
                      <w:marRight w:val="0"/>
                      <w:marTop w:val="0"/>
                      <w:marBottom w:val="0"/>
                      <w:divBdr>
                        <w:top w:val="none" w:sz="0" w:space="0" w:color="auto"/>
                        <w:left w:val="none" w:sz="0" w:space="0" w:color="auto"/>
                        <w:bottom w:val="none" w:sz="0" w:space="0" w:color="auto"/>
                        <w:right w:val="none" w:sz="0" w:space="0" w:color="auto"/>
                      </w:divBdr>
                      <w:divsChild>
                        <w:div w:id="13120673">
                          <w:marLeft w:val="0"/>
                          <w:marRight w:val="0"/>
                          <w:marTop w:val="0"/>
                          <w:marBottom w:val="0"/>
                          <w:divBdr>
                            <w:top w:val="none" w:sz="0" w:space="0" w:color="auto"/>
                            <w:left w:val="none" w:sz="0" w:space="0" w:color="auto"/>
                            <w:bottom w:val="none" w:sz="0" w:space="0" w:color="auto"/>
                            <w:right w:val="none" w:sz="0" w:space="0" w:color="auto"/>
                          </w:divBdr>
                          <w:divsChild>
                            <w:div w:id="1771505748">
                              <w:marLeft w:val="0"/>
                              <w:marRight w:val="0"/>
                              <w:marTop w:val="120"/>
                              <w:marBottom w:val="360"/>
                              <w:divBdr>
                                <w:top w:val="none" w:sz="0" w:space="0" w:color="auto"/>
                                <w:left w:val="none" w:sz="0" w:space="0" w:color="auto"/>
                                <w:bottom w:val="none" w:sz="0" w:space="0" w:color="auto"/>
                                <w:right w:val="none" w:sz="0" w:space="0" w:color="auto"/>
                              </w:divBdr>
                              <w:divsChild>
                                <w:div w:id="2024090179">
                                  <w:marLeft w:val="0"/>
                                  <w:marRight w:val="0"/>
                                  <w:marTop w:val="0"/>
                                  <w:marBottom w:val="0"/>
                                  <w:divBdr>
                                    <w:top w:val="none" w:sz="0" w:space="0" w:color="auto"/>
                                    <w:left w:val="none" w:sz="0" w:space="0" w:color="auto"/>
                                    <w:bottom w:val="none" w:sz="0" w:space="0" w:color="auto"/>
                                    <w:right w:val="none" w:sz="0" w:space="0" w:color="auto"/>
                                  </w:divBdr>
                                  <w:divsChild>
                                    <w:div w:id="11049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4669">
      <w:bodyDiv w:val="1"/>
      <w:marLeft w:val="0"/>
      <w:marRight w:val="0"/>
      <w:marTop w:val="0"/>
      <w:marBottom w:val="0"/>
      <w:divBdr>
        <w:top w:val="none" w:sz="0" w:space="0" w:color="auto"/>
        <w:left w:val="none" w:sz="0" w:space="0" w:color="auto"/>
        <w:bottom w:val="none" w:sz="0" w:space="0" w:color="auto"/>
        <w:right w:val="none" w:sz="0" w:space="0" w:color="auto"/>
      </w:divBdr>
      <w:divsChild>
        <w:div w:id="1825048701">
          <w:marLeft w:val="0"/>
          <w:marRight w:val="1"/>
          <w:marTop w:val="0"/>
          <w:marBottom w:val="0"/>
          <w:divBdr>
            <w:top w:val="none" w:sz="0" w:space="0" w:color="auto"/>
            <w:left w:val="none" w:sz="0" w:space="0" w:color="auto"/>
            <w:bottom w:val="none" w:sz="0" w:space="0" w:color="auto"/>
            <w:right w:val="none" w:sz="0" w:space="0" w:color="auto"/>
          </w:divBdr>
          <w:divsChild>
            <w:div w:id="1977250853">
              <w:marLeft w:val="0"/>
              <w:marRight w:val="0"/>
              <w:marTop w:val="0"/>
              <w:marBottom w:val="0"/>
              <w:divBdr>
                <w:top w:val="none" w:sz="0" w:space="0" w:color="auto"/>
                <w:left w:val="none" w:sz="0" w:space="0" w:color="auto"/>
                <w:bottom w:val="none" w:sz="0" w:space="0" w:color="auto"/>
                <w:right w:val="none" w:sz="0" w:space="0" w:color="auto"/>
              </w:divBdr>
              <w:divsChild>
                <w:div w:id="811094682">
                  <w:marLeft w:val="0"/>
                  <w:marRight w:val="1"/>
                  <w:marTop w:val="0"/>
                  <w:marBottom w:val="0"/>
                  <w:divBdr>
                    <w:top w:val="none" w:sz="0" w:space="0" w:color="auto"/>
                    <w:left w:val="none" w:sz="0" w:space="0" w:color="auto"/>
                    <w:bottom w:val="none" w:sz="0" w:space="0" w:color="auto"/>
                    <w:right w:val="none" w:sz="0" w:space="0" w:color="auto"/>
                  </w:divBdr>
                  <w:divsChild>
                    <w:div w:id="844977239">
                      <w:marLeft w:val="0"/>
                      <w:marRight w:val="0"/>
                      <w:marTop w:val="0"/>
                      <w:marBottom w:val="0"/>
                      <w:divBdr>
                        <w:top w:val="none" w:sz="0" w:space="0" w:color="auto"/>
                        <w:left w:val="none" w:sz="0" w:space="0" w:color="auto"/>
                        <w:bottom w:val="none" w:sz="0" w:space="0" w:color="auto"/>
                        <w:right w:val="none" w:sz="0" w:space="0" w:color="auto"/>
                      </w:divBdr>
                      <w:divsChild>
                        <w:div w:id="406268472">
                          <w:marLeft w:val="0"/>
                          <w:marRight w:val="0"/>
                          <w:marTop w:val="0"/>
                          <w:marBottom w:val="0"/>
                          <w:divBdr>
                            <w:top w:val="none" w:sz="0" w:space="0" w:color="auto"/>
                            <w:left w:val="none" w:sz="0" w:space="0" w:color="auto"/>
                            <w:bottom w:val="none" w:sz="0" w:space="0" w:color="auto"/>
                            <w:right w:val="none" w:sz="0" w:space="0" w:color="auto"/>
                          </w:divBdr>
                          <w:divsChild>
                            <w:div w:id="1627155611">
                              <w:marLeft w:val="0"/>
                              <w:marRight w:val="0"/>
                              <w:marTop w:val="120"/>
                              <w:marBottom w:val="360"/>
                              <w:divBdr>
                                <w:top w:val="none" w:sz="0" w:space="0" w:color="auto"/>
                                <w:left w:val="none" w:sz="0" w:space="0" w:color="auto"/>
                                <w:bottom w:val="none" w:sz="0" w:space="0" w:color="auto"/>
                                <w:right w:val="none" w:sz="0" w:space="0" w:color="auto"/>
                              </w:divBdr>
                              <w:divsChild>
                                <w:div w:id="1383479799">
                                  <w:marLeft w:val="0"/>
                                  <w:marRight w:val="0"/>
                                  <w:marTop w:val="0"/>
                                  <w:marBottom w:val="0"/>
                                  <w:divBdr>
                                    <w:top w:val="none" w:sz="0" w:space="0" w:color="auto"/>
                                    <w:left w:val="none" w:sz="0" w:space="0" w:color="auto"/>
                                    <w:bottom w:val="none" w:sz="0" w:space="0" w:color="auto"/>
                                    <w:right w:val="none" w:sz="0" w:space="0" w:color="auto"/>
                                  </w:divBdr>
                                  <w:divsChild>
                                    <w:div w:id="16817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13951">
      <w:bodyDiv w:val="1"/>
      <w:marLeft w:val="0"/>
      <w:marRight w:val="0"/>
      <w:marTop w:val="0"/>
      <w:marBottom w:val="0"/>
      <w:divBdr>
        <w:top w:val="none" w:sz="0" w:space="0" w:color="auto"/>
        <w:left w:val="none" w:sz="0" w:space="0" w:color="auto"/>
        <w:bottom w:val="none" w:sz="0" w:space="0" w:color="auto"/>
        <w:right w:val="none" w:sz="0" w:space="0" w:color="auto"/>
      </w:divBdr>
    </w:div>
    <w:div w:id="1183979577">
      <w:bodyDiv w:val="1"/>
      <w:marLeft w:val="0"/>
      <w:marRight w:val="0"/>
      <w:marTop w:val="0"/>
      <w:marBottom w:val="0"/>
      <w:divBdr>
        <w:top w:val="none" w:sz="0" w:space="0" w:color="auto"/>
        <w:left w:val="none" w:sz="0" w:space="0" w:color="auto"/>
        <w:bottom w:val="none" w:sz="0" w:space="0" w:color="auto"/>
        <w:right w:val="none" w:sz="0" w:space="0" w:color="auto"/>
      </w:divBdr>
    </w:div>
    <w:div w:id="1221206719">
      <w:bodyDiv w:val="1"/>
      <w:marLeft w:val="0"/>
      <w:marRight w:val="0"/>
      <w:marTop w:val="0"/>
      <w:marBottom w:val="0"/>
      <w:divBdr>
        <w:top w:val="none" w:sz="0" w:space="0" w:color="auto"/>
        <w:left w:val="none" w:sz="0" w:space="0" w:color="auto"/>
        <w:bottom w:val="none" w:sz="0" w:space="0" w:color="auto"/>
        <w:right w:val="none" w:sz="0" w:space="0" w:color="auto"/>
      </w:divBdr>
    </w:div>
    <w:div w:id="1225021092">
      <w:bodyDiv w:val="1"/>
      <w:marLeft w:val="0"/>
      <w:marRight w:val="0"/>
      <w:marTop w:val="0"/>
      <w:marBottom w:val="0"/>
      <w:divBdr>
        <w:top w:val="none" w:sz="0" w:space="0" w:color="auto"/>
        <w:left w:val="none" w:sz="0" w:space="0" w:color="auto"/>
        <w:bottom w:val="none" w:sz="0" w:space="0" w:color="auto"/>
        <w:right w:val="none" w:sz="0" w:space="0" w:color="auto"/>
      </w:divBdr>
    </w:div>
    <w:div w:id="1345550298">
      <w:bodyDiv w:val="1"/>
      <w:marLeft w:val="0"/>
      <w:marRight w:val="0"/>
      <w:marTop w:val="0"/>
      <w:marBottom w:val="0"/>
      <w:divBdr>
        <w:top w:val="none" w:sz="0" w:space="0" w:color="auto"/>
        <w:left w:val="none" w:sz="0" w:space="0" w:color="auto"/>
        <w:bottom w:val="none" w:sz="0" w:space="0" w:color="auto"/>
        <w:right w:val="none" w:sz="0" w:space="0" w:color="auto"/>
      </w:divBdr>
      <w:divsChild>
        <w:div w:id="1149975735">
          <w:marLeft w:val="0"/>
          <w:marRight w:val="1"/>
          <w:marTop w:val="0"/>
          <w:marBottom w:val="0"/>
          <w:divBdr>
            <w:top w:val="none" w:sz="0" w:space="0" w:color="auto"/>
            <w:left w:val="none" w:sz="0" w:space="0" w:color="auto"/>
            <w:bottom w:val="none" w:sz="0" w:space="0" w:color="auto"/>
            <w:right w:val="none" w:sz="0" w:space="0" w:color="auto"/>
          </w:divBdr>
          <w:divsChild>
            <w:div w:id="655958303">
              <w:marLeft w:val="0"/>
              <w:marRight w:val="0"/>
              <w:marTop w:val="0"/>
              <w:marBottom w:val="0"/>
              <w:divBdr>
                <w:top w:val="none" w:sz="0" w:space="0" w:color="auto"/>
                <w:left w:val="none" w:sz="0" w:space="0" w:color="auto"/>
                <w:bottom w:val="none" w:sz="0" w:space="0" w:color="auto"/>
                <w:right w:val="none" w:sz="0" w:space="0" w:color="auto"/>
              </w:divBdr>
              <w:divsChild>
                <w:div w:id="248396031">
                  <w:marLeft w:val="0"/>
                  <w:marRight w:val="1"/>
                  <w:marTop w:val="0"/>
                  <w:marBottom w:val="0"/>
                  <w:divBdr>
                    <w:top w:val="none" w:sz="0" w:space="0" w:color="auto"/>
                    <w:left w:val="none" w:sz="0" w:space="0" w:color="auto"/>
                    <w:bottom w:val="none" w:sz="0" w:space="0" w:color="auto"/>
                    <w:right w:val="none" w:sz="0" w:space="0" w:color="auto"/>
                  </w:divBdr>
                  <w:divsChild>
                    <w:div w:id="456609528">
                      <w:marLeft w:val="0"/>
                      <w:marRight w:val="0"/>
                      <w:marTop w:val="0"/>
                      <w:marBottom w:val="0"/>
                      <w:divBdr>
                        <w:top w:val="none" w:sz="0" w:space="0" w:color="auto"/>
                        <w:left w:val="none" w:sz="0" w:space="0" w:color="auto"/>
                        <w:bottom w:val="none" w:sz="0" w:space="0" w:color="auto"/>
                        <w:right w:val="none" w:sz="0" w:space="0" w:color="auto"/>
                      </w:divBdr>
                      <w:divsChild>
                        <w:div w:id="2100058859">
                          <w:marLeft w:val="0"/>
                          <w:marRight w:val="0"/>
                          <w:marTop w:val="0"/>
                          <w:marBottom w:val="0"/>
                          <w:divBdr>
                            <w:top w:val="none" w:sz="0" w:space="0" w:color="auto"/>
                            <w:left w:val="none" w:sz="0" w:space="0" w:color="auto"/>
                            <w:bottom w:val="none" w:sz="0" w:space="0" w:color="auto"/>
                            <w:right w:val="none" w:sz="0" w:space="0" w:color="auto"/>
                          </w:divBdr>
                          <w:divsChild>
                            <w:div w:id="176192961">
                              <w:marLeft w:val="0"/>
                              <w:marRight w:val="0"/>
                              <w:marTop w:val="120"/>
                              <w:marBottom w:val="360"/>
                              <w:divBdr>
                                <w:top w:val="none" w:sz="0" w:space="0" w:color="auto"/>
                                <w:left w:val="none" w:sz="0" w:space="0" w:color="auto"/>
                                <w:bottom w:val="none" w:sz="0" w:space="0" w:color="auto"/>
                                <w:right w:val="none" w:sz="0" w:space="0" w:color="auto"/>
                              </w:divBdr>
                              <w:divsChild>
                                <w:div w:id="1607883736">
                                  <w:marLeft w:val="0"/>
                                  <w:marRight w:val="0"/>
                                  <w:marTop w:val="0"/>
                                  <w:marBottom w:val="0"/>
                                  <w:divBdr>
                                    <w:top w:val="none" w:sz="0" w:space="0" w:color="auto"/>
                                    <w:left w:val="none" w:sz="0" w:space="0" w:color="auto"/>
                                    <w:bottom w:val="none" w:sz="0" w:space="0" w:color="auto"/>
                                    <w:right w:val="none" w:sz="0" w:space="0" w:color="auto"/>
                                  </w:divBdr>
                                  <w:divsChild>
                                    <w:div w:id="10547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280673">
      <w:bodyDiv w:val="1"/>
      <w:marLeft w:val="0"/>
      <w:marRight w:val="0"/>
      <w:marTop w:val="0"/>
      <w:marBottom w:val="0"/>
      <w:divBdr>
        <w:top w:val="none" w:sz="0" w:space="0" w:color="auto"/>
        <w:left w:val="none" w:sz="0" w:space="0" w:color="auto"/>
        <w:bottom w:val="none" w:sz="0" w:space="0" w:color="auto"/>
        <w:right w:val="none" w:sz="0" w:space="0" w:color="auto"/>
      </w:divBdr>
      <w:divsChild>
        <w:div w:id="1343314786">
          <w:marLeft w:val="0"/>
          <w:marRight w:val="1"/>
          <w:marTop w:val="0"/>
          <w:marBottom w:val="0"/>
          <w:divBdr>
            <w:top w:val="none" w:sz="0" w:space="0" w:color="auto"/>
            <w:left w:val="none" w:sz="0" w:space="0" w:color="auto"/>
            <w:bottom w:val="none" w:sz="0" w:space="0" w:color="auto"/>
            <w:right w:val="none" w:sz="0" w:space="0" w:color="auto"/>
          </w:divBdr>
          <w:divsChild>
            <w:div w:id="1945990504">
              <w:marLeft w:val="0"/>
              <w:marRight w:val="0"/>
              <w:marTop w:val="0"/>
              <w:marBottom w:val="0"/>
              <w:divBdr>
                <w:top w:val="none" w:sz="0" w:space="0" w:color="auto"/>
                <w:left w:val="none" w:sz="0" w:space="0" w:color="auto"/>
                <w:bottom w:val="none" w:sz="0" w:space="0" w:color="auto"/>
                <w:right w:val="none" w:sz="0" w:space="0" w:color="auto"/>
              </w:divBdr>
              <w:divsChild>
                <w:div w:id="1506044742">
                  <w:marLeft w:val="0"/>
                  <w:marRight w:val="1"/>
                  <w:marTop w:val="0"/>
                  <w:marBottom w:val="0"/>
                  <w:divBdr>
                    <w:top w:val="none" w:sz="0" w:space="0" w:color="auto"/>
                    <w:left w:val="none" w:sz="0" w:space="0" w:color="auto"/>
                    <w:bottom w:val="none" w:sz="0" w:space="0" w:color="auto"/>
                    <w:right w:val="none" w:sz="0" w:space="0" w:color="auto"/>
                  </w:divBdr>
                  <w:divsChild>
                    <w:div w:id="661591354">
                      <w:marLeft w:val="0"/>
                      <w:marRight w:val="0"/>
                      <w:marTop w:val="0"/>
                      <w:marBottom w:val="0"/>
                      <w:divBdr>
                        <w:top w:val="none" w:sz="0" w:space="0" w:color="auto"/>
                        <w:left w:val="none" w:sz="0" w:space="0" w:color="auto"/>
                        <w:bottom w:val="none" w:sz="0" w:space="0" w:color="auto"/>
                        <w:right w:val="none" w:sz="0" w:space="0" w:color="auto"/>
                      </w:divBdr>
                      <w:divsChild>
                        <w:div w:id="1512179823">
                          <w:marLeft w:val="0"/>
                          <w:marRight w:val="0"/>
                          <w:marTop w:val="0"/>
                          <w:marBottom w:val="0"/>
                          <w:divBdr>
                            <w:top w:val="none" w:sz="0" w:space="0" w:color="auto"/>
                            <w:left w:val="none" w:sz="0" w:space="0" w:color="auto"/>
                            <w:bottom w:val="none" w:sz="0" w:space="0" w:color="auto"/>
                            <w:right w:val="none" w:sz="0" w:space="0" w:color="auto"/>
                          </w:divBdr>
                          <w:divsChild>
                            <w:div w:id="1708145250">
                              <w:marLeft w:val="0"/>
                              <w:marRight w:val="0"/>
                              <w:marTop w:val="120"/>
                              <w:marBottom w:val="360"/>
                              <w:divBdr>
                                <w:top w:val="none" w:sz="0" w:space="0" w:color="auto"/>
                                <w:left w:val="none" w:sz="0" w:space="0" w:color="auto"/>
                                <w:bottom w:val="none" w:sz="0" w:space="0" w:color="auto"/>
                                <w:right w:val="none" w:sz="0" w:space="0" w:color="auto"/>
                              </w:divBdr>
                              <w:divsChild>
                                <w:div w:id="913205798">
                                  <w:marLeft w:val="420"/>
                                  <w:marRight w:val="0"/>
                                  <w:marTop w:val="0"/>
                                  <w:marBottom w:val="0"/>
                                  <w:divBdr>
                                    <w:top w:val="none" w:sz="0" w:space="0" w:color="auto"/>
                                    <w:left w:val="none" w:sz="0" w:space="0" w:color="auto"/>
                                    <w:bottom w:val="none" w:sz="0" w:space="0" w:color="auto"/>
                                    <w:right w:val="none" w:sz="0" w:space="0" w:color="auto"/>
                                  </w:divBdr>
                                  <w:divsChild>
                                    <w:div w:id="670837704">
                                      <w:marLeft w:val="0"/>
                                      <w:marRight w:val="0"/>
                                      <w:marTop w:val="0"/>
                                      <w:marBottom w:val="0"/>
                                      <w:divBdr>
                                        <w:top w:val="none" w:sz="0" w:space="0" w:color="auto"/>
                                        <w:left w:val="none" w:sz="0" w:space="0" w:color="auto"/>
                                        <w:bottom w:val="none" w:sz="0" w:space="0" w:color="auto"/>
                                        <w:right w:val="none" w:sz="0" w:space="0" w:color="auto"/>
                                      </w:divBdr>
                                      <w:divsChild>
                                        <w:div w:id="19771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07545">
      <w:bodyDiv w:val="1"/>
      <w:marLeft w:val="0"/>
      <w:marRight w:val="0"/>
      <w:marTop w:val="0"/>
      <w:marBottom w:val="0"/>
      <w:divBdr>
        <w:top w:val="none" w:sz="0" w:space="0" w:color="auto"/>
        <w:left w:val="none" w:sz="0" w:space="0" w:color="auto"/>
        <w:bottom w:val="none" w:sz="0" w:space="0" w:color="auto"/>
        <w:right w:val="none" w:sz="0" w:space="0" w:color="auto"/>
      </w:divBdr>
    </w:div>
    <w:div w:id="145948960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17642">
              <w:marLeft w:val="0"/>
              <w:marRight w:val="0"/>
              <w:marTop w:val="0"/>
              <w:marBottom w:val="0"/>
              <w:divBdr>
                <w:top w:val="none" w:sz="0" w:space="0" w:color="auto"/>
                <w:left w:val="none" w:sz="0" w:space="0" w:color="auto"/>
                <w:bottom w:val="none" w:sz="0" w:space="0" w:color="auto"/>
                <w:right w:val="none" w:sz="0" w:space="0" w:color="auto"/>
              </w:divBdr>
              <w:divsChild>
                <w:div w:id="8154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8208">
      <w:bodyDiv w:val="1"/>
      <w:marLeft w:val="0"/>
      <w:marRight w:val="0"/>
      <w:marTop w:val="0"/>
      <w:marBottom w:val="0"/>
      <w:divBdr>
        <w:top w:val="none" w:sz="0" w:space="0" w:color="auto"/>
        <w:left w:val="none" w:sz="0" w:space="0" w:color="auto"/>
        <w:bottom w:val="none" w:sz="0" w:space="0" w:color="auto"/>
        <w:right w:val="none" w:sz="0" w:space="0" w:color="auto"/>
      </w:divBdr>
      <w:divsChild>
        <w:div w:id="753890812">
          <w:marLeft w:val="0"/>
          <w:marRight w:val="1"/>
          <w:marTop w:val="0"/>
          <w:marBottom w:val="0"/>
          <w:divBdr>
            <w:top w:val="none" w:sz="0" w:space="0" w:color="auto"/>
            <w:left w:val="none" w:sz="0" w:space="0" w:color="auto"/>
            <w:bottom w:val="none" w:sz="0" w:space="0" w:color="auto"/>
            <w:right w:val="none" w:sz="0" w:space="0" w:color="auto"/>
          </w:divBdr>
          <w:divsChild>
            <w:div w:id="2048220391">
              <w:marLeft w:val="0"/>
              <w:marRight w:val="0"/>
              <w:marTop w:val="0"/>
              <w:marBottom w:val="0"/>
              <w:divBdr>
                <w:top w:val="none" w:sz="0" w:space="0" w:color="auto"/>
                <w:left w:val="none" w:sz="0" w:space="0" w:color="auto"/>
                <w:bottom w:val="none" w:sz="0" w:space="0" w:color="auto"/>
                <w:right w:val="none" w:sz="0" w:space="0" w:color="auto"/>
              </w:divBdr>
              <w:divsChild>
                <w:div w:id="1005009700">
                  <w:marLeft w:val="0"/>
                  <w:marRight w:val="1"/>
                  <w:marTop w:val="0"/>
                  <w:marBottom w:val="0"/>
                  <w:divBdr>
                    <w:top w:val="none" w:sz="0" w:space="0" w:color="auto"/>
                    <w:left w:val="none" w:sz="0" w:space="0" w:color="auto"/>
                    <w:bottom w:val="none" w:sz="0" w:space="0" w:color="auto"/>
                    <w:right w:val="none" w:sz="0" w:space="0" w:color="auto"/>
                  </w:divBdr>
                  <w:divsChild>
                    <w:div w:id="1420905622">
                      <w:marLeft w:val="0"/>
                      <w:marRight w:val="0"/>
                      <w:marTop w:val="0"/>
                      <w:marBottom w:val="0"/>
                      <w:divBdr>
                        <w:top w:val="none" w:sz="0" w:space="0" w:color="auto"/>
                        <w:left w:val="none" w:sz="0" w:space="0" w:color="auto"/>
                        <w:bottom w:val="none" w:sz="0" w:space="0" w:color="auto"/>
                        <w:right w:val="none" w:sz="0" w:space="0" w:color="auto"/>
                      </w:divBdr>
                      <w:divsChild>
                        <w:div w:id="227811299">
                          <w:marLeft w:val="0"/>
                          <w:marRight w:val="0"/>
                          <w:marTop w:val="0"/>
                          <w:marBottom w:val="0"/>
                          <w:divBdr>
                            <w:top w:val="none" w:sz="0" w:space="0" w:color="auto"/>
                            <w:left w:val="none" w:sz="0" w:space="0" w:color="auto"/>
                            <w:bottom w:val="none" w:sz="0" w:space="0" w:color="auto"/>
                            <w:right w:val="none" w:sz="0" w:space="0" w:color="auto"/>
                          </w:divBdr>
                          <w:divsChild>
                            <w:div w:id="356154427">
                              <w:marLeft w:val="0"/>
                              <w:marRight w:val="0"/>
                              <w:marTop w:val="120"/>
                              <w:marBottom w:val="360"/>
                              <w:divBdr>
                                <w:top w:val="none" w:sz="0" w:space="0" w:color="auto"/>
                                <w:left w:val="none" w:sz="0" w:space="0" w:color="auto"/>
                                <w:bottom w:val="none" w:sz="0" w:space="0" w:color="auto"/>
                                <w:right w:val="none" w:sz="0" w:space="0" w:color="auto"/>
                              </w:divBdr>
                              <w:divsChild>
                                <w:div w:id="140390354">
                                  <w:marLeft w:val="0"/>
                                  <w:marRight w:val="0"/>
                                  <w:marTop w:val="0"/>
                                  <w:marBottom w:val="0"/>
                                  <w:divBdr>
                                    <w:top w:val="none" w:sz="0" w:space="0" w:color="auto"/>
                                    <w:left w:val="none" w:sz="0" w:space="0" w:color="auto"/>
                                    <w:bottom w:val="none" w:sz="0" w:space="0" w:color="auto"/>
                                    <w:right w:val="none" w:sz="0" w:space="0" w:color="auto"/>
                                  </w:divBdr>
                                  <w:divsChild>
                                    <w:div w:id="8774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89375">
      <w:bodyDiv w:val="1"/>
      <w:marLeft w:val="0"/>
      <w:marRight w:val="0"/>
      <w:marTop w:val="0"/>
      <w:marBottom w:val="0"/>
      <w:divBdr>
        <w:top w:val="none" w:sz="0" w:space="0" w:color="auto"/>
        <w:left w:val="none" w:sz="0" w:space="0" w:color="auto"/>
        <w:bottom w:val="none" w:sz="0" w:space="0" w:color="auto"/>
        <w:right w:val="none" w:sz="0" w:space="0" w:color="auto"/>
      </w:divBdr>
    </w:div>
    <w:div w:id="1691449598">
      <w:bodyDiv w:val="1"/>
      <w:marLeft w:val="0"/>
      <w:marRight w:val="0"/>
      <w:marTop w:val="0"/>
      <w:marBottom w:val="0"/>
      <w:divBdr>
        <w:top w:val="none" w:sz="0" w:space="0" w:color="auto"/>
        <w:left w:val="none" w:sz="0" w:space="0" w:color="auto"/>
        <w:bottom w:val="none" w:sz="0" w:space="0" w:color="auto"/>
        <w:right w:val="none" w:sz="0" w:space="0" w:color="auto"/>
      </w:divBdr>
      <w:divsChild>
        <w:div w:id="186725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21660">
              <w:marLeft w:val="0"/>
              <w:marRight w:val="0"/>
              <w:marTop w:val="0"/>
              <w:marBottom w:val="0"/>
              <w:divBdr>
                <w:top w:val="none" w:sz="0" w:space="0" w:color="auto"/>
                <w:left w:val="none" w:sz="0" w:space="0" w:color="auto"/>
                <w:bottom w:val="none" w:sz="0" w:space="0" w:color="auto"/>
                <w:right w:val="none" w:sz="0" w:space="0" w:color="auto"/>
              </w:divBdr>
              <w:divsChild>
                <w:div w:id="19134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07577">
      <w:bodyDiv w:val="1"/>
      <w:marLeft w:val="0"/>
      <w:marRight w:val="0"/>
      <w:marTop w:val="0"/>
      <w:marBottom w:val="0"/>
      <w:divBdr>
        <w:top w:val="none" w:sz="0" w:space="0" w:color="auto"/>
        <w:left w:val="none" w:sz="0" w:space="0" w:color="auto"/>
        <w:bottom w:val="none" w:sz="0" w:space="0" w:color="auto"/>
        <w:right w:val="none" w:sz="0" w:space="0" w:color="auto"/>
      </w:divBdr>
      <w:divsChild>
        <w:div w:id="888298679">
          <w:marLeft w:val="0"/>
          <w:marRight w:val="1"/>
          <w:marTop w:val="0"/>
          <w:marBottom w:val="0"/>
          <w:divBdr>
            <w:top w:val="none" w:sz="0" w:space="0" w:color="auto"/>
            <w:left w:val="none" w:sz="0" w:space="0" w:color="auto"/>
            <w:bottom w:val="none" w:sz="0" w:space="0" w:color="auto"/>
            <w:right w:val="none" w:sz="0" w:space="0" w:color="auto"/>
          </w:divBdr>
          <w:divsChild>
            <w:div w:id="559950062">
              <w:marLeft w:val="0"/>
              <w:marRight w:val="0"/>
              <w:marTop w:val="0"/>
              <w:marBottom w:val="0"/>
              <w:divBdr>
                <w:top w:val="none" w:sz="0" w:space="0" w:color="auto"/>
                <w:left w:val="none" w:sz="0" w:space="0" w:color="auto"/>
                <w:bottom w:val="none" w:sz="0" w:space="0" w:color="auto"/>
                <w:right w:val="none" w:sz="0" w:space="0" w:color="auto"/>
              </w:divBdr>
              <w:divsChild>
                <w:div w:id="1490714227">
                  <w:marLeft w:val="0"/>
                  <w:marRight w:val="1"/>
                  <w:marTop w:val="0"/>
                  <w:marBottom w:val="0"/>
                  <w:divBdr>
                    <w:top w:val="none" w:sz="0" w:space="0" w:color="auto"/>
                    <w:left w:val="none" w:sz="0" w:space="0" w:color="auto"/>
                    <w:bottom w:val="none" w:sz="0" w:space="0" w:color="auto"/>
                    <w:right w:val="none" w:sz="0" w:space="0" w:color="auto"/>
                  </w:divBdr>
                  <w:divsChild>
                    <w:div w:id="932518079">
                      <w:marLeft w:val="0"/>
                      <w:marRight w:val="0"/>
                      <w:marTop w:val="0"/>
                      <w:marBottom w:val="0"/>
                      <w:divBdr>
                        <w:top w:val="none" w:sz="0" w:space="0" w:color="auto"/>
                        <w:left w:val="none" w:sz="0" w:space="0" w:color="auto"/>
                        <w:bottom w:val="none" w:sz="0" w:space="0" w:color="auto"/>
                        <w:right w:val="none" w:sz="0" w:space="0" w:color="auto"/>
                      </w:divBdr>
                      <w:divsChild>
                        <w:div w:id="1541241626">
                          <w:marLeft w:val="0"/>
                          <w:marRight w:val="0"/>
                          <w:marTop w:val="0"/>
                          <w:marBottom w:val="0"/>
                          <w:divBdr>
                            <w:top w:val="none" w:sz="0" w:space="0" w:color="auto"/>
                            <w:left w:val="none" w:sz="0" w:space="0" w:color="auto"/>
                            <w:bottom w:val="none" w:sz="0" w:space="0" w:color="auto"/>
                            <w:right w:val="none" w:sz="0" w:space="0" w:color="auto"/>
                          </w:divBdr>
                          <w:divsChild>
                            <w:div w:id="1055546734">
                              <w:marLeft w:val="0"/>
                              <w:marRight w:val="0"/>
                              <w:marTop w:val="120"/>
                              <w:marBottom w:val="360"/>
                              <w:divBdr>
                                <w:top w:val="none" w:sz="0" w:space="0" w:color="auto"/>
                                <w:left w:val="none" w:sz="0" w:space="0" w:color="auto"/>
                                <w:bottom w:val="none" w:sz="0" w:space="0" w:color="auto"/>
                                <w:right w:val="none" w:sz="0" w:space="0" w:color="auto"/>
                              </w:divBdr>
                              <w:divsChild>
                                <w:div w:id="1276909982">
                                  <w:marLeft w:val="0"/>
                                  <w:marRight w:val="0"/>
                                  <w:marTop w:val="0"/>
                                  <w:marBottom w:val="0"/>
                                  <w:divBdr>
                                    <w:top w:val="none" w:sz="0" w:space="0" w:color="auto"/>
                                    <w:left w:val="none" w:sz="0" w:space="0" w:color="auto"/>
                                    <w:bottom w:val="none" w:sz="0" w:space="0" w:color="auto"/>
                                    <w:right w:val="none" w:sz="0" w:space="0" w:color="auto"/>
                                  </w:divBdr>
                                  <w:divsChild>
                                    <w:div w:id="11225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19741">
      <w:bodyDiv w:val="1"/>
      <w:marLeft w:val="0"/>
      <w:marRight w:val="0"/>
      <w:marTop w:val="0"/>
      <w:marBottom w:val="0"/>
      <w:divBdr>
        <w:top w:val="none" w:sz="0" w:space="0" w:color="auto"/>
        <w:left w:val="none" w:sz="0" w:space="0" w:color="auto"/>
        <w:bottom w:val="none" w:sz="0" w:space="0" w:color="auto"/>
        <w:right w:val="none" w:sz="0" w:space="0" w:color="auto"/>
      </w:divBdr>
    </w:div>
    <w:div w:id="20213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dita.lycholip@santa.lt" TargetMode="External"/><Relationship Id="rId14" Type="http://schemas.openxmlformats.org/officeDocument/2006/relationships/image" Target="media/image5.jpeg"/></Relationships>
</file>

<file path=word/theme/theme1.xml><?xml version="1.0" encoding="utf-8"?>
<a:theme xmlns:a="http://schemas.openxmlformats.org/drawingml/2006/main" name="„Office“ 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E89F-4EED-41DA-8333-3ECEFFDF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12393</Words>
  <Characters>70644</Characters>
  <Application>Microsoft Office Word</Application>
  <DocSecurity>0</DocSecurity>
  <Lines>588</Lines>
  <Paragraphs>165</Paragraphs>
  <ScaleCrop>false</ScaleCrop>
  <HeadingPairs>
    <vt:vector size="8" baseType="variant">
      <vt:variant>
        <vt:lpstr>Title</vt:lpstr>
      </vt:variant>
      <vt:variant>
        <vt:i4>1</vt:i4>
      </vt:variant>
      <vt:variant>
        <vt:lpstr>Pavadinimas</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82872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Palevičiūtė</dc:creator>
  <cp:keywords/>
  <dc:description/>
  <cp:lastModifiedBy>Lian-Sheng Ma</cp:lastModifiedBy>
  <cp:revision>2</cp:revision>
  <dcterms:created xsi:type="dcterms:W3CDTF">2019-02-26T17:40:00Z</dcterms:created>
  <dcterms:modified xsi:type="dcterms:W3CDTF">2019-02-26T17:40:00Z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id="6qDN1OED"/&gt;&lt;style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