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2092" w:rsidRPr="0049621B" w:rsidRDefault="00242092" w:rsidP="0049621B">
      <w:pPr>
        <w:adjustRightInd w:val="0"/>
        <w:snapToGrid w:val="0"/>
        <w:spacing w:line="360" w:lineRule="auto"/>
        <w:outlineLvl w:val="0"/>
        <w:rPr>
          <w:rFonts w:ascii="Book Antiqua" w:hAnsi="Book Antiqua" w:cs="Book Antiqua"/>
          <w:b/>
          <w:i/>
          <w:color w:val="000000"/>
          <w:sz w:val="24"/>
          <w:lang w:bidi="ar"/>
        </w:rPr>
      </w:pPr>
      <w:bookmarkStart w:id="0" w:name="OLE_LINK2"/>
      <w:bookmarkStart w:id="1" w:name="OLE_LINK8"/>
      <w:bookmarkStart w:id="2" w:name="OLE_LINK11"/>
      <w:bookmarkStart w:id="3" w:name="_GoBack"/>
      <w:bookmarkEnd w:id="3"/>
      <w:r w:rsidRPr="0049621B">
        <w:rPr>
          <w:rFonts w:ascii="Book Antiqua" w:hAnsi="Book Antiqua" w:cs="Book Antiqua"/>
          <w:b/>
          <w:color w:val="000000"/>
          <w:sz w:val="24"/>
          <w:lang w:bidi="ar"/>
        </w:rPr>
        <w:t xml:space="preserve">Name of Journal: </w:t>
      </w:r>
      <w:r w:rsidRPr="0049621B">
        <w:rPr>
          <w:rFonts w:ascii="Book Antiqua" w:hAnsi="Book Antiqua" w:cs="Book Antiqua"/>
          <w:b/>
          <w:i/>
          <w:color w:val="000000"/>
          <w:sz w:val="24"/>
          <w:lang w:bidi="ar"/>
        </w:rPr>
        <w:t>World Journal of Gastroenterology</w:t>
      </w:r>
    </w:p>
    <w:p w:rsidR="00242092" w:rsidRPr="0049621B" w:rsidRDefault="00242092" w:rsidP="0049621B">
      <w:pPr>
        <w:adjustRightInd w:val="0"/>
        <w:snapToGrid w:val="0"/>
        <w:spacing w:line="360" w:lineRule="auto"/>
        <w:outlineLvl w:val="0"/>
        <w:rPr>
          <w:rFonts w:ascii="Book Antiqua" w:hAnsi="Book Antiqua" w:cs="Book Antiqua"/>
          <w:b/>
          <w:color w:val="000000"/>
          <w:sz w:val="24"/>
          <w:lang w:bidi="ar"/>
        </w:rPr>
      </w:pPr>
      <w:r w:rsidRPr="0049621B">
        <w:rPr>
          <w:rFonts w:ascii="Book Antiqua" w:hAnsi="Book Antiqua" w:cs="Book Antiqua"/>
          <w:b/>
          <w:color w:val="000000"/>
          <w:sz w:val="24"/>
          <w:lang w:bidi="ar"/>
        </w:rPr>
        <w:t>Manu</w:t>
      </w:r>
      <w:r w:rsidR="004A0E4C" w:rsidRPr="0049621B">
        <w:rPr>
          <w:rFonts w:ascii="Book Antiqua" w:hAnsi="Book Antiqua" w:cs="Book Antiqua"/>
          <w:b/>
          <w:color w:val="000000"/>
          <w:sz w:val="24"/>
          <w:lang w:bidi="ar"/>
        </w:rPr>
        <w:t>s</w:t>
      </w:r>
      <w:r w:rsidRPr="0049621B">
        <w:rPr>
          <w:rFonts w:ascii="Book Antiqua" w:hAnsi="Book Antiqua" w:cs="Book Antiqua"/>
          <w:b/>
          <w:color w:val="000000"/>
          <w:sz w:val="24"/>
          <w:lang w:bidi="ar"/>
        </w:rPr>
        <w:t>cript NO: 45203</w:t>
      </w:r>
    </w:p>
    <w:p w:rsidR="00242092" w:rsidRPr="0049621B" w:rsidRDefault="00242092" w:rsidP="0049621B">
      <w:pPr>
        <w:adjustRightInd w:val="0"/>
        <w:snapToGrid w:val="0"/>
        <w:spacing w:line="360" w:lineRule="auto"/>
        <w:outlineLvl w:val="0"/>
        <w:rPr>
          <w:rFonts w:ascii="Book Antiqua" w:hAnsi="Book Antiqua" w:cs="Book Antiqua"/>
          <w:b/>
          <w:color w:val="000000"/>
          <w:sz w:val="24"/>
          <w:lang w:bidi="ar"/>
        </w:rPr>
      </w:pPr>
      <w:r w:rsidRPr="0049621B">
        <w:rPr>
          <w:rFonts w:ascii="Book Antiqua" w:hAnsi="Book Antiqua" w:cs="Book Antiqua"/>
          <w:b/>
          <w:color w:val="000000"/>
          <w:sz w:val="24"/>
          <w:lang w:bidi="ar"/>
        </w:rPr>
        <w:t xml:space="preserve">Manuscript Type: </w:t>
      </w:r>
      <w:r w:rsidR="004A0E4C" w:rsidRPr="0049621B">
        <w:rPr>
          <w:rFonts w:ascii="Book Antiqua" w:hAnsi="Book Antiqua" w:cs="Book Antiqua"/>
          <w:b/>
          <w:color w:val="000000"/>
          <w:sz w:val="24"/>
          <w:lang w:bidi="ar"/>
        </w:rPr>
        <w:t>ORIGINAL ARTICLE</w:t>
      </w:r>
    </w:p>
    <w:p w:rsidR="00242092" w:rsidRPr="0049621B" w:rsidRDefault="00242092" w:rsidP="0049621B">
      <w:pPr>
        <w:adjustRightInd w:val="0"/>
        <w:snapToGrid w:val="0"/>
        <w:spacing w:line="360" w:lineRule="auto"/>
        <w:rPr>
          <w:rFonts w:ascii="Book Antiqua" w:hAnsi="Book Antiqua" w:cs="Book Antiqua"/>
          <w:b/>
          <w:color w:val="000000"/>
          <w:sz w:val="24"/>
          <w:lang w:bidi="ar"/>
        </w:rPr>
      </w:pPr>
    </w:p>
    <w:p w:rsidR="004A0E4C" w:rsidRPr="0049621B" w:rsidRDefault="004A0E4C" w:rsidP="0049621B">
      <w:pPr>
        <w:adjustRightInd w:val="0"/>
        <w:snapToGrid w:val="0"/>
        <w:spacing w:line="360" w:lineRule="auto"/>
        <w:outlineLvl w:val="0"/>
        <w:rPr>
          <w:rFonts w:ascii="Book Antiqua" w:hAnsi="Book Antiqua" w:cs="Book Antiqua"/>
          <w:b/>
          <w:i/>
          <w:color w:val="000000"/>
          <w:sz w:val="24"/>
          <w:lang w:bidi="ar"/>
        </w:rPr>
      </w:pPr>
      <w:r w:rsidRPr="0049621B">
        <w:rPr>
          <w:rFonts w:ascii="Book Antiqua" w:hAnsi="Book Antiqua" w:cs="Book Antiqua"/>
          <w:b/>
          <w:i/>
          <w:color w:val="000000"/>
          <w:sz w:val="24"/>
          <w:lang w:bidi="ar"/>
        </w:rPr>
        <w:t>Basic Study</w:t>
      </w:r>
    </w:p>
    <w:p w:rsidR="00242092" w:rsidRPr="0049621B" w:rsidRDefault="00242092" w:rsidP="0049621B">
      <w:pPr>
        <w:adjustRightInd w:val="0"/>
        <w:snapToGrid w:val="0"/>
        <w:spacing w:line="360" w:lineRule="auto"/>
        <w:rPr>
          <w:rFonts w:ascii="Book Antiqua" w:hAnsi="Book Antiqua" w:cs="Book Antiqua"/>
          <w:b/>
          <w:color w:val="000000"/>
          <w:sz w:val="24"/>
          <w:lang w:bidi="ar"/>
        </w:rPr>
      </w:pPr>
      <w:bookmarkStart w:id="4" w:name="OLE_LINK47"/>
      <w:bookmarkStart w:id="5" w:name="OLE_LINK48"/>
      <w:r w:rsidRPr="0049621B">
        <w:rPr>
          <w:rFonts w:ascii="Book Antiqua" w:hAnsi="Book Antiqua" w:cs="Book Antiqua"/>
          <w:b/>
          <w:color w:val="000000"/>
          <w:sz w:val="24"/>
          <w:lang w:bidi="ar"/>
        </w:rPr>
        <w:t xml:space="preserve">Procyanidin B2 protects against diet-induced obesity and non-alcoholic fatty liver disease </w:t>
      </w:r>
      <w:r w:rsidRPr="0049621B">
        <w:rPr>
          <w:rFonts w:ascii="Book Antiqua" w:hAnsi="Book Antiqua" w:cs="Book Antiqua"/>
          <w:b/>
          <w:i/>
          <w:color w:val="000000"/>
          <w:sz w:val="24"/>
          <w:lang w:bidi="ar"/>
        </w:rPr>
        <w:t>via</w:t>
      </w:r>
      <w:r w:rsidRPr="0049621B">
        <w:rPr>
          <w:rFonts w:ascii="Book Antiqua" w:hAnsi="Book Antiqua" w:cs="Book Antiqua"/>
          <w:b/>
          <w:color w:val="000000"/>
          <w:sz w:val="24"/>
          <w:lang w:bidi="ar"/>
        </w:rPr>
        <w:t xml:space="preserve"> the modulation of the gut microbiota in rabbits</w:t>
      </w:r>
      <w:bookmarkEnd w:id="4"/>
      <w:bookmarkEnd w:id="5"/>
    </w:p>
    <w:p w:rsidR="00242092" w:rsidRPr="0049621B" w:rsidRDefault="00242092" w:rsidP="0049621B">
      <w:pPr>
        <w:adjustRightInd w:val="0"/>
        <w:snapToGrid w:val="0"/>
        <w:spacing w:line="360" w:lineRule="auto"/>
        <w:rPr>
          <w:rFonts w:ascii="Book Antiqua" w:hAnsi="Book Antiqua" w:cs="Book Antiqua"/>
          <w:b/>
          <w:color w:val="000000"/>
          <w:sz w:val="24"/>
          <w:lang w:bidi="ar"/>
        </w:rPr>
      </w:pPr>
    </w:p>
    <w:p w:rsidR="00242092" w:rsidRPr="0049621B" w:rsidRDefault="00242092" w:rsidP="0049621B">
      <w:pPr>
        <w:adjustRightInd w:val="0"/>
        <w:snapToGrid w:val="0"/>
        <w:spacing w:line="360" w:lineRule="auto"/>
        <w:outlineLvl w:val="0"/>
        <w:rPr>
          <w:rFonts w:ascii="Book Antiqua" w:hAnsi="Book Antiqua" w:cs="Book Antiqua"/>
          <w:color w:val="000000"/>
          <w:sz w:val="24"/>
          <w:lang w:bidi="ar"/>
        </w:rPr>
      </w:pPr>
      <w:r w:rsidRPr="0049621B">
        <w:rPr>
          <w:rFonts w:ascii="Book Antiqua" w:hAnsi="Book Antiqua" w:cs="Book Antiqua"/>
          <w:color w:val="000000"/>
          <w:sz w:val="24"/>
          <w:lang w:bidi="ar"/>
        </w:rPr>
        <w:t xml:space="preserve">Xing YW </w:t>
      </w:r>
      <w:r w:rsidRPr="0049621B">
        <w:rPr>
          <w:rFonts w:ascii="Book Antiqua" w:hAnsi="Book Antiqua" w:cs="Book Antiqua"/>
          <w:i/>
          <w:color w:val="000000"/>
          <w:sz w:val="24"/>
          <w:lang w:bidi="ar"/>
        </w:rPr>
        <w:t>et al</w:t>
      </w:r>
      <w:r w:rsidRPr="0049621B">
        <w:rPr>
          <w:rFonts w:ascii="Book Antiqua" w:hAnsi="Book Antiqua" w:cs="Book Antiqua"/>
          <w:color w:val="000000"/>
          <w:sz w:val="24"/>
          <w:lang w:bidi="ar"/>
        </w:rPr>
        <w:t xml:space="preserve">. Mechanism of PB2 in </w:t>
      </w:r>
      <w:r w:rsidR="00E73532" w:rsidRPr="0049621B">
        <w:rPr>
          <w:rFonts w:ascii="Book Antiqua" w:hAnsi="Book Antiqua" w:cs="Book Antiqua"/>
          <w:color w:val="000000"/>
          <w:sz w:val="24"/>
        </w:rPr>
        <w:t>NAFLD</w:t>
      </w:r>
    </w:p>
    <w:p w:rsidR="00242092" w:rsidRPr="0049621B" w:rsidRDefault="00242092" w:rsidP="0049621B">
      <w:pPr>
        <w:adjustRightInd w:val="0"/>
        <w:snapToGrid w:val="0"/>
        <w:spacing w:line="360" w:lineRule="auto"/>
        <w:rPr>
          <w:rFonts w:ascii="Book Antiqua" w:hAnsi="Book Antiqua" w:cs="Book Antiqua"/>
          <w:color w:val="000000"/>
          <w:sz w:val="24"/>
          <w:lang w:bidi="ar"/>
        </w:rPr>
      </w:pPr>
    </w:p>
    <w:p w:rsidR="00242092" w:rsidRPr="00C71A37" w:rsidRDefault="00242092" w:rsidP="0049621B">
      <w:pPr>
        <w:adjustRightInd w:val="0"/>
        <w:snapToGrid w:val="0"/>
        <w:spacing w:line="360" w:lineRule="auto"/>
        <w:outlineLvl w:val="0"/>
        <w:rPr>
          <w:rFonts w:ascii="Book Antiqua" w:hAnsi="Book Antiqua" w:cs="Book Antiqua"/>
          <w:b/>
          <w:color w:val="000000"/>
          <w:sz w:val="24"/>
          <w:lang w:bidi="ar"/>
        </w:rPr>
      </w:pPr>
      <w:r w:rsidRPr="00C71A37">
        <w:rPr>
          <w:rFonts w:ascii="Book Antiqua" w:hAnsi="Book Antiqua" w:cs="Book Antiqua"/>
          <w:b/>
          <w:color w:val="000000"/>
          <w:sz w:val="24"/>
          <w:lang w:bidi="ar"/>
        </w:rPr>
        <w:t xml:space="preserve">Ya-Wei Xing, </w:t>
      </w:r>
      <w:r w:rsidR="00267507" w:rsidRPr="00C71A37">
        <w:rPr>
          <w:rFonts w:ascii="Book Antiqua" w:hAnsi="Book Antiqua" w:cs="Book Antiqua"/>
          <w:b/>
          <w:color w:val="000000"/>
          <w:sz w:val="24"/>
          <w:lang w:bidi="ar"/>
        </w:rPr>
        <w:t>Guang-Tao Lei, Qing-Hua Wu, Yu Jiang, Man-Xiang Huang</w:t>
      </w:r>
    </w:p>
    <w:p w:rsidR="00242092" w:rsidRPr="0049621B" w:rsidRDefault="00242092" w:rsidP="0049621B">
      <w:pPr>
        <w:adjustRightInd w:val="0"/>
        <w:snapToGrid w:val="0"/>
        <w:spacing w:line="360" w:lineRule="auto"/>
        <w:rPr>
          <w:rFonts w:ascii="Book Antiqua" w:hAnsi="Book Antiqua" w:cs="Book Antiqua"/>
          <w:b/>
          <w:color w:val="000000"/>
          <w:sz w:val="24"/>
          <w:lang w:bidi="ar"/>
        </w:rPr>
      </w:pPr>
    </w:p>
    <w:p w:rsidR="00242092" w:rsidRPr="0049621B" w:rsidRDefault="00242092" w:rsidP="0049621B">
      <w:pPr>
        <w:adjustRightInd w:val="0"/>
        <w:snapToGrid w:val="0"/>
        <w:spacing w:line="360" w:lineRule="auto"/>
        <w:rPr>
          <w:rFonts w:ascii="Book Antiqua" w:hAnsi="Book Antiqua" w:cs="Book Antiqua"/>
          <w:color w:val="000000"/>
          <w:sz w:val="24"/>
          <w:lang w:bidi="ar"/>
        </w:rPr>
      </w:pPr>
      <w:r w:rsidRPr="0049621B">
        <w:rPr>
          <w:rFonts w:ascii="Book Antiqua" w:hAnsi="Book Antiqua" w:cs="Book Antiqua"/>
          <w:b/>
          <w:color w:val="000000"/>
          <w:sz w:val="24"/>
          <w:lang w:bidi="ar"/>
        </w:rPr>
        <w:t xml:space="preserve">Ya-Wei Xing, </w:t>
      </w:r>
      <w:r w:rsidRPr="0049621B">
        <w:rPr>
          <w:rFonts w:ascii="Book Antiqua" w:hAnsi="Book Antiqua" w:cs="Book Antiqua"/>
          <w:color w:val="000000"/>
          <w:sz w:val="24"/>
          <w:lang w:bidi="ar"/>
        </w:rPr>
        <w:t xml:space="preserve">Department of Gastroenterology, </w:t>
      </w:r>
      <w:r w:rsidR="0049621B">
        <w:rPr>
          <w:rFonts w:ascii="Book Antiqua" w:hAnsi="Book Antiqua" w:cs="Book Antiqua"/>
          <w:color w:val="000000"/>
          <w:sz w:val="24"/>
          <w:lang w:bidi="ar"/>
        </w:rPr>
        <w:t>T</w:t>
      </w:r>
      <w:r w:rsidRPr="0049621B">
        <w:rPr>
          <w:rFonts w:ascii="Book Antiqua" w:hAnsi="Book Antiqua" w:cs="Book Antiqua"/>
          <w:color w:val="000000"/>
          <w:sz w:val="24"/>
          <w:lang w:bidi="ar"/>
        </w:rPr>
        <w:t>he Second Xiangya Hospital, Central South University, Changsha</w:t>
      </w:r>
      <w:r w:rsidR="00E73532" w:rsidRPr="0049621B">
        <w:rPr>
          <w:rFonts w:ascii="Book Antiqua" w:hAnsi="Book Antiqua" w:cs="Book Antiqua"/>
          <w:color w:val="000000"/>
          <w:sz w:val="24"/>
          <w:lang w:bidi="ar"/>
        </w:rPr>
        <w:t xml:space="preserve"> 410011</w:t>
      </w:r>
      <w:r w:rsidRPr="0049621B">
        <w:rPr>
          <w:rFonts w:ascii="Book Antiqua" w:hAnsi="Book Antiqua" w:cs="Book Antiqua"/>
          <w:color w:val="000000"/>
          <w:sz w:val="24"/>
          <w:lang w:bidi="ar"/>
        </w:rPr>
        <w:t>, Hunan</w:t>
      </w:r>
      <w:r w:rsidR="00E73532" w:rsidRPr="0049621B">
        <w:rPr>
          <w:rFonts w:ascii="Book Antiqua" w:hAnsi="Book Antiqua" w:cs="Book Antiqua"/>
          <w:color w:val="000000"/>
          <w:sz w:val="24"/>
          <w:lang w:bidi="ar"/>
        </w:rPr>
        <w:t xml:space="preserve"> </w:t>
      </w:r>
      <w:bookmarkStart w:id="6" w:name="OLE_LINK43"/>
      <w:r w:rsidR="00E73532" w:rsidRPr="0049621B">
        <w:rPr>
          <w:rFonts w:ascii="Book Antiqua" w:hAnsi="Book Antiqua" w:cs="Book Antiqua"/>
          <w:color w:val="000000"/>
          <w:sz w:val="24"/>
          <w:lang w:bidi="ar"/>
        </w:rPr>
        <w:t>Province</w:t>
      </w:r>
      <w:bookmarkEnd w:id="6"/>
      <w:r w:rsidRPr="0049621B">
        <w:rPr>
          <w:rFonts w:ascii="Book Antiqua" w:hAnsi="Book Antiqua" w:cs="Book Antiqua"/>
          <w:color w:val="000000"/>
          <w:sz w:val="24"/>
          <w:lang w:bidi="ar"/>
        </w:rPr>
        <w:t>, China</w:t>
      </w:r>
    </w:p>
    <w:p w:rsidR="00242092" w:rsidRPr="0049621B" w:rsidRDefault="00242092" w:rsidP="0049621B">
      <w:pPr>
        <w:adjustRightInd w:val="0"/>
        <w:snapToGrid w:val="0"/>
        <w:spacing w:line="360" w:lineRule="auto"/>
        <w:rPr>
          <w:rFonts w:ascii="Book Antiqua" w:hAnsi="Book Antiqua" w:cs="Book Antiqua"/>
          <w:color w:val="000000"/>
          <w:sz w:val="24"/>
          <w:lang w:bidi="ar"/>
        </w:rPr>
      </w:pPr>
    </w:p>
    <w:p w:rsidR="00242092" w:rsidRPr="0049621B" w:rsidRDefault="00D83D3C" w:rsidP="0049621B">
      <w:pPr>
        <w:adjustRightInd w:val="0"/>
        <w:snapToGrid w:val="0"/>
        <w:spacing w:line="360" w:lineRule="auto"/>
        <w:rPr>
          <w:rFonts w:ascii="Book Antiqua" w:hAnsi="Book Antiqua" w:cs="Book Antiqua"/>
          <w:color w:val="000000"/>
          <w:sz w:val="24"/>
          <w:lang w:bidi="ar"/>
        </w:rPr>
      </w:pPr>
      <w:r w:rsidRPr="0049621B">
        <w:rPr>
          <w:rFonts w:ascii="Book Antiqua" w:hAnsi="Book Antiqua" w:cs="Book Antiqua"/>
          <w:b/>
          <w:color w:val="000000"/>
          <w:sz w:val="24"/>
          <w:lang w:bidi="ar"/>
        </w:rPr>
        <w:t xml:space="preserve">Guang-Tao Lei, </w:t>
      </w:r>
      <w:r w:rsidR="00242092" w:rsidRPr="0049621B">
        <w:rPr>
          <w:rFonts w:ascii="Book Antiqua" w:hAnsi="Book Antiqua" w:cs="Book Antiqua"/>
          <w:b/>
          <w:color w:val="000000"/>
          <w:sz w:val="24"/>
          <w:lang w:bidi="ar"/>
        </w:rPr>
        <w:t xml:space="preserve">Qing-Hua Wu, </w:t>
      </w:r>
      <w:r w:rsidRPr="0049621B">
        <w:rPr>
          <w:rFonts w:ascii="Book Antiqua" w:hAnsi="Book Antiqua" w:cs="Book Antiqua"/>
          <w:b/>
          <w:color w:val="000000"/>
          <w:sz w:val="24"/>
          <w:lang w:bidi="ar"/>
        </w:rPr>
        <w:t xml:space="preserve">Yu Jiang, </w:t>
      </w:r>
      <w:r w:rsidR="00242092" w:rsidRPr="0049621B">
        <w:rPr>
          <w:rFonts w:ascii="Book Antiqua" w:hAnsi="Book Antiqua" w:cs="Book Antiqua"/>
          <w:b/>
          <w:color w:val="000000"/>
          <w:sz w:val="24"/>
          <w:lang w:bidi="ar"/>
        </w:rPr>
        <w:t xml:space="preserve">Man-Xiang Huang, </w:t>
      </w:r>
      <w:bookmarkStart w:id="7" w:name="OLE_LINK7"/>
      <w:r w:rsidR="00242092" w:rsidRPr="0049621B">
        <w:rPr>
          <w:rFonts w:ascii="Book Antiqua" w:hAnsi="Book Antiqua" w:cs="Book Antiqua"/>
          <w:color w:val="000000"/>
          <w:sz w:val="24"/>
          <w:lang w:bidi="ar"/>
        </w:rPr>
        <w:t xml:space="preserve">Department of Cardiovascular </w:t>
      </w:r>
      <w:r w:rsidR="0049621B">
        <w:rPr>
          <w:rFonts w:ascii="Book Antiqua" w:hAnsi="Book Antiqua" w:cs="Book Antiqua"/>
          <w:color w:val="000000"/>
          <w:sz w:val="24"/>
          <w:lang w:bidi="ar"/>
        </w:rPr>
        <w:t>M</w:t>
      </w:r>
      <w:r w:rsidR="00242092" w:rsidRPr="0049621B">
        <w:rPr>
          <w:rFonts w:ascii="Book Antiqua" w:hAnsi="Book Antiqua" w:cs="Book Antiqua"/>
          <w:color w:val="000000"/>
          <w:sz w:val="24"/>
          <w:lang w:bidi="ar"/>
        </w:rPr>
        <w:t>edicine</w:t>
      </w:r>
      <w:bookmarkEnd w:id="7"/>
      <w:r w:rsidR="00242092" w:rsidRPr="0049621B">
        <w:rPr>
          <w:rFonts w:ascii="Book Antiqua" w:hAnsi="Book Antiqua" w:cs="Book Antiqua"/>
          <w:color w:val="000000"/>
          <w:sz w:val="24"/>
          <w:lang w:bidi="ar"/>
        </w:rPr>
        <w:t xml:space="preserve">, </w:t>
      </w:r>
      <w:r w:rsidR="0049621B">
        <w:rPr>
          <w:rFonts w:ascii="Book Antiqua" w:hAnsi="Book Antiqua" w:cs="Book Antiqua"/>
          <w:color w:val="000000"/>
          <w:sz w:val="24"/>
          <w:lang w:bidi="ar"/>
        </w:rPr>
        <w:t>T</w:t>
      </w:r>
      <w:r w:rsidR="00242092" w:rsidRPr="0049621B">
        <w:rPr>
          <w:rFonts w:ascii="Book Antiqua" w:hAnsi="Book Antiqua" w:cs="Book Antiqua"/>
          <w:color w:val="000000"/>
          <w:sz w:val="24"/>
          <w:lang w:bidi="ar"/>
        </w:rPr>
        <w:t xml:space="preserve">he Second Affiliated Hospital of Nanchang University, </w:t>
      </w:r>
      <w:bookmarkStart w:id="8" w:name="OLE_LINK6"/>
      <w:r w:rsidR="00E73532" w:rsidRPr="0049621B">
        <w:rPr>
          <w:rFonts w:ascii="Book Antiqua" w:hAnsi="Book Antiqua" w:cs="Book Antiqua"/>
          <w:color w:val="000000"/>
          <w:sz w:val="24"/>
          <w:lang w:bidi="ar"/>
        </w:rPr>
        <w:t>Nanchang 330006, Jiangxi Province</w:t>
      </w:r>
      <w:r w:rsidR="00242092" w:rsidRPr="0049621B">
        <w:rPr>
          <w:rFonts w:ascii="Book Antiqua" w:hAnsi="Book Antiqua" w:cs="Book Antiqua"/>
          <w:color w:val="000000"/>
          <w:sz w:val="24"/>
          <w:lang w:bidi="ar"/>
        </w:rPr>
        <w:t>, China</w:t>
      </w:r>
      <w:bookmarkEnd w:id="8"/>
    </w:p>
    <w:p w:rsidR="00242092" w:rsidRPr="0049621B" w:rsidRDefault="00242092" w:rsidP="0049621B">
      <w:pPr>
        <w:adjustRightInd w:val="0"/>
        <w:snapToGrid w:val="0"/>
        <w:spacing w:line="360" w:lineRule="auto"/>
        <w:rPr>
          <w:rFonts w:ascii="Book Antiqua" w:hAnsi="Book Antiqua" w:cs="Book Antiqua"/>
          <w:color w:val="000000"/>
          <w:sz w:val="24"/>
          <w:lang w:bidi="ar"/>
        </w:rPr>
      </w:pPr>
    </w:p>
    <w:p w:rsidR="00242092" w:rsidRPr="0049621B" w:rsidRDefault="00242092" w:rsidP="0049621B">
      <w:pPr>
        <w:adjustRightInd w:val="0"/>
        <w:snapToGrid w:val="0"/>
        <w:spacing w:line="360" w:lineRule="auto"/>
        <w:rPr>
          <w:rFonts w:ascii="Book Antiqua" w:hAnsi="Book Antiqua" w:cs="Book Antiqua"/>
          <w:color w:val="000000"/>
          <w:sz w:val="24"/>
          <w:lang w:bidi="ar"/>
        </w:rPr>
      </w:pPr>
      <w:r w:rsidRPr="0049621B">
        <w:rPr>
          <w:rFonts w:ascii="Book Antiqua" w:hAnsi="Book Antiqua" w:cs="Book Antiqua"/>
          <w:b/>
          <w:color w:val="000000"/>
          <w:sz w:val="24"/>
          <w:lang w:bidi="ar"/>
        </w:rPr>
        <w:t>ORCID number:</w:t>
      </w:r>
      <w:r w:rsidRPr="0049621B">
        <w:rPr>
          <w:rFonts w:ascii="Book Antiqua" w:hAnsi="Book Antiqua" w:cs="Book Antiqua"/>
          <w:color w:val="000000"/>
          <w:sz w:val="24"/>
          <w:lang w:bidi="ar"/>
        </w:rPr>
        <w:t xml:space="preserve"> Ya-Wei Xing (0000</w:t>
      </w:r>
      <w:r w:rsidR="00B5679C" w:rsidRPr="0049621B">
        <w:rPr>
          <w:rFonts w:ascii="Book Antiqua" w:hAnsi="Book Antiqua" w:cs="Book Antiqua"/>
          <w:color w:val="000000"/>
          <w:sz w:val="24"/>
          <w:lang w:bidi="ar"/>
        </w:rPr>
        <w:t>-</w:t>
      </w:r>
      <w:r w:rsidRPr="0049621B">
        <w:rPr>
          <w:rFonts w:ascii="Book Antiqua" w:hAnsi="Book Antiqua" w:cs="Book Antiqua"/>
          <w:color w:val="000000"/>
          <w:sz w:val="24"/>
          <w:lang w:bidi="ar"/>
        </w:rPr>
        <w:t>0002</w:t>
      </w:r>
      <w:r w:rsidR="00B5679C" w:rsidRPr="0049621B">
        <w:rPr>
          <w:rFonts w:ascii="Book Antiqua" w:hAnsi="Book Antiqua" w:cs="Book Antiqua"/>
          <w:color w:val="000000"/>
          <w:sz w:val="24"/>
          <w:lang w:bidi="ar"/>
        </w:rPr>
        <w:t>-</w:t>
      </w:r>
      <w:r w:rsidRPr="0049621B">
        <w:rPr>
          <w:rFonts w:ascii="Book Antiqua" w:hAnsi="Book Antiqua" w:cs="Book Antiqua"/>
          <w:color w:val="000000"/>
          <w:sz w:val="24"/>
          <w:lang w:bidi="ar"/>
        </w:rPr>
        <w:t>7564</w:t>
      </w:r>
      <w:r w:rsidR="00B5679C" w:rsidRPr="0049621B">
        <w:rPr>
          <w:rFonts w:ascii="Book Antiqua" w:hAnsi="Book Antiqua" w:cs="Book Antiqua"/>
          <w:color w:val="000000"/>
          <w:sz w:val="24"/>
          <w:lang w:bidi="ar"/>
        </w:rPr>
        <w:t>-</w:t>
      </w:r>
      <w:r w:rsidRPr="0049621B">
        <w:rPr>
          <w:rFonts w:ascii="Book Antiqua" w:hAnsi="Book Antiqua" w:cs="Book Antiqua"/>
          <w:color w:val="000000"/>
          <w:sz w:val="24"/>
          <w:lang w:bidi="ar"/>
        </w:rPr>
        <w:t xml:space="preserve">2302); </w:t>
      </w:r>
      <w:r w:rsidR="00D83D3C" w:rsidRPr="0049621B">
        <w:rPr>
          <w:rFonts w:ascii="Book Antiqua" w:hAnsi="Book Antiqua" w:cs="Book Antiqua"/>
          <w:color w:val="000000"/>
          <w:sz w:val="24"/>
          <w:lang w:bidi="ar"/>
        </w:rPr>
        <w:t xml:space="preserve">Guang-Tao Lei (0000-0002-9499-4733); </w:t>
      </w:r>
      <w:r w:rsidRPr="0049621B">
        <w:rPr>
          <w:rFonts w:ascii="Book Antiqua" w:hAnsi="Book Antiqua" w:cs="Book Antiqua"/>
          <w:color w:val="000000"/>
          <w:sz w:val="24"/>
          <w:lang w:bidi="ar"/>
        </w:rPr>
        <w:t>Qing-Hua Wu (</w:t>
      </w:r>
      <w:r w:rsidRPr="0049621B">
        <w:rPr>
          <w:rFonts w:ascii="Book Antiqua" w:hAnsi="Book Antiqua" w:cs="Book Antiqua"/>
          <w:color w:val="000000"/>
          <w:sz w:val="24"/>
          <w:shd w:val="clear" w:color="auto" w:fill="FFFFFF"/>
        </w:rPr>
        <w:t>0000-0003-2425-290X</w:t>
      </w:r>
      <w:r w:rsidRPr="0049621B">
        <w:rPr>
          <w:rFonts w:ascii="Book Antiqua" w:hAnsi="Book Antiqua" w:cs="Book Antiqua"/>
          <w:color w:val="000000"/>
          <w:sz w:val="24"/>
          <w:lang w:bidi="ar"/>
        </w:rPr>
        <w:t>); Yu Jiang (0000</w:t>
      </w:r>
      <w:r w:rsidR="00B5679C" w:rsidRPr="0049621B">
        <w:rPr>
          <w:rFonts w:ascii="Book Antiqua" w:hAnsi="Book Antiqua" w:cs="Book Antiqua"/>
          <w:color w:val="000000"/>
          <w:sz w:val="24"/>
          <w:lang w:bidi="ar"/>
        </w:rPr>
        <w:t>-</w:t>
      </w:r>
      <w:r w:rsidRPr="0049621B">
        <w:rPr>
          <w:rFonts w:ascii="Book Antiqua" w:hAnsi="Book Antiqua" w:cs="Book Antiqua"/>
          <w:color w:val="000000"/>
          <w:sz w:val="24"/>
          <w:lang w:bidi="ar"/>
        </w:rPr>
        <w:t>0002</w:t>
      </w:r>
      <w:r w:rsidR="00B5679C" w:rsidRPr="0049621B">
        <w:rPr>
          <w:rFonts w:ascii="Book Antiqua" w:hAnsi="Book Antiqua" w:cs="Book Antiqua"/>
          <w:color w:val="000000"/>
          <w:sz w:val="24"/>
          <w:lang w:bidi="ar"/>
        </w:rPr>
        <w:t>-</w:t>
      </w:r>
      <w:r w:rsidRPr="0049621B">
        <w:rPr>
          <w:rFonts w:ascii="Book Antiqua" w:hAnsi="Book Antiqua" w:cs="Book Antiqua"/>
          <w:color w:val="000000"/>
          <w:sz w:val="24"/>
          <w:lang w:bidi="ar"/>
        </w:rPr>
        <w:t>2730</w:t>
      </w:r>
      <w:r w:rsidR="00B5679C" w:rsidRPr="0049621B">
        <w:rPr>
          <w:rFonts w:ascii="Book Antiqua" w:hAnsi="Book Antiqua" w:cs="Book Antiqua"/>
          <w:color w:val="000000"/>
          <w:sz w:val="24"/>
          <w:lang w:bidi="ar"/>
        </w:rPr>
        <w:t>-</w:t>
      </w:r>
      <w:r w:rsidRPr="0049621B">
        <w:rPr>
          <w:rFonts w:ascii="Book Antiqua" w:hAnsi="Book Antiqua" w:cs="Book Antiqua"/>
          <w:color w:val="000000"/>
          <w:sz w:val="24"/>
          <w:lang w:bidi="ar"/>
        </w:rPr>
        <w:t>2821);</w:t>
      </w:r>
      <w:r w:rsidR="009A3EF4" w:rsidRPr="0049621B">
        <w:rPr>
          <w:rFonts w:ascii="Book Antiqua" w:hAnsi="Book Antiqua" w:cs="Book Antiqua"/>
          <w:color w:val="000000"/>
          <w:sz w:val="24"/>
          <w:lang w:bidi="ar"/>
        </w:rPr>
        <w:t xml:space="preserve"> </w:t>
      </w:r>
      <w:r w:rsidRPr="0049621B">
        <w:rPr>
          <w:rFonts w:ascii="Book Antiqua" w:hAnsi="Book Antiqua" w:cs="Book Antiqua"/>
          <w:color w:val="000000"/>
          <w:sz w:val="24"/>
          <w:lang w:bidi="ar"/>
        </w:rPr>
        <w:t>Man-Xiang Huang (0000</w:t>
      </w:r>
      <w:r w:rsidR="00B5679C" w:rsidRPr="0049621B">
        <w:rPr>
          <w:rFonts w:ascii="Book Antiqua" w:hAnsi="Book Antiqua" w:cs="Book Antiqua"/>
          <w:color w:val="000000"/>
          <w:sz w:val="24"/>
          <w:lang w:bidi="ar"/>
        </w:rPr>
        <w:t>-</w:t>
      </w:r>
      <w:r w:rsidRPr="0049621B">
        <w:rPr>
          <w:rFonts w:ascii="Book Antiqua" w:hAnsi="Book Antiqua" w:cs="Book Antiqua"/>
          <w:color w:val="000000"/>
          <w:sz w:val="24"/>
          <w:lang w:bidi="ar"/>
        </w:rPr>
        <w:t>0003</w:t>
      </w:r>
      <w:r w:rsidR="00B5679C" w:rsidRPr="0049621B">
        <w:rPr>
          <w:rFonts w:ascii="Book Antiqua" w:hAnsi="Book Antiqua" w:cs="Book Antiqua"/>
          <w:color w:val="000000"/>
          <w:sz w:val="24"/>
          <w:lang w:bidi="ar"/>
        </w:rPr>
        <w:t>-</w:t>
      </w:r>
      <w:r w:rsidRPr="0049621B">
        <w:rPr>
          <w:rFonts w:ascii="Book Antiqua" w:hAnsi="Book Antiqua" w:cs="Book Antiqua"/>
          <w:color w:val="000000"/>
          <w:sz w:val="24"/>
          <w:lang w:bidi="ar"/>
        </w:rPr>
        <w:t>4404</w:t>
      </w:r>
      <w:r w:rsidR="00B5679C" w:rsidRPr="0049621B">
        <w:rPr>
          <w:rFonts w:ascii="Book Antiqua" w:hAnsi="Book Antiqua" w:cs="Book Antiqua"/>
          <w:color w:val="000000"/>
          <w:sz w:val="24"/>
          <w:lang w:bidi="ar"/>
        </w:rPr>
        <w:t>-</w:t>
      </w:r>
      <w:r w:rsidR="00D83D3C" w:rsidRPr="0049621B">
        <w:rPr>
          <w:rFonts w:ascii="Book Antiqua" w:hAnsi="Book Antiqua" w:cs="Book Antiqua"/>
          <w:color w:val="000000"/>
          <w:sz w:val="24"/>
          <w:lang w:bidi="ar"/>
        </w:rPr>
        <w:t>3371)</w:t>
      </w:r>
      <w:r w:rsidRPr="0049621B">
        <w:rPr>
          <w:rFonts w:ascii="Book Antiqua" w:hAnsi="Book Antiqua" w:cs="Book Antiqua"/>
          <w:color w:val="000000"/>
          <w:sz w:val="24"/>
          <w:lang w:bidi="ar"/>
        </w:rPr>
        <w:t>.</w:t>
      </w:r>
    </w:p>
    <w:p w:rsidR="00242092" w:rsidRPr="0049621B" w:rsidRDefault="00242092" w:rsidP="0049621B">
      <w:pPr>
        <w:adjustRightInd w:val="0"/>
        <w:snapToGrid w:val="0"/>
        <w:spacing w:line="360" w:lineRule="auto"/>
        <w:rPr>
          <w:rFonts w:ascii="Book Antiqua" w:hAnsi="Book Antiqua" w:cs="Book Antiqua"/>
          <w:color w:val="000000"/>
          <w:sz w:val="24"/>
          <w:lang w:bidi="ar"/>
        </w:rPr>
      </w:pPr>
    </w:p>
    <w:p w:rsidR="00242092" w:rsidRPr="0049621B" w:rsidRDefault="00242092" w:rsidP="0049621B">
      <w:pPr>
        <w:adjustRightInd w:val="0"/>
        <w:snapToGrid w:val="0"/>
        <w:spacing w:line="360" w:lineRule="auto"/>
        <w:rPr>
          <w:rFonts w:ascii="Book Antiqua" w:hAnsi="Book Antiqua" w:cs="Book Antiqua"/>
          <w:color w:val="000000"/>
          <w:sz w:val="24"/>
          <w:lang w:bidi="ar"/>
        </w:rPr>
      </w:pPr>
      <w:r w:rsidRPr="0049621B">
        <w:rPr>
          <w:rFonts w:ascii="Book Antiqua" w:hAnsi="Book Antiqua" w:cs="Book Antiqua"/>
          <w:b/>
          <w:color w:val="000000"/>
          <w:sz w:val="24"/>
          <w:lang w:bidi="ar"/>
        </w:rPr>
        <w:t>Author contributions:</w:t>
      </w:r>
      <w:r w:rsidRPr="0049621B">
        <w:rPr>
          <w:rFonts w:ascii="Book Antiqua" w:hAnsi="Book Antiqua" w:cs="Book Antiqua"/>
          <w:color w:val="000000"/>
          <w:sz w:val="24"/>
          <w:lang w:bidi="ar"/>
        </w:rPr>
        <w:t xml:space="preserve"> Lei GT designed the research; Xing YW performed the research; Wu QH funded the research; Jiang Y and Huang MX analyzed and interpreted the data; Xing YW wrote the paper.</w:t>
      </w:r>
    </w:p>
    <w:p w:rsidR="00242092" w:rsidRPr="0049621B" w:rsidRDefault="00242092" w:rsidP="0049621B">
      <w:pPr>
        <w:adjustRightInd w:val="0"/>
        <w:snapToGrid w:val="0"/>
        <w:spacing w:line="360" w:lineRule="auto"/>
        <w:rPr>
          <w:rFonts w:ascii="Book Antiqua" w:hAnsi="Book Antiqua" w:cs="Book Antiqua"/>
          <w:color w:val="000000"/>
          <w:sz w:val="24"/>
          <w:lang w:bidi="ar"/>
        </w:rPr>
      </w:pPr>
    </w:p>
    <w:p w:rsidR="00242092" w:rsidRPr="0049621B" w:rsidRDefault="00242092" w:rsidP="0049621B">
      <w:pPr>
        <w:adjustRightInd w:val="0"/>
        <w:snapToGrid w:val="0"/>
        <w:spacing w:line="360" w:lineRule="auto"/>
        <w:rPr>
          <w:rFonts w:ascii="Book Antiqua" w:hAnsi="Book Antiqua" w:cs="Book Antiqua"/>
          <w:color w:val="000000"/>
          <w:sz w:val="24"/>
          <w:lang w:bidi="ar"/>
        </w:rPr>
      </w:pPr>
      <w:r w:rsidRPr="0049621B">
        <w:rPr>
          <w:rFonts w:ascii="Book Antiqua" w:hAnsi="Book Antiqua" w:cs="Book Antiqua"/>
          <w:b/>
          <w:color w:val="000000"/>
          <w:sz w:val="24"/>
          <w:lang w:bidi="ar"/>
        </w:rPr>
        <w:t xml:space="preserve">Supported by </w:t>
      </w:r>
      <w:r w:rsidRPr="0049621B">
        <w:rPr>
          <w:rFonts w:ascii="Book Antiqua" w:hAnsi="Book Antiqua" w:cs="Book Antiqua"/>
          <w:color w:val="000000"/>
          <w:sz w:val="24"/>
          <w:lang w:bidi="ar"/>
        </w:rPr>
        <w:t xml:space="preserve">Major </w:t>
      </w:r>
      <w:r w:rsidR="0049621B">
        <w:rPr>
          <w:rFonts w:ascii="Book Antiqua" w:hAnsi="Book Antiqua" w:cs="Book Antiqua"/>
          <w:color w:val="000000"/>
          <w:sz w:val="24"/>
          <w:lang w:bidi="ar"/>
        </w:rPr>
        <w:t>P</w:t>
      </w:r>
      <w:r w:rsidRPr="0049621B">
        <w:rPr>
          <w:rFonts w:ascii="Book Antiqua" w:hAnsi="Book Antiqua" w:cs="Book Antiqua"/>
          <w:color w:val="000000"/>
          <w:sz w:val="24"/>
          <w:lang w:bidi="ar"/>
        </w:rPr>
        <w:t>rojects of Sci</w:t>
      </w:r>
      <w:r w:rsidR="00B5679C" w:rsidRPr="0049621B">
        <w:rPr>
          <w:rFonts w:ascii="Book Antiqua" w:hAnsi="Book Antiqua" w:cs="Book Antiqua"/>
          <w:color w:val="000000"/>
          <w:sz w:val="24"/>
          <w:lang w:bidi="ar"/>
        </w:rPr>
        <w:t>ence and Technology in Jiangxi, No. 20161ACG70012</w:t>
      </w:r>
      <w:r w:rsidRPr="0049621B">
        <w:rPr>
          <w:rFonts w:ascii="Book Antiqua" w:hAnsi="Book Antiqua" w:cs="Book Antiqua"/>
          <w:color w:val="000000"/>
          <w:sz w:val="24"/>
          <w:lang w:bidi="ar"/>
        </w:rPr>
        <w:t>.</w:t>
      </w:r>
    </w:p>
    <w:p w:rsidR="00242092" w:rsidRPr="0049621B" w:rsidRDefault="00242092" w:rsidP="0049621B">
      <w:pPr>
        <w:adjustRightInd w:val="0"/>
        <w:snapToGrid w:val="0"/>
        <w:spacing w:line="360" w:lineRule="auto"/>
        <w:rPr>
          <w:rFonts w:ascii="Book Antiqua" w:hAnsi="Book Antiqua" w:cs="Book Antiqua"/>
          <w:b/>
          <w:color w:val="000000"/>
          <w:sz w:val="24"/>
          <w:lang w:bidi="ar"/>
        </w:rPr>
      </w:pPr>
    </w:p>
    <w:p w:rsidR="00242092" w:rsidRPr="0049621B" w:rsidRDefault="00B5679C" w:rsidP="0049621B">
      <w:pPr>
        <w:adjustRightInd w:val="0"/>
        <w:snapToGrid w:val="0"/>
        <w:spacing w:line="360" w:lineRule="auto"/>
        <w:rPr>
          <w:rFonts w:ascii="Book Antiqua" w:hAnsi="Book Antiqua" w:cs="Book Antiqua"/>
          <w:color w:val="000000"/>
          <w:sz w:val="24"/>
          <w:lang w:bidi="ar"/>
        </w:rPr>
      </w:pPr>
      <w:r w:rsidRPr="0049621B">
        <w:rPr>
          <w:rFonts w:ascii="Book Antiqua" w:hAnsi="Book Antiqua"/>
          <w:b/>
          <w:color w:val="000000"/>
          <w:sz w:val="24"/>
        </w:rPr>
        <w:t>Institutional animal care and use committee statement:</w:t>
      </w:r>
      <w:r w:rsidR="00242092" w:rsidRPr="0049621B">
        <w:rPr>
          <w:rFonts w:ascii="Book Antiqua" w:hAnsi="Book Antiqua" w:cs="Book Antiqua"/>
          <w:b/>
          <w:color w:val="000000"/>
          <w:sz w:val="24"/>
          <w:lang w:bidi="ar"/>
        </w:rPr>
        <w:t xml:space="preserve"> </w:t>
      </w:r>
      <w:r w:rsidR="00242092" w:rsidRPr="0049621B">
        <w:rPr>
          <w:rFonts w:ascii="Book Antiqua" w:hAnsi="Book Antiqua" w:cs="Book Antiqua"/>
          <w:color w:val="000000"/>
          <w:sz w:val="24"/>
          <w:lang w:bidi="ar"/>
        </w:rPr>
        <w:t xml:space="preserve">This study was approved </w:t>
      </w:r>
      <w:r w:rsidR="00242092" w:rsidRPr="0049621B">
        <w:rPr>
          <w:rFonts w:ascii="Book Antiqua" w:hAnsi="Book Antiqua" w:cs="Book Antiqua"/>
          <w:color w:val="000000"/>
          <w:sz w:val="24"/>
          <w:lang w:bidi="ar"/>
        </w:rPr>
        <w:lastRenderedPageBreak/>
        <w:t>by the Animal Research Committee, Central South University, Hunan, China.</w:t>
      </w:r>
    </w:p>
    <w:p w:rsidR="00B5679C" w:rsidRPr="0049621B" w:rsidRDefault="00B5679C" w:rsidP="0049621B">
      <w:pPr>
        <w:adjustRightInd w:val="0"/>
        <w:snapToGrid w:val="0"/>
        <w:spacing w:line="360" w:lineRule="auto"/>
        <w:rPr>
          <w:rFonts w:ascii="Book Antiqua" w:hAnsi="Book Antiqua" w:cs="Book Antiqua"/>
          <w:color w:val="000000"/>
          <w:sz w:val="24"/>
          <w:lang w:bidi="ar"/>
        </w:rPr>
      </w:pPr>
    </w:p>
    <w:p w:rsidR="00242092" w:rsidRPr="0049621B" w:rsidRDefault="00242092" w:rsidP="0049621B">
      <w:pPr>
        <w:adjustRightInd w:val="0"/>
        <w:snapToGrid w:val="0"/>
        <w:spacing w:line="360" w:lineRule="auto"/>
        <w:outlineLvl w:val="0"/>
        <w:rPr>
          <w:rFonts w:ascii="Book Antiqua" w:hAnsi="Book Antiqua" w:cs="Book Antiqua"/>
          <w:color w:val="000000"/>
          <w:sz w:val="24"/>
          <w:lang w:bidi="ar"/>
        </w:rPr>
      </w:pPr>
      <w:r w:rsidRPr="0049621B">
        <w:rPr>
          <w:rFonts w:ascii="Book Antiqua" w:hAnsi="Book Antiqua" w:cs="Book Antiqua"/>
          <w:b/>
          <w:color w:val="000000"/>
          <w:sz w:val="24"/>
          <w:lang w:bidi="ar"/>
        </w:rPr>
        <w:t xml:space="preserve">Conflict-of-interest statement: </w:t>
      </w:r>
      <w:r w:rsidRPr="0049621B">
        <w:rPr>
          <w:rFonts w:ascii="Book Antiqua" w:hAnsi="Book Antiqua" w:cs="Book Antiqua"/>
          <w:color w:val="000000"/>
          <w:sz w:val="24"/>
          <w:lang w:bidi="ar"/>
        </w:rPr>
        <w:t>The authors declare no conflict of interests.</w:t>
      </w:r>
    </w:p>
    <w:p w:rsidR="00242092" w:rsidRPr="0049621B" w:rsidRDefault="00242092" w:rsidP="0049621B">
      <w:pPr>
        <w:adjustRightInd w:val="0"/>
        <w:snapToGrid w:val="0"/>
        <w:spacing w:line="360" w:lineRule="auto"/>
        <w:rPr>
          <w:rFonts w:ascii="Book Antiqua" w:hAnsi="Book Antiqua" w:cs="Book Antiqua"/>
          <w:color w:val="000000"/>
          <w:sz w:val="24"/>
          <w:lang w:bidi="ar"/>
        </w:rPr>
      </w:pPr>
    </w:p>
    <w:p w:rsidR="00242092" w:rsidRPr="0049621B" w:rsidRDefault="00242092" w:rsidP="0049621B">
      <w:pPr>
        <w:adjustRightInd w:val="0"/>
        <w:snapToGrid w:val="0"/>
        <w:spacing w:line="360" w:lineRule="auto"/>
        <w:rPr>
          <w:rFonts w:ascii="Book Antiqua" w:hAnsi="Book Antiqua" w:cs="Book Antiqua"/>
          <w:color w:val="000000"/>
          <w:sz w:val="24"/>
          <w:lang w:bidi="ar"/>
        </w:rPr>
      </w:pPr>
      <w:r w:rsidRPr="0049621B">
        <w:rPr>
          <w:rFonts w:ascii="Book Antiqua" w:hAnsi="Book Antiqua" w:cs="Book Antiqua"/>
          <w:b/>
          <w:color w:val="000000"/>
          <w:sz w:val="24"/>
          <w:lang w:bidi="ar"/>
        </w:rPr>
        <w:t xml:space="preserve">Data sharing statement: </w:t>
      </w:r>
      <w:r w:rsidRPr="0049621B">
        <w:rPr>
          <w:rFonts w:ascii="Book Antiqua" w:hAnsi="Book Antiqua" w:cs="Book Antiqua"/>
          <w:color w:val="000000"/>
          <w:sz w:val="24"/>
          <w:lang w:bidi="ar"/>
        </w:rPr>
        <w:t>Raw sequencing data are available from the</w:t>
      </w:r>
      <w:r w:rsidR="001A6949" w:rsidRPr="0049621B">
        <w:rPr>
          <w:rFonts w:ascii="Book Antiqua" w:hAnsi="Book Antiqua" w:cs="Book Antiqua"/>
          <w:color w:val="000000"/>
          <w:sz w:val="24"/>
          <w:lang w:bidi="ar"/>
        </w:rPr>
        <w:t xml:space="preserve"> </w:t>
      </w:r>
      <w:r w:rsidRPr="0049621B">
        <w:rPr>
          <w:rFonts w:ascii="Book Antiqua" w:hAnsi="Book Antiqua" w:cs="Book Antiqua"/>
          <w:color w:val="000000"/>
          <w:sz w:val="24"/>
          <w:lang w:bidi="ar"/>
        </w:rPr>
        <w:t xml:space="preserve">corresponding author at </w:t>
      </w:r>
      <w:hyperlink r:id="rId8" w:history="1">
        <w:r w:rsidRPr="0049621B">
          <w:rPr>
            <w:rStyle w:val="a4"/>
            <w:rFonts w:ascii="Book Antiqua" w:hAnsi="Book Antiqua" w:cs="Book Antiqua"/>
            <w:color w:val="000000"/>
            <w:sz w:val="24"/>
            <w:lang w:bidi="ar"/>
          </w:rPr>
          <w:t>lgtmhu@163.com</w:t>
        </w:r>
      </w:hyperlink>
      <w:r w:rsidRPr="0049621B">
        <w:rPr>
          <w:rFonts w:ascii="Book Antiqua" w:hAnsi="Book Antiqua" w:cs="Book Antiqua"/>
          <w:color w:val="000000"/>
          <w:sz w:val="24"/>
          <w:lang w:bidi="ar"/>
        </w:rPr>
        <w:t>. Participants gave informed</w:t>
      </w:r>
      <w:r w:rsidR="001A6949" w:rsidRPr="0049621B">
        <w:rPr>
          <w:rFonts w:ascii="Book Antiqua" w:hAnsi="Book Antiqua" w:cs="Book Antiqua"/>
          <w:color w:val="000000"/>
          <w:sz w:val="24"/>
          <w:lang w:bidi="ar"/>
        </w:rPr>
        <w:t xml:space="preserve"> </w:t>
      </w:r>
      <w:r w:rsidRPr="0049621B">
        <w:rPr>
          <w:rFonts w:ascii="Book Antiqua" w:hAnsi="Book Antiqua" w:cs="Book Antiqua"/>
          <w:color w:val="000000"/>
          <w:sz w:val="24"/>
          <w:lang w:bidi="ar"/>
        </w:rPr>
        <w:t xml:space="preserve">consent for data sharing. </w:t>
      </w:r>
    </w:p>
    <w:p w:rsidR="00242092" w:rsidRPr="0049621B" w:rsidRDefault="00242092" w:rsidP="0049621B">
      <w:pPr>
        <w:adjustRightInd w:val="0"/>
        <w:snapToGrid w:val="0"/>
        <w:spacing w:line="360" w:lineRule="auto"/>
        <w:rPr>
          <w:rFonts w:ascii="Book Antiqua" w:hAnsi="Book Antiqua" w:cs="Book Antiqua"/>
          <w:b/>
          <w:color w:val="000000"/>
          <w:sz w:val="24"/>
          <w:lang w:bidi="ar"/>
        </w:rPr>
      </w:pPr>
    </w:p>
    <w:p w:rsidR="00242092" w:rsidRPr="0049621B" w:rsidRDefault="00242092" w:rsidP="0049621B">
      <w:pPr>
        <w:adjustRightInd w:val="0"/>
        <w:snapToGrid w:val="0"/>
        <w:spacing w:line="360" w:lineRule="auto"/>
        <w:rPr>
          <w:rFonts w:ascii="Book Antiqua" w:hAnsi="Book Antiqua" w:cs="Book Antiqua"/>
          <w:color w:val="000000"/>
          <w:sz w:val="24"/>
          <w:lang w:bidi="ar"/>
        </w:rPr>
      </w:pPr>
      <w:r w:rsidRPr="0049621B">
        <w:rPr>
          <w:rFonts w:ascii="Book Antiqua" w:hAnsi="Book Antiqua" w:cs="Book Antiqua"/>
          <w:b/>
          <w:color w:val="000000"/>
          <w:sz w:val="24"/>
          <w:lang w:bidi="ar"/>
        </w:rPr>
        <w:t xml:space="preserve">ARRIVE guidelines statement: </w:t>
      </w:r>
      <w:r w:rsidRPr="0049621B">
        <w:rPr>
          <w:rFonts w:ascii="Book Antiqua" w:hAnsi="Book Antiqua" w:cs="Book Antiqua"/>
          <w:color w:val="000000"/>
          <w:sz w:val="24"/>
          <w:lang w:bidi="ar"/>
        </w:rPr>
        <w:t>The authors have read the ARRIVE guidelines, and the manuscript was prepared and revised according to the ARRIVE guideline.</w:t>
      </w:r>
    </w:p>
    <w:p w:rsidR="00242092" w:rsidRPr="0049621B" w:rsidRDefault="00242092" w:rsidP="0049621B">
      <w:pPr>
        <w:adjustRightInd w:val="0"/>
        <w:snapToGrid w:val="0"/>
        <w:spacing w:line="360" w:lineRule="auto"/>
        <w:rPr>
          <w:rFonts w:ascii="Book Antiqua" w:hAnsi="Book Antiqua" w:cs="Book Antiqua"/>
          <w:b/>
          <w:color w:val="000000"/>
          <w:sz w:val="24"/>
          <w:lang w:bidi="ar"/>
        </w:rPr>
      </w:pPr>
    </w:p>
    <w:p w:rsidR="00B5679C" w:rsidRPr="0049621B" w:rsidRDefault="00B5679C" w:rsidP="0049621B">
      <w:pPr>
        <w:adjustRightInd w:val="0"/>
        <w:snapToGrid w:val="0"/>
        <w:spacing w:line="360" w:lineRule="auto"/>
        <w:rPr>
          <w:rFonts w:ascii="Book Antiqua" w:hAnsi="Book Antiqua"/>
          <w:sz w:val="24"/>
        </w:rPr>
      </w:pPr>
      <w:bookmarkStart w:id="9" w:name="OLE_LINK25"/>
      <w:bookmarkStart w:id="10" w:name="OLE_LINK26"/>
      <w:bookmarkStart w:id="11" w:name="OLE_LINK375"/>
      <w:bookmarkStart w:id="12" w:name="OLE_LINK32"/>
      <w:bookmarkStart w:id="13" w:name="OLE_LINK381"/>
      <w:bookmarkStart w:id="14" w:name="OLE_LINK413"/>
      <w:r w:rsidRPr="0049621B">
        <w:rPr>
          <w:rFonts w:ascii="Book Antiqua" w:hAnsi="Book Antiqua"/>
          <w:b/>
          <w:color w:val="000000"/>
          <w:sz w:val="24"/>
        </w:rPr>
        <w:t xml:space="preserve">Open-Access: </w:t>
      </w:r>
      <w:r w:rsidRPr="0049621B">
        <w:rPr>
          <w:rFonts w:ascii="Book Antiqua" w:hAnsi="Book Antiqua"/>
          <w:color w:val="000000"/>
          <w:sz w:val="24"/>
        </w:rPr>
        <w:t xml:space="preserve">This is an </w:t>
      </w:r>
      <w:r w:rsidRPr="0049621B">
        <w:rPr>
          <w:rFonts w:ascii="Book Antiqua" w:hAnsi="Book Antiqua" w:cs="宋体"/>
          <w:sz w:val="24"/>
        </w:rPr>
        <w:t xml:space="preserve">open-access article that was </w:t>
      </w:r>
      <w:r w:rsidRPr="0049621B">
        <w:rPr>
          <w:rFonts w:ascii="Book Antiqua" w:hAnsi="Book Antiqua"/>
          <w:sz w:val="24"/>
        </w:rPr>
        <w:t xml:space="preserve">selected by an in-house editor and fully peer-reviewed by external reviewers. It is </w:t>
      </w:r>
      <w:r w:rsidRPr="0049621B">
        <w:rPr>
          <w:rFonts w:ascii="Book Antiqua" w:hAnsi="Book Antiqua" w:cs="宋体"/>
          <w:sz w:val="24"/>
        </w:rPr>
        <w:t xml:space="preserve">distributed in accordance with </w:t>
      </w:r>
      <w:r w:rsidRPr="0049621B">
        <w:rPr>
          <w:rFonts w:ascii="Book Antiqua" w:hAnsi="Book Antiqua"/>
          <w:sz w:val="24"/>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C71A37">
        <w:rPr>
          <w:rFonts w:ascii="Book Antiqua" w:hAnsi="Book Antiqua"/>
          <w:sz w:val="24"/>
        </w:rPr>
        <w:t>http://creativecommons.org/licenses/by-nc/4.0/</w:t>
      </w:r>
    </w:p>
    <w:p w:rsidR="00B5679C" w:rsidRPr="0049621B" w:rsidRDefault="00B5679C" w:rsidP="0049621B">
      <w:pPr>
        <w:adjustRightInd w:val="0"/>
        <w:snapToGrid w:val="0"/>
        <w:spacing w:line="360" w:lineRule="auto"/>
        <w:rPr>
          <w:rFonts w:ascii="Book Antiqua" w:hAnsi="Book Antiqua"/>
          <w:sz w:val="24"/>
        </w:rPr>
      </w:pPr>
    </w:p>
    <w:p w:rsidR="00B5679C" w:rsidRPr="0049621B" w:rsidRDefault="00B5679C" w:rsidP="0049621B">
      <w:pPr>
        <w:adjustRightInd w:val="0"/>
        <w:snapToGrid w:val="0"/>
        <w:spacing w:line="360" w:lineRule="auto"/>
        <w:outlineLvl w:val="0"/>
        <w:rPr>
          <w:rFonts w:ascii="Book Antiqua" w:hAnsi="Book Antiqua"/>
          <w:bCs/>
          <w:sz w:val="24"/>
        </w:rPr>
      </w:pPr>
      <w:r w:rsidRPr="0049621B">
        <w:rPr>
          <w:rFonts w:ascii="Book Antiqua" w:hAnsi="Book Antiqua"/>
          <w:b/>
          <w:bCs/>
          <w:sz w:val="24"/>
          <w:highlight w:val="white"/>
        </w:rPr>
        <w:t xml:space="preserve">Manuscript source: </w:t>
      </w:r>
      <w:r w:rsidRPr="0049621B">
        <w:rPr>
          <w:rFonts w:ascii="Book Antiqua" w:hAnsi="Book Antiqua"/>
          <w:bCs/>
          <w:sz w:val="24"/>
          <w:highlight w:val="white"/>
        </w:rPr>
        <w:t>Unsolicited manuscript</w:t>
      </w:r>
      <w:bookmarkEnd w:id="9"/>
      <w:bookmarkEnd w:id="10"/>
      <w:bookmarkEnd w:id="11"/>
      <w:bookmarkEnd w:id="12"/>
      <w:bookmarkEnd w:id="13"/>
      <w:bookmarkEnd w:id="14"/>
    </w:p>
    <w:p w:rsidR="00B5679C" w:rsidRPr="0049621B" w:rsidRDefault="00B5679C" w:rsidP="0049621B">
      <w:pPr>
        <w:adjustRightInd w:val="0"/>
        <w:snapToGrid w:val="0"/>
        <w:spacing w:line="360" w:lineRule="auto"/>
        <w:rPr>
          <w:rFonts w:ascii="Book Antiqua" w:hAnsi="Book Antiqua" w:cs="Book Antiqua"/>
          <w:b/>
          <w:color w:val="000000"/>
          <w:sz w:val="24"/>
          <w:lang w:bidi="ar"/>
        </w:rPr>
      </w:pPr>
    </w:p>
    <w:p w:rsidR="00242092" w:rsidRPr="0049621B" w:rsidRDefault="00242092" w:rsidP="0049621B">
      <w:pPr>
        <w:adjustRightInd w:val="0"/>
        <w:snapToGrid w:val="0"/>
        <w:spacing w:line="360" w:lineRule="auto"/>
        <w:rPr>
          <w:rFonts w:ascii="Book Antiqua" w:hAnsi="Book Antiqua" w:cs="Book Antiqua"/>
          <w:color w:val="000000"/>
          <w:sz w:val="24"/>
          <w:lang w:bidi="ar"/>
        </w:rPr>
      </w:pPr>
      <w:r w:rsidRPr="0049621B">
        <w:rPr>
          <w:rFonts w:ascii="Book Antiqua" w:hAnsi="Book Antiqua" w:cs="Book Antiqua"/>
          <w:b/>
          <w:color w:val="000000"/>
          <w:sz w:val="24"/>
          <w:lang w:bidi="ar"/>
        </w:rPr>
        <w:t xml:space="preserve">Corresponding author: </w:t>
      </w:r>
      <w:r w:rsidRPr="0049621B">
        <w:rPr>
          <w:rFonts w:ascii="Book Antiqua" w:hAnsi="Book Antiqua" w:cs="Book Antiqua"/>
          <w:b/>
          <w:bCs/>
          <w:color w:val="000000"/>
          <w:sz w:val="24"/>
          <w:lang w:bidi="ar"/>
        </w:rPr>
        <w:t>Guang-Tao Lei, MD,</w:t>
      </w:r>
      <w:r w:rsidRPr="0049621B">
        <w:rPr>
          <w:rFonts w:ascii="Book Antiqua" w:hAnsi="Book Antiqua" w:cs="Book Antiqua"/>
          <w:b/>
          <w:color w:val="000000"/>
          <w:sz w:val="24"/>
          <w:lang w:bidi="ar"/>
        </w:rPr>
        <w:t xml:space="preserve"> </w:t>
      </w:r>
      <w:r w:rsidR="003A236A" w:rsidRPr="0049621B">
        <w:rPr>
          <w:rFonts w:ascii="Book Antiqua" w:hAnsi="Book Antiqua" w:cs="Book Antiqua"/>
          <w:b/>
          <w:color w:val="000000"/>
          <w:sz w:val="24"/>
          <w:lang w:bidi="ar"/>
        </w:rPr>
        <w:t xml:space="preserve">Chief Doctor, </w:t>
      </w:r>
      <w:r w:rsidRPr="0049621B">
        <w:rPr>
          <w:rFonts w:ascii="Book Antiqua" w:hAnsi="Book Antiqua" w:cs="Book Antiqua"/>
          <w:color w:val="000000"/>
          <w:sz w:val="24"/>
          <w:lang w:bidi="ar"/>
        </w:rPr>
        <w:t xml:space="preserve">Department of Cardiovascular </w:t>
      </w:r>
      <w:r w:rsidR="0049621B">
        <w:rPr>
          <w:rFonts w:ascii="Book Antiqua" w:hAnsi="Book Antiqua" w:cs="Book Antiqua"/>
          <w:color w:val="000000"/>
          <w:sz w:val="24"/>
          <w:lang w:bidi="ar"/>
        </w:rPr>
        <w:t>M</w:t>
      </w:r>
      <w:r w:rsidRPr="0049621B">
        <w:rPr>
          <w:rFonts w:ascii="Book Antiqua" w:hAnsi="Book Antiqua" w:cs="Book Antiqua"/>
          <w:color w:val="000000"/>
          <w:sz w:val="24"/>
          <w:lang w:bidi="ar"/>
        </w:rPr>
        <w:t xml:space="preserve">edicine, </w:t>
      </w:r>
      <w:r w:rsidR="0049621B">
        <w:rPr>
          <w:rFonts w:ascii="Book Antiqua" w:hAnsi="Book Antiqua" w:cs="Book Antiqua"/>
          <w:color w:val="000000"/>
          <w:sz w:val="24"/>
          <w:lang w:bidi="ar"/>
        </w:rPr>
        <w:t>T</w:t>
      </w:r>
      <w:r w:rsidRPr="0049621B">
        <w:rPr>
          <w:rFonts w:ascii="Book Antiqua" w:hAnsi="Book Antiqua" w:cs="Book Antiqua"/>
          <w:color w:val="000000"/>
          <w:sz w:val="24"/>
          <w:lang w:bidi="ar"/>
        </w:rPr>
        <w:t>he Second Affiliated Hospital of Nanchang University, 1</w:t>
      </w:r>
      <w:r w:rsidRPr="0049621B">
        <w:rPr>
          <w:rFonts w:ascii="Book Antiqua" w:hAnsi="Book Antiqua" w:cs="Book Antiqua"/>
          <w:color w:val="000000"/>
          <w:sz w:val="24"/>
          <w:vertAlign w:val="superscript"/>
          <w:lang w:bidi="ar"/>
        </w:rPr>
        <w:t>st</w:t>
      </w:r>
      <w:r w:rsidRPr="0049621B">
        <w:rPr>
          <w:rFonts w:ascii="Book Antiqua" w:hAnsi="Book Antiqua" w:cs="Book Antiqua"/>
          <w:color w:val="000000"/>
          <w:sz w:val="24"/>
          <w:lang w:bidi="ar"/>
        </w:rPr>
        <w:t xml:space="preserve"> Minde Road, Nanchang</w:t>
      </w:r>
      <w:r w:rsidR="003A236A" w:rsidRPr="0049621B">
        <w:rPr>
          <w:rFonts w:ascii="Book Antiqua" w:hAnsi="Book Antiqua" w:cs="Book Antiqua"/>
          <w:color w:val="000000"/>
          <w:sz w:val="24"/>
          <w:lang w:bidi="ar"/>
        </w:rPr>
        <w:t xml:space="preserve"> 330006, Jiangxi Province</w:t>
      </w:r>
      <w:r w:rsidRPr="0049621B">
        <w:rPr>
          <w:rFonts w:ascii="Book Antiqua" w:hAnsi="Book Antiqua" w:cs="Book Antiqua"/>
          <w:color w:val="000000"/>
          <w:sz w:val="24"/>
          <w:lang w:bidi="ar"/>
        </w:rPr>
        <w:t xml:space="preserve">, China. </w:t>
      </w:r>
      <w:hyperlink r:id="rId9" w:history="1">
        <w:r w:rsidRPr="0049621B">
          <w:rPr>
            <w:rStyle w:val="a4"/>
            <w:rFonts w:ascii="Book Antiqua" w:hAnsi="Book Antiqua" w:cs="Book Antiqua"/>
            <w:color w:val="000000"/>
            <w:sz w:val="24"/>
            <w:lang w:bidi="ar"/>
          </w:rPr>
          <w:t>lgtmhu@163.com</w:t>
        </w:r>
      </w:hyperlink>
    </w:p>
    <w:p w:rsidR="00242092" w:rsidRPr="0049621B" w:rsidRDefault="00242092" w:rsidP="0049621B">
      <w:pPr>
        <w:adjustRightInd w:val="0"/>
        <w:snapToGrid w:val="0"/>
        <w:spacing w:line="360" w:lineRule="auto"/>
        <w:rPr>
          <w:rFonts w:ascii="Book Antiqua" w:hAnsi="Book Antiqua" w:cs="Book Antiqua"/>
          <w:color w:val="000000"/>
          <w:sz w:val="24"/>
          <w:lang w:bidi="ar"/>
        </w:rPr>
      </w:pPr>
      <w:r w:rsidRPr="0049621B">
        <w:rPr>
          <w:rFonts w:ascii="Book Antiqua" w:hAnsi="Book Antiqua" w:cs="Book Antiqua"/>
          <w:b/>
          <w:color w:val="000000"/>
          <w:sz w:val="24"/>
          <w:lang w:bidi="ar"/>
        </w:rPr>
        <w:t>Telephone:</w:t>
      </w:r>
      <w:r w:rsidRPr="0049621B">
        <w:rPr>
          <w:rFonts w:ascii="Book Antiqua" w:hAnsi="Book Antiqua" w:cs="Book Antiqua"/>
          <w:color w:val="000000"/>
          <w:sz w:val="24"/>
          <w:lang w:bidi="ar"/>
        </w:rPr>
        <w:t xml:space="preserve"> +86-13257090106</w:t>
      </w:r>
    </w:p>
    <w:p w:rsidR="00242092" w:rsidRPr="0049621B" w:rsidRDefault="00242092" w:rsidP="0049621B">
      <w:pPr>
        <w:adjustRightInd w:val="0"/>
        <w:snapToGrid w:val="0"/>
        <w:spacing w:line="360" w:lineRule="auto"/>
        <w:rPr>
          <w:rFonts w:ascii="Book Antiqua" w:hAnsi="Book Antiqua" w:cs="Book Antiqua"/>
          <w:color w:val="000000"/>
          <w:sz w:val="24"/>
          <w:lang w:bidi="ar"/>
        </w:rPr>
      </w:pPr>
      <w:r w:rsidRPr="0049621B">
        <w:rPr>
          <w:rFonts w:ascii="Book Antiqua" w:hAnsi="Book Antiqua" w:cs="Book Antiqua"/>
          <w:b/>
          <w:color w:val="000000"/>
          <w:sz w:val="24"/>
          <w:lang w:bidi="ar"/>
        </w:rPr>
        <w:t>Fax:</w:t>
      </w:r>
      <w:r w:rsidRPr="0049621B">
        <w:rPr>
          <w:rFonts w:ascii="Book Antiqua" w:hAnsi="Book Antiqua" w:cs="Book Antiqua"/>
          <w:color w:val="000000"/>
          <w:sz w:val="24"/>
          <w:lang w:bidi="ar"/>
        </w:rPr>
        <w:t xml:space="preserve"> +86-791-86311676</w:t>
      </w:r>
    </w:p>
    <w:p w:rsidR="00242092" w:rsidRPr="0049621B" w:rsidRDefault="00242092" w:rsidP="0049621B">
      <w:pPr>
        <w:adjustRightInd w:val="0"/>
        <w:snapToGrid w:val="0"/>
        <w:spacing w:line="360" w:lineRule="auto"/>
        <w:rPr>
          <w:rFonts w:ascii="Book Antiqua" w:hAnsi="Book Antiqua" w:cs="Book Antiqua"/>
          <w:color w:val="000000"/>
          <w:sz w:val="24"/>
          <w:lang w:bidi="ar"/>
        </w:rPr>
      </w:pPr>
    </w:p>
    <w:p w:rsidR="003A236A" w:rsidRPr="0049621B" w:rsidRDefault="003A236A" w:rsidP="0049621B">
      <w:pPr>
        <w:adjustRightInd w:val="0"/>
        <w:snapToGrid w:val="0"/>
        <w:spacing w:line="360" w:lineRule="auto"/>
        <w:outlineLvl w:val="0"/>
        <w:rPr>
          <w:rFonts w:ascii="Book Antiqua" w:hAnsi="Book Antiqua"/>
          <w:b/>
          <w:sz w:val="24"/>
        </w:rPr>
      </w:pPr>
      <w:bookmarkStart w:id="15" w:name="OLE_LINK14"/>
      <w:bookmarkStart w:id="16" w:name="OLE_LINK16"/>
      <w:bookmarkStart w:id="17" w:name="OLE_LINK51"/>
      <w:bookmarkStart w:id="18" w:name="OLE_LINK27"/>
      <w:bookmarkStart w:id="19" w:name="OLE_LINK382"/>
      <w:r w:rsidRPr="0049621B">
        <w:rPr>
          <w:rFonts w:ascii="Book Antiqua" w:hAnsi="Book Antiqua"/>
          <w:b/>
          <w:sz w:val="24"/>
        </w:rPr>
        <w:t xml:space="preserve">Received: </w:t>
      </w:r>
      <w:r w:rsidRPr="0049621B">
        <w:rPr>
          <w:rFonts w:ascii="Book Antiqua" w:hAnsi="Book Antiqua"/>
          <w:sz w:val="24"/>
        </w:rPr>
        <w:t>December</w:t>
      </w:r>
      <w:r w:rsidRPr="0049621B">
        <w:rPr>
          <w:rFonts w:ascii="Book Antiqua" w:eastAsia="DengXian" w:hAnsi="Book Antiqua"/>
          <w:sz w:val="24"/>
        </w:rPr>
        <w:t xml:space="preserve"> 17, 2018</w:t>
      </w:r>
      <w:r w:rsidR="00731CA1" w:rsidRPr="0049621B">
        <w:rPr>
          <w:rFonts w:ascii="Book Antiqua" w:hAnsi="Book Antiqua"/>
          <w:b/>
          <w:sz w:val="24"/>
        </w:rPr>
        <w:t xml:space="preserve"> </w:t>
      </w:r>
    </w:p>
    <w:p w:rsidR="003A236A" w:rsidRPr="0049621B" w:rsidRDefault="003A236A" w:rsidP="0049621B">
      <w:pPr>
        <w:adjustRightInd w:val="0"/>
        <w:snapToGrid w:val="0"/>
        <w:spacing w:line="360" w:lineRule="auto"/>
        <w:outlineLvl w:val="0"/>
        <w:rPr>
          <w:rFonts w:ascii="Book Antiqua" w:eastAsia="DengXian" w:hAnsi="Book Antiqua"/>
          <w:b/>
          <w:sz w:val="24"/>
        </w:rPr>
      </w:pPr>
      <w:r w:rsidRPr="0049621B">
        <w:rPr>
          <w:rFonts w:ascii="Book Antiqua" w:hAnsi="Book Antiqua"/>
          <w:b/>
          <w:sz w:val="24"/>
        </w:rPr>
        <w:t>Peer-review started:</w:t>
      </w:r>
      <w:r w:rsidRPr="0049621B">
        <w:rPr>
          <w:rFonts w:ascii="Book Antiqua" w:eastAsia="DengXian" w:hAnsi="Book Antiqua"/>
          <w:b/>
          <w:sz w:val="24"/>
        </w:rPr>
        <w:t xml:space="preserve"> </w:t>
      </w:r>
      <w:r w:rsidRPr="0049621B">
        <w:rPr>
          <w:rFonts w:ascii="Book Antiqua" w:hAnsi="Book Antiqua"/>
          <w:sz w:val="24"/>
        </w:rPr>
        <w:t>December</w:t>
      </w:r>
      <w:r w:rsidRPr="0049621B">
        <w:rPr>
          <w:rFonts w:ascii="Book Antiqua" w:eastAsia="DengXian" w:hAnsi="Book Antiqua"/>
          <w:sz w:val="24"/>
        </w:rPr>
        <w:t xml:space="preserve"> 17, 2018</w:t>
      </w:r>
    </w:p>
    <w:p w:rsidR="003A236A" w:rsidRPr="0049621B" w:rsidRDefault="003A236A" w:rsidP="0049621B">
      <w:pPr>
        <w:adjustRightInd w:val="0"/>
        <w:snapToGrid w:val="0"/>
        <w:spacing w:line="360" w:lineRule="auto"/>
        <w:outlineLvl w:val="0"/>
        <w:rPr>
          <w:rFonts w:ascii="Book Antiqua" w:eastAsia="DengXian" w:hAnsi="Book Antiqua"/>
          <w:b/>
          <w:sz w:val="24"/>
        </w:rPr>
      </w:pPr>
      <w:r w:rsidRPr="0049621B">
        <w:rPr>
          <w:rFonts w:ascii="Book Antiqua" w:hAnsi="Book Antiqua"/>
          <w:b/>
          <w:sz w:val="24"/>
        </w:rPr>
        <w:t>First decision:</w:t>
      </w:r>
      <w:r w:rsidRPr="0049621B">
        <w:rPr>
          <w:rFonts w:ascii="Book Antiqua" w:eastAsia="DengXian" w:hAnsi="Book Antiqua"/>
          <w:b/>
          <w:sz w:val="24"/>
        </w:rPr>
        <w:t xml:space="preserve"> </w:t>
      </w:r>
      <w:r w:rsidRPr="0049621B">
        <w:rPr>
          <w:rFonts w:ascii="Book Antiqua" w:hAnsi="Book Antiqua"/>
          <w:sz w:val="24"/>
        </w:rPr>
        <w:t>January</w:t>
      </w:r>
      <w:r w:rsidRPr="0049621B">
        <w:rPr>
          <w:rFonts w:ascii="Book Antiqua" w:eastAsia="DengXian" w:hAnsi="Book Antiqua"/>
          <w:sz w:val="24"/>
        </w:rPr>
        <w:t xml:space="preserve"> 18, 2019</w:t>
      </w:r>
    </w:p>
    <w:p w:rsidR="003A236A" w:rsidRPr="0049621B" w:rsidRDefault="003A236A" w:rsidP="0049621B">
      <w:pPr>
        <w:adjustRightInd w:val="0"/>
        <w:snapToGrid w:val="0"/>
        <w:spacing w:line="360" w:lineRule="auto"/>
        <w:rPr>
          <w:rFonts w:ascii="Book Antiqua" w:hAnsi="Book Antiqua"/>
          <w:b/>
          <w:sz w:val="24"/>
        </w:rPr>
      </w:pPr>
      <w:r w:rsidRPr="0049621B">
        <w:rPr>
          <w:rFonts w:ascii="Book Antiqua" w:hAnsi="Book Antiqua"/>
          <w:b/>
          <w:sz w:val="24"/>
        </w:rPr>
        <w:t xml:space="preserve">Revised: </w:t>
      </w:r>
      <w:r w:rsidRPr="0049621B">
        <w:rPr>
          <w:rFonts w:ascii="Book Antiqua" w:hAnsi="Book Antiqua"/>
          <w:sz w:val="24"/>
        </w:rPr>
        <w:t>January</w:t>
      </w:r>
      <w:r w:rsidRPr="0049621B">
        <w:rPr>
          <w:rFonts w:ascii="Book Antiqua" w:eastAsia="DengXian" w:hAnsi="Book Antiqua"/>
          <w:sz w:val="24"/>
        </w:rPr>
        <w:t xml:space="preserve"> 25, 2019</w:t>
      </w:r>
    </w:p>
    <w:p w:rsidR="003A236A" w:rsidRPr="0049621B" w:rsidRDefault="003A236A" w:rsidP="0049621B">
      <w:pPr>
        <w:adjustRightInd w:val="0"/>
        <w:snapToGrid w:val="0"/>
        <w:spacing w:line="360" w:lineRule="auto"/>
        <w:outlineLvl w:val="0"/>
        <w:rPr>
          <w:rFonts w:ascii="Book Antiqua" w:hAnsi="Book Antiqua"/>
          <w:b/>
          <w:sz w:val="24"/>
        </w:rPr>
      </w:pPr>
      <w:r w:rsidRPr="0049621B">
        <w:rPr>
          <w:rFonts w:ascii="Book Antiqua" w:hAnsi="Book Antiqua"/>
          <w:b/>
          <w:sz w:val="24"/>
        </w:rPr>
        <w:t>Accepted:</w:t>
      </w:r>
      <w:r w:rsidR="006465B7" w:rsidRPr="0049621B">
        <w:t xml:space="preserve"> </w:t>
      </w:r>
      <w:r w:rsidR="006465B7" w:rsidRPr="0049621B">
        <w:rPr>
          <w:rFonts w:ascii="Book Antiqua" w:hAnsi="Book Antiqua"/>
          <w:sz w:val="24"/>
        </w:rPr>
        <w:t>January 28, 2019</w:t>
      </w:r>
      <w:r w:rsidRPr="0049621B">
        <w:rPr>
          <w:rFonts w:ascii="Book Antiqua" w:hAnsi="Book Antiqua"/>
          <w:b/>
          <w:sz w:val="24"/>
        </w:rPr>
        <w:t xml:space="preserve"> </w:t>
      </w:r>
    </w:p>
    <w:p w:rsidR="003A236A" w:rsidRPr="0049621B" w:rsidRDefault="003A236A" w:rsidP="0049621B">
      <w:pPr>
        <w:adjustRightInd w:val="0"/>
        <w:snapToGrid w:val="0"/>
        <w:spacing w:line="360" w:lineRule="auto"/>
        <w:outlineLvl w:val="0"/>
        <w:rPr>
          <w:rFonts w:ascii="Book Antiqua" w:hAnsi="Book Antiqua"/>
          <w:b/>
          <w:sz w:val="24"/>
        </w:rPr>
      </w:pPr>
      <w:r w:rsidRPr="0049621B">
        <w:rPr>
          <w:rFonts w:ascii="Book Antiqua" w:hAnsi="Book Antiqua"/>
          <w:b/>
          <w:sz w:val="24"/>
        </w:rPr>
        <w:lastRenderedPageBreak/>
        <w:t>Article in press:</w:t>
      </w:r>
      <w:r w:rsidR="00C71A37" w:rsidRPr="0049621B">
        <w:t xml:space="preserve"> </w:t>
      </w:r>
      <w:r w:rsidR="00C71A37" w:rsidRPr="0049621B">
        <w:rPr>
          <w:rFonts w:ascii="Book Antiqua" w:hAnsi="Book Antiqua"/>
          <w:sz w:val="24"/>
        </w:rPr>
        <w:t>January 2</w:t>
      </w:r>
      <w:r w:rsidR="00C71A37">
        <w:rPr>
          <w:rFonts w:ascii="Book Antiqua" w:hAnsi="Book Antiqua" w:hint="eastAsia"/>
          <w:sz w:val="24"/>
        </w:rPr>
        <w:t>9</w:t>
      </w:r>
      <w:r w:rsidR="00C71A37" w:rsidRPr="0049621B">
        <w:rPr>
          <w:rFonts w:ascii="Book Antiqua" w:hAnsi="Book Antiqua"/>
          <w:sz w:val="24"/>
        </w:rPr>
        <w:t>, 2019</w:t>
      </w:r>
    </w:p>
    <w:p w:rsidR="003A236A" w:rsidRPr="0049621B" w:rsidRDefault="003A236A" w:rsidP="0049621B">
      <w:pPr>
        <w:adjustRightInd w:val="0"/>
        <w:snapToGrid w:val="0"/>
        <w:spacing w:line="360" w:lineRule="auto"/>
        <w:outlineLvl w:val="0"/>
        <w:rPr>
          <w:rFonts w:ascii="Book Antiqua" w:hAnsi="Book Antiqua" w:cs="Book Antiqua"/>
          <w:color w:val="000000"/>
          <w:sz w:val="24"/>
          <w:lang w:bidi="ar"/>
        </w:rPr>
      </w:pPr>
      <w:r w:rsidRPr="0049621B">
        <w:rPr>
          <w:rFonts w:ascii="Book Antiqua" w:hAnsi="Book Antiqua"/>
          <w:b/>
          <w:sz w:val="24"/>
        </w:rPr>
        <w:t>Published online:</w:t>
      </w:r>
      <w:bookmarkEnd w:id="15"/>
      <w:bookmarkEnd w:id="16"/>
      <w:bookmarkEnd w:id="17"/>
      <w:bookmarkEnd w:id="18"/>
      <w:bookmarkEnd w:id="19"/>
      <w:r w:rsidR="00C71A37">
        <w:rPr>
          <w:rFonts w:ascii="Book Antiqua" w:hAnsi="Book Antiqua" w:hint="eastAsia"/>
          <w:b/>
          <w:sz w:val="24"/>
        </w:rPr>
        <w:t xml:space="preserve"> </w:t>
      </w:r>
      <w:r w:rsidR="00C71A37" w:rsidRPr="00C71A37">
        <w:rPr>
          <w:rFonts w:ascii="Book Antiqua" w:hAnsi="Book Antiqua" w:hint="eastAsia"/>
          <w:sz w:val="24"/>
        </w:rPr>
        <w:t>Februay 28, 2019</w:t>
      </w:r>
    </w:p>
    <w:p w:rsidR="00242092" w:rsidRPr="0049621B" w:rsidRDefault="003A236A" w:rsidP="0049621B">
      <w:pPr>
        <w:adjustRightInd w:val="0"/>
        <w:snapToGrid w:val="0"/>
        <w:spacing w:line="360" w:lineRule="auto"/>
        <w:outlineLvl w:val="0"/>
        <w:rPr>
          <w:rFonts w:ascii="Book Antiqua" w:hAnsi="Book Antiqua" w:cs="Book Antiqua"/>
          <w:b/>
          <w:color w:val="000000"/>
          <w:sz w:val="24"/>
        </w:rPr>
      </w:pPr>
      <w:r w:rsidRPr="0049621B">
        <w:rPr>
          <w:rFonts w:ascii="Book Antiqua" w:hAnsi="Book Antiqua" w:cs="Book Antiqua"/>
          <w:color w:val="000000"/>
          <w:sz w:val="24"/>
          <w:lang w:bidi="ar"/>
        </w:rPr>
        <w:br w:type="page"/>
      </w:r>
      <w:bookmarkEnd w:id="0"/>
      <w:bookmarkEnd w:id="1"/>
      <w:bookmarkEnd w:id="2"/>
      <w:r w:rsidR="00242092" w:rsidRPr="0049621B">
        <w:rPr>
          <w:rFonts w:ascii="Book Antiqua" w:hAnsi="Book Antiqua" w:cs="Book Antiqua"/>
          <w:b/>
          <w:color w:val="000000"/>
          <w:sz w:val="24"/>
        </w:rPr>
        <w:lastRenderedPageBreak/>
        <w:t>A</w:t>
      </w:r>
      <w:r w:rsidRPr="0049621B">
        <w:rPr>
          <w:rFonts w:ascii="Book Antiqua" w:hAnsi="Book Antiqua" w:cs="Book Antiqua"/>
          <w:b/>
          <w:color w:val="000000"/>
          <w:sz w:val="24"/>
        </w:rPr>
        <w:t>bstract</w:t>
      </w:r>
    </w:p>
    <w:p w:rsidR="003A236A" w:rsidRPr="0049621B" w:rsidRDefault="003A236A" w:rsidP="0049621B">
      <w:pPr>
        <w:adjustRightInd w:val="0"/>
        <w:snapToGrid w:val="0"/>
        <w:spacing w:line="360" w:lineRule="auto"/>
        <w:outlineLvl w:val="0"/>
        <w:rPr>
          <w:rFonts w:ascii="Book Antiqua" w:hAnsi="Book Antiqua" w:cs="Book Antiqua"/>
          <w:b/>
          <w:i/>
          <w:color w:val="000000"/>
          <w:sz w:val="24"/>
        </w:rPr>
      </w:pPr>
      <w:r w:rsidRPr="0049621B">
        <w:rPr>
          <w:rFonts w:ascii="Book Antiqua" w:hAnsi="Book Antiqua" w:cs="Book Antiqua"/>
          <w:b/>
          <w:i/>
          <w:color w:val="000000"/>
          <w:sz w:val="24"/>
        </w:rPr>
        <w:t>BACKGROUND</w:t>
      </w:r>
    </w:p>
    <w:p w:rsidR="003A236A" w:rsidRPr="0049621B" w:rsidRDefault="003A236A" w:rsidP="0049621B">
      <w:pPr>
        <w:adjustRightInd w:val="0"/>
        <w:snapToGrid w:val="0"/>
        <w:spacing w:line="360" w:lineRule="auto"/>
        <w:rPr>
          <w:rFonts w:ascii="Book Antiqua" w:hAnsi="Book Antiqua" w:cs="Book Antiqua"/>
          <w:color w:val="000000"/>
          <w:sz w:val="24"/>
          <w:lang w:bidi="ar"/>
        </w:rPr>
      </w:pPr>
      <w:r w:rsidRPr="0049621B">
        <w:rPr>
          <w:rFonts w:ascii="Book Antiqua" w:hAnsi="Book Antiqua" w:cs="Book Antiqua"/>
          <w:color w:val="000000"/>
          <w:sz w:val="24"/>
          <w:lang w:bidi="ar"/>
        </w:rPr>
        <w:t>Procyanidins have beneficial effects on metabolic syndrome and antimicrobial activity, but the mechanisms underlying these effects are unclear.</w:t>
      </w:r>
    </w:p>
    <w:p w:rsidR="003A236A" w:rsidRPr="0049621B" w:rsidRDefault="003A236A" w:rsidP="0049621B">
      <w:pPr>
        <w:adjustRightInd w:val="0"/>
        <w:snapToGrid w:val="0"/>
        <w:spacing w:line="360" w:lineRule="auto"/>
        <w:rPr>
          <w:rFonts w:ascii="Book Antiqua" w:hAnsi="Book Antiqua" w:cs="Book Antiqua"/>
          <w:color w:val="000000"/>
          <w:sz w:val="24"/>
          <w:lang w:bidi="ar"/>
        </w:rPr>
      </w:pPr>
    </w:p>
    <w:p w:rsidR="00242092" w:rsidRPr="0049621B" w:rsidRDefault="003A236A" w:rsidP="0049621B">
      <w:pPr>
        <w:adjustRightInd w:val="0"/>
        <w:snapToGrid w:val="0"/>
        <w:spacing w:line="360" w:lineRule="auto"/>
        <w:outlineLvl w:val="0"/>
        <w:rPr>
          <w:rFonts w:ascii="Book Antiqua" w:hAnsi="Book Antiqua" w:cs="Book Antiqua"/>
          <w:b/>
          <w:i/>
          <w:color w:val="000000"/>
          <w:sz w:val="24"/>
        </w:rPr>
      </w:pPr>
      <w:r w:rsidRPr="0049621B">
        <w:rPr>
          <w:rFonts w:ascii="Book Antiqua" w:hAnsi="Book Antiqua" w:cs="Book Antiqua"/>
          <w:b/>
          <w:i/>
          <w:color w:val="000000"/>
          <w:sz w:val="24"/>
        </w:rPr>
        <w:t>AIM</w:t>
      </w:r>
    </w:p>
    <w:p w:rsidR="00242092" w:rsidRPr="0049621B" w:rsidRDefault="00242092" w:rsidP="0049621B">
      <w:pPr>
        <w:adjustRightInd w:val="0"/>
        <w:snapToGrid w:val="0"/>
        <w:spacing w:line="360" w:lineRule="auto"/>
        <w:rPr>
          <w:rFonts w:ascii="Book Antiqua" w:hAnsi="Book Antiqua" w:cs="Book Antiqua"/>
          <w:color w:val="000000"/>
          <w:sz w:val="24"/>
        </w:rPr>
      </w:pPr>
      <w:r w:rsidRPr="0049621B">
        <w:rPr>
          <w:rFonts w:ascii="Book Antiqua" w:hAnsi="Book Antiqua" w:cs="Book Antiqua"/>
          <w:color w:val="000000"/>
          <w:sz w:val="24"/>
        </w:rPr>
        <w:t xml:space="preserve">To investigate the effects of </w:t>
      </w:r>
      <w:bookmarkStart w:id="20" w:name="OLE_LINK45"/>
      <w:bookmarkStart w:id="21" w:name="OLE_LINK46"/>
      <w:r w:rsidR="00FF7ABF" w:rsidRPr="0049621B">
        <w:rPr>
          <w:rFonts w:ascii="Book Antiqua" w:hAnsi="Book Antiqua" w:cs="Book Antiqua"/>
          <w:color w:val="000000"/>
          <w:sz w:val="24"/>
        </w:rPr>
        <w:t>procyanidin</w:t>
      </w:r>
      <w:r w:rsidRPr="0049621B">
        <w:rPr>
          <w:rFonts w:ascii="Book Antiqua" w:hAnsi="Book Antiqua" w:cs="Book Antiqua"/>
          <w:color w:val="000000"/>
          <w:sz w:val="24"/>
        </w:rPr>
        <w:t xml:space="preserve"> B2</w:t>
      </w:r>
      <w:bookmarkEnd w:id="20"/>
      <w:bookmarkEnd w:id="21"/>
      <w:r w:rsidRPr="0049621B">
        <w:rPr>
          <w:rFonts w:ascii="Book Antiqua" w:hAnsi="Book Antiqua" w:cs="Book Antiqua"/>
          <w:color w:val="000000"/>
          <w:sz w:val="24"/>
        </w:rPr>
        <w:t xml:space="preserve"> (PB2) on non-alcoholic fatty liver disease and to explore the possible mechanism.</w:t>
      </w:r>
    </w:p>
    <w:p w:rsidR="00242092" w:rsidRPr="0049621B" w:rsidRDefault="00242092" w:rsidP="0049621B">
      <w:pPr>
        <w:adjustRightInd w:val="0"/>
        <w:snapToGrid w:val="0"/>
        <w:spacing w:line="360" w:lineRule="auto"/>
        <w:rPr>
          <w:rFonts w:ascii="Book Antiqua" w:hAnsi="Book Antiqua" w:cs="Book Antiqua"/>
          <w:color w:val="000000"/>
          <w:sz w:val="24"/>
        </w:rPr>
      </w:pPr>
    </w:p>
    <w:p w:rsidR="00242092" w:rsidRPr="0049621B" w:rsidRDefault="00242092" w:rsidP="0049621B">
      <w:pPr>
        <w:adjustRightInd w:val="0"/>
        <w:snapToGrid w:val="0"/>
        <w:spacing w:line="360" w:lineRule="auto"/>
        <w:outlineLvl w:val="0"/>
        <w:rPr>
          <w:rFonts w:ascii="Book Antiqua" w:hAnsi="Book Antiqua" w:cs="Book Antiqua"/>
          <w:b/>
          <w:i/>
          <w:color w:val="000000"/>
          <w:sz w:val="24"/>
        </w:rPr>
      </w:pPr>
      <w:r w:rsidRPr="0049621B">
        <w:rPr>
          <w:rFonts w:ascii="Book Antiqua" w:hAnsi="Book Antiqua" w:cs="Book Antiqua"/>
          <w:b/>
          <w:i/>
          <w:color w:val="000000"/>
          <w:sz w:val="24"/>
        </w:rPr>
        <w:t>METHODS</w:t>
      </w:r>
    </w:p>
    <w:p w:rsidR="00242092" w:rsidRPr="0049621B" w:rsidRDefault="003A236A" w:rsidP="0049621B">
      <w:pPr>
        <w:adjustRightInd w:val="0"/>
        <w:snapToGrid w:val="0"/>
        <w:spacing w:line="360" w:lineRule="auto"/>
        <w:rPr>
          <w:rFonts w:ascii="Book Antiqua" w:hAnsi="Book Antiqua" w:cs="Book Antiqua"/>
          <w:color w:val="000000"/>
          <w:sz w:val="24"/>
        </w:rPr>
      </w:pPr>
      <w:r w:rsidRPr="0049621B">
        <w:rPr>
          <w:rFonts w:ascii="Book Antiqua" w:hAnsi="Book Antiqua" w:cs="Book Antiqua"/>
          <w:color w:val="000000"/>
          <w:sz w:val="24"/>
        </w:rPr>
        <w:t>Thirty male New Zealand w</w:t>
      </w:r>
      <w:r w:rsidR="00242092" w:rsidRPr="0049621B">
        <w:rPr>
          <w:rFonts w:ascii="Book Antiqua" w:hAnsi="Book Antiqua" w:cs="Book Antiqua"/>
          <w:color w:val="000000"/>
          <w:sz w:val="24"/>
        </w:rPr>
        <w:t>hite rabbits were randomized into three groups. All of them</w:t>
      </w:r>
      <w:r w:rsidR="00CD2881" w:rsidRPr="0049621B">
        <w:rPr>
          <w:rFonts w:ascii="Book Antiqua" w:hAnsi="Book Antiqua" w:cs="Book Antiqua"/>
          <w:color w:val="000000"/>
          <w:sz w:val="24"/>
        </w:rPr>
        <w:t xml:space="preserve"> were</w:t>
      </w:r>
      <w:r w:rsidR="00242092" w:rsidRPr="0049621B">
        <w:rPr>
          <w:rFonts w:ascii="Book Antiqua" w:hAnsi="Book Antiqua" w:cs="Book Antiqua"/>
          <w:color w:val="000000"/>
          <w:sz w:val="24"/>
        </w:rPr>
        <w:t xml:space="preserve"> fed either a </w:t>
      </w:r>
      <w:bookmarkStart w:id="22" w:name="OLE_LINK3"/>
      <w:bookmarkStart w:id="23" w:name="OLE_LINK4"/>
      <w:r w:rsidR="00242092" w:rsidRPr="0049621B">
        <w:rPr>
          <w:rFonts w:ascii="Book Antiqua" w:hAnsi="Book Antiqua" w:cs="Book Antiqua"/>
          <w:color w:val="000000"/>
          <w:sz w:val="24"/>
        </w:rPr>
        <w:t>high-fat-cholesterol</w:t>
      </w:r>
      <w:bookmarkEnd w:id="22"/>
      <w:bookmarkEnd w:id="23"/>
      <w:r w:rsidR="00242092" w:rsidRPr="0049621B">
        <w:rPr>
          <w:rFonts w:ascii="Book Antiqua" w:hAnsi="Book Antiqua" w:cs="Book Antiqua"/>
          <w:color w:val="000000"/>
          <w:sz w:val="24"/>
        </w:rPr>
        <w:t xml:space="preserve"> </w:t>
      </w:r>
      <w:r w:rsidR="005312B2" w:rsidRPr="0049621B">
        <w:rPr>
          <w:rFonts w:ascii="Book Antiqua" w:hAnsi="Book Antiqua" w:cs="Book Antiqua"/>
          <w:color w:val="000000"/>
          <w:sz w:val="24"/>
        </w:rPr>
        <w:t xml:space="preserve">diet </w:t>
      </w:r>
      <w:r w:rsidR="00242092" w:rsidRPr="0049621B">
        <w:rPr>
          <w:rFonts w:ascii="Book Antiqua" w:hAnsi="Book Antiqua" w:cs="Book Antiqua"/>
          <w:color w:val="000000"/>
          <w:sz w:val="24"/>
        </w:rPr>
        <w:t>(HCD) or chow diet. HCD-fed rabbits were treated with vehicle or PB2 daily for 12 w</w:t>
      </w:r>
      <w:r w:rsidRPr="0049621B">
        <w:rPr>
          <w:rFonts w:ascii="Book Antiqua" w:hAnsi="Book Antiqua" w:cs="Book Antiqua"/>
          <w:color w:val="000000"/>
          <w:sz w:val="24"/>
        </w:rPr>
        <w:t>k</w:t>
      </w:r>
      <w:r w:rsidR="00242092" w:rsidRPr="0049621B">
        <w:rPr>
          <w:rFonts w:ascii="Book Antiqua" w:hAnsi="Book Antiqua" w:cs="Book Antiqua"/>
          <w:color w:val="000000"/>
          <w:sz w:val="24"/>
        </w:rPr>
        <w:t>. Body weight and food intake were evaluated once a week. Serum biomarkers, such as total cholesterols, triglycerides</w:t>
      </w:r>
      <w:r w:rsidR="00CD2881" w:rsidRPr="0049621B">
        <w:rPr>
          <w:rFonts w:ascii="Book Antiqua" w:hAnsi="Book Antiqua" w:cs="Book Antiqua"/>
          <w:color w:val="000000"/>
          <w:sz w:val="24"/>
        </w:rPr>
        <w:t>,</w:t>
      </w:r>
      <w:r w:rsidR="00242092" w:rsidRPr="0049621B">
        <w:rPr>
          <w:rFonts w:ascii="Book Antiqua" w:hAnsi="Book Antiqua" w:cs="Book Antiqua"/>
          <w:color w:val="000000"/>
          <w:sz w:val="24"/>
        </w:rPr>
        <w:t xml:space="preserve"> and aspartate transaminase</w:t>
      </w:r>
      <w:r w:rsidR="00CD2881" w:rsidRPr="0049621B">
        <w:rPr>
          <w:rFonts w:ascii="Book Antiqua" w:hAnsi="Book Antiqua" w:cs="Book Antiqua"/>
          <w:color w:val="000000"/>
          <w:sz w:val="24"/>
        </w:rPr>
        <w:t>,</w:t>
      </w:r>
      <w:r w:rsidR="00242092" w:rsidRPr="0049621B">
        <w:rPr>
          <w:rFonts w:ascii="Book Antiqua" w:hAnsi="Book Antiqua" w:cs="Book Antiqua"/>
          <w:color w:val="000000"/>
          <w:sz w:val="24"/>
        </w:rPr>
        <w:t xml:space="preserve"> were detected. All rabbits were sacrificed and histological parameters of liver were assessed by hematoxylin and eosin-stained sections. Moreover, several lipogenic genes and gut microbiota (by 16S rRNA sequencing) were investigated to explore the possible mechanism. </w:t>
      </w:r>
    </w:p>
    <w:p w:rsidR="00242092" w:rsidRPr="0049621B" w:rsidRDefault="00242092" w:rsidP="0049621B">
      <w:pPr>
        <w:adjustRightInd w:val="0"/>
        <w:snapToGrid w:val="0"/>
        <w:spacing w:line="360" w:lineRule="auto"/>
        <w:rPr>
          <w:rFonts w:ascii="Book Antiqua" w:hAnsi="Book Antiqua" w:cs="Book Antiqua"/>
          <w:color w:val="000000"/>
          <w:sz w:val="24"/>
        </w:rPr>
      </w:pPr>
    </w:p>
    <w:p w:rsidR="00242092" w:rsidRPr="0049621B" w:rsidRDefault="00242092" w:rsidP="0049621B">
      <w:pPr>
        <w:adjustRightInd w:val="0"/>
        <w:snapToGrid w:val="0"/>
        <w:spacing w:line="360" w:lineRule="auto"/>
        <w:outlineLvl w:val="0"/>
        <w:rPr>
          <w:rFonts w:ascii="Book Antiqua" w:hAnsi="Book Antiqua" w:cs="Book Antiqua"/>
          <w:b/>
          <w:i/>
          <w:color w:val="000000"/>
          <w:sz w:val="24"/>
        </w:rPr>
      </w:pPr>
      <w:r w:rsidRPr="0049621B">
        <w:rPr>
          <w:rFonts w:ascii="Book Antiqua" w:hAnsi="Book Antiqua" w:cs="Book Antiqua"/>
          <w:b/>
          <w:i/>
          <w:color w:val="000000"/>
          <w:sz w:val="24"/>
        </w:rPr>
        <w:t>RESULTS</w:t>
      </w:r>
    </w:p>
    <w:p w:rsidR="00242092" w:rsidRPr="0049621B" w:rsidRDefault="00242092" w:rsidP="0049621B">
      <w:pPr>
        <w:adjustRightInd w:val="0"/>
        <w:snapToGrid w:val="0"/>
        <w:spacing w:line="360" w:lineRule="auto"/>
        <w:rPr>
          <w:rFonts w:ascii="Book Antiqua" w:hAnsi="Book Antiqua" w:cs="Book Antiqua"/>
          <w:color w:val="000000"/>
          <w:sz w:val="24"/>
        </w:rPr>
      </w:pPr>
      <w:r w:rsidRPr="0049621B">
        <w:rPr>
          <w:rFonts w:ascii="Book Antiqua" w:hAnsi="Book Antiqua" w:cs="Book Antiqua"/>
          <w:color w:val="000000"/>
          <w:sz w:val="24"/>
        </w:rPr>
        <w:t>The HCD group had higher body weight, liver index, serum lipid profile, insulin resistance, serum glucose</w:t>
      </w:r>
      <w:r w:rsidR="00B31DF1" w:rsidRPr="0049621B">
        <w:rPr>
          <w:rFonts w:ascii="Book Antiqua" w:hAnsi="Book Antiqua" w:cs="Book Antiqua"/>
          <w:color w:val="000000"/>
          <w:sz w:val="24"/>
        </w:rPr>
        <w:t>,</w:t>
      </w:r>
      <w:r w:rsidRPr="0049621B">
        <w:rPr>
          <w:rFonts w:ascii="Book Antiqua" w:hAnsi="Book Antiqua" w:cs="Book Antiqua"/>
          <w:color w:val="000000"/>
          <w:sz w:val="24"/>
        </w:rPr>
        <w:t xml:space="preserve"> and hepatic steatosis compared to the CHOW group. PB2 treatment prevented HCD-induced increases in body weight</w:t>
      </w:r>
      <w:r w:rsidR="00B31DF1" w:rsidRPr="0049621B">
        <w:rPr>
          <w:rFonts w:ascii="Book Antiqua" w:hAnsi="Book Antiqua" w:cs="Book Antiqua"/>
          <w:color w:val="000000"/>
          <w:sz w:val="24"/>
        </w:rPr>
        <w:t xml:space="preserve"> and</w:t>
      </w:r>
      <w:r w:rsidRPr="0049621B">
        <w:rPr>
          <w:rFonts w:ascii="Book Antiqua" w:hAnsi="Book Antiqua" w:cs="Book Antiqua"/>
          <w:color w:val="000000"/>
          <w:sz w:val="24"/>
        </w:rPr>
        <w:t xml:space="preserve"> hypertriglyceridemia in association with triglyceride accumulation in the liver. PB2 also ameliorated low-grade inflammation</w:t>
      </w:r>
      <w:r w:rsidR="00B31DF1" w:rsidRPr="0049621B">
        <w:rPr>
          <w:rFonts w:ascii="Book Antiqua" w:hAnsi="Book Antiqua" w:cs="Book Antiqua"/>
          <w:color w:val="000000"/>
          <w:sz w:val="24"/>
        </w:rPr>
        <w:t>,</w:t>
      </w:r>
      <w:r w:rsidRPr="0049621B">
        <w:rPr>
          <w:rFonts w:ascii="Book Antiqua" w:hAnsi="Book Antiqua" w:cs="Book Antiqua"/>
          <w:color w:val="000000"/>
          <w:sz w:val="24"/>
        </w:rPr>
        <w:t xml:space="preserve"> which </w:t>
      </w:r>
      <w:r w:rsidR="00B31DF1" w:rsidRPr="0049621B">
        <w:rPr>
          <w:rFonts w:ascii="Book Antiqua" w:hAnsi="Book Antiqua" w:cs="Book Antiqua"/>
          <w:color w:val="000000"/>
          <w:sz w:val="24"/>
        </w:rPr>
        <w:t xml:space="preserve">was </w:t>
      </w:r>
      <w:r w:rsidRPr="0049621B">
        <w:rPr>
          <w:rFonts w:ascii="Book Antiqua" w:hAnsi="Book Antiqua" w:cs="Book Antiqua"/>
          <w:color w:val="000000"/>
          <w:sz w:val="24"/>
        </w:rPr>
        <w:t xml:space="preserve">reflected by serum </w:t>
      </w:r>
      <w:r w:rsidR="00B31DF1" w:rsidRPr="0049621B">
        <w:rPr>
          <w:rFonts w:ascii="Book Antiqua" w:hAnsi="Book Antiqua" w:cs="Book Antiqua"/>
          <w:color w:val="000000"/>
          <w:sz w:val="24"/>
        </w:rPr>
        <w:t>l</w:t>
      </w:r>
      <w:r w:rsidRPr="0049621B">
        <w:rPr>
          <w:rFonts w:ascii="Book Antiqua" w:hAnsi="Book Antiqua" w:cs="Book Antiqua"/>
          <w:color w:val="000000"/>
          <w:sz w:val="24"/>
        </w:rPr>
        <w:t>ipopolysaccharides and improved insulin resistance. In rabbit liver, PB2 prevented the upregulation of steroid response element binding protein 1c and fatty acid synthase and the downregulation of carni</w:t>
      </w:r>
      <w:r w:rsidR="003A236A" w:rsidRPr="0049621B">
        <w:rPr>
          <w:rFonts w:ascii="Book Antiqua" w:hAnsi="Book Antiqua" w:cs="Book Antiqua"/>
          <w:color w:val="000000"/>
          <w:sz w:val="24"/>
        </w:rPr>
        <w:t>tine palmitoyltransferase</w:t>
      </w:r>
      <w:r w:rsidRPr="0049621B">
        <w:rPr>
          <w:rFonts w:ascii="Book Antiqua" w:hAnsi="Book Antiqua" w:cs="Book Antiqua"/>
          <w:color w:val="000000"/>
          <w:sz w:val="24"/>
        </w:rPr>
        <w:t>, compared to the HCD group. Moreover, HCD le</w:t>
      </w:r>
      <w:r w:rsidR="00B31DF1" w:rsidRPr="0049621B">
        <w:rPr>
          <w:rFonts w:ascii="Book Antiqua" w:hAnsi="Book Antiqua" w:cs="Book Antiqua"/>
          <w:color w:val="000000"/>
          <w:sz w:val="24"/>
        </w:rPr>
        <w:t>d</w:t>
      </w:r>
      <w:r w:rsidRPr="0049621B">
        <w:rPr>
          <w:rFonts w:ascii="Book Antiqua" w:hAnsi="Book Antiqua" w:cs="Book Antiqua"/>
          <w:color w:val="000000"/>
          <w:sz w:val="24"/>
        </w:rPr>
        <w:t xml:space="preserve"> to</w:t>
      </w:r>
      <w:r w:rsidR="00B31DF1" w:rsidRPr="0049621B">
        <w:rPr>
          <w:rFonts w:ascii="Book Antiqua" w:hAnsi="Book Antiqua" w:cs="Book Antiqua"/>
          <w:color w:val="000000"/>
          <w:sz w:val="24"/>
        </w:rPr>
        <w:t xml:space="preserve"> a</w:t>
      </w:r>
      <w:r w:rsidRPr="0049621B">
        <w:rPr>
          <w:rFonts w:ascii="Book Antiqua" w:hAnsi="Book Antiqua" w:cs="Book Antiqua"/>
          <w:color w:val="000000"/>
          <w:sz w:val="24"/>
        </w:rPr>
        <w:t xml:space="preserve"> decrease of </w:t>
      </w:r>
      <w:r w:rsidRPr="0049621B">
        <w:rPr>
          <w:rFonts w:ascii="Book Antiqua" w:hAnsi="Book Antiqua" w:cs="Book Antiqua"/>
          <w:i/>
          <w:color w:val="000000"/>
          <w:sz w:val="24"/>
        </w:rPr>
        <w:t xml:space="preserve">Bacteroidetes </w:t>
      </w:r>
      <w:r w:rsidRPr="0049621B">
        <w:rPr>
          <w:rFonts w:ascii="Book Antiqua" w:hAnsi="Book Antiqua" w:cs="Book Antiqua"/>
          <w:iCs/>
          <w:color w:val="000000"/>
          <w:sz w:val="24"/>
        </w:rPr>
        <w:t xml:space="preserve">in gut microbiota. </w:t>
      </w:r>
      <w:r w:rsidRPr="0049621B">
        <w:rPr>
          <w:rFonts w:ascii="Book Antiqua" w:hAnsi="Book Antiqua" w:cs="Book Antiqua"/>
          <w:color w:val="000000"/>
          <w:sz w:val="24"/>
        </w:rPr>
        <w:t xml:space="preserve">PB2 significantly improved the proportions of </w:t>
      </w:r>
      <w:r w:rsidRPr="0049621B">
        <w:rPr>
          <w:rFonts w:ascii="Book Antiqua" w:hAnsi="Book Antiqua" w:cs="Book Antiqua"/>
          <w:i/>
          <w:color w:val="000000"/>
          <w:sz w:val="24"/>
        </w:rPr>
        <w:t>Bacteroidetes</w:t>
      </w:r>
      <w:r w:rsidRPr="0049621B">
        <w:rPr>
          <w:rFonts w:ascii="Book Antiqua" w:hAnsi="Book Antiqua" w:cs="Book Antiqua"/>
          <w:color w:val="000000"/>
          <w:sz w:val="24"/>
        </w:rPr>
        <w:t xml:space="preserve"> at the phylum level and </w:t>
      </w:r>
      <w:r w:rsidRPr="0049621B">
        <w:rPr>
          <w:rFonts w:ascii="Book Antiqua" w:hAnsi="Book Antiqua" w:cs="Book Antiqua"/>
          <w:i/>
          <w:color w:val="000000"/>
          <w:sz w:val="24"/>
        </w:rPr>
        <w:t>Akkermansia</w:t>
      </w:r>
      <w:r w:rsidRPr="0049621B">
        <w:rPr>
          <w:rFonts w:ascii="Book Antiqua" w:hAnsi="Book Antiqua" w:cs="Book Antiqua"/>
          <w:color w:val="000000"/>
          <w:sz w:val="24"/>
        </w:rPr>
        <w:t xml:space="preserve"> at the genus level. </w:t>
      </w:r>
    </w:p>
    <w:p w:rsidR="00242092" w:rsidRPr="0049621B" w:rsidRDefault="00242092" w:rsidP="0049621B">
      <w:pPr>
        <w:adjustRightInd w:val="0"/>
        <w:snapToGrid w:val="0"/>
        <w:spacing w:line="360" w:lineRule="auto"/>
        <w:rPr>
          <w:rFonts w:ascii="Book Antiqua" w:hAnsi="Book Antiqua" w:cs="Book Antiqua"/>
          <w:color w:val="000000"/>
          <w:sz w:val="24"/>
        </w:rPr>
      </w:pPr>
    </w:p>
    <w:p w:rsidR="00242092" w:rsidRPr="0049621B" w:rsidRDefault="00242092" w:rsidP="0049621B">
      <w:pPr>
        <w:adjustRightInd w:val="0"/>
        <w:snapToGrid w:val="0"/>
        <w:spacing w:line="360" w:lineRule="auto"/>
        <w:outlineLvl w:val="0"/>
        <w:rPr>
          <w:rFonts w:ascii="Book Antiqua" w:hAnsi="Book Antiqua" w:cs="Book Antiqua"/>
          <w:b/>
          <w:i/>
          <w:color w:val="000000"/>
          <w:sz w:val="24"/>
        </w:rPr>
      </w:pPr>
      <w:r w:rsidRPr="0049621B">
        <w:rPr>
          <w:rFonts w:ascii="Book Antiqua" w:hAnsi="Book Antiqua" w:cs="Book Antiqua"/>
          <w:b/>
          <w:i/>
          <w:color w:val="000000"/>
          <w:sz w:val="24"/>
        </w:rPr>
        <w:t>CONCLU</w:t>
      </w:r>
      <w:r w:rsidR="0049621B">
        <w:rPr>
          <w:rFonts w:ascii="Book Antiqua" w:hAnsi="Book Antiqua" w:cs="Book Antiqua"/>
          <w:b/>
          <w:i/>
          <w:color w:val="000000"/>
          <w:sz w:val="24"/>
        </w:rPr>
        <w:t>S</w:t>
      </w:r>
      <w:r w:rsidRPr="0049621B">
        <w:rPr>
          <w:rFonts w:ascii="Book Antiqua" w:hAnsi="Book Antiqua" w:cs="Book Antiqua"/>
          <w:b/>
          <w:i/>
          <w:color w:val="000000"/>
          <w:sz w:val="24"/>
        </w:rPr>
        <w:t>ION</w:t>
      </w:r>
    </w:p>
    <w:p w:rsidR="00242092" w:rsidRPr="0049621B" w:rsidRDefault="00242092" w:rsidP="0049621B">
      <w:pPr>
        <w:adjustRightInd w:val="0"/>
        <w:snapToGrid w:val="0"/>
        <w:spacing w:line="360" w:lineRule="auto"/>
        <w:rPr>
          <w:rFonts w:ascii="Book Antiqua" w:hAnsi="Book Antiqua" w:cs="Book Antiqua"/>
          <w:color w:val="000000"/>
          <w:sz w:val="24"/>
        </w:rPr>
      </w:pPr>
      <w:r w:rsidRPr="0049621B">
        <w:rPr>
          <w:rFonts w:ascii="Book Antiqua" w:hAnsi="Book Antiqua" w:cs="Book Antiqua"/>
          <w:color w:val="000000"/>
          <w:sz w:val="24"/>
        </w:rPr>
        <w:t xml:space="preserve">Our results indicate the possible mechanism of </w:t>
      </w:r>
      <w:r w:rsidR="003A236A" w:rsidRPr="0049621B">
        <w:rPr>
          <w:rFonts w:ascii="Book Antiqua" w:hAnsi="Book Antiqua" w:cs="Book Antiqua"/>
          <w:color w:val="000000"/>
          <w:sz w:val="24"/>
        </w:rPr>
        <w:t>PB2</w:t>
      </w:r>
      <w:r w:rsidRPr="0049621B">
        <w:rPr>
          <w:rFonts w:ascii="Book Antiqua" w:hAnsi="Book Antiqua" w:cs="Book Antiqua"/>
          <w:color w:val="000000"/>
          <w:sz w:val="24"/>
        </w:rPr>
        <w:t xml:space="preserve"> to improve HCD-induced features of metabolic syndrome and provide a new dietary supplement.</w:t>
      </w:r>
    </w:p>
    <w:p w:rsidR="00242092" w:rsidRPr="0049621B" w:rsidRDefault="00242092" w:rsidP="0049621B">
      <w:pPr>
        <w:adjustRightInd w:val="0"/>
        <w:snapToGrid w:val="0"/>
        <w:spacing w:line="360" w:lineRule="auto"/>
        <w:rPr>
          <w:rFonts w:ascii="Book Antiqua" w:hAnsi="Book Antiqua" w:cs="Book Antiqua"/>
          <w:color w:val="000000"/>
          <w:sz w:val="24"/>
        </w:rPr>
      </w:pPr>
    </w:p>
    <w:p w:rsidR="00242092" w:rsidRPr="0049621B" w:rsidRDefault="00242092" w:rsidP="0049621B">
      <w:pPr>
        <w:adjustRightInd w:val="0"/>
        <w:snapToGrid w:val="0"/>
        <w:spacing w:line="360" w:lineRule="auto"/>
        <w:rPr>
          <w:rFonts w:ascii="Book Antiqua" w:hAnsi="Book Antiqua" w:cs="Book Antiqua"/>
          <w:color w:val="000000"/>
          <w:sz w:val="24"/>
        </w:rPr>
      </w:pPr>
      <w:r w:rsidRPr="0049621B">
        <w:rPr>
          <w:rFonts w:ascii="Book Antiqua" w:hAnsi="Book Antiqua" w:cs="Book Antiqua"/>
          <w:b/>
          <w:color w:val="000000"/>
          <w:sz w:val="24"/>
        </w:rPr>
        <w:t>Key words:</w:t>
      </w:r>
      <w:r w:rsidRPr="0049621B">
        <w:rPr>
          <w:rFonts w:ascii="Book Antiqua" w:hAnsi="Book Antiqua" w:cs="Book Antiqua"/>
          <w:color w:val="000000"/>
          <w:sz w:val="24"/>
        </w:rPr>
        <w:t xml:space="preserve"> </w:t>
      </w:r>
      <w:bookmarkStart w:id="24" w:name="OLE_LINK5"/>
      <w:r w:rsidRPr="0049621B">
        <w:rPr>
          <w:rFonts w:ascii="Book Antiqua" w:hAnsi="Book Antiqua" w:cs="Book Antiqua"/>
          <w:color w:val="000000"/>
          <w:sz w:val="24"/>
        </w:rPr>
        <w:t>Procyanidin; Rabbit; Non-alcoholic fatty liver disease; Gut microbiota; 16S rRNA</w:t>
      </w:r>
      <w:bookmarkEnd w:id="24"/>
    </w:p>
    <w:p w:rsidR="00242092" w:rsidRPr="0049621B" w:rsidRDefault="00242092" w:rsidP="0049621B">
      <w:pPr>
        <w:adjustRightInd w:val="0"/>
        <w:snapToGrid w:val="0"/>
        <w:spacing w:line="360" w:lineRule="auto"/>
        <w:rPr>
          <w:rFonts w:ascii="Book Antiqua" w:hAnsi="Book Antiqua" w:cs="Book Antiqua"/>
          <w:b/>
          <w:bCs/>
          <w:iCs/>
          <w:color w:val="000000"/>
          <w:sz w:val="24"/>
        </w:rPr>
      </w:pPr>
    </w:p>
    <w:p w:rsidR="003A236A" w:rsidRPr="0049621B" w:rsidRDefault="003A236A" w:rsidP="0049621B">
      <w:pPr>
        <w:adjustRightInd w:val="0"/>
        <w:snapToGrid w:val="0"/>
        <w:spacing w:line="360" w:lineRule="auto"/>
        <w:rPr>
          <w:rFonts w:ascii="Book Antiqua" w:hAnsi="Book Antiqua"/>
          <w:sz w:val="24"/>
        </w:rPr>
      </w:pPr>
      <w:bookmarkStart w:id="25" w:name="OLE_LINK44"/>
      <w:r w:rsidRPr="0049621B">
        <w:rPr>
          <w:rFonts w:ascii="Book Antiqua" w:hAnsi="Book Antiqua"/>
          <w:b/>
          <w:sz w:val="24"/>
        </w:rPr>
        <w:t xml:space="preserve">© The Author(s) 2019. </w:t>
      </w:r>
      <w:r w:rsidRPr="0049621B">
        <w:rPr>
          <w:rFonts w:ascii="Book Antiqua" w:hAnsi="Book Antiqua"/>
          <w:sz w:val="24"/>
        </w:rPr>
        <w:t>Published by Baishideng Publishing Group Inc. All rights reserved.</w:t>
      </w:r>
      <w:bookmarkEnd w:id="25"/>
    </w:p>
    <w:p w:rsidR="003A236A" w:rsidRPr="0049621B" w:rsidRDefault="003A236A" w:rsidP="0049621B">
      <w:pPr>
        <w:adjustRightInd w:val="0"/>
        <w:snapToGrid w:val="0"/>
        <w:spacing w:line="360" w:lineRule="auto"/>
        <w:rPr>
          <w:rFonts w:ascii="Book Antiqua" w:hAnsi="Book Antiqua" w:cs="Book Antiqua"/>
          <w:b/>
          <w:bCs/>
          <w:iCs/>
          <w:color w:val="000000"/>
          <w:sz w:val="24"/>
        </w:rPr>
      </w:pPr>
    </w:p>
    <w:p w:rsidR="00242092" w:rsidRPr="0049621B" w:rsidRDefault="00242092" w:rsidP="0049621B">
      <w:pPr>
        <w:adjustRightInd w:val="0"/>
        <w:snapToGrid w:val="0"/>
        <w:spacing w:line="360" w:lineRule="auto"/>
        <w:rPr>
          <w:rFonts w:ascii="Book Antiqua" w:hAnsi="Book Antiqua" w:cs="Book Antiqua"/>
          <w:bCs/>
          <w:iCs/>
          <w:color w:val="000000"/>
          <w:sz w:val="24"/>
        </w:rPr>
      </w:pPr>
      <w:r w:rsidRPr="0049621B">
        <w:rPr>
          <w:rFonts w:ascii="Book Antiqua" w:hAnsi="Book Antiqua" w:cs="Book Antiqua"/>
          <w:b/>
          <w:bCs/>
          <w:iCs/>
          <w:color w:val="000000"/>
          <w:sz w:val="24"/>
        </w:rPr>
        <w:t xml:space="preserve">Core tip: </w:t>
      </w:r>
      <w:r w:rsidRPr="0049621B">
        <w:rPr>
          <w:rFonts w:ascii="Book Antiqua" w:hAnsi="Book Antiqua" w:cs="Book Antiqua"/>
          <w:bCs/>
          <w:iCs/>
          <w:color w:val="000000"/>
          <w:sz w:val="24"/>
        </w:rPr>
        <w:t>Procyanidin</w:t>
      </w:r>
      <w:r w:rsidR="00B31DF1" w:rsidRPr="0049621B">
        <w:rPr>
          <w:rFonts w:ascii="Book Antiqua" w:hAnsi="Book Antiqua" w:cs="Book Antiqua"/>
          <w:bCs/>
          <w:iCs/>
          <w:color w:val="000000"/>
          <w:sz w:val="24"/>
        </w:rPr>
        <w:t>s</w:t>
      </w:r>
      <w:r w:rsidRPr="0049621B">
        <w:rPr>
          <w:rFonts w:ascii="Book Antiqua" w:hAnsi="Book Antiqua" w:cs="Book Antiqua"/>
          <w:bCs/>
          <w:iCs/>
          <w:color w:val="000000"/>
          <w:sz w:val="24"/>
        </w:rPr>
        <w:t xml:space="preserve"> are widely recognized for their excellent antioxidant properties and fewer side effects</w:t>
      </w:r>
      <w:r w:rsidR="00B31DF1" w:rsidRPr="0049621B">
        <w:rPr>
          <w:rFonts w:ascii="Book Antiqua" w:hAnsi="Book Antiqua" w:cs="Book Antiqua"/>
          <w:bCs/>
          <w:iCs/>
          <w:color w:val="000000"/>
          <w:sz w:val="24"/>
        </w:rPr>
        <w:t xml:space="preserve"> compared to other</w:t>
      </w:r>
      <w:r w:rsidRPr="0049621B">
        <w:rPr>
          <w:rFonts w:ascii="Book Antiqua" w:hAnsi="Book Antiqua" w:cs="Book Antiqua"/>
          <w:bCs/>
          <w:iCs/>
          <w:color w:val="000000"/>
          <w:sz w:val="24"/>
        </w:rPr>
        <w:t xml:space="preserve"> drugs. In the past, the mechanism of procyanidin to improve insulin resistance mainly focused on the antioxidant effect. The effect of procyanidin on non-alcoholic fatty liver disease is not clear. We found that procyan</w:t>
      </w:r>
      <w:r w:rsidR="00B71250" w:rsidRPr="0049621B">
        <w:rPr>
          <w:rFonts w:ascii="Book Antiqua" w:hAnsi="Book Antiqua" w:cs="Book Antiqua"/>
          <w:bCs/>
          <w:iCs/>
          <w:color w:val="000000"/>
          <w:sz w:val="24"/>
        </w:rPr>
        <w:t>i</w:t>
      </w:r>
      <w:r w:rsidRPr="0049621B">
        <w:rPr>
          <w:rFonts w:ascii="Book Antiqua" w:hAnsi="Book Antiqua" w:cs="Book Antiqua"/>
          <w:bCs/>
          <w:iCs/>
          <w:color w:val="000000"/>
          <w:sz w:val="24"/>
        </w:rPr>
        <w:t xml:space="preserve">din can reduce fatty liver by remodeling intestinal flora, decreasing endotoxemia, and down-regulating fatty acid synthesis genes. Our results open a new chapter in the mechanism of action of plant compounds and suggest a safer method for the treatment of </w:t>
      </w:r>
      <w:r w:rsidR="00B31DF1" w:rsidRPr="0049621B">
        <w:rPr>
          <w:rFonts w:ascii="Book Antiqua" w:hAnsi="Book Antiqua" w:cs="Book Antiqua"/>
          <w:bCs/>
          <w:iCs/>
          <w:color w:val="000000"/>
          <w:sz w:val="24"/>
        </w:rPr>
        <w:t>non-alcoholic fatty liver disease</w:t>
      </w:r>
      <w:r w:rsidRPr="0049621B">
        <w:rPr>
          <w:rFonts w:ascii="Book Antiqua" w:hAnsi="Book Antiqua" w:cs="Book Antiqua"/>
          <w:bCs/>
          <w:iCs/>
          <w:color w:val="000000"/>
          <w:sz w:val="24"/>
        </w:rPr>
        <w:t>.</w:t>
      </w:r>
    </w:p>
    <w:p w:rsidR="00242092" w:rsidRPr="0049621B" w:rsidRDefault="00242092" w:rsidP="0049621B">
      <w:pPr>
        <w:adjustRightInd w:val="0"/>
        <w:snapToGrid w:val="0"/>
        <w:spacing w:line="360" w:lineRule="auto"/>
        <w:rPr>
          <w:rFonts w:ascii="Book Antiqua" w:hAnsi="Book Antiqua" w:cs="Book Antiqua"/>
          <w:color w:val="000000"/>
          <w:sz w:val="24"/>
          <w:lang w:bidi="ar"/>
        </w:rPr>
      </w:pPr>
    </w:p>
    <w:p w:rsidR="00C71A37" w:rsidRDefault="00C71A37" w:rsidP="00C71A37">
      <w:pPr>
        <w:adjustRightInd w:val="0"/>
        <w:snapToGrid w:val="0"/>
        <w:spacing w:line="360" w:lineRule="auto"/>
        <w:rPr>
          <w:rFonts w:ascii="Book Antiqua" w:hAnsi="Book Antiqua" w:hint="eastAsia"/>
          <w:color w:val="000000"/>
          <w:sz w:val="24"/>
        </w:rPr>
      </w:pPr>
      <w:r w:rsidRPr="00C71A37">
        <w:rPr>
          <w:rFonts w:ascii="Book Antiqua" w:hAnsi="Book Antiqua" w:cs="Book Antiqua" w:hint="eastAsia"/>
          <w:b/>
          <w:color w:val="000000"/>
          <w:sz w:val="24"/>
          <w:lang w:bidi="ar"/>
        </w:rPr>
        <w:t>Citation:</w:t>
      </w:r>
      <w:r>
        <w:rPr>
          <w:rFonts w:ascii="Book Antiqua" w:hAnsi="Book Antiqua" w:cs="Book Antiqua" w:hint="eastAsia"/>
          <w:color w:val="000000"/>
          <w:sz w:val="24"/>
          <w:lang w:bidi="ar"/>
        </w:rPr>
        <w:t xml:space="preserve"> </w:t>
      </w:r>
      <w:r w:rsidRPr="0049621B">
        <w:rPr>
          <w:rFonts w:ascii="Book Antiqua" w:hAnsi="Book Antiqua" w:cs="Book Antiqua"/>
          <w:color w:val="000000"/>
          <w:sz w:val="24"/>
          <w:lang w:bidi="ar"/>
        </w:rPr>
        <w:t>Xing YW, Lei GT, Wu QH, Jiang Y, Huang MX.</w:t>
      </w:r>
      <w:r w:rsidRPr="0049621B">
        <w:rPr>
          <w:rFonts w:ascii="Book Antiqua" w:hAnsi="Book Antiqua" w:cs="Book Antiqua"/>
          <w:bCs/>
          <w:iCs/>
          <w:color w:val="000000"/>
          <w:sz w:val="24"/>
        </w:rPr>
        <w:t xml:space="preserve"> </w:t>
      </w:r>
      <w:r w:rsidRPr="0049621B">
        <w:rPr>
          <w:rFonts w:ascii="Book Antiqua" w:hAnsi="Book Antiqua" w:cs="Book Antiqua"/>
          <w:color w:val="000000"/>
          <w:sz w:val="24"/>
          <w:lang w:bidi="ar"/>
        </w:rPr>
        <w:t xml:space="preserve">Procyanidin B2 protects against diet-induced obesity and non-alcoholic fatty liver disease </w:t>
      </w:r>
      <w:r w:rsidRPr="0049621B">
        <w:rPr>
          <w:rFonts w:ascii="Book Antiqua" w:hAnsi="Book Antiqua" w:cs="Book Antiqua"/>
          <w:i/>
          <w:color w:val="000000"/>
          <w:sz w:val="24"/>
          <w:lang w:bidi="ar"/>
        </w:rPr>
        <w:t>via</w:t>
      </w:r>
      <w:r w:rsidRPr="0049621B">
        <w:rPr>
          <w:rFonts w:ascii="Book Antiqua" w:hAnsi="Book Antiqua" w:cs="Book Antiqua"/>
          <w:color w:val="000000"/>
          <w:sz w:val="24"/>
          <w:lang w:bidi="ar"/>
        </w:rPr>
        <w:t xml:space="preserve"> the modulation of the gut microbiota in rabbits. </w:t>
      </w:r>
      <w:r w:rsidRPr="00022B26">
        <w:rPr>
          <w:rFonts w:ascii="Book Antiqua" w:hAnsi="Book Antiqua"/>
          <w:i/>
          <w:color w:val="000000"/>
          <w:sz w:val="24"/>
        </w:rPr>
        <w:t xml:space="preserve">World J Gastroenterol </w:t>
      </w:r>
      <w:r w:rsidRPr="00022B26">
        <w:rPr>
          <w:rFonts w:ascii="Book Antiqua" w:hAnsi="Book Antiqua"/>
          <w:color w:val="000000"/>
          <w:sz w:val="24"/>
        </w:rPr>
        <w:t>2019; 25(</w:t>
      </w:r>
      <w:r w:rsidRPr="00022B26">
        <w:rPr>
          <w:rFonts w:ascii="Book Antiqua" w:hAnsi="Book Antiqua" w:hint="eastAsia"/>
          <w:color w:val="000000"/>
          <w:sz w:val="24"/>
        </w:rPr>
        <w:t>8</w:t>
      </w:r>
      <w:r w:rsidRPr="00022B26">
        <w:rPr>
          <w:rFonts w:ascii="Book Antiqua" w:hAnsi="Book Antiqua"/>
          <w:color w:val="000000"/>
          <w:sz w:val="24"/>
        </w:rPr>
        <w:t xml:space="preserve">): </w:t>
      </w:r>
      <w:r>
        <w:rPr>
          <w:rFonts w:ascii="Book Antiqua" w:hAnsi="Book Antiqua" w:hint="eastAsia"/>
          <w:color w:val="000000"/>
          <w:sz w:val="24"/>
        </w:rPr>
        <w:t>955</w:t>
      </w:r>
      <w:r>
        <w:rPr>
          <w:rFonts w:ascii="Book Antiqua" w:hAnsi="Book Antiqua"/>
          <w:color w:val="000000"/>
          <w:sz w:val="24"/>
        </w:rPr>
        <w:t>-</w:t>
      </w:r>
      <w:r>
        <w:rPr>
          <w:rFonts w:ascii="Book Antiqua" w:hAnsi="Book Antiqua" w:hint="eastAsia"/>
          <w:color w:val="000000"/>
          <w:sz w:val="24"/>
        </w:rPr>
        <w:t>966</w:t>
      </w:r>
      <w:r w:rsidRPr="00022B26">
        <w:rPr>
          <w:rFonts w:ascii="Book Antiqua" w:hAnsi="Book Antiqua"/>
          <w:color w:val="000000"/>
          <w:sz w:val="24"/>
        </w:rPr>
        <w:t xml:space="preserve">  </w:t>
      </w:r>
    </w:p>
    <w:p w:rsidR="00C71A37" w:rsidRDefault="00C71A37" w:rsidP="00C71A37">
      <w:pPr>
        <w:adjustRightInd w:val="0"/>
        <w:snapToGrid w:val="0"/>
        <w:spacing w:line="360" w:lineRule="auto"/>
        <w:rPr>
          <w:rFonts w:ascii="Book Antiqua" w:hAnsi="Book Antiqua" w:hint="eastAsia"/>
          <w:color w:val="000000"/>
          <w:sz w:val="24"/>
        </w:rPr>
      </w:pPr>
      <w:r w:rsidRPr="00C71A37">
        <w:rPr>
          <w:rFonts w:ascii="Book Antiqua" w:hAnsi="Book Antiqua"/>
          <w:b/>
          <w:color w:val="000000"/>
          <w:sz w:val="24"/>
        </w:rPr>
        <w:t>URL:</w:t>
      </w:r>
      <w:r w:rsidRPr="00022B26">
        <w:rPr>
          <w:rFonts w:ascii="Book Antiqua" w:hAnsi="Book Antiqua"/>
          <w:color w:val="000000"/>
          <w:sz w:val="24"/>
        </w:rPr>
        <w:t xml:space="preserve"> https://www.wjgnet.com/1007-9327/full/v25/i</w:t>
      </w:r>
      <w:r w:rsidRPr="00022B26">
        <w:rPr>
          <w:rFonts w:ascii="Book Antiqua" w:hAnsi="Book Antiqua" w:hint="eastAsia"/>
          <w:color w:val="000000"/>
          <w:sz w:val="24"/>
        </w:rPr>
        <w:t>8</w:t>
      </w:r>
      <w:r w:rsidRPr="00022B26">
        <w:rPr>
          <w:rFonts w:ascii="Book Antiqua" w:hAnsi="Book Antiqua"/>
          <w:color w:val="000000"/>
          <w:sz w:val="24"/>
        </w:rPr>
        <w:t>/</w:t>
      </w:r>
      <w:r>
        <w:rPr>
          <w:rFonts w:ascii="Book Antiqua" w:hAnsi="Book Antiqua" w:hint="eastAsia"/>
          <w:color w:val="000000"/>
          <w:sz w:val="24"/>
        </w:rPr>
        <w:t>955</w:t>
      </w:r>
      <w:r w:rsidRPr="00022B26">
        <w:rPr>
          <w:rFonts w:ascii="Book Antiqua" w:hAnsi="Book Antiqua"/>
          <w:color w:val="000000"/>
          <w:sz w:val="24"/>
        </w:rPr>
        <w:t xml:space="preserve">.htm  </w:t>
      </w:r>
    </w:p>
    <w:p w:rsidR="00C71A37" w:rsidRPr="00022B26" w:rsidRDefault="00C71A37" w:rsidP="00C71A37">
      <w:pPr>
        <w:adjustRightInd w:val="0"/>
        <w:snapToGrid w:val="0"/>
        <w:spacing w:line="360" w:lineRule="auto"/>
        <w:rPr>
          <w:rFonts w:ascii="Book Antiqua" w:hAnsi="Book Antiqua" w:cs="Book Antiqua"/>
          <w:bCs/>
          <w:iCs/>
          <w:color w:val="000000"/>
          <w:sz w:val="24"/>
        </w:rPr>
      </w:pPr>
      <w:r w:rsidRPr="00C71A37">
        <w:rPr>
          <w:rFonts w:ascii="Book Antiqua" w:hAnsi="Book Antiqua"/>
          <w:b/>
          <w:color w:val="000000"/>
          <w:sz w:val="24"/>
        </w:rPr>
        <w:t>DOI:</w:t>
      </w:r>
      <w:r w:rsidRPr="00022B26">
        <w:rPr>
          <w:rFonts w:ascii="Book Antiqua" w:hAnsi="Book Antiqua"/>
          <w:color w:val="000000"/>
          <w:sz w:val="24"/>
        </w:rPr>
        <w:t xml:space="preserve"> https://dx.doi.org/10.3748/wjg.v25.i</w:t>
      </w:r>
      <w:r w:rsidRPr="00022B26">
        <w:rPr>
          <w:rFonts w:ascii="Book Antiqua" w:hAnsi="Book Antiqua" w:hint="eastAsia"/>
          <w:color w:val="000000"/>
          <w:sz w:val="24"/>
        </w:rPr>
        <w:t>8</w:t>
      </w:r>
      <w:r w:rsidRPr="00022B26">
        <w:rPr>
          <w:rFonts w:ascii="Book Antiqua" w:hAnsi="Book Antiqua"/>
          <w:color w:val="000000"/>
          <w:sz w:val="24"/>
        </w:rPr>
        <w:t>.</w:t>
      </w:r>
      <w:r>
        <w:rPr>
          <w:rFonts w:ascii="Book Antiqua" w:hAnsi="Book Antiqua" w:hint="eastAsia"/>
          <w:color w:val="000000"/>
          <w:sz w:val="24"/>
        </w:rPr>
        <w:t>955</w:t>
      </w:r>
    </w:p>
    <w:p w:rsidR="00242092" w:rsidRPr="0049621B" w:rsidRDefault="003A236A" w:rsidP="0049621B">
      <w:pPr>
        <w:adjustRightInd w:val="0"/>
        <w:snapToGrid w:val="0"/>
        <w:spacing w:line="360" w:lineRule="auto"/>
        <w:outlineLvl w:val="0"/>
        <w:rPr>
          <w:rFonts w:ascii="Book Antiqua" w:hAnsi="Book Antiqua" w:cs="Book Antiqua"/>
          <w:b/>
          <w:color w:val="000000"/>
          <w:sz w:val="24"/>
        </w:rPr>
      </w:pPr>
      <w:r w:rsidRPr="0049621B">
        <w:rPr>
          <w:rFonts w:ascii="Book Antiqua" w:hAnsi="Book Antiqua" w:cs="Book Antiqua"/>
          <w:color w:val="000000"/>
          <w:sz w:val="24"/>
        </w:rPr>
        <w:br w:type="page"/>
      </w:r>
      <w:r w:rsidR="00242092" w:rsidRPr="0049621B">
        <w:rPr>
          <w:rFonts w:ascii="Book Antiqua" w:hAnsi="Book Antiqua" w:cs="Book Antiqua"/>
          <w:b/>
          <w:color w:val="000000"/>
          <w:sz w:val="24"/>
        </w:rPr>
        <w:lastRenderedPageBreak/>
        <w:t>INTRODUCTION</w:t>
      </w:r>
    </w:p>
    <w:p w:rsidR="00242092" w:rsidRPr="0049621B" w:rsidRDefault="00242092" w:rsidP="0049621B">
      <w:pPr>
        <w:adjustRightInd w:val="0"/>
        <w:snapToGrid w:val="0"/>
        <w:spacing w:line="360" w:lineRule="auto"/>
        <w:rPr>
          <w:rFonts w:ascii="Book Antiqua" w:hAnsi="Book Antiqua" w:cs="Book Antiqua"/>
          <w:color w:val="000000"/>
          <w:sz w:val="24"/>
        </w:rPr>
      </w:pPr>
      <w:r w:rsidRPr="0049621B">
        <w:rPr>
          <w:rFonts w:ascii="Book Antiqua" w:hAnsi="Book Antiqua" w:cs="Book Antiqua"/>
          <w:color w:val="000000"/>
          <w:sz w:val="24"/>
        </w:rPr>
        <w:t xml:space="preserve">Advances in industrialization have changed people's lifestyles and eating habits. The incidence of obesity has rapidly increased, along with an increase in obesity-related metabolic syndrome, such as non-alcoholic fatty liver disease (NAFLD). NAFLD refers to the pathological state in which lipid, carbohydrates, and other substances are metabolically disordered. It is complex and </w:t>
      </w:r>
      <w:r w:rsidR="00B31DF1" w:rsidRPr="0049621B">
        <w:rPr>
          <w:rFonts w:ascii="Book Antiqua" w:hAnsi="Book Antiqua" w:cs="Book Antiqua"/>
          <w:color w:val="000000"/>
          <w:sz w:val="24"/>
        </w:rPr>
        <w:t xml:space="preserve">is </w:t>
      </w:r>
      <w:r w:rsidRPr="0049621B">
        <w:rPr>
          <w:rFonts w:ascii="Book Antiqua" w:hAnsi="Book Antiqua" w:cs="Book Antiqua"/>
          <w:color w:val="000000"/>
          <w:sz w:val="24"/>
        </w:rPr>
        <w:t>a risk factor for cardiovascular diseases and diabetes</w:t>
      </w:r>
      <w:r w:rsidRPr="0049621B">
        <w:rPr>
          <w:rFonts w:ascii="Book Antiqua" w:hAnsi="Book Antiqua" w:cs="Book Antiqua"/>
          <w:color w:val="000000"/>
          <w:sz w:val="24"/>
        </w:rPr>
        <w:fldChar w:fldCharType="begin"/>
      </w:r>
      <w:r w:rsidRPr="0049621B">
        <w:rPr>
          <w:rFonts w:ascii="Book Antiqua" w:hAnsi="Book Antiqua" w:cs="Book Antiqua"/>
          <w:color w:val="000000"/>
          <w:sz w:val="24"/>
        </w:rPr>
        <w:instrText xml:space="preserve"> ADDIN EN.CITE &lt;EndNote&gt;&lt;Cite&gt;&lt;Author&gt;Eckel&lt;/Author&gt;&lt;Year&gt;2005&lt;/Year&gt;&lt;RecNum&gt;284&lt;/RecNum&gt;&lt;DisplayText&gt;&lt;style face="superscript"&gt;[1]&lt;/style&gt;&lt;/DisplayText&gt;&lt;record&gt;&lt;rec-number&gt;284&lt;/rec-number&gt;&lt;foreign-keys&gt;&lt;key app="EN" db-id="t0rz9rwwc5zd2re0rr5xepf7rd9xztdse0tf" timestamp="1543144690"&gt;284&lt;/key&gt;&lt;/foreign-keys&gt;&lt;ref-type name="Journal Article"&gt;17&lt;/ref-type&gt;&lt;contributors&gt;&lt;authors&gt;&lt;author&gt;Eckel, R. H.&lt;/author&gt;&lt;author&gt;Grundy, S. M.&lt;/author&gt;&lt;author&gt;Zimmet, P. Z.&lt;/author&gt;&lt;/authors&gt;&lt;/contributors&gt;&lt;auth-address&gt;Division of Endocrinology, Metabolism and Diabetes, University of Colorado at Denver and Health Sciences Center, PO Box 6511, MS 8106, Aurora, CO 80045, USA. Robert.Eckel@UCHSC.edu&lt;/auth-address&gt;&lt;titles&gt;&lt;title&gt;The metabolic syndrome&lt;/title&gt;&lt;secondary-title&gt;Lancet&lt;/secondary-title&gt;&lt;/titles&gt;&lt;periodical&gt;&lt;full-title&gt;Lancet&lt;/full-title&gt;&lt;abbr-1&gt;Lancet&lt;/abbr-1&gt;&lt;/periodical&gt;&lt;pages&gt;1415-28&lt;/pages&gt;&lt;volume&gt;365&lt;/volume&gt;&lt;number&gt;9468&lt;/number&gt;&lt;keywords&gt;&lt;keyword&gt;Cardiovascular Diseases/etiology&lt;/keyword&gt;&lt;keyword&gt;Diabetes Mellitus/etiology&lt;/keyword&gt;&lt;keyword&gt;Humans&lt;/keyword&gt;&lt;keyword&gt;Insulin Resistance&lt;/keyword&gt;&lt;keyword&gt;Lipids/blood&lt;/keyword&gt;&lt;keyword&gt;*Metabolic Syndrome/complications/diagnosis/metabolism/therapy&lt;/keyword&gt;&lt;keyword&gt;Risk Factors&lt;/keyword&gt;&lt;/keywords&gt;&lt;dates&gt;&lt;year&gt;2005&lt;/year&gt;&lt;pub-dates&gt;&lt;date&gt;Apr 16-22&lt;/date&gt;&lt;/pub-dates&gt;&lt;/dates&gt;&lt;isbn&gt;1474-547X (Electronic)&amp;#xD;0140-6736 (Linking)&lt;/isbn&gt;&lt;accession-num&gt;15836891&lt;/accession-num&gt;&lt;urls&gt;&lt;related-urls&gt;&lt;url&gt;https://www.ncbi.nlm.nih.gov/pubmed/15836891&lt;/url&gt;&lt;/related-urls&gt;&lt;/urls&gt;&lt;electronic-resource-num&gt;10.1016/S0140-6736(05)66378-7&lt;/electronic-resource-num&gt;&lt;/record&gt;&lt;/Cite&gt;&lt;/EndNote&gt;</w:instrText>
      </w:r>
      <w:r w:rsidRPr="0049621B">
        <w:rPr>
          <w:rFonts w:ascii="Book Antiqua" w:hAnsi="Book Antiqua" w:cs="Book Antiqua"/>
          <w:color w:val="000000"/>
          <w:sz w:val="24"/>
        </w:rPr>
        <w:fldChar w:fldCharType="separate"/>
      </w:r>
      <w:r w:rsidRPr="0049621B">
        <w:rPr>
          <w:rFonts w:ascii="Book Antiqua" w:hAnsi="Book Antiqua" w:cs="Book Antiqua"/>
          <w:color w:val="000000"/>
          <w:sz w:val="24"/>
          <w:vertAlign w:val="superscript"/>
          <w:lang w:eastAsia="zh-CN"/>
        </w:rPr>
        <w:t>[1]</w:t>
      </w:r>
      <w:r w:rsidRPr="0049621B">
        <w:rPr>
          <w:rFonts w:ascii="Book Antiqua" w:hAnsi="Book Antiqua" w:cs="Book Antiqua"/>
          <w:color w:val="000000"/>
          <w:sz w:val="24"/>
        </w:rPr>
        <w:fldChar w:fldCharType="end"/>
      </w:r>
      <w:r w:rsidRPr="0049621B">
        <w:rPr>
          <w:rFonts w:ascii="Book Antiqua" w:hAnsi="Book Antiqua" w:cs="Book Antiqua"/>
          <w:color w:val="000000"/>
          <w:sz w:val="24"/>
        </w:rPr>
        <w:t>. NAFLD is characterized by insulin resistance (IR) caused by a combination of genetic and environmental factors. Common manifestations includ</w:t>
      </w:r>
      <w:r w:rsidR="00B31DF1" w:rsidRPr="0049621B">
        <w:rPr>
          <w:rFonts w:ascii="Book Antiqua" w:hAnsi="Book Antiqua" w:cs="Book Antiqua"/>
          <w:color w:val="000000"/>
          <w:sz w:val="24"/>
        </w:rPr>
        <w:t>e</w:t>
      </w:r>
      <w:r w:rsidRPr="0049621B">
        <w:rPr>
          <w:rFonts w:ascii="Book Antiqua" w:hAnsi="Book Antiqua" w:cs="Book Antiqua"/>
          <w:color w:val="000000"/>
          <w:sz w:val="24"/>
        </w:rPr>
        <w:t xml:space="preserve"> endotoxemia, low-grade inflammation, and tissue damage</w:t>
      </w:r>
      <w:r w:rsidRPr="0049621B">
        <w:rPr>
          <w:rFonts w:ascii="Book Antiqua" w:hAnsi="Book Antiqua" w:cs="Book Antiqua"/>
          <w:color w:val="000000"/>
          <w:sz w:val="24"/>
        </w:rPr>
        <w:fldChar w:fldCharType="begin"/>
      </w:r>
      <w:r w:rsidRPr="0049621B">
        <w:rPr>
          <w:rFonts w:ascii="Book Antiqua" w:hAnsi="Book Antiqua" w:cs="Book Antiqua"/>
          <w:color w:val="000000"/>
          <w:sz w:val="24"/>
        </w:rPr>
        <w:instrText xml:space="preserve"> ADDIN EN.CITE </w:instrText>
      </w:r>
      <w:r w:rsidRPr="0049621B">
        <w:rPr>
          <w:rFonts w:ascii="Book Antiqua" w:hAnsi="Book Antiqua" w:cs="Book Antiqua"/>
          <w:color w:val="000000"/>
          <w:sz w:val="24"/>
        </w:rPr>
        <w:fldChar w:fldCharType="begin"/>
      </w:r>
      <w:r w:rsidRPr="0049621B">
        <w:rPr>
          <w:rFonts w:ascii="Book Antiqua" w:hAnsi="Book Antiqua" w:cs="Book Antiqua"/>
          <w:color w:val="000000"/>
          <w:sz w:val="24"/>
        </w:rPr>
        <w:instrText xml:space="preserve"> ADDIN EN.CITE.DATA </w:instrText>
      </w:r>
      <w:r w:rsidRPr="0049621B">
        <w:rPr>
          <w:rFonts w:ascii="Book Antiqua" w:hAnsi="Book Antiqua" w:cs="Book Antiqua"/>
          <w:color w:val="000000"/>
          <w:sz w:val="24"/>
        </w:rPr>
        <w:fldChar w:fldCharType="end"/>
      </w:r>
      <w:r w:rsidRPr="0049621B">
        <w:rPr>
          <w:rFonts w:ascii="Book Antiqua" w:hAnsi="Book Antiqua" w:cs="Book Antiqua"/>
          <w:color w:val="000000"/>
          <w:sz w:val="24"/>
        </w:rPr>
        <w:fldChar w:fldCharType="separate"/>
      </w:r>
      <w:r w:rsidRPr="0049621B">
        <w:rPr>
          <w:rFonts w:ascii="Book Antiqua" w:hAnsi="Book Antiqua" w:cs="Book Antiqua"/>
          <w:color w:val="000000"/>
          <w:sz w:val="24"/>
          <w:vertAlign w:val="superscript"/>
          <w:lang w:eastAsia="zh-CN"/>
        </w:rPr>
        <w:t>[2-4]</w:t>
      </w:r>
      <w:r w:rsidRPr="0049621B">
        <w:rPr>
          <w:rFonts w:ascii="Book Antiqua" w:hAnsi="Book Antiqua" w:cs="Book Antiqua"/>
          <w:color w:val="000000"/>
          <w:sz w:val="24"/>
        </w:rPr>
        <w:fldChar w:fldCharType="end"/>
      </w:r>
      <w:r w:rsidRPr="0049621B">
        <w:rPr>
          <w:rFonts w:ascii="Book Antiqua" w:hAnsi="Book Antiqua" w:cs="Book Antiqua"/>
          <w:color w:val="000000"/>
          <w:sz w:val="24"/>
        </w:rPr>
        <w:t>. The intestinal barrier serves as the first site of interaction between the diet and the host immune system. This interaction can affect the composition of the gut microbiota, which affects intestinal immune homeostasis and intestinal permeability</w:t>
      </w:r>
      <w:r w:rsidRPr="0049621B">
        <w:rPr>
          <w:rFonts w:ascii="Book Antiqua" w:hAnsi="Book Antiqua" w:cs="Book Antiqua"/>
          <w:color w:val="000000"/>
          <w:sz w:val="24"/>
        </w:rPr>
        <w:fldChar w:fldCharType="begin"/>
      </w:r>
      <w:r w:rsidRPr="0049621B">
        <w:rPr>
          <w:rFonts w:ascii="Book Antiqua" w:hAnsi="Book Antiqua" w:cs="Book Antiqua"/>
          <w:color w:val="000000"/>
          <w:sz w:val="24"/>
        </w:rPr>
        <w:instrText xml:space="preserve"> ADDIN EN.CITE </w:instrText>
      </w:r>
      <w:r w:rsidRPr="0049621B">
        <w:rPr>
          <w:rFonts w:ascii="Book Antiqua" w:hAnsi="Book Antiqua" w:cs="Book Antiqua"/>
          <w:color w:val="000000"/>
          <w:sz w:val="24"/>
        </w:rPr>
        <w:fldChar w:fldCharType="begin"/>
      </w:r>
      <w:r w:rsidRPr="0049621B">
        <w:rPr>
          <w:rFonts w:ascii="Book Antiqua" w:hAnsi="Book Antiqua" w:cs="Book Antiqua"/>
          <w:color w:val="000000"/>
          <w:sz w:val="24"/>
        </w:rPr>
        <w:instrText xml:space="preserve"> ADDIN EN.CITE.DATA </w:instrText>
      </w:r>
      <w:r w:rsidRPr="0049621B">
        <w:rPr>
          <w:rFonts w:ascii="Book Antiqua" w:hAnsi="Book Antiqua" w:cs="Book Antiqua"/>
          <w:color w:val="000000"/>
          <w:sz w:val="24"/>
        </w:rPr>
        <w:fldChar w:fldCharType="end"/>
      </w:r>
      <w:r w:rsidRPr="0049621B">
        <w:rPr>
          <w:rFonts w:ascii="Book Antiqua" w:hAnsi="Book Antiqua" w:cs="Book Antiqua"/>
          <w:color w:val="000000"/>
          <w:sz w:val="24"/>
        </w:rPr>
        <w:fldChar w:fldCharType="separate"/>
      </w:r>
      <w:r w:rsidR="00FF7ABF" w:rsidRPr="0049621B">
        <w:rPr>
          <w:rFonts w:ascii="Book Antiqua" w:hAnsi="Book Antiqua" w:cs="Book Antiqua"/>
          <w:color w:val="000000"/>
          <w:sz w:val="24"/>
          <w:vertAlign w:val="superscript"/>
          <w:lang w:eastAsia="zh-CN"/>
        </w:rPr>
        <w:t>[5,</w:t>
      </w:r>
      <w:r w:rsidRPr="0049621B">
        <w:rPr>
          <w:rFonts w:ascii="Book Antiqua" w:hAnsi="Book Antiqua" w:cs="Book Antiqua"/>
          <w:color w:val="000000"/>
          <w:sz w:val="24"/>
          <w:vertAlign w:val="superscript"/>
          <w:lang w:eastAsia="zh-CN"/>
        </w:rPr>
        <w:t>6]</w:t>
      </w:r>
      <w:r w:rsidRPr="0049621B">
        <w:rPr>
          <w:rFonts w:ascii="Book Antiqua" w:hAnsi="Book Antiqua" w:cs="Book Antiqua"/>
          <w:color w:val="000000"/>
          <w:sz w:val="24"/>
        </w:rPr>
        <w:fldChar w:fldCharType="end"/>
      </w:r>
      <w:r w:rsidRPr="0049621B">
        <w:rPr>
          <w:rFonts w:ascii="Book Antiqua" w:hAnsi="Book Antiqua" w:cs="Book Antiqua"/>
          <w:color w:val="000000"/>
          <w:sz w:val="24"/>
        </w:rPr>
        <w:t>. Thus, the gut and its microflora are potential sources of pro-inflammatory molecules that can affect systemic metabolism and may be involved in early events related to IR and NAFLD.</w:t>
      </w:r>
    </w:p>
    <w:p w:rsidR="00242092" w:rsidRPr="0049621B" w:rsidRDefault="00FF7ABF" w:rsidP="0049621B">
      <w:pPr>
        <w:adjustRightInd w:val="0"/>
        <w:snapToGrid w:val="0"/>
        <w:spacing w:line="360" w:lineRule="auto"/>
        <w:rPr>
          <w:rFonts w:ascii="Book Antiqua" w:hAnsi="Book Antiqua" w:cs="Book Antiqua"/>
          <w:color w:val="000000"/>
          <w:sz w:val="24"/>
        </w:rPr>
      </w:pPr>
      <w:r w:rsidRPr="0049621B">
        <w:rPr>
          <w:rFonts w:ascii="Book Antiqua" w:hAnsi="Book Antiqua" w:cs="Book Antiqua"/>
          <w:color w:val="000000"/>
          <w:sz w:val="24"/>
        </w:rPr>
        <w:t xml:space="preserve">  </w:t>
      </w:r>
      <w:r w:rsidR="00242092" w:rsidRPr="0049621B">
        <w:rPr>
          <w:rFonts w:ascii="Book Antiqua" w:hAnsi="Book Antiqua" w:cs="Book Antiqua"/>
          <w:color w:val="000000"/>
          <w:sz w:val="24"/>
        </w:rPr>
        <w:t>Evidence indicates that changes in intestinal mucosal permeability caused by a dysfunctional gut microbiota and metabolites produced by bacteria initiate the development of obesity-related metabolic diseases</w:t>
      </w:r>
      <w:r w:rsidR="00242092" w:rsidRPr="0049621B">
        <w:rPr>
          <w:rFonts w:ascii="Book Antiqua" w:hAnsi="Book Antiqua" w:cs="Book Antiqua"/>
          <w:color w:val="000000"/>
          <w:sz w:val="24"/>
        </w:rPr>
        <w:fldChar w:fldCharType="begin"/>
      </w:r>
      <w:r w:rsidR="00242092" w:rsidRPr="0049621B">
        <w:rPr>
          <w:rFonts w:ascii="Book Antiqua" w:hAnsi="Book Antiqua" w:cs="Book Antiqua"/>
          <w:color w:val="000000"/>
          <w:sz w:val="24"/>
        </w:rPr>
        <w:instrText xml:space="preserve"> ADDIN EN.CITE </w:instrText>
      </w:r>
      <w:r w:rsidR="00242092" w:rsidRPr="0049621B">
        <w:rPr>
          <w:rFonts w:ascii="Book Antiqua" w:hAnsi="Book Antiqua" w:cs="Book Antiqua"/>
          <w:color w:val="000000"/>
          <w:sz w:val="24"/>
        </w:rPr>
        <w:fldChar w:fldCharType="begin"/>
      </w:r>
      <w:r w:rsidR="00242092" w:rsidRPr="0049621B">
        <w:rPr>
          <w:rFonts w:ascii="Book Antiqua" w:hAnsi="Book Antiqua" w:cs="Book Antiqua"/>
          <w:color w:val="000000"/>
          <w:sz w:val="24"/>
        </w:rPr>
        <w:instrText xml:space="preserve"> ADDIN EN.CITE.DATA </w:instrText>
      </w:r>
      <w:r w:rsidR="00242092" w:rsidRPr="0049621B">
        <w:rPr>
          <w:rFonts w:ascii="Book Antiqua" w:hAnsi="Book Antiqua" w:cs="Book Antiqua"/>
          <w:color w:val="000000"/>
          <w:sz w:val="24"/>
        </w:rPr>
        <w:fldChar w:fldCharType="end"/>
      </w:r>
      <w:r w:rsidR="00242092" w:rsidRPr="0049621B">
        <w:rPr>
          <w:rFonts w:ascii="Book Antiqua" w:hAnsi="Book Antiqua" w:cs="Book Antiqua"/>
          <w:color w:val="000000"/>
          <w:sz w:val="24"/>
        </w:rPr>
        <w:fldChar w:fldCharType="separate"/>
      </w:r>
      <w:r w:rsidRPr="0049621B">
        <w:rPr>
          <w:rFonts w:ascii="Book Antiqua" w:hAnsi="Book Antiqua" w:cs="Book Antiqua"/>
          <w:color w:val="000000"/>
          <w:sz w:val="24"/>
          <w:vertAlign w:val="superscript"/>
          <w:lang w:eastAsia="zh-CN"/>
        </w:rPr>
        <w:t>[7,</w:t>
      </w:r>
      <w:r w:rsidR="00242092" w:rsidRPr="0049621B">
        <w:rPr>
          <w:rFonts w:ascii="Book Antiqua" w:hAnsi="Book Antiqua" w:cs="Book Antiqua"/>
          <w:color w:val="000000"/>
          <w:sz w:val="24"/>
          <w:vertAlign w:val="superscript"/>
          <w:lang w:eastAsia="zh-CN"/>
        </w:rPr>
        <w:t>8]</w:t>
      </w:r>
      <w:r w:rsidR="00242092" w:rsidRPr="0049621B">
        <w:rPr>
          <w:rFonts w:ascii="Book Antiqua" w:hAnsi="Book Antiqua" w:cs="Book Antiqua"/>
          <w:color w:val="000000"/>
          <w:sz w:val="24"/>
        </w:rPr>
        <w:fldChar w:fldCharType="end"/>
      </w:r>
      <w:r w:rsidR="00242092" w:rsidRPr="0049621B">
        <w:rPr>
          <w:rFonts w:ascii="Book Antiqua" w:hAnsi="Book Antiqua" w:cs="Book Antiqua"/>
          <w:color w:val="000000"/>
          <w:sz w:val="24"/>
        </w:rPr>
        <w:t>. Lipopolysaccharides (LPS) derived from the gut microbiota are effective inflammation-inducing agents and play important roles in the occurrence and development of inflammation and related NAFLD</w:t>
      </w:r>
      <w:r w:rsidR="00242092" w:rsidRPr="0049621B">
        <w:rPr>
          <w:rFonts w:ascii="Book Antiqua" w:hAnsi="Book Antiqua" w:cs="Book Antiqua"/>
          <w:color w:val="000000"/>
          <w:sz w:val="24"/>
        </w:rPr>
        <w:fldChar w:fldCharType="begin"/>
      </w:r>
      <w:r w:rsidR="00242092" w:rsidRPr="0049621B">
        <w:rPr>
          <w:rFonts w:ascii="Book Antiqua" w:hAnsi="Book Antiqua" w:cs="Book Antiqua"/>
          <w:color w:val="000000"/>
          <w:sz w:val="24"/>
        </w:rPr>
        <w:instrText xml:space="preserve"> ADDIN EN.CITE </w:instrText>
      </w:r>
      <w:r w:rsidR="00242092" w:rsidRPr="0049621B">
        <w:rPr>
          <w:rFonts w:ascii="Book Antiqua" w:hAnsi="Book Antiqua" w:cs="Book Antiqua"/>
          <w:color w:val="000000"/>
          <w:sz w:val="24"/>
        </w:rPr>
        <w:fldChar w:fldCharType="begin"/>
      </w:r>
      <w:r w:rsidR="00242092" w:rsidRPr="0049621B">
        <w:rPr>
          <w:rFonts w:ascii="Book Antiqua" w:hAnsi="Book Antiqua" w:cs="Book Antiqua"/>
          <w:color w:val="000000"/>
          <w:sz w:val="24"/>
        </w:rPr>
        <w:instrText xml:space="preserve"> ADDIN EN.CITE.DATA </w:instrText>
      </w:r>
      <w:r w:rsidR="00242092" w:rsidRPr="0049621B">
        <w:rPr>
          <w:rFonts w:ascii="Book Antiqua" w:hAnsi="Book Antiqua" w:cs="Book Antiqua"/>
          <w:color w:val="000000"/>
          <w:sz w:val="24"/>
        </w:rPr>
        <w:fldChar w:fldCharType="end"/>
      </w:r>
      <w:r w:rsidR="00242092" w:rsidRPr="0049621B">
        <w:rPr>
          <w:rFonts w:ascii="Book Antiqua" w:hAnsi="Book Antiqua" w:cs="Book Antiqua"/>
          <w:color w:val="000000"/>
          <w:sz w:val="24"/>
        </w:rPr>
        <w:fldChar w:fldCharType="separate"/>
      </w:r>
      <w:r w:rsidRPr="0049621B">
        <w:rPr>
          <w:rFonts w:ascii="Book Antiqua" w:hAnsi="Book Antiqua" w:cs="Book Antiqua"/>
          <w:color w:val="000000"/>
          <w:sz w:val="24"/>
          <w:vertAlign w:val="superscript"/>
          <w:lang w:eastAsia="zh-CN"/>
        </w:rPr>
        <w:t>[7,</w:t>
      </w:r>
      <w:r w:rsidR="00242092" w:rsidRPr="0049621B">
        <w:rPr>
          <w:rFonts w:ascii="Book Antiqua" w:hAnsi="Book Antiqua" w:cs="Book Antiqua"/>
          <w:color w:val="000000"/>
          <w:sz w:val="24"/>
          <w:vertAlign w:val="superscript"/>
          <w:lang w:eastAsia="zh-CN"/>
        </w:rPr>
        <w:t>9]</w:t>
      </w:r>
      <w:r w:rsidR="00242092" w:rsidRPr="0049621B">
        <w:rPr>
          <w:rFonts w:ascii="Book Antiqua" w:hAnsi="Book Antiqua" w:cs="Book Antiqua"/>
          <w:color w:val="000000"/>
          <w:sz w:val="24"/>
        </w:rPr>
        <w:fldChar w:fldCharType="end"/>
      </w:r>
      <w:r w:rsidR="00242092" w:rsidRPr="0049621B">
        <w:rPr>
          <w:rFonts w:ascii="Book Antiqua" w:hAnsi="Book Antiqua" w:cs="Book Antiqua"/>
          <w:color w:val="000000"/>
          <w:sz w:val="24"/>
        </w:rPr>
        <w:t>. A high-fat diet is associated with elevated systemic circulating levels of LPS (endotoxemia). Moreover, it cause</w:t>
      </w:r>
      <w:r w:rsidRPr="0049621B">
        <w:rPr>
          <w:rFonts w:ascii="Book Antiqua" w:hAnsi="Book Antiqua" w:cs="Book Antiqua"/>
          <w:color w:val="000000"/>
          <w:sz w:val="24"/>
        </w:rPr>
        <w:t>s</w:t>
      </w:r>
      <w:r w:rsidR="00242092" w:rsidRPr="0049621B">
        <w:rPr>
          <w:rFonts w:ascii="Book Antiqua" w:hAnsi="Book Antiqua" w:cs="Book Antiqua"/>
          <w:color w:val="000000"/>
          <w:sz w:val="24"/>
        </w:rPr>
        <w:t xml:space="preserve"> an imbalance in the gut microbiota, especially by chang</w:t>
      </w:r>
      <w:r w:rsidR="00B31DF1" w:rsidRPr="0049621B">
        <w:rPr>
          <w:rFonts w:ascii="Book Antiqua" w:hAnsi="Book Antiqua" w:cs="Book Antiqua"/>
          <w:color w:val="000000"/>
          <w:sz w:val="24"/>
        </w:rPr>
        <w:t>ing</w:t>
      </w:r>
      <w:r w:rsidR="00242092" w:rsidRPr="0049621B">
        <w:rPr>
          <w:rFonts w:ascii="Book Antiqua" w:hAnsi="Book Antiqua" w:cs="Book Antiqua"/>
          <w:color w:val="000000"/>
          <w:sz w:val="24"/>
        </w:rPr>
        <w:t xml:space="preserve"> the proportion of </w:t>
      </w:r>
      <w:r w:rsidR="00242092" w:rsidRPr="0049621B">
        <w:rPr>
          <w:rFonts w:ascii="Book Antiqua" w:hAnsi="Book Antiqua" w:cs="Book Antiqua"/>
          <w:i/>
          <w:color w:val="000000"/>
          <w:sz w:val="24"/>
        </w:rPr>
        <w:t>Firmicutes</w:t>
      </w:r>
      <w:r w:rsidR="00242092" w:rsidRPr="0049621B">
        <w:rPr>
          <w:rFonts w:ascii="Book Antiqua" w:hAnsi="Book Antiqua" w:cs="Book Antiqua"/>
          <w:color w:val="000000"/>
          <w:sz w:val="24"/>
        </w:rPr>
        <w:t xml:space="preserve"> and </w:t>
      </w:r>
      <w:r w:rsidR="00242092" w:rsidRPr="0049621B">
        <w:rPr>
          <w:rFonts w:ascii="Book Antiqua" w:hAnsi="Book Antiqua" w:cs="Book Antiqua"/>
          <w:i/>
          <w:color w:val="000000"/>
          <w:sz w:val="24"/>
        </w:rPr>
        <w:t>Bacteroides</w:t>
      </w:r>
      <w:r w:rsidR="00B31DF1" w:rsidRPr="0049621B">
        <w:rPr>
          <w:rFonts w:ascii="Book Antiqua" w:hAnsi="Book Antiqua" w:cs="Book Antiqua"/>
          <w:color w:val="000000"/>
          <w:sz w:val="24"/>
        </w:rPr>
        <w:t xml:space="preserve">, </w:t>
      </w:r>
      <w:r w:rsidR="00242092" w:rsidRPr="0049621B">
        <w:rPr>
          <w:rFonts w:ascii="Book Antiqua" w:hAnsi="Book Antiqua" w:cs="Book Antiqua"/>
          <w:color w:val="000000"/>
          <w:sz w:val="24"/>
        </w:rPr>
        <w:t xml:space="preserve">and </w:t>
      </w:r>
      <w:r w:rsidR="00B31DF1" w:rsidRPr="0049621B">
        <w:rPr>
          <w:rFonts w:ascii="Book Antiqua" w:hAnsi="Book Antiqua" w:cs="Book Antiqua"/>
          <w:color w:val="000000"/>
          <w:sz w:val="24"/>
        </w:rPr>
        <w:t>this is</w:t>
      </w:r>
      <w:r w:rsidR="00242092" w:rsidRPr="0049621B">
        <w:rPr>
          <w:rFonts w:ascii="Book Antiqua" w:hAnsi="Book Antiqua" w:cs="Book Antiqua"/>
          <w:color w:val="000000"/>
          <w:sz w:val="24"/>
        </w:rPr>
        <w:t xml:space="preserve"> thought to play a key role in the pathogenesis of NAFLD</w:t>
      </w:r>
      <w:r w:rsidR="00242092" w:rsidRPr="0049621B">
        <w:rPr>
          <w:rFonts w:ascii="Book Antiqua" w:hAnsi="Book Antiqua" w:cs="Book Antiqua"/>
          <w:color w:val="000000"/>
          <w:sz w:val="24"/>
        </w:rPr>
        <w:fldChar w:fldCharType="begin"/>
      </w:r>
      <w:r w:rsidR="00242092" w:rsidRPr="0049621B">
        <w:rPr>
          <w:rFonts w:ascii="Book Antiqua" w:hAnsi="Book Antiqua" w:cs="Book Antiqua"/>
          <w:color w:val="000000"/>
          <w:sz w:val="24"/>
        </w:rPr>
        <w:instrText xml:space="preserve"> ADDIN EN.CITE </w:instrText>
      </w:r>
      <w:r w:rsidR="00242092" w:rsidRPr="0049621B">
        <w:rPr>
          <w:rFonts w:ascii="Book Antiqua" w:hAnsi="Book Antiqua" w:cs="Book Antiqua"/>
          <w:color w:val="000000"/>
          <w:sz w:val="24"/>
        </w:rPr>
        <w:fldChar w:fldCharType="begin"/>
      </w:r>
      <w:r w:rsidR="00242092" w:rsidRPr="0049621B">
        <w:rPr>
          <w:rFonts w:ascii="Book Antiqua" w:hAnsi="Book Antiqua" w:cs="Book Antiqua"/>
          <w:color w:val="000000"/>
          <w:sz w:val="24"/>
        </w:rPr>
        <w:instrText xml:space="preserve"> ADDIN EN.CITE.DATA </w:instrText>
      </w:r>
      <w:r w:rsidR="00242092" w:rsidRPr="0049621B">
        <w:rPr>
          <w:rFonts w:ascii="Book Antiqua" w:hAnsi="Book Antiqua" w:cs="Book Antiqua"/>
          <w:color w:val="000000"/>
          <w:sz w:val="24"/>
        </w:rPr>
        <w:fldChar w:fldCharType="end"/>
      </w:r>
      <w:r w:rsidR="00242092" w:rsidRPr="0049621B">
        <w:rPr>
          <w:rFonts w:ascii="Book Antiqua" w:hAnsi="Book Antiqua" w:cs="Book Antiqua"/>
          <w:color w:val="000000"/>
          <w:sz w:val="24"/>
        </w:rPr>
        <w:fldChar w:fldCharType="separate"/>
      </w:r>
      <w:r w:rsidR="00242092" w:rsidRPr="0049621B">
        <w:rPr>
          <w:rFonts w:ascii="Book Antiqua" w:hAnsi="Book Antiqua" w:cs="Book Antiqua"/>
          <w:color w:val="000000"/>
          <w:sz w:val="24"/>
          <w:vertAlign w:val="superscript"/>
          <w:lang w:eastAsia="zh-CN"/>
        </w:rPr>
        <w:t>[10]</w:t>
      </w:r>
      <w:r w:rsidR="00242092" w:rsidRPr="0049621B">
        <w:rPr>
          <w:rFonts w:ascii="Book Antiqua" w:hAnsi="Book Antiqua" w:cs="Book Antiqua"/>
          <w:color w:val="000000"/>
          <w:sz w:val="24"/>
        </w:rPr>
        <w:fldChar w:fldCharType="end"/>
      </w:r>
      <w:r w:rsidR="00242092" w:rsidRPr="0049621B">
        <w:rPr>
          <w:rFonts w:ascii="Book Antiqua" w:hAnsi="Book Antiqua" w:cs="Book Antiqua"/>
          <w:color w:val="000000"/>
          <w:sz w:val="24"/>
        </w:rPr>
        <w:t>. The treatment of mice with broad-spectrum antibiotics can reshape the gut microbiota and improve insulin sensitivity</w:t>
      </w:r>
      <w:r w:rsidR="00242092" w:rsidRPr="0049621B">
        <w:rPr>
          <w:rFonts w:ascii="Book Antiqua" w:hAnsi="Book Antiqua" w:cs="Book Antiqua"/>
          <w:color w:val="000000"/>
          <w:sz w:val="24"/>
        </w:rPr>
        <w:fldChar w:fldCharType="begin"/>
      </w:r>
      <w:r w:rsidR="00242092" w:rsidRPr="0049621B">
        <w:rPr>
          <w:rFonts w:ascii="Book Antiqua" w:hAnsi="Book Antiqua" w:cs="Book Antiqua"/>
          <w:color w:val="000000"/>
          <w:sz w:val="24"/>
        </w:rPr>
        <w:instrText xml:space="preserve"> ADDIN EN.CITE </w:instrText>
      </w:r>
      <w:r w:rsidR="00242092" w:rsidRPr="0049621B">
        <w:rPr>
          <w:rFonts w:ascii="Book Antiqua" w:hAnsi="Book Antiqua" w:cs="Book Antiqua"/>
          <w:color w:val="000000"/>
          <w:sz w:val="24"/>
        </w:rPr>
        <w:fldChar w:fldCharType="begin"/>
      </w:r>
      <w:r w:rsidR="00242092" w:rsidRPr="0049621B">
        <w:rPr>
          <w:rFonts w:ascii="Book Antiqua" w:hAnsi="Book Antiqua" w:cs="Book Antiqua"/>
          <w:color w:val="000000"/>
          <w:sz w:val="24"/>
        </w:rPr>
        <w:instrText xml:space="preserve"> ADDIN EN.CITE.DATA </w:instrText>
      </w:r>
      <w:r w:rsidR="00242092" w:rsidRPr="0049621B">
        <w:rPr>
          <w:rFonts w:ascii="Book Antiqua" w:hAnsi="Book Antiqua" w:cs="Book Antiqua"/>
          <w:color w:val="000000"/>
          <w:sz w:val="24"/>
        </w:rPr>
        <w:fldChar w:fldCharType="end"/>
      </w:r>
      <w:r w:rsidR="00242092" w:rsidRPr="0049621B">
        <w:rPr>
          <w:rFonts w:ascii="Book Antiqua" w:hAnsi="Book Antiqua" w:cs="Book Antiqua"/>
          <w:color w:val="000000"/>
          <w:sz w:val="24"/>
        </w:rPr>
        <w:fldChar w:fldCharType="separate"/>
      </w:r>
      <w:r w:rsidR="00242092" w:rsidRPr="0049621B">
        <w:rPr>
          <w:rFonts w:ascii="Book Antiqua" w:hAnsi="Book Antiqua" w:cs="Book Antiqua"/>
          <w:color w:val="000000"/>
          <w:sz w:val="24"/>
          <w:vertAlign w:val="superscript"/>
          <w:lang w:eastAsia="zh-CN"/>
        </w:rPr>
        <w:t>[11]</w:t>
      </w:r>
      <w:r w:rsidR="00242092" w:rsidRPr="0049621B">
        <w:rPr>
          <w:rFonts w:ascii="Book Antiqua" w:hAnsi="Book Antiqua" w:cs="Book Antiqua"/>
          <w:color w:val="000000"/>
          <w:sz w:val="24"/>
        </w:rPr>
        <w:fldChar w:fldCharType="end"/>
      </w:r>
      <w:r w:rsidR="00242092" w:rsidRPr="0049621B">
        <w:rPr>
          <w:rFonts w:ascii="Book Antiqua" w:hAnsi="Book Antiqua" w:cs="Book Antiqua"/>
          <w:color w:val="000000"/>
          <w:sz w:val="24"/>
        </w:rPr>
        <w:t>. Therefore, the gut microbiota is a potential source of pro-inflammatory molecules that can affect systemic metabolism and appear before the development of obesity and metabolic syndrome.</w:t>
      </w:r>
    </w:p>
    <w:p w:rsidR="00242092" w:rsidRPr="0049621B" w:rsidRDefault="00242092" w:rsidP="0049621B">
      <w:pPr>
        <w:adjustRightInd w:val="0"/>
        <w:snapToGrid w:val="0"/>
        <w:spacing w:line="360" w:lineRule="auto"/>
        <w:ind w:firstLine="240"/>
        <w:rPr>
          <w:rFonts w:ascii="Book Antiqua" w:hAnsi="Book Antiqua" w:cs="Book Antiqua"/>
          <w:color w:val="000000"/>
          <w:sz w:val="24"/>
        </w:rPr>
      </w:pPr>
      <w:r w:rsidRPr="0049621B">
        <w:rPr>
          <w:rFonts w:ascii="Book Antiqua" w:hAnsi="Book Antiqua" w:cs="Book Antiqua"/>
          <w:color w:val="000000"/>
          <w:sz w:val="24"/>
        </w:rPr>
        <w:t>Proanthocyanidins are polyphenolic plant compounds that are naturally present in the diet</w:t>
      </w:r>
      <w:r w:rsidRPr="0049621B">
        <w:rPr>
          <w:rFonts w:ascii="Book Antiqua" w:hAnsi="Book Antiqua" w:cs="Book Antiqua"/>
          <w:color w:val="000000"/>
          <w:sz w:val="24"/>
        </w:rPr>
        <w:fldChar w:fldCharType="begin"/>
      </w:r>
      <w:r w:rsidRPr="0049621B">
        <w:rPr>
          <w:rFonts w:ascii="Book Antiqua" w:hAnsi="Book Antiqua" w:cs="Book Antiqua"/>
          <w:color w:val="000000"/>
          <w:sz w:val="24"/>
        </w:rPr>
        <w:instrText xml:space="preserve"> ADDIN EN.CITE &lt;EndNote&gt;&lt;Cite&gt;&lt;Author&gt;Blade&lt;/Author&gt;&lt;Year&gt;2010&lt;/Year&gt;&lt;RecNum&gt;269&lt;/RecNum&gt;&lt;DisplayText&gt;&lt;style face="superscript"&gt;[12]&lt;/style&gt;&lt;/DisplayText&gt;&lt;record&gt;&lt;rec-number&gt;269&lt;/rec-number&gt;&lt;foreign-keys&gt;&lt;key app="EN" db-id="t0rz9rwwc5zd2re0rr5xepf7rd9xztdse0tf" timestamp="1543144690"&gt;269&lt;/key&gt;&lt;/foreign-keys&gt;&lt;ref-type name="Journal Article"&gt;17&lt;/ref-type&gt;&lt;contributors&gt;&lt;authors&gt;&lt;author&gt;Blade, C.&lt;/author&gt;&lt;author&gt;Arola, L.&lt;/author&gt;&lt;author&gt;Salvado, M. J.&lt;/author&gt;&lt;/authors&gt;&lt;/contributors&gt;&lt;auth-address&gt;Nutrigenomics Group, Department of Biochemistry and Biotechnology, Rovira i Virgili University, Tarragona, Spain. mariacinta.blade@urv.cat&lt;/auth-address&gt;&lt;titles&gt;&lt;title&gt;Hypolipidemic effects of proanthocyanidins and their underlying biochemical and molecular mechanisms&lt;/title&gt;&lt;secondary-title&gt;Mol Nutr Food Res&lt;/secondary-title&gt;&lt;/titles&gt;&lt;periodical&gt;&lt;full-title&gt;Mol Nutr Food Res&lt;/full-title&gt;&lt;/periodical&gt;&lt;pages&gt;37-59&lt;/pages&gt;&lt;volume&gt;54&lt;/volume&gt;&lt;number&gt;1&lt;/number&gt;&lt;keywords&gt;&lt;keyword&gt;Animals&lt;/keyword&gt;&lt;keyword&gt;Apolipoproteins B/blood/metabolism&lt;/keyword&gt;&lt;keyword&gt;Cholesterol, HDL/blood/metabolism&lt;/keyword&gt;&lt;keyword&gt;Cholesterol, LDL/blood/metabolism&lt;/keyword&gt;&lt;keyword&gt;Diet&lt;/keyword&gt;&lt;keyword&gt;Humans&lt;/keyword&gt;&lt;keyword&gt;Hypolipidemic Agents/*pharmacology&lt;/keyword&gt;&lt;keyword&gt;Lipid Metabolism/*drug effects&lt;/keyword&gt;&lt;keyword&gt;Phytotherapy&lt;/keyword&gt;&lt;keyword&gt;Proanthocyanidins/*pharmacology&lt;/keyword&gt;&lt;keyword&gt;Triglycerides/blood/metabolism&lt;/keyword&gt;&lt;/keywords&gt;&lt;dates&gt;&lt;year&gt;2010&lt;/year&gt;&lt;pub-dates&gt;&lt;date&gt;Jan&lt;/date&gt;&lt;/pub-dates&gt;&lt;/dates&gt;&lt;isbn&gt;1613-4133 (Electronic)&amp;#xD;1613-4125 (Linking)&lt;/isbn&gt;&lt;accession-num&gt;19960459&lt;/accession-num&gt;&lt;urls&gt;&lt;related-urls&gt;&lt;url&gt;https://www.ncbi.nlm.nih.gov/pubmed/19960459&lt;/url&gt;&lt;/related-urls&gt;&lt;/urls&gt;&lt;electronic-resource-num&gt;10.1002/mnfr.200900476&lt;/electronic-resource-num&gt;&lt;/record&gt;&lt;/Cite&gt;&lt;/EndNote&gt;</w:instrText>
      </w:r>
      <w:r w:rsidRPr="0049621B">
        <w:rPr>
          <w:rFonts w:ascii="Book Antiqua" w:hAnsi="Book Antiqua" w:cs="Book Antiqua"/>
          <w:color w:val="000000"/>
          <w:sz w:val="24"/>
        </w:rPr>
        <w:fldChar w:fldCharType="separate"/>
      </w:r>
      <w:r w:rsidRPr="0049621B">
        <w:rPr>
          <w:rFonts w:ascii="Book Antiqua" w:hAnsi="Book Antiqua" w:cs="Book Antiqua"/>
          <w:color w:val="000000"/>
          <w:sz w:val="24"/>
          <w:vertAlign w:val="superscript"/>
          <w:lang w:eastAsia="zh-CN"/>
        </w:rPr>
        <w:t>[12]</w:t>
      </w:r>
      <w:r w:rsidRPr="0049621B">
        <w:rPr>
          <w:rFonts w:ascii="Book Antiqua" w:hAnsi="Book Antiqua" w:cs="Book Antiqua"/>
          <w:color w:val="000000"/>
          <w:sz w:val="24"/>
        </w:rPr>
        <w:fldChar w:fldCharType="end"/>
      </w:r>
      <w:r w:rsidRPr="0049621B">
        <w:rPr>
          <w:rFonts w:ascii="Book Antiqua" w:hAnsi="Book Antiqua" w:cs="Book Antiqua"/>
          <w:color w:val="000000"/>
          <w:sz w:val="24"/>
        </w:rPr>
        <w:t xml:space="preserve">. Owing to their anti-oxidative, anti-inflammatory, and anti-atherogenic properties, they have been studied extensively. Procyanidin B2 (PB2), an oligomeric anthocyanin precursor, is widely distributed in grapes, cranberries, and other berries. </w:t>
      </w:r>
      <w:r w:rsidRPr="0049621B">
        <w:rPr>
          <w:rFonts w:ascii="Book Antiqua" w:hAnsi="Book Antiqua" w:cs="Book Antiqua"/>
          <w:color w:val="000000"/>
          <w:sz w:val="24"/>
        </w:rPr>
        <w:lastRenderedPageBreak/>
        <w:t>PB2 has been reported to improve dyslipidemia, hyperglycemia, and oxidative stress in individuals with metabolic syndrome through its anti-oxidative properties</w:t>
      </w:r>
      <w:r w:rsidRPr="0049621B">
        <w:rPr>
          <w:rFonts w:ascii="Book Antiqua" w:hAnsi="Book Antiqua" w:cs="Book Antiqua"/>
          <w:color w:val="000000"/>
          <w:sz w:val="24"/>
        </w:rPr>
        <w:fldChar w:fldCharType="begin"/>
      </w:r>
      <w:r w:rsidRPr="0049621B">
        <w:rPr>
          <w:rFonts w:ascii="Book Antiqua" w:hAnsi="Book Antiqua" w:cs="Book Antiqua"/>
          <w:color w:val="000000"/>
          <w:sz w:val="24"/>
        </w:rPr>
        <w:instrText xml:space="preserve"> ADDIN EN.CITE &lt;EndNote&gt;&lt;Cite&gt;&lt;Author&gt;Baba&lt;/Author&gt;&lt;Year&gt;2002&lt;/Year&gt;&lt;RecNum&gt;267&lt;/RecNum&gt;&lt;DisplayText&gt;&lt;style face="superscript"&gt;[13]&lt;/style&gt;&lt;/DisplayText&gt;&lt;record&gt;&lt;rec-number&gt;267&lt;/rec-number&gt;&lt;foreign-keys&gt;&lt;key app="EN" db-id="t0rz9rwwc5zd2re0rr5xepf7rd9xztdse0tf" timestamp="1543144690"&gt;267&lt;/key&gt;&lt;/foreign-keys&gt;&lt;ref-type name="Journal Article"&gt;17&lt;/ref-type&gt;&lt;contributors&gt;&lt;authors&gt;&lt;author&gt;Baba, S.&lt;/author&gt;&lt;author&gt;Osakabe, N.&lt;/author&gt;&lt;author&gt;Natsume, M.&lt;/author&gt;&lt;author&gt;Terao, J.&lt;/author&gt;&lt;/authors&gt;&lt;/contributors&gt;&lt;auth-address&gt;Nutritional Science Center, Health Laboratory, Meiji Seika Kaisha, Ltd., Sakado-shi, Saitama, Japan. seigo_baba@meiji.co.jp&lt;/auth-address&gt;&lt;titles&gt;&lt;title&gt;Absorption and urinary excretion of procyanidin B2 [epicatechin-(4beta-8)-epicatechin] in rats&lt;/title&gt;&lt;secondary-title&gt;Free Radic Biol Med&lt;/secondary-title&gt;&lt;/titles&gt;&lt;periodical&gt;&lt;full-title&gt;Free Radic Biol Med&lt;/full-title&gt;&lt;/periodical&gt;&lt;pages&gt;142-8&lt;/pages&gt;&lt;volume&gt;33&lt;/volume&gt;&lt;number&gt;1&lt;/number&gt;&lt;keywords&gt;&lt;keyword&gt;Administration, Oral&lt;/keyword&gt;&lt;keyword&gt;Animals&lt;/keyword&gt;&lt;keyword&gt;Antioxidants/*pharmacokinetics&lt;/keyword&gt;&lt;keyword&gt;*Biflavonoids&lt;/keyword&gt;&lt;keyword&gt;Biological Availability&lt;/keyword&gt;&lt;keyword&gt;Catechin/*pharmacokinetics/urine&lt;/keyword&gt;&lt;keyword&gt;Chromatography, High Pressure Liquid&lt;/keyword&gt;&lt;keyword&gt;Copper Sulfate/pharmacology&lt;/keyword&gt;&lt;keyword&gt;Intestinal Absorption&lt;/keyword&gt;&lt;keyword&gt;Lipid Peroxides/metabolism&lt;/keyword&gt;&lt;keyword&gt;Male&lt;/keyword&gt;&lt;keyword&gt;Mass Spectrometry&lt;/keyword&gt;&lt;keyword&gt;*Proanthocyanidins&lt;/keyword&gt;&lt;keyword&gt;Rats&lt;/keyword&gt;&lt;keyword&gt;Rats, Sprague-Dawley&lt;/keyword&gt;&lt;/keywords&gt;&lt;dates&gt;&lt;year&gt;2002&lt;/year&gt;&lt;pub-dates&gt;&lt;date&gt;Jul 1&lt;/date&gt;&lt;/pub-dates&gt;&lt;/dates&gt;&lt;isbn&gt;0891-5849 (Print)&amp;#xD;0891-5849 (Linking)&lt;/isbn&gt;&lt;accession-num&gt;12086692&lt;/accession-num&gt;&lt;urls&gt;&lt;related-urls&gt;&lt;url&gt;https://www.ncbi.nlm.nih.gov/pubmed/12086692&lt;/url&gt;&lt;/related-urls&gt;&lt;/urls&gt;&lt;/record&gt;&lt;/Cite&gt;&lt;/EndNote&gt;</w:instrText>
      </w:r>
      <w:r w:rsidRPr="0049621B">
        <w:rPr>
          <w:rFonts w:ascii="Book Antiqua" w:hAnsi="Book Antiqua" w:cs="Book Antiqua"/>
          <w:color w:val="000000"/>
          <w:sz w:val="24"/>
        </w:rPr>
        <w:fldChar w:fldCharType="separate"/>
      </w:r>
      <w:r w:rsidRPr="0049621B">
        <w:rPr>
          <w:rFonts w:ascii="Book Antiqua" w:hAnsi="Book Antiqua" w:cs="Book Antiqua"/>
          <w:color w:val="000000"/>
          <w:sz w:val="24"/>
          <w:vertAlign w:val="superscript"/>
          <w:lang w:eastAsia="zh-CN"/>
        </w:rPr>
        <w:t>[13]</w:t>
      </w:r>
      <w:r w:rsidRPr="0049621B">
        <w:rPr>
          <w:rFonts w:ascii="Book Antiqua" w:hAnsi="Book Antiqua" w:cs="Book Antiqua"/>
          <w:color w:val="000000"/>
          <w:sz w:val="24"/>
        </w:rPr>
        <w:fldChar w:fldCharType="end"/>
      </w:r>
      <w:r w:rsidRPr="0049621B">
        <w:rPr>
          <w:rFonts w:ascii="Book Antiqua" w:hAnsi="Book Antiqua" w:cs="Book Antiqua"/>
          <w:color w:val="000000"/>
          <w:sz w:val="24"/>
        </w:rPr>
        <w:t>. However, PB2 is a natural plant compound, and its bioavailability in humans is low</w:t>
      </w:r>
      <w:r w:rsidRPr="0049621B">
        <w:rPr>
          <w:rFonts w:ascii="Book Antiqua" w:hAnsi="Book Antiqua" w:cs="Book Antiqua"/>
          <w:color w:val="000000"/>
          <w:sz w:val="24"/>
        </w:rPr>
        <w:fldChar w:fldCharType="begin"/>
      </w:r>
      <w:r w:rsidRPr="0049621B">
        <w:rPr>
          <w:rFonts w:ascii="Book Antiqua" w:hAnsi="Book Antiqua" w:cs="Book Antiqua"/>
          <w:color w:val="000000"/>
          <w:sz w:val="24"/>
        </w:rPr>
        <w:instrText xml:space="preserve"> ADDIN EN.CITE </w:instrText>
      </w:r>
      <w:r w:rsidRPr="0049621B">
        <w:rPr>
          <w:rFonts w:ascii="Book Antiqua" w:hAnsi="Book Antiqua" w:cs="Book Antiqua"/>
          <w:color w:val="000000"/>
          <w:sz w:val="24"/>
        </w:rPr>
        <w:fldChar w:fldCharType="begin"/>
      </w:r>
      <w:r w:rsidRPr="0049621B">
        <w:rPr>
          <w:rFonts w:ascii="Book Antiqua" w:hAnsi="Book Antiqua" w:cs="Book Antiqua"/>
          <w:color w:val="000000"/>
          <w:sz w:val="24"/>
        </w:rPr>
        <w:instrText xml:space="preserve"> ADDIN EN.CITE.DATA </w:instrText>
      </w:r>
      <w:r w:rsidRPr="0049621B">
        <w:rPr>
          <w:rFonts w:ascii="Book Antiqua" w:hAnsi="Book Antiqua" w:cs="Book Antiqua"/>
          <w:color w:val="000000"/>
          <w:sz w:val="24"/>
        </w:rPr>
        <w:fldChar w:fldCharType="end"/>
      </w:r>
      <w:r w:rsidRPr="0049621B">
        <w:rPr>
          <w:rFonts w:ascii="Book Antiqua" w:hAnsi="Book Antiqua" w:cs="Book Antiqua"/>
          <w:color w:val="000000"/>
          <w:sz w:val="24"/>
        </w:rPr>
        <w:fldChar w:fldCharType="separate"/>
      </w:r>
      <w:r w:rsidR="00FF7ABF" w:rsidRPr="0049621B">
        <w:rPr>
          <w:rFonts w:ascii="Book Antiqua" w:hAnsi="Book Antiqua" w:cs="Book Antiqua"/>
          <w:color w:val="000000"/>
          <w:sz w:val="24"/>
          <w:vertAlign w:val="superscript"/>
          <w:lang w:eastAsia="zh-CN"/>
        </w:rPr>
        <w:t>[12,</w:t>
      </w:r>
      <w:r w:rsidRPr="0049621B">
        <w:rPr>
          <w:rFonts w:ascii="Book Antiqua" w:hAnsi="Book Antiqua" w:cs="Book Antiqua"/>
          <w:color w:val="000000"/>
          <w:sz w:val="24"/>
          <w:vertAlign w:val="superscript"/>
          <w:lang w:eastAsia="zh-CN"/>
        </w:rPr>
        <w:t>14]</w:t>
      </w:r>
      <w:r w:rsidRPr="0049621B">
        <w:rPr>
          <w:rFonts w:ascii="Book Antiqua" w:hAnsi="Book Antiqua" w:cs="Book Antiqua"/>
          <w:color w:val="000000"/>
          <w:sz w:val="24"/>
        </w:rPr>
        <w:fldChar w:fldCharType="end"/>
      </w:r>
      <w:r w:rsidRPr="0049621B">
        <w:rPr>
          <w:rFonts w:ascii="Book Antiqua" w:hAnsi="Book Antiqua" w:cs="Book Antiqua"/>
          <w:color w:val="000000"/>
          <w:sz w:val="24"/>
        </w:rPr>
        <w:t xml:space="preserve">. The low levels of PB2 in the body make their superior effects difficult to explain. The mechanism underlying the beneficial effects of PB2 remains largely unknown. </w:t>
      </w:r>
      <w:r w:rsidR="00B31DF1" w:rsidRPr="0049621B">
        <w:rPr>
          <w:rFonts w:ascii="Book Antiqua" w:hAnsi="Book Antiqua" w:cs="Book Antiqua"/>
          <w:color w:val="000000"/>
          <w:sz w:val="24"/>
        </w:rPr>
        <w:t>Recent growing</w:t>
      </w:r>
      <w:r w:rsidRPr="0049621B">
        <w:rPr>
          <w:rFonts w:ascii="Book Antiqua" w:hAnsi="Book Antiqua" w:cs="Book Antiqua"/>
          <w:color w:val="000000"/>
          <w:sz w:val="24"/>
        </w:rPr>
        <w:t xml:space="preserve"> evidence shows that procyanidin has strong antimicrobial effects against bacteria, fungi, and viruses and can rejuvenate the gut microbiota for health benefits</w:t>
      </w:r>
      <w:r w:rsidRPr="0049621B">
        <w:rPr>
          <w:rFonts w:ascii="Book Antiqua" w:hAnsi="Book Antiqua" w:cs="Book Antiqua"/>
          <w:color w:val="000000"/>
          <w:sz w:val="24"/>
        </w:rPr>
        <w:fldChar w:fldCharType="begin"/>
      </w:r>
      <w:r w:rsidRPr="0049621B">
        <w:rPr>
          <w:rFonts w:ascii="Book Antiqua" w:hAnsi="Book Antiqua" w:cs="Book Antiqua"/>
          <w:color w:val="000000"/>
          <w:sz w:val="24"/>
        </w:rPr>
        <w:instrText xml:space="preserve"> ADDIN EN.CITE </w:instrText>
      </w:r>
      <w:r w:rsidRPr="0049621B">
        <w:rPr>
          <w:rFonts w:ascii="Book Antiqua" w:hAnsi="Book Antiqua" w:cs="Book Antiqua"/>
          <w:color w:val="000000"/>
          <w:sz w:val="24"/>
        </w:rPr>
        <w:fldChar w:fldCharType="begin"/>
      </w:r>
      <w:r w:rsidRPr="0049621B">
        <w:rPr>
          <w:rFonts w:ascii="Book Antiqua" w:hAnsi="Book Antiqua" w:cs="Book Antiqua"/>
          <w:color w:val="000000"/>
          <w:sz w:val="24"/>
        </w:rPr>
        <w:instrText xml:space="preserve"> ADDIN EN.CITE.DATA </w:instrText>
      </w:r>
      <w:r w:rsidRPr="0049621B">
        <w:rPr>
          <w:rFonts w:ascii="Book Antiqua" w:hAnsi="Book Antiqua" w:cs="Book Antiqua"/>
          <w:color w:val="000000"/>
          <w:sz w:val="24"/>
        </w:rPr>
        <w:fldChar w:fldCharType="end"/>
      </w:r>
      <w:r w:rsidRPr="0049621B">
        <w:rPr>
          <w:rFonts w:ascii="Book Antiqua" w:hAnsi="Book Antiqua" w:cs="Book Antiqua"/>
          <w:color w:val="000000"/>
          <w:sz w:val="24"/>
        </w:rPr>
        <w:fldChar w:fldCharType="separate"/>
      </w:r>
      <w:r w:rsidRPr="0049621B">
        <w:rPr>
          <w:rFonts w:ascii="Book Antiqua" w:hAnsi="Book Antiqua" w:cs="Book Antiqua"/>
          <w:color w:val="000000"/>
          <w:sz w:val="24"/>
          <w:vertAlign w:val="superscript"/>
          <w:lang w:eastAsia="zh-CN"/>
        </w:rPr>
        <w:t>[15]</w:t>
      </w:r>
      <w:r w:rsidRPr="0049621B">
        <w:rPr>
          <w:rFonts w:ascii="Book Antiqua" w:hAnsi="Book Antiqua" w:cs="Book Antiqua"/>
          <w:color w:val="000000"/>
          <w:sz w:val="24"/>
        </w:rPr>
        <w:fldChar w:fldCharType="end"/>
      </w:r>
      <w:r w:rsidRPr="0049621B">
        <w:rPr>
          <w:rFonts w:ascii="Book Antiqua" w:hAnsi="Book Antiqua" w:cs="Book Antiqua"/>
          <w:color w:val="000000"/>
          <w:sz w:val="24"/>
        </w:rPr>
        <w:t>. A diet supplemented with proanthocyanidins can regulate the microbial composition in pig intestines and reduce the infection rate of swine mites. Given the close association between metabolic syndrome, the gut microbiota, and PB2, the purpose of this study was to determine the effects of PB2 on the metabolism of a high-fat-fed New Zealand white rabbits and to determine whether these effects are related to modulation of the gut microbiota.</w:t>
      </w:r>
    </w:p>
    <w:p w:rsidR="00FF7ABF" w:rsidRPr="0049621B" w:rsidRDefault="00FF7ABF" w:rsidP="0049621B">
      <w:pPr>
        <w:adjustRightInd w:val="0"/>
        <w:snapToGrid w:val="0"/>
        <w:spacing w:line="360" w:lineRule="auto"/>
        <w:ind w:firstLine="240"/>
        <w:rPr>
          <w:rFonts w:ascii="Book Antiqua" w:hAnsi="Book Antiqua" w:cs="Book Antiqua"/>
          <w:color w:val="000000"/>
          <w:sz w:val="24"/>
        </w:rPr>
      </w:pPr>
    </w:p>
    <w:p w:rsidR="00242092" w:rsidRPr="0049621B" w:rsidRDefault="00242092" w:rsidP="0049621B">
      <w:pPr>
        <w:adjustRightInd w:val="0"/>
        <w:snapToGrid w:val="0"/>
        <w:spacing w:line="360" w:lineRule="auto"/>
        <w:outlineLvl w:val="0"/>
        <w:rPr>
          <w:rFonts w:ascii="Book Antiqua" w:hAnsi="Book Antiqua" w:cs="Book Antiqua"/>
          <w:b/>
          <w:color w:val="000000"/>
          <w:sz w:val="24"/>
        </w:rPr>
      </w:pPr>
      <w:r w:rsidRPr="0049621B">
        <w:rPr>
          <w:rFonts w:ascii="Book Antiqua" w:hAnsi="Book Antiqua" w:cs="Book Antiqua"/>
          <w:b/>
          <w:color w:val="000000"/>
          <w:sz w:val="24"/>
        </w:rPr>
        <w:t>MATIERIALS AND METHODS</w:t>
      </w:r>
    </w:p>
    <w:p w:rsidR="00242092" w:rsidRPr="0049621B" w:rsidRDefault="00242092" w:rsidP="0049621B">
      <w:pPr>
        <w:adjustRightInd w:val="0"/>
        <w:snapToGrid w:val="0"/>
        <w:spacing w:line="360" w:lineRule="auto"/>
        <w:outlineLvl w:val="0"/>
        <w:rPr>
          <w:rFonts w:ascii="Book Antiqua" w:hAnsi="Book Antiqua" w:cs="Book Antiqua"/>
          <w:b/>
          <w:i/>
          <w:color w:val="000000"/>
          <w:sz w:val="24"/>
        </w:rPr>
      </w:pPr>
      <w:r w:rsidRPr="0049621B">
        <w:rPr>
          <w:rFonts w:ascii="Book Antiqua" w:hAnsi="Book Antiqua" w:cs="Book Antiqua"/>
          <w:b/>
          <w:i/>
          <w:color w:val="000000"/>
          <w:sz w:val="24"/>
        </w:rPr>
        <w:t>Animal model, diet, and experimental procedures</w:t>
      </w:r>
    </w:p>
    <w:p w:rsidR="00242092" w:rsidRPr="0049621B" w:rsidRDefault="00242092" w:rsidP="0049621B">
      <w:pPr>
        <w:adjustRightInd w:val="0"/>
        <w:snapToGrid w:val="0"/>
        <w:spacing w:line="360" w:lineRule="auto"/>
        <w:rPr>
          <w:rFonts w:ascii="Book Antiqua" w:hAnsi="Book Antiqua" w:cs="Book Antiqua"/>
          <w:color w:val="000000"/>
          <w:sz w:val="24"/>
        </w:rPr>
      </w:pPr>
      <w:r w:rsidRPr="0049621B">
        <w:rPr>
          <w:rFonts w:ascii="Book Antiqua" w:hAnsi="Book Antiqua" w:cs="Book Antiqua"/>
          <w:color w:val="000000"/>
          <w:sz w:val="24"/>
        </w:rPr>
        <w:t>Thirty New Zealand white rabbits (male, 2</w:t>
      </w:r>
      <w:r w:rsidR="0049621B">
        <w:rPr>
          <w:rFonts w:ascii="Book Antiqua" w:hAnsi="Book Antiqua" w:cs="Book Antiqua"/>
          <w:color w:val="000000"/>
          <w:sz w:val="24"/>
        </w:rPr>
        <w:t>-</w:t>
      </w:r>
      <w:r w:rsidRPr="0049621B">
        <w:rPr>
          <w:rFonts w:ascii="Book Antiqua" w:hAnsi="Book Antiqua" w:cs="Book Antiqua"/>
          <w:color w:val="000000"/>
          <w:sz w:val="24"/>
        </w:rPr>
        <w:t>mo</w:t>
      </w:r>
      <w:r w:rsidR="0049621B">
        <w:rPr>
          <w:rFonts w:ascii="Book Antiqua" w:hAnsi="Book Antiqua" w:cs="Book Antiqua"/>
          <w:color w:val="000000"/>
          <w:sz w:val="24"/>
        </w:rPr>
        <w:t>-</w:t>
      </w:r>
      <w:r w:rsidRPr="0049621B">
        <w:rPr>
          <w:rFonts w:ascii="Book Antiqua" w:hAnsi="Book Antiqua" w:cs="Book Antiqua"/>
          <w:color w:val="000000"/>
          <w:sz w:val="24"/>
        </w:rPr>
        <w:t>old, mean weight 2.0 ± 0.2 kg) were purchased from Shanghai Silaike Experimental Animal Co. LTD (Shanghai, China). Rabbits were housed in individual cages at a controlled temperature (22 ± 2</w:t>
      </w:r>
      <w:r w:rsidR="00FF7ABF" w:rsidRPr="0049621B">
        <w:rPr>
          <w:rFonts w:ascii="Book Antiqua" w:hAnsi="Book Antiqua" w:cs="Book Antiqua"/>
          <w:color w:val="000000"/>
          <w:sz w:val="24"/>
        </w:rPr>
        <w:t xml:space="preserve"> </w:t>
      </w:r>
      <w:r w:rsidR="00B31DF1" w:rsidRPr="0049621B">
        <w:rPr>
          <w:rFonts w:ascii="Book Antiqua" w:hAnsi="Book Antiqua" w:cs="Book Antiqua"/>
          <w:color w:val="000000"/>
          <w:sz w:val="24"/>
        </w:rPr>
        <w:t>°C</w:t>
      </w:r>
      <w:r w:rsidRPr="0049621B">
        <w:rPr>
          <w:rFonts w:ascii="Book Antiqua" w:hAnsi="Book Antiqua" w:cs="Book Antiqua"/>
          <w:color w:val="000000"/>
          <w:sz w:val="24"/>
        </w:rPr>
        <w:t xml:space="preserve">), with a 12-h light/dark period. Animals were fed either a chow (standard diet: 20% corn, 30% grass powder, 20% cardamom, 25% </w:t>
      </w:r>
      <w:r w:rsidR="00B31DF1" w:rsidRPr="0049621B">
        <w:rPr>
          <w:rFonts w:ascii="Book Antiqua" w:hAnsi="Book Antiqua" w:cs="Book Antiqua"/>
          <w:color w:val="000000"/>
          <w:sz w:val="24"/>
        </w:rPr>
        <w:t>w</w:t>
      </w:r>
      <w:r w:rsidRPr="0049621B">
        <w:rPr>
          <w:rFonts w:ascii="Book Antiqua" w:hAnsi="Book Antiqua" w:cs="Book Antiqua"/>
          <w:color w:val="000000"/>
          <w:sz w:val="24"/>
        </w:rPr>
        <w:t xml:space="preserve">heat bran, 5% </w:t>
      </w:r>
      <w:r w:rsidR="00B31DF1" w:rsidRPr="0049621B">
        <w:rPr>
          <w:rFonts w:ascii="Book Antiqua" w:hAnsi="Book Antiqua" w:cs="Book Antiqua"/>
          <w:color w:val="000000"/>
          <w:sz w:val="24"/>
        </w:rPr>
        <w:t>m</w:t>
      </w:r>
      <w:r w:rsidRPr="0049621B">
        <w:rPr>
          <w:rFonts w:ascii="Book Antiqua" w:hAnsi="Book Antiqua" w:cs="Book Antiqua"/>
          <w:color w:val="000000"/>
          <w:sz w:val="24"/>
        </w:rPr>
        <w:t>ultivitamins, FBSH Biotechnology Inc.) or a high-fat-cholesterol diet</w:t>
      </w:r>
      <w:r w:rsidR="005312B2" w:rsidRPr="0049621B">
        <w:rPr>
          <w:rFonts w:ascii="Book Antiqua" w:hAnsi="Book Antiqua" w:cs="Book Antiqua"/>
          <w:color w:val="000000"/>
          <w:sz w:val="24"/>
        </w:rPr>
        <w:t xml:space="preserve"> (HCD)</w:t>
      </w:r>
      <w:r w:rsidRPr="0049621B">
        <w:rPr>
          <w:rFonts w:ascii="Book Antiqua" w:hAnsi="Book Antiqua" w:cs="Book Antiqua"/>
          <w:color w:val="000000"/>
          <w:sz w:val="24"/>
        </w:rPr>
        <w:t xml:space="preserve"> (10% lard, 0.5% </w:t>
      </w:r>
      <w:r w:rsidR="00B31DF1" w:rsidRPr="0049621B">
        <w:rPr>
          <w:rFonts w:ascii="Book Antiqua" w:hAnsi="Book Antiqua" w:cs="Book Antiqua"/>
          <w:color w:val="000000"/>
          <w:sz w:val="24"/>
        </w:rPr>
        <w:t>c</w:t>
      </w:r>
      <w:r w:rsidRPr="0049621B">
        <w:rPr>
          <w:rFonts w:ascii="Book Antiqua" w:hAnsi="Book Antiqua" w:cs="Book Antiqua"/>
          <w:color w:val="000000"/>
          <w:sz w:val="24"/>
        </w:rPr>
        <w:t xml:space="preserve">holesterol, 5% </w:t>
      </w:r>
      <w:r w:rsidR="00B31DF1" w:rsidRPr="0049621B">
        <w:rPr>
          <w:rFonts w:ascii="Book Antiqua" w:hAnsi="Book Antiqua" w:cs="Book Antiqua"/>
          <w:color w:val="000000"/>
          <w:sz w:val="24"/>
        </w:rPr>
        <w:t>s</w:t>
      </w:r>
      <w:r w:rsidRPr="0049621B">
        <w:rPr>
          <w:rFonts w:ascii="Book Antiqua" w:hAnsi="Book Antiqua" w:cs="Book Antiqua"/>
          <w:color w:val="000000"/>
          <w:sz w:val="24"/>
        </w:rPr>
        <w:t xml:space="preserve">ucrose, 1% </w:t>
      </w:r>
      <w:r w:rsidR="00B31DF1" w:rsidRPr="0049621B">
        <w:rPr>
          <w:rFonts w:ascii="Book Antiqua" w:hAnsi="Book Antiqua" w:cs="Book Antiqua"/>
          <w:color w:val="000000"/>
          <w:sz w:val="24"/>
        </w:rPr>
        <w:t>m</w:t>
      </w:r>
      <w:r w:rsidRPr="0049621B">
        <w:rPr>
          <w:rFonts w:ascii="Book Antiqua" w:hAnsi="Book Antiqua" w:cs="Book Antiqua"/>
          <w:color w:val="000000"/>
          <w:sz w:val="24"/>
        </w:rPr>
        <w:t xml:space="preserve">altodextrin, FBSH Biotechnology Inc.). After </w:t>
      </w:r>
      <w:r w:rsidR="00B31DF1" w:rsidRPr="0049621B">
        <w:rPr>
          <w:rFonts w:ascii="Book Antiqua" w:hAnsi="Book Antiqua" w:cs="Book Antiqua"/>
          <w:color w:val="000000"/>
          <w:sz w:val="24"/>
        </w:rPr>
        <w:t xml:space="preserve">2 </w:t>
      </w:r>
      <w:r w:rsidRPr="0049621B">
        <w:rPr>
          <w:rFonts w:ascii="Book Antiqua" w:hAnsi="Book Antiqua" w:cs="Book Antiqua"/>
          <w:color w:val="000000"/>
          <w:sz w:val="24"/>
        </w:rPr>
        <w:t>w</w:t>
      </w:r>
      <w:r w:rsidR="00B31DF1" w:rsidRPr="0049621B">
        <w:rPr>
          <w:rFonts w:ascii="Book Antiqua" w:hAnsi="Book Antiqua" w:cs="Book Antiqua"/>
          <w:color w:val="000000"/>
          <w:sz w:val="24"/>
        </w:rPr>
        <w:t>k</w:t>
      </w:r>
      <w:r w:rsidRPr="0049621B">
        <w:rPr>
          <w:rFonts w:ascii="Book Antiqua" w:hAnsi="Book Antiqua" w:cs="Book Antiqua"/>
          <w:color w:val="000000"/>
          <w:sz w:val="24"/>
        </w:rPr>
        <w:t xml:space="preserve"> of a high-fat, cholesterol diet, some rabbits were excluded because of very high (</w:t>
      </w:r>
      <w:r w:rsidR="00FF7ABF" w:rsidRPr="0049621B">
        <w:rPr>
          <w:rFonts w:ascii="Book Antiqua" w:hAnsi="Book Antiqua" w:cs="Book Antiqua"/>
          <w:color w:val="000000"/>
          <w:sz w:val="24"/>
        </w:rPr>
        <w:t xml:space="preserve">&gt; </w:t>
      </w:r>
      <w:r w:rsidRPr="0049621B">
        <w:rPr>
          <w:rFonts w:ascii="Book Antiqua" w:hAnsi="Book Antiqua" w:cs="Book Antiqua"/>
          <w:color w:val="000000"/>
          <w:sz w:val="24"/>
        </w:rPr>
        <w:t>2</w:t>
      </w:r>
      <w:r w:rsidR="00FF7ABF" w:rsidRPr="0049621B">
        <w:rPr>
          <w:rFonts w:ascii="Book Antiqua" w:hAnsi="Book Antiqua" w:cs="Book Antiqua"/>
          <w:color w:val="000000"/>
          <w:sz w:val="24"/>
        </w:rPr>
        <w:t xml:space="preserve"> </w:t>
      </w:r>
      <w:r w:rsidRPr="0049621B">
        <w:rPr>
          <w:rFonts w:ascii="Book Antiqua" w:hAnsi="Book Antiqua" w:cs="Book Antiqua"/>
          <w:color w:val="000000"/>
          <w:sz w:val="24"/>
        </w:rPr>
        <w:t>mmol/L) or low (</w:t>
      </w:r>
      <w:r w:rsidR="00FF7ABF" w:rsidRPr="0049621B">
        <w:rPr>
          <w:rFonts w:ascii="Book Antiqua" w:hAnsi="Book Antiqua" w:cs="Book Antiqua"/>
          <w:color w:val="000000"/>
          <w:sz w:val="24"/>
        </w:rPr>
        <w:t xml:space="preserve">&lt; </w:t>
      </w:r>
      <w:r w:rsidRPr="0049621B">
        <w:rPr>
          <w:rFonts w:ascii="Book Antiqua" w:hAnsi="Book Antiqua" w:cs="Book Antiqua"/>
          <w:color w:val="000000"/>
          <w:sz w:val="24"/>
        </w:rPr>
        <w:t>0.5</w:t>
      </w:r>
      <w:r w:rsidR="00FF7ABF" w:rsidRPr="0049621B">
        <w:rPr>
          <w:rFonts w:ascii="Book Antiqua" w:hAnsi="Book Antiqua" w:cs="Book Antiqua"/>
          <w:color w:val="000000"/>
          <w:sz w:val="24"/>
        </w:rPr>
        <w:t xml:space="preserve"> </w:t>
      </w:r>
      <w:r w:rsidRPr="0049621B">
        <w:rPr>
          <w:rFonts w:ascii="Book Antiqua" w:hAnsi="Book Antiqua" w:cs="Book Antiqua"/>
          <w:color w:val="000000"/>
          <w:sz w:val="24"/>
        </w:rPr>
        <w:t>mmol/L) cholesterol levels</w:t>
      </w:r>
      <w:r w:rsidRPr="0049621B">
        <w:rPr>
          <w:rFonts w:ascii="Book Antiqua" w:hAnsi="Book Antiqua" w:cs="Book Antiqua"/>
          <w:color w:val="000000"/>
          <w:sz w:val="24"/>
        </w:rPr>
        <w:fldChar w:fldCharType="begin"/>
      </w:r>
      <w:r w:rsidRPr="0049621B">
        <w:rPr>
          <w:rFonts w:ascii="Book Antiqua" w:hAnsi="Book Antiqua" w:cs="Book Antiqua"/>
          <w:color w:val="000000"/>
          <w:sz w:val="24"/>
        </w:rPr>
        <w:instrText xml:space="preserve"> ADDIN EN.CITE </w:instrText>
      </w:r>
      <w:r w:rsidRPr="0049621B">
        <w:rPr>
          <w:rFonts w:ascii="Book Antiqua" w:hAnsi="Book Antiqua" w:cs="Book Antiqua"/>
          <w:color w:val="000000"/>
          <w:sz w:val="24"/>
        </w:rPr>
        <w:fldChar w:fldCharType="begin"/>
      </w:r>
      <w:r w:rsidRPr="0049621B">
        <w:rPr>
          <w:rFonts w:ascii="Book Antiqua" w:hAnsi="Book Antiqua" w:cs="Book Antiqua"/>
          <w:color w:val="000000"/>
          <w:sz w:val="24"/>
        </w:rPr>
        <w:instrText xml:space="preserve"> ADDIN EN.CITE.DATA </w:instrText>
      </w:r>
      <w:r w:rsidRPr="0049621B">
        <w:rPr>
          <w:rFonts w:ascii="Book Antiqua" w:hAnsi="Book Antiqua" w:cs="Book Antiqua"/>
          <w:color w:val="000000"/>
          <w:sz w:val="24"/>
        </w:rPr>
        <w:fldChar w:fldCharType="end"/>
      </w:r>
      <w:r w:rsidRPr="0049621B">
        <w:rPr>
          <w:rFonts w:ascii="Book Antiqua" w:hAnsi="Book Antiqua" w:cs="Book Antiqua"/>
          <w:color w:val="000000"/>
          <w:sz w:val="24"/>
        </w:rPr>
        <w:fldChar w:fldCharType="separate"/>
      </w:r>
      <w:r w:rsidRPr="0049621B">
        <w:rPr>
          <w:rFonts w:ascii="Book Antiqua" w:hAnsi="Book Antiqua" w:cs="Book Antiqua"/>
          <w:color w:val="000000"/>
          <w:sz w:val="24"/>
          <w:vertAlign w:val="superscript"/>
          <w:lang w:eastAsia="zh-CN"/>
        </w:rPr>
        <w:t>[16]</w:t>
      </w:r>
      <w:r w:rsidRPr="0049621B">
        <w:rPr>
          <w:rFonts w:ascii="Book Antiqua" w:hAnsi="Book Antiqua" w:cs="Book Antiqua"/>
          <w:color w:val="000000"/>
          <w:sz w:val="24"/>
        </w:rPr>
        <w:fldChar w:fldCharType="end"/>
      </w:r>
      <w:r w:rsidRPr="0049621B">
        <w:rPr>
          <w:rFonts w:ascii="Book Antiqua" w:hAnsi="Book Antiqua" w:cs="Book Antiqua"/>
          <w:color w:val="000000"/>
          <w:sz w:val="24"/>
        </w:rPr>
        <w:t xml:space="preserve">. Group PB2 (fed a </w:t>
      </w:r>
      <w:r w:rsidR="005312B2" w:rsidRPr="0049621B">
        <w:rPr>
          <w:rFonts w:ascii="Book Antiqua" w:hAnsi="Book Antiqua" w:cs="Book Antiqua"/>
          <w:color w:val="000000"/>
          <w:sz w:val="24"/>
        </w:rPr>
        <w:t>HCD</w:t>
      </w:r>
      <w:r w:rsidRPr="0049621B">
        <w:rPr>
          <w:rFonts w:ascii="Book Antiqua" w:hAnsi="Book Antiqua" w:cs="Book Antiqua"/>
          <w:color w:val="000000"/>
          <w:sz w:val="24"/>
        </w:rPr>
        <w:t xml:space="preserve">, </w:t>
      </w:r>
      <w:r w:rsidRPr="0049621B">
        <w:rPr>
          <w:rFonts w:ascii="Book Antiqua" w:hAnsi="Book Antiqua" w:cs="Book Antiqua"/>
          <w:i/>
          <w:color w:val="000000"/>
          <w:sz w:val="24"/>
        </w:rPr>
        <w:t>n</w:t>
      </w:r>
      <w:r w:rsidR="00FF7ABF" w:rsidRPr="0049621B">
        <w:rPr>
          <w:rFonts w:ascii="Book Antiqua" w:hAnsi="Book Antiqua" w:cs="Book Antiqua"/>
          <w:color w:val="000000"/>
          <w:sz w:val="24"/>
        </w:rPr>
        <w:t xml:space="preserve"> </w:t>
      </w:r>
      <w:r w:rsidRPr="0049621B">
        <w:rPr>
          <w:rFonts w:ascii="Book Antiqua" w:hAnsi="Book Antiqua" w:cs="Book Antiqua"/>
          <w:color w:val="000000"/>
          <w:sz w:val="24"/>
        </w:rPr>
        <w:t>=</w:t>
      </w:r>
      <w:r w:rsidR="00FF7ABF" w:rsidRPr="0049621B">
        <w:rPr>
          <w:rFonts w:ascii="Book Antiqua" w:hAnsi="Book Antiqua" w:cs="Book Antiqua"/>
          <w:color w:val="000000"/>
          <w:sz w:val="24"/>
        </w:rPr>
        <w:t xml:space="preserve"> </w:t>
      </w:r>
      <w:r w:rsidRPr="0049621B">
        <w:rPr>
          <w:rFonts w:ascii="Book Antiqua" w:hAnsi="Book Antiqua" w:cs="Book Antiqua"/>
          <w:color w:val="000000"/>
          <w:sz w:val="24"/>
        </w:rPr>
        <w:t>8) received daily doses (150 mg/kg, dissolved in normal saline) of PB2 by gavage</w:t>
      </w:r>
      <w:r w:rsidRPr="0049621B">
        <w:rPr>
          <w:rFonts w:ascii="Book Antiqua" w:hAnsi="Book Antiqua" w:cs="Book Antiqua"/>
          <w:color w:val="000000"/>
          <w:sz w:val="24"/>
        </w:rPr>
        <w:fldChar w:fldCharType="begin"/>
      </w:r>
      <w:r w:rsidRPr="0049621B">
        <w:rPr>
          <w:rFonts w:ascii="Book Antiqua" w:hAnsi="Book Antiqua" w:cs="Book Antiqua"/>
          <w:color w:val="000000"/>
          <w:sz w:val="24"/>
        </w:rPr>
        <w:instrText xml:space="preserve"> ADDIN EN.CITE &lt;EndNote&gt;&lt;Cite&gt;&lt;Author&gt;Wang&lt;/Author&gt;&lt;Year&gt;2018&lt;/Year&gt;&lt;RecNum&gt;331&lt;/RecNum&gt;&lt;DisplayText&gt;&lt;style face="superscript"&gt;[17]&lt;/style&gt;&lt;/DisplayText&gt;&lt;record&gt;&lt;rec-number&gt;331&lt;/rec-number&gt;&lt;foreign-keys&gt;&lt;key app="EN" db-id="t0rz9rwwc5zd2re0rr5xepf7rd9xztdse0tf" timestamp="1547526455"&gt;331&lt;/key&gt;&lt;/foreign-keys&gt;&lt;ref-type name="Journal Article"&gt;17&lt;/ref-type&gt;&lt;contributors&gt;&lt;authors&gt;&lt;author&gt;Wang, L.&lt;/author&gt;&lt;author&gt;Yamashita, Y.&lt;/author&gt;&lt;author&gt;Komeda, S.&lt;/author&gt;&lt;author&gt;Saito, A.&lt;/author&gt;&lt;author&gt;Ashida, H.&lt;/author&gt;&lt;/authors&gt;&lt;/contributors&gt;&lt;auth-address&gt;Department of Agrobioscience, Graduate School of Agricultural Science, Kobe University, Kobe 657-8501, Japan. ashida@kobe-u.ac.jp.&lt;/auth-address&gt;&lt;titles&gt;&lt;title&gt;Absorption, metabolism, distribution and faecal excretion of B-type procyanidin oligomers in mice after a single oral administration of black soybean seed coat extract&lt;/title&gt;&lt;secondary-title&gt;Food Funct&lt;/secondary-title&gt;&lt;/titles&gt;&lt;periodical&gt;&lt;full-title&gt;Food Funct&lt;/full-title&gt;&lt;abbr-1&gt;Food &amp;amp; function&lt;/abbr-1&gt;&lt;/periodical&gt;&lt;pages&gt;5362-5370&lt;/pages&gt;&lt;volume&gt;9&lt;/volume&gt;&lt;number&gt;10&lt;/number&gt;&lt;dates&gt;&lt;year&gt;2018&lt;/year&gt;&lt;pub-dates&gt;&lt;date&gt;Oct 17&lt;/date&gt;&lt;/pub-dates&gt;&lt;/dates&gt;&lt;isbn&gt;2042-650X (Electronic)&amp;#xD;2042-6496 (Linking)&lt;/isbn&gt;&lt;accession-num&gt;30264089&lt;/accession-num&gt;&lt;urls&gt;&lt;related-urls&gt;&lt;url&gt;https://www.ncbi.nlm.nih.gov/pubmed/30264089&lt;/url&gt;&lt;/related-urls&gt;&lt;/urls&gt;&lt;electronic-resource-num&gt;10.1039/c8fo00852c&lt;/electronic-resource-num&gt;&lt;/record&gt;&lt;/Cite&gt;&lt;/EndNote&gt;</w:instrText>
      </w:r>
      <w:r w:rsidRPr="0049621B">
        <w:rPr>
          <w:rFonts w:ascii="Book Antiqua" w:hAnsi="Book Antiqua" w:cs="Book Antiqua"/>
          <w:color w:val="000000"/>
          <w:sz w:val="24"/>
        </w:rPr>
        <w:fldChar w:fldCharType="separate"/>
      </w:r>
      <w:r w:rsidRPr="0049621B">
        <w:rPr>
          <w:rFonts w:ascii="Book Antiqua" w:hAnsi="Book Antiqua" w:cs="Book Antiqua"/>
          <w:color w:val="000000"/>
          <w:sz w:val="24"/>
          <w:vertAlign w:val="superscript"/>
          <w:lang w:eastAsia="zh-CN"/>
        </w:rPr>
        <w:t>[17]</w:t>
      </w:r>
      <w:r w:rsidRPr="0049621B">
        <w:rPr>
          <w:rFonts w:ascii="Book Antiqua" w:hAnsi="Book Antiqua" w:cs="Book Antiqua"/>
          <w:color w:val="000000"/>
          <w:sz w:val="24"/>
        </w:rPr>
        <w:fldChar w:fldCharType="end"/>
      </w:r>
      <w:r w:rsidR="00FF7ABF" w:rsidRPr="0049621B">
        <w:rPr>
          <w:rFonts w:ascii="Book Antiqua" w:hAnsi="Book Antiqua" w:cs="Book Antiqua"/>
          <w:color w:val="000000"/>
          <w:sz w:val="24"/>
        </w:rPr>
        <w:t>, whereas the other two groups [</w:t>
      </w:r>
      <w:r w:rsidRPr="0049621B">
        <w:rPr>
          <w:rFonts w:ascii="Book Antiqua" w:hAnsi="Book Antiqua" w:cs="Book Antiqua"/>
          <w:color w:val="000000"/>
          <w:sz w:val="24"/>
        </w:rPr>
        <w:t xml:space="preserve">groups CHOW and HCD, fed a chow or </w:t>
      </w:r>
      <w:r w:rsidR="005312B2" w:rsidRPr="0049621B">
        <w:rPr>
          <w:rFonts w:ascii="Book Antiqua" w:hAnsi="Book Antiqua" w:cs="Book Antiqua"/>
          <w:color w:val="000000"/>
          <w:sz w:val="24"/>
        </w:rPr>
        <w:t>HCD</w:t>
      </w:r>
      <w:r w:rsidRPr="0049621B">
        <w:rPr>
          <w:rFonts w:ascii="Book Antiqua" w:hAnsi="Book Antiqua" w:cs="Book Antiqua"/>
          <w:color w:val="000000"/>
          <w:sz w:val="24"/>
        </w:rPr>
        <w:t xml:space="preserve">, </w:t>
      </w:r>
      <w:r w:rsidRPr="0049621B">
        <w:rPr>
          <w:rFonts w:ascii="Book Antiqua" w:hAnsi="Book Antiqua" w:cs="Book Antiqua"/>
          <w:i/>
          <w:color w:val="000000"/>
          <w:sz w:val="24"/>
        </w:rPr>
        <w:t>n</w:t>
      </w:r>
      <w:r w:rsidR="00FF7ABF" w:rsidRPr="0049621B">
        <w:rPr>
          <w:rFonts w:ascii="Book Antiqua" w:hAnsi="Book Antiqua" w:cs="Book Antiqua"/>
          <w:i/>
          <w:color w:val="000000"/>
          <w:sz w:val="24"/>
        </w:rPr>
        <w:t xml:space="preserve"> </w:t>
      </w:r>
      <w:r w:rsidRPr="0049621B">
        <w:rPr>
          <w:rFonts w:ascii="Book Antiqua" w:hAnsi="Book Antiqua" w:cs="Book Antiqua"/>
          <w:color w:val="000000"/>
          <w:sz w:val="24"/>
        </w:rPr>
        <w:t>=</w:t>
      </w:r>
      <w:r w:rsidR="00FF7ABF" w:rsidRPr="0049621B">
        <w:rPr>
          <w:rFonts w:ascii="Book Antiqua" w:hAnsi="Book Antiqua" w:cs="Book Antiqua"/>
          <w:color w:val="000000"/>
          <w:sz w:val="24"/>
        </w:rPr>
        <w:t xml:space="preserve"> 8]</w:t>
      </w:r>
      <w:r w:rsidRPr="0049621B">
        <w:rPr>
          <w:rFonts w:ascii="Book Antiqua" w:hAnsi="Book Antiqua" w:cs="Book Antiqua"/>
          <w:color w:val="000000"/>
          <w:sz w:val="24"/>
        </w:rPr>
        <w:t xml:space="preserve"> received the vehicle (normal saline) by gavage. Body weight gain and other parameters were evaluated once a week. Feces were collected at the end of 12 w</w:t>
      </w:r>
      <w:r w:rsidR="00FF7ABF" w:rsidRPr="0049621B">
        <w:rPr>
          <w:rFonts w:ascii="Book Antiqua" w:hAnsi="Book Antiqua" w:cs="Book Antiqua"/>
          <w:color w:val="000000"/>
          <w:sz w:val="24"/>
        </w:rPr>
        <w:t>k</w:t>
      </w:r>
      <w:r w:rsidRPr="0049621B">
        <w:rPr>
          <w:rFonts w:ascii="Book Antiqua" w:hAnsi="Book Antiqua" w:cs="Book Antiqua"/>
          <w:color w:val="000000"/>
          <w:sz w:val="24"/>
        </w:rPr>
        <w:t xml:space="preserve"> for 16S rRNA sequencing. After 12 w</w:t>
      </w:r>
      <w:r w:rsidR="00FF7ABF" w:rsidRPr="0049621B">
        <w:rPr>
          <w:rFonts w:ascii="Book Antiqua" w:hAnsi="Book Antiqua" w:cs="Book Antiqua"/>
          <w:color w:val="000000"/>
          <w:sz w:val="24"/>
        </w:rPr>
        <w:t>k</w:t>
      </w:r>
      <w:r w:rsidRPr="0049621B">
        <w:rPr>
          <w:rFonts w:ascii="Book Antiqua" w:hAnsi="Book Antiqua" w:cs="Book Antiqua"/>
          <w:color w:val="000000"/>
          <w:sz w:val="24"/>
        </w:rPr>
        <w:t xml:space="preserve">, the rabbits were euthanized by barbiturate overdose (intravenous injection, 150 mg/kg pentobarbital sodium) for blood and tissue </w:t>
      </w:r>
      <w:r w:rsidRPr="0049621B">
        <w:rPr>
          <w:rFonts w:ascii="Book Antiqua" w:hAnsi="Book Antiqua" w:cs="Book Antiqua"/>
          <w:color w:val="000000"/>
          <w:sz w:val="24"/>
        </w:rPr>
        <w:lastRenderedPageBreak/>
        <w:t>collection. The liver</w:t>
      </w:r>
      <w:r w:rsidR="00FF7ABF" w:rsidRPr="0049621B">
        <w:rPr>
          <w:rFonts w:ascii="Book Antiqua" w:hAnsi="Book Antiqua" w:cs="Book Antiqua"/>
          <w:color w:val="000000"/>
          <w:sz w:val="24"/>
        </w:rPr>
        <w:t>s</w:t>
      </w:r>
      <w:r w:rsidRPr="0049621B">
        <w:rPr>
          <w:rFonts w:ascii="Book Antiqua" w:hAnsi="Book Antiqua" w:cs="Book Antiqua"/>
          <w:color w:val="000000"/>
          <w:sz w:val="24"/>
        </w:rPr>
        <w:t xml:space="preserve"> were weighed and the liver index (the ratio of liver to body weight) was calculated. The protocol was approved by the Animal Research Committee of the Second Xiangya Hospital, Central South University, Hunan, China (permit number: 20170722). The chemicals used in this study were of analytical grade. PB2 (≥</w:t>
      </w:r>
      <w:r w:rsidR="00FF7ABF" w:rsidRPr="0049621B">
        <w:rPr>
          <w:rFonts w:ascii="Book Antiqua" w:hAnsi="Book Antiqua" w:cs="Book Antiqua"/>
          <w:color w:val="000000"/>
          <w:sz w:val="24"/>
        </w:rPr>
        <w:t xml:space="preserve"> </w:t>
      </w:r>
      <w:r w:rsidRPr="0049621B">
        <w:rPr>
          <w:rFonts w:ascii="Book Antiqua" w:hAnsi="Book Antiqua" w:cs="Book Antiqua"/>
          <w:color w:val="000000"/>
          <w:sz w:val="24"/>
        </w:rPr>
        <w:t>95% purity) was purchased from Yuanye Biological Technology Co. Ltd.</w:t>
      </w:r>
      <w:r w:rsidR="002C57BF" w:rsidRPr="0049621B">
        <w:rPr>
          <w:rFonts w:ascii="Book Antiqua" w:hAnsi="Book Antiqua" w:cs="Book Antiqua"/>
          <w:color w:val="000000"/>
          <w:sz w:val="24"/>
        </w:rPr>
        <w:t xml:space="preserve"> (</w:t>
      </w:r>
      <w:r w:rsidRPr="0049621B">
        <w:rPr>
          <w:rFonts w:ascii="Book Antiqua" w:hAnsi="Book Antiqua" w:cs="Book Antiqua"/>
          <w:color w:val="000000"/>
          <w:sz w:val="24"/>
        </w:rPr>
        <w:t>Shanghai, China</w:t>
      </w:r>
      <w:r w:rsidR="002C57BF" w:rsidRPr="0049621B">
        <w:rPr>
          <w:rFonts w:ascii="Book Antiqua" w:hAnsi="Book Antiqua" w:cs="Book Antiqua"/>
          <w:color w:val="000000"/>
          <w:sz w:val="24"/>
        </w:rPr>
        <w:t>)</w:t>
      </w:r>
      <w:r w:rsidRPr="0049621B">
        <w:rPr>
          <w:rFonts w:ascii="Book Antiqua" w:hAnsi="Book Antiqua" w:cs="Book Antiqua"/>
          <w:color w:val="000000"/>
          <w:sz w:val="24"/>
        </w:rPr>
        <w:t>.</w:t>
      </w:r>
    </w:p>
    <w:p w:rsidR="00FF7ABF" w:rsidRPr="0049621B" w:rsidRDefault="00FF7ABF" w:rsidP="0049621B">
      <w:pPr>
        <w:adjustRightInd w:val="0"/>
        <w:snapToGrid w:val="0"/>
        <w:spacing w:line="360" w:lineRule="auto"/>
        <w:rPr>
          <w:rFonts w:ascii="Book Antiqua" w:hAnsi="Book Antiqua" w:cs="Book Antiqua"/>
          <w:color w:val="000000"/>
          <w:sz w:val="24"/>
        </w:rPr>
      </w:pPr>
    </w:p>
    <w:p w:rsidR="00242092" w:rsidRPr="0049621B" w:rsidRDefault="00242092" w:rsidP="0049621B">
      <w:pPr>
        <w:adjustRightInd w:val="0"/>
        <w:snapToGrid w:val="0"/>
        <w:spacing w:line="360" w:lineRule="auto"/>
        <w:outlineLvl w:val="0"/>
        <w:rPr>
          <w:rFonts w:ascii="Book Antiqua" w:hAnsi="Book Antiqua" w:cs="Book Antiqua"/>
          <w:b/>
          <w:color w:val="000000"/>
          <w:sz w:val="24"/>
        </w:rPr>
      </w:pPr>
      <w:r w:rsidRPr="0049621B">
        <w:rPr>
          <w:rFonts w:ascii="Book Antiqua" w:hAnsi="Book Antiqua" w:cs="Book Antiqua"/>
          <w:b/>
          <w:i/>
          <w:color w:val="000000"/>
          <w:sz w:val="24"/>
        </w:rPr>
        <w:t>Measurement of serum biochemical markers</w:t>
      </w:r>
    </w:p>
    <w:p w:rsidR="00242092" w:rsidRPr="0049621B" w:rsidRDefault="00242092" w:rsidP="0049621B">
      <w:pPr>
        <w:adjustRightInd w:val="0"/>
        <w:snapToGrid w:val="0"/>
        <w:spacing w:line="360" w:lineRule="auto"/>
        <w:rPr>
          <w:rFonts w:ascii="Book Antiqua" w:hAnsi="Book Antiqua" w:cs="Book Antiqua"/>
          <w:color w:val="000000"/>
          <w:sz w:val="24"/>
        </w:rPr>
      </w:pPr>
      <w:r w:rsidRPr="0049621B">
        <w:rPr>
          <w:rFonts w:ascii="Book Antiqua" w:hAnsi="Book Antiqua" w:cs="Book Antiqua"/>
          <w:color w:val="000000"/>
          <w:sz w:val="24"/>
        </w:rPr>
        <w:t>Blood samples were collected from the middle artery of the ear after overnight fasting at the end of 10 w</w:t>
      </w:r>
      <w:r w:rsidR="00FF7ABF" w:rsidRPr="0049621B">
        <w:rPr>
          <w:rFonts w:ascii="Book Antiqua" w:hAnsi="Book Antiqua" w:cs="Book Antiqua"/>
          <w:color w:val="000000"/>
          <w:sz w:val="24"/>
        </w:rPr>
        <w:t>k</w:t>
      </w:r>
      <w:r w:rsidRPr="0049621B">
        <w:rPr>
          <w:rFonts w:ascii="Book Antiqua" w:hAnsi="Book Antiqua" w:cs="Book Antiqua"/>
          <w:color w:val="000000"/>
          <w:sz w:val="24"/>
        </w:rPr>
        <w:t xml:space="preserve">. The concentrations of serum total cholesterols (CH), triglycerides (TG), high density lipoprotein cholesterol (HDL-C), low density lipoprotein cholesterol (LDL-C), </w:t>
      </w:r>
      <w:r w:rsidR="00981194" w:rsidRPr="0049621B">
        <w:rPr>
          <w:rFonts w:ascii="Book Antiqua" w:hAnsi="Book Antiqua" w:cs="Book Antiqua"/>
          <w:color w:val="000000"/>
          <w:sz w:val="24"/>
        </w:rPr>
        <w:t>s</w:t>
      </w:r>
      <w:r w:rsidRPr="0049621B">
        <w:rPr>
          <w:rFonts w:ascii="Book Antiqua" w:hAnsi="Book Antiqua" w:cs="Book Antiqua"/>
          <w:color w:val="000000"/>
          <w:sz w:val="24"/>
        </w:rPr>
        <w:t>erum alanine transaminase (ALT), aspartic acid transferase (AST)</w:t>
      </w:r>
      <w:r w:rsidR="00981194" w:rsidRPr="0049621B">
        <w:rPr>
          <w:rFonts w:ascii="Book Antiqua" w:hAnsi="Book Antiqua" w:cs="Book Antiqua"/>
          <w:color w:val="000000"/>
          <w:sz w:val="24"/>
        </w:rPr>
        <w:t>,</w:t>
      </w:r>
      <w:r w:rsidRPr="0049621B">
        <w:rPr>
          <w:rFonts w:ascii="Book Antiqua" w:hAnsi="Book Antiqua" w:cs="Book Antiqua"/>
          <w:color w:val="000000"/>
          <w:sz w:val="24"/>
        </w:rPr>
        <w:t xml:space="preserve"> and glucose (GLU) were detected by enzymatic methods (</w:t>
      </w:r>
      <w:r w:rsidR="00981194" w:rsidRPr="0049621B">
        <w:rPr>
          <w:rFonts w:ascii="Book Antiqua" w:hAnsi="Book Antiqua" w:cs="Book Antiqua"/>
          <w:color w:val="000000"/>
          <w:sz w:val="24"/>
        </w:rPr>
        <w:t>B</w:t>
      </w:r>
      <w:r w:rsidRPr="0049621B">
        <w:rPr>
          <w:rFonts w:ascii="Book Antiqua" w:hAnsi="Book Antiqua" w:cs="Book Antiqua"/>
          <w:color w:val="000000"/>
          <w:sz w:val="24"/>
        </w:rPr>
        <w:t>ioMerieux, Lyon, France). At the end of the experiment, the intravenous glucose tolerance test (IVGTT) was performed. After fasting overnight, a bolus of glucose (0.6 g/kg body weight) was injected into the ear vein</w:t>
      </w:r>
      <w:r w:rsidR="00981194" w:rsidRPr="0049621B">
        <w:rPr>
          <w:rFonts w:ascii="Book Antiqua" w:hAnsi="Book Antiqua" w:cs="Book Antiqua"/>
          <w:color w:val="000000"/>
          <w:sz w:val="24"/>
        </w:rPr>
        <w:t>,</w:t>
      </w:r>
      <w:r w:rsidRPr="0049621B">
        <w:rPr>
          <w:rFonts w:ascii="Book Antiqua" w:hAnsi="Book Antiqua" w:cs="Book Antiqua"/>
          <w:color w:val="000000"/>
          <w:sz w:val="24"/>
        </w:rPr>
        <w:t xml:space="preserve"> and blood samples were collected from the middle artery at 0, 5, 10, 30, 60, and 120 min. The serum insulin concentrations were analyzed according to the protocols of the Rabbit Insulin ELISA Kit (Crystal Chem Co., Elk Grov</w:t>
      </w:r>
      <w:r w:rsidR="00FF7ABF" w:rsidRPr="0049621B">
        <w:rPr>
          <w:rFonts w:ascii="Book Antiqua" w:hAnsi="Book Antiqua" w:cs="Book Antiqua"/>
          <w:color w:val="000000"/>
          <w:sz w:val="24"/>
        </w:rPr>
        <w:t>e Village, IL, United States</w:t>
      </w:r>
      <w:r w:rsidRPr="0049621B">
        <w:rPr>
          <w:rFonts w:ascii="Book Antiqua" w:hAnsi="Book Antiqua" w:cs="Book Antiqua"/>
          <w:color w:val="000000"/>
          <w:sz w:val="24"/>
        </w:rPr>
        <w:t>). The serum LPS concentration was determined using a kit based on a Limulus amebocyte extract (LAL Kit; Lonza, Basel, Switzerland).</w:t>
      </w:r>
    </w:p>
    <w:p w:rsidR="00FF7ABF" w:rsidRPr="0049621B" w:rsidRDefault="00FF7ABF" w:rsidP="0049621B">
      <w:pPr>
        <w:adjustRightInd w:val="0"/>
        <w:snapToGrid w:val="0"/>
        <w:spacing w:line="360" w:lineRule="auto"/>
        <w:rPr>
          <w:rFonts w:ascii="Book Antiqua" w:hAnsi="Book Antiqua" w:cs="Book Antiqua"/>
          <w:color w:val="000000"/>
          <w:sz w:val="24"/>
        </w:rPr>
      </w:pPr>
    </w:p>
    <w:p w:rsidR="00242092" w:rsidRPr="0049621B" w:rsidRDefault="00242092" w:rsidP="0049621B">
      <w:pPr>
        <w:adjustRightInd w:val="0"/>
        <w:snapToGrid w:val="0"/>
        <w:spacing w:line="360" w:lineRule="auto"/>
        <w:outlineLvl w:val="0"/>
        <w:rPr>
          <w:rFonts w:ascii="Book Antiqua" w:hAnsi="Book Antiqua" w:cs="Book Antiqua"/>
          <w:b/>
          <w:i/>
          <w:color w:val="000000"/>
          <w:sz w:val="24"/>
        </w:rPr>
      </w:pPr>
      <w:r w:rsidRPr="0049621B">
        <w:rPr>
          <w:rFonts w:ascii="Book Antiqua" w:hAnsi="Book Antiqua" w:cs="Book Antiqua"/>
          <w:b/>
          <w:i/>
          <w:color w:val="000000"/>
          <w:sz w:val="24"/>
        </w:rPr>
        <w:t xml:space="preserve">Histological analysis </w:t>
      </w:r>
    </w:p>
    <w:p w:rsidR="00242092" w:rsidRPr="0049621B" w:rsidRDefault="00242092" w:rsidP="0049621B">
      <w:pPr>
        <w:adjustRightInd w:val="0"/>
        <w:snapToGrid w:val="0"/>
        <w:spacing w:line="360" w:lineRule="auto"/>
        <w:rPr>
          <w:rFonts w:ascii="Book Antiqua" w:hAnsi="Book Antiqua" w:cs="Book Antiqua"/>
          <w:color w:val="000000"/>
          <w:sz w:val="24"/>
        </w:rPr>
      </w:pPr>
      <w:r w:rsidRPr="0049621B">
        <w:rPr>
          <w:rFonts w:ascii="Book Antiqua" w:hAnsi="Book Antiqua" w:cs="Book Antiqua"/>
          <w:color w:val="000000"/>
          <w:sz w:val="24"/>
        </w:rPr>
        <w:t>After the rabbits were sacrificed, a morphological analysis of liver tissues was performed on hematoxylin and eosin-stained sections. Liver tissue samples were fixed with 10% neutral buffered formalin for 24 h, dehydrated with an ethanol solution, and embedded in paraffin. Tissue sections of 5</w:t>
      </w:r>
      <w:r w:rsidR="00981194" w:rsidRPr="0049621B">
        <w:rPr>
          <w:rFonts w:ascii="Book Antiqua" w:hAnsi="Book Antiqua" w:cs="Book Antiqua"/>
          <w:color w:val="000000"/>
          <w:sz w:val="24"/>
        </w:rPr>
        <w:t xml:space="preserve"> μm</w:t>
      </w:r>
      <w:r w:rsidR="00FF7ABF" w:rsidRPr="0049621B">
        <w:rPr>
          <w:rFonts w:ascii="Book Antiqua" w:hAnsi="Book Antiqua" w:cs="Book Antiqua"/>
          <w:color w:val="000000"/>
          <w:sz w:val="24"/>
        </w:rPr>
        <w:t>-</w:t>
      </w:r>
      <w:r w:rsidRPr="0049621B">
        <w:rPr>
          <w:rFonts w:ascii="Book Antiqua" w:hAnsi="Book Antiqua" w:cs="Book Antiqua"/>
          <w:color w:val="000000"/>
          <w:sz w:val="24"/>
        </w:rPr>
        <w:t>6 μm in thickness were excised, deparaffinized, rehydrated, and stained with hematoxylin and eosin.</w:t>
      </w:r>
    </w:p>
    <w:p w:rsidR="00E826BB" w:rsidRPr="0049621B" w:rsidRDefault="00E826BB" w:rsidP="0049621B">
      <w:pPr>
        <w:adjustRightInd w:val="0"/>
        <w:snapToGrid w:val="0"/>
        <w:spacing w:line="360" w:lineRule="auto"/>
        <w:rPr>
          <w:rFonts w:ascii="Book Antiqua" w:hAnsi="Book Antiqua" w:cs="Book Antiqua"/>
          <w:color w:val="000000"/>
          <w:sz w:val="24"/>
        </w:rPr>
      </w:pPr>
    </w:p>
    <w:p w:rsidR="00242092" w:rsidRPr="0049621B" w:rsidRDefault="00242092" w:rsidP="0049621B">
      <w:pPr>
        <w:adjustRightInd w:val="0"/>
        <w:snapToGrid w:val="0"/>
        <w:spacing w:line="360" w:lineRule="auto"/>
        <w:outlineLvl w:val="0"/>
        <w:rPr>
          <w:rFonts w:ascii="Book Antiqua" w:hAnsi="Book Antiqua" w:cs="Book Antiqua"/>
          <w:b/>
          <w:i/>
          <w:color w:val="000000"/>
          <w:sz w:val="24"/>
        </w:rPr>
      </w:pPr>
      <w:r w:rsidRPr="0049621B">
        <w:rPr>
          <w:rFonts w:ascii="Book Antiqua" w:hAnsi="Book Antiqua" w:cs="Book Antiqua"/>
          <w:b/>
          <w:i/>
          <w:color w:val="000000"/>
          <w:sz w:val="24"/>
        </w:rPr>
        <w:t xml:space="preserve">Quantitative </w:t>
      </w:r>
      <w:r w:rsidR="00E826BB" w:rsidRPr="0049621B">
        <w:rPr>
          <w:rFonts w:ascii="Book Antiqua" w:hAnsi="Book Antiqua" w:cs="Book Antiqua"/>
          <w:b/>
          <w:i/>
          <w:color w:val="000000"/>
          <w:sz w:val="24"/>
        </w:rPr>
        <w:t>real-time</w:t>
      </w:r>
      <w:r w:rsidRPr="0049621B">
        <w:rPr>
          <w:rFonts w:ascii="Book Antiqua" w:hAnsi="Book Antiqua" w:cs="Book Antiqua"/>
          <w:b/>
          <w:i/>
          <w:color w:val="000000"/>
          <w:sz w:val="24"/>
        </w:rPr>
        <w:t xml:space="preserve"> </w:t>
      </w:r>
      <w:r w:rsidR="00981194" w:rsidRPr="0049621B">
        <w:rPr>
          <w:rFonts w:ascii="Book Antiqua" w:hAnsi="Book Antiqua" w:cs="Book Antiqua"/>
          <w:b/>
          <w:i/>
          <w:color w:val="000000"/>
          <w:sz w:val="24"/>
        </w:rPr>
        <w:t>polymerase chain reaction (</w:t>
      </w:r>
      <w:r w:rsidRPr="0049621B">
        <w:rPr>
          <w:rFonts w:ascii="Book Antiqua" w:hAnsi="Book Antiqua" w:cs="Book Antiqua"/>
          <w:b/>
          <w:i/>
          <w:color w:val="000000"/>
          <w:sz w:val="24"/>
        </w:rPr>
        <w:t>PCR</w:t>
      </w:r>
      <w:r w:rsidR="00981194" w:rsidRPr="0049621B">
        <w:rPr>
          <w:rFonts w:ascii="Book Antiqua" w:hAnsi="Book Antiqua" w:cs="Book Antiqua"/>
          <w:b/>
          <w:i/>
          <w:color w:val="000000"/>
          <w:sz w:val="24"/>
        </w:rPr>
        <w:t>)</w:t>
      </w:r>
    </w:p>
    <w:p w:rsidR="00242092" w:rsidRPr="0049621B" w:rsidRDefault="00242092" w:rsidP="0049621B">
      <w:pPr>
        <w:adjustRightInd w:val="0"/>
        <w:snapToGrid w:val="0"/>
        <w:spacing w:line="360" w:lineRule="auto"/>
        <w:rPr>
          <w:rFonts w:ascii="Book Antiqua" w:hAnsi="Book Antiqua" w:cs="Book Antiqua"/>
          <w:color w:val="000000"/>
          <w:sz w:val="24"/>
          <w:shd w:val="clear" w:color="auto" w:fill="FFFFFF"/>
        </w:rPr>
      </w:pPr>
      <w:r w:rsidRPr="0049621B">
        <w:rPr>
          <w:rFonts w:ascii="Book Antiqua" w:hAnsi="Book Antiqua" w:cs="Book Antiqua"/>
          <w:color w:val="000000"/>
          <w:sz w:val="24"/>
        </w:rPr>
        <w:t>Liver was homogenized and total RNA was isolated using the RNeasy kit (Q</w:t>
      </w:r>
      <w:r w:rsidR="00981194" w:rsidRPr="0049621B">
        <w:rPr>
          <w:rFonts w:ascii="Book Antiqua" w:hAnsi="Book Antiqua" w:cs="Book Antiqua"/>
          <w:color w:val="000000"/>
          <w:sz w:val="24"/>
        </w:rPr>
        <w:t xml:space="preserve">iagen, </w:t>
      </w:r>
      <w:r w:rsidR="00981194" w:rsidRPr="0049621B">
        <w:rPr>
          <w:rFonts w:ascii="Book Antiqua" w:hAnsi="Book Antiqua" w:cs="Book Antiqua"/>
          <w:color w:val="000000"/>
          <w:sz w:val="24"/>
        </w:rPr>
        <w:lastRenderedPageBreak/>
        <w:t>Hilden, Germany</w:t>
      </w:r>
      <w:r w:rsidRPr="0049621B">
        <w:rPr>
          <w:rFonts w:ascii="Book Antiqua" w:hAnsi="Book Antiqua" w:cs="Book Antiqua"/>
          <w:color w:val="000000"/>
          <w:sz w:val="24"/>
        </w:rPr>
        <w:t>). </w:t>
      </w:r>
      <w:r w:rsidRPr="0049621B">
        <w:rPr>
          <w:rFonts w:ascii="Book Antiqua" w:hAnsi="Book Antiqua" w:cs="Book Antiqua"/>
          <w:color w:val="000000"/>
          <w:sz w:val="24"/>
          <w:shd w:val="clear" w:color="auto" w:fill="FFFFFF"/>
        </w:rPr>
        <w:t>A reverse transcription reaction was performed by Taqman Reverse Transcription reagent kit (T</w:t>
      </w:r>
      <w:r w:rsidR="00981194" w:rsidRPr="0049621B">
        <w:rPr>
          <w:rFonts w:ascii="Book Antiqua" w:hAnsi="Book Antiqua" w:cs="Book Antiqua"/>
          <w:color w:val="000000"/>
          <w:sz w:val="24"/>
          <w:shd w:val="clear" w:color="auto" w:fill="FFFFFF"/>
        </w:rPr>
        <w:t>akara, Kusatsu, Japan</w:t>
      </w:r>
      <w:r w:rsidRPr="0049621B">
        <w:rPr>
          <w:rFonts w:ascii="Book Antiqua" w:hAnsi="Book Antiqua" w:cs="Book Antiqua"/>
          <w:color w:val="000000"/>
          <w:sz w:val="24"/>
          <w:shd w:val="clear" w:color="auto" w:fill="FFFFFF"/>
        </w:rPr>
        <w:t>) according to the manufacturer's instructions. The real-time PCR reaction was carried out on Roche real-time PCR system with cDNA sample containing SYBR Green PCR master mix (T</w:t>
      </w:r>
      <w:r w:rsidR="00981194" w:rsidRPr="0049621B">
        <w:rPr>
          <w:rFonts w:ascii="Book Antiqua" w:hAnsi="Book Antiqua" w:cs="Book Antiqua"/>
          <w:color w:val="000000"/>
          <w:sz w:val="24"/>
          <w:shd w:val="clear" w:color="auto" w:fill="FFFFFF"/>
        </w:rPr>
        <w:t>akara</w:t>
      </w:r>
      <w:r w:rsidRPr="0049621B">
        <w:rPr>
          <w:rFonts w:ascii="Book Antiqua" w:hAnsi="Book Antiqua" w:cs="Book Antiqua"/>
          <w:color w:val="000000"/>
          <w:sz w:val="24"/>
          <w:shd w:val="clear" w:color="auto" w:fill="FFFFFF"/>
        </w:rPr>
        <w:t xml:space="preserve">) and primers. Primer sequences can be </w:t>
      </w:r>
      <w:r w:rsidR="00981194" w:rsidRPr="0049621B">
        <w:rPr>
          <w:rFonts w:ascii="Book Antiqua" w:hAnsi="Book Antiqua" w:cs="Book Antiqua"/>
          <w:color w:val="000000"/>
          <w:sz w:val="24"/>
          <w:shd w:val="clear" w:color="auto" w:fill="FFFFFF"/>
        </w:rPr>
        <w:t xml:space="preserve">made </w:t>
      </w:r>
      <w:r w:rsidRPr="0049621B">
        <w:rPr>
          <w:rFonts w:ascii="Book Antiqua" w:hAnsi="Book Antiqua" w:cs="Book Antiqua"/>
          <w:color w:val="000000"/>
          <w:sz w:val="24"/>
          <w:shd w:val="clear" w:color="auto" w:fill="FFFFFF"/>
        </w:rPr>
        <w:t xml:space="preserve">available upon request. Relative expression of mRNA was calculated by the comparative </w:t>
      </w:r>
      <w:r w:rsidR="00981194" w:rsidRPr="0049621B">
        <w:rPr>
          <w:rFonts w:ascii="Book Antiqua" w:hAnsi="Book Antiqua" w:cs="Book Antiqua"/>
          <w:color w:val="000000"/>
          <w:sz w:val="24"/>
          <w:shd w:val="clear" w:color="auto" w:fill="FFFFFF"/>
        </w:rPr>
        <w:t>cycle threshold</w:t>
      </w:r>
      <w:r w:rsidRPr="0049621B">
        <w:rPr>
          <w:rFonts w:ascii="Book Antiqua" w:hAnsi="Book Antiqua" w:cs="Book Antiqua"/>
          <w:color w:val="000000"/>
          <w:sz w:val="24"/>
          <w:shd w:val="clear" w:color="auto" w:fill="FFFFFF"/>
        </w:rPr>
        <w:t xml:space="preserve"> method.</w:t>
      </w:r>
    </w:p>
    <w:p w:rsidR="00E826BB" w:rsidRPr="0049621B" w:rsidRDefault="00E826BB" w:rsidP="0049621B">
      <w:pPr>
        <w:adjustRightInd w:val="0"/>
        <w:snapToGrid w:val="0"/>
        <w:spacing w:line="360" w:lineRule="auto"/>
        <w:rPr>
          <w:rFonts w:ascii="Book Antiqua" w:hAnsi="Book Antiqua" w:cs="Book Antiqua"/>
          <w:color w:val="000000"/>
          <w:sz w:val="24"/>
        </w:rPr>
      </w:pPr>
    </w:p>
    <w:p w:rsidR="00242092" w:rsidRPr="0049621B" w:rsidRDefault="00242092" w:rsidP="0049621B">
      <w:pPr>
        <w:adjustRightInd w:val="0"/>
        <w:snapToGrid w:val="0"/>
        <w:spacing w:line="360" w:lineRule="auto"/>
        <w:outlineLvl w:val="0"/>
        <w:rPr>
          <w:rFonts w:ascii="Book Antiqua" w:hAnsi="Book Antiqua" w:cs="Book Antiqua"/>
          <w:b/>
          <w:i/>
          <w:color w:val="000000"/>
          <w:sz w:val="24"/>
        </w:rPr>
      </w:pPr>
      <w:r w:rsidRPr="0049621B">
        <w:rPr>
          <w:rFonts w:ascii="Book Antiqua" w:hAnsi="Book Antiqua" w:cs="Book Antiqua"/>
          <w:b/>
          <w:i/>
          <w:color w:val="000000"/>
          <w:sz w:val="24"/>
        </w:rPr>
        <w:t>Bacterial DNA extraction and PCR amplification</w:t>
      </w:r>
    </w:p>
    <w:p w:rsidR="00242092" w:rsidRPr="0049621B" w:rsidRDefault="00242092" w:rsidP="0049621B">
      <w:pPr>
        <w:adjustRightInd w:val="0"/>
        <w:snapToGrid w:val="0"/>
        <w:spacing w:line="360" w:lineRule="auto"/>
        <w:rPr>
          <w:rFonts w:ascii="Book Antiqua" w:hAnsi="Book Antiqua" w:cs="Book Antiqua"/>
          <w:color w:val="000000"/>
          <w:sz w:val="24"/>
        </w:rPr>
      </w:pPr>
      <w:r w:rsidRPr="0049621B">
        <w:rPr>
          <w:rFonts w:ascii="Book Antiqua" w:hAnsi="Book Antiqua" w:cs="Book Antiqua"/>
          <w:color w:val="000000"/>
          <w:sz w:val="24"/>
        </w:rPr>
        <w:t xml:space="preserve">Microbial genomic DNA was extracted from fecal samples using the QIAamp DNA Stool Mini Kit (Qiagen). The V4 hypervariable region of 16S rRNA was amplified by </w:t>
      </w:r>
      <w:r w:rsidR="00E826BB" w:rsidRPr="0049621B">
        <w:rPr>
          <w:rFonts w:ascii="Book Antiqua" w:hAnsi="Book Antiqua" w:cs="Book Antiqua"/>
          <w:color w:val="000000"/>
          <w:sz w:val="24"/>
        </w:rPr>
        <w:t>PCR</w:t>
      </w:r>
      <w:r w:rsidRPr="0049621B">
        <w:rPr>
          <w:rFonts w:ascii="Book Antiqua" w:hAnsi="Book Antiqua" w:cs="Book Antiqua"/>
          <w:color w:val="000000"/>
          <w:sz w:val="24"/>
        </w:rPr>
        <w:t xml:space="preserve"> using specific barcoded primers (515F: 5′-GTGCCAGCMGCCGCGGTAA-3’, 806R: 5’-GGACTACHVGGGTWTCTA AT-3’). All PCR procedures were performed using Phusion High-Fidelity PCR Master Mix (New Englan</w:t>
      </w:r>
      <w:r w:rsidR="00E826BB" w:rsidRPr="0049621B">
        <w:rPr>
          <w:rFonts w:ascii="Book Antiqua" w:hAnsi="Book Antiqua" w:cs="Book Antiqua"/>
          <w:color w:val="000000"/>
          <w:sz w:val="24"/>
        </w:rPr>
        <w:t>d Biolabs, Ipswich, MA, United States</w:t>
      </w:r>
      <w:r w:rsidRPr="0049621B">
        <w:rPr>
          <w:rFonts w:ascii="Book Antiqua" w:hAnsi="Book Antiqua" w:cs="Book Antiqua"/>
          <w:color w:val="000000"/>
          <w:sz w:val="24"/>
        </w:rPr>
        <w:t xml:space="preserve">). A mixture of PCR products was purified using the Qiagen Gel Extraction Kit. The PCR products were used to generate a sequencing library using the TruSeq DNA PCRFREE Sample Preparation Kit (Illumina, San Diego, CA, </w:t>
      </w:r>
      <w:r w:rsidR="00E826BB" w:rsidRPr="0049621B">
        <w:rPr>
          <w:rFonts w:ascii="Book Antiqua" w:hAnsi="Book Antiqua" w:cs="Book Antiqua"/>
          <w:color w:val="000000"/>
          <w:sz w:val="24"/>
        </w:rPr>
        <w:t>United States</w:t>
      </w:r>
      <w:r w:rsidRPr="0049621B">
        <w:rPr>
          <w:rFonts w:ascii="Book Antiqua" w:hAnsi="Book Antiqua" w:cs="Book Antiqua"/>
          <w:color w:val="000000"/>
          <w:sz w:val="24"/>
        </w:rPr>
        <w:t>). Finally, the library was sequenced using the Illumina HiSeq 2500 platform.</w:t>
      </w:r>
    </w:p>
    <w:p w:rsidR="00E826BB" w:rsidRPr="0049621B" w:rsidRDefault="00E826BB" w:rsidP="0049621B">
      <w:pPr>
        <w:adjustRightInd w:val="0"/>
        <w:snapToGrid w:val="0"/>
        <w:spacing w:line="360" w:lineRule="auto"/>
        <w:rPr>
          <w:rFonts w:ascii="Book Antiqua" w:hAnsi="Book Antiqua" w:cs="Book Antiqua"/>
          <w:color w:val="000000"/>
          <w:sz w:val="24"/>
        </w:rPr>
      </w:pPr>
    </w:p>
    <w:p w:rsidR="00242092" w:rsidRPr="0049621B" w:rsidRDefault="00242092" w:rsidP="0049621B">
      <w:pPr>
        <w:adjustRightInd w:val="0"/>
        <w:snapToGrid w:val="0"/>
        <w:spacing w:line="360" w:lineRule="auto"/>
        <w:outlineLvl w:val="0"/>
        <w:rPr>
          <w:rFonts w:ascii="Book Antiqua" w:hAnsi="Book Antiqua" w:cs="Book Antiqua"/>
          <w:b/>
          <w:i/>
          <w:color w:val="000000"/>
          <w:sz w:val="24"/>
        </w:rPr>
      </w:pPr>
      <w:r w:rsidRPr="0049621B">
        <w:rPr>
          <w:rFonts w:ascii="Book Antiqua" w:hAnsi="Book Antiqua" w:cs="Book Antiqua"/>
          <w:b/>
          <w:i/>
          <w:color w:val="000000"/>
          <w:sz w:val="24"/>
        </w:rPr>
        <w:t>Bioinformatics analysis of sequencing data</w:t>
      </w:r>
    </w:p>
    <w:p w:rsidR="00242092" w:rsidRPr="0049621B" w:rsidRDefault="00242092" w:rsidP="0049621B">
      <w:pPr>
        <w:adjustRightInd w:val="0"/>
        <w:snapToGrid w:val="0"/>
        <w:spacing w:line="360" w:lineRule="auto"/>
        <w:rPr>
          <w:rFonts w:ascii="Book Antiqua" w:hAnsi="Book Antiqua" w:cs="Book Antiqua"/>
          <w:color w:val="000000"/>
          <w:sz w:val="24"/>
        </w:rPr>
      </w:pPr>
      <w:r w:rsidRPr="0049621B">
        <w:rPr>
          <w:rFonts w:ascii="Book Antiqua" w:hAnsi="Book Antiqua" w:cs="Book Antiqua"/>
          <w:color w:val="000000"/>
          <w:sz w:val="24"/>
        </w:rPr>
        <w:t>The 16S raw data for all samples were processed and analyzed using the QIIME pipeline (1.9.1). Operational taxonomic units (OTUs) were clustered with a 97% similarity. A representative sequence for each OTU was selected and was classified using the Greengene database gg_13_8. Based on the analysis of OTUs, the species with the highest abundance at each taxonomic level for each sample was selected to generate the relative abundances of species. An unweighted UniFrac principal coordinate analysis (PCoA) was used to analyze the similarity in the composition of fecal flora in rabbits.</w:t>
      </w:r>
    </w:p>
    <w:p w:rsidR="00E826BB" w:rsidRPr="0049621B" w:rsidRDefault="00E826BB" w:rsidP="0049621B">
      <w:pPr>
        <w:adjustRightInd w:val="0"/>
        <w:snapToGrid w:val="0"/>
        <w:spacing w:line="360" w:lineRule="auto"/>
        <w:rPr>
          <w:rFonts w:ascii="Book Antiqua" w:hAnsi="Book Antiqua" w:cs="Book Antiqua"/>
          <w:color w:val="000000"/>
          <w:sz w:val="24"/>
        </w:rPr>
      </w:pPr>
    </w:p>
    <w:p w:rsidR="00242092" w:rsidRPr="0049621B" w:rsidRDefault="00242092" w:rsidP="0049621B">
      <w:pPr>
        <w:adjustRightInd w:val="0"/>
        <w:snapToGrid w:val="0"/>
        <w:spacing w:line="360" w:lineRule="auto"/>
        <w:outlineLvl w:val="0"/>
        <w:rPr>
          <w:rFonts w:ascii="Book Antiqua" w:hAnsi="Book Antiqua" w:cs="Book Antiqua"/>
          <w:b/>
          <w:i/>
          <w:color w:val="000000"/>
          <w:sz w:val="24"/>
        </w:rPr>
      </w:pPr>
      <w:r w:rsidRPr="0049621B">
        <w:rPr>
          <w:rFonts w:ascii="Book Antiqua" w:hAnsi="Book Antiqua" w:cs="Book Antiqua"/>
          <w:b/>
          <w:i/>
          <w:color w:val="000000"/>
          <w:sz w:val="24"/>
        </w:rPr>
        <w:t>Statis</w:t>
      </w:r>
      <w:r w:rsidR="00E826BB" w:rsidRPr="0049621B">
        <w:rPr>
          <w:rFonts w:ascii="Book Antiqua" w:hAnsi="Book Antiqua" w:cs="Book Antiqua"/>
          <w:b/>
          <w:i/>
          <w:color w:val="000000"/>
          <w:sz w:val="24"/>
        </w:rPr>
        <w:t>tical analysis</w:t>
      </w:r>
    </w:p>
    <w:p w:rsidR="00242092" w:rsidRPr="0049621B" w:rsidRDefault="00242092" w:rsidP="0049621B">
      <w:pPr>
        <w:adjustRightInd w:val="0"/>
        <w:snapToGrid w:val="0"/>
        <w:spacing w:line="360" w:lineRule="auto"/>
        <w:rPr>
          <w:rFonts w:ascii="Book Antiqua" w:hAnsi="Book Antiqua" w:cs="Book Antiqua"/>
          <w:color w:val="000000"/>
          <w:sz w:val="24"/>
        </w:rPr>
      </w:pPr>
      <w:r w:rsidRPr="0049621B">
        <w:rPr>
          <w:rFonts w:ascii="Book Antiqua" w:hAnsi="Book Antiqua" w:cs="Book Antiqua"/>
          <w:color w:val="000000"/>
          <w:sz w:val="24"/>
        </w:rPr>
        <w:t xml:space="preserve">The measurement data obtained in the study were expressed as means ± standard </w:t>
      </w:r>
      <w:r w:rsidRPr="0049621B">
        <w:rPr>
          <w:rFonts w:ascii="Book Antiqua" w:hAnsi="Book Antiqua" w:cs="Book Antiqua"/>
          <w:color w:val="000000"/>
          <w:sz w:val="24"/>
        </w:rPr>
        <w:lastRenderedPageBreak/>
        <w:t xml:space="preserve">deviation, and the differences were analyzed by one-way </w:t>
      </w:r>
      <w:r w:rsidR="00981194" w:rsidRPr="0049621B">
        <w:rPr>
          <w:rFonts w:ascii="Book Antiqua" w:hAnsi="Book Antiqua" w:cs="Book Antiqua"/>
          <w:color w:val="000000"/>
          <w:sz w:val="24"/>
        </w:rPr>
        <w:t>analysis of variance</w:t>
      </w:r>
      <w:r w:rsidRPr="0049621B">
        <w:rPr>
          <w:rFonts w:ascii="Book Antiqua" w:hAnsi="Book Antiqua" w:cs="Book Antiqua"/>
          <w:color w:val="000000"/>
          <w:sz w:val="24"/>
        </w:rPr>
        <w:t>. Statistical analyses were performed using SPSS</w:t>
      </w:r>
      <w:r w:rsidR="00981194" w:rsidRPr="0049621B">
        <w:rPr>
          <w:rFonts w:ascii="Book Antiqua" w:hAnsi="Book Antiqua" w:cs="Book Antiqua"/>
          <w:color w:val="000000"/>
          <w:sz w:val="24"/>
        </w:rPr>
        <w:t xml:space="preserve"> </w:t>
      </w:r>
      <w:r w:rsidRPr="0049621B">
        <w:rPr>
          <w:rFonts w:ascii="Book Antiqua" w:hAnsi="Book Antiqua" w:cs="Book Antiqua"/>
          <w:color w:val="000000"/>
          <w:sz w:val="24"/>
        </w:rPr>
        <w:t>22.0</w:t>
      </w:r>
      <w:r w:rsidR="00981194" w:rsidRPr="0049621B">
        <w:rPr>
          <w:rFonts w:ascii="Book Antiqua" w:hAnsi="Book Antiqua" w:cs="Book Antiqua"/>
          <w:color w:val="000000"/>
          <w:sz w:val="24"/>
        </w:rPr>
        <w:t xml:space="preserve"> (Armonk, NY, United States)</w:t>
      </w:r>
      <w:r w:rsidRPr="0049621B">
        <w:rPr>
          <w:rFonts w:ascii="Book Antiqua" w:hAnsi="Book Antiqua" w:cs="Book Antiqua"/>
          <w:color w:val="000000"/>
          <w:sz w:val="24"/>
        </w:rPr>
        <w:t xml:space="preserve">. Differences were statistically significant when </w:t>
      </w:r>
      <w:r w:rsidRPr="0049621B">
        <w:rPr>
          <w:rFonts w:ascii="Book Antiqua" w:hAnsi="Book Antiqua" w:cs="Book Antiqua"/>
          <w:i/>
          <w:iCs/>
          <w:color w:val="000000"/>
          <w:sz w:val="24"/>
        </w:rPr>
        <w:t>P</w:t>
      </w:r>
      <w:r w:rsidRPr="0049621B">
        <w:rPr>
          <w:rFonts w:ascii="Book Antiqua" w:hAnsi="Book Antiqua" w:cs="Book Antiqua"/>
          <w:color w:val="000000"/>
          <w:sz w:val="24"/>
        </w:rPr>
        <w:t xml:space="preserve"> &lt; 0.05.</w:t>
      </w:r>
    </w:p>
    <w:p w:rsidR="00E826BB" w:rsidRPr="0049621B" w:rsidRDefault="00E826BB" w:rsidP="0049621B">
      <w:pPr>
        <w:adjustRightInd w:val="0"/>
        <w:snapToGrid w:val="0"/>
        <w:spacing w:line="360" w:lineRule="auto"/>
        <w:rPr>
          <w:rFonts w:ascii="Book Antiqua" w:hAnsi="Book Antiqua" w:cs="Book Antiqua"/>
          <w:color w:val="000000"/>
          <w:sz w:val="24"/>
        </w:rPr>
      </w:pPr>
    </w:p>
    <w:p w:rsidR="00242092" w:rsidRPr="0049621B" w:rsidRDefault="00242092" w:rsidP="0049621B">
      <w:pPr>
        <w:adjustRightInd w:val="0"/>
        <w:snapToGrid w:val="0"/>
        <w:spacing w:line="360" w:lineRule="auto"/>
        <w:outlineLvl w:val="0"/>
        <w:rPr>
          <w:rFonts w:ascii="Book Antiqua" w:hAnsi="Book Antiqua" w:cs="Book Antiqua"/>
          <w:b/>
          <w:bCs/>
          <w:color w:val="000000"/>
          <w:sz w:val="24"/>
        </w:rPr>
      </w:pPr>
      <w:r w:rsidRPr="0049621B">
        <w:rPr>
          <w:rFonts w:ascii="Book Antiqua" w:hAnsi="Book Antiqua" w:cs="Book Antiqua"/>
          <w:b/>
          <w:bCs/>
          <w:color w:val="000000"/>
          <w:sz w:val="24"/>
        </w:rPr>
        <w:t>RESULTS</w:t>
      </w:r>
    </w:p>
    <w:p w:rsidR="00242092" w:rsidRPr="0049621B" w:rsidRDefault="00242092" w:rsidP="0049621B">
      <w:pPr>
        <w:adjustRightInd w:val="0"/>
        <w:snapToGrid w:val="0"/>
        <w:spacing w:line="360" w:lineRule="auto"/>
        <w:outlineLvl w:val="0"/>
        <w:rPr>
          <w:rFonts w:ascii="Book Antiqua" w:hAnsi="Book Antiqua" w:cs="Book Antiqua"/>
          <w:b/>
          <w:i/>
          <w:color w:val="000000"/>
          <w:sz w:val="24"/>
        </w:rPr>
      </w:pPr>
      <w:r w:rsidRPr="0049621B">
        <w:rPr>
          <w:rFonts w:ascii="Book Antiqua" w:hAnsi="Book Antiqua" w:cs="Book Antiqua"/>
          <w:b/>
          <w:i/>
          <w:color w:val="000000"/>
          <w:sz w:val="24"/>
        </w:rPr>
        <w:t>Effects of PB2 on body weight gain and the serum lipid profile</w:t>
      </w:r>
    </w:p>
    <w:p w:rsidR="00242092" w:rsidRPr="0049621B" w:rsidRDefault="00242092" w:rsidP="0049621B">
      <w:pPr>
        <w:adjustRightInd w:val="0"/>
        <w:snapToGrid w:val="0"/>
        <w:spacing w:line="360" w:lineRule="auto"/>
        <w:rPr>
          <w:rFonts w:ascii="Book Antiqua" w:hAnsi="Book Antiqua" w:cs="Book Antiqua"/>
          <w:color w:val="000000"/>
          <w:sz w:val="24"/>
        </w:rPr>
      </w:pPr>
      <w:r w:rsidRPr="0049621B">
        <w:rPr>
          <w:rFonts w:ascii="Book Antiqua" w:hAnsi="Book Antiqua" w:cs="Book Antiqua"/>
          <w:color w:val="000000"/>
          <w:sz w:val="24"/>
        </w:rPr>
        <w:t xml:space="preserve">To investigate the metabolic effects of PB2 on HCD, body weight and serum biomarkers were detected. The treatment of HCD-fed rabbits with PB2 prevented an increase in body weight, and this effect was observed after just 3 wk </w:t>
      </w:r>
      <w:r w:rsidR="00595C94" w:rsidRPr="0049621B">
        <w:rPr>
          <w:rFonts w:ascii="Book Antiqua" w:hAnsi="Book Antiqua" w:cs="Book Antiqua"/>
          <w:color w:val="000000"/>
          <w:sz w:val="24"/>
        </w:rPr>
        <w:t xml:space="preserve">(Figure 1A and </w:t>
      </w:r>
      <w:r w:rsidRPr="0049621B">
        <w:rPr>
          <w:rFonts w:ascii="Book Antiqua" w:hAnsi="Book Antiqua" w:cs="Book Antiqua"/>
          <w:color w:val="000000"/>
          <w:sz w:val="24"/>
        </w:rPr>
        <w:t xml:space="preserve">B). By the end of 12-wk period, the Chow group gained the least body weight. The body weight of the PB2 group was slightly higher than that of the Chow group but was much lower than that of the HCD group </w:t>
      </w:r>
      <w:bookmarkStart w:id="26" w:name="OLE_LINK1"/>
      <w:r w:rsidRPr="0049621B">
        <w:rPr>
          <w:rFonts w:ascii="Book Antiqua" w:hAnsi="Book Antiqua" w:cs="Book Antiqua"/>
          <w:color w:val="000000"/>
          <w:sz w:val="24"/>
        </w:rPr>
        <w:t>(</w:t>
      </w:r>
      <w:r w:rsidRPr="0049621B">
        <w:rPr>
          <w:rFonts w:ascii="Book Antiqua" w:hAnsi="Book Antiqua" w:cs="Book Antiqua"/>
          <w:i/>
          <w:iCs/>
          <w:color w:val="000000"/>
          <w:sz w:val="24"/>
        </w:rPr>
        <w:t>P</w:t>
      </w:r>
      <w:r w:rsidRPr="0049621B">
        <w:rPr>
          <w:rFonts w:ascii="Book Antiqua" w:hAnsi="Book Antiqua" w:cs="Book Antiqua"/>
          <w:color w:val="000000"/>
          <w:sz w:val="24"/>
        </w:rPr>
        <w:t xml:space="preserve"> &lt; 0.05)</w:t>
      </w:r>
      <w:bookmarkEnd w:id="26"/>
      <w:r w:rsidRPr="0049621B">
        <w:rPr>
          <w:rFonts w:ascii="Book Antiqua" w:hAnsi="Book Antiqua" w:cs="Book Antiqua"/>
          <w:color w:val="000000"/>
          <w:sz w:val="24"/>
        </w:rPr>
        <w:t xml:space="preserve">. The HCD and PB2 groups required a period of adaptation to the </w:t>
      </w:r>
      <w:r w:rsidR="005312B2" w:rsidRPr="0049621B">
        <w:rPr>
          <w:rFonts w:ascii="Book Antiqua" w:hAnsi="Book Antiqua" w:cs="Book Antiqua"/>
          <w:color w:val="000000"/>
          <w:sz w:val="24"/>
        </w:rPr>
        <w:t>HCD</w:t>
      </w:r>
      <w:r w:rsidRPr="0049621B">
        <w:rPr>
          <w:rFonts w:ascii="Book Antiqua" w:hAnsi="Book Antiqua" w:cs="Book Antiqua"/>
          <w:color w:val="000000"/>
          <w:sz w:val="24"/>
        </w:rPr>
        <w:t xml:space="preserve"> and exhibited reduced food intake. Throughout the experiment, the PB2 group consumed the least amount of food. There was no significant difference in food intake between the three groups of rabbits after the acclimation period (Figure 1C). At the end of the experiment, the liver index of the PB2 group was significantly lower than that of the HCD group (Figure 1D).</w:t>
      </w:r>
    </w:p>
    <w:p w:rsidR="00242092" w:rsidRPr="0049621B" w:rsidRDefault="00242092" w:rsidP="0049621B">
      <w:pPr>
        <w:adjustRightInd w:val="0"/>
        <w:snapToGrid w:val="0"/>
        <w:spacing w:line="360" w:lineRule="auto"/>
        <w:ind w:firstLine="240"/>
        <w:rPr>
          <w:rFonts w:ascii="Book Antiqua" w:hAnsi="Book Antiqua" w:cs="Book Antiqua"/>
          <w:color w:val="000000"/>
          <w:sz w:val="24"/>
        </w:rPr>
      </w:pPr>
      <w:r w:rsidRPr="0049621B">
        <w:rPr>
          <w:rFonts w:ascii="Book Antiqua" w:hAnsi="Book Antiqua" w:cs="Book Antiqua"/>
          <w:color w:val="000000"/>
          <w:sz w:val="24"/>
        </w:rPr>
        <w:t>Several serum biochemical parameters, including TG, CH, LDL-C, HDL-C, GLU, and insulin, were determined. The values of TG, CH</w:t>
      </w:r>
      <w:r w:rsidR="00981194" w:rsidRPr="0049621B">
        <w:rPr>
          <w:rFonts w:ascii="Book Antiqua" w:hAnsi="Book Antiqua" w:cs="Book Antiqua"/>
          <w:color w:val="000000"/>
          <w:sz w:val="24"/>
        </w:rPr>
        <w:t>,</w:t>
      </w:r>
      <w:r w:rsidRPr="0049621B">
        <w:rPr>
          <w:rFonts w:ascii="Book Antiqua" w:hAnsi="Book Antiqua" w:cs="Book Antiqua"/>
          <w:color w:val="000000"/>
          <w:sz w:val="24"/>
        </w:rPr>
        <w:t xml:space="preserve"> and LDL-C were lowest in the Chow group. PB2 administration reduced serum TG, CH, and LDL-C levels compared with levels in the HCD group, ameliorating HCD-induced hypertriglyceridemia and hypercholesterolemia in these rabbits (</w:t>
      </w:r>
      <w:r w:rsidRPr="0049621B">
        <w:rPr>
          <w:rFonts w:ascii="Book Antiqua" w:hAnsi="Book Antiqua" w:cs="Book Antiqua"/>
          <w:i/>
          <w:iCs/>
          <w:color w:val="000000"/>
          <w:sz w:val="24"/>
        </w:rPr>
        <w:t>P</w:t>
      </w:r>
      <w:r w:rsidRPr="0049621B">
        <w:rPr>
          <w:rFonts w:ascii="Book Antiqua" w:hAnsi="Book Antiqua" w:cs="Book Antiqua"/>
          <w:color w:val="000000"/>
          <w:sz w:val="24"/>
        </w:rPr>
        <w:t xml:space="preserve"> &lt; 0.05) (Figure 2A</w:t>
      </w:r>
      <w:r w:rsidR="00FF7ABF" w:rsidRPr="0049621B">
        <w:rPr>
          <w:rFonts w:ascii="Book Antiqua" w:hAnsi="Book Antiqua" w:cs="Book Antiqua"/>
          <w:color w:val="000000"/>
          <w:sz w:val="24"/>
        </w:rPr>
        <w:t>-</w:t>
      </w:r>
      <w:r w:rsidRPr="0049621B">
        <w:rPr>
          <w:rFonts w:ascii="Book Antiqua" w:hAnsi="Book Antiqua" w:cs="Book Antiqua"/>
          <w:color w:val="000000"/>
          <w:sz w:val="24"/>
        </w:rPr>
        <w:t>C). PB2 also significantly improved HDL-C levels compared with those in the HCD group (</w:t>
      </w:r>
      <w:r w:rsidRPr="0049621B">
        <w:rPr>
          <w:rFonts w:ascii="Book Antiqua" w:hAnsi="Book Antiqua" w:cs="Book Antiqua"/>
          <w:i/>
          <w:iCs/>
          <w:color w:val="000000"/>
          <w:sz w:val="24"/>
        </w:rPr>
        <w:t>P</w:t>
      </w:r>
      <w:r w:rsidRPr="0049621B">
        <w:rPr>
          <w:rFonts w:ascii="Book Antiqua" w:hAnsi="Book Antiqua" w:cs="Book Antiqua"/>
          <w:color w:val="000000"/>
          <w:sz w:val="24"/>
        </w:rPr>
        <w:t xml:space="preserve"> &lt; 0.05) (Figure 2D). Although PB2-treated HCD-fed rabbits did not show improved fasting glucose compared to that of the HCD group, these animals displayed lower concentrations of fasting insulin than those in untreated HCD-fed animals (</w:t>
      </w:r>
      <w:r w:rsidRPr="0049621B">
        <w:rPr>
          <w:rFonts w:ascii="Book Antiqua" w:hAnsi="Book Antiqua" w:cs="Book Antiqua"/>
          <w:i/>
          <w:iCs/>
          <w:color w:val="000000"/>
          <w:sz w:val="24"/>
        </w:rPr>
        <w:t>P</w:t>
      </w:r>
      <w:r w:rsidRPr="0049621B">
        <w:rPr>
          <w:rFonts w:ascii="Book Antiqua" w:hAnsi="Book Antiqua" w:cs="Book Antiqua"/>
          <w:color w:val="000000"/>
          <w:sz w:val="24"/>
        </w:rPr>
        <w:t xml:space="preserve"> &lt; 0.05) (Figure</w:t>
      </w:r>
      <w:r w:rsidR="00595C94" w:rsidRPr="0049621B">
        <w:rPr>
          <w:rFonts w:ascii="Book Antiqua" w:hAnsi="Book Antiqua" w:cs="Book Antiqua"/>
          <w:color w:val="000000"/>
          <w:sz w:val="24"/>
        </w:rPr>
        <w:t xml:space="preserve"> 2E and </w:t>
      </w:r>
      <w:r w:rsidRPr="0049621B">
        <w:rPr>
          <w:rFonts w:ascii="Book Antiqua" w:hAnsi="Book Antiqua" w:cs="Book Antiqua"/>
          <w:color w:val="000000"/>
          <w:sz w:val="24"/>
        </w:rPr>
        <w:t>F). The IVGTT was performed</w:t>
      </w:r>
      <w:r w:rsidR="00981194" w:rsidRPr="0049621B">
        <w:rPr>
          <w:rFonts w:ascii="Book Antiqua" w:hAnsi="Book Antiqua" w:cs="Book Antiqua"/>
          <w:color w:val="000000"/>
          <w:sz w:val="24"/>
        </w:rPr>
        <w:t>,</w:t>
      </w:r>
      <w:r w:rsidRPr="0049621B">
        <w:rPr>
          <w:rFonts w:ascii="Book Antiqua" w:hAnsi="Book Antiqua" w:cs="Book Antiqua"/>
          <w:color w:val="000000"/>
          <w:sz w:val="24"/>
        </w:rPr>
        <w:t xml:space="preserve"> and changes in serum glucose are presented in Figure 2G. The incremental area under the curve (AUC) for glucose in the PB2 group was lower than that in the HCD group (Figure 2H), but the difference was not statistically significant. </w:t>
      </w:r>
      <w:r w:rsidR="00981194" w:rsidRPr="0049621B">
        <w:rPr>
          <w:rFonts w:ascii="Book Antiqua" w:hAnsi="Book Antiqua" w:cs="Book Antiqua"/>
          <w:color w:val="000000"/>
          <w:sz w:val="24"/>
        </w:rPr>
        <w:t>Twelve</w:t>
      </w:r>
      <w:r w:rsidRPr="0049621B">
        <w:rPr>
          <w:rFonts w:ascii="Book Antiqua" w:hAnsi="Book Antiqua" w:cs="Book Antiqua"/>
          <w:color w:val="000000"/>
          <w:sz w:val="24"/>
        </w:rPr>
        <w:t xml:space="preserve"> w</w:t>
      </w:r>
      <w:r w:rsidR="00981194" w:rsidRPr="0049621B">
        <w:rPr>
          <w:rFonts w:ascii="Book Antiqua" w:hAnsi="Book Antiqua" w:cs="Book Antiqua"/>
          <w:color w:val="000000"/>
          <w:sz w:val="24"/>
        </w:rPr>
        <w:t>ee</w:t>
      </w:r>
      <w:r w:rsidR="00595C94" w:rsidRPr="0049621B">
        <w:rPr>
          <w:rFonts w:ascii="Book Antiqua" w:hAnsi="Book Antiqua" w:cs="Book Antiqua"/>
          <w:color w:val="000000"/>
          <w:sz w:val="24"/>
        </w:rPr>
        <w:t>k</w:t>
      </w:r>
      <w:r w:rsidR="00981194" w:rsidRPr="0049621B">
        <w:rPr>
          <w:rFonts w:ascii="Book Antiqua" w:hAnsi="Book Antiqua" w:cs="Book Antiqua"/>
          <w:color w:val="000000"/>
          <w:sz w:val="24"/>
        </w:rPr>
        <w:t>s</w:t>
      </w:r>
      <w:r w:rsidRPr="0049621B">
        <w:rPr>
          <w:rFonts w:ascii="Book Antiqua" w:hAnsi="Book Antiqua" w:cs="Book Antiqua"/>
          <w:color w:val="000000"/>
          <w:sz w:val="24"/>
        </w:rPr>
        <w:t xml:space="preserve"> of </w:t>
      </w:r>
      <w:r w:rsidR="005312B2" w:rsidRPr="0049621B">
        <w:rPr>
          <w:rFonts w:ascii="Book Antiqua" w:hAnsi="Book Antiqua" w:cs="Book Antiqua"/>
          <w:color w:val="000000"/>
          <w:sz w:val="24"/>
        </w:rPr>
        <w:t>HCD</w:t>
      </w:r>
      <w:r w:rsidRPr="0049621B">
        <w:rPr>
          <w:rFonts w:ascii="Book Antiqua" w:hAnsi="Book Antiqua" w:cs="Book Antiqua"/>
          <w:color w:val="000000"/>
          <w:sz w:val="24"/>
        </w:rPr>
        <w:t xml:space="preserve"> </w:t>
      </w:r>
      <w:r w:rsidRPr="0049621B">
        <w:rPr>
          <w:rFonts w:ascii="Book Antiqua" w:hAnsi="Book Antiqua" w:cs="Book Antiqua"/>
          <w:color w:val="000000"/>
          <w:sz w:val="24"/>
        </w:rPr>
        <w:lastRenderedPageBreak/>
        <w:t>feeding produced a significant increase in circulating LPS, which was partially prevented by PB2 administration (</w:t>
      </w:r>
      <w:r w:rsidRPr="0049621B">
        <w:rPr>
          <w:rFonts w:ascii="Book Antiqua" w:hAnsi="Book Antiqua" w:cs="Book Antiqua"/>
          <w:i/>
          <w:iCs/>
          <w:color w:val="000000"/>
          <w:sz w:val="24"/>
        </w:rPr>
        <w:t>P</w:t>
      </w:r>
      <w:r w:rsidRPr="0049621B">
        <w:rPr>
          <w:rFonts w:ascii="Book Antiqua" w:hAnsi="Book Antiqua" w:cs="Book Antiqua"/>
          <w:color w:val="000000"/>
          <w:sz w:val="24"/>
        </w:rPr>
        <w:t xml:space="preserve"> &lt; 0.05) (Figure 2I). Thus, PB2 alleviated the endo</w:t>
      </w:r>
      <w:r w:rsidR="00B71250" w:rsidRPr="0049621B">
        <w:rPr>
          <w:rFonts w:ascii="Book Antiqua" w:hAnsi="Book Antiqua" w:cs="Book Antiqua"/>
          <w:color w:val="000000"/>
          <w:sz w:val="24"/>
        </w:rPr>
        <w:t>toxemia</w:t>
      </w:r>
      <w:r w:rsidRPr="0049621B">
        <w:rPr>
          <w:rFonts w:ascii="Book Antiqua" w:hAnsi="Book Antiqua" w:cs="Book Antiqua"/>
          <w:color w:val="000000"/>
          <w:sz w:val="24"/>
        </w:rPr>
        <w:t xml:space="preserve"> induced by HCD.</w:t>
      </w:r>
    </w:p>
    <w:p w:rsidR="00595C94" w:rsidRPr="0049621B" w:rsidRDefault="00595C94" w:rsidP="0049621B">
      <w:pPr>
        <w:adjustRightInd w:val="0"/>
        <w:snapToGrid w:val="0"/>
        <w:spacing w:line="360" w:lineRule="auto"/>
        <w:ind w:firstLine="240"/>
        <w:rPr>
          <w:rFonts w:ascii="Book Antiqua" w:hAnsi="Book Antiqua" w:cs="Book Antiqua"/>
          <w:color w:val="000000"/>
          <w:sz w:val="24"/>
        </w:rPr>
      </w:pPr>
    </w:p>
    <w:p w:rsidR="00242092" w:rsidRPr="0049621B" w:rsidRDefault="00242092" w:rsidP="0049621B">
      <w:pPr>
        <w:adjustRightInd w:val="0"/>
        <w:snapToGrid w:val="0"/>
        <w:spacing w:line="360" w:lineRule="auto"/>
        <w:outlineLvl w:val="0"/>
        <w:rPr>
          <w:rFonts w:ascii="Book Antiqua" w:hAnsi="Book Antiqua" w:cs="Book Antiqua"/>
          <w:b/>
          <w:i/>
          <w:color w:val="000000"/>
          <w:sz w:val="24"/>
        </w:rPr>
      </w:pPr>
      <w:r w:rsidRPr="0049621B">
        <w:rPr>
          <w:rFonts w:ascii="Book Antiqua" w:hAnsi="Book Antiqua" w:cs="Book Antiqua"/>
          <w:b/>
          <w:i/>
          <w:color w:val="000000"/>
          <w:sz w:val="24"/>
        </w:rPr>
        <w:t xml:space="preserve">Effects of </w:t>
      </w:r>
      <w:r w:rsidR="003A236A" w:rsidRPr="0049621B">
        <w:rPr>
          <w:rFonts w:ascii="Book Antiqua" w:hAnsi="Book Antiqua" w:cs="Book Antiqua"/>
          <w:b/>
          <w:i/>
          <w:color w:val="000000"/>
          <w:sz w:val="24"/>
        </w:rPr>
        <w:t>PB2</w:t>
      </w:r>
      <w:r w:rsidRPr="0049621B">
        <w:rPr>
          <w:rFonts w:ascii="Book Antiqua" w:hAnsi="Book Antiqua" w:cs="Book Antiqua"/>
          <w:b/>
          <w:i/>
          <w:color w:val="000000"/>
          <w:sz w:val="24"/>
        </w:rPr>
        <w:t xml:space="preserve"> on diet-induced hepatic steatosis in rabbits</w:t>
      </w:r>
    </w:p>
    <w:p w:rsidR="00242092" w:rsidRPr="0049621B" w:rsidRDefault="00242092" w:rsidP="0049621B">
      <w:pPr>
        <w:adjustRightInd w:val="0"/>
        <w:snapToGrid w:val="0"/>
        <w:spacing w:line="360" w:lineRule="auto"/>
        <w:rPr>
          <w:rFonts w:ascii="Book Antiqua" w:hAnsi="Book Antiqua" w:cs="Book Antiqua"/>
          <w:color w:val="000000"/>
          <w:sz w:val="24"/>
        </w:rPr>
      </w:pPr>
      <w:r w:rsidRPr="0049621B">
        <w:rPr>
          <w:rFonts w:ascii="Book Antiqua" w:hAnsi="Book Antiqua" w:cs="Book Antiqua"/>
          <w:color w:val="000000"/>
          <w:sz w:val="24"/>
        </w:rPr>
        <w:t xml:space="preserve">Since PB2 could inhibit hypertriglyceridemia and hypercholesterolemia in rabbits, we next examined the effects of PB2 on HCD-induced hepatic steatosis. We performed a histological analysis of the liver by staining with hematoxylin and eosin to investigate the effect of PB2 on hepatic triglyceride accumulation. The HCD group showed obvious triglyceride accumulation in the liver. The administration of PB2 resulted in significantly less triglyceride accumulation compared with that in the HCD group. The Chow group had undetectable triglycerides in the liver by </w:t>
      </w:r>
      <w:r w:rsidR="00981194" w:rsidRPr="0049621B">
        <w:rPr>
          <w:rFonts w:ascii="Book Antiqua" w:hAnsi="Book Antiqua" w:cs="Book Antiqua"/>
          <w:color w:val="000000"/>
          <w:sz w:val="24"/>
        </w:rPr>
        <w:t>hematoxylin and eosin</w:t>
      </w:r>
      <w:r w:rsidR="00981194" w:rsidRPr="0049621B" w:rsidDel="00981194">
        <w:rPr>
          <w:rFonts w:ascii="Book Antiqua" w:hAnsi="Book Antiqua" w:cs="Book Antiqua"/>
          <w:color w:val="000000"/>
          <w:sz w:val="24"/>
        </w:rPr>
        <w:t xml:space="preserve"> </w:t>
      </w:r>
      <w:r w:rsidRPr="0049621B">
        <w:rPr>
          <w:rFonts w:ascii="Book Antiqua" w:hAnsi="Book Antiqua" w:cs="Book Antiqua"/>
          <w:color w:val="000000"/>
          <w:sz w:val="24"/>
        </w:rPr>
        <w:t>staining (Figure 3A). At the end of the experiment, the liver weight in the HCD group was significant</w:t>
      </w:r>
      <w:r w:rsidR="00981194" w:rsidRPr="0049621B">
        <w:rPr>
          <w:rFonts w:ascii="Book Antiqua" w:hAnsi="Book Antiqua" w:cs="Book Antiqua"/>
          <w:color w:val="000000"/>
          <w:sz w:val="24"/>
        </w:rPr>
        <w:t>ly</w:t>
      </w:r>
      <w:r w:rsidRPr="0049621B">
        <w:rPr>
          <w:rFonts w:ascii="Book Antiqua" w:hAnsi="Book Antiqua" w:cs="Book Antiqua"/>
          <w:color w:val="000000"/>
          <w:sz w:val="24"/>
        </w:rPr>
        <w:t xml:space="preserve"> higher than that of the Chow group (</w:t>
      </w:r>
      <w:r w:rsidRPr="0049621B">
        <w:rPr>
          <w:rFonts w:ascii="Book Antiqua" w:hAnsi="Book Antiqua" w:cs="Book Antiqua"/>
          <w:i/>
          <w:iCs/>
          <w:color w:val="000000"/>
          <w:sz w:val="24"/>
        </w:rPr>
        <w:t>P</w:t>
      </w:r>
      <w:r w:rsidRPr="0049621B">
        <w:rPr>
          <w:rFonts w:ascii="Book Antiqua" w:hAnsi="Book Antiqua" w:cs="Book Antiqua"/>
          <w:color w:val="000000"/>
          <w:sz w:val="24"/>
        </w:rPr>
        <w:t xml:space="preserve"> &lt; 0.05). PB2 treatment significantly reduced liver weight compared </w:t>
      </w:r>
      <w:r w:rsidR="00981194" w:rsidRPr="0049621B">
        <w:rPr>
          <w:rFonts w:ascii="Book Antiqua" w:hAnsi="Book Antiqua" w:cs="Book Antiqua"/>
          <w:color w:val="000000"/>
          <w:sz w:val="24"/>
        </w:rPr>
        <w:t>to</w:t>
      </w:r>
      <w:r w:rsidRPr="0049621B">
        <w:rPr>
          <w:rFonts w:ascii="Book Antiqua" w:hAnsi="Book Antiqua" w:cs="Book Antiqua"/>
          <w:color w:val="000000"/>
          <w:sz w:val="24"/>
        </w:rPr>
        <w:t xml:space="preserve"> the HCD group (</w:t>
      </w:r>
      <w:r w:rsidRPr="0049621B">
        <w:rPr>
          <w:rFonts w:ascii="Book Antiqua" w:hAnsi="Book Antiqua" w:cs="Book Antiqua"/>
          <w:i/>
          <w:iCs/>
          <w:color w:val="000000"/>
          <w:sz w:val="24"/>
        </w:rPr>
        <w:t>P</w:t>
      </w:r>
      <w:r w:rsidRPr="0049621B">
        <w:rPr>
          <w:rFonts w:ascii="Book Antiqua" w:hAnsi="Book Antiqua" w:cs="Book Antiqua"/>
          <w:color w:val="000000"/>
          <w:sz w:val="24"/>
        </w:rPr>
        <w:t xml:space="preserve"> &lt; 0.05) (Figure 3B). There was no significant difference in liver enzymes </w:t>
      </w:r>
      <w:r w:rsidR="00B71250" w:rsidRPr="0049621B">
        <w:rPr>
          <w:rFonts w:ascii="Book Antiqua" w:hAnsi="Book Antiqua" w:cs="Book Antiqua"/>
          <w:color w:val="000000"/>
          <w:sz w:val="24"/>
        </w:rPr>
        <w:t>among</w:t>
      </w:r>
      <w:r w:rsidR="00981194" w:rsidRPr="0049621B">
        <w:rPr>
          <w:rFonts w:ascii="Book Antiqua" w:hAnsi="Book Antiqua" w:cs="Book Antiqua"/>
          <w:color w:val="000000"/>
          <w:sz w:val="24"/>
        </w:rPr>
        <w:t xml:space="preserve"> </w:t>
      </w:r>
      <w:r w:rsidRPr="0049621B">
        <w:rPr>
          <w:rFonts w:ascii="Book Antiqua" w:hAnsi="Book Antiqua" w:cs="Book Antiqua"/>
          <w:color w:val="000000"/>
          <w:sz w:val="24"/>
        </w:rPr>
        <w:t xml:space="preserve">the three groups </w:t>
      </w:r>
      <w:r w:rsidR="00595C94" w:rsidRPr="0049621B">
        <w:rPr>
          <w:rFonts w:ascii="Book Antiqua" w:hAnsi="Book Antiqua" w:cs="Book Antiqua"/>
          <w:color w:val="000000"/>
          <w:sz w:val="24"/>
        </w:rPr>
        <w:t xml:space="preserve">(Figure 3C and </w:t>
      </w:r>
      <w:r w:rsidRPr="0049621B">
        <w:rPr>
          <w:rFonts w:ascii="Book Antiqua" w:hAnsi="Book Antiqua" w:cs="Book Antiqua"/>
          <w:color w:val="000000"/>
          <w:sz w:val="24"/>
        </w:rPr>
        <w:t xml:space="preserve">D). Moreover, compared to the HCD group, </w:t>
      </w:r>
      <w:r w:rsidR="003A236A" w:rsidRPr="0049621B">
        <w:rPr>
          <w:rFonts w:ascii="Book Antiqua" w:hAnsi="Book Antiqua" w:cs="Book Antiqua"/>
          <w:color w:val="000000"/>
          <w:sz w:val="24"/>
        </w:rPr>
        <w:t>PB2</w:t>
      </w:r>
      <w:r w:rsidRPr="0049621B">
        <w:rPr>
          <w:rFonts w:ascii="Book Antiqua" w:hAnsi="Book Antiqua" w:cs="Book Antiqua"/>
          <w:color w:val="000000"/>
          <w:sz w:val="24"/>
        </w:rPr>
        <w:t xml:space="preserve"> treatment partially prevented the upregulation of the steroid response element binding protein 1c (SREBP</w:t>
      </w:r>
      <w:r w:rsidRPr="0049621B">
        <w:rPr>
          <w:rFonts w:ascii="Calibri" w:eastAsia="Calibri" w:hAnsi="Calibri" w:cs="Calibri"/>
          <w:color w:val="000000"/>
          <w:sz w:val="24"/>
        </w:rPr>
        <w:t>‐</w:t>
      </w:r>
      <w:r w:rsidRPr="0049621B">
        <w:rPr>
          <w:rFonts w:ascii="Book Antiqua" w:hAnsi="Book Antiqua" w:cs="Book Antiqua"/>
          <w:color w:val="000000"/>
          <w:sz w:val="24"/>
        </w:rPr>
        <w:t>1c) and the downregulation of carni</w:t>
      </w:r>
      <w:r w:rsidR="00595C94" w:rsidRPr="0049621B">
        <w:rPr>
          <w:rFonts w:ascii="Book Antiqua" w:hAnsi="Book Antiqua" w:cs="Book Antiqua"/>
          <w:color w:val="000000"/>
          <w:sz w:val="24"/>
        </w:rPr>
        <w:t xml:space="preserve">tine palmitoyltransferase </w:t>
      </w:r>
      <w:r w:rsidRPr="0049621B">
        <w:rPr>
          <w:rFonts w:ascii="Book Antiqua" w:hAnsi="Book Antiqua" w:cs="Book Antiqua"/>
          <w:color w:val="000000"/>
          <w:sz w:val="24"/>
        </w:rPr>
        <w:t>(</w:t>
      </w:r>
      <w:r w:rsidRPr="0049621B">
        <w:rPr>
          <w:rFonts w:ascii="Book Antiqua" w:hAnsi="Book Antiqua" w:cs="Book Antiqua"/>
          <w:i/>
          <w:iCs/>
          <w:color w:val="000000"/>
          <w:sz w:val="24"/>
        </w:rPr>
        <w:t>P</w:t>
      </w:r>
      <w:r w:rsidRPr="0049621B">
        <w:rPr>
          <w:rFonts w:ascii="Book Antiqua" w:hAnsi="Book Antiqua" w:cs="Book Antiqua"/>
          <w:color w:val="000000"/>
          <w:sz w:val="24"/>
        </w:rPr>
        <w:t xml:space="preserve"> &lt; 0.05) (Figure 3E-G). The expression of fatty acid synthase (FASN) was also decreased compared with the HCD group</w:t>
      </w:r>
      <w:r w:rsidR="00981194" w:rsidRPr="0049621B">
        <w:rPr>
          <w:rFonts w:ascii="Book Antiqua" w:hAnsi="Book Antiqua" w:cs="Book Antiqua"/>
          <w:color w:val="000000"/>
          <w:sz w:val="24"/>
        </w:rPr>
        <w:t>,</w:t>
      </w:r>
      <w:r w:rsidRPr="0049621B">
        <w:rPr>
          <w:rFonts w:ascii="Book Antiqua" w:hAnsi="Book Antiqua" w:cs="Book Antiqua"/>
          <w:color w:val="000000"/>
          <w:sz w:val="24"/>
        </w:rPr>
        <w:t xml:space="preserve"> but the difference was not significant.</w:t>
      </w:r>
    </w:p>
    <w:p w:rsidR="00595C94" w:rsidRPr="0049621B" w:rsidRDefault="00595C94" w:rsidP="0049621B">
      <w:pPr>
        <w:adjustRightInd w:val="0"/>
        <w:snapToGrid w:val="0"/>
        <w:spacing w:line="360" w:lineRule="auto"/>
        <w:rPr>
          <w:rFonts w:ascii="Book Antiqua" w:hAnsi="Book Antiqua" w:cs="Book Antiqua"/>
          <w:color w:val="000000"/>
          <w:sz w:val="24"/>
        </w:rPr>
      </w:pPr>
    </w:p>
    <w:p w:rsidR="00242092" w:rsidRPr="0049621B" w:rsidRDefault="00242092" w:rsidP="0049621B">
      <w:pPr>
        <w:adjustRightInd w:val="0"/>
        <w:snapToGrid w:val="0"/>
        <w:spacing w:line="360" w:lineRule="auto"/>
        <w:outlineLvl w:val="0"/>
        <w:rPr>
          <w:rFonts w:ascii="Book Antiqua" w:hAnsi="Book Antiqua" w:cs="Book Antiqua"/>
          <w:b/>
          <w:color w:val="000000"/>
          <w:sz w:val="24"/>
        </w:rPr>
      </w:pPr>
      <w:r w:rsidRPr="0049621B">
        <w:rPr>
          <w:rFonts w:ascii="Book Antiqua" w:hAnsi="Book Antiqua" w:cs="Book Antiqua"/>
          <w:b/>
          <w:i/>
          <w:color w:val="000000"/>
          <w:sz w:val="24"/>
        </w:rPr>
        <w:t>Effects of procyanidin on the gut microbiota</w:t>
      </w:r>
    </w:p>
    <w:p w:rsidR="00242092" w:rsidRPr="0049621B" w:rsidRDefault="00242092" w:rsidP="0049621B">
      <w:pPr>
        <w:adjustRightInd w:val="0"/>
        <w:snapToGrid w:val="0"/>
        <w:spacing w:line="360" w:lineRule="auto"/>
        <w:rPr>
          <w:rFonts w:ascii="Book Antiqua" w:hAnsi="Book Antiqua" w:cs="Book Antiqua"/>
          <w:color w:val="000000"/>
          <w:sz w:val="24"/>
        </w:rPr>
      </w:pPr>
      <w:r w:rsidRPr="0049621B">
        <w:rPr>
          <w:rFonts w:ascii="Book Antiqua" w:hAnsi="Book Antiqua" w:cs="Book Antiqua"/>
          <w:color w:val="000000"/>
          <w:sz w:val="24"/>
        </w:rPr>
        <w:t xml:space="preserve">The overall composition of the gut microbiota in each group was investigated. For each sample, the V4 hypervariable region of the bacterial 16S rRNA gene sequence was amplified by PCR. After filtering out sequences with a low mass and short length, 1800802 high-quality reads were obtained (average, 78295 sequences per sample). We identified 3612 </w:t>
      </w:r>
      <w:r w:rsidR="00595C94" w:rsidRPr="0049621B">
        <w:rPr>
          <w:rFonts w:ascii="Book Antiqua" w:hAnsi="Book Antiqua" w:cs="Book Antiqua"/>
          <w:color w:val="000000"/>
          <w:sz w:val="24"/>
        </w:rPr>
        <w:t>OTUs</w:t>
      </w:r>
      <w:r w:rsidRPr="0049621B">
        <w:rPr>
          <w:rFonts w:ascii="Book Antiqua" w:hAnsi="Book Antiqua" w:cs="Book Antiqua"/>
          <w:color w:val="000000"/>
          <w:sz w:val="24"/>
        </w:rPr>
        <w:t xml:space="preserve"> based on the conventional criterion of a 97% sequence identity (equal to the species level). The coverage index (sequencing depth index) for all samples ranged from 0.984 to 0.996. </w:t>
      </w:r>
    </w:p>
    <w:p w:rsidR="00242092" w:rsidRPr="0049621B" w:rsidRDefault="00595C94" w:rsidP="0049621B">
      <w:pPr>
        <w:adjustRightInd w:val="0"/>
        <w:snapToGrid w:val="0"/>
        <w:spacing w:line="360" w:lineRule="auto"/>
        <w:rPr>
          <w:rFonts w:ascii="Book Antiqua" w:hAnsi="Book Antiqua" w:cs="Book Antiqua"/>
          <w:color w:val="000000"/>
          <w:sz w:val="24"/>
        </w:rPr>
      </w:pPr>
      <w:r w:rsidRPr="0049621B">
        <w:rPr>
          <w:rFonts w:ascii="Book Antiqua" w:hAnsi="Book Antiqua" w:cs="Book Antiqua"/>
          <w:color w:val="000000"/>
          <w:sz w:val="24"/>
        </w:rPr>
        <w:lastRenderedPageBreak/>
        <w:t xml:space="preserve">  </w:t>
      </w:r>
      <w:r w:rsidR="00242092" w:rsidRPr="0049621B">
        <w:rPr>
          <w:rFonts w:ascii="Book Antiqua" w:hAnsi="Book Antiqua" w:cs="Book Antiqua"/>
          <w:color w:val="000000"/>
          <w:sz w:val="24"/>
        </w:rPr>
        <w:t>Unweighted UniFrac PCoA differentiated microbial communities based on diet and treatment</w:t>
      </w:r>
      <w:r w:rsidR="00324D18" w:rsidRPr="0049621B">
        <w:rPr>
          <w:rFonts w:ascii="Book Antiqua" w:hAnsi="Book Antiqua" w:cs="Book Antiqua"/>
          <w:color w:val="000000"/>
          <w:sz w:val="24"/>
        </w:rPr>
        <w:t xml:space="preserve"> were generated</w:t>
      </w:r>
      <w:r w:rsidR="00242092" w:rsidRPr="0049621B">
        <w:rPr>
          <w:rFonts w:ascii="Book Antiqua" w:hAnsi="Book Antiqua" w:cs="Book Antiqua"/>
          <w:color w:val="000000"/>
          <w:sz w:val="24"/>
        </w:rPr>
        <w:t xml:space="preserve">. As shown in Figure 4A, PCoA revealed that the HCD diet promoted major alterations in the gut microbiota. Distinct </w:t>
      </w:r>
      <w:r w:rsidR="00324D18" w:rsidRPr="0049621B">
        <w:rPr>
          <w:rFonts w:ascii="Book Antiqua" w:hAnsi="Book Antiqua" w:cs="Book Antiqua"/>
          <w:color w:val="000000"/>
          <w:sz w:val="24"/>
        </w:rPr>
        <w:t>clusters</w:t>
      </w:r>
      <w:r w:rsidR="00242092" w:rsidRPr="0049621B">
        <w:rPr>
          <w:rFonts w:ascii="Book Antiqua" w:hAnsi="Book Antiqua" w:cs="Book Antiqua"/>
          <w:color w:val="000000"/>
          <w:sz w:val="24"/>
        </w:rPr>
        <w:t xml:space="preserve"> were observed for PB2-treated rabbits, Chow-fed rabbits, and HCD-fed rabbits. These results demonstrated that PB2 administration has a significant effect on gut microbial composition in HCD-fed rabbits. A total of 10 phyla were detected, and </w:t>
      </w:r>
      <w:r w:rsidR="00242092" w:rsidRPr="0049621B">
        <w:rPr>
          <w:rFonts w:ascii="Book Antiqua" w:hAnsi="Book Antiqua" w:cs="Book Antiqua"/>
          <w:i/>
          <w:color w:val="000000"/>
          <w:sz w:val="24"/>
        </w:rPr>
        <w:t>Firmicutes, Bacteroidetes, Proteobacteria, and Tenericutes</w:t>
      </w:r>
      <w:r w:rsidR="00242092" w:rsidRPr="0049621B">
        <w:rPr>
          <w:rFonts w:ascii="Book Antiqua" w:hAnsi="Book Antiqua" w:cs="Book Antiqua"/>
          <w:color w:val="000000"/>
          <w:sz w:val="24"/>
        </w:rPr>
        <w:t xml:space="preserve"> were the most abundant phyla in these samples (Figure 4B). At the phylum level, the proportion of </w:t>
      </w:r>
      <w:r w:rsidR="00242092" w:rsidRPr="0049621B">
        <w:rPr>
          <w:rFonts w:ascii="Book Antiqua" w:hAnsi="Book Antiqua" w:cs="Book Antiqua"/>
          <w:i/>
          <w:color w:val="000000"/>
          <w:sz w:val="24"/>
        </w:rPr>
        <w:t>Bacteroidetes</w:t>
      </w:r>
      <w:r w:rsidR="00242092" w:rsidRPr="0049621B">
        <w:rPr>
          <w:rFonts w:ascii="Book Antiqua" w:hAnsi="Book Antiqua" w:cs="Book Antiqua"/>
          <w:color w:val="000000"/>
          <w:sz w:val="24"/>
        </w:rPr>
        <w:t xml:space="preserve"> was significantly reduced in the HCD-fed rabbits (</w:t>
      </w:r>
      <w:r w:rsidR="00242092" w:rsidRPr="0049621B">
        <w:rPr>
          <w:rFonts w:ascii="Book Antiqua" w:hAnsi="Book Antiqua" w:cs="Book Antiqua"/>
          <w:i/>
          <w:iCs/>
          <w:color w:val="000000"/>
          <w:sz w:val="24"/>
        </w:rPr>
        <w:t>P</w:t>
      </w:r>
      <w:r w:rsidR="00242092" w:rsidRPr="0049621B">
        <w:rPr>
          <w:rFonts w:ascii="Book Antiqua" w:hAnsi="Book Antiqua" w:cs="Book Antiqua"/>
          <w:color w:val="000000"/>
          <w:sz w:val="24"/>
        </w:rPr>
        <w:t xml:space="preserve"> &lt; 0.05), whereas the relative abundance of </w:t>
      </w:r>
      <w:r w:rsidR="00242092" w:rsidRPr="0049621B">
        <w:rPr>
          <w:rFonts w:ascii="Book Antiqua" w:hAnsi="Book Antiqua" w:cs="Book Antiqua"/>
          <w:i/>
          <w:color w:val="000000"/>
          <w:sz w:val="24"/>
        </w:rPr>
        <w:t>Proteobacteria</w:t>
      </w:r>
      <w:r w:rsidR="00242092" w:rsidRPr="0049621B">
        <w:rPr>
          <w:rFonts w:ascii="Book Antiqua" w:hAnsi="Book Antiqua" w:cs="Book Antiqua"/>
          <w:color w:val="000000"/>
          <w:sz w:val="24"/>
        </w:rPr>
        <w:t xml:space="preserve"> was significantly increased compared to that of the Chow-fed rabbits (</w:t>
      </w:r>
      <w:r w:rsidR="00242092" w:rsidRPr="0049621B">
        <w:rPr>
          <w:rFonts w:ascii="Book Antiqua" w:hAnsi="Book Antiqua" w:cs="Book Antiqua"/>
          <w:i/>
          <w:iCs/>
          <w:color w:val="000000"/>
          <w:sz w:val="24"/>
        </w:rPr>
        <w:t>P</w:t>
      </w:r>
      <w:r w:rsidR="00242092" w:rsidRPr="0049621B">
        <w:rPr>
          <w:rFonts w:ascii="Book Antiqua" w:hAnsi="Book Antiqua" w:cs="Book Antiqua"/>
          <w:color w:val="000000"/>
          <w:sz w:val="24"/>
        </w:rPr>
        <w:t xml:space="preserve"> &lt; 0.05). Similar trends for </w:t>
      </w:r>
      <w:r w:rsidR="00242092" w:rsidRPr="0049621B">
        <w:rPr>
          <w:rFonts w:ascii="Book Antiqua" w:hAnsi="Book Antiqua" w:cs="Book Antiqua"/>
          <w:i/>
          <w:color w:val="000000"/>
          <w:sz w:val="24"/>
        </w:rPr>
        <w:t>Bacteroidetes</w:t>
      </w:r>
      <w:r w:rsidR="00242092" w:rsidRPr="0049621B">
        <w:rPr>
          <w:rFonts w:ascii="Book Antiqua" w:hAnsi="Book Antiqua" w:cs="Book Antiqua"/>
          <w:color w:val="000000"/>
          <w:sz w:val="24"/>
        </w:rPr>
        <w:t xml:space="preserve"> and </w:t>
      </w:r>
      <w:r w:rsidR="00242092" w:rsidRPr="0049621B">
        <w:rPr>
          <w:rFonts w:ascii="Book Antiqua" w:hAnsi="Book Antiqua" w:cs="Book Antiqua"/>
          <w:i/>
          <w:color w:val="000000"/>
          <w:sz w:val="24"/>
        </w:rPr>
        <w:t>Proteobacteria</w:t>
      </w:r>
      <w:r w:rsidR="00242092" w:rsidRPr="0049621B">
        <w:rPr>
          <w:rFonts w:ascii="Book Antiqua" w:hAnsi="Book Antiqua" w:cs="Book Antiqua"/>
          <w:color w:val="000000"/>
          <w:sz w:val="24"/>
        </w:rPr>
        <w:t xml:space="preserve"> were observed in Chow-fed animals and PB2-treated animals. PB2 administration led to a low ratio of </w:t>
      </w:r>
      <w:r w:rsidR="00242092" w:rsidRPr="0049621B">
        <w:rPr>
          <w:rFonts w:ascii="Book Antiqua" w:hAnsi="Book Antiqua" w:cs="Book Antiqua"/>
          <w:i/>
          <w:color w:val="000000"/>
          <w:sz w:val="24"/>
        </w:rPr>
        <w:t>Firmicutes</w:t>
      </w:r>
      <w:r w:rsidR="00242092" w:rsidRPr="0049621B">
        <w:rPr>
          <w:rFonts w:ascii="Book Antiqua" w:hAnsi="Book Antiqua" w:cs="Book Antiqua"/>
          <w:color w:val="000000"/>
          <w:sz w:val="24"/>
        </w:rPr>
        <w:t xml:space="preserve"> to </w:t>
      </w:r>
      <w:r w:rsidR="00242092" w:rsidRPr="0049621B">
        <w:rPr>
          <w:rFonts w:ascii="Book Antiqua" w:hAnsi="Book Antiqua" w:cs="Book Antiqua"/>
          <w:i/>
          <w:color w:val="000000"/>
          <w:sz w:val="24"/>
        </w:rPr>
        <w:t>Bacteroidetes</w:t>
      </w:r>
      <w:r w:rsidR="00242092" w:rsidRPr="0049621B">
        <w:rPr>
          <w:rFonts w:ascii="Book Antiqua" w:hAnsi="Book Antiqua" w:cs="Book Antiqua"/>
          <w:color w:val="000000"/>
          <w:sz w:val="24"/>
        </w:rPr>
        <w:t xml:space="preserve"> (</w:t>
      </w:r>
      <w:r w:rsidR="00242092" w:rsidRPr="0049621B">
        <w:rPr>
          <w:rFonts w:ascii="Book Antiqua" w:hAnsi="Book Antiqua" w:cs="Book Antiqua"/>
          <w:i/>
          <w:iCs/>
          <w:color w:val="000000"/>
          <w:sz w:val="24"/>
        </w:rPr>
        <w:t>P</w:t>
      </w:r>
      <w:r w:rsidR="00242092" w:rsidRPr="0049621B">
        <w:rPr>
          <w:rFonts w:ascii="Book Antiqua" w:hAnsi="Book Antiqua" w:cs="Book Antiqua"/>
          <w:color w:val="000000"/>
          <w:sz w:val="24"/>
        </w:rPr>
        <w:t xml:space="preserve"> &lt; 0.05).</w:t>
      </w:r>
    </w:p>
    <w:p w:rsidR="00242092" w:rsidRPr="0049621B" w:rsidRDefault="00595C94" w:rsidP="0049621B">
      <w:pPr>
        <w:adjustRightInd w:val="0"/>
        <w:snapToGrid w:val="0"/>
        <w:spacing w:line="360" w:lineRule="auto"/>
        <w:rPr>
          <w:rFonts w:ascii="Book Antiqua" w:hAnsi="Book Antiqua" w:cs="Book Antiqua"/>
          <w:color w:val="000000"/>
          <w:sz w:val="24"/>
        </w:rPr>
      </w:pPr>
      <w:r w:rsidRPr="0049621B">
        <w:rPr>
          <w:rFonts w:ascii="Book Antiqua" w:hAnsi="Book Antiqua" w:cs="Book Antiqua"/>
          <w:color w:val="000000"/>
          <w:sz w:val="24"/>
        </w:rPr>
        <w:t xml:space="preserve">  </w:t>
      </w:r>
      <w:r w:rsidR="00242092" w:rsidRPr="0049621B">
        <w:rPr>
          <w:rFonts w:ascii="Book Antiqua" w:hAnsi="Book Antiqua" w:cs="Book Antiqua"/>
          <w:color w:val="000000"/>
          <w:sz w:val="24"/>
        </w:rPr>
        <w:t>At the genus level, there were significant alterations in</w:t>
      </w:r>
      <w:r w:rsidR="00242092" w:rsidRPr="0049621B">
        <w:rPr>
          <w:rFonts w:ascii="Book Antiqua" w:hAnsi="Book Antiqua" w:cs="Book Antiqua"/>
          <w:i/>
          <w:color w:val="000000"/>
          <w:sz w:val="24"/>
        </w:rPr>
        <w:t xml:space="preserve"> Allobaculum, Ruminococcus, Bacteroidetes</w:t>
      </w:r>
      <w:r w:rsidR="00242092" w:rsidRPr="0049621B">
        <w:rPr>
          <w:rFonts w:ascii="Book Antiqua" w:hAnsi="Book Antiqua" w:cs="Book Antiqua"/>
          <w:color w:val="000000"/>
          <w:sz w:val="24"/>
        </w:rPr>
        <w:t xml:space="preserve">, and </w:t>
      </w:r>
      <w:r w:rsidR="00242092" w:rsidRPr="0049621B">
        <w:rPr>
          <w:rFonts w:ascii="Book Antiqua" w:hAnsi="Book Antiqua" w:cs="Book Antiqua"/>
          <w:i/>
          <w:color w:val="000000"/>
          <w:sz w:val="24"/>
        </w:rPr>
        <w:t>Akkermansia</w:t>
      </w:r>
      <w:r w:rsidR="00242092" w:rsidRPr="0049621B">
        <w:rPr>
          <w:rFonts w:ascii="Book Antiqua" w:hAnsi="Book Antiqua" w:cs="Book Antiqua"/>
          <w:color w:val="000000"/>
          <w:sz w:val="24"/>
        </w:rPr>
        <w:t xml:space="preserve"> (Figure</w:t>
      </w:r>
      <w:r w:rsidRPr="0049621B">
        <w:rPr>
          <w:rFonts w:ascii="Book Antiqua" w:hAnsi="Book Antiqua" w:cs="Book Antiqua"/>
          <w:color w:val="000000"/>
          <w:sz w:val="24"/>
        </w:rPr>
        <w:t xml:space="preserve"> 4C and </w:t>
      </w:r>
      <w:r w:rsidR="00242092" w:rsidRPr="0049621B">
        <w:rPr>
          <w:rFonts w:ascii="Book Antiqua" w:hAnsi="Book Antiqua" w:cs="Book Antiqua"/>
          <w:color w:val="000000"/>
          <w:sz w:val="24"/>
        </w:rPr>
        <w:t xml:space="preserve">D). Compared with the HCD group, the relative abundance of </w:t>
      </w:r>
      <w:r w:rsidR="00242092" w:rsidRPr="0049621B">
        <w:rPr>
          <w:rFonts w:ascii="Book Antiqua" w:hAnsi="Book Antiqua" w:cs="Book Antiqua"/>
          <w:i/>
          <w:color w:val="000000"/>
          <w:sz w:val="24"/>
        </w:rPr>
        <w:t>Allobaculum</w:t>
      </w:r>
      <w:r w:rsidR="00242092" w:rsidRPr="0049621B">
        <w:rPr>
          <w:rFonts w:ascii="Book Antiqua" w:hAnsi="Book Antiqua" w:cs="Book Antiqua"/>
          <w:color w:val="000000"/>
          <w:sz w:val="24"/>
        </w:rPr>
        <w:t xml:space="preserve"> was significantly reduced in the PB2 group and the relative abundances of </w:t>
      </w:r>
      <w:r w:rsidR="00242092" w:rsidRPr="0049621B">
        <w:rPr>
          <w:rFonts w:ascii="Book Antiqua" w:hAnsi="Book Antiqua" w:cs="Book Antiqua"/>
          <w:i/>
          <w:color w:val="000000"/>
          <w:sz w:val="24"/>
        </w:rPr>
        <w:t>Ruminococcus</w:t>
      </w:r>
      <w:r w:rsidR="00242092" w:rsidRPr="0049621B">
        <w:rPr>
          <w:rFonts w:ascii="Book Antiqua" w:hAnsi="Book Antiqua" w:cs="Book Antiqua"/>
          <w:color w:val="000000"/>
          <w:sz w:val="24"/>
        </w:rPr>
        <w:t xml:space="preserve"> and </w:t>
      </w:r>
      <w:r w:rsidR="00242092" w:rsidRPr="0049621B">
        <w:rPr>
          <w:rFonts w:ascii="Book Antiqua" w:hAnsi="Book Antiqua" w:cs="Book Antiqua"/>
          <w:i/>
          <w:color w:val="000000"/>
          <w:sz w:val="24"/>
        </w:rPr>
        <w:t>Bacteroidetes</w:t>
      </w:r>
      <w:r w:rsidR="00242092" w:rsidRPr="0049621B">
        <w:rPr>
          <w:rFonts w:ascii="Book Antiqua" w:hAnsi="Book Antiqua" w:cs="Book Antiqua"/>
          <w:color w:val="000000"/>
          <w:sz w:val="24"/>
        </w:rPr>
        <w:t xml:space="preserve"> were significantly increased. Of note, PB2 treatment was associated with a striking 3-fold increase in the relative abundance of </w:t>
      </w:r>
      <w:r w:rsidR="00242092" w:rsidRPr="0049621B">
        <w:rPr>
          <w:rFonts w:ascii="Book Antiqua" w:hAnsi="Book Antiqua" w:cs="Book Antiqua"/>
          <w:i/>
          <w:color w:val="000000"/>
          <w:sz w:val="24"/>
        </w:rPr>
        <w:t>Akkermansia</w:t>
      </w:r>
      <w:r w:rsidR="00242092" w:rsidRPr="0049621B">
        <w:rPr>
          <w:rFonts w:ascii="Book Antiqua" w:hAnsi="Book Antiqua" w:cs="Book Antiqua"/>
          <w:color w:val="000000"/>
          <w:sz w:val="24"/>
        </w:rPr>
        <w:t xml:space="preserve"> compared with that of the HCD group.</w:t>
      </w:r>
    </w:p>
    <w:p w:rsidR="00242092" w:rsidRPr="0049621B" w:rsidRDefault="00595C94" w:rsidP="0049621B">
      <w:pPr>
        <w:adjustRightInd w:val="0"/>
        <w:snapToGrid w:val="0"/>
        <w:spacing w:line="360" w:lineRule="auto"/>
        <w:rPr>
          <w:rFonts w:ascii="Book Antiqua" w:hAnsi="Book Antiqua" w:cs="Book Antiqua"/>
          <w:color w:val="000000"/>
          <w:sz w:val="24"/>
        </w:rPr>
      </w:pPr>
      <w:r w:rsidRPr="0049621B">
        <w:rPr>
          <w:rFonts w:ascii="Book Antiqua" w:hAnsi="Book Antiqua" w:cs="Book Antiqua"/>
          <w:color w:val="000000"/>
          <w:sz w:val="24"/>
        </w:rPr>
        <w:t xml:space="preserve">  </w:t>
      </w:r>
      <w:r w:rsidR="00242092" w:rsidRPr="0049621B">
        <w:rPr>
          <w:rFonts w:ascii="Book Antiqua" w:hAnsi="Book Antiqua" w:cs="Book Antiqua"/>
          <w:color w:val="000000"/>
          <w:sz w:val="24"/>
        </w:rPr>
        <w:t xml:space="preserve">Different numbers of OTUs were detected in each group, </w:t>
      </w:r>
      <w:r w:rsidR="00242092" w:rsidRPr="00C71A37">
        <w:rPr>
          <w:rFonts w:ascii="Book Antiqua" w:hAnsi="Book Antiqua" w:cs="Book Antiqua"/>
          <w:i/>
          <w:color w:val="000000"/>
          <w:sz w:val="24"/>
        </w:rPr>
        <w:t>i.e.</w:t>
      </w:r>
      <w:r w:rsidR="00242092" w:rsidRPr="0049621B">
        <w:rPr>
          <w:rFonts w:ascii="Book Antiqua" w:hAnsi="Book Antiqua" w:cs="Book Antiqua"/>
          <w:color w:val="000000"/>
          <w:sz w:val="24"/>
        </w:rPr>
        <w:t xml:space="preserve"> 2941 in the Chow group, 2940 in the HCD group, and 2712 in the PB2 group (Figure 4E). Among all OTUs, 2166 were shared by all groups. Additionally, each group had unique OTUs, including 174 in the Chow group, 210 in the HCD group, and 274 in the PB2 group.</w:t>
      </w:r>
    </w:p>
    <w:p w:rsidR="00595C94" w:rsidRPr="0049621B" w:rsidRDefault="00595C94" w:rsidP="0049621B">
      <w:pPr>
        <w:adjustRightInd w:val="0"/>
        <w:snapToGrid w:val="0"/>
        <w:spacing w:line="360" w:lineRule="auto"/>
        <w:outlineLvl w:val="0"/>
        <w:rPr>
          <w:rFonts w:ascii="Book Antiqua" w:hAnsi="Book Antiqua" w:cs="Book Antiqua"/>
          <w:b/>
          <w:color w:val="000000"/>
          <w:sz w:val="24"/>
        </w:rPr>
      </w:pPr>
    </w:p>
    <w:p w:rsidR="00242092" w:rsidRPr="0049621B" w:rsidRDefault="00595C94" w:rsidP="0049621B">
      <w:pPr>
        <w:adjustRightInd w:val="0"/>
        <w:snapToGrid w:val="0"/>
        <w:spacing w:line="360" w:lineRule="auto"/>
        <w:outlineLvl w:val="0"/>
        <w:rPr>
          <w:rFonts w:ascii="Book Antiqua" w:hAnsi="Book Antiqua" w:cs="Book Antiqua"/>
          <w:b/>
          <w:color w:val="000000"/>
          <w:sz w:val="24"/>
        </w:rPr>
      </w:pPr>
      <w:r w:rsidRPr="0049621B">
        <w:rPr>
          <w:rFonts w:ascii="Book Antiqua" w:hAnsi="Book Antiqua" w:cs="Book Antiqua"/>
          <w:b/>
          <w:color w:val="000000"/>
          <w:sz w:val="24"/>
        </w:rPr>
        <w:t>DISCUSSION</w:t>
      </w:r>
    </w:p>
    <w:p w:rsidR="00242092" w:rsidRPr="0049621B" w:rsidRDefault="00242092" w:rsidP="0049621B">
      <w:pPr>
        <w:adjustRightInd w:val="0"/>
        <w:snapToGrid w:val="0"/>
        <w:spacing w:line="360" w:lineRule="auto"/>
        <w:rPr>
          <w:rFonts w:ascii="Book Antiqua" w:hAnsi="Book Antiqua" w:cs="Book Antiqua"/>
          <w:color w:val="000000"/>
          <w:sz w:val="24"/>
        </w:rPr>
      </w:pPr>
      <w:r w:rsidRPr="0049621B">
        <w:rPr>
          <w:rFonts w:ascii="Book Antiqua" w:hAnsi="Book Antiqua" w:cs="Book Antiqua"/>
          <w:color w:val="000000"/>
          <w:sz w:val="24"/>
        </w:rPr>
        <w:t>In the current study, we used an HCD-induced model to investigate the effects of PB2 on several components of metabolic syndrome. Our results suggested that PB2 prevents HCD-induced weight gain and the development of NAFLD and improves insulin sensitivity. PB2 also prevent</w:t>
      </w:r>
      <w:r w:rsidR="004A5A48" w:rsidRPr="0049621B">
        <w:rPr>
          <w:rFonts w:ascii="Book Antiqua" w:hAnsi="Book Antiqua" w:cs="Book Antiqua"/>
          <w:color w:val="000000"/>
          <w:sz w:val="24"/>
        </w:rPr>
        <w:t>ed</w:t>
      </w:r>
      <w:r w:rsidRPr="0049621B">
        <w:rPr>
          <w:rFonts w:ascii="Book Antiqua" w:hAnsi="Book Antiqua" w:cs="Book Antiqua"/>
          <w:color w:val="000000"/>
          <w:sz w:val="24"/>
        </w:rPr>
        <w:t xml:space="preserve"> the upregulation of several lipogenic genes, including SREBP</w:t>
      </w:r>
      <w:r w:rsidRPr="0049621B">
        <w:rPr>
          <w:rFonts w:ascii="Calibri" w:eastAsia="Calibri" w:hAnsi="Calibri" w:cs="Calibri"/>
          <w:color w:val="000000"/>
          <w:sz w:val="24"/>
        </w:rPr>
        <w:t>‐</w:t>
      </w:r>
      <w:r w:rsidRPr="0049621B">
        <w:rPr>
          <w:rFonts w:ascii="Book Antiqua" w:hAnsi="Book Antiqua" w:cs="Book Antiqua"/>
          <w:color w:val="000000"/>
          <w:sz w:val="24"/>
        </w:rPr>
        <w:t xml:space="preserve">1c and FASN. Moreover, PB2 administration led to a dramatic alteration in the gut microbiota by increasing the proportion of </w:t>
      </w:r>
      <w:r w:rsidRPr="0049621B">
        <w:rPr>
          <w:rFonts w:ascii="Book Antiqua" w:hAnsi="Book Antiqua" w:cs="Book Antiqua"/>
          <w:i/>
          <w:color w:val="000000"/>
          <w:sz w:val="24"/>
        </w:rPr>
        <w:t>Bacteroidetes</w:t>
      </w:r>
      <w:r w:rsidRPr="0049621B">
        <w:rPr>
          <w:rFonts w:ascii="Book Antiqua" w:hAnsi="Book Antiqua" w:cs="Book Antiqua"/>
          <w:color w:val="000000"/>
          <w:sz w:val="24"/>
        </w:rPr>
        <w:t xml:space="preserve"> at the </w:t>
      </w:r>
      <w:r w:rsidRPr="0049621B">
        <w:rPr>
          <w:rFonts w:ascii="Book Antiqua" w:hAnsi="Book Antiqua" w:cs="Book Antiqua"/>
          <w:color w:val="000000"/>
          <w:sz w:val="24"/>
        </w:rPr>
        <w:lastRenderedPageBreak/>
        <w:t xml:space="preserve">phylum level and </w:t>
      </w:r>
      <w:r w:rsidRPr="0049621B">
        <w:rPr>
          <w:rFonts w:ascii="Book Antiqua" w:hAnsi="Book Antiqua" w:cs="Book Antiqua"/>
          <w:i/>
          <w:color w:val="000000"/>
          <w:sz w:val="24"/>
        </w:rPr>
        <w:t>Akkermansia</w:t>
      </w:r>
      <w:r w:rsidRPr="0049621B">
        <w:rPr>
          <w:rFonts w:ascii="Book Antiqua" w:hAnsi="Book Antiqua" w:cs="Book Antiqua"/>
          <w:color w:val="000000"/>
          <w:sz w:val="24"/>
        </w:rPr>
        <w:t xml:space="preserve"> at the genus level.</w:t>
      </w:r>
    </w:p>
    <w:p w:rsidR="00242092" w:rsidRPr="0049621B" w:rsidRDefault="00595C94" w:rsidP="0049621B">
      <w:pPr>
        <w:adjustRightInd w:val="0"/>
        <w:snapToGrid w:val="0"/>
        <w:spacing w:line="360" w:lineRule="auto"/>
        <w:rPr>
          <w:rFonts w:ascii="Book Antiqua" w:hAnsi="Book Antiqua" w:cs="Book Antiqua"/>
          <w:color w:val="000000"/>
          <w:sz w:val="24"/>
        </w:rPr>
      </w:pPr>
      <w:r w:rsidRPr="0049621B">
        <w:rPr>
          <w:rFonts w:ascii="Book Antiqua" w:hAnsi="Book Antiqua" w:cs="Book Antiqua"/>
          <w:color w:val="000000"/>
          <w:sz w:val="24"/>
        </w:rPr>
        <w:t xml:space="preserve">  </w:t>
      </w:r>
      <w:r w:rsidR="00242092" w:rsidRPr="0049621B">
        <w:rPr>
          <w:rFonts w:ascii="Book Antiqua" w:hAnsi="Book Antiqua" w:cs="Book Antiqua"/>
          <w:color w:val="000000"/>
          <w:sz w:val="24"/>
        </w:rPr>
        <w:t>Extensive evidence indicates that high polyphenol-rich fruit consumption is negatively correlated with several features of metabolic syndrome</w:t>
      </w:r>
      <w:r w:rsidR="00242092" w:rsidRPr="0049621B">
        <w:rPr>
          <w:rFonts w:ascii="Book Antiqua" w:hAnsi="Book Antiqua" w:cs="Book Antiqua"/>
          <w:color w:val="000000"/>
          <w:sz w:val="24"/>
        </w:rPr>
        <w:fldChar w:fldCharType="begin"/>
      </w:r>
      <w:r w:rsidR="00242092" w:rsidRPr="0049621B">
        <w:rPr>
          <w:rFonts w:ascii="Book Antiqua" w:hAnsi="Book Antiqua" w:cs="Book Antiqua"/>
          <w:color w:val="000000"/>
          <w:sz w:val="24"/>
        </w:rPr>
        <w:instrText xml:space="preserve"> ADDIN EN.CITE </w:instrText>
      </w:r>
      <w:r w:rsidR="00242092" w:rsidRPr="0049621B">
        <w:rPr>
          <w:rFonts w:ascii="Book Antiqua" w:hAnsi="Book Antiqua" w:cs="Book Antiqua"/>
          <w:color w:val="000000"/>
          <w:sz w:val="24"/>
        </w:rPr>
        <w:fldChar w:fldCharType="begin"/>
      </w:r>
      <w:r w:rsidR="00242092" w:rsidRPr="0049621B">
        <w:rPr>
          <w:rFonts w:ascii="Book Antiqua" w:hAnsi="Book Antiqua" w:cs="Book Antiqua"/>
          <w:color w:val="000000"/>
          <w:sz w:val="24"/>
        </w:rPr>
        <w:instrText xml:space="preserve"> ADDIN EN.CITE.DATA </w:instrText>
      </w:r>
      <w:r w:rsidR="00242092" w:rsidRPr="0049621B">
        <w:rPr>
          <w:rFonts w:ascii="Book Antiqua" w:hAnsi="Book Antiqua" w:cs="Book Antiqua"/>
          <w:color w:val="000000"/>
          <w:sz w:val="24"/>
        </w:rPr>
        <w:fldChar w:fldCharType="end"/>
      </w:r>
      <w:r w:rsidR="00242092" w:rsidRPr="0049621B">
        <w:rPr>
          <w:rFonts w:ascii="Book Antiqua" w:hAnsi="Book Antiqua" w:cs="Book Antiqua"/>
          <w:color w:val="000000"/>
          <w:sz w:val="24"/>
        </w:rPr>
        <w:fldChar w:fldCharType="separate"/>
      </w:r>
      <w:r w:rsidR="00242092" w:rsidRPr="0049621B">
        <w:rPr>
          <w:rFonts w:ascii="Book Antiqua" w:hAnsi="Book Antiqua" w:cs="Book Antiqua"/>
          <w:color w:val="000000"/>
          <w:sz w:val="24"/>
          <w:vertAlign w:val="superscript"/>
          <w:lang w:eastAsia="zh-CN"/>
        </w:rPr>
        <w:t>[18-20]</w:t>
      </w:r>
      <w:r w:rsidR="00242092" w:rsidRPr="0049621B">
        <w:rPr>
          <w:rFonts w:ascii="Book Antiqua" w:hAnsi="Book Antiqua" w:cs="Book Antiqua"/>
          <w:color w:val="000000"/>
          <w:sz w:val="24"/>
        </w:rPr>
        <w:fldChar w:fldCharType="end"/>
      </w:r>
      <w:r w:rsidR="00242092" w:rsidRPr="0049621B">
        <w:rPr>
          <w:rFonts w:ascii="Book Antiqua" w:hAnsi="Book Antiqua" w:cs="Book Antiqua"/>
          <w:color w:val="000000"/>
          <w:sz w:val="24"/>
        </w:rPr>
        <w:t>. Although the positive health effects of fruit may be attributed to vitamins, minerals, and dietary fiber, a growing number of studies support the role of polyphenols in protection against obesity-related diseases</w:t>
      </w:r>
      <w:r w:rsidR="00242092" w:rsidRPr="0049621B">
        <w:rPr>
          <w:rFonts w:ascii="Book Antiqua" w:hAnsi="Book Antiqua" w:cs="Book Antiqua"/>
          <w:color w:val="000000"/>
          <w:sz w:val="24"/>
        </w:rPr>
        <w:fldChar w:fldCharType="begin"/>
      </w:r>
      <w:r w:rsidR="00242092" w:rsidRPr="0049621B">
        <w:rPr>
          <w:rFonts w:ascii="Book Antiqua" w:hAnsi="Book Antiqua" w:cs="Book Antiqua"/>
          <w:color w:val="000000"/>
          <w:sz w:val="24"/>
        </w:rPr>
        <w:instrText xml:space="preserve"> ADDIN EN.CITE &lt;EndNote&gt;&lt;Cite&gt;&lt;Author&gt;Corder&lt;/Author&gt;&lt;Year&gt;2006&lt;/Year&gt;&lt;RecNum&gt;287&lt;/RecNum&gt;&lt;DisplayText&gt;&lt;style face="superscript"&gt;[21]&lt;/style&gt;&lt;/DisplayText&gt;&lt;record&gt;&lt;rec-number&gt;287&lt;/rec-number&gt;&lt;foreign-keys&gt;&lt;key app="EN" db-id="t0rz9rwwc5zd2re0rr5xepf7rd9xztdse0tf" timestamp="1543145880"&gt;287&lt;/key&gt;&lt;/foreign-keys&gt;&lt;ref-type name="Journal Article"&gt;17&lt;/ref-type&gt;&lt;contributors&gt;&lt;authors&gt;&lt;author&gt;Corder, R.&lt;/author&gt;&lt;author&gt;Mullen, W.&lt;/author&gt;&lt;author&gt;Khan, N. Q.&lt;/author&gt;&lt;author&gt;Marks, S. C.&lt;/author&gt;&lt;author&gt;Wood, E. G.&lt;/author&gt;&lt;author&gt;Carrier, M. J.&lt;/author&gt;&lt;author&gt;Crozier, A.&lt;/author&gt;&lt;/authors&gt;&lt;/contributors&gt;&lt;auth-address&gt;William Harvey Research Institute, Barts and the London, Queen Mary&amp;apos;s School of Medicine and Dentistry, London EC1M 6BQ, UK. r.corder@qmul.ac.uk&lt;/auth-address&gt;&lt;titles&gt;&lt;title&gt;Oenology: red wine procyanidins and vascular health&lt;/title&gt;&lt;secondary-title&gt;Nature&lt;/secondary-title&gt;&lt;/titles&gt;&lt;periodical&gt;&lt;full-title&gt;Nature&lt;/full-title&gt;&lt;abbr-1&gt;Nature&lt;/abbr-1&gt;&lt;/periodical&gt;&lt;pages&gt;566&lt;/pages&gt;&lt;volume&gt;444&lt;/volume&gt;&lt;number&gt;7119&lt;/number&gt;&lt;keywords&gt;&lt;keyword&gt;Aged&lt;/keyword&gt;&lt;keyword&gt;Biflavonoids/*analysis/chemistry/pharmacology&lt;/keyword&gt;&lt;keyword&gt;Catechin/*analysis/chemistry/pharmacology&lt;/keyword&gt;&lt;keyword&gt;Cells, Cultured&lt;/keyword&gt;&lt;keyword&gt;Endothelin-1/biosynthesis&lt;/keyword&gt;&lt;keyword&gt;Endothelium, Vascular&lt;/keyword&gt;&lt;keyword&gt;Female&lt;/keyword&gt;&lt;keyword&gt;France&lt;/keyword&gt;&lt;keyword&gt;Humans&lt;/keyword&gt;&lt;keyword&gt;Longevity&lt;/keyword&gt;&lt;keyword&gt;Male&lt;/keyword&gt;&lt;keyword&gt;Proanthocyanidins/*analysis/chemistry/pharmacology&lt;/keyword&gt;&lt;keyword&gt;Protective Agents/analysis/pharmacology&lt;/keyword&gt;&lt;keyword&gt;Vascular Diseases/*prevention &amp;amp; control&lt;/keyword&gt;&lt;keyword&gt;*Wine&lt;/keyword&gt;&lt;/keywords&gt;&lt;dates&gt;&lt;year&gt;2006&lt;/year&gt;&lt;pub-dates&gt;&lt;date&gt;Nov 30&lt;/date&gt;&lt;/pub-dates&gt;&lt;/dates&gt;&lt;isbn&gt;1476-4687 (Electronic)&amp;#xD;0028-0836 (Linking)&lt;/isbn&gt;&lt;accession-num&gt;17136085&lt;/accession-num&gt;&lt;urls&gt;&lt;related-urls&gt;&lt;url&gt;https://www.ncbi.nlm.nih.gov/pubmed/17136085&lt;/url&gt;&lt;/related-urls&gt;&lt;/urls&gt;&lt;electronic-resource-num&gt;10.1038/444566a&lt;/electronic-resource-num&gt;&lt;/record&gt;&lt;/Cite&gt;&lt;/EndNote&gt;</w:instrText>
      </w:r>
      <w:r w:rsidR="00242092" w:rsidRPr="0049621B">
        <w:rPr>
          <w:rFonts w:ascii="Book Antiqua" w:hAnsi="Book Antiqua" w:cs="Book Antiqua"/>
          <w:color w:val="000000"/>
          <w:sz w:val="24"/>
        </w:rPr>
        <w:fldChar w:fldCharType="separate"/>
      </w:r>
      <w:r w:rsidR="00242092" w:rsidRPr="0049621B">
        <w:rPr>
          <w:rFonts w:ascii="Book Antiqua" w:hAnsi="Book Antiqua" w:cs="Book Antiqua"/>
          <w:color w:val="000000"/>
          <w:sz w:val="24"/>
          <w:vertAlign w:val="superscript"/>
          <w:lang w:eastAsia="zh-CN"/>
        </w:rPr>
        <w:t>[21]</w:t>
      </w:r>
      <w:r w:rsidR="00242092" w:rsidRPr="0049621B">
        <w:rPr>
          <w:rFonts w:ascii="Book Antiqua" w:hAnsi="Book Antiqua" w:cs="Book Antiqua"/>
          <w:color w:val="000000"/>
          <w:sz w:val="24"/>
        </w:rPr>
        <w:fldChar w:fldCharType="end"/>
      </w:r>
      <w:r w:rsidR="00242092" w:rsidRPr="0049621B">
        <w:rPr>
          <w:rFonts w:ascii="Book Antiqua" w:hAnsi="Book Antiqua" w:cs="Book Antiqua"/>
          <w:color w:val="000000"/>
          <w:sz w:val="24"/>
        </w:rPr>
        <w:t>. Accordingly, we explored the impacts of PB2, a major component of berries, on several features of NAFLD</w:t>
      </w:r>
      <w:r w:rsidR="00242092" w:rsidRPr="0049621B">
        <w:rPr>
          <w:rFonts w:ascii="Book Antiqua" w:hAnsi="Book Antiqua" w:cs="Book Antiqua"/>
          <w:color w:val="000000"/>
          <w:sz w:val="24"/>
        </w:rPr>
        <w:fldChar w:fldCharType="begin"/>
      </w:r>
      <w:r w:rsidR="00242092" w:rsidRPr="0049621B">
        <w:rPr>
          <w:rFonts w:ascii="Book Antiqua" w:hAnsi="Book Antiqua" w:cs="Book Antiqua"/>
          <w:color w:val="000000"/>
          <w:sz w:val="24"/>
        </w:rPr>
        <w:instrText xml:space="preserve"> ADDIN EN.CITE </w:instrText>
      </w:r>
      <w:r w:rsidR="00242092" w:rsidRPr="0049621B">
        <w:rPr>
          <w:rFonts w:ascii="Book Antiqua" w:hAnsi="Book Antiqua" w:cs="Book Antiqua"/>
          <w:color w:val="000000"/>
          <w:sz w:val="24"/>
        </w:rPr>
        <w:fldChar w:fldCharType="begin"/>
      </w:r>
      <w:r w:rsidR="00242092" w:rsidRPr="0049621B">
        <w:rPr>
          <w:rFonts w:ascii="Book Antiqua" w:hAnsi="Book Antiqua" w:cs="Book Antiqua"/>
          <w:color w:val="000000"/>
          <w:sz w:val="24"/>
        </w:rPr>
        <w:instrText xml:space="preserve"> ADDIN EN.CITE.DATA </w:instrText>
      </w:r>
      <w:r w:rsidR="00242092" w:rsidRPr="0049621B">
        <w:rPr>
          <w:rFonts w:ascii="Book Antiqua" w:hAnsi="Book Antiqua" w:cs="Book Antiqua"/>
          <w:color w:val="000000"/>
          <w:sz w:val="24"/>
        </w:rPr>
        <w:fldChar w:fldCharType="end"/>
      </w:r>
      <w:r w:rsidR="00242092" w:rsidRPr="0049621B">
        <w:rPr>
          <w:rFonts w:ascii="Book Antiqua" w:hAnsi="Book Antiqua" w:cs="Book Antiqua"/>
          <w:color w:val="000000"/>
          <w:sz w:val="24"/>
        </w:rPr>
        <w:fldChar w:fldCharType="separate"/>
      </w:r>
      <w:r w:rsidRPr="0049621B">
        <w:rPr>
          <w:rFonts w:ascii="Book Antiqua" w:hAnsi="Book Antiqua" w:cs="Book Antiqua"/>
          <w:color w:val="000000"/>
          <w:sz w:val="24"/>
          <w:vertAlign w:val="superscript"/>
          <w:lang w:eastAsia="zh-CN"/>
        </w:rPr>
        <w:t>[22,</w:t>
      </w:r>
      <w:r w:rsidR="00242092" w:rsidRPr="0049621B">
        <w:rPr>
          <w:rFonts w:ascii="Book Antiqua" w:hAnsi="Book Antiqua" w:cs="Book Antiqua"/>
          <w:color w:val="000000"/>
          <w:sz w:val="24"/>
          <w:vertAlign w:val="superscript"/>
          <w:lang w:eastAsia="zh-CN"/>
        </w:rPr>
        <w:t>23]</w:t>
      </w:r>
      <w:r w:rsidR="00242092" w:rsidRPr="0049621B">
        <w:rPr>
          <w:rFonts w:ascii="Book Antiqua" w:hAnsi="Book Antiqua" w:cs="Book Antiqua"/>
          <w:color w:val="000000"/>
          <w:sz w:val="24"/>
        </w:rPr>
        <w:fldChar w:fldCharType="end"/>
      </w:r>
      <w:r w:rsidR="00242092" w:rsidRPr="0049621B">
        <w:rPr>
          <w:rFonts w:ascii="Book Antiqua" w:hAnsi="Book Antiqua" w:cs="Book Antiqua"/>
          <w:color w:val="000000"/>
          <w:sz w:val="24"/>
        </w:rPr>
        <w:t>.</w:t>
      </w:r>
      <w:r w:rsidR="00731CA1" w:rsidRPr="0049621B">
        <w:rPr>
          <w:rFonts w:ascii="Book Antiqua" w:hAnsi="Book Antiqua" w:cs="Book Antiqua"/>
          <w:color w:val="000000"/>
          <w:sz w:val="24"/>
        </w:rPr>
        <w:t xml:space="preserve"> </w:t>
      </w:r>
      <w:r w:rsidR="00242092" w:rsidRPr="0049621B">
        <w:rPr>
          <w:rFonts w:ascii="Book Antiqua" w:hAnsi="Book Antiqua" w:cs="Book Antiqua"/>
          <w:color w:val="000000"/>
          <w:sz w:val="24"/>
        </w:rPr>
        <w:t xml:space="preserve">Our results showed that PB2 reduces weight gain as well as the liver index, and this effect on weight was observed before significant change of food intake was detected. IVGTT revealed </w:t>
      </w:r>
      <w:r w:rsidR="004A5A48" w:rsidRPr="0049621B">
        <w:rPr>
          <w:rFonts w:ascii="Book Antiqua" w:hAnsi="Book Antiqua" w:cs="Book Antiqua"/>
          <w:color w:val="000000"/>
          <w:sz w:val="24"/>
        </w:rPr>
        <w:t>an improvement in</w:t>
      </w:r>
      <w:r w:rsidR="00242092" w:rsidRPr="0049621B">
        <w:rPr>
          <w:rFonts w:ascii="Book Antiqua" w:hAnsi="Book Antiqua" w:cs="Book Antiqua"/>
          <w:color w:val="000000"/>
          <w:sz w:val="24"/>
        </w:rPr>
        <w:t xml:space="preserve"> IR by fasting and postprandial glucose in the PB2 group compared with the HCD group. PB2 treatment had an obvious lipid-lowing effect; it significantly reduced the serum levels of TG, TC, and LDL-C compared to the HCD group at the end of the experiment. Additionally, PB2 prevented the development of NAFLD to some extent by reducing liver TG deposition and weakened inflammation induced by the HCD. </w:t>
      </w:r>
    </w:p>
    <w:p w:rsidR="00242092" w:rsidRPr="0049621B" w:rsidRDefault="00595C94" w:rsidP="0049621B">
      <w:pPr>
        <w:adjustRightInd w:val="0"/>
        <w:snapToGrid w:val="0"/>
        <w:spacing w:line="360" w:lineRule="auto"/>
        <w:rPr>
          <w:rFonts w:ascii="Book Antiqua" w:hAnsi="Book Antiqua" w:cs="Book Antiqua"/>
          <w:color w:val="000000"/>
          <w:sz w:val="24"/>
        </w:rPr>
      </w:pPr>
      <w:r w:rsidRPr="0049621B">
        <w:rPr>
          <w:rFonts w:ascii="Book Antiqua" w:hAnsi="Book Antiqua" w:cs="Book Antiqua"/>
          <w:color w:val="000000"/>
          <w:sz w:val="24"/>
        </w:rPr>
        <w:t xml:space="preserve">  </w:t>
      </w:r>
      <w:r w:rsidR="00242092" w:rsidRPr="0049621B">
        <w:rPr>
          <w:rFonts w:ascii="Book Antiqua" w:hAnsi="Book Antiqua" w:cs="Book Antiqua"/>
          <w:color w:val="000000"/>
          <w:sz w:val="24"/>
        </w:rPr>
        <w:t xml:space="preserve">SREBP-1c is a major regulator of </w:t>
      </w:r>
      <w:bookmarkStart w:id="27" w:name="OLE_LINK54"/>
      <w:bookmarkStart w:id="28" w:name="OLE_LINK55"/>
      <w:r w:rsidR="00242092" w:rsidRPr="0049621B">
        <w:rPr>
          <w:rFonts w:ascii="Book Antiqua" w:hAnsi="Book Antiqua" w:cs="Book Antiqua"/>
          <w:color w:val="000000"/>
          <w:sz w:val="24"/>
        </w:rPr>
        <w:t>fatty acid</w:t>
      </w:r>
      <w:bookmarkEnd w:id="27"/>
      <w:bookmarkEnd w:id="28"/>
      <w:r w:rsidR="00242092" w:rsidRPr="0049621B">
        <w:rPr>
          <w:rFonts w:ascii="Book Antiqua" w:hAnsi="Book Antiqua" w:cs="Book Antiqua"/>
          <w:color w:val="000000"/>
          <w:sz w:val="24"/>
        </w:rPr>
        <w:t>s (FA) synthesis, which may be involved in IR and NAFLD development, with the goal of reducing lipogenesis and TG levels. Overexpressing SREBP1c increased FA synthase</w:t>
      </w:r>
      <w:r w:rsidR="004A5A48" w:rsidRPr="0049621B">
        <w:rPr>
          <w:rFonts w:ascii="Book Antiqua" w:hAnsi="Book Antiqua" w:cs="Book Antiqua"/>
          <w:color w:val="000000"/>
          <w:sz w:val="24"/>
        </w:rPr>
        <w:t>,</w:t>
      </w:r>
      <w:r w:rsidR="00242092" w:rsidRPr="0049621B">
        <w:rPr>
          <w:rFonts w:ascii="Book Antiqua" w:hAnsi="Book Antiqua" w:cs="Book Antiqua"/>
          <w:color w:val="000000"/>
          <w:sz w:val="24"/>
        </w:rPr>
        <w:t xml:space="preserve"> leading</w:t>
      </w:r>
      <w:r w:rsidR="004A5A48" w:rsidRPr="0049621B">
        <w:rPr>
          <w:rFonts w:ascii="Book Antiqua" w:hAnsi="Book Antiqua" w:cs="Book Antiqua"/>
          <w:color w:val="000000"/>
          <w:sz w:val="24"/>
        </w:rPr>
        <w:t xml:space="preserve"> </w:t>
      </w:r>
      <w:r w:rsidR="00242092" w:rsidRPr="0049621B">
        <w:rPr>
          <w:rFonts w:ascii="Book Antiqua" w:hAnsi="Book Antiqua" w:cs="Book Antiqua"/>
          <w:color w:val="000000"/>
          <w:sz w:val="24"/>
        </w:rPr>
        <w:t xml:space="preserve">to a higher level of liver </w:t>
      </w:r>
      <w:r w:rsidRPr="0049621B">
        <w:rPr>
          <w:rFonts w:ascii="Book Antiqua" w:hAnsi="Book Antiqua" w:cs="Book Antiqua"/>
          <w:color w:val="000000"/>
          <w:sz w:val="24"/>
        </w:rPr>
        <w:t>FA</w:t>
      </w:r>
      <w:r w:rsidR="00242092" w:rsidRPr="0049621B">
        <w:rPr>
          <w:rFonts w:ascii="Book Antiqua" w:hAnsi="Book Antiqua" w:cs="Book Antiqua"/>
          <w:color w:val="000000"/>
          <w:sz w:val="24"/>
        </w:rPr>
        <w:t xml:space="preserve"> and TG; whereas SREBP-1c knockout mice showed decreased FASN expression, liver FA, and serum TG levels</w:t>
      </w:r>
      <w:r w:rsidR="00242092" w:rsidRPr="0049621B">
        <w:rPr>
          <w:rFonts w:ascii="Book Antiqua" w:hAnsi="Book Antiqua" w:cs="Book Antiqua"/>
          <w:color w:val="000000"/>
          <w:sz w:val="24"/>
        </w:rPr>
        <w:fldChar w:fldCharType="begin"/>
      </w:r>
      <w:r w:rsidR="00242092" w:rsidRPr="0049621B">
        <w:rPr>
          <w:rFonts w:ascii="Book Antiqua" w:hAnsi="Book Antiqua" w:cs="Book Antiqua"/>
          <w:color w:val="000000"/>
          <w:sz w:val="24"/>
        </w:rPr>
        <w:instrText xml:space="preserve"> ADDIN EN.CITE </w:instrText>
      </w:r>
      <w:r w:rsidR="00242092" w:rsidRPr="0049621B">
        <w:rPr>
          <w:rFonts w:ascii="Book Antiqua" w:hAnsi="Book Antiqua" w:cs="Book Antiqua"/>
          <w:color w:val="000000"/>
          <w:sz w:val="24"/>
        </w:rPr>
        <w:fldChar w:fldCharType="begin"/>
      </w:r>
      <w:r w:rsidR="00242092" w:rsidRPr="0049621B">
        <w:rPr>
          <w:rFonts w:ascii="Book Antiqua" w:hAnsi="Book Antiqua" w:cs="Book Antiqua"/>
          <w:color w:val="000000"/>
          <w:sz w:val="24"/>
        </w:rPr>
        <w:instrText xml:space="preserve"> ADDIN EN.CITE.DATA </w:instrText>
      </w:r>
      <w:r w:rsidR="00242092" w:rsidRPr="0049621B">
        <w:rPr>
          <w:rFonts w:ascii="Book Antiqua" w:hAnsi="Book Antiqua" w:cs="Book Antiqua"/>
          <w:color w:val="000000"/>
          <w:sz w:val="24"/>
        </w:rPr>
        <w:fldChar w:fldCharType="end"/>
      </w:r>
      <w:r w:rsidR="00242092" w:rsidRPr="0049621B">
        <w:rPr>
          <w:rFonts w:ascii="Book Antiqua" w:hAnsi="Book Antiqua" w:cs="Book Antiqua"/>
          <w:color w:val="000000"/>
          <w:sz w:val="24"/>
        </w:rPr>
        <w:fldChar w:fldCharType="separate"/>
      </w:r>
      <w:r w:rsidR="00242092" w:rsidRPr="0049621B">
        <w:rPr>
          <w:rFonts w:ascii="Book Antiqua" w:hAnsi="Book Antiqua" w:cs="Book Antiqua"/>
          <w:color w:val="000000"/>
          <w:sz w:val="24"/>
          <w:vertAlign w:val="superscript"/>
          <w:lang w:eastAsia="zh-CN"/>
        </w:rPr>
        <w:t>[24]</w:t>
      </w:r>
      <w:r w:rsidR="00242092" w:rsidRPr="0049621B">
        <w:rPr>
          <w:rFonts w:ascii="Book Antiqua" w:hAnsi="Book Antiqua" w:cs="Book Antiqua"/>
          <w:color w:val="000000"/>
          <w:sz w:val="24"/>
        </w:rPr>
        <w:fldChar w:fldCharType="end"/>
      </w:r>
      <w:r w:rsidR="00242092" w:rsidRPr="0049621B">
        <w:rPr>
          <w:rFonts w:ascii="Book Antiqua" w:hAnsi="Book Antiqua" w:cs="Book Antiqua"/>
          <w:color w:val="000000"/>
          <w:sz w:val="24"/>
        </w:rPr>
        <w:t xml:space="preserve">. Our results showed </w:t>
      </w:r>
      <w:r w:rsidR="004A5A48" w:rsidRPr="0049621B">
        <w:rPr>
          <w:rFonts w:ascii="Book Antiqua" w:hAnsi="Book Antiqua" w:cs="Book Antiqua"/>
          <w:color w:val="000000"/>
          <w:sz w:val="24"/>
        </w:rPr>
        <w:t xml:space="preserve">that </w:t>
      </w:r>
      <w:r w:rsidR="00242092" w:rsidRPr="0049621B">
        <w:rPr>
          <w:rFonts w:ascii="Book Antiqua" w:hAnsi="Book Antiqua" w:cs="Book Antiqua"/>
          <w:color w:val="000000"/>
          <w:sz w:val="24"/>
        </w:rPr>
        <w:t>PB2 significantly prevent</w:t>
      </w:r>
      <w:r w:rsidR="004A5A48" w:rsidRPr="0049621B">
        <w:rPr>
          <w:rFonts w:ascii="Book Antiqua" w:hAnsi="Book Antiqua" w:cs="Book Antiqua"/>
          <w:color w:val="000000"/>
          <w:sz w:val="24"/>
        </w:rPr>
        <w:t>ed</w:t>
      </w:r>
      <w:r w:rsidR="00242092" w:rsidRPr="0049621B">
        <w:rPr>
          <w:rFonts w:ascii="Book Antiqua" w:hAnsi="Book Antiqua" w:cs="Book Antiqua"/>
          <w:color w:val="000000"/>
          <w:sz w:val="24"/>
        </w:rPr>
        <w:t xml:space="preserve"> the upregulation of SREBP-1c compared to the HCD group. The inhibition of SREBP1 upregulation may be included in the mechanisms of PB2 to alleviate the steatosis in hepatic cells.</w:t>
      </w:r>
    </w:p>
    <w:p w:rsidR="00242092" w:rsidRPr="0049621B" w:rsidRDefault="00595C94" w:rsidP="0049621B">
      <w:pPr>
        <w:adjustRightInd w:val="0"/>
        <w:snapToGrid w:val="0"/>
        <w:spacing w:line="360" w:lineRule="auto"/>
        <w:rPr>
          <w:rFonts w:ascii="Book Antiqua" w:hAnsi="Book Antiqua" w:cs="Book Antiqua"/>
          <w:color w:val="000000"/>
          <w:sz w:val="24"/>
        </w:rPr>
      </w:pPr>
      <w:r w:rsidRPr="0049621B">
        <w:rPr>
          <w:rFonts w:ascii="Book Antiqua" w:hAnsi="Book Antiqua" w:cs="Book Antiqua"/>
          <w:color w:val="000000"/>
          <w:sz w:val="24"/>
        </w:rPr>
        <w:t xml:space="preserve">  </w:t>
      </w:r>
      <w:r w:rsidR="00242092" w:rsidRPr="0049621B">
        <w:rPr>
          <w:rFonts w:ascii="Book Antiqua" w:hAnsi="Book Antiqua" w:cs="Book Antiqua"/>
          <w:color w:val="000000"/>
          <w:sz w:val="24"/>
        </w:rPr>
        <w:t xml:space="preserve">A high ratio of </w:t>
      </w:r>
      <w:r w:rsidR="00242092" w:rsidRPr="0049621B">
        <w:rPr>
          <w:rFonts w:ascii="Book Antiqua" w:hAnsi="Book Antiqua" w:cs="Book Antiqua"/>
          <w:i/>
          <w:color w:val="000000"/>
          <w:sz w:val="24"/>
        </w:rPr>
        <w:t>Firmicutes</w:t>
      </w:r>
      <w:r w:rsidR="00242092" w:rsidRPr="0049621B">
        <w:rPr>
          <w:rFonts w:ascii="Book Antiqua" w:hAnsi="Book Antiqua" w:cs="Book Antiqua"/>
          <w:color w:val="000000"/>
          <w:sz w:val="24"/>
        </w:rPr>
        <w:t xml:space="preserve"> to </w:t>
      </w:r>
      <w:r w:rsidR="00242092" w:rsidRPr="0049621B">
        <w:rPr>
          <w:rFonts w:ascii="Book Antiqua" w:hAnsi="Book Antiqua" w:cs="Book Antiqua"/>
          <w:i/>
          <w:color w:val="000000"/>
          <w:sz w:val="24"/>
        </w:rPr>
        <w:t>Bacteroidetes</w:t>
      </w:r>
      <w:r w:rsidR="00242092" w:rsidRPr="0049621B">
        <w:rPr>
          <w:rFonts w:ascii="Book Antiqua" w:hAnsi="Book Antiqua" w:cs="Book Antiqua"/>
          <w:color w:val="000000"/>
          <w:sz w:val="24"/>
        </w:rPr>
        <w:t xml:space="preserve"> is often thought to be a key characteristic of obesity and NAFLD</w:t>
      </w:r>
      <w:r w:rsidR="00242092" w:rsidRPr="0049621B">
        <w:rPr>
          <w:rFonts w:ascii="Book Antiqua" w:hAnsi="Book Antiqua" w:cs="Book Antiqua"/>
          <w:color w:val="000000"/>
          <w:sz w:val="24"/>
        </w:rPr>
        <w:fldChar w:fldCharType="begin"/>
      </w:r>
      <w:r w:rsidR="00242092" w:rsidRPr="0049621B">
        <w:rPr>
          <w:rFonts w:ascii="Book Antiqua" w:hAnsi="Book Antiqua" w:cs="Book Antiqua"/>
          <w:color w:val="000000"/>
          <w:sz w:val="24"/>
        </w:rPr>
        <w:instrText xml:space="preserve"> ADDIN EN.CITE &lt;EndNote&gt;&lt;Cite&gt;&lt;Author&gt;Ley&lt;/Author&gt;&lt;Year&gt;2005&lt;/Year&gt;&lt;RecNum&gt;294&lt;/RecNum&gt;&lt;DisplayText&gt;&lt;style face="superscript"&gt;[25]&lt;/style&gt;&lt;/DisplayText&gt;&lt;record&gt;&lt;rec-number&gt;294&lt;/rec-number&gt;&lt;foreign-keys&gt;&lt;key app="EN" db-id="t0rz9rwwc5zd2re0rr5xepf7rd9xztdse0tf" timestamp="1543146099"&gt;294&lt;/key&gt;&lt;/foreign-keys&gt;&lt;ref-type name="Journal Article"&gt;17&lt;/ref-type&gt;&lt;contributors&gt;&lt;authors&gt;&lt;author&gt;Ley, R. E.&lt;/author&gt;&lt;author&gt;Backhed, F.&lt;/author&gt;&lt;author&gt;Turnbaugh, P.&lt;/author&gt;&lt;author&gt;Lozupone, C. A.&lt;/author&gt;&lt;author&gt;Knight, R. D.&lt;/author&gt;&lt;author&gt;Gordon, J. I.&lt;/author&gt;&lt;/authors&gt;&lt;/contributors&gt;&lt;auth-address&gt;Center for Genomes Sciences, Washington University School of Medicine, St. Louis, MO 63108, USA.&lt;/auth-address&gt;&lt;titles&gt;&lt;title&gt;Obesity alters gut microbial ecology&lt;/title&gt;&lt;secondary-title&gt;Proc Natl Acad Sci U S A&lt;/secondary-title&gt;&lt;/titles&gt;&lt;periodical&gt;&lt;full-title&gt;Proc Natl Acad Sci U S A&lt;/full-title&gt;&lt;/periodical&gt;&lt;pages&gt;11070-5&lt;/pages&gt;&lt;volume&gt;102&lt;/volume&gt;&lt;number&gt;31&lt;/number&gt;&lt;keywords&gt;&lt;keyword&gt;Animals&lt;/keyword&gt;&lt;keyword&gt;Bacteria/classification/genetics/isolation &amp;amp; purification&lt;/keyword&gt;&lt;keyword&gt;Base Sequence&lt;/keyword&gt;&lt;keyword&gt;Cyanobacteria/classification/genetics/isolation &amp;amp; purification&lt;/keyword&gt;&lt;keyword&gt;DNA/genetics&lt;/keyword&gt;&lt;keyword&gt;Ecosystem&lt;/keyword&gt;&lt;keyword&gt;Female&lt;/keyword&gt;&lt;keyword&gt;Genes, Bacterial&lt;/keyword&gt;&lt;keyword&gt;Humans&lt;/keyword&gt;&lt;keyword&gt;Intestines/*microbiology&lt;/keyword&gt;&lt;keyword&gt;Mice&lt;/keyword&gt;&lt;keyword&gt;Mice, Inbred C57BL&lt;/keyword&gt;&lt;keyword&gt;Mice, Obese&lt;/keyword&gt;&lt;keyword&gt;Molecular Sequence Data&lt;/keyword&gt;&lt;keyword&gt;Obesity/etiology/*microbiology&lt;/keyword&gt;&lt;keyword&gt;Pregnancy&lt;/keyword&gt;&lt;keyword&gt;RNA, Ribosomal, 16S/genetics&lt;/keyword&gt;&lt;/keywords&gt;&lt;dates&gt;&lt;year&gt;2005&lt;/year&gt;&lt;pub-dates&gt;&lt;date&gt;Aug 2&lt;/date&gt;&lt;/pub-dates&gt;&lt;/dates&gt;&lt;isbn&gt;0027-8424 (Print)&amp;#xD;0027-8424 (Linking)&lt;/isbn&gt;&lt;accession-num&gt;16033867&lt;/accession-num&gt;&lt;urls&gt;&lt;related-urls&gt;&lt;url&gt;https://www.ncbi.nlm.nih.gov/pubmed/16033867&lt;/url&gt;&lt;/related-urls&gt;&lt;/urls&gt;&lt;custom2&gt;PMC1176910&lt;/custom2&gt;&lt;electronic-resource-num&gt;10.1073/pnas.0504978102&lt;/electronic-resource-num&gt;&lt;/record&gt;&lt;/Cite&gt;&lt;/EndNote&gt;</w:instrText>
      </w:r>
      <w:r w:rsidR="00242092" w:rsidRPr="0049621B">
        <w:rPr>
          <w:rFonts w:ascii="Book Antiqua" w:hAnsi="Book Antiqua" w:cs="Book Antiqua"/>
          <w:color w:val="000000"/>
          <w:sz w:val="24"/>
        </w:rPr>
        <w:fldChar w:fldCharType="separate"/>
      </w:r>
      <w:r w:rsidR="00242092" w:rsidRPr="0049621B">
        <w:rPr>
          <w:rFonts w:ascii="Book Antiqua" w:hAnsi="Book Antiqua" w:cs="Book Antiqua"/>
          <w:color w:val="000000"/>
          <w:sz w:val="24"/>
          <w:vertAlign w:val="superscript"/>
          <w:lang w:eastAsia="zh-CN"/>
        </w:rPr>
        <w:t>[25]</w:t>
      </w:r>
      <w:r w:rsidR="00242092" w:rsidRPr="0049621B">
        <w:rPr>
          <w:rFonts w:ascii="Book Antiqua" w:hAnsi="Book Antiqua" w:cs="Book Antiqua"/>
          <w:color w:val="000000"/>
          <w:sz w:val="24"/>
        </w:rPr>
        <w:fldChar w:fldCharType="end"/>
      </w:r>
      <w:r w:rsidRPr="0049621B">
        <w:rPr>
          <w:rFonts w:ascii="Book Antiqua" w:hAnsi="Book Antiqua" w:cs="Book Antiqua"/>
          <w:color w:val="000000"/>
          <w:sz w:val="24"/>
        </w:rPr>
        <w:t xml:space="preserve">. Ciubotaru </w:t>
      </w:r>
      <w:r w:rsidRPr="0049621B">
        <w:rPr>
          <w:rFonts w:ascii="Book Antiqua" w:hAnsi="Book Antiqua" w:cs="Book Antiqua"/>
          <w:i/>
          <w:color w:val="000000"/>
          <w:sz w:val="24"/>
        </w:rPr>
        <w:t>et al</w:t>
      </w:r>
      <w:r w:rsidRPr="0049621B">
        <w:rPr>
          <w:rFonts w:ascii="Book Antiqua" w:hAnsi="Book Antiqua" w:cs="Book Antiqua"/>
          <w:color w:val="000000"/>
          <w:sz w:val="24"/>
        </w:rPr>
        <w:fldChar w:fldCharType="begin"/>
      </w:r>
      <w:r w:rsidRPr="0049621B">
        <w:rPr>
          <w:rFonts w:ascii="Book Antiqua" w:hAnsi="Book Antiqua" w:cs="Book Antiqua"/>
          <w:color w:val="000000"/>
          <w:sz w:val="24"/>
        </w:rPr>
        <w:instrText xml:space="preserve"> ADDIN EN.CITE &lt;EndNote&gt;&lt;Cite&gt;&lt;Author&gt;Ciubotaru&lt;/Author&gt;&lt;Year&gt;2015&lt;/Year&gt;&lt;RecNum&gt;293&lt;/RecNum&gt;&lt;DisplayText&gt;&lt;style face="superscript"&gt;[26]&lt;/style&gt;&lt;/DisplayText&gt;&lt;record&gt;&lt;rec-number&gt;293&lt;/rec-number&gt;&lt;foreign-keys&gt;&lt;key app="EN" db-id="t0rz9rwwc5zd2re0rr5xepf7rd9xztdse0tf" timestamp="1543146099"&gt;293&lt;/key&gt;&lt;/foreign-keys&gt;&lt;ref-type name="Journal Article"&gt;17&lt;/ref-type&gt;&lt;contributors&gt;&lt;authors&gt;&lt;author&gt;Ciubotaru, I.&lt;/author&gt;&lt;author&gt;Green, S. J.&lt;/author&gt;&lt;author&gt;Kukreja, S.&lt;/author&gt;&lt;author&gt;Barengolts, E.&lt;/author&gt;&lt;/authors&gt;&lt;/contributors&gt;&lt;auth-address&gt;Department of Medicine, University of Illinois Medical Center, Chicago, Ill.&amp;#xD;Department of Medicine, University of Illinois Medical Center, Chicago, Ill; Department of Medicine, Jesse Brown VA Medical Center, Chicago, Ill. Electronic address: eibareng@uic.edu.&lt;/auth-address&gt;&lt;titles&gt;&lt;title&gt;Significant differences in fecal microbiota are associated with various stages of glucose tolerance in African American male veterans&lt;/title&gt;&lt;secondary-title&gt;Transl Res&lt;/secondary-title&gt;&lt;/titles&gt;&lt;periodical&gt;&lt;full-title&gt;Transl Res&lt;/full-title&gt;&lt;/periodical&gt;&lt;pages&gt;401-11&lt;/pages&gt;&lt;volume&gt;166&lt;/volume&gt;&lt;number&gt;5&lt;/number&gt;&lt;keywords&gt;&lt;keyword&gt;*African Americans&lt;/keyword&gt;&lt;keyword&gt;Blood Glucose/analysis&lt;/keyword&gt;&lt;keyword&gt;Feces/*microbiology&lt;/keyword&gt;&lt;keyword&gt;*Glucose Tolerance Test&lt;/keyword&gt;&lt;keyword&gt;Humans&lt;/keyword&gt;&lt;keyword&gt;Male&lt;/keyword&gt;&lt;keyword&gt;Microbiota&lt;/keyword&gt;&lt;keyword&gt;*Veterans&lt;/keyword&gt;&lt;/keywords&gt;&lt;dates&gt;&lt;year&gt;2015&lt;/year&gt;&lt;pub-dates&gt;&lt;date&gt;Nov&lt;/date&gt;&lt;/pub-dates&gt;&lt;/dates&gt;&lt;isbn&gt;1878-1810 (Electronic)&amp;#xD;1878-1810 (Linking)&lt;/isbn&gt;&lt;accession-num&gt;26209747&lt;/accession-num&gt;&lt;urls&gt;&lt;related-urls&gt;&lt;url&gt;https://www.ncbi.nlm.nih.gov/pubmed/26209747&lt;/url&gt;&lt;/related-urls&gt;&lt;/urls&gt;&lt;custom2&gt;PMC4916963&lt;/custom2&gt;&lt;electronic-resource-num&gt;10.1016/j.trsl.2015.06.015&lt;/electronic-resource-num&gt;&lt;/record&gt;&lt;/Cite&gt;&lt;/EndNote&gt;</w:instrText>
      </w:r>
      <w:r w:rsidRPr="0049621B">
        <w:rPr>
          <w:rFonts w:ascii="Book Antiqua" w:hAnsi="Book Antiqua" w:cs="Book Antiqua"/>
          <w:color w:val="000000"/>
          <w:sz w:val="24"/>
        </w:rPr>
        <w:fldChar w:fldCharType="separate"/>
      </w:r>
      <w:r w:rsidRPr="0049621B">
        <w:rPr>
          <w:rFonts w:ascii="Book Antiqua" w:hAnsi="Book Antiqua" w:cs="Book Antiqua"/>
          <w:color w:val="000000"/>
          <w:sz w:val="24"/>
          <w:vertAlign w:val="superscript"/>
          <w:lang w:eastAsia="zh-CN"/>
        </w:rPr>
        <w:t>[26]</w:t>
      </w:r>
      <w:r w:rsidRPr="0049621B">
        <w:rPr>
          <w:rFonts w:ascii="Book Antiqua" w:hAnsi="Book Antiqua" w:cs="Book Antiqua"/>
          <w:color w:val="000000"/>
          <w:sz w:val="24"/>
        </w:rPr>
        <w:fldChar w:fldCharType="end"/>
      </w:r>
      <w:r w:rsidR="00242092" w:rsidRPr="0049621B">
        <w:rPr>
          <w:rFonts w:ascii="Book Antiqua" w:hAnsi="Book Antiqua" w:cs="Book Antiqua"/>
          <w:color w:val="000000"/>
          <w:sz w:val="24"/>
        </w:rPr>
        <w:t xml:space="preserve"> have reported that a high proportion of </w:t>
      </w:r>
      <w:r w:rsidR="00242092" w:rsidRPr="0049621B">
        <w:rPr>
          <w:rFonts w:ascii="Book Antiqua" w:hAnsi="Book Antiqua" w:cs="Book Antiqua"/>
          <w:i/>
          <w:color w:val="000000"/>
          <w:sz w:val="24"/>
        </w:rPr>
        <w:t>Bacteroidetes</w:t>
      </w:r>
      <w:r w:rsidR="00242092" w:rsidRPr="0049621B">
        <w:rPr>
          <w:rFonts w:ascii="Book Antiqua" w:hAnsi="Book Antiqua" w:cs="Book Antiqua"/>
          <w:color w:val="000000"/>
          <w:sz w:val="24"/>
        </w:rPr>
        <w:t xml:space="preserve"> is associated with better glycemic control in humans</w:t>
      </w:r>
      <w:r w:rsidRPr="0049621B">
        <w:rPr>
          <w:rFonts w:ascii="Book Antiqua" w:hAnsi="Book Antiqua" w:cs="Book Antiqua"/>
          <w:color w:val="000000"/>
          <w:sz w:val="24"/>
        </w:rPr>
        <w:t xml:space="preserve">. Rabot </w:t>
      </w:r>
      <w:r w:rsidRPr="0049621B">
        <w:rPr>
          <w:rFonts w:ascii="Book Antiqua" w:hAnsi="Book Antiqua" w:cs="Book Antiqua"/>
          <w:i/>
          <w:color w:val="000000"/>
          <w:sz w:val="24"/>
        </w:rPr>
        <w:t>et al</w:t>
      </w:r>
      <w:r w:rsidRPr="0049621B">
        <w:rPr>
          <w:rFonts w:ascii="Book Antiqua" w:hAnsi="Book Antiqua" w:cs="Book Antiqua"/>
          <w:color w:val="000000"/>
          <w:sz w:val="24"/>
        </w:rPr>
        <w:fldChar w:fldCharType="begin"/>
      </w:r>
      <w:r w:rsidRPr="0049621B">
        <w:rPr>
          <w:rFonts w:ascii="Book Antiqua" w:hAnsi="Book Antiqua" w:cs="Book Antiqua"/>
          <w:color w:val="000000"/>
          <w:sz w:val="24"/>
        </w:rPr>
        <w:instrText xml:space="preserve"> ADDIN EN.CITE </w:instrText>
      </w:r>
      <w:r w:rsidRPr="0049621B">
        <w:rPr>
          <w:rFonts w:ascii="Book Antiqua" w:hAnsi="Book Antiqua" w:cs="Book Antiqua"/>
          <w:color w:val="000000"/>
          <w:sz w:val="24"/>
        </w:rPr>
        <w:fldChar w:fldCharType="begin"/>
      </w:r>
      <w:r w:rsidRPr="0049621B">
        <w:rPr>
          <w:rFonts w:ascii="Book Antiqua" w:hAnsi="Book Antiqua" w:cs="Book Antiqua"/>
          <w:color w:val="000000"/>
          <w:sz w:val="24"/>
        </w:rPr>
        <w:instrText xml:space="preserve"> ADDIN EN.CITE.DATA </w:instrText>
      </w:r>
      <w:r w:rsidRPr="0049621B">
        <w:rPr>
          <w:rFonts w:ascii="Book Antiqua" w:hAnsi="Book Antiqua" w:cs="Book Antiqua"/>
          <w:color w:val="000000"/>
          <w:sz w:val="24"/>
        </w:rPr>
        <w:fldChar w:fldCharType="end"/>
      </w:r>
      <w:r w:rsidRPr="0049621B">
        <w:rPr>
          <w:rFonts w:ascii="Book Antiqua" w:hAnsi="Book Antiqua" w:cs="Book Antiqua"/>
          <w:color w:val="000000"/>
          <w:sz w:val="24"/>
        </w:rPr>
        <w:fldChar w:fldCharType="separate"/>
      </w:r>
      <w:r w:rsidRPr="0049621B">
        <w:rPr>
          <w:rFonts w:ascii="Book Antiqua" w:hAnsi="Book Antiqua" w:cs="Book Antiqua"/>
          <w:color w:val="000000"/>
          <w:sz w:val="24"/>
          <w:vertAlign w:val="superscript"/>
          <w:lang w:eastAsia="zh-CN"/>
        </w:rPr>
        <w:t>[27]</w:t>
      </w:r>
      <w:r w:rsidRPr="0049621B">
        <w:rPr>
          <w:rFonts w:ascii="Book Antiqua" w:hAnsi="Book Antiqua" w:cs="Book Antiqua"/>
          <w:color w:val="000000"/>
          <w:sz w:val="24"/>
        </w:rPr>
        <w:fldChar w:fldCharType="end"/>
      </w:r>
      <w:r w:rsidR="00242092" w:rsidRPr="0049621B">
        <w:rPr>
          <w:rFonts w:ascii="Book Antiqua" w:hAnsi="Book Antiqua" w:cs="Book Antiqua"/>
          <w:color w:val="000000"/>
          <w:sz w:val="24"/>
        </w:rPr>
        <w:t xml:space="preserve"> found that the transplantation of a Bacteroides-rich microbiota improves glucose intolerance caused by an HCD in mice. Fernando reported that a lower </w:t>
      </w:r>
      <w:r w:rsidR="00242092" w:rsidRPr="0049621B">
        <w:rPr>
          <w:rFonts w:ascii="Book Antiqua" w:hAnsi="Book Antiqua" w:cs="Book Antiqua"/>
          <w:i/>
          <w:color w:val="000000"/>
          <w:sz w:val="24"/>
        </w:rPr>
        <w:t>Firmicutes</w:t>
      </w:r>
      <w:r w:rsidR="00242092" w:rsidRPr="0049621B">
        <w:rPr>
          <w:rFonts w:ascii="Book Antiqua" w:hAnsi="Book Antiqua" w:cs="Book Antiqua"/>
          <w:color w:val="000000"/>
          <w:sz w:val="24"/>
        </w:rPr>
        <w:t xml:space="preserve"> to </w:t>
      </w:r>
      <w:r w:rsidR="00242092" w:rsidRPr="0049621B">
        <w:rPr>
          <w:rFonts w:ascii="Book Antiqua" w:hAnsi="Book Antiqua" w:cs="Book Antiqua"/>
          <w:i/>
          <w:color w:val="000000"/>
          <w:sz w:val="24"/>
        </w:rPr>
        <w:t>Bacteroidetes</w:t>
      </w:r>
      <w:r w:rsidR="00242092" w:rsidRPr="0049621B">
        <w:rPr>
          <w:rFonts w:ascii="Book Antiqua" w:hAnsi="Book Antiqua" w:cs="Book Antiqua"/>
          <w:color w:val="000000"/>
          <w:sz w:val="24"/>
        </w:rPr>
        <w:t xml:space="preserve"> ratio is associated with improved glucose and insulin tolerance after cranberry extract administration</w:t>
      </w:r>
      <w:r w:rsidR="00242092" w:rsidRPr="0049621B">
        <w:rPr>
          <w:rFonts w:ascii="Book Antiqua" w:hAnsi="Book Antiqua" w:cs="Book Antiqua"/>
          <w:color w:val="000000"/>
          <w:sz w:val="24"/>
        </w:rPr>
        <w:fldChar w:fldCharType="begin"/>
      </w:r>
      <w:r w:rsidR="00242092" w:rsidRPr="0049621B">
        <w:rPr>
          <w:rFonts w:ascii="Book Antiqua" w:hAnsi="Book Antiqua" w:cs="Book Antiqua"/>
          <w:color w:val="000000"/>
          <w:sz w:val="24"/>
        </w:rPr>
        <w:instrText xml:space="preserve"> ADDIN EN.CITE </w:instrText>
      </w:r>
      <w:r w:rsidR="00242092" w:rsidRPr="0049621B">
        <w:rPr>
          <w:rFonts w:ascii="Book Antiqua" w:hAnsi="Book Antiqua" w:cs="Book Antiqua"/>
          <w:color w:val="000000"/>
          <w:sz w:val="24"/>
        </w:rPr>
        <w:fldChar w:fldCharType="begin"/>
      </w:r>
      <w:r w:rsidR="00242092" w:rsidRPr="0049621B">
        <w:rPr>
          <w:rFonts w:ascii="Book Antiqua" w:hAnsi="Book Antiqua" w:cs="Book Antiqua"/>
          <w:color w:val="000000"/>
          <w:sz w:val="24"/>
        </w:rPr>
        <w:instrText xml:space="preserve"> ADDIN EN.CITE.DATA </w:instrText>
      </w:r>
      <w:r w:rsidR="00242092" w:rsidRPr="0049621B">
        <w:rPr>
          <w:rFonts w:ascii="Book Antiqua" w:hAnsi="Book Antiqua" w:cs="Book Antiqua"/>
          <w:color w:val="000000"/>
          <w:sz w:val="24"/>
        </w:rPr>
        <w:fldChar w:fldCharType="end"/>
      </w:r>
      <w:r w:rsidR="00242092" w:rsidRPr="0049621B">
        <w:rPr>
          <w:rFonts w:ascii="Book Antiqua" w:hAnsi="Book Antiqua" w:cs="Book Antiqua"/>
          <w:color w:val="000000"/>
          <w:sz w:val="24"/>
        </w:rPr>
        <w:fldChar w:fldCharType="separate"/>
      </w:r>
      <w:r w:rsidR="00242092" w:rsidRPr="0049621B">
        <w:rPr>
          <w:rFonts w:ascii="Book Antiqua" w:hAnsi="Book Antiqua" w:cs="Book Antiqua"/>
          <w:color w:val="000000"/>
          <w:sz w:val="24"/>
          <w:vertAlign w:val="superscript"/>
          <w:lang w:eastAsia="zh-CN"/>
        </w:rPr>
        <w:t>[28]</w:t>
      </w:r>
      <w:r w:rsidR="00242092" w:rsidRPr="0049621B">
        <w:rPr>
          <w:rFonts w:ascii="Book Antiqua" w:hAnsi="Book Antiqua" w:cs="Book Antiqua"/>
          <w:color w:val="000000"/>
          <w:sz w:val="24"/>
        </w:rPr>
        <w:fldChar w:fldCharType="end"/>
      </w:r>
      <w:r w:rsidR="00242092" w:rsidRPr="0049621B">
        <w:rPr>
          <w:rFonts w:ascii="Book Antiqua" w:hAnsi="Book Antiqua" w:cs="Book Antiqua"/>
          <w:color w:val="000000"/>
          <w:sz w:val="24"/>
        </w:rPr>
        <w:t>. Similar to previous results, we observed the partial recovery of IR and reshap</w:t>
      </w:r>
      <w:r w:rsidR="004A5A48" w:rsidRPr="0049621B">
        <w:rPr>
          <w:rFonts w:ascii="Book Antiqua" w:hAnsi="Book Antiqua" w:cs="Book Antiqua"/>
          <w:color w:val="000000"/>
          <w:sz w:val="24"/>
        </w:rPr>
        <w:t>ing</w:t>
      </w:r>
      <w:r w:rsidR="00242092" w:rsidRPr="0049621B">
        <w:rPr>
          <w:rFonts w:ascii="Book Antiqua" w:hAnsi="Book Antiqua" w:cs="Book Antiqua"/>
          <w:color w:val="000000"/>
          <w:sz w:val="24"/>
        </w:rPr>
        <w:t xml:space="preserve"> of gut microbiota induced by HCD after PB2 </w:t>
      </w:r>
      <w:r w:rsidR="00242092" w:rsidRPr="0049621B">
        <w:rPr>
          <w:rFonts w:ascii="Book Antiqua" w:hAnsi="Book Antiqua" w:cs="Book Antiqua"/>
          <w:color w:val="000000"/>
          <w:sz w:val="24"/>
        </w:rPr>
        <w:lastRenderedPageBreak/>
        <w:t xml:space="preserve">treatment. Future studies are warranted to determine whether the ratio of </w:t>
      </w:r>
      <w:r w:rsidR="00242092" w:rsidRPr="0049621B">
        <w:rPr>
          <w:rFonts w:ascii="Book Antiqua" w:hAnsi="Book Antiqua" w:cs="Book Antiqua"/>
          <w:i/>
          <w:color w:val="000000"/>
          <w:sz w:val="24"/>
        </w:rPr>
        <w:t>Firmicutes</w:t>
      </w:r>
      <w:r w:rsidR="00242092" w:rsidRPr="0049621B">
        <w:rPr>
          <w:rFonts w:ascii="Book Antiqua" w:hAnsi="Book Antiqua" w:cs="Book Antiqua"/>
          <w:color w:val="000000"/>
          <w:sz w:val="24"/>
        </w:rPr>
        <w:t xml:space="preserve"> to </w:t>
      </w:r>
      <w:r w:rsidR="00242092" w:rsidRPr="0049621B">
        <w:rPr>
          <w:rFonts w:ascii="Book Antiqua" w:hAnsi="Book Antiqua" w:cs="Book Antiqua"/>
          <w:i/>
          <w:color w:val="000000"/>
          <w:sz w:val="24"/>
        </w:rPr>
        <w:t>Bacteroidetes</w:t>
      </w:r>
      <w:r w:rsidR="00242092" w:rsidRPr="0049621B">
        <w:rPr>
          <w:rFonts w:ascii="Book Antiqua" w:hAnsi="Book Antiqua" w:cs="Book Antiqua"/>
          <w:color w:val="000000"/>
          <w:sz w:val="24"/>
        </w:rPr>
        <w:t xml:space="preserve"> influences host glucose homeostasis prior to fat mass accumulation.</w:t>
      </w:r>
    </w:p>
    <w:p w:rsidR="00242092" w:rsidRPr="0049621B" w:rsidRDefault="00595C94" w:rsidP="0049621B">
      <w:pPr>
        <w:adjustRightInd w:val="0"/>
        <w:snapToGrid w:val="0"/>
        <w:spacing w:line="360" w:lineRule="auto"/>
        <w:rPr>
          <w:rFonts w:ascii="Book Antiqua" w:hAnsi="Book Antiqua" w:cs="Book Antiqua"/>
          <w:color w:val="000000"/>
          <w:sz w:val="24"/>
        </w:rPr>
      </w:pPr>
      <w:r w:rsidRPr="0049621B">
        <w:rPr>
          <w:rFonts w:ascii="Book Antiqua" w:hAnsi="Book Antiqua" w:cs="Book Antiqua"/>
          <w:color w:val="000000"/>
          <w:sz w:val="24"/>
        </w:rPr>
        <w:t xml:space="preserve">  </w:t>
      </w:r>
      <w:r w:rsidR="00242092" w:rsidRPr="0049621B">
        <w:rPr>
          <w:rFonts w:ascii="Book Antiqua" w:hAnsi="Book Antiqua" w:cs="Book Antiqua"/>
          <w:color w:val="000000"/>
          <w:sz w:val="24"/>
        </w:rPr>
        <w:t>The gut microbiota has a casual role in the pathogenesis of NAFLD</w:t>
      </w:r>
      <w:r w:rsidR="00242092" w:rsidRPr="0049621B">
        <w:rPr>
          <w:rFonts w:ascii="Book Antiqua" w:hAnsi="Book Antiqua" w:cs="Book Antiqua"/>
          <w:color w:val="000000"/>
          <w:sz w:val="24"/>
        </w:rPr>
        <w:fldChar w:fldCharType="begin"/>
      </w:r>
      <w:r w:rsidR="00242092" w:rsidRPr="0049621B">
        <w:rPr>
          <w:rFonts w:ascii="Book Antiqua" w:hAnsi="Book Antiqua" w:cs="Book Antiqua"/>
          <w:color w:val="000000"/>
          <w:sz w:val="24"/>
        </w:rPr>
        <w:instrText xml:space="preserve"> ADDIN EN.CITE </w:instrText>
      </w:r>
      <w:r w:rsidR="00242092" w:rsidRPr="0049621B">
        <w:rPr>
          <w:rFonts w:ascii="Book Antiqua" w:hAnsi="Book Antiqua" w:cs="Book Antiqua"/>
          <w:color w:val="000000"/>
          <w:sz w:val="24"/>
        </w:rPr>
        <w:fldChar w:fldCharType="begin"/>
      </w:r>
      <w:r w:rsidR="00242092" w:rsidRPr="0049621B">
        <w:rPr>
          <w:rFonts w:ascii="Book Antiqua" w:hAnsi="Book Antiqua" w:cs="Book Antiqua"/>
          <w:color w:val="000000"/>
          <w:sz w:val="24"/>
        </w:rPr>
        <w:instrText xml:space="preserve"> ADDIN EN.CITE.DATA </w:instrText>
      </w:r>
      <w:r w:rsidR="00242092" w:rsidRPr="0049621B">
        <w:rPr>
          <w:rFonts w:ascii="Book Antiqua" w:hAnsi="Book Antiqua" w:cs="Book Antiqua"/>
          <w:color w:val="000000"/>
          <w:sz w:val="24"/>
        </w:rPr>
        <w:fldChar w:fldCharType="end"/>
      </w:r>
      <w:r w:rsidR="00242092" w:rsidRPr="0049621B">
        <w:rPr>
          <w:rFonts w:ascii="Book Antiqua" w:hAnsi="Book Antiqua" w:cs="Book Antiqua"/>
          <w:color w:val="000000"/>
          <w:sz w:val="24"/>
        </w:rPr>
        <w:fldChar w:fldCharType="separate"/>
      </w:r>
      <w:r w:rsidR="00242092" w:rsidRPr="0049621B">
        <w:rPr>
          <w:rFonts w:ascii="Book Antiqua" w:hAnsi="Book Antiqua" w:cs="Book Antiqua"/>
          <w:color w:val="000000"/>
          <w:sz w:val="24"/>
          <w:vertAlign w:val="superscript"/>
          <w:lang w:eastAsia="zh-CN"/>
        </w:rPr>
        <w:t>[5]</w:t>
      </w:r>
      <w:r w:rsidR="00242092" w:rsidRPr="0049621B">
        <w:rPr>
          <w:rFonts w:ascii="Book Antiqua" w:hAnsi="Book Antiqua" w:cs="Book Antiqua"/>
          <w:color w:val="000000"/>
          <w:sz w:val="24"/>
        </w:rPr>
        <w:fldChar w:fldCharType="end"/>
      </w:r>
      <w:r w:rsidR="00242092" w:rsidRPr="0049621B">
        <w:rPr>
          <w:rFonts w:ascii="Book Antiqua" w:hAnsi="Book Antiqua" w:cs="Book Antiqua"/>
          <w:color w:val="000000"/>
          <w:sz w:val="24"/>
        </w:rPr>
        <w:t>. Previous reports have suggested that polyphenolic plant compounds have poor absorption and are mainly absorbed in the intestines</w:t>
      </w:r>
      <w:r w:rsidR="00242092" w:rsidRPr="0049621B">
        <w:rPr>
          <w:rFonts w:ascii="Book Antiqua" w:hAnsi="Book Antiqua" w:cs="Book Antiqua"/>
          <w:color w:val="000000"/>
          <w:sz w:val="24"/>
        </w:rPr>
        <w:fldChar w:fldCharType="begin"/>
      </w:r>
      <w:r w:rsidR="00242092" w:rsidRPr="0049621B">
        <w:rPr>
          <w:rFonts w:ascii="Book Antiqua" w:hAnsi="Book Antiqua" w:cs="Book Antiqua"/>
          <w:color w:val="000000"/>
          <w:sz w:val="24"/>
        </w:rPr>
        <w:instrText xml:space="preserve"> ADDIN EN.CITE &lt;EndNote&gt;&lt;Cite&gt;&lt;Author&gt;Baba&lt;/Author&gt;&lt;Year&gt;2002&lt;/Year&gt;&lt;RecNum&gt;267&lt;/RecNum&gt;&lt;DisplayText&gt;&lt;style face="superscript"&gt;[13]&lt;/style&gt;&lt;/DisplayText&gt;&lt;record&gt;&lt;rec-number&gt;267&lt;/rec-number&gt;&lt;foreign-keys&gt;&lt;key app="EN" db-id="t0rz9rwwc5zd2re0rr5xepf7rd9xztdse0tf" timestamp="1543144690"&gt;267&lt;/key&gt;&lt;/foreign-keys&gt;&lt;ref-type name="Journal Article"&gt;17&lt;/ref-type&gt;&lt;contributors&gt;&lt;authors&gt;&lt;author&gt;Baba, S.&lt;/author&gt;&lt;author&gt;Osakabe, N.&lt;/author&gt;&lt;author&gt;Natsume, M.&lt;/author&gt;&lt;author&gt;Terao, J.&lt;/author&gt;&lt;/authors&gt;&lt;/contributors&gt;&lt;auth-address&gt;Nutritional Science Center, Health Laboratory, Meiji Seika Kaisha, Ltd., Sakado-shi, Saitama, Japan. seigo_baba@meiji.co.jp&lt;/auth-address&gt;&lt;titles&gt;&lt;title&gt;Absorption and urinary excretion of procyanidin B2 [epicatechin-(4beta-8)-epicatechin] in rats&lt;/title&gt;&lt;secondary-title&gt;Free Radic Biol Med&lt;/secondary-title&gt;&lt;/titles&gt;&lt;periodical&gt;&lt;full-title&gt;Free Radic Biol Med&lt;/full-title&gt;&lt;/periodical&gt;&lt;pages&gt;142-8&lt;/pages&gt;&lt;volume&gt;33&lt;/volume&gt;&lt;number&gt;1&lt;/number&gt;&lt;keywords&gt;&lt;keyword&gt;Administration, Oral&lt;/keyword&gt;&lt;keyword&gt;Animals&lt;/keyword&gt;&lt;keyword&gt;Antioxidants/*pharmacokinetics&lt;/keyword&gt;&lt;keyword&gt;*Biflavonoids&lt;/keyword&gt;&lt;keyword&gt;Biological Availability&lt;/keyword&gt;&lt;keyword&gt;Catechin/*pharmacokinetics/urine&lt;/keyword&gt;&lt;keyword&gt;Chromatography, High Pressure Liquid&lt;/keyword&gt;&lt;keyword&gt;Copper Sulfate/pharmacology&lt;/keyword&gt;&lt;keyword&gt;Intestinal Absorption&lt;/keyword&gt;&lt;keyword&gt;Lipid Peroxides/metabolism&lt;/keyword&gt;&lt;keyword&gt;Male&lt;/keyword&gt;&lt;keyword&gt;Mass Spectrometry&lt;/keyword&gt;&lt;keyword&gt;*Proanthocyanidins&lt;/keyword&gt;&lt;keyword&gt;Rats&lt;/keyword&gt;&lt;keyword&gt;Rats, Sprague-Dawley&lt;/keyword&gt;&lt;/keywords&gt;&lt;dates&gt;&lt;year&gt;2002&lt;/year&gt;&lt;pub-dates&gt;&lt;date&gt;Jul 1&lt;/date&gt;&lt;/pub-dates&gt;&lt;/dates&gt;&lt;isbn&gt;0891-5849 (Print)&amp;#xD;0891-5849 (Linking)&lt;/isbn&gt;&lt;accession-num&gt;12086692&lt;/accession-num&gt;&lt;urls&gt;&lt;related-urls&gt;&lt;url&gt;https://www.ncbi.nlm.nih.gov/pubmed/12086692&lt;/url&gt;&lt;/related-urls&gt;&lt;/urls&gt;&lt;/record&gt;&lt;/Cite&gt;&lt;/EndNote&gt;</w:instrText>
      </w:r>
      <w:r w:rsidR="00242092" w:rsidRPr="0049621B">
        <w:rPr>
          <w:rFonts w:ascii="Book Antiqua" w:hAnsi="Book Antiqua" w:cs="Book Antiqua"/>
          <w:color w:val="000000"/>
          <w:sz w:val="24"/>
        </w:rPr>
        <w:fldChar w:fldCharType="separate"/>
      </w:r>
      <w:r w:rsidR="00242092" w:rsidRPr="0049621B">
        <w:rPr>
          <w:rFonts w:ascii="Book Antiqua" w:hAnsi="Book Antiqua" w:cs="Book Antiqua"/>
          <w:color w:val="000000"/>
          <w:sz w:val="24"/>
          <w:vertAlign w:val="superscript"/>
          <w:lang w:eastAsia="zh-CN"/>
        </w:rPr>
        <w:t>[13]</w:t>
      </w:r>
      <w:r w:rsidR="00242092" w:rsidRPr="0049621B">
        <w:rPr>
          <w:rFonts w:ascii="Book Antiqua" w:hAnsi="Book Antiqua" w:cs="Book Antiqua"/>
          <w:color w:val="000000"/>
          <w:sz w:val="24"/>
        </w:rPr>
        <w:fldChar w:fldCharType="end"/>
      </w:r>
      <w:r w:rsidR="00242092" w:rsidRPr="0049621B">
        <w:rPr>
          <w:rFonts w:ascii="Book Antiqua" w:hAnsi="Book Antiqua" w:cs="Book Antiqua"/>
          <w:color w:val="000000"/>
          <w:sz w:val="24"/>
        </w:rPr>
        <w:t xml:space="preserve">. This prompted us to assess the impact of PB2 on gut microbiota. We demonstrated that an HCD leads to a dramatic shift in the gut microbiota of rabbits by decreasing the proportion of </w:t>
      </w:r>
      <w:r w:rsidR="00242092" w:rsidRPr="0049621B">
        <w:rPr>
          <w:rFonts w:ascii="Book Antiqua" w:hAnsi="Book Antiqua" w:cs="Book Antiqua"/>
          <w:i/>
          <w:color w:val="000000"/>
          <w:sz w:val="24"/>
        </w:rPr>
        <w:t>Bacteroidetes</w:t>
      </w:r>
      <w:r w:rsidR="00242092" w:rsidRPr="0049621B">
        <w:rPr>
          <w:rFonts w:ascii="Book Antiqua" w:hAnsi="Book Antiqua" w:cs="Book Antiqua"/>
          <w:color w:val="000000"/>
          <w:sz w:val="24"/>
        </w:rPr>
        <w:t xml:space="preserve"> and increasing the ratio of </w:t>
      </w:r>
      <w:r w:rsidR="00242092" w:rsidRPr="0049621B">
        <w:rPr>
          <w:rFonts w:ascii="Book Antiqua" w:hAnsi="Book Antiqua" w:cs="Book Antiqua"/>
          <w:i/>
          <w:color w:val="000000"/>
          <w:sz w:val="24"/>
        </w:rPr>
        <w:t>Firmicutes</w:t>
      </w:r>
      <w:r w:rsidR="00242092" w:rsidRPr="0049621B">
        <w:rPr>
          <w:rFonts w:ascii="Book Antiqua" w:hAnsi="Book Antiqua" w:cs="Book Antiqua"/>
          <w:color w:val="000000"/>
          <w:sz w:val="24"/>
        </w:rPr>
        <w:t xml:space="preserve"> to </w:t>
      </w:r>
      <w:r w:rsidR="00242092" w:rsidRPr="0049621B">
        <w:rPr>
          <w:rFonts w:ascii="Book Antiqua" w:hAnsi="Book Antiqua" w:cs="Book Antiqua"/>
          <w:i/>
          <w:color w:val="000000"/>
          <w:sz w:val="24"/>
        </w:rPr>
        <w:t>Bacteroidetes</w:t>
      </w:r>
      <w:r w:rsidR="00242092" w:rsidRPr="0049621B">
        <w:rPr>
          <w:rFonts w:ascii="Book Antiqua" w:hAnsi="Book Antiqua" w:cs="Book Antiqua"/>
          <w:color w:val="000000"/>
          <w:sz w:val="24"/>
        </w:rPr>
        <w:t>, whereas PB2 treatment changed this trend. This diet-induced remodeling of gut microbial communities in HCD-fed rabbits is a typical feature of obesity-driven dysbiosis and is in agreement with previous results</w:t>
      </w:r>
      <w:r w:rsidR="00242092" w:rsidRPr="0049621B">
        <w:rPr>
          <w:rFonts w:ascii="Book Antiqua" w:hAnsi="Book Antiqua" w:cs="Book Antiqua"/>
          <w:color w:val="000000"/>
          <w:sz w:val="24"/>
        </w:rPr>
        <w:fldChar w:fldCharType="begin"/>
      </w:r>
      <w:r w:rsidR="00242092" w:rsidRPr="0049621B">
        <w:rPr>
          <w:rFonts w:ascii="Book Antiqua" w:hAnsi="Book Antiqua" w:cs="Book Antiqua"/>
          <w:color w:val="000000"/>
          <w:sz w:val="24"/>
        </w:rPr>
        <w:instrText xml:space="preserve"> ADDIN EN.CITE </w:instrText>
      </w:r>
      <w:r w:rsidR="00242092" w:rsidRPr="0049621B">
        <w:rPr>
          <w:rFonts w:ascii="Book Antiqua" w:hAnsi="Book Antiqua" w:cs="Book Antiqua"/>
          <w:color w:val="000000"/>
          <w:sz w:val="24"/>
        </w:rPr>
        <w:fldChar w:fldCharType="begin"/>
      </w:r>
      <w:r w:rsidR="00242092" w:rsidRPr="0049621B">
        <w:rPr>
          <w:rFonts w:ascii="Book Antiqua" w:hAnsi="Book Antiqua" w:cs="Book Antiqua"/>
          <w:color w:val="000000"/>
          <w:sz w:val="24"/>
        </w:rPr>
        <w:instrText xml:space="preserve"> ADDIN EN.CITE.DATA </w:instrText>
      </w:r>
      <w:r w:rsidR="00242092" w:rsidRPr="0049621B">
        <w:rPr>
          <w:rFonts w:ascii="Book Antiqua" w:hAnsi="Book Antiqua" w:cs="Book Antiqua"/>
          <w:color w:val="000000"/>
          <w:sz w:val="24"/>
        </w:rPr>
        <w:fldChar w:fldCharType="end"/>
      </w:r>
      <w:r w:rsidR="00242092" w:rsidRPr="0049621B">
        <w:rPr>
          <w:rFonts w:ascii="Book Antiqua" w:hAnsi="Book Antiqua" w:cs="Book Antiqua"/>
          <w:color w:val="000000"/>
          <w:sz w:val="24"/>
        </w:rPr>
        <w:fldChar w:fldCharType="separate"/>
      </w:r>
      <w:r w:rsidR="00242092" w:rsidRPr="0049621B">
        <w:rPr>
          <w:rFonts w:ascii="Book Antiqua" w:hAnsi="Book Antiqua" w:cs="Book Antiqua"/>
          <w:color w:val="000000"/>
          <w:sz w:val="24"/>
          <w:vertAlign w:val="superscript"/>
          <w:lang w:eastAsia="zh-CN"/>
        </w:rPr>
        <w:t>[10]</w:t>
      </w:r>
      <w:r w:rsidR="00242092" w:rsidRPr="0049621B">
        <w:rPr>
          <w:rFonts w:ascii="Book Antiqua" w:hAnsi="Book Antiqua" w:cs="Book Antiqua"/>
          <w:color w:val="000000"/>
          <w:sz w:val="24"/>
        </w:rPr>
        <w:fldChar w:fldCharType="end"/>
      </w:r>
      <w:r w:rsidR="00242092" w:rsidRPr="0049621B">
        <w:rPr>
          <w:rFonts w:ascii="Book Antiqua" w:hAnsi="Book Antiqua" w:cs="Book Antiqua"/>
          <w:color w:val="000000"/>
          <w:sz w:val="24"/>
        </w:rPr>
        <w:t>.</w:t>
      </w:r>
    </w:p>
    <w:p w:rsidR="00242092" w:rsidRPr="0049621B" w:rsidRDefault="00595C94" w:rsidP="0049621B">
      <w:pPr>
        <w:adjustRightInd w:val="0"/>
        <w:snapToGrid w:val="0"/>
        <w:spacing w:line="360" w:lineRule="auto"/>
        <w:rPr>
          <w:rFonts w:ascii="Book Antiqua" w:hAnsi="Book Antiqua" w:cs="Book Antiqua"/>
          <w:color w:val="000000"/>
          <w:sz w:val="24"/>
        </w:rPr>
      </w:pPr>
      <w:r w:rsidRPr="0049621B">
        <w:rPr>
          <w:rFonts w:ascii="Book Antiqua" w:hAnsi="Book Antiqua" w:cs="Book Antiqua"/>
          <w:color w:val="000000"/>
          <w:sz w:val="24"/>
        </w:rPr>
        <w:t xml:space="preserve">  </w:t>
      </w:r>
      <w:r w:rsidR="00242092" w:rsidRPr="0049621B">
        <w:rPr>
          <w:rFonts w:ascii="Book Antiqua" w:hAnsi="Book Antiqua" w:cs="Book Antiqua"/>
          <w:color w:val="000000"/>
          <w:sz w:val="24"/>
        </w:rPr>
        <w:t xml:space="preserve">According to our results, it is possible that PB2 influences metabolic phenotypes by </w:t>
      </w:r>
      <w:r w:rsidR="004A5A48" w:rsidRPr="0049621B">
        <w:rPr>
          <w:rFonts w:ascii="Book Antiqua" w:hAnsi="Book Antiqua" w:cs="Book Antiqua"/>
          <w:color w:val="000000"/>
          <w:sz w:val="24"/>
        </w:rPr>
        <w:t>regulating</w:t>
      </w:r>
      <w:r w:rsidR="00242092" w:rsidRPr="0049621B">
        <w:rPr>
          <w:rFonts w:ascii="Book Antiqua" w:hAnsi="Book Antiqua" w:cs="Book Antiqua"/>
          <w:color w:val="000000"/>
          <w:sz w:val="24"/>
        </w:rPr>
        <w:t xml:space="preserve"> the relative abundance of </w:t>
      </w:r>
      <w:r w:rsidR="00242092" w:rsidRPr="0049621B">
        <w:rPr>
          <w:rFonts w:ascii="Book Antiqua" w:hAnsi="Book Antiqua" w:cs="Book Antiqua"/>
          <w:i/>
          <w:color w:val="000000"/>
          <w:sz w:val="24"/>
        </w:rPr>
        <w:t>Akkermansia</w:t>
      </w:r>
      <w:r w:rsidR="00242092" w:rsidRPr="0049621B">
        <w:rPr>
          <w:rFonts w:ascii="Book Antiqua" w:hAnsi="Book Antiqua" w:cs="Book Antiqua"/>
          <w:color w:val="000000"/>
          <w:sz w:val="24"/>
        </w:rPr>
        <w:t xml:space="preserve">. This is consistent with several previous studies that plant compounds can have a significant impact on the proportion of </w:t>
      </w:r>
      <w:r w:rsidR="00242092" w:rsidRPr="0049621B">
        <w:rPr>
          <w:rFonts w:ascii="Book Antiqua" w:hAnsi="Book Antiqua" w:cs="Book Antiqua"/>
          <w:i/>
          <w:color w:val="000000"/>
          <w:sz w:val="24"/>
        </w:rPr>
        <w:t>Akkermansia</w:t>
      </w:r>
      <w:r w:rsidR="00242092" w:rsidRPr="0049621B">
        <w:rPr>
          <w:rFonts w:ascii="Book Antiqua" w:hAnsi="Book Antiqua" w:cs="Book Antiqua"/>
          <w:color w:val="000000"/>
          <w:sz w:val="24"/>
        </w:rPr>
        <w:t xml:space="preserve"> in the gut microbiota of an animal model</w:t>
      </w:r>
      <w:r w:rsidR="00242092" w:rsidRPr="0049621B">
        <w:rPr>
          <w:rFonts w:ascii="Book Antiqua" w:hAnsi="Book Antiqua" w:cs="Book Antiqua"/>
          <w:color w:val="000000"/>
          <w:sz w:val="24"/>
        </w:rPr>
        <w:fldChar w:fldCharType="begin"/>
      </w:r>
      <w:r w:rsidR="00242092" w:rsidRPr="0049621B">
        <w:rPr>
          <w:rFonts w:ascii="Book Antiqua" w:hAnsi="Book Antiqua" w:cs="Book Antiqua"/>
          <w:color w:val="000000"/>
          <w:sz w:val="24"/>
        </w:rPr>
        <w:instrText xml:space="preserve"> ADDIN EN.CITE </w:instrText>
      </w:r>
      <w:r w:rsidR="00242092" w:rsidRPr="0049621B">
        <w:rPr>
          <w:rFonts w:ascii="Book Antiqua" w:hAnsi="Book Antiqua" w:cs="Book Antiqua"/>
          <w:color w:val="000000"/>
          <w:sz w:val="24"/>
        </w:rPr>
        <w:fldChar w:fldCharType="begin"/>
      </w:r>
      <w:r w:rsidR="00242092" w:rsidRPr="0049621B">
        <w:rPr>
          <w:rFonts w:ascii="Book Antiqua" w:hAnsi="Book Antiqua" w:cs="Book Antiqua"/>
          <w:color w:val="000000"/>
          <w:sz w:val="24"/>
        </w:rPr>
        <w:instrText xml:space="preserve"> ADDIN EN.CITE.DATA </w:instrText>
      </w:r>
      <w:r w:rsidR="00242092" w:rsidRPr="0049621B">
        <w:rPr>
          <w:rFonts w:ascii="Book Antiqua" w:hAnsi="Book Antiqua" w:cs="Book Antiqua"/>
          <w:color w:val="000000"/>
          <w:sz w:val="24"/>
        </w:rPr>
        <w:fldChar w:fldCharType="end"/>
      </w:r>
      <w:r w:rsidR="00242092" w:rsidRPr="0049621B">
        <w:rPr>
          <w:rFonts w:ascii="Book Antiqua" w:hAnsi="Book Antiqua" w:cs="Book Antiqua"/>
          <w:color w:val="000000"/>
          <w:sz w:val="24"/>
        </w:rPr>
        <w:fldChar w:fldCharType="separate"/>
      </w:r>
      <w:r w:rsidR="00242092" w:rsidRPr="0049621B">
        <w:rPr>
          <w:rFonts w:ascii="Book Antiqua" w:hAnsi="Book Antiqua" w:cs="Book Antiqua"/>
          <w:color w:val="000000"/>
          <w:sz w:val="24"/>
          <w:vertAlign w:val="superscript"/>
          <w:lang w:eastAsia="zh-CN"/>
        </w:rPr>
        <w:t>[25-30]</w:t>
      </w:r>
      <w:r w:rsidR="00242092" w:rsidRPr="0049621B">
        <w:rPr>
          <w:rFonts w:ascii="Book Antiqua" w:hAnsi="Book Antiqua" w:cs="Book Antiqua"/>
          <w:color w:val="000000"/>
          <w:sz w:val="24"/>
        </w:rPr>
        <w:fldChar w:fldCharType="end"/>
      </w:r>
      <w:r w:rsidR="00242092" w:rsidRPr="0049621B">
        <w:rPr>
          <w:rFonts w:ascii="Book Antiqua" w:hAnsi="Book Antiqua" w:cs="Book Antiqua"/>
          <w:color w:val="000000"/>
          <w:sz w:val="24"/>
        </w:rPr>
        <w:t xml:space="preserve">. The administration of cranberry extract to high fat-fed mice is associated with the relative proportion of </w:t>
      </w:r>
      <w:r w:rsidR="00242092" w:rsidRPr="0049621B">
        <w:rPr>
          <w:rFonts w:ascii="Book Antiqua" w:hAnsi="Book Antiqua" w:cs="Book Antiqua"/>
          <w:i/>
          <w:color w:val="000000"/>
          <w:sz w:val="24"/>
        </w:rPr>
        <w:t>Akkermansia</w:t>
      </w:r>
      <w:r w:rsidR="005312B2" w:rsidRPr="0049621B">
        <w:rPr>
          <w:rFonts w:ascii="Book Antiqua" w:hAnsi="Book Antiqua" w:cs="Book Antiqua"/>
          <w:color w:val="000000"/>
          <w:sz w:val="24"/>
        </w:rPr>
        <w:t>, whereas a study</w:t>
      </w:r>
      <w:r w:rsidR="00242092" w:rsidRPr="0049621B">
        <w:rPr>
          <w:rFonts w:ascii="Book Antiqua" w:hAnsi="Book Antiqua" w:cs="Book Antiqua"/>
          <w:color w:val="000000"/>
          <w:sz w:val="24"/>
        </w:rPr>
        <w:t xml:space="preserve"> revealed that treatment of HCD-fed mice with green tea polyphenols can modulate the gut microbial ecosystem (</w:t>
      </w:r>
      <w:r w:rsidR="00242092" w:rsidRPr="0049621B">
        <w:rPr>
          <w:rFonts w:ascii="Book Antiqua" w:hAnsi="Book Antiqua" w:cs="Book Antiqua"/>
          <w:i/>
          <w:color w:val="000000"/>
          <w:sz w:val="24"/>
        </w:rPr>
        <w:t>in vitro</w:t>
      </w:r>
      <w:r w:rsidR="00242092" w:rsidRPr="0049621B">
        <w:rPr>
          <w:rFonts w:ascii="Book Antiqua" w:hAnsi="Book Antiqua" w:cs="Book Antiqua"/>
          <w:color w:val="000000"/>
          <w:sz w:val="24"/>
        </w:rPr>
        <w:t xml:space="preserve">) by increasing the proportion of </w:t>
      </w:r>
      <w:r w:rsidR="00242092" w:rsidRPr="0049621B">
        <w:rPr>
          <w:rFonts w:ascii="Book Antiqua" w:hAnsi="Book Antiqua" w:cs="Book Antiqua"/>
          <w:i/>
          <w:color w:val="000000"/>
          <w:sz w:val="24"/>
        </w:rPr>
        <w:t>Akkermansia</w:t>
      </w:r>
      <w:r w:rsidR="00242092" w:rsidRPr="0049621B">
        <w:rPr>
          <w:rFonts w:ascii="Book Antiqua" w:hAnsi="Book Antiqua" w:cs="Book Antiqua"/>
          <w:color w:val="000000"/>
          <w:sz w:val="24"/>
        </w:rPr>
        <w:t xml:space="preserve">. In addition, the metabolic benefit of resveratrol is also associated with an increased intestinal abundance of the bacteria. Similarly, our results suggest that treatment with PB2, a plant compound, leads to an increase in the </w:t>
      </w:r>
      <w:r w:rsidR="00242092" w:rsidRPr="0049621B">
        <w:rPr>
          <w:rFonts w:ascii="Book Antiqua" w:hAnsi="Book Antiqua" w:cs="Book Antiqua"/>
          <w:i/>
          <w:color w:val="000000"/>
          <w:sz w:val="24"/>
        </w:rPr>
        <w:t>Akkermansia</w:t>
      </w:r>
      <w:r w:rsidR="00242092" w:rsidRPr="0049621B">
        <w:rPr>
          <w:rFonts w:ascii="Book Antiqua" w:hAnsi="Book Antiqua" w:cs="Book Antiqua"/>
          <w:color w:val="000000"/>
          <w:sz w:val="24"/>
        </w:rPr>
        <w:t xml:space="preserve"> population and might be sufficient to prevent the negative metabolic phenotype caused by an HCD.</w:t>
      </w:r>
    </w:p>
    <w:p w:rsidR="00242092" w:rsidRPr="0049621B" w:rsidRDefault="005312B2" w:rsidP="0049621B">
      <w:pPr>
        <w:adjustRightInd w:val="0"/>
        <w:snapToGrid w:val="0"/>
        <w:spacing w:line="360" w:lineRule="auto"/>
        <w:rPr>
          <w:rFonts w:ascii="Book Antiqua" w:hAnsi="Book Antiqua" w:cs="Book Antiqua"/>
          <w:color w:val="000000"/>
          <w:sz w:val="24"/>
        </w:rPr>
      </w:pPr>
      <w:r w:rsidRPr="0049621B">
        <w:rPr>
          <w:rFonts w:ascii="Book Antiqua" w:hAnsi="Book Antiqua" w:cs="Book Antiqua"/>
          <w:color w:val="000000"/>
          <w:sz w:val="24"/>
        </w:rPr>
        <w:t xml:space="preserve">  </w:t>
      </w:r>
      <w:r w:rsidR="00242092" w:rsidRPr="0049621B">
        <w:rPr>
          <w:rFonts w:ascii="Book Antiqua" w:hAnsi="Book Antiqua" w:cs="Book Antiqua"/>
          <w:color w:val="000000"/>
          <w:sz w:val="24"/>
        </w:rPr>
        <w:t>Hepatic steatosis involves the deposition of TG, which together with oxidative stress</w:t>
      </w:r>
      <w:r w:rsidR="004A5A48" w:rsidRPr="0049621B">
        <w:rPr>
          <w:rFonts w:ascii="Book Antiqua" w:hAnsi="Book Antiqua" w:cs="Book Antiqua"/>
          <w:color w:val="000000"/>
          <w:sz w:val="24"/>
        </w:rPr>
        <w:t>,</w:t>
      </w:r>
      <w:r w:rsidR="00242092" w:rsidRPr="0049621B">
        <w:rPr>
          <w:rFonts w:ascii="Book Antiqua" w:hAnsi="Book Antiqua" w:cs="Book Antiqua"/>
          <w:color w:val="000000"/>
          <w:sz w:val="24"/>
        </w:rPr>
        <w:t xml:space="preserve"> constitutes the basis for the pathophysiology of </w:t>
      </w:r>
      <w:r w:rsidR="004A5A48" w:rsidRPr="0049621B">
        <w:rPr>
          <w:rFonts w:ascii="Book Antiqua" w:hAnsi="Book Antiqua" w:cs="Book Antiqua"/>
          <w:color w:val="000000"/>
          <w:sz w:val="24"/>
        </w:rPr>
        <w:t>NAFLD</w:t>
      </w:r>
      <w:r w:rsidR="00242092" w:rsidRPr="0049621B">
        <w:rPr>
          <w:rFonts w:ascii="Book Antiqua" w:hAnsi="Book Antiqua" w:cs="Book Antiqua"/>
          <w:color w:val="000000"/>
          <w:sz w:val="24"/>
        </w:rPr>
        <w:t>. In obese patients, LPS from the intestinal microbiota enters the liver through the portal vein and affects physiological metabolic processes in the host</w:t>
      </w:r>
      <w:r w:rsidR="00242092" w:rsidRPr="0049621B">
        <w:rPr>
          <w:rFonts w:ascii="Book Antiqua" w:hAnsi="Book Antiqua" w:cs="Book Antiqua"/>
          <w:color w:val="000000"/>
          <w:sz w:val="24"/>
        </w:rPr>
        <w:fldChar w:fldCharType="begin"/>
      </w:r>
      <w:r w:rsidR="00242092" w:rsidRPr="0049621B">
        <w:rPr>
          <w:rFonts w:ascii="Book Antiqua" w:hAnsi="Book Antiqua" w:cs="Book Antiqua"/>
          <w:color w:val="000000"/>
          <w:sz w:val="24"/>
        </w:rPr>
        <w:instrText xml:space="preserve"> ADDIN EN.CITE &lt;EndNote&gt;&lt;Cite&gt;&lt;Author&gt;Gariani&lt;/Author&gt;&lt;Year&gt;2013&lt;/Year&gt;&lt;RecNum&gt;296&lt;/RecNum&gt;&lt;DisplayText&gt;&lt;style face="superscript"&gt;[31]&lt;/style&gt;&lt;/DisplayText&gt;&lt;record&gt;&lt;rec-number&gt;296&lt;/rec-number&gt;&lt;foreign-keys&gt;&lt;key app="EN" db-id="t0rz9rwwc5zd2re0rr5xepf7rd9xztdse0tf" timestamp="1543146450"&gt;296&lt;/key&gt;&lt;/foreign-keys&gt;&lt;ref-type name="Journal Article"&gt;17&lt;/ref-type&gt;&lt;contributors&gt;&lt;authors&gt;&lt;author&gt;Gariani, K.&lt;/author&gt;&lt;author&gt;Philippe, J.&lt;/author&gt;&lt;author&gt;Jornayvaz, F. R.&lt;/author&gt;&lt;/authors&gt;&lt;/contributors&gt;&lt;auth-address&gt;Service of Endocrinology, Diabetes, Hypertension and Nutrition, Geneva University Hospitals, rue Gabrielle-Perret-Gentil 4, 1211 Geneva 14, Switzerland.&lt;/auth-address&gt;&lt;titles&gt;&lt;title&gt;Non-alcoholic fatty liver disease and insulin resistance: from bench to bedside&lt;/title&gt;&lt;secondary-title&gt;Diabetes Metab&lt;/secondary-title&gt;&lt;/titles&gt;&lt;periodical&gt;&lt;full-title&gt;Diabetes Metab&lt;/full-title&gt;&lt;/periodical&gt;&lt;pages&gt;16-26&lt;/pages&gt;&lt;volume&gt;39&lt;/volume&gt;&lt;number&gt;1&lt;/number&gt;&lt;keywords&gt;&lt;keyword&gt;Fatty Liver/*blood/immunology/physiopathology&lt;/keyword&gt;&lt;keyword&gt;Female&lt;/keyword&gt;&lt;keyword&gt;Genetic Predisposition to Disease&lt;/keyword&gt;&lt;keyword&gt;Humans&lt;/keyword&gt;&lt;keyword&gt;Inflammation/blood&lt;/keyword&gt;&lt;keyword&gt;*Insulin Resistance/immunology&lt;/keyword&gt;&lt;keyword&gt;Liver/*metabolism&lt;/keyword&gt;&lt;keyword&gt;Male&lt;/keyword&gt;&lt;keyword&gt;Non-alcoholic Fatty Liver Disease&lt;/keyword&gt;&lt;keyword&gt;Obesity/*blood/immunology/physiopathology&lt;/keyword&gt;&lt;keyword&gt;Oxidative Stress&lt;/keyword&gt;&lt;keyword&gt;Risk Factors&lt;/keyword&gt;&lt;/keywords&gt;&lt;dates&gt;&lt;year&gt;2013&lt;/year&gt;&lt;pub-dates&gt;&lt;date&gt;Feb&lt;/date&gt;&lt;/pub-dates&gt;&lt;/dates&gt;&lt;isbn&gt;1878-1780 (Electronic)&amp;#xD;1262-3636 (Linking)&lt;/isbn&gt;&lt;accession-num&gt;23266468&lt;/accession-num&gt;&lt;urls&gt;&lt;related-urls&gt;&lt;url&gt;https://www.ncbi.nlm.nih.gov/pubmed/23266468&lt;/url&gt;&lt;/related-urls&gt;&lt;/urls&gt;&lt;electronic-resource-num&gt;10.1016/j.diabet.2012.11.002&lt;/electronic-resource-num&gt;&lt;/record&gt;&lt;/Cite&gt;&lt;/EndNote&gt;</w:instrText>
      </w:r>
      <w:r w:rsidR="00242092" w:rsidRPr="0049621B">
        <w:rPr>
          <w:rFonts w:ascii="Book Antiqua" w:hAnsi="Book Antiqua" w:cs="Book Antiqua"/>
          <w:color w:val="000000"/>
          <w:sz w:val="24"/>
        </w:rPr>
        <w:fldChar w:fldCharType="separate"/>
      </w:r>
      <w:r w:rsidR="00242092" w:rsidRPr="0049621B">
        <w:rPr>
          <w:rFonts w:ascii="Book Antiqua" w:hAnsi="Book Antiqua" w:cs="Book Antiqua"/>
          <w:color w:val="000000"/>
          <w:sz w:val="24"/>
          <w:vertAlign w:val="superscript"/>
          <w:lang w:eastAsia="zh-CN"/>
        </w:rPr>
        <w:t>[31]</w:t>
      </w:r>
      <w:r w:rsidR="00242092" w:rsidRPr="0049621B">
        <w:rPr>
          <w:rFonts w:ascii="Book Antiqua" w:hAnsi="Book Antiqua" w:cs="Book Antiqua"/>
          <w:color w:val="000000"/>
          <w:sz w:val="24"/>
        </w:rPr>
        <w:fldChar w:fldCharType="end"/>
      </w:r>
      <w:r w:rsidR="00242092" w:rsidRPr="0049621B">
        <w:rPr>
          <w:rFonts w:ascii="Book Antiqua" w:hAnsi="Book Antiqua" w:cs="Book Antiqua"/>
          <w:color w:val="000000"/>
          <w:sz w:val="24"/>
        </w:rPr>
        <w:t xml:space="preserve">. In our experiments, LPS levels in the HCD-fed rabbits were higher than those in the Chow group, and the change was partially reversed by treatment with PB2. Interestingly, the use of </w:t>
      </w:r>
      <w:r w:rsidR="00242092" w:rsidRPr="0049621B">
        <w:rPr>
          <w:rFonts w:ascii="Book Antiqua" w:hAnsi="Book Antiqua" w:cs="Book Antiqua"/>
          <w:i/>
          <w:color w:val="000000"/>
          <w:sz w:val="24"/>
        </w:rPr>
        <w:t>Akkermansia</w:t>
      </w:r>
      <w:r w:rsidR="00242092" w:rsidRPr="0049621B">
        <w:rPr>
          <w:rFonts w:ascii="Book Antiqua" w:hAnsi="Book Antiqua" w:cs="Book Antiqua"/>
          <w:color w:val="000000"/>
          <w:sz w:val="24"/>
        </w:rPr>
        <w:t xml:space="preserve"> as a probiotic could reduce serum LPS levels in mice fed an HCD. This may be explained by the ability of </w:t>
      </w:r>
      <w:r w:rsidR="00242092" w:rsidRPr="0049621B">
        <w:rPr>
          <w:rFonts w:ascii="Book Antiqua" w:hAnsi="Book Antiqua" w:cs="Book Antiqua"/>
          <w:i/>
          <w:color w:val="000000"/>
          <w:sz w:val="24"/>
        </w:rPr>
        <w:t>Akkermansia</w:t>
      </w:r>
      <w:r w:rsidR="00242092" w:rsidRPr="0049621B">
        <w:rPr>
          <w:rFonts w:ascii="Book Antiqua" w:hAnsi="Book Antiqua" w:cs="Book Antiqua"/>
          <w:color w:val="000000"/>
          <w:sz w:val="24"/>
        </w:rPr>
        <w:t xml:space="preserve"> to retain the thickness of the intestinal mucus layer, thus </w:t>
      </w:r>
      <w:r w:rsidR="00242092" w:rsidRPr="0049621B">
        <w:rPr>
          <w:rFonts w:ascii="Book Antiqua" w:hAnsi="Book Antiqua" w:cs="Book Antiqua"/>
          <w:color w:val="000000"/>
          <w:sz w:val="24"/>
        </w:rPr>
        <w:lastRenderedPageBreak/>
        <w:t>reducing intestinal permeability and LPS leakage. Therefore, the ability of PB2 to reduce serum LPS levels in our experiments could explain the reduction in liver TG accumulation and the protection against hepatic oxidative stress and inflammation in HCD-fed rabbits.</w:t>
      </w:r>
    </w:p>
    <w:p w:rsidR="00242092" w:rsidRPr="0049621B" w:rsidRDefault="005312B2" w:rsidP="0049621B">
      <w:pPr>
        <w:adjustRightInd w:val="0"/>
        <w:snapToGrid w:val="0"/>
        <w:spacing w:line="360" w:lineRule="auto"/>
        <w:rPr>
          <w:rFonts w:ascii="Book Antiqua" w:hAnsi="Book Antiqua" w:cs="Book Antiqua"/>
          <w:color w:val="000000"/>
          <w:sz w:val="24"/>
        </w:rPr>
      </w:pPr>
      <w:r w:rsidRPr="0049621B">
        <w:rPr>
          <w:rFonts w:ascii="Book Antiqua" w:hAnsi="Book Antiqua" w:cs="Book Antiqua"/>
          <w:color w:val="000000"/>
          <w:sz w:val="24"/>
        </w:rPr>
        <w:t xml:space="preserve">  </w:t>
      </w:r>
      <w:r w:rsidR="00242092" w:rsidRPr="0049621B">
        <w:rPr>
          <w:rFonts w:ascii="Book Antiqua" w:hAnsi="Book Antiqua" w:cs="Book Antiqua"/>
          <w:color w:val="000000"/>
          <w:sz w:val="24"/>
        </w:rPr>
        <w:t>While our study provides evidence for the beneficial effects of PB2 for the treatment of NAFLD, some limitations must be acknowledged. Further studies should evaluate whether its effects on metabolic phenotyp</w:t>
      </w:r>
      <w:r w:rsidR="004A5A48" w:rsidRPr="0049621B">
        <w:rPr>
          <w:rFonts w:ascii="Book Antiqua" w:hAnsi="Book Antiqua" w:cs="Book Antiqua"/>
          <w:color w:val="000000"/>
          <w:sz w:val="24"/>
        </w:rPr>
        <w:t>e</w:t>
      </w:r>
      <w:r w:rsidR="00242092" w:rsidRPr="0049621B">
        <w:rPr>
          <w:rFonts w:ascii="Book Antiqua" w:hAnsi="Book Antiqua" w:cs="Book Antiqua"/>
          <w:color w:val="000000"/>
          <w:sz w:val="24"/>
        </w:rPr>
        <w:t xml:space="preserve"> are mediated by the metabolic products of the gut microbiota, such as trimethylamine-</w:t>
      </w:r>
      <w:r w:rsidR="00242092" w:rsidRPr="0049621B">
        <w:rPr>
          <w:rFonts w:ascii="Book Antiqua" w:hAnsi="Book Antiqua" w:cs="Book Antiqua"/>
          <w:i/>
          <w:iCs/>
          <w:color w:val="000000"/>
          <w:sz w:val="24"/>
        </w:rPr>
        <w:t>N</w:t>
      </w:r>
      <w:r w:rsidR="00242092" w:rsidRPr="0049621B">
        <w:rPr>
          <w:rFonts w:ascii="Book Antiqua" w:hAnsi="Book Antiqua" w:cs="Book Antiqua"/>
          <w:color w:val="000000"/>
          <w:sz w:val="24"/>
        </w:rPr>
        <w:t xml:space="preserve">-oxide or bile acids. </w:t>
      </w:r>
    </w:p>
    <w:p w:rsidR="00242092" w:rsidRPr="0049621B" w:rsidRDefault="005312B2" w:rsidP="0049621B">
      <w:pPr>
        <w:adjustRightInd w:val="0"/>
        <w:snapToGrid w:val="0"/>
        <w:spacing w:line="360" w:lineRule="auto"/>
        <w:rPr>
          <w:rFonts w:ascii="Book Antiqua" w:hAnsi="Book Antiqua" w:cs="Book Antiqua"/>
          <w:color w:val="000000"/>
          <w:sz w:val="24"/>
        </w:rPr>
      </w:pPr>
      <w:r w:rsidRPr="0049621B">
        <w:rPr>
          <w:rFonts w:ascii="Book Antiqua" w:hAnsi="Book Antiqua" w:cs="Book Antiqua"/>
          <w:color w:val="000000"/>
          <w:sz w:val="24"/>
        </w:rPr>
        <w:t xml:space="preserve">  </w:t>
      </w:r>
      <w:r w:rsidR="00242092" w:rsidRPr="0049621B">
        <w:rPr>
          <w:rFonts w:ascii="Book Antiqua" w:hAnsi="Book Antiqua" w:cs="Book Antiqua"/>
          <w:color w:val="000000"/>
          <w:sz w:val="24"/>
        </w:rPr>
        <w:t xml:space="preserve">In summary, we found that </w:t>
      </w:r>
      <w:bookmarkStart w:id="29" w:name="OLE_LINK12"/>
      <w:r w:rsidR="00242092" w:rsidRPr="0049621B">
        <w:rPr>
          <w:rFonts w:ascii="Book Antiqua" w:hAnsi="Book Antiqua" w:cs="Book Antiqua"/>
          <w:color w:val="000000"/>
          <w:sz w:val="24"/>
        </w:rPr>
        <w:t>PB2 treatment protects against HCD-induced obesity, IR, and liver steatosis in rabbits. These effects were associated with the alleviation of intestinal inflammation and metabolic endotoxemia.</w:t>
      </w:r>
      <w:bookmarkEnd w:id="29"/>
      <w:r w:rsidR="00242092" w:rsidRPr="0049621B">
        <w:rPr>
          <w:rFonts w:ascii="Book Antiqua" w:hAnsi="Book Antiqua" w:cs="Book Antiqua"/>
          <w:color w:val="000000"/>
          <w:sz w:val="24"/>
        </w:rPr>
        <w:t xml:space="preserve"> These results led us to propose that PB2 may prevent obesity and NAFLD by a prebiotic effect on the gut microbiota.</w:t>
      </w:r>
    </w:p>
    <w:p w:rsidR="00242092" w:rsidRPr="0049621B" w:rsidRDefault="00242092" w:rsidP="0049621B">
      <w:pPr>
        <w:adjustRightInd w:val="0"/>
        <w:snapToGrid w:val="0"/>
        <w:spacing w:line="360" w:lineRule="auto"/>
        <w:ind w:firstLineChars="100" w:firstLine="240"/>
        <w:rPr>
          <w:rFonts w:ascii="Book Antiqua" w:hAnsi="Book Antiqua" w:cs="Book Antiqua"/>
          <w:color w:val="000000"/>
          <w:sz w:val="24"/>
        </w:rPr>
      </w:pPr>
    </w:p>
    <w:p w:rsidR="00242092" w:rsidRPr="0049621B" w:rsidRDefault="005312B2" w:rsidP="0049621B">
      <w:pPr>
        <w:adjustRightInd w:val="0"/>
        <w:snapToGrid w:val="0"/>
        <w:spacing w:line="360" w:lineRule="auto"/>
        <w:outlineLvl w:val="0"/>
        <w:rPr>
          <w:rFonts w:ascii="Book Antiqua" w:hAnsi="Book Antiqua" w:cs="Book Antiqua"/>
          <w:b/>
          <w:bCs/>
          <w:color w:val="000000"/>
          <w:sz w:val="24"/>
        </w:rPr>
      </w:pPr>
      <w:r w:rsidRPr="0049621B">
        <w:rPr>
          <w:rFonts w:ascii="Book Antiqua" w:hAnsi="Book Antiqua" w:cs="Book Antiqua"/>
          <w:b/>
          <w:bCs/>
          <w:color w:val="000000"/>
          <w:sz w:val="24"/>
        </w:rPr>
        <w:t xml:space="preserve">ARTICLE HIGHLIGHTS </w:t>
      </w:r>
    </w:p>
    <w:p w:rsidR="00242092" w:rsidRPr="0049621B" w:rsidRDefault="00242092" w:rsidP="0049621B">
      <w:pPr>
        <w:adjustRightInd w:val="0"/>
        <w:snapToGrid w:val="0"/>
        <w:spacing w:line="360" w:lineRule="auto"/>
        <w:outlineLvl w:val="0"/>
        <w:rPr>
          <w:rFonts w:ascii="Book Antiqua" w:hAnsi="Book Antiqua" w:cs="Book Antiqua"/>
          <w:b/>
          <w:bCs/>
          <w:i/>
          <w:iCs/>
          <w:color w:val="000000"/>
          <w:sz w:val="24"/>
        </w:rPr>
      </w:pPr>
      <w:r w:rsidRPr="0049621B">
        <w:rPr>
          <w:rFonts w:ascii="Book Antiqua" w:hAnsi="Book Antiqua" w:cs="Book Antiqua"/>
          <w:b/>
          <w:bCs/>
          <w:i/>
          <w:iCs/>
          <w:color w:val="000000"/>
          <w:sz w:val="24"/>
        </w:rPr>
        <w:t>Research background</w:t>
      </w:r>
    </w:p>
    <w:p w:rsidR="00242092" w:rsidRPr="0049621B" w:rsidRDefault="00242092" w:rsidP="0049621B">
      <w:pPr>
        <w:adjustRightInd w:val="0"/>
        <w:snapToGrid w:val="0"/>
        <w:spacing w:line="360" w:lineRule="auto"/>
        <w:rPr>
          <w:rFonts w:ascii="Book Antiqua" w:hAnsi="Book Antiqua" w:cs="Book Antiqua"/>
          <w:color w:val="000000"/>
          <w:sz w:val="24"/>
        </w:rPr>
      </w:pPr>
      <w:r w:rsidRPr="0049621B">
        <w:rPr>
          <w:rFonts w:ascii="Book Antiqua" w:hAnsi="Book Antiqua" w:cs="Book Antiqua"/>
          <w:color w:val="000000"/>
          <w:sz w:val="24"/>
        </w:rPr>
        <w:t>The mechanism of procyanidin to improve metabolic syndrome mainly focuse</w:t>
      </w:r>
      <w:r w:rsidR="004A5A48" w:rsidRPr="0049621B">
        <w:rPr>
          <w:rFonts w:ascii="Book Antiqua" w:hAnsi="Book Antiqua" w:cs="Book Antiqua"/>
          <w:color w:val="000000"/>
          <w:sz w:val="24"/>
        </w:rPr>
        <w:t>s</w:t>
      </w:r>
      <w:r w:rsidRPr="0049621B">
        <w:rPr>
          <w:rFonts w:ascii="Book Antiqua" w:hAnsi="Book Antiqua" w:cs="Book Antiqua"/>
          <w:color w:val="000000"/>
          <w:sz w:val="24"/>
        </w:rPr>
        <w:t xml:space="preserve"> on its antioxidant effect. The latest studies show that procyanidin have commendable antibacterial properties. The evaluation of </w:t>
      </w:r>
      <w:r w:rsidR="004A5A48" w:rsidRPr="0049621B">
        <w:rPr>
          <w:rFonts w:ascii="Book Antiqua" w:hAnsi="Book Antiqua" w:cs="Book Antiqua"/>
          <w:color w:val="000000"/>
          <w:sz w:val="24"/>
        </w:rPr>
        <w:t>remodeling</w:t>
      </w:r>
      <w:r w:rsidRPr="0049621B">
        <w:rPr>
          <w:rFonts w:ascii="Book Antiqua" w:hAnsi="Book Antiqua" w:cs="Book Antiqua"/>
          <w:color w:val="000000"/>
          <w:sz w:val="24"/>
        </w:rPr>
        <w:t xml:space="preserve"> gut microbiota in non-alcoholic fatty liver disease (NAFLD) by procyanidin may provide a new </w:t>
      </w:r>
      <w:r w:rsidR="00B71250" w:rsidRPr="0049621B">
        <w:rPr>
          <w:rFonts w:ascii="Book Antiqua" w:hAnsi="Book Antiqua" w:cs="Book Antiqua"/>
          <w:color w:val="000000"/>
          <w:sz w:val="24"/>
        </w:rPr>
        <w:t>therapeutic</w:t>
      </w:r>
      <w:r w:rsidRPr="0049621B">
        <w:rPr>
          <w:rFonts w:ascii="Book Antiqua" w:hAnsi="Book Antiqua" w:cs="Book Antiqua"/>
          <w:color w:val="000000"/>
          <w:sz w:val="24"/>
        </w:rPr>
        <w:t xml:space="preserve"> trend.</w:t>
      </w:r>
    </w:p>
    <w:p w:rsidR="005312B2" w:rsidRPr="0049621B" w:rsidRDefault="005312B2" w:rsidP="0049621B">
      <w:pPr>
        <w:adjustRightInd w:val="0"/>
        <w:snapToGrid w:val="0"/>
        <w:spacing w:line="360" w:lineRule="auto"/>
        <w:rPr>
          <w:rFonts w:ascii="Book Antiqua" w:hAnsi="Book Antiqua" w:cs="Book Antiqua"/>
          <w:color w:val="000000"/>
          <w:sz w:val="24"/>
        </w:rPr>
      </w:pPr>
    </w:p>
    <w:p w:rsidR="00242092" w:rsidRPr="0049621B" w:rsidRDefault="00242092" w:rsidP="0049621B">
      <w:pPr>
        <w:adjustRightInd w:val="0"/>
        <w:snapToGrid w:val="0"/>
        <w:spacing w:line="360" w:lineRule="auto"/>
        <w:outlineLvl w:val="0"/>
        <w:rPr>
          <w:rFonts w:ascii="Book Antiqua" w:hAnsi="Book Antiqua" w:cs="Book Antiqua"/>
          <w:b/>
          <w:bCs/>
          <w:i/>
          <w:iCs/>
          <w:color w:val="000000"/>
          <w:sz w:val="24"/>
        </w:rPr>
      </w:pPr>
      <w:r w:rsidRPr="0049621B">
        <w:rPr>
          <w:rFonts w:ascii="Book Antiqua" w:hAnsi="Book Antiqua" w:cs="Book Antiqua"/>
          <w:b/>
          <w:bCs/>
          <w:i/>
          <w:iCs/>
          <w:color w:val="000000"/>
          <w:sz w:val="24"/>
        </w:rPr>
        <w:t>Research motivation</w:t>
      </w:r>
    </w:p>
    <w:p w:rsidR="00242092" w:rsidRPr="0049621B" w:rsidRDefault="00242092" w:rsidP="0049621B">
      <w:pPr>
        <w:adjustRightInd w:val="0"/>
        <w:snapToGrid w:val="0"/>
        <w:spacing w:line="360" w:lineRule="auto"/>
        <w:rPr>
          <w:rFonts w:ascii="Book Antiqua" w:hAnsi="Book Antiqua"/>
          <w:color w:val="000000"/>
          <w:sz w:val="24"/>
        </w:rPr>
      </w:pPr>
      <w:r w:rsidRPr="0049621B">
        <w:rPr>
          <w:rFonts w:ascii="Book Antiqua" w:hAnsi="Book Antiqua" w:cs="Book Antiqua"/>
          <w:color w:val="000000"/>
          <w:sz w:val="24"/>
        </w:rPr>
        <w:t xml:space="preserve">Procyanidin has been reported to improve dyslipidemia, hyperglycemia, and oxidative stress through its anti-oxidative properties. </w:t>
      </w:r>
      <w:r w:rsidRPr="0049621B">
        <w:rPr>
          <w:rFonts w:ascii="Book Antiqua" w:hAnsi="Book Antiqua"/>
          <w:color w:val="000000"/>
          <w:sz w:val="24"/>
        </w:rPr>
        <w:t xml:space="preserve">However, procyanidin is a natural plant compound, and its bioavailability in humans is low. The low levels of </w:t>
      </w:r>
      <w:r w:rsidR="005312B2" w:rsidRPr="0049621B">
        <w:rPr>
          <w:rFonts w:ascii="Book Antiqua" w:hAnsi="Book Antiqua"/>
          <w:color w:val="000000"/>
          <w:sz w:val="24"/>
        </w:rPr>
        <w:t>procyanidin B2 (</w:t>
      </w:r>
      <w:r w:rsidRPr="0049621B">
        <w:rPr>
          <w:rFonts w:ascii="Book Antiqua" w:hAnsi="Book Antiqua"/>
          <w:color w:val="000000"/>
          <w:sz w:val="24"/>
        </w:rPr>
        <w:t>PB2</w:t>
      </w:r>
      <w:r w:rsidR="005312B2" w:rsidRPr="0049621B">
        <w:rPr>
          <w:rFonts w:ascii="Book Antiqua" w:hAnsi="Book Antiqua"/>
          <w:color w:val="000000"/>
          <w:sz w:val="24"/>
        </w:rPr>
        <w:t>)</w:t>
      </w:r>
      <w:r w:rsidRPr="0049621B">
        <w:rPr>
          <w:rFonts w:ascii="Book Antiqua" w:hAnsi="Book Antiqua"/>
          <w:color w:val="000000"/>
          <w:sz w:val="24"/>
        </w:rPr>
        <w:t xml:space="preserve"> in the body make their superior effects difficult to explain. The mechanism underlying the beneficial effects of procyanidin remains largely unknown.</w:t>
      </w:r>
    </w:p>
    <w:p w:rsidR="005312B2" w:rsidRPr="0049621B" w:rsidRDefault="005312B2" w:rsidP="0049621B">
      <w:pPr>
        <w:adjustRightInd w:val="0"/>
        <w:snapToGrid w:val="0"/>
        <w:spacing w:line="360" w:lineRule="auto"/>
        <w:rPr>
          <w:rFonts w:ascii="Book Antiqua" w:hAnsi="Book Antiqua"/>
          <w:color w:val="000000"/>
          <w:sz w:val="24"/>
        </w:rPr>
      </w:pPr>
    </w:p>
    <w:p w:rsidR="00242092" w:rsidRPr="0049621B" w:rsidRDefault="00242092" w:rsidP="0049621B">
      <w:pPr>
        <w:adjustRightInd w:val="0"/>
        <w:snapToGrid w:val="0"/>
        <w:spacing w:line="360" w:lineRule="auto"/>
        <w:outlineLvl w:val="0"/>
        <w:rPr>
          <w:rFonts w:ascii="Book Antiqua" w:hAnsi="Book Antiqua"/>
          <w:b/>
          <w:bCs/>
          <w:i/>
          <w:iCs/>
          <w:color w:val="000000"/>
          <w:sz w:val="24"/>
        </w:rPr>
      </w:pPr>
      <w:r w:rsidRPr="0049621B">
        <w:rPr>
          <w:rFonts w:ascii="Book Antiqua" w:hAnsi="Book Antiqua"/>
          <w:b/>
          <w:bCs/>
          <w:i/>
          <w:iCs/>
          <w:color w:val="000000"/>
          <w:sz w:val="24"/>
        </w:rPr>
        <w:t>Research objectives</w:t>
      </w:r>
    </w:p>
    <w:p w:rsidR="00242092" w:rsidRPr="0049621B" w:rsidRDefault="00242092" w:rsidP="0049621B">
      <w:pPr>
        <w:adjustRightInd w:val="0"/>
        <w:snapToGrid w:val="0"/>
        <w:spacing w:line="360" w:lineRule="auto"/>
        <w:rPr>
          <w:rFonts w:ascii="Book Antiqua" w:hAnsi="Book Antiqua" w:cs="Book Antiqua"/>
          <w:color w:val="000000"/>
          <w:sz w:val="24"/>
        </w:rPr>
      </w:pPr>
      <w:r w:rsidRPr="0049621B">
        <w:rPr>
          <w:rFonts w:ascii="Book Antiqua" w:hAnsi="Book Antiqua" w:cs="Book Antiqua"/>
          <w:color w:val="000000"/>
          <w:sz w:val="24"/>
        </w:rPr>
        <w:lastRenderedPageBreak/>
        <w:t>To validate the effect of procya</w:t>
      </w:r>
      <w:r w:rsidR="00B71250" w:rsidRPr="0049621B">
        <w:rPr>
          <w:rFonts w:ascii="Book Antiqua" w:hAnsi="Book Antiqua" w:cs="Book Antiqua"/>
          <w:color w:val="000000"/>
          <w:sz w:val="24"/>
        </w:rPr>
        <w:t>n</w:t>
      </w:r>
      <w:r w:rsidRPr="0049621B">
        <w:rPr>
          <w:rFonts w:ascii="Book Antiqua" w:hAnsi="Book Antiqua" w:cs="Book Antiqua"/>
          <w:color w:val="000000"/>
          <w:sz w:val="24"/>
        </w:rPr>
        <w:t>idin on NAFLD and to clarify the possible mechanism of action.</w:t>
      </w:r>
    </w:p>
    <w:p w:rsidR="005312B2" w:rsidRPr="0049621B" w:rsidRDefault="005312B2" w:rsidP="0049621B">
      <w:pPr>
        <w:adjustRightInd w:val="0"/>
        <w:snapToGrid w:val="0"/>
        <w:spacing w:line="360" w:lineRule="auto"/>
        <w:rPr>
          <w:rFonts w:ascii="Book Antiqua" w:hAnsi="Book Antiqua" w:cs="Book Antiqua"/>
          <w:color w:val="000000"/>
          <w:sz w:val="24"/>
        </w:rPr>
      </w:pPr>
    </w:p>
    <w:p w:rsidR="00242092" w:rsidRPr="0049621B" w:rsidRDefault="00242092" w:rsidP="0049621B">
      <w:pPr>
        <w:adjustRightInd w:val="0"/>
        <w:snapToGrid w:val="0"/>
        <w:spacing w:line="360" w:lineRule="auto"/>
        <w:outlineLvl w:val="0"/>
        <w:rPr>
          <w:rFonts w:ascii="Book Antiqua" w:hAnsi="Book Antiqua" w:cs="Book Antiqua"/>
          <w:b/>
          <w:bCs/>
          <w:i/>
          <w:iCs/>
          <w:color w:val="000000"/>
          <w:sz w:val="24"/>
        </w:rPr>
      </w:pPr>
      <w:r w:rsidRPr="0049621B">
        <w:rPr>
          <w:rFonts w:ascii="Book Antiqua" w:hAnsi="Book Antiqua" w:cs="Book Antiqua"/>
          <w:b/>
          <w:bCs/>
          <w:i/>
          <w:iCs/>
          <w:color w:val="000000"/>
          <w:sz w:val="24"/>
        </w:rPr>
        <w:t>Research methods</w:t>
      </w:r>
    </w:p>
    <w:p w:rsidR="00242092" w:rsidRPr="0049621B" w:rsidRDefault="005312B2" w:rsidP="0049621B">
      <w:pPr>
        <w:adjustRightInd w:val="0"/>
        <w:snapToGrid w:val="0"/>
        <w:spacing w:line="360" w:lineRule="auto"/>
        <w:rPr>
          <w:rFonts w:ascii="Book Antiqua" w:hAnsi="Book Antiqua" w:cs="Book Antiqua"/>
          <w:color w:val="000000"/>
          <w:sz w:val="24"/>
        </w:rPr>
      </w:pPr>
      <w:r w:rsidRPr="0049621B">
        <w:rPr>
          <w:rFonts w:ascii="Book Antiqua" w:hAnsi="Book Antiqua" w:cs="Book Antiqua"/>
          <w:color w:val="000000"/>
          <w:sz w:val="24"/>
        </w:rPr>
        <w:t>New Zealand w</w:t>
      </w:r>
      <w:r w:rsidR="00242092" w:rsidRPr="0049621B">
        <w:rPr>
          <w:rFonts w:ascii="Book Antiqua" w:hAnsi="Book Antiqua" w:cs="Book Antiqua"/>
          <w:color w:val="000000"/>
          <w:sz w:val="24"/>
        </w:rPr>
        <w:t xml:space="preserve">hite rabbits were fed chow or </w:t>
      </w:r>
      <w:bookmarkStart w:id="30" w:name="OLE_LINK56"/>
      <w:bookmarkStart w:id="31" w:name="OLE_LINK57"/>
      <w:r w:rsidR="00242092" w:rsidRPr="0049621B">
        <w:rPr>
          <w:rFonts w:ascii="Book Antiqua" w:hAnsi="Book Antiqua" w:cs="Book Antiqua"/>
          <w:color w:val="000000"/>
          <w:sz w:val="24"/>
        </w:rPr>
        <w:t>high-fat-cholesterol</w:t>
      </w:r>
      <w:bookmarkEnd w:id="30"/>
      <w:bookmarkEnd w:id="31"/>
      <w:r w:rsidR="00242092" w:rsidRPr="0049621B">
        <w:rPr>
          <w:rFonts w:ascii="Book Antiqua" w:hAnsi="Book Antiqua" w:cs="Book Antiqua"/>
          <w:color w:val="000000"/>
          <w:sz w:val="24"/>
        </w:rPr>
        <w:t xml:space="preserve"> diet (HCD) for 12 w</w:t>
      </w:r>
      <w:r w:rsidRPr="0049621B">
        <w:rPr>
          <w:rFonts w:ascii="Book Antiqua" w:hAnsi="Book Antiqua" w:cs="Book Antiqua"/>
          <w:color w:val="000000"/>
          <w:sz w:val="24"/>
        </w:rPr>
        <w:t>k</w:t>
      </w:r>
      <w:r w:rsidR="00242092" w:rsidRPr="0049621B">
        <w:rPr>
          <w:rFonts w:ascii="Book Antiqua" w:hAnsi="Book Antiqua" w:cs="Book Antiqua"/>
          <w:color w:val="000000"/>
          <w:sz w:val="24"/>
        </w:rPr>
        <w:t xml:space="preserve">. The body </w:t>
      </w:r>
      <w:r w:rsidR="004A5A48" w:rsidRPr="0049621B">
        <w:rPr>
          <w:rFonts w:ascii="Book Antiqua" w:hAnsi="Book Antiqua" w:cs="Book Antiqua"/>
          <w:color w:val="000000"/>
          <w:sz w:val="24"/>
        </w:rPr>
        <w:t>weight</w:t>
      </w:r>
      <w:r w:rsidR="00242092" w:rsidRPr="0049621B">
        <w:rPr>
          <w:rFonts w:ascii="Book Antiqua" w:hAnsi="Book Antiqua" w:cs="Book Antiqua"/>
          <w:color w:val="000000"/>
          <w:sz w:val="24"/>
        </w:rPr>
        <w:t xml:space="preserve"> was investigated every week. The serum samples were analyzed after a 12-w</w:t>
      </w:r>
      <w:r w:rsidRPr="0049621B">
        <w:rPr>
          <w:rFonts w:ascii="Book Antiqua" w:hAnsi="Book Antiqua" w:cs="Book Antiqua"/>
          <w:color w:val="000000"/>
          <w:sz w:val="24"/>
        </w:rPr>
        <w:t>k time. Hematoxylin and</w:t>
      </w:r>
      <w:r w:rsidR="00242092" w:rsidRPr="0049621B">
        <w:rPr>
          <w:rFonts w:ascii="Book Antiqua" w:hAnsi="Book Antiqua" w:cs="Book Antiqua"/>
          <w:color w:val="000000"/>
          <w:sz w:val="24"/>
        </w:rPr>
        <w:t xml:space="preserve"> eosin staining of liver samples were performed</w:t>
      </w:r>
      <w:r w:rsidR="004A5A48" w:rsidRPr="0049621B">
        <w:rPr>
          <w:rFonts w:ascii="Book Antiqua" w:hAnsi="Book Antiqua" w:cs="Book Antiqua"/>
          <w:color w:val="000000"/>
          <w:sz w:val="24"/>
        </w:rPr>
        <w:t>,</w:t>
      </w:r>
      <w:r w:rsidR="00242092" w:rsidRPr="0049621B">
        <w:rPr>
          <w:rFonts w:ascii="Book Antiqua" w:hAnsi="Book Antiqua" w:cs="Book Antiqua"/>
          <w:color w:val="000000"/>
          <w:sz w:val="24"/>
        </w:rPr>
        <w:t xml:space="preserve"> and fatty acid synthesis genes of liver were evaluated. The gut microbiota was sequenced by 16S rRNA analys</w:t>
      </w:r>
      <w:r w:rsidR="00B71250" w:rsidRPr="0049621B">
        <w:rPr>
          <w:rFonts w:ascii="Book Antiqua" w:hAnsi="Book Antiqua" w:cs="Book Antiqua"/>
          <w:color w:val="000000"/>
          <w:sz w:val="24"/>
        </w:rPr>
        <w:t>is</w:t>
      </w:r>
      <w:r w:rsidR="00242092" w:rsidRPr="0049621B">
        <w:rPr>
          <w:rFonts w:ascii="Book Antiqua" w:hAnsi="Book Antiqua" w:cs="Book Antiqua"/>
          <w:color w:val="000000"/>
          <w:sz w:val="24"/>
        </w:rPr>
        <w:t>.</w:t>
      </w:r>
    </w:p>
    <w:p w:rsidR="005312B2" w:rsidRPr="0049621B" w:rsidRDefault="005312B2" w:rsidP="0049621B">
      <w:pPr>
        <w:adjustRightInd w:val="0"/>
        <w:snapToGrid w:val="0"/>
        <w:spacing w:line="360" w:lineRule="auto"/>
        <w:rPr>
          <w:rFonts w:ascii="Book Antiqua" w:hAnsi="Book Antiqua" w:cs="Book Antiqua"/>
          <w:color w:val="000000"/>
          <w:sz w:val="24"/>
        </w:rPr>
      </w:pPr>
    </w:p>
    <w:p w:rsidR="00242092" w:rsidRPr="0049621B" w:rsidRDefault="00242092" w:rsidP="0049621B">
      <w:pPr>
        <w:adjustRightInd w:val="0"/>
        <w:snapToGrid w:val="0"/>
        <w:spacing w:line="360" w:lineRule="auto"/>
        <w:outlineLvl w:val="0"/>
        <w:rPr>
          <w:rFonts w:ascii="Book Antiqua" w:hAnsi="Book Antiqua" w:cs="Book Antiqua"/>
          <w:b/>
          <w:bCs/>
          <w:i/>
          <w:iCs/>
          <w:color w:val="000000"/>
          <w:sz w:val="24"/>
        </w:rPr>
      </w:pPr>
      <w:r w:rsidRPr="0049621B">
        <w:rPr>
          <w:rFonts w:ascii="Book Antiqua" w:hAnsi="Book Antiqua" w:cs="Book Antiqua"/>
          <w:b/>
          <w:bCs/>
          <w:i/>
          <w:iCs/>
          <w:color w:val="000000"/>
          <w:sz w:val="24"/>
        </w:rPr>
        <w:t>Research results</w:t>
      </w:r>
    </w:p>
    <w:p w:rsidR="00242092" w:rsidRPr="0049621B" w:rsidRDefault="00242092" w:rsidP="0049621B">
      <w:pPr>
        <w:adjustRightInd w:val="0"/>
        <w:snapToGrid w:val="0"/>
        <w:spacing w:line="360" w:lineRule="auto"/>
        <w:rPr>
          <w:rFonts w:ascii="Book Antiqua" w:hAnsi="Book Antiqua" w:cs="Book Antiqua"/>
          <w:color w:val="000000"/>
          <w:sz w:val="24"/>
        </w:rPr>
      </w:pPr>
      <w:r w:rsidRPr="0049621B">
        <w:rPr>
          <w:rFonts w:ascii="Book Antiqua" w:hAnsi="Book Antiqua" w:cs="Book Antiqua"/>
          <w:color w:val="000000"/>
          <w:sz w:val="24"/>
        </w:rPr>
        <w:t>Our results show that procyanidin is associated with alleviated hepatic steatosis, decrease serum lipid, suppressed gut inflammation</w:t>
      </w:r>
      <w:r w:rsidR="004A5A48" w:rsidRPr="0049621B">
        <w:rPr>
          <w:rFonts w:ascii="Book Antiqua" w:hAnsi="Book Antiqua" w:cs="Book Antiqua"/>
          <w:color w:val="000000"/>
          <w:sz w:val="24"/>
        </w:rPr>
        <w:t>,</w:t>
      </w:r>
      <w:r w:rsidRPr="0049621B">
        <w:rPr>
          <w:rFonts w:ascii="Book Antiqua" w:hAnsi="Book Antiqua" w:cs="Book Antiqua"/>
          <w:color w:val="000000"/>
          <w:sz w:val="24"/>
        </w:rPr>
        <w:t xml:space="preserve"> and remolded gut microbiota.</w:t>
      </w:r>
    </w:p>
    <w:p w:rsidR="005312B2" w:rsidRPr="0049621B" w:rsidRDefault="005312B2" w:rsidP="0049621B">
      <w:pPr>
        <w:adjustRightInd w:val="0"/>
        <w:snapToGrid w:val="0"/>
        <w:spacing w:line="360" w:lineRule="auto"/>
        <w:rPr>
          <w:rFonts w:ascii="Book Antiqua" w:hAnsi="Book Antiqua" w:cs="Book Antiqua"/>
          <w:color w:val="000000"/>
          <w:sz w:val="24"/>
        </w:rPr>
      </w:pPr>
    </w:p>
    <w:p w:rsidR="00242092" w:rsidRPr="0049621B" w:rsidRDefault="00242092" w:rsidP="0049621B">
      <w:pPr>
        <w:adjustRightInd w:val="0"/>
        <w:snapToGrid w:val="0"/>
        <w:spacing w:line="360" w:lineRule="auto"/>
        <w:outlineLvl w:val="0"/>
        <w:rPr>
          <w:rFonts w:ascii="Book Antiqua" w:hAnsi="Book Antiqua" w:cs="Book Antiqua"/>
          <w:b/>
          <w:bCs/>
          <w:i/>
          <w:iCs/>
          <w:color w:val="000000"/>
          <w:sz w:val="24"/>
        </w:rPr>
      </w:pPr>
      <w:r w:rsidRPr="0049621B">
        <w:rPr>
          <w:rFonts w:ascii="Book Antiqua" w:hAnsi="Book Antiqua" w:cs="Book Antiqua"/>
          <w:b/>
          <w:bCs/>
          <w:i/>
          <w:iCs/>
          <w:color w:val="000000"/>
          <w:sz w:val="24"/>
        </w:rPr>
        <w:t>Research conclusions</w:t>
      </w:r>
    </w:p>
    <w:p w:rsidR="00242092" w:rsidRPr="0049621B" w:rsidRDefault="00242092" w:rsidP="0049621B">
      <w:pPr>
        <w:adjustRightInd w:val="0"/>
        <w:snapToGrid w:val="0"/>
        <w:spacing w:line="360" w:lineRule="auto"/>
        <w:rPr>
          <w:rFonts w:ascii="Book Antiqua" w:hAnsi="Book Antiqua" w:cs="Book Antiqua"/>
          <w:color w:val="000000"/>
          <w:sz w:val="24"/>
        </w:rPr>
      </w:pPr>
      <w:r w:rsidRPr="0049621B">
        <w:rPr>
          <w:rFonts w:ascii="Book Antiqua" w:hAnsi="Book Antiqua" w:cs="Book Antiqua"/>
          <w:color w:val="000000"/>
          <w:sz w:val="24"/>
        </w:rPr>
        <w:t>Procyanidin treatment protects against HCD-induced obesity, insulin resistance, and liver steatosis in rabbits. These effects were associated with the alleviation of intestinal inflammation and endotoxemia.</w:t>
      </w:r>
    </w:p>
    <w:p w:rsidR="005312B2" w:rsidRPr="0049621B" w:rsidRDefault="005312B2" w:rsidP="0049621B">
      <w:pPr>
        <w:adjustRightInd w:val="0"/>
        <w:snapToGrid w:val="0"/>
        <w:spacing w:line="360" w:lineRule="auto"/>
        <w:rPr>
          <w:rFonts w:ascii="Book Antiqua" w:hAnsi="Book Antiqua" w:cs="Book Antiqua"/>
          <w:color w:val="000000"/>
          <w:sz w:val="24"/>
        </w:rPr>
      </w:pPr>
    </w:p>
    <w:p w:rsidR="00242092" w:rsidRPr="0049621B" w:rsidRDefault="00242092" w:rsidP="0049621B">
      <w:pPr>
        <w:adjustRightInd w:val="0"/>
        <w:snapToGrid w:val="0"/>
        <w:spacing w:line="360" w:lineRule="auto"/>
        <w:outlineLvl w:val="0"/>
        <w:rPr>
          <w:rFonts w:ascii="Book Antiqua" w:hAnsi="Book Antiqua" w:cs="Book Antiqua"/>
          <w:b/>
          <w:bCs/>
          <w:i/>
          <w:iCs/>
          <w:color w:val="000000"/>
          <w:sz w:val="24"/>
        </w:rPr>
      </w:pPr>
      <w:r w:rsidRPr="0049621B">
        <w:rPr>
          <w:rFonts w:ascii="Book Antiqua" w:hAnsi="Book Antiqua" w:cs="Book Antiqua"/>
          <w:b/>
          <w:bCs/>
          <w:i/>
          <w:iCs/>
          <w:color w:val="000000"/>
          <w:sz w:val="24"/>
        </w:rPr>
        <w:t>Research perspectives</w:t>
      </w:r>
    </w:p>
    <w:p w:rsidR="00242092" w:rsidRPr="0049621B" w:rsidRDefault="00242092" w:rsidP="0049621B">
      <w:pPr>
        <w:adjustRightInd w:val="0"/>
        <w:snapToGrid w:val="0"/>
        <w:spacing w:line="360" w:lineRule="auto"/>
        <w:rPr>
          <w:rFonts w:ascii="Book Antiqua" w:hAnsi="Book Antiqua" w:cs="Book Antiqua"/>
          <w:color w:val="000000"/>
          <w:sz w:val="24"/>
        </w:rPr>
      </w:pPr>
      <w:r w:rsidRPr="0049621B">
        <w:rPr>
          <w:rFonts w:ascii="Book Antiqua" w:hAnsi="Book Antiqua" w:cs="Book Antiqua"/>
          <w:color w:val="000000"/>
          <w:sz w:val="24"/>
        </w:rPr>
        <w:t xml:space="preserve">Plant compounds, such as procyanidin, should be further explored for </w:t>
      </w:r>
      <w:r w:rsidR="004A5A48" w:rsidRPr="0049621B">
        <w:rPr>
          <w:rFonts w:ascii="Book Antiqua" w:hAnsi="Book Antiqua" w:cs="Book Antiqua"/>
          <w:color w:val="000000"/>
          <w:sz w:val="24"/>
        </w:rPr>
        <w:t xml:space="preserve">their </w:t>
      </w:r>
      <w:r w:rsidRPr="0049621B">
        <w:rPr>
          <w:rFonts w:ascii="Book Antiqua" w:hAnsi="Book Antiqua" w:cs="Book Antiqua"/>
          <w:color w:val="000000"/>
          <w:sz w:val="24"/>
        </w:rPr>
        <w:t>potential therapeutic activity in NAFLD.</w:t>
      </w:r>
    </w:p>
    <w:p w:rsidR="00242092" w:rsidRPr="0049621B" w:rsidRDefault="005312B2" w:rsidP="0049621B">
      <w:pPr>
        <w:adjustRightInd w:val="0"/>
        <w:snapToGrid w:val="0"/>
        <w:spacing w:line="360" w:lineRule="auto"/>
        <w:rPr>
          <w:rFonts w:ascii="Book Antiqua" w:hAnsi="Book Antiqua"/>
          <w:b/>
          <w:color w:val="000000"/>
          <w:sz w:val="24"/>
        </w:rPr>
      </w:pPr>
      <w:r w:rsidRPr="0049621B">
        <w:rPr>
          <w:rFonts w:ascii="Book Antiqua" w:hAnsi="Book Antiqua" w:cs="Book Antiqua"/>
          <w:b/>
          <w:bCs/>
          <w:i/>
          <w:iCs/>
          <w:color w:val="000000"/>
          <w:sz w:val="24"/>
        </w:rPr>
        <w:br w:type="page"/>
      </w:r>
      <w:r w:rsidR="00242092" w:rsidRPr="0049621B">
        <w:rPr>
          <w:rFonts w:ascii="Book Antiqua" w:hAnsi="Book Antiqua"/>
          <w:b/>
          <w:color w:val="000000"/>
          <w:sz w:val="24"/>
        </w:rPr>
        <w:lastRenderedPageBreak/>
        <w:t>REFERENCE</w:t>
      </w:r>
      <w:r w:rsidR="0049621B">
        <w:rPr>
          <w:rFonts w:ascii="Book Antiqua" w:hAnsi="Book Antiqua"/>
          <w:b/>
          <w:color w:val="000000"/>
          <w:sz w:val="24"/>
        </w:rPr>
        <w:t>S</w:t>
      </w:r>
    </w:p>
    <w:p w:rsidR="0088677A" w:rsidRPr="0049621B" w:rsidRDefault="0088677A" w:rsidP="0049621B">
      <w:pPr>
        <w:pStyle w:val="EndNoteBibliography"/>
        <w:adjustRightInd w:val="0"/>
        <w:snapToGrid w:val="0"/>
        <w:spacing w:line="360" w:lineRule="auto"/>
        <w:rPr>
          <w:rFonts w:ascii="Book Antiqua" w:hAnsi="Book Antiqua"/>
          <w:color w:val="000000"/>
          <w:sz w:val="24"/>
          <w:lang w:val="en-US"/>
        </w:rPr>
      </w:pPr>
      <w:r w:rsidRPr="0049621B">
        <w:rPr>
          <w:rFonts w:ascii="Book Antiqua" w:hAnsi="Book Antiqua"/>
          <w:color w:val="000000"/>
          <w:sz w:val="24"/>
          <w:lang w:val="en-US"/>
        </w:rPr>
        <w:t>1 </w:t>
      </w:r>
      <w:r w:rsidRPr="0049621B">
        <w:rPr>
          <w:rFonts w:ascii="Book Antiqua" w:hAnsi="Book Antiqua"/>
          <w:b/>
          <w:bCs/>
          <w:color w:val="000000"/>
          <w:sz w:val="24"/>
          <w:lang w:val="en-US"/>
        </w:rPr>
        <w:t>Eckel RH</w:t>
      </w:r>
      <w:r w:rsidRPr="0049621B">
        <w:rPr>
          <w:rFonts w:ascii="Book Antiqua" w:hAnsi="Book Antiqua"/>
          <w:color w:val="000000"/>
          <w:sz w:val="24"/>
          <w:lang w:val="en-US"/>
        </w:rPr>
        <w:t>, Grundy SM, Zimmet PZ. The metabolic syndrome. </w:t>
      </w:r>
      <w:r w:rsidRPr="0049621B">
        <w:rPr>
          <w:rFonts w:ascii="Book Antiqua" w:hAnsi="Book Antiqua"/>
          <w:i/>
          <w:iCs/>
          <w:color w:val="000000"/>
          <w:sz w:val="24"/>
          <w:lang w:val="en-US"/>
        </w:rPr>
        <w:t>Lancet</w:t>
      </w:r>
      <w:r w:rsidRPr="0049621B">
        <w:rPr>
          <w:rFonts w:ascii="Book Antiqua" w:hAnsi="Book Antiqua"/>
          <w:color w:val="000000"/>
          <w:sz w:val="24"/>
          <w:lang w:val="en-US"/>
        </w:rPr>
        <w:t> 2005; </w:t>
      </w:r>
      <w:r w:rsidRPr="0049621B">
        <w:rPr>
          <w:rFonts w:ascii="Book Antiqua" w:hAnsi="Book Antiqua"/>
          <w:b/>
          <w:bCs/>
          <w:color w:val="000000"/>
          <w:sz w:val="24"/>
          <w:lang w:val="en-US"/>
        </w:rPr>
        <w:t>365</w:t>
      </w:r>
      <w:r w:rsidRPr="0049621B">
        <w:rPr>
          <w:rFonts w:ascii="Book Antiqua" w:hAnsi="Book Antiqua"/>
          <w:color w:val="000000"/>
          <w:sz w:val="24"/>
          <w:lang w:val="en-US"/>
        </w:rPr>
        <w:t>: 1415-1428 [PMID: 15836891 DOI: 10.1016/S0140-6736(05)66378-7]</w:t>
      </w:r>
    </w:p>
    <w:p w:rsidR="0088677A" w:rsidRPr="0049621B" w:rsidRDefault="0088677A" w:rsidP="0049621B">
      <w:pPr>
        <w:pStyle w:val="EndNoteBibliography"/>
        <w:adjustRightInd w:val="0"/>
        <w:snapToGrid w:val="0"/>
        <w:spacing w:line="360" w:lineRule="auto"/>
        <w:rPr>
          <w:rFonts w:ascii="Book Antiqua" w:hAnsi="Book Antiqua"/>
          <w:color w:val="000000"/>
          <w:sz w:val="24"/>
          <w:lang w:val="en-US"/>
        </w:rPr>
      </w:pPr>
      <w:r w:rsidRPr="0049621B">
        <w:rPr>
          <w:rFonts w:ascii="Book Antiqua" w:hAnsi="Book Antiqua"/>
          <w:color w:val="000000"/>
          <w:sz w:val="24"/>
          <w:lang w:val="en-US"/>
        </w:rPr>
        <w:t>2 </w:t>
      </w:r>
      <w:r w:rsidRPr="0049621B">
        <w:rPr>
          <w:rFonts w:ascii="Book Antiqua" w:hAnsi="Book Antiqua"/>
          <w:b/>
          <w:bCs/>
          <w:color w:val="000000"/>
          <w:sz w:val="24"/>
          <w:lang w:val="en-US"/>
        </w:rPr>
        <w:t>Hossain P</w:t>
      </w:r>
      <w:r w:rsidRPr="0049621B">
        <w:rPr>
          <w:rFonts w:ascii="Book Antiqua" w:hAnsi="Book Antiqua"/>
          <w:color w:val="000000"/>
          <w:sz w:val="24"/>
          <w:lang w:val="en-US"/>
        </w:rPr>
        <w:t>, Kawar B, El Nahas M. Obesity and diabetes in the developing world--a growing challenge. </w:t>
      </w:r>
      <w:r w:rsidRPr="0049621B">
        <w:rPr>
          <w:rFonts w:ascii="Book Antiqua" w:hAnsi="Book Antiqua"/>
          <w:i/>
          <w:iCs/>
          <w:color w:val="000000"/>
          <w:sz w:val="24"/>
          <w:lang w:val="en-US"/>
        </w:rPr>
        <w:t>N Engl J Med</w:t>
      </w:r>
      <w:r w:rsidRPr="0049621B">
        <w:rPr>
          <w:rFonts w:ascii="Book Antiqua" w:hAnsi="Book Antiqua"/>
          <w:color w:val="000000"/>
          <w:sz w:val="24"/>
          <w:lang w:val="en-US"/>
        </w:rPr>
        <w:t> 2007; </w:t>
      </w:r>
      <w:r w:rsidRPr="0049621B">
        <w:rPr>
          <w:rFonts w:ascii="Book Antiqua" w:hAnsi="Book Antiqua"/>
          <w:b/>
          <w:bCs/>
          <w:color w:val="000000"/>
          <w:sz w:val="24"/>
          <w:lang w:val="en-US"/>
        </w:rPr>
        <w:t>356</w:t>
      </w:r>
      <w:r w:rsidRPr="0049621B">
        <w:rPr>
          <w:rFonts w:ascii="Book Antiqua" w:hAnsi="Book Antiqua"/>
          <w:color w:val="000000"/>
          <w:sz w:val="24"/>
          <w:lang w:val="en-US"/>
        </w:rPr>
        <w:t>: 213-215 [PMID: 17229948 DOI: 10.1056/NEJMp068177]</w:t>
      </w:r>
    </w:p>
    <w:p w:rsidR="0088677A" w:rsidRPr="0049621B" w:rsidRDefault="0088677A" w:rsidP="0049621B">
      <w:pPr>
        <w:pStyle w:val="EndNoteBibliography"/>
        <w:adjustRightInd w:val="0"/>
        <w:snapToGrid w:val="0"/>
        <w:spacing w:line="360" w:lineRule="auto"/>
        <w:rPr>
          <w:rFonts w:ascii="Book Antiqua" w:hAnsi="Book Antiqua"/>
          <w:color w:val="000000"/>
          <w:sz w:val="24"/>
          <w:lang w:val="en-US"/>
        </w:rPr>
      </w:pPr>
      <w:r w:rsidRPr="0049621B">
        <w:rPr>
          <w:rFonts w:ascii="Book Antiqua" w:hAnsi="Book Antiqua"/>
          <w:color w:val="000000"/>
          <w:sz w:val="24"/>
          <w:lang w:val="en-US"/>
        </w:rPr>
        <w:t>3 </w:t>
      </w:r>
      <w:r w:rsidRPr="0049621B">
        <w:rPr>
          <w:rFonts w:ascii="Book Antiqua" w:hAnsi="Book Antiqua"/>
          <w:b/>
          <w:bCs/>
          <w:color w:val="000000"/>
          <w:sz w:val="24"/>
          <w:lang w:val="en-US"/>
        </w:rPr>
        <w:t>Marette A</w:t>
      </w:r>
      <w:r w:rsidRPr="0049621B">
        <w:rPr>
          <w:rFonts w:ascii="Book Antiqua" w:hAnsi="Book Antiqua"/>
          <w:color w:val="000000"/>
          <w:sz w:val="24"/>
          <w:lang w:val="en-US"/>
        </w:rPr>
        <w:t>. Mediators of cytokine-induced insulin resistance in obesity and other inflammatory settings. </w:t>
      </w:r>
      <w:r w:rsidRPr="0049621B">
        <w:rPr>
          <w:rFonts w:ascii="Book Antiqua" w:hAnsi="Book Antiqua"/>
          <w:i/>
          <w:iCs/>
          <w:color w:val="000000"/>
          <w:sz w:val="24"/>
          <w:lang w:val="en-US"/>
        </w:rPr>
        <w:t>Curr Opin Clin Nutr Metab Care</w:t>
      </w:r>
      <w:r w:rsidRPr="0049621B">
        <w:rPr>
          <w:rFonts w:ascii="Book Antiqua" w:hAnsi="Book Antiqua"/>
          <w:color w:val="000000"/>
          <w:sz w:val="24"/>
          <w:lang w:val="en-US"/>
        </w:rPr>
        <w:t> 2002; </w:t>
      </w:r>
      <w:r w:rsidRPr="0049621B">
        <w:rPr>
          <w:rFonts w:ascii="Book Antiqua" w:hAnsi="Book Antiqua"/>
          <w:b/>
          <w:bCs/>
          <w:color w:val="000000"/>
          <w:sz w:val="24"/>
          <w:lang w:val="en-US"/>
        </w:rPr>
        <w:t>5</w:t>
      </w:r>
      <w:r w:rsidRPr="0049621B">
        <w:rPr>
          <w:rFonts w:ascii="Book Antiqua" w:hAnsi="Book Antiqua"/>
          <w:color w:val="000000"/>
          <w:sz w:val="24"/>
          <w:lang w:val="en-US"/>
        </w:rPr>
        <w:t>: 377-383 [PMID: 12107372 DOI: 10.1097/00075197-200207000-00005]</w:t>
      </w:r>
    </w:p>
    <w:p w:rsidR="0088677A" w:rsidRPr="0049621B" w:rsidRDefault="0088677A" w:rsidP="0049621B">
      <w:pPr>
        <w:pStyle w:val="EndNoteBibliography"/>
        <w:adjustRightInd w:val="0"/>
        <w:snapToGrid w:val="0"/>
        <w:spacing w:line="360" w:lineRule="auto"/>
        <w:rPr>
          <w:rFonts w:ascii="Book Antiqua" w:hAnsi="Book Antiqua"/>
          <w:color w:val="000000"/>
          <w:sz w:val="24"/>
          <w:lang w:val="en-US"/>
        </w:rPr>
      </w:pPr>
      <w:r w:rsidRPr="0049621B">
        <w:rPr>
          <w:rFonts w:ascii="Book Antiqua" w:hAnsi="Book Antiqua"/>
          <w:color w:val="000000"/>
          <w:sz w:val="24"/>
          <w:lang w:val="en-US"/>
        </w:rPr>
        <w:t>4 </w:t>
      </w:r>
      <w:r w:rsidRPr="0049621B">
        <w:rPr>
          <w:rFonts w:ascii="Book Antiqua" w:hAnsi="Book Antiqua"/>
          <w:b/>
          <w:bCs/>
          <w:color w:val="000000"/>
          <w:sz w:val="24"/>
          <w:lang w:val="en-US"/>
        </w:rPr>
        <w:t>Xu H</w:t>
      </w:r>
      <w:r w:rsidRPr="0049621B">
        <w:rPr>
          <w:rFonts w:ascii="Book Antiqua" w:hAnsi="Book Antiqua"/>
          <w:color w:val="000000"/>
          <w:sz w:val="24"/>
          <w:lang w:val="en-US"/>
        </w:rPr>
        <w:t>, Barnes GT, Yang Q, Tan G, Yang D, Chou CJ, Sole J, Nichols A, Ross JS, Tartaglia LA, Chen H. Chronic inflammation in fat plays a crucial role in the development of obesity-related insulin resistance. </w:t>
      </w:r>
      <w:r w:rsidRPr="0049621B">
        <w:rPr>
          <w:rFonts w:ascii="Book Antiqua" w:hAnsi="Book Antiqua"/>
          <w:i/>
          <w:iCs/>
          <w:color w:val="000000"/>
          <w:sz w:val="24"/>
          <w:lang w:val="en-US"/>
        </w:rPr>
        <w:t>J Clin Invest</w:t>
      </w:r>
      <w:r w:rsidRPr="0049621B">
        <w:rPr>
          <w:rFonts w:ascii="Book Antiqua" w:hAnsi="Book Antiqua"/>
          <w:color w:val="000000"/>
          <w:sz w:val="24"/>
          <w:lang w:val="en-US"/>
        </w:rPr>
        <w:t> 2003; </w:t>
      </w:r>
      <w:r w:rsidRPr="0049621B">
        <w:rPr>
          <w:rFonts w:ascii="Book Antiqua" w:hAnsi="Book Antiqua"/>
          <w:b/>
          <w:bCs/>
          <w:color w:val="000000"/>
          <w:sz w:val="24"/>
          <w:lang w:val="en-US"/>
        </w:rPr>
        <w:t>112</w:t>
      </w:r>
      <w:r w:rsidRPr="0049621B">
        <w:rPr>
          <w:rFonts w:ascii="Book Antiqua" w:hAnsi="Book Antiqua"/>
          <w:color w:val="000000"/>
          <w:sz w:val="24"/>
          <w:lang w:val="en-US"/>
        </w:rPr>
        <w:t>: 1821-1830 [PMID: 14679177 DOI: 10.1172/JCI19451]</w:t>
      </w:r>
    </w:p>
    <w:p w:rsidR="0088677A" w:rsidRPr="0049621B" w:rsidRDefault="0088677A" w:rsidP="0049621B">
      <w:pPr>
        <w:pStyle w:val="EndNoteBibliography"/>
        <w:adjustRightInd w:val="0"/>
        <w:snapToGrid w:val="0"/>
        <w:spacing w:line="360" w:lineRule="auto"/>
        <w:rPr>
          <w:rFonts w:ascii="Book Antiqua" w:hAnsi="Book Antiqua"/>
          <w:color w:val="000000"/>
          <w:sz w:val="24"/>
          <w:lang w:val="en-US"/>
        </w:rPr>
      </w:pPr>
      <w:r w:rsidRPr="0049621B">
        <w:rPr>
          <w:rFonts w:ascii="Book Antiqua" w:hAnsi="Book Antiqua"/>
          <w:color w:val="000000"/>
          <w:sz w:val="24"/>
          <w:lang w:val="en-US"/>
        </w:rPr>
        <w:t>5 </w:t>
      </w:r>
      <w:r w:rsidRPr="0049621B">
        <w:rPr>
          <w:rFonts w:ascii="Book Antiqua" w:hAnsi="Book Antiqua"/>
          <w:b/>
          <w:bCs/>
          <w:color w:val="000000"/>
          <w:sz w:val="24"/>
          <w:lang w:val="en-US"/>
        </w:rPr>
        <w:t>Arpaia N</w:t>
      </w:r>
      <w:r w:rsidRPr="0049621B">
        <w:rPr>
          <w:rFonts w:ascii="Book Antiqua" w:hAnsi="Book Antiqua"/>
          <w:color w:val="000000"/>
          <w:sz w:val="24"/>
          <w:lang w:val="en-US"/>
        </w:rPr>
        <w:t>, Campbell C, Fan X, Dikiy S, van der Veeken J, deRoos P, Liu H, Cross JR, Pfeffer K, Coffer PJ, Rudensky AY. Metabolites produced by commensal bacteria promote peripheral regulatory T-cell generation. </w:t>
      </w:r>
      <w:r w:rsidRPr="0049621B">
        <w:rPr>
          <w:rFonts w:ascii="Book Antiqua" w:hAnsi="Book Antiqua"/>
          <w:i/>
          <w:iCs/>
          <w:color w:val="000000"/>
          <w:sz w:val="24"/>
          <w:lang w:val="en-US"/>
        </w:rPr>
        <w:t>Nature</w:t>
      </w:r>
      <w:r w:rsidRPr="0049621B">
        <w:rPr>
          <w:rFonts w:ascii="Book Antiqua" w:hAnsi="Book Antiqua"/>
          <w:color w:val="000000"/>
          <w:sz w:val="24"/>
          <w:lang w:val="en-US"/>
        </w:rPr>
        <w:t> 2013; </w:t>
      </w:r>
      <w:r w:rsidRPr="0049621B">
        <w:rPr>
          <w:rFonts w:ascii="Book Antiqua" w:hAnsi="Book Antiqua"/>
          <w:b/>
          <w:bCs/>
          <w:color w:val="000000"/>
          <w:sz w:val="24"/>
          <w:lang w:val="en-US"/>
        </w:rPr>
        <w:t>504</w:t>
      </w:r>
      <w:r w:rsidRPr="0049621B">
        <w:rPr>
          <w:rFonts w:ascii="Book Antiqua" w:hAnsi="Book Antiqua"/>
          <w:color w:val="000000"/>
          <w:sz w:val="24"/>
          <w:lang w:val="en-US"/>
        </w:rPr>
        <w:t>: 451-455 [PMID: 24226773 DOI: 10.1038/nature12726]</w:t>
      </w:r>
    </w:p>
    <w:p w:rsidR="0088677A" w:rsidRPr="0049621B" w:rsidRDefault="0088677A" w:rsidP="0049621B">
      <w:pPr>
        <w:pStyle w:val="EndNoteBibliography"/>
        <w:adjustRightInd w:val="0"/>
        <w:snapToGrid w:val="0"/>
        <w:spacing w:line="360" w:lineRule="auto"/>
        <w:rPr>
          <w:rFonts w:ascii="Book Antiqua" w:hAnsi="Book Antiqua"/>
          <w:color w:val="000000"/>
          <w:sz w:val="24"/>
          <w:lang w:val="en-US"/>
        </w:rPr>
      </w:pPr>
      <w:r w:rsidRPr="0049621B">
        <w:rPr>
          <w:rFonts w:ascii="Book Antiqua" w:hAnsi="Book Antiqua"/>
          <w:color w:val="000000"/>
          <w:sz w:val="24"/>
          <w:lang w:val="en-US"/>
        </w:rPr>
        <w:t>6 </w:t>
      </w:r>
      <w:r w:rsidRPr="0049621B">
        <w:rPr>
          <w:rFonts w:ascii="Book Antiqua" w:hAnsi="Book Antiqua"/>
          <w:b/>
          <w:bCs/>
          <w:color w:val="000000"/>
          <w:sz w:val="24"/>
          <w:lang w:val="en-US"/>
        </w:rPr>
        <w:t>Ding S</w:t>
      </w:r>
      <w:r w:rsidRPr="0049621B">
        <w:rPr>
          <w:rFonts w:ascii="Book Antiqua" w:hAnsi="Book Antiqua"/>
          <w:color w:val="000000"/>
          <w:sz w:val="24"/>
          <w:lang w:val="en-US"/>
        </w:rPr>
        <w:t>, Chi MM, Scull BP, Rigby R, Schwerbrock NM, Magness S, Jobin C, Lund PK. High-fat diet: bacteria interactions promote intestinal inflammation which precedes and correlates with obesity and insulin resistance in mouse. </w:t>
      </w:r>
      <w:r w:rsidRPr="0049621B">
        <w:rPr>
          <w:rFonts w:ascii="Book Antiqua" w:hAnsi="Book Antiqua"/>
          <w:i/>
          <w:iCs/>
          <w:color w:val="000000"/>
          <w:sz w:val="24"/>
          <w:lang w:val="en-US"/>
        </w:rPr>
        <w:t>PLoS One</w:t>
      </w:r>
      <w:r w:rsidRPr="0049621B">
        <w:rPr>
          <w:rFonts w:ascii="Book Antiqua" w:hAnsi="Book Antiqua"/>
          <w:color w:val="000000"/>
          <w:sz w:val="24"/>
          <w:lang w:val="en-US"/>
        </w:rPr>
        <w:t> 2010; </w:t>
      </w:r>
      <w:r w:rsidRPr="0049621B">
        <w:rPr>
          <w:rFonts w:ascii="Book Antiqua" w:hAnsi="Book Antiqua"/>
          <w:b/>
          <w:bCs/>
          <w:color w:val="000000"/>
          <w:sz w:val="24"/>
          <w:lang w:val="en-US"/>
        </w:rPr>
        <w:t>5</w:t>
      </w:r>
      <w:r w:rsidRPr="0049621B">
        <w:rPr>
          <w:rFonts w:ascii="Book Antiqua" w:hAnsi="Book Antiqua"/>
          <w:color w:val="000000"/>
          <w:sz w:val="24"/>
          <w:lang w:val="en-US"/>
        </w:rPr>
        <w:t>: e12191 [PMID: 20808947 DOI: 10.1371/journal.pone.0012191]</w:t>
      </w:r>
    </w:p>
    <w:p w:rsidR="0088677A" w:rsidRPr="0049621B" w:rsidRDefault="0088677A" w:rsidP="0049621B">
      <w:pPr>
        <w:pStyle w:val="EndNoteBibliography"/>
        <w:adjustRightInd w:val="0"/>
        <w:snapToGrid w:val="0"/>
        <w:spacing w:line="360" w:lineRule="auto"/>
        <w:rPr>
          <w:rFonts w:ascii="Book Antiqua" w:hAnsi="Book Antiqua"/>
          <w:color w:val="000000"/>
          <w:sz w:val="24"/>
          <w:lang w:val="en-US"/>
        </w:rPr>
      </w:pPr>
      <w:r w:rsidRPr="0049621B">
        <w:rPr>
          <w:rFonts w:ascii="Book Antiqua" w:hAnsi="Book Antiqua"/>
          <w:color w:val="000000"/>
          <w:sz w:val="24"/>
          <w:lang w:val="en-US"/>
        </w:rPr>
        <w:t>7 </w:t>
      </w:r>
      <w:r w:rsidRPr="0049621B">
        <w:rPr>
          <w:rFonts w:ascii="Book Antiqua" w:hAnsi="Book Antiqua"/>
          <w:b/>
          <w:bCs/>
          <w:color w:val="000000"/>
          <w:sz w:val="24"/>
          <w:lang w:val="en-US"/>
        </w:rPr>
        <w:t>Cani PD</w:t>
      </w:r>
      <w:r w:rsidRPr="0049621B">
        <w:rPr>
          <w:rFonts w:ascii="Book Antiqua" w:hAnsi="Book Antiqua"/>
          <w:color w:val="000000"/>
          <w:sz w:val="24"/>
          <w:lang w:val="en-US"/>
        </w:rPr>
        <w:t>, Neyrinck AM, Fava F, Knauf C, Burcelin RG, Tuohy KM, Gibson GR, Delzenne NM. Selective increases of bifidobacteria in gut microflora improve high-fat-diet-induced diabetes in mice through a mechanism associated with endotoxaemia. </w:t>
      </w:r>
      <w:r w:rsidRPr="0049621B">
        <w:rPr>
          <w:rFonts w:ascii="Book Antiqua" w:hAnsi="Book Antiqua"/>
          <w:i/>
          <w:iCs/>
          <w:color w:val="000000"/>
          <w:sz w:val="24"/>
          <w:lang w:val="en-US"/>
        </w:rPr>
        <w:t>Diabetologia</w:t>
      </w:r>
      <w:r w:rsidRPr="0049621B">
        <w:rPr>
          <w:rFonts w:ascii="Book Antiqua" w:hAnsi="Book Antiqua"/>
          <w:color w:val="000000"/>
          <w:sz w:val="24"/>
          <w:lang w:val="en-US"/>
        </w:rPr>
        <w:t> 2007; </w:t>
      </w:r>
      <w:r w:rsidRPr="0049621B">
        <w:rPr>
          <w:rFonts w:ascii="Book Antiqua" w:hAnsi="Book Antiqua"/>
          <w:b/>
          <w:bCs/>
          <w:color w:val="000000"/>
          <w:sz w:val="24"/>
          <w:lang w:val="en-US"/>
        </w:rPr>
        <w:t>50</w:t>
      </w:r>
      <w:r w:rsidRPr="0049621B">
        <w:rPr>
          <w:rFonts w:ascii="Book Antiqua" w:hAnsi="Book Antiqua"/>
          <w:color w:val="000000"/>
          <w:sz w:val="24"/>
          <w:lang w:val="en-US"/>
        </w:rPr>
        <w:t>: 2374-2383 [PMID: 17823788 DOI: 10.1007/s00125-007-0791-0]</w:t>
      </w:r>
    </w:p>
    <w:p w:rsidR="0088677A" w:rsidRPr="0049621B" w:rsidRDefault="0088677A" w:rsidP="0049621B">
      <w:pPr>
        <w:pStyle w:val="EndNoteBibliography"/>
        <w:adjustRightInd w:val="0"/>
        <w:snapToGrid w:val="0"/>
        <w:spacing w:line="360" w:lineRule="auto"/>
        <w:rPr>
          <w:rFonts w:ascii="Book Antiqua" w:hAnsi="Book Antiqua"/>
          <w:color w:val="000000"/>
          <w:sz w:val="24"/>
          <w:lang w:val="en-US"/>
        </w:rPr>
      </w:pPr>
      <w:r w:rsidRPr="0049621B">
        <w:rPr>
          <w:rFonts w:ascii="Book Antiqua" w:hAnsi="Book Antiqua"/>
          <w:color w:val="000000"/>
          <w:sz w:val="24"/>
          <w:lang w:val="en-US"/>
        </w:rPr>
        <w:t>8 </w:t>
      </w:r>
      <w:r w:rsidRPr="0049621B">
        <w:rPr>
          <w:rFonts w:ascii="Book Antiqua" w:hAnsi="Book Antiqua"/>
          <w:b/>
          <w:bCs/>
          <w:color w:val="000000"/>
          <w:sz w:val="24"/>
          <w:lang w:val="en-US"/>
        </w:rPr>
        <w:t>Geurts L</w:t>
      </w:r>
      <w:r w:rsidRPr="0049621B">
        <w:rPr>
          <w:rFonts w:ascii="Book Antiqua" w:hAnsi="Book Antiqua"/>
          <w:color w:val="000000"/>
          <w:sz w:val="24"/>
          <w:lang w:val="en-US"/>
        </w:rPr>
        <w:t>, Lazarevic V, Derrien M, Everard A, Van Roye M, Knauf C, Valet P, Girard M, Muccioli GG, François P, de Vos WM, Schrenzel J, Delzenne NM, Cani PD. Altered gut microbiota and endocannabinoid system tone in obese and diabetic leptin-resistant mice: impact on apelin regulation in adipose tissue. </w:t>
      </w:r>
      <w:r w:rsidRPr="0049621B">
        <w:rPr>
          <w:rFonts w:ascii="Book Antiqua" w:hAnsi="Book Antiqua"/>
          <w:i/>
          <w:iCs/>
          <w:color w:val="000000"/>
          <w:sz w:val="24"/>
          <w:lang w:val="en-US"/>
        </w:rPr>
        <w:t>Front Microbiol</w:t>
      </w:r>
      <w:r w:rsidRPr="0049621B">
        <w:rPr>
          <w:rFonts w:ascii="Book Antiqua" w:hAnsi="Book Antiqua"/>
          <w:color w:val="000000"/>
          <w:sz w:val="24"/>
          <w:lang w:val="en-US"/>
        </w:rPr>
        <w:t> 2011; </w:t>
      </w:r>
      <w:r w:rsidRPr="0049621B">
        <w:rPr>
          <w:rFonts w:ascii="Book Antiqua" w:hAnsi="Book Antiqua"/>
          <w:b/>
          <w:bCs/>
          <w:color w:val="000000"/>
          <w:sz w:val="24"/>
          <w:lang w:val="en-US"/>
        </w:rPr>
        <w:t>2</w:t>
      </w:r>
      <w:r w:rsidRPr="0049621B">
        <w:rPr>
          <w:rFonts w:ascii="Book Antiqua" w:hAnsi="Book Antiqua"/>
          <w:color w:val="000000"/>
          <w:sz w:val="24"/>
          <w:lang w:val="en-US"/>
        </w:rPr>
        <w:t>: 149 [PMID: 21808634 DOI: 10.3389/fmicb.2011.00149]</w:t>
      </w:r>
    </w:p>
    <w:p w:rsidR="0088677A" w:rsidRPr="0049621B" w:rsidRDefault="0088677A" w:rsidP="0049621B">
      <w:pPr>
        <w:pStyle w:val="EndNoteBibliography"/>
        <w:adjustRightInd w:val="0"/>
        <w:snapToGrid w:val="0"/>
        <w:spacing w:line="360" w:lineRule="auto"/>
        <w:rPr>
          <w:rFonts w:ascii="Book Antiqua" w:hAnsi="Book Antiqua"/>
          <w:color w:val="000000"/>
          <w:sz w:val="24"/>
          <w:lang w:val="en-US"/>
        </w:rPr>
      </w:pPr>
      <w:r w:rsidRPr="0049621B">
        <w:rPr>
          <w:rFonts w:ascii="Book Antiqua" w:hAnsi="Book Antiqua"/>
          <w:color w:val="000000"/>
          <w:sz w:val="24"/>
          <w:lang w:val="en-US"/>
        </w:rPr>
        <w:lastRenderedPageBreak/>
        <w:t>9 </w:t>
      </w:r>
      <w:r w:rsidRPr="0049621B">
        <w:rPr>
          <w:rFonts w:ascii="Book Antiqua" w:hAnsi="Book Antiqua"/>
          <w:b/>
          <w:bCs/>
          <w:color w:val="000000"/>
          <w:sz w:val="24"/>
          <w:lang w:val="en-US"/>
        </w:rPr>
        <w:t>Cani PD</w:t>
      </w:r>
      <w:r w:rsidRPr="0049621B">
        <w:rPr>
          <w:rFonts w:ascii="Book Antiqua" w:hAnsi="Book Antiqua"/>
          <w:color w:val="000000"/>
          <w:sz w:val="24"/>
          <w:lang w:val="en-US"/>
        </w:rPr>
        <w:t>, Neyrinck AM, Maton N, Delzenne NM. Oligofructose promotes satiety in rats fed a high-fat diet: involvement of glucagon-like Peptide-1. </w:t>
      </w:r>
      <w:r w:rsidRPr="0049621B">
        <w:rPr>
          <w:rFonts w:ascii="Book Antiqua" w:hAnsi="Book Antiqua"/>
          <w:i/>
          <w:iCs/>
          <w:color w:val="000000"/>
          <w:sz w:val="24"/>
          <w:lang w:val="en-US"/>
        </w:rPr>
        <w:t>Obes Res</w:t>
      </w:r>
      <w:r w:rsidRPr="0049621B">
        <w:rPr>
          <w:rFonts w:ascii="Book Antiqua" w:hAnsi="Book Antiqua"/>
          <w:color w:val="000000"/>
          <w:sz w:val="24"/>
          <w:lang w:val="en-US"/>
        </w:rPr>
        <w:t> 2005; </w:t>
      </w:r>
      <w:r w:rsidRPr="0049621B">
        <w:rPr>
          <w:rFonts w:ascii="Book Antiqua" w:hAnsi="Book Antiqua"/>
          <w:b/>
          <w:bCs/>
          <w:color w:val="000000"/>
          <w:sz w:val="24"/>
          <w:lang w:val="en-US"/>
        </w:rPr>
        <w:t>13</w:t>
      </w:r>
      <w:r w:rsidRPr="0049621B">
        <w:rPr>
          <w:rFonts w:ascii="Book Antiqua" w:hAnsi="Book Antiqua"/>
          <w:color w:val="000000"/>
          <w:sz w:val="24"/>
          <w:lang w:val="en-US"/>
        </w:rPr>
        <w:t>: 1000-1007 [PMID: 15976142 DOI: 10.1038/oby.2005.117]</w:t>
      </w:r>
    </w:p>
    <w:p w:rsidR="0088677A" w:rsidRPr="0049621B" w:rsidRDefault="0088677A" w:rsidP="0049621B">
      <w:pPr>
        <w:pStyle w:val="EndNoteBibliography"/>
        <w:adjustRightInd w:val="0"/>
        <w:snapToGrid w:val="0"/>
        <w:spacing w:line="360" w:lineRule="auto"/>
        <w:rPr>
          <w:rFonts w:ascii="Book Antiqua" w:hAnsi="Book Antiqua"/>
          <w:color w:val="000000"/>
          <w:sz w:val="24"/>
          <w:lang w:val="en-US"/>
        </w:rPr>
      </w:pPr>
      <w:r w:rsidRPr="0049621B">
        <w:rPr>
          <w:rFonts w:ascii="Book Antiqua" w:hAnsi="Book Antiqua"/>
          <w:color w:val="000000"/>
          <w:sz w:val="24"/>
          <w:lang w:val="en-US"/>
        </w:rPr>
        <w:t>10 </w:t>
      </w:r>
      <w:r w:rsidRPr="0049621B">
        <w:rPr>
          <w:rFonts w:ascii="Book Antiqua" w:hAnsi="Book Antiqua"/>
          <w:b/>
          <w:bCs/>
          <w:color w:val="000000"/>
          <w:sz w:val="24"/>
          <w:lang w:val="en-US"/>
        </w:rPr>
        <w:t>Hildebrandt MA</w:t>
      </w:r>
      <w:r w:rsidRPr="0049621B">
        <w:rPr>
          <w:rFonts w:ascii="Book Antiqua" w:hAnsi="Book Antiqua"/>
          <w:color w:val="000000"/>
          <w:sz w:val="24"/>
          <w:lang w:val="en-US"/>
        </w:rPr>
        <w:t>, Hoffmann C, Sherrill-Mix SA, Keilbaugh SA, Hamady M, Chen YY, Knight R, Ahima RS, Bushman F, Wu GD. High-fat diet determines the composition of the murine gut microbiome independently of obesity. </w:t>
      </w:r>
      <w:r w:rsidRPr="0049621B">
        <w:rPr>
          <w:rFonts w:ascii="Book Antiqua" w:hAnsi="Book Antiqua"/>
          <w:i/>
          <w:iCs/>
          <w:color w:val="000000"/>
          <w:sz w:val="24"/>
          <w:lang w:val="en-US"/>
        </w:rPr>
        <w:t>Gastroenterology</w:t>
      </w:r>
      <w:r w:rsidRPr="0049621B">
        <w:rPr>
          <w:rFonts w:ascii="Book Antiqua" w:hAnsi="Book Antiqua"/>
          <w:color w:val="000000"/>
          <w:sz w:val="24"/>
          <w:lang w:val="en-US"/>
        </w:rPr>
        <w:t> 2009; </w:t>
      </w:r>
      <w:r w:rsidRPr="0049621B">
        <w:rPr>
          <w:rFonts w:ascii="Book Antiqua" w:hAnsi="Book Antiqua"/>
          <w:b/>
          <w:bCs/>
          <w:color w:val="000000"/>
          <w:sz w:val="24"/>
          <w:lang w:val="en-US"/>
        </w:rPr>
        <w:t>137</w:t>
      </w:r>
      <w:r w:rsidRPr="0049621B">
        <w:rPr>
          <w:rFonts w:ascii="Book Antiqua" w:hAnsi="Book Antiqua"/>
          <w:color w:val="000000"/>
          <w:sz w:val="24"/>
          <w:lang w:val="en-US"/>
        </w:rPr>
        <w:t>: 1716-24.e1-2 [PMID: 19706296 DOI: 10.1053/j.gastro.2009.08.042]</w:t>
      </w:r>
    </w:p>
    <w:p w:rsidR="0088677A" w:rsidRPr="0049621B" w:rsidRDefault="0088677A" w:rsidP="0049621B">
      <w:pPr>
        <w:pStyle w:val="EndNoteBibliography"/>
        <w:adjustRightInd w:val="0"/>
        <w:snapToGrid w:val="0"/>
        <w:spacing w:line="360" w:lineRule="auto"/>
        <w:rPr>
          <w:rFonts w:ascii="Book Antiqua" w:hAnsi="Book Antiqua"/>
          <w:color w:val="000000"/>
          <w:sz w:val="24"/>
          <w:lang w:val="en-US"/>
        </w:rPr>
      </w:pPr>
      <w:r w:rsidRPr="0049621B">
        <w:rPr>
          <w:rFonts w:ascii="Book Antiqua" w:hAnsi="Book Antiqua"/>
          <w:color w:val="000000"/>
          <w:sz w:val="24"/>
          <w:lang w:val="en-US"/>
        </w:rPr>
        <w:t>11 </w:t>
      </w:r>
      <w:r w:rsidRPr="0049621B">
        <w:rPr>
          <w:rFonts w:ascii="Book Antiqua" w:hAnsi="Book Antiqua"/>
          <w:b/>
          <w:bCs/>
          <w:color w:val="000000"/>
          <w:sz w:val="24"/>
          <w:lang w:val="en-US"/>
        </w:rPr>
        <w:t>Rune I</w:t>
      </w:r>
      <w:r w:rsidRPr="0049621B">
        <w:rPr>
          <w:rFonts w:ascii="Book Antiqua" w:hAnsi="Book Antiqua"/>
          <w:color w:val="000000"/>
          <w:sz w:val="24"/>
          <w:lang w:val="en-US"/>
        </w:rPr>
        <w:t>, Rolin B, Larsen C, Nielsen DS, Kanter JE, Bornfeldt KE, Lykkesfeldt J, Buschard K, Kirk RK, Christoffersen B, Fels JJ, Josefsen K, Kihl P, Hansen AK. Modulating the Gut Microbiota Improves Glucose Tolerance, Lipoprotein Profile and Atherosclerotic Plaque Development in ApoE-Deficient Mice. </w:t>
      </w:r>
      <w:r w:rsidRPr="0049621B">
        <w:rPr>
          <w:rFonts w:ascii="Book Antiqua" w:hAnsi="Book Antiqua"/>
          <w:i/>
          <w:iCs/>
          <w:color w:val="000000"/>
          <w:sz w:val="24"/>
          <w:lang w:val="en-US"/>
        </w:rPr>
        <w:t>PLoS One</w:t>
      </w:r>
      <w:r w:rsidRPr="0049621B">
        <w:rPr>
          <w:rFonts w:ascii="Book Antiqua" w:hAnsi="Book Antiqua"/>
          <w:color w:val="000000"/>
          <w:sz w:val="24"/>
          <w:lang w:val="en-US"/>
        </w:rPr>
        <w:t> 2016; </w:t>
      </w:r>
      <w:r w:rsidRPr="0049621B">
        <w:rPr>
          <w:rFonts w:ascii="Book Antiqua" w:hAnsi="Book Antiqua"/>
          <w:b/>
          <w:bCs/>
          <w:color w:val="000000"/>
          <w:sz w:val="24"/>
          <w:lang w:val="en-US"/>
        </w:rPr>
        <w:t>11</w:t>
      </w:r>
      <w:r w:rsidRPr="0049621B">
        <w:rPr>
          <w:rFonts w:ascii="Book Antiqua" w:hAnsi="Book Antiqua"/>
          <w:color w:val="000000"/>
          <w:sz w:val="24"/>
          <w:lang w:val="en-US"/>
        </w:rPr>
        <w:t>: e0146439 [PMID: 26799618 DOI: 10.1371/journal.pone.0146439]</w:t>
      </w:r>
    </w:p>
    <w:p w:rsidR="0088677A" w:rsidRPr="0049621B" w:rsidRDefault="0088677A" w:rsidP="0049621B">
      <w:pPr>
        <w:pStyle w:val="EndNoteBibliography"/>
        <w:adjustRightInd w:val="0"/>
        <w:snapToGrid w:val="0"/>
        <w:spacing w:line="360" w:lineRule="auto"/>
        <w:rPr>
          <w:rFonts w:ascii="Book Antiqua" w:hAnsi="Book Antiqua"/>
          <w:color w:val="000000"/>
          <w:sz w:val="24"/>
          <w:lang w:val="en-US"/>
        </w:rPr>
      </w:pPr>
      <w:r w:rsidRPr="0049621B">
        <w:rPr>
          <w:rFonts w:ascii="Book Antiqua" w:hAnsi="Book Antiqua"/>
          <w:color w:val="000000"/>
          <w:sz w:val="24"/>
          <w:lang w:val="en-US"/>
        </w:rPr>
        <w:t>12 </w:t>
      </w:r>
      <w:r w:rsidRPr="0049621B">
        <w:rPr>
          <w:rFonts w:ascii="Book Antiqua" w:hAnsi="Book Antiqua"/>
          <w:b/>
          <w:bCs/>
          <w:color w:val="000000"/>
          <w:sz w:val="24"/>
          <w:lang w:val="en-US"/>
        </w:rPr>
        <w:t>Bladé C</w:t>
      </w:r>
      <w:r w:rsidRPr="0049621B">
        <w:rPr>
          <w:rFonts w:ascii="Book Antiqua" w:hAnsi="Book Antiqua"/>
          <w:color w:val="000000"/>
          <w:sz w:val="24"/>
          <w:lang w:val="en-US"/>
        </w:rPr>
        <w:t>, Arola L, Salvadó MJ. Hypolipidemic effects of proanthocyanidins and their underlying biochemical and molecular mechanisms. </w:t>
      </w:r>
      <w:r w:rsidRPr="0049621B">
        <w:rPr>
          <w:rFonts w:ascii="Book Antiqua" w:hAnsi="Book Antiqua"/>
          <w:i/>
          <w:iCs/>
          <w:color w:val="000000"/>
          <w:sz w:val="24"/>
          <w:lang w:val="en-US"/>
        </w:rPr>
        <w:t>Mol Nutr Food Res</w:t>
      </w:r>
      <w:r w:rsidRPr="0049621B">
        <w:rPr>
          <w:rFonts w:ascii="Book Antiqua" w:hAnsi="Book Antiqua"/>
          <w:color w:val="000000"/>
          <w:sz w:val="24"/>
          <w:lang w:val="en-US"/>
        </w:rPr>
        <w:t> 2010; </w:t>
      </w:r>
      <w:r w:rsidRPr="0049621B">
        <w:rPr>
          <w:rFonts w:ascii="Book Antiqua" w:hAnsi="Book Antiqua"/>
          <w:b/>
          <w:bCs/>
          <w:color w:val="000000"/>
          <w:sz w:val="24"/>
          <w:lang w:val="en-US"/>
        </w:rPr>
        <w:t>54</w:t>
      </w:r>
      <w:r w:rsidRPr="0049621B">
        <w:rPr>
          <w:rFonts w:ascii="Book Antiqua" w:hAnsi="Book Antiqua"/>
          <w:color w:val="000000"/>
          <w:sz w:val="24"/>
          <w:lang w:val="en-US"/>
        </w:rPr>
        <w:t>: 37-59 [PMID: 19960459 DOI: 10.1002/mnfr.200900476]</w:t>
      </w:r>
    </w:p>
    <w:p w:rsidR="0088677A" w:rsidRPr="0049621B" w:rsidRDefault="0088677A" w:rsidP="0049621B">
      <w:pPr>
        <w:pStyle w:val="EndNoteBibliography"/>
        <w:adjustRightInd w:val="0"/>
        <w:snapToGrid w:val="0"/>
        <w:spacing w:line="360" w:lineRule="auto"/>
        <w:rPr>
          <w:rFonts w:ascii="Book Antiqua" w:hAnsi="Book Antiqua"/>
          <w:color w:val="000000"/>
          <w:sz w:val="24"/>
          <w:lang w:val="en-US"/>
        </w:rPr>
      </w:pPr>
      <w:r w:rsidRPr="0049621B">
        <w:rPr>
          <w:rFonts w:ascii="Book Antiqua" w:hAnsi="Book Antiqua"/>
          <w:color w:val="000000"/>
          <w:sz w:val="24"/>
          <w:lang w:val="en-US"/>
        </w:rPr>
        <w:t>13 </w:t>
      </w:r>
      <w:r w:rsidRPr="0049621B">
        <w:rPr>
          <w:rFonts w:ascii="Book Antiqua" w:hAnsi="Book Antiqua"/>
          <w:b/>
          <w:bCs/>
          <w:color w:val="000000"/>
          <w:sz w:val="24"/>
          <w:lang w:val="en-US"/>
        </w:rPr>
        <w:t>Baba S</w:t>
      </w:r>
      <w:r w:rsidRPr="0049621B">
        <w:rPr>
          <w:rFonts w:ascii="Book Antiqua" w:hAnsi="Book Antiqua"/>
          <w:color w:val="000000"/>
          <w:sz w:val="24"/>
          <w:lang w:val="en-US"/>
        </w:rPr>
        <w:t>, Osakabe N, Natsume M, Terao J. Absorption and urinary excretion of procyanidin B2 [epicatechin-(4beta-8)-epicatechin] in rats. </w:t>
      </w:r>
      <w:r w:rsidRPr="0049621B">
        <w:rPr>
          <w:rFonts w:ascii="Book Antiqua" w:hAnsi="Book Antiqua"/>
          <w:i/>
          <w:iCs/>
          <w:color w:val="000000"/>
          <w:sz w:val="24"/>
          <w:lang w:val="en-US"/>
        </w:rPr>
        <w:t>Free Radic Biol Med</w:t>
      </w:r>
      <w:r w:rsidRPr="0049621B">
        <w:rPr>
          <w:rFonts w:ascii="Book Antiqua" w:hAnsi="Book Antiqua"/>
          <w:color w:val="000000"/>
          <w:sz w:val="24"/>
          <w:lang w:val="en-US"/>
        </w:rPr>
        <w:t> 2002; </w:t>
      </w:r>
      <w:r w:rsidRPr="0049621B">
        <w:rPr>
          <w:rFonts w:ascii="Book Antiqua" w:hAnsi="Book Antiqua"/>
          <w:b/>
          <w:bCs/>
          <w:color w:val="000000"/>
          <w:sz w:val="24"/>
          <w:lang w:val="en-US"/>
        </w:rPr>
        <w:t>33</w:t>
      </w:r>
      <w:r w:rsidRPr="0049621B">
        <w:rPr>
          <w:rFonts w:ascii="Book Antiqua" w:hAnsi="Book Antiqua"/>
          <w:color w:val="000000"/>
          <w:sz w:val="24"/>
          <w:lang w:val="en-US"/>
        </w:rPr>
        <w:t>: 142-148 [PMID: 12086692 DOI: 10.1016/S0891-5849(02)00871-7]</w:t>
      </w:r>
    </w:p>
    <w:p w:rsidR="0088677A" w:rsidRPr="0049621B" w:rsidRDefault="0088677A" w:rsidP="0049621B">
      <w:pPr>
        <w:pStyle w:val="EndNoteBibliography"/>
        <w:adjustRightInd w:val="0"/>
        <w:snapToGrid w:val="0"/>
        <w:spacing w:line="360" w:lineRule="auto"/>
        <w:rPr>
          <w:rFonts w:ascii="Book Antiqua" w:hAnsi="Book Antiqua"/>
          <w:color w:val="000000"/>
          <w:sz w:val="24"/>
          <w:lang w:val="en-US"/>
        </w:rPr>
      </w:pPr>
      <w:r w:rsidRPr="0049621B">
        <w:rPr>
          <w:rFonts w:ascii="Book Antiqua" w:hAnsi="Book Antiqua"/>
          <w:color w:val="000000"/>
          <w:sz w:val="24"/>
          <w:lang w:val="en-US"/>
        </w:rPr>
        <w:t>14 </w:t>
      </w:r>
      <w:r w:rsidRPr="0049621B">
        <w:rPr>
          <w:rFonts w:ascii="Book Antiqua" w:hAnsi="Book Antiqua"/>
          <w:b/>
          <w:bCs/>
          <w:color w:val="000000"/>
          <w:sz w:val="24"/>
          <w:lang w:val="en-US"/>
        </w:rPr>
        <w:t>Sano A</w:t>
      </w:r>
      <w:r w:rsidRPr="0049621B">
        <w:rPr>
          <w:rFonts w:ascii="Book Antiqua" w:hAnsi="Book Antiqua"/>
          <w:color w:val="000000"/>
          <w:sz w:val="24"/>
          <w:lang w:val="en-US"/>
        </w:rPr>
        <w:t>, Yamakoshi J, Tokutake S, Tobe K, Kubota Y, Kikuchi M. Procyanidin B1 is detected in human serum after intake of proanthocyanidin-rich grape seed extract. </w:t>
      </w:r>
      <w:r w:rsidRPr="0049621B">
        <w:rPr>
          <w:rFonts w:ascii="Book Antiqua" w:hAnsi="Book Antiqua"/>
          <w:i/>
          <w:iCs/>
          <w:color w:val="000000"/>
          <w:sz w:val="24"/>
          <w:lang w:val="en-US"/>
        </w:rPr>
        <w:t>Biosci Biotechnol Biochem</w:t>
      </w:r>
      <w:r w:rsidRPr="0049621B">
        <w:rPr>
          <w:rFonts w:ascii="Book Antiqua" w:hAnsi="Book Antiqua"/>
          <w:color w:val="000000"/>
          <w:sz w:val="24"/>
          <w:lang w:val="en-US"/>
        </w:rPr>
        <w:t> 2003; </w:t>
      </w:r>
      <w:r w:rsidRPr="0049621B">
        <w:rPr>
          <w:rFonts w:ascii="Book Antiqua" w:hAnsi="Book Antiqua"/>
          <w:b/>
          <w:bCs/>
          <w:color w:val="000000"/>
          <w:sz w:val="24"/>
          <w:lang w:val="en-US"/>
        </w:rPr>
        <w:t>67</w:t>
      </w:r>
      <w:r w:rsidRPr="0049621B">
        <w:rPr>
          <w:rFonts w:ascii="Book Antiqua" w:hAnsi="Book Antiqua"/>
          <w:color w:val="000000"/>
          <w:sz w:val="24"/>
          <w:lang w:val="en-US"/>
        </w:rPr>
        <w:t>: 1140-1143 [PMID: 12834296 DOI: 10.1271/bbb.67.1140]</w:t>
      </w:r>
    </w:p>
    <w:p w:rsidR="0088677A" w:rsidRPr="0049621B" w:rsidRDefault="0088677A" w:rsidP="0049621B">
      <w:pPr>
        <w:pStyle w:val="EndNoteBibliography"/>
        <w:adjustRightInd w:val="0"/>
        <w:snapToGrid w:val="0"/>
        <w:spacing w:line="360" w:lineRule="auto"/>
        <w:rPr>
          <w:rFonts w:ascii="Book Antiqua" w:hAnsi="Book Antiqua"/>
          <w:color w:val="000000"/>
          <w:sz w:val="24"/>
          <w:lang w:val="en-US"/>
        </w:rPr>
      </w:pPr>
      <w:r w:rsidRPr="0049621B">
        <w:rPr>
          <w:rFonts w:ascii="Book Antiqua" w:hAnsi="Book Antiqua"/>
          <w:color w:val="000000"/>
          <w:sz w:val="24"/>
          <w:lang w:val="en-US"/>
        </w:rPr>
        <w:t>15 </w:t>
      </w:r>
      <w:r w:rsidRPr="0049621B">
        <w:rPr>
          <w:rFonts w:ascii="Book Antiqua" w:hAnsi="Book Antiqua"/>
          <w:b/>
          <w:bCs/>
          <w:color w:val="000000"/>
          <w:sz w:val="24"/>
          <w:lang w:val="en-US"/>
        </w:rPr>
        <w:t>Williams AR</w:t>
      </w:r>
      <w:r w:rsidRPr="0049621B">
        <w:rPr>
          <w:rFonts w:ascii="Book Antiqua" w:hAnsi="Book Antiqua"/>
          <w:color w:val="000000"/>
          <w:sz w:val="24"/>
          <w:lang w:val="en-US"/>
        </w:rPr>
        <w:t>, Krych L, Fauzan Ahmad H, Nejsum P, Skovgaard K, Nielsen DS, Thamsborg SM. A polyphenol-enriched diet and Ascaris suum infection modulate mucosal immune responses and gut microbiota composition in pigs. </w:t>
      </w:r>
      <w:r w:rsidRPr="0049621B">
        <w:rPr>
          <w:rFonts w:ascii="Book Antiqua" w:hAnsi="Book Antiqua"/>
          <w:i/>
          <w:iCs/>
          <w:color w:val="000000"/>
          <w:sz w:val="24"/>
          <w:lang w:val="en-US"/>
        </w:rPr>
        <w:t>PLoS One</w:t>
      </w:r>
      <w:r w:rsidRPr="0049621B">
        <w:rPr>
          <w:rFonts w:ascii="Book Antiqua" w:hAnsi="Book Antiqua"/>
          <w:color w:val="000000"/>
          <w:sz w:val="24"/>
          <w:lang w:val="en-US"/>
        </w:rPr>
        <w:t> 2017; </w:t>
      </w:r>
      <w:r w:rsidRPr="0049621B">
        <w:rPr>
          <w:rFonts w:ascii="Book Antiqua" w:hAnsi="Book Antiqua"/>
          <w:b/>
          <w:bCs/>
          <w:color w:val="000000"/>
          <w:sz w:val="24"/>
          <w:lang w:val="en-US"/>
        </w:rPr>
        <w:t>12</w:t>
      </w:r>
      <w:r w:rsidRPr="0049621B">
        <w:rPr>
          <w:rFonts w:ascii="Book Antiqua" w:hAnsi="Book Antiqua"/>
          <w:color w:val="000000"/>
          <w:sz w:val="24"/>
          <w:lang w:val="en-US"/>
        </w:rPr>
        <w:t>: e0186546 [PMID: 29028844 DOI: 10.1371/journal.pone.0186546]</w:t>
      </w:r>
    </w:p>
    <w:p w:rsidR="0088677A" w:rsidRPr="0049621B" w:rsidRDefault="0088677A" w:rsidP="0049621B">
      <w:pPr>
        <w:pStyle w:val="EndNoteBibliography"/>
        <w:adjustRightInd w:val="0"/>
        <w:snapToGrid w:val="0"/>
        <w:spacing w:line="360" w:lineRule="auto"/>
        <w:rPr>
          <w:rFonts w:ascii="Book Antiqua" w:hAnsi="Book Antiqua"/>
          <w:color w:val="000000"/>
          <w:sz w:val="24"/>
          <w:lang w:val="en-US"/>
        </w:rPr>
      </w:pPr>
      <w:r w:rsidRPr="0049621B">
        <w:rPr>
          <w:rFonts w:ascii="Book Antiqua" w:hAnsi="Book Antiqua"/>
          <w:color w:val="000000"/>
          <w:sz w:val="24"/>
          <w:lang w:val="en-US"/>
        </w:rPr>
        <w:t>16 </w:t>
      </w:r>
      <w:r w:rsidRPr="0049621B">
        <w:rPr>
          <w:rFonts w:ascii="Book Antiqua" w:hAnsi="Book Antiqua"/>
          <w:b/>
          <w:bCs/>
          <w:color w:val="000000"/>
          <w:sz w:val="24"/>
          <w:lang w:val="en-US"/>
        </w:rPr>
        <w:t>Luo F</w:t>
      </w:r>
      <w:r w:rsidRPr="0049621B">
        <w:rPr>
          <w:rFonts w:ascii="Book Antiqua" w:hAnsi="Book Antiqua"/>
          <w:color w:val="000000"/>
          <w:sz w:val="24"/>
          <w:lang w:val="en-US"/>
        </w:rPr>
        <w:t>, Guo Y, Ruan GY, Long JK, Zheng XL, Xia Q, Zhao SP, Peng DQ, Fang ZF, Li XP. Combined use of metformin and atorvastatin attenuates atherosclerosis in rabbits fed a high-cholesterol diet. </w:t>
      </w:r>
      <w:r w:rsidRPr="0049621B">
        <w:rPr>
          <w:rFonts w:ascii="Book Antiqua" w:hAnsi="Book Antiqua"/>
          <w:i/>
          <w:iCs/>
          <w:color w:val="000000"/>
          <w:sz w:val="24"/>
          <w:lang w:val="en-US"/>
        </w:rPr>
        <w:t>Sci Rep</w:t>
      </w:r>
      <w:r w:rsidRPr="0049621B">
        <w:rPr>
          <w:rFonts w:ascii="Book Antiqua" w:hAnsi="Book Antiqua"/>
          <w:color w:val="000000"/>
          <w:sz w:val="24"/>
          <w:lang w:val="en-US"/>
        </w:rPr>
        <w:t> 2017; </w:t>
      </w:r>
      <w:r w:rsidRPr="0049621B">
        <w:rPr>
          <w:rFonts w:ascii="Book Antiqua" w:hAnsi="Book Antiqua"/>
          <w:b/>
          <w:bCs/>
          <w:color w:val="000000"/>
          <w:sz w:val="24"/>
          <w:lang w:val="en-US"/>
        </w:rPr>
        <w:t>7</w:t>
      </w:r>
      <w:r w:rsidRPr="0049621B">
        <w:rPr>
          <w:rFonts w:ascii="Book Antiqua" w:hAnsi="Book Antiqua"/>
          <w:color w:val="000000"/>
          <w:sz w:val="24"/>
          <w:lang w:val="en-US"/>
        </w:rPr>
        <w:t>: 2169 [PMID: 28526884 DOI: 10.1038/s41598-017-02080-w]</w:t>
      </w:r>
    </w:p>
    <w:p w:rsidR="0088677A" w:rsidRPr="0049621B" w:rsidRDefault="0088677A" w:rsidP="0049621B">
      <w:pPr>
        <w:pStyle w:val="EndNoteBibliography"/>
        <w:adjustRightInd w:val="0"/>
        <w:snapToGrid w:val="0"/>
        <w:spacing w:line="360" w:lineRule="auto"/>
        <w:rPr>
          <w:rFonts w:ascii="Book Antiqua" w:hAnsi="Book Antiqua"/>
          <w:color w:val="000000"/>
          <w:sz w:val="24"/>
          <w:lang w:val="en-US"/>
        </w:rPr>
      </w:pPr>
      <w:r w:rsidRPr="0049621B">
        <w:rPr>
          <w:rFonts w:ascii="Book Antiqua" w:hAnsi="Book Antiqua"/>
          <w:color w:val="000000"/>
          <w:sz w:val="24"/>
          <w:lang w:val="en-US"/>
        </w:rPr>
        <w:lastRenderedPageBreak/>
        <w:t>17 </w:t>
      </w:r>
      <w:r w:rsidRPr="0049621B">
        <w:rPr>
          <w:rFonts w:ascii="Book Antiqua" w:hAnsi="Book Antiqua"/>
          <w:b/>
          <w:bCs/>
          <w:color w:val="000000"/>
          <w:sz w:val="24"/>
          <w:lang w:val="en-US"/>
        </w:rPr>
        <w:t>Wang L</w:t>
      </w:r>
      <w:r w:rsidRPr="0049621B">
        <w:rPr>
          <w:rFonts w:ascii="Book Antiqua" w:hAnsi="Book Antiqua"/>
          <w:color w:val="000000"/>
          <w:sz w:val="24"/>
          <w:lang w:val="en-US"/>
        </w:rPr>
        <w:t>, Yamashita Y, Komeda S, Saito A, Ashida H. Absorption, metabolism, distribution and faecal excretion of B-type procyanidin oligomers in mice after a single oral administration of black soybean seed coat extract. </w:t>
      </w:r>
      <w:r w:rsidRPr="0049621B">
        <w:rPr>
          <w:rFonts w:ascii="Book Antiqua" w:hAnsi="Book Antiqua"/>
          <w:i/>
          <w:iCs/>
          <w:color w:val="000000"/>
          <w:sz w:val="24"/>
          <w:lang w:val="en-US"/>
        </w:rPr>
        <w:t>Food Funct</w:t>
      </w:r>
      <w:r w:rsidRPr="0049621B">
        <w:rPr>
          <w:rFonts w:ascii="Book Antiqua" w:hAnsi="Book Antiqua"/>
          <w:color w:val="000000"/>
          <w:sz w:val="24"/>
          <w:lang w:val="en-US"/>
        </w:rPr>
        <w:t> 2018; </w:t>
      </w:r>
      <w:r w:rsidRPr="0049621B">
        <w:rPr>
          <w:rFonts w:ascii="Book Antiqua" w:hAnsi="Book Antiqua"/>
          <w:b/>
          <w:bCs/>
          <w:color w:val="000000"/>
          <w:sz w:val="24"/>
          <w:lang w:val="en-US"/>
        </w:rPr>
        <w:t>9</w:t>
      </w:r>
      <w:r w:rsidRPr="0049621B">
        <w:rPr>
          <w:rFonts w:ascii="Book Antiqua" w:hAnsi="Book Antiqua"/>
          <w:color w:val="000000"/>
          <w:sz w:val="24"/>
          <w:lang w:val="en-US"/>
        </w:rPr>
        <w:t>: 5362-5370 [PMID: 30264089 DOI: 10.1039/c8fo00852c]</w:t>
      </w:r>
    </w:p>
    <w:p w:rsidR="0088677A" w:rsidRPr="0049621B" w:rsidRDefault="0088677A" w:rsidP="0049621B">
      <w:pPr>
        <w:pStyle w:val="EndNoteBibliography"/>
        <w:adjustRightInd w:val="0"/>
        <w:snapToGrid w:val="0"/>
        <w:spacing w:line="360" w:lineRule="auto"/>
        <w:rPr>
          <w:rFonts w:ascii="Book Antiqua" w:hAnsi="Book Antiqua"/>
          <w:color w:val="000000"/>
          <w:sz w:val="24"/>
          <w:lang w:val="en-US"/>
        </w:rPr>
      </w:pPr>
      <w:r w:rsidRPr="0049621B">
        <w:rPr>
          <w:rFonts w:ascii="Book Antiqua" w:hAnsi="Book Antiqua"/>
          <w:color w:val="000000"/>
          <w:sz w:val="24"/>
          <w:lang w:val="en-US"/>
        </w:rPr>
        <w:t>18 </w:t>
      </w:r>
      <w:r w:rsidRPr="0049621B">
        <w:rPr>
          <w:rFonts w:ascii="Book Antiqua" w:hAnsi="Book Antiqua"/>
          <w:b/>
          <w:bCs/>
          <w:color w:val="000000"/>
          <w:sz w:val="24"/>
          <w:lang w:val="en-US"/>
        </w:rPr>
        <w:t>Cardona F</w:t>
      </w:r>
      <w:r w:rsidRPr="0049621B">
        <w:rPr>
          <w:rFonts w:ascii="Book Antiqua" w:hAnsi="Book Antiqua"/>
          <w:color w:val="000000"/>
          <w:sz w:val="24"/>
          <w:lang w:val="en-US"/>
        </w:rPr>
        <w:t>, Andrés-Lacueva C, Tulipani S, Tinahones FJ, Queipo-Ortuño MI. Benefits of polyphenols on gut microbiota and implications in human health. </w:t>
      </w:r>
      <w:r w:rsidRPr="0049621B">
        <w:rPr>
          <w:rFonts w:ascii="Book Antiqua" w:hAnsi="Book Antiqua"/>
          <w:i/>
          <w:iCs/>
          <w:color w:val="000000"/>
          <w:sz w:val="24"/>
          <w:lang w:val="en-US"/>
        </w:rPr>
        <w:t>J Nutr Biochem</w:t>
      </w:r>
      <w:r w:rsidRPr="0049621B">
        <w:rPr>
          <w:rFonts w:ascii="Book Antiqua" w:hAnsi="Book Antiqua"/>
          <w:color w:val="000000"/>
          <w:sz w:val="24"/>
          <w:lang w:val="en-US"/>
        </w:rPr>
        <w:t>2013; </w:t>
      </w:r>
      <w:r w:rsidRPr="0049621B">
        <w:rPr>
          <w:rFonts w:ascii="Book Antiqua" w:hAnsi="Book Antiqua"/>
          <w:b/>
          <w:bCs/>
          <w:color w:val="000000"/>
          <w:sz w:val="24"/>
          <w:lang w:val="en-US"/>
        </w:rPr>
        <w:t>24</w:t>
      </w:r>
      <w:r w:rsidRPr="0049621B">
        <w:rPr>
          <w:rFonts w:ascii="Book Antiqua" w:hAnsi="Book Antiqua"/>
          <w:color w:val="000000"/>
          <w:sz w:val="24"/>
          <w:lang w:val="en-US"/>
        </w:rPr>
        <w:t>: 1415-1422 [PMID: 23849454 DOI: 10.1016/j.jnutbio.2013.05.001]</w:t>
      </w:r>
    </w:p>
    <w:p w:rsidR="0088677A" w:rsidRPr="0049621B" w:rsidRDefault="0088677A" w:rsidP="0049621B">
      <w:pPr>
        <w:pStyle w:val="EndNoteBibliography"/>
        <w:adjustRightInd w:val="0"/>
        <w:snapToGrid w:val="0"/>
        <w:spacing w:line="360" w:lineRule="auto"/>
        <w:rPr>
          <w:rFonts w:ascii="Book Antiqua" w:hAnsi="Book Antiqua"/>
          <w:color w:val="000000"/>
          <w:sz w:val="24"/>
          <w:lang w:val="en-US"/>
        </w:rPr>
      </w:pPr>
      <w:r w:rsidRPr="0049621B">
        <w:rPr>
          <w:rFonts w:ascii="Book Antiqua" w:hAnsi="Book Antiqua"/>
          <w:color w:val="000000"/>
          <w:sz w:val="24"/>
          <w:lang w:val="en-US"/>
        </w:rPr>
        <w:t>19 </w:t>
      </w:r>
      <w:r w:rsidRPr="0049621B">
        <w:rPr>
          <w:rFonts w:ascii="Book Antiqua" w:hAnsi="Book Antiqua"/>
          <w:b/>
          <w:bCs/>
          <w:color w:val="000000"/>
          <w:sz w:val="24"/>
          <w:lang w:val="en-US"/>
        </w:rPr>
        <w:t>Eshak ES</w:t>
      </w:r>
      <w:r w:rsidRPr="0049621B">
        <w:rPr>
          <w:rFonts w:ascii="Book Antiqua" w:hAnsi="Book Antiqua"/>
          <w:color w:val="000000"/>
          <w:sz w:val="24"/>
          <w:lang w:val="en-US"/>
        </w:rPr>
        <w:t>, Iso H, Mizoue T, Inoue M, Noda M, Tsugane S. Soft drink, 100% fruit juice, and vegetable juice intakes and risk of diabetes mellitus. </w:t>
      </w:r>
      <w:r w:rsidRPr="0049621B">
        <w:rPr>
          <w:rFonts w:ascii="Book Antiqua" w:hAnsi="Book Antiqua"/>
          <w:i/>
          <w:iCs/>
          <w:color w:val="000000"/>
          <w:sz w:val="24"/>
          <w:lang w:val="en-US"/>
        </w:rPr>
        <w:t>Clin Nutr</w:t>
      </w:r>
      <w:r w:rsidRPr="0049621B">
        <w:rPr>
          <w:rFonts w:ascii="Book Antiqua" w:hAnsi="Book Antiqua"/>
          <w:color w:val="000000"/>
          <w:sz w:val="24"/>
          <w:lang w:val="en-US"/>
        </w:rPr>
        <w:t> 2013; </w:t>
      </w:r>
      <w:r w:rsidRPr="0049621B">
        <w:rPr>
          <w:rFonts w:ascii="Book Antiqua" w:hAnsi="Book Antiqua"/>
          <w:b/>
          <w:bCs/>
          <w:color w:val="000000"/>
          <w:sz w:val="24"/>
          <w:lang w:val="en-US"/>
        </w:rPr>
        <w:t>32</w:t>
      </w:r>
      <w:r w:rsidRPr="0049621B">
        <w:rPr>
          <w:rFonts w:ascii="Book Antiqua" w:hAnsi="Book Antiqua"/>
          <w:color w:val="000000"/>
          <w:sz w:val="24"/>
          <w:lang w:val="en-US"/>
        </w:rPr>
        <w:t>: 300-308 [PMID: 22917499 DOI: 10.1016/j.clnu.2012.08.003]</w:t>
      </w:r>
    </w:p>
    <w:p w:rsidR="0088677A" w:rsidRPr="0049621B" w:rsidRDefault="0088677A" w:rsidP="0049621B">
      <w:pPr>
        <w:pStyle w:val="EndNoteBibliography"/>
        <w:adjustRightInd w:val="0"/>
        <w:snapToGrid w:val="0"/>
        <w:spacing w:line="360" w:lineRule="auto"/>
        <w:rPr>
          <w:rFonts w:ascii="Book Antiqua" w:hAnsi="Book Antiqua"/>
          <w:color w:val="000000"/>
          <w:sz w:val="24"/>
          <w:lang w:val="en-US"/>
        </w:rPr>
      </w:pPr>
      <w:r w:rsidRPr="0049621B">
        <w:rPr>
          <w:rFonts w:ascii="Book Antiqua" w:hAnsi="Book Antiqua"/>
          <w:color w:val="000000"/>
          <w:sz w:val="24"/>
          <w:lang w:val="en-US"/>
        </w:rPr>
        <w:t>20 </w:t>
      </w:r>
      <w:r w:rsidRPr="0049621B">
        <w:rPr>
          <w:rFonts w:ascii="Book Antiqua" w:hAnsi="Book Antiqua"/>
          <w:b/>
          <w:bCs/>
          <w:color w:val="000000"/>
          <w:sz w:val="24"/>
          <w:lang w:val="en-US"/>
        </w:rPr>
        <w:t>Morimoto A</w:t>
      </w:r>
      <w:r w:rsidRPr="0049621B">
        <w:rPr>
          <w:rFonts w:ascii="Book Antiqua" w:hAnsi="Book Antiqua"/>
          <w:color w:val="000000"/>
          <w:sz w:val="24"/>
          <w:lang w:val="en-US"/>
        </w:rPr>
        <w:t>, Ohno Y, Tatsumi Y, Mizuno S, Watanabe S. Effects of healthy dietary pattern and other lifestyle factors on incidence of diabetes in a rural Japanese population. </w:t>
      </w:r>
      <w:r w:rsidRPr="0049621B">
        <w:rPr>
          <w:rFonts w:ascii="Book Antiqua" w:hAnsi="Book Antiqua"/>
          <w:i/>
          <w:iCs/>
          <w:color w:val="000000"/>
          <w:sz w:val="24"/>
          <w:lang w:val="en-US"/>
        </w:rPr>
        <w:t>Asia Pac J Clin Nutr</w:t>
      </w:r>
      <w:r w:rsidRPr="0049621B">
        <w:rPr>
          <w:rFonts w:ascii="Book Antiqua" w:hAnsi="Book Antiqua"/>
          <w:color w:val="000000"/>
          <w:sz w:val="24"/>
          <w:lang w:val="en-US"/>
        </w:rPr>
        <w:t> 2012; </w:t>
      </w:r>
      <w:r w:rsidRPr="0049621B">
        <w:rPr>
          <w:rFonts w:ascii="Book Antiqua" w:hAnsi="Book Antiqua"/>
          <w:b/>
          <w:bCs/>
          <w:color w:val="000000"/>
          <w:sz w:val="24"/>
          <w:lang w:val="en-US"/>
        </w:rPr>
        <w:t>21</w:t>
      </w:r>
      <w:r w:rsidRPr="0049621B">
        <w:rPr>
          <w:rFonts w:ascii="Book Antiqua" w:hAnsi="Book Antiqua"/>
          <w:color w:val="000000"/>
          <w:sz w:val="24"/>
          <w:lang w:val="en-US"/>
        </w:rPr>
        <w:t>: 601-608 [PMID: 23017319]</w:t>
      </w:r>
    </w:p>
    <w:p w:rsidR="0088677A" w:rsidRPr="0049621B" w:rsidRDefault="0088677A" w:rsidP="0049621B">
      <w:pPr>
        <w:pStyle w:val="EndNoteBibliography"/>
        <w:adjustRightInd w:val="0"/>
        <w:snapToGrid w:val="0"/>
        <w:spacing w:line="360" w:lineRule="auto"/>
        <w:rPr>
          <w:rFonts w:ascii="Book Antiqua" w:hAnsi="Book Antiqua"/>
          <w:color w:val="000000"/>
          <w:sz w:val="24"/>
          <w:lang w:val="en-US"/>
        </w:rPr>
      </w:pPr>
      <w:r w:rsidRPr="0049621B">
        <w:rPr>
          <w:rFonts w:ascii="Book Antiqua" w:hAnsi="Book Antiqua"/>
          <w:color w:val="000000"/>
          <w:sz w:val="24"/>
          <w:lang w:val="en-US"/>
        </w:rPr>
        <w:t>21 </w:t>
      </w:r>
      <w:r w:rsidRPr="0049621B">
        <w:rPr>
          <w:rFonts w:ascii="Book Antiqua" w:hAnsi="Book Antiqua"/>
          <w:b/>
          <w:bCs/>
          <w:color w:val="000000"/>
          <w:sz w:val="24"/>
          <w:lang w:val="en-US"/>
        </w:rPr>
        <w:t>Corder R</w:t>
      </w:r>
      <w:r w:rsidRPr="0049621B">
        <w:rPr>
          <w:rFonts w:ascii="Book Antiqua" w:hAnsi="Book Antiqua"/>
          <w:color w:val="000000"/>
          <w:sz w:val="24"/>
          <w:lang w:val="en-US"/>
        </w:rPr>
        <w:t>, Mullen W, Khan NQ, Marks SC, Wood EG, Carrier MJ, Crozier A. Oenology: red wine procyanidins and vascular health. </w:t>
      </w:r>
      <w:r w:rsidRPr="0049621B">
        <w:rPr>
          <w:rFonts w:ascii="Book Antiqua" w:hAnsi="Book Antiqua"/>
          <w:i/>
          <w:iCs/>
          <w:color w:val="000000"/>
          <w:sz w:val="24"/>
          <w:lang w:val="en-US"/>
        </w:rPr>
        <w:t>Nature</w:t>
      </w:r>
      <w:r w:rsidRPr="0049621B">
        <w:rPr>
          <w:rFonts w:ascii="Book Antiqua" w:hAnsi="Book Antiqua"/>
          <w:color w:val="000000"/>
          <w:sz w:val="24"/>
          <w:lang w:val="en-US"/>
        </w:rPr>
        <w:t> 2006; </w:t>
      </w:r>
      <w:r w:rsidRPr="0049621B">
        <w:rPr>
          <w:rFonts w:ascii="Book Antiqua" w:hAnsi="Book Antiqua"/>
          <w:b/>
          <w:bCs/>
          <w:color w:val="000000"/>
          <w:sz w:val="24"/>
          <w:lang w:val="en-US"/>
        </w:rPr>
        <w:t>444</w:t>
      </w:r>
      <w:r w:rsidRPr="0049621B">
        <w:rPr>
          <w:rFonts w:ascii="Book Antiqua" w:hAnsi="Book Antiqua"/>
          <w:color w:val="000000"/>
          <w:sz w:val="24"/>
          <w:lang w:val="en-US"/>
        </w:rPr>
        <w:t>: 566 [PMID: 17136085 DOI: 10.1038/444566a]</w:t>
      </w:r>
    </w:p>
    <w:p w:rsidR="0088677A" w:rsidRPr="0049621B" w:rsidRDefault="0088677A" w:rsidP="0049621B">
      <w:pPr>
        <w:pStyle w:val="EndNoteBibliography"/>
        <w:adjustRightInd w:val="0"/>
        <w:snapToGrid w:val="0"/>
        <w:spacing w:line="360" w:lineRule="auto"/>
        <w:rPr>
          <w:rFonts w:ascii="Book Antiqua" w:hAnsi="Book Antiqua"/>
          <w:color w:val="000000"/>
          <w:sz w:val="24"/>
          <w:lang w:val="en-US"/>
        </w:rPr>
      </w:pPr>
      <w:r w:rsidRPr="0049621B">
        <w:rPr>
          <w:rFonts w:ascii="Book Antiqua" w:hAnsi="Book Antiqua"/>
          <w:color w:val="000000"/>
          <w:sz w:val="24"/>
          <w:lang w:val="en-US"/>
        </w:rPr>
        <w:t>22 </w:t>
      </w:r>
      <w:r w:rsidRPr="0049621B">
        <w:rPr>
          <w:rFonts w:ascii="Book Antiqua" w:hAnsi="Book Antiqua"/>
          <w:b/>
          <w:bCs/>
          <w:color w:val="000000"/>
          <w:sz w:val="24"/>
          <w:lang w:val="en-US"/>
        </w:rPr>
        <w:t>Bellentani S</w:t>
      </w:r>
      <w:r w:rsidRPr="0049621B">
        <w:rPr>
          <w:rFonts w:ascii="Book Antiqua" w:hAnsi="Book Antiqua"/>
          <w:color w:val="000000"/>
          <w:sz w:val="24"/>
          <w:lang w:val="en-US"/>
        </w:rPr>
        <w:t>, Saccoccio G, Masutti F, Crocè LS, Brandi G, Sasso F, Cristanini G, Tiribelli C. Prevalence of and risk factors for hepatic steatosis in Northern Italy. </w:t>
      </w:r>
      <w:r w:rsidRPr="0049621B">
        <w:rPr>
          <w:rFonts w:ascii="Book Antiqua" w:hAnsi="Book Antiqua"/>
          <w:i/>
          <w:iCs/>
          <w:color w:val="000000"/>
          <w:sz w:val="24"/>
          <w:lang w:val="en-US"/>
        </w:rPr>
        <w:t>Ann Intern Med</w:t>
      </w:r>
      <w:r w:rsidRPr="0049621B">
        <w:rPr>
          <w:rFonts w:ascii="Book Antiqua" w:hAnsi="Book Antiqua"/>
          <w:color w:val="000000"/>
          <w:sz w:val="24"/>
          <w:lang w:val="en-US"/>
        </w:rPr>
        <w:t> 2000; </w:t>
      </w:r>
      <w:r w:rsidRPr="0049621B">
        <w:rPr>
          <w:rFonts w:ascii="Book Antiqua" w:hAnsi="Book Antiqua"/>
          <w:b/>
          <w:bCs/>
          <w:color w:val="000000"/>
          <w:sz w:val="24"/>
          <w:lang w:val="en-US"/>
        </w:rPr>
        <w:t>132</w:t>
      </w:r>
      <w:r w:rsidRPr="0049621B">
        <w:rPr>
          <w:rFonts w:ascii="Book Antiqua" w:hAnsi="Book Antiqua"/>
          <w:color w:val="000000"/>
          <w:sz w:val="24"/>
          <w:lang w:val="en-US"/>
        </w:rPr>
        <w:t>: 112-117 [PMID: 10644271 DOI: 10.7326/0003-4819-132-2-200001180-00004]</w:t>
      </w:r>
    </w:p>
    <w:p w:rsidR="0088677A" w:rsidRPr="0049621B" w:rsidRDefault="0088677A" w:rsidP="0049621B">
      <w:pPr>
        <w:pStyle w:val="EndNoteBibliography"/>
        <w:adjustRightInd w:val="0"/>
        <w:snapToGrid w:val="0"/>
        <w:spacing w:line="360" w:lineRule="auto"/>
        <w:rPr>
          <w:rFonts w:ascii="Book Antiqua" w:hAnsi="Book Antiqua"/>
          <w:color w:val="000000"/>
          <w:sz w:val="24"/>
          <w:lang w:val="en-US"/>
        </w:rPr>
      </w:pPr>
      <w:r w:rsidRPr="0049621B">
        <w:rPr>
          <w:rFonts w:ascii="Book Antiqua" w:hAnsi="Book Antiqua"/>
          <w:color w:val="000000"/>
          <w:sz w:val="24"/>
          <w:lang w:val="en-US"/>
        </w:rPr>
        <w:t>23 </w:t>
      </w:r>
      <w:r w:rsidRPr="0049621B">
        <w:rPr>
          <w:rFonts w:ascii="Book Antiqua" w:hAnsi="Book Antiqua"/>
          <w:b/>
          <w:bCs/>
          <w:color w:val="000000"/>
          <w:sz w:val="24"/>
          <w:lang w:val="en-US"/>
        </w:rPr>
        <w:t>Choudhury J</w:t>
      </w:r>
      <w:r w:rsidRPr="0049621B">
        <w:rPr>
          <w:rFonts w:ascii="Book Antiqua" w:hAnsi="Book Antiqua"/>
          <w:color w:val="000000"/>
          <w:sz w:val="24"/>
          <w:lang w:val="en-US"/>
        </w:rPr>
        <w:t>, Sanyal AJ. Insulin resistance and the pathogenesis of nonalcoholic fatty liver disease. </w:t>
      </w:r>
      <w:r w:rsidRPr="0049621B">
        <w:rPr>
          <w:rFonts w:ascii="Book Antiqua" w:hAnsi="Book Antiqua"/>
          <w:i/>
          <w:iCs/>
          <w:color w:val="000000"/>
          <w:sz w:val="24"/>
          <w:lang w:val="en-US"/>
        </w:rPr>
        <w:t>Clin Liver Dis</w:t>
      </w:r>
      <w:r w:rsidRPr="0049621B">
        <w:rPr>
          <w:rFonts w:ascii="Book Antiqua" w:hAnsi="Book Antiqua"/>
          <w:color w:val="000000"/>
          <w:sz w:val="24"/>
          <w:lang w:val="en-US"/>
        </w:rPr>
        <w:t> 2004; </w:t>
      </w:r>
      <w:r w:rsidRPr="0049621B">
        <w:rPr>
          <w:rFonts w:ascii="Book Antiqua" w:hAnsi="Book Antiqua"/>
          <w:b/>
          <w:bCs/>
          <w:color w:val="000000"/>
          <w:sz w:val="24"/>
          <w:lang w:val="en-US"/>
        </w:rPr>
        <w:t>8</w:t>
      </w:r>
      <w:r w:rsidRPr="0049621B">
        <w:rPr>
          <w:rFonts w:ascii="Book Antiqua" w:hAnsi="Book Antiqua"/>
          <w:color w:val="000000"/>
          <w:sz w:val="24"/>
          <w:lang w:val="en-US"/>
        </w:rPr>
        <w:t>: 575-594, ix [PMID: 15331065 DOI: 10.1016/j.cld.2004.04.006]</w:t>
      </w:r>
    </w:p>
    <w:p w:rsidR="0088677A" w:rsidRPr="0049621B" w:rsidRDefault="0088677A" w:rsidP="0049621B">
      <w:pPr>
        <w:pStyle w:val="EndNoteBibliography"/>
        <w:adjustRightInd w:val="0"/>
        <w:snapToGrid w:val="0"/>
        <w:spacing w:line="360" w:lineRule="auto"/>
        <w:rPr>
          <w:rFonts w:ascii="Book Antiqua" w:hAnsi="Book Antiqua"/>
          <w:color w:val="000000"/>
          <w:sz w:val="24"/>
          <w:lang w:val="en-US"/>
        </w:rPr>
      </w:pPr>
      <w:r w:rsidRPr="0049621B">
        <w:rPr>
          <w:rFonts w:ascii="Book Antiqua" w:hAnsi="Book Antiqua"/>
          <w:color w:val="000000"/>
          <w:sz w:val="24"/>
          <w:lang w:val="en-US"/>
        </w:rPr>
        <w:t>24 </w:t>
      </w:r>
      <w:r w:rsidRPr="0049621B">
        <w:rPr>
          <w:rFonts w:ascii="Book Antiqua" w:hAnsi="Book Antiqua"/>
          <w:b/>
          <w:bCs/>
          <w:color w:val="000000"/>
          <w:sz w:val="24"/>
          <w:lang w:val="en-US"/>
        </w:rPr>
        <w:t>Del Bas JM</w:t>
      </w:r>
      <w:r w:rsidRPr="0049621B">
        <w:rPr>
          <w:rFonts w:ascii="Book Antiqua" w:hAnsi="Book Antiqua"/>
          <w:color w:val="000000"/>
          <w:sz w:val="24"/>
          <w:lang w:val="en-US"/>
        </w:rPr>
        <w:t>, Ricketts ML, Baiges I, Quesada H, Ardevol A, Salvadó MJ, Pujadas G, Blay M, Arola L, Bladé C, Moore DD, Fernandez-Larrea J. Dietary procyanidins lower triglyceride levels signaling through the nuclear receptor small heterodimer partner. </w:t>
      </w:r>
      <w:r w:rsidRPr="0049621B">
        <w:rPr>
          <w:rFonts w:ascii="Book Antiqua" w:hAnsi="Book Antiqua"/>
          <w:i/>
          <w:iCs/>
          <w:color w:val="000000"/>
          <w:sz w:val="24"/>
          <w:lang w:val="en-US"/>
        </w:rPr>
        <w:t>Mol Nutr Food Res</w:t>
      </w:r>
      <w:r w:rsidRPr="0049621B">
        <w:rPr>
          <w:rFonts w:ascii="Book Antiqua" w:hAnsi="Book Antiqua"/>
          <w:color w:val="000000"/>
          <w:sz w:val="24"/>
          <w:lang w:val="en-US"/>
        </w:rPr>
        <w:t> 2008; </w:t>
      </w:r>
      <w:r w:rsidRPr="0049621B">
        <w:rPr>
          <w:rFonts w:ascii="Book Antiqua" w:hAnsi="Book Antiqua"/>
          <w:b/>
          <w:bCs/>
          <w:color w:val="000000"/>
          <w:sz w:val="24"/>
          <w:lang w:val="en-US"/>
        </w:rPr>
        <w:t>52</w:t>
      </w:r>
      <w:r w:rsidRPr="0049621B">
        <w:rPr>
          <w:rFonts w:ascii="Book Antiqua" w:hAnsi="Book Antiqua"/>
          <w:color w:val="000000"/>
          <w:sz w:val="24"/>
          <w:lang w:val="en-US"/>
        </w:rPr>
        <w:t>: 1172-1181 [PMID: 18720348 DOI: 10.1002/mnfr.200800054]</w:t>
      </w:r>
    </w:p>
    <w:p w:rsidR="0088677A" w:rsidRPr="0049621B" w:rsidRDefault="0088677A" w:rsidP="0049621B">
      <w:pPr>
        <w:pStyle w:val="EndNoteBibliography"/>
        <w:adjustRightInd w:val="0"/>
        <w:snapToGrid w:val="0"/>
        <w:spacing w:line="360" w:lineRule="auto"/>
        <w:rPr>
          <w:rFonts w:ascii="Book Antiqua" w:hAnsi="Book Antiqua"/>
          <w:color w:val="000000"/>
          <w:sz w:val="24"/>
          <w:lang w:val="en-US"/>
        </w:rPr>
      </w:pPr>
      <w:r w:rsidRPr="0049621B">
        <w:rPr>
          <w:rFonts w:ascii="Book Antiqua" w:hAnsi="Book Antiqua"/>
          <w:color w:val="000000"/>
          <w:sz w:val="24"/>
          <w:lang w:val="en-US"/>
        </w:rPr>
        <w:t>25 </w:t>
      </w:r>
      <w:r w:rsidRPr="0049621B">
        <w:rPr>
          <w:rFonts w:ascii="Book Antiqua" w:hAnsi="Book Antiqua"/>
          <w:b/>
          <w:bCs/>
          <w:color w:val="000000"/>
          <w:sz w:val="24"/>
          <w:lang w:val="en-US"/>
        </w:rPr>
        <w:t>Ley RE</w:t>
      </w:r>
      <w:r w:rsidRPr="0049621B">
        <w:rPr>
          <w:rFonts w:ascii="Book Antiqua" w:hAnsi="Book Antiqua"/>
          <w:color w:val="000000"/>
          <w:sz w:val="24"/>
          <w:lang w:val="en-US"/>
        </w:rPr>
        <w:t>, Bäckhed F, Turnbaugh P, Lozupone CA, Knight RD, Gordon JI. Obesity alters gut microbial ecology. </w:t>
      </w:r>
      <w:r w:rsidR="00F55E19" w:rsidRPr="0049621B">
        <w:rPr>
          <w:rFonts w:ascii="Book Antiqua" w:hAnsi="Book Antiqua"/>
          <w:i/>
          <w:iCs/>
          <w:color w:val="000000"/>
          <w:sz w:val="24"/>
          <w:lang w:val="en-US"/>
        </w:rPr>
        <w:t>Proc Natl Acad Sci US</w:t>
      </w:r>
      <w:r w:rsidRPr="0049621B">
        <w:rPr>
          <w:rFonts w:ascii="Book Antiqua" w:hAnsi="Book Antiqua"/>
          <w:i/>
          <w:iCs/>
          <w:color w:val="000000"/>
          <w:sz w:val="24"/>
          <w:lang w:val="en-US"/>
        </w:rPr>
        <w:t>A</w:t>
      </w:r>
      <w:r w:rsidRPr="0049621B">
        <w:rPr>
          <w:rFonts w:ascii="Book Antiqua" w:hAnsi="Book Antiqua"/>
          <w:color w:val="000000"/>
          <w:sz w:val="24"/>
          <w:lang w:val="en-US"/>
        </w:rPr>
        <w:t> 2005; </w:t>
      </w:r>
      <w:r w:rsidRPr="0049621B">
        <w:rPr>
          <w:rFonts w:ascii="Book Antiqua" w:hAnsi="Book Antiqua"/>
          <w:b/>
          <w:bCs/>
          <w:color w:val="000000"/>
          <w:sz w:val="24"/>
          <w:lang w:val="en-US"/>
        </w:rPr>
        <w:t>102</w:t>
      </w:r>
      <w:r w:rsidRPr="0049621B">
        <w:rPr>
          <w:rFonts w:ascii="Book Antiqua" w:hAnsi="Book Antiqua"/>
          <w:color w:val="000000"/>
          <w:sz w:val="24"/>
          <w:lang w:val="en-US"/>
        </w:rPr>
        <w:t>: 11070-11075 [PMID: 16033867 DOI: 10.1073/pnas.0504978102]</w:t>
      </w:r>
    </w:p>
    <w:p w:rsidR="0088677A" w:rsidRPr="0049621B" w:rsidRDefault="0088677A" w:rsidP="0049621B">
      <w:pPr>
        <w:pStyle w:val="EndNoteBibliography"/>
        <w:adjustRightInd w:val="0"/>
        <w:snapToGrid w:val="0"/>
        <w:spacing w:line="360" w:lineRule="auto"/>
        <w:rPr>
          <w:rFonts w:ascii="Book Antiqua" w:hAnsi="Book Antiqua"/>
          <w:color w:val="000000"/>
          <w:sz w:val="24"/>
          <w:lang w:val="en-US"/>
        </w:rPr>
      </w:pPr>
      <w:r w:rsidRPr="0049621B">
        <w:rPr>
          <w:rFonts w:ascii="Book Antiqua" w:hAnsi="Book Antiqua"/>
          <w:color w:val="000000"/>
          <w:sz w:val="24"/>
          <w:lang w:val="en-US"/>
        </w:rPr>
        <w:lastRenderedPageBreak/>
        <w:t>26 </w:t>
      </w:r>
      <w:r w:rsidRPr="0049621B">
        <w:rPr>
          <w:rFonts w:ascii="Book Antiqua" w:hAnsi="Book Antiqua"/>
          <w:b/>
          <w:bCs/>
          <w:color w:val="000000"/>
          <w:sz w:val="24"/>
          <w:lang w:val="en-US"/>
        </w:rPr>
        <w:t>Ciubotaru I</w:t>
      </w:r>
      <w:r w:rsidRPr="0049621B">
        <w:rPr>
          <w:rFonts w:ascii="Book Antiqua" w:hAnsi="Book Antiqua"/>
          <w:color w:val="000000"/>
          <w:sz w:val="24"/>
          <w:lang w:val="en-US"/>
        </w:rPr>
        <w:t>, Green SJ, Kukreja S, Barengolts E. Significant differences in fecal microbiota are associated with various stages of glucose tolerance in African American male veterans. </w:t>
      </w:r>
      <w:r w:rsidRPr="0049621B">
        <w:rPr>
          <w:rFonts w:ascii="Book Antiqua" w:hAnsi="Book Antiqua"/>
          <w:i/>
          <w:iCs/>
          <w:color w:val="000000"/>
          <w:sz w:val="24"/>
          <w:lang w:val="en-US"/>
        </w:rPr>
        <w:t>Transl Res</w:t>
      </w:r>
      <w:r w:rsidRPr="0049621B">
        <w:rPr>
          <w:rFonts w:ascii="Book Antiqua" w:hAnsi="Book Antiqua"/>
          <w:color w:val="000000"/>
          <w:sz w:val="24"/>
          <w:lang w:val="en-US"/>
        </w:rPr>
        <w:t> 2015; </w:t>
      </w:r>
      <w:r w:rsidRPr="0049621B">
        <w:rPr>
          <w:rFonts w:ascii="Book Antiqua" w:hAnsi="Book Antiqua"/>
          <w:b/>
          <w:bCs/>
          <w:color w:val="000000"/>
          <w:sz w:val="24"/>
          <w:lang w:val="en-US"/>
        </w:rPr>
        <w:t>166</w:t>
      </w:r>
      <w:r w:rsidRPr="0049621B">
        <w:rPr>
          <w:rFonts w:ascii="Book Antiqua" w:hAnsi="Book Antiqua"/>
          <w:color w:val="000000"/>
          <w:sz w:val="24"/>
          <w:lang w:val="en-US"/>
        </w:rPr>
        <w:t>: 401-411 [PMID: 26209747 DOI: 10.1016/j.trsl.2015.06.015]</w:t>
      </w:r>
    </w:p>
    <w:p w:rsidR="0088677A" w:rsidRPr="0049621B" w:rsidRDefault="0088677A" w:rsidP="0049621B">
      <w:pPr>
        <w:pStyle w:val="EndNoteBibliography"/>
        <w:adjustRightInd w:val="0"/>
        <w:snapToGrid w:val="0"/>
        <w:spacing w:line="360" w:lineRule="auto"/>
        <w:rPr>
          <w:rFonts w:ascii="Book Antiqua" w:hAnsi="Book Antiqua"/>
          <w:color w:val="000000"/>
          <w:sz w:val="24"/>
          <w:lang w:val="en-US"/>
        </w:rPr>
      </w:pPr>
      <w:r w:rsidRPr="0049621B">
        <w:rPr>
          <w:rFonts w:ascii="Book Antiqua" w:hAnsi="Book Antiqua"/>
          <w:color w:val="000000"/>
          <w:sz w:val="24"/>
          <w:lang w:val="en-US"/>
        </w:rPr>
        <w:t>27 </w:t>
      </w:r>
      <w:r w:rsidRPr="0049621B">
        <w:rPr>
          <w:rFonts w:ascii="Book Antiqua" w:hAnsi="Book Antiqua"/>
          <w:b/>
          <w:bCs/>
          <w:color w:val="000000"/>
          <w:sz w:val="24"/>
          <w:lang w:val="en-US"/>
        </w:rPr>
        <w:t>Rabot S</w:t>
      </w:r>
      <w:r w:rsidRPr="0049621B">
        <w:rPr>
          <w:rFonts w:ascii="Book Antiqua" w:hAnsi="Book Antiqua"/>
          <w:color w:val="000000"/>
          <w:sz w:val="24"/>
          <w:lang w:val="en-US"/>
        </w:rPr>
        <w:t>, Membrez M, Blancher F, Berger B, Moine D, Krause L, Bibiloni R, Bruneau A, Gérard P, Siddharth J, Lauber CL, Chou CJ. High fat diet drives obesity regardless the composition of gut microbiota in mice. </w:t>
      </w:r>
      <w:r w:rsidRPr="0049621B">
        <w:rPr>
          <w:rFonts w:ascii="Book Antiqua" w:hAnsi="Book Antiqua"/>
          <w:i/>
          <w:iCs/>
          <w:color w:val="000000"/>
          <w:sz w:val="24"/>
          <w:lang w:val="en-US"/>
        </w:rPr>
        <w:t>Sci Rep</w:t>
      </w:r>
      <w:r w:rsidRPr="0049621B">
        <w:rPr>
          <w:rFonts w:ascii="Book Antiqua" w:hAnsi="Book Antiqua"/>
          <w:color w:val="000000"/>
          <w:sz w:val="24"/>
          <w:lang w:val="en-US"/>
        </w:rPr>
        <w:t> 2016; </w:t>
      </w:r>
      <w:r w:rsidRPr="0049621B">
        <w:rPr>
          <w:rFonts w:ascii="Book Antiqua" w:hAnsi="Book Antiqua"/>
          <w:b/>
          <w:bCs/>
          <w:color w:val="000000"/>
          <w:sz w:val="24"/>
          <w:lang w:val="en-US"/>
        </w:rPr>
        <w:t>6</w:t>
      </w:r>
      <w:r w:rsidRPr="0049621B">
        <w:rPr>
          <w:rFonts w:ascii="Book Antiqua" w:hAnsi="Book Antiqua"/>
          <w:color w:val="000000"/>
          <w:sz w:val="24"/>
          <w:lang w:val="en-US"/>
        </w:rPr>
        <w:t>: 32484 [PMID: 27577172 DOI: 10.1038/srep32484]</w:t>
      </w:r>
    </w:p>
    <w:p w:rsidR="0088677A" w:rsidRPr="0049621B" w:rsidRDefault="0088677A" w:rsidP="0049621B">
      <w:pPr>
        <w:pStyle w:val="EndNoteBibliography"/>
        <w:adjustRightInd w:val="0"/>
        <w:snapToGrid w:val="0"/>
        <w:spacing w:line="360" w:lineRule="auto"/>
        <w:rPr>
          <w:rFonts w:ascii="Book Antiqua" w:hAnsi="Book Antiqua"/>
          <w:color w:val="000000"/>
          <w:sz w:val="24"/>
          <w:lang w:val="en-US"/>
        </w:rPr>
      </w:pPr>
      <w:r w:rsidRPr="0049621B">
        <w:rPr>
          <w:rFonts w:ascii="Book Antiqua" w:hAnsi="Book Antiqua"/>
          <w:color w:val="000000"/>
          <w:sz w:val="24"/>
          <w:lang w:val="en-US"/>
        </w:rPr>
        <w:t>28 </w:t>
      </w:r>
      <w:r w:rsidRPr="0049621B">
        <w:rPr>
          <w:rFonts w:ascii="Book Antiqua" w:hAnsi="Book Antiqua"/>
          <w:b/>
          <w:bCs/>
          <w:color w:val="000000"/>
          <w:sz w:val="24"/>
          <w:lang w:val="en-US"/>
        </w:rPr>
        <w:t>Anhê FF</w:t>
      </w:r>
      <w:r w:rsidRPr="0049621B">
        <w:rPr>
          <w:rFonts w:ascii="Book Antiqua" w:hAnsi="Book Antiqua"/>
          <w:color w:val="000000"/>
          <w:sz w:val="24"/>
          <w:lang w:val="en-US"/>
        </w:rPr>
        <w:t>, Nachbar RT, Varin TV, Vilela V, Dudonné S, Pilon G, Fournier M, Lecours MA, Desjardins Y, Roy D, Levy E, Marette A. A polyphenol-rich cranberry extract reverses insulin resistance and hepatic steatosis independently of body weight loss. </w:t>
      </w:r>
      <w:r w:rsidRPr="0049621B">
        <w:rPr>
          <w:rFonts w:ascii="Book Antiqua" w:hAnsi="Book Antiqua"/>
          <w:i/>
          <w:iCs/>
          <w:color w:val="000000"/>
          <w:sz w:val="24"/>
          <w:lang w:val="en-US"/>
        </w:rPr>
        <w:t>Mol Metab</w:t>
      </w:r>
      <w:r w:rsidRPr="0049621B">
        <w:rPr>
          <w:rFonts w:ascii="Book Antiqua" w:hAnsi="Book Antiqua"/>
          <w:color w:val="000000"/>
          <w:sz w:val="24"/>
          <w:lang w:val="en-US"/>
        </w:rPr>
        <w:t> 2017; </w:t>
      </w:r>
      <w:r w:rsidRPr="0049621B">
        <w:rPr>
          <w:rFonts w:ascii="Book Antiqua" w:hAnsi="Book Antiqua"/>
          <w:b/>
          <w:bCs/>
          <w:color w:val="000000"/>
          <w:sz w:val="24"/>
          <w:lang w:val="en-US"/>
        </w:rPr>
        <w:t>6</w:t>
      </w:r>
      <w:r w:rsidRPr="0049621B">
        <w:rPr>
          <w:rFonts w:ascii="Book Antiqua" w:hAnsi="Book Antiqua"/>
          <w:color w:val="000000"/>
          <w:sz w:val="24"/>
          <w:lang w:val="en-US"/>
        </w:rPr>
        <w:t>: 1563-1573 [PMID: 29107524 DOI: 10.1016/j.molmet.2017.10.003]</w:t>
      </w:r>
    </w:p>
    <w:p w:rsidR="0088677A" w:rsidRPr="0049621B" w:rsidRDefault="0088677A" w:rsidP="0049621B">
      <w:pPr>
        <w:pStyle w:val="EndNoteBibliography"/>
        <w:adjustRightInd w:val="0"/>
        <w:snapToGrid w:val="0"/>
        <w:spacing w:line="360" w:lineRule="auto"/>
        <w:rPr>
          <w:rFonts w:ascii="Book Antiqua" w:hAnsi="Book Antiqua"/>
          <w:color w:val="000000"/>
          <w:sz w:val="24"/>
          <w:lang w:val="en-US"/>
        </w:rPr>
      </w:pPr>
      <w:r w:rsidRPr="0049621B">
        <w:rPr>
          <w:rFonts w:ascii="Book Antiqua" w:hAnsi="Book Antiqua"/>
          <w:color w:val="000000"/>
          <w:sz w:val="24"/>
          <w:lang w:val="en-US"/>
        </w:rPr>
        <w:t>29 </w:t>
      </w:r>
      <w:r w:rsidRPr="0049621B">
        <w:rPr>
          <w:rFonts w:ascii="Book Antiqua" w:hAnsi="Book Antiqua"/>
          <w:b/>
          <w:bCs/>
          <w:color w:val="000000"/>
          <w:sz w:val="24"/>
          <w:lang w:val="en-US"/>
        </w:rPr>
        <w:t>Belzer C</w:t>
      </w:r>
      <w:r w:rsidRPr="0049621B">
        <w:rPr>
          <w:rFonts w:ascii="Book Antiqua" w:hAnsi="Book Antiqua"/>
          <w:color w:val="000000"/>
          <w:sz w:val="24"/>
          <w:lang w:val="en-US"/>
        </w:rPr>
        <w:t>, de Vos WM. Microbes inside--from diversity to function: the case of Akkermansia. </w:t>
      </w:r>
      <w:r w:rsidRPr="0049621B">
        <w:rPr>
          <w:rFonts w:ascii="Book Antiqua" w:hAnsi="Book Antiqua"/>
          <w:i/>
          <w:iCs/>
          <w:color w:val="000000"/>
          <w:sz w:val="24"/>
          <w:lang w:val="en-US"/>
        </w:rPr>
        <w:t>ISME J</w:t>
      </w:r>
      <w:r w:rsidRPr="0049621B">
        <w:rPr>
          <w:rFonts w:ascii="Book Antiqua" w:hAnsi="Book Antiqua"/>
          <w:color w:val="000000"/>
          <w:sz w:val="24"/>
          <w:lang w:val="en-US"/>
        </w:rPr>
        <w:t> 2012; </w:t>
      </w:r>
      <w:r w:rsidRPr="0049621B">
        <w:rPr>
          <w:rFonts w:ascii="Book Antiqua" w:hAnsi="Book Antiqua"/>
          <w:b/>
          <w:bCs/>
          <w:color w:val="000000"/>
          <w:sz w:val="24"/>
          <w:lang w:val="en-US"/>
        </w:rPr>
        <w:t>6</w:t>
      </w:r>
      <w:r w:rsidRPr="0049621B">
        <w:rPr>
          <w:rFonts w:ascii="Book Antiqua" w:hAnsi="Book Antiqua"/>
          <w:color w:val="000000"/>
          <w:sz w:val="24"/>
          <w:lang w:val="en-US"/>
        </w:rPr>
        <w:t>: 1449-1458 [PMID: 22437156 DOI: 10.1038/ismej.2012.6]</w:t>
      </w:r>
    </w:p>
    <w:p w:rsidR="0088677A" w:rsidRPr="0049621B" w:rsidRDefault="0088677A" w:rsidP="0049621B">
      <w:pPr>
        <w:pStyle w:val="EndNoteBibliography"/>
        <w:adjustRightInd w:val="0"/>
        <w:snapToGrid w:val="0"/>
        <w:spacing w:line="360" w:lineRule="auto"/>
        <w:rPr>
          <w:rFonts w:ascii="Book Antiqua" w:hAnsi="Book Antiqua"/>
          <w:color w:val="000000"/>
          <w:sz w:val="24"/>
          <w:lang w:val="en-US"/>
        </w:rPr>
      </w:pPr>
      <w:r w:rsidRPr="0049621B">
        <w:rPr>
          <w:rFonts w:ascii="Book Antiqua" w:hAnsi="Book Antiqua"/>
          <w:color w:val="000000"/>
          <w:sz w:val="24"/>
          <w:lang w:val="en-US"/>
        </w:rPr>
        <w:t>30 </w:t>
      </w:r>
      <w:r w:rsidRPr="0049621B">
        <w:rPr>
          <w:rFonts w:ascii="Book Antiqua" w:hAnsi="Book Antiqua"/>
          <w:b/>
          <w:bCs/>
          <w:color w:val="000000"/>
          <w:sz w:val="24"/>
          <w:lang w:val="en-US"/>
        </w:rPr>
        <w:t>Chen ML</w:t>
      </w:r>
      <w:r w:rsidRPr="0049621B">
        <w:rPr>
          <w:rFonts w:ascii="Book Antiqua" w:hAnsi="Book Antiqua"/>
          <w:color w:val="000000"/>
          <w:sz w:val="24"/>
          <w:lang w:val="en-US"/>
        </w:rPr>
        <w:t>, Yi L, Zhang Y, Zhou X, Ran L, Yang J, Zhu JD, Zhang QY, Mi MT. Resveratrol Attenuates Trimethylamine-N-Oxide (TMAO)-Induced Atherosclerosis by Regulating TMAO Synthesis and Bile Acid Metabolism via Remodeling of the Gut Microbiota. </w:t>
      </w:r>
      <w:r w:rsidRPr="0049621B">
        <w:rPr>
          <w:rFonts w:ascii="Book Antiqua" w:hAnsi="Book Antiqua"/>
          <w:i/>
          <w:iCs/>
          <w:color w:val="000000"/>
          <w:sz w:val="24"/>
          <w:lang w:val="en-US"/>
        </w:rPr>
        <w:t>MBio</w:t>
      </w:r>
      <w:r w:rsidRPr="0049621B">
        <w:rPr>
          <w:rFonts w:ascii="Book Antiqua" w:hAnsi="Book Antiqua"/>
          <w:color w:val="000000"/>
          <w:sz w:val="24"/>
          <w:lang w:val="en-US"/>
        </w:rPr>
        <w:t> 2016; </w:t>
      </w:r>
      <w:r w:rsidRPr="0049621B">
        <w:rPr>
          <w:rFonts w:ascii="Book Antiqua" w:hAnsi="Book Antiqua"/>
          <w:b/>
          <w:bCs/>
          <w:color w:val="000000"/>
          <w:sz w:val="24"/>
          <w:lang w:val="en-US"/>
        </w:rPr>
        <w:t>7</w:t>
      </w:r>
      <w:r w:rsidRPr="0049621B">
        <w:rPr>
          <w:rFonts w:ascii="Book Antiqua" w:hAnsi="Book Antiqua"/>
          <w:color w:val="000000"/>
          <w:sz w:val="24"/>
          <w:lang w:val="en-US"/>
        </w:rPr>
        <w:t>: e02210-e02215 [PMID: 27048804 DOI: 10.1128/mBio.02210-15]</w:t>
      </w:r>
    </w:p>
    <w:p w:rsidR="0088677A" w:rsidRPr="0049621B" w:rsidRDefault="0088677A" w:rsidP="0049621B">
      <w:pPr>
        <w:pStyle w:val="EndNoteBibliography"/>
        <w:adjustRightInd w:val="0"/>
        <w:snapToGrid w:val="0"/>
        <w:spacing w:line="360" w:lineRule="auto"/>
        <w:rPr>
          <w:rFonts w:ascii="Book Antiqua" w:hAnsi="Book Antiqua"/>
          <w:color w:val="000000"/>
          <w:sz w:val="24"/>
          <w:lang w:val="en-US"/>
        </w:rPr>
      </w:pPr>
      <w:r w:rsidRPr="0049621B">
        <w:rPr>
          <w:rFonts w:ascii="Book Antiqua" w:hAnsi="Book Antiqua"/>
          <w:color w:val="000000"/>
          <w:sz w:val="24"/>
          <w:lang w:val="en-US"/>
        </w:rPr>
        <w:t>31 </w:t>
      </w:r>
      <w:r w:rsidRPr="0049621B">
        <w:rPr>
          <w:rFonts w:ascii="Book Antiqua" w:hAnsi="Book Antiqua"/>
          <w:b/>
          <w:bCs/>
          <w:color w:val="000000"/>
          <w:sz w:val="24"/>
          <w:lang w:val="en-US"/>
        </w:rPr>
        <w:t>Gariani K</w:t>
      </w:r>
      <w:r w:rsidRPr="0049621B">
        <w:rPr>
          <w:rFonts w:ascii="Book Antiqua" w:hAnsi="Book Antiqua"/>
          <w:color w:val="000000"/>
          <w:sz w:val="24"/>
          <w:lang w:val="en-US"/>
        </w:rPr>
        <w:t>, Philippe J, Jornayvaz FR. Non-alcoholic fatty liver disease and insulin resistance: from bench to bedside. </w:t>
      </w:r>
      <w:r w:rsidRPr="0049621B">
        <w:rPr>
          <w:rFonts w:ascii="Book Antiqua" w:hAnsi="Book Antiqua"/>
          <w:i/>
          <w:iCs/>
          <w:color w:val="000000"/>
          <w:sz w:val="24"/>
          <w:lang w:val="en-US"/>
        </w:rPr>
        <w:t>Diabetes Metab</w:t>
      </w:r>
      <w:r w:rsidRPr="0049621B">
        <w:rPr>
          <w:rFonts w:ascii="Book Antiqua" w:hAnsi="Book Antiqua"/>
          <w:color w:val="000000"/>
          <w:sz w:val="24"/>
          <w:lang w:val="en-US"/>
        </w:rPr>
        <w:t> 2013; </w:t>
      </w:r>
      <w:r w:rsidRPr="0049621B">
        <w:rPr>
          <w:rFonts w:ascii="Book Antiqua" w:hAnsi="Book Antiqua"/>
          <w:b/>
          <w:bCs/>
          <w:color w:val="000000"/>
          <w:sz w:val="24"/>
          <w:lang w:val="en-US"/>
        </w:rPr>
        <w:t>39</w:t>
      </w:r>
      <w:r w:rsidRPr="0049621B">
        <w:rPr>
          <w:rFonts w:ascii="Book Antiqua" w:hAnsi="Book Antiqua"/>
          <w:color w:val="000000"/>
          <w:sz w:val="24"/>
          <w:lang w:val="en-US"/>
        </w:rPr>
        <w:t>: 16-26 [PMID: 23266468 DOI: 10.1016/j.diabet.2012.11.002]</w:t>
      </w:r>
    </w:p>
    <w:p w:rsidR="00F55E19" w:rsidRPr="0049621B" w:rsidRDefault="00F55E19" w:rsidP="0049621B">
      <w:pPr>
        <w:snapToGrid w:val="0"/>
        <w:spacing w:line="360" w:lineRule="auto"/>
        <w:jc w:val="right"/>
        <w:rPr>
          <w:rFonts w:ascii="Book Antiqua" w:hAnsi="Book Antiqua"/>
          <w:b/>
          <w:bCs/>
          <w:sz w:val="24"/>
        </w:rPr>
      </w:pPr>
      <w:bookmarkStart w:id="32" w:name="OLE_LINK148"/>
      <w:bookmarkStart w:id="33" w:name="OLE_LINK320"/>
      <w:bookmarkStart w:id="34" w:name="OLE_LINK387"/>
      <w:bookmarkStart w:id="35" w:name="OLE_LINK254"/>
      <w:bookmarkStart w:id="36" w:name="OLE_LINK149"/>
      <w:bookmarkStart w:id="37" w:name="OLE_LINK225"/>
      <w:bookmarkStart w:id="38" w:name="OLE_LINK207"/>
      <w:bookmarkStart w:id="39" w:name="OLE_LINK226"/>
      <w:bookmarkStart w:id="40" w:name="OLE_LINK212"/>
      <w:bookmarkStart w:id="41" w:name="OLE_LINK250"/>
      <w:bookmarkStart w:id="42" w:name="OLE_LINK281"/>
      <w:bookmarkStart w:id="43" w:name="OLE_LINK282"/>
      <w:bookmarkStart w:id="44" w:name="OLE_LINK313"/>
      <w:bookmarkStart w:id="45" w:name="OLE_LINK304"/>
      <w:bookmarkStart w:id="46" w:name="OLE_LINK321"/>
      <w:bookmarkStart w:id="47" w:name="OLE_LINK385"/>
      <w:bookmarkStart w:id="48" w:name="OLE_LINK400"/>
      <w:bookmarkStart w:id="49" w:name="OLE_LINK346"/>
      <w:bookmarkStart w:id="50" w:name="OLE_LINK371"/>
      <w:bookmarkStart w:id="51" w:name="OLE_LINK334"/>
      <w:bookmarkStart w:id="52" w:name="OLE_LINK1830"/>
      <w:bookmarkStart w:id="53" w:name="OLE_LINK457"/>
      <w:bookmarkStart w:id="54" w:name="OLE_LINK288"/>
      <w:bookmarkStart w:id="55" w:name="OLE_LINK384"/>
      <w:bookmarkStart w:id="56" w:name="OLE_LINK379"/>
      <w:bookmarkStart w:id="57" w:name="OLE_LINK303"/>
      <w:bookmarkStart w:id="58" w:name="OLE_LINK450"/>
      <w:bookmarkStart w:id="59" w:name="OLE_LINK489"/>
      <w:bookmarkStart w:id="60" w:name="OLE_LINK535"/>
      <w:bookmarkStart w:id="61" w:name="OLE_LINK648"/>
      <w:bookmarkStart w:id="62" w:name="OLE_LINK686"/>
      <w:bookmarkStart w:id="63" w:name="OLE_LINK471"/>
      <w:bookmarkStart w:id="64" w:name="OLE_LINK462"/>
      <w:bookmarkStart w:id="65" w:name="OLE_LINK519"/>
      <w:bookmarkStart w:id="66" w:name="OLE_LINK575"/>
      <w:bookmarkStart w:id="67" w:name="OLE_LINK491"/>
      <w:bookmarkStart w:id="68" w:name="OLE_LINK532"/>
      <w:bookmarkStart w:id="69" w:name="OLE_LINK572"/>
      <w:bookmarkStart w:id="70" w:name="OLE_LINK574"/>
      <w:bookmarkStart w:id="71" w:name="OLE_LINK480"/>
      <w:bookmarkStart w:id="72" w:name="OLE_LINK567"/>
      <w:bookmarkStart w:id="73" w:name="OLE_LINK2700"/>
      <w:bookmarkStart w:id="74" w:name="OLE_LINK581"/>
      <w:bookmarkStart w:id="75" w:name="OLE_LINK639"/>
      <w:bookmarkStart w:id="76" w:name="OLE_LINK688"/>
      <w:bookmarkStart w:id="77" w:name="OLE_LINK722"/>
      <w:bookmarkStart w:id="78" w:name="OLE_LINK542"/>
      <w:bookmarkStart w:id="79" w:name="OLE_LINK589"/>
      <w:bookmarkStart w:id="80" w:name="OLE_LINK582"/>
      <w:bookmarkStart w:id="81" w:name="OLE_LINK640"/>
      <w:bookmarkStart w:id="82" w:name="OLE_LINK714"/>
      <w:bookmarkStart w:id="83" w:name="OLE_LINK593"/>
      <w:bookmarkStart w:id="84" w:name="OLE_LINK716"/>
      <w:bookmarkStart w:id="85" w:name="OLE_LINK770"/>
      <w:bookmarkStart w:id="86" w:name="OLE_LINK801"/>
      <w:bookmarkStart w:id="87" w:name="OLE_LINK660"/>
      <w:bookmarkStart w:id="88" w:name="OLE_LINK781"/>
      <w:bookmarkStart w:id="89" w:name="OLE_LINK833"/>
      <w:bookmarkStart w:id="90" w:name="OLE_LINK642"/>
      <w:bookmarkStart w:id="91" w:name="OLE_LINK700"/>
      <w:bookmarkStart w:id="92" w:name="OLE_LINK792"/>
      <w:bookmarkStart w:id="93" w:name="OLE_LINK2882"/>
      <w:bookmarkStart w:id="94" w:name="OLE_LINK836"/>
      <w:bookmarkStart w:id="95" w:name="OLE_LINK889"/>
      <w:bookmarkStart w:id="96" w:name="OLE_LINK782"/>
      <w:bookmarkStart w:id="97" w:name="OLE_LINK826"/>
      <w:bookmarkStart w:id="98" w:name="OLE_LINK865"/>
      <w:bookmarkStart w:id="99" w:name="OLE_LINK856"/>
      <w:bookmarkStart w:id="100" w:name="OLE_LINK908"/>
      <w:bookmarkStart w:id="101" w:name="OLE_LINK980"/>
      <w:bookmarkStart w:id="102" w:name="OLE_LINK1018"/>
      <w:bookmarkStart w:id="103" w:name="OLE_LINK1049"/>
      <w:bookmarkStart w:id="104" w:name="OLE_LINK1076"/>
      <w:bookmarkStart w:id="105" w:name="OLE_LINK1106"/>
      <w:bookmarkStart w:id="106" w:name="OLE_LINK891"/>
      <w:bookmarkStart w:id="107" w:name="OLE_LINK943"/>
      <w:bookmarkStart w:id="108" w:name="OLE_LINK981"/>
      <w:bookmarkStart w:id="109" w:name="OLE_LINK1030"/>
      <w:bookmarkStart w:id="110" w:name="OLE_LINK847"/>
      <w:bookmarkStart w:id="111" w:name="OLE_LINK909"/>
      <w:bookmarkStart w:id="112" w:name="OLE_LINK906"/>
      <w:bookmarkStart w:id="113" w:name="OLE_LINK992"/>
      <w:bookmarkStart w:id="114" w:name="OLE_LINK993"/>
      <w:bookmarkStart w:id="115" w:name="OLE_LINK1052"/>
      <w:bookmarkStart w:id="116" w:name="OLE_LINK946"/>
      <w:bookmarkStart w:id="117" w:name="OLE_LINK911"/>
      <w:bookmarkStart w:id="118" w:name="OLE_LINK930"/>
      <w:bookmarkStart w:id="119" w:name="OLE_LINK1059"/>
      <w:bookmarkStart w:id="120" w:name="OLE_LINK1174"/>
      <w:bookmarkStart w:id="121" w:name="OLE_LINK1137"/>
      <w:bookmarkStart w:id="122" w:name="OLE_LINK1167"/>
      <w:bookmarkStart w:id="123" w:name="OLE_LINK1200"/>
      <w:bookmarkStart w:id="124" w:name="OLE_LINK1241"/>
      <w:bookmarkStart w:id="125" w:name="OLE_LINK1288"/>
      <w:bookmarkStart w:id="126" w:name="OLE_LINK1056"/>
      <w:bookmarkStart w:id="127" w:name="OLE_LINK1158"/>
      <w:bookmarkStart w:id="128" w:name="OLE_LINK1175"/>
      <w:bookmarkStart w:id="129" w:name="OLE_LINK1074"/>
      <w:bookmarkStart w:id="130" w:name="OLE_LINK1169"/>
      <w:bookmarkStart w:id="131" w:name="OLE_LINK33"/>
      <w:bookmarkStart w:id="132" w:name="OLE_LINK34"/>
      <w:bookmarkStart w:id="133" w:name="OLE_LINK386"/>
      <w:r w:rsidRPr="0049621B">
        <w:rPr>
          <w:rFonts w:ascii="Book Antiqua" w:hAnsi="Book Antiqua"/>
          <w:b/>
          <w:bCs/>
          <w:sz w:val="24"/>
        </w:rPr>
        <w:t xml:space="preserve">P-Reviewer: </w:t>
      </w:r>
      <w:r w:rsidRPr="0049621B">
        <w:rPr>
          <w:rFonts w:ascii="Book Antiqua" w:hAnsi="Book Antiqua"/>
          <w:bCs/>
          <w:sz w:val="24"/>
        </w:rPr>
        <w:t>Choi MR</w:t>
      </w:r>
    </w:p>
    <w:p w:rsidR="00F55E19" w:rsidRPr="0049621B" w:rsidRDefault="00F55E19" w:rsidP="00C71A37">
      <w:pPr>
        <w:wordWrap w:val="0"/>
        <w:snapToGrid w:val="0"/>
        <w:spacing w:line="360" w:lineRule="auto"/>
        <w:jc w:val="right"/>
        <w:rPr>
          <w:rFonts w:ascii="Book Antiqua" w:hAnsi="Book Antiqua"/>
          <w:sz w:val="24"/>
        </w:rPr>
      </w:pPr>
      <w:r w:rsidRPr="0049621B">
        <w:rPr>
          <w:rFonts w:ascii="Book Antiqua" w:hAnsi="Book Antiqua"/>
          <w:b/>
          <w:bCs/>
          <w:sz w:val="24"/>
        </w:rPr>
        <w:t>S-Editor:</w:t>
      </w:r>
      <w:r w:rsidRPr="0049621B">
        <w:rPr>
          <w:rFonts w:ascii="Book Antiqua" w:hAnsi="Book Antiqua"/>
          <w:sz w:val="24"/>
        </w:rPr>
        <w:t xml:space="preserve"> Ma RY </w:t>
      </w:r>
      <w:r w:rsidRPr="0049621B">
        <w:rPr>
          <w:rFonts w:ascii="Book Antiqua" w:hAnsi="Book Antiqua"/>
          <w:b/>
          <w:bCs/>
          <w:sz w:val="24"/>
        </w:rPr>
        <w:t>L-Editor:</w:t>
      </w:r>
      <w:r w:rsidRPr="0049621B">
        <w:rPr>
          <w:rFonts w:ascii="Book Antiqua" w:hAnsi="Book Antiqua"/>
          <w:sz w:val="24"/>
        </w:rPr>
        <w:t xml:space="preserve"> </w:t>
      </w:r>
      <w:r w:rsidR="002C5DD8" w:rsidRPr="0049621B">
        <w:rPr>
          <w:rFonts w:ascii="Book Antiqua" w:hAnsi="Book Antiqua"/>
          <w:sz w:val="24"/>
        </w:rPr>
        <w:t xml:space="preserve">Filipodia </w:t>
      </w:r>
      <w:r w:rsidRPr="0049621B">
        <w:rPr>
          <w:rFonts w:ascii="Book Antiqua" w:hAnsi="Book Antiqua"/>
          <w:b/>
          <w:bCs/>
          <w:sz w:val="24"/>
        </w:rPr>
        <w:t>E-Editor:</w:t>
      </w:r>
      <w:r w:rsidR="00C71A37">
        <w:rPr>
          <w:rFonts w:ascii="Book Antiqua" w:hAnsi="Book Antiqua" w:hint="eastAsia"/>
          <w:b/>
          <w:bCs/>
          <w:sz w:val="24"/>
        </w:rPr>
        <w:t xml:space="preserve"> </w:t>
      </w:r>
      <w:r w:rsidR="00C71A37" w:rsidRPr="00C71A37">
        <w:rPr>
          <w:rFonts w:ascii="Book Antiqua" w:hAnsi="Book Antiqua" w:hint="eastAsia"/>
          <w:bCs/>
          <w:sz w:val="24"/>
        </w:rPr>
        <w:t>Yin SY</w:t>
      </w:r>
    </w:p>
    <w:p w:rsidR="00F55E19" w:rsidRPr="0049621B" w:rsidRDefault="00F55E19" w:rsidP="0049621B">
      <w:pPr>
        <w:shd w:val="clear" w:color="auto" w:fill="FFFFFF"/>
        <w:snapToGrid w:val="0"/>
        <w:spacing w:line="360" w:lineRule="auto"/>
        <w:rPr>
          <w:rFonts w:ascii="Book Antiqua" w:hAnsi="Book Antiqua" w:cs="Helvetica"/>
          <w:b/>
          <w:sz w:val="24"/>
        </w:rPr>
      </w:pPr>
      <w:bookmarkStart w:id="134" w:name="OLE_LINK880"/>
      <w:bookmarkStart w:id="135" w:name="OLE_LINK88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r w:rsidRPr="0049621B">
        <w:rPr>
          <w:rFonts w:ascii="Book Antiqua" w:hAnsi="Book Antiqua" w:cs="Helvetica"/>
          <w:b/>
          <w:sz w:val="24"/>
        </w:rPr>
        <w:t xml:space="preserve">Specialty type: </w:t>
      </w:r>
      <w:r w:rsidRPr="0049621B">
        <w:rPr>
          <w:rFonts w:ascii="Book Antiqua" w:hAnsi="Book Antiqua" w:cs="Helvetica"/>
          <w:sz w:val="24"/>
        </w:rPr>
        <w:t>Gastroenterology and hepatology</w:t>
      </w:r>
    </w:p>
    <w:p w:rsidR="00F55E19" w:rsidRPr="0049621B" w:rsidRDefault="00F55E19" w:rsidP="0049621B">
      <w:pPr>
        <w:shd w:val="clear" w:color="auto" w:fill="FFFFFF"/>
        <w:snapToGrid w:val="0"/>
        <w:spacing w:line="360" w:lineRule="auto"/>
        <w:rPr>
          <w:rFonts w:ascii="Book Antiqua" w:hAnsi="Book Antiqua" w:cs="Helvetica"/>
          <w:b/>
          <w:sz w:val="24"/>
        </w:rPr>
      </w:pPr>
      <w:r w:rsidRPr="0049621B">
        <w:rPr>
          <w:rFonts w:ascii="Book Antiqua" w:hAnsi="Book Antiqua" w:cs="Helvetica"/>
          <w:b/>
          <w:sz w:val="24"/>
        </w:rPr>
        <w:t xml:space="preserve">Country of origin: </w:t>
      </w:r>
      <w:r w:rsidRPr="0049621B">
        <w:rPr>
          <w:rFonts w:ascii="Book Antiqua" w:hAnsi="Book Antiqua" w:cs="Helvetica"/>
          <w:sz w:val="24"/>
        </w:rPr>
        <w:t>China</w:t>
      </w:r>
    </w:p>
    <w:p w:rsidR="00F55E19" w:rsidRPr="0049621B" w:rsidRDefault="00F55E19" w:rsidP="0049621B">
      <w:pPr>
        <w:shd w:val="clear" w:color="auto" w:fill="FFFFFF"/>
        <w:snapToGrid w:val="0"/>
        <w:spacing w:line="360" w:lineRule="auto"/>
        <w:rPr>
          <w:rFonts w:ascii="Book Antiqua" w:hAnsi="Book Antiqua" w:cs="Helvetica"/>
          <w:b/>
          <w:sz w:val="24"/>
        </w:rPr>
      </w:pPr>
      <w:r w:rsidRPr="0049621B">
        <w:rPr>
          <w:rFonts w:ascii="Book Antiqua" w:hAnsi="Book Antiqua" w:cs="Helvetica"/>
          <w:b/>
          <w:sz w:val="24"/>
        </w:rPr>
        <w:t>Peer-review report classification</w:t>
      </w:r>
    </w:p>
    <w:p w:rsidR="00F55E19" w:rsidRPr="0049621B" w:rsidRDefault="00F55E19" w:rsidP="0049621B">
      <w:pPr>
        <w:shd w:val="clear" w:color="auto" w:fill="FFFFFF"/>
        <w:snapToGrid w:val="0"/>
        <w:spacing w:line="360" w:lineRule="auto"/>
        <w:rPr>
          <w:rFonts w:ascii="Book Antiqua" w:hAnsi="Book Antiqua" w:cs="Helvetica"/>
          <w:sz w:val="24"/>
        </w:rPr>
      </w:pPr>
      <w:r w:rsidRPr="0049621B">
        <w:rPr>
          <w:rFonts w:ascii="Book Antiqua" w:hAnsi="Book Antiqua" w:cs="Helvetica"/>
          <w:sz w:val="24"/>
        </w:rPr>
        <w:t>Grade A (Excellent): 0</w:t>
      </w:r>
    </w:p>
    <w:p w:rsidR="00F55E19" w:rsidRPr="0049621B" w:rsidRDefault="00F55E19" w:rsidP="0049621B">
      <w:pPr>
        <w:shd w:val="clear" w:color="auto" w:fill="FFFFFF"/>
        <w:snapToGrid w:val="0"/>
        <w:spacing w:line="360" w:lineRule="auto"/>
        <w:rPr>
          <w:rFonts w:ascii="Book Antiqua" w:hAnsi="Book Antiqua" w:cs="Helvetica"/>
          <w:sz w:val="24"/>
        </w:rPr>
      </w:pPr>
      <w:r w:rsidRPr="0049621B">
        <w:rPr>
          <w:rFonts w:ascii="Book Antiqua" w:hAnsi="Book Antiqua" w:cs="Helvetica"/>
          <w:sz w:val="24"/>
        </w:rPr>
        <w:t>Grade B (Very good): B</w:t>
      </w:r>
    </w:p>
    <w:p w:rsidR="00F55E19" w:rsidRPr="0049621B" w:rsidRDefault="00F55E19" w:rsidP="0049621B">
      <w:pPr>
        <w:shd w:val="clear" w:color="auto" w:fill="FFFFFF"/>
        <w:snapToGrid w:val="0"/>
        <w:spacing w:line="360" w:lineRule="auto"/>
        <w:rPr>
          <w:rFonts w:ascii="Book Antiqua" w:hAnsi="Book Antiqua" w:cs="Helvetica"/>
          <w:sz w:val="24"/>
        </w:rPr>
      </w:pPr>
      <w:r w:rsidRPr="0049621B">
        <w:rPr>
          <w:rFonts w:ascii="Book Antiqua" w:hAnsi="Book Antiqua" w:cs="Helvetica"/>
          <w:sz w:val="24"/>
        </w:rPr>
        <w:t>Grade C (Good): 0</w:t>
      </w:r>
    </w:p>
    <w:p w:rsidR="00F55E19" w:rsidRPr="0049621B" w:rsidRDefault="00F55E19" w:rsidP="0049621B">
      <w:pPr>
        <w:shd w:val="clear" w:color="auto" w:fill="FFFFFF"/>
        <w:snapToGrid w:val="0"/>
        <w:spacing w:line="360" w:lineRule="auto"/>
        <w:rPr>
          <w:rFonts w:ascii="Book Antiqua" w:hAnsi="Book Antiqua" w:cs="Helvetica"/>
          <w:sz w:val="24"/>
        </w:rPr>
      </w:pPr>
      <w:r w:rsidRPr="0049621B">
        <w:rPr>
          <w:rFonts w:ascii="Book Antiqua" w:hAnsi="Book Antiqua" w:cs="Helvetica"/>
          <w:sz w:val="24"/>
        </w:rPr>
        <w:lastRenderedPageBreak/>
        <w:t>Grade D (Fair): 0</w:t>
      </w:r>
    </w:p>
    <w:p w:rsidR="00F55E19" w:rsidRPr="0049621B" w:rsidRDefault="00F55E19" w:rsidP="0049621B">
      <w:pPr>
        <w:snapToGrid w:val="0"/>
        <w:spacing w:line="360" w:lineRule="auto"/>
        <w:rPr>
          <w:rFonts w:ascii="Book Antiqua" w:hAnsi="Book Antiqua"/>
          <w:b/>
          <w:iCs/>
          <w:sz w:val="24"/>
        </w:rPr>
      </w:pPr>
      <w:r w:rsidRPr="0049621B">
        <w:rPr>
          <w:rFonts w:ascii="Book Antiqua" w:hAnsi="Book Antiqua" w:cs="Helvetica"/>
          <w:sz w:val="24"/>
        </w:rPr>
        <w:t>Grade E (Poor): 0</w:t>
      </w:r>
      <w:bookmarkEnd w:id="133"/>
      <w:bookmarkEnd w:id="134"/>
      <w:bookmarkEnd w:id="135"/>
    </w:p>
    <w:bookmarkEnd w:id="131"/>
    <w:bookmarkEnd w:id="132"/>
    <w:p w:rsidR="00242092" w:rsidRPr="0049621B" w:rsidRDefault="009A3EF4" w:rsidP="0049621B">
      <w:pPr>
        <w:pStyle w:val="EndNoteBibliography"/>
        <w:adjustRightInd w:val="0"/>
        <w:snapToGrid w:val="0"/>
        <w:spacing w:line="360" w:lineRule="auto"/>
        <w:rPr>
          <w:rFonts w:ascii="Book Antiqua" w:hAnsi="Book Antiqua"/>
          <w:color w:val="000000"/>
          <w:sz w:val="24"/>
          <w:lang w:val="en-US" w:eastAsia="zh-CN"/>
        </w:rPr>
      </w:pPr>
      <w:r w:rsidRPr="0049621B">
        <w:rPr>
          <w:rFonts w:ascii="Book Antiqua" w:hAnsi="Book Antiqua"/>
          <w:color w:val="000000"/>
          <w:sz w:val="24"/>
          <w:lang w:val="en-US"/>
        </w:rPr>
        <w:br w:type="page"/>
      </w:r>
      <w:r w:rsidR="00245D34">
        <w:rPr>
          <w:rFonts w:ascii="Book Antiqua" w:hAnsi="Book Antiqua"/>
          <w:noProof/>
          <w:color w:val="000000"/>
          <w:sz w:val="24"/>
          <w:lang w:val="en-US" w:eastAsia="zh-CN"/>
        </w:rPr>
        <w:lastRenderedPageBreak/>
        <w:drawing>
          <wp:inline distT="0" distB="0" distL="0" distR="0">
            <wp:extent cx="5760720" cy="4320540"/>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242092" w:rsidRPr="0049621B" w:rsidRDefault="009675CE" w:rsidP="0049621B">
      <w:pPr>
        <w:pStyle w:val="EndNoteBibliography"/>
        <w:adjustRightInd w:val="0"/>
        <w:snapToGrid w:val="0"/>
        <w:spacing w:line="360" w:lineRule="auto"/>
        <w:rPr>
          <w:rFonts w:ascii="Book Antiqua" w:hAnsi="Book Antiqua" w:cs="Book Antiqua"/>
          <w:color w:val="000000"/>
          <w:sz w:val="24"/>
          <w:lang w:val="en-US" w:eastAsia="zh-CN"/>
        </w:rPr>
      </w:pPr>
      <w:r w:rsidRPr="0049621B">
        <w:rPr>
          <w:rFonts w:ascii="Book Antiqua" w:hAnsi="Book Antiqua" w:cs="Book Antiqua"/>
          <w:b/>
          <w:bCs/>
          <w:color w:val="000000"/>
          <w:sz w:val="24"/>
          <w:lang w:val="en-US" w:eastAsia="zh-CN"/>
        </w:rPr>
        <w:t>Figure 1 Effects of p</w:t>
      </w:r>
      <w:r w:rsidR="00242092" w:rsidRPr="0049621B">
        <w:rPr>
          <w:rFonts w:ascii="Book Antiqua" w:hAnsi="Book Antiqua" w:cs="Book Antiqua"/>
          <w:b/>
          <w:bCs/>
          <w:color w:val="000000"/>
          <w:sz w:val="24"/>
          <w:lang w:val="en-US" w:eastAsia="zh-CN"/>
        </w:rPr>
        <w:t>rocyanidin B2 on body composition.</w:t>
      </w:r>
      <w:r w:rsidRPr="0049621B">
        <w:rPr>
          <w:rFonts w:ascii="Book Antiqua" w:hAnsi="Book Antiqua" w:cs="Book Antiqua"/>
          <w:color w:val="000000"/>
          <w:sz w:val="24"/>
          <w:lang w:val="en-US" w:eastAsia="zh-CN"/>
        </w:rPr>
        <w:t xml:space="preserve"> A: Weight gain curves; B: Total weight gain; C: Food intake curves; D: L</w:t>
      </w:r>
      <w:r w:rsidR="00242092" w:rsidRPr="0049621B">
        <w:rPr>
          <w:rFonts w:ascii="Book Antiqua" w:hAnsi="Book Antiqua" w:cs="Book Antiqua"/>
          <w:color w:val="000000"/>
          <w:sz w:val="24"/>
          <w:lang w:val="en-US" w:eastAsia="zh-CN"/>
        </w:rPr>
        <w:t xml:space="preserve">iver index. The data are expressed as means ± SD. </w:t>
      </w:r>
      <w:r w:rsidR="00242092" w:rsidRPr="0049621B">
        <w:rPr>
          <w:rFonts w:ascii="Book Antiqua" w:hAnsi="Book Antiqua" w:cs="Book Antiqua"/>
          <w:color w:val="000000"/>
          <w:sz w:val="24"/>
          <w:vertAlign w:val="superscript"/>
          <w:lang w:val="en-US"/>
        </w:rPr>
        <w:t>a</w:t>
      </w:r>
      <w:r w:rsidR="00242092" w:rsidRPr="0049621B">
        <w:rPr>
          <w:rFonts w:ascii="Book Antiqua" w:hAnsi="Book Antiqua" w:cs="Book Antiqua"/>
          <w:i/>
          <w:iCs/>
          <w:color w:val="000000"/>
          <w:sz w:val="24"/>
          <w:lang w:val="en-US"/>
        </w:rPr>
        <w:t>P</w:t>
      </w:r>
      <w:r w:rsidR="00242092" w:rsidRPr="0049621B">
        <w:rPr>
          <w:rFonts w:ascii="Book Antiqua" w:hAnsi="Book Antiqua" w:cs="Book Antiqua"/>
          <w:color w:val="000000"/>
          <w:sz w:val="24"/>
          <w:lang w:val="en-US"/>
        </w:rPr>
        <w:t xml:space="preserve"> &lt; 0.05 </w:t>
      </w:r>
      <w:r w:rsidRPr="0049621B">
        <w:rPr>
          <w:rFonts w:ascii="Book Antiqua" w:hAnsi="Book Antiqua" w:cs="Book Antiqua"/>
          <w:i/>
          <w:color w:val="000000"/>
          <w:sz w:val="24"/>
          <w:lang w:val="en-US"/>
        </w:rPr>
        <w:t>vs</w:t>
      </w:r>
      <w:r w:rsidR="00242092" w:rsidRPr="0049621B">
        <w:rPr>
          <w:rFonts w:ascii="Book Antiqua" w:hAnsi="Book Antiqua" w:cs="Book Antiqua"/>
          <w:color w:val="000000"/>
          <w:sz w:val="24"/>
          <w:lang w:val="en-US"/>
        </w:rPr>
        <w:t xml:space="preserve"> CHOW group; </w:t>
      </w:r>
      <w:r w:rsidR="00242092" w:rsidRPr="0049621B">
        <w:rPr>
          <w:rFonts w:ascii="Book Antiqua" w:hAnsi="Book Antiqua" w:cs="Book Antiqua"/>
          <w:color w:val="000000"/>
          <w:sz w:val="24"/>
          <w:vertAlign w:val="superscript"/>
          <w:lang w:val="en-US"/>
        </w:rPr>
        <w:t>b</w:t>
      </w:r>
      <w:r w:rsidR="00242092" w:rsidRPr="0049621B">
        <w:rPr>
          <w:rFonts w:ascii="Book Antiqua" w:hAnsi="Book Antiqua" w:cs="Book Antiqua"/>
          <w:i/>
          <w:iCs/>
          <w:color w:val="000000"/>
          <w:sz w:val="24"/>
          <w:lang w:val="en-US"/>
        </w:rPr>
        <w:t>P</w:t>
      </w:r>
      <w:r w:rsidR="00242092" w:rsidRPr="0049621B">
        <w:rPr>
          <w:rFonts w:ascii="Book Antiqua" w:hAnsi="Book Antiqua" w:cs="Book Antiqua"/>
          <w:color w:val="000000"/>
          <w:sz w:val="24"/>
          <w:lang w:val="en-US"/>
        </w:rPr>
        <w:t xml:space="preserve"> &lt; 0.05 </w:t>
      </w:r>
      <w:r w:rsidRPr="0049621B">
        <w:rPr>
          <w:rFonts w:ascii="Book Antiqua" w:hAnsi="Book Antiqua" w:cs="Book Antiqua"/>
          <w:i/>
          <w:color w:val="000000"/>
          <w:sz w:val="24"/>
          <w:lang w:val="en-US"/>
        </w:rPr>
        <w:t>vs</w:t>
      </w:r>
      <w:r w:rsidR="00242092" w:rsidRPr="0049621B">
        <w:rPr>
          <w:rFonts w:ascii="Book Antiqua" w:hAnsi="Book Antiqua" w:cs="Book Antiqua"/>
          <w:color w:val="000000"/>
          <w:sz w:val="24"/>
          <w:lang w:val="en-US"/>
        </w:rPr>
        <w:t xml:space="preserve"> </w:t>
      </w:r>
      <w:r w:rsidRPr="0049621B">
        <w:rPr>
          <w:rFonts w:ascii="Book Antiqua" w:hAnsi="Book Antiqua" w:cs="Book Antiqua"/>
          <w:color w:val="000000"/>
          <w:sz w:val="24"/>
          <w:lang w:val="en-US" w:eastAsia="zh-CN"/>
        </w:rPr>
        <w:t>high-fat-cholesterol diet</w:t>
      </w:r>
      <w:r w:rsidR="00242092" w:rsidRPr="0049621B">
        <w:rPr>
          <w:rFonts w:ascii="Book Antiqua" w:hAnsi="Book Antiqua" w:cs="Book Antiqua"/>
          <w:color w:val="000000"/>
          <w:sz w:val="24"/>
          <w:lang w:val="en-US"/>
        </w:rPr>
        <w:t xml:space="preserve"> group.</w:t>
      </w:r>
      <w:r w:rsidR="00242092" w:rsidRPr="0049621B">
        <w:rPr>
          <w:rFonts w:ascii="Book Antiqua" w:hAnsi="Book Antiqua" w:cs="Book Antiqua"/>
          <w:color w:val="000000"/>
          <w:sz w:val="24"/>
          <w:lang w:val="en-US" w:eastAsia="zh-CN"/>
        </w:rPr>
        <w:t xml:space="preserve"> </w:t>
      </w:r>
      <w:r w:rsidRPr="0049621B">
        <w:rPr>
          <w:rFonts w:ascii="Book Antiqua" w:hAnsi="Book Antiqua" w:cs="Book Antiqua"/>
          <w:color w:val="000000"/>
          <w:sz w:val="24"/>
          <w:lang w:val="en-US" w:eastAsia="zh-CN"/>
        </w:rPr>
        <w:t>HCD: High-fat-cholesterol diet; PB2: P</w:t>
      </w:r>
      <w:r w:rsidR="00242092" w:rsidRPr="0049621B">
        <w:rPr>
          <w:rFonts w:ascii="Book Antiqua" w:hAnsi="Book Antiqua" w:cs="Book Antiqua"/>
          <w:color w:val="000000"/>
          <w:sz w:val="24"/>
          <w:lang w:val="en-US" w:eastAsia="zh-CN"/>
        </w:rPr>
        <w:t>rocyanidin B2</w:t>
      </w:r>
      <w:r w:rsidR="004A5A48" w:rsidRPr="0049621B">
        <w:rPr>
          <w:rFonts w:ascii="Book Antiqua" w:hAnsi="Book Antiqua" w:cs="Book Antiqua"/>
          <w:color w:val="000000"/>
          <w:sz w:val="24"/>
          <w:lang w:val="en-US" w:eastAsia="zh-CN"/>
        </w:rPr>
        <w:t>; SD: Standard deviation</w:t>
      </w:r>
      <w:r w:rsidR="00242092" w:rsidRPr="0049621B">
        <w:rPr>
          <w:rFonts w:ascii="Book Antiqua" w:hAnsi="Book Antiqua" w:cs="Book Antiqua"/>
          <w:color w:val="000000"/>
          <w:sz w:val="24"/>
          <w:lang w:val="en-US" w:eastAsia="zh-CN"/>
        </w:rPr>
        <w:t>.</w:t>
      </w:r>
    </w:p>
    <w:p w:rsidR="00242092" w:rsidRPr="0049621B" w:rsidRDefault="00245D34" w:rsidP="0049621B">
      <w:pPr>
        <w:pStyle w:val="EndNoteBibliography"/>
        <w:adjustRightInd w:val="0"/>
        <w:snapToGrid w:val="0"/>
        <w:spacing w:line="360" w:lineRule="auto"/>
        <w:rPr>
          <w:rFonts w:ascii="Book Antiqua" w:hAnsi="Book Antiqua"/>
          <w:color w:val="000000"/>
          <w:sz w:val="24"/>
          <w:lang w:val="en-US" w:eastAsia="zh-CN"/>
        </w:rPr>
      </w:pPr>
      <w:r>
        <w:rPr>
          <w:rFonts w:ascii="Book Antiqua" w:hAnsi="Book Antiqua"/>
          <w:noProof/>
          <w:color w:val="000000"/>
          <w:sz w:val="24"/>
          <w:lang w:val="en-US" w:eastAsia="zh-CN"/>
        </w:rPr>
        <w:lastRenderedPageBreak/>
        <w:drawing>
          <wp:inline distT="0" distB="0" distL="0" distR="0">
            <wp:extent cx="5755005" cy="3669030"/>
            <wp:effectExtent l="0" t="0" r="0" b="0"/>
            <wp:docPr id="2" name="图片 5"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Fig.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5005" cy="3669030"/>
                    </a:xfrm>
                    <a:prstGeom prst="rect">
                      <a:avLst/>
                    </a:prstGeom>
                    <a:noFill/>
                    <a:ln>
                      <a:noFill/>
                    </a:ln>
                  </pic:spPr>
                </pic:pic>
              </a:graphicData>
            </a:graphic>
          </wp:inline>
        </w:drawing>
      </w:r>
    </w:p>
    <w:p w:rsidR="00242092" w:rsidRPr="0049621B" w:rsidRDefault="00242092" w:rsidP="0049621B">
      <w:pPr>
        <w:pStyle w:val="EndNoteBibliography"/>
        <w:adjustRightInd w:val="0"/>
        <w:snapToGrid w:val="0"/>
        <w:spacing w:line="360" w:lineRule="auto"/>
        <w:rPr>
          <w:rFonts w:ascii="Book Antiqua" w:hAnsi="Book Antiqua" w:cs="Book Antiqua"/>
          <w:color w:val="000000"/>
          <w:sz w:val="24"/>
          <w:lang w:val="en-US" w:eastAsia="zh-CN"/>
        </w:rPr>
      </w:pPr>
      <w:r w:rsidRPr="0049621B">
        <w:rPr>
          <w:rFonts w:ascii="Book Antiqua" w:hAnsi="Book Antiqua" w:cs="Book Antiqua"/>
          <w:b/>
          <w:bCs/>
          <w:color w:val="000000"/>
          <w:sz w:val="24"/>
          <w:lang w:val="en-US"/>
        </w:rPr>
        <w:t>Fig</w:t>
      </w:r>
      <w:r w:rsidRPr="0049621B">
        <w:rPr>
          <w:rFonts w:ascii="Book Antiqua" w:hAnsi="Book Antiqua" w:cs="Book Antiqua"/>
          <w:b/>
          <w:bCs/>
          <w:color w:val="000000"/>
          <w:sz w:val="24"/>
          <w:lang w:val="en-US" w:eastAsia="zh-CN"/>
        </w:rPr>
        <w:t>ure</w:t>
      </w:r>
      <w:r w:rsidRPr="0049621B">
        <w:rPr>
          <w:rFonts w:ascii="Book Antiqua" w:hAnsi="Book Antiqua" w:cs="Book Antiqua"/>
          <w:b/>
          <w:bCs/>
          <w:color w:val="000000"/>
          <w:sz w:val="24"/>
          <w:lang w:val="en-US"/>
        </w:rPr>
        <w:t xml:space="preserve"> 2 Effects of procyanidin B2 on serum lipid profile, insulin resistance</w:t>
      </w:r>
      <w:r w:rsidR="004A5A48" w:rsidRPr="0049621B">
        <w:rPr>
          <w:rFonts w:ascii="Book Antiqua" w:hAnsi="Book Antiqua" w:cs="Book Antiqua"/>
          <w:b/>
          <w:bCs/>
          <w:color w:val="000000"/>
          <w:sz w:val="24"/>
          <w:lang w:val="en-US"/>
        </w:rPr>
        <w:t>,</w:t>
      </w:r>
      <w:r w:rsidRPr="0049621B">
        <w:rPr>
          <w:rFonts w:ascii="Book Antiqua" w:hAnsi="Book Antiqua" w:cs="Book Antiqua"/>
          <w:b/>
          <w:bCs/>
          <w:color w:val="000000"/>
          <w:sz w:val="24"/>
          <w:lang w:val="en-US"/>
        </w:rPr>
        <w:t xml:space="preserve"> and endo</w:t>
      </w:r>
      <w:r w:rsidR="00B71250" w:rsidRPr="0049621B">
        <w:rPr>
          <w:rFonts w:ascii="Book Antiqua" w:hAnsi="Book Antiqua" w:cs="Book Antiqua"/>
          <w:b/>
          <w:bCs/>
          <w:color w:val="000000"/>
          <w:sz w:val="24"/>
          <w:lang w:val="en-US"/>
        </w:rPr>
        <w:t>to</w:t>
      </w:r>
      <w:r w:rsidRPr="0049621B">
        <w:rPr>
          <w:rFonts w:ascii="Book Antiqua" w:hAnsi="Book Antiqua" w:cs="Book Antiqua"/>
          <w:b/>
          <w:bCs/>
          <w:color w:val="000000"/>
          <w:sz w:val="24"/>
          <w:lang w:val="en-US"/>
        </w:rPr>
        <w:t>xemia.</w:t>
      </w:r>
      <w:r w:rsidRPr="0049621B">
        <w:rPr>
          <w:rFonts w:ascii="Book Antiqua" w:hAnsi="Book Antiqua" w:cs="Book Antiqua"/>
          <w:color w:val="000000"/>
          <w:sz w:val="24"/>
          <w:lang w:val="en-US"/>
        </w:rPr>
        <w:t xml:space="preserve"> Serum triglycerides (A), total cholesterol (B), </w:t>
      </w:r>
      <w:r w:rsidR="00D97EFD" w:rsidRPr="0049621B">
        <w:rPr>
          <w:rFonts w:ascii="Book Antiqua" w:hAnsi="Book Antiqua" w:cs="Book Antiqua"/>
          <w:color w:val="000000"/>
          <w:sz w:val="24"/>
          <w:lang w:val="en-US"/>
        </w:rPr>
        <w:t>low-density lipoprotein cholesterol</w:t>
      </w:r>
      <w:r w:rsidRPr="0049621B">
        <w:rPr>
          <w:rFonts w:ascii="Book Antiqua" w:hAnsi="Book Antiqua" w:cs="Book Antiqua"/>
          <w:color w:val="000000"/>
          <w:sz w:val="24"/>
          <w:lang w:val="en-US"/>
        </w:rPr>
        <w:t xml:space="preserve"> (C), </w:t>
      </w:r>
      <w:r w:rsidR="00D97EFD" w:rsidRPr="0049621B">
        <w:rPr>
          <w:rFonts w:ascii="Book Antiqua" w:hAnsi="Book Antiqua"/>
          <w:color w:val="000000"/>
          <w:sz w:val="24"/>
          <w:lang w:val="en-US"/>
        </w:rPr>
        <w:t>high-density lipoprotein cholesterol</w:t>
      </w:r>
      <w:r w:rsidRPr="0049621B">
        <w:rPr>
          <w:rFonts w:ascii="Book Antiqua" w:hAnsi="Book Antiqua" w:cs="Book Antiqua"/>
          <w:color w:val="000000"/>
          <w:sz w:val="24"/>
          <w:lang w:val="en-US"/>
        </w:rPr>
        <w:t xml:space="preserve"> (D) and fasting glucose (E), fasting insulin (F) and</w:t>
      </w:r>
      <w:r w:rsidRPr="0049621B">
        <w:rPr>
          <w:rFonts w:ascii="Book Antiqua" w:hAnsi="Book Antiqua" w:cs="Book Antiqua"/>
          <w:color w:val="000000"/>
          <w:sz w:val="24"/>
          <w:lang w:val="en-US" w:eastAsia="zh-CN"/>
        </w:rPr>
        <w:t xml:space="preserve"> </w:t>
      </w:r>
      <w:r w:rsidR="00D97EFD" w:rsidRPr="0049621B">
        <w:rPr>
          <w:rFonts w:ascii="Book Antiqua" w:hAnsi="Book Antiqua" w:cs="Book Antiqua"/>
          <w:color w:val="000000"/>
          <w:sz w:val="24"/>
          <w:lang w:val="en-US" w:eastAsia="zh-CN"/>
        </w:rPr>
        <w:t xml:space="preserve">the </w:t>
      </w:r>
      <w:r w:rsidR="00D97EFD" w:rsidRPr="0049621B">
        <w:rPr>
          <w:rFonts w:ascii="Book Antiqua" w:hAnsi="Book Antiqua"/>
          <w:color w:val="000000"/>
          <w:sz w:val="24"/>
          <w:lang w:val="en-US"/>
        </w:rPr>
        <w:t>intravenous glucose tolerance test</w:t>
      </w:r>
      <w:r w:rsidRPr="0049621B">
        <w:rPr>
          <w:rFonts w:ascii="Book Antiqua" w:hAnsi="Book Antiqua" w:cs="Book Antiqua"/>
          <w:color w:val="000000"/>
          <w:sz w:val="24"/>
          <w:lang w:val="en-US"/>
        </w:rPr>
        <w:t xml:space="preserve"> (G), units of </w:t>
      </w:r>
      <w:r w:rsidR="00D97EFD" w:rsidRPr="0049621B">
        <w:rPr>
          <w:rFonts w:ascii="Book Antiqua" w:hAnsi="Book Antiqua"/>
          <w:color w:val="000000"/>
          <w:sz w:val="24"/>
          <w:lang w:val="en-US"/>
        </w:rPr>
        <w:t>area under the curve</w:t>
      </w:r>
      <w:r w:rsidRPr="0049621B">
        <w:rPr>
          <w:rFonts w:ascii="Book Antiqua" w:hAnsi="Book Antiqua" w:cs="Book Antiqua"/>
          <w:color w:val="000000"/>
          <w:sz w:val="24"/>
          <w:lang w:val="en-US"/>
        </w:rPr>
        <w:t xml:space="preserve"> (H) and </w:t>
      </w:r>
      <w:r w:rsidR="00D97EFD" w:rsidRPr="0049621B">
        <w:rPr>
          <w:rFonts w:ascii="Book Antiqua" w:hAnsi="Book Antiqua"/>
          <w:color w:val="000000"/>
          <w:sz w:val="24"/>
          <w:lang w:val="en-US" w:eastAsia="zh-CN"/>
        </w:rPr>
        <w:t>l</w:t>
      </w:r>
      <w:r w:rsidR="00D97EFD" w:rsidRPr="0049621B">
        <w:rPr>
          <w:rFonts w:ascii="Book Antiqua" w:hAnsi="Book Antiqua"/>
          <w:color w:val="000000"/>
          <w:sz w:val="24"/>
          <w:lang w:val="en-US"/>
        </w:rPr>
        <w:t>ipopolysaccharides</w:t>
      </w:r>
      <w:r w:rsidRPr="0049621B">
        <w:rPr>
          <w:rFonts w:ascii="Book Antiqua" w:hAnsi="Book Antiqua" w:cs="Book Antiqua"/>
          <w:color w:val="000000"/>
          <w:sz w:val="24"/>
          <w:lang w:val="en-US"/>
        </w:rPr>
        <w:t xml:space="preserve"> (I). The data are expressed as means ± SD. </w:t>
      </w:r>
      <w:r w:rsidRPr="0049621B">
        <w:rPr>
          <w:rFonts w:ascii="Book Antiqua" w:hAnsi="Book Antiqua" w:cs="Book Antiqua"/>
          <w:color w:val="000000"/>
          <w:sz w:val="24"/>
          <w:vertAlign w:val="superscript"/>
          <w:lang w:val="en-US"/>
        </w:rPr>
        <w:t>a</w:t>
      </w:r>
      <w:r w:rsidRPr="0049621B">
        <w:rPr>
          <w:rFonts w:ascii="Book Antiqua" w:hAnsi="Book Antiqua" w:cs="Book Antiqua"/>
          <w:i/>
          <w:iCs/>
          <w:color w:val="000000"/>
          <w:sz w:val="24"/>
          <w:lang w:val="en-US"/>
        </w:rPr>
        <w:t>P</w:t>
      </w:r>
      <w:r w:rsidRPr="0049621B">
        <w:rPr>
          <w:rFonts w:ascii="Book Antiqua" w:hAnsi="Book Antiqua" w:cs="Book Antiqua"/>
          <w:color w:val="000000"/>
          <w:sz w:val="24"/>
          <w:lang w:val="en-US"/>
        </w:rPr>
        <w:t xml:space="preserve"> &lt; 0.05 </w:t>
      </w:r>
      <w:r w:rsidR="00D97EFD" w:rsidRPr="0049621B">
        <w:rPr>
          <w:rFonts w:ascii="Book Antiqua" w:hAnsi="Book Antiqua" w:cs="Book Antiqua"/>
          <w:i/>
          <w:color w:val="000000"/>
          <w:sz w:val="24"/>
          <w:lang w:val="en-US"/>
        </w:rPr>
        <w:t>vs</w:t>
      </w:r>
      <w:r w:rsidRPr="0049621B">
        <w:rPr>
          <w:rFonts w:ascii="Book Antiqua" w:hAnsi="Book Antiqua" w:cs="Book Antiqua"/>
          <w:color w:val="000000"/>
          <w:sz w:val="24"/>
          <w:lang w:val="en-US"/>
        </w:rPr>
        <w:t xml:space="preserve"> CHOW group; </w:t>
      </w:r>
      <w:r w:rsidRPr="0049621B">
        <w:rPr>
          <w:rFonts w:ascii="Book Antiqua" w:hAnsi="Book Antiqua" w:cs="Book Antiqua"/>
          <w:color w:val="000000"/>
          <w:sz w:val="24"/>
          <w:vertAlign w:val="superscript"/>
          <w:lang w:val="en-US"/>
        </w:rPr>
        <w:t>b</w:t>
      </w:r>
      <w:r w:rsidRPr="0049621B">
        <w:rPr>
          <w:rFonts w:ascii="Book Antiqua" w:hAnsi="Book Antiqua" w:cs="Book Antiqua"/>
          <w:i/>
          <w:iCs/>
          <w:color w:val="000000"/>
          <w:sz w:val="24"/>
          <w:lang w:val="en-US"/>
        </w:rPr>
        <w:t xml:space="preserve">P </w:t>
      </w:r>
      <w:r w:rsidRPr="0049621B">
        <w:rPr>
          <w:rFonts w:ascii="Book Antiqua" w:hAnsi="Book Antiqua" w:cs="Book Antiqua"/>
          <w:color w:val="000000"/>
          <w:sz w:val="24"/>
          <w:lang w:val="en-US"/>
        </w:rPr>
        <w:t xml:space="preserve">&lt; 0.05 </w:t>
      </w:r>
      <w:r w:rsidR="00D97EFD" w:rsidRPr="0049621B">
        <w:rPr>
          <w:rFonts w:ascii="Book Antiqua" w:hAnsi="Book Antiqua" w:cs="Book Antiqua"/>
          <w:i/>
          <w:color w:val="000000"/>
          <w:sz w:val="24"/>
          <w:lang w:val="en-US"/>
        </w:rPr>
        <w:t>vs</w:t>
      </w:r>
      <w:r w:rsidRPr="0049621B">
        <w:rPr>
          <w:rFonts w:ascii="Book Antiqua" w:hAnsi="Book Antiqua" w:cs="Book Antiqua"/>
          <w:color w:val="000000"/>
          <w:sz w:val="24"/>
          <w:lang w:val="en-US"/>
        </w:rPr>
        <w:t xml:space="preserve"> </w:t>
      </w:r>
      <w:r w:rsidR="00D97EFD" w:rsidRPr="0049621B">
        <w:rPr>
          <w:rFonts w:ascii="Book Antiqua" w:hAnsi="Book Antiqua" w:cs="Book Antiqua"/>
          <w:color w:val="000000"/>
          <w:sz w:val="24"/>
          <w:lang w:val="en-US" w:eastAsia="zh-CN"/>
        </w:rPr>
        <w:t>high-fat-cholesterol diet</w:t>
      </w:r>
      <w:r w:rsidRPr="0049621B">
        <w:rPr>
          <w:rFonts w:ascii="Book Antiqua" w:hAnsi="Book Antiqua" w:cs="Book Antiqua"/>
          <w:color w:val="000000"/>
          <w:sz w:val="24"/>
          <w:lang w:val="en-US"/>
        </w:rPr>
        <w:t xml:space="preserve"> group.</w:t>
      </w:r>
      <w:r w:rsidRPr="0049621B">
        <w:rPr>
          <w:rFonts w:ascii="Book Antiqua" w:hAnsi="Book Antiqua" w:cs="Book Antiqua"/>
          <w:color w:val="000000"/>
          <w:sz w:val="24"/>
          <w:lang w:val="en-US" w:eastAsia="zh-CN"/>
        </w:rPr>
        <w:t xml:space="preserve"> </w:t>
      </w:r>
      <w:r w:rsidR="00D97EFD" w:rsidRPr="0049621B">
        <w:rPr>
          <w:rFonts w:ascii="Book Antiqua" w:hAnsi="Book Antiqua" w:cs="Book Antiqua"/>
          <w:color w:val="000000"/>
          <w:sz w:val="24"/>
          <w:lang w:val="en-US" w:eastAsia="zh-CN"/>
        </w:rPr>
        <w:t>HCD: High-fat-cholesterol diet; PB2: Procyanidin B2;</w:t>
      </w:r>
      <w:r w:rsidRPr="0049621B">
        <w:rPr>
          <w:rFonts w:ascii="Book Antiqua" w:hAnsi="Book Antiqua" w:cs="Book Antiqua"/>
          <w:color w:val="000000"/>
          <w:sz w:val="24"/>
          <w:lang w:val="en-US" w:eastAsia="zh-CN"/>
        </w:rPr>
        <w:t xml:space="preserve"> LDL-C: </w:t>
      </w:r>
      <w:r w:rsidR="00D97EFD" w:rsidRPr="0049621B">
        <w:rPr>
          <w:rFonts w:ascii="Book Antiqua" w:hAnsi="Book Antiqua" w:cs="Book Antiqua"/>
          <w:color w:val="000000"/>
          <w:sz w:val="24"/>
          <w:lang w:val="en-US"/>
        </w:rPr>
        <w:t>L</w:t>
      </w:r>
      <w:r w:rsidRPr="0049621B">
        <w:rPr>
          <w:rFonts w:ascii="Book Antiqua" w:hAnsi="Book Antiqua" w:cs="Book Antiqua"/>
          <w:color w:val="000000"/>
          <w:sz w:val="24"/>
          <w:lang w:val="en-US"/>
        </w:rPr>
        <w:t>ow-density lipoprotein cholesterol</w:t>
      </w:r>
      <w:r w:rsidR="00D97EFD" w:rsidRPr="0049621B">
        <w:rPr>
          <w:rFonts w:ascii="Book Antiqua" w:hAnsi="Book Antiqua" w:cs="Book Antiqua"/>
          <w:color w:val="000000"/>
          <w:sz w:val="24"/>
          <w:lang w:val="en-US" w:eastAsia="zh-CN"/>
        </w:rPr>
        <w:t>;</w:t>
      </w:r>
      <w:r w:rsidRPr="0049621B">
        <w:rPr>
          <w:rFonts w:ascii="Book Antiqua" w:hAnsi="Book Antiqua" w:cs="Book Antiqua"/>
          <w:color w:val="000000"/>
          <w:sz w:val="24"/>
          <w:lang w:val="en-US" w:eastAsia="zh-CN"/>
        </w:rPr>
        <w:t xml:space="preserve"> HDL-C: </w:t>
      </w:r>
      <w:r w:rsidR="00D97EFD" w:rsidRPr="0049621B">
        <w:rPr>
          <w:rFonts w:ascii="Book Antiqua" w:hAnsi="Book Antiqua"/>
          <w:color w:val="000000"/>
          <w:sz w:val="24"/>
          <w:lang w:val="en-US"/>
        </w:rPr>
        <w:t>H</w:t>
      </w:r>
      <w:r w:rsidRPr="0049621B">
        <w:rPr>
          <w:rFonts w:ascii="Book Antiqua" w:hAnsi="Book Antiqua"/>
          <w:color w:val="000000"/>
          <w:sz w:val="24"/>
          <w:lang w:val="en-US"/>
        </w:rPr>
        <w:t>igh-density lipoprotein cholesterol</w:t>
      </w:r>
      <w:r w:rsidR="00D97EFD" w:rsidRPr="0049621B">
        <w:rPr>
          <w:rFonts w:ascii="Book Antiqua" w:hAnsi="Book Antiqua"/>
          <w:color w:val="000000"/>
          <w:sz w:val="24"/>
          <w:lang w:val="en-US" w:eastAsia="zh-CN"/>
        </w:rPr>
        <w:t>;</w:t>
      </w:r>
      <w:r w:rsidRPr="0049621B">
        <w:rPr>
          <w:rFonts w:ascii="Book Antiqua" w:hAnsi="Book Antiqua"/>
          <w:color w:val="000000"/>
          <w:sz w:val="24"/>
          <w:lang w:val="en-US" w:eastAsia="zh-CN"/>
        </w:rPr>
        <w:t xml:space="preserve"> IVGTT: </w:t>
      </w:r>
      <w:r w:rsidR="00D97EFD" w:rsidRPr="0049621B">
        <w:rPr>
          <w:rFonts w:ascii="Book Antiqua" w:hAnsi="Book Antiqua" w:cs="Book Antiqua"/>
          <w:color w:val="000000"/>
          <w:sz w:val="24"/>
          <w:lang w:val="en-US" w:eastAsia="zh-CN"/>
        </w:rPr>
        <w:t>I</w:t>
      </w:r>
      <w:r w:rsidRPr="0049621B">
        <w:rPr>
          <w:rFonts w:ascii="Book Antiqua" w:hAnsi="Book Antiqua"/>
          <w:color w:val="000000"/>
          <w:sz w:val="24"/>
          <w:lang w:val="en-US"/>
        </w:rPr>
        <w:t>ntravenous glucose tolerance test</w:t>
      </w:r>
      <w:r w:rsidR="00D97EFD" w:rsidRPr="0049621B">
        <w:rPr>
          <w:rFonts w:ascii="Book Antiqua" w:hAnsi="Book Antiqua"/>
          <w:color w:val="000000"/>
          <w:sz w:val="24"/>
          <w:lang w:val="en-US" w:eastAsia="zh-CN"/>
        </w:rPr>
        <w:t>;</w:t>
      </w:r>
      <w:r w:rsidRPr="0049621B">
        <w:rPr>
          <w:rFonts w:ascii="Book Antiqua" w:hAnsi="Book Antiqua"/>
          <w:color w:val="000000"/>
          <w:sz w:val="24"/>
          <w:lang w:val="en-US" w:eastAsia="zh-CN"/>
        </w:rPr>
        <w:t xml:space="preserve"> AUC: </w:t>
      </w:r>
      <w:r w:rsidR="00D97EFD" w:rsidRPr="0049621B">
        <w:rPr>
          <w:rFonts w:ascii="Book Antiqua" w:hAnsi="Book Antiqua"/>
          <w:color w:val="000000"/>
          <w:sz w:val="24"/>
          <w:lang w:val="en-US"/>
        </w:rPr>
        <w:t>A</w:t>
      </w:r>
      <w:r w:rsidRPr="0049621B">
        <w:rPr>
          <w:rFonts w:ascii="Book Antiqua" w:hAnsi="Book Antiqua"/>
          <w:color w:val="000000"/>
          <w:sz w:val="24"/>
          <w:lang w:val="en-US"/>
        </w:rPr>
        <w:t>rea under the curve</w:t>
      </w:r>
      <w:r w:rsidR="00D97EFD" w:rsidRPr="0049621B">
        <w:rPr>
          <w:rFonts w:ascii="Book Antiqua" w:hAnsi="Book Antiqua"/>
          <w:color w:val="000000"/>
          <w:sz w:val="24"/>
          <w:lang w:val="en-US" w:eastAsia="zh-CN"/>
        </w:rPr>
        <w:t>;</w:t>
      </w:r>
      <w:r w:rsidRPr="0049621B">
        <w:rPr>
          <w:rFonts w:ascii="Book Antiqua" w:hAnsi="Book Antiqua"/>
          <w:color w:val="000000"/>
          <w:sz w:val="24"/>
          <w:lang w:val="en-US" w:eastAsia="zh-CN"/>
        </w:rPr>
        <w:t xml:space="preserve"> LPS: </w:t>
      </w:r>
      <w:bookmarkStart w:id="136" w:name="OLE_LINK10"/>
      <w:bookmarkStart w:id="137" w:name="OLE_LINK58"/>
      <w:r w:rsidR="00D97EFD" w:rsidRPr="0049621B">
        <w:rPr>
          <w:rFonts w:ascii="Book Antiqua" w:hAnsi="Book Antiqua"/>
          <w:color w:val="000000"/>
          <w:sz w:val="24"/>
          <w:lang w:val="en-US" w:eastAsia="zh-CN"/>
        </w:rPr>
        <w:t>L</w:t>
      </w:r>
      <w:r w:rsidRPr="0049621B">
        <w:rPr>
          <w:rFonts w:ascii="Book Antiqua" w:hAnsi="Book Antiqua"/>
          <w:color w:val="000000"/>
          <w:sz w:val="24"/>
          <w:lang w:val="en-US"/>
        </w:rPr>
        <w:t>ipopolysaccharides</w:t>
      </w:r>
      <w:bookmarkEnd w:id="136"/>
      <w:bookmarkEnd w:id="137"/>
      <w:r w:rsidR="004A5A48" w:rsidRPr="0049621B">
        <w:rPr>
          <w:rFonts w:ascii="Book Antiqua" w:hAnsi="Book Antiqua"/>
          <w:color w:val="000000"/>
          <w:sz w:val="24"/>
          <w:lang w:val="en-US"/>
        </w:rPr>
        <w:t>; SD: Standard deviation</w:t>
      </w:r>
      <w:r w:rsidRPr="0049621B">
        <w:rPr>
          <w:rFonts w:ascii="Book Antiqua" w:hAnsi="Book Antiqua"/>
          <w:color w:val="000000"/>
          <w:sz w:val="24"/>
          <w:lang w:val="en-US" w:eastAsia="zh-CN"/>
        </w:rPr>
        <w:t>.</w:t>
      </w:r>
    </w:p>
    <w:p w:rsidR="00242092" w:rsidRPr="0049621B" w:rsidRDefault="00245D34" w:rsidP="0049621B">
      <w:pPr>
        <w:pStyle w:val="EndNoteBibliography"/>
        <w:adjustRightInd w:val="0"/>
        <w:snapToGrid w:val="0"/>
        <w:spacing w:line="360" w:lineRule="auto"/>
        <w:rPr>
          <w:rFonts w:ascii="Book Antiqua" w:hAnsi="Book Antiqua"/>
          <w:color w:val="000000"/>
          <w:sz w:val="24"/>
          <w:lang w:val="en-US" w:eastAsia="zh-CN"/>
        </w:rPr>
      </w:pPr>
      <w:r>
        <w:rPr>
          <w:rFonts w:ascii="Book Antiqua" w:hAnsi="Book Antiqua"/>
          <w:noProof/>
          <w:color w:val="000000"/>
          <w:sz w:val="24"/>
          <w:lang w:val="en-US" w:eastAsia="zh-CN"/>
        </w:rPr>
        <w:lastRenderedPageBreak/>
        <w:drawing>
          <wp:inline distT="0" distB="0" distL="0" distR="0">
            <wp:extent cx="5612130" cy="5514975"/>
            <wp:effectExtent l="0" t="0" r="7620" b="9525"/>
            <wp:docPr id="3" name="图片 8" descr="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Fig.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2130" cy="5514975"/>
                    </a:xfrm>
                    <a:prstGeom prst="rect">
                      <a:avLst/>
                    </a:prstGeom>
                    <a:noFill/>
                    <a:ln>
                      <a:noFill/>
                    </a:ln>
                  </pic:spPr>
                </pic:pic>
              </a:graphicData>
            </a:graphic>
          </wp:inline>
        </w:drawing>
      </w:r>
    </w:p>
    <w:p w:rsidR="00242092" w:rsidRPr="0049621B" w:rsidRDefault="00242092" w:rsidP="0049621B">
      <w:pPr>
        <w:pStyle w:val="EndNoteBibliography"/>
        <w:adjustRightInd w:val="0"/>
        <w:snapToGrid w:val="0"/>
        <w:spacing w:line="360" w:lineRule="auto"/>
        <w:rPr>
          <w:rFonts w:ascii="Book Antiqua" w:hAnsi="Book Antiqua" w:cs="Book Antiqua"/>
          <w:color w:val="000000"/>
          <w:sz w:val="24"/>
          <w:lang w:val="en-US" w:eastAsia="zh-CN"/>
        </w:rPr>
      </w:pPr>
      <w:r w:rsidRPr="0049621B">
        <w:rPr>
          <w:rFonts w:ascii="Book Antiqua" w:hAnsi="Book Antiqua" w:cs="Book Antiqua"/>
          <w:b/>
          <w:bCs/>
          <w:color w:val="000000"/>
          <w:sz w:val="24"/>
          <w:lang w:val="en-US" w:eastAsia="zh-CN"/>
        </w:rPr>
        <w:t>Figure 3 Effects of procyanidin B2</w:t>
      </w:r>
      <w:r w:rsidR="00854FEF" w:rsidRPr="0049621B">
        <w:rPr>
          <w:rFonts w:ascii="Book Antiqua" w:hAnsi="Book Antiqua" w:cs="Book Antiqua"/>
          <w:b/>
          <w:bCs/>
          <w:color w:val="000000"/>
          <w:sz w:val="24"/>
          <w:lang w:val="en-US" w:eastAsia="zh-CN"/>
        </w:rPr>
        <w:t xml:space="preserve"> </w:t>
      </w:r>
      <w:r w:rsidRPr="0049621B">
        <w:rPr>
          <w:rFonts w:ascii="Book Antiqua" w:hAnsi="Book Antiqua" w:cs="Book Antiqua"/>
          <w:b/>
          <w:bCs/>
          <w:color w:val="000000"/>
          <w:sz w:val="24"/>
          <w:lang w:val="en-US" w:eastAsia="zh-CN"/>
        </w:rPr>
        <w:t>on hepatic steatosis.</w:t>
      </w:r>
      <w:r w:rsidR="00854FEF" w:rsidRPr="0049621B">
        <w:rPr>
          <w:rFonts w:ascii="Book Antiqua" w:hAnsi="Book Antiqua" w:cs="Book Antiqua"/>
          <w:color w:val="000000"/>
          <w:sz w:val="24"/>
          <w:lang w:val="en-US" w:eastAsia="zh-CN"/>
        </w:rPr>
        <w:t xml:space="preserve"> A:</w:t>
      </w:r>
      <w:r w:rsidRPr="0049621B">
        <w:rPr>
          <w:rFonts w:ascii="Book Antiqua" w:hAnsi="Book Antiqua" w:cs="Book Antiqua"/>
          <w:color w:val="000000"/>
          <w:sz w:val="24"/>
          <w:lang w:val="en-US" w:eastAsia="zh-CN"/>
        </w:rPr>
        <w:t xml:space="preserve"> </w:t>
      </w:r>
      <w:r w:rsidR="00854FEF" w:rsidRPr="0049621B">
        <w:rPr>
          <w:rFonts w:ascii="Book Antiqua" w:hAnsi="Book Antiqua" w:cs="Book Antiqua"/>
          <w:color w:val="000000"/>
          <w:sz w:val="24"/>
          <w:lang w:val="en-US"/>
        </w:rPr>
        <w:t>Hematoxylin and eosin staining</w:t>
      </w:r>
      <w:r w:rsidRPr="0049621B">
        <w:rPr>
          <w:rFonts w:ascii="Book Antiqua" w:hAnsi="Book Antiqua" w:cs="Book Antiqua"/>
          <w:color w:val="000000"/>
          <w:sz w:val="24"/>
          <w:lang w:val="en-US" w:eastAsia="zh-CN"/>
        </w:rPr>
        <w:t xml:space="preserve"> of liver in CHOW group, HCD group and </w:t>
      </w:r>
      <w:r w:rsidR="00854FEF" w:rsidRPr="0049621B">
        <w:rPr>
          <w:rFonts w:ascii="Book Antiqua" w:hAnsi="Book Antiqua" w:cs="Book Antiqua"/>
          <w:color w:val="000000"/>
          <w:sz w:val="24"/>
          <w:lang w:val="en-US" w:eastAsia="zh-CN"/>
        </w:rPr>
        <w:t>procyanidin B2 group</w:t>
      </w:r>
      <w:r w:rsidR="0049621B">
        <w:rPr>
          <w:rFonts w:ascii="Book Antiqua" w:hAnsi="Book Antiqua" w:cs="Book Antiqua"/>
          <w:color w:val="000000"/>
          <w:sz w:val="24"/>
          <w:lang w:val="en-US" w:eastAsia="zh-CN"/>
        </w:rPr>
        <w:t>;</w:t>
      </w:r>
      <w:r w:rsidR="00854FEF" w:rsidRPr="0049621B">
        <w:rPr>
          <w:rFonts w:ascii="Book Antiqua" w:hAnsi="Book Antiqua" w:cs="Book Antiqua"/>
          <w:color w:val="000000"/>
          <w:sz w:val="24"/>
          <w:lang w:val="en-US" w:eastAsia="zh-CN"/>
        </w:rPr>
        <w:t xml:space="preserve"> B:</w:t>
      </w:r>
      <w:r w:rsidRPr="0049621B">
        <w:rPr>
          <w:rFonts w:ascii="Book Antiqua" w:hAnsi="Book Antiqua" w:cs="Book Antiqua"/>
          <w:color w:val="000000"/>
          <w:sz w:val="24"/>
          <w:lang w:val="en-US" w:eastAsia="zh-CN"/>
        </w:rPr>
        <w:t xml:space="preserve"> Liver weight</w:t>
      </w:r>
      <w:r w:rsidR="0049621B">
        <w:rPr>
          <w:rFonts w:ascii="Book Antiqua" w:hAnsi="Book Antiqua" w:cs="Book Antiqua"/>
          <w:color w:val="000000"/>
          <w:sz w:val="24"/>
          <w:lang w:val="en-US" w:eastAsia="zh-CN"/>
        </w:rPr>
        <w:t>;</w:t>
      </w:r>
      <w:r w:rsidRPr="0049621B">
        <w:rPr>
          <w:rFonts w:ascii="Book Antiqua" w:hAnsi="Book Antiqua" w:cs="Book Antiqua"/>
          <w:color w:val="000000"/>
          <w:sz w:val="24"/>
          <w:lang w:val="en-US" w:eastAsia="zh-CN"/>
        </w:rPr>
        <w:t xml:space="preserve"> </w:t>
      </w:r>
      <w:r w:rsidR="00854FEF" w:rsidRPr="0049621B">
        <w:rPr>
          <w:rFonts w:ascii="Book Antiqua" w:hAnsi="Book Antiqua" w:cs="Book Antiqua"/>
          <w:color w:val="000000"/>
          <w:sz w:val="24"/>
          <w:lang w:val="en-US" w:eastAsia="zh-CN"/>
        </w:rPr>
        <w:t>C:</w:t>
      </w:r>
      <w:r w:rsidRPr="0049621B">
        <w:rPr>
          <w:rFonts w:ascii="Book Antiqua" w:hAnsi="Book Antiqua" w:cs="Book Antiqua"/>
          <w:color w:val="000000"/>
          <w:sz w:val="24"/>
          <w:lang w:val="en-US" w:eastAsia="zh-CN"/>
        </w:rPr>
        <w:t xml:space="preserve"> </w:t>
      </w:r>
      <w:r w:rsidR="00854FEF" w:rsidRPr="0049621B">
        <w:rPr>
          <w:rFonts w:ascii="Book Antiqua" w:hAnsi="Book Antiqua" w:cs="Book Antiqua"/>
          <w:color w:val="000000"/>
          <w:sz w:val="24"/>
          <w:lang w:val="en-US" w:eastAsia="zh-CN"/>
        </w:rPr>
        <w:t>Alanine transaminase</w:t>
      </w:r>
      <w:r w:rsidR="0049621B">
        <w:rPr>
          <w:rFonts w:ascii="Book Antiqua" w:hAnsi="Book Antiqua" w:cs="Book Antiqua"/>
          <w:color w:val="000000"/>
          <w:sz w:val="24"/>
          <w:lang w:val="en-US" w:eastAsia="zh-CN"/>
        </w:rPr>
        <w:t>;</w:t>
      </w:r>
      <w:r w:rsidR="00854FEF" w:rsidRPr="0049621B">
        <w:rPr>
          <w:rFonts w:ascii="Book Antiqua" w:hAnsi="Book Antiqua" w:cs="Book Antiqua"/>
          <w:color w:val="000000"/>
          <w:sz w:val="24"/>
          <w:lang w:val="en-US" w:eastAsia="zh-CN"/>
        </w:rPr>
        <w:t xml:space="preserve"> D:</w:t>
      </w:r>
      <w:r w:rsidRPr="0049621B">
        <w:rPr>
          <w:rFonts w:ascii="Book Antiqua" w:hAnsi="Book Antiqua" w:cs="Book Antiqua"/>
          <w:color w:val="000000"/>
          <w:sz w:val="24"/>
          <w:lang w:val="en-US" w:eastAsia="zh-CN"/>
        </w:rPr>
        <w:t xml:space="preserve"> </w:t>
      </w:r>
      <w:r w:rsidR="00854FEF" w:rsidRPr="0049621B">
        <w:rPr>
          <w:rFonts w:ascii="Book Antiqua" w:hAnsi="Book Antiqua" w:cs="Book Antiqua"/>
          <w:color w:val="000000"/>
          <w:sz w:val="24"/>
          <w:lang w:val="en-US" w:eastAsia="zh-CN"/>
        </w:rPr>
        <w:t>Aspartate transaminase</w:t>
      </w:r>
      <w:r w:rsidR="0049621B">
        <w:rPr>
          <w:rFonts w:ascii="Book Antiqua" w:hAnsi="Book Antiqua" w:cs="Book Antiqua"/>
          <w:color w:val="000000"/>
          <w:sz w:val="24"/>
          <w:lang w:val="en-US" w:eastAsia="zh-CN"/>
        </w:rPr>
        <w:t>;</w:t>
      </w:r>
      <w:r w:rsidR="00854FEF" w:rsidRPr="0049621B">
        <w:rPr>
          <w:rFonts w:ascii="Book Antiqua" w:hAnsi="Book Antiqua" w:cs="Book Antiqua"/>
          <w:color w:val="000000"/>
          <w:sz w:val="24"/>
          <w:lang w:val="en-US" w:eastAsia="zh-CN"/>
        </w:rPr>
        <w:t xml:space="preserve"> E:</w:t>
      </w:r>
      <w:r w:rsidRPr="0049621B">
        <w:rPr>
          <w:rFonts w:ascii="Book Antiqua" w:hAnsi="Book Antiqua" w:cs="Book Antiqua"/>
          <w:color w:val="000000"/>
          <w:sz w:val="24"/>
          <w:lang w:val="en-US" w:eastAsia="zh-CN"/>
        </w:rPr>
        <w:t xml:space="preserve"> Relative expression levels of </w:t>
      </w:r>
      <w:r w:rsidR="00854FEF" w:rsidRPr="0049621B">
        <w:rPr>
          <w:rFonts w:ascii="Book Antiqua" w:hAnsi="Book Antiqua"/>
          <w:color w:val="000000"/>
          <w:sz w:val="24"/>
          <w:lang w:val="en-US"/>
        </w:rPr>
        <w:t>steroid response element binding protein 1c</w:t>
      </w:r>
      <w:r w:rsidR="0049621B">
        <w:rPr>
          <w:rFonts w:ascii="Book Antiqua" w:hAnsi="Book Antiqua" w:cs="Book Antiqua"/>
          <w:color w:val="000000"/>
          <w:sz w:val="24"/>
          <w:lang w:val="en-US" w:eastAsia="zh-CN"/>
        </w:rPr>
        <w:t>;</w:t>
      </w:r>
      <w:r w:rsidR="00854FEF" w:rsidRPr="0049621B">
        <w:rPr>
          <w:rFonts w:ascii="Book Antiqua" w:hAnsi="Book Antiqua" w:cs="Book Antiqua"/>
          <w:color w:val="000000"/>
          <w:sz w:val="24"/>
          <w:lang w:val="en-US" w:eastAsia="zh-CN"/>
        </w:rPr>
        <w:t xml:space="preserve"> F:</w:t>
      </w:r>
      <w:r w:rsidRPr="0049621B">
        <w:rPr>
          <w:rFonts w:ascii="Book Antiqua" w:hAnsi="Book Antiqua" w:cs="Book Antiqua"/>
          <w:color w:val="000000"/>
          <w:sz w:val="24"/>
          <w:lang w:val="en-US" w:eastAsia="zh-CN"/>
        </w:rPr>
        <w:t xml:space="preserve"> Relative expression levels of </w:t>
      </w:r>
      <w:r w:rsidR="00854FEF" w:rsidRPr="0049621B">
        <w:rPr>
          <w:rFonts w:ascii="Book Antiqua" w:hAnsi="Book Antiqua"/>
          <w:color w:val="000000"/>
          <w:sz w:val="24"/>
          <w:lang w:val="en-US"/>
        </w:rPr>
        <w:t>fatty acid synthase</w:t>
      </w:r>
      <w:r w:rsidR="0049621B">
        <w:rPr>
          <w:rFonts w:ascii="Book Antiqua" w:hAnsi="Book Antiqua" w:cs="Book Antiqua"/>
          <w:color w:val="000000"/>
          <w:sz w:val="24"/>
          <w:lang w:val="en-US" w:eastAsia="zh-CN"/>
        </w:rPr>
        <w:t>;</w:t>
      </w:r>
      <w:r w:rsidR="00854FEF" w:rsidRPr="0049621B">
        <w:rPr>
          <w:rFonts w:ascii="Book Antiqua" w:hAnsi="Book Antiqua" w:cs="Book Antiqua"/>
          <w:color w:val="000000"/>
          <w:sz w:val="24"/>
          <w:lang w:val="en-US" w:eastAsia="zh-CN"/>
        </w:rPr>
        <w:t xml:space="preserve"> G:</w:t>
      </w:r>
      <w:r w:rsidRPr="0049621B">
        <w:rPr>
          <w:rFonts w:ascii="Book Antiqua" w:hAnsi="Book Antiqua" w:cs="Book Antiqua"/>
          <w:color w:val="000000"/>
          <w:sz w:val="24"/>
          <w:lang w:val="en-US" w:eastAsia="zh-CN"/>
        </w:rPr>
        <w:t xml:space="preserve"> Relative expression levels of </w:t>
      </w:r>
      <w:r w:rsidR="00854FEF" w:rsidRPr="0049621B">
        <w:rPr>
          <w:rFonts w:ascii="Book Antiqua" w:hAnsi="Book Antiqua"/>
          <w:color w:val="000000"/>
          <w:sz w:val="24"/>
          <w:lang w:val="en-US"/>
        </w:rPr>
        <w:t>carnitine palmitoyltransferase</w:t>
      </w:r>
      <w:r w:rsidRPr="0049621B">
        <w:rPr>
          <w:rFonts w:ascii="Book Antiqua" w:hAnsi="Book Antiqua" w:cs="Book Antiqua"/>
          <w:color w:val="000000"/>
          <w:sz w:val="24"/>
          <w:lang w:val="en-US" w:eastAsia="zh-CN"/>
        </w:rPr>
        <w:t xml:space="preserve">. The data are expressed as means ± SD. </w:t>
      </w:r>
      <w:r w:rsidRPr="0049621B">
        <w:rPr>
          <w:rFonts w:ascii="Book Antiqua" w:hAnsi="Book Antiqua" w:cs="Book Antiqua"/>
          <w:color w:val="000000"/>
          <w:sz w:val="24"/>
          <w:vertAlign w:val="superscript"/>
          <w:lang w:val="en-US" w:eastAsia="zh-CN"/>
        </w:rPr>
        <w:t>a</w:t>
      </w:r>
      <w:r w:rsidRPr="0049621B">
        <w:rPr>
          <w:rFonts w:ascii="Book Antiqua" w:hAnsi="Book Antiqua" w:cs="Book Antiqua"/>
          <w:i/>
          <w:iCs/>
          <w:color w:val="000000"/>
          <w:sz w:val="24"/>
          <w:lang w:val="en-US" w:eastAsia="zh-CN"/>
        </w:rPr>
        <w:t>P</w:t>
      </w:r>
      <w:r w:rsidRPr="0049621B">
        <w:rPr>
          <w:rFonts w:ascii="Book Antiqua" w:hAnsi="Book Antiqua" w:cs="Book Antiqua"/>
          <w:color w:val="000000"/>
          <w:sz w:val="24"/>
          <w:lang w:val="en-US" w:eastAsia="zh-CN"/>
        </w:rPr>
        <w:t xml:space="preserve"> &lt; 0.05 </w:t>
      </w:r>
      <w:r w:rsidR="00854FEF" w:rsidRPr="0049621B">
        <w:rPr>
          <w:rFonts w:ascii="Book Antiqua" w:hAnsi="Book Antiqua" w:cs="Book Antiqua"/>
          <w:i/>
          <w:color w:val="000000"/>
          <w:sz w:val="24"/>
          <w:lang w:val="en-US" w:eastAsia="zh-CN"/>
        </w:rPr>
        <w:t>vs</w:t>
      </w:r>
      <w:r w:rsidRPr="0049621B">
        <w:rPr>
          <w:rFonts w:ascii="Book Antiqua" w:hAnsi="Book Antiqua" w:cs="Book Antiqua"/>
          <w:color w:val="000000"/>
          <w:sz w:val="24"/>
          <w:lang w:val="en-US" w:eastAsia="zh-CN"/>
        </w:rPr>
        <w:t xml:space="preserve"> CHOW group; </w:t>
      </w:r>
      <w:r w:rsidRPr="0049621B">
        <w:rPr>
          <w:rFonts w:ascii="Book Antiqua" w:hAnsi="Book Antiqua" w:cs="Book Antiqua"/>
          <w:color w:val="000000"/>
          <w:sz w:val="24"/>
          <w:vertAlign w:val="superscript"/>
          <w:lang w:val="en-US" w:eastAsia="zh-CN"/>
        </w:rPr>
        <w:t>b</w:t>
      </w:r>
      <w:r w:rsidRPr="0049621B">
        <w:rPr>
          <w:rFonts w:ascii="Book Antiqua" w:hAnsi="Book Antiqua" w:cs="Book Antiqua"/>
          <w:i/>
          <w:iCs/>
          <w:color w:val="000000"/>
          <w:sz w:val="24"/>
          <w:lang w:val="en-US" w:eastAsia="zh-CN"/>
        </w:rPr>
        <w:t>P</w:t>
      </w:r>
      <w:r w:rsidRPr="0049621B">
        <w:rPr>
          <w:rFonts w:ascii="Book Antiqua" w:hAnsi="Book Antiqua" w:cs="Book Antiqua"/>
          <w:color w:val="000000"/>
          <w:sz w:val="24"/>
          <w:lang w:val="en-US" w:eastAsia="zh-CN"/>
        </w:rPr>
        <w:t xml:space="preserve"> &lt; 0.05 </w:t>
      </w:r>
      <w:r w:rsidR="00854FEF" w:rsidRPr="0049621B">
        <w:rPr>
          <w:rFonts w:ascii="Book Antiqua" w:hAnsi="Book Antiqua" w:cs="Book Antiqua"/>
          <w:i/>
          <w:color w:val="000000"/>
          <w:sz w:val="24"/>
          <w:lang w:val="en-US" w:eastAsia="zh-CN"/>
        </w:rPr>
        <w:t>vs</w:t>
      </w:r>
      <w:r w:rsidRPr="0049621B">
        <w:rPr>
          <w:rFonts w:ascii="Book Antiqua" w:hAnsi="Book Antiqua" w:cs="Book Antiqua"/>
          <w:color w:val="000000"/>
          <w:sz w:val="24"/>
          <w:lang w:val="en-US" w:eastAsia="zh-CN"/>
        </w:rPr>
        <w:t xml:space="preserve"> HCD group. </w:t>
      </w:r>
      <w:r w:rsidR="00854FEF" w:rsidRPr="0049621B">
        <w:rPr>
          <w:rFonts w:ascii="Book Antiqua" w:hAnsi="Book Antiqua" w:cs="Book Antiqua"/>
          <w:color w:val="000000"/>
          <w:sz w:val="24"/>
          <w:lang w:val="en-US" w:eastAsia="zh-CN"/>
        </w:rPr>
        <w:t>HCD: High-fat-cholesterol diet; PB2: P</w:t>
      </w:r>
      <w:r w:rsidRPr="0049621B">
        <w:rPr>
          <w:rFonts w:ascii="Book Antiqua" w:hAnsi="Book Antiqua" w:cs="Book Antiqua"/>
          <w:color w:val="000000"/>
          <w:sz w:val="24"/>
          <w:lang w:val="en-US" w:eastAsia="zh-CN"/>
        </w:rPr>
        <w:t>roc</w:t>
      </w:r>
      <w:r w:rsidR="00854FEF" w:rsidRPr="0049621B">
        <w:rPr>
          <w:rFonts w:ascii="Book Antiqua" w:hAnsi="Book Antiqua" w:cs="Book Antiqua"/>
          <w:color w:val="000000"/>
          <w:sz w:val="24"/>
          <w:lang w:val="en-US" w:eastAsia="zh-CN"/>
        </w:rPr>
        <w:t>yanidin B2; ALT: Alanine transaminase; AST: Aspartate transaminase;</w:t>
      </w:r>
      <w:r w:rsidRPr="0049621B">
        <w:rPr>
          <w:rFonts w:ascii="Book Antiqua" w:hAnsi="Book Antiqua" w:cs="Book Antiqua"/>
          <w:color w:val="000000"/>
          <w:sz w:val="24"/>
          <w:lang w:val="en-US" w:eastAsia="zh-CN"/>
        </w:rPr>
        <w:t xml:space="preserve"> SREBP-1c: </w:t>
      </w:r>
      <w:r w:rsidR="00854FEF" w:rsidRPr="0049621B">
        <w:rPr>
          <w:rFonts w:ascii="Book Antiqua" w:hAnsi="Book Antiqua"/>
          <w:color w:val="000000"/>
          <w:sz w:val="24"/>
          <w:lang w:val="en-US"/>
        </w:rPr>
        <w:t>S</w:t>
      </w:r>
      <w:r w:rsidRPr="0049621B">
        <w:rPr>
          <w:rFonts w:ascii="Book Antiqua" w:hAnsi="Book Antiqua"/>
          <w:color w:val="000000"/>
          <w:sz w:val="24"/>
          <w:lang w:val="en-US"/>
        </w:rPr>
        <w:t>teroid response element binding protein 1c</w:t>
      </w:r>
      <w:r w:rsidR="00854FEF" w:rsidRPr="0049621B">
        <w:rPr>
          <w:rFonts w:ascii="Book Antiqua" w:hAnsi="Book Antiqua"/>
          <w:color w:val="000000"/>
          <w:sz w:val="24"/>
          <w:lang w:val="en-US" w:eastAsia="zh-CN"/>
        </w:rPr>
        <w:t>;</w:t>
      </w:r>
      <w:r w:rsidRPr="0049621B">
        <w:rPr>
          <w:rFonts w:ascii="Book Antiqua" w:hAnsi="Book Antiqua"/>
          <w:color w:val="000000"/>
          <w:sz w:val="24"/>
          <w:lang w:val="en-US" w:eastAsia="zh-CN"/>
        </w:rPr>
        <w:t xml:space="preserve"> FASN: </w:t>
      </w:r>
      <w:r w:rsidR="00854FEF" w:rsidRPr="0049621B">
        <w:rPr>
          <w:rFonts w:ascii="Book Antiqua" w:hAnsi="Book Antiqua"/>
          <w:color w:val="000000"/>
          <w:sz w:val="24"/>
          <w:lang w:val="en-US"/>
        </w:rPr>
        <w:t>F</w:t>
      </w:r>
      <w:r w:rsidRPr="0049621B">
        <w:rPr>
          <w:rFonts w:ascii="Book Antiqua" w:hAnsi="Book Antiqua"/>
          <w:color w:val="000000"/>
          <w:sz w:val="24"/>
          <w:lang w:val="en-US"/>
        </w:rPr>
        <w:t>atty acid synthase</w:t>
      </w:r>
      <w:r w:rsidR="00854FEF" w:rsidRPr="0049621B">
        <w:rPr>
          <w:rFonts w:ascii="Book Antiqua" w:hAnsi="Book Antiqua"/>
          <w:color w:val="000000"/>
          <w:sz w:val="24"/>
          <w:lang w:val="en-US" w:eastAsia="zh-CN"/>
        </w:rPr>
        <w:t>;</w:t>
      </w:r>
      <w:r w:rsidRPr="0049621B">
        <w:rPr>
          <w:rFonts w:ascii="Book Antiqua" w:hAnsi="Book Antiqua"/>
          <w:color w:val="000000"/>
          <w:sz w:val="24"/>
          <w:lang w:val="en-US" w:eastAsia="zh-CN"/>
        </w:rPr>
        <w:t xml:space="preserve"> CPT: </w:t>
      </w:r>
      <w:bookmarkStart w:id="138" w:name="OLE_LINK59"/>
      <w:bookmarkStart w:id="139" w:name="OLE_LINK60"/>
      <w:r w:rsidR="00854FEF" w:rsidRPr="0049621B">
        <w:rPr>
          <w:rFonts w:ascii="Book Antiqua" w:hAnsi="Book Antiqua"/>
          <w:color w:val="000000"/>
          <w:sz w:val="24"/>
          <w:lang w:val="en-US"/>
        </w:rPr>
        <w:t>C</w:t>
      </w:r>
      <w:r w:rsidRPr="0049621B">
        <w:rPr>
          <w:rFonts w:ascii="Book Antiqua" w:hAnsi="Book Antiqua"/>
          <w:color w:val="000000"/>
          <w:sz w:val="24"/>
          <w:lang w:val="en-US"/>
        </w:rPr>
        <w:t>arnitine palmitoyltransferase</w:t>
      </w:r>
      <w:bookmarkEnd w:id="138"/>
      <w:bookmarkEnd w:id="139"/>
      <w:r w:rsidR="004A5A48" w:rsidRPr="0049621B">
        <w:rPr>
          <w:rFonts w:ascii="Book Antiqua" w:hAnsi="Book Antiqua"/>
          <w:color w:val="000000"/>
          <w:sz w:val="24"/>
          <w:lang w:val="en-US"/>
        </w:rPr>
        <w:t>; SD: Standard deviation</w:t>
      </w:r>
      <w:r w:rsidRPr="0049621B">
        <w:rPr>
          <w:rFonts w:ascii="Book Antiqua" w:hAnsi="Book Antiqua"/>
          <w:color w:val="000000"/>
          <w:sz w:val="24"/>
          <w:lang w:val="en-US" w:eastAsia="zh-CN"/>
        </w:rPr>
        <w:t>.</w:t>
      </w:r>
    </w:p>
    <w:p w:rsidR="00242092" w:rsidRPr="0049621B" w:rsidRDefault="00FD1015" w:rsidP="0049621B">
      <w:pPr>
        <w:pStyle w:val="EndNoteBibliography"/>
        <w:adjustRightInd w:val="0"/>
        <w:snapToGrid w:val="0"/>
        <w:spacing w:line="360" w:lineRule="auto"/>
        <w:rPr>
          <w:rFonts w:ascii="Book Antiqua" w:hAnsi="Book Antiqua"/>
          <w:color w:val="000000"/>
          <w:sz w:val="24"/>
          <w:lang w:val="en-US" w:eastAsia="zh-CN"/>
        </w:rPr>
      </w:pPr>
      <w:r w:rsidRPr="0049621B">
        <w:rPr>
          <w:rFonts w:ascii="Book Antiqua" w:hAnsi="Book Antiqua"/>
          <w:color w:val="000000"/>
          <w:sz w:val="24"/>
          <w:lang w:val="en-US" w:eastAsia="zh-CN"/>
        </w:rPr>
        <w:br w:type="page"/>
      </w:r>
      <w:r w:rsidR="00245D34">
        <w:rPr>
          <w:rFonts w:ascii="Book Antiqua" w:hAnsi="Book Antiqua"/>
          <w:noProof/>
          <w:color w:val="000000"/>
          <w:sz w:val="24"/>
          <w:lang w:val="en-US" w:eastAsia="zh-CN"/>
        </w:rPr>
        <w:lastRenderedPageBreak/>
        <w:drawing>
          <wp:inline distT="0" distB="0" distL="0" distR="0">
            <wp:extent cx="5760720" cy="4320540"/>
            <wp:effectExtent l="0" t="0" r="0" b="381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242092" w:rsidRPr="0049621B" w:rsidRDefault="00242092" w:rsidP="0049621B">
      <w:pPr>
        <w:pStyle w:val="EndNoteBibliography"/>
        <w:adjustRightInd w:val="0"/>
        <w:snapToGrid w:val="0"/>
        <w:spacing w:line="360" w:lineRule="auto"/>
        <w:rPr>
          <w:rFonts w:ascii="Book Antiqua" w:hAnsi="Book Antiqua" w:cs="Book Antiqua"/>
          <w:color w:val="000000"/>
          <w:sz w:val="24"/>
          <w:lang w:val="en-US" w:eastAsia="zh-CN"/>
        </w:rPr>
      </w:pPr>
      <w:r w:rsidRPr="0049621B">
        <w:rPr>
          <w:rFonts w:ascii="Book Antiqua" w:hAnsi="Book Antiqua" w:cs="Book Antiqua"/>
          <w:b/>
          <w:bCs/>
          <w:color w:val="000000"/>
          <w:sz w:val="24"/>
          <w:lang w:val="en-US"/>
        </w:rPr>
        <w:t>Fig</w:t>
      </w:r>
      <w:r w:rsidRPr="0049621B">
        <w:rPr>
          <w:rFonts w:ascii="Book Antiqua" w:hAnsi="Book Antiqua" w:cs="Book Antiqua"/>
          <w:b/>
          <w:bCs/>
          <w:color w:val="000000"/>
          <w:sz w:val="24"/>
          <w:lang w:val="en-US" w:eastAsia="zh-CN"/>
        </w:rPr>
        <w:t>ure</w:t>
      </w:r>
      <w:r w:rsidRPr="0049621B">
        <w:rPr>
          <w:rFonts w:ascii="Book Antiqua" w:hAnsi="Book Antiqua" w:cs="Book Antiqua"/>
          <w:b/>
          <w:bCs/>
          <w:color w:val="000000"/>
          <w:sz w:val="24"/>
          <w:lang w:val="en-US"/>
        </w:rPr>
        <w:t xml:space="preserve"> 4 </w:t>
      </w:r>
      <w:r w:rsidRPr="0049621B">
        <w:rPr>
          <w:rFonts w:ascii="Book Antiqua" w:hAnsi="Book Antiqua" w:cs="Book Antiqua"/>
          <w:b/>
          <w:bCs/>
          <w:color w:val="000000"/>
          <w:sz w:val="24"/>
          <w:lang w:val="en-US" w:eastAsia="zh-CN"/>
        </w:rPr>
        <w:t xml:space="preserve">Effects of </w:t>
      </w:r>
      <w:r w:rsidR="00FD1015" w:rsidRPr="0049621B">
        <w:rPr>
          <w:rFonts w:ascii="Book Antiqua" w:hAnsi="Book Antiqua" w:cs="Book Antiqua"/>
          <w:b/>
          <w:bCs/>
          <w:color w:val="000000"/>
          <w:sz w:val="24"/>
          <w:lang w:val="en-US" w:eastAsia="zh-CN"/>
        </w:rPr>
        <w:t>procyanidin B2</w:t>
      </w:r>
      <w:r w:rsidRPr="0049621B">
        <w:rPr>
          <w:rFonts w:ascii="Book Antiqua" w:hAnsi="Book Antiqua" w:cs="Book Antiqua"/>
          <w:b/>
          <w:bCs/>
          <w:color w:val="000000"/>
          <w:sz w:val="24"/>
          <w:lang w:val="en-US" w:eastAsia="zh-CN"/>
        </w:rPr>
        <w:t xml:space="preserve"> on gut microbiota</w:t>
      </w:r>
      <w:r w:rsidRPr="0049621B">
        <w:rPr>
          <w:rFonts w:ascii="Book Antiqua" w:hAnsi="Book Antiqua" w:cs="Book Antiqua"/>
          <w:b/>
          <w:bCs/>
          <w:color w:val="000000"/>
          <w:sz w:val="24"/>
          <w:lang w:val="en-US"/>
        </w:rPr>
        <w:t>.</w:t>
      </w:r>
      <w:r w:rsidR="00FD1015" w:rsidRPr="0049621B">
        <w:rPr>
          <w:rFonts w:ascii="Book Antiqua" w:hAnsi="Book Antiqua" w:cs="Book Antiqua"/>
          <w:color w:val="000000"/>
          <w:sz w:val="24"/>
          <w:lang w:val="en-US"/>
        </w:rPr>
        <w:t xml:space="preserve"> A:</w:t>
      </w:r>
      <w:r w:rsidRPr="0049621B">
        <w:rPr>
          <w:rFonts w:ascii="Book Antiqua" w:hAnsi="Book Antiqua" w:cs="Book Antiqua"/>
          <w:color w:val="000000"/>
          <w:sz w:val="24"/>
          <w:lang w:val="en-US"/>
        </w:rPr>
        <w:t xml:space="preserve"> </w:t>
      </w:r>
      <w:r w:rsidR="00FD1015" w:rsidRPr="0049621B">
        <w:rPr>
          <w:rFonts w:ascii="Book Antiqua" w:hAnsi="Book Antiqua"/>
          <w:color w:val="000000"/>
          <w:sz w:val="24"/>
          <w:lang w:val="en-US"/>
        </w:rPr>
        <w:t>Principal coordinate analysis</w:t>
      </w:r>
      <w:r w:rsidRPr="0049621B">
        <w:rPr>
          <w:rFonts w:ascii="Book Antiqua" w:hAnsi="Book Antiqua" w:cs="Book Antiqua"/>
          <w:color w:val="000000"/>
          <w:sz w:val="24"/>
          <w:lang w:val="en-US"/>
        </w:rPr>
        <w:t xml:space="preserve"> of the gut microbiota based on unweighted Uni</w:t>
      </w:r>
      <w:r w:rsidR="00152709">
        <w:rPr>
          <w:rFonts w:ascii="Book Antiqua" w:hAnsi="Book Antiqua" w:cs="Book Antiqua"/>
          <w:color w:val="000000"/>
          <w:sz w:val="24"/>
          <w:lang w:val="en-US"/>
        </w:rPr>
        <w:t>F</w:t>
      </w:r>
      <w:r w:rsidR="00FD1015" w:rsidRPr="0049621B">
        <w:rPr>
          <w:rFonts w:ascii="Book Antiqua" w:hAnsi="Book Antiqua" w:cs="Book Antiqua"/>
          <w:color w:val="000000"/>
          <w:sz w:val="24"/>
          <w:lang w:val="en-US"/>
        </w:rPr>
        <w:t>rac distances between groups</w:t>
      </w:r>
      <w:r w:rsidR="0049621B">
        <w:rPr>
          <w:rFonts w:ascii="Book Antiqua" w:hAnsi="Book Antiqua" w:cs="Book Antiqua"/>
          <w:color w:val="000000"/>
          <w:sz w:val="24"/>
          <w:lang w:val="en-US"/>
        </w:rPr>
        <w:t>;</w:t>
      </w:r>
      <w:r w:rsidR="00FD1015" w:rsidRPr="0049621B">
        <w:rPr>
          <w:rFonts w:ascii="Book Antiqua" w:hAnsi="Book Antiqua" w:cs="Book Antiqua"/>
          <w:color w:val="000000"/>
          <w:sz w:val="24"/>
          <w:lang w:val="en-US"/>
        </w:rPr>
        <w:t xml:space="preserve"> B:</w:t>
      </w:r>
      <w:r w:rsidRPr="0049621B">
        <w:rPr>
          <w:rFonts w:ascii="Book Antiqua" w:hAnsi="Book Antiqua" w:cs="Book Antiqua"/>
          <w:color w:val="000000"/>
          <w:sz w:val="24"/>
          <w:lang w:val="en-US"/>
        </w:rPr>
        <w:t xml:space="preserve"> Relative abundanc</w:t>
      </w:r>
      <w:r w:rsidR="00FD1015" w:rsidRPr="0049621B">
        <w:rPr>
          <w:rFonts w:ascii="Book Antiqua" w:hAnsi="Book Antiqua" w:cs="Book Antiqua"/>
          <w:color w:val="000000"/>
          <w:sz w:val="24"/>
          <w:lang w:val="en-US"/>
        </w:rPr>
        <w:t>e of gut microbiota in phylum</w:t>
      </w:r>
      <w:r w:rsidR="0049621B">
        <w:rPr>
          <w:rFonts w:ascii="Book Antiqua" w:hAnsi="Book Antiqua" w:cs="Book Antiqua"/>
          <w:color w:val="000000"/>
          <w:sz w:val="24"/>
          <w:lang w:val="en-US"/>
        </w:rPr>
        <w:t>;</w:t>
      </w:r>
      <w:r w:rsidR="00FD1015" w:rsidRPr="0049621B">
        <w:rPr>
          <w:rFonts w:ascii="Book Antiqua" w:hAnsi="Book Antiqua" w:cs="Book Antiqua"/>
          <w:color w:val="000000"/>
          <w:sz w:val="24"/>
          <w:lang w:val="en-US"/>
        </w:rPr>
        <w:t xml:space="preserve"> C:</w:t>
      </w:r>
      <w:r w:rsidRPr="0049621B">
        <w:rPr>
          <w:rFonts w:ascii="Book Antiqua" w:hAnsi="Book Antiqua" w:cs="Book Antiqua"/>
          <w:color w:val="000000"/>
          <w:sz w:val="24"/>
          <w:lang w:val="en-US"/>
        </w:rPr>
        <w:t xml:space="preserve"> Relative abundance of gut microbiota in genus</w:t>
      </w:r>
      <w:r w:rsidR="0049621B">
        <w:rPr>
          <w:rFonts w:ascii="Book Antiqua" w:hAnsi="Book Antiqua" w:cs="Book Antiqua"/>
          <w:color w:val="000000"/>
          <w:sz w:val="24"/>
          <w:lang w:val="en-US"/>
        </w:rPr>
        <w:t>;</w:t>
      </w:r>
      <w:r w:rsidRPr="0049621B">
        <w:rPr>
          <w:rFonts w:ascii="Book Antiqua" w:hAnsi="Book Antiqua" w:cs="Book Antiqua"/>
          <w:color w:val="000000"/>
          <w:sz w:val="24"/>
          <w:lang w:val="en-US"/>
        </w:rPr>
        <w:t xml:space="preserve"> </w:t>
      </w:r>
      <w:r w:rsidR="00FD1015" w:rsidRPr="0049621B">
        <w:rPr>
          <w:rFonts w:ascii="Book Antiqua" w:hAnsi="Book Antiqua" w:cs="Book Antiqua"/>
          <w:color w:val="000000"/>
          <w:sz w:val="24"/>
          <w:lang w:val="en-US"/>
        </w:rPr>
        <w:t>D:</w:t>
      </w:r>
      <w:r w:rsidRPr="0049621B">
        <w:rPr>
          <w:rFonts w:ascii="Book Antiqua" w:hAnsi="Book Antiqua" w:cs="Book Antiqua"/>
          <w:color w:val="000000"/>
          <w:sz w:val="24"/>
          <w:lang w:val="en-US"/>
        </w:rPr>
        <w:t xml:space="preserve"> Heatmap: Community hierarchical clustering analysis of major taxonomic groups at genus level, the red represent</w:t>
      </w:r>
      <w:r w:rsidR="00FD1015" w:rsidRPr="0049621B">
        <w:rPr>
          <w:rFonts w:ascii="Book Antiqua" w:hAnsi="Book Antiqua" w:cs="Book Antiqua"/>
          <w:color w:val="000000"/>
          <w:sz w:val="24"/>
          <w:lang w:val="en-US"/>
        </w:rPr>
        <w:t>s</w:t>
      </w:r>
      <w:r w:rsidRPr="0049621B">
        <w:rPr>
          <w:rFonts w:ascii="Book Antiqua" w:hAnsi="Book Antiqua" w:cs="Book Antiqua"/>
          <w:color w:val="000000"/>
          <w:sz w:val="24"/>
          <w:lang w:val="en-US"/>
        </w:rPr>
        <w:t xml:space="preserve"> high relative </w:t>
      </w:r>
      <w:r w:rsidR="00AB28D6" w:rsidRPr="0049621B">
        <w:rPr>
          <w:rFonts w:ascii="Book Antiqua" w:hAnsi="Book Antiqua" w:cs="Book Antiqua"/>
          <w:color w:val="000000"/>
          <w:sz w:val="24"/>
          <w:lang w:val="en-US"/>
        </w:rPr>
        <w:t>abundance</w:t>
      </w:r>
      <w:r w:rsidRPr="0049621B">
        <w:rPr>
          <w:rFonts w:ascii="Book Antiqua" w:hAnsi="Book Antiqua" w:cs="Book Antiqua"/>
          <w:color w:val="000000"/>
          <w:sz w:val="24"/>
          <w:lang w:val="en-US"/>
        </w:rPr>
        <w:t xml:space="preserve"> and the blue rep</w:t>
      </w:r>
      <w:r w:rsidR="00FD1015" w:rsidRPr="0049621B">
        <w:rPr>
          <w:rFonts w:ascii="Book Antiqua" w:hAnsi="Book Antiqua" w:cs="Book Antiqua"/>
          <w:color w:val="000000"/>
          <w:sz w:val="24"/>
          <w:lang w:val="en-US"/>
        </w:rPr>
        <w:t>resent low relative abundance</w:t>
      </w:r>
      <w:r w:rsidR="0049621B">
        <w:rPr>
          <w:rFonts w:ascii="Book Antiqua" w:hAnsi="Book Antiqua" w:cs="Book Antiqua"/>
          <w:color w:val="000000"/>
          <w:sz w:val="24"/>
          <w:lang w:val="en-US"/>
        </w:rPr>
        <w:t>;</w:t>
      </w:r>
      <w:r w:rsidR="00FD1015" w:rsidRPr="0049621B">
        <w:rPr>
          <w:rFonts w:ascii="Book Antiqua" w:hAnsi="Book Antiqua" w:cs="Book Antiqua"/>
          <w:color w:val="000000"/>
          <w:sz w:val="24"/>
          <w:lang w:val="en-US"/>
        </w:rPr>
        <w:t xml:space="preserve"> E:</w:t>
      </w:r>
      <w:r w:rsidRPr="0049621B">
        <w:rPr>
          <w:rFonts w:ascii="Book Antiqua" w:hAnsi="Book Antiqua" w:cs="Book Antiqua"/>
          <w:color w:val="000000"/>
          <w:sz w:val="24"/>
          <w:lang w:val="en-US"/>
        </w:rPr>
        <w:t xml:space="preserve"> Venn diagrams described the number of </w:t>
      </w:r>
      <w:r w:rsidR="00FD1015" w:rsidRPr="0049621B">
        <w:rPr>
          <w:rFonts w:ascii="Book Antiqua" w:hAnsi="Book Antiqua"/>
          <w:color w:val="000000"/>
          <w:sz w:val="24"/>
          <w:lang w:val="en-US"/>
        </w:rPr>
        <w:t>operational taxonomic units</w:t>
      </w:r>
      <w:r w:rsidRPr="0049621B">
        <w:rPr>
          <w:rFonts w:ascii="Book Antiqua" w:hAnsi="Book Antiqua" w:cs="Book Antiqua"/>
          <w:color w:val="000000"/>
          <w:sz w:val="24"/>
          <w:lang w:val="en-US"/>
        </w:rPr>
        <w:t xml:space="preserve"> that are distinct and shared across the groups.</w:t>
      </w:r>
      <w:r w:rsidR="00FD1015" w:rsidRPr="0049621B">
        <w:rPr>
          <w:rFonts w:ascii="Book Antiqua" w:hAnsi="Book Antiqua" w:cs="Book Antiqua"/>
          <w:color w:val="000000"/>
          <w:sz w:val="24"/>
          <w:lang w:val="en-US" w:eastAsia="zh-CN"/>
        </w:rPr>
        <w:t xml:space="preserve"> HCD: High-fat-cholesterol diet; PB2: Procyanidin B2;</w:t>
      </w:r>
      <w:r w:rsidRPr="0049621B">
        <w:rPr>
          <w:rFonts w:ascii="Book Antiqua" w:hAnsi="Book Antiqua" w:cs="Book Antiqua"/>
          <w:color w:val="000000"/>
          <w:sz w:val="24"/>
          <w:lang w:val="en-US" w:eastAsia="zh-CN"/>
        </w:rPr>
        <w:t xml:space="preserve"> </w:t>
      </w:r>
      <w:r w:rsidRPr="0049621B">
        <w:rPr>
          <w:rFonts w:ascii="Book Antiqua" w:hAnsi="Book Antiqua" w:cs="Book Antiqua"/>
          <w:color w:val="000000"/>
          <w:sz w:val="24"/>
          <w:lang w:val="en-US"/>
        </w:rPr>
        <w:t>PCoA</w:t>
      </w:r>
      <w:r w:rsidRPr="0049621B">
        <w:rPr>
          <w:rFonts w:ascii="Book Antiqua" w:hAnsi="Book Antiqua" w:cs="Book Antiqua"/>
          <w:color w:val="000000"/>
          <w:sz w:val="24"/>
          <w:lang w:val="en-US" w:eastAsia="zh-CN"/>
        </w:rPr>
        <w:t xml:space="preserve">: </w:t>
      </w:r>
      <w:r w:rsidR="00FD1015" w:rsidRPr="0049621B">
        <w:rPr>
          <w:rFonts w:ascii="Book Antiqua" w:hAnsi="Book Antiqua"/>
          <w:color w:val="000000"/>
          <w:sz w:val="24"/>
          <w:lang w:val="en-US"/>
        </w:rPr>
        <w:t>P</w:t>
      </w:r>
      <w:r w:rsidRPr="0049621B">
        <w:rPr>
          <w:rFonts w:ascii="Book Antiqua" w:hAnsi="Book Antiqua"/>
          <w:color w:val="000000"/>
          <w:sz w:val="24"/>
          <w:lang w:val="en-US"/>
        </w:rPr>
        <w:t>rincipal coordinate analysis</w:t>
      </w:r>
      <w:r w:rsidR="00FD1015" w:rsidRPr="0049621B">
        <w:rPr>
          <w:rFonts w:ascii="Book Antiqua" w:hAnsi="Book Antiqua"/>
          <w:color w:val="000000"/>
          <w:sz w:val="24"/>
          <w:lang w:val="en-US" w:eastAsia="zh-CN"/>
        </w:rPr>
        <w:t>;</w:t>
      </w:r>
      <w:r w:rsidRPr="0049621B">
        <w:rPr>
          <w:rFonts w:ascii="Book Antiqua" w:hAnsi="Book Antiqua"/>
          <w:color w:val="000000"/>
          <w:sz w:val="24"/>
          <w:lang w:val="en-US" w:eastAsia="zh-CN"/>
        </w:rPr>
        <w:t xml:space="preserve"> OTUs: </w:t>
      </w:r>
      <w:r w:rsidRPr="0049621B">
        <w:rPr>
          <w:rFonts w:ascii="Book Antiqua" w:hAnsi="Book Antiqua"/>
          <w:color w:val="000000"/>
          <w:sz w:val="24"/>
          <w:lang w:val="en-US"/>
        </w:rPr>
        <w:t>Operational taxonomic units</w:t>
      </w:r>
      <w:r w:rsidRPr="0049621B">
        <w:rPr>
          <w:rFonts w:ascii="Book Antiqua" w:hAnsi="Book Antiqua"/>
          <w:color w:val="000000"/>
          <w:sz w:val="24"/>
          <w:lang w:val="en-US" w:eastAsia="zh-CN"/>
        </w:rPr>
        <w:t>.</w:t>
      </w:r>
    </w:p>
    <w:p w:rsidR="00242092" w:rsidRPr="0049621B" w:rsidRDefault="00242092" w:rsidP="0049621B">
      <w:pPr>
        <w:pStyle w:val="EndNoteBibliography"/>
        <w:adjustRightInd w:val="0"/>
        <w:snapToGrid w:val="0"/>
        <w:spacing w:line="360" w:lineRule="auto"/>
        <w:rPr>
          <w:rFonts w:ascii="Book Antiqua" w:hAnsi="Book Antiqua"/>
          <w:sz w:val="24"/>
          <w:lang w:val="en-US" w:eastAsia="zh-CN"/>
        </w:rPr>
      </w:pPr>
    </w:p>
    <w:sectPr w:rsidR="00242092" w:rsidRPr="0049621B">
      <w:footerReference w:type="default" r:id="rId14"/>
      <w:pgSz w:w="11906" w:h="16838"/>
      <w:pgMar w:top="1418" w:right="1418" w:bottom="1418" w:left="1418"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372D" w:rsidRDefault="000D372D">
      <w:r>
        <w:separator/>
      </w:r>
    </w:p>
  </w:endnote>
  <w:endnote w:type="continuationSeparator" w:id="0">
    <w:p w:rsidR="000D372D" w:rsidRDefault="000D37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DengXian">
    <w:altName w:val="Arial Unicode MS"/>
    <w:charset w:val="86"/>
    <w:family w:val="auto"/>
    <w:pitch w:val="variable"/>
    <w:sig w:usb0="00000000" w:usb1="38CF7CFA" w:usb2="00000016" w:usb3="00000000" w:csb0="0004000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092" w:rsidRPr="00C71A37" w:rsidRDefault="00242092">
    <w:pPr>
      <w:pStyle w:val="a7"/>
      <w:jc w:val="center"/>
      <w:rPr>
        <w:rFonts w:ascii="Book Antiqua" w:hAnsi="Book Antiqua"/>
        <w:sz w:val="24"/>
        <w:szCs w:val="24"/>
      </w:rPr>
    </w:pPr>
    <w:r w:rsidRPr="00C71A37">
      <w:rPr>
        <w:rFonts w:ascii="Book Antiqua" w:hAnsi="Book Antiqua"/>
        <w:sz w:val="24"/>
        <w:szCs w:val="24"/>
      </w:rPr>
      <w:fldChar w:fldCharType="begin"/>
    </w:r>
    <w:r w:rsidRPr="00C71A37">
      <w:rPr>
        <w:rFonts w:ascii="Book Antiqua" w:hAnsi="Book Antiqua"/>
        <w:sz w:val="24"/>
        <w:szCs w:val="24"/>
      </w:rPr>
      <w:instrText>PAGE   \* MERGEFORMAT</w:instrText>
    </w:r>
    <w:r w:rsidRPr="00C71A37">
      <w:rPr>
        <w:rFonts w:ascii="Book Antiqua" w:hAnsi="Book Antiqua"/>
        <w:sz w:val="24"/>
        <w:szCs w:val="24"/>
      </w:rPr>
      <w:fldChar w:fldCharType="separate"/>
    </w:r>
    <w:r w:rsidR="00245D34" w:rsidRPr="00245D34">
      <w:rPr>
        <w:rFonts w:ascii="Book Antiqua" w:hAnsi="Book Antiqua"/>
        <w:noProof/>
        <w:sz w:val="24"/>
        <w:szCs w:val="24"/>
        <w:lang w:val="zh-CN" w:eastAsia="zh-CN"/>
      </w:rPr>
      <w:t>1</w:t>
    </w:r>
    <w:r w:rsidRPr="00C71A37">
      <w:rPr>
        <w:rFonts w:ascii="Book Antiqua" w:hAnsi="Book Antiqua"/>
        <w:sz w:val="24"/>
        <w:szCs w:val="24"/>
      </w:rPr>
      <w:fldChar w:fldCharType="end"/>
    </w:r>
  </w:p>
  <w:p w:rsidR="00242092" w:rsidRDefault="0024209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372D" w:rsidRDefault="000D372D">
      <w:r>
        <w:separator/>
      </w:r>
    </w:p>
  </w:footnote>
  <w:footnote w:type="continuationSeparator" w:id="0">
    <w:p w:rsidR="000D372D" w:rsidRDefault="000D372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194B0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7"/>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0rz9rwwc5zd2re0rr5xepf7rd9xztdse0tf&quot;&gt;My EndNote Library&lt;record-ids&gt;&lt;item&gt;264&lt;/item&gt;&lt;item&gt;267&lt;/item&gt;&lt;item&gt;269&lt;/item&gt;&lt;item&gt;271&lt;/item&gt;&lt;item&gt;273&lt;/item&gt;&lt;item&gt;274&lt;/item&gt;&lt;item&gt;275&lt;/item&gt;&lt;item&gt;276&lt;/item&gt;&lt;item&gt;278&lt;/item&gt;&lt;item&gt;280&lt;/item&gt;&lt;item&gt;281&lt;/item&gt;&lt;item&gt;282&lt;/item&gt;&lt;item&gt;283&lt;/item&gt;&lt;item&gt;284&lt;/item&gt;&lt;item&gt;286&lt;/item&gt;&lt;item&gt;287&lt;/item&gt;&lt;item&gt;288&lt;/item&gt;&lt;item&gt;290&lt;/item&gt;&lt;item&gt;291&lt;/item&gt;&lt;item&gt;292&lt;/item&gt;&lt;item&gt;293&lt;/item&gt;&lt;item&gt;294&lt;/item&gt;&lt;item&gt;295&lt;/item&gt;&lt;item&gt;296&lt;/item&gt;&lt;item&gt;297&lt;/item&gt;&lt;item&gt;298&lt;/item&gt;&lt;item&gt;299&lt;/item&gt;&lt;item&gt;309&lt;/item&gt;&lt;item&gt;331&lt;/item&gt;&lt;item&gt;345&lt;/item&gt;&lt;item&gt;346&lt;/item&gt;&lt;item&gt;347&lt;/item&gt;&lt;/record-ids&gt;&lt;/item&gt;&lt;/Libraries&gt;"/>
  </w:docVars>
  <w:rsids>
    <w:rsidRoot w:val="009B53AD"/>
    <w:rsid w:val="00000291"/>
    <w:rsid w:val="00000345"/>
    <w:rsid w:val="00004A26"/>
    <w:rsid w:val="00045E38"/>
    <w:rsid w:val="0009594E"/>
    <w:rsid w:val="000A281A"/>
    <w:rsid w:val="000D372D"/>
    <w:rsid w:val="001268A7"/>
    <w:rsid w:val="0014752F"/>
    <w:rsid w:val="00152709"/>
    <w:rsid w:val="00160FE0"/>
    <w:rsid w:val="00173096"/>
    <w:rsid w:val="00173244"/>
    <w:rsid w:val="001A64C6"/>
    <w:rsid w:val="001A6949"/>
    <w:rsid w:val="001D1D77"/>
    <w:rsid w:val="001E36BF"/>
    <w:rsid w:val="002211C1"/>
    <w:rsid w:val="00242092"/>
    <w:rsid w:val="002441D6"/>
    <w:rsid w:val="00245D34"/>
    <w:rsid w:val="00247CA7"/>
    <w:rsid w:val="00267507"/>
    <w:rsid w:val="00290ABC"/>
    <w:rsid w:val="002B0B30"/>
    <w:rsid w:val="002B37C9"/>
    <w:rsid w:val="002B5B32"/>
    <w:rsid w:val="002C57BF"/>
    <w:rsid w:val="002C5DD8"/>
    <w:rsid w:val="002D19D1"/>
    <w:rsid w:val="002F7857"/>
    <w:rsid w:val="0032231A"/>
    <w:rsid w:val="00324D18"/>
    <w:rsid w:val="00336F67"/>
    <w:rsid w:val="00360456"/>
    <w:rsid w:val="003847B0"/>
    <w:rsid w:val="003A236A"/>
    <w:rsid w:val="003C26D9"/>
    <w:rsid w:val="003D4934"/>
    <w:rsid w:val="003F101D"/>
    <w:rsid w:val="00432A0B"/>
    <w:rsid w:val="0045755B"/>
    <w:rsid w:val="00473488"/>
    <w:rsid w:val="0049621B"/>
    <w:rsid w:val="004A0E4C"/>
    <w:rsid w:val="004A5A48"/>
    <w:rsid w:val="004E0B7D"/>
    <w:rsid w:val="005120A4"/>
    <w:rsid w:val="005312B2"/>
    <w:rsid w:val="00540BB6"/>
    <w:rsid w:val="005413C5"/>
    <w:rsid w:val="00562346"/>
    <w:rsid w:val="005653FC"/>
    <w:rsid w:val="00573E48"/>
    <w:rsid w:val="00595C94"/>
    <w:rsid w:val="005B5533"/>
    <w:rsid w:val="005B5EAA"/>
    <w:rsid w:val="005D7FB0"/>
    <w:rsid w:val="005E5225"/>
    <w:rsid w:val="00617892"/>
    <w:rsid w:val="006465B7"/>
    <w:rsid w:val="00692586"/>
    <w:rsid w:val="006A67E9"/>
    <w:rsid w:val="006B10B8"/>
    <w:rsid w:val="006B18A1"/>
    <w:rsid w:val="006B235E"/>
    <w:rsid w:val="006C26FC"/>
    <w:rsid w:val="006F18A5"/>
    <w:rsid w:val="006F5A96"/>
    <w:rsid w:val="00703FA0"/>
    <w:rsid w:val="007251DD"/>
    <w:rsid w:val="00731CA1"/>
    <w:rsid w:val="00755769"/>
    <w:rsid w:val="00772636"/>
    <w:rsid w:val="00774171"/>
    <w:rsid w:val="007A00A2"/>
    <w:rsid w:val="007E4044"/>
    <w:rsid w:val="007E5DE2"/>
    <w:rsid w:val="00854FEF"/>
    <w:rsid w:val="008677A3"/>
    <w:rsid w:val="0088677A"/>
    <w:rsid w:val="008E392C"/>
    <w:rsid w:val="00911DA9"/>
    <w:rsid w:val="00934B64"/>
    <w:rsid w:val="00953B2B"/>
    <w:rsid w:val="009675CE"/>
    <w:rsid w:val="00981194"/>
    <w:rsid w:val="009A1945"/>
    <w:rsid w:val="009A3EF4"/>
    <w:rsid w:val="009B53AD"/>
    <w:rsid w:val="009C211E"/>
    <w:rsid w:val="00A37732"/>
    <w:rsid w:val="00A45100"/>
    <w:rsid w:val="00A90369"/>
    <w:rsid w:val="00AB28D6"/>
    <w:rsid w:val="00AD604E"/>
    <w:rsid w:val="00AF25C5"/>
    <w:rsid w:val="00AF5966"/>
    <w:rsid w:val="00B03361"/>
    <w:rsid w:val="00B27722"/>
    <w:rsid w:val="00B31DF1"/>
    <w:rsid w:val="00B5679C"/>
    <w:rsid w:val="00B71250"/>
    <w:rsid w:val="00B71752"/>
    <w:rsid w:val="00B91FC8"/>
    <w:rsid w:val="00BF67F0"/>
    <w:rsid w:val="00C317C9"/>
    <w:rsid w:val="00C36C5C"/>
    <w:rsid w:val="00C533FD"/>
    <w:rsid w:val="00C71A37"/>
    <w:rsid w:val="00C72AF9"/>
    <w:rsid w:val="00C77E6F"/>
    <w:rsid w:val="00C80175"/>
    <w:rsid w:val="00CB562E"/>
    <w:rsid w:val="00CD2881"/>
    <w:rsid w:val="00D433E6"/>
    <w:rsid w:val="00D75085"/>
    <w:rsid w:val="00D83D3C"/>
    <w:rsid w:val="00D97EFD"/>
    <w:rsid w:val="00E062F3"/>
    <w:rsid w:val="00E2009B"/>
    <w:rsid w:val="00E20B11"/>
    <w:rsid w:val="00E40DDE"/>
    <w:rsid w:val="00E427B0"/>
    <w:rsid w:val="00E634D9"/>
    <w:rsid w:val="00E73532"/>
    <w:rsid w:val="00E826BB"/>
    <w:rsid w:val="00EA2121"/>
    <w:rsid w:val="00EA3C5E"/>
    <w:rsid w:val="00EE65EE"/>
    <w:rsid w:val="00EF5F1F"/>
    <w:rsid w:val="00EF75DC"/>
    <w:rsid w:val="00F55E19"/>
    <w:rsid w:val="00F60D7C"/>
    <w:rsid w:val="00F71BE8"/>
    <w:rsid w:val="00F72677"/>
    <w:rsid w:val="00FD1015"/>
    <w:rsid w:val="00FD2239"/>
    <w:rsid w:val="00FD5E60"/>
    <w:rsid w:val="00FF7ABF"/>
    <w:rsid w:val="01CE0656"/>
    <w:rsid w:val="024367DD"/>
    <w:rsid w:val="03190698"/>
    <w:rsid w:val="04C82B6B"/>
    <w:rsid w:val="07D135C2"/>
    <w:rsid w:val="09613728"/>
    <w:rsid w:val="09A71901"/>
    <w:rsid w:val="0AD37438"/>
    <w:rsid w:val="0B0120B8"/>
    <w:rsid w:val="0B8A0E42"/>
    <w:rsid w:val="0C586AA1"/>
    <w:rsid w:val="0E67660B"/>
    <w:rsid w:val="0F3B028A"/>
    <w:rsid w:val="13E9067E"/>
    <w:rsid w:val="14EC0D11"/>
    <w:rsid w:val="1AB85875"/>
    <w:rsid w:val="1E1F2910"/>
    <w:rsid w:val="238D226A"/>
    <w:rsid w:val="26435F2F"/>
    <w:rsid w:val="28AB1144"/>
    <w:rsid w:val="299C7AD5"/>
    <w:rsid w:val="302D131B"/>
    <w:rsid w:val="309F334A"/>
    <w:rsid w:val="30AD19E7"/>
    <w:rsid w:val="31066C67"/>
    <w:rsid w:val="312E22C0"/>
    <w:rsid w:val="3F3A3651"/>
    <w:rsid w:val="41C62F3D"/>
    <w:rsid w:val="45A8410C"/>
    <w:rsid w:val="45D1131F"/>
    <w:rsid w:val="46A83A18"/>
    <w:rsid w:val="49470AE6"/>
    <w:rsid w:val="4F685C43"/>
    <w:rsid w:val="5149168C"/>
    <w:rsid w:val="529B4A3C"/>
    <w:rsid w:val="535041E0"/>
    <w:rsid w:val="555C01B3"/>
    <w:rsid w:val="56231EF9"/>
    <w:rsid w:val="56650DDB"/>
    <w:rsid w:val="5E2810F5"/>
    <w:rsid w:val="60B12E8C"/>
    <w:rsid w:val="6891698E"/>
    <w:rsid w:val="693E652B"/>
    <w:rsid w:val="69460AE0"/>
    <w:rsid w:val="71AB1FEF"/>
    <w:rsid w:val="71B7377B"/>
    <w:rsid w:val="7A3371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lsdException w:name="header" w:semiHidden="0"/>
    <w:lsdException w:name="footer" w:semiHidden="0"/>
    <w:lsdException w:name="caption" w:uiPriority="35" w:qFormat="1"/>
    <w:lsdException w:name="annotation reference" w:semiHidden="0" w:qFormat="1"/>
    <w:lsdException w:name="line number" w:semiHidden="0"/>
    <w:lsdException w:name="Title" w:semiHidden="0" w:uiPriority="10" w:unhideWhenUsed="0" w:qFormat="1"/>
    <w:lsdException w:name="Default Paragraph Font" w:semiHidden="0" w:uiPriority="1"/>
    <w:lsdException w:name="Subtitle" w:semiHidden="0" w:uiPriority="11" w:unhideWhenUsed="0" w:qFormat="1"/>
    <w:lsdException w:name="Hyperlink" w:semiHidden="0" w:uiPriority="0"/>
    <w:lsdException w:name="Strong" w:semiHidden="0" w:uiPriority="22" w:unhideWhenUsed="0" w:qFormat="1"/>
    <w:lsdException w:name="Emphasis" w:semiHidden="0" w:uiPriority="20" w:unhideWhenUsed="0" w:qFormat="1"/>
    <w:lsdException w:name="Normal (Web)" w:semiHidden="0"/>
    <w:lsdException w:name="Normal Table" w:semiHidden="0"/>
    <w:lsdException w:name="Table Grid" w:semiHidden="0" w:uiPriority="59" w:unhideWhenUsed="0"/>
    <w:lsdException w:name="No Spacing" w:semiHidden="0" w:unhideWhenUsed="0" w:qFormat="1"/>
    <w:lsdException w:name="Medium Grid 2" w:semiHidden="0"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List Accent 1" w:semiHidden="0" w:unhideWhenUsed="0" w:qFormat="1"/>
    <w:lsdException w:name="Colorful Grid Accent 1" w:semiHidden="0" w:unhideWhenUsed="0" w:qFormat="1"/>
    <w:lsdException w:name="Light Shading Accent 2" w:semiHidden="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unhideWhenUsed/>
  </w:style>
  <w:style w:type="table" w:default="1" w:styleId="a1">
    <w:name w:val="Normal Table"/>
    <w:uiPriority w:val="99"/>
    <w:unhideWhenUsed/>
    <w:tblPr>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EndNoteBibliographyTitleChar">
    <w:name w:val="EndNote Bibliography Title Char"/>
    <w:link w:val="EndNoteBibliographyTitle"/>
    <w:rPr>
      <w:rFonts w:ascii="Calibri" w:hAnsi="Calibri" w:cs="Calibri"/>
      <w:kern w:val="2"/>
      <w:szCs w:val="24"/>
      <w:lang w:val="en-US" w:eastAsia="zh-CN"/>
    </w:rPr>
  </w:style>
  <w:style w:type="character" w:styleId="a3">
    <w:name w:val="annotation reference"/>
    <w:uiPriority w:val="99"/>
    <w:unhideWhenUsed/>
    <w:qFormat/>
    <w:rPr>
      <w:sz w:val="21"/>
      <w:szCs w:val="21"/>
    </w:rPr>
  </w:style>
  <w:style w:type="character" w:styleId="a4">
    <w:name w:val="Hyperlink"/>
    <w:unhideWhenUsed/>
    <w:rPr>
      <w:color w:val="0000FF"/>
      <w:u w:val="single"/>
    </w:rPr>
  </w:style>
  <w:style w:type="character" w:styleId="a5">
    <w:name w:val="line number"/>
    <w:uiPriority w:val="99"/>
    <w:unhideWhenUsed/>
  </w:style>
  <w:style w:type="character" w:customStyle="1" w:styleId="EndNoteBibliographyChar">
    <w:name w:val="EndNote Bibliography Char"/>
    <w:link w:val="EndNoteBibliography"/>
    <w:rPr>
      <w:rFonts w:ascii="Calibri" w:hAnsi="Calibri" w:cs="Calibri"/>
      <w:kern w:val="2"/>
      <w:szCs w:val="24"/>
      <w:lang w:val="en-US" w:eastAsia="zh-CN"/>
    </w:rPr>
  </w:style>
  <w:style w:type="character" w:customStyle="1" w:styleId="Char">
    <w:name w:val="页眉 Char"/>
    <w:link w:val="a6"/>
    <w:uiPriority w:val="99"/>
    <w:rPr>
      <w:sz w:val="18"/>
      <w:szCs w:val="18"/>
    </w:rPr>
  </w:style>
  <w:style w:type="character" w:customStyle="1" w:styleId="Char0">
    <w:name w:val="页脚 Char"/>
    <w:link w:val="a7"/>
    <w:uiPriority w:val="99"/>
    <w:rPr>
      <w:sz w:val="18"/>
      <w:szCs w:val="18"/>
    </w:rPr>
  </w:style>
  <w:style w:type="paragraph" w:styleId="a8">
    <w:name w:val="annotation text"/>
    <w:basedOn w:val="a"/>
    <w:uiPriority w:val="99"/>
    <w:unhideWhenUsed/>
    <w:pPr>
      <w:jc w:val="left"/>
    </w:pPr>
  </w:style>
  <w:style w:type="paragraph" w:styleId="a9">
    <w:name w:val="Normal (Web)"/>
    <w:basedOn w:val="a"/>
    <w:uiPriority w:val="99"/>
    <w:unhideWhenUsed/>
    <w:rPr>
      <w:sz w:val="24"/>
    </w:rPr>
  </w:style>
  <w:style w:type="paragraph" w:styleId="a6">
    <w:name w:val="header"/>
    <w:basedOn w:val="a"/>
    <w:link w:val="Char"/>
    <w:uiPriority w:val="99"/>
    <w:unhideWhenUsed/>
    <w:pPr>
      <w:pBdr>
        <w:bottom w:val="single" w:sz="6" w:space="1" w:color="auto"/>
      </w:pBdr>
      <w:tabs>
        <w:tab w:val="center" w:pos="4153"/>
        <w:tab w:val="right" w:pos="8306"/>
      </w:tabs>
      <w:snapToGrid w:val="0"/>
      <w:jc w:val="center"/>
    </w:pPr>
    <w:rPr>
      <w:sz w:val="18"/>
      <w:szCs w:val="18"/>
    </w:rPr>
  </w:style>
  <w:style w:type="paragraph" w:styleId="a7">
    <w:name w:val="footer"/>
    <w:basedOn w:val="a"/>
    <w:link w:val="Char0"/>
    <w:uiPriority w:val="99"/>
    <w:unhideWhenUsed/>
    <w:pPr>
      <w:tabs>
        <w:tab w:val="center" w:pos="4153"/>
        <w:tab w:val="right" w:pos="8306"/>
      </w:tabs>
      <w:snapToGrid w:val="0"/>
      <w:jc w:val="left"/>
    </w:pPr>
    <w:rPr>
      <w:sz w:val="18"/>
      <w:szCs w:val="18"/>
    </w:rPr>
  </w:style>
  <w:style w:type="paragraph" w:customStyle="1" w:styleId="EndNoteBibliographyTitle">
    <w:name w:val="EndNote Bibliography Title"/>
    <w:basedOn w:val="a"/>
    <w:link w:val="EndNoteBibliographyTitleChar"/>
    <w:pPr>
      <w:jc w:val="center"/>
    </w:pPr>
    <w:rPr>
      <w:rFonts w:ascii="Calibri" w:hAnsi="Calibri" w:cs="Calibri"/>
      <w:sz w:val="20"/>
      <w:lang w:val="en-US" w:eastAsia="zh-CN"/>
    </w:rPr>
  </w:style>
  <w:style w:type="paragraph" w:customStyle="1" w:styleId="EndNoteBibliography">
    <w:name w:val="EndNote Bibliography"/>
    <w:basedOn w:val="a"/>
    <w:link w:val="EndNoteBibliographyChar"/>
    <w:rPr>
      <w:rFonts w:ascii="Calibri" w:hAnsi="Calibri" w:cs="Calibri"/>
      <w:sz w:val="20"/>
      <w:lang w:val="en-US" w:eastAsia="zh-CN"/>
    </w:rPr>
  </w:style>
  <w:style w:type="paragraph" w:styleId="aa">
    <w:name w:val="Balloon Text"/>
    <w:basedOn w:val="a"/>
    <w:link w:val="Char1"/>
    <w:uiPriority w:val="99"/>
    <w:semiHidden/>
    <w:unhideWhenUsed/>
    <w:rsid w:val="00B31DF1"/>
    <w:rPr>
      <w:rFonts w:ascii="Tahoma" w:hAnsi="Tahoma" w:cs="Tahoma"/>
      <w:sz w:val="16"/>
      <w:szCs w:val="16"/>
    </w:rPr>
  </w:style>
  <w:style w:type="character" w:customStyle="1" w:styleId="Char1">
    <w:name w:val="批注框文本 Char"/>
    <w:link w:val="aa"/>
    <w:uiPriority w:val="99"/>
    <w:semiHidden/>
    <w:rsid w:val="00B31DF1"/>
    <w:rPr>
      <w:rFonts w:ascii="Tahoma" w:hAnsi="Tahoma" w:cs="Tahoma"/>
      <w:kern w:val="2"/>
      <w:sz w:val="16"/>
      <w:szCs w:val="16"/>
      <w:lang w:eastAsia="zh-CN"/>
    </w:rPr>
  </w:style>
  <w:style w:type="paragraph" w:styleId="ab">
    <w:name w:val="Revision"/>
    <w:hidden/>
    <w:uiPriority w:val="71"/>
    <w:rsid w:val="00AB28D6"/>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lsdException w:name="header" w:semiHidden="0"/>
    <w:lsdException w:name="footer" w:semiHidden="0"/>
    <w:lsdException w:name="caption" w:uiPriority="35" w:qFormat="1"/>
    <w:lsdException w:name="annotation reference" w:semiHidden="0" w:qFormat="1"/>
    <w:lsdException w:name="line number" w:semiHidden="0"/>
    <w:lsdException w:name="Title" w:semiHidden="0" w:uiPriority="10" w:unhideWhenUsed="0" w:qFormat="1"/>
    <w:lsdException w:name="Default Paragraph Font" w:semiHidden="0" w:uiPriority="1"/>
    <w:lsdException w:name="Subtitle" w:semiHidden="0" w:uiPriority="11" w:unhideWhenUsed="0" w:qFormat="1"/>
    <w:lsdException w:name="Hyperlink" w:semiHidden="0" w:uiPriority="0"/>
    <w:lsdException w:name="Strong" w:semiHidden="0" w:uiPriority="22" w:unhideWhenUsed="0" w:qFormat="1"/>
    <w:lsdException w:name="Emphasis" w:semiHidden="0" w:uiPriority="20" w:unhideWhenUsed="0" w:qFormat="1"/>
    <w:lsdException w:name="Normal (Web)" w:semiHidden="0"/>
    <w:lsdException w:name="Normal Table" w:semiHidden="0"/>
    <w:lsdException w:name="Table Grid" w:semiHidden="0" w:uiPriority="59" w:unhideWhenUsed="0"/>
    <w:lsdException w:name="No Spacing" w:semiHidden="0" w:unhideWhenUsed="0" w:qFormat="1"/>
    <w:lsdException w:name="Medium Grid 2" w:semiHidden="0"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List Accent 1" w:semiHidden="0" w:unhideWhenUsed="0" w:qFormat="1"/>
    <w:lsdException w:name="Colorful Grid Accent 1" w:semiHidden="0" w:unhideWhenUsed="0" w:qFormat="1"/>
    <w:lsdException w:name="Light Shading Accent 2" w:semiHidden="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unhideWhenUsed/>
  </w:style>
  <w:style w:type="table" w:default="1" w:styleId="a1">
    <w:name w:val="Normal Table"/>
    <w:uiPriority w:val="99"/>
    <w:unhideWhenUsed/>
    <w:tblPr>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EndNoteBibliographyTitleChar">
    <w:name w:val="EndNote Bibliography Title Char"/>
    <w:link w:val="EndNoteBibliographyTitle"/>
    <w:rPr>
      <w:rFonts w:ascii="Calibri" w:hAnsi="Calibri" w:cs="Calibri"/>
      <w:kern w:val="2"/>
      <w:szCs w:val="24"/>
      <w:lang w:val="en-US" w:eastAsia="zh-CN"/>
    </w:rPr>
  </w:style>
  <w:style w:type="character" w:styleId="a3">
    <w:name w:val="annotation reference"/>
    <w:uiPriority w:val="99"/>
    <w:unhideWhenUsed/>
    <w:qFormat/>
    <w:rPr>
      <w:sz w:val="21"/>
      <w:szCs w:val="21"/>
    </w:rPr>
  </w:style>
  <w:style w:type="character" w:styleId="a4">
    <w:name w:val="Hyperlink"/>
    <w:unhideWhenUsed/>
    <w:rPr>
      <w:color w:val="0000FF"/>
      <w:u w:val="single"/>
    </w:rPr>
  </w:style>
  <w:style w:type="character" w:styleId="a5">
    <w:name w:val="line number"/>
    <w:uiPriority w:val="99"/>
    <w:unhideWhenUsed/>
  </w:style>
  <w:style w:type="character" w:customStyle="1" w:styleId="EndNoteBibliographyChar">
    <w:name w:val="EndNote Bibliography Char"/>
    <w:link w:val="EndNoteBibliography"/>
    <w:rPr>
      <w:rFonts w:ascii="Calibri" w:hAnsi="Calibri" w:cs="Calibri"/>
      <w:kern w:val="2"/>
      <w:szCs w:val="24"/>
      <w:lang w:val="en-US" w:eastAsia="zh-CN"/>
    </w:rPr>
  </w:style>
  <w:style w:type="character" w:customStyle="1" w:styleId="Char">
    <w:name w:val="页眉 Char"/>
    <w:link w:val="a6"/>
    <w:uiPriority w:val="99"/>
    <w:rPr>
      <w:sz w:val="18"/>
      <w:szCs w:val="18"/>
    </w:rPr>
  </w:style>
  <w:style w:type="character" w:customStyle="1" w:styleId="Char0">
    <w:name w:val="页脚 Char"/>
    <w:link w:val="a7"/>
    <w:uiPriority w:val="99"/>
    <w:rPr>
      <w:sz w:val="18"/>
      <w:szCs w:val="18"/>
    </w:rPr>
  </w:style>
  <w:style w:type="paragraph" w:styleId="a8">
    <w:name w:val="annotation text"/>
    <w:basedOn w:val="a"/>
    <w:uiPriority w:val="99"/>
    <w:unhideWhenUsed/>
    <w:pPr>
      <w:jc w:val="left"/>
    </w:pPr>
  </w:style>
  <w:style w:type="paragraph" w:styleId="a9">
    <w:name w:val="Normal (Web)"/>
    <w:basedOn w:val="a"/>
    <w:uiPriority w:val="99"/>
    <w:unhideWhenUsed/>
    <w:rPr>
      <w:sz w:val="24"/>
    </w:rPr>
  </w:style>
  <w:style w:type="paragraph" w:styleId="a6">
    <w:name w:val="header"/>
    <w:basedOn w:val="a"/>
    <w:link w:val="Char"/>
    <w:uiPriority w:val="99"/>
    <w:unhideWhenUsed/>
    <w:pPr>
      <w:pBdr>
        <w:bottom w:val="single" w:sz="6" w:space="1" w:color="auto"/>
      </w:pBdr>
      <w:tabs>
        <w:tab w:val="center" w:pos="4153"/>
        <w:tab w:val="right" w:pos="8306"/>
      </w:tabs>
      <w:snapToGrid w:val="0"/>
      <w:jc w:val="center"/>
    </w:pPr>
    <w:rPr>
      <w:sz w:val="18"/>
      <w:szCs w:val="18"/>
    </w:rPr>
  </w:style>
  <w:style w:type="paragraph" w:styleId="a7">
    <w:name w:val="footer"/>
    <w:basedOn w:val="a"/>
    <w:link w:val="Char0"/>
    <w:uiPriority w:val="99"/>
    <w:unhideWhenUsed/>
    <w:pPr>
      <w:tabs>
        <w:tab w:val="center" w:pos="4153"/>
        <w:tab w:val="right" w:pos="8306"/>
      </w:tabs>
      <w:snapToGrid w:val="0"/>
      <w:jc w:val="left"/>
    </w:pPr>
    <w:rPr>
      <w:sz w:val="18"/>
      <w:szCs w:val="18"/>
    </w:rPr>
  </w:style>
  <w:style w:type="paragraph" w:customStyle="1" w:styleId="EndNoteBibliographyTitle">
    <w:name w:val="EndNote Bibliography Title"/>
    <w:basedOn w:val="a"/>
    <w:link w:val="EndNoteBibliographyTitleChar"/>
    <w:pPr>
      <w:jc w:val="center"/>
    </w:pPr>
    <w:rPr>
      <w:rFonts w:ascii="Calibri" w:hAnsi="Calibri" w:cs="Calibri"/>
      <w:sz w:val="20"/>
      <w:lang w:val="en-US" w:eastAsia="zh-CN"/>
    </w:rPr>
  </w:style>
  <w:style w:type="paragraph" w:customStyle="1" w:styleId="EndNoteBibliography">
    <w:name w:val="EndNote Bibliography"/>
    <w:basedOn w:val="a"/>
    <w:link w:val="EndNoteBibliographyChar"/>
    <w:rPr>
      <w:rFonts w:ascii="Calibri" w:hAnsi="Calibri" w:cs="Calibri"/>
      <w:sz w:val="20"/>
      <w:lang w:val="en-US" w:eastAsia="zh-CN"/>
    </w:rPr>
  </w:style>
  <w:style w:type="paragraph" w:styleId="aa">
    <w:name w:val="Balloon Text"/>
    <w:basedOn w:val="a"/>
    <w:link w:val="Char1"/>
    <w:uiPriority w:val="99"/>
    <w:semiHidden/>
    <w:unhideWhenUsed/>
    <w:rsid w:val="00B31DF1"/>
    <w:rPr>
      <w:rFonts w:ascii="Tahoma" w:hAnsi="Tahoma" w:cs="Tahoma"/>
      <w:sz w:val="16"/>
      <w:szCs w:val="16"/>
    </w:rPr>
  </w:style>
  <w:style w:type="character" w:customStyle="1" w:styleId="Char1">
    <w:name w:val="批注框文本 Char"/>
    <w:link w:val="aa"/>
    <w:uiPriority w:val="99"/>
    <w:semiHidden/>
    <w:rsid w:val="00B31DF1"/>
    <w:rPr>
      <w:rFonts w:ascii="Tahoma" w:hAnsi="Tahoma" w:cs="Tahoma"/>
      <w:kern w:val="2"/>
      <w:sz w:val="16"/>
      <w:szCs w:val="16"/>
      <w:lang w:eastAsia="zh-CN"/>
    </w:rPr>
  </w:style>
  <w:style w:type="paragraph" w:styleId="ab">
    <w:name w:val="Revision"/>
    <w:hidden/>
    <w:uiPriority w:val="71"/>
    <w:rsid w:val="00AB28D6"/>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925009">
      <w:bodyDiv w:val="1"/>
      <w:marLeft w:val="0"/>
      <w:marRight w:val="0"/>
      <w:marTop w:val="0"/>
      <w:marBottom w:val="0"/>
      <w:divBdr>
        <w:top w:val="none" w:sz="0" w:space="0" w:color="auto"/>
        <w:left w:val="none" w:sz="0" w:space="0" w:color="auto"/>
        <w:bottom w:val="none" w:sz="0" w:space="0" w:color="auto"/>
        <w:right w:val="none" w:sz="0" w:space="0" w:color="auto"/>
      </w:divBdr>
    </w:div>
    <w:div w:id="110133949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lgtmhu@163.com" TargetMode="External"/><Relationship Id="rId13" Type="http://schemas.openxmlformats.org/officeDocument/2006/relationships/image" Target="media/image4.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mailto:lgtmhu@163.com" TargetMode="External"/><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8482</Words>
  <Characters>48352</Characters>
  <Application>Microsoft Office Word</Application>
  <DocSecurity>0</DocSecurity>
  <PresentationFormat/>
  <Lines>402</Lines>
  <Paragraphs>113</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56721</CharactersWithSpaces>
  <SharedDoc>false</SharedDoc>
  <HLinks>
    <vt:vector size="12" baseType="variant">
      <vt:variant>
        <vt:i4>2424916</vt:i4>
      </vt:variant>
      <vt:variant>
        <vt:i4>3</vt:i4>
      </vt:variant>
      <vt:variant>
        <vt:i4>0</vt:i4>
      </vt:variant>
      <vt:variant>
        <vt:i4>5</vt:i4>
      </vt:variant>
      <vt:variant>
        <vt:lpwstr>mailto:lgtmhu@163.com</vt:lpwstr>
      </vt:variant>
      <vt:variant>
        <vt:lpwstr/>
      </vt:variant>
      <vt:variant>
        <vt:i4>2424916</vt:i4>
      </vt:variant>
      <vt:variant>
        <vt:i4>0</vt:i4>
      </vt:variant>
      <vt:variant>
        <vt:i4>0</vt:i4>
      </vt:variant>
      <vt:variant>
        <vt:i4>5</vt:i4>
      </vt:variant>
      <vt:variant>
        <vt:lpwstr>mailto:lgtmhu@163.com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Apple</dc:creator>
  <cp:lastModifiedBy>Administrator</cp:lastModifiedBy>
  <cp:revision>2</cp:revision>
  <dcterms:created xsi:type="dcterms:W3CDTF">2019-02-26T08:31:00Z</dcterms:created>
  <dcterms:modified xsi:type="dcterms:W3CDTF">2019-02-26T08:31:00Z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2052-10.1.0.7668</vt:lpwstr>
  </property>
</Properties>
</file>