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EF5" w:rsidRPr="00F75C22" w:rsidRDefault="00FF2EF5" w:rsidP="000149DC">
      <w:pPr>
        <w:autoSpaceDE w:val="0"/>
        <w:autoSpaceDN w:val="0"/>
        <w:spacing w:line="360" w:lineRule="auto"/>
        <w:ind w:left="723" w:hangingChars="300" w:hanging="723"/>
        <w:rPr>
          <w:rFonts w:ascii="Book Antiqua" w:hAnsi="Book Antiqua"/>
          <w:i/>
          <w:iCs/>
          <w:color w:val="000000"/>
          <w:sz w:val="24"/>
        </w:rPr>
      </w:pPr>
      <w:r w:rsidRPr="00F75C22">
        <w:rPr>
          <w:rFonts w:ascii="Book Antiqua" w:hAnsi="Book Antiqua"/>
          <w:b/>
          <w:iCs/>
          <w:color w:val="000000"/>
          <w:sz w:val="24"/>
        </w:rPr>
        <w:t xml:space="preserve">Name of journal: </w:t>
      </w:r>
      <w:r w:rsidR="001C2CE7" w:rsidRPr="00F75C22">
        <w:rPr>
          <w:rFonts w:ascii="Book Antiqua" w:hAnsi="Book Antiqua"/>
          <w:i/>
          <w:iCs/>
          <w:color w:val="000000"/>
          <w:sz w:val="24"/>
        </w:rPr>
        <w:t>World Journal of Gastrointestinal Oncology</w:t>
      </w:r>
    </w:p>
    <w:p w:rsidR="00FF2EF5" w:rsidRPr="00F75C22" w:rsidRDefault="00382BA0" w:rsidP="000149DC">
      <w:pPr>
        <w:autoSpaceDE w:val="0"/>
        <w:autoSpaceDN w:val="0"/>
        <w:spacing w:line="360" w:lineRule="auto"/>
        <w:ind w:left="723" w:hangingChars="300" w:hanging="723"/>
        <w:rPr>
          <w:rFonts w:ascii="Book Antiqua" w:hAnsi="Book Antiqua"/>
          <w:b/>
          <w:iCs/>
          <w:color w:val="000000"/>
          <w:sz w:val="24"/>
        </w:rPr>
      </w:pPr>
      <w:r w:rsidRPr="00F75C22">
        <w:rPr>
          <w:rFonts w:ascii="Book Antiqua" w:hAnsi="Book Antiqua"/>
          <w:b/>
          <w:iCs/>
          <w:color w:val="000000"/>
          <w:sz w:val="24"/>
        </w:rPr>
        <w:t xml:space="preserve">Manuscript NO: </w:t>
      </w:r>
      <w:r w:rsidRPr="00F75C22">
        <w:rPr>
          <w:rFonts w:ascii="Book Antiqua" w:hAnsi="Book Antiqua"/>
          <w:iCs/>
          <w:color w:val="000000"/>
          <w:sz w:val="24"/>
        </w:rPr>
        <w:t>45386</w:t>
      </w:r>
      <w:r w:rsidR="00380651" w:rsidRPr="00F75C22">
        <w:rPr>
          <w:rFonts w:ascii="Book Antiqua" w:hAnsi="Book Antiqua" w:hint="eastAsia"/>
          <w:iCs/>
          <w:color w:val="000000"/>
          <w:sz w:val="24"/>
        </w:rPr>
        <w:t xml:space="preserve"> </w:t>
      </w:r>
    </w:p>
    <w:p w:rsidR="00FF2EF5" w:rsidRPr="00F75C22" w:rsidRDefault="00FF2EF5" w:rsidP="000149DC">
      <w:pPr>
        <w:autoSpaceDE w:val="0"/>
        <w:autoSpaceDN w:val="0"/>
        <w:spacing w:line="360" w:lineRule="auto"/>
        <w:ind w:left="723" w:hangingChars="300" w:hanging="723"/>
        <w:rPr>
          <w:rFonts w:ascii="Book Antiqua" w:hAnsi="Book Antiqua"/>
          <w:b/>
          <w:iCs/>
          <w:color w:val="000000"/>
          <w:sz w:val="24"/>
        </w:rPr>
      </w:pPr>
      <w:r w:rsidRPr="00F75C22">
        <w:rPr>
          <w:rFonts w:ascii="Book Antiqua" w:hAnsi="Book Antiqua"/>
          <w:b/>
          <w:iCs/>
          <w:color w:val="000000"/>
          <w:sz w:val="24"/>
        </w:rPr>
        <w:t xml:space="preserve">Manuscript Type: </w:t>
      </w:r>
      <w:r w:rsidR="00295D04" w:rsidRPr="00F75C22">
        <w:rPr>
          <w:rFonts w:ascii="Book Antiqua" w:hAnsi="Book Antiqua"/>
          <w:iCs/>
          <w:color w:val="000000"/>
          <w:sz w:val="24"/>
        </w:rPr>
        <w:t>ORIGINAL ARTICLE</w:t>
      </w:r>
    </w:p>
    <w:p w:rsidR="00295D04" w:rsidRPr="00F75C22" w:rsidRDefault="00295D04" w:rsidP="00295D04">
      <w:pPr>
        <w:autoSpaceDE w:val="0"/>
        <w:autoSpaceDN w:val="0"/>
        <w:spacing w:line="360" w:lineRule="auto"/>
        <w:ind w:left="720" w:hangingChars="300" w:hanging="720"/>
        <w:rPr>
          <w:rFonts w:ascii="Book Antiqua" w:hAnsi="Book Antiqua"/>
          <w:iCs/>
          <w:color w:val="000000"/>
          <w:sz w:val="24"/>
        </w:rPr>
      </w:pPr>
    </w:p>
    <w:p w:rsidR="00FF2EF5" w:rsidRPr="00F75C22" w:rsidRDefault="00295D04" w:rsidP="00295D04">
      <w:pPr>
        <w:autoSpaceDE w:val="0"/>
        <w:autoSpaceDN w:val="0"/>
        <w:spacing w:line="360" w:lineRule="auto"/>
        <w:ind w:left="723" w:hangingChars="300" w:hanging="723"/>
        <w:rPr>
          <w:rFonts w:ascii="Book Antiqua" w:hAnsi="Book Antiqua"/>
          <w:b/>
          <w:i/>
          <w:iCs/>
          <w:color w:val="000000"/>
          <w:sz w:val="24"/>
        </w:rPr>
      </w:pPr>
      <w:r w:rsidRPr="00F75C22">
        <w:rPr>
          <w:rFonts w:ascii="Book Antiqua" w:hAnsi="Book Antiqua"/>
          <w:b/>
          <w:i/>
          <w:iCs/>
          <w:color w:val="000000"/>
          <w:sz w:val="24"/>
        </w:rPr>
        <w:t>Retrospective Study</w:t>
      </w:r>
    </w:p>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iCs/>
          <w:color w:val="000000"/>
          <w:sz w:val="24"/>
        </w:rPr>
        <w:t xml:space="preserve">Significance of HER2 protein expression and </w:t>
      </w:r>
      <w:r w:rsidRPr="00F75C22">
        <w:rPr>
          <w:rFonts w:ascii="Book Antiqua" w:hAnsi="Book Antiqua"/>
          <w:b/>
          <w:i/>
          <w:iCs/>
          <w:color w:val="000000"/>
          <w:sz w:val="24"/>
        </w:rPr>
        <w:t>HER2</w:t>
      </w:r>
      <w:r w:rsidRPr="00F75C22">
        <w:rPr>
          <w:rFonts w:ascii="Book Antiqua" w:hAnsi="Book Antiqua"/>
          <w:b/>
          <w:iCs/>
          <w:color w:val="000000"/>
          <w:sz w:val="24"/>
        </w:rPr>
        <w:t xml:space="preserve"> gene amplification in </w:t>
      </w:r>
      <w:r w:rsidR="00396928" w:rsidRPr="00F75C22">
        <w:rPr>
          <w:rFonts w:ascii="Book Antiqua" w:hAnsi="Book Antiqua"/>
          <w:b/>
          <w:color w:val="000000"/>
          <w:kern w:val="0"/>
          <w:sz w:val="24"/>
        </w:rPr>
        <w:t>colorectal adenocarcinomas</w:t>
      </w:r>
    </w:p>
    <w:p w:rsidR="00E64A87" w:rsidRPr="00F75C22" w:rsidRDefault="00E64A87" w:rsidP="000149DC">
      <w:pPr>
        <w:autoSpaceDE w:val="0"/>
        <w:autoSpaceDN w:val="0"/>
        <w:spacing w:line="360" w:lineRule="auto"/>
        <w:ind w:left="720" w:hangingChars="300" w:hanging="720"/>
        <w:rPr>
          <w:rFonts w:ascii="Book Antiqua" w:hAnsi="Book Antiqua"/>
          <w:color w:val="000000"/>
          <w:kern w:val="0"/>
          <w:sz w:val="24"/>
        </w:rPr>
      </w:pPr>
    </w:p>
    <w:p w:rsidR="00FF2EF5" w:rsidRPr="00F75C22" w:rsidRDefault="00FF2EF5" w:rsidP="000149DC">
      <w:pPr>
        <w:autoSpaceDE w:val="0"/>
        <w:autoSpaceDN w:val="0"/>
        <w:spacing w:line="360" w:lineRule="auto"/>
        <w:ind w:left="720" w:hangingChars="300" w:hanging="720"/>
        <w:rPr>
          <w:rFonts w:ascii="Book Antiqua" w:hAnsi="Book Antiqua"/>
          <w:color w:val="000000"/>
          <w:kern w:val="0"/>
          <w:sz w:val="24"/>
        </w:rPr>
      </w:pPr>
      <w:r w:rsidRPr="00F75C22">
        <w:rPr>
          <w:rFonts w:ascii="Book Antiqua" w:hAnsi="Book Antiqua"/>
          <w:color w:val="000000"/>
          <w:kern w:val="0"/>
          <w:sz w:val="24"/>
        </w:rPr>
        <w:t>Wang X</w:t>
      </w:r>
      <w:r w:rsidR="00396928" w:rsidRPr="00F75C22">
        <w:rPr>
          <w:rFonts w:ascii="Book Antiqua" w:hAnsi="Book Antiqua"/>
          <w:color w:val="000000"/>
          <w:kern w:val="0"/>
          <w:sz w:val="24"/>
        </w:rPr>
        <w:t>Y</w:t>
      </w:r>
      <w:r w:rsidRPr="00F75C22">
        <w:rPr>
          <w:rFonts w:ascii="Book Antiqua" w:hAnsi="Book Antiqua"/>
          <w:color w:val="000000"/>
          <w:kern w:val="0"/>
          <w:sz w:val="24"/>
        </w:rPr>
        <w:t xml:space="preserve"> </w:t>
      </w:r>
      <w:r w:rsidRPr="00F75C22">
        <w:rPr>
          <w:rFonts w:ascii="Book Antiqua" w:hAnsi="Book Antiqua"/>
          <w:i/>
          <w:color w:val="000000"/>
          <w:kern w:val="0"/>
          <w:sz w:val="24"/>
        </w:rPr>
        <w:t>et al</w:t>
      </w:r>
      <w:r w:rsidRPr="00F75C22">
        <w:rPr>
          <w:rFonts w:ascii="Book Antiqua" w:hAnsi="Book Antiqua"/>
          <w:color w:val="000000"/>
          <w:kern w:val="0"/>
          <w:sz w:val="24"/>
        </w:rPr>
        <w:t xml:space="preserve">. </w:t>
      </w:r>
      <w:bookmarkStart w:id="0" w:name="OLE_LINK2"/>
      <w:bookmarkStart w:id="1" w:name="OLE_LINK3"/>
      <w:r w:rsidRPr="00F75C22">
        <w:rPr>
          <w:rFonts w:ascii="Book Antiqua" w:hAnsi="Book Antiqua"/>
          <w:color w:val="000000"/>
          <w:sz w:val="24"/>
        </w:rPr>
        <w:t xml:space="preserve">HER2 in colorectal </w:t>
      </w:r>
      <w:bookmarkEnd w:id="0"/>
      <w:bookmarkEnd w:id="1"/>
      <w:r w:rsidRPr="00F75C22">
        <w:rPr>
          <w:rFonts w:ascii="Book Antiqua" w:hAnsi="Book Antiqua"/>
          <w:color w:val="000000"/>
          <w:sz w:val="24"/>
        </w:rPr>
        <w:t>adenocarcinomas</w:t>
      </w:r>
    </w:p>
    <w:p w:rsidR="00FF2EF5" w:rsidRPr="00F75C22" w:rsidRDefault="00FF2EF5" w:rsidP="000149DC">
      <w:pPr>
        <w:pStyle w:val="af1"/>
        <w:spacing w:line="360" w:lineRule="auto"/>
        <w:ind w:firstLine="0"/>
        <w:rPr>
          <w:rFonts w:ascii="Book Antiqua" w:hAnsi="Book Antiqua"/>
          <w:b/>
          <w:i/>
          <w:iCs/>
          <w:color w:val="000000"/>
        </w:rPr>
      </w:pPr>
    </w:p>
    <w:p w:rsidR="00E64A87" w:rsidRPr="00F75C22" w:rsidRDefault="00E64A87" w:rsidP="000149DC">
      <w:pPr>
        <w:pStyle w:val="af1"/>
        <w:spacing w:line="360" w:lineRule="auto"/>
        <w:ind w:firstLine="0"/>
        <w:rPr>
          <w:rFonts w:ascii="Book Antiqua" w:hAnsi="Book Antiqua"/>
          <w:color w:val="000000"/>
          <w:vertAlign w:val="superscript"/>
        </w:rPr>
      </w:pPr>
      <w:r w:rsidRPr="00F75C22">
        <w:rPr>
          <w:rFonts w:ascii="Book Antiqua" w:hAnsi="Book Antiqua"/>
          <w:color w:val="000000"/>
        </w:rPr>
        <w:t>Xin</w:t>
      </w:r>
      <w:r w:rsidR="00E66E3E" w:rsidRPr="00F75C22">
        <w:rPr>
          <w:rFonts w:ascii="Book Antiqua" w:hAnsi="Book Antiqua"/>
          <w:color w:val="000000"/>
        </w:rPr>
        <w:t>-Y</w:t>
      </w:r>
      <w:r w:rsidRPr="00F75C22">
        <w:rPr>
          <w:rFonts w:ascii="Book Antiqua" w:hAnsi="Book Antiqua"/>
          <w:color w:val="000000"/>
        </w:rPr>
        <w:t>u Wang, Zhi</w:t>
      </w:r>
      <w:r w:rsidR="00E66E3E" w:rsidRPr="00F75C22">
        <w:rPr>
          <w:rFonts w:ascii="Book Antiqua" w:hAnsi="Book Antiqua"/>
          <w:color w:val="000000"/>
        </w:rPr>
        <w:t>-X</w:t>
      </w:r>
      <w:r w:rsidRPr="00F75C22">
        <w:rPr>
          <w:rFonts w:ascii="Book Antiqua" w:hAnsi="Book Antiqua"/>
          <w:color w:val="000000"/>
        </w:rPr>
        <w:t>ue Zheng, Yu Sun</w:t>
      </w:r>
      <w:r w:rsidR="00E66E3E" w:rsidRPr="00F75C22">
        <w:rPr>
          <w:rFonts w:ascii="Book Antiqua" w:hAnsi="Book Antiqua"/>
          <w:color w:val="000000"/>
        </w:rPr>
        <w:t>,</w:t>
      </w:r>
      <w:r w:rsidRPr="00F75C22">
        <w:rPr>
          <w:rFonts w:ascii="Book Antiqua" w:hAnsi="Book Antiqua"/>
          <w:color w:val="000000"/>
        </w:rPr>
        <w:t xml:space="preserve"> Yan</w:t>
      </w:r>
      <w:r w:rsidR="00E66E3E" w:rsidRPr="00F75C22">
        <w:rPr>
          <w:rFonts w:ascii="Book Antiqua" w:hAnsi="Book Antiqua"/>
          <w:color w:val="000000"/>
        </w:rPr>
        <w:t>-H</w:t>
      </w:r>
      <w:r w:rsidRPr="00F75C22">
        <w:rPr>
          <w:rFonts w:ascii="Book Antiqua" w:hAnsi="Book Antiqua"/>
          <w:color w:val="000000"/>
        </w:rPr>
        <w:t>ua Bai, Yun</w:t>
      </w:r>
      <w:r w:rsidR="00E66E3E" w:rsidRPr="00F75C22">
        <w:rPr>
          <w:rFonts w:ascii="Book Antiqua" w:hAnsi="Book Antiqua"/>
          <w:color w:val="000000"/>
        </w:rPr>
        <w:t>-F</w:t>
      </w:r>
      <w:r w:rsidRPr="00F75C22">
        <w:rPr>
          <w:rFonts w:ascii="Book Antiqua" w:hAnsi="Book Antiqua"/>
          <w:color w:val="000000"/>
        </w:rPr>
        <w:t>ei Shi, Li</w:t>
      </w:r>
      <w:r w:rsidR="00E66E3E" w:rsidRPr="00F75C22">
        <w:rPr>
          <w:rFonts w:ascii="Book Antiqua" w:hAnsi="Book Antiqua"/>
          <w:color w:val="000000"/>
        </w:rPr>
        <w:t>-X</w:t>
      </w:r>
      <w:r w:rsidRPr="00F75C22">
        <w:rPr>
          <w:rFonts w:ascii="Book Antiqua" w:hAnsi="Book Antiqua"/>
          <w:color w:val="000000"/>
        </w:rPr>
        <w:t>in Zhou, Yun</w:t>
      </w:r>
      <w:r w:rsidR="00E66E3E" w:rsidRPr="00F75C22">
        <w:rPr>
          <w:rFonts w:ascii="Book Antiqua" w:hAnsi="Book Antiqua"/>
          <w:color w:val="000000"/>
        </w:rPr>
        <w:t>-F</w:t>
      </w:r>
      <w:r w:rsidRPr="00F75C22">
        <w:rPr>
          <w:rFonts w:ascii="Book Antiqua" w:hAnsi="Book Antiqua"/>
          <w:color w:val="000000"/>
        </w:rPr>
        <w:t>eng Yao, Ai</w:t>
      </w:r>
      <w:r w:rsidR="00E66E3E" w:rsidRPr="00F75C22">
        <w:rPr>
          <w:rFonts w:ascii="Book Antiqua" w:hAnsi="Book Antiqua"/>
          <w:color w:val="000000"/>
        </w:rPr>
        <w:t>-W</w:t>
      </w:r>
      <w:r w:rsidRPr="00F75C22">
        <w:rPr>
          <w:rFonts w:ascii="Book Antiqua" w:hAnsi="Book Antiqua"/>
          <w:color w:val="000000"/>
        </w:rPr>
        <w:t>en Wu, Deng</w:t>
      </w:r>
      <w:r w:rsidR="00E66E3E" w:rsidRPr="00F75C22">
        <w:rPr>
          <w:rFonts w:ascii="Book Antiqua" w:hAnsi="Book Antiqua"/>
          <w:color w:val="000000"/>
        </w:rPr>
        <w:t>-F</w:t>
      </w:r>
      <w:r w:rsidRPr="00F75C22">
        <w:rPr>
          <w:rFonts w:ascii="Book Antiqua" w:hAnsi="Book Antiqua"/>
          <w:color w:val="000000"/>
        </w:rPr>
        <w:t>eng Cao</w:t>
      </w:r>
    </w:p>
    <w:p w:rsidR="00E66E3E" w:rsidRPr="00F75C22" w:rsidRDefault="00E66E3E" w:rsidP="000149DC">
      <w:pPr>
        <w:pStyle w:val="af1"/>
        <w:tabs>
          <w:tab w:val="left" w:pos="1440"/>
        </w:tabs>
        <w:spacing w:line="360" w:lineRule="auto"/>
        <w:ind w:firstLine="0"/>
        <w:rPr>
          <w:rFonts w:ascii="Book Antiqua" w:hAnsi="Book Antiqua"/>
          <w:color w:val="000000"/>
        </w:rPr>
      </w:pPr>
    </w:p>
    <w:p w:rsidR="00E64A87" w:rsidRPr="00F75C22" w:rsidRDefault="00E66E3E" w:rsidP="000149DC">
      <w:pPr>
        <w:pStyle w:val="af1"/>
        <w:tabs>
          <w:tab w:val="left" w:pos="1440"/>
        </w:tabs>
        <w:spacing w:line="360" w:lineRule="auto"/>
        <w:ind w:firstLine="0"/>
        <w:rPr>
          <w:rFonts w:ascii="Book Antiqua" w:hAnsi="Book Antiqua"/>
          <w:color w:val="000000"/>
        </w:rPr>
      </w:pPr>
      <w:r w:rsidRPr="00F75C22">
        <w:rPr>
          <w:rFonts w:ascii="Book Antiqua" w:hAnsi="Book Antiqua"/>
          <w:b/>
          <w:color w:val="000000"/>
        </w:rPr>
        <w:t>Xin-Yu Wang, Yu Sun, Yan-Hua Bai, Yun-Fei Shi, Li-Xin Zhou, Deng-Feng Cao,</w:t>
      </w:r>
      <w:r w:rsidRPr="00F75C22">
        <w:rPr>
          <w:rFonts w:ascii="Book Antiqua" w:hAnsi="Book Antiqua"/>
          <w:color w:val="000000"/>
        </w:rPr>
        <w:t xml:space="preserve"> </w:t>
      </w:r>
      <w:r w:rsidR="00E64A87" w:rsidRPr="00F75C22">
        <w:rPr>
          <w:rFonts w:ascii="Book Antiqua" w:hAnsi="Book Antiqua"/>
          <w:color w:val="000000"/>
        </w:rPr>
        <w:t>Key laboratory of Carcinogenesis and Translational Research (Ministry of Education), Department of Pathology, Pek</w:t>
      </w:r>
      <w:r w:rsidR="007531D9" w:rsidRPr="00F75C22">
        <w:rPr>
          <w:rFonts w:ascii="Book Antiqua" w:hAnsi="Book Antiqua"/>
          <w:color w:val="000000"/>
        </w:rPr>
        <w:t>ing University Cancer Hospital and</w:t>
      </w:r>
      <w:r w:rsidR="00E64A87" w:rsidRPr="00F75C22">
        <w:rPr>
          <w:rFonts w:ascii="Book Antiqua" w:hAnsi="Book Antiqua"/>
          <w:color w:val="000000"/>
        </w:rPr>
        <w:t xml:space="preserve"> Institute, Beijing</w:t>
      </w:r>
      <w:r w:rsidR="00A522B2" w:rsidRPr="00F75C22">
        <w:rPr>
          <w:rFonts w:ascii="Book Antiqua" w:hAnsi="Book Antiqua"/>
          <w:color w:val="000000"/>
        </w:rPr>
        <w:t xml:space="preserve"> 100142</w:t>
      </w:r>
      <w:r w:rsidR="00E64A87" w:rsidRPr="00F75C22">
        <w:rPr>
          <w:rFonts w:ascii="Book Antiqua" w:hAnsi="Book Antiqua"/>
          <w:color w:val="000000"/>
        </w:rPr>
        <w:t>, China</w:t>
      </w:r>
    </w:p>
    <w:p w:rsidR="007531D9" w:rsidRPr="00F75C22" w:rsidRDefault="007531D9" w:rsidP="000149DC">
      <w:pPr>
        <w:pStyle w:val="af1"/>
        <w:tabs>
          <w:tab w:val="left" w:pos="1440"/>
        </w:tabs>
        <w:spacing w:line="360" w:lineRule="auto"/>
        <w:ind w:firstLine="0"/>
        <w:rPr>
          <w:rFonts w:ascii="Book Antiqua" w:hAnsi="Book Antiqua"/>
          <w:color w:val="000000"/>
        </w:rPr>
      </w:pPr>
    </w:p>
    <w:p w:rsidR="00E64A87" w:rsidRPr="00F75C22" w:rsidRDefault="00E66E3E" w:rsidP="000149DC">
      <w:pPr>
        <w:pStyle w:val="af1"/>
        <w:tabs>
          <w:tab w:val="left" w:pos="1440"/>
        </w:tabs>
        <w:spacing w:line="360" w:lineRule="auto"/>
        <w:ind w:firstLine="0"/>
        <w:rPr>
          <w:rFonts w:ascii="Book Antiqua" w:hAnsi="Book Antiqua"/>
          <w:color w:val="000000"/>
          <w:kern w:val="0"/>
        </w:rPr>
      </w:pPr>
      <w:r w:rsidRPr="00F75C22">
        <w:rPr>
          <w:rFonts w:ascii="Book Antiqua" w:hAnsi="Book Antiqua"/>
          <w:b/>
          <w:color w:val="000000"/>
        </w:rPr>
        <w:t>Zhi-Xue Zheng, Yun-Feng Yao, Ai-Wen Wu,</w:t>
      </w:r>
      <w:r w:rsidRPr="00F75C22">
        <w:rPr>
          <w:rFonts w:ascii="Book Antiqua" w:hAnsi="Book Antiqua"/>
          <w:color w:val="000000"/>
        </w:rPr>
        <w:t xml:space="preserve"> </w:t>
      </w:r>
      <w:r w:rsidR="00E64A87" w:rsidRPr="00F75C22">
        <w:rPr>
          <w:rFonts w:ascii="Book Antiqua" w:hAnsi="Book Antiqua"/>
          <w:color w:val="000000"/>
          <w:kern w:val="0"/>
        </w:rPr>
        <w:t>Key Laboratory of Carcinogenesis and Translational Research (Ministry of Education), Gastrointestinal Cancer Center, Pek</w:t>
      </w:r>
      <w:r w:rsidR="007531D9" w:rsidRPr="00F75C22">
        <w:rPr>
          <w:rFonts w:ascii="Book Antiqua" w:hAnsi="Book Antiqua"/>
          <w:color w:val="000000"/>
          <w:kern w:val="0"/>
        </w:rPr>
        <w:t>ing University Cancer Hospital and</w:t>
      </w:r>
      <w:r w:rsidR="00E64A87" w:rsidRPr="00F75C22">
        <w:rPr>
          <w:rFonts w:ascii="Book Antiqua" w:hAnsi="Book Antiqua"/>
          <w:color w:val="000000"/>
          <w:kern w:val="0"/>
        </w:rPr>
        <w:t xml:space="preserve"> Institute, Beijing</w:t>
      </w:r>
      <w:r w:rsidR="00F034E6" w:rsidRPr="00F75C22">
        <w:rPr>
          <w:rFonts w:ascii="Book Antiqua" w:hAnsi="Book Antiqua"/>
          <w:color w:val="000000"/>
          <w:kern w:val="0"/>
        </w:rPr>
        <w:t xml:space="preserve"> 100142</w:t>
      </w:r>
      <w:r w:rsidR="00E64A87" w:rsidRPr="00F75C22">
        <w:rPr>
          <w:rFonts w:ascii="Book Antiqua" w:hAnsi="Book Antiqua"/>
          <w:color w:val="000000"/>
          <w:kern w:val="0"/>
        </w:rPr>
        <w:t>, China</w:t>
      </w:r>
    </w:p>
    <w:p w:rsidR="007531D9" w:rsidRPr="00F75C22" w:rsidRDefault="007531D9" w:rsidP="000149DC">
      <w:pPr>
        <w:pStyle w:val="af1"/>
        <w:tabs>
          <w:tab w:val="left" w:pos="1440"/>
        </w:tabs>
        <w:spacing w:line="360" w:lineRule="auto"/>
        <w:ind w:firstLine="0"/>
        <w:rPr>
          <w:rFonts w:ascii="Book Antiqua" w:hAnsi="Book Antiqua"/>
          <w:color w:val="000000"/>
          <w:kern w:val="0"/>
        </w:rPr>
      </w:pPr>
    </w:p>
    <w:p w:rsidR="00E64A87" w:rsidRPr="00F75C22" w:rsidRDefault="00E66E3E" w:rsidP="000149DC">
      <w:pPr>
        <w:pStyle w:val="af1"/>
        <w:tabs>
          <w:tab w:val="left" w:pos="1440"/>
        </w:tabs>
        <w:spacing w:line="360" w:lineRule="auto"/>
        <w:ind w:firstLine="0"/>
        <w:rPr>
          <w:rFonts w:ascii="Book Antiqua" w:hAnsi="Book Antiqua"/>
          <w:color w:val="000000"/>
          <w:kern w:val="0"/>
        </w:rPr>
      </w:pPr>
      <w:r w:rsidRPr="00F75C22">
        <w:rPr>
          <w:rFonts w:ascii="Book Antiqua" w:hAnsi="Book Antiqua"/>
          <w:b/>
          <w:color w:val="000000"/>
          <w:kern w:val="0"/>
        </w:rPr>
        <w:t>Zhi-Xue Zheng,</w:t>
      </w:r>
      <w:r w:rsidRPr="00F75C22">
        <w:rPr>
          <w:rFonts w:ascii="Book Antiqua" w:hAnsi="Book Antiqua"/>
          <w:color w:val="000000"/>
          <w:kern w:val="0"/>
        </w:rPr>
        <w:t xml:space="preserve"> </w:t>
      </w:r>
      <w:r w:rsidR="00E64A87" w:rsidRPr="00F75C22">
        <w:rPr>
          <w:rFonts w:ascii="Book Antiqua" w:hAnsi="Book Antiqua"/>
          <w:color w:val="000000"/>
          <w:kern w:val="0"/>
        </w:rPr>
        <w:t>Department of General Surgery, Beijing Jishuitan Hospital, Beijing</w:t>
      </w:r>
      <w:r w:rsidR="007E6996" w:rsidRPr="00F75C22">
        <w:rPr>
          <w:rFonts w:ascii="Book Antiqua" w:hAnsi="Book Antiqua"/>
          <w:color w:val="000000"/>
          <w:kern w:val="0"/>
        </w:rPr>
        <w:t xml:space="preserve"> 100035</w:t>
      </w:r>
      <w:r w:rsidR="00E64A87" w:rsidRPr="00F75C22">
        <w:rPr>
          <w:rFonts w:ascii="Book Antiqua" w:hAnsi="Book Antiqua"/>
          <w:color w:val="000000"/>
          <w:kern w:val="0"/>
        </w:rPr>
        <w:t>, China</w:t>
      </w:r>
    </w:p>
    <w:p w:rsidR="007531D9" w:rsidRPr="00F75C22" w:rsidRDefault="007531D9" w:rsidP="000149DC">
      <w:pPr>
        <w:pStyle w:val="af1"/>
        <w:tabs>
          <w:tab w:val="left" w:pos="1440"/>
        </w:tabs>
        <w:spacing w:line="360" w:lineRule="auto"/>
        <w:ind w:firstLine="0"/>
        <w:rPr>
          <w:rFonts w:ascii="Book Antiqua" w:hAnsi="Book Antiqua"/>
          <w:color w:val="000000"/>
          <w:kern w:val="0"/>
        </w:rPr>
      </w:pPr>
    </w:p>
    <w:p w:rsidR="00E64A87" w:rsidRPr="00F75C22" w:rsidRDefault="00E66E3E" w:rsidP="000149DC">
      <w:pPr>
        <w:pStyle w:val="af1"/>
        <w:tabs>
          <w:tab w:val="left" w:pos="1440"/>
        </w:tabs>
        <w:spacing w:line="360" w:lineRule="auto"/>
        <w:ind w:firstLine="0"/>
        <w:rPr>
          <w:rFonts w:ascii="Book Antiqua" w:hAnsi="Book Antiqua"/>
          <w:color w:val="000000"/>
          <w:kern w:val="0"/>
        </w:rPr>
      </w:pPr>
      <w:r w:rsidRPr="00F75C22">
        <w:rPr>
          <w:rFonts w:ascii="Book Antiqua" w:hAnsi="Book Antiqua"/>
          <w:b/>
          <w:color w:val="000000"/>
          <w:kern w:val="0"/>
        </w:rPr>
        <w:t>Deng-Feng Cao,</w:t>
      </w:r>
      <w:r w:rsidRPr="00F75C22">
        <w:rPr>
          <w:rFonts w:ascii="Book Antiqua" w:hAnsi="Book Antiqua"/>
          <w:color w:val="000000"/>
          <w:kern w:val="0"/>
        </w:rPr>
        <w:t xml:space="preserve"> </w:t>
      </w:r>
      <w:r w:rsidR="00E64A87" w:rsidRPr="00F75C22">
        <w:rPr>
          <w:rFonts w:ascii="Book Antiqua" w:hAnsi="Book Antiqua"/>
          <w:color w:val="000000"/>
          <w:kern w:val="0"/>
        </w:rPr>
        <w:t>Department of Pathology and Immunology, Washington University School of Medicine, S</w:t>
      </w:r>
      <w:r w:rsidR="007531D9" w:rsidRPr="00F75C22">
        <w:rPr>
          <w:rFonts w:ascii="Book Antiqua" w:hAnsi="Book Antiqua"/>
          <w:color w:val="000000"/>
          <w:kern w:val="0"/>
        </w:rPr>
        <w:t xml:space="preserve">aint Louis, </w:t>
      </w:r>
      <w:r w:rsidR="00630FEC" w:rsidRPr="00F75C22">
        <w:rPr>
          <w:rFonts w:ascii="Book Antiqua" w:hAnsi="Book Antiqua"/>
          <w:color w:val="000000"/>
          <w:kern w:val="0"/>
        </w:rPr>
        <w:t>MO</w:t>
      </w:r>
      <w:r w:rsidR="007531D9" w:rsidRPr="00F75C22">
        <w:rPr>
          <w:rFonts w:ascii="Book Antiqua" w:hAnsi="Book Antiqua"/>
          <w:color w:val="000000"/>
          <w:kern w:val="0"/>
        </w:rPr>
        <w:t xml:space="preserve"> 63110, United States</w:t>
      </w:r>
    </w:p>
    <w:p w:rsidR="00E66E3E" w:rsidRPr="00F75C22" w:rsidRDefault="00E66E3E" w:rsidP="000149DC">
      <w:pPr>
        <w:widowControl/>
        <w:spacing w:line="360" w:lineRule="auto"/>
        <w:rPr>
          <w:rFonts w:ascii="Book Antiqua" w:hAnsi="Book Antiqua"/>
          <w:color w:val="000000"/>
          <w:kern w:val="0"/>
          <w:sz w:val="24"/>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 xml:space="preserve">ORCID number: </w:t>
      </w:r>
      <w:r w:rsidRPr="00F75C22">
        <w:rPr>
          <w:rFonts w:ascii="Book Antiqua" w:hAnsi="Book Antiqua"/>
          <w:color w:val="000000"/>
        </w:rPr>
        <w:t>Xin</w:t>
      </w:r>
      <w:r w:rsidR="00630FEC" w:rsidRPr="00F75C22">
        <w:rPr>
          <w:rFonts w:ascii="Book Antiqua" w:hAnsi="Book Antiqua"/>
          <w:color w:val="000000"/>
        </w:rPr>
        <w:t xml:space="preserve">-Yu </w:t>
      </w:r>
      <w:r w:rsidRPr="00F75C22">
        <w:rPr>
          <w:rFonts w:ascii="Book Antiqua" w:hAnsi="Book Antiqua"/>
          <w:color w:val="000000"/>
        </w:rPr>
        <w:t>Wang (</w:t>
      </w:r>
      <w:r w:rsidR="00546866" w:rsidRPr="00F75C22">
        <w:rPr>
          <w:rFonts w:ascii="Book Antiqua" w:hAnsi="Book Antiqua"/>
          <w:color w:val="000000"/>
        </w:rPr>
        <w:t>0000-0002-8234-9868</w:t>
      </w:r>
      <w:r w:rsidRPr="00F75C22">
        <w:rPr>
          <w:rFonts w:ascii="Book Antiqua" w:hAnsi="Book Antiqua"/>
          <w:color w:val="000000"/>
        </w:rPr>
        <w:t>); Zhi</w:t>
      </w:r>
      <w:r w:rsidR="00630FEC" w:rsidRPr="00F75C22">
        <w:rPr>
          <w:rFonts w:ascii="Book Antiqua" w:hAnsi="Book Antiqua"/>
          <w:color w:val="000000"/>
        </w:rPr>
        <w:t xml:space="preserve">-Xue </w:t>
      </w:r>
      <w:r w:rsidRPr="00F75C22">
        <w:rPr>
          <w:rFonts w:ascii="Book Antiqua" w:hAnsi="Book Antiqua"/>
          <w:color w:val="000000"/>
        </w:rPr>
        <w:t xml:space="preserve">Zheng </w:t>
      </w:r>
      <w:r w:rsidRPr="00F75C22">
        <w:rPr>
          <w:rFonts w:ascii="Book Antiqua" w:hAnsi="Book Antiqua"/>
          <w:color w:val="000000"/>
        </w:rPr>
        <w:lastRenderedPageBreak/>
        <w:t>(</w:t>
      </w:r>
      <w:r w:rsidR="00546866" w:rsidRPr="00F75C22">
        <w:rPr>
          <w:rFonts w:ascii="Book Antiqua" w:hAnsi="Book Antiqua"/>
          <w:color w:val="000000"/>
        </w:rPr>
        <w:t>0000-0002-4314-9847</w:t>
      </w:r>
      <w:r w:rsidRPr="00F75C22">
        <w:rPr>
          <w:rFonts w:ascii="Book Antiqua" w:hAnsi="Book Antiqua"/>
          <w:color w:val="000000"/>
        </w:rPr>
        <w:t>); Yu Sun</w:t>
      </w:r>
      <w:r w:rsidRPr="00F75C22">
        <w:rPr>
          <w:rFonts w:ascii="Book Antiqua" w:hAnsi="Book Antiqua"/>
          <w:color w:val="000000"/>
          <w:vertAlign w:val="superscript"/>
        </w:rPr>
        <w:t xml:space="preserve"> </w:t>
      </w:r>
      <w:r w:rsidRPr="00F75C22">
        <w:rPr>
          <w:rFonts w:ascii="Book Antiqua" w:hAnsi="Book Antiqua"/>
          <w:color w:val="000000"/>
        </w:rPr>
        <w:t>(</w:t>
      </w:r>
      <w:r w:rsidR="00546866" w:rsidRPr="00F75C22">
        <w:rPr>
          <w:rFonts w:ascii="Book Antiqua" w:hAnsi="Book Antiqua"/>
          <w:color w:val="000000"/>
        </w:rPr>
        <w:t>0000-0003-3024-0331</w:t>
      </w:r>
      <w:r w:rsidRPr="00F75C22">
        <w:rPr>
          <w:rFonts w:ascii="Book Antiqua" w:hAnsi="Book Antiqua"/>
          <w:color w:val="000000"/>
        </w:rPr>
        <w:t>); Yan</w:t>
      </w:r>
      <w:r w:rsidR="00630FEC" w:rsidRPr="00F75C22">
        <w:rPr>
          <w:rFonts w:ascii="Book Antiqua" w:hAnsi="Book Antiqua"/>
          <w:color w:val="000000"/>
        </w:rPr>
        <w:t xml:space="preserve">-Hua </w:t>
      </w:r>
      <w:r w:rsidRPr="00F75C22">
        <w:rPr>
          <w:rFonts w:ascii="Book Antiqua" w:hAnsi="Book Antiqua"/>
          <w:color w:val="000000"/>
        </w:rPr>
        <w:t>Bai (</w:t>
      </w:r>
      <w:r w:rsidR="00546866" w:rsidRPr="00F75C22">
        <w:rPr>
          <w:rFonts w:ascii="Book Antiqua" w:hAnsi="Book Antiqua"/>
          <w:color w:val="000000"/>
        </w:rPr>
        <w:t>0000-0002-7634-282X</w:t>
      </w:r>
      <w:r w:rsidRPr="00F75C22">
        <w:rPr>
          <w:rFonts w:ascii="Book Antiqua" w:hAnsi="Book Antiqua"/>
          <w:color w:val="000000"/>
        </w:rPr>
        <w:t>); Yun</w:t>
      </w:r>
      <w:r w:rsidR="00630FEC" w:rsidRPr="00F75C22">
        <w:rPr>
          <w:rFonts w:ascii="Book Antiqua" w:hAnsi="Book Antiqua"/>
          <w:color w:val="000000"/>
        </w:rPr>
        <w:t xml:space="preserve">-Fei </w:t>
      </w:r>
      <w:r w:rsidRPr="00F75C22">
        <w:rPr>
          <w:rFonts w:ascii="Book Antiqua" w:hAnsi="Book Antiqua"/>
          <w:color w:val="000000"/>
        </w:rPr>
        <w:t>Shi (</w:t>
      </w:r>
      <w:r w:rsidR="00546866" w:rsidRPr="00F75C22">
        <w:rPr>
          <w:rFonts w:ascii="Book Antiqua" w:hAnsi="Book Antiqua"/>
          <w:color w:val="000000"/>
        </w:rPr>
        <w:t>0000-0001-9972-8824</w:t>
      </w:r>
      <w:r w:rsidRPr="00F75C22">
        <w:rPr>
          <w:rFonts w:ascii="Book Antiqua" w:hAnsi="Book Antiqua"/>
          <w:color w:val="000000"/>
        </w:rPr>
        <w:t>); Li</w:t>
      </w:r>
      <w:r w:rsidR="00630FEC" w:rsidRPr="00F75C22">
        <w:rPr>
          <w:rFonts w:ascii="Book Antiqua" w:hAnsi="Book Antiqua"/>
          <w:color w:val="000000"/>
        </w:rPr>
        <w:t xml:space="preserve">-Xin </w:t>
      </w:r>
      <w:r w:rsidRPr="00F75C22">
        <w:rPr>
          <w:rFonts w:ascii="Book Antiqua" w:hAnsi="Book Antiqua"/>
          <w:color w:val="000000"/>
        </w:rPr>
        <w:t>Zhou (</w:t>
      </w:r>
      <w:r w:rsidR="00546866" w:rsidRPr="00F75C22">
        <w:rPr>
          <w:rFonts w:ascii="Book Antiqua" w:hAnsi="Book Antiqua"/>
          <w:color w:val="000000"/>
        </w:rPr>
        <w:t>0000-0001-8608-5479</w:t>
      </w:r>
      <w:r w:rsidRPr="00F75C22">
        <w:rPr>
          <w:rFonts w:ascii="Book Antiqua" w:hAnsi="Book Antiqua"/>
          <w:color w:val="000000"/>
        </w:rPr>
        <w:t>); Yun</w:t>
      </w:r>
      <w:r w:rsidR="00630FEC" w:rsidRPr="00F75C22">
        <w:rPr>
          <w:rFonts w:ascii="Book Antiqua" w:hAnsi="Book Antiqua"/>
          <w:color w:val="000000"/>
        </w:rPr>
        <w:t xml:space="preserve">-Feng </w:t>
      </w:r>
      <w:r w:rsidRPr="00F75C22">
        <w:rPr>
          <w:rFonts w:ascii="Book Antiqua" w:hAnsi="Book Antiqua"/>
          <w:color w:val="000000"/>
        </w:rPr>
        <w:t>Yao (</w:t>
      </w:r>
      <w:r w:rsidR="00546866" w:rsidRPr="00F75C22">
        <w:rPr>
          <w:rFonts w:ascii="Book Antiqua" w:hAnsi="Book Antiqua"/>
          <w:color w:val="000000"/>
        </w:rPr>
        <w:t>0000-0003-3660-3412</w:t>
      </w:r>
      <w:r w:rsidRPr="00F75C22">
        <w:rPr>
          <w:rFonts w:ascii="Book Antiqua" w:hAnsi="Book Antiqua"/>
          <w:color w:val="000000"/>
        </w:rPr>
        <w:t>); Ai</w:t>
      </w:r>
      <w:r w:rsidR="00630FEC" w:rsidRPr="00F75C22">
        <w:rPr>
          <w:rFonts w:ascii="Book Antiqua" w:hAnsi="Book Antiqua"/>
          <w:color w:val="000000"/>
        </w:rPr>
        <w:t xml:space="preserve">-Wen </w:t>
      </w:r>
      <w:r w:rsidRPr="00F75C22">
        <w:rPr>
          <w:rFonts w:ascii="Book Antiqua" w:hAnsi="Book Antiqua"/>
          <w:color w:val="000000"/>
        </w:rPr>
        <w:t>Wu (</w:t>
      </w:r>
      <w:r w:rsidR="00546866" w:rsidRPr="00F75C22">
        <w:rPr>
          <w:rFonts w:ascii="Book Antiqua" w:hAnsi="Book Antiqua"/>
          <w:color w:val="000000"/>
        </w:rPr>
        <w:t>0000-0003-3365-3481</w:t>
      </w:r>
      <w:r w:rsidRPr="00F75C22">
        <w:rPr>
          <w:rFonts w:ascii="Book Antiqua" w:hAnsi="Book Antiqua"/>
          <w:color w:val="000000"/>
        </w:rPr>
        <w:t>), Deng</w:t>
      </w:r>
      <w:r w:rsidR="00630FEC" w:rsidRPr="00F75C22">
        <w:rPr>
          <w:rFonts w:ascii="Book Antiqua" w:hAnsi="Book Antiqua"/>
          <w:color w:val="000000"/>
        </w:rPr>
        <w:t xml:space="preserve">-Feng </w:t>
      </w:r>
      <w:r w:rsidRPr="00F75C22">
        <w:rPr>
          <w:rFonts w:ascii="Book Antiqua" w:hAnsi="Book Antiqua"/>
          <w:color w:val="000000"/>
        </w:rPr>
        <w:t>Cao (</w:t>
      </w:r>
      <w:r w:rsidR="00546866" w:rsidRPr="00F75C22">
        <w:rPr>
          <w:rFonts w:ascii="Book Antiqua" w:hAnsi="Book Antiqua"/>
          <w:color w:val="000000"/>
        </w:rPr>
        <w:t>0000-0002-6551-2723</w:t>
      </w:r>
      <w:r w:rsidRPr="00F75C22">
        <w:rPr>
          <w:rFonts w:ascii="Book Antiqua" w:hAnsi="Book Antiqua"/>
          <w:color w:val="000000"/>
        </w:rPr>
        <w:t>)</w:t>
      </w:r>
      <w:r w:rsidR="00E66E3E" w:rsidRPr="00F75C22">
        <w:rPr>
          <w:rFonts w:ascii="Book Antiqua" w:hAnsi="Book Antiqua"/>
          <w:color w:val="000000"/>
        </w:rPr>
        <w:t>.</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widowControl/>
        <w:spacing w:line="360" w:lineRule="auto"/>
        <w:rPr>
          <w:rFonts w:ascii="Book Antiqua" w:hAnsi="Book Antiqua"/>
          <w:color w:val="000000"/>
          <w:kern w:val="0"/>
          <w:sz w:val="24"/>
        </w:rPr>
      </w:pPr>
      <w:r w:rsidRPr="00F75C22">
        <w:rPr>
          <w:rFonts w:ascii="Book Antiqua" w:hAnsi="Book Antiqua"/>
          <w:b/>
          <w:color w:val="000000"/>
          <w:sz w:val="24"/>
        </w:rPr>
        <w:t>Author contributions:</w:t>
      </w:r>
      <w:r w:rsidRPr="00F75C22">
        <w:rPr>
          <w:rFonts w:ascii="Book Antiqua" w:hAnsi="Book Antiqua"/>
          <w:color w:val="000000"/>
          <w:sz w:val="24"/>
        </w:rPr>
        <w:t xml:space="preserve"> </w:t>
      </w:r>
      <w:r w:rsidR="00630FEC" w:rsidRPr="00F75C22">
        <w:rPr>
          <w:rFonts w:ascii="Book Antiqua" w:hAnsi="Book Antiqua"/>
          <w:color w:val="000000"/>
          <w:sz w:val="24"/>
        </w:rPr>
        <w:t>Wang XY and Zheng</w:t>
      </w:r>
      <w:r w:rsidR="00630FEC" w:rsidRPr="00F75C22">
        <w:rPr>
          <w:rFonts w:ascii="Book Antiqua" w:hAnsi="Book Antiqua"/>
          <w:color w:val="000000"/>
          <w:kern w:val="0"/>
          <w:sz w:val="24"/>
        </w:rPr>
        <w:t xml:space="preserve"> ZX contributed equally to this work; </w:t>
      </w:r>
      <w:r w:rsidR="00630FEC" w:rsidRPr="00F75C22">
        <w:rPr>
          <w:rFonts w:ascii="Book Antiqua" w:hAnsi="Book Antiqua"/>
          <w:color w:val="000000"/>
          <w:sz w:val="24"/>
        </w:rPr>
        <w:t xml:space="preserve">all </w:t>
      </w:r>
      <w:r w:rsidR="00546866" w:rsidRPr="00F75C22">
        <w:rPr>
          <w:rFonts w:ascii="Book Antiqua" w:hAnsi="Book Antiqua"/>
          <w:color w:val="000000"/>
          <w:sz w:val="24"/>
        </w:rPr>
        <w:t>authors helped to perform the research; Wang</w:t>
      </w:r>
      <w:r w:rsidR="00441FA8" w:rsidRPr="00F75C22">
        <w:rPr>
          <w:rFonts w:ascii="Book Antiqua" w:hAnsi="Book Antiqua"/>
          <w:color w:val="000000"/>
          <w:sz w:val="24"/>
        </w:rPr>
        <w:t xml:space="preserve"> X</w:t>
      </w:r>
      <w:r w:rsidR="00630FEC" w:rsidRPr="00F75C22">
        <w:rPr>
          <w:rFonts w:ascii="Book Antiqua" w:hAnsi="Book Antiqua"/>
          <w:color w:val="000000"/>
          <w:sz w:val="24"/>
        </w:rPr>
        <w:t>Y</w:t>
      </w:r>
      <w:r w:rsidR="00441FA8" w:rsidRPr="00F75C22">
        <w:rPr>
          <w:rFonts w:ascii="Book Antiqua" w:hAnsi="Book Antiqua"/>
          <w:color w:val="000000"/>
          <w:sz w:val="24"/>
        </w:rPr>
        <w:t xml:space="preserve"> </w:t>
      </w:r>
      <w:r w:rsidR="00546866" w:rsidRPr="00F75C22">
        <w:rPr>
          <w:rFonts w:ascii="Book Antiqua" w:hAnsi="Book Antiqua"/>
          <w:color w:val="000000"/>
          <w:sz w:val="24"/>
        </w:rPr>
        <w:t>manuscript writing, performin</w:t>
      </w:r>
      <w:r w:rsidR="00D55B71" w:rsidRPr="00F75C22">
        <w:rPr>
          <w:rFonts w:ascii="Book Antiqua" w:hAnsi="Book Antiqua"/>
          <w:color w:val="000000"/>
          <w:sz w:val="24"/>
        </w:rPr>
        <w:t xml:space="preserve">g procedures and </w:t>
      </w:r>
      <w:r w:rsidR="00441FA8" w:rsidRPr="00F75C22">
        <w:rPr>
          <w:rFonts w:ascii="Book Antiqua" w:hAnsi="Book Antiqua"/>
          <w:color w:val="000000"/>
          <w:sz w:val="24"/>
        </w:rPr>
        <w:t>data analysis;</w:t>
      </w:r>
      <w:r w:rsidR="00FB7596" w:rsidRPr="00F75C22">
        <w:rPr>
          <w:rFonts w:ascii="Book Antiqua" w:hAnsi="Book Antiqua"/>
          <w:color w:val="000000"/>
          <w:sz w:val="24"/>
        </w:rPr>
        <w:t xml:space="preserve"> Zheng</w:t>
      </w:r>
      <w:r w:rsidR="00441FA8" w:rsidRPr="00F75C22">
        <w:rPr>
          <w:rFonts w:ascii="Book Antiqua" w:hAnsi="Book Antiqua"/>
          <w:color w:val="000000"/>
          <w:sz w:val="24"/>
        </w:rPr>
        <w:t xml:space="preserve"> Z</w:t>
      </w:r>
      <w:r w:rsidR="00630FEC" w:rsidRPr="00F75C22">
        <w:rPr>
          <w:rFonts w:ascii="Book Antiqua" w:hAnsi="Book Antiqua"/>
          <w:color w:val="000000"/>
          <w:sz w:val="24"/>
        </w:rPr>
        <w:t>X</w:t>
      </w:r>
      <w:r w:rsidR="00FB7596" w:rsidRPr="00F75C22">
        <w:rPr>
          <w:rFonts w:ascii="Book Antiqua" w:hAnsi="Book Antiqua"/>
          <w:color w:val="000000"/>
          <w:sz w:val="24"/>
        </w:rPr>
        <w:t xml:space="preserve"> contribution to writing the manuscript, drafting conception and design; </w:t>
      </w:r>
      <w:r w:rsidR="003372D5" w:rsidRPr="00F75C22">
        <w:rPr>
          <w:rFonts w:ascii="Book Antiqua" w:hAnsi="Book Antiqua"/>
          <w:color w:val="000000"/>
          <w:sz w:val="24"/>
        </w:rPr>
        <w:t>Wang X</w:t>
      </w:r>
      <w:r w:rsidR="00630FEC" w:rsidRPr="00F75C22">
        <w:rPr>
          <w:rFonts w:ascii="Book Antiqua" w:hAnsi="Book Antiqua"/>
          <w:color w:val="000000"/>
          <w:sz w:val="24"/>
        </w:rPr>
        <w:t>Y</w:t>
      </w:r>
      <w:r w:rsidR="003372D5" w:rsidRPr="00F75C22">
        <w:rPr>
          <w:rFonts w:ascii="Book Antiqua" w:hAnsi="Book Antiqua"/>
          <w:color w:val="000000"/>
          <w:sz w:val="24"/>
        </w:rPr>
        <w:t xml:space="preserve"> and Zheng Z</w:t>
      </w:r>
      <w:r w:rsidR="00630FEC" w:rsidRPr="00F75C22">
        <w:rPr>
          <w:rFonts w:ascii="Book Antiqua" w:hAnsi="Book Antiqua"/>
          <w:color w:val="000000"/>
          <w:sz w:val="24"/>
        </w:rPr>
        <w:t>X</w:t>
      </w:r>
      <w:r w:rsidR="003372D5" w:rsidRPr="00F75C22">
        <w:rPr>
          <w:rFonts w:ascii="Book Antiqua" w:hAnsi="Book Antiqua"/>
          <w:color w:val="000000"/>
          <w:sz w:val="24"/>
        </w:rPr>
        <w:t xml:space="preserve"> contribution to</w:t>
      </w:r>
      <w:r w:rsidR="00343DCC" w:rsidRPr="00F75C22">
        <w:rPr>
          <w:rFonts w:ascii="Book Antiqua" w:hAnsi="Book Antiqua"/>
          <w:color w:val="000000"/>
          <w:sz w:val="24"/>
        </w:rPr>
        <w:t xml:space="preserve"> writing</w:t>
      </w:r>
      <w:r w:rsidR="003372D5" w:rsidRPr="00F75C22">
        <w:rPr>
          <w:rFonts w:ascii="Book Antiqua" w:hAnsi="Book Antiqua"/>
          <w:color w:val="000000"/>
          <w:sz w:val="24"/>
        </w:rPr>
        <w:t xml:space="preserve"> the manuscript equally; Sun Y manuscript writing, drafting conception and design, performing experiments, and data analysis; </w:t>
      </w:r>
      <w:r w:rsidR="00FB7596" w:rsidRPr="00F75C22">
        <w:rPr>
          <w:rFonts w:ascii="Book Antiqua" w:hAnsi="Book Antiqua"/>
          <w:color w:val="000000"/>
          <w:sz w:val="24"/>
        </w:rPr>
        <w:t>Bai</w:t>
      </w:r>
      <w:r w:rsidR="00441FA8" w:rsidRPr="00F75C22">
        <w:rPr>
          <w:rFonts w:ascii="Book Antiqua" w:hAnsi="Book Antiqua"/>
          <w:color w:val="000000"/>
          <w:sz w:val="24"/>
        </w:rPr>
        <w:t xml:space="preserve"> Y</w:t>
      </w:r>
      <w:r w:rsidR="00630FEC" w:rsidRPr="00F75C22">
        <w:rPr>
          <w:rFonts w:ascii="Book Antiqua" w:hAnsi="Book Antiqua"/>
          <w:color w:val="000000"/>
          <w:sz w:val="24"/>
        </w:rPr>
        <w:t>H</w:t>
      </w:r>
      <w:r w:rsidR="00FB7596" w:rsidRPr="00F75C22">
        <w:rPr>
          <w:rFonts w:ascii="Book Antiqua" w:hAnsi="Book Antiqua"/>
          <w:color w:val="000000"/>
          <w:sz w:val="24"/>
        </w:rPr>
        <w:t>, Shi</w:t>
      </w:r>
      <w:r w:rsidR="00441FA8" w:rsidRPr="00F75C22">
        <w:rPr>
          <w:rFonts w:ascii="Book Antiqua" w:hAnsi="Book Antiqua"/>
          <w:color w:val="000000"/>
          <w:sz w:val="24"/>
        </w:rPr>
        <w:t xml:space="preserve"> Y</w:t>
      </w:r>
      <w:r w:rsidR="00630FEC" w:rsidRPr="00F75C22">
        <w:rPr>
          <w:rFonts w:ascii="Book Antiqua" w:hAnsi="Book Antiqua"/>
          <w:color w:val="000000"/>
          <w:sz w:val="24"/>
        </w:rPr>
        <w:t>F</w:t>
      </w:r>
      <w:r w:rsidR="00FB7596" w:rsidRPr="00F75C22">
        <w:rPr>
          <w:rFonts w:ascii="Book Antiqua" w:hAnsi="Book Antiqua"/>
          <w:color w:val="000000"/>
          <w:sz w:val="24"/>
        </w:rPr>
        <w:t>, Zhou</w:t>
      </w:r>
      <w:r w:rsidR="00441FA8" w:rsidRPr="00F75C22">
        <w:rPr>
          <w:rFonts w:ascii="Book Antiqua" w:hAnsi="Book Antiqua"/>
          <w:color w:val="000000"/>
          <w:sz w:val="24"/>
        </w:rPr>
        <w:t xml:space="preserve"> L</w:t>
      </w:r>
      <w:r w:rsidR="00630FEC" w:rsidRPr="00F75C22">
        <w:rPr>
          <w:rFonts w:ascii="Book Antiqua" w:hAnsi="Book Antiqua"/>
          <w:color w:val="000000"/>
          <w:sz w:val="24"/>
        </w:rPr>
        <w:t>X</w:t>
      </w:r>
      <w:r w:rsidR="00FB7596" w:rsidRPr="00F75C22">
        <w:rPr>
          <w:rFonts w:ascii="Book Antiqua" w:hAnsi="Book Antiqua"/>
          <w:color w:val="000000"/>
          <w:sz w:val="24"/>
        </w:rPr>
        <w:t>, Yao</w:t>
      </w:r>
      <w:r w:rsidR="00441FA8" w:rsidRPr="00F75C22">
        <w:rPr>
          <w:rFonts w:ascii="Book Antiqua" w:hAnsi="Book Antiqua"/>
          <w:color w:val="000000"/>
          <w:sz w:val="24"/>
        </w:rPr>
        <w:t xml:space="preserve"> Y</w:t>
      </w:r>
      <w:r w:rsidR="00630FEC" w:rsidRPr="00F75C22">
        <w:rPr>
          <w:rFonts w:ascii="Book Antiqua" w:hAnsi="Book Antiqua"/>
          <w:color w:val="000000"/>
          <w:sz w:val="24"/>
        </w:rPr>
        <w:t>F</w:t>
      </w:r>
      <w:r w:rsidR="00441FA8" w:rsidRPr="00F75C22">
        <w:rPr>
          <w:rFonts w:ascii="Book Antiqua" w:hAnsi="Book Antiqua"/>
          <w:color w:val="000000"/>
          <w:sz w:val="24"/>
        </w:rPr>
        <w:t xml:space="preserve"> </w:t>
      </w:r>
      <w:r w:rsidR="00FB7596" w:rsidRPr="00F75C22">
        <w:rPr>
          <w:rFonts w:ascii="Book Antiqua" w:hAnsi="Book Antiqua"/>
          <w:color w:val="000000"/>
          <w:sz w:val="24"/>
        </w:rPr>
        <w:t>and</w:t>
      </w:r>
      <w:r w:rsidR="00270B6E" w:rsidRPr="00F75C22">
        <w:rPr>
          <w:rFonts w:ascii="Book Antiqua" w:hAnsi="Book Antiqua"/>
          <w:color w:val="000000"/>
          <w:sz w:val="24"/>
        </w:rPr>
        <w:t xml:space="preserve"> Wu A</w:t>
      </w:r>
      <w:r w:rsidR="00630FEC" w:rsidRPr="00F75C22">
        <w:rPr>
          <w:rFonts w:ascii="Book Antiqua" w:hAnsi="Book Antiqua"/>
          <w:color w:val="000000"/>
          <w:sz w:val="24"/>
        </w:rPr>
        <w:t>W</w:t>
      </w:r>
      <w:r w:rsidR="00270B6E" w:rsidRPr="00F75C22">
        <w:rPr>
          <w:rFonts w:ascii="Book Antiqua" w:hAnsi="Book Antiqua"/>
          <w:color w:val="000000"/>
          <w:sz w:val="24"/>
        </w:rPr>
        <w:t xml:space="preserve"> </w:t>
      </w:r>
      <w:r w:rsidR="00FB7596" w:rsidRPr="00F75C22">
        <w:rPr>
          <w:rFonts w:ascii="Book Antiqua" w:hAnsi="Book Antiqua"/>
          <w:color w:val="000000"/>
          <w:sz w:val="24"/>
        </w:rPr>
        <w:t>contribution to writing the manuscript;</w:t>
      </w:r>
      <w:r w:rsidR="00270B6E" w:rsidRPr="00F75C22">
        <w:rPr>
          <w:rFonts w:ascii="Book Antiqua" w:hAnsi="Book Antiqua"/>
          <w:color w:val="000000"/>
          <w:sz w:val="24"/>
        </w:rPr>
        <w:t xml:space="preserve"> Cao D</w:t>
      </w:r>
      <w:r w:rsidR="00630FEC" w:rsidRPr="00F75C22">
        <w:rPr>
          <w:rFonts w:ascii="Book Antiqua" w:hAnsi="Book Antiqua"/>
          <w:color w:val="000000"/>
          <w:sz w:val="24"/>
        </w:rPr>
        <w:t>F</w:t>
      </w:r>
      <w:r w:rsidR="00270B6E" w:rsidRPr="00F75C22">
        <w:rPr>
          <w:rFonts w:ascii="Book Antiqua" w:hAnsi="Book Antiqua"/>
          <w:color w:val="000000"/>
          <w:sz w:val="24"/>
        </w:rPr>
        <w:t xml:space="preserve"> contribution to writing the manuscript drafting conception and design.</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Supported by</w:t>
      </w:r>
      <w:r w:rsidR="0009648E" w:rsidRPr="00F75C22">
        <w:rPr>
          <w:rFonts w:ascii="Book Antiqua" w:hAnsi="Book Antiqua"/>
          <w:b/>
          <w:color w:val="000000"/>
        </w:rPr>
        <w:t xml:space="preserve"> </w:t>
      </w:r>
      <w:r w:rsidR="00237DD5" w:rsidRPr="00F75C22">
        <w:rPr>
          <w:rFonts w:ascii="Book Antiqua" w:hAnsi="Book Antiqua"/>
          <w:color w:val="000000"/>
        </w:rPr>
        <w:t xml:space="preserve">Special Scientific Research Key Project for Capital Health Development, China, </w:t>
      </w:r>
      <w:r w:rsidR="00630FEC" w:rsidRPr="00F75C22">
        <w:rPr>
          <w:rFonts w:ascii="Book Antiqua" w:hAnsi="Book Antiqua"/>
          <w:color w:val="000000"/>
        </w:rPr>
        <w:t xml:space="preserve">No. </w:t>
      </w:r>
      <w:r w:rsidR="00237DD5" w:rsidRPr="00F75C22">
        <w:rPr>
          <w:rFonts w:ascii="Book Antiqua" w:hAnsi="Book Antiqua"/>
          <w:color w:val="000000"/>
        </w:rPr>
        <w:t>2018-2Z-1026.</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Institutional review board statement:</w:t>
      </w:r>
      <w:r w:rsidR="0009648E" w:rsidRPr="00F75C22">
        <w:rPr>
          <w:rFonts w:ascii="Book Antiqua" w:hAnsi="Book Antiqua"/>
          <w:color w:val="000000"/>
        </w:rPr>
        <w:t xml:space="preserve"> </w:t>
      </w:r>
      <w:r w:rsidR="00470DA0" w:rsidRPr="00F75C22">
        <w:rPr>
          <w:rFonts w:ascii="Book Antiqua" w:hAnsi="Book Antiqua"/>
          <w:color w:val="000000"/>
        </w:rPr>
        <w:t>This study was reviewed and approved by the Ethics Committee of Beijing Cancer Hospital.</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Informed consent statement:</w:t>
      </w:r>
      <w:r w:rsidR="0009648E" w:rsidRPr="00F75C22">
        <w:rPr>
          <w:rFonts w:ascii="Book Antiqua" w:hAnsi="Book Antiqua"/>
          <w:color w:val="000000"/>
        </w:rPr>
        <w:t xml:space="preserve"> </w:t>
      </w:r>
      <w:r w:rsidR="005F3B19" w:rsidRPr="00F75C22">
        <w:rPr>
          <w:rFonts w:ascii="Book Antiqua" w:hAnsi="Book Antiqua"/>
          <w:color w:val="000000"/>
        </w:rPr>
        <w:t>Patients were not required to give informed consent to the study because the analysis used anonymous clinical data that were obtained after each patient agreed to treatment by written consent.</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Conflict-of-interest statement:</w:t>
      </w:r>
      <w:r w:rsidRPr="00F75C22">
        <w:rPr>
          <w:rFonts w:ascii="Book Antiqua" w:hAnsi="Book Antiqua"/>
          <w:color w:val="000000"/>
        </w:rPr>
        <w:t xml:space="preserve"> All authors declare no conflicts-of-interest related to this article.</w:t>
      </w:r>
    </w:p>
    <w:p w:rsidR="00FF2EF5" w:rsidRPr="00F75C22" w:rsidRDefault="00FF2EF5" w:rsidP="000149DC">
      <w:pPr>
        <w:pStyle w:val="af1"/>
        <w:spacing w:line="360" w:lineRule="auto"/>
        <w:ind w:firstLine="0"/>
        <w:rPr>
          <w:rFonts w:ascii="Book Antiqua" w:hAnsi="Book Antiqua"/>
          <w:color w:val="000000"/>
        </w:rPr>
      </w:pP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Data sharing statement:</w:t>
      </w:r>
      <w:r w:rsidRPr="00F75C22">
        <w:rPr>
          <w:rFonts w:ascii="Book Antiqua" w:hAnsi="Book Antiqua"/>
          <w:color w:val="000000"/>
        </w:rPr>
        <w:t xml:space="preserve"> No additional data are available.</w:t>
      </w:r>
    </w:p>
    <w:p w:rsidR="00FF2EF5" w:rsidRPr="00F75C22" w:rsidRDefault="00FF2EF5" w:rsidP="000149DC">
      <w:pPr>
        <w:pStyle w:val="af1"/>
        <w:spacing w:line="360" w:lineRule="auto"/>
        <w:ind w:firstLine="0"/>
        <w:rPr>
          <w:rFonts w:ascii="Book Antiqua" w:hAnsi="Book Antiqua"/>
          <w:color w:val="000000"/>
        </w:rPr>
      </w:pPr>
    </w:p>
    <w:p w:rsidR="00630FEC" w:rsidRPr="00F75C22" w:rsidRDefault="00630FEC" w:rsidP="000149DC">
      <w:pPr>
        <w:widowControl/>
        <w:adjustRightInd w:val="0"/>
        <w:snapToGrid w:val="0"/>
        <w:spacing w:line="360" w:lineRule="auto"/>
        <w:rPr>
          <w:rFonts w:ascii="Book Antiqua" w:hAnsi="Book Antiqua" w:cs="宋体"/>
          <w:color w:val="000000"/>
          <w:kern w:val="0"/>
          <w:sz w:val="24"/>
        </w:rPr>
      </w:pPr>
      <w:r w:rsidRPr="00F75C22">
        <w:rPr>
          <w:rFonts w:ascii="Book Antiqua" w:hAnsi="Book Antiqua"/>
          <w:b/>
          <w:color w:val="000000"/>
          <w:kern w:val="0"/>
          <w:sz w:val="24"/>
        </w:rPr>
        <w:lastRenderedPageBreak/>
        <w:t xml:space="preserve">Open-Access: </w:t>
      </w:r>
      <w:r w:rsidRPr="00F75C22">
        <w:rPr>
          <w:rFonts w:ascii="Book Antiqua" w:hAnsi="Book Antiqua"/>
          <w:color w:val="000000"/>
          <w:kern w:val="0"/>
          <w:sz w:val="24"/>
        </w:rPr>
        <w:t xml:space="preserve">This is an </w:t>
      </w:r>
      <w:r w:rsidRPr="00F75C22">
        <w:rPr>
          <w:rFonts w:ascii="Book Antiqua" w:hAnsi="Book Antiqua" w:cs="宋体"/>
          <w:color w:val="000000"/>
          <w:kern w:val="0"/>
          <w:sz w:val="24"/>
        </w:rPr>
        <w:t xml:space="preserve">open-access article that was </w:t>
      </w:r>
      <w:r w:rsidRPr="00F75C22">
        <w:rPr>
          <w:rFonts w:ascii="Book Antiqua" w:hAnsi="Book Antiqua"/>
          <w:color w:val="000000"/>
          <w:kern w:val="0"/>
          <w:sz w:val="24"/>
        </w:rPr>
        <w:t xml:space="preserve">selected by an in-house editor and fully peer-reviewed by external reviewers. It is </w:t>
      </w:r>
      <w:r w:rsidRPr="00F75C22">
        <w:rPr>
          <w:rFonts w:ascii="Book Antiqua" w:hAnsi="Book Antiqua" w:cs="宋体"/>
          <w:color w:val="000000"/>
          <w:kern w:val="0"/>
          <w:sz w:val="24"/>
        </w:rPr>
        <w:t xml:space="preserve">distributed in accordance with </w:t>
      </w:r>
      <w:r w:rsidRPr="00F75C22">
        <w:rPr>
          <w:rFonts w:ascii="Book Antiqua" w:hAnsi="Book Antiqua"/>
          <w:color w:val="000000"/>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25481" w:rsidRPr="00F75C22" w:rsidRDefault="00D25481" w:rsidP="000149DC">
      <w:pPr>
        <w:pStyle w:val="af1"/>
        <w:spacing w:line="360" w:lineRule="auto"/>
        <w:ind w:firstLine="0"/>
        <w:rPr>
          <w:rFonts w:ascii="Book Antiqua" w:hAnsi="Book Antiqua"/>
          <w:b/>
          <w:color w:val="000000"/>
        </w:rPr>
      </w:pPr>
    </w:p>
    <w:p w:rsidR="00630FEC" w:rsidRPr="00F75C22" w:rsidRDefault="00D25481" w:rsidP="000149DC">
      <w:pPr>
        <w:pStyle w:val="af1"/>
        <w:spacing w:line="360" w:lineRule="auto"/>
        <w:ind w:firstLine="0"/>
        <w:rPr>
          <w:rFonts w:ascii="Book Antiqua" w:hAnsi="Book Antiqua"/>
          <w:b/>
          <w:color w:val="000000"/>
        </w:rPr>
      </w:pPr>
      <w:r w:rsidRPr="00F75C22">
        <w:rPr>
          <w:rFonts w:ascii="Book Antiqua" w:hAnsi="Book Antiqua"/>
          <w:b/>
          <w:color w:val="000000"/>
        </w:rPr>
        <w:t xml:space="preserve">Manuscript source: </w:t>
      </w:r>
      <w:r w:rsidRPr="00F75C22">
        <w:rPr>
          <w:rFonts w:ascii="Book Antiqua" w:hAnsi="Book Antiqua"/>
          <w:color w:val="000000"/>
        </w:rPr>
        <w:t>Unsolicited manuscript</w:t>
      </w:r>
    </w:p>
    <w:p w:rsidR="00D25481" w:rsidRPr="00F75C22" w:rsidRDefault="00D25481" w:rsidP="000149DC">
      <w:pPr>
        <w:pStyle w:val="af1"/>
        <w:spacing w:line="360" w:lineRule="auto"/>
        <w:ind w:firstLine="0"/>
        <w:rPr>
          <w:rFonts w:ascii="Book Antiqua" w:hAnsi="Book Antiqua"/>
          <w:b/>
          <w:color w:val="000000"/>
        </w:rPr>
      </w:pPr>
    </w:p>
    <w:p w:rsidR="00E64A87"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Correspondence to: Yu Sun, MD, PhD,</w:t>
      </w:r>
      <w:r w:rsidRPr="00F75C22">
        <w:rPr>
          <w:rFonts w:ascii="Book Antiqua" w:hAnsi="Book Antiqua"/>
          <w:color w:val="000000"/>
        </w:rPr>
        <w:t xml:space="preserve"> </w:t>
      </w:r>
      <w:r w:rsidR="006B3F8F" w:rsidRPr="00F75C22">
        <w:rPr>
          <w:rFonts w:ascii="Book Antiqua" w:hAnsi="Book Antiqua"/>
          <w:b/>
          <w:color w:val="000000"/>
        </w:rPr>
        <w:t>Assistant Professor,</w:t>
      </w:r>
      <w:r w:rsidR="006B3F8F" w:rsidRPr="00F75C22">
        <w:rPr>
          <w:rFonts w:ascii="Book Antiqua" w:hAnsi="Book Antiqua"/>
          <w:color w:val="000000"/>
        </w:rPr>
        <w:t xml:space="preserve"> </w:t>
      </w:r>
      <w:r w:rsidRPr="00F75C22">
        <w:rPr>
          <w:rFonts w:ascii="Book Antiqua" w:hAnsi="Book Antiqua"/>
          <w:color w:val="000000"/>
        </w:rPr>
        <w:t>Key laboratory of Carcinogenesis and Translational Research (Ministry of Education), Department of Pathology, Pek</w:t>
      </w:r>
      <w:r w:rsidR="00D25481" w:rsidRPr="00F75C22">
        <w:rPr>
          <w:rFonts w:ascii="Book Antiqua" w:hAnsi="Book Antiqua"/>
          <w:color w:val="000000"/>
        </w:rPr>
        <w:t>ing University Cancer Hospital and</w:t>
      </w:r>
      <w:r w:rsidRPr="00F75C22">
        <w:rPr>
          <w:rFonts w:ascii="Book Antiqua" w:hAnsi="Book Antiqua"/>
          <w:color w:val="000000"/>
        </w:rPr>
        <w:t xml:space="preserve"> Institute, </w:t>
      </w:r>
      <w:r w:rsidR="00E64A87" w:rsidRPr="00F75C22">
        <w:rPr>
          <w:rFonts w:ascii="Book Antiqua" w:hAnsi="Book Antiqua"/>
          <w:color w:val="000000"/>
        </w:rPr>
        <w:t xml:space="preserve">52 Fucheng Road, </w:t>
      </w:r>
      <w:r w:rsidR="008A21EA" w:rsidRPr="00F75C22">
        <w:rPr>
          <w:rFonts w:ascii="Book Antiqua" w:hAnsi="Book Antiqua"/>
          <w:color w:val="000000"/>
        </w:rPr>
        <w:t xml:space="preserve">Haidian </w:t>
      </w:r>
      <w:r w:rsidR="00E64A87" w:rsidRPr="00F75C22">
        <w:rPr>
          <w:rFonts w:ascii="Book Antiqua" w:hAnsi="Book Antiqua"/>
          <w:color w:val="000000"/>
        </w:rPr>
        <w:t>District</w:t>
      </w:r>
      <w:r w:rsidRPr="00F75C22">
        <w:rPr>
          <w:rFonts w:ascii="Book Antiqua" w:hAnsi="Book Antiqua"/>
          <w:color w:val="000000"/>
        </w:rPr>
        <w:t xml:space="preserve">, </w:t>
      </w:r>
      <w:r w:rsidR="00E64A87" w:rsidRPr="00F75C22">
        <w:rPr>
          <w:rFonts w:ascii="Book Antiqua" w:hAnsi="Book Antiqua"/>
          <w:color w:val="000000"/>
        </w:rPr>
        <w:t>Beijing 100142, China</w:t>
      </w:r>
      <w:r w:rsidRPr="00F75C22">
        <w:rPr>
          <w:rFonts w:ascii="Book Antiqua" w:hAnsi="Book Antiqua"/>
          <w:color w:val="000000"/>
        </w:rPr>
        <w:t xml:space="preserve">. </w:t>
      </w:r>
      <w:hyperlink r:id="rId9" w:history="1">
        <w:r w:rsidR="00505C16" w:rsidRPr="00F75C22">
          <w:rPr>
            <w:rStyle w:val="a5"/>
            <w:rFonts w:ascii="Book Antiqua" w:hAnsi="Book Antiqua"/>
          </w:rPr>
          <w:t>sunyu_bch@163.com</w:t>
        </w:r>
      </w:hyperlink>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 xml:space="preserve">Telephone: </w:t>
      </w:r>
      <w:r w:rsidR="00BB1153" w:rsidRPr="00F75C22">
        <w:rPr>
          <w:rFonts w:ascii="Book Antiqua" w:hAnsi="Book Antiqua"/>
          <w:color w:val="000000"/>
        </w:rPr>
        <w:t>+86-10-88196700</w:t>
      </w:r>
    </w:p>
    <w:p w:rsidR="00FF2EF5" w:rsidRPr="00F75C22" w:rsidRDefault="00FF2EF5" w:rsidP="000149DC">
      <w:pPr>
        <w:pStyle w:val="af1"/>
        <w:spacing w:line="360" w:lineRule="auto"/>
        <w:ind w:firstLine="0"/>
        <w:rPr>
          <w:rFonts w:ascii="Book Antiqua" w:hAnsi="Book Antiqua"/>
          <w:color w:val="000000"/>
        </w:rPr>
      </w:pPr>
      <w:r w:rsidRPr="00F75C22">
        <w:rPr>
          <w:rFonts w:ascii="Book Antiqua" w:hAnsi="Book Antiqua"/>
          <w:b/>
          <w:color w:val="000000"/>
        </w:rPr>
        <w:t xml:space="preserve">Fax: </w:t>
      </w:r>
      <w:r w:rsidRPr="00F75C22">
        <w:rPr>
          <w:rFonts w:ascii="Book Antiqua" w:hAnsi="Book Antiqua"/>
          <w:color w:val="000000"/>
        </w:rPr>
        <w:t>+86-10-</w:t>
      </w:r>
      <w:r w:rsidR="00991542" w:rsidRPr="00F75C22">
        <w:rPr>
          <w:rFonts w:ascii="Book Antiqua" w:hAnsi="Book Antiqua"/>
          <w:color w:val="000000"/>
        </w:rPr>
        <w:t>88196700</w:t>
      </w:r>
    </w:p>
    <w:p w:rsidR="003140C3" w:rsidRPr="00F75C22" w:rsidRDefault="003140C3" w:rsidP="000149DC">
      <w:pPr>
        <w:pStyle w:val="af1"/>
        <w:spacing w:line="360" w:lineRule="auto"/>
        <w:ind w:firstLine="0"/>
        <w:rPr>
          <w:rFonts w:ascii="Book Antiqua" w:hAnsi="Book Antiqua"/>
          <w:color w:val="000000"/>
        </w:rPr>
      </w:pP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 xml:space="preserve">Received: </w:t>
      </w:r>
      <w:r w:rsidRPr="00F75C22">
        <w:rPr>
          <w:rFonts w:ascii="Book Antiqua" w:hAnsi="Book Antiqua"/>
          <w:color w:val="000000"/>
          <w:sz w:val="24"/>
        </w:rPr>
        <w:t>December 26, 2018</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 xml:space="preserve">Peer-review started: </w:t>
      </w:r>
      <w:r w:rsidRPr="00F75C22">
        <w:rPr>
          <w:rFonts w:ascii="Book Antiqua" w:hAnsi="Book Antiqua"/>
          <w:color w:val="000000"/>
          <w:sz w:val="24"/>
        </w:rPr>
        <w:t>December 26, 2018</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 xml:space="preserve">First decision: </w:t>
      </w:r>
      <w:r w:rsidRPr="00F75C22">
        <w:rPr>
          <w:rFonts w:ascii="Book Antiqua" w:hAnsi="Book Antiqua"/>
          <w:color w:val="000000"/>
          <w:sz w:val="24"/>
        </w:rPr>
        <w:t>January 11, 2019</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 xml:space="preserve">Revised: </w:t>
      </w:r>
      <w:r w:rsidRPr="00F75C22">
        <w:rPr>
          <w:rFonts w:ascii="Book Antiqua" w:hAnsi="Book Antiqua"/>
          <w:color w:val="000000"/>
          <w:sz w:val="24"/>
        </w:rPr>
        <w:t>February 13, 2019</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 xml:space="preserve">Accepted: </w:t>
      </w:r>
      <w:r w:rsidR="00090E58" w:rsidRPr="00F75C22">
        <w:rPr>
          <w:rFonts w:ascii="Book Antiqua" w:hAnsi="Book Antiqua"/>
          <w:color w:val="000000"/>
          <w:sz w:val="24"/>
        </w:rPr>
        <w:t>March 16, 2019</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Article in press:</w:t>
      </w:r>
      <w:r w:rsidR="00F75C22" w:rsidRPr="00F75C22">
        <w:rPr>
          <w:rFonts w:ascii="Book Antiqua" w:hAnsi="Book Antiqua"/>
          <w:color w:val="000000"/>
          <w:sz w:val="24"/>
        </w:rPr>
        <w:t xml:space="preserve"> </w:t>
      </w:r>
      <w:r w:rsidR="00F75C22" w:rsidRPr="00F75C22">
        <w:rPr>
          <w:rFonts w:ascii="Book Antiqua" w:hAnsi="Book Antiqua"/>
          <w:color w:val="000000"/>
          <w:sz w:val="24"/>
        </w:rPr>
        <w:t>March 16, 2019</w:t>
      </w:r>
    </w:p>
    <w:p w:rsidR="003140C3" w:rsidRPr="00F75C22" w:rsidRDefault="003140C3" w:rsidP="000149DC">
      <w:pPr>
        <w:widowControl/>
        <w:adjustRightInd w:val="0"/>
        <w:snapToGrid w:val="0"/>
        <w:spacing w:line="360" w:lineRule="auto"/>
        <w:rPr>
          <w:rFonts w:ascii="Book Antiqua" w:hAnsi="Book Antiqua"/>
          <w:b/>
          <w:color w:val="000000"/>
          <w:sz w:val="24"/>
        </w:rPr>
      </w:pPr>
      <w:r w:rsidRPr="00F75C22">
        <w:rPr>
          <w:rFonts w:ascii="Book Antiqua" w:hAnsi="Book Antiqua"/>
          <w:b/>
          <w:color w:val="000000"/>
          <w:sz w:val="24"/>
        </w:rPr>
        <w:t>Published online:</w:t>
      </w:r>
      <w:r w:rsidR="00F75C22" w:rsidRPr="00F75C22">
        <w:rPr>
          <w:rFonts w:ascii="Book Antiqua" w:hAnsi="Book Antiqua"/>
          <w:color w:val="000000"/>
          <w:sz w:val="24"/>
        </w:rPr>
        <w:t xml:space="preserve"> April 15, 2019</w:t>
      </w:r>
    </w:p>
    <w:p w:rsidR="003140C3" w:rsidRPr="00F75C22" w:rsidRDefault="003140C3" w:rsidP="000149DC">
      <w:pPr>
        <w:pStyle w:val="af1"/>
        <w:spacing w:line="360" w:lineRule="auto"/>
        <w:ind w:firstLine="0"/>
        <w:rPr>
          <w:rFonts w:ascii="Book Antiqua" w:hAnsi="Book Antiqua"/>
          <w:color w:val="000000"/>
        </w:rPr>
      </w:pPr>
    </w:p>
    <w:p w:rsidR="00E64A87" w:rsidRPr="00F75C22" w:rsidRDefault="00FF2EF5" w:rsidP="000149DC">
      <w:pPr>
        <w:spacing w:line="360" w:lineRule="auto"/>
        <w:rPr>
          <w:rFonts w:ascii="Book Antiqua" w:hAnsi="Book Antiqua"/>
          <w:b/>
          <w:color w:val="000000"/>
          <w:sz w:val="24"/>
          <w:lang w:val="en"/>
        </w:rPr>
      </w:pPr>
      <w:r w:rsidRPr="00F75C22">
        <w:rPr>
          <w:rFonts w:ascii="Book Antiqua" w:hAnsi="Book Antiqua"/>
          <w:b/>
          <w:caps/>
          <w:color w:val="000000"/>
          <w:sz w:val="24"/>
        </w:rPr>
        <w:br w:type="page"/>
      </w:r>
      <w:r w:rsidR="00E64A87" w:rsidRPr="00F75C22">
        <w:rPr>
          <w:rFonts w:ascii="Book Antiqua" w:hAnsi="Book Antiqua"/>
          <w:b/>
          <w:color w:val="000000"/>
          <w:sz w:val="24"/>
          <w:lang w:val="en"/>
        </w:rPr>
        <w:lastRenderedPageBreak/>
        <w:t>Abstract</w:t>
      </w:r>
    </w:p>
    <w:p w:rsidR="007B17B2" w:rsidRPr="00F75C22" w:rsidRDefault="007B17B2" w:rsidP="000149DC">
      <w:pPr>
        <w:spacing w:line="360" w:lineRule="auto"/>
        <w:rPr>
          <w:rFonts w:ascii="Book Antiqua" w:hAnsi="Book Antiqua"/>
          <w:color w:val="000000"/>
          <w:sz w:val="24"/>
        </w:rPr>
      </w:pPr>
      <w:r w:rsidRPr="00F75C22">
        <w:rPr>
          <w:rFonts w:ascii="Book Antiqua" w:hAnsi="Book Antiqua"/>
          <w:b/>
          <w:i/>
          <w:color w:val="000000"/>
          <w:sz w:val="24"/>
        </w:rPr>
        <w:t>BACKGROUND</w:t>
      </w:r>
    </w:p>
    <w:p w:rsidR="00DC36D5" w:rsidRPr="00F75C22" w:rsidRDefault="001A596A" w:rsidP="000149DC">
      <w:pPr>
        <w:pStyle w:val="af2"/>
        <w:shd w:val="clear" w:color="auto" w:fill="FFFFFF"/>
        <w:spacing w:before="0" w:beforeAutospacing="0" w:after="0" w:afterAutospacing="0" w:line="360" w:lineRule="auto"/>
        <w:jc w:val="both"/>
        <w:rPr>
          <w:rFonts w:ascii="Book Antiqua" w:hAnsi="Book Antiqua" w:cs="Times New Roman"/>
          <w:color w:val="000000"/>
        </w:rPr>
      </w:pPr>
      <w:r w:rsidRPr="00F75C22">
        <w:rPr>
          <w:rFonts w:ascii="Book Antiqua" w:hAnsi="Book Antiqua" w:cs="Times New Roman"/>
          <w:color w:val="000000"/>
        </w:rPr>
        <w:t xml:space="preserve">Human epidermal growth factor receptor 2 (HER2) is an oncogenic driver, and a well-established therapeutic target in breast and gastric cancers. While the role of HER2 as a </w:t>
      </w:r>
      <w:r w:rsidR="00901F71" w:rsidRPr="00F75C22">
        <w:rPr>
          <w:rFonts w:ascii="Book Antiqua" w:hAnsi="Book Antiqua" w:cs="Times New Roman"/>
          <w:color w:val="000000"/>
        </w:rPr>
        <w:t xml:space="preserve">prognostic </w:t>
      </w:r>
      <w:r w:rsidRPr="00F75C22">
        <w:rPr>
          <w:rFonts w:ascii="Book Antiqua" w:hAnsi="Book Antiqua" w:cs="Times New Roman"/>
          <w:color w:val="000000"/>
        </w:rPr>
        <w:t>biomarker in</w:t>
      </w:r>
      <w:r w:rsidRPr="00F75C22">
        <w:rPr>
          <w:rFonts w:ascii="Book Antiqua" w:hAnsi="Book Antiqua"/>
          <w:color w:val="000000"/>
        </w:rPr>
        <w:t xml:space="preserve"> </w:t>
      </w:r>
      <w:r w:rsidRPr="00F75C22">
        <w:rPr>
          <w:rFonts w:ascii="Book Antiqua" w:hAnsi="Book Antiqua" w:cs="Times New Roman"/>
          <w:color w:val="000000"/>
        </w:rPr>
        <w:t xml:space="preserve">colorectal adenocarcinomas (CRCs) remains uncertain, its relevance as a therapeutic target has been established. </w:t>
      </w:r>
      <w:r w:rsidR="00901F71" w:rsidRPr="00F75C22">
        <w:rPr>
          <w:rFonts w:ascii="Book Antiqua" w:hAnsi="Book Antiqua" w:cs="Times New Roman"/>
          <w:color w:val="000000"/>
        </w:rPr>
        <w:t>W</w:t>
      </w:r>
      <w:r w:rsidRPr="00F75C22">
        <w:rPr>
          <w:rFonts w:ascii="Book Antiqua" w:hAnsi="Book Antiqua" w:cs="Times New Roman"/>
          <w:color w:val="000000"/>
        </w:rPr>
        <w:t xml:space="preserve">e undertook </w:t>
      </w:r>
      <w:r w:rsidR="00901F71" w:rsidRPr="00F75C22">
        <w:rPr>
          <w:rFonts w:ascii="Book Antiqua" w:hAnsi="Book Antiqua" w:cs="Times New Roman"/>
          <w:color w:val="000000"/>
        </w:rPr>
        <w:t>the present</w:t>
      </w:r>
      <w:r w:rsidRPr="00F75C22">
        <w:rPr>
          <w:rFonts w:ascii="Book Antiqua" w:hAnsi="Book Antiqua" w:cs="Times New Roman"/>
          <w:color w:val="000000"/>
        </w:rPr>
        <w:t xml:space="preserve"> study to evaluate the frequency of </w:t>
      </w:r>
      <w:r w:rsidR="00901F71" w:rsidRPr="00F75C22">
        <w:rPr>
          <w:rFonts w:ascii="Book Antiqua" w:hAnsi="Book Antiqua" w:cs="Times New Roman"/>
          <w:color w:val="000000"/>
        </w:rPr>
        <w:t xml:space="preserve">HER2 </w:t>
      </w:r>
      <w:r w:rsidRPr="00F75C22">
        <w:rPr>
          <w:rFonts w:ascii="Book Antiqua" w:hAnsi="Book Antiqua" w:cs="Times New Roman"/>
          <w:color w:val="000000"/>
        </w:rPr>
        <w:t>expression in CRC and to correlate it with various clinicopathological variables.</w:t>
      </w:r>
    </w:p>
    <w:p w:rsidR="0087596B" w:rsidRPr="00F75C22" w:rsidRDefault="0087596B" w:rsidP="000149DC">
      <w:pPr>
        <w:pStyle w:val="af2"/>
        <w:shd w:val="clear" w:color="auto" w:fill="FFFFFF"/>
        <w:spacing w:before="0" w:beforeAutospacing="0" w:after="0" w:afterAutospacing="0" w:line="360" w:lineRule="auto"/>
        <w:jc w:val="both"/>
        <w:rPr>
          <w:rFonts w:ascii="Book Antiqua" w:hAnsi="Book Antiqua" w:cs="Times New Roman"/>
          <w:color w:val="000000"/>
        </w:rPr>
      </w:pPr>
    </w:p>
    <w:p w:rsidR="00FF2EF5" w:rsidRPr="00F75C22" w:rsidRDefault="00E64A87" w:rsidP="000149DC">
      <w:pPr>
        <w:pStyle w:val="af2"/>
        <w:shd w:val="clear" w:color="auto" w:fill="FFFFFF"/>
        <w:spacing w:before="0" w:beforeAutospacing="0" w:after="0" w:afterAutospacing="0" w:line="360" w:lineRule="auto"/>
        <w:jc w:val="both"/>
        <w:rPr>
          <w:rFonts w:ascii="Book Antiqua" w:hAnsi="Book Antiqua" w:cs="Times New Roman"/>
          <w:b/>
          <w:i/>
          <w:color w:val="000000"/>
        </w:rPr>
      </w:pPr>
      <w:r w:rsidRPr="00F75C22">
        <w:rPr>
          <w:rFonts w:ascii="Book Antiqua" w:hAnsi="Book Antiqua" w:cs="Times New Roman"/>
          <w:b/>
          <w:i/>
          <w:color w:val="000000"/>
        </w:rPr>
        <w:t>AIM</w:t>
      </w:r>
    </w:p>
    <w:p w:rsidR="00FF2EF5" w:rsidRPr="00F75C22" w:rsidRDefault="008303CD" w:rsidP="000149DC">
      <w:pPr>
        <w:pStyle w:val="af2"/>
        <w:shd w:val="clear" w:color="auto" w:fill="FFFFFF"/>
        <w:spacing w:before="0" w:beforeAutospacing="0" w:after="0" w:afterAutospacing="0" w:line="360" w:lineRule="auto"/>
        <w:jc w:val="both"/>
        <w:rPr>
          <w:rFonts w:ascii="Book Antiqua" w:hAnsi="Book Antiqua" w:cs="Times New Roman"/>
          <w:color w:val="000000"/>
        </w:rPr>
      </w:pPr>
      <w:r w:rsidRPr="00F75C22">
        <w:rPr>
          <w:rFonts w:ascii="Book Antiqua" w:hAnsi="Book Antiqua" w:cs="Times New Roman"/>
          <w:color w:val="000000"/>
        </w:rPr>
        <w:t xml:space="preserve">To correlate HER2 protein expression and </w:t>
      </w:r>
      <w:r w:rsidRPr="00F75C22">
        <w:rPr>
          <w:rFonts w:ascii="Book Antiqua" w:hAnsi="Book Antiqua" w:cs="Times New Roman"/>
          <w:i/>
          <w:color w:val="000000"/>
        </w:rPr>
        <w:t>HER2</w:t>
      </w:r>
      <w:r w:rsidRPr="00F75C22">
        <w:rPr>
          <w:rFonts w:ascii="Book Antiqua" w:hAnsi="Book Antiqua" w:cs="Times New Roman"/>
          <w:color w:val="000000"/>
        </w:rPr>
        <w:t xml:space="preserve"> gene amplification with clinicopathological features and survival in surgically resected CRC.</w:t>
      </w:r>
    </w:p>
    <w:p w:rsidR="008303CD" w:rsidRPr="00F75C22" w:rsidRDefault="008303CD" w:rsidP="000149DC">
      <w:pPr>
        <w:pStyle w:val="af2"/>
        <w:shd w:val="clear" w:color="auto" w:fill="FFFFFF"/>
        <w:spacing w:before="0" w:beforeAutospacing="0" w:after="0" w:afterAutospacing="0" w:line="360" w:lineRule="auto"/>
        <w:jc w:val="both"/>
        <w:rPr>
          <w:rFonts w:ascii="Book Antiqua" w:hAnsi="Book Antiqua" w:cs="Times New Roman"/>
          <w:b/>
          <w:color w:val="000000"/>
        </w:rPr>
      </w:pPr>
    </w:p>
    <w:p w:rsidR="00FF2EF5"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METHODS</w:t>
      </w:r>
    </w:p>
    <w:p w:rsidR="00E64A87" w:rsidRPr="00F75C22" w:rsidRDefault="0087596B"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 xml:space="preserve">About </w:t>
      </w:r>
      <w:r w:rsidR="00DE00A4" w:rsidRPr="00F75C22">
        <w:rPr>
          <w:rFonts w:ascii="Book Antiqua" w:hAnsi="Book Antiqua"/>
          <w:color w:val="000000"/>
          <w:kern w:val="0"/>
          <w:sz w:val="24"/>
        </w:rPr>
        <w:t xml:space="preserve">1195 consecutive surgically resected CRCs were analyzed by immunohistochemical staining (IHC) to assess HER2 protein expression, and 141 selected tumors were further evaluated by fluorescence </w:t>
      </w:r>
      <w:r w:rsidR="00DE00A4" w:rsidRPr="00F75C22">
        <w:rPr>
          <w:rFonts w:ascii="Book Antiqua" w:hAnsi="Book Antiqua"/>
          <w:i/>
          <w:color w:val="000000"/>
          <w:kern w:val="0"/>
          <w:sz w:val="24"/>
        </w:rPr>
        <w:t>in situ</w:t>
      </w:r>
      <w:r w:rsidR="00DE00A4" w:rsidRPr="00F75C22">
        <w:rPr>
          <w:rFonts w:ascii="Book Antiqua" w:hAnsi="Book Antiqua"/>
          <w:color w:val="000000"/>
          <w:kern w:val="0"/>
          <w:sz w:val="24"/>
        </w:rPr>
        <w:t xml:space="preserve"> hybridization (FISH) to assess </w:t>
      </w:r>
      <w:r w:rsidR="00DE00A4" w:rsidRPr="00F75C22">
        <w:rPr>
          <w:rFonts w:ascii="Book Antiqua" w:hAnsi="Book Antiqua"/>
          <w:i/>
          <w:color w:val="000000"/>
          <w:kern w:val="0"/>
          <w:sz w:val="24"/>
        </w:rPr>
        <w:t>HER2</w:t>
      </w:r>
      <w:r w:rsidR="00DE00A4" w:rsidRPr="00F75C22">
        <w:rPr>
          <w:rFonts w:ascii="Book Antiqua" w:hAnsi="Book Antiqua"/>
          <w:color w:val="000000"/>
          <w:kern w:val="0"/>
          <w:sz w:val="24"/>
        </w:rPr>
        <w:t xml:space="preserve"> gene amplification. Follow-up information was available for 1058 patients, and using this information we investigated the prevalence of HER2 protein overexpression and gene amplification in a large series of surgically resected </w:t>
      </w:r>
      <w:r w:rsidRPr="00F75C22">
        <w:rPr>
          <w:rFonts w:ascii="Book Antiqua" w:hAnsi="Book Antiqua"/>
          <w:color w:val="000000"/>
          <w:kern w:val="0"/>
          <w:sz w:val="24"/>
        </w:rPr>
        <w:t>CRCs</w:t>
      </w:r>
      <w:r w:rsidR="00DE00A4" w:rsidRPr="00F75C22">
        <w:rPr>
          <w:rFonts w:ascii="Book Antiqua" w:hAnsi="Book Antiqua"/>
          <w:color w:val="000000"/>
          <w:kern w:val="0"/>
          <w:sz w:val="24"/>
        </w:rPr>
        <w:t xml:space="preserve">, and evaluated the relationship between overexpression and clinicopathological parameters and prognosis. </w:t>
      </w:r>
    </w:p>
    <w:p w:rsidR="008303CD" w:rsidRPr="00F75C22" w:rsidRDefault="008303CD" w:rsidP="000149DC">
      <w:pPr>
        <w:autoSpaceDE w:val="0"/>
        <w:autoSpaceDN w:val="0"/>
        <w:spacing w:line="360" w:lineRule="auto"/>
        <w:rPr>
          <w:rFonts w:ascii="Book Antiqua" w:hAnsi="Book Antiqua"/>
          <w:color w:val="000000"/>
          <w:kern w:val="0"/>
          <w:sz w:val="24"/>
        </w:rPr>
      </w:pPr>
    </w:p>
    <w:p w:rsidR="00FF2EF5" w:rsidRPr="00F75C22" w:rsidRDefault="00FF2EF5" w:rsidP="000149DC">
      <w:pPr>
        <w:spacing w:line="360" w:lineRule="auto"/>
        <w:rPr>
          <w:rFonts w:ascii="Book Antiqua" w:hAnsi="Book Antiqua"/>
          <w:b/>
          <w:i/>
          <w:color w:val="000000"/>
          <w:sz w:val="24"/>
        </w:rPr>
      </w:pPr>
      <w:r w:rsidRPr="00F75C22">
        <w:rPr>
          <w:rFonts w:ascii="Book Antiqua" w:hAnsi="Book Antiqua"/>
          <w:b/>
          <w:i/>
          <w:color w:val="000000"/>
          <w:sz w:val="24"/>
        </w:rPr>
        <w:t>RESULTS</w:t>
      </w:r>
    </w:p>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 xml:space="preserve">HER2 IHC scores of 3+, 2+, 1+, and 0 were seen in 31 (2.6%), 105 (8.8%), 475 (39.7%), and 584 (48.9%) tumors, respectively. </w:t>
      </w:r>
      <w:r w:rsidRPr="00F75C22">
        <w:rPr>
          <w:rFonts w:ascii="Book Antiqua" w:hAnsi="Book Antiqua"/>
          <w:i/>
          <w:color w:val="000000"/>
          <w:sz w:val="24"/>
        </w:rPr>
        <w:t>HER2</w:t>
      </w:r>
      <w:r w:rsidRPr="00F75C22">
        <w:rPr>
          <w:rFonts w:ascii="Book Antiqua" w:hAnsi="Book Antiqua"/>
          <w:color w:val="000000"/>
          <w:sz w:val="24"/>
        </w:rPr>
        <w:t xml:space="preserve"> gene amplification was seen in 24/29 tumors with an IHC score of 3+ (82.8%; unreadable in 2/31), </w:t>
      </w:r>
      <w:bookmarkStart w:id="2" w:name="OLE_LINK1"/>
      <w:r w:rsidRPr="00F75C22">
        <w:rPr>
          <w:rFonts w:ascii="Book Antiqua" w:hAnsi="Book Antiqua"/>
          <w:color w:val="000000"/>
          <w:sz w:val="24"/>
        </w:rPr>
        <w:t>12/102 tumors with an IHC score of 2+ (11.8%; unreadable in 2/104)</w:t>
      </w:r>
      <w:bookmarkEnd w:id="2"/>
      <w:r w:rsidRPr="00F75C22">
        <w:rPr>
          <w:rFonts w:ascii="Book Antiqua" w:hAnsi="Book Antiqua"/>
          <w:color w:val="000000"/>
          <w:sz w:val="24"/>
        </w:rPr>
        <w:t xml:space="preserve">, and 0 </w:t>
      </w:r>
      <w:r w:rsidRPr="00F75C22">
        <w:rPr>
          <w:rFonts w:ascii="Book Antiqua" w:hAnsi="Book Antiqua"/>
          <w:color w:val="000000"/>
          <w:sz w:val="24"/>
        </w:rPr>
        <w:lastRenderedPageBreak/>
        <w:t xml:space="preserve">tumors with IHC score of 1+ (0/10). </w:t>
      </w:r>
      <w:bookmarkStart w:id="3" w:name="OLE_LINK4"/>
      <w:r w:rsidRPr="00F75C22">
        <w:rPr>
          <w:rFonts w:ascii="Book Antiqua" w:hAnsi="Book Antiqua"/>
          <w:i/>
          <w:color w:val="000000"/>
          <w:sz w:val="24"/>
        </w:rPr>
        <w:t>HER2</w:t>
      </w:r>
      <w:r w:rsidRPr="00F75C22">
        <w:rPr>
          <w:rFonts w:ascii="Book Antiqua" w:hAnsi="Book Antiqua"/>
          <w:color w:val="000000"/>
          <w:sz w:val="24"/>
        </w:rPr>
        <w:t xml:space="preserve"> gene amplification was seen in 36/1191 tumors (3.0%; unreadable in 4/1195).</w:t>
      </w:r>
      <w:bookmarkEnd w:id="3"/>
      <w:r w:rsidRPr="00F75C22">
        <w:rPr>
          <w:rFonts w:ascii="Book Antiqua" w:hAnsi="Book Antiqua"/>
          <w:color w:val="000000"/>
          <w:sz w:val="24"/>
        </w:rPr>
        <w:t xml:space="preserve"> Among the tumors with HER2 IHC scores of 3+ and 2+, the mean percentage of tumor cells with positive IHC staining was 90% (median 100%, range 40</w:t>
      </w:r>
      <w:r w:rsidR="008F4D5A" w:rsidRPr="00F75C22">
        <w:rPr>
          <w:rFonts w:ascii="Book Antiqua" w:hAnsi="Book Antiqua"/>
          <w:color w:val="000000"/>
          <w:sz w:val="24"/>
        </w:rPr>
        <w:t>%</w:t>
      </w:r>
      <w:r w:rsidRPr="00F75C22">
        <w:rPr>
          <w:rFonts w:ascii="Book Antiqua" w:hAnsi="Book Antiqua"/>
          <w:color w:val="000000"/>
          <w:sz w:val="24"/>
        </w:rPr>
        <w:t>-100%) and 67% (median 75%, range 5</w:t>
      </w:r>
      <w:r w:rsidR="00217DEC" w:rsidRPr="00F75C22">
        <w:rPr>
          <w:rFonts w:ascii="Book Antiqua" w:hAnsi="Book Antiqua"/>
          <w:color w:val="000000"/>
          <w:sz w:val="24"/>
        </w:rPr>
        <w:t>%</w:t>
      </w:r>
      <w:r w:rsidRPr="00F75C22">
        <w:rPr>
          <w:rFonts w:ascii="Book Antiqua" w:hAnsi="Book Antiqua"/>
          <w:color w:val="000000"/>
          <w:sz w:val="24"/>
        </w:rPr>
        <w:t>-95%), respectively (</w:t>
      </w:r>
      <w:r w:rsidR="0087596B" w:rsidRPr="00F75C22">
        <w:rPr>
          <w:rFonts w:ascii="Book Antiqua" w:hAnsi="Book Antiqua"/>
          <w:i/>
          <w:color w:val="000000"/>
          <w:sz w:val="24"/>
        </w:rPr>
        <w:t>P</w:t>
      </w:r>
      <w:r w:rsidR="00F03637" w:rsidRPr="00F75C22">
        <w:rPr>
          <w:rFonts w:ascii="Book Antiqua" w:hAnsi="Book Antiqua"/>
          <w:color w:val="000000"/>
          <w:sz w:val="24"/>
        </w:rPr>
        <w:t xml:space="preserve"> &lt; 0.05). </w:t>
      </w:r>
      <w:r w:rsidRPr="00F75C22">
        <w:rPr>
          <w:rFonts w:ascii="Book Antiqua" w:hAnsi="Book Antiqua"/>
          <w:color w:val="000000"/>
          <w:sz w:val="24"/>
        </w:rPr>
        <w:t xml:space="preserve">Among tumors with IHC scores of 2+, those with </w:t>
      </w:r>
      <w:r w:rsidRPr="00F75C22">
        <w:rPr>
          <w:rFonts w:ascii="Book Antiqua" w:hAnsi="Book Antiqua"/>
          <w:i/>
          <w:color w:val="000000"/>
          <w:sz w:val="24"/>
        </w:rPr>
        <w:t>HER2</w:t>
      </w:r>
      <w:r w:rsidRPr="00F75C22">
        <w:rPr>
          <w:rFonts w:ascii="Book Antiqua" w:hAnsi="Book Antiqua"/>
          <w:color w:val="000000"/>
          <w:sz w:val="24"/>
        </w:rPr>
        <w:t xml:space="preserve"> gene amplification had a higher number of tumors cells with positive IHC staining (</w:t>
      </w:r>
      <w:r w:rsidR="008F4D5A" w:rsidRPr="00F75C22">
        <w:rPr>
          <w:rFonts w:ascii="Book Antiqua" w:hAnsi="Book Antiqua"/>
          <w:i/>
          <w:color w:val="000000"/>
          <w:sz w:val="24"/>
        </w:rPr>
        <w:t>n</w:t>
      </w:r>
      <w:r w:rsidR="008F4D5A" w:rsidRPr="00F75C22">
        <w:rPr>
          <w:rFonts w:ascii="Book Antiqua" w:hAnsi="Book Antiqua"/>
          <w:color w:val="000000"/>
          <w:sz w:val="24"/>
        </w:rPr>
        <w:t xml:space="preserve"> </w:t>
      </w:r>
      <w:r w:rsidRPr="00F75C22">
        <w:rPr>
          <w:rFonts w:ascii="Book Antiqua" w:hAnsi="Book Antiqua"/>
          <w:color w:val="000000"/>
          <w:sz w:val="24"/>
        </w:rPr>
        <w:t>=</w:t>
      </w:r>
      <w:r w:rsidR="008F4D5A" w:rsidRPr="00F75C22">
        <w:rPr>
          <w:rFonts w:ascii="Book Antiqua" w:hAnsi="Book Antiqua"/>
          <w:color w:val="000000"/>
          <w:sz w:val="24"/>
        </w:rPr>
        <w:t xml:space="preserve"> </w:t>
      </w:r>
      <w:r w:rsidRPr="00F75C22">
        <w:rPr>
          <w:rFonts w:ascii="Book Antiqua" w:hAnsi="Book Antiqua"/>
          <w:color w:val="000000"/>
          <w:sz w:val="24"/>
        </w:rPr>
        <w:t>12, mean 93%, median 95%, range 90</w:t>
      </w:r>
      <w:r w:rsidR="007F3C24" w:rsidRPr="00F75C22">
        <w:rPr>
          <w:rFonts w:ascii="Book Antiqua" w:hAnsi="Book Antiqua"/>
          <w:color w:val="000000"/>
          <w:sz w:val="24"/>
        </w:rPr>
        <w:t>%</w:t>
      </w:r>
      <w:r w:rsidRPr="00F75C22">
        <w:rPr>
          <w:rFonts w:ascii="Book Antiqua" w:hAnsi="Book Antiqua"/>
          <w:color w:val="000000"/>
          <w:sz w:val="24"/>
        </w:rPr>
        <w:t>-95%) than those without (</w:t>
      </w:r>
      <w:r w:rsidR="008F4D5A" w:rsidRPr="00F75C22">
        <w:rPr>
          <w:rFonts w:ascii="Book Antiqua" w:hAnsi="Book Antiqua"/>
          <w:i/>
          <w:color w:val="000000"/>
          <w:sz w:val="24"/>
        </w:rPr>
        <w:t>n</w:t>
      </w:r>
      <w:r w:rsidR="008F4D5A" w:rsidRPr="00F75C22">
        <w:rPr>
          <w:rFonts w:ascii="Book Antiqua" w:hAnsi="Book Antiqua"/>
          <w:color w:val="000000"/>
          <w:sz w:val="24"/>
        </w:rPr>
        <w:t xml:space="preserve"> </w:t>
      </w:r>
      <w:r w:rsidRPr="00F75C22">
        <w:rPr>
          <w:rFonts w:ascii="Book Antiqua" w:hAnsi="Book Antiqua"/>
          <w:color w:val="000000"/>
          <w:sz w:val="24"/>
        </w:rPr>
        <w:t>=</w:t>
      </w:r>
      <w:r w:rsidR="008F4D5A" w:rsidRPr="00F75C22">
        <w:rPr>
          <w:rFonts w:ascii="Book Antiqua" w:hAnsi="Book Antiqua"/>
          <w:color w:val="000000"/>
          <w:sz w:val="24"/>
        </w:rPr>
        <w:t xml:space="preserve"> </w:t>
      </w:r>
      <w:r w:rsidRPr="00F75C22">
        <w:rPr>
          <w:rFonts w:ascii="Book Antiqua" w:hAnsi="Book Antiqua"/>
          <w:color w:val="000000"/>
          <w:sz w:val="24"/>
        </w:rPr>
        <w:t>90, mean 70%, median 50%, range 5</w:t>
      </w:r>
      <w:r w:rsidR="007F3C24" w:rsidRPr="00F75C22">
        <w:rPr>
          <w:rFonts w:ascii="Book Antiqua" w:hAnsi="Book Antiqua"/>
          <w:color w:val="000000"/>
          <w:sz w:val="24"/>
        </w:rPr>
        <w:t>%</w:t>
      </w:r>
      <w:r w:rsidRPr="00F75C22">
        <w:rPr>
          <w:rFonts w:ascii="Book Antiqua" w:hAnsi="Book Antiqua"/>
          <w:color w:val="000000"/>
          <w:sz w:val="24"/>
        </w:rPr>
        <w:t>-95%) (</w:t>
      </w:r>
      <w:r w:rsidR="007F3C24" w:rsidRPr="00F75C22">
        <w:rPr>
          <w:rFonts w:ascii="Book Antiqua" w:hAnsi="Book Antiqua"/>
          <w:i/>
          <w:color w:val="000000"/>
          <w:sz w:val="24"/>
        </w:rPr>
        <w:t>P</w:t>
      </w:r>
      <w:r w:rsidR="007F3C24" w:rsidRPr="00F75C22">
        <w:rPr>
          <w:rFonts w:ascii="Book Antiqua" w:hAnsi="Book Antiqua"/>
          <w:color w:val="000000"/>
          <w:sz w:val="24"/>
        </w:rPr>
        <w:t xml:space="preserve"> </w:t>
      </w:r>
      <w:r w:rsidRPr="00F75C22">
        <w:rPr>
          <w:rFonts w:ascii="Book Antiqua" w:hAnsi="Book Antiqua"/>
          <w:color w:val="000000"/>
          <w:sz w:val="24"/>
        </w:rPr>
        <w:t>&lt;</w:t>
      </w:r>
      <w:r w:rsidR="007F3C24" w:rsidRPr="00F75C22">
        <w:rPr>
          <w:rFonts w:ascii="Book Antiqua" w:hAnsi="Book Antiqua"/>
          <w:color w:val="000000"/>
          <w:sz w:val="24"/>
        </w:rPr>
        <w:t xml:space="preserve"> </w:t>
      </w:r>
      <w:r w:rsidRPr="00F75C22">
        <w:rPr>
          <w:rFonts w:ascii="Book Antiqua" w:hAnsi="Book Antiqua"/>
          <w:color w:val="000000"/>
          <w:sz w:val="24"/>
        </w:rPr>
        <w:t>0.05).</w:t>
      </w:r>
      <w:r w:rsidR="0018386D" w:rsidRPr="00F75C22">
        <w:rPr>
          <w:rFonts w:ascii="Book Antiqua" w:hAnsi="Book Antiqua"/>
          <w:color w:val="000000"/>
          <w:sz w:val="24"/>
        </w:rPr>
        <w:t xml:space="preserve"> </w:t>
      </w:r>
      <w:r w:rsidRPr="00F75C22">
        <w:rPr>
          <w:rFonts w:ascii="Book Antiqua" w:hAnsi="Book Antiqua"/>
          <w:i/>
          <w:color w:val="000000"/>
          <w:sz w:val="24"/>
        </w:rPr>
        <w:t xml:space="preserve">HER2 </w:t>
      </w:r>
      <w:r w:rsidRPr="00F75C22">
        <w:rPr>
          <w:rFonts w:ascii="Book Antiqua" w:hAnsi="Book Antiqua"/>
          <w:color w:val="000000"/>
          <w:sz w:val="24"/>
        </w:rPr>
        <w:t>gene status was signiﬁcantly associated with distant tumor metastasis and stage (</w:t>
      </w:r>
      <w:r w:rsidRPr="00F75C22">
        <w:rPr>
          <w:rFonts w:ascii="Book Antiqua" w:hAnsi="Book Antiqua"/>
          <w:i/>
          <w:color w:val="000000"/>
          <w:sz w:val="24"/>
        </w:rPr>
        <w:t>P</w:t>
      </w:r>
      <w:r w:rsidR="00EE506D" w:rsidRPr="00F75C22">
        <w:rPr>
          <w:rFonts w:ascii="Book Antiqua" w:hAnsi="Book Antiqua"/>
          <w:color w:val="000000"/>
          <w:sz w:val="24"/>
        </w:rPr>
        <w:t xml:space="preserve"> </w:t>
      </w:r>
      <w:r w:rsidRPr="00F75C22">
        <w:rPr>
          <w:rFonts w:ascii="Book Antiqua" w:hAnsi="Book Antiqua"/>
          <w:color w:val="000000"/>
          <w:sz w:val="24"/>
        </w:rPr>
        <w:t>=</w:t>
      </w:r>
      <w:r w:rsidR="00EE506D" w:rsidRPr="00F75C22">
        <w:rPr>
          <w:rFonts w:ascii="Book Antiqua" w:hAnsi="Book Antiqua"/>
          <w:color w:val="000000"/>
          <w:sz w:val="24"/>
        </w:rPr>
        <w:t xml:space="preserve"> </w:t>
      </w:r>
      <w:r w:rsidRPr="00F75C22">
        <w:rPr>
          <w:rFonts w:ascii="Book Antiqua" w:hAnsi="Book Antiqua"/>
          <w:color w:val="000000"/>
          <w:sz w:val="24"/>
        </w:rPr>
        <w:t xml:space="preserve">0.028 and 0.025). HER2 protein overexpression as measured by IHC or </w:t>
      </w:r>
      <w:r w:rsidRPr="00F75C22">
        <w:rPr>
          <w:rFonts w:ascii="Book Antiqua" w:hAnsi="Book Antiqua"/>
          <w:i/>
          <w:color w:val="000000"/>
          <w:sz w:val="24"/>
        </w:rPr>
        <w:t>HER2</w:t>
      </w:r>
      <w:r w:rsidRPr="00F75C22">
        <w:rPr>
          <w:rFonts w:ascii="Book Antiqua" w:hAnsi="Book Antiqua"/>
          <w:color w:val="000000"/>
          <w:sz w:val="24"/>
        </w:rPr>
        <w:t xml:space="preserve"> gene amplification as measured by FISH was not associated with overall survival (OS) or disease-specific survival for the overall group of 1058 patients. However, further stratification revealed that among patients with tubular adenocarcinomas who were 65 years old or younger (</w:t>
      </w:r>
      <w:r w:rsidR="004A1A90" w:rsidRPr="00F75C22">
        <w:rPr>
          <w:rFonts w:ascii="Book Antiqua" w:hAnsi="Book Antiqua"/>
          <w:i/>
          <w:color w:val="000000"/>
          <w:sz w:val="24"/>
        </w:rPr>
        <w:t>n</w:t>
      </w:r>
      <w:r w:rsidR="004A1A90" w:rsidRPr="00F75C22">
        <w:rPr>
          <w:rFonts w:ascii="Book Antiqua" w:hAnsi="Book Antiqua"/>
          <w:color w:val="000000"/>
          <w:sz w:val="24"/>
        </w:rPr>
        <w:t xml:space="preserve"> </w:t>
      </w:r>
      <w:r w:rsidRPr="00F75C22">
        <w:rPr>
          <w:rFonts w:ascii="Book Antiqua" w:hAnsi="Book Antiqua"/>
          <w:color w:val="000000"/>
          <w:sz w:val="24"/>
        </w:rPr>
        <w:t xml:space="preserve">= 601), those exhibiting </w:t>
      </w:r>
      <w:r w:rsidRPr="00F75C22">
        <w:rPr>
          <w:rFonts w:ascii="Book Antiqua" w:hAnsi="Book Antiqua"/>
          <w:i/>
          <w:color w:val="000000"/>
          <w:sz w:val="24"/>
        </w:rPr>
        <w:t xml:space="preserve">HER2 </w:t>
      </w:r>
      <w:r w:rsidRPr="00F75C22">
        <w:rPr>
          <w:rFonts w:ascii="Book Antiqua" w:hAnsi="Book Antiqua"/>
          <w:color w:val="000000"/>
          <w:sz w:val="24"/>
        </w:rPr>
        <w:t xml:space="preserve">gene amplification had a shorter OS than those without (mean: 47.9 </w:t>
      </w:r>
      <w:r w:rsidR="004A1A90" w:rsidRPr="00F75C22">
        <w:rPr>
          <w:rFonts w:ascii="Book Antiqua" w:hAnsi="Book Antiqua"/>
          <w:color w:val="000000"/>
          <w:sz w:val="24"/>
        </w:rPr>
        <w:t>mo</w:t>
      </w:r>
      <w:r w:rsidR="004A1A90" w:rsidRPr="00F75C22">
        <w:rPr>
          <w:rFonts w:ascii="Book Antiqua" w:hAnsi="Book Antiqua"/>
          <w:i/>
          <w:color w:val="000000"/>
          <w:sz w:val="24"/>
        </w:rPr>
        <w:t xml:space="preserve"> </w:t>
      </w:r>
      <w:r w:rsidRPr="00F75C22">
        <w:rPr>
          <w:rFonts w:ascii="Book Antiqua" w:hAnsi="Book Antiqua"/>
          <w:i/>
          <w:color w:val="000000"/>
          <w:sz w:val="24"/>
        </w:rPr>
        <w:t>vs</w:t>
      </w:r>
      <w:r w:rsidRPr="00F75C22">
        <w:rPr>
          <w:rFonts w:ascii="Book Antiqua" w:hAnsi="Book Antiqua"/>
          <w:color w:val="000000"/>
          <w:sz w:val="24"/>
        </w:rPr>
        <w:t xml:space="preserve"> 65.1 </w:t>
      </w:r>
      <w:r w:rsidR="004A1A90" w:rsidRPr="00F75C22">
        <w:rPr>
          <w:rFonts w:ascii="Book Antiqua" w:hAnsi="Book Antiqua"/>
          <w:color w:val="000000"/>
          <w:sz w:val="24"/>
        </w:rPr>
        <w:t>mo</w:t>
      </w:r>
      <w:r w:rsidRPr="00F75C22">
        <w:rPr>
          <w:rFonts w:ascii="Book Antiqua" w:hAnsi="Book Antiqua"/>
          <w:color w:val="000000"/>
          <w:sz w:val="24"/>
        </w:rPr>
        <w:t xml:space="preserve">, </w:t>
      </w:r>
      <w:r w:rsidR="004A1A90" w:rsidRPr="00F75C22">
        <w:rPr>
          <w:rFonts w:ascii="Book Antiqua" w:hAnsi="Book Antiqua"/>
          <w:i/>
          <w:color w:val="000000"/>
          <w:sz w:val="24"/>
        </w:rPr>
        <w:t xml:space="preserve">P </w:t>
      </w:r>
      <w:r w:rsidRPr="00F75C22">
        <w:rPr>
          <w:rFonts w:ascii="Book Antiqua" w:hAnsi="Book Antiqua"/>
          <w:color w:val="000000"/>
          <w:sz w:val="24"/>
        </w:rPr>
        <w:t>=</w:t>
      </w:r>
      <w:r w:rsidR="004A1A90" w:rsidRPr="00F75C22">
        <w:rPr>
          <w:rFonts w:ascii="Book Antiqua" w:hAnsi="Book Antiqua"/>
          <w:color w:val="000000"/>
          <w:sz w:val="24"/>
        </w:rPr>
        <w:t xml:space="preserve"> </w:t>
      </w:r>
      <w:r w:rsidRPr="00F75C22">
        <w:rPr>
          <w:rFonts w:ascii="Book Antiqua" w:hAnsi="Book Antiqua"/>
          <w:color w:val="000000"/>
          <w:sz w:val="24"/>
        </w:rPr>
        <w:t xml:space="preserve">0.04). Among those patients with moderately to poorly differentiated tubular adenocarcinomas, those with positive HER2 tumor IHC scores (2+, 3+) had a shorter mean OS than those with negative HER2 IHC scores (0, 1+) (47.2 </w:t>
      </w:r>
      <w:r w:rsidR="00163F7D" w:rsidRPr="00F75C22">
        <w:rPr>
          <w:rFonts w:ascii="Book Antiqua" w:hAnsi="Book Antiqua"/>
          <w:color w:val="000000"/>
          <w:sz w:val="24"/>
        </w:rPr>
        <w:t>mo</w:t>
      </w:r>
      <w:r w:rsidR="00163F7D" w:rsidRPr="00F75C22">
        <w:rPr>
          <w:rFonts w:ascii="Book Antiqua" w:hAnsi="Book Antiqua"/>
          <w:i/>
          <w:color w:val="000000"/>
          <w:sz w:val="24"/>
        </w:rPr>
        <w:t xml:space="preserve"> </w:t>
      </w:r>
      <w:r w:rsidRPr="00F75C22">
        <w:rPr>
          <w:rFonts w:ascii="Book Antiqua" w:hAnsi="Book Antiqua"/>
          <w:i/>
          <w:color w:val="000000"/>
          <w:sz w:val="24"/>
        </w:rPr>
        <w:t>vs</w:t>
      </w:r>
      <w:r w:rsidRPr="00F75C22">
        <w:rPr>
          <w:rFonts w:ascii="Book Antiqua" w:hAnsi="Book Antiqua"/>
          <w:color w:val="000000"/>
          <w:sz w:val="24"/>
        </w:rPr>
        <w:t xml:space="preserve"> 64.8 </w:t>
      </w:r>
      <w:r w:rsidR="00163F7D" w:rsidRPr="00F75C22">
        <w:rPr>
          <w:rFonts w:ascii="Book Antiqua" w:hAnsi="Book Antiqua"/>
          <w:color w:val="000000"/>
          <w:sz w:val="24"/>
        </w:rPr>
        <w:t>mo</w:t>
      </w:r>
      <w:r w:rsidRPr="00F75C22">
        <w:rPr>
          <w:rFonts w:ascii="Book Antiqua" w:hAnsi="Book Antiqua"/>
          <w:color w:val="000000"/>
          <w:sz w:val="24"/>
        </w:rPr>
        <w:t xml:space="preserve">, </w:t>
      </w:r>
      <w:r w:rsidR="00163F7D" w:rsidRPr="00F75C22">
        <w:rPr>
          <w:rFonts w:ascii="Book Antiqua" w:hAnsi="Book Antiqua"/>
          <w:i/>
          <w:color w:val="000000"/>
          <w:sz w:val="24"/>
        </w:rPr>
        <w:t>P</w:t>
      </w:r>
      <w:r w:rsidRPr="00F75C22">
        <w:rPr>
          <w:rFonts w:ascii="Book Antiqua" w:hAnsi="Book Antiqua"/>
          <w:color w:val="000000"/>
          <w:sz w:val="24"/>
        </w:rPr>
        <w:t xml:space="preserve"> =</w:t>
      </w:r>
      <w:r w:rsidR="00163F7D" w:rsidRPr="00F75C22">
        <w:rPr>
          <w:rFonts w:ascii="Book Antiqua" w:hAnsi="Book Antiqua"/>
          <w:color w:val="000000"/>
          <w:sz w:val="24"/>
        </w:rPr>
        <w:t xml:space="preserve"> </w:t>
      </w:r>
      <w:r w:rsidRPr="00F75C22">
        <w:rPr>
          <w:rFonts w:ascii="Book Antiqua" w:hAnsi="Book Antiqua"/>
          <w:color w:val="000000"/>
          <w:sz w:val="24"/>
        </w:rPr>
        <w:t xml:space="preserve">0.033). Moreover, among patients with T2 to T4 stage tumors, those with positive HER2 IHC scores also had a shorter mean OS than those with negative HER2 IHC scores (47.1 </w:t>
      </w:r>
      <w:r w:rsidR="00163F7D" w:rsidRPr="00F75C22">
        <w:rPr>
          <w:rFonts w:ascii="Book Antiqua" w:hAnsi="Book Antiqua"/>
          <w:color w:val="000000"/>
          <w:sz w:val="24"/>
        </w:rPr>
        <w:t xml:space="preserve">mo </w:t>
      </w:r>
      <w:r w:rsidRPr="00F75C22">
        <w:rPr>
          <w:rFonts w:ascii="Book Antiqua" w:hAnsi="Book Antiqua"/>
          <w:i/>
          <w:color w:val="000000"/>
          <w:sz w:val="24"/>
        </w:rPr>
        <w:t>vs</w:t>
      </w:r>
      <w:r w:rsidRPr="00F75C22">
        <w:rPr>
          <w:rFonts w:ascii="Book Antiqua" w:hAnsi="Book Antiqua"/>
          <w:color w:val="000000"/>
          <w:sz w:val="24"/>
        </w:rPr>
        <w:t xml:space="preserve"> 64.8 </w:t>
      </w:r>
      <w:r w:rsidR="00163F7D" w:rsidRPr="00F75C22">
        <w:rPr>
          <w:rFonts w:ascii="Book Antiqua" w:hAnsi="Book Antiqua"/>
          <w:color w:val="000000"/>
          <w:sz w:val="24"/>
        </w:rPr>
        <w:t>mo</w:t>
      </w:r>
      <w:r w:rsidRPr="00F75C22">
        <w:rPr>
          <w:rFonts w:ascii="Book Antiqua" w:hAnsi="Book Antiqua"/>
          <w:color w:val="000000"/>
          <w:sz w:val="24"/>
        </w:rPr>
        <w:t xml:space="preserve">, </w:t>
      </w:r>
      <w:r w:rsidR="00163F7D" w:rsidRPr="00F75C22">
        <w:rPr>
          <w:rFonts w:ascii="Book Antiqua" w:hAnsi="Book Antiqua"/>
          <w:i/>
          <w:color w:val="000000"/>
          <w:sz w:val="24"/>
        </w:rPr>
        <w:t>P</w:t>
      </w:r>
      <w:r w:rsidR="00163F7D" w:rsidRPr="00F75C22">
        <w:rPr>
          <w:rFonts w:ascii="Book Antiqua" w:hAnsi="Book Antiqua"/>
          <w:color w:val="000000"/>
          <w:sz w:val="24"/>
        </w:rPr>
        <w:t xml:space="preserve"> </w:t>
      </w:r>
      <w:r w:rsidRPr="00F75C22">
        <w:rPr>
          <w:rFonts w:ascii="Book Antiqua" w:hAnsi="Book Antiqua"/>
          <w:color w:val="000000"/>
          <w:sz w:val="24"/>
        </w:rPr>
        <w:t>=</w:t>
      </w:r>
      <w:r w:rsidR="00163F7D" w:rsidRPr="00F75C22">
        <w:rPr>
          <w:rFonts w:ascii="Book Antiqua" w:hAnsi="Book Antiqua"/>
          <w:color w:val="000000"/>
          <w:sz w:val="24"/>
        </w:rPr>
        <w:t xml:space="preserve"> </w:t>
      </w:r>
      <w:r w:rsidRPr="00F75C22">
        <w:rPr>
          <w:rFonts w:ascii="Book Antiqua" w:hAnsi="Book Antiqua"/>
          <w:color w:val="000000"/>
          <w:sz w:val="24"/>
        </w:rPr>
        <w:t>0.031).</w:t>
      </w:r>
    </w:p>
    <w:p w:rsidR="00E64A87" w:rsidRPr="00F75C22" w:rsidRDefault="00E64A87" w:rsidP="000149DC">
      <w:pPr>
        <w:spacing w:line="360" w:lineRule="auto"/>
        <w:rPr>
          <w:rFonts w:ascii="Book Antiqua" w:hAnsi="Book Antiqua"/>
          <w:caps/>
          <w:color w:val="000000"/>
          <w:sz w:val="24"/>
        </w:rPr>
      </w:pPr>
    </w:p>
    <w:p w:rsidR="00FF2EF5" w:rsidRPr="00F75C22" w:rsidRDefault="00E64A87" w:rsidP="000149DC">
      <w:pPr>
        <w:spacing w:line="360" w:lineRule="auto"/>
        <w:rPr>
          <w:rFonts w:ascii="Book Antiqua" w:hAnsi="Book Antiqua"/>
          <w:b/>
          <w:i/>
          <w:color w:val="000000"/>
          <w:kern w:val="0"/>
          <w:sz w:val="24"/>
        </w:rPr>
      </w:pPr>
      <w:r w:rsidRPr="00F75C22">
        <w:rPr>
          <w:rFonts w:ascii="Book Antiqua" w:hAnsi="Book Antiqua"/>
          <w:b/>
          <w:i/>
          <w:caps/>
          <w:color w:val="000000"/>
          <w:sz w:val="24"/>
        </w:rPr>
        <w:t>CONCLUSION</w:t>
      </w:r>
    </w:p>
    <w:p w:rsidR="00E64A87" w:rsidRPr="00F75C22" w:rsidRDefault="004D57C2" w:rsidP="000149DC">
      <w:pPr>
        <w:spacing w:line="360" w:lineRule="auto"/>
        <w:rPr>
          <w:rFonts w:ascii="Book Antiqua" w:hAnsi="Book Antiqua"/>
          <w:color w:val="000000"/>
          <w:kern w:val="0"/>
          <w:sz w:val="24"/>
        </w:rPr>
      </w:pPr>
      <w:r w:rsidRPr="00F75C22">
        <w:rPr>
          <w:rFonts w:ascii="Book Antiqua" w:hAnsi="Book Antiqua"/>
          <w:color w:val="000000"/>
          <w:kern w:val="0"/>
          <w:sz w:val="24"/>
        </w:rPr>
        <w:t>HER2 protein levels are correlated with clinical outcomes, and positive HER</w:t>
      </w:r>
      <w:r w:rsidR="00135DA3" w:rsidRPr="00F75C22">
        <w:rPr>
          <w:rFonts w:ascii="Book Antiqua" w:hAnsi="Book Antiqua"/>
          <w:color w:val="000000"/>
          <w:kern w:val="0"/>
          <w:sz w:val="24"/>
        </w:rPr>
        <w:t>2</w:t>
      </w:r>
      <w:r w:rsidRPr="00F75C22">
        <w:rPr>
          <w:rFonts w:ascii="Book Antiqua" w:hAnsi="Book Antiqua"/>
          <w:color w:val="000000"/>
          <w:kern w:val="0"/>
          <w:sz w:val="24"/>
        </w:rPr>
        <w:t xml:space="preserve"> expression as measured by IHC confers a worse prognosis in those patients 65 years old or younger with tubular adenocarcinomas.</w:t>
      </w:r>
    </w:p>
    <w:p w:rsidR="00E64A87" w:rsidRPr="00F75C22" w:rsidRDefault="00E64A87" w:rsidP="000149DC">
      <w:pPr>
        <w:pStyle w:val="af1"/>
        <w:spacing w:line="360" w:lineRule="auto"/>
        <w:ind w:left="1440" w:hanging="1440"/>
        <w:rPr>
          <w:rFonts w:ascii="Book Antiqua" w:hAnsi="Book Antiqua"/>
          <w:b/>
          <w:iCs/>
          <w:color w:val="000000"/>
        </w:rPr>
      </w:pPr>
    </w:p>
    <w:p w:rsidR="00E64A87" w:rsidRPr="00F75C22" w:rsidRDefault="00E64A87" w:rsidP="000149DC">
      <w:pPr>
        <w:pStyle w:val="af1"/>
        <w:spacing w:line="360" w:lineRule="auto"/>
        <w:ind w:firstLine="0"/>
        <w:rPr>
          <w:rFonts w:ascii="Book Antiqua" w:hAnsi="Book Antiqua"/>
          <w:color w:val="000000"/>
        </w:rPr>
      </w:pPr>
      <w:r w:rsidRPr="00F75C22">
        <w:rPr>
          <w:rFonts w:ascii="Book Antiqua" w:hAnsi="Book Antiqua"/>
          <w:b/>
          <w:iCs/>
          <w:color w:val="000000"/>
        </w:rPr>
        <w:t>Key</w:t>
      </w:r>
      <w:r w:rsidR="00FF2EF5" w:rsidRPr="00F75C22">
        <w:rPr>
          <w:rFonts w:ascii="Book Antiqua" w:hAnsi="Book Antiqua"/>
          <w:b/>
          <w:iCs/>
          <w:color w:val="000000"/>
        </w:rPr>
        <w:t xml:space="preserve"> </w:t>
      </w:r>
      <w:r w:rsidRPr="00F75C22">
        <w:rPr>
          <w:rFonts w:ascii="Book Antiqua" w:hAnsi="Book Antiqua"/>
          <w:b/>
          <w:iCs/>
          <w:color w:val="000000"/>
        </w:rPr>
        <w:t>words</w:t>
      </w:r>
      <w:r w:rsidR="00FF2EF5" w:rsidRPr="00F75C22">
        <w:rPr>
          <w:rFonts w:ascii="Book Antiqua" w:hAnsi="Book Antiqua"/>
          <w:b/>
          <w:iCs/>
          <w:color w:val="000000"/>
        </w:rPr>
        <w:t>:</w:t>
      </w:r>
      <w:r w:rsidRPr="00F75C22">
        <w:rPr>
          <w:rFonts w:ascii="Book Antiqua" w:hAnsi="Book Antiqua"/>
          <w:i/>
          <w:iCs/>
          <w:color w:val="000000"/>
        </w:rPr>
        <w:t xml:space="preserve"> </w:t>
      </w:r>
      <w:r w:rsidR="009D44A8" w:rsidRPr="00F75C22">
        <w:rPr>
          <w:rFonts w:ascii="Book Antiqua" w:hAnsi="Book Antiqua"/>
          <w:color w:val="000000"/>
        </w:rPr>
        <w:t>Human epidermal growth factor receptor 2</w:t>
      </w:r>
      <w:r w:rsidR="00CC1ABF" w:rsidRPr="00F75C22">
        <w:rPr>
          <w:rFonts w:ascii="Book Antiqua" w:hAnsi="Book Antiqua"/>
          <w:color w:val="000000"/>
        </w:rPr>
        <w:t>;</w:t>
      </w:r>
      <w:r w:rsidRPr="00F75C22">
        <w:rPr>
          <w:rFonts w:ascii="Book Antiqua" w:hAnsi="Book Antiqua"/>
          <w:color w:val="000000"/>
        </w:rPr>
        <w:t xml:space="preserve"> </w:t>
      </w:r>
      <w:r w:rsidR="00CC1ABF" w:rsidRPr="00F75C22">
        <w:rPr>
          <w:rFonts w:ascii="Book Antiqua" w:hAnsi="Book Antiqua"/>
          <w:color w:val="000000"/>
        </w:rPr>
        <w:t>I</w:t>
      </w:r>
      <w:r w:rsidRPr="00F75C22">
        <w:rPr>
          <w:rFonts w:ascii="Book Antiqua" w:hAnsi="Book Antiqua"/>
          <w:color w:val="000000"/>
        </w:rPr>
        <w:t>mmunohistochemical staining</w:t>
      </w:r>
      <w:r w:rsidR="00CC1ABF" w:rsidRPr="00F75C22">
        <w:rPr>
          <w:rFonts w:ascii="Book Antiqua" w:hAnsi="Book Antiqua"/>
          <w:color w:val="000000"/>
        </w:rPr>
        <w:t>;</w:t>
      </w:r>
      <w:r w:rsidRPr="00F75C22">
        <w:rPr>
          <w:rFonts w:ascii="Book Antiqua" w:hAnsi="Book Antiqua"/>
          <w:color w:val="000000"/>
        </w:rPr>
        <w:t xml:space="preserve"> </w:t>
      </w:r>
      <w:r w:rsidR="00CC1ABF" w:rsidRPr="00F75C22">
        <w:rPr>
          <w:rFonts w:ascii="Book Antiqua" w:hAnsi="Book Antiqua"/>
          <w:color w:val="000000"/>
        </w:rPr>
        <w:t>F</w:t>
      </w:r>
      <w:r w:rsidRPr="00F75C22">
        <w:rPr>
          <w:rFonts w:ascii="Book Antiqua" w:hAnsi="Book Antiqua"/>
          <w:color w:val="000000"/>
        </w:rPr>
        <w:t xml:space="preserve">luorescent </w:t>
      </w:r>
      <w:r w:rsidRPr="00F75C22">
        <w:rPr>
          <w:rFonts w:ascii="Book Antiqua" w:hAnsi="Book Antiqua"/>
          <w:i/>
          <w:color w:val="000000"/>
        </w:rPr>
        <w:t>in situ</w:t>
      </w:r>
      <w:r w:rsidRPr="00F75C22">
        <w:rPr>
          <w:rFonts w:ascii="Book Antiqua" w:hAnsi="Book Antiqua"/>
          <w:color w:val="000000"/>
        </w:rPr>
        <w:t xml:space="preserve"> hybridization</w:t>
      </w:r>
      <w:r w:rsidR="00CC1ABF" w:rsidRPr="00F75C22">
        <w:rPr>
          <w:rFonts w:ascii="Book Antiqua" w:hAnsi="Book Antiqua"/>
          <w:color w:val="000000"/>
        </w:rPr>
        <w:t>;</w:t>
      </w:r>
      <w:r w:rsidRPr="00F75C22">
        <w:rPr>
          <w:rFonts w:ascii="Book Antiqua" w:hAnsi="Book Antiqua"/>
          <w:color w:val="000000"/>
        </w:rPr>
        <w:t xml:space="preserve"> </w:t>
      </w:r>
      <w:r w:rsidR="00CC1ABF" w:rsidRPr="00F75C22">
        <w:rPr>
          <w:rFonts w:ascii="Book Antiqua" w:hAnsi="Book Antiqua"/>
          <w:color w:val="000000"/>
        </w:rPr>
        <w:t>P</w:t>
      </w:r>
      <w:r w:rsidRPr="00F75C22">
        <w:rPr>
          <w:rFonts w:ascii="Book Antiqua" w:hAnsi="Book Antiqua"/>
          <w:color w:val="000000"/>
        </w:rPr>
        <w:t>rognosis</w:t>
      </w:r>
      <w:r w:rsidR="00CC1ABF" w:rsidRPr="00F75C22">
        <w:rPr>
          <w:rFonts w:ascii="Book Antiqua" w:hAnsi="Book Antiqua"/>
          <w:color w:val="000000"/>
        </w:rPr>
        <w:t>;</w:t>
      </w:r>
      <w:r w:rsidR="00562B34" w:rsidRPr="00F75C22">
        <w:rPr>
          <w:rFonts w:ascii="Book Antiqua" w:hAnsi="Book Antiqua"/>
          <w:color w:val="000000"/>
        </w:rPr>
        <w:t xml:space="preserve"> </w:t>
      </w:r>
      <w:r w:rsidR="00CC1ABF" w:rsidRPr="00F75C22">
        <w:rPr>
          <w:rFonts w:ascii="Book Antiqua" w:hAnsi="Book Antiqua"/>
          <w:color w:val="000000"/>
        </w:rPr>
        <w:lastRenderedPageBreak/>
        <w:t>C</w:t>
      </w:r>
      <w:r w:rsidRPr="00F75C22">
        <w:rPr>
          <w:rFonts w:ascii="Book Antiqua" w:hAnsi="Book Antiqua"/>
          <w:color w:val="000000"/>
        </w:rPr>
        <w:t>olorectal cancers</w:t>
      </w:r>
    </w:p>
    <w:p w:rsidR="00B51737" w:rsidRPr="00F75C22" w:rsidRDefault="00B51737" w:rsidP="000149DC">
      <w:pPr>
        <w:pStyle w:val="af1"/>
        <w:spacing w:line="360" w:lineRule="auto"/>
        <w:ind w:firstLine="0"/>
        <w:rPr>
          <w:rFonts w:ascii="Book Antiqua" w:hAnsi="Book Antiqua"/>
          <w:color w:val="000000"/>
        </w:rPr>
      </w:pPr>
    </w:p>
    <w:p w:rsidR="00B51737" w:rsidRPr="00F75C22" w:rsidRDefault="00B51737" w:rsidP="00B51737">
      <w:pPr>
        <w:snapToGrid w:val="0"/>
        <w:spacing w:line="360" w:lineRule="auto"/>
        <w:rPr>
          <w:rFonts w:ascii="Book Antiqua" w:hAnsi="Book Antiqua"/>
          <w:color w:val="000000"/>
          <w:sz w:val="24"/>
        </w:rPr>
      </w:pPr>
      <w:bookmarkStart w:id="4" w:name="OLE_LINK13"/>
      <w:bookmarkStart w:id="5" w:name="OLE_LINK14"/>
      <w:r w:rsidRPr="00F75C22">
        <w:rPr>
          <w:rFonts w:ascii="Book Antiqua" w:hAnsi="Book Antiqua"/>
          <w:color w:val="000000"/>
          <w:sz w:val="24"/>
        </w:rPr>
        <w:t xml:space="preserve">© </w:t>
      </w:r>
      <w:r w:rsidRPr="00F75C22">
        <w:rPr>
          <w:rFonts w:ascii="Book Antiqua" w:hAnsi="Book Antiqua"/>
          <w:b/>
          <w:color w:val="000000"/>
          <w:sz w:val="24"/>
        </w:rPr>
        <w:t>The Author(s) 2019</w:t>
      </w:r>
      <w:r w:rsidRPr="00F75C22">
        <w:rPr>
          <w:rFonts w:ascii="Book Antiqua" w:hAnsi="Book Antiqua"/>
          <w:color w:val="000000"/>
          <w:sz w:val="24"/>
        </w:rPr>
        <w:t>. Published by Baishideng Publishing Group Inc. All rights reserved.</w:t>
      </w:r>
    </w:p>
    <w:bookmarkEnd w:id="4"/>
    <w:bookmarkEnd w:id="5"/>
    <w:p w:rsidR="00E64A87" w:rsidRPr="00F75C22" w:rsidRDefault="00E64A87" w:rsidP="000149DC">
      <w:pPr>
        <w:spacing w:line="360" w:lineRule="auto"/>
        <w:rPr>
          <w:rFonts w:ascii="Book Antiqua" w:hAnsi="Book Antiqua"/>
          <w:color w:val="000000"/>
          <w:sz w:val="24"/>
        </w:rPr>
      </w:pPr>
    </w:p>
    <w:p w:rsidR="00E64A87" w:rsidRPr="00F75C22" w:rsidRDefault="00CC1ABF" w:rsidP="000149DC">
      <w:pPr>
        <w:pStyle w:val="a0"/>
        <w:spacing w:line="360" w:lineRule="auto"/>
        <w:ind w:firstLineChars="0" w:firstLine="0"/>
        <w:rPr>
          <w:rFonts w:ascii="Book Antiqua" w:hAnsi="Book Antiqua"/>
          <w:color w:val="000000"/>
          <w:sz w:val="24"/>
        </w:rPr>
      </w:pPr>
      <w:r w:rsidRPr="00F75C22">
        <w:rPr>
          <w:rFonts w:ascii="Book Antiqua" w:hAnsi="Book Antiqua"/>
          <w:b/>
          <w:color w:val="000000"/>
          <w:sz w:val="24"/>
        </w:rPr>
        <w:t xml:space="preserve">Core tip: </w:t>
      </w:r>
      <w:r w:rsidR="00E133D6" w:rsidRPr="00F75C22">
        <w:rPr>
          <w:rFonts w:ascii="Book Antiqua" w:hAnsi="Book Antiqua"/>
          <w:color w:val="000000"/>
          <w:sz w:val="24"/>
        </w:rPr>
        <w:t xml:space="preserve">The </w:t>
      </w:r>
      <w:r w:rsidR="009D44A8" w:rsidRPr="00F75C22">
        <w:rPr>
          <w:rFonts w:ascii="Book Antiqua" w:hAnsi="Book Antiqua"/>
          <w:color w:val="000000"/>
          <w:sz w:val="24"/>
        </w:rPr>
        <w:t xml:space="preserve">manuscript </w:t>
      </w:r>
      <w:r w:rsidR="00E133D6" w:rsidRPr="00F75C22">
        <w:rPr>
          <w:rFonts w:ascii="Book Antiqua" w:hAnsi="Book Antiqua"/>
          <w:color w:val="000000"/>
          <w:sz w:val="24"/>
        </w:rPr>
        <w:t xml:space="preserve">investigated the prevalence of </w:t>
      </w:r>
      <w:r w:rsidR="009D44A8" w:rsidRPr="00F75C22">
        <w:rPr>
          <w:rFonts w:ascii="Book Antiqua" w:hAnsi="Book Antiqua"/>
          <w:color w:val="000000"/>
          <w:sz w:val="24"/>
        </w:rPr>
        <w:t>human epidermal growth factor receptor 2 (</w:t>
      </w:r>
      <w:r w:rsidR="00E133D6" w:rsidRPr="00F75C22">
        <w:rPr>
          <w:rFonts w:ascii="Book Antiqua" w:hAnsi="Book Antiqua"/>
          <w:color w:val="000000"/>
          <w:sz w:val="24"/>
        </w:rPr>
        <w:t>HER2</w:t>
      </w:r>
      <w:r w:rsidR="009D44A8" w:rsidRPr="00F75C22">
        <w:rPr>
          <w:rFonts w:ascii="Book Antiqua" w:hAnsi="Book Antiqua"/>
          <w:color w:val="000000"/>
          <w:sz w:val="24"/>
        </w:rPr>
        <w:t>)</w:t>
      </w:r>
      <w:r w:rsidR="00E133D6" w:rsidRPr="00F75C22">
        <w:rPr>
          <w:rFonts w:ascii="Book Antiqua" w:hAnsi="Book Antiqua"/>
          <w:color w:val="000000"/>
          <w:sz w:val="24"/>
        </w:rPr>
        <w:t xml:space="preserve"> protein overexpression and gene amplification in a large series of surgically resected colorectal adenocarcinomas (CRCs), and evaluated their relationship with clinicopathological parameters and prognosis. We found that HER2 overexpression </w:t>
      </w:r>
      <w:r w:rsidR="00F16F26" w:rsidRPr="00F75C22">
        <w:rPr>
          <w:rFonts w:ascii="Book Antiqua" w:hAnsi="Book Antiqua"/>
          <w:color w:val="000000"/>
          <w:sz w:val="24"/>
        </w:rPr>
        <w:t>[</w:t>
      </w:r>
      <w:r w:rsidR="00F16F26" w:rsidRPr="00F75C22">
        <w:rPr>
          <w:rFonts w:ascii="Book Antiqua" w:hAnsi="Book Antiqua"/>
          <w:color w:val="000000"/>
          <w:kern w:val="0"/>
          <w:sz w:val="24"/>
        </w:rPr>
        <w:t xml:space="preserve">immunohistochemical staining (IHC) </w:t>
      </w:r>
      <w:r w:rsidR="00F16F26" w:rsidRPr="00F75C22">
        <w:rPr>
          <w:rFonts w:ascii="Book Antiqua" w:hAnsi="Book Antiqua"/>
          <w:color w:val="000000"/>
          <w:sz w:val="24"/>
        </w:rPr>
        <w:t>score 2+ and 3+]</w:t>
      </w:r>
      <w:r w:rsidR="00E133D6" w:rsidRPr="00F75C22">
        <w:rPr>
          <w:rFonts w:ascii="Book Antiqua" w:hAnsi="Book Antiqua"/>
          <w:color w:val="000000"/>
          <w:sz w:val="24"/>
        </w:rPr>
        <w:t xml:space="preserve"> is seen in a small percentage of colorectal adenocarcinomas and </w:t>
      </w:r>
      <w:r w:rsidR="00E133D6" w:rsidRPr="00F75C22">
        <w:rPr>
          <w:rFonts w:ascii="Book Antiqua" w:hAnsi="Book Antiqua"/>
          <w:i/>
          <w:color w:val="000000"/>
          <w:sz w:val="24"/>
        </w:rPr>
        <w:t>HER2</w:t>
      </w:r>
      <w:r w:rsidR="00E133D6" w:rsidRPr="00F75C22">
        <w:rPr>
          <w:rFonts w:ascii="Book Antiqua" w:hAnsi="Book Antiqua"/>
          <w:color w:val="000000"/>
          <w:sz w:val="24"/>
        </w:rPr>
        <w:t xml:space="preserve"> gene amplification occurs in the vast majority of tumors with 3+ IHC score but in a much lower percentage of tumors with 2+ IHC score. In addition, although the prevalence of HER2 overexpression by IHC in CRCs is low, HER2 protein status is correlated with clinical outcomes and positive HER</w:t>
      </w:r>
      <w:r w:rsidR="00135DA3" w:rsidRPr="00F75C22">
        <w:rPr>
          <w:rFonts w:ascii="Book Antiqua" w:hAnsi="Book Antiqua"/>
          <w:color w:val="000000"/>
          <w:sz w:val="24"/>
        </w:rPr>
        <w:t>2</w:t>
      </w:r>
      <w:r w:rsidR="00E133D6" w:rsidRPr="00F75C22">
        <w:rPr>
          <w:rFonts w:ascii="Book Antiqua" w:hAnsi="Book Antiqua"/>
          <w:color w:val="000000"/>
          <w:sz w:val="24"/>
        </w:rPr>
        <w:t xml:space="preserve"> expression by IHC confers a worse prognosis in 65 years or younger patients with tubular adenocarcinomas.</w:t>
      </w:r>
    </w:p>
    <w:p w:rsidR="00CC1ABF" w:rsidRPr="00F75C22" w:rsidRDefault="00CC1ABF" w:rsidP="000149DC">
      <w:pPr>
        <w:autoSpaceDE w:val="0"/>
        <w:autoSpaceDN w:val="0"/>
        <w:spacing w:line="360" w:lineRule="auto"/>
        <w:ind w:left="720" w:hangingChars="300" w:hanging="720"/>
        <w:rPr>
          <w:rFonts w:ascii="Book Antiqua" w:hAnsi="Book Antiqua"/>
          <w:color w:val="000000"/>
          <w:kern w:val="0"/>
          <w:sz w:val="24"/>
        </w:rPr>
      </w:pPr>
    </w:p>
    <w:p w:rsidR="00F75C22" w:rsidRPr="00F75C22" w:rsidRDefault="00F75C22" w:rsidP="00F75C22">
      <w:pPr>
        <w:spacing w:line="360" w:lineRule="auto"/>
        <w:rPr>
          <w:rFonts w:ascii="Book Antiqua" w:hAnsi="Book Antiqua"/>
          <w:iCs/>
          <w:color w:val="000000"/>
          <w:sz w:val="24"/>
        </w:rPr>
      </w:pPr>
      <w:r w:rsidRPr="00F75C22">
        <w:rPr>
          <w:rFonts w:ascii="Book Antiqua" w:hAnsi="Book Antiqua"/>
          <w:b/>
          <w:color w:val="000000"/>
          <w:sz w:val="24"/>
        </w:rPr>
        <w:t xml:space="preserve">Citation: </w:t>
      </w:r>
      <w:r w:rsidR="00CC1ABF" w:rsidRPr="00F75C22">
        <w:rPr>
          <w:rFonts w:ascii="Book Antiqua" w:hAnsi="Book Antiqua"/>
          <w:color w:val="000000"/>
          <w:sz w:val="24"/>
        </w:rPr>
        <w:t>Wang X</w:t>
      </w:r>
      <w:r w:rsidR="00F15E0E" w:rsidRPr="00F75C22">
        <w:rPr>
          <w:rFonts w:ascii="Book Antiqua" w:hAnsi="Book Antiqua"/>
          <w:color w:val="000000"/>
          <w:sz w:val="24"/>
        </w:rPr>
        <w:t>Y</w:t>
      </w:r>
      <w:r w:rsidR="00CC1ABF" w:rsidRPr="00F75C22">
        <w:rPr>
          <w:rFonts w:ascii="Book Antiqua" w:hAnsi="Book Antiqua"/>
          <w:color w:val="000000"/>
          <w:sz w:val="24"/>
        </w:rPr>
        <w:t>, Zheng Z</w:t>
      </w:r>
      <w:r w:rsidR="00F15E0E" w:rsidRPr="00F75C22">
        <w:rPr>
          <w:rFonts w:ascii="Book Antiqua" w:hAnsi="Book Antiqua"/>
          <w:color w:val="000000"/>
          <w:sz w:val="24"/>
        </w:rPr>
        <w:t>X</w:t>
      </w:r>
      <w:r w:rsidR="00CC1ABF" w:rsidRPr="00F75C22">
        <w:rPr>
          <w:rFonts w:ascii="Book Antiqua" w:hAnsi="Book Antiqua"/>
          <w:color w:val="000000"/>
          <w:sz w:val="24"/>
        </w:rPr>
        <w:t>, Sun Y, Bai Y</w:t>
      </w:r>
      <w:r w:rsidR="00F15E0E" w:rsidRPr="00F75C22">
        <w:rPr>
          <w:rFonts w:ascii="Book Antiqua" w:hAnsi="Book Antiqua"/>
          <w:color w:val="000000"/>
          <w:sz w:val="24"/>
        </w:rPr>
        <w:t>H</w:t>
      </w:r>
      <w:r w:rsidR="00CC1ABF" w:rsidRPr="00F75C22">
        <w:rPr>
          <w:rFonts w:ascii="Book Antiqua" w:hAnsi="Book Antiqua"/>
          <w:color w:val="000000"/>
          <w:sz w:val="24"/>
        </w:rPr>
        <w:t>, Shi Y</w:t>
      </w:r>
      <w:r w:rsidR="00F15E0E" w:rsidRPr="00F75C22">
        <w:rPr>
          <w:rFonts w:ascii="Book Antiqua" w:hAnsi="Book Antiqua"/>
          <w:color w:val="000000"/>
          <w:sz w:val="24"/>
        </w:rPr>
        <w:t>F</w:t>
      </w:r>
      <w:r w:rsidR="00CC1ABF" w:rsidRPr="00F75C22">
        <w:rPr>
          <w:rFonts w:ascii="Book Antiqua" w:hAnsi="Book Antiqua"/>
          <w:color w:val="000000"/>
          <w:sz w:val="24"/>
        </w:rPr>
        <w:t>, Zhou L</w:t>
      </w:r>
      <w:r w:rsidR="00F15E0E" w:rsidRPr="00F75C22">
        <w:rPr>
          <w:rFonts w:ascii="Book Antiqua" w:hAnsi="Book Antiqua"/>
          <w:color w:val="000000"/>
          <w:sz w:val="24"/>
        </w:rPr>
        <w:t>X</w:t>
      </w:r>
      <w:r w:rsidR="00CC1ABF" w:rsidRPr="00F75C22">
        <w:rPr>
          <w:rFonts w:ascii="Book Antiqua" w:hAnsi="Book Antiqua"/>
          <w:color w:val="000000"/>
          <w:sz w:val="24"/>
        </w:rPr>
        <w:t>, Yao Y</w:t>
      </w:r>
      <w:r w:rsidR="00F15E0E" w:rsidRPr="00F75C22">
        <w:rPr>
          <w:rFonts w:ascii="Book Antiqua" w:hAnsi="Book Antiqua"/>
          <w:color w:val="000000"/>
          <w:sz w:val="24"/>
        </w:rPr>
        <w:t>F</w:t>
      </w:r>
      <w:r w:rsidR="00CC1ABF" w:rsidRPr="00F75C22">
        <w:rPr>
          <w:rFonts w:ascii="Book Antiqua" w:hAnsi="Book Antiqua"/>
          <w:color w:val="000000"/>
          <w:sz w:val="24"/>
        </w:rPr>
        <w:t>, Wu A</w:t>
      </w:r>
      <w:r w:rsidR="00F15E0E" w:rsidRPr="00F75C22">
        <w:rPr>
          <w:rFonts w:ascii="Book Antiqua" w:hAnsi="Book Antiqua"/>
          <w:color w:val="000000"/>
          <w:sz w:val="24"/>
        </w:rPr>
        <w:t>W</w:t>
      </w:r>
      <w:r w:rsidR="00CC1ABF" w:rsidRPr="00F75C22">
        <w:rPr>
          <w:rFonts w:ascii="Book Antiqua" w:hAnsi="Book Antiqua"/>
          <w:color w:val="000000"/>
          <w:sz w:val="24"/>
        </w:rPr>
        <w:t>, Cao D</w:t>
      </w:r>
      <w:r w:rsidR="00F15E0E" w:rsidRPr="00F75C22">
        <w:rPr>
          <w:rFonts w:ascii="Book Antiqua" w:hAnsi="Book Antiqua"/>
          <w:color w:val="000000"/>
          <w:sz w:val="24"/>
        </w:rPr>
        <w:t>F</w:t>
      </w:r>
      <w:r w:rsidR="00CC1ABF" w:rsidRPr="00F75C22">
        <w:rPr>
          <w:rFonts w:ascii="Book Antiqua" w:hAnsi="Book Antiqua"/>
          <w:color w:val="000000"/>
          <w:sz w:val="24"/>
        </w:rPr>
        <w:t xml:space="preserve">. </w:t>
      </w:r>
      <w:r w:rsidR="00F15E0E" w:rsidRPr="00F75C22">
        <w:rPr>
          <w:rFonts w:ascii="Book Antiqua" w:hAnsi="Book Antiqua"/>
          <w:iCs/>
          <w:color w:val="000000"/>
          <w:sz w:val="24"/>
        </w:rPr>
        <w:t xml:space="preserve">Significance of HER2 protein expression and </w:t>
      </w:r>
      <w:r w:rsidR="00F15E0E" w:rsidRPr="00F75C22">
        <w:rPr>
          <w:rFonts w:ascii="Book Antiqua" w:hAnsi="Book Antiqua"/>
          <w:i/>
          <w:iCs/>
          <w:color w:val="000000"/>
          <w:sz w:val="24"/>
        </w:rPr>
        <w:t>HER2</w:t>
      </w:r>
      <w:r w:rsidR="00F15E0E" w:rsidRPr="00F75C22">
        <w:rPr>
          <w:rFonts w:ascii="Book Antiqua" w:hAnsi="Book Antiqua"/>
          <w:iCs/>
          <w:color w:val="000000"/>
          <w:sz w:val="24"/>
        </w:rPr>
        <w:t xml:space="preserve"> gene amplification in </w:t>
      </w:r>
      <w:r w:rsidR="00F15E0E" w:rsidRPr="00F75C22">
        <w:rPr>
          <w:rFonts w:ascii="Book Antiqua" w:hAnsi="Book Antiqua"/>
          <w:color w:val="000000"/>
          <w:kern w:val="0"/>
          <w:sz w:val="24"/>
        </w:rPr>
        <w:t>colorectal adenocarcinomas.</w:t>
      </w:r>
      <w:r w:rsidR="00AE5EAA" w:rsidRPr="00F75C22">
        <w:rPr>
          <w:rFonts w:ascii="Book Antiqua" w:hAnsi="Book Antiqua"/>
          <w:i/>
          <w:iCs/>
          <w:color w:val="000000"/>
          <w:sz w:val="24"/>
        </w:rPr>
        <w:t xml:space="preserve"> World J Gastrointest Oncol</w:t>
      </w:r>
      <w:r w:rsidR="00AE5EAA" w:rsidRPr="00F75C22">
        <w:rPr>
          <w:rFonts w:ascii="Book Antiqua" w:hAnsi="Book Antiqua"/>
          <w:iCs/>
          <w:color w:val="000000"/>
          <w:sz w:val="24"/>
        </w:rPr>
        <w:t xml:space="preserve"> </w:t>
      </w:r>
      <w:r w:rsidRPr="00F75C22">
        <w:rPr>
          <w:rFonts w:ascii="Book Antiqua" w:hAnsi="Book Antiqua"/>
          <w:iCs/>
          <w:color w:val="000000"/>
          <w:sz w:val="24"/>
        </w:rPr>
        <w:t xml:space="preserve">2019; 11(4): </w:t>
      </w:r>
      <w:r>
        <w:rPr>
          <w:rFonts w:ascii="Book Antiqua" w:hAnsi="Book Antiqua" w:hint="eastAsia"/>
          <w:iCs/>
          <w:color w:val="000000"/>
          <w:sz w:val="24"/>
        </w:rPr>
        <w:t>355-347</w:t>
      </w:r>
    </w:p>
    <w:p w:rsidR="00F75C22" w:rsidRPr="00F75C22" w:rsidRDefault="00F75C22" w:rsidP="00F75C22">
      <w:pPr>
        <w:spacing w:line="360" w:lineRule="auto"/>
        <w:rPr>
          <w:rFonts w:ascii="Book Antiqua" w:hAnsi="Book Antiqua"/>
          <w:iCs/>
          <w:color w:val="000000"/>
          <w:sz w:val="24"/>
        </w:rPr>
      </w:pPr>
      <w:r w:rsidRPr="00F75C22">
        <w:rPr>
          <w:rFonts w:ascii="Book Antiqua" w:hAnsi="Book Antiqua"/>
          <w:b/>
          <w:iCs/>
          <w:color w:val="000000"/>
          <w:sz w:val="24"/>
        </w:rPr>
        <w:t xml:space="preserve">URL: </w:t>
      </w:r>
      <w:r w:rsidRPr="00F75C22">
        <w:rPr>
          <w:rFonts w:ascii="Book Antiqua" w:hAnsi="Book Antiqua"/>
          <w:iCs/>
          <w:color w:val="000000"/>
          <w:sz w:val="24"/>
        </w:rPr>
        <w:t xml:space="preserve">https://www.wjgnet.com/1948-5204/full/v11/i4/335.htm  </w:t>
      </w:r>
    </w:p>
    <w:p w:rsidR="00AE5EAA" w:rsidRPr="00F75C22" w:rsidRDefault="00F75C22" w:rsidP="00F75C22">
      <w:pPr>
        <w:spacing w:line="360" w:lineRule="auto"/>
        <w:rPr>
          <w:rFonts w:ascii="Book Antiqua" w:hAnsi="Book Antiqua"/>
          <w:color w:val="000000"/>
          <w:sz w:val="24"/>
        </w:rPr>
      </w:pPr>
      <w:r w:rsidRPr="00F75C22">
        <w:rPr>
          <w:rFonts w:ascii="Book Antiqua" w:hAnsi="Book Antiqua"/>
          <w:b/>
          <w:iCs/>
          <w:color w:val="000000"/>
          <w:sz w:val="24"/>
        </w:rPr>
        <w:t xml:space="preserve">DOI: </w:t>
      </w:r>
      <w:r w:rsidRPr="00F75C22">
        <w:rPr>
          <w:rFonts w:ascii="Book Antiqua" w:hAnsi="Book Antiqua"/>
          <w:iCs/>
          <w:color w:val="000000"/>
          <w:sz w:val="24"/>
        </w:rPr>
        <w:t>https://dx.doi.org/10.4251/wjgo.v11.i4.335</w:t>
      </w:r>
    </w:p>
    <w:p w:rsidR="00F15E0E" w:rsidRPr="00F75C22" w:rsidRDefault="00F15E0E" w:rsidP="000149DC">
      <w:pPr>
        <w:autoSpaceDE w:val="0"/>
        <w:autoSpaceDN w:val="0"/>
        <w:spacing w:line="360" w:lineRule="auto"/>
        <w:rPr>
          <w:rFonts w:ascii="Book Antiqua" w:hAnsi="Book Antiqua"/>
          <w:b/>
          <w:color w:val="000000"/>
          <w:kern w:val="0"/>
          <w:sz w:val="24"/>
        </w:rPr>
      </w:pPr>
    </w:p>
    <w:p w:rsidR="00E64A87" w:rsidRPr="00F75C22" w:rsidRDefault="00CC1ABF" w:rsidP="000149DC">
      <w:pPr>
        <w:autoSpaceDE w:val="0"/>
        <w:autoSpaceDN w:val="0"/>
        <w:spacing w:line="360" w:lineRule="auto"/>
        <w:rPr>
          <w:rFonts w:ascii="Book Antiqua" w:hAnsi="Book Antiqua"/>
          <w:b/>
          <w:caps/>
          <w:color w:val="000000"/>
          <w:sz w:val="24"/>
        </w:rPr>
      </w:pPr>
      <w:r w:rsidRPr="00F75C22">
        <w:rPr>
          <w:rFonts w:ascii="Book Antiqua" w:hAnsi="Book Antiqua"/>
          <w:color w:val="000000"/>
          <w:sz w:val="24"/>
        </w:rPr>
        <w:br w:type="page"/>
      </w:r>
      <w:r w:rsidR="00E64A87" w:rsidRPr="00F75C22">
        <w:rPr>
          <w:rFonts w:ascii="Book Antiqua" w:hAnsi="Book Antiqua"/>
          <w:b/>
          <w:caps/>
          <w:color w:val="000000"/>
          <w:sz w:val="24"/>
        </w:rPr>
        <w:lastRenderedPageBreak/>
        <w:t>Introduction</w:t>
      </w:r>
    </w:p>
    <w:p w:rsidR="00E64A87" w:rsidRPr="00F75C22" w:rsidRDefault="00E64A87" w:rsidP="000149DC">
      <w:pPr>
        <w:shd w:val="clear" w:color="auto" w:fill="FFFFFF"/>
        <w:spacing w:line="360" w:lineRule="auto"/>
        <w:rPr>
          <w:rFonts w:ascii="Book Antiqua" w:hAnsi="Book Antiqua"/>
          <w:color w:val="000000"/>
          <w:kern w:val="0"/>
          <w:sz w:val="24"/>
        </w:rPr>
      </w:pPr>
      <w:r w:rsidRPr="00F75C22">
        <w:rPr>
          <w:rFonts w:ascii="Book Antiqua" w:hAnsi="Book Antiqua"/>
          <w:color w:val="000000"/>
          <w:sz w:val="24"/>
        </w:rPr>
        <w:t>Colorectal adenocarcinoma (CRC) is one of the most common malignancies and remains one of the leading causes of cancer-related death in the world</w:t>
      </w:r>
      <w:r w:rsidR="00CC1ABF" w:rsidRPr="00F75C22">
        <w:rPr>
          <w:rFonts w:ascii="Book Antiqua" w:hAnsi="Book Antiqua"/>
          <w:color w:val="000000"/>
          <w:sz w:val="24"/>
          <w:vertAlign w:val="superscript"/>
        </w:rPr>
        <w:t>[1]</w:t>
      </w:r>
      <w:r w:rsidRPr="00F75C22">
        <w:rPr>
          <w:rFonts w:ascii="Book Antiqua" w:hAnsi="Book Antiqua"/>
          <w:color w:val="000000"/>
          <w:sz w:val="24"/>
        </w:rPr>
        <w:t>. The vast majority of colorectal cancers are adenocarcinomas. Until recently, the role of chemotherapy in treating CRC has been fairly limited, and as such there is a need to develop more effective therapeutic regimes for CRC.</w:t>
      </w:r>
    </w:p>
    <w:p w:rsidR="00B70699" w:rsidRPr="00F75C22" w:rsidRDefault="00E64A87" w:rsidP="000149DC">
      <w:pPr>
        <w:autoSpaceDE w:val="0"/>
        <w:autoSpaceDN w:val="0"/>
        <w:spacing w:line="360" w:lineRule="auto"/>
        <w:ind w:firstLineChars="100" w:firstLine="240"/>
        <w:rPr>
          <w:rFonts w:ascii="Book Antiqua" w:hAnsi="Book Antiqua"/>
          <w:color w:val="000000"/>
          <w:sz w:val="24"/>
        </w:rPr>
      </w:pPr>
      <w:r w:rsidRPr="00F75C22">
        <w:rPr>
          <w:rFonts w:ascii="Book Antiqua" w:hAnsi="Book Antiqua"/>
          <w:color w:val="000000"/>
          <w:sz w:val="24"/>
        </w:rPr>
        <w:t xml:space="preserve">Human epidermal growth factor receptor 2 (HER2) represents a promising therapeutic target. The </w:t>
      </w:r>
      <w:r w:rsidRPr="00F75C22">
        <w:rPr>
          <w:rFonts w:ascii="Book Antiqua" w:hAnsi="Book Antiqua"/>
          <w:i/>
          <w:color w:val="000000"/>
          <w:sz w:val="24"/>
        </w:rPr>
        <w:t>HER2</w:t>
      </w:r>
      <w:r w:rsidRPr="00F75C22">
        <w:rPr>
          <w:rFonts w:ascii="Book Antiqua" w:hAnsi="Book Antiqua"/>
          <w:color w:val="000000"/>
          <w:sz w:val="24"/>
        </w:rPr>
        <w:t xml:space="preserve"> gene is a proto-oncogene located on chromosome 17q21 encoding HER2 (ErbB-2), which is involved in cell proliferation and differentiation</w:t>
      </w:r>
      <w:r w:rsidR="00CC1ABF" w:rsidRPr="00F75C22">
        <w:rPr>
          <w:rFonts w:ascii="Book Antiqua" w:hAnsi="Book Antiqua"/>
          <w:color w:val="000000"/>
          <w:sz w:val="24"/>
          <w:vertAlign w:val="superscript"/>
        </w:rPr>
        <w:t>[2]</w:t>
      </w:r>
      <w:r w:rsidRPr="00F75C22">
        <w:rPr>
          <w:rFonts w:ascii="Book Antiqua" w:hAnsi="Book Antiqua"/>
          <w:color w:val="000000"/>
          <w:sz w:val="24"/>
        </w:rPr>
        <w:t>. The HER2 protein is a transmembrane receptor tyrosine kinase and a member of the family of the epidermal growth factor receptors</w:t>
      </w:r>
      <w:r w:rsidR="00CC1ABF" w:rsidRPr="00F75C22">
        <w:rPr>
          <w:rFonts w:ascii="Book Antiqua" w:hAnsi="Book Antiqua"/>
          <w:color w:val="000000"/>
          <w:sz w:val="24"/>
          <w:vertAlign w:val="superscript"/>
        </w:rPr>
        <w:t>[3]</w:t>
      </w:r>
      <w:r w:rsidRPr="00F75C22">
        <w:rPr>
          <w:rFonts w:ascii="Book Antiqua" w:hAnsi="Book Antiqua"/>
          <w:color w:val="000000"/>
          <w:sz w:val="24"/>
        </w:rPr>
        <w:t>. Oncogenic activation of HER2 commonly occurs through gene amplification, which results in protein overexpression on the cell membrane that is involved in signal transduction to regulate cell growth</w:t>
      </w:r>
      <w:r w:rsidR="00CC1ABF" w:rsidRPr="00F75C22">
        <w:rPr>
          <w:rFonts w:ascii="Book Antiqua" w:hAnsi="Book Antiqua"/>
          <w:color w:val="000000"/>
          <w:sz w:val="24"/>
          <w:vertAlign w:val="superscript"/>
        </w:rPr>
        <w:t>[4]</w:t>
      </w:r>
      <w:r w:rsidRPr="00F75C22">
        <w:rPr>
          <w:rFonts w:ascii="Book Antiqua" w:hAnsi="Book Antiqua"/>
          <w:color w:val="000000"/>
          <w:sz w:val="24"/>
        </w:rPr>
        <w:t xml:space="preserve">. </w:t>
      </w:r>
      <w:r w:rsidR="00B70699" w:rsidRPr="00F75C22">
        <w:rPr>
          <w:rFonts w:ascii="Book Antiqua" w:hAnsi="Book Antiqua"/>
          <w:color w:val="000000"/>
          <w:sz w:val="24"/>
        </w:rPr>
        <w:t>HER2 overexpression/amplification is linked to trastuzumab response in breast/gastric cancers.</w:t>
      </w:r>
      <w:r w:rsidRPr="00F75C22">
        <w:rPr>
          <w:rFonts w:ascii="Book Antiqua" w:hAnsi="Book Antiqua"/>
          <w:color w:val="000000"/>
          <w:sz w:val="24"/>
        </w:rPr>
        <w:t xml:space="preserve"> For breast cancer in particular, HER2 serves as both a prognostic factor and also a therapeutic target, with targeted therapy against HER2 using the monoclonal antibody Trastuzumab (Herceptin) having become the standard of care for patients whose breast carcinomas exhibit </w:t>
      </w:r>
      <w:r w:rsidRPr="00F75C22">
        <w:rPr>
          <w:rFonts w:ascii="Book Antiqua" w:hAnsi="Book Antiqua"/>
          <w:i/>
          <w:color w:val="000000"/>
          <w:sz w:val="24"/>
        </w:rPr>
        <w:t>HER2</w:t>
      </w:r>
      <w:r w:rsidRPr="00F75C22">
        <w:rPr>
          <w:rFonts w:ascii="Book Antiqua" w:hAnsi="Book Antiqua"/>
          <w:color w:val="000000"/>
          <w:sz w:val="24"/>
        </w:rPr>
        <w:t xml:space="preserve"> gene amplification</w:t>
      </w:r>
      <w:r w:rsidR="00CC1ABF" w:rsidRPr="00F75C22">
        <w:rPr>
          <w:rFonts w:ascii="Book Antiqua" w:hAnsi="Book Antiqua"/>
          <w:color w:val="000000"/>
          <w:sz w:val="24"/>
          <w:vertAlign w:val="superscript"/>
        </w:rPr>
        <w:t>[5-7]</w:t>
      </w:r>
      <w:r w:rsidRPr="00F75C22">
        <w:rPr>
          <w:rFonts w:ascii="Book Antiqua" w:hAnsi="Book Antiqua"/>
          <w:color w:val="000000"/>
          <w:sz w:val="24"/>
        </w:rPr>
        <w:t>.</w:t>
      </w:r>
      <w:r w:rsidR="00CC1ABF" w:rsidRPr="00F75C22">
        <w:rPr>
          <w:rFonts w:ascii="Book Antiqua" w:hAnsi="Book Antiqua"/>
          <w:color w:val="000000"/>
          <w:sz w:val="24"/>
        </w:rPr>
        <w:t xml:space="preserve"> </w:t>
      </w:r>
      <w:r w:rsidRPr="00F75C22">
        <w:rPr>
          <w:rFonts w:ascii="Book Antiqua" w:hAnsi="Book Antiqua"/>
          <w:color w:val="000000"/>
          <w:sz w:val="24"/>
        </w:rPr>
        <w:t>A recent randomized phase III trial (ToGA) also revealed that the addition of trastuzumab to</w:t>
      </w:r>
      <w:r w:rsidR="001070BA" w:rsidRPr="00F75C22">
        <w:rPr>
          <w:rFonts w:ascii="Book Antiqua" w:hAnsi="Book Antiqua"/>
          <w:color w:val="000000"/>
          <w:sz w:val="24"/>
        </w:rPr>
        <w:t xml:space="preserve"> chemotherapy improved response </w:t>
      </w:r>
      <w:r w:rsidRPr="00F75C22">
        <w:rPr>
          <w:rFonts w:ascii="Book Antiqua" w:hAnsi="Book Antiqua"/>
          <w:color w:val="000000"/>
          <w:sz w:val="24"/>
        </w:rPr>
        <w:t>rates, median progression-free survival, and overall survival in patients with advanced gastric or g</w:t>
      </w:r>
      <w:r w:rsidR="001070BA" w:rsidRPr="00F75C22">
        <w:rPr>
          <w:rFonts w:ascii="Book Antiqua" w:hAnsi="Book Antiqua"/>
          <w:color w:val="000000"/>
          <w:sz w:val="24"/>
        </w:rPr>
        <w:t xml:space="preserve">astroesophageal junction cancer </w:t>
      </w:r>
      <w:r w:rsidRPr="00F75C22">
        <w:rPr>
          <w:rFonts w:ascii="Book Antiqua" w:hAnsi="Book Antiqua"/>
          <w:color w:val="000000"/>
          <w:sz w:val="24"/>
        </w:rPr>
        <w:t>with HER2 overexpression</w:t>
      </w:r>
      <w:r w:rsidR="00CC1ABF" w:rsidRPr="00F75C22">
        <w:rPr>
          <w:rFonts w:ascii="Book Antiqua" w:hAnsi="Book Antiqua"/>
          <w:color w:val="000000"/>
          <w:sz w:val="24"/>
          <w:vertAlign w:val="superscript"/>
        </w:rPr>
        <w:t>[8]</w:t>
      </w:r>
      <w:r w:rsidRPr="00F75C22">
        <w:rPr>
          <w:rFonts w:ascii="Book Antiqua" w:hAnsi="Book Antiqua"/>
          <w:color w:val="000000"/>
          <w:sz w:val="24"/>
        </w:rPr>
        <w:t>.</w:t>
      </w:r>
      <w:r w:rsidR="00B70699" w:rsidRPr="00F75C22" w:rsidDel="00B70699">
        <w:rPr>
          <w:rFonts w:ascii="Book Antiqua" w:hAnsi="Book Antiqua"/>
          <w:color w:val="000000"/>
          <w:sz w:val="24"/>
        </w:rPr>
        <w:t xml:space="preserve"> </w:t>
      </w:r>
    </w:p>
    <w:p w:rsidR="00E64A87" w:rsidRPr="00F75C22" w:rsidRDefault="00E64A87" w:rsidP="000149DC">
      <w:pPr>
        <w:autoSpaceDE w:val="0"/>
        <w:autoSpaceDN w:val="0"/>
        <w:spacing w:line="360" w:lineRule="auto"/>
        <w:ind w:firstLineChars="100" w:firstLine="240"/>
        <w:rPr>
          <w:rFonts w:ascii="Book Antiqua" w:hAnsi="Book Antiqua"/>
          <w:color w:val="000000"/>
          <w:sz w:val="24"/>
        </w:rPr>
      </w:pPr>
      <w:r w:rsidRPr="00F75C22">
        <w:rPr>
          <w:rFonts w:ascii="Book Antiqua" w:hAnsi="Book Antiqua"/>
          <w:color w:val="000000"/>
          <w:sz w:val="24"/>
        </w:rPr>
        <w:t>Compared to breast and gastric cancers, the data regarding HER2 protein overexpression and gene amplification in CRCs are limited</w:t>
      </w:r>
      <w:r w:rsidR="00CC1ABF" w:rsidRPr="00F75C22">
        <w:rPr>
          <w:rFonts w:ascii="Book Antiqua" w:hAnsi="Book Antiqua"/>
          <w:color w:val="000000"/>
          <w:sz w:val="24"/>
          <w:vertAlign w:val="superscript"/>
        </w:rPr>
        <w:t>[9-</w:t>
      </w:r>
      <w:r w:rsidR="005D2C8E" w:rsidRPr="00F75C22">
        <w:rPr>
          <w:rFonts w:ascii="Book Antiqua" w:hAnsi="Book Antiqua"/>
          <w:color w:val="000000"/>
          <w:sz w:val="24"/>
          <w:vertAlign w:val="superscript"/>
        </w:rPr>
        <w:t>18</w:t>
      </w:r>
      <w:r w:rsidR="00CC1ABF" w:rsidRPr="00F75C22">
        <w:rPr>
          <w:rFonts w:ascii="Book Antiqua" w:hAnsi="Book Antiqua"/>
          <w:color w:val="000000"/>
          <w:sz w:val="24"/>
          <w:vertAlign w:val="superscript"/>
        </w:rPr>
        <w:t>]</w:t>
      </w:r>
      <w:r w:rsidRPr="00F75C22">
        <w:rPr>
          <w:rFonts w:ascii="Book Antiqua" w:hAnsi="Book Antiqua"/>
          <w:color w:val="000000"/>
          <w:sz w:val="24"/>
        </w:rPr>
        <w:t>. The numbers of cases in these previous studies were relatively small, and their analyses were primarily reliant upon tissue microarrays</w:t>
      </w:r>
      <w:r w:rsidR="00CC1ABF" w:rsidRPr="00F75C22">
        <w:rPr>
          <w:rFonts w:ascii="Book Antiqua" w:hAnsi="Book Antiqua"/>
          <w:color w:val="000000"/>
          <w:sz w:val="24"/>
          <w:vertAlign w:val="superscript"/>
        </w:rPr>
        <w:t>[9-</w:t>
      </w:r>
      <w:r w:rsidR="005D2C8E" w:rsidRPr="00F75C22">
        <w:rPr>
          <w:rFonts w:ascii="Book Antiqua" w:hAnsi="Book Antiqua"/>
          <w:color w:val="000000"/>
          <w:sz w:val="24"/>
          <w:vertAlign w:val="superscript"/>
        </w:rPr>
        <w:t>18</w:t>
      </w:r>
      <w:r w:rsidR="00CC1ABF" w:rsidRPr="00F75C22">
        <w:rPr>
          <w:rFonts w:ascii="Book Antiqua" w:hAnsi="Book Antiqua"/>
          <w:color w:val="000000"/>
          <w:sz w:val="24"/>
          <w:vertAlign w:val="superscript"/>
        </w:rPr>
        <w:t>]</w:t>
      </w:r>
      <w:r w:rsidRPr="00F75C22">
        <w:rPr>
          <w:rFonts w:ascii="Book Antiqua" w:hAnsi="Book Antiqua"/>
          <w:color w:val="000000"/>
          <w:sz w:val="24"/>
        </w:rPr>
        <w:t xml:space="preserve">. In addition, the reported rates of HER2 protein overexpression ranged widely from 3% to 47.4% across studies, indicating that the clinical significance of HER2 in CRC has not yet </w:t>
      </w:r>
      <w:r w:rsidRPr="00F75C22">
        <w:rPr>
          <w:rFonts w:ascii="Book Antiqua" w:hAnsi="Book Antiqua"/>
          <w:color w:val="000000"/>
          <w:sz w:val="24"/>
        </w:rPr>
        <w:lastRenderedPageBreak/>
        <w:t xml:space="preserve">been fully clarified. In this study, we assessed HER2 overexpression in 1195 CRC patients </w:t>
      </w:r>
      <w:r w:rsidRPr="00F75C22">
        <w:rPr>
          <w:rFonts w:ascii="Book Antiqua" w:hAnsi="Book Antiqua"/>
          <w:i/>
          <w:color w:val="000000"/>
          <w:sz w:val="24"/>
        </w:rPr>
        <w:t>via</w:t>
      </w:r>
      <w:r w:rsidRPr="00F75C22">
        <w:rPr>
          <w:rFonts w:ascii="Book Antiqua" w:hAnsi="Book Antiqua"/>
          <w:color w:val="000000"/>
          <w:sz w:val="24"/>
        </w:rPr>
        <w:t xml:space="preserve"> </w:t>
      </w:r>
      <w:r w:rsidR="00955669" w:rsidRPr="00F75C22">
        <w:rPr>
          <w:rFonts w:ascii="Book Antiqua" w:hAnsi="Book Antiqua"/>
          <w:color w:val="000000"/>
          <w:sz w:val="24"/>
        </w:rPr>
        <w:t>immunohistochemical staining (</w:t>
      </w:r>
      <w:r w:rsidRPr="00F75C22">
        <w:rPr>
          <w:rFonts w:ascii="Book Antiqua" w:hAnsi="Book Antiqua"/>
          <w:color w:val="000000"/>
          <w:sz w:val="24"/>
        </w:rPr>
        <w:t>IHC</w:t>
      </w:r>
      <w:r w:rsidR="005D4364" w:rsidRPr="00F75C22">
        <w:rPr>
          <w:rFonts w:ascii="Book Antiqua" w:hAnsi="Book Antiqua"/>
          <w:color w:val="000000"/>
          <w:sz w:val="24"/>
        </w:rPr>
        <w:t>)</w:t>
      </w:r>
      <w:r w:rsidR="00EA0018" w:rsidRPr="00F75C22">
        <w:rPr>
          <w:rFonts w:ascii="Book Antiqua" w:hAnsi="Book Antiqua"/>
          <w:color w:val="000000"/>
          <w:sz w:val="24"/>
        </w:rPr>
        <w:t xml:space="preserve"> </w:t>
      </w:r>
      <w:r w:rsidRPr="00F75C22">
        <w:rPr>
          <w:rFonts w:ascii="Book Antiqua" w:hAnsi="Book Antiqua"/>
          <w:color w:val="000000"/>
          <w:sz w:val="24"/>
        </w:rPr>
        <w:t xml:space="preserve">in 1195 patients and analyzed </w:t>
      </w:r>
      <w:r w:rsidRPr="00F75C22">
        <w:rPr>
          <w:rFonts w:ascii="Book Antiqua" w:hAnsi="Book Antiqua"/>
          <w:i/>
          <w:color w:val="000000"/>
          <w:sz w:val="24"/>
        </w:rPr>
        <w:t>HER2</w:t>
      </w:r>
      <w:r w:rsidRPr="00F75C22">
        <w:rPr>
          <w:rFonts w:ascii="Book Antiqua" w:hAnsi="Book Antiqua"/>
          <w:color w:val="000000"/>
          <w:sz w:val="24"/>
        </w:rPr>
        <w:t xml:space="preserve"> gene status </w:t>
      </w:r>
      <w:r w:rsidRPr="00F75C22">
        <w:rPr>
          <w:rFonts w:ascii="Book Antiqua" w:hAnsi="Book Antiqua"/>
          <w:i/>
          <w:color w:val="000000"/>
          <w:sz w:val="24"/>
        </w:rPr>
        <w:t>via</w:t>
      </w:r>
      <w:r w:rsidRPr="00F75C22">
        <w:rPr>
          <w:rFonts w:ascii="Book Antiqua" w:hAnsi="Book Antiqua"/>
          <w:color w:val="000000"/>
          <w:sz w:val="24"/>
        </w:rPr>
        <w:t xml:space="preserve"> </w:t>
      </w:r>
      <w:r w:rsidRPr="00F75C22">
        <w:rPr>
          <w:rFonts w:ascii="Book Antiqua" w:hAnsi="Book Antiqua"/>
          <w:color w:val="000000"/>
          <w:kern w:val="0"/>
          <w:sz w:val="24"/>
        </w:rPr>
        <w:t xml:space="preserve">fluorescence </w:t>
      </w:r>
      <w:r w:rsidRPr="00F75C22">
        <w:rPr>
          <w:rFonts w:ascii="Book Antiqua" w:hAnsi="Book Antiqua"/>
          <w:i/>
          <w:color w:val="000000"/>
          <w:kern w:val="0"/>
          <w:sz w:val="24"/>
        </w:rPr>
        <w:t>in situ</w:t>
      </w:r>
      <w:r w:rsidRPr="00F75C22">
        <w:rPr>
          <w:rFonts w:ascii="Book Antiqua" w:hAnsi="Book Antiqua"/>
          <w:color w:val="000000"/>
          <w:kern w:val="0"/>
          <w:sz w:val="24"/>
        </w:rPr>
        <w:t xml:space="preserve"> hybridization</w:t>
      </w:r>
      <w:r w:rsidRPr="00F75C22">
        <w:rPr>
          <w:rFonts w:ascii="Book Antiqua" w:hAnsi="Book Antiqua"/>
          <w:color w:val="000000"/>
          <w:sz w:val="24"/>
        </w:rPr>
        <w:t xml:space="preserve"> (FISH) in a subset of these patients (all tumors with IHC scores of 2+ and 3+, and some a score of 1+). We then correlated HER2 protein overexpression and </w:t>
      </w:r>
      <w:r w:rsidRPr="00F75C22">
        <w:rPr>
          <w:rFonts w:ascii="Book Antiqua" w:hAnsi="Book Antiqua"/>
          <w:i/>
          <w:color w:val="000000"/>
          <w:sz w:val="24"/>
        </w:rPr>
        <w:t>HER2</w:t>
      </w:r>
      <w:r w:rsidRPr="00F75C22">
        <w:rPr>
          <w:rFonts w:ascii="Book Antiqua" w:hAnsi="Book Antiqua"/>
          <w:color w:val="000000"/>
          <w:sz w:val="24"/>
        </w:rPr>
        <w:t xml:space="preserve"> gene status with clinicopathologic features and prognosis to gain insight into the importance of this marker in the context of CRC. </w:t>
      </w:r>
    </w:p>
    <w:p w:rsidR="00CC1ABF" w:rsidRPr="00F75C22" w:rsidRDefault="00CC1ABF" w:rsidP="000149DC">
      <w:pPr>
        <w:autoSpaceDE w:val="0"/>
        <w:autoSpaceDN w:val="0"/>
        <w:spacing w:line="360" w:lineRule="auto"/>
        <w:ind w:firstLine="420"/>
        <w:rPr>
          <w:rFonts w:ascii="Book Antiqua" w:hAnsi="Book Antiqua"/>
          <w:color w:val="000000"/>
          <w:sz w:val="24"/>
        </w:rPr>
      </w:pPr>
    </w:p>
    <w:p w:rsidR="00E64A87" w:rsidRPr="00F75C22" w:rsidRDefault="00E64A87" w:rsidP="000149DC">
      <w:pPr>
        <w:spacing w:line="360" w:lineRule="auto"/>
        <w:rPr>
          <w:rFonts w:ascii="Book Antiqua" w:hAnsi="Book Antiqua"/>
          <w:b/>
          <w:caps/>
          <w:color w:val="000000"/>
          <w:sz w:val="24"/>
        </w:rPr>
      </w:pPr>
      <w:r w:rsidRPr="00F75C22">
        <w:rPr>
          <w:rFonts w:ascii="Book Antiqua" w:hAnsi="Book Antiqua"/>
          <w:b/>
          <w:caps/>
          <w:color w:val="000000"/>
          <w:sz w:val="24"/>
        </w:rPr>
        <w:t xml:space="preserve">Materials and methods </w:t>
      </w: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Patients and tissue specimens</w:t>
      </w:r>
    </w:p>
    <w:p w:rsidR="00E64A87" w:rsidRPr="00F75C22" w:rsidRDefault="00E64A87" w:rsidP="000149DC">
      <w:pPr>
        <w:shd w:val="clear" w:color="auto" w:fill="FFFFFF"/>
        <w:spacing w:line="360" w:lineRule="auto"/>
        <w:rPr>
          <w:rFonts w:ascii="Book Antiqua" w:hAnsi="Book Antiqua"/>
          <w:color w:val="000000"/>
          <w:sz w:val="24"/>
        </w:rPr>
      </w:pPr>
      <w:r w:rsidRPr="00F75C22">
        <w:rPr>
          <w:rFonts w:ascii="Book Antiqua" w:hAnsi="Book Antiqua"/>
          <w:color w:val="000000"/>
          <w:sz w:val="24"/>
        </w:rPr>
        <w:t>This investigation was performed after approval was obtained from the Ethics Committee of Peki</w:t>
      </w:r>
      <w:r w:rsidR="0010011F" w:rsidRPr="00F75C22">
        <w:rPr>
          <w:rFonts w:ascii="Book Antiqua" w:hAnsi="Book Antiqua"/>
          <w:color w:val="000000"/>
          <w:sz w:val="24"/>
        </w:rPr>
        <w:t xml:space="preserve">ng University Cancer Hospital. </w:t>
      </w:r>
    </w:p>
    <w:p w:rsidR="00E64A87" w:rsidRPr="00F75C22" w:rsidRDefault="00E64A87" w:rsidP="000149DC">
      <w:pPr>
        <w:autoSpaceDE w:val="0"/>
        <w:autoSpaceDN w:val="0"/>
        <w:spacing w:line="360" w:lineRule="auto"/>
        <w:ind w:firstLineChars="100" w:firstLine="240"/>
        <w:rPr>
          <w:rFonts w:ascii="Book Antiqua" w:hAnsi="Book Antiqua"/>
          <w:color w:val="000000"/>
          <w:sz w:val="24"/>
        </w:rPr>
      </w:pPr>
      <w:r w:rsidRPr="00F75C22">
        <w:rPr>
          <w:rFonts w:ascii="Book Antiqua" w:hAnsi="Book Antiqua"/>
          <w:color w:val="000000"/>
          <w:sz w:val="24"/>
        </w:rPr>
        <w:t>A total of 1195 colorectal cancer (545 rectal cancer and 650 colon cancer) patients who underwent curative surgery between April 2009 and March 2012 in the Pek</w:t>
      </w:r>
      <w:r w:rsidR="0010011F" w:rsidRPr="00F75C22">
        <w:rPr>
          <w:rFonts w:ascii="Book Antiqua" w:hAnsi="Book Antiqua"/>
          <w:color w:val="000000"/>
          <w:sz w:val="24"/>
        </w:rPr>
        <w:t>ing University Cancer Hospital and</w:t>
      </w:r>
      <w:r w:rsidRPr="00F75C22">
        <w:rPr>
          <w:rFonts w:ascii="Book Antiqua" w:hAnsi="Book Antiqua"/>
          <w:color w:val="000000"/>
          <w:sz w:val="24"/>
        </w:rPr>
        <w:t xml:space="preserve"> Institute were included in this study. None of these patients had undergone preoperative radiation or chemotherapy. Clinicopathologic parameters including age, gender, tumor site, tumor type, tumor differentiation, localization and type of the tumor, tumor T stage, lymph node status, and distant metastasis were retrieved from clinical and pathological databases. Follow-up data was available for a total of 1058 CRC patients, and was retrieved from hospital records by interview, telephone, or mailed letters. Follow-up time started on the day of primary tumor surgical operation. The end point for the disease-associated overall survival (OS) analysis was the time of death of the patient or our last review. Disease free survival (DFS) was defined as the time from the date of operation to the date of diagnosis of metastatic disease </w:t>
      </w:r>
      <w:r w:rsidR="00CC1ABF" w:rsidRPr="00F75C22">
        <w:rPr>
          <w:rFonts w:ascii="Book Antiqua" w:hAnsi="Book Antiqua"/>
          <w:color w:val="000000"/>
          <w:sz w:val="24"/>
        </w:rPr>
        <w:t>or recurrence.</w:t>
      </w:r>
    </w:p>
    <w:p w:rsidR="00CC1ABF" w:rsidRPr="00F75C22" w:rsidRDefault="00CC1ABF" w:rsidP="000149DC">
      <w:pPr>
        <w:autoSpaceDE w:val="0"/>
        <w:autoSpaceDN w:val="0"/>
        <w:spacing w:line="360" w:lineRule="auto"/>
        <w:ind w:firstLine="420"/>
        <w:rPr>
          <w:rFonts w:ascii="Book Antiqua" w:hAnsi="Book Antiqua"/>
          <w:color w:val="000000"/>
          <w:sz w:val="24"/>
        </w:rPr>
      </w:pPr>
    </w:p>
    <w:p w:rsidR="00CC1ABF" w:rsidRPr="00F75C22" w:rsidRDefault="008755A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Immunohistochemical analysis</w:t>
      </w:r>
    </w:p>
    <w:p w:rsidR="00E64A87" w:rsidRPr="00F75C22" w:rsidRDefault="008755A7" w:rsidP="000149DC">
      <w:pPr>
        <w:spacing w:line="360" w:lineRule="auto"/>
        <w:rPr>
          <w:rFonts w:ascii="Book Antiqua" w:hAnsi="Book Antiqua"/>
          <w:b/>
          <w:i/>
          <w:color w:val="000000"/>
          <w:sz w:val="24"/>
        </w:rPr>
      </w:pPr>
      <w:r w:rsidRPr="00F75C22">
        <w:rPr>
          <w:rFonts w:ascii="Book Antiqua" w:hAnsi="Book Antiqua"/>
          <w:color w:val="000000"/>
          <w:kern w:val="0"/>
          <w:sz w:val="24"/>
        </w:rPr>
        <w:t>IHC</w:t>
      </w:r>
      <w:r w:rsidR="00E64A87" w:rsidRPr="00F75C22">
        <w:rPr>
          <w:rFonts w:ascii="Book Antiqua" w:hAnsi="Book Antiqua"/>
          <w:color w:val="000000"/>
          <w:kern w:val="0"/>
          <w:sz w:val="24"/>
        </w:rPr>
        <w:t xml:space="preserve"> was performed with the Ventana </w:t>
      </w:r>
      <w:r w:rsidR="008A38F4" w:rsidRPr="00F75C22">
        <w:rPr>
          <w:rFonts w:ascii="Book Antiqua" w:hAnsi="Book Antiqua"/>
          <w:color w:val="000000"/>
          <w:kern w:val="0"/>
          <w:sz w:val="24"/>
        </w:rPr>
        <w:t xml:space="preserve">pathway </w:t>
      </w:r>
      <w:r w:rsidR="00E64A87" w:rsidRPr="00F75C22">
        <w:rPr>
          <w:rFonts w:ascii="Book Antiqua" w:hAnsi="Book Antiqua"/>
          <w:color w:val="000000"/>
          <w:kern w:val="0"/>
          <w:sz w:val="24"/>
        </w:rPr>
        <w:t xml:space="preserve">rabbit monoclonal antibody to HER2 (clone 4B5; prediluted) on a Ventana Benchmark automated stainer </w:t>
      </w:r>
      <w:r w:rsidR="00E64A87" w:rsidRPr="00F75C22">
        <w:rPr>
          <w:rFonts w:ascii="Book Antiqua" w:hAnsi="Book Antiqua"/>
          <w:color w:val="000000"/>
          <w:kern w:val="0"/>
          <w:sz w:val="24"/>
        </w:rPr>
        <w:lastRenderedPageBreak/>
        <w:t xml:space="preserve">(Ventana, Tucson, Arizona) following the manufacturer’s protocol. Antigen retrieval was performed using Cell Conditioning 1 citrate buffer (pH 6.0; Ventana) for 30 </w:t>
      </w:r>
      <w:r w:rsidRPr="00F75C22">
        <w:rPr>
          <w:rFonts w:ascii="Book Antiqua" w:hAnsi="Book Antiqua"/>
          <w:color w:val="000000"/>
          <w:kern w:val="0"/>
          <w:sz w:val="24"/>
        </w:rPr>
        <w:t>min</w:t>
      </w:r>
      <w:r w:rsidR="00E64A87" w:rsidRPr="00F75C22">
        <w:rPr>
          <w:rFonts w:ascii="Book Antiqua" w:hAnsi="Book Antiqua"/>
          <w:color w:val="000000"/>
          <w:kern w:val="0"/>
          <w:sz w:val="24"/>
        </w:rPr>
        <w:t>. Immunostaining was scored by two pathologists using a 4-step scale (0, 1+, 2+, 3+) according to the consensus panel recommendations regarding HER2 scoring for gastric cancer</w:t>
      </w:r>
      <w:r w:rsidR="003A62A6" w:rsidRPr="00F75C22">
        <w:rPr>
          <w:rFonts w:ascii="Book Antiqua" w:hAnsi="Book Antiqua"/>
          <w:color w:val="000000"/>
          <w:kern w:val="0"/>
          <w:sz w:val="24"/>
          <w:vertAlign w:val="superscript"/>
        </w:rPr>
        <w:t>[</w:t>
      </w:r>
      <w:r w:rsidR="00D5040C" w:rsidRPr="00F75C22">
        <w:rPr>
          <w:rFonts w:ascii="Book Antiqua" w:hAnsi="Book Antiqua"/>
          <w:color w:val="000000"/>
          <w:kern w:val="0"/>
          <w:sz w:val="24"/>
          <w:vertAlign w:val="superscript"/>
        </w:rPr>
        <w:t>19</w:t>
      </w:r>
      <w:r w:rsidR="003A62A6" w:rsidRPr="00F75C22">
        <w:rPr>
          <w:rFonts w:ascii="Book Antiqua" w:hAnsi="Book Antiqua"/>
          <w:color w:val="000000"/>
          <w:kern w:val="0"/>
          <w:sz w:val="24"/>
          <w:vertAlign w:val="superscript"/>
        </w:rPr>
        <w:t>,</w:t>
      </w:r>
      <w:r w:rsidR="00D5040C" w:rsidRPr="00F75C22">
        <w:rPr>
          <w:rFonts w:ascii="Book Antiqua" w:hAnsi="Book Antiqua"/>
          <w:color w:val="000000"/>
          <w:kern w:val="0"/>
          <w:sz w:val="24"/>
          <w:vertAlign w:val="superscript"/>
        </w:rPr>
        <w:t>2</w:t>
      </w:r>
      <w:r w:rsidR="00136807" w:rsidRPr="00F75C22">
        <w:rPr>
          <w:rFonts w:ascii="Book Antiqua" w:hAnsi="Book Antiqua"/>
          <w:color w:val="000000"/>
          <w:kern w:val="0"/>
          <w:sz w:val="24"/>
          <w:vertAlign w:val="superscript"/>
        </w:rPr>
        <w:t>0</w:t>
      </w:r>
      <w:r w:rsidR="003A62A6" w:rsidRPr="00F75C22">
        <w:rPr>
          <w:rFonts w:ascii="Book Antiqua" w:hAnsi="Book Antiqua"/>
          <w:color w:val="000000"/>
          <w:kern w:val="0"/>
          <w:sz w:val="24"/>
          <w:vertAlign w:val="superscript"/>
        </w:rPr>
        <w:t>]</w:t>
      </w:r>
      <w:r w:rsidR="00E64A87" w:rsidRPr="00F75C22">
        <w:rPr>
          <w:rFonts w:ascii="Book Antiqua" w:hAnsi="Book Antiqua"/>
          <w:color w:val="000000"/>
          <w:kern w:val="0"/>
          <w:sz w:val="24"/>
        </w:rPr>
        <w:t>.</w:t>
      </w:r>
      <w:r w:rsidR="003A62A6" w:rsidRPr="00F75C22">
        <w:rPr>
          <w:rFonts w:ascii="Book Antiqua" w:hAnsi="Book Antiqua"/>
          <w:color w:val="000000"/>
          <w:kern w:val="0"/>
          <w:sz w:val="24"/>
        </w:rPr>
        <w:t xml:space="preserve"> </w:t>
      </w:r>
      <w:r w:rsidR="00E64A87" w:rsidRPr="00F75C22">
        <w:rPr>
          <w:rFonts w:ascii="Book Antiqua" w:hAnsi="Book Antiqua"/>
          <w:color w:val="000000"/>
          <w:kern w:val="0"/>
          <w:sz w:val="24"/>
        </w:rPr>
        <w:t>The IHC staining was scored: 0 (no staining or membranous staining in less than 10% of tumor cells), 1+ (faint/barely visible membranous staining in at least 10% of cells or staining in parts of their membrane), 2+ (weak to moderate complete or basolateral membranous staining in at least 10% of tumor cells), 3+ (strong complete or basolateral membraneous staining in</w:t>
      </w:r>
      <w:r w:rsidR="00D346C4" w:rsidRPr="00F75C22">
        <w:rPr>
          <w:rFonts w:ascii="Book Antiqua" w:hAnsi="Book Antiqua"/>
          <w:color w:val="000000"/>
          <w:kern w:val="0"/>
          <w:sz w:val="24"/>
        </w:rPr>
        <w:t xml:space="preserve"> at least 10% of tumor cells). </w:t>
      </w:r>
      <w:r w:rsidR="00E64A87" w:rsidRPr="00F75C22">
        <w:rPr>
          <w:rFonts w:ascii="Book Antiqua" w:hAnsi="Book Antiqua"/>
          <w:color w:val="000000"/>
          <w:kern w:val="0"/>
          <w:sz w:val="24"/>
        </w:rPr>
        <w:t>HER2 IHC scores of 2+ and 3+ were considered as being “HER2 positive”, while IHC scores of 0 and 1+ were considered as being “HER2 negative”.</w:t>
      </w:r>
      <w:r w:rsidR="009917BE" w:rsidRPr="00F75C22">
        <w:rPr>
          <w:rFonts w:ascii="Book Antiqua" w:hAnsi="Book Antiqua"/>
          <w:color w:val="000000"/>
          <w:kern w:val="0"/>
          <w:sz w:val="24"/>
        </w:rPr>
        <w:t xml:space="preserve"> </w:t>
      </w:r>
    </w:p>
    <w:p w:rsidR="00E64A87" w:rsidRPr="00F75C22" w:rsidRDefault="00E64A87" w:rsidP="000149DC">
      <w:pPr>
        <w:autoSpaceDE w:val="0"/>
        <w:autoSpaceDN w:val="0"/>
        <w:spacing w:line="360" w:lineRule="auto"/>
        <w:rPr>
          <w:rFonts w:ascii="Book Antiqua" w:hAnsi="Book Antiqua"/>
          <w:color w:val="000000"/>
          <w:kern w:val="0"/>
          <w:sz w:val="24"/>
        </w:rPr>
      </w:pPr>
    </w:p>
    <w:p w:rsidR="003632DE" w:rsidRPr="00F75C22" w:rsidRDefault="003632DE" w:rsidP="000149DC">
      <w:pPr>
        <w:spacing w:line="360" w:lineRule="auto"/>
        <w:rPr>
          <w:rFonts w:ascii="Book Antiqua" w:hAnsi="Book Antiqua"/>
          <w:b/>
          <w:i/>
          <w:color w:val="000000"/>
          <w:kern w:val="0"/>
          <w:sz w:val="24"/>
        </w:rPr>
      </w:pPr>
      <w:r w:rsidRPr="00F75C22">
        <w:rPr>
          <w:rFonts w:ascii="Book Antiqua" w:hAnsi="Book Antiqua"/>
          <w:b/>
          <w:i/>
          <w:color w:val="000000"/>
          <w:kern w:val="0"/>
          <w:sz w:val="24"/>
        </w:rPr>
        <w:t>FISH</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FISH was carried out using the PathVysion HER2 DNA probe kit and procedure (Vysis/Abbott, Abbott Park, Illinois). The kit contains 2 fluorescently labeled DNA probes, HER2 (labeled with Spectrum-Orange) and CEP17 (chromosome 17 enumeration probe labeled with Spectrum-Green). The total numbers of HER2 and CEP17 signals were counted in at least 20 tumor cell nuclei in 2 different areas. FISH staining was evaluated by two different investigators to ensure consistency. The criteria for positive gene amplification were: a HER2/CEP17 signal ratio of 2.0 or higher, or the presence of tight gene clusters as previously reported; otherwise samples were defined as being negative for gene amplification</w:t>
      </w:r>
      <w:r w:rsidR="00CC1ABF" w:rsidRPr="00F75C22">
        <w:rPr>
          <w:rFonts w:ascii="Book Antiqua" w:hAnsi="Book Antiqua"/>
          <w:color w:val="000000"/>
          <w:kern w:val="0"/>
          <w:sz w:val="24"/>
          <w:vertAlign w:val="superscript"/>
        </w:rPr>
        <w:t>[</w:t>
      </w:r>
      <w:r w:rsidR="004C1387" w:rsidRPr="00F75C22">
        <w:rPr>
          <w:rFonts w:ascii="Book Antiqua" w:hAnsi="Book Antiqua"/>
          <w:color w:val="000000"/>
          <w:kern w:val="0"/>
          <w:sz w:val="24"/>
          <w:vertAlign w:val="superscript"/>
        </w:rPr>
        <w:t>14</w:t>
      </w:r>
      <w:r w:rsidR="00CC1ABF" w:rsidRPr="00F75C22">
        <w:rPr>
          <w:rFonts w:ascii="Book Antiqua" w:hAnsi="Book Antiqua"/>
          <w:color w:val="000000"/>
          <w:kern w:val="0"/>
          <w:sz w:val="24"/>
          <w:vertAlign w:val="superscript"/>
        </w:rPr>
        <w:t>]</w:t>
      </w:r>
      <w:r w:rsidRPr="00F75C22">
        <w:rPr>
          <w:rFonts w:ascii="Book Antiqua" w:hAnsi="Book Antiqua"/>
          <w:color w:val="000000"/>
          <w:kern w:val="0"/>
          <w:sz w:val="24"/>
        </w:rPr>
        <w:t>.</w:t>
      </w:r>
    </w:p>
    <w:p w:rsidR="00E64A87" w:rsidRPr="00F75C22" w:rsidRDefault="00E64A87" w:rsidP="000149DC">
      <w:pPr>
        <w:autoSpaceDE w:val="0"/>
        <w:autoSpaceDN w:val="0"/>
        <w:spacing w:line="360" w:lineRule="auto"/>
        <w:ind w:firstLine="420"/>
        <w:rPr>
          <w:rFonts w:ascii="Book Antiqua" w:hAnsi="Book Antiqua"/>
          <w:color w:val="000000"/>
          <w:kern w:val="0"/>
          <w:sz w:val="24"/>
        </w:rPr>
      </w:pP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Statistical analysis</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 xml:space="preserve">All statistical analyses were performed using the SPSS software version 20.0 statistical package (SPSS Inc., Chicago, IL, USA). The correlation between HER2 status and patient clinicopathological characteristics was tested </w:t>
      </w:r>
      <w:r w:rsidRPr="00F75C22">
        <w:rPr>
          <w:rFonts w:ascii="Book Antiqua" w:hAnsi="Book Antiqua"/>
          <w:i/>
          <w:color w:val="000000"/>
          <w:kern w:val="0"/>
          <w:sz w:val="24"/>
        </w:rPr>
        <w:t>via</w:t>
      </w:r>
      <w:r w:rsidRPr="00F75C22">
        <w:rPr>
          <w:rFonts w:ascii="Book Antiqua" w:hAnsi="Book Antiqua"/>
          <w:color w:val="000000"/>
          <w:kern w:val="0"/>
          <w:sz w:val="24"/>
        </w:rPr>
        <w:t xml:space="preserve"> the </w:t>
      </w:r>
      <w:r w:rsidRPr="00F75C22">
        <w:rPr>
          <w:rFonts w:ascii="Book Antiqua" w:hAnsi="Book Antiqua"/>
          <w:i/>
          <w:color w:val="000000"/>
          <w:kern w:val="0"/>
          <w:sz w:val="24"/>
        </w:rPr>
        <w:t>χ</w:t>
      </w:r>
      <w:r w:rsidRPr="00F75C22">
        <w:rPr>
          <w:rFonts w:ascii="Book Antiqua" w:hAnsi="Book Antiqua"/>
          <w:color w:val="000000"/>
          <w:kern w:val="0"/>
          <w:sz w:val="24"/>
          <w:vertAlign w:val="superscript"/>
        </w:rPr>
        <w:t>2</w:t>
      </w:r>
      <w:r w:rsidRPr="00F75C22">
        <w:rPr>
          <w:rFonts w:ascii="Book Antiqua" w:hAnsi="Book Antiqua"/>
          <w:color w:val="000000"/>
          <w:kern w:val="0"/>
          <w:sz w:val="24"/>
        </w:rPr>
        <w:t xml:space="preserve"> test or Fisher’s exact test. Survival curves were fitted using the </w:t>
      </w:r>
      <w:r w:rsidRPr="00F75C22">
        <w:rPr>
          <w:rFonts w:ascii="Book Antiqua" w:hAnsi="Book Antiqua"/>
          <w:color w:val="000000"/>
          <w:kern w:val="0"/>
          <w:sz w:val="24"/>
        </w:rPr>
        <w:lastRenderedPageBreak/>
        <w:t xml:space="preserve">Kaplan-Meier method, and the differences in survival were assessed by the log rank test. The effects of different factors on patient survival were assessed </w:t>
      </w:r>
      <w:r w:rsidRPr="00F75C22">
        <w:rPr>
          <w:rFonts w:ascii="Book Antiqua" w:hAnsi="Book Antiqua"/>
          <w:i/>
          <w:color w:val="000000"/>
          <w:kern w:val="0"/>
          <w:sz w:val="24"/>
        </w:rPr>
        <w:t>via</w:t>
      </w:r>
      <w:r w:rsidRPr="00F75C22">
        <w:rPr>
          <w:rFonts w:ascii="Book Antiqua" w:hAnsi="Book Antiqua"/>
          <w:color w:val="000000"/>
          <w:kern w:val="0"/>
          <w:sz w:val="24"/>
        </w:rPr>
        <w:t xml:space="preserve"> multivariate analysis with the Cox proportional hazards regression model, and the </w:t>
      </w:r>
      <w:r w:rsidR="007966B2" w:rsidRPr="00F75C22">
        <w:rPr>
          <w:rFonts w:ascii="Book Antiqua" w:hAnsi="Book Antiqua"/>
          <w:color w:val="000000"/>
          <w:kern w:val="0"/>
          <w:sz w:val="24"/>
        </w:rPr>
        <w:t xml:space="preserve">hazard ratio and associated 95%CI </w:t>
      </w:r>
      <w:r w:rsidRPr="00F75C22">
        <w:rPr>
          <w:rFonts w:ascii="Book Antiqua" w:hAnsi="Book Antiqua"/>
          <w:color w:val="000000"/>
          <w:kern w:val="0"/>
          <w:sz w:val="24"/>
        </w:rPr>
        <w:t xml:space="preserve">were calculated for each factor. </w:t>
      </w:r>
      <w:r w:rsidRPr="00F75C22">
        <w:rPr>
          <w:rFonts w:ascii="Book Antiqua" w:hAnsi="Book Antiqua"/>
          <w:i/>
          <w:color w:val="000000"/>
          <w:kern w:val="0"/>
          <w:sz w:val="24"/>
        </w:rPr>
        <w:t>P</w:t>
      </w:r>
      <w:r w:rsidRPr="00F75C22">
        <w:rPr>
          <w:rFonts w:ascii="Book Antiqua" w:hAnsi="Book Antiqua"/>
          <w:color w:val="000000"/>
          <w:kern w:val="0"/>
          <w:sz w:val="24"/>
        </w:rPr>
        <w:t>-values &lt;</w:t>
      </w:r>
      <w:r w:rsidR="007966B2" w:rsidRPr="00F75C22">
        <w:rPr>
          <w:rFonts w:ascii="Book Antiqua" w:hAnsi="Book Antiqua"/>
          <w:color w:val="000000"/>
          <w:kern w:val="0"/>
          <w:sz w:val="24"/>
        </w:rPr>
        <w:t xml:space="preserve"> </w:t>
      </w:r>
      <w:r w:rsidRPr="00F75C22">
        <w:rPr>
          <w:rFonts w:ascii="Book Antiqua" w:hAnsi="Book Antiqua"/>
          <w:color w:val="000000"/>
          <w:kern w:val="0"/>
          <w:sz w:val="24"/>
        </w:rPr>
        <w:t>0.05 (two-sided) were considered as being statistically significant.</w:t>
      </w:r>
    </w:p>
    <w:p w:rsidR="00E64A87" w:rsidRPr="00F75C22" w:rsidRDefault="00E64A87" w:rsidP="000149DC">
      <w:pPr>
        <w:pStyle w:val="Default"/>
        <w:adjustRightInd/>
        <w:spacing w:line="360" w:lineRule="auto"/>
        <w:ind w:firstLine="340"/>
        <w:jc w:val="both"/>
        <w:rPr>
          <w:rFonts w:ascii="Book Antiqua" w:hAnsi="Book Antiqua"/>
        </w:rPr>
      </w:pPr>
    </w:p>
    <w:p w:rsidR="00E64A87" w:rsidRPr="00F75C22" w:rsidRDefault="00E64A87" w:rsidP="000149DC">
      <w:pPr>
        <w:pStyle w:val="a0"/>
        <w:spacing w:line="360" w:lineRule="auto"/>
        <w:ind w:firstLineChars="0" w:firstLine="0"/>
        <w:rPr>
          <w:rFonts w:ascii="Book Antiqua" w:hAnsi="Book Antiqua"/>
          <w:b/>
          <w:caps/>
          <w:color w:val="000000"/>
          <w:sz w:val="24"/>
        </w:rPr>
      </w:pPr>
      <w:r w:rsidRPr="00F75C22">
        <w:rPr>
          <w:rFonts w:ascii="Book Antiqua" w:hAnsi="Book Antiqua"/>
          <w:b/>
          <w:caps/>
          <w:color w:val="000000"/>
          <w:sz w:val="24"/>
        </w:rPr>
        <w:t xml:space="preserve">Results </w:t>
      </w: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Clinicopathological features of colorectal cancer patients</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 xml:space="preserve">Among these 1195 CRC patients, </w:t>
      </w:r>
      <w:r w:rsidR="00B04653" w:rsidRPr="00F75C22">
        <w:rPr>
          <w:rFonts w:ascii="Book Antiqua" w:hAnsi="Book Antiqua"/>
          <w:color w:val="000000"/>
          <w:kern w:val="0"/>
          <w:sz w:val="24"/>
        </w:rPr>
        <w:t>718</w:t>
      </w:r>
      <w:r w:rsidRPr="00F75C22">
        <w:rPr>
          <w:rFonts w:ascii="Book Antiqua" w:hAnsi="Book Antiqua"/>
          <w:color w:val="000000"/>
          <w:kern w:val="0"/>
          <w:sz w:val="24"/>
        </w:rPr>
        <w:t xml:space="preserve"> were males and </w:t>
      </w:r>
      <w:r w:rsidR="00B04653" w:rsidRPr="00F75C22">
        <w:rPr>
          <w:rFonts w:ascii="Book Antiqua" w:hAnsi="Book Antiqua"/>
          <w:color w:val="000000"/>
          <w:kern w:val="0"/>
          <w:sz w:val="24"/>
        </w:rPr>
        <w:t>477</w:t>
      </w:r>
      <w:r w:rsidRPr="00F75C22">
        <w:rPr>
          <w:rFonts w:ascii="Book Antiqua" w:hAnsi="Book Antiqua"/>
          <w:color w:val="000000"/>
          <w:kern w:val="0"/>
          <w:sz w:val="24"/>
        </w:rPr>
        <w:t xml:space="preserve"> were females. The patient ages ranged from 29 to 92 years (mean: 60.8 years). The tumors were staged as pT1 in 32 patients, pT2 in 175 patients, pT3 in 937 patients, and pT4 in 51 patients (Table 1). Lymph node metastasis was evident in 602 patients (N1 in 296 patients, N2 in 306 patients). Follow-up data was available for a total of 1058 CRC patients, including 640 males and 418 females. These patients ranged in age from 24 to 89 years (mean 61 years). 568 patients had colon cancer, while 490 had rectal cancer patients. The histopathological diagnosis was tubular adenocarcinoma in 971 (91.8%) patients and mucinous adenocarcinoma or other types in 87 (8.2%) patients. According to the TNM classification system, 198 (18.7%) of CRC patients had stage I and II tumors, while 860 (81.3%) of patients had stage III and IV disease. Clinicopathological data are summarized in </w:t>
      </w:r>
      <w:r w:rsidR="00CC1ABF" w:rsidRPr="00F75C22">
        <w:rPr>
          <w:rFonts w:ascii="Book Antiqua" w:hAnsi="Book Antiqua"/>
          <w:color w:val="000000"/>
          <w:kern w:val="0"/>
          <w:sz w:val="24"/>
        </w:rPr>
        <w:t>T</w:t>
      </w:r>
      <w:r w:rsidRPr="00F75C22">
        <w:rPr>
          <w:rFonts w:ascii="Book Antiqua" w:hAnsi="Book Antiqua"/>
          <w:color w:val="000000"/>
          <w:kern w:val="0"/>
          <w:sz w:val="24"/>
        </w:rPr>
        <w:t>able 1.</w:t>
      </w:r>
    </w:p>
    <w:p w:rsidR="00E64A87" w:rsidRPr="00F75C22" w:rsidRDefault="00E64A87" w:rsidP="000149DC">
      <w:pPr>
        <w:autoSpaceDE w:val="0"/>
        <w:autoSpaceDN w:val="0"/>
        <w:spacing w:line="360" w:lineRule="auto"/>
        <w:rPr>
          <w:rFonts w:ascii="Book Antiqua" w:hAnsi="Book Antiqua"/>
          <w:color w:val="000000"/>
          <w:kern w:val="0"/>
          <w:sz w:val="24"/>
        </w:rPr>
      </w:pP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HER2 protein overexpression by IHC analysis</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Among these 1195 CRC tumors, HER2 IHC scores of 3+, 2+, 1+ and 0 were observed in 31 (2.6%), 105 (8.8%), 475 (39.7%) and 584 (48.9%) tumors, respectively (Table 2, Figure 1). Among the tumors with IHC 3+ and 2+ scores, the mean percentage of tumor cells with positive staining was 90% (median 100%, range 40</w:t>
      </w:r>
      <w:r w:rsidR="003B3C81" w:rsidRPr="00F75C22">
        <w:rPr>
          <w:rFonts w:ascii="Book Antiqua" w:hAnsi="Book Antiqua"/>
          <w:color w:val="000000"/>
          <w:kern w:val="0"/>
          <w:sz w:val="24"/>
        </w:rPr>
        <w:t>%</w:t>
      </w:r>
      <w:r w:rsidRPr="00F75C22">
        <w:rPr>
          <w:rFonts w:ascii="Book Antiqua" w:hAnsi="Book Antiqua"/>
          <w:color w:val="000000"/>
          <w:kern w:val="0"/>
          <w:sz w:val="24"/>
        </w:rPr>
        <w:t>-100%) and 67% (median 75%, range 5</w:t>
      </w:r>
      <w:r w:rsidR="003B3C81" w:rsidRPr="00F75C22">
        <w:rPr>
          <w:rFonts w:ascii="Book Antiqua" w:hAnsi="Book Antiqua"/>
          <w:color w:val="000000"/>
          <w:kern w:val="0"/>
          <w:sz w:val="24"/>
        </w:rPr>
        <w:t>%</w:t>
      </w:r>
      <w:r w:rsidRPr="00F75C22">
        <w:rPr>
          <w:rFonts w:ascii="Book Antiqua" w:hAnsi="Book Antiqua"/>
          <w:color w:val="000000"/>
          <w:kern w:val="0"/>
          <w:sz w:val="24"/>
        </w:rPr>
        <w:t>-95%), respectively (</w:t>
      </w:r>
      <w:r w:rsidR="003B3C81" w:rsidRPr="00F75C22">
        <w:rPr>
          <w:rFonts w:ascii="Book Antiqua" w:hAnsi="Book Antiqua"/>
          <w:i/>
          <w:color w:val="000000"/>
          <w:kern w:val="0"/>
          <w:sz w:val="24"/>
        </w:rPr>
        <w:t>P</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&lt;</w:t>
      </w:r>
      <w:r w:rsidR="003B3C81" w:rsidRPr="00F75C22">
        <w:rPr>
          <w:rFonts w:ascii="Book Antiqua" w:hAnsi="Book Antiqua"/>
          <w:color w:val="000000"/>
          <w:kern w:val="0"/>
          <w:sz w:val="24"/>
        </w:rPr>
        <w:t xml:space="preserve"> </w:t>
      </w:r>
      <w:r w:rsidR="00156148" w:rsidRPr="00F75C22">
        <w:rPr>
          <w:rFonts w:ascii="Book Antiqua" w:hAnsi="Book Antiqua"/>
          <w:color w:val="000000"/>
          <w:kern w:val="0"/>
          <w:sz w:val="24"/>
        </w:rPr>
        <w:t>0.05).</w:t>
      </w:r>
    </w:p>
    <w:p w:rsidR="00E64A87" w:rsidRPr="00F75C22" w:rsidRDefault="00E64A87" w:rsidP="000149DC">
      <w:pPr>
        <w:spacing w:line="360" w:lineRule="auto"/>
        <w:rPr>
          <w:rFonts w:ascii="Book Antiqua" w:hAnsi="Book Antiqua"/>
          <w:color w:val="000000"/>
          <w:kern w:val="0"/>
          <w:sz w:val="24"/>
        </w:rPr>
      </w:pP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lastRenderedPageBreak/>
        <w:t xml:space="preserve">Correlation between HER2 protein overexpression and HER2 gene amplification </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 xml:space="preserve">All 31 tumors with positive 3+ HER2 staining were further evaluated by FISH to assay for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The FISH results in 29 tumors (29/31; unreadable in 2/31) were evaluable and 24 (24/29, 83%) showed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(Table 3, Figure 2).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seen in 12/102 (11.8%; unreadable in 2/104) tumors with HER2 IHC scores of 2+, and 0 (0/10) tumors with IHC scores of 1+ (Table 3, Figure 1). Among the 104 tumors with IHC scores of 2+, those with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had a higher number of tumor cells with positive IHC staining (</w:t>
      </w:r>
      <w:r w:rsidR="003B3C81" w:rsidRPr="00F75C22">
        <w:rPr>
          <w:rFonts w:ascii="Book Antiqua" w:hAnsi="Book Antiqua"/>
          <w:i/>
          <w:color w:val="000000"/>
          <w:kern w:val="0"/>
          <w:sz w:val="24"/>
        </w:rPr>
        <w:t>n</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12; mean 93%, median 95%, range 90</w:t>
      </w:r>
      <w:r w:rsidR="003B3C81" w:rsidRPr="00F75C22">
        <w:rPr>
          <w:rFonts w:ascii="Book Antiqua" w:hAnsi="Book Antiqua"/>
          <w:color w:val="000000"/>
          <w:kern w:val="0"/>
          <w:sz w:val="24"/>
        </w:rPr>
        <w:t>%</w:t>
      </w:r>
      <w:r w:rsidRPr="00F75C22">
        <w:rPr>
          <w:rFonts w:ascii="Book Antiqua" w:hAnsi="Book Antiqua"/>
          <w:color w:val="000000"/>
          <w:kern w:val="0"/>
          <w:sz w:val="24"/>
        </w:rPr>
        <w:t>-95%) than did those without (</w:t>
      </w:r>
      <w:r w:rsidR="003B3C81" w:rsidRPr="00F75C22">
        <w:rPr>
          <w:rFonts w:ascii="Book Antiqua" w:hAnsi="Book Antiqua"/>
          <w:i/>
          <w:color w:val="000000"/>
          <w:kern w:val="0"/>
          <w:sz w:val="24"/>
        </w:rPr>
        <w:t>n</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102; mean 70%, median 50%, range 5</w:t>
      </w:r>
      <w:r w:rsidR="003B3C81" w:rsidRPr="00F75C22">
        <w:rPr>
          <w:rFonts w:ascii="Book Antiqua" w:hAnsi="Book Antiqua"/>
          <w:color w:val="000000"/>
          <w:kern w:val="0"/>
          <w:sz w:val="24"/>
        </w:rPr>
        <w:t>%</w:t>
      </w:r>
      <w:r w:rsidRPr="00F75C22">
        <w:rPr>
          <w:rFonts w:ascii="Book Antiqua" w:hAnsi="Book Antiqua"/>
          <w:color w:val="000000"/>
          <w:kern w:val="0"/>
          <w:sz w:val="24"/>
        </w:rPr>
        <w:t>-95%) (</w:t>
      </w:r>
      <w:r w:rsidR="003B3C81" w:rsidRPr="00F75C22">
        <w:rPr>
          <w:rFonts w:ascii="Book Antiqua" w:hAnsi="Book Antiqua"/>
          <w:i/>
          <w:color w:val="000000"/>
          <w:kern w:val="0"/>
          <w:sz w:val="24"/>
        </w:rPr>
        <w:t>P</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&lt;</w:t>
      </w:r>
      <w:r w:rsidR="003B3C81" w:rsidRPr="00F75C22">
        <w:rPr>
          <w:rFonts w:ascii="Book Antiqua" w:hAnsi="Book Antiqua"/>
          <w:color w:val="000000"/>
          <w:kern w:val="0"/>
          <w:sz w:val="24"/>
        </w:rPr>
        <w:t xml:space="preserve"> </w:t>
      </w:r>
      <w:r w:rsidRPr="00F75C22">
        <w:rPr>
          <w:rFonts w:ascii="Book Antiqua" w:hAnsi="Book Antiqua"/>
          <w:color w:val="000000"/>
          <w:kern w:val="0"/>
          <w:sz w:val="24"/>
        </w:rPr>
        <w:t>0.05) (Figure</w:t>
      </w:r>
      <w:r w:rsidR="00090E58" w:rsidRPr="00F75C22">
        <w:rPr>
          <w:rFonts w:ascii="Book Antiqua" w:hAnsi="Book Antiqua"/>
          <w:color w:val="000000"/>
          <w:kern w:val="0"/>
          <w:sz w:val="24"/>
        </w:rPr>
        <w:t xml:space="preserve"> </w:t>
      </w:r>
      <w:r w:rsidRPr="00F75C22">
        <w:rPr>
          <w:rFonts w:ascii="Book Antiqua" w:hAnsi="Book Antiqua"/>
          <w:color w:val="000000"/>
          <w:kern w:val="0"/>
          <w:sz w:val="24"/>
        </w:rPr>
        <w:t xml:space="preserve">2). </w:t>
      </w:r>
    </w:p>
    <w:p w:rsidR="00E64A87" w:rsidRPr="00F75C22" w:rsidRDefault="00E64A87" w:rsidP="000149DC">
      <w:pPr>
        <w:spacing w:line="360" w:lineRule="auto"/>
        <w:rPr>
          <w:rFonts w:ascii="Book Antiqua" w:hAnsi="Book Antiqua"/>
          <w:color w:val="000000"/>
          <w:kern w:val="0"/>
          <w:sz w:val="24"/>
        </w:rPr>
      </w:pPr>
    </w:p>
    <w:p w:rsidR="00E64A87" w:rsidRPr="00F75C22" w:rsidRDefault="00E64A87" w:rsidP="000149DC">
      <w:pPr>
        <w:autoSpaceDE w:val="0"/>
        <w:autoSpaceDN w:val="0"/>
        <w:spacing w:line="360" w:lineRule="auto"/>
        <w:rPr>
          <w:rFonts w:ascii="Book Antiqua" w:hAnsi="Book Antiqua"/>
          <w:b/>
          <w:i/>
          <w:color w:val="000000"/>
          <w:kern w:val="0"/>
          <w:sz w:val="24"/>
        </w:rPr>
      </w:pPr>
      <w:r w:rsidRPr="00F75C22">
        <w:rPr>
          <w:rFonts w:ascii="Book Antiqua" w:hAnsi="Book Antiqua"/>
          <w:b/>
          <w:i/>
          <w:color w:val="000000"/>
          <w:kern w:val="0"/>
          <w:sz w:val="24"/>
        </w:rPr>
        <w:t>Correlation of HER2 gene status with clinicopathological features</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significantly associated with tumor depth of invasion, distant metastasis, and stage (</w:t>
      </w:r>
      <w:r w:rsidR="00941163" w:rsidRPr="00F75C22">
        <w:rPr>
          <w:rFonts w:ascii="Book Antiqua" w:hAnsi="Book Antiqua"/>
          <w:i/>
          <w:color w:val="000000"/>
          <w:kern w:val="0"/>
          <w:sz w:val="24"/>
        </w:rPr>
        <w:t>P</w:t>
      </w:r>
      <w:r w:rsidR="00941163" w:rsidRPr="00F75C22">
        <w:rPr>
          <w:rFonts w:ascii="Book Antiqua" w:hAnsi="Book Antiqua"/>
          <w:color w:val="000000"/>
          <w:kern w:val="0"/>
          <w:sz w:val="24"/>
        </w:rPr>
        <w:t xml:space="preserve"> </w:t>
      </w:r>
      <w:r w:rsidRPr="00F75C22">
        <w:rPr>
          <w:rFonts w:ascii="Book Antiqua" w:hAnsi="Book Antiqua"/>
          <w:color w:val="000000"/>
          <w:kern w:val="0"/>
          <w:sz w:val="24"/>
        </w:rPr>
        <w:t>=</w:t>
      </w:r>
      <w:r w:rsidR="00941163" w:rsidRPr="00F75C22">
        <w:rPr>
          <w:rFonts w:ascii="Book Antiqua" w:hAnsi="Book Antiqua"/>
          <w:color w:val="000000"/>
          <w:kern w:val="0"/>
          <w:sz w:val="24"/>
        </w:rPr>
        <w:t xml:space="preserve"> </w:t>
      </w:r>
      <w:r w:rsidRPr="00F75C22">
        <w:rPr>
          <w:rFonts w:ascii="Book Antiqua" w:hAnsi="Book Antiqua"/>
          <w:color w:val="000000"/>
          <w:kern w:val="0"/>
          <w:sz w:val="24"/>
        </w:rPr>
        <w:t xml:space="preserve">0.001, 0.028, and 0.012, respectively; Table 4), while there was no significant association between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status</w:t>
      </w:r>
      <w:r w:rsidRPr="00F75C22">
        <w:rPr>
          <w:rFonts w:ascii="Book Antiqua" w:hAnsi="Book Antiqua"/>
          <w:i/>
          <w:color w:val="000000"/>
          <w:kern w:val="0"/>
          <w:sz w:val="24"/>
        </w:rPr>
        <w:t xml:space="preserve"> </w:t>
      </w:r>
      <w:r w:rsidRPr="00F75C22">
        <w:rPr>
          <w:rFonts w:ascii="Book Antiqua" w:hAnsi="Book Antiqua"/>
          <w:color w:val="000000"/>
          <w:kern w:val="0"/>
          <w:sz w:val="24"/>
        </w:rPr>
        <w:t>and age, sex, tumor site, grade, histology, or lymph node metastasis (</w:t>
      </w:r>
      <w:r w:rsidR="00941163" w:rsidRPr="00F75C22">
        <w:rPr>
          <w:rFonts w:ascii="Book Antiqua" w:hAnsi="Book Antiqua"/>
          <w:i/>
          <w:color w:val="000000"/>
          <w:kern w:val="0"/>
          <w:sz w:val="24"/>
        </w:rPr>
        <w:t>P</w:t>
      </w:r>
      <w:r w:rsidR="00941163" w:rsidRPr="00F75C22">
        <w:rPr>
          <w:rFonts w:ascii="Book Antiqua" w:hAnsi="Book Antiqua"/>
          <w:color w:val="000000"/>
          <w:kern w:val="0"/>
          <w:sz w:val="24"/>
        </w:rPr>
        <w:t xml:space="preserve"> </w:t>
      </w:r>
      <w:r w:rsidRPr="00F75C22">
        <w:rPr>
          <w:rFonts w:ascii="Book Antiqua" w:hAnsi="Book Antiqua"/>
          <w:color w:val="000000"/>
          <w:kern w:val="0"/>
          <w:sz w:val="24"/>
        </w:rPr>
        <w:t>&gt;</w:t>
      </w:r>
      <w:r w:rsidR="00941163" w:rsidRPr="00F75C22">
        <w:rPr>
          <w:rFonts w:ascii="Book Antiqua" w:hAnsi="Book Antiqua"/>
          <w:color w:val="000000"/>
          <w:kern w:val="0"/>
          <w:sz w:val="24"/>
        </w:rPr>
        <w:t xml:space="preserve"> </w:t>
      </w:r>
      <w:r w:rsidRPr="00F75C22">
        <w:rPr>
          <w:rFonts w:ascii="Book Antiqua" w:hAnsi="Book Antiqua"/>
          <w:color w:val="000000"/>
          <w:kern w:val="0"/>
          <w:sz w:val="24"/>
        </w:rPr>
        <w:t>0.05 for all)</w:t>
      </w:r>
      <w:bookmarkStart w:id="6" w:name="OLE_LINK5"/>
      <w:bookmarkStart w:id="7" w:name="OLE_LINK6"/>
      <w:r w:rsidRPr="00F75C22">
        <w:rPr>
          <w:rFonts w:ascii="Book Antiqua" w:hAnsi="Book Antiqua"/>
          <w:color w:val="000000"/>
          <w:kern w:val="0"/>
          <w:sz w:val="24"/>
        </w:rPr>
        <w:t>.</w:t>
      </w:r>
      <w:bookmarkEnd w:id="6"/>
      <w:bookmarkEnd w:id="7"/>
      <w:r w:rsidR="00941163" w:rsidRPr="00F75C22">
        <w:rPr>
          <w:rFonts w:ascii="Book Antiqua" w:hAnsi="Book Antiqua"/>
          <w:color w:val="000000"/>
          <w:kern w:val="0"/>
          <w:sz w:val="24"/>
        </w:rPr>
        <w:t xml:space="preserve"> </w:t>
      </w:r>
      <w:r w:rsidR="00B41AD9" w:rsidRPr="00F75C22">
        <w:rPr>
          <w:rFonts w:ascii="Book Antiqua" w:hAnsi="Book Antiqua"/>
          <w:color w:val="000000"/>
          <w:kern w:val="0"/>
          <w:sz w:val="24"/>
        </w:rPr>
        <w:t xml:space="preserve">And we didn’t find any observably </w:t>
      </w:r>
      <w:r w:rsidR="00C449C4" w:rsidRPr="00F75C22">
        <w:rPr>
          <w:rFonts w:ascii="Book Antiqua" w:hAnsi="Book Antiqua"/>
          <w:color w:val="000000"/>
          <w:kern w:val="0"/>
          <w:sz w:val="24"/>
        </w:rPr>
        <w:t xml:space="preserve">differences between </w:t>
      </w:r>
      <w:r w:rsidR="00611976" w:rsidRPr="00F75C22">
        <w:rPr>
          <w:rFonts w:ascii="Book Antiqua" w:hAnsi="Book Antiqua"/>
          <w:color w:val="000000"/>
          <w:kern w:val="0"/>
          <w:sz w:val="24"/>
        </w:rPr>
        <w:t>right/left-sided tumors</w:t>
      </w:r>
      <w:r w:rsidR="00C449C4" w:rsidRPr="00F75C22">
        <w:rPr>
          <w:rFonts w:ascii="Book Antiqua" w:hAnsi="Book Antiqua"/>
          <w:color w:val="000000"/>
          <w:kern w:val="0"/>
          <w:sz w:val="24"/>
        </w:rPr>
        <w:t xml:space="preserve"> in this study</w:t>
      </w:r>
      <w:r w:rsidR="00B41AD9" w:rsidRPr="00F75C22">
        <w:rPr>
          <w:rFonts w:ascii="Book Antiqua" w:hAnsi="Book Antiqua"/>
          <w:color w:val="000000"/>
          <w:kern w:val="0"/>
          <w:sz w:val="24"/>
        </w:rPr>
        <w:t xml:space="preserve"> (</w:t>
      </w:r>
      <w:r w:rsidR="00941163" w:rsidRPr="00F75C22">
        <w:rPr>
          <w:rFonts w:ascii="Book Antiqua" w:hAnsi="Book Antiqua"/>
          <w:i/>
          <w:color w:val="000000"/>
          <w:kern w:val="0"/>
          <w:sz w:val="24"/>
        </w:rPr>
        <w:t>P</w:t>
      </w:r>
      <w:r w:rsidR="00941163" w:rsidRPr="00F75C22">
        <w:rPr>
          <w:rFonts w:ascii="Book Antiqua" w:hAnsi="Book Antiqua"/>
          <w:color w:val="000000"/>
          <w:kern w:val="0"/>
          <w:sz w:val="24"/>
        </w:rPr>
        <w:t xml:space="preserve"> </w:t>
      </w:r>
      <w:r w:rsidR="00B41AD9" w:rsidRPr="00F75C22">
        <w:rPr>
          <w:rFonts w:ascii="Book Antiqua" w:hAnsi="Book Antiqua"/>
          <w:color w:val="000000"/>
          <w:kern w:val="0"/>
          <w:sz w:val="24"/>
        </w:rPr>
        <w:t>=</w:t>
      </w:r>
      <w:r w:rsidR="00941163" w:rsidRPr="00F75C22">
        <w:rPr>
          <w:rFonts w:ascii="Book Antiqua" w:hAnsi="Book Antiqua"/>
          <w:color w:val="000000"/>
          <w:kern w:val="0"/>
          <w:sz w:val="24"/>
        </w:rPr>
        <w:t xml:space="preserve"> </w:t>
      </w:r>
      <w:r w:rsidR="00B41AD9" w:rsidRPr="00F75C22">
        <w:rPr>
          <w:rFonts w:ascii="Book Antiqua" w:hAnsi="Book Antiqua"/>
          <w:color w:val="000000"/>
          <w:kern w:val="0"/>
          <w:sz w:val="24"/>
        </w:rPr>
        <w:t>0.</w:t>
      </w:r>
      <w:r w:rsidR="00611976" w:rsidRPr="00F75C22">
        <w:rPr>
          <w:rFonts w:ascii="Book Antiqua" w:hAnsi="Book Antiqua"/>
          <w:color w:val="000000"/>
          <w:kern w:val="0"/>
          <w:sz w:val="24"/>
        </w:rPr>
        <w:t>514</w:t>
      </w:r>
      <w:r w:rsidR="00B41AD9" w:rsidRPr="00F75C22">
        <w:rPr>
          <w:rFonts w:ascii="Book Antiqua" w:hAnsi="Book Antiqua"/>
          <w:color w:val="000000"/>
          <w:kern w:val="0"/>
          <w:sz w:val="24"/>
        </w:rPr>
        <w:t>)</w:t>
      </w:r>
      <w:r w:rsidR="00C449C4" w:rsidRPr="00F75C22">
        <w:rPr>
          <w:rFonts w:ascii="Book Antiqua" w:hAnsi="Book Antiqua"/>
          <w:color w:val="000000"/>
          <w:kern w:val="0"/>
          <w:sz w:val="24"/>
        </w:rPr>
        <w:t>.</w:t>
      </w:r>
    </w:p>
    <w:p w:rsidR="00941163" w:rsidRPr="00F75C22" w:rsidRDefault="00941163" w:rsidP="000149DC">
      <w:pPr>
        <w:spacing w:line="360" w:lineRule="auto"/>
        <w:rPr>
          <w:rFonts w:ascii="Book Antiqua" w:hAnsi="Book Antiqua"/>
          <w:color w:val="000000"/>
          <w:kern w:val="0"/>
          <w:sz w:val="24"/>
        </w:rPr>
      </w:pPr>
    </w:p>
    <w:p w:rsidR="00E64A87" w:rsidRPr="00F75C22" w:rsidRDefault="00E64A87" w:rsidP="000149DC">
      <w:pPr>
        <w:spacing w:line="360" w:lineRule="auto"/>
        <w:rPr>
          <w:rFonts w:ascii="Book Antiqua" w:hAnsi="Book Antiqua"/>
          <w:b/>
          <w:i/>
          <w:color w:val="000000"/>
          <w:kern w:val="0"/>
          <w:sz w:val="24"/>
        </w:rPr>
      </w:pPr>
      <w:r w:rsidRPr="00F75C22">
        <w:rPr>
          <w:rFonts w:ascii="Book Antiqua" w:hAnsi="Book Antiqua"/>
          <w:b/>
          <w:i/>
          <w:color w:val="000000"/>
          <w:kern w:val="0"/>
          <w:sz w:val="24"/>
        </w:rPr>
        <w:t>Correlation of HER2 status with clinical prognosis</w:t>
      </w:r>
    </w:p>
    <w:p w:rsidR="00E64A87" w:rsidRPr="00F75C22" w:rsidRDefault="00E64A87" w:rsidP="000149DC">
      <w:pPr>
        <w:spacing w:line="360" w:lineRule="auto"/>
        <w:rPr>
          <w:rFonts w:ascii="Book Antiqua" w:hAnsi="Book Antiqua"/>
          <w:color w:val="000000"/>
          <w:kern w:val="0"/>
          <w:sz w:val="24"/>
        </w:rPr>
      </w:pPr>
      <w:r w:rsidRPr="00F75C22">
        <w:rPr>
          <w:rFonts w:ascii="Book Antiqua" w:hAnsi="Book Antiqua"/>
          <w:color w:val="000000"/>
          <w:kern w:val="0"/>
          <w:sz w:val="24"/>
        </w:rPr>
        <w:t xml:space="preserve">A total of 1058 CRC patients with available follow-up data were further assessed for overall survival. Median OS was 49.35 </w:t>
      </w:r>
      <w:r w:rsidR="00941163" w:rsidRPr="00F75C22">
        <w:rPr>
          <w:rFonts w:ascii="Book Antiqua" w:hAnsi="Book Antiqua"/>
          <w:color w:val="000000"/>
          <w:kern w:val="0"/>
          <w:sz w:val="24"/>
        </w:rPr>
        <w:t xml:space="preserve">mo </w:t>
      </w:r>
      <w:r w:rsidRPr="00F75C22">
        <w:rPr>
          <w:rFonts w:ascii="Book Antiqua" w:hAnsi="Book Antiqua"/>
          <w:color w:val="000000"/>
          <w:kern w:val="0"/>
          <w:sz w:val="24"/>
        </w:rPr>
        <w:t xml:space="preserve">(1.1 to 77.0 </w:t>
      </w:r>
      <w:r w:rsidR="00941163" w:rsidRPr="00F75C22">
        <w:rPr>
          <w:rFonts w:ascii="Book Antiqua" w:hAnsi="Book Antiqua"/>
          <w:color w:val="000000"/>
          <w:kern w:val="0"/>
          <w:sz w:val="24"/>
        </w:rPr>
        <w:t>mo</w:t>
      </w:r>
      <w:r w:rsidRPr="00F75C22">
        <w:rPr>
          <w:rFonts w:ascii="Book Antiqua" w:hAnsi="Book Antiqua"/>
          <w:color w:val="000000"/>
          <w:kern w:val="0"/>
          <w:sz w:val="24"/>
        </w:rPr>
        <w:t xml:space="preserve">) and median DFS was 48.80 </w:t>
      </w:r>
      <w:r w:rsidR="00941163" w:rsidRPr="00F75C22">
        <w:rPr>
          <w:rFonts w:ascii="Book Antiqua" w:hAnsi="Book Antiqua"/>
          <w:color w:val="000000"/>
          <w:kern w:val="0"/>
          <w:sz w:val="24"/>
        </w:rPr>
        <w:t>mo</w:t>
      </w:r>
      <w:r w:rsidRPr="00F75C22">
        <w:rPr>
          <w:rFonts w:ascii="Book Antiqua" w:hAnsi="Book Antiqua"/>
          <w:color w:val="000000"/>
          <w:kern w:val="0"/>
          <w:sz w:val="24"/>
        </w:rPr>
        <w:t xml:space="preserve"> (1.0 to 77.0 </w:t>
      </w:r>
      <w:r w:rsidR="00941163" w:rsidRPr="00F75C22">
        <w:rPr>
          <w:rFonts w:ascii="Book Antiqua" w:hAnsi="Book Antiqua"/>
          <w:color w:val="000000"/>
          <w:kern w:val="0"/>
          <w:sz w:val="24"/>
        </w:rPr>
        <w:t>mo</w:t>
      </w:r>
      <w:r w:rsidRPr="00F75C22">
        <w:rPr>
          <w:rFonts w:ascii="Book Antiqua" w:hAnsi="Book Antiqua"/>
          <w:color w:val="000000"/>
          <w:kern w:val="0"/>
          <w:sz w:val="24"/>
        </w:rPr>
        <w:t>) for the patients without evidence of metastasis before surgery (</w:t>
      </w:r>
      <w:r w:rsidR="00941163" w:rsidRPr="00F75C22">
        <w:rPr>
          <w:rFonts w:ascii="Book Antiqua" w:hAnsi="Book Antiqua"/>
          <w:i/>
          <w:color w:val="000000"/>
          <w:kern w:val="0"/>
          <w:sz w:val="24"/>
        </w:rPr>
        <w:t xml:space="preserve">n </w:t>
      </w:r>
      <w:r w:rsidRPr="00F75C22">
        <w:rPr>
          <w:rFonts w:ascii="Book Antiqua" w:hAnsi="Book Antiqua"/>
          <w:color w:val="000000"/>
          <w:kern w:val="0"/>
          <w:sz w:val="24"/>
        </w:rPr>
        <w:t>=</w:t>
      </w:r>
      <w:r w:rsidR="00941163" w:rsidRPr="00F75C22">
        <w:rPr>
          <w:rFonts w:ascii="Book Antiqua" w:hAnsi="Book Antiqua"/>
          <w:color w:val="000000"/>
          <w:kern w:val="0"/>
          <w:sz w:val="24"/>
        </w:rPr>
        <w:t xml:space="preserve"> </w:t>
      </w:r>
      <w:r w:rsidRPr="00F75C22">
        <w:rPr>
          <w:rFonts w:ascii="Book Antiqua" w:hAnsi="Book Antiqua"/>
          <w:color w:val="000000"/>
          <w:kern w:val="0"/>
          <w:sz w:val="24"/>
        </w:rPr>
        <w:t xml:space="preserve">941). </w:t>
      </w:r>
    </w:p>
    <w:p w:rsidR="00E64A87" w:rsidRPr="00F75C22" w:rsidRDefault="00E64A87" w:rsidP="000149DC">
      <w:pPr>
        <w:autoSpaceDE w:val="0"/>
        <w:autoSpaceDN w:val="0"/>
        <w:spacing w:line="360" w:lineRule="auto"/>
        <w:ind w:firstLine="420"/>
        <w:rPr>
          <w:rFonts w:ascii="Book Antiqua" w:hAnsi="Book Antiqua"/>
          <w:color w:val="000000"/>
          <w:kern w:val="0"/>
          <w:sz w:val="24"/>
        </w:rPr>
      </w:pPr>
      <w:r w:rsidRPr="00F75C22">
        <w:rPr>
          <w:rFonts w:ascii="Book Antiqua" w:hAnsi="Book Antiqua"/>
          <w:color w:val="000000"/>
          <w:kern w:val="0"/>
          <w:sz w:val="24"/>
        </w:rPr>
        <w:t xml:space="preserve">Neither HER2 protein overexpression nor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were associated with OS (</w:t>
      </w:r>
      <w:r w:rsidR="00A34384" w:rsidRPr="00F75C22">
        <w:rPr>
          <w:rFonts w:ascii="Book Antiqua" w:hAnsi="Book Antiqua"/>
          <w:i/>
          <w:color w:val="000000"/>
          <w:kern w:val="0"/>
          <w:sz w:val="24"/>
        </w:rPr>
        <w:t>P</w:t>
      </w:r>
      <w:r w:rsidR="00A34384" w:rsidRPr="00F75C22">
        <w:rPr>
          <w:rFonts w:ascii="Book Antiqua" w:hAnsi="Book Antiqua"/>
          <w:color w:val="000000"/>
          <w:kern w:val="0"/>
          <w:sz w:val="24"/>
        </w:rPr>
        <w:t xml:space="preserve"> </w:t>
      </w:r>
      <w:r w:rsidRPr="00F75C22">
        <w:rPr>
          <w:rFonts w:ascii="Book Antiqua" w:hAnsi="Book Antiqua"/>
          <w:color w:val="000000"/>
          <w:kern w:val="0"/>
          <w:sz w:val="24"/>
        </w:rPr>
        <w:t>=</w:t>
      </w:r>
      <w:r w:rsidR="00A34384" w:rsidRPr="00F75C22">
        <w:rPr>
          <w:rFonts w:ascii="Book Antiqua" w:hAnsi="Book Antiqua"/>
          <w:color w:val="000000"/>
          <w:kern w:val="0"/>
          <w:sz w:val="24"/>
        </w:rPr>
        <w:t xml:space="preserve"> </w:t>
      </w:r>
      <w:r w:rsidRPr="00F75C22">
        <w:rPr>
          <w:rFonts w:ascii="Book Antiqua" w:hAnsi="Book Antiqua"/>
          <w:color w:val="000000"/>
          <w:kern w:val="0"/>
          <w:sz w:val="24"/>
        </w:rPr>
        <w:t>0.220 and 0.458, respectively; Figure 3A). Tumor grade, histologic type, lymph node metastasis, and tumor stage were each significantly associated with OS (</w:t>
      </w:r>
      <w:r w:rsidR="00A34384" w:rsidRPr="00F75C22">
        <w:rPr>
          <w:rFonts w:ascii="Book Antiqua" w:hAnsi="Book Antiqua"/>
          <w:i/>
          <w:color w:val="000000"/>
          <w:kern w:val="0"/>
          <w:sz w:val="24"/>
        </w:rPr>
        <w:t>P</w:t>
      </w:r>
      <w:r w:rsidR="00A34384" w:rsidRPr="00F75C22">
        <w:rPr>
          <w:rFonts w:ascii="Book Antiqua" w:hAnsi="Book Antiqua"/>
          <w:color w:val="000000"/>
          <w:kern w:val="0"/>
          <w:sz w:val="24"/>
        </w:rPr>
        <w:t xml:space="preserve"> </w:t>
      </w:r>
      <w:r w:rsidRPr="00F75C22">
        <w:rPr>
          <w:rFonts w:ascii="Book Antiqua" w:hAnsi="Book Antiqua"/>
          <w:color w:val="000000"/>
          <w:kern w:val="0"/>
          <w:sz w:val="24"/>
        </w:rPr>
        <w:t xml:space="preserve">&lt; 0.05 for all; Table 5). Neither HER2 </w:t>
      </w:r>
      <w:r w:rsidRPr="00F75C22">
        <w:rPr>
          <w:rFonts w:ascii="Book Antiqua" w:hAnsi="Book Antiqua"/>
          <w:color w:val="000000"/>
          <w:kern w:val="0"/>
          <w:sz w:val="24"/>
        </w:rPr>
        <w:lastRenderedPageBreak/>
        <w:t xml:space="preserve">protein overexpression nor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status was associated with DFS (</w:t>
      </w:r>
      <w:r w:rsidR="00A34384" w:rsidRPr="00F75C22">
        <w:rPr>
          <w:rFonts w:ascii="Book Antiqua" w:hAnsi="Book Antiqua"/>
          <w:i/>
          <w:color w:val="000000"/>
          <w:kern w:val="0"/>
          <w:sz w:val="24"/>
        </w:rPr>
        <w:t>P</w:t>
      </w:r>
      <w:r w:rsidR="00A34384" w:rsidRPr="00F75C22">
        <w:rPr>
          <w:rFonts w:ascii="Book Antiqua" w:hAnsi="Book Antiqua"/>
          <w:color w:val="000000"/>
          <w:kern w:val="0"/>
          <w:sz w:val="24"/>
        </w:rPr>
        <w:t xml:space="preserve"> </w:t>
      </w:r>
      <w:r w:rsidRPr="00F75C22">
        <w:rPr>
          <w:rFonts w:ascii="Book Antiqua" w:hAnsi="Book Antiqua"/>
          <w:color w:val="000000"/>
          <w:kern w:val="0"/>
          <w:sz w:val="24"/>
        </w:rPr>
        <w:t xml:space="preserve">= 0.320 and 0.662, respectively). </w:t>
      </w:r>
    </w:p>
    <w:p w:rsidR="00E64A87" w:rsidRPr="00F75C22" w:rsidRDefault="00281876" w:rsidP="000149DC">
      <w:pPr>
        <w:autoSpaceDE w:val="0"/>
        <w:autoSpaceDN w:val="0"/>
        <w:spacing w:line="360" w:lineRule="auto"/>
        <w:ind w:firstLineChars="100" w:firstLine="240"/>
        <w:rPr>
          <w:rFonts w:ascii="Book Antiqua" w:hAnsi="Book Antiqua"/>
          <w:color w:val="000000"/>
          <w:kern w:val="0"/>
          <w:sz w:val="24"/>
        </w:rPr>
      </w:pPr>
      <w:r w:rsidRPr="00F75C22">
        <w:rPr>
          <w:rFonts w:ascii="Book Antiqua" w:hAnsi="Book Antiqua"/>
          <w:color w:val="000000"/>
          <w:kern w:val="0"/>
          <w:sz w:val="24"/>
        </w:rPr>
        <w:t>T</w:t>
      </w:r>
      <w:r w:rsidR="00E64A87" w:rsidRPr="00F75C22">
        <w:rPr>
          <w:rFonts w:ascii="Book Antiqua" w:hAnsi="Book Antiqua"/>
          <w:color w:val="000000"/>
          <w:kern w:val="0"/>
          <w:sz w:val="24"/>
        </w:rPr>
        <w:t xml:space="preserve">here was no association between </w:t>
      </w:r>
      <w:r w:rsidR="00E64A87" w:rsidRPr="00F75C22">
        <w:rPr>
          <w:rFonts w:ascii="Book Antiqua" w:hAnsi="Book Antiqua"/>
          <w:i/>
          <w:color w:val="000000"/>
          <w:kern w:val="0"/>
          <w:sz w:val="24"/>
        </w:rPr>
        <w:t>HER2</w:t>
      </w:r>
      <w:r w:rsidR="00E64A87" w:rsidRPr="00F75C22">
        <w:rPr>
          <w:rFonts w:ascii="Book Antiqua" w:hAnsi="Book Antiqua"/>
          <w:color w:val="000000"/>
          <w:kern w:val="0"/>
          <w:sz w:val="24"/>
        </w:rPr>
        <w:t xml:space="preserve"> gene amplification and OS or DFS among the 971 patients with tubular adenocarcinomas, this was not the case among the 797 patients who were 65 years old or younger. Among this group of patients, HER2 protein overexpression was associated with a shorter mean OS for those with tubular adenocarcinoma (47.1 </w:t>
      </w:r>
      <w:r w:rsidR="0053367A" w:rsidRPr="00F75C22">
        <w:rPr>
          <w:rFonts w:ascii="Book Antiqua" w:hAnsi="Book Antiqua"/>
          <w:color w:val="000000"/>
          <w:kern w:val="0"/>
          <w:sz w:val="24"/>
        </w:rPr>
        <w:t>mo</w:t>
      </w:r>
      <w:r w:rsidR="00E64A87" w:rsidRPr="00F75C22">
        <w:rPr>
          <w:rFonts w:ascii="Book Antiqua" w:hAnsi="Book Antiqua"/>
          <w:color w:val="000000"/>
          <w:kern w:val="0"/>
          <w:sz w:val="24"/>
        </w:rPr>
        <w:t xml:space="preserve"> for positive </w:t>
      </w:r>
      <w:r w:rsidR="00E64A87" w:rsidRPr="00F75C22">
        <w:rPr>
          <w:rFonts w:ascii="Book Antiqua" w:hAnsi="Book Antiqua"/>
          <w:i/>
          <w:color w:val="000000"/>
          <w:kern w:val="0"/>
          <w:sz w:val="24"/>
        </w:rPr>
        <w:t>vs</w:t>
      </w:r>
      <w:r w:rsidR="00E64A87" w:rsidRPr="00F75C22">
        <w:rPr>
          <w:rFonts w:ascii="Book Antiqua" w:hAnsi="Book Antiqua"/>
          <w:color w:val="000000"/>
          <w:kern w:val="0"/>
          <w:sz w:val="24"/>
        </w:rPr>
        <w:t xml:space="preserve"> 65.1 </w:t>
      </w:r>
      <w:r w:rsidR="0053367A" w:rsidRPr="00F75C22">
        <w:rPr>
          <w:rFonts w:ascii="Book Antiqua" w:hAnsi="Book Antiqua"/>
          <w:color w:val="000000"/>
          <w:kern w:val="0"/>
          <w:sz w:val="24"/>
        </w:rPr>
        <w:t>mo</w:t>
      </w:r>
      <w:r w:rsidR="00E64A87" w:rsidRPr="00F75C22">
        <w:rPr>
          <w:rFonts w:ascii="Book Antiqua" w:hAnsi="Book Antiqua"/>
          <w:color w:val="000000"/>
          <w:kern w:val="0"/>
          <w:sz w:val="24"/>
        </w:rPr>
        <w:t xml:space="preserve"> for negative, </w:t>
      </w:r>
      <w:r w:rsidR="0053367A" w:rsidRPr="00F75C22">
        <w:rPr>
          <w:rFonts w:ascii="Book Antiqua" w:hAnsi="Book Antiqua"/>
          <w:i/>
          <w:color w:val="000000"/>
          <w:kern w:val="0"/>
          <w:sz w:val="24"/>
        </w:rPr>
        <w:t xml:space="preserve">P </w:t>
      </w:r>
      <w:r w:rsidR="00E64A87" w:rsidRPr="00F75C22">
        <w:rPr>
          <w:rFonts w:ascii="Book Antiqua" w:hAnsi="Book Antiqua"/>
          <w:color w:val="000000"/>
          <w:kern w:val="0"/>
          <w:sz w:val="24"/>
        </w:rPr>
        <w:t>=</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 xml:space="preserve">0.025, </w:t>
      </w:r>
      <w:r w:rsidR="0053367A" w:rsidRPr="00F75C22">
        <w:rPr>
          <w:rFonts w:ascii="Book Antiqua" w:hAnsi="Book Antiqua"/>
          <w:i/>
          <w:color w:val="000000"/>
          <w:kern w:val="0"/>
          <w:sz w:val="24"/>
        </w:rPr>
        <w:t>n</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601; Figure 2B). In a particular subpopulation of patients, those with moderately to poorly differentiated tubular adenocarcinomas (</w:t>
      </w:r>
      <w:r w:rsidR="0053367A" w:rsidRPr="00F75C22">
        <w:rPr>
          <w:rFonts w:ascii="Book Antiqua" w:hAnsi="Book Antiqua"/>
          <w:i/>
          <w:color w:val="000000"/>
          <w:kern w:val="0"/>
          <w:sz w:val="24"/>
        </w:rPr>
        <w:t>n</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 xml:space="preserve">573), the mean OS in those patients whose tumors did not exhibit </w:t>
      </w:r>
      <w:r w:rsidR="00E64A87" w:rsidRPr="00F75C22">
        <w:rPr>
          <w:rFonts w:ascii="Book Antiqua" w:hAnsi="Book Antiqua"/>
          <w:i/>
          <w:color w:val="000000"/>
          <w:kern w:val="0"/>
          <w:sz w:val="24"/>
        </w:rPr>
        <w:t>HER2</w:t>
      </w:r>
      <w:r w:rsidR="00E64A87" w:rsidRPr="00F75C22">
        <w:rPr>
          <w:rFonts w:ascii="Book Antiqua" w:hAnsi="Book Antiqua"/>
          <w:color w:val="000000"/>
          <w:kern w:val="0"/>
          <w:sz w:val="24"/>
        </w:rPr>
        <w:t xml:space="preserve"> gene amplification was significantly longer than those with evidence of </w:t>
      </w:r>
      <w:r w:rsidR="00E64A87" w:rsidRPr="00F75C22">
        <w:rPr>
          <w:rFonts w:ascii="Book Antiqua" w:hAnsi="Book Antiqua"/>
          <w:i/>
          <w:color w:val="000000"/>
          <w:kern w:val="0"/>
          <w:sz w:val="24"/>
        </w:rPr>
        <w:t>HER2</w:t>
      </w:r>
      <w:r w:rsidR="00E64A87" w:rsidRPr="00F75C22">
        <w:rPr>
          <w:rFonts w:ascii="Book Antiqua" w:hAnsi="Book Antiqua"/>
          <w:color w:val="000000"/>
          <w:kern w:val="0"/>
          <w:sz w:val="24"/>
        </w:rPr>
        <w:t xml:space="preserve"> gene amplification (</w:t>
      </w:r>
      <w:r w:rsidR="0053367A" w:rsidRPr="00F75C22">
        <w:rPr>
          <w:rFonts w:ascii="Book Antiqua" w:hAnsi="Book Antiqua"/>
          <w:color w:val="000000"/>
          <w:kern w:val="0"/>
          <w:sz w:val="24"/>
        </w:rPr>
        <w:t>mean</w:t>
      </w:r>
      <w:r w:rsidR="00E64A87" w:rsidRPr="00F75C22">
        <w:rPr>
          <w:rFonts w:ascii="Book Antiqua" w:hAnsi="Book Antiqua"/>
          <w:color w:val="000000"/>
          <w:kern w:val="0"/>
          <w:sz w:val="24"/>
        </w:rPr>
        <w:t xml:space="preserve">: 64.8 </w:t>
      </w:r>
      <w:r w:rsidR="0053367A" w:rsidRPr="00F75C22">
        <w:rPr>
          <w:rFonts w:ascii="Book Antiqua" w:hAnsi="Book Antiqua"/>
          <w:color w:val="000000"/>
          <w:kern w:val="0"/>
          <w:sz w:val="24"/>
        </w:rPr>
        <w:t xml:space="preserve">mo </w:t>
      </w:r>
      <w:r w:rsidR="00E64A87" w:rsidRPr="00F75C22">
        <w:rPr>
          <w:rFonts w:ascii="Book Antiqua" w:hAnsi="Book Antiqua"/>
          <w:i/>
          <w:color w:val="000000"/>
          <w:kern w:val="0"/>
          <w:sz w:val="24"/>
        </w:rPr>
        <w:t>vs</w:t>
      </w:r>
      <w:r w:rsidR="00E64A87" w:rsidRPr="00F75C22">
        <w:rPr>
          <w:rFonts w:ascii="Book Antiqua" w:hAnsi="Book Antiqua"/>
          <w:color w:val="000000"/>
          <w:kern w:val="0"/>
          <w:sz w:val="24"/>
        </w:rPr>
        <w:t xml:space="preserve"> 46.4 </w:t>
      </w:r>
      <w:r w:rsidR="0053367A" w:rsidRPr="00F75C22">
        <w:rPr>
          <w:rFonts w:ascii="Book Antiqua" w:hAnsi="Book Antiqua"/>
          <w:color w:val="000000"/>
          <w:kern w:val="0"/>
          <w:sz w:val="24"/>
        </w:rPr>
        <w:t>mo</w:t>
      </w:r>
      <w:r w:rsidR="00E64A87" w:rsidRPr="00F75C22">
        <w:rPr>
          <w:rFonts w:ascii="Book Antiqua" w:hAnsi="Book Antiqua"/>
          <w:color w:val="000000"/>
          <w:kern w:val="0"/>
          <w:sz w:val="24"/>
        </w:rPr>
        <w:t xml:space="preserve">, </w:t>
      </w:r>
      <w:r w:rsidR="0053367A" w:rsidRPr="00F75C22">
        <w:rPr>
          <w:rFonts w:ascii="Book Antiqua" w:hAnsi="Book Antiqua"/>
          <w:i/>
          <w:color w:val="000000"/>
          <w:kern w:val="0"/>
          <w:sz w:val="24"/>
        </w:rPr>
        <w:t>P</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 0.020; Figure 2C). Moreover, among the subgroup of patients with stage T2 to T4 tubular adenocarcinomas (</w:t>
      </w:r>
      <w:r w:rsidR="0053367A" w:rsidRPr="00F75C22">
        <w:rPr>
          <w:rFonts w:ascii="Book Antiqua" w:hAnsi="Book Antiqua"/>
          <w:i/>
          <w:color w:val="000000"/>
          <w:kern w:val="0"/>
          <w:sz w:val="24"/>
        </w:rPr>
        <w:t>n</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w:t>
      </w:r>
      <w:r w:rsidR="0053367A" w:rsidRPr="00F75C22">
        <w:rPr>
          <w:rFonts w:ascii="Book Antiqua" w:hAnsi="Book Antiqua"/>
          <w:color w:val="000000"/>
          <w:kern w:val="0"/>
          <w:sz w:val="24"/>
        </w:rPr>
        <w:t xml:space="preserve"> 580), those</w:t>
      </w:r>
      <w:r w:rsidR="00E64A87" w:rsidRPr="00F75C22">
        <w:rPr>
          <w:rFonts w:ascii="Book Antiqua" w:hAnsi="Book Antiqua"/>
          <w:color w:val="000000"/>
          <w:kern w:val="0"/>
          <w:sz w:val="24"/>
        </w:rPr>
        <w:t xml:space="preserve"> tumors had </w:t>
      </w:r>
      <w:r w:rsidR="00E64A87" w:rsidRPr="00F75C22">
        <w:rPr>
          <w:rFonts w:ascii="Book Antiqua" w:hAnsi="Book Antiqua"/>
          <w:i/>
          <w:color w:val="000000"/>
          <w:kern w:val="0"/>
          <w:sz w:val="24"/>
        </w:rPr>
        <w:t>HER2</w:t>
      </w:r>
      <w:r w:rsidR="00E64A87" w:rsidRPr="00F75C22">
        <w:rPr>
          <w:rFonts w:ascii="Book Antiqua" w:hAnsi="Book Antiqua"/>
          <w:color w:val="000000"/>
          <w:kern w:val="0"/>
          <w:sz w:val="24"/>
        </w:rPr>
        <w:t xml:space="preserve"> gene amplification had a shorter OS compared to those without </w:t>
      </w:r>
      <w:r w:rsidR="00E64A87" w:rsidRPr="00F75C22">
        <w:rPr>
          <w:rFonts w:ascii="Book Antiqua" w:hAnsi="Book Antiqua"/>
          <w:i/>
          <w:color w:val="000000"/>
          <w:kern w:val="0"/>
          <w:sz w:val="24"/>
        </w:rPr>
        <w:t>HER2</w:t>
      </w:r>
      <w:r w:rsidR="00E64A87" w:rsidRPr="00F75C22">
        <w:rPr>
          <w:rFonts w:ascii="Book Antiqua" w:hAnsi="Book Antiqua"/>
          <w:color w:val="000000"/>
          <w:kern w:val="0"/>
          <w:sz w:val="24"/>
        </w:rPr>
        <w:t xml:space="preserve"> gene amplification (</w:t>
      </w:r>
      <w:r w:rsidR="0053367A" w:rsidRPr="00F75C22">
        <w:rPr>
          <w:rFonts w:ascii="Book Antiqua" w:hAnsi="Book Antiqua"/>
          <w:color w:val="000000"/>
          <w:kern w:val="0"/>
          <w:sz w:val="24"/>
        </w:rPr>
        <w:t>mean</w:t>
      </w:r>
      <w:r w:rsidR="00E64A87" w:rsidRPr="00F75C22">
        <w:rPr>
          <w:rFonts w:ascii="Book Antiqua" w:hAnsi="Book Antiqua"/>
          <w:color w:val="000000"/>
          <w:kern w:val="0"/>
          <w:sz w:val="24"/>
        </w:rPr>
        <w:t xml:space="preserve">: 47.1 </w:t>
      </w:r>
      <w:r w:rsidR="0053367A" w:rsidRPr="00F75C22">
        <w:rPr>
          <w:rFonts w:ascii="Book Antiqua" w:hAnsi="Book Antiqua"/>
          <w:color w:val="000000"/>
          <w:kern w:val="0"/>
          <w:sz w:val="24"/>
        </w:rPr>
        <w:t xml:space="preserve">mo </w:t>
      </w:r>
      <w:r w:rsidR="00E64A87" w:rsidRPr="00F75C22">
        <w:rPr>
          <w:rFonts w:ascii="Book Antiqua" w:hAnsi="Book Antiqua"/>
          <w:i/>
          <w:color w:val="000000"/>
          <w:kern w:val="0"/>
          <w:sz w:val="24"/>
        </w:rPr>
        <w:t>vs</w:t>
      </w:r>
      <w:r w:rsidR="00E64A87" w:rsidRPr="00F75C22">
        <w:rPr>
          <w:rFonts w:ascii="Book Antiqua" w:hAnsi="Book Antiqua"/>
          <w:color w:val="000000"/>
          <w:kern w:val="0"/>
          <w:sz w:val="24"/>
        </w:rPr>
        <w:t xml:space="preserve"> 64.8 </w:t>
      </w:r>
      <w:r w:rsidR="0053367A" w:rsidRPr="00F75C22">
        <w:rPr>
          <w:rFonts w:ascii="Book Antiqua" w:hAnsi="Book Antiqua"/>
          <w:color w:val="000000"/>
          <w:kern w:val="0"/>
          <w:sz w:val="24"/>
        </w:rPr>
        <w:t>mo</w:t>
      </w:r>
      <w:r w:rsidR="00E64A87" w:rsidRPr="00F75C22">
        <w:rPr>
          <w:rFonts w:ascii="Book Antiqua" w:hAnsi="Book Antiqua"/>
          <w:color w:val="000000"/>
          <w:kern w:val="0"/>
          <w:sz w:val="24"/>
        </w:rPr>
        <w:t xml:space="preserve">, </w:t>
      </w:r>
      <w:r w:rsidR="0053367A" w:rsidRPr="00F75C22">
        <w:rPr>
          <w:rFonts w:ascii="Book Antiqua" w:hAnsi="Book Antiqua"/>
          <w:i/>
          <w:color w:val="000000"/>
          <w:kern w:val="0"/>
          <w:sz w:val="24"/>
        </w:rPr>
        <w:t>P</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w:t>
      </w:r>
      <w:r w:rsidR="0053367A" w:rsidRPr="00F75C22">
        <w:rPr>
          <w:rFonts w:ascii="Book Antiqua" w:hAnsi="Book Antiqua"/>
          <w:color w:val="000000"/>
          <w:kern w:val="0"/>
          <w:sz w:val="24"/>
        </w:rPr>
        <w:t xml:space="preserve"> </w:t>
      </w:r>
      <w:r w:rsidR="00E64A87" w:rsidRPr="00F75C22">
        <w:rPr>
          <w:rFonts w:ascii="Book Antiqua" w:hAnsi="Book Antiqua"/>
          <w:color w:val="000000"/>
          <w:kern w:val="0"/>
          <w:sz w:val="24"/>
        </w:rPr>
        <w:t xml:space="preserve">0.031; Figure 2D). </w:t>
      </w:r>
    </w:p>
    <w:p w:rsidR="00E64A87" w:rsidRPr="00F75C22" w:rsidRDefault="00E64A87" w:rsidP="000149DC">
      <w:pPr>
        <w:widowControl/>
        <w:spacing w:line="360" w:lineRule="auto"/>
        <w:rPr>
          <w:rFonts w:ascii="Book Antiqua" w:hAnsi="Book Antiqua"/>
          <w:color w:val="000000"/>
          <w:sz w:val="24"/>
        </w:rPr>
      </w:pPr>
    </w:p>
    <w:p w:rsidR="00E64A87" w:rsidRPr="00F75C22" w:rsidRDefault="00E64A87" w:rsidP="000149DC">
      <w:pPr>
        <w:spacing w:line="360" w:lineRule="auto"/>
        <w:rPr>
          <w:rFonts w:ascii="Book Antiqua" w:hAnsi="Book Antiqua"/>
          <w:b/>
          <w:caps/>
          <w:color w:val="000000"/>
          <w:sz w:val="24"/>
        </w:rPr>
      </w:pPr>
      <w:r w:rsidRPr="00F75C22">
        <w:rPr>
          <w:rFonts w:ascii="Book Antiqua" w:hAnsi="Book Antiqua"/>
          <w:b/>
          <w:caps/>
          <w:color w:val="000000"/>
          <w:sz w:val="24"/>
        </w:rPr>
        <w:t>Discussion</w:t>
      </w:r>
    </w:p>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 xml:space="preserve">In this study we assessed HER2 protein overexpression and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in a large series of 1195 colorectal adenocarcinomas. 11.4% (136/1195) of these colorectal adenocarcinomas were positive for HER2 staining by IHC (scores of 2+ and 3+).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identified in 11.8% (12/102) of tumors with HER2 IHC scores of 2+ and in 82.8% (24/29) of tumors with HER2 IHC scores of 3+. No tumors with HER2 IHC scores of 1+ showed evidence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by FISH. Our findings indicate that HER2 protein overexpression occurs in a small percentage of colorectal adenocarcinomas, similarly to what has been reported in previous studies. There are only 9 prior studies regarding HER2 status in colorectal adenocarcinomas in the English literature</w:t>
      </w:r>
      <w:r w:rsidR="00CC1ABF" w:rsidRPr="00F75C22">
        <w:rPr>
          <w:rFonts w:ascii="Book Antiqua" w:hAnsi="Book Antiqua"/>
          <w:color w:val="000000"/>
          <w:kern w:val="0"/>
          <w:sz w:val="24"/>
          <w:vertAlign w:val="superscript"/>
        </w:rPr>
        <w:t>[9-</w:t>
      </w:r>
      <w:r w:rsidR="00F96827" w:rsidRPr="00F75C22">
        <w:rPr>
          <w:rFonts w:ascii="Book Antiqua" w:hAnsi="Book Antiqua"/>
          <w:color w:val="000000"/>
          <w:kern w:val="0"/>
          <w:sz w:val="24"/>
          <w:vertAlign w:val="superscript"/>
        </w:rPr>
        <w:t>17</w:t>
      </w:r>
      <w:r w:rsidR="00CC1ABF" w:rsidRPr="00F75C22">
        <w:rPr>
          <w:rFonts w:ascii="Book Antiqua" w:hAnsi="Book Antiqua"/>
          <w:color w:val="000000"/>
          <w:kern w:val="0"/>
          <w:sz w:val="24"/>
          <w:vertAlign w:val="superscript"/>
        </w:rPr>
        <w:t>]</w:t>
      </w:r>
      <w:r w:rsidRPr="00F75C22">
        <w:rPr>
          <w:rFonts w:ascii="Book Antiqua" w:hAnsi="Book Antiqua"/>
          <w:color w:val="000000"/>
          <w:kern w:val="0"/>
          <w:sz w:val="24"/>
        </w:rPr>
        <w:t xml:space="preserve">. Three of these nine studies used tissue microarrays (104, 518, and 1851 patients, respectively) and the </w:t>
      </w:r>
      <w:r w:rsidRPr="00F75C22">
        <w:rPr>
          <w:rFonts w:ascii="Book Antiqua" w:hAnsi="Book Antiqua"/>
          <w:color w:val="000000"/>
          <w:kern w:val="0"/>
          <w:sz w:val="24"/>
        </w:rPr>
        <w:lastRenderedPageBreak/>
        <w:t>remaining 6 used full tissue blocks (ranging from 138 to 317 patients)</w:t>
      </w:r>
      <w:r w:rsidR="00CC1ABF" w:rsidRPr="00F75C22">
        <w:rPr>
          <w:rFonts w:ascii="Book Antiqua" w:hAnsi="Book Antiqua"/>
          <w:color w:val="000000"/>
          <w:kern w:val="0"/>
          <w:sz w:val="24"/>
          <w:vertAlign w:val="superscript"/>
        </w:rPr>
        <w:t>[9-</w:t>
      </w:r>
      <w:r w:rsidR="00666FB1" w:rsidRPr="00F75C22">
        <w:rPr>
          <w:rFonts w:ascii="Book Antiqua" w:hAnsi="Book Antiqua"/>
          <w:color w:val="000000"/>
          <w:kern w:val="0"/>
          <w:sz w:val="24"/>
          <w:vertAlign w:val="superscript"/>
        </w:rPr>
        <w:t>17</w:t>
      </w:r>
      <w:r w:rsidR="00CC1ABF" w:rsidRPr="00F75C22">
        <w:rPr>
          <w:rFonts w:ascii="Book Antiqua" w:hAnsi="Book Antiqua"/>
          <w:color w:val="000000"/>
          <w:kern w:val="0"/>
          <w:sz w:val="24"/>
          <w:vertAlign w:val="superscript"/>
        </w:rPr>
        <w:t>]</w:t>
      </w:r>
      <w:r w:rsidRPr="00F75C22">
        <w:rPr>
          <w:rFonts w:ascii="Book Antiqua" w:hAnsi="Book Antiqua"/>
          <w:color w:val="000000"/>
          <w:kern w:val="0"/>
          <w:sz w:val="24"/>
        </w:rPr>
        <w:t>. Our study is the largest to date to employ full tumor tissue blocks for analysis (1195 patients). The reported rates of HER2 protein overexpression in the literature ranged from 2.7% to 15.5%, with the exception of one study in which the authors reported 47.4% positive HER2 staining in 137 colorectal adenocarcinomas</w:t>
      </w:r>
      <w:r w:rsidR="00EF21E8" w:rsidRPr="00F75C22">
        <w:rPr>
          <w:rFonts w:ascii="Book Antiqua" w:hAnsi="Book Antiqua"/>
          <w:color w:val="000000"/>
          <w:kern w:val="0"/>
          <w:sz w:val="24"/>
          <w:vertAlign w:val="superscript"/>
        </w:rPr>
        <w:t>[9-</w:t>
      </w:r>
      <w:r w:rsidR="00C36509" w:rsidRPr="00F75C22">
        <w:rPr>
          <w:rFonts w:ascii="Book Antiqua" w:hAnsi="Book Antiqua"/>
          <w:color w:val="000000"/>
          <w:kern w:val="0"/>
          <w:sz w:val="24"/>
          <w:vertAlign w:val="superscript"/>
        </w:rPr>
        <w:t>17</w:t>
      </w:r>
      <w:r w:rsidR="00EF21E8" w:rsidRPr="00F75C22">
        <w:rPr>
          <w:rFonts w:ascii="Book Antiqua" w:hAnsi="Book Antiqua"/>
          <w:color w:val="000000"/>
          <w:kern w:val="0"/>
          <w:sz w:val="24"/>
          <w:vertAlign w:val="superscript"/>
        </w:rPr>
        <w:t>]</w:t>
      </w:r>
      <w:r w:rsidRPr="00F75C22">
        <w:rPr>
          <w:rFonts w:ascii="Book Antiqua" w:hAnsi="Book Antiqua"/>
          <w:color w:val="000000"/>
          <w:kern w:val="0"/>
          <w:sz w:val="24"/>
        </w:rPr>
        <w:t xml:space="preserve">. One explanation for this dramatic range in HER2 overexpression positivity across studies may be that antibodies used for staining varied among research groups. The HER2 antibody used in the study with highest positive HER2 staining (47.4%) was a polyclonal rabbit antibody. Even though those authors demonstrated a high HER2 overexpresssion rate, the percentage of cases exhibiting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only 8% in those with 3+ HER2 staining, and 0% in 38 cases with 2+ HER2 staining, raising questions regarding the validity of the IHC scoring. The positive rates of HER2 protein staining in studies using the DAKO HER2 antibody were 2.7% to 15.5%, while it was 8% in the study using Ventana pathway antibody by Kavanagh </w:t>
      </w:r>
      <w:r w:rsidRPr="00F75C22">
        <w:rPr>
          <w:rFonts w:ascii="Book Antiqua" w:hAnsi="Book Antiqua"/>
          <w:i/>
          <w:color w:val="000000"/>
          <w:kern w:val="0"/>
          <w:sz w:val="24"/>
        </w:rPr>
        <w:t>et al</w:t>
      </w:r>
      <w:r w:rsidR="008A38F4" w:rsidRPr="00F75C22">
        <w:rPr>
          <w:rFonts w:ascii="Book Antiqua" w:hAnsi="Book Antiqua"/>
          <w:color w:val="000000"/>
          <w:kern w:val="0"/>
          <w:sz w:val="24"/>
          <w:vertAlign w:val="superscript"/>
        </w:rPr>
        <w:t>[</w:t>
      </w:r>
      <w:r w:rsidR="00484864" w:rsidRPr="00F75C22">
        <w:rPr>
          <w:rFonts w:ascii="Book Antiqua" w:hAnsi="Book Antiqua"/>
          <w:color w:val="000000"/>
          <w:kern w:val="0"/>
          <w:sz w:val="24"/>
          <w:vertAlign w:val="superscript"/>
        </w:rPr>
        <w:t>14</w:t>
      </w:r>
      <w:r w:rsidR="008A38F4" w:rsidRPr="00F75C22">
        <w:rPr>
          <w:rFonts w:ascii="Book Antiqua" w:hAnsi="Book Antiqua"/>
          <w:color w:val="000000"/>
          <w:kern w:val="0"/>
          <w:sz w:val="24"/>
          <w:vertAlign w:val="superscript"/>
        </w:rPr>
        <w:t>]</w:t>
      </w:r>
      <w:r w:rsidRPr="00F75C22">
        <w:rPr>
          <w:rFonts w:ascii="Book Antiqua" w:hAnsi="Book Antiqua"/>
          <w:color w:val="000000"/>
          <w:kern w:val="0"/>
          <w:sz w:val="24"/>
          <w:vertAlign w:val="superscript"/>
        </w:rPr>
        <w:t xml:space="preserve"> </w:t>
      </w:r>
      <w:r w:rsidRPr="00F75C22">
        <w:rPr>
          <w:rFonts w:ascii="Book Antiqua" w:hAnsi="Book Antiqua"/>
          <w:color w:val="000000"/>
          <w:kern w:val="0"/>
          <w:sz w:val="24"/>
        </w:rPr>
        <w:t xml:space="preserve">and was 11.4% in our study using this same Ventana pathway. </w:t>
      </w:r>
    </w:p>
    <w:p w:rsidR="00E64A87" w:rsidRPr="00F75C22" w:rsidRDefault="00E64A87" w:rsidP="000149DC">
      <w:pPr>
        <w:autoSpaceDE w:val="0"/>
        <w:autoSpaceDN w:val="0"/>
        <w:spacing w:line="360" w:lineRule="auto"/>
        <w:ind w:firstLine="420"/>
        <w:rPr>
          <w:rFonts w:ascii="Book Antiqua" w:hAnsi="Book Antiqua"/>
          <w:color w:val="000000"/>
          <w:sz w:val="24"/>
        </w:rPr>
      </w:pPr>
      <w:r w:rsidRPr="00F75C22">
        <w:rPr>
          <w:rFonts w:ascii="Book Antiqua" w:hAnsi="Book Antiqua"/>
          <w:color w:val="000000"/>
          <w:kern w:val="0"/>
          <w:sz w:val="24"/>
        </w:rPr>
        <w:t xml:space="preserve">Our study also indicates that there is a high concordance between HER2 IHC 3+ staining and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in colorectal adenocarcinomas. In our study 83% of tumors (24/29) with 3+ HER2 staining exhibited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There were 6 other studies in the literature on this topic, however the number of cases analyzed in 5 of these 6 studies was small (less than 10). Marx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w:t>
      </w:r>
      <w:r w:rsidR="00484864" w:rsidRPr="00F75C22">
        <w:rPr>
          <w:rFonts w:ascii="Book Antiqua" w:hAnsi="Book Antiqua"/>
          <w:color w:val="000000"/>
          <w:kern w:val="0"/>
          <w:sz w:val="24"/>
          <w:vertAlign w:val="superscript"/>
        </w:rPr>
        <w:t>15</w:t>
      </w:r>
      <w:r w:rsidR="007D50AF" w:rsidRPr="00F75C22">
        <w:rPr>
          <w:rFonts w:ascii="Book Antiqua" w:hAnsi="Book Antiqua"/>
          <w:color w:val="000000"/>
          <w:kern w:val="0"/>
          <w:sz w:val="24"/>
          <w:vertAlign w:val="superscript"/>
        </w:rPr>
        <w:t>]</w:t>
      </w:r>
      <w:r w:rsidRPr="00F75C22">
        <w:rPr>
          <w:rFonts w:ascii="Book Antiqua" w:hAnsi="Book Antiqua"/>
          <w:color w:val="000000"/>
          <w:kern w:val="0"/>
          <w:sz w:val="24"/>
        </w:rPr>
        <w:t xml:space="preserve"> found that 100% of tumors (27/27) with 3+ HER2 staining (as measured with the DAKO antibody) harbored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amplifications.</w:t>
      </w:r>
      <w:r w:rsidRPr="00F75C22">
        <w:rPr>
          <w:rFonts w:ascii="Book Antiqua" w:hAnsi="Book Antiqua"/>
          <w:color w:val="000000"/>
          <w:kern w:val="0"/>
          <w:sz w:val="24"/>
          <w:vertAlign w:val="superscript"/>
        </w:rPr>
        <w:t xml:space="preserve"> </w:t>
      </w:r>
      <w:r w:rsidRPr="00F75C22">
        <w:rPr>
          <w:rFonts w:ascii="Book Antiqua" w:hAnsi="Book Antiqua"/>
          <w:color w:val="000000"/>
          <w:kern w:val="0"/>
          <w:sz w:val="24"/>
        </w:rPr>
        <w:t xml:space="preserve">In the study by Park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[10]</w:t>
      </w:r>
      <w:r w:rsidRPr="00F75C22">
        <w:rPr>
          <w:rFonts w:ascii="Book Antiqua" w:hAnsi="Book Antiqua"/>
          <w:color w:val="000000"/>
          <w:kern w:val="0"/>
          <w:sz w:val="24"/>
        </w:rPr>
        <w:t xml:space="preserve">, only 2 of 27 tumors with 3+ HER2 staining showed evidence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however, as described above, the IHC staining in that study was performed using a polyclonal antibody of uncertain reliability. In 3 other smaller studies (2-6 cases with 3+ HER2 staining), this concordance rate </w:t>
      </w:r>
      <w:r w:rsidR="007A13E3" w:rsidRPr="00F75C22">
        <w:rPr>
          <w:rFonts w:ascii="Book Antiqua" w:hAnsi="Book Antiqua"/>
          <w:color w:val="000000"/>
          <w:kern w:val="0"/>
          <w:sz w:val="24"/>
        </w:rPr>
        <w:t xml:space="preserve">with gene amplification </w:t>
      </w:r>
      <w:r w:rsidRPr="00F75C22">
        <w:rPr>
          <w:rFonts w:ascii="Book Antiqua" w:hAnsi="Book Antiqua"/>
          <w:color w:val="000000"/>
          <w:kern w:val="0"/>
          <w:sz w:val="24"/>
        </w:rPr>
        <w:t xml:space="preserve">was high (100%). </w:t>
      </w:r>
      <w:r w:rsidR="009C3119" w:rsidRPr="00F75C22">
        <w:rPr>
          <w:rFonts w:ascii="Book Antiqua" w:hAnsi="Book Antiqua"/>
          <w:color w:val="000000"/>
          <w:kern w:val="0"/>
          <w:sz w:val="24"/>
        </w:rPr>
        <w:t xml:space="preserve">Variations in the antibodies used likely led to differential staining and </w:t>
      </w:r>
      <w:r w:rsidR="009C3119" w:rsidRPr="00F75C22">
        <w:rPr>
          <w:rFonts w:ascii="Book Antiqua" w:hAnsi="Book Antiqua"/>
          <w:color w:val="000000"/>
          <w:kern w:val="0"/>
          <w:sz w:val="24"/>
        </w:rPr>
        <w:lastRenderedPageBreak/>
        <w:t xml:space="preserve">scoring, contributing to the disagreement in </w:t>
      </w:r>
      <w:r w:rsidR="009C3119" w:rsidRPr="00F75C22">
        <w:rPr>
          <w:rFonts w:ascii="Book Antiqua" w:hAnsi="Book Antiqua"/>
          <w:i/>
          <w:color w:val="000000"/>
          <w:kern w:val="0"/>
          <w:sz w:val="24"/>
        </w:rPr>
        <w:t>HER2</w:t>
      </w:r>
      <w:r w:rsidR="009C3119" w:rsidRPr="00F75C22">
        <w:rPr>
          <w:rFonts w:ascii="Book Antiqua" w:hAnsi="Book Antiqua"/>
          <w:color w:val="000000"/>
          <w:kern w:val="0"/>
          <w:sz w:val="24"/>
        </w:rPr>
        <w:t xml:space="preserve"> gene amplification in tumors with 3+ HER2 scores. Nevertheless, t</w:t>
      </w:r>
      <w:r w:rsidRPr="00F75C22">
        <w:rPr>
          <w:rFonts w:ascii="Book Antiqua" w:hAnsi="Book Antiqua"/>
          <w:color w:val="000000"/>
          <w:kern w:val="0"/>
          <w:sz w:val="24"/>
        </w:rPr>
        <w:t xml:space="preserve">hese studies, including ours, have shown that HER2 IHC 3+ staining is highly predictive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in colorectal adenocarcinomas. In contrast, the percentage of tumors with HER2 IHC 2+ staining showing evidence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highly variable. In our study, such amplification was only evident in 20% of tumors, similar to what has been reported by Kavanagh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w:t>
      </w:r>
      <w:r w:rsidR="007C6BF3" w:rsidRPr="00F75C22">
        <w:rPr>
          <w:rFonts w:ascii="Book Antiqua" w:hAnsi="Book Antiqua"/>
          <w:color w:val="000000"/>
          <w:kern w:val="0"/>
          <w:sz w:val="24"/>
          <w:vertAlign w:val="superscript"/>
        </w:rPr>
        <w:t>14</w:t>
      </w:r>
      <w:r w:rsidR="007D50AF" w:rsidRPr="00F75C22">
        <w:rPr>
          <w:rFonts w:ascii="Book Antiqua" w:hAnsi="Book Antiqua"/>
          <w:color w:val="000000"/>
          <w:kern w:val="0"/>
          <w:sz w:val="24"/>
          <w:vertAlign w:val="superscript"/>
        </w:rPr>
        <w:t>]</w:t>
      </w:r>
      <w:r w:rsidRPr="00F75C22">
        <w:rPr>
          <w:rFonts w:ascii="Book Antiqua" w:hAnsi="Book Antiqua"/>
          <w:color w:val="000000"/>
          <w:kern w:val="0"/>
          <w:sz w:val="24"/>
        </w:rPr>
        <w:t xml:space="preserve"> (2/9 or 22%, using the Ventana Pathway antibody) and </w:t>
      </w:r>
      <w:r w:rsidR="007D50AF" w:rsidRPr="00F75C22">
        <w:rPr>
          <w:rFonts w:ascii="Book Antiqua" w:hAnsi="Book Antiqua"/>
          <w:color w:val="000000"/>
          <w:kern w:val="0"/>
          <w:sz w:val="24"/>
        </w:rPr>
        <w:t xml:space="preserve">Nathanson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[9]</w:t>
      </w:r>
      <w:r w:rsidRPr="00F75C22">
        <w:rPr>
          <w:rFonts w:ascii="Book Antiqua" w:hAnsi="Book Antiqua"/>
          <w:i/>
          <w:color w:val="000000"/>
          <w:kern w:val="0"/>
          <w:sz w:val="24"/>
        </w:rPr>
        <w:t xml:space="preserve"> </w:t>
      </w:r>
      <w:r w:rsidRPr="00F75C22">
        <w:rPr>
          <w:rFonts w:ascii="Book Antiqua" w:hAnsi="Book Antiqua"/>
          <w:color w:val="000000"/>
          <w:kern w:val="0"/>
          <w:sz w:val="24"/>
        </w:rPr>
        <w:t xml:space="preserve">(1/3 or 33%, using the DAKO antibody). In contrast, Marx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w:t>
      </w:r>
      <w:r w:rsidR="00034693" w:rsidRPr="00F75C22">
        <w:rPr>
          <w:rFonts w:ascii="Book Antiqua" w:hAnsi="Book Antiqua"/>
          <w:color w:val="000000"/>
          <w:kern w:val="0"/>
          <w:sz w:val="24"/>
          <w:vertAlign w:val="superscript"/>
        </w:rPr>
        <w:t>15</w:t>
      </w:r>
      <w:r w:rsidR="007D50AF" w:rsidRPr="00F75C22">
        <w:rPr>
          <w:rFonts w:ascii="Book Antiqua" w:hAnsi="Book Antiqua"/>
          <w:color w:val="000000"/>
          <w:kern w:val="0"/>
          <w:sz w:val="24"/>
          <w:vertAlign w:val="superscript"/>
        </w:rPr>
        <w:t>]</w:t>
      </w:r>
      <w:r w:rsidRPr="00F75C22">
        <w:rPr>
          <w:rFonts w:ascii="Book Antiqua" w:hAnsi="Book Antiqua"/>
          <w:color w:val="000000"/>
          <w:kern w:val="0"/>
          <w:sz w:val="24"/>
        </w:rPr>
        <w:t xml:space="preserve"> observed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in 75% of tumors with HER2 scores of 2+ (using the DAKO antibody). In the study by Park </w:t>
      </w:r>
      <w:r w:rsidRPr="00F75C22">
        <w:rPr>
          <w:rFonts w:ascii="Book Antiqua" w:hAnsi="Book Antiqua"/>
          <w:i/>
          <w:color w:val="000000"/>
          <w:kern w:val="0"/>
          <w:sz w:val="24"/>
        </w:rPr>
        <w:t>et al</w:t>
      </w:r>
      <w:r w:rsidR="007D50AF" w:rsidRPr="00F75C22">
        <w:rPr>
          <w:rFonts w:ascii="Book Antiqua" w:hAnsi="Book Antiqua"/>
          <w:color w:val="000000"/>
          <w:kern w:val="0"/>
          <w:sz w:val="24"/>
          <w:vertAlign w:val="superscript"/>
        </w:rPr>
        <w:t>[</w:t>
      </w:r>
      <w:r w:rsidR="000944DF" w:rsidRPr="00F75C22">
        <w:rPr>
          <w:rFonts w:ascii="Book Antiqua" w:hAnsi="Book Antiqua"/>
          <w:color w:val="000000"/>
          <w:kern w:val="0"/>
          <w:sz w:val="24"/>
          <w:vertAlign w:val="superscript"/>
        </w:rPr>
        <w:t>10</w:t>
      </w:r>
      <w:r w:rsidR="007D50AF" w:rsidRPr="00F75C22">
        <w:rPr>
          <w:rFonts w:ascii="Book Antiqua" w:hAnsi="Book Antiqua"/>
          <w:color w:val="000000"/>
          <w:kern w:val="0"/>
          <w:sz w:val="24"/>
          <w:vertAlign w:val="superscript"/>
        </w:rPr>
        <w:t>]</w:t>
      </w:r>
      <w:r w:rsidRPr="00F75C22">
        <w:rPr>
          <w:rFonts w:ascii="Book Antiqua" w:hAnsi="Book Antiqua"/>
          <w:color w:val="000000"/>
          <w:kern w:val="0"/>
          <w:sz w:val="24"/>
        </w:rPr>
        <w:t>, using the Zymed antibody, no gene amplification events were observed in such tumors.</w:t>
      </w:r>
      <w:r w:rsidRPr="00F75C22">
        <w:rPr>
          <w:rFonts w:ascii="Book Antiqua" w:hAnsi="Book Antiqua"/>
          <w:color w:val="000000"/>
          <w:kern w:val="0"/>
          <w:sz w:val="24"/>
          <w:vertAlign w:val="superscript"/>
        </w:rPr>
        <w:t xml:space="preserve"> </w:t>
      </w:r>
      <w:r w:rsidRPr="00F75C22">
        <w:rPr>
          <w:rFonts w:ascii="Book Antiqua" w:hAnsi="Book Antiqua"/>
          <w:color w:val="000000"/>
          <w:kern w:val="0"/>
          <w:sz w:val="24"/>
        </w:rPr>
        <w:t>In the study by O</w:t>
      </w:r>
      <w:r w:rsidR="008F0B65" w:rsidRPr="00F75C22">
        <w:rPr>
          <w:rFonts w:ascii="Book Antiqua" w:hAnsi="Book Antiqua"/>
          <w:color w:val="000000"/>
          <w:kern w:val="0"/>
          <w:sz w:val="24"/>
        </w:rPr>
        <w:t>o</w:t>
      </w:r>
      <w:r w:rsidRPr="00F75C22">
        <w:rPr>
          <w:rFonts w:ascii="Book Antiqua" w:hAnsi="Book Antiqua"/>
          <w:color w:val="000000"/>
          <w:kern w:val="0"/>
          <w:sz w:val="24"/>
        </w:rPr>
        <w:t xml:space="preserve">i </w:t>
      </w:r>
      <w:r w:rsidRPr="00F75C22">
        <w:rPr>
          <w:rFonts w:ascii="Book Antiqua" w:hAnsi="Book Antiqua"/>
          <w:i/>
          <w:color w:val="000000"/>
          <w:kern w:val="0"/>
          <w:sz w:val="24"/>
        </w:rPr>
        <w:t>et al</w:t>
      </w:r>
      <w:r w:rsidR="008F0B65" w:rsidRPr="00F75C22">
        <w:rPr>
          <w:rFonts w:ascii="Book Antiqua" w:hAnsi="Book Antiqua"/>
          <w:color w:val="000000"/>
          <w:kern w:val="0"/>
          <w:sz w:val="24"/>
          <w:vertAlign w:val="superscript"/>
        </w:rPr>
        <w:t>[11]</w:t>
      </w:r>
      <w:r w:rsidRPr="00F75C22">
        <w:rPr>
          <w:rFonts w:ascii="Book Antiqua" w:hAnsi="Book Antiqua"/>
          <w:color w:val="000000"/>
          <w:kern w:val="0"/>
          <w:sz w:val="24"/>
        </w:rPr>
        <w:t xml:space="preserve">, 2/2 tumors with 2+ HER2 staining showed evidence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(using an antibody from Nicheri, Japan). </w:t>
      </w:r>
      <w:r w:rsidR="009C3119" w:rsidRPr="00F75C22">
        <w:rPr>
          <w:rFonts w:ascii="Book Antiqua" w:hAnsi="Book Antiqua"/>
          <w:color w:val="000000"/>
          <w:kern w:val="0"/>
          <w:sz w:val="24"/>
        </w:rPr>
        <w:t>Simi</w:t>
      </w:r>
      <w:r w:rsidR="00A06AAD" w:rsidRPr="00F75C22">
        <w:rPr>
          <w:rFonts w:ascii="Book Antiqua" w:hAnsi="Book Antiqua"/>
          <w:color w:val="000000"/>
          <w:kern w:val="0"/>
          <w:sz w:val="24"/>
        </w:rPr>
        <w:t>larly,</w:t>
      </w:r>
      <w:r w:rsidR="005B565A" w:rsidRPr="00F75C22">
        <w:rPr>
          <w:rFonts w:ascii="Book Antiqua" w:hAnsi="Book Antiqua"/>
          <w:color w:val="000000"/>
          <w:kern w:val="0"/>
          <w:sz w:val="24"/>
        </w:rPr>
        <w:t xml:space="preserve"> </w:t>
      </w:r>
      <w:r w:rsidR="00A06AAD" w:rsidRPr="00F75C22">
        <w:rPr>
          <w:rFonts w:ascii="Book Antiqua" w:hAnsi="Book Antiqua"/>
          <w:color w:val="000000"/>
          <w:kern w:val="0"/>
          <w:sz w:val="24"/>
        </w:rPr>
        <w:t>v</w:t>
      </w:r>
      <w:r w:rsidRPr="00F75C22">
        <w:rPr>
          <w:rFonts w:ascii="Book Antiqua" w:hAnsi="Book Antiqua"/>
          <w:color w:val="000000"/>
          <w:kern w:val="0"/>
          <w:sz w:val="24"/>
        </w:rPr>
        <w:t xml:space="preserve">ariations in the antibodies used likely led to differential staining and scoring, contributing to the observed high levels of reported variation in </w:t>
      </w:r>
      <w:r w:rsidRPr="00F75C22">
        <w:rPr>
          <w:rFonts w:ascii="Book Antiqua" w:hAnsi="Book Antiqua"/>
          <w:i/>
          <w:color w:val="000000"/>
          <w:kern w:val="0"/>
          <w:sz w:val="24"/>
        </w:rPr>
        <w:t xml:space="preserve">HER2 </w:t>
      </w:r>
      <w:r w:rsidRPr="00F75C22">
        <w:rPr>
          <w:rFonts w:ascii="Book Antiqua" w:hAnsi="Book Antiqua"/>
          <w:color w:val="000000"/>
          <w:kern w:val="0"/>
          <w:sz w:val="24"/>
        </w:rPr>
        <w:t xml:space="preserve">gene amplification in tumors with 2+ HER2 scores. </w:t>
      </w:r>
    </w:p>
    <w:p w:rsidR="00E64A87" w:rsidRPr="00F75C22" w:rsidRDefault="00E64A87" w:rsidP="000149DC">
      <w:pPr>
        <w:autoSpaceDE w:val="0"/>
        <w:autoSpaceDN w:val="0"/>
        <w:spacing w:line="360" w:lineRule="auto"/>
        <w:ind w:firstLine="420"/>
        <w:rPr>
          <w:rFonts w:ascii="Book Antiqua" w:hAnsi="Book Antiqua"/>
          <w:color w:val="000000"/>
          <w:sz w:val="24"/>
        </w:rPr>
      </w:pPr>
      <w:r w:rsidRPr="00F75C22">
        <w:rPr>
          <w:rFonts w:ascii="Book Antiqua" w:hAnsi="Book Antiqua"/>
          <w:color w:val="000000"/>
          <w:kern w:val="0"/>
          <w:sz w:val="24"/>
        </w:rPr>
        <w:t xml:space="preserve">The high concordance between HER2 IHC 3+ staining and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indicates that gene amplification is the major factor accounting for HER2 protein overexpression in colorectal adenocarcinomas with HER2 IHC scores of 3+. However,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seen in only 12/102 (11.8%) tumors with HER2 IHC scores of 2+, and among these tumors, those with evidence of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had a higher number of tumor cells with positive IHC staining (</w:t>
      </w:r>
      <w:r w:rsidR="00B67824" w:rsidRPr="00F75C22">
        <w:rPr>
          <w:rFonts w:ascii="Book Antiqua" w:hAnsi="Book Antiqua"/>
          <w:i/>
          <w:color w:val="000000"/>
          <w:kern w:val="0"/>
          <w:sz w:val="24"/>
        </w:rPr>
        <w:t>n</w:t>
      </w:r>
      <w:r w:rsidR="00B67824" w:rsidRPr="00F75C22">
        <w:rPr>
          <w:rFonts w:ascii="Book Antiqua" w:hAnsi="Book Antiqua"/>
          <w:color w:val="000000"/>
          <w:kern w:val="0"/>
          <w:sz w:val="24"/>
        </w:rPr>
        <w:t xml:space="preserve"> = </w:t>
      </w:r>
      <w:r w:rsidRPr="00F75C22">
        <w:rPr>
          <w:rFonts w:ascii="Book Antiqua" w:hAnsi="Book Antiqua"/>
          <w:color w:val="000000"/>
          <w:kern w:val="0"/>
          <w:sz w:val="24"/>
        </w:rPr>
        <w:t>12, mean 93%) than those without (</w:t>
      </w:r>
      <w:r w:rsidR="00B67824" w:rsidRPr="00F75C22">
        <w:rPr>
          <w:rFonts w:ascii="Book Antiqua" w:hAnsi="Book Antiqua"/>
          <w:i/>
          <w:color w:val="000000"/>
          <w:kern w:val="0"/>
          <w:sz w:val="24"/>
        </w:rPr>
        <w:t>n</w:t>
      </w:r>
      <w:r w:rsidR="00B67824" w:rsidRPr="00F75C22">
        <w:rPr>
          <w:rFonts w:ascii="Book Antiqua" w:hAnsi="Book Antiqua"/>
          <w:color w:val="000000"/>
          <w:kern w:val="0"/>
          <w:sz w:val="24"/>
        </w:rPr>
        <w:t xml:space="preserve"> </w:t>
      </w:r>
      <w:r w:rsidRPr="00F75C22">
        <w:rPr>
          <w:rFonts w:ascii="Book Antiqua" w:hAnsi="Book Antiqua"/>
          <w:color w:val="000000"/>
          <w:kern w:val="0"/>
          <w:sz w:val="24"/>
        </w:rPr>
        <w:t>=</w:t>
      </w:r>
      <w:r w:rsidR="00B67824" w:rsidRPr="00F75C22">
        <w:rPr>
          <w:rFonts w:ascii="Book Antiqua" w:hAnsi="Book Antiqua"/>
          <w:color w:val="000000"/>
          <w:kern w:val="0"/>
          <w:sz w:val="24"/>
        </w:rPr>
        <w:t xml:space="preserve"> </w:t>
      </w:r>
      <w:r w:rsidRPr="00F75C22">
        <w:rPr>
          <w:rFonts w:ascii="Book Antiqua" w:hAnsi="Book Antiqua"/>
          <w:color w:val="000000"/>
          <w:kern w:val="0"/>
          <w:sz w:val="24"/>
        </w:rPr>
        <w:t>90, mean 70%) (</w:t>
      </w:r>
      <w:r w:rsidR="00B67824" w:rsidRPr="00F75C22">
        <w:rPr>
          <w:rFonts w:ascii="Book Antiqua" w:hAnsi="Book Antiqua"/>
          <w:i/>
          <w:color w:val="000000"/>
          <w:kern w:val="0"/>
          <w:sz w:val="24"/>
        </w:rPr>
        <w:t>P</w:t>
      </w:r>
      <w:r w:rsidR="00B67824" w:rsidRPr="00F75C22">
        <w:rPr>
          <w:rFonts w:ascii="Book Antiqua" w:hAnsi="Book Antiqua"/>
          <w:color w:val="000000"/>
          <w:kern w:val="0"/>
          <w:sz w:val="24"/>
        </w:rPr>
        <w:t xml:space="preserve"> </w:t>
      </w:r>
      <w:r w:rsidRPr="00F75C22">
        <w:rPr>
          <w:rFonts w:ascii="Book Antiqua" w:hAnsi="Book Antiqua"/>
          <w:color w:val="000000"/>
          <w:kern w:val="0"/>
          <w:sz w:val="24"/>
        </w:rPr>
        <w:t>&lt;</w:t>
      </w:r>
      <w:r w:rsidR="00B67824" w:rsidRPr="00F75C22">
        <w:rPr>
          <w:rFonts w:ascii="Book Antiqua" w:hAnsi="Book Antiqua"/>
          <w:color w:val="000000"/>
          <w:kern w:val="0"/>
          <w:sz w:val="24"/>
        </w:rPr>
        <w:t xml:space="preserve"> </w:t>
      </w:r>
      <w:r w:rsidRPr="00F75C22">
        <w:rPr>
          <w:rFonts w:ascii="Book Antiqua" w:hAnsi="Book Antiqua"/>
          <w:color w:val="000000"/>
          <w:kern w:val="0"/>
          <w:sz w:val="24"/>
        </w:rPr>
        <w:t xml:space="preserve">0.05). Our study thus confirmed reported results regarding colorectal cancer, and these results were similar to those observed in breast cancer where IHC 3+ HER2 overexpression is highly correlated with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whereas 2+ staining is equivocal for gene amplification</w:t>
      </w:r>
      <w:r w:rsidR="00EF21E8" w:rsidRPr="00F75C22">
        <w:rPr>
          <w:rFonts w:ascii="Book Antiqua" w:hAnsi="Book Antiqua"/>
          <w:color w:val="000000"/>
          <w:kern w:val="0"/>
          <w:sz w:val="24"/>
          <w:vertAlign w:val="superscript"/>
        </w:rPr>
        <w:t>[</w:t>
      </w:r>
      <w:r w:rsidR="00730780" w:rsidRPr="00F75C22">
        <w:rPr>
          <w:rFonts w:ascii="Book Antiqua" w:hAnsi="Book Antiqua"/>
          <w:color w:val="000000"/>
          <w:kern w:val="0"/>
          <w:sz w:val="24"/>
          <w:vertAlign w:val="superscript"/>
        </w:rPr>
        <w:t>21</w:t>
      </w:r>
      <w:r w:rsidRPr="00F75C22">
        <w:rPr>
          <w:rFonts w:ascii="Book Antiqua" w:hAnsi="Book Antiqua"/>
          <w:color w:val="000000"/>
          <w:kern w:val="0"/>
          <w:sz w:val="24"/>
          <w:vertAlign w:val="superscript"/>
        </w:rPr>
        <w:t>-</w:t>
      </w:r>
      <w:r w:rsidR="00730780" w:rsidRPr="00F75C22">
        <w:rPr>
          <w:rFonts w:ascii="Book Antiqua" w:hAnsi="Book Antiqua"/>
          <w:color w:val="000000"/>
          <w:kern w:val="0"/>
          <w:sz w:val="24"/>
          <w:vertAlign w:val="superscript"/>
        </w:rPr>
        <w:t>24</w:t>
      </w:r>
      <w:r w:rsidR="00EF21E8" w:rsidRPr="00F75C22">
        <w:rPr>
          <w:rFonts w:ascii="Book Antiqua" w:hAnsi="Book Antiqua"/>
          <w:color w:val="000000"/>
          <w:kern w:val="0"/>
          <w:sz w:val="24"/>
          <w:vertAlign w:val="superscript"/>
        </w:rPr>
        <w:t>]</w:t>
      </w:r>
      <w:r w:rsidRPr="00F75C22">
        <w:rPr>
          <w:rFonts w:ascii="Book Antiqua" w:hAnsi="Book Antiqua"/>
          <w:color w:val="000000"/>
          <w:kern w:val="0"/>
          <w:sz w:val="24"/>
        </w:rPr>
        <w:t>.</w:t>
      </w:r>
    </w:p>
    <w:p w:rsidR="00E64A87" w:rsidRPr="00F75C22" w:rsidRDefault="00E64A87" w:rsidP="000149DC">
      <w:pPr>
        <w:autoSpaceDE w:val="0"/>
        <w:autoSpaceDN w:val="0"/>
        <w:spacing w:line="360" w:lineRule="auto"/>
        <w:ind w:firstLine="420"/>
        <w:rPr>
          <w:rFonts w:ascii="Book Antiqua" w:hAnsi="Book Antiqua"/>
          <w:color w:val="000000"/>
          <w:sz w:val="24"/>
        </w:rPr>
      </w:pPr>
      <w:r w:rsidRPr="00F75C22">
        <w:rPr>
          <w:rFonts w:ascii="Book Antiqua" w:hAnsi="Book Antiqua"/>
          <w:color w:val="000000"/>
          <w:kern w:val="0"/>
          <w:sz w:val="24"/>
        </w:rPr>
        <w:t xml:space="preserve">In our present study,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was higher in </w:t>
      </w:r>
      <w:r w:rsidRPr="00F75C22">
        <w:rPr>
          <w:rFonts w:ascii="Book Antiqua" w:hAnsi="Book Antiqua"/>
          <w:color w:val="000000"/>
          <w:sz w:val="24"/>
        </w:rPr>
        <w:t xml:space="preserve">patients </w:t>
      </w:r>
      <w:r w:rsidRPr="00F75C22">
        <w:rPr>
          <w:rFonts w:ascii="Book Antiqua" w:hAnsi="Book Antiqua"/>
          <w:color w:val="000000"/>
          <w:sz w:val="24"/>
        </w:rPr>
        <w:lastRenderedPageBreak/>
        <w:t>with</w:t>
      </w:r>
      <w:bookmarkStart w:id="8" w:name="OLE_LINK7"/>
      <w:bookmarkStart w:id="9" w:name="OLE_LINK8"/>
      <w:r w:rsidRPr="00F75C22">
        <w:rPr>
          <w:rFonts w:ascii="Book Antiqua" w:hAnsi="Book Antiqua"/>
          <w:color w:val="000000"/>
          <w:sz w:val="24"/>
        </w:rPr>
        <w:t xml:space="preserve"> a more advanced disease stage or </w:t>
      </w:r>
      <w:bookmarkEnd w:id="8"/>
      <w:bookmarkEnd w:id="9"/>
      <w:r w:rsidRPr="00F75C22">
        <w:rPr>
          <w:rFonts w:ascii="Book Antiqua" w:hAnsi="Book Antiqua"/>
          <w:color w:val="000000"/>
          <w:sz w:val="24"/>
        </w:rPr>
        <w:t xml:space="preserve">distant metastases. This suggests that </w:t>
      </w:r>
      <w:r w:rsidRPr="00F75C22">
        <w:rPr>
          <w:rFonts w:ascii="Book Antiqua" w:hAnsi="Book Antiqua"/>
          <w:i/>
          <w:color w:val="000000"/>
          <w:sz w:val="24"/>
        </w:rPr>
        <w:t xml:space="preserve">HER2 </w:t>
      </w:r>
      <w:r w:rsidRPr="00F75C22">
        <w:rPr>
          <w:rFonts w:ascii="Book Antiqua" w:hAnsi="Book Antiqua"/>
          <w:color w:val="000000"/>
          <w:sz w:val="24"/>
        </w:rPr>
        <w:t xml:space="preserve">may play some role in tumor progression and would thus be a valuable prognostic factor for certain CRC patients. In our study, the significance of </w:t>
      </w:r>
      <w:r w:rsidRPr="00F75C22">
        <w:rPr>
          <w:rFonts w:ascii="Book Antiqua" w:hAnsi="Book Antiqua"/>
          <w:i/>
          <w:color w:val="000000"/>
          <w:sz w:val="24"/>
        </w:rPr>
        <w:t>HER2</w:t>
      </w:r>
      <w:r w:rsidRPr="00F75C22">
        <w:rPr>
          <w:rFonts w:ascii="Book Antiqua" w:hAnsi="Book Antiqua"/>
          <w:color w:val="000000"/>
          <w:sz w:val="24"/>
        </w:rPr>
        <w:t xml:space="preserve"> gene amplification was best observed in the subpopulation of patients who were 65 years or younger with tubular adenocarcinomas.</w:t>
      </w:r>
      <w:r w:rsidR="008C3DCD" w:rsidRPr="00F75C22">
        <w:rPr>
          <w:rFonts w:ascii="Book Antiqua" w:hAnsi="Book Antiqua"/>
          <w:color w:val="000000"/>
          <w:sz w:val="24"/>
        </w:rPr>
        <w:t xml:space="preserve"> However, we </w:t>
      </w:r>
      <w:r w:rsidR="00901F71" w:rsidRPr="00F75C22">
        <w:rPr>
          <w:rFonts w:ascii="Book Antiqua" w:hAnsi="Book Antiqua"/>
          <w:color w:val="000000"/>
          <w:sz w:val="24"/>
        </w:rPr>
        <w:t>did not</w:t>
      </w:r>
      <w:r w:rsidR="008C3DCD" w:rsidRPr="00F75C22">
        <w:rPr>
          <w:rFonts w:ascii="Book Antiqua" w:hAnsi="Book Antiqua"/>
          <w:color w:val="000000"/>
          <w:sz w:val="24"/>
        </w:rPr>
        <w:t xml:space="preserve"> observe </w:t>
      </w:r>
      <w:r w:rsidR="00901F71" w:rsidRPr="00F75C22">
        <w:rPr>
          <w:rFonts w:ascii="Book Antiqua" w:hAnsi="Book Antiqua"/>
          <w:color w:val="000000"/>
          <w:sz w:val="24"/>
        </w:rPr>
        <w:t>a</w:t>
      </w:r>
      <w:r w:rsidR="008C3DCD" w:rsidRPr="00F75C22">
        <w:rPr>
          <w:rFonts w:ascii="Book Antiqua" w:hAnsi="Book Antiqua"/>
          <w:color w:val="000000"/>
          <w:sz w:val="24"/>
        </w:rPr>
        <w:t xml:space="preserve"> significant difference in</w:t>
      </w:r>
      <w:r w:rsidR="00901F71" w:rsidRPr="00F75C22">
        <w:rPr>
          <w:rFonts w:ascii="Book Antiqua" w:hAnsi="Book Antiqua"/>
          <w:color w:val="000000"/>
          <w:sz w:val="24"/>
        </w:rPr>
        <w:t xml:space="preserve"> prognosis for</w:t>
      </w:r>
      <w:r w:rsidR="008C3DCD" w:rsidRPr="00F75C22">
        <w:rPr>
          <w:rFonts w:ascii="Book Antiqua" w:hAnsi="Book Antiqua"/>
          <w:color w:val="000000"/>
          <w:sz w:val="24"/>
        </w:rPr>
        <w:t xml:space="preserve"> all colorectal carcinoma patients</w:t>
      </w:r>
      <w:r w:rsidR="00901F71" w:rsidRPr="00F75C22">
        <w:rPr>
          <w:rFonts w:ascii="Book Antiqua" w:hAnsi="Book Antiqua"/>
          <w:color w:val="000000"/>
          <w:sz w:val="24"/>
        </w:rPr>
        <w:t>,</w:t>
      </w:r>
      <w:r w:rsidR="008C3DCD" w:rsidRPr="00F75C22">
        <w:rPr>
          <w:rFonts w:ascii="Book Antiqua" w:hAnsi="Book Antiqua"/>
          <w:color w:val="000000"/>
          <w:sz w:val="24"/>
        </w:rPr>
        <w:t xml:space="preserve"> </w:t>
      </w:r>
      <w:r w:rsidR="00901F71" w:rsidRPr="00F75C22">
        <w:rPr>
          <w:rFonts w:ascii="Book Antiqua" w:hAnsi="Book Antiqua"/>
          <w:color w:val="000000"/>
          <w:sz w:val="24"/>
        </w:rPr>
        <w:t xml:space="preserve">regardless of </w:t>
      </w:r>
      <w:r w:rsidR="008C3DCD" w:rsidRPr="00F75C22">
        <w:rPr>
          <w:rFonts w:ascii="Book Antiqua" w:hAnsi="Book Antiqua"/>
          <w:color w:val="000000"/>
          <w:sz w:val="24"/>
        </w:rPr>
        <w:t xml:space="preserve">HER2 amplification </w:t>
      </w:r>
      <w:r w:rsidR="00901F71" w:rsidRPr="00F75C22">
        <w:rPr>
          <w:rFonts w:ascii="Book Antiqua" w:hAnsi="Book Antiqua"/>
          <w:color w:val="000000"/>
          <w:sz w:val="24"/>
        </w:rPr>
        <w:t>or</w:t>
      </w:r>
      <w:r w:rsidR="008C3DCD" w:rsidRPr="00F75C22">
        <w:rPr>
          <w:rFonts w:ascii="Book Antiqua" w:hAnsi="Book Antiqua"/>
          <w:color w:val="000000"/>
          <w:sz w:val="24"/>
        </w:rPr>
        <w:t xml:space="preserve"> HER2 expression</w:t>
      </w:r>
      <w:r w:rsidR="00901F71" w:rsidRPr="00F75C22">
        <w:rPr>
          <w:rFonts w:ascii="Book Antiqua" w:hAnsi="Book Antiqua"/>
          <w:color w:val="000000"/>
          <w:sz w:val="24"/>
        </w:rPr>
        <w:t xml:space="preserve"> status</w:t>
      </w:r>
      <w:r w:rsidR="008C3DCD" w:rsidRPr="00F75C22">
        <w:rPr>
          <w:rFonts w:ascii="Book Antiqua" w:hAnsi="Book Antiqua"/>
          <w:color w:val="000000"/>
          <w:sz w:val="24"/>
        </w:rPr>
        <w:t>.</w:t>
      </w:r>
    </w:p>
    <w:p w:rsidR="00E64A87" w:rsidRPr="00F75C22" w:rsidRDefault="00E64A87" w:rsidP="000149DC">
      <w:pPr>
        <w:autoSpaceDE w:val="0"/>
        <w:autoSpaceDN w:val="0"/>
        <w:spacing w:line="360" w:lineRule="auto"/>
        <w:ind w:firstLine="420"/>
        <w:rPr>
          <w:rFonts w:ascii="Book Antiqua" w:hAnsi="Book Antiqua"/>
          <w:color w:val="000000"/>
          <w:sz w:val="24"/>
        </w:rPr>
      </w:pPr>
      <w:r w:rsidRPr="00F75C22">
        <w:rPr>
          <w:rFonts w:ascii="Book Antiqua" w:hAnsi="Book Antiqua"/>
          <w:color w:val="000000"/>
          <w:sz w:val="24"/>
        </w:rPr>
        <w:t xml:space="preserve">Although we found a statistically significant association between </w:t>
      </w:r>
      <w:r w:rsidRPr="00F75C22">
        <w:rPr>
          <w:rFonts w:ascii="Book Antiqua" w:hAnsi="Book Antiqua"/>
          <w:i/>
          <w:color w:val="000000"/>
          <w:sz w:val="24"/>
        </w:rPr>
        <w:t>HER2</w:t>
      </w:r>
      <w:r w:rsidRPr="00F75C22">
        <w:rPr>
          <w:rFonts w:ascii="Book Antiqua" w:hAnsi="Book Antiqua"/>
          <w:color w:val="000000"/>
          <w:sz w:val="24"/>
        </w:rPr>
        <w:t xml:space="preserve"> gene amplification and tumor depth of invasion, advanced stage, and distant metastasis, several other studies have failed to show such associations</w:t>
      </w:r>
      <w:r w:rsidR="00EF21E8" w:rsidRPr="00F75C22">
        <w:rPr>
          <w:rFonts w:ascii="Book Antiqua" w:hAnsi="Book Antiqua"/>
          <w:color w:val="000000"/>
          <w:sz w:val="24"/>
          <w:vertAlign w:val="superscript"/>
        </w:rPr>
        <w:t>[</w:t>
      </w:r>
      <w:r w:rsidR="006E60B0" w:rsidRPr="00F75C22">
        <w:rPr>
          <w:rFonts w:ascii="Book Antiqua" w:hAnsi="Book Antiqua"/>
          <w:color w:val="000000"/>
          <w:sz w:val="24"/>
          <w:vertAlign w:val="superscript"/>
        </w:rPr>
        <w:t>15,19,25,26</w:t>
      </w:r>
      <w:r w:rsidR="00EF21E8" w:rsidRPr="00F75C22">
        <w:rPr>
          <w:rFonts w:ascii="Book Antiqua" w:hAnsi="Book Antiqua"/>
          <w:color w:val="000000"/>
          <w:sz w:val="24"/>
          <w:vertAlign w:val="superscript"/>
        </w:rPr>
        <w:t>]</w:t>
      </w:r>
      <w:r w:rsidRPr="00F75C22">
        <w:rPr>
          <w:rFonts w:ascii="Book Antiqua" w:hAnsi="Book Antiqua"/>
          <w:color w:val="000000"/>
          <w:sz w:val="24"/>
        </w:rPr>
        <w:t xml:space="preserve">. Those studies, however, reported a correlation between </w:t>
      </w:r>
      <w:r w:rsidRPr="00F75C22">
        <w:rPr>
          <w:rFonts w:ascii="Book Antiqua" w:hAnsi="Book Antiqua"/>
          <w:i/>
          <w:color w:val="000000"/>
          <w:sz w:val="24"/>
        </w:rPr>
        <w:t>HER2</w:t>
      </w:r>
      <w:r w:rsidRPr="00F75C22">
        <w:rPr>
          <w:rFonts w:ascii="Book Antiqua" w:hAnsi="Book Antiqua"/>
          <w:color w:val="000000"/>
          <w:sz w:val="24"/>
        </w:rPr>
        <w:t xml:space="preserve"> gene amplification and high grade histology, higher tumor stage, and positive nodal status</w:t>
      </w:r>
      <w:r w:rsidR="00EF21E8" w:rsidRPr="00F75C22">
        <w:rPr>
          <w:rFonts w:ascii="Book Antiqua" w:hAnsi="Book Antiqua"/>
          <w:color w:val="000000"/>
          <w:sz w:val="24"/>
          <w:vertAlign w:val="superscript"/>
        </w:rPr>
        <w:t>[</w:t>
      </w:r>
      <w:r w:rsidR="0096529F" w:rsidRPr="00F75C22">
        <w:rPr>
          <w:rFonts w:ascii="Book Antiqua" w:hAnsi="Book Antiqua"/>
          <w:color w:val="000000"/>
          <w:sz w:val="24"/>
          <w:vertAlign w:val="superscript"/>
        </w:rPr>
        <w:t>27</w:t>
      </w:r>
      <w:r w:rsidR="00EF21E8" w:rsidRPr="00F75C22">
        <w:rPr>
          <w:rFonts w:ascii="Book Antiqua" w:hAnsi="Book Antiqua"/>
          <w:color w:val="000000"/>
          <w:sz w:val="24"/>
          <w:vertAlign w:val="superscript"/>
        </w:rPr>
        <w:t>,</w:t>
      </w:r>
      <w:r w:rsidR="0096529F" w:rsidRPr="00F75C22">
        <w:rPr>
          <w:rFonts w:ascii="Book Antiqua" w:hAnsi="Book Antiqua"/>
          <w:color w:val="000000"/>
          <w:sz w:val="24"/>
          <w:vertAlign w:val="superscript"/>
        </w:rPr>
        <w:t>28</w:t>
      </w:r>
      <w:r w:rsidR="00EF21E8" w:rsidRPr="00F75C22">
        <w:rPr>
          <w:rFonts w:ascii="Book Antiqua" w:hAnsi="Book Antiqua"/>
          <w:color w:val="000000"/>
          <w:sz w:val="24"/>
          <w:vertAlign w:val="superscript"/>
        </w:rPr>
        <w:t>]</w:t>
      </w:r>
      <w:r w:rsidRPr="00F75C22">
        <w:rPr>
          <w:rFonts w:ascii="Book Antiqua" w:hAnsi="Book Antiqua"/>
          <w:color w:val="000000"/>
          <w:sz w:val="24"/>
        </w:rPr>
        <w:t>. The role of HER2 as a prognostic factor in CRCs is still controversial, as some of the earlier studies have failed to identify any specific association with prognosis</w:t>
      </w:r>
      <w:r w:rsidR="00EF21E8" w:rsidRPr="00F75C22">
        <w:rPr>
          <w:rFonts w:ascii="Book Antiqua" w:hAnsi="Book Antiqua"/>
          <w:color w:val="000000"/>
          <w:sz w:val="24"/>
          <w:vertAlign w:val="superscript"/>
        </w:rPr>
        <w:t>[</w:t>
      </w:r>
      <w:r w:rsidR="0096529F" w:rsidRPr="00F75C22">
        <w:rPr>
          <w:rFonts w:ascii="Book Antiqua" w:hAnsi="Book Antiqua"/>
          <w:color w:val="000000"/>
          <w:sz w:val="24"/>
          <w:vertAlign w:val="superscript"/>
        </w:rPr>
        <w:t>28,</w:t>
      </w:r>
      <w:r w:rsidR="00043357" w:rsidRPr="00F75C22">
        <w:rPr>
          <w:rFonts w:ascii="Book Antiqua" w:hAnsi="Book Antiqua"/>
          <w:color w:val="000000"/>
          <w:sz w:val="24"/>
          <w:vertAlign w:val="superscript"/>
        </w:rPr>
        <w:t>29</w:t>
      </w:r>
      <w:r w:rsidR="00EF21E8" w:rsidRPr="00F75C22">
        <w:rPr>
          <w:rFonts w:ascii="Book Antiqua" w:hAnsi="Book Antiqua"/>
          <w:color w:val="000000"/>
          <w:sz w:val="24"/>
          <w:vertAlign w:val="superscript"/>
        </w:rPr>
        <w:t>]</w:t>
      </w:r>
      <w:r w:rsidRPr="00F75C22">
        <w:rPr>
          <w:rFonts w:ascii="Book Antiqua" w:hAnsi="Book Antiqua"/>
          <w:color w:val="000000"/>
          <w:sz w:val="24"/>
        </w:rPr>
        <w:t xml:space="preserve"> while others reported a correlation between </w:t>
      </w:r>
      <w:r w:rsidRPr="00F75C22">
        <w:rPr>
          <w:rFonts w:ascii="Book Antiqua" w:hAnsi="Book Antiqua"/>
          <w:i/>
          <w:color w:val="000000"/>
          <w:sz w:val="24"/>
        </w:rPr>
        <w:t>HER2</w:t>
      </w:r>
      <w:r w:rsidRPr="00F75C22">
        <w:rPr>
          <w:rFonts w:ascii="Book Antiqua" w:hAnsi="Book Antiqua"/>
          <w:color w:val="000000"/>
          <w:sz w:val="24"/>
        </w:rPr>
        <w:t xml:space="preserve"> gene amplification and poorer survival</w:t>
      </w:r>
      <w:r w:rsidR="00EF21E8" w:rsidRPr="00F75C22">
        <w:rPr>
          <w:rFonts w:ascii="Book Antiqua" w:hAnsi="Book Antiqua"/>
          <w:color w:val="000000"/>
          <w:sz w:val="24"/>
          <w:vertAlign w:val="superscript"/>
        </w:rPr>
        <w:t>[</w:t>
      </w:r>
      <w:r w:rsidR="00EB23E6" w:rsidRPr="00F75C22">
        <w:rPr>
          <w:rFonts w:ascii="Book Antiqua" w:hAnsi="Book Antiqua"/>
          <w:color w:val="000000"/>
          <w:sz w:val="24"/>
          <w:vertAlign w:val="superscript"/>
        </w:rPr>
        <w:t>30</w:t>
      </w:r>
      <w:r w:rsidR="00EF21E8" w:rsidRPr="00F75C22">
        <w:rPr>
          <w:rFonts w:ascii="Book Antiqua" w:hAnsi="Book Antiqua"/>
          <w:color w:val="000000"/>
          <w:sz w:val="24"/>
          <w:vertAlign w:val="superscript"/>
        </w:rPr>
        <w:t>]</w:t>
      </w:r>
      <w:r w:rsidRPr="00F75C22">
        <w:rPr>
          <w:rFonts w:ascii="Book Antiqua" w:hAnsi="Book Antiqua"/>
          <w:color w:val="000000"/>
          <w:sz w:val="24"/>
        </w:rPr>
        <w:t>.</w:t>
      </w:r>
      <w:r w:rsidR="00273F6C" w:rsidRPr="00F75C22">
        <w:rPr>
          <w:rFonts w:ascii="Book Antiqua" w:hAnsi="Book Antiqua"/>
          <w:color w:val="000000"/>
          <w:sz w:val="24"/>
        </w:rPr>
        <w:t xml:space="preserve"> </w:t>
      </w:r>
      <w:r w:rsidR="00901F71" w:rsidRPr="00F75C22">
        <w:rPr>
          <w:rFonts w:ascii="Book Antiqua" w:hAnsi="Book Antiqua"/>
          <w:color w:val="000000"/>
          <w:sz w:val="24"/>
        </w:rPr>
        <w:t>S</w:t>
      </w:r>
      <w:r w:rsidR="00273F6C" w:rsidRPr="00F75C22">
        <w:rPr>
          <w:rFonts w:ascii="Book Antiqua" w:hAnsi="Book Antiqua"/>
          <w:color w:val="000000"/>
          <w:sz w:val="24"/>
        </w:rPr>
        <w:t xml:space="preserve">imilar observations </w:t>
      </w:r>
      <w:r w:rsidR="00901F71" w:rsidRPr="00F75C22">
        <w:rPr>
          <w:rFonts w:ascii="Book Antiqua" w:hAnsi="Book Antiqua"/>
          <w:color w:val="000000"/>
          <w:sz w:val="24"/>
        </w:rPr>
        <w:t>have been made for</w:t>
      </w:r>
      <w:r w:rsidR="00273F6C" w:rsidRPr="00F75C22">
        <w:rPr>
          <w:rFonts w:ascii="Book Antiqua" w:hAnsi="Book Antiqua"/>
          <w:color w:val="000000"/>
          <w:sz w:val="24"/>
        </w:rPr>
        <w:t xml:space="preserve"> gastric cancer, although </w:t>
      </w:r>
      <w:r w:rsidR="00901F71" w:rsidRPr="00F75C22">
        <w:rPr>
          <w:rFonts w:ascii="Book Antiqua" w:hAnsi="Book Antiqua"/>
          <w:color w:val="000000"/>
          <w:sz w:val="24"/>
        </w:rPr>
        <w:t>a larger number of</w:t>
      </w:r>
      <w:r w:rsidR="00273F6C" w:rsidRPr="00F75C22">
        <w:rPr>
          <w:rFonts w:ascii="Book Antiqua" w:hAnsi="Book Antiqua"/>
          <w:color w:val="000000"/>
          <w:sz w:val="24"/>
        </w:rPr>
        <w:t xml:space="preserve"> studies </w:t>
      </w:r>
      <w:r w:rsidR="00901F71" w:rsidRPr="00F75C22">
        <w:rPr>
          <w:rFonts w:ascii="Book Antiqua" w:hAnsi="Book Antiqua"/>
          <w:color w:val="000000"/>
          <w:sz w:val="24"/>
        </w:rPr>
        <w:t>have supported</w:t>
      </w:r>
      <w:r w:rsidR="00273F6C" w:rsidRPr="00F75C22">
        <w:rPr>
          <w:rFonts w:ascii="Book Antiqua" w:hAnsi="Book Antiqua"/>
          <w:color w:val="000000"/>
          <w:sz w:val="24"/>
        </w:rPr>
        <w:t xml:space="preserve"> the association between HER2 overexpression and poorer survival</w:t>
      </w:r>
      <w:r w:rsidR="00273F6C" w:rsidRPr="00F75C22">
        <w:rPr>
          <w:rFonts w:ascii="Book Antiqua" w:hAnsi="Book Antiqua"/>
          <w:color w:val="000000"/>
          <w:sz w:val="24"/>
          <w:vertAlign w:val="superscript"/>
        </w:rPr>
        <w:t>[</w:t>
      </w:r>
      <w:r w:rsidR="003E601C" w:rsidRPr="00F75C22">
        <w:rPr>
          <w:rFonts w:ascii="Book Antiqua" w:hAnsi="Book Antiqua"/>
          <w:color w:val="000000"/>
          <w:sz w:val="24"/>
          <w:vertAlign w:val="superscript"/>
        </w:rPr>
        <w:t>31</w:t>
      </w:r>
      <w:r w:rsidR="00273F6C" w:rsidRPr="00F75C22">
        <w:rPr>
          <w:rFonts w:ascii="Book Antiqua" w:hAnsi="Book Antiqua"/>
          <w:color w:val="000000"/>
          <w:sz w:val="24"/>
          <w:vertAlign w:val="superscript"/>
        </w:rPr>
        <w:t>]</w:t>
      </w:r>
      <w:r w:rsidR="00273F6C" w:rsidRPr="00F75C22">
        <w:rPr>
          <w:rFonts w:ascii="Book Antiqua" w:hAnsi="Book Antiqua"/>
          <w:color w:val="000000"/>
          <w:sz w:val="24"/>
        </w:rPr>
        <w:t>.</w:t>
      </w:r>
      <w:r w:rsidR="00B67824" w:rsidRPr="00F75C22">
        <w:rPr>
          <w:rFonts w:ascii="Book Antiqua" w:hAnsi="Book Antiqua"/>
          <w:color w:val="000000"/>
          <w:sz w:val="24"/>
        </w:rPr>
        <w:t xml:space="preserve"> </w:t>
      </w:r>
      <w:r w:rsidRPr="00F75C22">
        <w:rPr>
          <w:rFonts w:ascii="Book Antiqua" w:hAnsi="Book Antiqua"/>
          <w:color w:val="000000"/>
          <w:sz w:val="24"/>
        </w:rPr>
        <w:t xml:space="preserve">Possible explanations for such discrepancies include: antibody resources, detection methods, scoring systems, and patient populations (different ethnic groups with different genetic backgrounds). </w:t>
      </w:r>
      <w:r w:rsidR="00FC7C8E" w:rsidRPr="00F75C22">
        <w:rPr>
          <w:rFonts w:ascii="Book Antiqua" w:hAnsi="Book Antiqua"/>
          <w:color w:val="000000"/>
          <w:sz w:val="24"/>
        </w:rPr>
        <w:t xml:space="preserve">It has been </w:t>
      </w:r>
      <w:r w:rsidR="00901F71" w:rsidRPr="00F75C22">
        <w:rPr>
          <w:rFonts w:ascii="Book Antiqua" w:hAnsi="Book Antiqua"/>
          <w:color w:val="000000"/>
          <w:sz w:val="24"/>
        </w:rPr>
        <w:t>clearly demonstrated</w:t>
      </w:r>
      <w:r w:rsidR="00FC7C8E" w:rsidRPr="00F75C22">
        <w:rPr>
          <w:rFonts w:ascii="Book Antiqua" w:hAnsi="Book Antiqua"/>
          <w:color w:val="000000"/>
          <w:sz w:val="24"/>
        </w:rPr>
        <w:t xml:space="preserve"> that </w:t>
      </w:r>
      <w:r w:rsidR="00FC7C8E" w:rsidRPr="00F75C22">
        <w:rPr>
          <w:rFonts w:ascii="Book Antiqua" w:hAnsi="Book Antiqua"/>
          <w:i/>
          <w:color w:val="000000"/>
          <w:sz w:val="24"/>
        </w:rPr>
        <w:t>HER2</w:t>
      </w:r>
      <w:r w:rsidR="00FC7C8E" w:rsidRPr="00F75C22">
        <w:rPr>
          <w:rFonts w:ascii="Book Antiqua" w:hAnsi="Book Antiqua"/>
          <w:color w:val="000000"/>
          <w:sz w:val="24"/>
        </w:rPr>
        <w:t xml:space="preserve"> gene amplification </w:t>
      </w:r>
      <w:r w:rsidR="00901F71" w:rsidRPr="00F75C22">
        <w:rPr>
          <w:rFonts w:ascii="Book Antiqua" w:hAnsi="Book Antiqua"/>
          <w:color w:val="000000"/>
          <w:sz w:val="24"/>
        </w:rPr>
        <w:t>differs</w:t>
      </w:r>
      <w:r w:rsidR="00FC7C8E" w:rsidRPr="00F75C22">
        <w:rPr>
          <w:rFonts w:ascii="Book Antiqua" w:hAnsi="Book Antiqua"/>
          <w:color w:val="000000"/>
          <w:sz w:val="24"/>
        </w:rPr>
        <w:t xml:space="preserve"> significantly between </w:t>
      </w:r>
      <w:r w:rsidR="005D2863" w:rsidRPr="00F75C22">
        <w:rPr>
          <w:rFonts w:ascii="Book Antiqua" w:hAnsi="Book Antiqua"/>
          <w:color w:val="000000"/>
          <w:sz w:val="24"/>
        </w:rPr>
        <w:t>right/left-sided</w:t>
      </w:r>
      <w:r w:rsidR="00FC7C8E" w:rsidRPr="00F75C22">
        <w:rPr>
          <w:rFonts w:ascii="Book Antiqua" w:hAnsi="Book Antiqua"/>
          <w:color w:val="000000"/>
          <w:sz w:val="24"/>
        </w:rPr>
        <w:t xml:space="preserve"> and </w:t>
      </w:r>
      <w:r w:rsidR="00901F71" w:rsidRPr="00F75C22">
        <w:rPr>
          <w:rFonts w:ascii="Book Antiqua" w:hAnsi="Book Antiqua"/>
          <w:color w:val="000000"/>
          <w:sz w:val="24"/>
        </w:rPr>
        <w:t>rectal</w:t>
      </w:r>
      <w:r w:rsidR="00FC7C8E" w:rsidRPr="00F75C22">
        <w:rPr>
          <w:rFonts w:ascii="Book Antiqua" w:hAnsi="Book Antiqua"/>
          <w:color w:val="000000"/>
          <w:sz w:val="24"/>
        </w:rPr>
        <w:t xml:space="preserve"> carcinoma</w:t>
      </w:r>
      <w:r w:rsidR="00901F71" w:rsidRPr="00F75C22">
        <w:rPr>
          <w:rFonts w:ascii="Book Antiqua" w:hAnsi="Book Antiqua"/>
          <w:color w:val="000000"/>
          <w:sz w:val="24"/>
        </w:rPr>
        <w:t>s</w:t>
      </w:r>
      <w:r w:rsidR="00FC7C8E" w:rsidRPr="00F75C22">
        <w:rPr>
          <w:rFonts w:ascii="Book Antiqua" w:hAnsi="Book Antiqua"/>
          <w:color w:val="000000"/>
          <w:sz w:val="24"/>
        </w:rPr>
        <w:t xml:space="preserve">. </w:t>
      </w:r>
      <w:r w:rsidR="00901F71" w:rsidRPr="00F75C22">
        <w:rPr>
          <w:rFonts w:ascii="Book Antiqua" w:hAnsi="Book Antiqua"/>
          <w:color w:val="000000"/>
          <w:sz w:val="24"/>
        </w:rPr>
        <w:t xml:space="preserve">We were not able to produce similar results, potentially due to differences in groups analyzed, </w:t>
      </w:r>
      <w:r w:rsidR="00FC7C8E" w:rsidRPr="00F75C22">
        <w:rPr>
          <w:rFonts w:ascii="Book Antiqua" w:hAnsi="Book Antiqua"/>
          <w:color w:val="000000"/>
          <w:sz w:val="24"/>
        </w:rPr>
        <w:t xml:space="preserve">HER2 testing methods, and tumor biological </w:t>
      </w:r>
      <w:r w:rsidR="00901F71" w:rsidRPr="00F75C22">
        <w:rPr>
          <w:rFonts w:ascii="Book Antiqua" w:hAnsi="Book Antiqua"/>
          <w:color w:val="000000"/>
          <w:sz w:val="24"/>
        </w:rPr>
        <w:t>characteristics</w:t>
      </w:r>
      <w:r w:rsidR="00901F71" w:rsidRPr="00F75C22">
        <w:rPr>
          <w:rFonts w:ascii="Book Antiqua" w:hAnsi="Book Antiqua"/>
          <w:color w:val="000000"/>
          <w:sz w:val="24"/>
          <w:vertAlign w:val="superscript"/>
        </w:rPr>
        <w:t>[</w:t>
      </w:r>
      <w:r w:rsidR="003E601C" w:rsidRPr="00F75C22">
        <w:rPr>
          <w:rFonts w:ascii="Book Antiqua" w:hAnsi="Book Antiqua"/>
          <w:color w:val="000000"/>
          <w:sz w:val="24"/>
          <w:vertAlign w:val="superscript"/>
        </w:rPr>
        <w:t>32</w:t>
      </w:r>
      <w:r w:rsidR="00FC7C8E" w:rsidRPr="00F75C22">
        <w:rPr>
          <w:rFonts w:ascii="Book Antiqua" w:hAnsi="Book Antiqua"/>
          <w:color w:val="000000"/>
          <w:sz w:val="24"/>
          <w:vertAlign w:val="superscript"/>
        </w:rPr>
        <w:t>,</w:t>
      </w:r>
      <w:r w:rsidR="003E601C" w:rsidRPr="00F75C22">
        <w:rPr>
          <w:rFonts w:ascii="Book Antiqua" w:hAnsi="Book Antiqua"/>
          <w:color w:val="000000"/>
          <w:sz w:val="24"/>
          <w:vertAlign w:val="superscript"/>
        </w:rPr>
        <w:t>33</w:t>
      </w:r>
      <w:r w:rsidR="00FC7C8E" w:rsidRPr="00F75C22">
        <w:rPr>
          <w:rFonts w:ascii="Book Antiqua" w:hAnsi="Book Antiqua"/>
          <w:color w:val="000000"/>
          <w:sz w:val="24"/>
          <w:vertAlign w:val="superscript"/>
        </w:rPr>
        <w:t>]</w:t>
      </w:r>
      <w:r w:rsidR="00FC7C8E" w:rsidRPr="00F75C22">
        <w:rPr>
          <w:rFonts w:ascii="Book Antiqua" w:hAnsi="Book Antiqua"/>
          <w:color w:val="000000"/>
          <w:sz w:val="24"/>
        </w:rPr>
        <w:t>.</w:t>
      </w:r>
    </w:p>
    <w:p w:rsidR="00E64A87" w:rsidRPr="00F75C22" w:rsidRDefault="00E64A87" w:rsidP="000149DC">
      <w:pPr>
        <w:autoSpaceDE w:val="0"/>
        <w:autoSpaceDN w:val="0"/>
        <w:spacing w:line="360" w:lineRule="auto"/>
        <w:ind w:firstLine="420"/>
        <w:rPr>
          <w:rFonts w:ascii="Book Antiqua" w:hAnsi="Book Antiqua"/>
          <w:color w:val="000000"/>
          <w:kern w:val="0"/>
          <w:sz w:val="24"/>
        </w:rPr>
      </w:pPr>
      <w:r w:rsidRPr="00F75C22">
        <w:rPr>
          <w:rFonts w:ascii="Book Antiqua" w:hAnsi="Book Antiqua"/>
          <w:color w:val="000000"/>
          <w:kern w:val="0"/>
          <w:sz w:val="24"/>
        </w:rPr>
        <w:t xml:space="preserve">In summary, we investigated HER2 protein status and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status in a large series of colorectal adenocarcinomas. Our results show that HER2 protein overexpression is evident in 11.4% of colorectal adenocarcinomas. HER2 IHC scores of 3+ are highly correlated with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w:t>
      </w:r>
      <w:r w:rsidRPr="00F75C22">
        <w:rPr>
          <w:rFonts w:ascii="Book Antiqua" w:hAnsi="Book Antiqua"/>
          <w:color w:val="000000"/>
          <w:kern w:val="0"/>
          <w:sz w:val="24"/>
        </w:rPr>
        <w:lastRenderedPageBreak/>
        <w:t xml:space="preserve">while this correlation is weaker in tumors with IHC 2+ staining. We also observed an association between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and prognosis in patients with tubular adenocarcinomas who were 65 years or younger. Our study indicates that a certain population of patients with colorectal adenocarcinomas may benefit with HER2-targeted therapy. </w:t>
      </w:r>
    </w:p>
    <w:p w:rsidR="00260955" w:rsidRPr="00F75C22" w:rsidRDefault="00260955" w:rsidP="000149DC">
      <w:pPr>
        <w:adjustRightInd w:val="0"/>
        <w:snapToGrid w:val="0"/>
        <w:spacing w:line="360" w:lineRule="auto"/>
        <w:rPr>
          <w:rFonts w:ascii="Book Antiqua" w:hAnsi="Book Antiqua"/>
          <w:b/>
          <w:color w:val="000000"/>
          <w:sz w:val="24"/>
        </w:rPr>
      </w:pPr>
    </w:p>
    <w:p w:rsidR="00260955" w:rsidRPr="00F75C22" w:rsidRDefault="00260955" w:rsidP="000149DC">
      <w:pPr>
        <w:adjustRightInd w:val="0"/>
        <w:snapToGrid w:val="0"/>
        <w:spacing w:line="360" w:lineRule="auto"/>
        <w:rPr>
          <w:rFonts w:ascii="Book Antiqua" w:hAnsi="Book Antiqua"/>
          <w:b/>
          <w:color w:val="000000"/>
          <w:sz w:val="24"/>
        </w:rPr>
      </w:pPr>
      <w:r w:rsidRPr="00F75C22">
        <w:rPr>
          <w:rFonts w:ascii="Book Antiqua" w:hAnsi="Book Antiqua"/>
          <w:b/>
          <w:color w:val="000000"/>
          <w:sz w:val="24"/>
        </w:rPr>
        <w:t>ARTICLE HIGHLIGHTS</w:t>
      </w: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background</w:t>
      </w:r>
    </w:p>
    <w:p w:rsidR="00BD6ED5" w:rsidRPr="00F75C22" w:rsidRDefault="00DC7800" w:rsidP="000149DC">
      <w:pPr>
        <w:shd w:val="clear" w:color="auto" w:fill="FFFFFF"/>
        <w:spacing w:line="360" w:lineRule="auto"/>
        <w:rPr>
          <w:rFonts w:ascii="Book Antiqua" w:hAnsi="Book Antiqua"/>
          <w:color w:val="000000"/>
          <w:kern w:val="0"/>
          <w:sz w:val="24"/>
        </w:rPr>
      </w:pPr>
      <w:r w:rsidRPr="00F75C22">
        <w:rPr>
          <w:rFonts w:ascii="Book Antiqua" w:hAnsi="Book Antiqua"/>
          <w:color w:val="000000"/>
          <w:sz w:val="24"/>
        </w:rPr>
        <w:t xml:space="preserve">The vast majority of colorectal cancers are adenocarcinomas. Until recently, the role of chemotherapy in treating colorectal adenocarcinomas (CRCs) has been fairly limited, and as such there is a need to develop more effective therapeutic regimes for CRC. </w:t>
      </w:r>
      <w:r w:rsidR="00BD6ED5" w:rsidRPr="00F75C22">
        <w:rPr>
          <w:rFonts w:ascii="Book Antiqua" w:hAnsi="Book Antiqua"/>
          <w:color w:val="000000"/>
          <w:sz w:val="24"/>
        </w:rPr>
        <w:t xml:space="preserve">Human epidermal growth factor receptor 2 (HER2) is an oncogenic driver; it’s a well-established therapeutic target in breast and gastric cancers. </w:t>
      </w:r>
    </w:p>
    <w:p w:rsidR="006749B8" w:rsidRPr="00F75C22" w:rsidRDefault="006749B8" w:rsidP="000149DC">
      <w:pPr>
        <w:adjustRightInd w:val="0"/>
        <w:snapToGrid w:val="0"/>
        <w:spacing w:line="360" w:lineRule="auto"/>
        <w:rPr>
          <w:rFonts w:ascii="Book Antiqua" w:hAnsi="Book Antiqua"/>
          <w:b/>
          <w:i/>
          <w:color w:val="000000"/>
          <w:sz w:val="24"/>
        </w:rPr>
      </w:pP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motivation</w:t>
      </w:r>
    </w:p>
    <w:p w:rsidR="00BD6ED5" w:rsidRPr="00F75C22" w:rsidRDefault="00BD6ED5" w:rsidP="000149DC">
      <w:pPr>
        <w:pStyle w:val="af2"/>
        <w:shd w:val="clear" w:color="auto" w:fill="FFFFFF"/>
        <w:spacing w:before="0" w:beforeAutospacing="0" w:after="0" w:afterAutospacing="0" w:line="360" w:lineRule="auto"/>
        <w:jc w:val="both"/>
        <w:rPr>
          <w:rFonts w:ascii="Book Antiqua" w:hAnsi="Book Antiqua" w:cs="Times New Roman"/>
          <w:color w:val="000000"/>
        </w:rPr>
      </w:pPr>
      <w:r w:rsidRPr="00F75C22">
        <w:rPr>
          <w:rFonts w:ascii="Book Antiqua" w:hAnsi="Book Antiqua" w:cs="Times New Roman"/>
          <w:color w:val="000000"/>
        </w:rPr>
        <w:t>The role of HER2 as a prognostic biomarker in</w:t>
      </w:r>
      <w:r w:rsidRPr="00F75C22">
        <w:rPr>
          <w:rFonts w:ascii="Book Antiqua" w:hAnsi="Book Antiqua"/>
          <w:color w:val="000000"/>
        </w:rPr>
        <w:t xml:space="preserve"> </w:t>
      </w:r>
      <w:r w:rsidR="00DC7800" w:rsidRPr="00F75C22">
        <w:rPr>
          <w:rFonts w:ascii="Book Antiqua" w:hAnsi="Book Antiqua" w:cs="Times New Roman"/>
          <w:color w:val="000000"/>
        </w:rPr>
        <w:t>CRCs</w:t>
      </w:r>
      <w:r w:rsidRPr="00F75C22">
        <w:rPr>
          <w:rFonts w:ascii="Book Antiqua" w:hAnsi="Book Antiqua" w:cs="Times New Roman"/>
          <w:color w:val="000000"/>
        </w:rPr>
        <w:t xml:space="preserve"> remains uncertain, but its relevance as a therapeutic target has been established. </w:t>
      </w:r>
    </w:p>
    <w:p w:rsidR="00BD6ED5" w:rsidRPr="00F75C22" w:rsidRDefault="00BD6ED5" w:rsidP="000149DC">
      <w:pPr>
        <w:adjustRightInd w:val="0"/>
        <w:snapToGrid w:val="0"/>
        <w:spacing w:line="360" w:lineRule="auto"/>
        <w:rPr>
          <w:rFonts w:ascii="Book Antiqua" w:hAnsi="Book Antiqua"/>
          <w:b/>
          <w:i/>
          <w:color w:val="000000"/>
          <w:sz w:val="24"/>
        </w:rPr>
      </w:pP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objectives</w:t>
      </w:r>
    </w:p>
    <w:p w:rsidR="00BD6ED5" w:rsidRPr="00F75C22" w:rsidRDefault="00BD6ED5" w:rsidP="000149DC">
      <w:pPr>
        <w:adjustRightInd w:val="0"/>
        <w:snapToGrid w:val="0"/>
        <w:spacing w:line="360" w:lineRule="auto"/>
        <w:rPr>
          <w:rFonts w:ascii="Book Antiqua" w:hAnsi="Book Antiqua"/>
          <w:color w:val="000000"/>
          <w:sz w:val="24"/>
        </w:rPr>
      </w:pPr>
      <w:r w:rsidRPr="00F75C22">
        <w:rPr>
          <w:rFonts w:ascii="Book Antiqua" w:hAnsi="Book Antiqua"/>
          <w:color w:val="000000"/>
          <w:sz w:val="24"/>
        </w:rPr>
        <w:t>In this study, the authors aim to evaluate the frequency of HER2 expression in CRC and to correlate it with various clinicopathological variables.</w:t>
      </w:r>
    </w:p>
    <w:p w:rsidR="006749B8" w:rsidRPr="00F75C22" w:rsidRDefault="006749B8" w:rsidP="000149DC">
      <w:pPr>
        <w:adjustRightInd w:val="0"/>
        <w:snapToGrid w:val="0"/>
        <w:spacing w:line="360" w:lineRule="auto"/>
        <w:rPr>
          <w:rFonts w:ascii="Book Antiqua" w:hAnsi="Book Antiqua"/>
          <w:b/>
          <w:i/>
          <w:color w:val="000000"/>
          <w:sz w:val="24"/>
        </w:rPr>
      </w:pP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methods</w:t>
      </w:r>
    </w:p>
    <w:p w:rsidR="00DC7800" w:rsidRPr="00F75C22" w:rsidRDefault="00DC7800"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 xml:space="preserve">In this study, to assess HER2 protein expression, 1195 consecutive surgically resected CRCs were analyzed by immunohistochemical staining (IHC). And to assess </w:t>
      </w: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141 selected tumors were further evaluated by fluorescence </w:t>
      </w:r>
      <w:r w:rsidRPr="00F75C22">
        <w:rPr>
          <w:rFonts w:ascii="Book Antiqua" w:hAnsi="Book Antiqua"/>
          <w:i/>
          <w:color w:val="000000"/>
          <w:kern w:val="0"/>
          <w:sz w:val="24"/>
        </w:rPr>
        <w:t>in situ</w:t>
      </w:r>
      <w:r w:rsidRPr="00F75C22">
        <w:rPr>
          <w:rFonts w:ascii="Book Antiqua" w:hAnsi="Book Antiqua"/>
          <w:color w:val="000000"/>
          <w:kern w:val="0"/>
          <w:sz w:val="24"/>
        </w:rPr>
        <w:t xml:space="preserve"> hybridization (FISH). </w:t>
      </w:r>
      <w:r w:rsidR="00334DD8" w:rsidRPr="00F75C22">
        <w:rPr>
          <w:rFonts w:ascii="Book Antiqua" w:hAnsi="Book Antiqua"/>
          <w:color w:val="000000"/>
          <w:kern w:val="0"/>
          <w:sz w:val="24"/>
        </w:rPr>
        <w:t>The authors</w:t>
      </w:r>
      <w:r w:rsidRPr="00F75C22">
        <w:rPr>
          <w:rFonts w:ascii="Book Antiqua" w:hAnsi="Book Antiqua"/>
          <w:color w:val="000000"/>
          <w:kern w:val="0"/>
          <w:sz w:val="24"/>
        </w:rPr>
        <w:t xml:space="preserve"> investigated the prevalence of HER2 protein overexpression and gene amplification in a large series of surgically resected CRCs, and evaluated the </w:t>
      </w:r>
      <w:r w:rsidRPr="00F75C22">
        <w:rPr>
          <w:rFonts w:ascii="Book Antiqua" w:hAnsi="Book Antiqua"/>
          <w:color w:val="000000"/>
          <w:kern w:val="0"/>
          <w:sz w:val="24"/>
        </w:rPr>
        <w:lastRenderedPageBreak/>
        <w:t xml:space="preserve">relationship between overexpression and clinicopathological parameters and prognosis. </w:t>
      </w:r>
    </w:p>
    <w:p w:rsidR="006749B8" w:rsidRPr="00F75C22" w:rsidRDefault="006749B8" w:rsidP="000149DC">
      <w:pPr>
        <w:adjustRightInd w:val="0"/>
        <w:snapToGrid w:val="0"/>
        <w:spacing w:line="360" w:lineRule="auto"/>
        <w:rPr>
          <w:rFonts w:ascii="Book Antiqua" w:hAnsi="Book Antiqua"/>
          <w:b/>
          <w:i/>
          <w:color w:val="000000"/>
          <w:sz w:val="24"/>
        </w:rPr>
      </w:pP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results</w:t>
      </w:r>
    </w:p>
    <w:p w:rsidR="00334DD8" w:rsidRPr="00F75C22" w:rsidRDefault="00334DD8" w:rsidP="000149DC">
      <w:pPr>
        <w:spacing w:line="360" w:lineRule="auto"/>
        <w:rPr>
          <w:rFonts w:ascii="Book Antiqua" w:hAnsi="Book Antiqua"/>
          <w:color w:val="000000"/>
          <w:sz w:val="24"/>
        </w:rPr>
      </w:pPr>
      <w:r w:rsidRPr="00F75C22">
        <w:rPr>
          <w:rFonts w:ascii="Book Antiqua" w:hAnsi="Book Antiqua"/>
          <w:i/>
          <w:color w:val="000000"/>
          <w:sz w:val="24"/>
        </w:rPr>
        <w:t>HER2</w:t>
      </w:r>
      <w:r w:rsidRPr="00F75C22">
        <w:rPr>
          <w:rFonts w:ascii="Book Antiqua" w:hAnsi="Book Antiqua"/>
          <w:color w:val="000000"/>
          <w:sz w:val="24"/>
        </w:rPr>
        <w:t xml:space="preserve"> gene amplification was seen in 24/29 tumors with an IHC score of 3+, 12/102 tumors with an IHC score of 2+, and 0 tumors with IHC score of 1+ (0/10). </w:t>
      </w:r>
      <w:r w:rsidRPr="00F75C22">
        <w:rPr>
          <w:rFonts w:ascii="Book Antiqua" w:hAnsi="Book Antiqua"/>
          <w:i/>
          <w:color w:val="000000"/>
          <w:sz w:val="24"/>
        </w:rPr>
        <w:t>HER2</w:t>
      </w:r>
      <w:r w:rsidRPr="00F75C22">
        <w:rPr>
          <w:rFonts w:ascii="Book Antiqua" w:hAnsi="Book Antiqua"/>
          <w:color w:val="000000"/>
          <w:sz w:val="24"/>
        </w:rPr>
        <w:t xml:space="preserve"> gene amplification was seen in 36/1191 tumors. Among the tumors with HER2 IHC scores of 3+ and 2+, the mean percentage of tumor cells with positive IHC staining was 90% and 67%. Among tumors with IHC scores of 2+, those with </w:t>
      </w:r>
      <w:r w:rsidRPr="00F75C22">
        <w:rPr>
          <w:rFonts w:ascii="Book Antiqua" w:hAnsi="Book Antiqua"/>
          <w:i/>
          <w:color w:val="000000"/>
          <w:sz w:val="24"/>
        </w:rPr>
        <w:t>HER2</w:t>
      </w:r>
      <w:r w:rsidRPr="00F75C22">
        <w:rPr>
          <w:rFonts w:ascii="Book Antiqua" w:hAnsi="Book Antiqua"/>
          <w:color w:val="000000"/>
          <w:sz w:val="24"/>
        </w:rPr>
        <w:t xml:space="preserve"> gene amplification had a higher number of tumors cells with positive IHC staining than those without. </w:t>
      </w:r>
      <w:r w:rsidRPr="00F75C22">
        <w:rPr>
          <w:rFonts w:ascii="Book Antiqua" w:hAnsi="Book Antiqua"/>
          <w:i/>
          <w:color w:val="000000"/>
          <w:sz w:val="24"/>
        </w:rPr>
        <w:t xml:space="preserve">HER2 </w:t>
      </w:r>
      <w:r w:rsidRPr="00F75C22">
        <w:rPr>
          <w:rFonts w:ascii="Book Antiqua" w:hAnsi="Book Antiqua"/>
          <w:color w:val="000000"/>
          <w:sz w:val="24"/>
        </w:rPr>
        <w:t xml:space="preserve">gene status was signiﬁcantly associated with distant tumor metastasis and stage. HER2 protein overexpression as measured by IHC or </w:t>
      </w:r>
      <w:r w:rsidRPr="00F75C22">
        <w:rPr>
          <w:rFonts w:ascii="Book Antiqua" w:hAnsi="Book Antiqua"/>
          <w:i/>
          <w:color w:val="000000"/>
          <w:sz w:val="24"/>
        </w:rPr>
        <w:t>HER2</w:t>
      </w:r>
      <w:r w:rsidRPr="00F75C22">
        <w:rPr>
          <w:rFonts w:ascii="Book Antiqua" w:hAnsi="Book Antiqua"/>
          <w:color w:val="000000"/>
          <w:sz w:val="24"/>
        </w:rPr>
        <w:t xml:space="preserve"> gene amplification as measured by FISH was not associated with overall survival (OS) or disease-specific survival for the overall group of 1058 patients. Among those patients with moderately to poorly differentiated tubular adenocarcinomas, those with positive HER2 tumor IHC scores (2+, 3+) had a shorter mean OS than those with negative HER2 IHC scores (0, 1+). </w:t>
      </w:r>
    </w:p>
    <w:p w:rsidR="006749B8" w:rsidRPr="00F75C22" w:rsidRDefault="006749B8" w:rsidP="000149DC">
      <w:pPr>
        <w:adjustRightInd w:val="0"/>
        <w:snapToGrid w:val="0"/>
        <w:spacing w:line="360" w:lineRule="auto"/>
        <w:rPr>
          <w:rFonts w:ascii="Book Antiqua" w:hAnsi="Book Antiqua"/>
          <w:b/>
          <w:i/>
          <w:color w:val="000000"/>
          <w:sz w:val="24"/>
        </w:rPr>
      </w:pPr>
    </w:p>
    <w:p w:rsidR="006749B8" w:rsidRPr="00F75C22" w:rsidRDefault="006749B8" w:rsidP="000149DC">
      <w:pPr>
        <w:adjustRightInd w:val="0"/>
        <w:snapToGrid w:val="0"/>
        <w:spacing w:line="360" w:lineRule="auto"/>
        <w:rPr>
          <w:rFonts w:ascii="Book Antiqua" w:hAnsi="Book Antiqua"/>
          <w:b/>
          <w:i/>
          <w:color w:val="000000"/>
          <w:sz w:val="24"/>
        </w:rPr>
      </w:pPr>
      <w:r w:rsidRPr="00F75C22">
        <w:rPr>
          <w:rFonts w:ascii="Book Antiqua" w:hAnsi="Book Antiqua"/>
          <w:b/>
          <w:i/>
          <w:color w:val="000000"/>
          <w:sz w:val="24"/>
        </w:rPr>
        <w:t>Research conclusions</w:t>
      </w:r>
    </w:p>
    <w:p w:rsidR="00AF3667" w:rsidRPr="00F75C22" w:rsidRDefault="00C54B6E" w:rsidP="000149DC">
      <w:pPr>
        <w:spacing w:line="360" w:lineRule="auto"/>
        <w:rPr>
          <w:rFonts w:ascii="Book Antiqua" w:hAnsi="Book Antiqua"/>
          <w:color w:val="000000"/>
          <w:kern w:val="0"/>
          <w:sz w:val="24"/>
        </w:rPr>
      </w:pPr>
      <w:r w:rsidRPr="00F75C22">
        <w:rPr>
          <w:rFonts w:ascii="Book Antiqua" w:hAnsi="Book Antiqua"/>
          <w:color w:val="000000"/>
          <w:kern w:val="0"/>
          <w:sz w:val="24"/>
        </w:rPr>
        <w:t xml:space="preserve">HER2 protein levels are correlated with clinical outcomes, and positive HER2 expression confers a worse prognosis in patients 65 years old or younger with tubular adenocarcinomas. </w:t>
      </w:r>
    </w:p>
    <w:p w:rsidR="00F27BF7" w:rsidRPr="00F75C22" w:rsidRDefault="00F27BF7" w:rsidP="000149DC">
      <w:pPr>
        <w:autoSpaceDE w:val="0"/>
        <w:autoSpaceDN w:val="0"/>
        <w:spacing w:line="360" w:lineRule="auto"/>
        <w:rPr>
          <w:rFonts w:ascii="Book Antiqua" w:hAnsi="Book Antiqua"/>
          <w:b/>
          <w:color w:val="000000"/>
          <w:kern w:val="0"/>
          <w:sz w:val="24"/>
        </w:rPr>
      </w:pPr>
    </w:p>
    <w:p w:rsidR="004C6037" w:rsidRPr="00F75C22" w:rsidRDefault="00E64A87" w:rsidP="000149DC">
      <w:pPr>
        <w:spacing w:line="360" w:lineRule="auto"/>
        <w:rPr>
          <w:rFonts w:ascii="Book Antiqua" w:hAnsi="Book Antiqua"/>
          <w:b/>
          <w:color w:val="000000"/>
          <w:kern w:val="0"/>
          <w:sz w:val="24"/>
        </w:rPr>
      </w:pPr>
      <w:r w:rsidRPr="00F75C22">
        <w:rPr>
          <w:rFonts w:ascii="Book Antiqua" w:hAnsi="Book Antiqua"/>
          <w:b/>
          <w:color w:val="000000"/>
          <w:kern w:val="0"/>
          <w:sz w:val="24"/>
        </w:rPr>
        <w:t>REFERENCES</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 </w:t>
      </w:r>
      <w:r w:rsidRPr="00F75C22">
        <w:rPr>
          <w:rFonts w:ascii="Book Antiqua" w:hAnsi="Book Antiqua"/>
          <w:b/>
          <w:color w:val="000000"/>
          <w:sz w:val="24"/>
        </w:rPr>
        <w:t>Jemal A</w:t>
      </w:r>
      <w:r w:rsidRPr="00F75C22">
        <w:rPr>
          <w:rFonts w:ascii="Book Antiqua" w:hAnsi="Book Antiqua"/>
          <w:color w:val="000000"/>
          <w:sz w:val="24"/>
        </w:rPr>
        <w:t xml:space="preserve">, Siegel R, Ward E, Hao Y, Xu J, Murray T, Thun MJ. Cancer statistics, 2008. </w:t>
      </w:r>
      <w:r w:rsidRPr="00F75C22">
        <w:rPr>
          <w:rFonts w:ascii="Book Antiqua" w:hAnsi="Book Antiqua"/>
          <w:i/>
          <w:color w:val="000000"/>
          <w:sz w:val="24"/>
        </w:rPr>
        <w:t>CA Cancer J Clin</w:t>
      </w:r>
      <w:r w:rsidRPr="00F75C22">
        <w:rPr>
          <w:rFonts w:ascii="Book Antiqua" w:hAnsi="Book Antiqua"/>
          <w:color w:val="000000"/>
          <w:sz w:val="24"/>
        </w:rPr>
        <w:t xml:space="preserve"> 2008; </w:t>
      </w:r>
      <w:r w:rsidRPr="00F75C22">
        <w:rPr>
          <w:rFonts w:ascii="Book Antiqua" w:hAnsi="Book Antiqua"/>
          <w:b/>
          <w:color w:val="000000"/>
          <w:sz w:val="24"/>
        </w:rPr>
        <w:t>58</w:t>
      </w:r>
      <w:r w:rsidRPr="00F75C22">
        <w:rPr>
          <w:rFonts w:ascii="Book Antiqua" w:hAnsi="Book Antiqua"/>
          <w:color w:val="000000"/>
          <w:sz w:val="24"/>
        </w:rPr>
        <w:t>: 71-96 [PMID: 18287387 DOI: 10.3322/CA.2007.0010]</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 </w:t>
      </w:r>
      <w:r w:rsidRPr="00F75C22">
        <w:rPr>
          <w:rFonts w:ascii="Book Antiqua" w:hAnsi="Book Antiqua"/>
          <w:b/>
          <w:color w:val="000000"/>
          <w:sz w:val="24"/>
        </w:rPr>
        <w:t>Akiyama T</w:t>
      </w:r>
      <w:r w:rsidRPr="00F75C22">
        <w:rPr>
          <w:rFonts w:ascii="Book Antiqua" w:hAnsi="Book Antiqua"/>
          <w:color w:val="000000"/>
          <w:sz w:val="24"/>
        </w:rPr>
        <w:t xml:space="preserve">, Sudo C, Ogawara H, Toyoshima K, Yamamoto T. The product of the human c-erbB-2 gene: a 185-kilodalton glycoprotein with tyrosine </w:t>
      </w:r>
      <w:r w:rsidRPr="00F75C22">
        <w:rPr>
          <w:rFonts w:ascii="Book Antiqua" w:hAnsi="Book Antiqua"/>
          <w:color w:val="000000"/>
          <w:sz w:val="24"/>
        </w:rPr>
        <w:lastRenderedPageBreak/>
        <w:t xml:space="preserve">kinase activity. </w:t>
      </w:r>
      <w:r w:rsidRPr="00F75C22">
        <w:rPr>
          <w:rFonts w:ascii="Book Antiqua" w:hAnsi="Book Antiqua"/>
          <w:i/>
          <w:color w:val="000000"/>
          <w:sz w:val="24"/>
        </w:rPr>
        <w:t>Science</w:t>
      </w:r>
      <w:r w:rsidRPr="00F75C22">
        <w:rPr>
          <w:rFonts w:ascii="Book Antiqua" w:hAnsi="Book Antiqua"/>
          <w:color w:val="000000"/>
          <w:sz w:val="24"/>
        </w:rPr>
        <w:t xml:space="preserve"> 1986; </w:t>
      </w:r>
      <w:r w:rsidRPr="00F75C22">
        <w:rPr>
          <w:rFonts w:ascii="Book Antiqua" w:hAnsi="Book Antiqua"/>
          <w:b/>
          <w:color w:val="000000"/>
          <w:sz w:val="24"/>
        </w:rPr>
        <w:t>232</w:t>
      </w:r>
      <w:r w:rsidRPr="00F75C22">
        <w:rPr>
          <w:rFonts w:ascii="Book Antiqua" w:hAnsi="Book Antiqua"/>
          <w:color w:val="000000"/>
          <w:sz w:val="24"/>
        </w:rPr>
        <w:t>: 1644-1646 [PMID: 3012781 DOI: 10.1126/science.3012781]</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3 </w:t>
      </w:r>
      <w:r w:rsidRPr="00F75C22">
        <w:rPr>
          <w:rFonts w:ascii="Book Antiqua" w:hAnsi="Book Antiqua"/>
          <w:b/>
          <w:color w:val="000000"/>
          <w:sz w:val="24"/>
        </w:rPr>
        <w:t>Slamon DJ</w:t>
      </w:r>
      <w:r w:rsidRPr="00F75C22">
        <w:rPr>
          <w:rFonts w:ascii="Book Antiqua" w:hAnsi="Book Antiqua"/>
          <w:color w:val="000000"/>
          <w:sz w:val="24"/>
        </w:rPr>
        <w:t xml:space="preserve">, Clark GM, Wong SG, Levin WJ, Ullrich A, McGuire WL. Human breast cancer: correlation of relapse and survival with amplification of the HER-2/neu oncogene. </w:t>
      </w:r>
      <w:r w:rsidRPr="00F75C22">
        <w:rPr>
          <w:rFonts w:ascii="Book Antiqua" w:hAnsi="Book Antiqua"/>
          <w:i/>
          <w:color w:val="000000"/>
          <w:sz w:val="24"/>
        </w:rPr>
        <w:t>Science</w:t>
      </w:r>
      <w:r w:rsidRPr="00F75C22">
        <w:rPr>
          <w:rFonts w:ascii="Book Antiqua" w:hAnsi="Book Antiqua"/>
          <w:color w:val="000000"/>
          <w:sz w:val="24"/>
        </w:rPr>
        <w:t xml:space="preserve"> 1987; </w:t>
      </w:r>
      <w:r w:rsidRPr="00F75C22">
        <w:rPr>
          <w:rFonts w:ascii="Book Antiqua" w:hAnsi="Book Antiqua"/>
          <w:b/>
          <w:color w:val="000000"/>
          <w:sz w:val="24"/>
        </w:rPr>
        <w:t>235</w:t>
      </w:r>
      <w:r w:rsidRPr="00F75C22">
        <w:rPr>
          <w:rFonts w:ascii="Book Antiqua" w:hAnsi="Book Antiqua"/>
          <w:color w:val="000000"/>
          <w:sz w:val="24"/>
        </w:rPr>
        <w:t>: 177-182 [PMID: 3798106 DOI: 10.1126/science.3798106]</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4 </w:t>
      </w:r>
      <w:r w:rsidRPr="00F75C22">
        <w:rPr>
          <w:rFonts w:ascii="Book Antiqua" w:hAnsi="Book Antiqua"/>
          <w:b/>
          <w:color w:val="000000"/>
          <w:sz w:val="24"/>
        </w:rPr>
        <w:t>Gutierrez C</w:t>
      </w:r>
      <w:r w:rsidRPr="00F75C22">
        <w:rPr>
          <w:rFonts w:ascii="Book Antiqua" w:hAnsi="Book Antiqua"/>
          <w:color w:val="000000"/>
          <w:sz w:val="24"/>
        </w:rPr>
        <w:t xml:space="preserve">, Schiff R. HER2: biology, detection, and clinical implications. </w:t>
      </w:r>
      <w:r w:rsidRPr="00F75C22">
        <w:rPr>
          <w:rFonts w:ascii="Book Antiqua" w:hAnsi="Book Antiqua"/>
          <w:i/>
          <w:color w:val="000000"/>
          <w:sz w:val="24"/>
        </w:rPr>
        <w:t>Arch Pathol Lab Med</w:t>
      </w:r>
      <w:r w:rsidRPr="00F75C22">
        <w:rPr>
          <w:rFonts w:ascii="Book Antiqua" w:hAnsi="Book Antiqua"/>
          <w:color w:val="000000"/>
          <w:sz w:val="24"/>
        </w:rPr>
        <w:t xml:space="preserve"> 2011; </w:t>
      </w:r>
      <w:r w:rsidRPr="00F75C22">
        <w:rPr>
          <w:rFonts w:ascii="Book Antiqua" w:hAnsi="Book Antiqua"/>
          <w:b/>
          <w:color w:val="000000"/>
          <w:sz w:val="24"/>
        </w:rPr>
        <w:t>135</w:t>
      </w:r>
      <w:r w:rsidRPr="00F75C22">
        <w:rPr>
          <w:rFonts w:ascii="Book Antiqua" w:hAnsi="Book Antiqua"/>
          <w:color w:val="000000"/>
          <w:sz w:val="24"/>
        </w:rPr>
        <w:t>: 55-62 [PMID: 21204711 DOI: 10.1043/2010-0454-RAR.1]</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5 </w:t>
      </w:r>
      <w:r w:rsidRPr="00F75C22">
        <w:rPr>
          <w:rFonts w:ascii="Book Antiqua" w:hAnsi="Book Antiqua"/>
          <w:b/>
          <w:color w:val="000000"/>
          <w:sz w:val="24"/>
        </w:rPr>
        <w:t>Soerjomataram I</w:t>
      </w:r>
      <w:r w:rsidRPr="00F75C22">
        <w:rPr>
          <w:rFonts w:ascii="Book Antiqua" w:hAnsi="Book Antiqua"/>
          <w:color w:val="000000"/>
          <w:sz w:val="24"/>
        </w:rPr>
        <w:t xml:space="preserve">, Louwman MW, Ribot JG, Roukema JA, Coebergh JW. An overview of prognostic factors for long-term survivors of breast cancer. </w:t>
      </w:r>
      <w:r w:rsidRPr="00F75C22">
        <w:rPr>
          <w:rFonts w:ascii="Book Antiqua" w:hAnsi="Book Antiqua"/>
          <w:i/>
          <w:color w:val="000000"/>
          <w:sz w:val="24"/>
        </w:rPr>
        <w:t>Breast Cancer Res Treat</w:t>
      </w:r>
      <w:r w:rsidRPr="00F75C22">
        <w:rPr>
          <w:rFonts w:ascii="Book Antiqua" w:hAnsi="Book Antiqua"/>
          <w:color w:val="000000"/>
          <w:sz w:val="24"/>
        </w:rPr>
        <w:t xml:space="preserve"> 2008; </w:t>
      </w:r>
      <w:r w:rsidRPr="00F75C22">
        <w:rPr>
          <w:rFonts w:ascii="Book Antiqua" w:hAnsi="Book Antiqua"/>
          <w:b/>
          <w:color w:val="000000"/>
          <w:sz w:val="24"/>
        </w:rPr>
        <w:t>107</w:t>
      </w:r>
      <w:r w:rsidRPr="00F75C22">
        <w:rPr>
          <w:rFonts w:ascii="Book Antiqua" w:hAnsi="Book Antiqua"/>
          <w:color w:val="000000"/>
          <w:sz w:val="24"/>
        </w:rPr>
        <w:t>: 309-330 [PMID: 17377838 DOI: 10.1007/s10549-007-9556-1]</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6 </w:t>
      </w:r>
      <w:r w:rsidRPr="00F75C22">
        <w:rPr>
          <w:rFonts w:ascii="Book Antiqua" w:hAnsi="Book Antiqua"/>
          <w:b/>
          <w:color w:val="000000"/>
          <w:sz w:val="24"/>
        </w:rPr>
        <w:t>Gianni L</w:t>
      </w:r>
      <w:r w:rsidRPr="00F75C22">
        <w:rPr>
          <w:rFonts w:ascii="Book Antiqua" w:hAnsi="Book Antiqua"/>
          <w:color w:val="000000"/>
          <w:sz w:val="24"/>
        </w:rPr>
        <w:t xml:space="preserve">, Dafni U, Gelber RD, Azambuja E, Muehlbauer S, Goldhirsch A, Untch M, Smith I, Baselga J, Jackisch C, Cameron D, Mano M, Pedrini JL, Veronesi A, Mendiola C, Pluzanska A, Semiglazov V, Vrdoljak E, Eckart MJ, Shen Z, Skiadopoulos G, Procter M, Pritchard KI, Piccart-Gebhart MJ, Bell R; Herceptin Adjuvant (HERA) Trial Study Team. Treatment with trastuzumab for 1 year after adjuvant chemotherapy in patients with HER2-positive early breast cancer: a 4-year follow-up of a randomised controlled trial. </w:t>
      </w:r>
      <w:r w:rsidRPr="00F75C22">
        <w:rPr>
          <w:rFonts w:ascii="Book Antiqua" w:hAnsi="Book Antiqua"/>
          <w:i/>
          <w:color w:val="000000"/>
          <w:sz w:val="24"/>
        </w:rPr>
        <w:t>Lancet Oncol</w:t>
      </w:r>
      <w:r w:rsidRPr="00F75C22">
        <w:rPr>
          <w:rFonts w:ascii="Book Antiqua" w:hAnsi="Book Antiqua"/>
          <w:color w:val="000000"/>
          <w:sz w:val="24"/>
        </w:rPr>
        <w:t xml:space="preserve"> 2011; </w:t>
      </w:r>
      <w:r w:rsidRPr="00F75C22">
        <w:rPr>
          <w:rFonts w:ascii="Book Antiqua" w:hAnsi="Book Antiqua"/>
          <w:b/>
          <w:color w:val="000000"/>
          <w:sz w:val="24"/>
        </w:rPr>
        <w:t>12</w:t>
      </w:r>
      <w:r w:rsidRPr="00F75C22">
        <w:rPr>
          <w:rFonts w:ascii="Book Antiqua" w:hAnsi="Book Antiqua"/>
          <w:color w:val="000000"/>
          <w:sz w:val="24"/>
        </w:rPr>
        <w:t>: 236-244 [PMID: 21354370 DOI: 10.1016/S1470-2045(11)70033-X]</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7 </w:t>
      </w:r>
      <w:r w:rsidRPr="00F75C22">
        <w:rPr>
          <w:rFonts w:ascii="Book Antiqua" w:hAnsi="Book Antiqua"/>
          <w:b/>
          <w:color w:val="000000"/>
          <w:sz w:val="24"/>
        </w:rPr>
        <w:t>Piccart-Gebhart MJ</w:t>
      </w:r>
      <w:r w:rsidRPr="00F75C22">
        <w:rPr>
          <w:rFonts w:ascii="Book Antiqua" w:hAnsi="Book Antiqua"/>
          <w:color w:val="000000"/>
          <w:sz w:val="24"/>
        </w:rPr>
        <w:t xml:space="preserve">, Procter M, Leyland-Jones B, Goldhirsch A, Untch M, Smith I, Gianni L, Baselga J, Bell R, Jackisch C, Cameron D, Dowsett M, Barrios CH, Steger G, Huang CS, Andersson M, Inbar M, Lichinitser M, Láng I, Nitz U, Iwata H, Thomssen C, Lohrisch C, Suter TM, Rüschoff J, Suto T, Greatorex V, Ward C, Straehle C, McFadden E, Dolci MS, Gelber RD; Herceptin Adjuvant (HERA) Trial Study Team. Trastuzumab after adjuvant chemotherapy in HER2-positive breast cancer. </w:t>
      </w:r>
      <w:r w:rsidRPr="00F75C22">
        <w:rPr>
          <w:rFonts w:ascii="Book Antiqua" w:hAnsi="Book Antiqua"/>
          <w:i/>
          <w:color w:val="000000"/>
          <w:sz w:val="24"/>
        </w:rPr>
        <w:t>N Engl J Med</w:t>
      </w:r>
      <w:r w:rsidRPr="00F75C22">
        <w:rPr>
          <w:rFonts w:ascii="Book Antiqua" w:hAnsi="Book Antiqua"/>
          <w:color w:val="000000"/>
          <w:sz w:val="24"/>
        </w:rPr>
        <w:t xml:space="preserve"> 2005; </w:t>
      </w:r>
      <w:r w:rsidRPr="00F75C22">
        <w:rPr>
          <w:rFonts w:ascii="Book Antiqua" w:hAnsi="Book Antiqua"/>
          <w:b/>
          <w:color w:val="000000"/>
          <w:sz w:val="24"/>
        </w:rPr>
        <w:t>353</w:t>
      </w:r>
      <w:r w:rsidRPr="00F75C22">
        <w:rPr>
          <w:rFonts w:ascii="Book Antiqua" w:hAnsi="Book Antiqua"/>
          <w:color w:val="000000"/>
          <w:sz w:val="24"/>
        </w:rPr>
        <w:t>: 1659-1672 [PMID: 16236737 DOI: 10.1056/NEJMoa052306]</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8 </w:t>
      </w:r>
      <w:r w:rsidRPr="00F75C22">
        <w:rPr>
          <w:rFonts w:ascii="Book Antiqua" w:hAnsi="Book Antiqua"/>
          <w:b/>
          <w:color w:val="000000"/>
          <w:sz w:val="24"/>
        </w:rPr>
        <w:t>Bang YJ</w:t>
      </w:r>
      <w:r w:rsidRPr="00F75C22">
        <w:rPr>
          <w:rFonts w:ascii="Book Antiqua" w:hAnsi="Book Antiqua"/>
          <w:color w:val="000000"/>
          <w:sz w:val="24"/>
        </w:rPr>
        <w:t xml:space="preserve">, Van Cutsem E, Feyereislova A, Chung HC, Shen L, Sawaki A, </w:t>
      </w:r>
      <w:r w:rsidRPr="00F75C22">
        <w:rPr>
          <w:rFonts w:ascii="Book Antiqua" w:hAnsi="Book Antiqua"/>
          <w:color w:val="000000"/>
          <w:sz w:val="24"/>
        </w:rPr>
        <w:lastRenderedPageBreak/>
        <w:t xml:space="preserve">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F75C22">
        <w:rPr>
          <w:rFonts w:ascii="Book Antiqua" w:hAnsi="Book Antiqua"/>
          <w:i/>
          <w:color w:val="000000"/>
          <w:sz w:val="24"/>
        </w:rPr>
        <w:t>Lancet</w:t>
      </w:r>
      <w:r w:rsidRPr="00F75C22">
        <w:rPr>
          <w:rFonts w:ascii="Book Antiqua" w:hAnsi="Book Antiqua"/>
          <w:color w:val="000000"/>
          <w:sz w:val="24"/>
        </w:rPr>
        <w:t xml:space="preserve"> 2010; </w:t>
      </w:r>
      <w:r w:rsidRPr="00F75C22">
        <w:rPr>
          <w:rFonts w:ascii="Book Antiqua" w:hAnsi="Book Antiqua"/>
          <w:b/>
          <w:color w:val="000000"/>
          <w:sz w:val="24"/>
        </w:rPr>
        <w:t>376</w:t>
      </w:r>
      <w:r w:rsidRPr="00F75C22">
        <w:rPr>
          <w:rFonts w:ascii="Book Antiqua" w:hAnsi="Book Antiqua"/>
          <w:color w:val="000000"/>
          <w:sz w:val="24"/>
        </w:rPr>
        <w:t>: 687-697 [PMID: 20728210 DOI: 10.1016/S0140-6736(10)61121-X]</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9 </w:t>
      </w:r>
      <w:r w:rsidRPr="00F75C22">
        <w:rPr>
          <w:rFonts w:ascii="Book Antiqua" w:hAnsi="Book Antiqua"/>
          <w:b/>
          <w:color w:val="000000"/>
          <w:sz w:val="24"/>
        </w:rPr>
        <w:t>Nathanson DR</w:t>
      </w:r>
      <w:r w:rsidRPr="00F75C22">
        <w:rPr>
          <w:rFonts w:ascii="Book Antiqua" w:hAnsi="Book Antiqua"/>
          <w:color w:val="000000"/>
          <w:sz w:val="24"/>
        </w:rPr>
        <w:t xml:space="preserve">, Culliford AT 4th, Shia J, Chen B, D'Alessio M, Zeng ZS, Nash GM, Gerald W, Barany F, Paty PB. HER 2/neu expression and gene amplification in colon cancer. </w:t>
      </w:r>
      <w:r w:rsidRPr="00F75C22">
        <w:rPr>
          <w:rFonts w:ascii="Book Antiqua" w:hAnsi="Book Antiqua"/>
          <w:i/>
          <w:color w:val="000000"/>
          <w:sz w:val="24"/>
        </w:rPr>
        <w:t>Int J Cancer</w:t>
      </w:r>
      <w:r w:rsidRPr="00F75C22">
        <w:rPr>
          <w:rFonts w:ascii="Book Antiqua" w:hAnsi="Book Antiqua"/>
          <w:color w:val="000000"/>
          <w:sz w:val="24"/>
        </w:rPr>
        <w:t xml:space="preserve"> 2003; </w:t>
      </w:r>
      <w:r w:rsidRPr="00F75C22">
        <w:rPr>
          <w:rFonts w:ascii="Book Antiqua" w:hAnsi="Book Antiqua"/>
          <w:b/>
          <w:color w:val="000000"/>
          <w:sz w:val="24"/>
        </w:rPr>
        <w:t>105</w:t>
      </w:r>
      <w:r w:rsidRPr="00F75C22">
        <w:rPr>
          <w:rFonts w:ascii="Book Antiqua" w:hAnsi="Book Antiqua"/>
          <w:color w:val="000000"/>
          <w:sz w:val="24"/>
        </w:rPr>
        <w:t>: 796-802 [PMID: 12767065 DOI: 10.1002/ijc.11137]</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10 </w:t>
      </w:r>
      <w:r w:rsidRPr="00F75C22">
        <w:rPr>
          <w:rFonts w:ascii="Book Antiqua" w:hAnsi="Book Antiqua"/>
          <w:b/>
          <w:color w:val="000000"/>
          <w:sz w:val="24"/>
        </w:rPr>
        <w:t>Park DI</w:t>
      </w:r>
      <w:r w:rsidRPr="00F75C22">
        <w:rPr>
          <w:rFonts w:ascii="Book Antiqua" w:hAnsi="Book Antiqua"/>
          <w:color w:val="000000"/>
          <w:sz w:val="24"/>
        </w:rPr>
        <w:t xml:space="preserve">, Kang MS, Oh SJ, Kim HJ, Cho YK, Sohn CI, Jeon WK, Kim BI, Han WK, Kim H, Ryu SH, Sepulveda AR. HER-2/neu overexpression is an independent prognostic factor in colorectal cancer. </w:t>
      </w:r>
      <w:r w:rsidRPr="00F75C22">
        <w:rPr>
          <w:rFonts w:ascii="Book Antiqua" w:hAnsi="Book Antiqua"/>
          <w:i/>
          <w:color w:val="000000"/>
          <w:sz w:val="24"/>
        </w:rPr>
        <w:t>Int J Colorectal Dis</w:t>
      </w:r>
      <w:r w:rsidRPr="00F75C22">
        <w:rPr>
          <w:rFonts w:ascii="Book Antiqua" w:hAnsi="Book Antiqua"/>
          <w:color w:val="000000"/>
          <w:sz w:val="24"/>
        </w:rPr>
        <w:t xml:space="preserve"> 2007; </w:t>
      </w:r>
      <w:r w:rsidRPr="00F75C22">
        <w:rPr>
          <w:rFonts w:ascii="Book Antiqua" w:hAnsi="Book Antiqua"/>
          <w:b/>
          <w:color w:val="000000"/>
          <w:sz w:val="24"/>
        </w:rPr>
        <w:t>22</w:t>
      </w:r>
      <w:r w:rsidRPr="00F75C22">
        <w:rPr>
          <w:rFonts w:ascii="Book Antiqua" w:hAnsi="Book Antiqua"/>
          <w:color w:val="000000"/>
          <w:sz w:val="24"/>
        </w:rPr>
        <w:t>: 491-497 [PMID: 16947041 DOI: 10.1007/s00384-006-0192-8]</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11 </w:t>
      </w:r>
      <w:r w:rsidRPr="00F75C22">
        <w:rPr>
          <w:rFonts w:ascii="Book Antiqua" w:hAnsi="Book Antiqua"/>
          <w:b/>
          <w:color w:val="000000"/>
          <w:sz w:val="24"/>
        </w:rPr>
        <w:t>Ooi A</w:t>
      </w:r>
      <w:r w:rsidRPr="00F75C22">
        <w:rPr>
          <w:rFonts w:ascii="Book Antiqua" w:hAnsi="Book Antiqua"/>
          <w:color w:val="000000"/>
          <w:sz w:val="24"/>
        </w:rPr>
        <w:t xml:space="preserve">, Takehana T, Li X, Suzuki S, Kunitomo K, Iino H, Fujii H, Takeda Y, Dobashi Y. Protein overexpression and gene amplification of HER-2 and EGFR in colorectal cancers: an immunohistochemical and fluorescent in situ hybridization study. </w:t>
      </w:r>
      <w:r w:rsidRPr="00F75C22">
        <w:rPr>
          <w:rFonts w:ascii="Book Antiqua" w:hAnsi="Book Antiqua"/>
          <w:i/>
          <w:color w:val="000000"/>
          <w:sz w:val="24"/>
        </w:rPr>
        <w:t>Mod Pathol</w:t>
      </w:r>
      <w:r w:rsidRPr="00F75C22">
        <w:rPr>
          <w:rFonts w:ascii="Book Antiqua" w:hAnsi="Book Antiqua"/>
          <w:color w:val="000000"/>
          <w:sz w:val="24"/>
        </w:rPr>
        <w:t xml:space="preserve"> 2004; </w:t>
      </w:r>
      <w:r w:rsidRPr="00F75C22">
        <w:rPr>
          <w:rFonts w:ascii="Book Antiqua" w:hAnsi="Book Antiqua"/>
          <w:b/>
          <w:color w:val="000000"/>
          <w:sz w:val="24"/>
        </w:rPr>
        <w:t>17</w:t>
      </w:r>
      <w:r w:rsidRPr="00F75C22">
        <w:rPr>
          <w:rFonts w:ascii="Book Antiqua" w:hAnsi="Book Antiqua"/>
          <w:color w:val="000000"/>
          <w:sz w:val="24"/>
        </w:rPr>
        <w:t>: 895-904 [PMID: 15143334 DOI: 10.1038/modpathol.3800137]</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12 </w:t>
      </w:r>
      <w:r w:rsidRPr="00F75C22">
        <w:rPr>
          <w:rFonts w:ascii="Book Antiqua" w:hAnsi="Book Antiqua"/>
          <w:b/>
          <w:color w:val="000000"/>
          <w:sz w:val="24"/>
        </w:rPr>
        <w:t>Ramanathan RK</w:t>
      </w:r>
      <w:r w:rsidRPr="00F75C22">
        <w:rPr>
          <w:rFonts w:ascii="Book Antiqua" w:hAnsi="Book Antiqua"/>
          <w:color w:val="000000"/>
          <w:sz w:val="24"/>
        </w:rPr>
        <w:t xml:space="preserve">, Hwang JJ, Zamboni WC, Sinicrope FA, Safran H, Wong MK, Earle M, Brufsky A, Evans T, Troetschel M, Walko C, Day R, Chen HX, Finkelstein S. Low overexpression of HER-2/neu in advanced colorectal cancer limits the usefulness of trastuzumab (Herceptin) and irinotecan as therapy. A phase II trial. </w:t>
      </w:r>
      <w:r w:rsidRPr="00F75C22">
        <w:rPr>
          <w:rFonts w:ascii="Book Antiqua" w:hAnsi="Book Antiqua"/>
          <w:i/>
          <w:color w:val="000000"/>
          <w:sz w:val="24"/>
        </w:rPr>
        <w:t>Cancer Invest</w:t>
      </w:r>
      <w:r w:rsidRPr="00F75C22">
        <w:rPr>
          <w:rFonts w:ascii="Book Antiqua" w:hAnsi="Book Antiqua"/>
          <w:color w:val="000000"/>
          <w:sz w:val="24"/>
        </w:rPr>
        <w:t xml:space="preserve"> 2004; </w:t>
      </w:r>
      <w:r w:rsidRPr="00F75C22">
        <w:rPr>
          <w:rFonts w:ascii="Book Antiqua" w:hAnsi="Book Antiqua"/>
          <w:b/>
          <w:color w:val="000000"/>
          <w:sz w:val="24"/>
        </w:rPr>
        <w:t>22</w:t>
      </w:r>
      <w:r w:rsidRPr="00F75C22">
        <w:rPr>
          <w:rFonts w:ascii="Book Antiqua" w:hAnsi="Book Antiqua"/>
          <w:color w:val="000000"/>
          <w:sz w:val="24"/>
        </w:rPr>
        <w:t>: 858-865 [PMID: 15641483 DOI: 10.1081/CNV-200039645]</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13 </w:t>
      </w:r>
      <w:r w:rsidRPr="00F75C22">
        <w:rPr>
          <w:rFonts w:ascii="Book Antiqua" w:hAnsi="Book Antiqua"/>
          <w:b/>
          <w:color w:val="000000"/>
          <w:sz w:val="24"/>
        </w:rPr>
        <w:t>Al-Kuraya K</w:t>
      </w:r>
      <w:r w:rsidRPr="00F75C22">
        <w:rPr>
          <w:rFonts w:ascii="Book Antiqua" w:hAnsi="Book Antiqua"/>
          <w:color w:val="000000"/>
          <w:sz w:val="24"/>
        </w:rPr>
        <w:t xml:space="preserve">, Novotny H, Bavi P, Siraj AK, Uddin S, Ezzat A, Sanea NA, Al-Dayel F, Al-Mana H, Sheikh SS, Mirlacher M, Tapia C, Simon R, Sauter G, Terracciano L, Tornillo L. HER2, TOP2A, CCND1, EGFR and C-MYC oncogene amplification in colorectal cancer. </w:t>
      </w:r>
      <w:r w:rsidRPr="00F75C22">
        <w:rPr>
          <w:rFonts w:ascii="Book Antiqua" w:hAnsi="Book Antiqua"/>
          <w:i/>
          <w:color w:val="000000"/>
          <w:sz w:val="24"/>
        </w:rPr>
        <w:t>J Clin Pathol</w:t>
      </w:r>
      <w:r w:rsidRPr="00F75C22">
        <w:rPr>
          <w:rFonts w:ascii="Book Antiqua" w:hAnsi="Book Antiqua"/>
          <w:color w:val="000000"/>
          <w:sz w:val="24"/>
        </w:rPr>
        <w:t xml:space="preserve"> 2007; </w:t>
      </w:r>
      <w:r w:rsidRPr="00F75C22">
        <w:rPr>
          <w:rFonts w:ascii="Book Antiqua" w:hAnsi="Book Antiqua"/>
          <w:b/>
          <w:color w:val="000000"/>
          <w:sz w:val="24"/>
        </w:rPr>
        <w:t>60</w:t>
      </w:r>
      <w:r w:rsidRPr="00F75C22">
        <w:rPr>
          <w:rFonts w:ascii="Book Antiqua" w:hAnsi="Book Antiqua"/>
          <w:color w:val="000000"/>
          <w:sz w:val="24"/>
        </w:rPr>
        <w:t>: 768-772 [PMID: 16882699 DOI: 10.1136/jcp.2006.038281]</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lastRenderedPageBreak/>
        <w:t xml:space="preserve">14 </w:t>
      </w:r>
      <w:r w:rsidRPr="00F75C22">
        <w:rPr>
          <w:rFonts w:ascii="Book Antiqua" w:hAnsi="Book Antiqua"/>
          <w:b/>
          <w:color w:val="000000"/>
          <w:sz w:val="24"/>
        </w:rPr>
        <w:t>Kavanagh DO</w:t>
      </w:r>
      <w:r w:rsidRPr="00F75C22">
        <w:rPr>
          <w:rFonts w:ascii="Book Antiqua" w:hAnsi="Book Antiqua"/>
          <w:color w:val="000000"/>
          <w:sz w:val="24"/>
        </w:rPr>
        <w:t xml:space="preserve">, Chambers G, O'Grady L, Barry KM, Waldron RP, Bennani F, Eustace PW, Tobbia I. Is overexpression of HER-2 a predictor of prognosis in colorectal cancer? </w:t>
      </w:r>
      <w:r w:rsidRPr="00F75C22">
        <w:rPr>
          <w:rFonts w:ascii="Book Antiqua" w:hAnsi="Book Antiqua"/>
          <w:i/>
          <w:color w:val="000000"/>
          <w:sz w:val="24"/>
        </w:rPr>
        <w:t>BMC Cancer</w:t>
      </w:r>
      <w:r w:rsidRPr="00F75C22">
        <w:rPr>
          <w:rFonts w:ascii="Book Antiqua" w:hAnsi="Book Antiqua"/>
          <w:color w:val="000000"/>
          <w:sz w:val="24"/>
        </w:rPr>
        <w:t xml:space="preserve"> 2009; </w:t>
      </w:r>
      <w:r w:rsidRPr="00F75C22">
        <w:rPr>
          <w:rFonts w:ascii="Book Antiqua" w:hAnsi="Book Antiqua"/>
          <w:b/>
          <w:color w:val="000000"/>
          <w:sz w:val="24"/>
        </w:rPr>
        <w:t>9</w:t>
      </w:r>
      <w:r w:rsidRPr="00F75C22">
        <w:rPr>
          <w:rFonts w:ascii="Book Antiqua" w:hAnsi="Book Antiqua"/>
          <w:color w:val="000000"/>
          <w:sz w:val="24"/>
        </w:rPr>
        <w:t>: 1 [PMID: 19118499 DOI: 10.1186/1471-2407-9-1]</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15 </w:t>
      </w:r>
      <w:r w:rsidRPr="00F75C22">
        <w:rPr>
          <w:rFonts w:ascii="Book Antiqua" w:hAnsi="Book Antiqua"/>
          <w:b/>
          <w:color w:val="000000"/>
          <w:sz w:val="24"/>
        </w:rPr>
        <w:t>Marx AH</w:t>
      </w:r>
      <w:r w:rsidRPr="00F75C22">
        <w:rPr>
          <w:rFonts w:ascii="Book Antiqua" w:hAnsi="Book Antiqua"/>
          <w:color w:val="000000"/>
          <w:sz w:val="24"/>
        </w:rPr>
        <w:t xml:space="preserve">, Burandt EC, Choschzick M, Simon R, Yekebas E, Kaifi JT, Mirlacher M, Atanackovic D, Bokemeyer C, Fiedler W, Terracciano L, Sauter G, Izbicki JR. Heterogenous high-level HER-2 amplification in a small subset of colorectal cancers. </w:t>
      </w:r>
      <w:r w:rsidRPr="00F75C22">
        <w:rPr>
          <w:rFonts w:ascii="Book Antiqua" w:hAnsi="Book Antiqua"/>
          <w:i/>
          <w:color w:val="000000"/>
          <w:sz w:val="24"/>
        </w:rPr>
        <w:t>Hum Pathol</w:t>
      </w:r>
      <w:r w:rsidRPr="00F75C22">
        <w:rPr>
          <w:rFonts w:ascii="Book Antiqua" w:hAnsi="Book Antiqua"/>
          <w:color w:val="000000"/>
          <w:sz w:val="24"/>
        </w:rPr>
        <w:t xml:space="preserve"> 2010; </w:t>
      </w:r>
      <w:r w:rsidRPr="00F75C22">
        <w:rPr>
          <w:rFonts w:ascii="Book Antiqua" w:hAnsi="Book Antiqua"/>
          <w:b/>
          <w:color w:val="000000"/>
          <w:sz w:val="24"/>
        </w:rPr>
        <w:t>41</w:t>
      </w:r>
      <w:r w:rsidRPr="00F75C22">
        <w:rPr>
          <w:rFonts w:ascii="Book Antiqua" w:hAnsi="Book Antiqua"/>
          <w:color w:val="000000"/>
          <w:sz w:val="24"/>
        </w:rPr>
        <w:t>: 1577-1585 [PMID: 20656317 DOI: 10.1016/j.humpath.2010.02.018]</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16 </w:t>
      </w:r>
      <w:r w:rsidRPr="00F75C22">
        <w:rPr>
          <w:rFonts w:ascii="Book Antiqua" w:hAnsi="Book Antiqua"/>
          <w:b/>
          <w:color w:val="000000"/>
          <w:sz w:val="24"/>
        </w:rPr>
        <w:t>Li Q</w:t>
      </w:r>
      <w:r w:rsidRPr="00F75C22">
        <w:rPr>
          <w:rFonts w:ascii="Book Antiqua" w:hAnsi="Book Antiqua"/>
          <w:color w:val="000000"/>
          <w:sz w:val="24"/>
        </w:rPr>
        <w:t xml:space="preserve">, Wang D, Li J, Chen P. Clinicopathological and prognostic significance of HER-2/neu and VEGF expression in colon carcinomas. </w:t>
      </w:r>
      <w:r w:rsidRPr="00F75C22">
        <w:rPr>
          <w:rFonts w:ascii="Book Antiqua" w:hAnsi="Book Antiqua"/>
          <w:i/>
          <w:color w:val="000000"/>
          <w:sz w:val="24"/>
        </w:rPr>
        <w:t>BMC Cancer</w:t>
      </w:r>
      <w:r w:rsidRPr="00F75C22">
        <w:rPr>
          <w:rFonts w:ascii="Book Antiqua" w:hAnsi="Book Antiqua"/>
          <w:color w:val="000000"/>
          <w:sz w:val="24"/>
        </w:rPr>
        <w:t xml:space="preserve"> 2011; </w:t>
      </w:r>
      <w:r w:rsidRPr="00F75C22">
        <w:rPr>
          <w:rFonts w:ascii="Book Antiqua" w:hAnsi="Book Antiqua"/>
          <w:b/>
          <w:color w:val="000000"/>
          <w:sz w:val="24"/>
        </w:rPr>
        <w:t>11</w:t>
      </w:r>
      <w:r w:rsidRPr="00F75C22">
        <w:rPr>
          <w:rFonts w:ascii="Book Antiqua" w:hAnsi="Book Antiqua"/>
          <w:color w:val="000000"/>
          <w:sz w:val="24"/>
        </w:rPr>
        <w:t>: 277 [PMID: 21708009 DOI: 10.1186/1471-2407-11-277]</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17 </w:t>
      </w:r>
      <w:r w:rsidRPr="00F75C22">
        <w:rPr>
          <w:rFonts w:ascii="Book Antiqua" w:hAnsi="Book Antiqua"/>
          <w:b/>
          <w:color w:val="000000"/>
          <w:sz w:val="24"/>
        </w:rPr>
        <w:t>Half E</w:t>
      </w:r>
      <w:r w:rsidRPr="00F75C22">
        <w:rPr>
          <w:rFonts w:ascii="Book Antiqua" w:hAnsi="Book Antiqua"/>
          <w:color w:val="000000"/>
          <w:sz w:val="24"/>
        </w:rPr>
        <w:t xml:space="preserve">, Broaddus R, Danenberg KD, Danenberg PV, Ayers GD, Sinicrope FA. HER-2 receptor expression, localization, and activation in colorectal cancer cell lines and human tumors. </w:t>
      </w:r>
      <w:r w:rsidRPr="00F75C22">
        <w:rPr>
          <w:rFonts w:ascii="Book Antiqua" w:hAnsi="Book Antiqua"/>
          <w:i/>
          <w:color w:val="000000"/>
          <w:sz w:val="24"/>
        </w:rPr>
        <w:t>Int J Cancer</w:t>
      </w:r>
      <w:r w:rsidRPr="00F75C22">
        <w:rPr>
          <w:rFonts w:ascii="Book Antiqua" w:hAnsi="Book Antiqua"/>
          <w:color w:val="000000"/>
          <w:sz w:val="24"/>
        </w:rPr>
        <w:t xml:space="preserve"> 2004; </w:t>
      </w:r>
      <w:r w:rsidRPr="00F75C22">
        <w:rPr>
          <w:rFonts w:ascii="Book Antiqua" w:hAnsi="Book Antiqua"/>
          <w:b/>
          <w:color w:val="000000"/>
          <w:sz w:val="24"/>
        </w:rPr>
        <w:t>108</w:t>
      </w:r>
      <w:r w:rsidRPr="00F75C22">
        <w:rPr>
          <w:rFonts w:ascii="Book Antiqua" w:hAnsi="Book Antiqua"/>
          <w:color w:val="000000"/>
          <w:sz w:val="24"/>
        </w:rPr>
        <w:t>: 540-548 [PMID: 14696118 DOI: 10.1002/ijc.11599]</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18 </w:t>
      </w:r>
      <w:r w:rsidRPr="00F75C22">
        <w:rPr>
          <w:rFonts w:ascii="Book Antiqua" w:hAnsi="Book Antiqua"/>
          <w:b/>
          <w:color w:val="000000"/>
          <w:sz w:val="24"/>
        </w:rPr>
        <w:t>Kim JY</w:t>
      </w:r>
      <w:r w:rsidRPr="00F75C22">
        <w:rPr>
          <w:rFonts w:ascii="Book Antiqua" w:hAnsi="Book Antiqua"/>
          <w:color w:val="000000"/>
          <w:sz w:val="24"/>
        </w:rPr>
        <w:t xml:space="preserve">, Lim SJ, Park K. Cyclooxygenase-2 and c-erbB-2 expression in colorectal carcinoma assessed using tissue microarrays. </w:t>
      </w:r>
      <w:r w:rsidRPr="00F75C22">
        <w:rPr>
          <w:rFonts w:ascii="Book Antiqua" w:hAnsi="Book Antiqua"/>
          <w:i/>
          <w:color w:val="000000"/>
          <w:sz w:val="24"/>
        </w:rPr>
        <w:t>Appl Immunohistochem Mol Morphol</w:t>
      </w:r>
      <w:r w:rsidRPr="00F75C22">
        <w:rPr>
          <w:rFonts w:ascii="Book Antiqua" w:hAnsi="Book Antiqua"/>
          <w:color w:val="000000"/>
          <w:sz w:val="24"/>
        </w:rPr>
        <w:t xml:space="preserve"> 2004; </w:t>
      </w:r>
      <w:r w:rsidRPr="00F75C22">
        <w:rPr>
          <w:rFonts w:ascii="Book Antiqua" w:hAnsi="Book Antiqua"/>
          <w:b/>
          <w:color w:val="000000"/>
          <w:sz w:val="24"/>
        </w:rPr>
        <w:t>12</w:t>
      </w:r>
      <w:r w:rsidRPr="00F75C22">
        <w:rPr>
          <w:rFonts w:ascii="Book Antiqua" w:hAnsi="Book Antiqua"/>
          <w:color w:val="000000"/>
          <w:sz w:val="24"/>
        </w:rPr>
        <w:t>: 67-70 [PMID: 15163022 DOI: 10.1097/00129039-200403000-00012]</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19 </w:t>
      </w:r>
      <w:r w:rsidRPr="00F75C22">
        <w:rPr>
          <w:rFonts w:ascii="Book Antiqua" w:hAnsi="Book Antiqua"/>
          <w:b/>
          <w:color w:val="000000"/>
          <w:sz w:val="24"/>
        </w:rPr>
        <w:t>Kountourakis P</w:t>
      </w:r>
      <w:r w:rsidRPr="00F75C22">
        <w:rPr>
          <w:rFonts w:ascii="Book Antiqua" w:hAnsi="Book Antiqua"/>
          <w:color w:val="000000"/>
          <w:sz w:val="24"/>
        </w:rPr>
        <w:t xml:space="preserve">, Pavlakis K, Psyrri A, Rontogianni D, Xiros N, Patsouris E, Pectasides D, Economopoulos T. Clinicopathologic significance of EGFR and Her-2/neu in colorectal adenocarcinomas. </w:t>
      </w:r>
      <w:r w:rsidRPr="00F75C22">
        <w:rPr>
          <w:rFonts w:ascii="Book Antiqua" w:hAnsi="Book Antiqua"/>
          <w:i/>
          <w:color w:val="000000"/>
          <w:sz w:val="24"/>
        </w:rPr>
        <w:t>Cancer J</w:t>
      </w:r>
      <w:r w:rsidRPr="00F75C22">
        <w:rPr>
          <w:rFonts w:ascii="Book Antiqua" w:hAnsi="Book Antiqua"/>
          <w:color w:val="000000"/>
          <w:sz w:val="24"/>
        </w:rPr>
        <w:t xml:space="preserve"> 2006; </w:t>
      </w:r>
      <w:r w:rsidRPr="00F75C22">
        <w:rPr>
          <w:rFonts w:ascii="Book Antiqua" w:hAnsi="Book Antiqua"/>
          <w:b/>
          <w:color w:val="000000"/>
          <w:sz w:val="24"/>
        </w:rPr>
        <w:t>12</w:t>
      </w:r>
      <w:r w:rsidRPr="00F75C22">
        <w:rPr>
          <w:rFonts w:ascii="Book Antiqua" w:hAnsi="Book Antiqua"/>
          <w:color w:val="000000"/>
          <w:sz w:val="24"/>
        </w:rPr>
        <w:t>: 229-236 [PMID: 16803682 DOI: 10.1097/00130404-200605000-00012]</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20 </w:t>
      </w:r>
      <w:r w:rsidRPr="00F75C22">
        <w:rPr>
          <w:rFonts w:ascii="Book Antiqua" w:hAnsi="Book Antiqua"/>
          <w:b/>
          <w:color w:val="000000"/>
          <w:sz w:val="24"/>
        </w:rPr>
        <w:t>Hofmann M</w:t>
      </w:r>
      <w:r w:rsidRPr="00F75C22">
        <w:rPr>
          <w:rFonts w:ascii="Book Antiqua" w:hAnsi="Book Antiqua"/>
          <w:color w:val="000000"/>
          <w:sz w:val="24"/>
        </w:rPr>
        <w:t xml:space="preserve">, Stoss O, Shi D, Büttner R, van de Vijver M, Kim W, Ochiai A, Rüschoff J, Henkel T. Assessment of a HER2 scoring system for gastric cancer: results from a validation study. </w:t>
      </w:r>
      <w:r w:rsidRPr="00F75C22">
        <w:rPr>
          <w:rFonts w:ascii="Book Antiqua" w:hAnsi="Book Antiqua"/>
          <w:i/>
          <w:color w:val="000000"/>
          <w:sz w:val="24"/>
        </w:rPr>
        <w:t>Histopathology</w:t>
      </w:r>
      <w:r w:rsidRPr="00F75C22">
        <w:rPr>
          <w:rFonts w:ascii="Book Antiqua" w:hAnsi="Book Antiqua"/>
          <w:color w:val="000000"/>
          <w:sz w:val="24"/>
        </w:rPr>
        <w:t xml:space="preserve"> 2008; </w:t>
      </w:r>
      <w:r w:rsidRPr="00F75C22">
        <w:rPr>
          <w:rFonts w:ascii="Book Antiqua" w:hAnsi="Book Antiqua"/>
          <w:b/>
          <w:color w:val="000000"/>
          <w:sz w:val="24"/>
        </w:rPr>
        <w:t>52</w:t>
      </w:r>
      <w:r w:rsidRPr="00F75C22">
        <w:rPr>
          <w:rFonts w:ascii="Book Antiqua" w:hAnsi="Book Antiqua"/>
          <w:color w:val="000000"/>
          <w:sz w:val="24"/>
        </w:rPr>
        <w:t>: 797-805 [PMID: 18422971 DOI: 10.1111/j.1365-2559.2008.03028.x]</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21 </w:t>
      </w:r>
      <w:r w:rsidRPr="00F75C22">
        <w:rPr>
          <w:rFonts w:ascii="Book Antiqua" w:hAnsi="Book Antiqua"/>
          <w:b/>
          <w:color w:val="000000"/>
          <w:sz w:val="24"/>
        </w:rPr>
        <w:t>Rüschoff J</w:t>
      </w:r>
      <w:r w:rsidRPr="00F75C22">
        <w:rPr>
          <w:rFonts w:ascii="Book Antiqua" w:hAnsi="Book Antiqua"/>
          <w:color w:val="000000"/>
          <w:sz w:val="24"/>
        </w:rPr>
        <w:t xml:space="preserve">, Dietel M, Baretton G, Arbogast S, Walch A, Monges G, Chenard MP, Penault-Llorca F, Nagelmeier I, Schlake W, Höfler H, Kreipe </w:t>
      </w:r>
      <w:r w:rsidRPr="00F75C22">
        <w:rPr>
          <w:rFonts w:ascii="Book Antiqua" w:hAnsi="Book Antiqua"/>
          <w:color w:val="000000"/>
          <w:sz w:val="24"/>
        </w:rPr>
        <w:lastRenderedPageBreak/>
        <w:t xml:space="preserve">HH. HER2 diagnostics in gastric cancer-guideline validation and development of standardized immunohistochemical testing. </w:t>
      </w:r>
      <w:r w:rsidRPr="00F75C22">
        <w:rPr>
          <w:rFonts w:ascii="Book Antiqua" w:hAnsi="Book Antiqua"/>
          <w:i/>
          <w:color w:val="000000"/>
          <w:sz w:val="24"/>
        </w:rPr>
        <w:t>Virchows Arch</w:t>
      </w:r>
      <w:r w:rsidRPr="00F75C22">
        <w:rPr>
          <w:rFonts w:ascii="Book Antiqua" w:hAnsi="Book Antiqua"/>
          <w:color w:val="000000"/>
          <w:sz w:val="24"/>
        </w:rPr>
        <w:t xml:space="preserve"> 2010; </w:t>
      </w:r>
      <w:r w:rsidRPr="00F75C22">
        <w:rPr>
          <w:rFonts w:ascii="Book Antiqua" w:hAnsi="Book Antiqua"/>
          <w:b/>
          <w:color w:val="000000"/>
          <w:sz w:val="24"/>
        </w:rPr>
        <w:t>457</w:t>
      </w:r>
      <w:r w:rsidRPr="00F75C22">
        <w:rPr>
          <w:rFonts w:ascii="Book Antiqua" w:hAnsi="Book Antiqua"/>
          <w:color w:val="000000"/>
          <w:sz w:val="24"/>
        </w:rPr>
        <w:t>: 299-307 [PMID: 20665045 DOI: 10.1007/s00428-010-0952-2]</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22 </w:t>
      </w:r>
      <w:r w:rsidRPr="00F75C22">
        <w:rPr>
          <w:rFonts w:ascii="Book Antiqua" w:hAnsi="Book Antiqua"/>
          <w:b/>
          <w:color w:val="000000"/>
          <w:sz w:val="24"/>
        </w:rPr>
        <w:t>Takehana T</w:t>
      </w:r>
      <w:r w:rsidRPr="00F75C22">
        <w:rPr>
          <w:rFonts w:ascii="Book Antiqua" w:hAnsi="Book Antiqua"/>
          <w:color w:val="000000"/>
          <w:sz w:val="24"/>
        </w:rPr>
        <w:t xml:space="preserve">, Kunitomo K, Kono K, Kitahara F, Iizuka H, Matsumoto Y, Fujino MA, Ooi A. Status of c-erbB-2 in gastric adenocarcinoma: a comparative study of immunohistochemistry, fluorescence in situ hybridization and enzyme-linked immuno-sorbent assay. </w:t>
      </w:r>
      <w:r w:rsidRPr="00F75C22">
        <w:rPr>
          <w:rFonts w:ascii="Book Antiqua" w:hAnsi="Book Antiqua"/>
          <w:i/>
          <w:color w:val="000000"/>
          <w:sz w:val="24"/>
        </w:rPr>
        <w:t>Int J Cancer</w:t>
      </w:r>
      <w:r w:rsidRPr="00F75C22">
        <w:rPr>
          <w:rFonts w:ascii="Book Antiqua" w:hAnsi="Book Antiqua"/>
          <w:color w:val="000000"/>
          <w:sz w:val="24"/>
        </w:rPr>
        <w:t xml:space="preserve"> 2002; </w:t>
      </w:r>
      <w:r w:rsidRPr="00F75C22">
        <w:rPr>
          <w:rFonts w:ascii="Book Antiqua" w:hAnsi="Book Antiqua"/>
          <w:b/>
          <w:color w:val="000000"/>
          <w:sz w:val="24"/>
        </w:rPr>
        <w:t>98</w:t>
      </w:r>
      <w:r w:rsidRPr="00F75C22">
        <w:rPr>
          <w:rFonts w:ascii="Book Antiqua" w:hAnsi="Book Antiqua"/>
          <w:color w:val="000000"/>
          <w:sz w:val="24"/>
        </w:rPr>
        <w:t>: 833-837 [PMID: 11948459 DOI: 10.1002/ijc.10257]</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23 </w:t>
      </w:r>
      <w:r w:rsidRPr="00F75C22">
        <w:rPr>
          <w:rFonts w:ascii="Book Antiqua" w:hAnsi="Book Antiqua"/>
          <w:b/>
          <w:color w:val="000000"/>
          <w:sz w:val="24"/>
        </w:rPr>
        <w:t>Hoang MP</w:t>
      </w:r>
      <w:r w:rsidRPr="00F75C22">
        <w:rPr>
          <w:rFonts w:ascii="Book Antiqua" w:hAnsi="Book Antiqua"/>
          <w:color w:val="000000"/>
          <w:sz w:val="24"/>
        </w:rPr>
        <w:t xml:space="preserve">, Sahin AA, Ordòñez NG, Sneige N. HER-2/neu gene amplification compared with HER-2/neu protein overexpression and interobserver reproducibility in invasive breast carcinoma. </w:t>
      </w:r>
      <w:r w:rsidRPr="00F75C22">
        <w:rPr>
          <w:rFonts w:ascii="Book Antiqua" w:hAnsi="Book Antiqua"/>
          <w:i/>
          <w:color w:val="000000"/>
          <w:sz w:val="24"/>
        </w:rPr>
        <w:t>Am J Clin Pathol</w:t>
      </w:r>
      <w:r w:rsidRPr="00F75C22">
        <w:rPr>
          <w:rFonts w:ascii="Book Antiqua" w:hAnsi="Book Antiqua"/>
          <w:color w:val="000000"/>
          <w:sz w:val="24"/>
        </w:rPr>
        <w:t xml:space="preserve"> 2000; </w:t>
      </w:r>
      <w:r w:rsidRPr="00F75C22">
        <w:rPr>
          <w:rFonts w:ascii="Book Antiqua" w:hAnsi="Book Antiqua"/>
          <w:b/>
          <w:color w:val="000000"/>
          <w:sz w:val="24"/>
        </w:rPr>
        <w:t>113</w:t>
      </w:r>
      <w:r w:rsidRPr="00F75C22">
        <w:rPr>
          <w:rFonts w:ascii="Book Antiqua" w:hAnsi="Book Antiqua"/>
          <w:color w:val="000000"/>
          <w:sz w:val="24"/>
        </w:rPr>
        <w:t>: 852-859 [PMID: 10874886 DOI: 10.1309/VACP-VLQA-G9DX-VUDF]</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24 </w:t>
      </w:r>
      <w:r w:rsidRPr="00F75C22">
        <w:rPr>
          <w:rFonts w:ascii="Book Antiqua" w:hAnsi="Book Antiqua"/>
          <w:b/>
          <w:color w:val="000000"/>
          <w:sz w:val="24"/>
        </w:rPr>
        <w:t>Jacobs TW</w:t>
      </w:r>
      <w:r w:rsidRPr="00F75C22">
        <w:rPr>
          <w:rFonts w:ascii="Book Antiqua" w:hAnsi="Book Antiqua"/>
          <w:color w:val="000000"/>
          <w:sz w:val="24"/>
        </w:rPr>
        <w:t xml:space="preserve">, Gown AM, Yaziji H, Barnes MJ, Schnitt SJ. Comparison of fluorescence in situ hybridization and immunohistochemistry for the evaluation of HER-2/neu in breast cancer. </w:t>
      </w:r>
      <w:r w:rsidRPr="00F75C22">
        <w:rPr>
          <w:rFonts w:ascii="Book Antiqua" w:hAnsi="Book Antiqua"/>
          <w:i/>
          <w:color w:val="000000"/>
          <w:sz w:val="24"/>
        </w:rPr>
        <w:t>J Clin Oncol</w:t>
      </w:r>
      <w:r w:rsidRPr="00F75C22">
        <w:rPr>
          <w:rFonts w:ascii="Book Antiqua" w:hAnsi="Book Antiqua"/>
          <w:color w:val="000000"/>
          <w:sz w:val="24"/>
        </w:rPr>
        <w:t xml:space="preserve"> 1999; </w:t>
      </w:r>
      <w:r w:rsidRPr="00F75C22">
        <w:rPr>
          <w:rFonts w:ascii="Book Antiqua" w:hAnsi="Book Antiqua"/>
          <w:b/>
          <w:color w:val="000000"/>
          <w:sz w:val="24"/>
        </w:rPr>
        <w:t>17</w:t>
      </w:r>
      <w:r w:rsidRPr="00F75C22">
        <w:rPr>
          <w:rFonts w:ascii="Book Antiqua" w:hAnsi="Book Antiqua"/>
          <w:color w:val="000000"/>
          <w:sz w:val="24"/>
        </w:rPr>
        <w:t>: 1974-1982 [PMID: 10561247 DOI: 10.1200/JCO.1999.17.7.1974]</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25 </w:t>
      </w:r>
      <w:r w:rsidRPr="00F75C22">
        <w:rPr>
          <w:rFonts w:ascii="Book Antiqua" w:hAnsi="Book Antiqua"/>
          <w:b/>
          <w:color w:val="000000"/>
          <w:sz w:val="24"/>
        </w:rPr>
        <w:t>Lebeau A</w:t>
      </w:r>
      <w:r w:rsidRPr="00F75C22">
        <w:rPr>
          <w:rFonts w:ascii="Book Antiqua" w:hAnsi="Book Antiqua"/>
          <w:color w:val="000000"/>
          <w:sz w:val="24"/>
        </w:rPr>
        <w:t xml:space="preserve">, Deimling D, Kaltz C, Sendelhofert A, Iff A, Luthardt B, Untch M, Löhrs U. Her-2/neu analysis in archival tissue samples of human breast cancer: comparison of immunohistochemistry and fluorescence in situ hybridization. </w:t>
      </w:r>
      <w:r w:rsidRPr="00F75C22">
        <w:rPr>
          <w:rFonts w:ascii="Book Antiqua" w:hAnsi="Book Antiqua"/>
          <w:i/>
          <w:color w:val="000000"/>
          <w:sz w:val="24"/>
        </w:rPr>
        <w:t>J Clin Oncol</w:t>
      </w:r>
      <w:r w:rsidRPr="00F75C22">
        <w:rPr>
          <w:rFonts w:ascii="Book Antiqua" w:hAnsi="Book Antiqua"/>
          <w:color w:val="000000"/>
          <w:sz w:val="24"/>
        </w:rPr>
        <w:t xml:space="preserve"> 2001; </w:t>
      </w:r>
      <w:r w:rsidRPr="00F75C22">
        <w:rPr>
          <w:rFonts w:ascii="Book Antiqua" w:hAnsi="Book Antiqua"/>
          <w:b/>
          <w:color w:val="000000"/>
          <w:sz w:val="24"/>
        </w:rPr>
        <w:t>19</w:t>
      </w:r>
      <w:r w:rsidRPr="00F75C22">
        <w:rPr>
          <w:rFonts w:ascii="Book Antiqua" w:hAnsi="Book Antiqua"/>
          <w:color w:val="000000"/>
          <w:sz w:val="24"/>
        </w:rPr>
        <w:t>: 354-363 [PMID: 11208826 DOI: 10.1200/JCO.2001.19.2.354]</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26 </w:t>
      </w:r>
      <w:r w:rsidRPr="00F75C22">
        <w:rPr>
          <w:rFonts w:ascii="Book Antiqua" w:hAnsi="Book Antiqua"/>
          <w:b/>
          <w:color w:val="000000"/>
          <w:sz w:val="24"/>
        </w:rPr>
        <w:t>Schuell B</w:t>
      </w:r>
      <w:r w:rsidRPr="00F75C22">
        <w:rPr>
          <w:rFonts w:ascii="Book Antiqua" w:hAnsi="Book Antiqua"/>
          <w:color w:val="000000"/>
          <w:sz w:val="24"/>
        </w:rPr>
        <w:t xml:space="preserve">, Gruenberger T, Scheithauer W, Zielinski Ch, Wrba F. HER 2/neu protein expression in colorectal cancer. </w:t>
      </w:r>
      <w:r w:rsidRPr="00F75C22">
        <w:rPr>
          <w:rFonts w:ascii="Book Antiqua" w:hAnsi="Book Antiqua"/>
          <w:i/>
          <w:color w:val="000000"/>
          <w:sz w:val="24"/>
        </w:rPr>
        <w:t>BMC Cancer</w:t>
      </w:r>
      <w:r w:rsidRPr="00F75C22">
        <w:rPr>
          <w:rFonts w:ascii="Book Antiqua" w:hAnsi="Book Antiqua"/>
          <w:color w:val="000000"/>
          <w:sz w:val="24"/>
        </w:rPr>
        <w:t xml:space="preserve"> 2006; </w:t>
      </w:r>
      <w:r w:rsidRPr="00F75C22">
        <w:rPr>
          <w:rFonts w:ascii="Book Antiqua" w:hAnsi="Book Antiqua"/>
          <w:b/>
          <w:color w:val="000000"/>
          <w:sz w:val="24"/>
        </w:rPr>
        <w:t>6</w:t>
      </w:r>
      <w:r w:rsidRPr="00F75C22">
        <w:rPr>
          <w:rFonts w:ascii="Book Antiqua" w:hAnsi="Book Antiqua"/>
          <w:color w:val="000000"/>
          <w:sz w:val="24"/>
        </w:rPr>
        <w:t>: 123 [PMID: 16681853 DOI: 10.1186/1471-2407-6-123]</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27 </w:t>
      </w:r>
      <w:r w:rsidRPr="00F75C22">
        <w:rPr>
          <w:rFonts w:ascii="Book Antiqua" w:hAnsi="Book Antiqua"/>
          <w:b/>
          <w:color w:val="000000"/>
          <w:sz w:val="24"/>
        </w:rPr>
        <w:t>Ingold Heppner B</w:t>
      </w:r>
      <w:r w:rsidRPr="00F75C22">
        <w:rPr>
          <w:rFonts w:ascii="Book Antiqua" w:hAnsi="Book Antiqua"/>
          <w:color w:val="000000"/>
          <w:sz w:val="24"/>
        </w:rPr>
        <w:t xml:space="preserve">, Behrens HM, Balschun K, Haag J, Krüger S, Becker T, Röcken C. HER2/neu testing in primary colorectal carcinoma. </w:t>
      </w:r>
      <w:r w:rsidRPr="00F75C22">
        <w:rPr>
          <w:rFonts w:ascii="Book Antiqua" w:hAnsi="Book Antiqua"/>
          <w:i/>
          <w:color w:val="000000"/>
          <w:sz w:val="24"/>
        </w:rPr>
        <w:t>Br J Cancer</w:t>
      </w:r>
      <w:r w:rsidRPr="00F75C22">
        <w:rPr>
          <w:rFonts w:ascii="Book Antiqua" w:hAnsi="Book Antiqua"/>
          <w:color w:val="000000"/>
          <w:sz w:val="24"/>
        </w:rPr>
        <w:t xml:space="preserve"> 2014; </w:t>
      </w:r>
      <w:r w:rsidRPr="00F75C22">
        <w:rPr>
          <w:rFonts w:ascii="Book Antiqua" w:hAnsi="Book Antiqua"/>
          <w:b/>
          <w:color w:val="000000"/>
          <w:sz w:val="24"/>
        </w:rPr>
        <w:t>111</w:t>
      </w:r>
      <w:r w:rsidRPr="00F75C22">
        <w:rPr>
          <w:rFonts w:ascii="Book Antiqua" w:hAnsi="Book Antiqua"/>
          <w:color w:val="000000"/>
          <w:sz w:val="24"/>
        </w:rPr>
        <w:t>: 1977-1984 [PMID: 25211663 DOI: 10.1038/bjc.2014.483]</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28 </w:t>
      </w:r>
      <w:r w:rsidRPr="00F75C22">
        <w:rPr>
          <w:rFonts w:ascii="Book Antiqua" w:hAnsi="Book Antiqua"/>
          <w:b/>
          <w:color w:val="000000"/>
          <w:sz w:val="24"/>
        </w:rPr>
        <w:t>Seo AN</w:t>
      </w:r>
      <w:r w:rsidRPr="00F75C22">
        <w:rPr>
          <w:rFonts w:ascii="Book Antiqua" w:hAnsi="Book Antiqua"/>
          <w:color w:val="000000"/>
          <w:sz w:val="24"/>
        </w:rPr>
        <w:t xml:space="preserve">, Kwak Y, Kim DW, Kang SB, Choe G, Kim WH, Lee HS. HER2 status in colorectal cancer: its clinical significance and the relationship </w:t>
      </w:r>
      <w:r w:rsidRPr="00F75C22">
        <w:rPr>
          <w:rFonts w:ascii="Book Antiqua" w:hAnsi="Book Antiqua"/>
          <w:color w:val="000000"/>
          <w:sz w:val="24"/>
        </w:rPr>
        <w:lastRenderedPageBreak/>
        <w:t xml:space="preserve">between HER2 gene amplification and expression. </w:t>
      </w:r>
      <w:r w:rsidRPr="00F75C22">
        <w:rPr>
          <w:rFonts w:ascii="Book Antiqua" w:hAnsi="Book Antiqua"/>
          <w:i/>
          <w:color w:val="000000"/>
          <w:sz w:val="24"/>
        </w:rPr>
        <w:t>PLoS One</w:t>
      </w:r>
      <w:r w:rsidRPr="00F75C22">
        <w:rPr>
          <w:rFonts w:ascii="Book Antiqua" w:hAnsi="Book Antiqua"/>
          <w:color w:val="000000"/>
          <w:sz w:val="24"/>
        </w:rPr>
        <w:t xml:space="preserve"> 2014; </w:t>
      </w:r>
      <w:r w:rsidRPr="00F75C22">
        <w:rPr>
          <w:rFonts w:ascii="Book Antiqua" w:hAnsi="Book Antiqua"/>
          <w:b/>
          <w:color w:val="000000"/>
          <w:sz w:val="24"/>
        </w:rPr>
        <w:t>9</w:t>
      </w:r>
      <w:r w:rsidRPr="00F75C22">
        <w:rPr>
          <w:rFonts w:ascii="Book Antiqua" w:hAnsi="Book Antiqua"/>
          <w:color w:val="000000"/>
          <w:sz w:val="24"/>
        </w:rPr>
        <w:t>: e98528 [PMID: 24879338 DOI: 10.1371/journal.pone.0098528]</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29 </w:t>
      </w:r>
      <w:r w:rsidRPr="00F75C22">
        <w:rPr>
          <w:rFonts w:ascii="Book Antiqua" w:hAnsi="Book Antiqua"/>
          <w:b/>
          <w:color w:val="000000"/>
          <w:sz w:val="24"/>
        </w:rPr>
        <w:t>Conradi LC</w:t>
      </w:r>
      <w:r w:rsidRPr="00F75C22">
        <w:rPr>
          <w:rFonts w:ascii="Book Antiqua" w:hAnsi="Book Antiqua"/>
          <w:color w:val="000000"/>
          <w:sz w:val="24"/>
        </w:rPr>
        <w:t xml:space="preserve">, Styczen H, Sprenger T, Wolff HA, Rödel C, Nietert M, Homayounfar K, Gaedcke J, Kitz J, Talaulicar R, Becker H, Ghadimi M, Middel P, Beissbarth T, Rüschoff J, Liersch T. Frequency of HER-2 positivity in rectal cancer and prognosis. </w:t>
      </w:r>
      <w:r w:rsidRPr="00F75C22">
        <w:rPr>
          <w:rFonts w:ascii="Book Antiqua" w:hAnsi="Book Antiqua"/>
          <w:i/>
          <w:color w:val="000000"/>
          <w:sz w:val="24"/>
        </w:rPr>
        <w:t>Am J Surg Pathol</w:t>
      </w:r>
      <w:r w:rsidRPr="00F75C22">
        <w:rPr>
          <w:rFonts w:ascii="Book Antiqua" w:hAnsi="Book Antiqua"/>
          <w:color w:val="000000"/>
          <w:sz w:val="24"/>
        </w:rPr>
        <w:t xml:space="preserve"> 2013; </w:t>
      </w:r>
      <w:r w:rsidRPr="00F75C22">
        <w:rPr>
          <w:rFonts w:ascii="Book Antiqua" w:hAnsi="Book Antiqua"/>
          <w:b/>
          <w:color w:val="000000"/>
          <w:sz w:val="24"/>
        </w:rPr>
        <w:t>37</w:t>
      </w:r>
      <w:r w:rsidRPr="00F75C22">
        <w:rPr>
          <w:rFonts w:ascii="Book Antiqua" w:hAnsi="Book Antiqua"/>
          <w:color w:val="000000"/>
          <w:sz w:val="24"/>
        </w:rPr>
        <w:t>: 522-531 [PMID: 23282976 DOI: 10.1097/PAS.0b013e318272ff4d]</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30 </w:t>
      </w:r>
      <w:r w:rsidRPr="00F75C22">
        <w:rPr>
          <w:rFonts w:ascii="Book Antiqua" w:hAnsi="Book Antiqua"/>
          <w:b/>
          <w:color w:val="000000"/>
          <w:sz w:val="24"/>
        </w:rPr>
        <w:t>Drecoll E</w:t>
      </w:r>
      <w:r w:rsidRPr="00F75C22">
        <w:rPr>
          <w:rFonts w:ascii="Book Antiqua" w:hAnsi="Book Antiqua"/>
          <w:color w:val="000000"/>
          <w:sz w:val="24"/>
        </w:rPr>
        <w:t xml:space="preserve">, Nitsche U, Bauer K, Berezowska S, Slotta-Huspenina J, Rosenberg R, Langer R. Expression analysis of heat shock protein 90 (HSP90) and Her2 in colon carcinoma. </w:t>
      </w:r>
      <w:r w:rsidRPr="00F75C22">
        <w:rPr>
          <w:rFonts w:ascii="Book Antiqua" w:hAnsi="Book Antiqua"/>
          <w:i/>
          <w:color w:val="000000"/>
          <w:sz w:val="24"/>
        </w:rPr>
        <w:t>Int J Colorectal Dis</w:t>
      </w:r>
      <w:r w:rsidRPr="00F75C22">
        <w:rPr>
          <w:rFonts w:ascii="Book Antiqua" w:hAnsi="Book Antiqua"/>
          <w:color w:val="000000"/>
          <w:sz w:val="24"/>
        </w:rPr>
        <w:t xml:space="preserve"> 2014; </w:t>
      </w:r>
      <w:r w:rsidRPr="00F75C22">
        <w:rPr>
          <w:rFonts w:ascii="Book Antiqua" w:hAnsi="Book Antiqua"/>
          <w:b/>
          <w:color w:val="000000"/>
          <w:sz w:val="24"/>
        </w:rPr>
        <w:t>29</w:t>
      </w:r>
      <w:r w:rsidRPr="00F75C22">
        <w:rPr>
          <w:rFonts w:ascii="Book Antiqua" w:hAnsi="Book Antiqua"/>
          <w:color w:val="000000"/>
          <w:sz w:val="24"/>
        </w:rPr>
        <w:t>: 663-671 [PMID: 24733427 DOI: 10.1007/s00384-014-1857-3]</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31 </w:t>
      </w:r>
      <w:r w:rsidRPr="00F75C22">
        <w:rPr>
          <w:rFonts w:ascii="Book Antiqua" w:hAnsi="Book Antiqua"/>
          <w:b/>
          <w:color w:val="000000"/>
          <w:sz w:val="24"/>
        </w:rPr>
        <w:t>Chua TC</w:t>
      </w:r>
      <w:r w:rsidRPr="00F75C22">
        <w:rPr>
          <w:rFonts w:ascii="Book Antiqua" w:hAnsi="Book Antiqua"/>
          <w:color w:val="000000"/>
          <w:sz w:val="24"/>
        </w:rPr>
        <w:t xml:space="preserve">, Merrett ND. Clinicopathologic factors associated with HER2-positive gastric cancer and its impact on survival outcomes--a systematic review. </w:t>
      </w:r>
      <w:r w:rsidRPr="00F75C22">
        <w:rPr>
          <w:rFonts w:ascii="Book Antiqua" w:hAnsi="Book Antiqua"/>
          <w:i/>
          <w:color w:val="000000"/>
          <w:sz w:val="24"/>
        </w:rPr>
        <w:t>Int J Cancer</w:t>
      </w:r>
      <w:r w:rsidRPr="00F75C22">
        <w:rPr>
          <w:rFonts w:ascii="Book Antiqua" w:hAnsi="Book Antiqua"/>
          <w:color w:val="000000"/>
          <w:sz w:val="24"/>
        </w:rPr>
        <w:t xml:space="preserve"> 2012; </w:t>
      </w:r>
      <w:r w:rsidRPr="00F75C22">
        <w:rPr>
          <w:rFonts w:ascii="Book Antiqua" w:hAnsi="Book Antiqua"/>
          <w:b/>
          <w:color w:val="000000"/>
          <w:sz w:val="24"/>
        </w:rPr>
        <w:t>130</w:t>
      </w:r>
      <w:r w:rsidRPr="00F75C22">
        <w:rPr>
          <w:rFonts w:ascii="Book Antiqua" w:hAnsi="Book Antiqua"/>
          <w:color w:val="000000"/>
          <w:sz w:val="24"/>
        </w:rPr>
        <w:t>: 2845-2856 [PMID: 21780108 DOI: 10.1002/ijc.26292]</w:t>
      </w:r>
    </w:p>
    <w:p w:rsidR="003A0889"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32 </w:t>
      </w:r>
      <w:r w:rsidRPr="00F75C22">
        <w:rPr>
          <w:rFonts w:ascii="Book Antiqua" w:hAnsi="Book Antiqua"/>
          <w:b/>
          <w:color w:val="000000"/>
          <w:sz w:val="24"/>
        </w:rPr>
        <w:t>Salem ME</w:t>
      </w:r>
      <w:r w:rsidRPr="00F75C22">
        <w:rPr>
          <w:rFonts w:ascii="Book Antiqua" w:hAnsi="Book Antiqua"/>
          <w:color w:val="000000"/>
          <w:sz w:val="24"/>
        </w:rPr>
        <w:t xml:space="preserve">, Weinberg BA, Xiu J, El-Deiry WS, Hwang JJ, Gatalica Z, Philip PA, Shields AF, Lenz HJ, Marshall JL. Comparative molecular analyses of left-sided colon, right-sided colon, and rectal cancers. </w:t>
      </w:r>
      <w:r w:rsidRPr="00F75C22">
        <w:rPr>
          <w:rFonts w:ascii="Book Antiqua" w:hAnsi="Book Antiqua"/>
          <w:i/>
          <w:color w:val="000000"/>
          <w:sz w:val="24"/>
        </w:rPr>
        <w:t>Oncotarget</w:t>
      </w:r>
      <w:r w:rsidRPr="00F75C22">
        <w:rPr>
          <w:rFonts w:ascii="Book Antiqua" w:hAnsi="Book Antiqua"/>
          <w:color w:val="000000"/>
          <w:sz w:val="24"/>
        </w:rPr>
        <w:t xml:space="preserve"> 2017; </w:t>
      </w:r>
      <w:r w:rsidRPr="00F75C22">
        <w:rPr>
          <w:rFonts w:ascii="Book Antiqua" w:hAnsi="Book Antiqua"/>
          <w:b/>
          <w:color w:val="000000"/>
          <w:sz w:val="24"/>
        </w:rPr>
        <w:t>8</w:t>
      </w:r>
      <w:r w:rsidRPr="00F75C22">
        <w:rPr>
          <w:rFonts w:ascii="Book Antiqua" w:hAnsi="Book Antiqua"/>
          <w:color w:val="000000"/>
          <w:sz w:val="24"/>
        </w:rPr>
        <w:t>: 86356-86368 [PMID: 29156800 DOI: 10.18632/oncotarget.21169]</w:t>
      </w:r>
    </w:p>
    <w:p w:rsidR="00881294" w:rsidRPr="00F75C22" w:rsidRDefault="003A0889" w:rsidP="000149DC">
      <w:pPr>
        <w:spacing w:line="360" w:lineRule="auto"/>
        <w:rPr>
          <w:rFonts w:ascii="Book Antiqua" w:hAnsi="Book Antiqua"/>
          <w:color w:val="000000"/>
          <w:sz w:val="24"/>
        </w:rPr>
      </w:pPr>
      <w:r w:rsidRPr="00F75C22">
        <w:rPr>
          <w:rFonts w:ascii="Book Antiqua" w:hAnsi="Book Antiqua"/>
          <w:color w:val="000000"/>
          <w:sz w:val="24"/>
        </w:rPr>
        <w:t xml:space="preserve">33 </w:t>
      </w:r>
      <w:r w:rsidRPr="00F75C22">
        <w:rPr>
          <w:rFonts w:ascii="Book Antiqua" w:hAnsi="Book Antiqua"/>
          <w:b/>
          <w:color w:val="000000"/>
          <w:sz w:val="24"/>
        </w:rPr>
        <w:t>Loree JM</w:t>
      </w:r>
      <w:r w:rsidRPr="00F75C22">
        <w:rPr>
          <w:rFonts w:ascii="Book Antiqua" w:hAnsi="Book Antiqua"/>
          <w:color w:val="000000"/>
          <w:sz w:val="24"/>
        </w:rPr>
        <w:t xml:space="preserve">, Pereira AAL, Lam M, Willauer AN, Raghav K, Dasari A, Morris VK, Advani S, Menter DG, Eng C, Shaw K, Broaddus R, Routbort MJ, Liu Y, Morris JS, Luthra R, Meric-Bernstam F, Overman MJ, Maru D, Kopetz S. Classifying Colorectal Cancer by Tumor Location Rather than Sidedness Highlights a Continuum in Mutation Profiles and Consensus Molecular Subtypes. </w:t>
      </w:r>
      <w:r w:rsidRPr="00F75C22">
        <w:rPr>
          <w:rFonts w:ascii="Book Antiqua" w:hAnsi="Book Antiqua"/>
          <w:i/>
          <w:color w:val="000000"/>
          <w:sz w:val="24"/>
        </w:rPr>
        <w:t>Clin Cancer Res</w:t>
      </w:r>
      <w:r w:rsidRPr="00F75C22">
        <w:rPr>
          <w:rFonts w:ascii="Book Antiqua" w:hAnsi="Book Antiqua"/>
          <w:color w:val="000000"/>
          <w:sz w:val="24"/>
        </w:rPr>
        <w:t xml:space="preserve"> 2018; </w:t>
      </w:r>
      <w:r w:rsidRPr="00F75C22">
        <w:rPr>
          <w:rFonts w:ascii="Book Antiqua" w:hAnsi="Book Antiqua"/>
          <w:b/>
          <w:color w:val="000000"/>
          <w:sz w:val="24"/>
        </w:rPr>
        <w:t>24</w:t>
      </w:r>
      <w:r w:rsidRPr="00F75C22">
        <w:rPr>
          <w:rFonts w:ascii="Book Antiqua" w:hAnsi="Book Antiqua"/>
          <w:color w:val="000000"/>
          <w:sz w:val="24"/>
        </w:rPr>
        <w:t xml:space="preserve">: 1062-1072 [PMID: 29180604 DOI: </w:t>
      </w:r>
      <w:r w:rsidR="00A643FC" w:rsidRPr="00F75C22">
        <w:rPr>
          <w:rFonts w:ascii="Book Antiqua" w:hAnsi="Book Antiqua"/>
          <w:color w:val="000000"/>
          <w:sz w:val="24"/>
        </w:rPr>
        <w:t>10.1158/1078-0432.CCR-17-2484</w:t>
      </w:r>
      <w:r w:rsidRPr="00F75C22">
        <w:rPr>
          <w:rFonts w:ascii="Book Antiqua" w:hAnsi="Book Antiqua"/>
          <w:color w:val="000000"/>
          <w:sz w:val="24"/>
        </w:rPr>
        <w:t>]</w:t>
      </w:r>
    </w:p>
    <w:p w:rsidR="00881294" w:rsidRPr="00F75C22" w:rsidRDefault="00881294" w:rsidP="009F478B">
      <w:pPr>
        <w:spacing w:line="360" w:lineRule="auto"/>
        <w:jc w:val="right"/>
        <w:rPr>
          <w:rFonts w:ascii="Book Antiqua" w:hAnsi="Book Antiqua"/>
          <w:color w:val="000000"/>
          <w:sz w:val="24"/>
        </w:rPr>
      </w:pPr>
      <w:r w:rsidRPr="00F75C22">
        <w:rPr>
          <w:rFonts w:ascii="Book Antiqua" w:hAnsi="Book Antiqua"/>
          <w:b/>
          <w:color w:val="000000"/>
          <w:sz w:val="24"/>
        </w:rPr>
        <w:t xml:space="preserve">P-Reviewer: </w:t>
      </w:r>
      <w:r w:rsidR="00810D85" w:rsidRPr="00F75C22">
        <w:rPr>
          <w:rFonts w:ascii="Book Antiqua" w:hAnsi="Book Antiqua"/>
          <w:color w:val="000000"/>
          <w:sz w:val="24"/>
        </w:rPr>
        <w:t>Jorgensen JT</w:t>
      </w:r>
      <w:r w:rsidR="00967F13" w:rsidRPr="00F75C22">
        <w:rPr>
          <w:rFonts w:ascii="Book Antiqua" w:hAnsi="Book Antiqua"/>
          <w:color w:val="000000"/>
          <w:sz w:val="24"/>
        </w:rPr>
        <w:t>, Sunakawa Y</w:t>
      </w:r>
    </w:p>
    <w:p w:rsidR="00881294" w:rsidRPr="00F75C22" w:rsidRDefault="00881294" w:rsidP="00F75C22">
      <w:pPr>
        <w:wordWrap w:val="0"/>
        <w:spacing w:line="360" w:lineRule="auto"/>
        <w:jc w:val="right"/>
        <w:rPr>
          <w:rFonts w:ascii="Book Antiqua" w:hAnsi="Book Antiqua"/>
          <w:color w:val="000000"/>
          <w:sz w:val="24"/>
        </w:rPr>
      </w:pPr>
      <w:r w:rsidRPr="00F75C22">
        <w:rPr>
          <w:rFonts w:ascii="Book Antiqua" w:hAnsi="Book Antiqua"/>
          <w:b/>
          <w:color w:val="000000"/>
          <w:sz w:val="24"/>
        </w:rPr>
        <w:t xml:space="preserve">S-Editor: </w:t>
      </w:r>
      <w:r w:rsidRPr="00F75C22">
        <w:rPr>
          <w:rFonts w:ascii="Book Antiqua" w:hAnsi="Book Antiqua"/>
          <w:color w:val="000000"/>
          <w:sz w:val="24"/>
        </w:rPr>
        <w:t>Wang JL</w:t>
      </w:r>
      <w:r w:rsidRPr="00F75C22">
        <w:rPr>
          <w:rFonts w:ascii="Book Antiqua" w:hAnsi="Book Antiqua"/>
          <w:b/>
          <w:color w:val="000000"/>
          <w:sz w:val="24"/>
        </w:rPr>
        <w:t xml:space="preserve"> L-Editor: </w:t>
      </w:r>
      <w:r w:rsidR="00F75C22">
        <w:rPr>
          <w:rFonts w:ascii="Book Antiqua" w:hAnsi="Book Antiqua" w:hint="eastAsia"/>
          <w:color w:val="000000"/>
          <w:sz w:val="24"/>
        </w:rPr>
        <w:t xml:space="preserve">A </w:t>
      </w:r>
      <w:bookmarkStart w:id="10" w:name="_GoBack"/>
      <w:bookmarkEnd w:id="10"/>
      <w:r w:rsidRPr="00F75C22">
        <w:rPr>
          <w:rFonts w:ascii="Book Antiqua" w:hAnsi="Book Antiqua"/>
          <w:b/>
          <w:color w:val="000000"/>
          <w:sz w:val="24"/>
        </w:rPr>
        <w:t>E-Editor:</w:t>
      </w:r>
      <w:r w:rsidR="00F75C22">
        <w:rPr>
          <w:rFonts w:ascii="Book Antiqua" w:hAnsi="Book Antiqua" w:hint="eastAsia"/>
          <w:b/>
          <w:color w:val="000000"/>
          <w:sz w:val="24"/>
        </w:rPr>
        <w:t xml:space="preserve"> </w:t>
      </w:r>
      <w:r w:rsidR="00F75C22">
        <w:rPr>
          <w:rFonts w:ascii="Book Antiqua" w:hAnsi="Book Antiqua" w:hint="eastAsia"/>
          <w:color w:val="000000"/>
          <w:sz w:val="24"/>
        </w:rPr>
        <w:t>Wu YXJ</w:t>
      </w:r>
    </w:p>
    <w:p w:rsidR="00881294" w:rsidRPr="00F75C22" w:rsidRDefault="00881294" w:rsidP="000149DC">
      <w:pPr>
        <w:pStyle w:val="af5"/>
        <w:spacing w:line="360" w:lineRule="auto"/>
        <w:jc w:val="both"/>
        <w:rPr>
          <w:rFonts w:ascii="Book Antiqua" w:hAnsi="Book Antiqua"/>
          <w:b/>
          <w:color w:val="000000"/>
          <w:sz w:val="24"/>
          <w:szCs w:val="24"/>
        </w:rPr>
      </w:pPr>
      <w:r w:rsidRPr="00F75C22">
        <w:rPr>
          <w:rFonts w:ascii="Book Antiqua" w:hAnsi="Book Antiqua"/>
          <w:b/>
          <w:color w:val="000000"/>
          <w:sz w:val="24"/>
          <w:szCs w:val="24"/>
        </w:rPr>
        <w:t xml:space="preserve"> </w:t>
      </w:r>
    </w:p>
    <w:p w:rsidR="00881294" w:rsidRPr="00F75C22" w:rsidRDefault="00881294" w:rsidP="000149DC">
      <w:pPr>
        <w:snapToGrid w:val="0"/>
        <w:spacing w:line="360" w:lineRule="auto"/>
        <w:rPr>
          <w:rFonts w:ascii="Book Antiqua" w:hAnsi="Book Antiqua" w:cs="Helvetica"/>
          <w:b/>
          <w:color w:val="000000"/>
          <w:sz w:val="24"/>
        </w:rPr>
      </w:pPr>
      <w:r w:rsidRPr="00F75C22">
        <w:rPr>
          <w:rFonts w:ascii="Book Antiqua" w:hAnsi="Book Antiqua" w:cs="Helvetica"/>
          <w:b/>
          <w:color w:val="000000"/>
          <w:sz w:val="24"/>
        </w:rPr>
        <w:t xml:space="preserve">Specialty type: </w:t>
      </w:r>
      <w:r w:rsidRPr="00F75C22">
        <w:rPr>
          <w:rFonts w:ascii="Book Antiqua" w:eastAsia="微软雅黑" w:hAnsi="Book Antiqua"/>
          <w:color w:val="000000"/>
          <w:sz w:val="24"/>
        </w:rPr>
        <w:t>Oncology</w:t>
      </w:r>
    </w:p>
    <w:p w:rsidR="00881294" w:rsidRPr="00F75C22" w:rsidRDefault="00881294" w:rsidP="000149DC">
      <w:pPr>
        <w:snapToGrid w:val="0"/>
        <w:spacing w:line="360" w:lineRule="auto"/>
        <w:rPr>
          <w:rFonts w:ascii="Book Antiqua" w:hAnsi="Book Antiqua" w:cs="Helvetica"/>
          <w:b/>
          <w:color w:val="000000"/>
          <w:sz w:val="24"/>
        </w:rPr>
      </w:pPr>
      <w:r w:rsidRPr="00F75C22">
        <w:rPr>
          <w:rFonts w:ascii="Book Antiqua" w:hAnsi="Book Antiqua" w:cs="Helvetica"/>
          <w:b/>
          <w:color w:val="000000"/>
          <w:sz w:val="24"/>
        </w:rPr>
        <w:lastRenderedPageBreak/>
        <w:t xml:space="preserve">Country of origin: </w:t>
      </w:r>
      <w:r w:rsidRPr="00F75C22">
        <w:rPr>
          <w:rFonts w:ascii="Book Antiqua" w:hAnsi="Book Antiqua"/>
          <w:color w:val="000000"/>
          <w:sz w:val="24"/>
        </w:rPr>
        <w:t>China</w:t>
      </w:r>
    </w:p>
    <w:p w:rsidR="00881294" w:rsidRPr="00F75C22" w:rsidRDefault="00881294" w:rsidP="000149DC">
      <w:pPr>
        <w:snapToGrid w:val="0"/>
        <w:spacing w:line="360" w:lineRule="auto"/>
        <w:rPr>
          <w:rFonts w:ascii="Book Antiqua" w:hAnsi="Book Antiqua" w:cs="Helvetica"/>
          <w:b/>
          <w:color w:val="000000"/>
          <w:sz w:val="24"/>
        </w:rPr>
      </w:pPr>
      <w:r w:rsidRPr="00F75C22">
        <w:rPr>
          <w:rFonts w:ascii="Book Antiqua" w:hAnsi="Book Antiqua" w:cs="Helvetica"/>
          <w:b/>
          <w:color w:val="000000"/>
          <w:sz w:val="24"/>
        </w:rPr>
        <w:t>Peer-review report classification</w:t>
      </w:r>
    </w:p>
    <w:p w:rsidR="00881294" w:rsidRPr="00F75C22" w:rsidRDefault="00881294" w:rsidP="000149DC">
      <w:pPr>
        <w:snapToGrid w:val="0"/>
        <w:spacing w:line="360" w:lineRule="auto"/>
        <w:rPr>
          <w:rFonts w:ascii="Book Antiqua" w:hAnsi="Book Antiqua" w:cs="Helvetica"/>
          <w:color w:val="000000"/>
          <w:sz w:val="24"/>
        </w:rPr>
      </w:pPr>
      <w:r w:rsidRPr="00F75C22">
        <w:rPr>
          <w:rFonts w:ascii="Book Antiqua" w:hAnsi="Book Antiqua" w:cs="Helvetica"/>
          <w:color w:val="000000"/>
          <w:sz w:val="24"/>
        </w:rPr>
        <w:t>Grade A (Excellent): 0</w:t>
      </w:r>
    </w:p>
    <w:p w:rsidR="00881294" w:rsidRPr="00F75C22" w:rsidRDefault="009C6203" w:rsidP="000149DC">
      <w:pPr>
        <w:snapToGrid w:val="0"/>
        <w:spacing w:line="360" w:lineRule="auto"/>
        <w:rPr>
          <w:rFonts w:ascii="Book Antiqua" w:hAnsi="Book Antiqua" w:cs="Helvetica"/>
          <w:color w:val="000000"/>
          <w:sz w:val="24"/>
        </w:rPr>
      </w:pPr>
      <w:r w:rsidRPr="00F75C22">
        <w:rPr>
          <w:rFonts w:ascii="Book Antiqua" w:hAnsi="Book Antiqua" w:cs="Helvetica"/>
          <w:color w:val="000000"/>
          <w:sz w:val="24"/>
        </w:rPr>
        <w:t>Grade B (Very good): 0</w:t>
      </w:r>
    </w:p>
    <w:p w:rsidR="00881294" w:rsidRPr="00F75C22" w:rsidRDefault="00881294" w:rsidP="000149DC">
      <w:pPr>
        <w:snapToGrid w:val="0"/>
        <w:spacing w:line="360" w:lineRule="auto"/>
        <w:rPr>
          <w:rFonts w:ascii="Book Antiqua" w:hAnsi="Book Antiqua" w:cs="Helvetica"/>
          <w:color w:val="000000"/>
          <w:sz w:val="24"/>
        </w:rPr>
      </w:pPr>
      <w:r w:rsidRPr="00F75C22">
        <w:rPr>
          <w:rFonts w:ascii="Book Antiqua" w:hAnsi="Book Antiqua" w:cs="Helvetica"/>
          <w:color w:val="000000"/>
          <w:sz w:val="24"/>
        </w:rPr>
        <w:t>Grade C (Good): C</w:t>
      </w:r>
      <w:r w:rsidR="009C6203" w:rsidRPr="00F75C22">
        <w:rPr>
          <w:rFonts w:ascii="Book Antiqua" w:hAnsi="Book Antiqua" w:cs="Helvetica"/>
          <w:color w:val="000000"/>
          <w:sz w:val="24"/>
        </w:rPr>
        <w:t>, C</w:t>
      </w:r>
    </w:p>
    <w:p w:rsidR="00881294" w:rsidRPr="00F75C22" w:rsidRDefault="00881294" w:rsidP="000149DC">
      <w:pPr>
        <w:snapToGrid w:val="0"/>
        <w:spacing w:line="360" w:lineRule="auto"/>
        <w:rPr>
          <w:rFonts w:ascii="Book Antiqua" w:hAnsi="Book Antiqua" w:cs="Helvetica"/>
          <w:color w:val="000000"/>
          <w:sz w:val="24"/>
        </w:rPr>
      </w:pPr>
      <w:r w:rsidRPr="00F75C22">
        <w:rPr>
          <w:rFonts w:ascii="Book Antiqua" w:hAnsi="Book Antiqua" w:cs="Helvetica"/>
          <w:color w:val="000000"/>
          <w:sz w:val="24"/>
        </w:rPr>
        <w:t>Grade D (Fair): 0</w:t>
      </w:r>
    </w:p>
    <w:p w:rsidR="00881294" w:rsidRPr="00F75C22" w:rsidRDefault="00881294" w:rsidP="000149DC">
      <w:pPr>
        <w:snapToGrid w:val="0"/>
        <w:spacing w:line="360" w:lineRule="auto"/>
        <w:rPr>
          <w:rFonts w:ascii="Book Antiqua" w:hAnsi="Book Antiqua"/>
          <w:b/>
          <w:color w:val="000000"/>
          <w:sz w:val="24"/>
        </w:rPr>
      </w:pPr>
      <w:r w:rsidRPr="00F75C22">
        <w:rPr>
          <w:rFonts w:ascii="Book Antiqua" w:hAnsi="Book Antiqua" w:cs="Helvetica"/>
          <w:color w:val="000000"/>
          <w:sz w:val="24"/>
        </w:rPr>
        <w:t>Grade E (Poor): 0</w:t>
      </w:r>
    </w:p>
    <w:p w:rsidR="00EF21E8" w:rsidRPr="00F75C22" w:rsidRDefault="00EF21E8"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br w:type="page"/>
      </w:r>
      <w:r w:rsidR="001F5A20" w:rsidRPr="00F75C22">
        <w:rPr>
          <w:rFonts w:ascii="Book Antiqua" w:hAnsi="Book Antiqua"/>
          <w:noProof/>
          <w:color w:val="000000"/>
          <w:sz w:val="24"/>
        </w:rPr>
        <w:lastRenderedPageBreak/>
        <w:drawing>
          <wp:inline distT="0" distB="0" distL="0" distR="0" wp14:anchorId="5603515D" wp14:editId="58553ABE">
            <wp:extent cx="3571240" cy="268732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240" cy="2687320"/>
                    </a:xfrm>
                    <a:prstGeom prst="rect">
                      <a:avLst/>
                    </a:prstGeom>
                    <a:noFill/>
                    <a:ln>
                      <a:noFill/>
                    </a:ln>
                  </pic:spPr>
                </pic:pic>
              </a:graphicData>
            </a:graphic>
          </wp:inline>
        </w:drawing>
      </w:r>
    </w:p>
    <w:p w:rsidR="00EF21E8" w:rsidRPr="00F75C22" w:rsidRDefault="00EF21E8" w:rsidP="000149DC">
      <w:pPr>
        <w:autoSpaceDE w:val="0"/>
        <w:autoSpaceDN w:val="0"/>
        <w:spacing w:line="360" w:lineRule="auto"/>
        <w:rPr>
          <w:rFonts w:ascii="Book Antiqua" w:hAnsi="Book Antiqua"/>
          <w:color w:val="000000"/>
          <w:kern w:val="0"/>
          <w:sz w:val="24"/>
        </w:rPr>
      </w:pPr>
      <w:r w:rsidRPr="00F75C22">
        <w:rPr>
          <w:rFonts w:ascii="Book Antiqua" w:hAnsi="Book Antiqua"/>
          <w:b/>
          <w:color w:val="000000"/>
          <w:kern w:val="0"/>
          <w:sz w:val="24"/>
        </w:rPr>
        <w:t xml:space="preserve">Figure 1 Immunohistochemical staining of </w:t>
      </w:r>
      <w:r w:rsidR="009E72B4" w:rsidRPr="00F75C22">
        <w:rPr>
          <w:rFonts w:ascii="Book Antiqua" w:hAnsi="Book Antiqua"/>
          <w:b/>
          <w:color w:val="000000"/>
          <w:sz w:val="24"/>
        </w:rPr>
        <w:t>human epidermal growth factor receptor 2</w:t>
      </w:r>
      <w:r w:rsidR="002762C8" w:rsidRPr="00F75C22">
        <w:rPr>
          <w:rFonts w:ascii="Book Antiqua" w:hAnsi="Book Antiqua"/>
          <w:b/>
          <w:color w:val="000000"/>
          <w:sz w:val="24"/>
        </w:rPr>
        <w:t xml:space="preserve">. </w:t>
      </w:r>
      <w:r w:rsidR="002762C8" w:rsidRPr="00F75C22">
        <w:rPr>
          <w:rFonts w:ascii="Book Antiqua" w:hAnsi="Book Antiqua"/>
          <w:color w:val="000000"/>
          <w:sz w:val="24"/>
        </w:rPr>
        <w:t>A</w:t>
      </w:r>
      <w:r w:rsidR="008174E1" w:rsidRPr="00F75C22">
        <w:rPr>
          <w:rFonts w:ascii="Book Antiqua" w:hAnsi="Book Antiqua"/>
          <w:color w:val="000000"/>
          <w:sz w:val="24"/>
        </w:rPr>
        <w:t>,B</w:t>
      </w:r>
      <w:r w:rsidR="002762C8" w:rsidRPr="00F75C22">
        <w:rPr>
          <w:rFonts w:ascii="Book Antiqua" w:hAnsi="Book Antiqua"/>
          <w:color w:val="000000"/>
          <w:sz w:val="24"/>
        </w:rPr>
        <w:t>:</w:t>
      </w:r>
      <w:r w:rsidR="009E72B4" w:rsidRPr="00F75C22">
        <w:rPr>
          <w:rFonts w:ascii="Book Antiqua" w:hAnsi="Book Antiqua"/>
          <w:color w:val="000000"/>
          <w:sz w:val="24"/>
        </w:rPr>
        <w:t xml:space="preserve"> </w:t>
      </w:r>
      <w:r w:rsidR="002762C8" w:rsidRPr="00F75C22">
        <w:rPr>
          <w:rFonts w:ascii="Book Antiqua" w:hAnsi="Book Antiqua"/>
          <w:color w:val="000000"/>
          <w:kern w:val="0"/>
          <w:sz w:val="24"/>
        </w:rPr>
        <w:t xml:space="preserve">Immunohistochemical staining of </w:t>
      </w:r>
      <w:r w:rsidR="002762C8" w:rsidRPr="00F75C22">
        <w:rPr>
          <w:rFonts w:ascii="Book Antiqua" w:hAnsi="Book Antiqua"/>
          <w:color w:val="000000"/>
          <w:sz w:val="24"/>
        </w:rPr>
        <w:t xml:space="preserve">human epidermal growth factor receptor 2 </w:t>
      </w:r>
      <w:r w:rsidRPr="00F75C22">
        <w:rPr>
          <w:rFonts w:ascii="Book Antiqua" w:hAnsi="Book Antiqua"/>
          <w:color w:val="000000"/>
          <w:kern w:val="0"/>
          <w:sz w:val="24"/>
        </w:rPr>
        <w:t xml:space="preserve">in most colorectal adenocarcinomas </w:t>
      </w:r>
      <w:r w:rsidR="0086131B" w:rsidRPr="00F75C22">
        <w:rPr>
          <w:rFonts w:ascii="Book Antiqua" w:hAnsi="Book Antiqua"/>
          <w:color w:val="000000"/>
          <w:kern w:val="0"/>
          <w:sz w:val="24"/>
        </w:rPr>
        <w:t xml:space="preserve">(CRCs) </w:t>
      </w:r>
      <w:r w:rsidRPr="00F75C22">
        <w:rPr>
          <w:rFonts w:ascii="Book Antiqua" w:hAnsi="Book Antiqua"/>
          <w:color w:val="000000"/>
          <w:kern w:val="0"/>
          <w:sz w:val="24"/>
        </w:rPr>
        <w:t>was scored as either 0 (A) or 1+ (B)</w:t>
      </w:r>
      <w:r w:rsidR="008174E1" w:rsidRPr="00F75C22">
        <w:rPr>
          <w:rFonts w:ascii="Book Antiqua" w:hAnsi="Book Antiqua"/>
          <w:color w:val="000000"/>
          <w:kern w:val="0"/>
          <w:sz w:val="24"/>
        </w:rPr>
        <w:t>;</w:t>
      </w:r>
      <w:r w:rsidRPr="00F75C22">
        <w:rPr>
          <w:rFonts w:ascii="Book Antiqua" w:hAnsi="Book Antiqua"/>
          <w:color w:val="000000"/>
          <w:kern w:val="0"/>
          <w:sz w:val="24"/>
        </w:rPr>
        <w:t xml:space="preserve"> </w:t>
      </w:r>
      <w:r w:rsidR="002762C8" w:rsidRPr="00F75C22">
        <w:rPr>
          <w:rFonts w:ascii="Book Antiqua" w:hAnsi="Book Antiqua"/>
          <w:color w:val="000000"/>
          <w:kern w:val="0"/>
          <w:sz w:val="24"/>
        </w:rPr>
        <w:t xml:space="preserve">C: </w:t>
      </w:r>
      <w:r w:rsidRPr="00F75C22">
        <w:rPr>
          <w:rFonts w:ascii="Book Antiqua" w:hAnsi="Book Antiqua"/>
          <w:color w:val="000000"/>
          <w:kern w:val="0"/>
          <w:sz w:val="24"/>
        </w:rPr>
        <w:t xml:space="preserve">Approximately 9% of </w:t>
      </w:r>
      <w:r w:rsidR="0086131B" w:rsidRPr="00F75C22">
        <w:rPr>
          <w:rFonts w:ascii="Book Antiqua" w:hAnsi="Book Antiqua"/>
          <w:color w:val="000000"/>
          <w:kern w:val="0"/>
          <w:sz w:val="24"/>
        </w:rPr>
        <w:t>CRCs</w:t>
      </w:r>
      <w:r w:rsidRPr="00F75C22">
        <w:rPr>
          <w:rFonts w:ascii="Book Antiqua" w:hAnsi="Book Antiqua"/>
          <w:color w:val="000000"/>
          <w:kern w:val="0"/>
          <w:sz w:val="24"/>
        </w:rPr>
        <w:t xml:space="preserve"> exhibited 2+ staining</w:t>
      </w:r>
      <w:r w:rsidR="002762C8" w:rsidRPr="00F75C22">
        <w:rPr>
          <w:rFonts w:ascii="Book Antiqua" w:hAnsi="Book Antiqua"/>
          <w:color w:val="000000"/>
          <w:kern w:val="0"/>
          <w:sz w:val="24"/>
        </w:rPr>
        <w:t>;</w:t>
      </w:r>
      <w:r w:rsidRPr="00F75C22">
        <w:rPr>
          <w:rFonts w:ascii="Book Antiqua" w:hAnsi="Book Antiqua"/>
          <w:color w:val="000000"/>
          <w:kern w:val="0"/>
          <w:sz w:val="24"/>
        </w:rPr>
        <w:t xml:space="preserve"> </w:t>
      </w:r>
      <w:r w:rsidR="002762C8" w:rsidRPr="00F75C22">
        <w:rPr>
          <w:rFonts w:ascii="Book Antiqua" w:hAnsi="Book Antiqua"/>
          <w:color w:val="000000"/>
          <w:kern w:val="0"/>
          <w:sz w:val="24"/>
        </w:rPr>
        <w:t xml:space="preserve">D: </w:t>
      </w:r>
      <w:r w:rsidR="00BE5247" w:rsidRPr="00F75C22">
        <w:rPr>
          <w:rFonts w:ascii="Book Antiqua" w:hAnsi="Book Antiqua"/>
          <w:color w:val="000000"/>
          <w:kern w:val="0"/>
          <w:sz w:val="24"/>
        </w:rPr>
        <w:t xml:space="preserve">Only </w:t>
      </w:r>
      <w:r w:rsidRPr="00F75C22">
        <w:rPr>
          <w:rFonts w:ascii="Book Antiqua" w:hAnsi="Book Antiqua"/>
          <w:color w:val="000000"/>
          <w:kern w:val="0"/>
          <w:sz w:val="24"/>
        </w:rPr>
        <w:t xml:space="preserve">2.6% of </w:t>
      </w:r>
      <w:r w:rsidR="0086131B" w:rsidRPr="00F75C22">
        <w:rPr>
          <w:rFonts w:ascii="Book Antiqua" w:hAnsi="Book Antiqua"/>
          <w:color w:val="000000"/>
          <w:kern w:val="0"/>
          <w:sz w:val="24"/>
        </w:rPr>
        <w:t>CRCs</w:t>
      </w:r>
      <w:r w:rsidRPr="00F75C22">
        <w:rPr>
          <w:rFonts w:ascii="Book Antiqua" w:hAnsi="Book Antiqua"/>
          <w:color w:val="000000"/>
          <w:kern w:val="0"/>
          <w:sz w:val="24"/>
        </w:rPr>
        <w:t xml:space="preserve"> exhibited 3+ staining. </w:t>
      </w:r>
    </w:p>
    <w:p w:rsidR="00EF21E8" w:rsidRPr="00F75C22" w:rsidRDefault="00EF21E8"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br w:type="page"/>
      </w:r>
      <w:r w:rsidR="002F0D8D" w:rsidRPr="00F75C22">
        <w:rPr>
          <w:rFonts w:ascii="Book Antiqua" w:hAnsi="Book Antiqua"/>
          <w:b/>
          <w:color w:val="000000"/>
          <w:kern w:val="0"/>
          <w:sz w:val="24"/>
        </w:rPr>
        <w:lastRenderedPageBreak/>
        <w:t>A</w:t>
      </w:r>
      <w:r w:rsidR="001F5A20" w:rsidRPr="00F75C22">
        <w:rPr>
          <w:rFonts w:ascii="Book Antiqua" w:hAnsi="Book Antiqua"/>
          <w:noProof/>
          <w:color w:val="000000"/>
          <w:sz w:val="24"/>
        </w:rPr>
        <w:drawing>
          <wp:inline distT="0" distB="0" distL="0" distR="0" wp14:anchorId="58BB82AF" wp14:editId="2C91507D">
            <wp:extent cx="1879600" cy="1772920"/>
            <wp:effectExtent l="0" t="0" r="635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600" cy="1772920"/>
                    </a:xfrm>
                    <a:prstGeom prst="rect">
                      <a:avLst/>
                    </a:prstGeom>
                    <a:noFill/>
                    <a:ln>
                      <a:noFill/>
                    </a:ln>
                  </pic:spPr>
                </pic:pic>
              </a:graphicData>
            </a:graphic>
          </wp:inline>
        </w:drawing>
      </w:r>
      <w:r w:rsidR="002F0D8D" w:rsidRPr="00F75C22">
        <w:rPr>
          <w:rFonts w:ascii="Book Antiqua" w:hAnsi="Book Antiqua"/>
          <w:color w:val="000000"/>
          <w:sz w:val="24"/>
        </w:rPr>
        <w:t xml:space="preserve">  B</w:t>
      </w:r>
      <w:r w:rsidR="001F5A20" w:rsidRPr="00F75C22">
        <w:rPr>
          <w:rFonts w:ascii="Book Antiqua" w:hAnsi="Book Antiqua"/>
          <w:noProof/>
          <w:color w:val="000000"/>
          <w:sz w:val="24"/>
        </w:rPr>
        <w:drawing>
          <wp:inline distT="0" distB="0" distL="0" distR="0" wp14:anchorId="5DC987E0" wp14:editId="176E8C9F">
            <wp:extent cx="1676400" cy="1767840"/>
            <wp:effectExtent l="0" t="0" r="0" b="38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767840"/>
                    </a:xfrm>
                    <a:prstGeom prst="rect">
                      <a:avLst/>
                    </a:prstGeom>
                    <a:noFill/>
                    <a:ln>
                      <a:noFill/>
                    </a:ln>
                  </pic:spPr>
                </pic:pic>
              </a:graphicData>
            </a:graphic>
          </wp:inline>
        </w:drawing>
      </w:r>
    </w:p>
    <w:p w:rsidR="00EF21E8" w:rsidRPr="00F75C22" w:rsidRDefault="00EF21E8" w:rsidP="000149DC">
      <w:pPr>
        <w:autoSpaceDE w:val="0"/>
        <w:autoSpaceDN w:val="0"/>
        <w:spacing w:line="360" w:lineRule="auto"/>
        <w:rPr>
          <w:rFonts w:ascii="Book Antiqua" w:hAnsi="Book Antiqua"/>
          <w:color w:val="000000"/>
          <w:kern w:val="0"/>
          <w:sz w:val="24"/>
        </w:rPr>
      </w:pPr>
      <w:r w:rsidRPr="00F75C22">
        <w:rPr>
          <w:rFonts w:ascii="Book Antiqua" w:hAnsi="Book Antiqua"/>
          <w:b/>
          <w:color w:val="000000"/>
          <w:kern w:val="0"/>
          <w:sz w:val="24"/>
        </w:rPr>
        <w:t xml:space="preserve">Figure 2 </w:t>
      </w:r>
      <w:r w:rsidR="002F0D8D" w:rsidRPr="00F75C22">
        <w:rPr>
          <w:rFonts w:ascii="Book Antiqua" w:hAnsi="Book Antiqua"/>
          <w:b/>
          <w:color w:val="000000"/>
          <w:kern w:val="0"/>
          <w:sz w:val="24"/>
        </w:rPr>
        <w:t xml:space="preserve">Fluorescence </w:t>
      </w:r>
      <w:r w:rsidR="002F0D8D" w:rsidRPr="00F75C22">
        <w:rPr>
          <w:rFonts w:ascii="Book Antiqua" w:hAnsi="Book Antiqua"/>
          <w:b/>
          <w:i/>
          <w:color w:val="000000"/>
          <w:kern w:val="0"/>
          <w:sz w:val="24"/>
        </w:rPr>
        <w:t>in situ</w:t>
      </w:r>
      <w:r w:rsidR="002F0D8D" w:rsidRPr="00F75C22">
        <w:rPr>
          <w:rFonts w:ascii="Book Antiqua" w:hAnsi="Book Antiqua"/>
          <w:b/>
          <w:color w:val="000000"/>
          <w:kern w:val="0"/>
          <w:sz w:val="24"/>
        </w:rPr>
        <w:t xml:space="preserve"> hybridization results. </w:t>
      </w:r>
      <w:r w:rsidRPr="00F75C22">
        <w:rPr>
          <w:rFonts w:ascii="Book Antiqua" w:hAnsi="Book Antiqua"/>
          <w:color w:val="000000"/>
          <w:kern w:val="0"/>
          <w:sz w:val="24"/>
        </w:rPr>
        <w:t xml:space="preserve">By </w:t>
      </w:r>
      <w:r w:rsidR="002F0D8D" w:rsidRPr="00F75C22">
        <w:rPr>
          <w:rFonts w:ascii="Book Antiqua" w:hAnsi="Book Antiqua"/>
          <w:color w:val="000000"/>
          <w:kern w:val="0"/>
          <w:sz w:val="24"/>
        </w:rPr>
        <w:t xml:space="preserve">fluorescence </w:t>
      </w:r>
      <w:r w:rsidR="002F0D8D" w:rsidRPr="00F75C22">
        <w:rPr>
          <w:rFonts w:ascii="Book Antiqua" w:hAnsi="Book Antiqua"/>
          <w:i/>
          <w:color w:val="000000"/>
          <w:kern w:val="0"/>
          <w:sz w:val="24"/>
        </w:rPr>
        <w:t>in situ</w:t>
      </w:r>
      <w:r w:rsidR="002F0D8D" w:rsidRPr="00F75C22">
        <w:rPr>
          <w:rFonts w:ascii="Book Antiqua" w:hAnsi="Book Antiqua"/>
          <w:color w:val="000000"/>
          <w:kern w:val="0"/>
          <w:sz w:val="24"/>
        </w:rPr>
        <w:t xml:space="preserve"> hybridization</w:t>
      </w:r>
      <w:r w:rsidRPr="00F75C22">
        <w:rPr>
          <w:rFonts w:ascii="Book Antiqua" w:hAnsi="Book Antiqua"/>
          <w:color w:val="000000"/>
          <w:kern w:val="0"/>
          <w:sz w:val="24"/>
        </w:rPr>
        <w:t xml:space="preserve">, all tested tumors with 1+ </w:t>
      </w:r>
      <w:r w:rsidR="002F0D8D" w:rsidRPr="00F75C22">
        <w:rPr>
          <w:rFonts w:ascii="Book Antiqua" w:hAnsi="Book Antiqua"/>
          <w:color w:val="000000"/>
          <w:sz w:val="24"/>
        </w:rPr>
        <w:t xml:space="preserve">human epidermal growth factor receptor 2 (HER2) </w:t>
      </w:r>
      <w:r w:rsidRPr="00F75C22">
        <w:rPr>
          <w:rFonts w:ascii="Book Antiqua" w:hAnsi="Book Antiqua"/>
          <w:color w:val="000000"/>
          <w:kern w:val="0"/>
          <w:sz w:val="24"/>
        </w:rPr>
        <w:t xml:space="preserve">staining and 80% of tumors with 2+ staining showed no evidence of </w:t>
      </w:r>
      <w:r w:rsidRPr="00F75C22">
        <w:rPr>
          <w:rFonts w:ascii="Book Antiqua" w:hAnsi="Book Antiqua"/>
          <w:i/>
          <w:iCs/>
          <w:color w:val="000000"/>
          <w:kern w:val="0"/>
          <w:sz w:val="24"/>
        </w:rPr>
        <w:t>HER2</w:t>
      </w:r>
      <w:r w:rsidRPr="00F75C22">
        <w:rPr>
          <w:rFonts w:ascii="Book Antiqua" w:hAnsi="Book Antiqua"/>
          <w:color w:val="000000"/>
          <w:kern w:val="0"/>
          <w:sz w:val="24"/>
        </w:rPr>
        <w:t xml:space="preserve"> gene amplification (</w:t>
      </w:r>
      <w:r w:rsidR="002F0D8D" w:rsidRPr="00F75C22">
        <w:rPr>
          <w:rFonts w:ascii="Book Antiqua" w:hAnsi="Book Antiqua"/>
          <w:color w:val="000000"/>
          <w:kern w:val="0"/>
          <w:sz w:val="24"/>
        </w:rPr>
        <w:t>A</w:t>
      </w:r>
      <w:r w:rsidRPr="00F75C22">
        <w:rPr>
          <w:rFonts w:ascii="Book Antiqua" w:hAnsi="Book Antiqua"/>
          <w:color w:val="000000"/>
          <w:kern w:val="0"/>
          <w:sz w:val="24"/>
        </w:rPr>
        <w:t xml:space="preserve">) whereas 83% of tumors with 3+ HER2 staining harbored </w:t>
      </w:r>
      <w:r w:rsidRPr="00F75C22">
        <w:rPr>
          <w:rFonts w:ascii="Book Antiqua" w:hAnsi="Book Antiqua"/>
          <w:i/>
          <w:iCs/>
          <w:color w:val="000000"/>
          <w:kern w:val="0"/>
          <w:sz w:val="24"/>
        </w:rPr>
        <w:t>HER2</w:t>
      </w:r>
      <w:r w:rsidRPr="00F75C22">
        <w:rPr>
          <w:rFonts w:ascii="Book Antiqua" w:hAnsi="Book Antiqua"/>
          <w:color w:val="000000"/>
          <w:kern w:val="0"/>
          <w:sz w:val="24"/>
        </w:rPr>
        <w:t xml:space="preserve"> gene amplifications (</w:t>
      </w:r>
      <w:r w:rsidR="002F0D8D" w:rsidRPr="00F75C22">
        <w:rPr>
          <w:rFonts w:ascii="Book Antiqua" w:hAnsi="Book Antiqua"/>
          <w:color w:val="000000"/>
          <w:kern w:val="0"/>
          <w:sz w:val="24"/>
        </w:rPr>
        <w:t>B</w:t>
      </w:r>
      <w:r w:rsidRPr="00F75C22">
        <w:rPr>
          <w:rFonts w:ascii="Book Antiqua" w:hAnsi="Book Antiqua"/>
          <w:color w:val="000000"/>
          <w:kern w:val="0"/>
          <w:sz w:val="24"/>
        </w:rPr>
        <w:t>)</w:t>
      </w:r>
      <w:r w:rsidR="002F0D8D" w:rsidRPr="00F75C22">
        <w:rPr>
          <w:rFonts w:ascii="Book Antiqua" w:hAnsi="Book Antiqua"/>
          <w:color w:val="000000"/>
          <w:kern w:val="0"/>
          <w:sz w:val="24"/>
        </w:rPr>
        <w:t>.</w:t>
      </w:r>
      <w:r w:rsidRPr="00F75C22">
        <w:rPr>
          <w:rFonts w:ascii="Book Antiqua" w:hAnsi="Book Antiqua"/>
          <w:color w:val="000000"/>
          <w:kern w:val="0"/>
          <w:sz w:val="24"/>
        </w:rPr>
        <w:t xml:space="preserve"> </w:t>
      </w:r>
    </w:p>
    <w:p w:rsidR="00EF21E8" w:rsidRPr="00F75C22" w:rsidRDefault="00EF21E8"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br w:type="page"/>
      </w:r>
      <w:r w:rsidR="001F5A20" w:rsidRPr="00F75C22">
        <w:rPr>
          <w:rFonts w:ascii="Book Antiqua" w:hAnsi="Book Antiqua"/>
          <w:noProof/>
          <w:color w:val="000000"/>
          <w:kern w:val="0"/>
          <w:sz w:val="24"/>
        </w:rPr>
        <w:lastRenderedPageBreak/>
        <w:drawing>
          <wp:inline distT="0" distB="0" distL="0" distR="0" wp14:anchorId="071566FD" wp14:editId="5B1CA65D">
            <wp:extent cx="4094480" cy="4094480"/>
            <wp:effectExtent l="0" t="0" r="1270" b="1270"/>
            <wp:docPr id="4" name="图片 1" descr="微信图片_201808311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808311056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480" cy="4094480"/>
                    </a:xfrm>
                    <a:prstGeom prst="rect">
                      <a:avLst/>
                    </a:prstGeom>
                    <a:noFill/>
                    <a:ln>
                      <a:noFill/>
                    </a:ln>
                  </pic:spPr>
                </pic:pic>
              </a:graphicData>
            </a:graphic>
          </wp:inline>
        </w:drawing>
      </w:r>
    </w:p>
    <w:p w:rsidR="00EF21E8" w:rsidRPr="00F75C22" w:rsidRDefault="00EF21E8" w:rsidP="000149DC">
      <w:pPr>
        <w:pStyle w:val="p0"/>
        <w:spacing w:line="360" w:lineRule="auto"/>
        <w:rPr>
          <w:rFonts w:ascii="Book Antiqua" w:hAnsi="Book Antiqua" w:cs="Times New Roman"/>
          <w:b/>
          <w:bCs/>
          <w:color w:val="000000"/>
          <w:sz w:val="24"/>
          <w:szCs w:val="24"/>
        </w:rPr>
      </w:pPr>
      <w:r w:rsidRPr="00F75C22">
        <w:rPr>
          <w:rFonts w:ascii="Book Antiqua" w:hAnsi="Book Antiqua" w:cs="Times New Roman"/>
          <w:b/>
          <w:color w:val="000000"/>
          <w:sz w:val="24"/>
          <w:szCs w:val="24"/>
        </w:rPr>
        <w:t xml:space="preserve">Figure 3 </w:t>
      </w:r>
      <w:r w:rsidR="00670168" w:rsidRPr="00F75C22">
        <w:rPr>
          <w:rFonts w:ascii="Book Antiqua" w:hAnsi="Book Antiqua" w:cs="Times New Roman"/>
          <w:b/>
          <w:color w:val="000000"/>
          <w:sz w:val="24"/>
          <w:szCs w:val="24"/>
        </w:rPr>
        <w:t xml:space="preserve">Kaplan-Meier overall survival analysis. </w:t>
      </w:r>
      <w:r w:rsidR="00670168" w:rsidRPr="00F75C22">
        <w:rPr>
          <w:rFonts w:ascii="Book Antiqua" w:hAnsi="Book Antiqua" w:cs="Times New Roman"/>
          <w:color w:val="000000"/>
          <w:sz w:val="24"/>
          <w:szCs w:val="24"/>
        </w:rPr>
        <w:t>A:</w:t>
      </w:r>
      <w:r w:rsidRPr="00F75C22">
        <w:rPr>
          <w:rFonts w:ascii="Book Antiqua" w:hAnsi="Book Antiqua" w:cs="Times New Roman"/>
          <w:color w:val="000000"/>
          <w:sz w:val="24"/>
          <w:szCs w:val="24"/>
        </w:rPr>
        <w:t xml:space="preserve"> Kaplan-Meier overall survival </w:t>
      </w:r>
      <w:r w:rsidR="00670168" w:rsidRPr="00F75C22">
        <w:rPr>
          <w:rFonts w:ascii="Book Antiqua" w:hAnsi="Book Antiqua" w:cs="Times New Roman"/>
          <w:color w:val="000000"/>
          <w:sz w:val="24"/>
          <w:szCs w:val="24"/>
        </w:rPr>
        <w:t xml:space="preserve">(OS) </w:t>
      </w:r>
      <w:r w:rsidRPr="00F75C22">
        <w:rPr>
          <w:rFonts w:ascii="Book Antiqua" w:hAnsi="Book Antiqua" w:cs="Times New Roman"/>
          <w:color w:val="000000"/>
          <w:sz w:val="24"/>
          <w:szCs w:val="24"/>
        </w:rPr>
        <w:t xml:space="preserve">analysis of </w:t>
      </w:r>
      <w:r w:rsidR="00670168" w:rsidRPr="00F75C22">
        <w:rPr>
          <w:rFonts w:ascii="Book Antiqua" w:hAnsi="Book Antiqua" w:cs="Times New Roman"/>
          <w:color w:val="000000"/>
          <w:sz w:val="24"/>
          <w:szCs w:val="24"/>
        </w:rPr>
        <w:t>colorectal adenocarcinoma</w:t>
      </w:r>
      <w:r w:rsidRPr="00F75C22">
        <w:rPr>
          <w:rFonts w:ascii="Book Antiqua" w:hAnsi="Book Antiqua" w:cs="Times New Roman"/>
          <w:color w:val="000000"/>
          <w:sz w:val="24"/>
          <w:szCs w:val="24"/>
        </w:rPr>
        <w:t xml:space="preserve"> patients based on </w:t>
      </w:r>
      <w:r w:rsidR="00147A5A" w:rsidRPr="00F75C22">
        <w:rPr>
          <w:rFonts w:ascii="Book Antiqua" w:hAnsi="Book Antiqua"/>
          <w:color w:val="000000"/>
          <w:sz w:val="24"/>
          <w:szCs w:val="24"/>
        </w:rPr>
        <w:t xml:space="preserve">human </w:t>
      </w:r>
      <w:r w:rsidR="00147A5A" w:rsidRPr="00F75C22">
        <w:rPr>
          <w:rFonts w:ascii="Book Antiqua" w:hAnsi="Book Antiqua" w:cs="Times New Roman"/>
          <w:color w:val="000000"/>
          <w:sz w:val="24"/>
          <w:szCs w:val="24"/>
        </w:rPr>
        <w:t>epidermal growth factor receptor 2 (</w:t>
      </w:r>
      <w:r w:rsidRPr="00F75C22">
        <w:rPr>
          <w:rFonts w:ascii="Book Antiqua" w:hAnsi="Book Antiqua" w:cs="Times New Roman"/>
          <w:color w:val="000000"/>
          <w:sz w:val="24"/>
          <w:szCs w:val="24"/>
        </w:rPr>
        <w:t>HER2</w:t>
      </w:r>
      <w:r w:rsidR="00147A5A" w:rsidRPr="00F75C22">
        <w:rPr>
          <w:rFonts w:ascii="Book Antiqua" w:hAnsi="Book Antiqua" w:cs="Times New Roman"/>
          <w:color w:val="000000"/>
          <w:sz w:val="24"/>
          <w:szCs w:val="24"/>
        </w:rPr>
        <w:t>)</w:t>
      </w:r>
      <w:r w:rsidRPr="00F75C22">
        <w:rPr>
          <w:rFonts w:ascii="Book Antiqua" w:hAnsi="Book Antiqua" w:cs="Times New Roman"/>
          <w:color w:val="000000"/>
          <w:sz w:val="24"/>
          <w:szCs w:val="24"/>
        </w:rPr>
        <w:t xml:space="preserve"> expression status (as determined by </w:t>
      </w:r>
      <w:r w:rsidR="00670168" w:rsidRPr="00F75C22">
        <w:rPr>
          <w:rFonts w:ascii="Book Antiqua" w:hAnsi="Book Antiqua"/>
          <w:color w:val="000000"/>
          <w:sz w:val="24"/>
          <w:szCs w:val="24"/>
        </w:rPr>
        <w:t xml:space="preserve">fluorescence </w:t>
      </w:r>
      <w:r w:rsidR="00670168" w:rsidRPr="00F75C22">
        <w:rPr>
          <w:rFonts w:ascii="Book Antiqua" w:hAnsi="Book Antiqua"/>
          <w:i/>
          <w:color w:val="000000"/>
          <w:sz w:val="24"/>
          <w:szCs w:val="24"/>
        </w:rPr>
        <w:t>in situ</w:t>
      </w:r>
      <w:r w:rsidR="00670168" w:rsidRPr="00F75C22">
        <w:rPr>
          <w:rFonts w:ascii="Book Antiqua" w:hAnsi="Book Antiqua"/>
          <w:color w:val="000000"/>
          <w:sz w:val="24"/>
          <w:szCs w:val="24"/>
        </w:rPr>
        <w:t xml:space="preserve"> hybridization</w:t>
      </w:r>
      <w:r w:rsidR="00147A5A" w:rsidRPr="00F75C22">
        <w:rPr>
          <w:rFonts w:ascii="Book Antiqua" w:hAnsi="Book Antiqua" w:cs="Times New Roman"/>
          <w:color w:val="000000"/>
          <w:sz w:val="24"/>
          <w:szCs w:val="24"/>
        </w:rPr>
        <w:t xml:space="preserve">); </w:t>
      </w:r>
      <w:r w:rsidRPr="00F75C22">
        <w:rPr>
          <w:rFonts w:ascii="Book Antiqua" w:hAnsi="Book Antiqua" w:cs="Times New Roman"/>
          <w:color w:val="000000"/>
          <w:sz w:val="24"/>
          <w:szCs w:val="24"/>
        </w:rPr>
        <w:t>B</w:t>
      </w:r>
      <w:r w:rsidR="00147A5A" w:rsidRPr="00F75C22">
        <w:rPr>
          <w:rFonts w:ascii="Book Antiqua" w:hAnsi="Book Antiqua" w:cs="Times New Roman"/>
          <w:color w:val="000000"/>
          <w:sz w:val="24"/>
          <w:szCs w:val="24"/>
        </w:rPr>
        <w:t>:</w:t>
      </w:r>
      <w:r w:rsidRPr="00F75C22">
        <w:rPr>
          <w:rFonts w:ascii="Book Antiqua" w:hAnsi="Book Antiqua" w:cs="Times New Roman"/>
          <w:color w:val="000000"/>
          <w:sz w:val="24"/>
          <w:szCs w:val="24"/>
        </w:rPr>
        <w:t xml:space="preserve"> Kaplan-Meier </w:t>
      </w:r>
      <w:r w:rsidR="00147A5A" w:rsidRPr="00F75C22">
        <w:rPr>
          <w:rFonts w:ascii="Book Antiqua" w:hAnsi="Book Antiqua" w:cs="Times New Roman"/>
          <w:color w:val="000000"/>
          <w:sz w:val="24"/>
          <w:szCs w:val="24"/>
        </w:rPr>
        <w:t>OS</w:t>
      </w:r>
      <w:r w:rsidRPr="00F75C22">
        <w:rPr>
          <w:rFonts w:ascii="Book Antiqua" w:hAnsi="Book Antiqua" w:cs="Times New Roman"/>
          <w:color w:val="000000"/>
          <w:sz w:val="24"/>
          <w:szCs w:val="24"/>
        </w:rPr>
        <w:t xml:space="preserve"> analysis of tubular adenocarcinoma patients age ≤</w:t>
      </w:r>
      <w:r w:rsidR="00147A5A" w:rsidRPr="00F75C22">
        <w:rPr>
          <w:rFonts w:ascii="Book Antiqua" w:hAnsi="Book Antiqua" w:cs="Times New Roman"/>
          <w:color w:val="000000"/>
          <w:sz w:val="24"/>
          <w:szCs w:val="24"/>
        </w:rPr>
        <w:t xml:space="preserve"> </w:t>
      </w:r>
      <w:r w:rsidRPr="00F75C22">
        <w:rPr>
          <w:rFonts w:ascii="Book Antiqua" w:hAnsi="Book Antiqua" w:cs="Times New Roman"/>
          <w:color w:val="000000"/>
          <w:sz w:val="24"/>
          <w:szCs w:val="24"/>
        </w:rPr>
        <w:t>65 based on HER2 expression stat</w:t>
      </w:r>
      <w:r w:rsidR="00147A5A" w:rsidRPr="00F75C22">
        <w:rPr>
          <w:rFonts w:ascii="Book Antiqua" w:hAnsi="Book Antiqua" w:cs="Times New Roman"/>
          <w:color w:val="000000"/>
          <w:sz w:val="24"/>
          <w:szCs w:val="24"/>
        </w:rPr>
        <w:t>us; C:</w:t>
      </w:r>
      <w:r w:rsidRPr="00F75C22">
        <w:rPr>
          <w:rFonts w:ascii="Book Antiqua" w:hAnsi="Book Antiqua" w:cs="Times New Roman"/>
          <w:color w:val="000000"/>
          <w:sz w:val="24"/>
          <w:szCs w:val="24"/>
        </w:rPr>
        <w:t xml:space="preserve"> Kaplan-Meier </w:t>
      </w:r>
      <w:r w:rsidR="00147A5A" w:rsidRPr="00F75C22">
        <w:rPr>
          <w:rFonts w:ascii="Book Antiqua" w:hAnsi="Book Antiqua" w:cs="Times New Roman"/>
          <w:color w:val="000000"/>
          <w:sz w:val="24"/>
          <w:szCs w:val="24"/>
        </w:rPr>
        <w:t>OS</w:t>
      </w:r>
      <w:r w:rsidRPr="00F75C22">
        <w:rPr>
          <w:rFonts w:ascii="Book Antiqua" w:hAnsi="Book Antiqua" w:cs="Times New Roman"/>
          <w:color w:val="000000"/>
          <w:sz w:val="24"/>
          <w:szCs w:val="24"/>
        </w:rPr>
        <w:t xml:space="preserve"> analysis of tubular adenocarcinoma patients with moderate-poor differentiation and age ≤</w:t>
      </w:r>
      <w:r w:rsidR="00147A5A" w:rsidRPr="00F75C22">
        <w:rPr>
          <w:rFonts w:ascii="Book Antiqua" w:hAnsi="Book Antiqua" w:cs="Times New Roman"/>
          <w:color w:val="000000"/>
          <w:sz w:val="24"/>
          <w:szCs w:val="24"/>
        </w:rPr>
        <w:t xml:space="preserve"> </w:t>
      </w:r>
      <w:r w:rsidRPr="00F75C22">
        <w:rPr>
          <w:rFonts w:ascii="Book Antiqua" w:hAnsi="Book Antiqua" w:cs="Times New Roman"/>
          <w:color w:val="000000"/>
          <w:sz w:val="24"/>
          <w:szCs w:val="24"/>
        </w:rPr>
        <w:t>65 base</w:t>
      </w:r>
      <w:r w:rsidR="00BD1DF2" w:rsidRPr="00F75C22">
        <w:rPr>
          <w:rFonts w:ascii="Book Antiqua" w:hAnsi="Book Antiqua" w:cs="Times New Roman"/>
          <w:color w:val="000000"/>
          <w:sz w:val="24"/>
          <w:szCs w:val="24"/>
        </w:rPr>
        <w:t>d on HER2 expression status; D:</w:t>
      </w:r>
      <w:r w:rsidRPr="00F75C22">
        <w:rPr>
          <w:rFonts w:ascii="Book Antiqua" w:hAnsi="Book Antiqua" w:cs="Times New Roman"/>
          <w:color w:val="000000"/>
          <w:sz w:val="24"/>
          <w:szCs w:val="24"/>
        </w:rPr>
        <w:t xml:space="preserve"> Kaplan-Meier overall survival analysis of tubular adenocarcinoma patients with stage T2-4 tumors and age ≤</w:t>
      </w:r>
      <w:r w:rsidR="00BD1DF2" w:rsidRPr="00F75C22">
        <w:rPr>
          <w:rFonts w:ascii="Book Antiqua" w:hAnsi="Book Antiqua" w:cs="Times New Roman"/>
          <w:color w:val="000000"/>
          <w:sz w:val="24"/>
          <w:szCs w:val="24"/>
        </w:rPr>
        <w:t xml:space="preserve"> </w:t>
      </w:r>
      <w:r w:rsidRPr="00F75C22">
        <w:rPr>
          <w:rFonts w:ascii="Book Antiqua" w:hAnsi="Book Antiqua" w:cs="Times New Roman"/>
          <w:color w:val="000000"/>
          <w:sz w:val="24"/>
          <w:szCs w:val="24"/>
        </w:rPr>
        <w:t>65 based on HER2 expression status.</w:t>
      </w:r>
      <w:r w:rsidR="00545239" w:rsidRPr="00F75C22">
        <w:rPr>
          <w:rFonts w:ascii="Book Antiqua" w:hAnsi="Book Antiqua" w:cs="Times New Roman"/>
          <w:color w:val="000000"/>
          <w:sz w:val="24"/>
          <w:szCs w:val="24"/>
        </w:rPr>
        <w:t xml:space="preserve"> HER2: </w:t>
      </w:r>
      <w:r w:rsidR="00545239" w:rsidRPr="00F75C22">
        <w:rPr>
          <w:rFonts w:ascii="Book Antiqua" w:hAnsi="Book Antiqua"/>
          <w:color w:val="000000"/>
          <w:sz w:val="24"/>
          <w:szCs w:val="24"/>
        </w:rPr>
        <w:t xml:space="preserve">Human </w:t>
      </w:r>
      <w:r w:rsidR="00545239" w:rsidRPr="00F75C22">
        <w:rPr>
          <w:rFonts w:ascii="Book Antiqua" w:hAnsi="Book Antiqua" w:cs="Times New Roman"/>
          <w:color w:val="000000"/>
          <w:sz w:val="24"/>
          <w:szCs w:val="24"/>
        </w:rPr>
        <w:t>epidermal growth factor receptor 2; FISH:</w:t>
      </w:r>
      <w:r w:rsidR="00545239" w:rsidRPr="00F75C22">
        <w:rPr>
          <w:rFonts w:ascii="Book Antiqua" w:hAnsi="Book Antiqua"/>
          <w:color w:val="000000"/>
          <w:sz w:val="24"/>
          <w:szCs w:val="24"/>
        </w:rPr>
        <w:t xml:space="preserve"> </w:t>
      </w:r>
      <w:r w:rsidR="00B03339" w:rsidRPr="00F75C22">
        <w:rPr>
          <w:rFonts w:ascii="Book Antiqua" w:hAnsi="Book Antiqua"/>
          <w:color w:val="000000"/>
          <w:sz w:val="24"/>
          <w:szCs w:val="24"/>
        </w:rPr>
        <w:t xml:space="preserve">Fluorescence </w:t>
      </w:r>
      <w:r w:rsidR="00545239" w:rsidRPr="00F75C22">
        <w:rPr>
          <w:rFonts w:ascii="Book Antiqua" w:hAnsi="Book Antiqua"/>
          <w:i/>
          <w:color w:val="000000"/>
          <w:sz w:val="24"/>
          <w:szCs w:val="24"/>
        </w:rPr>
        <w:t>in situ</w:t>
      </w:r>
      <w:r w:rsidR="00545239" w:rsidRPr="00F75C22">
        <w:rPr>
          <w:rFonts w:ascii="Book Antiqua" w:hAnsi="Book Antiqua"/>
          <w:color w:val="000000"/>
          <w:sz w:val="24"/>
          <w:szCs w:val="24"/>
        </w:rPr>
        <w:t xml:space="preserve"> hybridization.</w:t>
      </w:r>
    </w:p>
    <w:p w:rsidR="00E64A87" w:rsidRPr="00F75C22" w:rsidRDefault="00EF21E8" w:rsidP="000149DC">
      <w:pPr>
        <w:pStyle w:val="p0"/>
        <w:spacing w:line="360" w:lineRule="auto"/>
        <w:rPr>
          <w:rFonts w:ascii="Book Antiqua" w:hAnsi="Book Antiqua" w:cs="Times New Roman"/>
          <w:b/>
          <w:color w:val="000000"/>
          <w:sz w:val="24"/>
          <w:szCs w:val="24"/>
        </w:rPr>
      </w:pPr>
      <w:r w:rsidRPr="00F75C22">
        <w:rPr>
          <w:rFonts w:ascii="Book Antiqua" w:hAnsi="Book Antiqua" w:cs="Times New Roman"/>
          <w:b/>
          <w:bCs/>
          <w:color w:val="000000"/>
          <w:sz w:val="24"/>
          <w:szCs w:val="24"/>
        </w:rPr>
        <w:br w:type="page"/>
      </w:r>
      <w:r w:rsidR="00E64A87" w:rsidRPr="00F75C22">
        <w:rPr>
          <w:rFonts w:ascii="Book Antiqua" w:hAnsi="Book Antiqua" w:cs="Times New Roman"/>
          <w:b/>
          <w:color w:val="000000"/>
          <w:sz w:val="24"/>
          <w:szCs w:val="24"/>
        </w:rPr>
        <w:lastRenderedPageBreak/>
        <w:t>Table 1 Clinicopathological features of colorectal cancers</w:t>
      </w:r>
    </w:p>
    <w:tbl>
      <w:tblPr>
        <w:tblpPr w:leftFromText="180" w:rightFromText="180" w:vertAnchor="text" w:tblpY="1"/>
        <w:tblOverlap w:val="never"/>
        <w:tblW w:w="0" w:type="auto"/>
        <w:tblBorders>
          <w:top w:val="single" w:sz="4" w:space="0" w:color="auto"/>
          <w:bottom w:val="single" w:sz="4" w:space="0" w:color="auto"/>
        </w:tblBorders>
        <w:tblLayout w:type="fixed"/>
        <w:tblLook w:val="0000" w:firstRow="0" w:lastRow="0" w:firstColumn="0" w:lastColumn="0" w:noHBand="0" w:noVBand="0"/>
      </w:tblPr>
      <w:tblGrid>
        <w:gridCol w:w="3510"/>
        <w:gridCol w:w="2172"/>
      </w:tblGrid>
      <w:tr w:rsidR="000149DC" w:rsidRPr="00F75C22" w:rsidTr="00CB6B55">
        <w:trPr>
          <w:trHeight w:val="380"/>
        </w:trPr>
        <w:tc>
          <w:tcPr>
            <w:tcW w:w="3510" w:type="dxa"/>
            <w:tcBorders>
              <w:top w:val="single" w:sz="4" w:space="0" w:color="auto"/>
              <w:bottom w:val="single" w:sz="4" w:space="0" w:color="auto"/>
            </w:tcBorders>
          </w:tcPr>
          <w:p w:rsidR="00CB6B55" w:rsidRPr="00F75C22" w:rsidRDefault="00CB6B55" w:rsidP="000149DC">
            <w:pPr>
              <w:spacing w:line="360" w:lineRule="auto"/>
              <w:rPr>
                <w:rFonts w:ascii="Book Antiqua" w:hAnsi="Book Antiqua"/>
                <w:b/>
                <w:color w:val="000000"/>
                <w:sz w:val="24"/>
              </w:rPr>
            </w:pPr>
            <w:r w:rsidRPr="00F75C22">
              <w:rPr>
                <w:rFonts w:ascii="Book Antiqua" w:hAnsi="Book Antiqua"/>
                <w:b/>
                <w:color w:val="000000"/>
                <w:kern w:val="0"/>
                <w:sz w:val="24"/>
              </w:rPr>
              <w:t>Clinical/pathological features</w:t>
            </w:r>
          </w:p>
        </w:tc>
        <w:tc>
          <w:tcPr>
            <w:tcW w:w="2172" w:type="dxa"/>
            <w:tcBorders>
              <w:top w:val="single" w:sz="4" w:space="0" w:color="auto"/>
              <w:bottom w:val="single" w:sz="4" w:space="0" w:color="auto"/>
            </w:tcBorders>
          </w:tcPr>
          <w:p w:rsidR="00CB6B55" w:rsidRPr="00F75C22" w:rsidRDefault="00CB6B55" w:rsidP="000149DC">
            <w:pPr>
              <w:spacing w:line="360" w:lineRule="auto"/>
              <w:rPr>
                <w:rFonts w:ascii="Book Antiqua" w:hAnsi="Book Antiqua"/>
                <w:b/>
                <w:i/>
                <w:color w:val="000000"/>
                <w:sz w:val="24"/>
              </w:rPr>
            </w:pPr>
            <w:r w:rsidRPr="00F75C22">
              <w:rPr>
                <w:rFonts w:ascii="Book Antiqua" w:hAnsi="Book Antiqua"/>
                <w:b/>
                <w:i/>
                <w:color w:val="000000"/>
                <w:kern w:val="0"/>
                <w:sz w:val="24"/>
              </w:rPr>
              <w:t>n</w:t>
            </w:r>
          </w:p>
        </w:tc>
      </w:tr>
      <w:tr w:rsidR="000149DC" w:rsidRPr="00F75C22" w:rsidTr="00CB6B55">
        <w:trPr>
          <w:trHeight w:val="70"/>
        </w:trPr>
        <w:tc>
          <w:tcPr>
            <w:tcW w:w="5682" w:type="dxa"/>
            <w:gridSpan w:val="2"/>
            <w:tcBorders>
              <w:top w:val="single" w:sz="4" w:space="0" w:color="auto"/>
            </w:tcBorders>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Gender</w:t>
            </w:r>
          </w:p>
        </w:tc>
      </w:tr>
      <w:tr w:rsidR="000149DC" w:rsidRPr="00F75C22" w:rsidTr="00CB6B55">
        <w:trPr>
          <w:trHeight w:val="70"/>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Male</w:t>
            </w:r>
          </w:p>
        </w:tc>
        <w:tc>
          <w:tcPr>
            <w:tcW w:w="2172"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sz w:val="24"/>
              </w:rPr>
              <w:t>718</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Female</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477</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Age (yr)</w:t>
            </w:r>
          </w:p>
        </w:tc>
        <w:tc>
          <w:tcPr>
            <w:tcW w:w="2172" w:type="dxa"/>
          </w:tcPr>
          <w:p w:rsidR="00CB6B55" w:rsidRPr="00F75C22" w:rsidRDefault="00CB6B55" w:rsidP="000149DC">
            <w:pPr>
              <w:spacing w:line="360" w:lineRule="auto"/>
              <w:rPr>
                <w:rFonts w:ascii="Book Antiqua" w:hAnsi="Book Antiqua"/>
                <w:color w:val="000000"/>
                <w:sz w:val="24"/>
              </w:rPr>
            </w:pP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 60</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578</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&gt; 60</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617</w:t>
            </w:r>
          </w:p>
        </w:tc>
      </w:tr>
      <w:tr w:rsidR="000149DC" w:rsidRPr="00F75C22" w:rsidTr="00CB6B55">
        <w:trPr>
          <w:trHeight w:val="454"/>
        </w:trPr>
        <w:tc>
          <w:tcPr>
            <w:tcW w:w="5682" w:type="dxa"/>
            <w:gridSpan w:val="2"/>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Tumor grade</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G1</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42</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G2</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857</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G3</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296</w:t>
            </w:r>
          </w:p>
        </w:tc>
      </w:tr>
      <w:tr w:rsidR="000149DC" w:rsidRPr="00F75C22" w:rsidTr="00CB6B55">
        <w:trPr>
          <w:trHeight w:val="454"/>
        </w:trPr>
        <w:tc>
          <w:tcPr>
            <w:tcW w:w="5682" w:type="dxa"/>
            <w:gridSpan w:val="2"/>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Tumor stage</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pT1</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32</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pT2</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175</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pT3</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937</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pT4</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51</w:t>
            </w:r>
          </w:p>
        </w:tc>
      </w:tr>
      <w:tr w:rsidR="000149DC" w:rsidRPr="00F75C22" w:rsidTr="00CB6B55">
        <w:trPr>
          <w:trHeight w:val="454"/>
        </w:trPr>
        <w:tc>
          <w:tcPr>
            <w:tcW w:w="5682" w:type="dxa"/>
            <w:gridSpan w:val="2"/>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Nodal status</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pN0</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593</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pN1</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296</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pN2</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306</w:t>
            </w:r>
          </w:p>
        </w:tc>
      </w:tr>
      <w:tr w:rsidR="000149DC" w:rsidRPr="00F75C22" w:rsidTr="00CB6B55">
        <w:trPr>
          <w:trHeight w:val="454"/>
        </w:trPr>
        <w:tc>
          <w:tcPr>
            <w:tcW w:w="5682" w:type="dxa"/>
            <w:gridSpan w:val="2"/>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Tumor type</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Tubular carcinoma</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1089</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Mucinous carcinoma</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106</w:t>
            </w:r>
          </w:p>
        </w:tc>
      </w:tr>
      <w:tr w:rsidR="000149DC" w:rsidRPr="00F75C22" w:rsidTr="00CB6B55">
        <w:trPr>
          <w:trHeight w:val="454"/>
        </w:trPr>
        <w:tc>
          <w:tcPr>
            <w:tcW w:w="5682" w:type="dxa"/>
            <w:gridSpan w:val="2"/>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kern w:val="0"/>
                <w:sz w:val="24"/>
              </w:rPr>
              <w:t>Localization</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Ascending colon</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273</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Transverse colon</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32</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Descending colon</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56</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Sigmoid</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289</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lastRenderedPageBreak/>
              <w:t>Rectum</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545</w:t>
            </w:r>
          </w:p>
        </w:tc>
      </w:tr>
      <w:tr w:rsidR="000149DC" w:rsidRPr="00F75C22" w:rsidTr="00CB6B55">
        <w:trPr>
          <w:trHeight w:val="454"/>
        </w:trPr>
        <w:tc>
          <w:tcPr>
            <w:tcW w:w="3510" w:type="dxa"/>
          </w:tcPr>
          <w:p w:rsidR="00CB6B55" w:rsidRPr="00F75C22" w:rsidRDefault="00CB6B55" w:rsidP="000149DC">
            <w:pPr>
              <w:spacing w:line="360" w:lineRule="auto"/>
              <w:rPr>
                <w:rFonts w:ascii="Book Antiqua" w:hAnsi="Book Antiqua"/>
                <w:color w:val="000000"/>
                <w:kern w:val="0"/>
                <w:sz w:val="24"/>
              </w:rPr>
            </w:pPr>
            <w:r w:rsidRPr="00F75C22">
              <w:rPr>
                <w:rFonts w:ascii="Book Antiqua" w:hAnsi="Book Antiqua"/>
                <w:color w:val="000000"/>
                <w:kern w:val="0"/>
                <w:sz w:val="24"/>
              </w:rPr>
              <w:t>Total number</w:t>
            </w:r>
          </w:p>
        </w:tc>
        <w:tc>
          <w:tcPr>
            <w:tcW w:w="2172" w:type="dxa"/>
          </w:tcPr>
          <w:p w:rsidR="00CB6B55" w:rsidRPr="00F75C22" w:rsidRDefault="00CB6B55" w:rsidP="000149DC">
            <w:pPr>
              <w:spacing w:line="360" w:lineRule="auto"/>
              <w:rPr>
                <w:rFonts w:ascii="Book Antiqua" w:hAnsi="Book Antiqua"/>
                <w:color w:val="000000"/>
                <w:sz w:val="24"/>
              </w:rPr>
            </w:pPr>
            <w:r w:rsidRPr="00F75C22">
              <w:rPr>
                <w:rFonts w:ascii="Book Antiqua" w:hAnsi="Book Antiqua"/>
                <w:color w:val="000000"/>
                <w:sz w:val="24"/>
              </w:rPr>
              <w:t>1195</w:t>
            </w:r>
          </w:p>
        </w:tc>
      </w:tr>
    </w:tbl>
    <w:p w:rsidR="00E64A87" w:rsidRPr="00F75C22" w:rsidRDefault="00EF21E8" w:rsidP="000149DC">
      <w:pPr>
        <w:widowControl/>
        <w:spacing w:line="360" w:lineRule="auto"/>
        <w:rPr>
          <w:rFonts w:ascii="Book Antiqua" w:hAnsi="Book Antiqua"/>
          <w:b/>
          <w:color w:val="000000"/>
          <w:kern w:val="0"/>
          <w:sz w:val="24"/>
        </w:rPr>
      </w:pPr>
      <w:r w:rsidRPr="00F75C22">
        <w:rPr>
          <w:rFonts w:ascii="Book Antiqua" w:hAnsi="Book Antiqua"/>
          <w:color w:val="000000"/>
          <w:sz w:val="24"/>
        </w:rPr>
        <w:br w:type="page"/>
      </w:r>
      <w:r w:rsidR="00E64A87" w:rsidRPr="00F75C22">
        <w:rPr>
          <w:rFonts w:ascii="Book Antiqua" w:hAnsi="Book Antiqua"/>
          <w:b/>
          <w:color w:val="000000"/>
          <w:kern w:val="0"/>
          <w:sz w:val="24"/>
        </w:rPr>
        <w:lastRenderedPageBreak/>
        <w:t xml:space="preserve">Table 2 Distribution of </w:t>
      </w:r>
      <w:r w:rsidR="00CB6B55" w:rsidRPr="00F75C22">
        <w:rPr>
          <w:rFonts w:ascii="Book Antiqua" w:hAnsi="Book Antiqua"/>
          <w:b/>
          <w:color w:val="000000"/>
          <w:sz w:val="24"/>
        </w:rPr>
        <w:t>human epidermal growth factor receptor</w:t>
      </w:r>
      <w:r w:rsidR="00CB6B55" w:rsidRPr="00F75C22">
        <w:rPr>
          <w:rFonts w:ascii="Book Antiqua" w:hAnsi="Book Antiqua"/>
          <w:b/>
          <w:color w:val="000000"/>
          <w:kern w:val="0"/>
          <w:sz w:val="24"/>
        </w:rPr>
        <w:t xml:space="preserve"> </w:t>
      </w:r>
      <w:r w:rsidR="00B03339" w:rsidRPr="00F75C22">
        <w:rPr>
          <w:rFonts w:ascii="Book Antiqua" w:hAnsi="Book Antiqua"/>
          <w:b/>
          <w:color w:val="000000"/>
          <w:kern w:val="0"/>
          <w:sz w:val="24"/>
        </w:rPr>
        <w:t xml:space="preserve">2 </w:t>
      </w:r>
      <w:r w:rsidR="00E64A87" w:rsidRPr="00F75C22">
        <w:rPr>
          <w:rFonts w:ascii="Book Antiqua" w:hAnsi="Book Antiqua"/>
          <w:b/>
          <w:color w:val="000000"/>
          <w:kern w:val="0"/>
          <w:sz w:val="24"/>
        </w:rPr>
        <w:t>staining in 1195 colorectal adenocarcinomas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840"/>
        <w:gridCol w:w="2841"/>
        <w:gridCol w:w="2841"/>
      </w:tblGrid>
      <w:tr w:rsidR="00E64A87" w:rsidRPr="00F75C22">
        <w:trPr>
          <w:trHeight w:val="260"/>
        </w:trPr>
        <w:tc>
          <w:tcPr>
            <w:tcW w:w="2840" w:type="dxa"/>
            <w:tcBorders>
              <w:bottom w:val="single" w:sz="4" w:space="0" w:color="auto"/>
            </w:tcBorders>
          </w:tcPr>
          <w:p w:rsidR="00E64A87" w:rsidRPr="00F75C22" w:rsidRDefault="00E64A87" w:rsidP="000149DC">
            <w:pPr>
              <w:spacing w:line="360" w:lineRule="auto"/>
              <w:rPr>
                <w:rFonts w:ascii="Book Antiqua" w:hAnsi="Book Antiqua"/>
                <w:b/>
                <w:color w:val="000000"/>
                <w:sz w:val="24"/>
              </w:rPr>
            </w:pPr>
            <w:r w:rsidRPr="00F75C22">
              <w:rPr>
                <w:rFonts w:ascii="Book Antiqua" w:hAnsi="Book Antiqua"/>
                <w:b/>
                <w:color w:val="000000"/>
                <w:sz w:val="24"/>
              </w:rPr>
              <w:t xml:space="preserve">Staining </w:t>
            </w:r>
            <w:r w:rsidR="00CB6B55" w:rsidRPr="00F75C22">
              <w:rPr>
                <w:rFonts w:ascii="Book Antiqua" w:hAnsi="Book Antiqua"/>
                <w:b/>
                <w:color w:val="000000"/>
                <w:sz w:val="24"/>
              </w:rPr>
              <w:t>pattern</w:t>
            </w:r>
          </w:p>
        </w:tc>
        <w:tc>
          <w:tcPr>
            <w:tcW w:w="2841" w:type="dxa"/>
            <w:tcBorders>
              <w:bottom w:val="single" w:sz="4" w:space="0" w:color="auto"/>
            </w:tcBorders>
          </w:tcPr>
          <w:p w:rsidR="00E64A87" w:rsidRPr="00F75C22" w:rsidRDefault="00E64A87" w:rsidP="000149DC">
            <w:pPr>
              <w:spacing w:line="360" w:lineRule="auto"/>
              <w:rPr>
                <w:rFonts w:ascii="Book Antiqua" w:hAnsi="Book Antiqua"/>
                <w:b/>
                <w:color w:val="000000"/>
                <w:sz w:val="24"/>
              </w:rPr>
            </w:pPr>
            <w:r w:rsidRPr="00F75C22">
              <w:rPr>
                <w:rFonts w:ascii="Book Antiqua" w:hAnsi="Book Antiqua"/>
                <w:b/>
                <w:color w:val="000000"/>
                <w:sz w:val="24"/>
              </w:rPr>
              <w:t>Number of cases</w:t>
            </w:r>
          </w:p>
        </w:tc>
        <w:tc>
          <w:tcPr>
            <w:tcW w:w="2841" w:type="dxa"/>
            <w:tcBorders>
              <w:bottom w:val="single" w:sz="4" w:space="0" w:color="auto"/>
            </w:tcBorders>
          </w:tcPr>
          <w:p w:rsidR="00E64A87" w:rsidRPr="00F75C22" w:rsidRDefault="00E64A87" w:rsidP="000149DC">
            <w:pPr>
              <w:spacing w:line="360" w:lineRule="auto"/>
              <w:rPr>
                <w:rFonts w:ascii="Book Antiqua" w:hAnsi="Book Antiqua"/>
                <w:b/>
                <w:color w:val="000000"/>
                <w:sz w:val="24"/>
              </w:rPr>
            </w:pPr>
            <w:r w:rsidRPr="00F75C22">
              <w:rPr>
                <w:rFonts w:ascii="Book Antiqua" w:hAnsi="Book Antiqua"/>
                <w:b/>
                <w:color w:val="000000"/>
                <w:sz w:val="24"/>
              </w:rPr>
              <w:t xml:space="preserve">Positive rate </w:t>
            </w:r>
          </w:p>
        </w:tc>
      </w:tr>
      <w:tr w:rsidR="00E64A87" w:rsidRPr="00F75C22">
        <w:tc>
          <w:tcPr>
            <w:tcW w:w="2840"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IHC 3+</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31</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2.6%</w:t>
            </w:r>
          </w:p>
        </w:tc>
      </w:tr>
      <w:tr w:rsidR="00E64A87" w:rsidRPr="00F75C22">
        <w:tc>
          <w:tcPr>
            <w:tcW w:w="2840"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IHC 2+</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105</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8.8%</w:t>
            </w:r>
          </w:p>
        </w:tc>
      </w:tr>
      <w:tr w:rsidR="00E64A87" w:rsidRPr="00F75C22">
        <w:tc>
          <w:tcPr>
            <w:tcW w:w="2840"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IHC 1+</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475</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39.7%</w:t>
            </w:r>
          </w:p>
        </w:tc>
      </w:tr>
      <w:tr w:rsidR="00E64A87" w:rsidRPr="00F75C22">
        <w:tc>
          <w:tcPr>
            <w:tcW w:w="2840"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IHC 0</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584</w:t>
            </w:r>
          </w:p>
        </w:tc>
        <w:tc>
          <w:tcPr>
            <w:tcW w:w="2841" w:type="dxa"/>
          </w:tcPr>
          <w:p w:rsidR="00E64A87" w:rsidRPr="00F75C22" w:rsidRDefault="00E64A87" w:rsidP="000149DC">
            <w:pPr>
              <w:spacing w:line="360" w:lineRule="auto"/>
              <w:rPr>
                <w:rFonts w:ascii="Book Antiqua" w:hAnsi="Book Antiqua"/>
                <w:color w:val="000000"/>
                <w:sz w:val="24"/>
              </w:rPr>
            </w:pPr>
            <w:r w:rsidRPr="00F75C22">
              <w:rPr>
                <w:rFonts w:ascii="Book Antiqua" w:hAnsi="Book Antiqua"/>
                <w:color w:val="000000"/>
                <w:sz w:val="24"/>
              </w:rPr>
              <w:t>48.9%</w:t>
            </w:r>
          </w:p>
        </w:tc>
      </w:tr>
    </w:tbl>
    <w:p w:rsidR="00CB6B55" w:rsidRPr="00F75C22" w:rsidRDefault="00CB6B55" w:rsidP="000149DC">
      <w:pPr>
        <w:pStyle w:val="p0"/>
        <w:spacing w:line="360" w:lineRule="auto"/>
        <w:rPr>
          <w:rFonts w:ascii="Book Antiqua" w:hAnsi="Book Antiqua" w:cs="Times New Roman"/>
          <w:b/>
          <w:bCs/>
          <w:color w:val="000000"/>
          <w:sz w:val="24"/>
          <w:szCs w:val="24"/>
        </w:rPr>
      </w:pPr>
      <w:r w:rsidRPr="00F75C22">
        <w:rPr>
          <w:rFonts w:ascii="Book Antiqua" w:hAnsi="Book Antiqua" w:cs="Times New Roman"/>
          <w:color w:val="000000"/>
          <w:sz w:val="24"/>
          <w:szCs w:val="24"/>
        </w:rPr>
        <w:t>IHC:</w:t>
      </w:r>
      <w:r w:rsidRPr="00F75C22">
        <w:rPr>
          <w:rFonts w:ascii="Book Antiqua" w:hAnsi="Book Antiqua"/>
          <w:color w:val="000000"/>
          <w:sz w:val="24"/>
          <w:szCs w:val="24"/>
        </w:rPr>
        <w:t xml:space="preserve"> Immunohistochemical staining.</w:t>
      </w:r>
    </w:p>
    <w:p w:rsidR="00E64A87" w:rsidRPr="00F75C22" w:rsidRDefault="00EF21E8" w:rsidP="000149DC">
      <w:pPr>
        <w:spacing w:line="360" w:lineRule="auto"/>
        <w:rPr>
          <w:rFonts w:ascii="Book Antiqua" w:hAnsi="Book Antiqua"/>
          <w:b/>
          <w:color w:val="000000"/>
          <w:kern w:val="0"/>
          <w:sz w:val="24"/>
        </w:rPr>
      </w:pPr>
      <w:r w:rsidRPr="00F75C22">
        <w:rPr>
          <w:rFonts w:ascii="Book Antiqua" w:hAnsi="Book Antiqua"/>
          <w:color w:val="000000"/>
          <w:sz w:val="24"/>
        </w:rPr>
        <w:br w:type="page"/>
      </w:r>
      <w:r w:rsidR="00E64A87" w:rsidRPr="00F75C22">
        <w:rPr>
          <w:rFonts w:ascii="Book Antiqua" w:hAnsi="Book Antiqua"/>
          <w:b/>
          <w:color w:val="000000"/>
          <w:kern w:val="0"/>
          <w:sz w:val="24"/>
        </w:rPr>
        <w:lastRenderedPageBreak/>
        <w:t xml:space="preserve">Table 3 Concordance between </w:t>
      </w:r>
      <w:r w:rsidR="00B03339" w:rsidRPr="00F75C22">
        <w:rPr>
          <w:rFonts w:ascii="Book Antiqua" w:hAnsi="Book Antiqua"/>
          <w:b/>
          <w:color w:val="000000"/>
          <w:sz w:val="24"/>
        </w:rPr>
        <w:t>human epidermal growth factor receptor</w:t>
      </w:r>
      <w:r w:rsidR="00B03339" w:rsidRPr="00F75C22">
        <w:rPr>
          <w:rFonts w:ascii="Book Antiqua" w:hAnsi="Book Antiqua"/>
          <w:b/>
          <w:color w:val="000000"/>
          <w:kern w:val="0"/>
          <w:sz w:val="24"/>
        </w:rPr>
        <w:t xml:space="preserve"> 2 </w:t>
      </w:r>
      <w:r w:rsidR="00E64A87" w:rsidRPr="00F75C22">
        <w:rPr>
          <w:rFonts w:ascii="Book Antiqua" w:hAnsi="Book Antiqua"/>
          <w:b/>
          <w:color w:val="000000"/>
          <w:kern w:val="0"/>
          <w:sz w:val="24"/>
        </w:rPr>
        <w:t xml:space="preserve">overexpression by </w:t>
      </w:r>
      <w:r w:rsidR="00B03339" w:rsidRPr="00F75C22">
        <w:rPr>
          <w:rFonts w:ascii="Book Antiqua" w:hAnsi="Book Antiqua"/>
          <w:b/>
          <w:color w:val="000000"/>
          <w:sz w:val="24"/>
        </w:rPr>
        <w:t xml:space="preserve">Immunohistochemical </w:t>
      </w:r>
      <w:r w:rsidR="00B03339" w:rsidRPr="00F75C22">
        <w:rPr>
          <w:rFonts w:ascii="Book Antiqua" w:hAnsi="Book Antiqua"/>
          <w:b/>
          <w:color w:val="000000"/>
          <w:kern w:val="0"/>
          <w:sz w:val="24"/>
        </w:rPr>
        <w:t xml:space="preserve">staining </w:t>
      </w:r>
      <w:r w:rsidR="00E64A87" w:rsidRPr="00F75C22">
        <w:rPr>
          <w:rFonts w:ascii="Book Antiqua" w:hAnsi="Book Antiqua"/>
          <w:b/>
          <w:color w:val="000000"/>
          <w:kern w:val="0"/>
          <w:sz w:val="24"/>
        </w:rPr>
        <w:t xml:space="preserve">and </w:t>
      </w:r>
      <w:r w:rsidR="00B03339" w:rsidRPr="00F75C22">
        <w:rPr>
          <w:rFonts w:ascii="Book Antiqua" w:hAnsi="Book Antiqua"/>
          <w:b/>
          <w:color w:val="000000"/>
          <w:sz w:val="24"/>
        </w:rPr>
        <w:t>human epidermal growth factor receptor</w:t>
      </w:r>
      <w:r w:rsidR="00B03339" w:rsidRPr="00F75C22">
        <w:rPr>
          <w:rFonts w:ascii="Book Antiqua" w:hAnsi="Book Antiqua"/>
          <w:b/>
          <w:color w:val="000000"/>
          <w:kern w:val="0"/>
          <w:sz w:val="24"/>
        </w:rPr>
        <w:t xml:space="preserve"> 2 </w:t>
      </w:r>
      <w:r w:rsidR="00E64A87" w:rsidRPr="00F75C22">
        <w:rPr>
          <w:rFonts w:ascii="Book Antiqua" w:hAnsi="Book Antiqua"/>
          <w:b/>
          <w:color w:val="000000"/>
          <w:kern w:val="0"/>
          <w:sz w:val="24"/>
        </w:rPr>
        <w:t xml:space="preserve">gene amplification by </w:t>
      </w:r>
      <w:r w:rsidR="000A26C7" w:rsidRPr="00F75C22">
        <w:rPr>
          <w:rFonts w:ascii="Book Antiqua" w:hAnsi="Book Antiqua"/>
          <w:b/>
          <w:color w:val="000000"/>
          <w:sz w:val="24"/>
        </w:rPr>
        <w:t xml:space="preserve">fluorescence </w:t>
      </w:r>
      <w:r w:rsidR="000A26C7" w:rsidRPr="00F75C22">
        <w:rPr>
          <w:rFonts w:ascii="Book Antiqua" w:hAnsi="Book Antiqua"/>
          <w:b/>
          <w:i/>
          <w:color w:val="000000"/>
          <w:kern w:val="0"/>
          <w:sz w:val="24"/>
        </w:rPr>
        <w:t>in situ</w:t>
      </w:r>
      <w:r w:rsidR="000A26C7" w:rsidRPr="00F75C22">
        <w:rPr>
          <w:rFonts w:ascii="Book Antiqua" w:hAnsi="Book Antiqua"/>
          <w:b/>
          <w:color w:val="000000"/>
          <w:kern w:val="0"/>
          <w:sz w:val="24"/>
        </w:rPr>
        <w:t xml:space="preserve"> hybridization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1"/>
        <w:gridCol w:w="2131"/>
      </w:tblGrid>
      <w:tr w:rsidR="00E64A87" w:rsidRPr="00F75C22">
        <w:tc>
          <w:tcPr>
            <w:tcW w:w="2130" w:type="dxa"/>
            <w:vMerge w:val="restart"/>
            <w:tcBorders>
              <w:left w:val="nil"/>
              <w:right w:val="nil"/>
            </w:tcBorders>
          </w:tcPr>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t xml:space="preserve">IHC score </w:t>
            </w:r>
          </w:p>
        </w:tc>
        <w:tc>
          <w:tcPr>
            <w:tcW w:w="4261" w:type="dxa"/>
            <w:gridSpan w:val="2"/>
            <w:tcBorders>
              <w:left w:val="nil"/>
              <w:right w:val="nil"/>
            </w:tcBorders>
          </w:tcPr>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i/>
                <w:color w:val="000000"/>
                <w:kern w:val="0"/>
                <w:sz w:val="24"/>
              </w:rPr>
              <w:t>HER2</w:t>
            </w:r>
            <w:r w:rsidRPr="00F75C22">
              <w:rPr>
                <w:rFonts w:ascii="Book Antiqua" w:hAnsi="Book Antiqua"/>
                <w:b/>
                <w:color w:val="000000"/>
                <w:kern w:val="0"/>
                <w:sz w:val="24"/>
              </w:rPr>
              <w:t xml:space="preserve"> gene amplification (FISH)</w:t>
            </w:r>
          </w:p>
        </w:tc>
        <w:tc>
          <w:tcPr>
            <w:tcW w:w="2131" w:type="dxa"/>
            <w:vMerge w:val="restart"/>
            <w:tcBorders>
              <w:left w:val="nil"/>
              <w:right w:val="nil"/>
            </w:tcBorders>
          </w:tcPr>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t xml:space="preserve">% </w:t>
            </w:r>
            <w:r w:rsidRPr="00F75C22">
              <w:rPr>
                <w:rFonts w:ascii="Book Antiqua" w:hAnsi="Book Antiqua"/>
                <w:b/>
                <w:i/>
                <w:color w:val="000000"/>
                <w:kern w:val="0"/>
                <w:sz w:val="24"/>
              </w:rPr>
              <w:t>HER2</w:t>
            </w:r>
            <w:r w:rsidRPr="00F75C22">
              <w:rPr>
                <w:rFonts w:ascii="Book Antiqua" w:hAnsi="Book Antiqua"/>
                <w:b/>
                <w:color w:val="000000"/>
                <w:kern w:val="0"/>
                <w:sz w:val="24"/>
              </w:rPr>
              <w:t xml:space="preserve"> gene amplification</w:t>
            </w:r>
          </w:p>
        </w:tc>
      </w:tr>
      <w:tr w:rsidR="00E64A87" w:rsidRPr="00F75C22">
        <w:tc>
          <w:tcPr>
            <w:tcW w:w="2130" w:type="dxa"/>
            <w:vMerge/>
            <w:tcBorders>
              <w:left w:val="nil"/>
              <w:bottom w:val="single" w:sz="4" w:space="0" w:color="auto"/>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p>
        </w:tc>
        <w:tc>
          <w:tcPr>
            <w:tcW w:w="2130" w:type="dxa"/>
            <w:tcBorders>
              <w:left w:val="nil"/>
              <w:bottom w:val="single" w:sz="4" w:space="0" w:color="auto"/>
              <w:right w:val="nil"/>
            </w:tcBorders>
          </w:tcPr>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t>Positive</w:t>
            </w:r>
          </w:p>
        </w:tc>
        <w:tc>
          <w:tcPr>
            <w:tcW w:w="2131" w:type="dxa"/>
            <w:tcBorders>
              <w:left w:val="nil"/>
              <w:bottom w:val="single" w:sz="4" w:space="0" w:color="auto"/>
              <w:right w:val="nil"/>
            </w:tcBorders>
          </w:tcPr>
          <w:p w:rsidR="00E64A87" w:rsidRPr="00F75C22" w:rsidRDefault="00E64A87"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t>Negative</w:t>
            </w:r>
          </w:p>
        </w:tc>
        <w:tc>
          <w:tcPr>
            <w:tcW w:w="2131" w:type="dxa"/>
            <w:vMerge/>
            <w:tcBorders>
              <w:left w:val="nil"/>
              <w:bottom w:val="single" w:sz="4" w:space="0" w:color="auto"/>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p>
        </w:tc>
      </w:tr>
      <w:tr w:rsidR="00E64A87" w:rsidRPr="00F75C22">
        <w:tc>
          <w:tcPr>
            <w:tcW w:w="2130" w:type="dxa"/>
            <w:tcBorders>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1+ (</w:t>
            </w:r>
            <w:r w:rsidR="000A26C7" w:rsidRPr="00F75C22">
              <w:rPr>
                <w:rFonts w:ascii="Book Antiqua" w:hAnsi="Book Antiqua"/>
                <w:i/>
                <w:color w:val="000000"/>
                <w:kern w:val="0"/>
                <w:sz w:val="24"/>
              </w:rPr>
              <w:t>n</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 xml:space="preserve">10) </w:t>
            </w:r>
          </w:p>
        </w:tc>
        <w:tc>
          <w:tcPr>
            <w:tcW w:w="2130" w:type="dxa"/>
            <w:tcBorders>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0</w:t>
            </w:r>
          </w:p>
        </w:tc>
        <w:tc>
          <w:tcPr>
            <w:tcW w:w="2131" w:type="dxa"/>
            <w:tcBorders>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10</w:t>
            </w:r>
          </w:p>
        </w:tc>
        <w:tc>
          <w:tcPr>
            <w:tcW w:w="2131" w:type="dxa"/>
            <w:tcBorders>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0%</w:t>
            </w:r>
          </w:p>
        </w:tc>
      </w:tr>
      <w:tr w:rsidR="00E64A87" w:rsidRPr="00F75C22">
        <w:tc>
          <w:tcPr>
            <w:tcW w:w="2130" w:type="dxa"/>
            <w:tcBorders>
              <w:top w:val="nil"/>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2+ (</w:t>
            </w:r>
            <w:r w:rsidR="000A26C7" w:rsidRPr="00F75C22">
              <w:rPr>
                <w:rFonts w:ascii="Book Antiqua" w:hAnsi="Book Antiqua"/>
                <w:i/>
                <w:color w:val="000000"/>
                <w:kern w:val="0"/>
                <w:sz w:val="24"/>
              </w:rPr>
              <w:t>n</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102)</w:t>
            </w:r>
          </w:p>
        </w:tc>
        <w:tc>
          <w:tcPr>
            <w:tcW w:w="2130" w:type="dxa"/>
            <w:tcBorders>
              <w:top w:val="nil"/>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12</w:t>
            </w:r>
          </w:p>
        </w:tc>
        <w:tc>
          <w:tcPr>
            <w:tcW w:w="2131" w:type="dxa"/>
            <w:tcBorders>
              <w:top w:val="nil"/>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90</w:t>
            </w:r>
          </w:p>
        </w:tc>
        <w:tc>
          <w:tcPr>
            <w:tcW w:w="2131" w:type="dxa"/>
            <w:tcBorders>
              <w:top w:val="nil"/>
              <w:left w:val="nil"/>
              <w:bottom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11.8%</w:t>
            </w:r>
          </w:p>
        </w:tc>
      </w:tr>
      <w:tr w:rsidR="00E64A87" w:rsidRPr="00F75C22">
        <w:tc>
          <w:tcPr>
            <w:tcW w:w="2130" w:type="dxa"/>
            <w:tcBorders>
              <w:top w:val="nil"/>
              <w:left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3+ (</w:t>
            </w:r>
            <w:r w:rsidR="000A26C7" w:rsidRPr="00F75C22">
              <w:rPr>
                <w:rFonts w:ascii="Book Antiqua" w:hAnsi="Book Antiqua"/>
                <w:i/>
                <w:color w:val="000000"/>
                <w:kern w:val="0"/>
                <w:sz w:val="24"/>
              </w:rPr>
              <w:t>n</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w:t>
            </w:r>
            <w:r w:rsidR="000A26C7" w:rsidRPr="00F75C22">
              <w:rPr>
                <w:rFonts w:ascii="Book Antiqua" w:hAnsi="Book Antiqua"/>
                <w:color w:val="000000"/>
                <w:kern w:val="0"/>
                <w:sz w:val="24"/>
              </w:rPr>
              <w:t xml:space="preserve"> </w:t>
            </w:r>
            <w:r w:rsidRPr="00F75C22">
              <w:rPr>
                <w:rFonts w:ascii="Book Antiqua" w:hAnsi="Book Antiqua"/>
                <w:color w:val="000000"/>
                <w:kern w:val="0"/>
                <w:sz w:val="24"/>
              </w:rPr>
              <w:t xml:space="preserve">29) </w:t>
            </w:r>
          </w:p>
        </w:tc>
        <w:tc>
          <w:tcPr>
            <w:tcW w:w="2130" w:type="dxa"/>
            <w:tcBorders>
              <w:top w:val="nil"/>
              <w:left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24</w:t>
            </w:r>
          </w:p>
        </w:tc>
        <w:tc>
          <w:tcPr>
            <w:tcW w:w="2131" w:type="dxa"/>
            <w:tcBorders>
              <w:top w:val="nil"/>
              <w:left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5</w:t>
            </w:r>
          </w:p>
        </w:tc>
        <w:tc>
          <w:tcPr>
            <w:tcW w:w="2131" w:type="dxa"/>
            <w:tcBorders>
              <w:top w:val="nil"/>
              <w:left w:val="nil"/>
              <w:right w:val="nil"/>
            </w:tcBorders>
          </w:tcPr>
          <w:p w:rsidR="00E64A87" w:rsidRPr="00F75C22" w:rsidRDefault="00E64A87" w:rsidP="000149DC">
            <w:pPr>
              <w:autoSpaceDE w:val="0"/>
              <w:autoSpaceDN w:val="0"/>
              <w:spacing w:line="360" w:lineRule="auto"/>
              <w:rPr>
                <w:rFonts w:ascii="Book Antiqua" w:hAnsi="Book Antiqua"/>
                <w:color w:val="000000"/>
                <w:kern w:val="0"/>
                <w:sz w:val="24"/>
              </w:rPr>
            </w:pPr>
            <w:r w:rsidRPr="00F75C22">
              <w:rPr>
                <w:rFonts w:ascii="Book Antiqua" w:hAnsi="Book Antiqua"/>
                <w:color w:val="000000"/>
                <w:kern w:val="0"/>
                <w:sz w:val="24"/>
              </w:rPr>
              <w:t>82.8%</w:t>
            </w:r>
          </w:p>
        </w:tc>
      </w:tr>
    </w:tbl>
    <w:p w:rsidR="000A26C7" w:rsidRPr="00F75C22" w:rsidRDefault="000A26C7" w:rsidP="000149DC">
      <w:pPr>
        <w:pStyle w:val="p0"/>
        <w:spacing w:line="360" w:lineRule="auto"/>
        <w:rPr>
          <w:rFonts w:ascii="Book Antiqua" w:hAnsi="Book Antiqua" w:cs="Times New Roman"/>
          <w:b/>
          <w:bCs/>
          <w:color w:val="000000"/>
          <w:sz w:val="24"/>
          <w:szCs w:val="24"/>
        </w:rPr>
      </w:pPr>
      <w:r w:rsidRPr="00F75C22">
        <w:rPr>
          <w:rFonts w:ascii="Book Antiqua" w:hAnsi="Book Antiqua" w:cs="Times New Roman"/>
          <w:color w:val="000000"/>
          <w:sz w:val="24"/>
          <w:szCs w:val="24"/>
        </w:rPr>
        <w:t xml:space="preserve">HER2: </w:t>
      </w:r>
      <w:r w:rsidRPr="00F75C22">
        <w:rPr>
          <w:rFonts w:ascii="Book Antiqua" w:hAnsi="Book Antiqua"/>
          <w:color w:val="000000"/>
          <w:sz w:val="24"/>
          <w:szCs w:val="24"/>
        </w:rPr>
        <w:t xml:space="preserve">Human </w:t>
      </w:r>
      <w:r w:rsidRPr="00F75C22">
        <w:rPr>
          <w:rFonts w:ascii="Book Antiqua" w:hAnsi="Book Antiqua" w:cs="Times New Roman"/>
          <w:color w:val="000000"/>
          <w:sz w:val="24"/>
          <w:szCs w:val="24"/>
        </w:rPr>
        <w:t>epidermal growth factor receptor 2; FISH:</w:t>
      </w:r>
      <w:r w:rsidRPr="00F75C22">
        <w:rPr>
          <w:rFonts w:ascii="Book Antiqua" w:hAnsi="Book Antiqua"/>
          <w:color w:val="000000"/>
          <w:sz w:val="24"/>
          <w:szCs w:val="24"/>
        </w:rPr>
        <w:t xml:space="preserve"> Fluorescence </w:t>
      </w:r>
      <w:r w:rsidRPr="00F75C22">
        <w:rPr>
          <w:rFonts w:ascii="Book Antiqua" w:hAnsi="Book Antiqua"/>
          <w:i/>
          <w:color w:val="000000"/>
          <w:sz w:val="24"/>
          <w:szCs w:val="24"/>
        </w:rPr>
        <w:t>in situ</w:t>
      </w:r>
      <w:r w:rsidRPr="00F75C22">
        <w:rPr>
          <w:rFonts w:ascii="Book Antiqua" w:hAnsi="Book Antiqua"/>
          <w:color w:val="000000"/>
          <w:sz w:val="24"/>
          <w:szCs w:val="24"/>
        </w:rPr>
        <w:t xml:space="preserve"> hybridization; </w:t>
      </w:r>
      <w:r w:rsidRPr="00F75C22">
        <w:rPr>
          <w:rFonts w:ascii="Book Antiqua" w:hAnsi="Book Antiqua" w:cs="Times New Roman"/>
          <w:color w:val="000000"/>
          <w:sz w:val="24"/>
          <w:szCs w:val="24"/>
        </w:rPr>
        <w:t>IHC:</w:t>
      </w:r>
      <w:r w:rsidRPr="00F75C22">
        <w:rPr>
          <w:rFonts w:ascii="Book Antiqua" w:hAnsi="Book Antiqua"/>
          <w:color w:val="000000"/>
          <w:sz w:val="24"/>
          <w:szCs w:val="24"/>
        </w:rPr>
        <w:t xml:space="preserve"> Immunohistochemical staining.</w:t>
      </w:r>
    </w:p>
    <w:p w:rsidR="000A26C7" w:rsidRPr="00F75C22" w:rsidRDefault="000A26C7" w:rsidP="000149DC">
      <w:pPr>
        <w:pStyle w:val="p0"/>
        <w:spacing w:line="360" w:lineRule="auto"/>
        <w:rPr>
          <w:rFonts w:ascii="Book Antiqua" w:hAnsi="Book Antiqua" w:cs="Times New Roman"/>
          <w:b/>
          <w:bCs/>
          <w:color w:val="000000"/>
          <w:sz w:val="24"/>
          <w:szCs w:val="24"/>
        </w:rPr>
      </w:pPr>
    </w:p>
    <w:p w:rsidR="004C198B" w:rsidRPr="00F75C22" w:rsidRDefault="00EF21E8"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br w:type="page"/>
      </w:r>
      <w:r w:rsidR="00E64A87" w:rsidRPr="00F75C22">
        <w:rPr>
          <w:rFonts w:ascii="Book Antiqua" w:hAnsi="Book Antiqua"/>
          <w:b/>
          <w:color w:val="000000"/>
          <w:kern w:val="0"/>
          <w:sz w:val="24"/>
        </w:rPr>
        <w:lastRenderedPageBreak/>
        <w:t xml:space="preserve">Table 4 Association of </w:t>
      </w:r>
      <w:r w:rsidR="00F45198" w:rsidRPr="00F75C22">
        <w:rPr>
          <w:rFonts w:ascii="Book Antiqua" w:hAnsi="Book Antiqua"/>
          <w:b/>
          <w:color w:val="000000"/>
          <w:sz w:val="24"/>
        </w:rPr>
        <w:t>human epidermal growth factor receptor 2</w:t>
      </w:r>
      <w:r w:rsidR="004B0053" w:rsidRPr="00F75C22">
        <w:rPr>
          <w:rFonts w:ascii="Book Antiqua" w:hAnsi="Book Antiqua"/>
          <w:b/>
          <w:color w:val="000000"/>
          <w:sz w:val="24"/>
        </w:rPr>
        <w:t xml:space="preserve"> </w:t>
      </w:r>
      <w:r w:rsidR="00E64A87" w:rsidRPr="00F75C22">
        <w:rPr>
          <w:rFonts w:ascii="Book Antiqua" w:hAnsi="Book Antiqua"/>
          <w:b/>
          <w:color w:val="000000"/>
          <w:kern w:val="0"/>
          <w:sz w:val="24"/>
        </w:rPr>
        <w:t>gene status with clinicopathological features</w:t>
      </w:r>
      <w:r w:rsidR="00F45198" w:rsidRPr="00F75C22">
        <w:rPr>
          <w:rFonts w:ascii="Book Antiqua" w:hAnsi="Book Antiqua"/>
          <w:b/>
          <w:color w:val="000000"/>
          <w:kern w:val="0"/>
          <w:sz w:val="24"/>
        </w:rPr>
        <w:t xml:space="preserve"> </w:t>
      </w:r>
      <w:r w:rsidR="00F45198" w:rsidRPr="00F75C22">
        <w:rPr>
          <w:rFonts w:ascii="Book Antiqua" w:hAnsi="Book Antiqua"/>
          <w:b/>
          <w:i/>
          <w:color w:val="000000"/>
          <w:kern w:val="0"/>
          <w:sz w:val="24"/>
        </w:rPr>
        <w:t xml:space="preserve">n </w:t>
      </w:r>
      <w:r w:rsidR="00F45198" w:rsidRPr="00F75C22">
        <w:rPr>
          <w:rFonts w:ascii="Book Antiqua" w:hAnsi="Book Antiqua"/>
          <w:b/>
          <w:color w:val="000000"/>
          <w:kern w:val="0"/>
          <w:sz w:val="24"/>
        </w:rPr>
        <w:t>(%)</w:t>
      </w:r>
    </w:p>
    <w:tbl>
      <w:tblPr>
        <w:tblW w:w="0" w:type="auto"/>
        <w:tblBorders>
          <w:top w:val="single" w:sz="4" w:space="0" w:color="000000"/>
          <w:bottom w:val="single" w:sz="4" w:space="0" w:color="000000"/>
        </w:tblBorders>
        <w:tblLayout w:type="fixed"/>
        <w:tblLook w:val="0000" w:firstRow="0" w:lastRow="0" w:firstColumn="0" w:lastColumn="0" w:noHBand="0" w:noVBand="0"/>
      </w:tblPr>
      <w:tblGrid>
        <w:gridCol w:w="2660"/>
        <w:gridCol w:w="1701"/>
        <w:gridCol w:w="1701"/>
        <w:gridCol w:w="2001"/>
      </w:tblGrid>
      <w:tr w:rsidR="000149DC" w:rsidRPr="00F75C22" w:rsidTr="00272FD1">
        <w:tc>
          <w:tcPr>
            <w:tcW w:w="2660" w:type="dxa"/>
            <w:vMerge w:val="restart"/>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Clinicopathological features</w:t>
            </w:r>
          </w:p>
        </w:tc>
        <w:tc>
          <w:tcPr>
            <w:tcW w:w="3402" w:type="dxa"/>
            <w:gridSpan w:val="2"/>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HER2 status</w:t>
            </w:r>
          </w:p>
        </w:tc>
        <w:tc>
          <w:tcPr>
            <w:tcW w:w="2001" w:type="dxa"/>
            <w:vMerge w:val="restart"/>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i/>
                <w:iCs/>
                <w:color w:val="000000"/>
                <w:kern w:val="0"/>
                <w:sz w:val="24"/>
              </w:rPr>
            </w:pPr>
            <w:r w:rsidRPr="00F75C22">
              <w:rPr>
                <w:rFonts w:ascii="Book Antiqua" w:hAnsi="Book Antiqua"/>
                <w:b/>
                <w:i/>
                <w:iCs/>
                <w:color w:val="000000"/>
                <w:kern w:val="0"/>
                <w:sz w:val="24"/>
              </w:rPr>
              <w:t>P</w:t>
            </w:r>
            <w:r w:rsidR="00F45198" w:rsidRPr="00F75C22">
              <w:rPr>
                <w:rFonts w:ascii="Book Antiqua" w:hAnsi="Book Antiqua"/>
                <w:b/>
                <w:i/>
                <w:iCs/>
                <w:color w:val="000000"/>
                <w:kern w:val="0"/>
                <w:sz w:val="24"/>
              </w:rPr>
              <w:t>-</w:t>
            </w:r>
            <w:r w:rsidR="00F45198" w:rsidRPr="00F75C22">
              <w:rPr>
                <w:rFonts w:ascii="Book Antiqua" w:hAnsi="Book Antiqua"/>
                <w:b/>
                <w:iCs/>
                <w:color w:val="000000"/>
                <w:kern w:val="0"/>
                <w:sz w:val="24"/>
              </w:rPr>
              <w:t>value</w:t>
            </w:r>
          </w:p>
        </w:tc>
      </w:tr>
      <w:tr w:rsidR="000149DC" w:rsidRPr="00F75C22" w:rsidTr="00272FD1">
        <w:tc>
          <w:tcPr>
            <w:tcW w:w="2660" w:type="dxa"/>
            <w:vMerge/>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HER2 negative</w:t>
            </w:r>
          </w:p>
        </w:tc>
        <w:tc>
          <w:tcPr>
            <w:tcW w:w="1701"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HER2 positive</w:t>
            </w:r>
          </w:p>
        </w:tc>
        <w:tc>
          <w:tcPr>
            <w:tcW w:w="2001" w:type="dxa"/>
            <w:vMerge/>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i/>
                <w:iCs/>
                <w:color w:val="000000"/>
                <w:kern w:val="0"/>
                <w:sz w:val="24"/>
              </w:rPr>
            </w:pPr>
          </w:p>
        </w:tc>
      </w:tr>
      <w:tr w:rsidR="000149DC" w:rsidRPr="00F75C22" w:rsidTr="00272FD1">
        <w:tc>
          <w:tcPr>
            <w:tcW w:w="2660" w:type="dxa"/>
            <w:tcBorders>
              <w:top w:val="single" w:sz="4" w:space="0" w:color="000000"/>
            </w:tcBorders>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Gender</w:t>
            </w:r>
          </w:p>
        </w:tc>
        <w:tc>
          <w:tcPr>
            <w:tcW w:w="1701"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0.441</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Male</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616 (96.2</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24 (3.8</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Female</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406 (97.1</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12 (2.9</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Age</w:t>
            </w:r>
            <w:r w:rsidR="00F45198" w:rsidRPr="00F75C22">
              <w:rPr>
                <w:rFonts w:ascii="Book Antiqua" w:hAnsi="Book Antiqua"/>
                <w:color w:val="000000"/>
                <w:kern w:val="0"/>
                <w:sz w:val="24"/>
              </w:rPr>
              <w:t xml:space="preserve"> </w:t>
            </w:r>
            <w:r w:rsidRPr="00F75C22">
              <w:rPr>
                <w:rFonts w:ascii="Book Antiqua" w:hAnsi="Book Antiqua"/>
                <w:color w:val="000000"/>
                <w:kern w:val="0"/>
                <w:sz w:val="24"/>
              </w:rPr>
              <w:t>(</w:t>
            </w:r>
            <w:r w:rsidR="00F45198" w:rsidRPr="00F75C22">
              <w:rPr>
                <w:rFonts w:ascii="Book Antiqua" w:hAnsi="Book Antiqua"/>
                <w:color w:val="000000"/>
                <w:kern w:val="0"/>
                <w:sz w:val="24"/>
              </w:rPr>
              <w:t>yr</w:t>
            </w:r>
            <w:r w:rsidRPr="00F75C22">
              <w:rPr>
                <w:rFonts w:ascii="Book Antiqua" w:hAnsi="Book Antiqua"/>
                <w:color w:val="000000"/>
                <w:kern w:val="0"/>
                <w:sz w:val="24"/>
              </w:rPr>
              <w:t>)</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0.272</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w:t>
            </w:r>
            <w:r w:rsidR="00F45198" w:rsidRPr="00F75C22">
              <w:rPr>
                <w:rFonts w:ascii="Book Antiqua" w:hAnsi="Book Antiqua"/>
                <w:color w:val="000000"/>
                <w:kern w:val="0"/>
                <w:sz w:val="24"/>
              </w:rPr>
              <w:t xml:space="preserve"> </w:t>
            </w:r>
            <w:r w:rsidRPr="00F75C22">
              <w:rPr>
                <w:rFonts w:ascii="Book Antiqua" w:hAnsi="Book Antiqua"/>
                <w:color w:val="000000"/>
                <w:kern w:val="0"/>
                <w:sz w:val="24"/>
              </w:rPr>
              <w:t>60</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501 (96.0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21 (4.0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&gt;</w:t>
            </w:r>
            <w:r w:rsidR="00F45198" w:rsidRPr="00F75C22">
              <w:rPr>
                <w:rFonts w:ascii="Book Antiqua" w:hAnsi="Book Antiqua"/>
                <w:color w:val="000000"/>
                <w:kern w:val="0"/>
                <w:sz w:val="24"/>
              </w:rPr>
              <w:t xml:space="preserve"> </w:t>
            </w:r>
            <w:r w:rsidRPr="00F75C22">
              <w:rPr>
                <w:rFonts w:ascii="Book Antiqua" w:hAnsi="Book Antiqua"/>
                <w:color w:val="000000"/>
                <w:kern w:val="0"/>
                <w:sz w:val="24"/>
              </w:rPr>
              <w:t>60</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521 (97.2</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15 (2.8</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grade</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0.784</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1</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39 (97.5</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 (2.5</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2</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773 (96.7</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26 (3.3</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3</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210 (95.9</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9 (4.1</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Histology</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0.762</w:t>
            </w:r>
          </w:p>
        </w:tc>
      </w:tr>
      <w:tr w:rsidR="000149DC" w:rsidRPr="00F75C22" w:rsidTr="00272FD1">
        <w:tc>
          <w:tcPr>
            <w:tcW w:w="2660" w:type="dxa"/>
          </w:tcPr>
          <w:p w:rsidR="00E64A87" w:rsidRPr="00F75C22" w:rsidRDefault="00E64A87" w:rsidP="000149DC">
            <w:pPr>
              <w:widowControl/>
              <w:spacing w:line="360" w:lineRule="auto"/>
              <w:ind w:firstLine="105"/>
              <w:rPr>
                <w:rFonts w:ascii="Book Antiqua" w:hAnsi="Book Antiqua"/>
                <w:color w:val="000000"/>
                <w:kern w:val="0"/>
                <w:sz w:val="24"/>
              </w:rPr>
            </w:pPr>
            <w:r w:rsidRPr="00F75C22">
              <w:rPr>
                <w:rFonts w:ascii="Book Antiqua" w:hAnsi="Book Antiqua"/>
                <w:color w:val="000000"/>
                <w:kern w:val="0"/>
                <w:sz w:val="24"/>
              </w:rPr>
              <w:t>Tubular</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937 (96.5</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34 (3.5</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4B0053"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Mucinous/other </w:t>
            </w:r>
            <w:r w:rsidR="00E64A87" w:rsidRPr="00F75C22">
              <w:rPr>
                <w:rFonts w:ascii="Book Antiqua" w:hAnsi="Book Antiqua"/>
                <w:color w:val="000000"/>
                <w:kern w:val="0"/>
                <w:sz w:val="24"/>
              </w:rPr>
              <w:t>types</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85 (97.7</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 (2.3</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site</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0.819</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Colon</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548 (96.5</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20 (3.5</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Rectal </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474 (96.7</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16 (3.3</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4C198B" w:rsidRPr="00F75C22" w:rsidRDefault="004C198B" w:rsidP="000149DC">
            <w:pPr>
              <w:widowControl/>
              <w:spacing w:line="360" w:lineRule="auto"/>
              <w:ind w:firstLineChars="50" w:firstLine="120"/>
              <w:rPr>
                <w:rFonts w:ascii="Book Antiqua" w:hAnsi="Book Antiqua"/>
                <w:color w:val="000000"/>
                <w:kern w:val="0"/>
                <w:sz w:val="24"/>
              </w:rPr>
            </w:pPr>
            <w:r w:rsidRPr="00F75C22">
              <w:rPr>
                <w:rFonts w:ascii="Book Antiqua" w:hAnsi="Book Antiqua"/>
                <w:color w:val="000000"/>
                <w:kern w:val="0"/>
                <w:sz w:val="24"/>
              </w:rPr>
              <w:t>Left-sided colon</w:t>
            </w:r>
          </w:p>
        </w:tc>
        <w:tc>
          <w:tcPr>
            <w:tcW w:w="1701" w:type="dxa"/>
            <w:vAlign w:val="center"/>
          </w:tcPr>
          <w:p w:rsidR="004C198B" w:rsidRPr="00F75C22" w:rsidRDefault="004C198B"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203</w:t>
            </w:r>
            <w:r w:rsidR="00F45198" w:rsidRPr="00F75C22">
              <w:rPr>
                <w:rFonts w:ascii="Book Antiqua" w:hAnsi="Book Antiqua"/>
                <w:color w:val="000000"/>
                <w:kern w:val="0"/>
                <w:sz w:val="24"/>
              </w:rPr>
              <w:t xml:space="preserve"> (88.3</w:t>
            </w:r>
            <w:r w:rsidRPr="00F75C22">
              <w:rPr>
                <w:rFonts w:ascii="Book Antiqua" w:hAnsi="Book Antiqua"/>
                <w:color w:val="000000"/>
                <w:kern w:val="0"/>
                <w:sz w:val="24"/>
              </w:rPr>
              <w:t>)</w:t>
            </w:r>
          </w:p>
        </w:tc>
        <w:tc>
          <w:tcPr>
            <w:tcW w:w="1701" w:type="dxa"/>
            <w:vAlign w:val="center"/>
          </w:tcPr>
          <w:p w:rsidR="004C198B"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27 (37.0</w:t>
            </w:r>
            <w:r w:rsidR="004C198B" w:rsidRPr="00F75C22">
              <w:rPr>
                <w:rFonts w:ascii="Book Antiqua" w:hAnsi="Book Antiqua"/>
                <w:color w:val="000000"/>
                <w:kern w:val="0"/>
                <w:sz w:val="24"/>
              </w:rPr>
              <w:t>)</w:t>
            </w:r>
          </w:p>
        </w:tc>
        <w:tc>
          <w:tcPr>
            <w:tcW w:w="2001" w:type="dxa"/>
            <w:vAlign w:val="center"/>
          </w:tcPr>
          <w:p w:rsidR="004C198B" w:rsidRPr="00F75C22" w:rsidRDefault="004C198B"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0.514</w:t>
            </w:r>
          </w:p>
        </w:tc>
      </w:tr>
      <w:tr w:rsidR="000149DC" w:rsidRPr="00F75C22" w:rsidTr="00272FD1">
        <w:tc>
          <w:tcPr>
            <w:tcW w:w="2660" w:type="dxa"/>
          </w:tcPr>
          <w:p w:rsidR="004C198B" w:rsidRPr="00F75C22" w:rsidRDefault="004C198B"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Right-sided colon</w:t>
            </w:r>
          </w:p>
        </w:tc>
        <w:tc>
          <w:tcPr>
            <w:tcW w:w="1701" w:type="dxa"/>
            <w:vAlign w:val="center"/>
          </w:tcPr>
          <w:p w:rsidR="004C198B" w:rsidRPr="00F75C22" w:rsidRDefault="004C198B"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292</w:t>
            </w:r>
            <w:r w:rsidR="00F45198" w:rsidRPr="00F75C22">
              <w:rPr>
                <w:rFonts w:ascii="Book Antiqua" w:hAnsi="Book Antiqua"/>
                <w:color w:val="000000"/>
                <w:kern w:val="0"/>
                <w:sz w:val="24"/>
              </w:rPr>
              <w:t xml:space="preserve"> (86.4</w:t>
            </w:r>
            <w:r w:rsidRPr="00F75C22">
              <w:rPr>
                <w:rFonts w:ascii="Book Antiqua" w:hAnsi="Book Antiqua"/>
                <w:color w:val="000000"/>
                <w:kern w:val="0"/>
                <w:sz w:val="24"/>
              </w:rPr>
              <w:t>)</w:t>
            </w:r>
          </w:p>
        </w:tc>
        <w:tc>
          <w:tcPr>
            <w:tcW w:w="1701" w:type="dxa"/>
            <w:vAlign w:val="center"/>
          </w:tcPr>
          <w:p w:rsidR="004C198B" w:rsidRPr="00F75C22" w:rsidRDefault="004C198B"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46</w:t>
            </w:r>
            <w:r w:rsidR="00F45198" w:rsidRPr="00F75C22">
              <w:rPr>
                <w:rFonts w:ascii="Book Antiqua" w:hAnsi="Book Antiqua"/>
                <w:color w:val="000000"/>
                <w:kern w:val="0"/>
                <w:sz w:val="24"/>
              </w:rPr>
              <w:t xml:space="preserve"> (63.0</w:t>
            </w:r>
            <w:r w:rsidRPr="00F75C22">
              <w:rPr>
                <w:rFonts w:ascii="Book Antiqua" w:hAnsi="Book Antiqua"/>
                <w:color w:val="000000"/>
                <w:kern w:val="0"/>
                <w:sz w:val="24"/>
              </w:rPr>
              <w:t>)</w:t>
            </w:r>
          </w:p>
        </w:tc>
        <w:tc>
          <w:tcPr>
            <w:tcW w:w="2001" w:type="dxa"/>
            <w:vAlign w:val="center"/>
          </w:tcPr>
          <w:p w:rsidR="004C198B" w:rsidRPr="00F75C22" w:rsidRDefault="004C198B" w:rsidP="000149DC">
            <w:pPr>
              <w:widowControl/>
              <w:spacing w:line="360" w:lineRule="auto"/>
              <w:rPr>
                <w:rFonts w:ascii="Book Antiqua" w:hAnsi="Book Antiqua"/>
                <w:color w:val="000000"/>
                <w:kern w:val="0"/>
                <w:sz w:val="24"/>
              </w:rPr>
            </w:pPr>
          </w:p>
        </w:tc>
      </w:tr>
      <w:tr w:rsidR="000149DC" w:rsidRPr="00F75C22" w:rsidTr="00272FD1">
        <w:tc>
          <w:tcPr>
            <w:tcW w:w="8063" w:type="dxa"/>
            <w:gridSpan w:val="4"/>
          </w:tcPr>
          <w:p w:rsidR="00F45198"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Depth of invasion</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T1</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31 (100.0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 (0.0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0.039</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T2</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165 (98.8</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 (1.2</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ind w:firstLineChars="50" w:firstLine="120"/>
              <w:rPr>
                <w:rFonts w:ascii="Book Antiqua" w:hAnsi="Book Antiqua"/>
                <w:color w:val="000000"/>
                <w:kern w:val="0"/>
                <w:sz w:val="24"/>
              </w:rPr>
            </w:pPr>
            <w:r w:rsidRPr="00F75C22">
              <w:rPr>
                <w:rFonts w:ascii="Book Antiqua" w:hAnsi="Book Antiqua"/>
                <w:color w:val="000000"/>
                <w:kern w:val="0"/>
                <w:sz w:val="24"/>
              </w:rPr>
              <w:t>T3</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815 </w:t>
            </w:r>
            <w:r w:rsidR="00F45198" w:rsidRPr="00F75C22">
              <w:rPr>
                <w:rFonts w:ascii="Book Antiqua" w:hAnsi="Book Antiqua"/>
                <w:color w:val="000000"/>
                <w:kern w:val="0"/>
                <w:sz w:val="24"/>
              </w:rPr>
              <w:t>(96.3</w:t>
            </w:r>
            <w:r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31 (3.7</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T4</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11 (78.6</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 (21.4</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ind w:firstLineChars="50" w:firstLine="120"/>
              <w:rPr>
                <w:rFonts w:ascii="Book Antiqua" w:hAnsi="Book Antiqua"/>
                <w:color w:val="000000"/>
                <w:kern w:val="0"/>
                <w:sz w:val="24"/>
              </w:rPr>
            </w:pPr>
            <w:r w:rsidRPr="00F75C22">
              <w:rPr>
                <w:rFonts w:ascii="Book Antiqua" w:hAnsi="Book Antiqua"/>
                <w:color w:val="000000"/>
                <w:kern w:val="0"/>
                <w:sz w:val="24"/>
              </w:rPr>
              <w:lastRenderedPageBreak/>
              <w:t>T1-2</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196 (99.0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 (1.0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0.001</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T3-4</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826 (96.0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34 (4.0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8063" w:type="dxa"/>
            <w:gridSpan w:val="4"/>
          </w:tcPr>
          <w:p w:rsidR="006C2B45" w:rsidRPr="00F75C22" w:rsidRDefault="006C2B45"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Lymph node metastasis</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N0</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541 (96.3</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21 (3.7</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0.260</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N1</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261 (98.1</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 (1.9</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N2</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220 (95.7</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10 (4.3</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No</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541 (96.3</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21 (3.7</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0.524</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Yes</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481 (97.0)</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15 (3.0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Distant metastasis</w:t>
            </w: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701"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0.028</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No</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940 (96.9</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30 (3.1</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Yes</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81 (92.0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7 (8.0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8063" w:type="dxa"/>
            <w:gridSpan w:val="4"/>
          </w:tcPr>
          <w:p w:rsidR="006C2B45" w:rsidRPr="00F75C22" w:rsidRDefault="006C2B45"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stage</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(1)I-II</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192 (98.5</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 (1.0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0.012</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III</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749 (96.5</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27 (3.5</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IV</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81 (92.0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7 (8.0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(3)I-II</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192 (99.0</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 (1.0</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0.044</w:t>
            </w:r>
          </w:p>
        </w:tc>
      </w:tr>
      <w:tr w:rsidR="000149DC" w:rsidRPr="00F75C22" w:rsidTr="00272FD1">
        <w:tc>
          <w:tcPr>
            <w:tcW w:w="2660"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III-IV</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830 (96.1</w:t>
            </w:r>
            <w:r w:rsidR="00E64A87" w:rsidRPr="00F75C22">
              <w:rPr>
                <w:rFonts w:ascii="Book Antiqua" w:hAnsi="Book Antiqua"/>
                <w:color w:val="000000"/>
                <w:kern w:val="0"/>
                <w:sz w:val="24"/>
              </w:rPr>
              <w:t>)</w:t>
            </w:r>
          </w:p>
        </w:tc>
        <w:tc>
          <w:tcPr>
            <w:tcW w:w="1701" w:type="dxa"/>
            <w:vAlign w:val="center"/>
          </w:tcPr>
          <w:p w:rsidR="00E64A87" w:rsidRPr="00F75C22" w:rsidRDefault="00F45198"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34 (3.9</w:t>
            </w:r>
            <w:r w:rsidR="00E64A87" w:rsidRPr="00F75C22">
              <w:rPr>
                <w:rFonts w:ascii="Book Antiqua" w:hAnsi="Book Antiqua"/>
                <w:color w:val="000000"/>
                <w:kern w:val="0"/>
                <w:sz w:val="24"/>
              </w:rPr>
              <w:t>)</w:t>
            </w:r>
          </w:p>
        </w:tc>
        <w:tc>
          <w:tcPr>
            <w:tcW w:w="2001" w:type="dxa"/>
            <w:vAlign w:val="center"/>
          </w:tcPr>
          <w:p w:rsidR="00E64A87" w:rsidRPr="00F75C22" w:rsidRDefault="00E64A87" w:rsidP="000149DC">
            <w:pPr>
              <w:widowControl/>
              <w:spacing w:line="360" w:lineRule="auto"/>
              <w:rPr>
                <w:rFonts w:ascii="Book Antiqua" w:hAnsi="Book Antiqua"/>
                <w:color w:val="000000"/>
                <w:kern w:val="0"/>
                <w:sz w:val="24"/>
              </w:rPr>
            </w:pPr>
          </w:p>
        </w:tc>
      </w:tr>
    </w:tbl>
    <w:p w:rsidR="004B0053" w:rsidRPr="00F75C22" w:rsidRDefault="004B0053" w:rsidP="000149DC">
      <w:pPr>
        <w:pStyle w:val="p0"/>
        <w:spacing w:line="360" w:lineRule="auto"/>
        <w:rPr>
          <w:rFonts w:ascii="Book Antiqua" w:hAnsi="Book Antiqua" w:cs="Times New Roman"/>
          <w:b/>
          <w:bCs/>
          <w:color w:val="000000"/>
          <w:sz w:val="24"/>
          <w:szCs w:val="24"/>
        </w:rPr>
      </w:pPr>
      <w:r w:rsidRPr="00F75C22">
        <w:rPr>
          <w:rFonts w:ascii="Book Antiqua" w:hAnsi="Book Antiqua" w:cs="Times New Roman"/>
          <w:color w:val="000000"/>
          <w:sz w:val="24"/>
          <w:szCs w:val="24"/>
        </w:rPr>
        <w:t xml:space="preserve">HER2: </w:t>
      </w:r>
      <w:r w:rsidRPr="00F75C22">
        <w:rPr>
          <w:rFonts w:ascii="Book Antiqua" w:hAnsi="Book Antiqua"/>
          <w:color w:val="000000"/>
          <w:sz w:val="24"/>
          <w:szCs w:val="24"/>
        </w:rPr>
        <w:t xml:space="preserve">Human </w:t>
      </w:r>
      <w:r w:rsidRPr="00F75C22">
        <w:rPr>
          <w:rFonts w:ascii="Book Antiqua" w:hAnsi="Book Antiqua" w:cs="Times New Roman"/>
          <w:color w:val="000000"/>
          <w:sz w:val="24"/>
          <w:szCs w:val="24"/>
        </w:rPr>
        <w:t>epidermal growth factor receptor 2</w:t>
      </w:r>
      <w:r w:rsidRPr="00F75C22">
        <w:rPr>
          <w:rFonts w:ascii="Book Antiqua" w:hAnsi="Book Antiqua"/>
          <w:color w:val="000000"/>
          <w:sz w:val="24"/>
          <w:szCs w:val="24"/>
        </w:rPr>
        <w:t>.</w:t>
      </w:r>
    </w:p>
    <w:p w:rsidR="00E64A87" w:rsidRPr="00F75C22" w:rsidRDefault="00EF21E8" w:rsidP="000149DC">
      <w:pPr>
        <w:autoSpaceDE w:val="0"/>
        <w:autoSpaceDN w:val="0"/>
        <w:spacing w:line="360" w:lineRule="auto"/>
        <w:rPr>
          <w:rFonts w:ascii="Book Antiqua" w:hAnsi="Book Antiqua"/>
          <w:b/>
          <w:color w:val="000000"/>
          <w:kern w:val="0"/>
          <w:sz w:val="24"/>
        </w:rPr>
      </w:pPr>
      <w:r w:rsidRPr="00F75C22">
        <w:rPr>
          <w:rFonts w:ascii="Book Antiqua" w:hAnsi="Book Antiqua"/>
          <w:b/>
          <w:color w:val="000000"/>
          <w:kern w:val="0"/>
          <w:sz w:val="24"/>
        </w:rPr>
        <w:br w:type="page"/>
      </w:r>
      <w:r w:rsidR="00E64A87" w:rsidRPr="00F75C22">
        <w:rPr>
          <w:rFonts w:ascii="Book Antiqua" w:hAnsi="Book Antiqua"/>
          <w:b/>
          <w:color w:val="000000"/>
          <w:kern w:val="0"/>
          <w:sz w:val="24"/>
        </w:rPr>
        <w:lastRenderedPageBreak/>
        <w:t>Table 5 Overall survival based on clinicopathological features</w:t>
      </w:r>
    </w:p>
    <w:tbl>
      <w:tblPr>
        <w:tblW w:w="8330" w:type="dxa"/>
        <w:tblBorders>
          <w:top w:val="single" w:sz="4" w:space="0" w:color="000000"/>
          <w:bottom w:val="single" w:sz="4" w:space="0" w:color="000000"/>
        </w:tblBorders>
        <w:tblLayout w:type="fixed"/>
        <w:tblLook w:val="0000" w:firstRow="0" w:lastRow="0" w:firstColumn="0" w:lastColumn="0" w:noHBand="0" w:noVBand="0"/>
      </w:tblPr>
      <w:tblGrid>
        <w:gridCol w:w="2808"/>
        <w:gridCol w:w="1260"/>
        <w:gridCol w:w="900"/>
        <w:gridCol w:w="2086"/>
        <w:gridCol w:w="1276"/>
      </w:tblGrid>
      <w:tr w:rsidR="000149DC" w:rsidRPr="00F75C22" w:rsidTr="00857378">
        <w:tc>
          <w:tcPr>
            <w:tcW w:w="2808"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Clinicopathological features</w:t>
            </w:r>
          </w:p>
        </w:tc>
        <w:tc>
          <w:tcPr>
            <w:tcW w:w="1260"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Patients</w:t>
            </w:r>
          </w:p>
        </w:tc>
        <w:tc>
          <w:tcPr>
            <w:tcW w:w="900"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Events</w:t>
            </w:r>
          </w:p>
        </w:tc>
        <w:tc>
          <w:tcPr>
            <w:tcW w:w="2086"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color w:val="000000"/>
                <w:kern w:val="0"/>
                <w:sz w:val="24"/>
              </w:rPr>
            </w:pPr>
            <w:r w:rsidRPr="00F75C22">
              <w:rPr>
                <w:rFonts w:ascii="Book Antiqua" w:hAnsi="Book Antiqua"/>
                <w:b/>
                <w:color w:val="000000"/>
                <w:kern w:val="0"/>
                <w:sz w:val="24"/>
              </w:rPr>
              <w:t>M</w:t>
            </w:r>
            <w:r w:rsidR="006D57D9" w:rsidRPr="00F75C22">
              <w:rPr>
                <w:rFonts w:ascii="Book Antiqua" w:hAnsi="Book Antiqua"/>
                <w:b/>
                <w:color w:val="000000"/>
                <w:kern w:val="0"/>
                <w:sz w:val="24"/>
              </w:rPr>
              <w:t>edian survival (95% CI), mo</w:t>
            </w:r>
          </w:p>
        </w:tc>
        <w:tc>
          <w:tcPr>
            <w:tcW w:w="1276" w:type="dxa"/>
            <w:tcBorders>
              <w:top w:val="single" w:sz="4" w:space="0" w:color="000000"/>
              <w:bottom w:val="single" w:sz="4" w:space="0" w:color="000000"/>
            </w:tcBorders>
            <w:vAlign w:val="center"/>
          </w:tcPr>
          <w:p w:rsidR="00E64A87" w:rsidRPr="00F75C22" w:rsidRDefault="00E64A87" w:rsidP="000149DC">
            <w:pPr>
              <w:widowControl/>
              <w:spacing w:line="360" w:lineRule="auto"/>
              <w:rPr>
                <w:rFonts w:ascii="Book Antiqua" w:hAnsi="Book Antiqua"/>
                <w:b/>
                <w:i/>
                <w:iCs/>
                <w:color w:val="000000"/>
                <w:kern w:val="0"/>
                <w:sz w:val="24"/>
              </w:rPr>
            </w:pPr>
            <w:r w:rsidRPr="00F75C22">
              <w:rPr>
                <w:rFonts w:ascii="Book Antiqua" w:hAnsi="Book Antiqua"/>
                <w:b/>
                <w:i/>
                <w:iCs/>
                <w:color w:val="000000"/>
                <w:kern w:val="0"/>
                <w:sz w:val="24"/>
              </w:rPr>
              <w:t>P</w:t>
            </w:r>
            <w:r w:rsidR="006D57D9" w:rsidRPr="00F75C22">
              <w:rPr>
                <w:rFonts w:ascii="Book Antiqua" w:hAnsi="Book Antiqua"/>
                <w:b/>
                <w:iCs/>
                <w:color w:val="000000"/>
                <w:kern w:val="0"/>
                <w:sz w:val="24"/>
              </w:rPr>
              <w:t>-value</w:t>
            </w:r>
          </w:p>
        </w:tc>
      </w:tr>
      <w:tr w:rsidR="000149DC" w:rsidRPr="00F75C22" w:rsidTr="00857378">
        <w:tc>
          <w:tcPr>
            <w:tcW w:w="2808" w:type="dxa"/>
            <w:tcBorders>
              <w:top w:val="single" w:sz="4" w:space="0" w:color="000000"/>
            </w:tcBorders>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Gender</w:t>
            </w:r>
          </w:p>
        </w:tc>
        <w:tc>
          <w:tcPr>
            <w:tcW w:w="1260"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tcBorders>
              <w:top w:val="single" w:sz="4" w:space="0" w:color="000000"/>
            </w:tcBorders>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0.707</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Male</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640</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144</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Female</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418</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100</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8330" w:type="dxa"/>
            <w:gridSpan w:val="5"/>
          </w:tcPr>
          <w:p w:rsidR="006D57D9" w:rsidRPr="00F75C22" w:rsidRDefault="006D57D9"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Age (yr)</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w:t>
            </w:r>
            <w:r w:rsidR="006D57D9" w:rsidRPr="00F75C22">
              <w:rPr>
                <w:rFonts w:ascii="Book Antiqua" w:hAnsi="Book Antiqua"/>
                <w:color w:val="000000"/>
                <w:kern w:val="0"/>
                <w:sz w:val="24"/>
              </w:rPr>
              <w:t xml:space="preserve"> </w:t>
            </w:r>
            <w:r w:rsidRPr="00F75C22">
              <w:rPr>
                <w:rFonts w:ascii="Book Antiqua" w:hAnsi="Book Antiqua"/>
                <w:color w:val="000000"/>
                <w:kern w:val="0"/>
                <w:sz w:val="24"/>
              </w:rPr>
              <w:t xml:space="preserve">60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522</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116</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0.591</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&gt;</w:t>
            </w:r>
            <w:r w:rsidR="006D57D9" w:rsidRPr="00F75C22">
              <w:rPr>
                <w:rFonts w:ascii="Book Antiqua" w:hAnsi="Book Antiqua"/>
                <w:color w:val="000000"/>
                <w:kern w:val="0"/>
                <w:sz w:val="24"/>
              </w:rPr>
              <w:t xml:space="preserve"> </w:t>
            </w:r>
            <w:r w:rsidRPr="00F75C22">
              <w:rPr>
                <w:rFonts w:ascii="Book Antiqua" w:hAnsi="Book Antiqua"/>
                <w:color w:val="000000"/>
                <w:kern w:val="0"/>
                <w:sz w:val="24"/>
              </w:rPr>
              <w:t>60</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536</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128</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w:t>
            </w:r>
            <w:r w:rsidR="006D57D9" w:rsidRPr="00F75C22">
              <w:rPr>
                <w:rFonts w:ascii="Book Antiqua" w:hAnsi="Book Antiqua"/>
                <w:color w:val="000000"/>
                <w:kern w:val="0"/>
                <w:sz w:val="24"/>
              </w:rPr>
              <w:t xml:space="preserve"> </w:t>
            </w:r>
            <w:r w:rsidRPr="00F75C22">
              <w:rPr>
                <w:rFonts w:ascii="Book Antiqua" w:hAnsi="Book Antiqua"/>
                <w:color w:val="000000"/>
                <w:kern w:val="0"/>
                <w:sz w:val="24"/>
              </w:rPr>
              <w:t xml:space="preserve">65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661</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138</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0.027</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&gt;</w:t>
            </w:r>
            <w:r w:rsidR="006D57D9" w:rsidRPr="00F75C22">
              <w:rPr>
                <w:rFonts w:ascii="Book Antiqua" w:hAnsi="Book Antiqua"/>
                <w:color w:val="000000"/>
                <w:kern w:val="0"/>
                <w:sz w:val="24"/>
              </w:rPr>
              <w:t xml:space="preserve"> </w:t>
            </w:r>
            <w:r w:rsidRPr="00F75C22">
              <w:rPr>
                <w:rFonts w:ascii="Book Antiqua" w:hAnsi="Book Antiqua"/>
                <w:color w:val="000000"/>
                <w:kern w:val="0"/>
                <w:sz w:val="24"/>
              </w:rPr>
              <w:t>65</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397</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106</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site</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0.457</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Colon</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568</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133</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Rectal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490</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111</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grade</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0.000</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1-2</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839</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176</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3</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219</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68</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Histology</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0.000</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Tubular</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971</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205</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Mucinous/ Other types</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87</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39</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54.90</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Lymph node metastasis</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0.000</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No</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562</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61</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Yes</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496</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183</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Tumor stage</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0.000</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I-II</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198</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13</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III-IV</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860</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231</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8330" w:type="dxa"/>
            <w:gridSpan w:val="5"/>
          </w:tcPr>
          <w:p w:rsidR="00A7158C" w:rsidRPr="00F75C22" w:rsidRDefault="00A7158C"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HER2 protein overexpression by IHC</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IHC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935</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221</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0.220</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lastRenderedPageBreak/>
              <w:t xml:space="preserve"> IHC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123</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23</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r w:rsidR="000149DC" w:rsidRPr="00F75C22" w:rsidTr="00857378">
        <w:tc>
          <w:tcPr>
            <w:tcW w:w="8330" w:type="dxa"/>
            <w:gridSpan w:val="5"/>
          </w:tcPr>
          <w:p w:rsidR="00A7158C" w:rsidRPr="00F75C22" w:rsidRDefault="00A7158C" w:rsidP="000149DC">
            <w:pPr>
              <w:widowControl/>
              <w:spacing w:line="360" w:lineRule="auto"/>
              <w:rPr>
                <w:rFonts w:ascii="Book Antiqua" w:hAnsi="Book Antiqua"/>
                <w:color w:val="000000"/>
                <w:kern w:val="0"/>
                <w:sz w:val="24"/>
              </w:rPr>
            </w:pPr>
            <w:r w:rsidRPr="00F75C22">
              <w:rPr>
                <w:rFonts w:ascii="Book Antiqua" w:hAnsi="Book Antiqua"/>
                <w:i/>
                <w:color w:val="000000"/>
                <w:kern w:val="0"/>
                <w:sz w:val="24"/>
              </w:rPr>
              <w:t>HER2</w:t>
            </w:r>
            <w:r w:rsidRPr="00F75C22">
              <w:rPr>
                <w:rFonts w:ascii="Book Antiqua" w:hAnsi="Book Antiqua"/>
                <w:color w:val="000000"/>
                <w:kern w:val="0"/>
                <w:sz w:val="24"/>
              </w:rPr>
              <w:t xml:space="preserve"> gene amplification by FISH </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Positive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1022</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234</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0.458</w:t>
            </w:r>
          </w:p>
        </w:tc>
      </w:tr>
      <w:tr w:rsidR="000149DC" w:rsidRPr="00F75C22" w:rsidTr="00857378">
        <w:tc>
          <w:tcPr>
            <w:tcW w:w="2808" w:type="dxa"/>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 xml:space="preserve"> Negative </w:t>
            </w:r>
          </w:p>
        </w:tc>
        <w:tc>
          <w:tcPr>
            <w:tcW w:w="126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36</w:t>
            </w:r>
          </w:p>
        </w:tc>
        <w:tc>
          <w:tcPr>
            <w:tcW w:w="900"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10</w:t>
            </w:r>
          </w:p>
        </w:tc>
        <w:tc>
          <w:tcPr>
            <w:tcW w:w="2086" w:type="dxa"/>
            <w:vAlign w:val="center"/>
          </w:tcPr>
          <w:p w:rsidR="00E64A87" w:rsidRPr="00F75C22" w:rsidRDefault="00E64A87" w:rsidP="000149DC">
            <w:pPr>
              <w:widowControl/>
              <w:spacing w:line="360" w:lineRule="auto"/>
              <w:rPr>
                <w:rFonts w:ascii="Book Antiqua" w:hAnsi="Book Antiqua"/>
                <w:color w:val="000000"/>
                <w:kern w:val="0"/>
                <w:sz w:val="24"/>
              </w:rPr>
            </w:pPr>
            <w:r w:rsidRPr="00F75C22">
              <w:rPr>
                <w:rFonts w:ascii="Book Antiqua" w:hAnsi="Book Antiqua"/>
                <w:color w:val="000000"/>
                <w:kern w:val="0"/>
                <w:sz w:val="24"/>
              </w:rPr>
              <w:t>NA</w:t>
            </w:r>
          </w:p>
        </w:tc>
        <w:tc>
          <w:tcPr>
            <w:tcW w:w="1276" w:type="dxa"/>
            <w:vAlign w:val="center"/>
          </w:tcPr>
          <w:p w:rsidR="00E64A87" w:rsidRPr="00F75C22" w:rsidRDefault="00E64A87" w:rsidP="000149DC">
            <w:pPr>
              <w:widowControl/>
              <w:spacing w:line="360" w:lineRule="auto"/>
              <w:rPr>
                <w:rFonts w:ascii="Book Antiqua" w:hAnsi="Book Antiqua"/>
                <w:color w:val="000000"/>
                <w:kern w:val="0"/>
                <w:sz w:val="24"/>
              </w:rPr>
            </w:pPr>
          </w:p>
        </w:tc>
      </w:tr>
    </w:tbl>
    <w:p w:rsidR="0015383F" w:rsidRPr="0019282E" w:rsidRDefault="00E64A87" w:rsidP="000149DC">
      <w:pPr>
        <w:pStyle w:val="p0"/>
        <w:spacing w:line="360" w:lineRule="auto"/>
        <w:rPr>
          <w:rFonts w:ascii="Book Antiqua" w:hAnsi="Book Antiqua" w:cs="Times New Roman"/>
          <w:b/>
          <w:bCs/>
          <w:color w:val="000000"/>
          <w:sz w:val="24"/>
          <w:szCs w:val="24"/>
        </w:rPr>
      </w:pPr>
      <w:r w:rsidRPr="00F75C22">
        <w:rPr>
          <w:rFonts w:ascii="Book Antiqua" w:hAnsi="Book Antiqua"/>
          <w:color w:val="000000"/>
          <w:sz w:val="24"/>
          <w:szCs w:val="24"/>
        </w:rPr>
        <w:t>NA</w:t>
      </w:r>
      <w:r w:rsidR="00A7158C" w:rsidRPr="00F75C22">
        <w:rPr>
          <w:rFonts w:ascii="Book Antiqua" w:hAnsi="Book Antiqua"/>
          <w:color w:val="000000"/>
          <w:sz w:val="24"/>
          <w:szCs w:val="24"/>
        </w:rPr>
        <w:t>:</w:t>
      </w:r>
      <w:r w:rsidRPr="00F75C22">
        <w:rPr>
          <w:rFonts w:ascii="Book Antiqua" w:hAnsi="Book Antiqua"/>
          <w:color w:val="000000"/>
          <w:sz w:val="24"/>
          <w:szCs w:val="24"/>
        </w:rPr>
        <w:t xml:space="preserve"> </w:t>
      </w:r>
      <w:r w:rsidR="00A7158C" w:rsidRPr="00F75C22">
        <w:rPr>
          <w:rFonts w:ascii="Book Antiqua" w:hAnsi="Book Antiqua"/>
          <w:color w:val="000000"/>
          <w:sz w:val="24"/>
          <w:szCs w:val="24"/>
        </w:rPr>
        <w:t xml:space="preserve">Because </w:t>
      </w:r>
      <w:r w:rsidRPr="00F75C22">
        <w:rPr>
          <w:rFonts w:ascii="Book Antiqua" w:hAnsi="Book Antiqua"/>
          <w:color w:val="000000"/>
          <w:sz w:val="24"/>
          <w:szCs w:val="24"/>
        </w:rPr>
        <w:t>the overall survival rates of these patients were more than 50%, we did</w:t>
      </w:r>
      <w:r w:rsidR="00A7158C" w:rsidRPr="00F75C22">
        <w:rPr>
          <w:rFonts w:ascii="Book Antiqua" w:hAnsi="Book Antiqua"/>
          <w:color w:val="000000"/>
          <w:sz w:val="24"/>
          <w:szCs w:val="24"/>
        </w:rPr>
        <w:t>n’t get the m</w:t>
      </w:r>
      <w:r w:rsidR="00B77861" w:rsidRPr="00F75C22">
        <w:rPr>
          <w:rFonts w:ascii="Book Antiqua" w:hAnsi="Book Antiqua"/>
          <w:color w:val="000000"/>
          <w:sz w:val="24"/>
          <w:szCs w:val="24"/>
        </w:rPr>
        <w:t>e</w:t>
      </w:r>
      <w:r w:rsidR="00A7158C" w:rsidRPr="00F75C22">
        <w:rPr>
          <w:rFonts w:ascii="Book Antiqua" w:hAnsi="Book Antiqua"/>
          <w:color w:val="000000"/>
          <w:sz w:val="24"/>
          <w:szCs w:val="24"/>
        </w:rPr>
        <w:t>dian survival time.</w:t>
      </w:r>
      <w:r w:rsidR="0015383F" w:rsidRPr="00F75C22">
        <w:rPr>
          <w:rFonts w:ascii="Book Antiqua" w:hAnsi="Book Antiqua" w:cs="Times New Roman"/>
          <w:color w:val="000000"/>
          <w:sz w:val="24"/>
          <w:szCs w:val="24"/>
        </w:rPr>
        <w:t xml:space="preserve"> HER2: </w:t>
      </w:r>
      <w:r w:rsidR="0015383F" w:rsidRPr="00F75C22">
        <w:rPr>
          <w:rFonts w:ascii="Book Antiqua" w:hAnsi="Book Antiqua"/>
          <w:color w:val="000000"/>
          <w:sz w:val="24"/>
          <w:szCs w:val="24"/>
        </w:rPr>
        <w:t xml:space="preserve">Human </w:t>
      </w:r>
      <w:r w:rsidR="0015383F" w:rsidRPr="00F75C22">
        <w:rPr>
          <w:rFonts w:ascii="Book Antiqua" w:hAnsi="Book Antiqua" w:cs="Times New Roman"/>
          <w:color w:val="000000"/>
          <w:sz w:val="24"/>
          <w:szCs w:val="24"/>
        </w:rPr>
        <w:t>epidermal growth factor receptor 2; FISH:</w:t>
      </w:r>
      <w:r w:rsidR="0015383F" w:rsidRPr="00F75C22">
        <w:rPr>
          <w:rFonts w:ascii="Book Antiqua" w:hAnsi="Book Antiqua"/>
          <w:color w:val="000000"/>
          <w:sz w:val="24"/>
          <w:szCs w:val="24"/>
        </w:rPr>
        <w:t xml:space="preserve"> Fluorescence </w:t>
      </w:r>
      <w:r w:rsidR="0015383F" w:rsidRPr="00F75C22">
        <w:rPr>
          <w:rFonts w:ascii="Book Antiqua" w:hAnsi="Book Antiqua"/>
          <w:i/>
          <w:color w:val="000000"/>
          <w:sz w:val="24"/>
          <w:szCs w:val="24"/>
        </w:rPr>
        <w:t>in situ</w:t>
      </w:r>
      <w:r w:rsidR="0015383F" w:rsidRPr="00F75C22">
        <w:rPr>
          <w:rFonts w:ascii="Book Antiqua" w:hAnsi="Book Antiqua"/>
          <w:color w:val="000000"/>
          <w:sz w:val="24"/>
          <w:szCs w:val="24"/>
        </w:rPr>
        <w:t xml:space="preserve"> hybridization; </w:t>
      </w:r>
      <w:r w:rsidR="0015383F" w:rsidRPr="00F75C22">
        <w:rPr>
          <w:rFonts w:ascii="Book Antiqua" w:hAnsi="Book Antiqua" w:cs="Times New Roman"/>
          <w:color w:val="000000"/>
          <w:sz w:val="24"/>
          <w:szCs w:val="24"/>
        </w:rPr>
        <w:t>IHC:</w:t>
      </w:r>
      <w:r w:rsidR="0015383F" w:rsidRPr="00F75C22">
        <w:rPr>
          <w:rFonts w:ascii="Book Antiqua" w:hAnsi="Book Antiqua"/>
          <w:color w:val="000000"/>
          <w:sz w:val="24"/>
          <w:szCs w:val="24"/>
        </w:rPr>
        <w:t xml:space="preserve"> Immunohistochemical staining.</w:t>
      </w:r>
    </w:p>
    <w:p w:rsidR="00E64A87" w:rsidRPr="0019282E" w:rsidRDefault="00E64A87" w:rsidP="000149DC">
      <w:pPr>
        <w:autoSpaceDE w:val="0"/>
        <w:autoSpaceDN w:val="0"/>
        <w:spacing w:line="360" w:lineRule="auto"/>
        <w:rPr>
          <w:rFonts w:ascii="Book Antiqua" w:hAnsi="Book Antiqua"/>
          <w:color w:val="000000"/>
          <w:kern w:val="0"/>
          <w:sz w:val="24"/>
        </w:rPr>
      </w:pPr>
    </w:p>
    <w:p w:rsidR="00E64A87" w:rsidRPr="0019282E" w:rsidRDefault="00E64A87" w:rsidP="000149DC">
      <w:pPr>
        <w:autoSpaceDE w:val="0"/>
        <w:autoSpaceDN w:val="0"/>
        <w:spacing w:line="360" w:lineRule="auto"/>
        <w:rPr>
          <w:rFonts w:ascii="Book Antiqua" w:hAnsi="Book Antiqua"/>
          <w:b/>
          <w:bCs/>
          <w:color w:val="000000"/>
          <w:sz w:val="24"/>
        </w:rPr>
      </w:pPr>
    </w:p>
    <w:sectPr w:rsidR="00E64A87" w:rsidRPr="0019282E">
      <w:headerReference w:type="default" r:id="rId14"/>
      <w:footerReference w:type="even" r:id="rId15"/>
      <w:endnotePr>
        <w:numFmt w:val="decimal"/>
      </w:endnotePr>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C92" w:rsidRDefault="00D21C92">
      <w:r>
        <w:separator/>
      </w:r>
    </w:p>
  </w:endnote>
  <w:endnote w:type="continuationSeparator" w:id="0">
    <w:p w:rsidR="00D21C92" w:rsidRDefault="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F30" w:rsidRDefault="00CB7F30">
    <w:pPr>
      <w:pStyle w:val="af0"/>
      <w:framePr w:wrap="around" w:vAnchor="text" w:hAnchor="margin" w:xAlign="center" w:y="1"/>
      <w:rPr>
        <w:rStyle w:val="a6"/>
      </w:rPr>
    </w:pPr>
    <w:r>
      <w:fldChar w:fldCharType="begin"/>
    </w:r>
    <w:r>
      <w:rPr>
        <w:rStyle w:val="a6"/>
      </w:rPr>
      <w:instrText xml:space="preserve">PAGE  </w:instrText>
    </w:r>
    <w:r>
      <w:fldChar w:fldCharType="separate"/>
    </w:r>
    <w:r>
      <w:rPr>
        <w:rStyle w:val="a6"/>
      </w:rPr>
      <w:t>1</w:t>
    </w:r>
    <w:r>
      <w:fldChar w:fldCharType="end"/>
    </w:r>
  </w:p>
  <w:p w:rsidR="00CB7F30" w:rsidRDefault="00CB7F3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C92" w:rsidRDefault="00D21C92">
      <w:r>
        <w:separator/>
      </w:r>
    </w:p>
  </w:footnote>
  <w:footnote w:type="continuationSeparator" w:id="0">
    <w:p w:rsidR="00D21C92" w:rsidRDefault="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F30" w:rsidRDefault="00CB7F3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D4699E0"/>
    <w:lvl w:ilvl="0">
      <w:start w:val="1"/>
      <w:numFmt w:val="decimal"/>
      <w:lvlText w:val="%1"/>
      <w:lvlJc w:val="left"/>
      <w:pPr>
        <w:tabs>
          <w:tab w:val="num" w:pos="420"/>
        </w:tabs>
        <w:ind w:left="420" w:hanging="420"/>
      </w:pPr>
      <w:rPr>
        <w:rFonts w:ascii="Book Antiqua" w:hAnsi="Book Antiqua" w:hint="default"/>
        <w:color w:val="00000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3975F7E"/>
    <w:multiLevelType w:val="multilevel"/>
    <w:tmpl w:val="583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8D54B9"/>
    <w:multiLevelType w:val="hybridMultilevel"/>
    <w:tmpl w:val="FFDEA29E"/>
    <w:lvl w:ilvl="0" w:tplc="F61E8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5ztxps7seaxae5vt6xp55kdp2apt5zfzdr&quot;&gt;我的EndNote库&lt;record-ids&gt;&lt;item&gt;72&lt;/item&gt;&lt;/record-ids&gt;&lt;/item&gt;&lt;/Libraries&gt;"/>
  </w:docVars>
  <w:rsids>
    <w:rsidRoot w:val="00172A27"/>
    <w:rsid w:val="00002E18"/>
    <w:rsid w:val="00003242"/>
    <w:rsid w:val="000068B9"/>
    <w:rsid w:val="00013734"/>
    <w:rsid w:val="000138D5"/>
    <w:rsid w:val="000149DC"/>
    <w:rsid w:val="00015068"/>
    <w:rsid w:val="00022150"/>
    <w:rsid w:val="00026AF1"/>
    <w:rsid w:val="00032356"/>
    <w:rsid w:val="00034693"/>
    <w:rsid w:val="00035574"/>
    <w:rsid w:val="00043357"/>
    <w:rsid w:val="000461C2"/>
    <w:rsid w:val="0006645E"/>
    <w:rsid w:val="000670C4"/>
    <w:rsid w:val="00070239"/>
    <w:rsid w:val="00071557"/>
    <w:rsid w:val="00071BC7"/>
    <w:rsid w:val="00073D06"/>
    <w:rsid w:val="0007495E"/>
    <w:rsid w:val="00082ABB"/>
    <w:rsid w:val="00086E07"/>
    <w:rsid w:val="00090E58"/>
    <w:rsid w:val="00091A5F"/>
    <w:rsid w:val="00091E77"/>
    <w:rsid w:val="00092DD0"/>
    <w:rsid w:val="000944DF"/>
    <w:rsid w:val="0009648E"/>
    <w:rsid w:val="000A052D"/>
    <w:rsid w:val="000A26C7"/>
    <w:rsid w:val="000A38ED"/>
    <w:rsid w:val="000B383A"/>
    <w:rsid w:val="000C3F9F"/>
    <w:rsid w:val="000E1AEE"/>
    <w:rsid w:val="000E4E9E"/>
    <w:rsid w:val="000F395A"/>
    <w:rsid w:val="000F4502"/>
    <w:rsid w:val="000F5E1D"/>
    <w:rsid w:val="0010011F"/>
    <w:rsid w:val="00103B24"/>
    <w:rsid w:val="001070BA"/>
    <w:rsid w:val="00111ADC"/>
    <w:rsid w:val="00120489"/>
    <w:rsid w:val="00120ECD"/>
    <w:rsid w:val="00121324"/>
    <w:rsid w:val="0012173E"/>
    <w:rsid w:val="001221F1"/>
    <w:rsid w:val="00122BC6"/>
    <w:rsid w:val="00122D00"/>
    <w:rsid w:val="001255E0"/>
    <w:rsid w:val="00125D9F"/>
    <w:rsid w:val="00132256"/>
    <w:rsid w:val="0013290E"/>
    <w:rsid w:val="001354AA"/>
    <w:rsid w:val="00135DA3"/>
    <w:rsid w:val="00136807"/>
    <w:rsid w:val="001375CA"/>
    <w:rsid w:val="00140F2B"/>
    <w:rsid w:val="00141C7F"/>
    <w:rsid w:val="00142DDD"/>
    <w:rsid w:val="00143E04"/>
    <w:rsid w:val="00147A5A"/>
    <w:rsid w:val="0015383F"/>
    <w:rsid w:val="00156148"/>
    <w:rsid w:val="00161524"/>
    <w:rsid w:val="00163F7D"/>
    <w:rsid w:val="001651AE"/>
    <w:rsid w:val="00165CE8"/>
    <w:rsid w:val="0017209B"/>
    <w:rsid w:val="00172A27"/>
    <w:rsid w:val="00181EB1"/>
    <w:rsid w:val="0018386D"/>
    <w:rsid w:val="00183ED7"/>
    <w:rsid w:val="001847B7"/>
    <w:rsid w:val="0018678C"/>
    <w:rsid w:val="001877A1"/>
    <w:rsid w:val="0019282E"/>
    <w:rsid w:val="00192BD6"/>
    <w:rsid w:val="00195741"/>
    <w:rsid w:val="00197A36"/>
    <w:rsid w:val="001A27E7"/>
    <w:rsid w:val="001A596A"/>
    <w:rsid w:val="001A5A56"/>
    <w:rsid w:val="001A697E"/>
    <w:rsid w:val="001B2B44"/>
    <w:rsid w:val="001B2B6C"/>
    <w:rsid w:val="001C1C8E"/>
    <w:rsid w:val="001C2CE7"/>
    <w:rsid w:val="001D04A5"/>
    <w:rsid w:val="001E16C8"/>
    <w:rsid w:val="001E44C8"/>
    <w:rsid w:val="001F0613"/>
    <w:rsid w:val="001F20CE"/>
    <w:rsid w:val="001F59AE"/>
    <w:rsid w:val="001F5A20"/>
    <w:rsid w:val="00200421"/>
    <w:rsid w:val="0021070B"/>
    <w:rsid w:val="002121AC"/>
    <w:rsid w:val="00212E1A"/>
    <w:rsid w:val="00217664"/>
    <w:rsid w:val="00217DEC"/>
    <w:rsid w:val="0022408D"/>
    <w:rsid w:val="00233EEA"/>
    <w:rsid w:val="00237DD5"/>
    <w:rsid w:val="002510C3"/>
    <w:rsid w:val="002523C9"/>
    <w:rsid w:val="00257F2B"/>
    <w:rsid w:val="00260955"/>
    <w:rsid w:val="00270B6E"/>
    <w:rsid w:val="002718BD"/>
    <w:rsid w:val="00272FD1"/>
    <w:rsid w:val="00273F6C"/>
    <w:rsid w:val="002762C8"/>
    <w:rsid w:val="00281876"/>
    <w:rsid w:val="002928BC"/>
    <w:rsid w:val="00295D04"/>
    <w:rsid w:val="002B2DF6"/>
    <w:rsid w:val="002C017D"/>
    <w:rsid w:val="002C0F81"/>
    <w:rsid w:val="002C1F59"/>
    <w:rsid w:val="002C2841"/>
    <w:rsid w:val="002C79C2"/>
    <w:rsid w:val="002D165A"/>
    <w:rsid w:val="002D6386"/>
    <w:rsid w:val="002D7A46"/>
    <w:rsid w:val="002E3BC0"/>
    <w:rsid w:val="002E7A8C"/>
    <w:rsid w:val="002F0D8D"/>
    <w:rsid w:val="002F2EC1"/>
    <w:rsid w:val="002F742B"/>
    <w:rsid w:val="003015A6"/>
    <w:rsid w:val="00301967"/>
    <w:rsid w:val="00304A1A"/>
    <w:rsid w:val="003140C3"/>
    <w:rsid w:val="00324C73"/>
    <w:rsid w:val="00324F04"/>
    <w:rsid w:val="00332179"/>
    <w:rsid w:val="00334DD8"/>
    <w:rsid w:val="003372D5"/>
    <w:rsid w:val="003372DE"/>
    <w:rsid w:val="0034090B"/>
    <w:rsid w:val="003423B6"/>
    <w:rsid w:val="00342D07"/>
    <w:rsid w:val="00343DCC"/>
    <w:rsid w:val="00343EC7"/>
    <w:rsid w:val="00350BDC"/>
    <w:rsid w:val="00354281"/>
    <w:rsid w:val="00355108"/>
    <w:rsid w:val="00360783"/>
    <w:rsid w:val="0036113A"/>
    <w:rsid w:val="003632DE"/>
    <w:rsid w:val="00363EA7"/>
    <w:rsid w:val="00370734"/>
    <w:rsid w:val="00380651"/>
    <w:rsid w:val="00382BA0"/>
    <w:rsid w:val="0038588B"/>
    <w:rsid w:val="00387B84"/>
    <w:rsid w:val="00396928"/>
    <w:rsid w:val="003A0889"/>
    <w:rsid w:val="003A62A6"/>
    <w:rsid w:val="003A65AC"/>
    <w:rsid w:val="003B08F1"/>
    <w:rsid w:val="003B21BB"/>
    <w:rsid w:val="003B3C81"/>
    <w:rsid w:val="003B4B55"/>
    <w:rsid w:val="003C1C9A"/>
    <w:rsid w:val="003D441E"/>
    <w:rsid w:val="003E1C0F"/>
    <w:rsid w:val="003E4869"/>
    <w:rsid w:val="003E601C"/>
    <w:rsid w:val="003E7609"/>
    <w:rsid w:val="00402079"/>
    <w:rsid w:val="0040239D"/>
    <w:rsid w:val="00402E6C"/>
    <w:rsid w:val="004227E1"/>
    <w:rsid w:val="00422A5E"/>
    <w:rsid w:val="00424985"/>
    <w:rsid w:val="00430C7F"/>
    <w:rsid w:val="004372DE"/>
    <w:rsid w:val="004417DC"/>
    <w:rsid w:val="00441FA8"/>
    <w:rsid w:val="00447BCD"/>
    <w:rsid w:val="00456FBF"/>
    <w:rsid w:val="00470DA0"/>
    <w:rsid w:val="00483E04"/>
    <w:rsid w:val="00484864"/>
    <w:rsid w:val="00495D25"/>
    <w:rsid w:val="00497CDF"/>
    <w:rsid w:val="004A102C"/>
    <w:rsid w:val="004A1A90"/>
    <w:rsid w:val="004A50FA"/>
    <w:rsid w:val="004A5F1E"/>
    <w:rsid w:val="004B0053"/>
    <w:rsid w:val="004B3237"/>
    <w:rsid w:val="004B4D1C"/>
    <w:rsid w:val="004B74A8"/>
    <w:rsid w:val="004C0639"/>
    <w:rsid w:val="004C1387"/>
    <w:rsid w:val="004C198B"/>
    <w:rsid w:val="004C1F24"/>
    <w:rsid w:val="004C5DBC"/>
    <w:rsid w:val="004C6004"/>
    <w:rsid w:val="004C6037"/>
    <w:rsid w:val="004C7C18"/>
    <w:rsid w:val="004D2A6F"/>
    <w:rsid w:val="004D5425"/>
    <w:rsid w:val="004D57C2"/>
    <w:rsid w:val="004D7D50"/>
    <w:rsid w:val="004E4C8E"/>
    <w:rsid w:val="004F0C9A"/>
    <w:rsid w:val="004F2EC4"/>
    <w:rsid w:val="00504B42"/>
    <w:rsid w:val="00505C16"/>
    <w:rsid w:val="00507B15"/>
    <w:rsid w:val="00512E9C"/>
    <w:rsid w:val="00516D0C"/>
    <w:rsid w:val="005174EE"/>
    <w:rsid w:val="005251D0"/>
    <w:rsid w:val="0052553E"/>
    <w:rsid w:val="0053367A"/>
    <w:rsid w:val="00533823"/>
    <w:rsid w:val="00533ECF"/>
    <w:rsid w:val="00534468"/>
    <w:rsid w:val="00534F2E"/>
    <w:rsid w:val="00535EE7"/>
    <w:rsid w:val="00545239"/>
    <w:rsid w:val="0054565F"/>
    <w:rsid w:val="00546866"/>
    <w:rsid w:val="005506AC"/>
    <w:rsid w:val="00550850"/>
    <w:rsid w:val="00557D52"/>
    <w:rsid w:val="00561753"/>
    <w:rsid w:val="005619E6"/>
    <w:rsid w:val="00562B34"/>
    <w:rsid w:val="00564CC5"/>
    <w:rsid w:val="00565B75"/>
    <w:rsid w:val="00565FCA"/>
    <w:rsid w:val="00566C57"/>
    <w:rsid w:val="00584B89"/>
    <w:rsid w:val="00587570"/>
    <w:rsid w:val="00593BCC"/>
    <w:rsid w:val="005A29D0"/>
    <w:rsid w:val="005A6AA5"/>
    <w:rsid w:val="005B29EB"/>
    <w:rsid w:val="005B4FEB"/>
    <w:rsid w:val="005B565A"/>
    <w:rsid w:val="005C173B"/>
    <w:rsid w:val="005C4DE9"/>
    <w:rsid w:val="005C5C44"/>
    <w:rsid w:val="005C7528"/>
    <w:rsid w:val="005D0250"/>
    <w:rsid w:val="005D2863"/>
    <w:rsid w:val="005D2C8E"/>
    <w:rsid w:val="005D4364"/>
    <w:rsid w:val="005D4E11"/>
    <w:rsid w:val="005D6B98"/>
    <w:rsid w:val="005E07C8"/>
    <w:rsid w:val="005E2257"/>
    <w:rsid w:val="005E2512"/>
    <w:rsid w:val="005E3360"/>
    <w:rsid w:val="005F3150"/>
    <w:rsid w:val="005F3B19"/>
    <w:rsid w:val="005F4A9C"/>
    <w:rsid w:val="00600ABF"/>
    <w:rsid w:val="00603EA4"/>
    <w:rsid w:val="00611976"/>
    <w:rsid w:val="006165DB"/>
    <w:rsid w:val="00616A74"/>
    <w:rsid w:val="00625209"/>
    <w:rsid w:val="006258B3"/>
    <w:rsid w:val="00627238"/>
    <w:rsid w:val="0063075B"/>
    <w:rsid w:val="00630FEC"/>
    <w:rsid w:val="00646E7E"/>
    <w:rsid w:val="006522A7"/>
    <w:rsid w:val="00652D12"/>
    <w:rsid w:val="00661B14"/>
    <w:rsid w:val="00661F26"/>
    <w:rsid w:val="00666FB1"/>
    <w:rsid w:val="00670168"/>
    <w:rsid w:val="006749B8"/>
    <w:rsid w:val="00674CFD"/>
    <w:rsid w:val="00674FA2"/>
    <w:rsid w:val="00677A31"/>
    <w:rsid w:val="00680C0C"/>
    <w:rsid w:val="00685A07"/>
    <w:rsid w:val="00690017"/>
    <w:rsid w:val="006A1B0C"/>
    <w:rsid w:val="006A7D81"/>
    <w:rsid w:val="006B3F8F"/>
    <w:rsid w:val="006B5FA2"/>
    <w:rsid w:val="006C2B45"/>
    <w:rsid w:val="006C3546"/>
    <w:rsid w:val="006D57D9"/>
    <w:rsid w:val="006D7C97"/>
    <w:rsid w:val="006E1649"/>
    <w:rsid w:val="006E2359"/>
    <w:rsid w:val="006E2AC2"/>
    <w:rsid w:val="006E60B0"/>
    <w:rsid w:val="006F40D2"/>
    <w:rsid w:val="006F59FB"/>
    <w:rsid w:val="00703731"/>
    <w:rsid w:val="00713EC6"/>
    <w:rsid w:val="0071462C"/>
    <w:rsid w:val="00714B17"/>
    <w:rsid w:val="00716FC1"/>
    <w:rsid w:val="00717B17"/>
    <w:rsid w:val="00724762"/>
    <w:rsid w:val="00725FDC"/>
    <w:rsid w:val="00730780"/>
    <w:rsid w:val="007531D9"/>
    <w:rsid w:val="0076255F"/>
    <w:rsid w:val="007659CA"/>
    <w:rsid w:val="00765FFA"/>
    <w:rsid w:val="0077456B"/>
    <w:rsid w:val="0077528E"/>
    <w:rsid w:val="00777D26"/>
    <w:rsid w:val="00787632"/>
    <w:rsid w:val="00794301"/>
    <w:rsid w:val="00795CD7"/>
    <w:rsid w:val="007966B2"/>
    <w:rsid w:val="007A13E3"/>
    <w:rsid w:val="007B17B2"/>
    <w:rsid w:val="007B46B0"/>
    <w:rsid w:val="007C3D6E"/>
    <w:rsid w:val="007C6222"/>
    <w:rsid w:val="007C6BF3"/>
    <w:rsid w:val="007D50AF"/>
    <w:rsid w:val="007E6996"/>
    <w:rsid w:val="007F3C24"/>
    <w:rsid w:val="007F5146"/>
    <w:rsid w:val="008005E0"/>
    <w:rsid w:val="008027F2"/>
    <w:rsid w:val="00810D85"/>
    <w:rsid w:val="008162D3"/>
    <w:rsid w:val="008174E1"/>
    <w:rsid w:val="008210C8"/>
    <w:rsid w:val="00822616"/>
    <w:rsid w:val="0082591B"/>
    <w:rsid w:val="008303CD"/>
    <w:rsid w:val="008368B4"/>
    <w:rsid w:val="00840366"/>
    <w:rsid w:val="00846F77"/>
    <w:rsid w:val="00855343"/>
    <w:rsid w:val="00857378"/>
    <w:rsid w:val="0086131B"/>
    <w:rsid w:val="00861C70"/>
    <w:rsid w:val="008643E7"/>
    <w:rsid w:val="00864C16"/>
    <w:rsid w:val="008755A7"/>
    <w:rsid w:val="0087596B"/>
    <w:rsid w:val="00875983"/>
    <w:rsid w:val="00875BEF"/>
    <w:rsid w:val="0088034C"/>
    <w:rsid w:val="00881294"/>
    <w:rsid w:val="00881C62"/>
    <w:rsid w:val="008851DD"/>
    <w:rsid w:val="00886507"/>
    <w:rsid w:val="00891C09"/>
    <w:rsid w:val="008936D6"/>
    <w:rsid w:val="008A21EA"/>
    <w:rsid w:val="008A38F4"/>
    <w:rsid w:val="008B3445"/>
    <w:rsid w:val="008C3DCD"/>
    <w:rsid w:val="008C540E"/>
    <w:rsid w:val="008C787B"/>
    <w:rsid w:val="008D03F9"/>
    <w:rsid w:val="008D161F"/>
    <w:rsid w:val="008D1863"/>
    <w:rsid w:val="008D2734"/>
    <w:rsid w:val="008E7CAC"/>
    <w:rsid w:val="008F0B65"/>
    <w:rsid w:val="008F3AA7"/>
    <w:rsid w:val="008F4D5A"/>
    <w:rsid w:val="00901612"/>
    <w:rsid w:val="00901F71"/>
    <w:rsid w:val="00905BC9"/>
    <w:rsid w:val="0091098C"/>
    <w:rsid w:val="00915AB8"/>
    <w:rsid w:val="0091614B"/>
    <w:rsid w:val="0091664D"/>
    <w:rsid w:val="00916A14"/>
    <w:rsid w:val="009306AE"/>
    <w:rsid w:val="00932CA2"/>
    <w:rsid w:val="0093316E"/>
    <w:rsid w:val="00936E5F"/>
    <w:rsid w:val="00936F5A"/>
    <w:rsid w:val="00941163"/>
    <w:rsid w:val="009436DA"/>
    <w:rsid w:val="00950FC0"/>
    <w:rsid w:val="00955669"/>
    <w:rsid w:val="009561A9"/>
    <w:rsid w:val="00960DEB"/>
    <w:rsid w:val="009638F5"/>
    <w:rsid w:val="0096527C"/>
    <w:rsid w:val="0096529F"/>
    <w:rsid w:val="00967F13"/>
    <w:rsid w:val="00976E1F"/>
    <w:rsid w:val="00983C19"/>
    <w:rsid w:val="00991542"/>
    <w:rsid w:val="009917BE"/>
    <w:rsid w:val="009B0FA6"/>
    <w:rsid w:val="009B4FF3"/>
    <w:rsid w:val="009C005E"/>
    <w:rsid w:val="009C1E09"/>
    <w:rsid w:val="009C1E3F"/>
    <w:rsid w:val="009C3119"/>
    <w:rsid w:val="009C4519"/>
    <w:rsid w:val="009C4B4E"/>
    <w:rsid w:val="009C58E1"/>
    <w:rsid w:val="009C6203"/>
    <w:rsid w:val="009D1D7A"/>
    <w:rsid w:val="009D44A8"/>
    <w:rsid w:val="009D6EBB"/>
    <w:rsid w:val="009E034D"/>
    <w:rsid w:val="009E4978"/>
    <w:rsid w:val="009E5B30"/>
    <w:rsid w:val="009E72B4"/>
    <w:rsid w:val="009F478B"/>
    <w:rsid w:val="00A01234"/>
    <w:rsid w:val="00A0664A"/>
    <w:rsid w:val="00A06AAD"/>
    <w:rsid w:val="00A11C34"/>
    <w:rsid w:val="00A219DC"/>
    <w:rsid w:val="00A21D4C"/>
    <w:rsid w:val="00A21F6F"/>
    <w:rsid w:val="00A24D28"/>
    <w:rsid w:val="00A25EC6"/>
    <w:rsid w:val="00A32777"/>
    <w:rsid w:val="00A32C22"/>
    <w:rsid w:val="00A32CA1"/>
    <w:rsid w:val="00A34384"/>
    <w:rsid w:val="00A419AA"/>
    <w:rsid w:val="00A461DD"/>
    <w:rsid w:val="00A510E0"/>
    <w:rsid w:val="00A522B2"/>
    <w:rsid w:val="00A54F5C"/>
    <w:rsid w:val="00A6024E"/>
    <w:rsid w:val="00A61948"/>
    <w:rsid w:val="00A643FC"/>
    <w:rsid w:val="00A7158C"/>
    <w:rsid w:val="00A7257B"/>
    <w:rsid w:val="00A77461"/>
    <w:rsid w:val="00A82669"/>
    <w:rsid w:val="00A83414"/>
    <w:rsid w:val="00A84984"/>
    <w:rsid w:val="00A84CCD"/>
    <w:rsid w:val="00A87A8C"/>
    <w:rsid w:val="00A9357B"/>
    <w:rsid w:val="00A97C03"/>
    <w:rsid w:val="00AA1739"/>
    <w:rsid w:val="00AA5029"/>
    <w:rsid w:val="00AB4BF6"/>
    <w:rsid w:val="00AB73FA"/>
    <w:rsid w:val="00AC2F0D"/>
    <w:rsid w:val="00AC5077"/>
    <w:rsid w:val="00AD63A1"/>
    <w:rsid w:val="00AE0021"/>
    <w:rsid w:val="00AE560B"/>
    <w:rsid w:val="00AE5EAA"/>
    <w:rsid w:val="00AF3667"/>
    <w:rsid w:val="00AF3DBC"/>
    <w:rsid w:val="00AF4710"/>
    <w:rsid w:val="00AF5EA8"/>
    <w:rsid w:val="00B00864"/>
    <w:rsid w:val="00B00BB1"/>
    <w:rsid w:val="00B02ABE"/>
    <w:rsid w:val="00B02CEE"/>
    <w:rsid w:val="00B03339"/>
    <w:rsid w:val="00B04653"/>
    <w:rsid w:val="00B0515D"/>
    <w:rsid w:val="00B25B0E"/>
    <w:rsid w:val="00B25FA1"/>
    <w:rsid w:val="00B329D1"/>
    <w:rsid w:val="00B41AD9"/>
    <w:rsid w:val="00B465E8"/>
    <w:rsid w:val="00B51132"/>
    <w:rsid w:val="00B51737"/>
    <w:rsid w:val="00B526E0"/>
    <w:rsid w:val="00B52CAD"/>
    <w:rsid w:val="00B565C1"/>
    <w:rsid w:val="00B57117"/>
    <w:rsid w:val="00B601EE"/>
    <w:rsid w:val="00B65236"/>
    <w:rsid w:val="00B67824"/>
    <w:rsid w:val="00B70699"/>
    <w:rsid w:val="00B726AB"/>
    <w:rsid w:val="00B72E84"/>
    <w:rsid w:val="00B77861"/>
    <w:rsid w:val="00B9027F"/>
    <w:rsid w:val="00B903CB"/>
    <w:rsid w:val="00B935BA"/>
    <w:rsid w:val="00B95AC3"/>
    <w:rsid w:val="00BA3C21"/>
    <w:rsid w:val="00BA4121"/>
    <w:rsid w:val="00BA4EAD"/>
    <w:rsid w:val="00BA7D39"/>
    <w:rsid w:val="00BB1153"/>
    <w:rsid w:val="00BC73EA"/>
    <w:rsid w:val="00BC746F"/>
    <w:rsid w:val="00BD1DF2"/>
    <w:rsid w:val="00BD6ED5"/>
    <w:rsid w:val="00BE2B81"/>
    <w:rsid w:val="00BE34FF"/>
    <w:rsid w:val="00BE48FC"/>
    <w:rsid w:val="00BE5247"/>
    <w:rsid w:val="00BF37FB"/>
    <w:rsid w:val="00BF3D6F"/>
    <w:rsid w:val="00BF445E"/>
    <w:rsid w:val="00BF7F34"/>
    <w:rsid w:val="00C0181A"/>
    <w:rsid w:val="00C04EFB"/>
    <w:rsid w:val="00C15FAD"/>
    <w:rsid w:val="00C21A00"/>
    <w:rsid w:val="00C27D51"/>
    <w:rsid w:val="00C3364E"/>
    <w:rsid w:val="00C354C5"/>
    <w:rsid w:val="00C36509"/>
    <w:rsid w:val="00C449C4"/>
    <w:rsid w:val="00C45D85"/>
    <w:rsid w:val="00C47543"/>
    <w:rsid w:val="00C54328"/>
    <w:rsid w:val="00C54B6E"/>
    <w:rsid w:val="00C563E7"/>
    <w:rsid w:val="00C635DA"/>
    <w:rsid w:val="00C70968"/>
    <w:rsid w:val="00C76413"/>
    <w:rsid w:val="00C82BCA"/>
    <w:rsid w:val="00C833A2"/>
    <w:rsid w:val="00C86D61"/>
    <w:rsid w:val="00C90845"/>
    <w:rsid w:val="00C91384"/>
    <w:rsid w:val="00C94C60"/>
    <w:rsid w:val="00C95439"/>
    <w:rsid w:val="00C974B9"/>
    <w:rsid w:val="00CA23FB"/>
    <w:rsid w:val="00CA5325"/>
    <w:rsid w:val="00CA571F"/>
    <w:rsid w:val="00CB6B55"/>
    <w:rsid w:val="00CB7F30"/>
    <w:rsid w:val="00CC0A57"/>
    <w:rsid w:val="00CC1ABF"/>
    <w:rsid w:val="00CC1E90"/>
    <w:rsid w:val="00CC3C3E"/>
    <w:rsid w:val="00CC6E60"/>
    <w:rsid w:val="00CD4441"/>
    <w:rsid w:val="00CD5654"/>
    <w:rsid w:val="00CE0BBA"/>
    <w:rsid w:val="00CE1A82"/>
    <w:rsid w:val="00CE2D0A"/>
    <w:rsid w:val="00CE49B5"/>
    <w:rsid w:val="00CF55CD"/>
    <w:rsid w:val="00D020BC"/>
    <w:rsid w:val="00D03905"/>
    <w:rsid w:val="00D04582"/>
    <w:rsid w:val="00D06CE3"/>
    <w:rsid w:val="00D06DFB"/>
    <w:rsid w:val="00D21C92"/>
    <w:rsid w:val="00D22DD4"/>
    <w:rsid w:val="00D25481"/>
    <w:rsid w:val="00D346C4"/>
    <w:rsid w:val="00D36694"/>
    <w:rsid w:val="00D44E94"/>
    <w:rsid w:val="00D46B85"/>
    <w:rsid w:val="00D5040C"/>
    <w:rsid w:val="00D516DC"/>
    <w:rsid w:val="00D53968"/>
    <w:rsid w:val="00D55B71"/>
    <w:rsid w:val="00D56640"/>
    <w:rsid w:val="00D5797C"/>
    <w:rsid w:val="00D62DCD"/>
    <w:rsid w:val="00D63064"/>
    <w:rsid w:val="00D6341E"/>
    <w:rsid w:val="00D646E1"/>
    <w:rsid w:val="00D7552E"/>
    <w:rsid w:val="00D806C1"/>
    <w:rsid w:val="00D81138"/>
    <w:rsid w:val="00D9102A"/>
    <w:rsid w:val="00D93843"/>
    <w:rsid w:val="00D9736F"/>
    <w:rsid w:val="00DA0161"/>
    <w:rsid w:val="00DA4C01"/>
    <w:rsid w:val="00DA7E65"/>
    <w:rsid w:val="00DB4887"/>
    <w:rsid w:val="00DB7D30"/>
    <w:rsid w:val="00DC00B9"/>
    <w:rsid w:val="00DC36D5"/>
    <w:rsid w:val="00DC3A94"/>
    <w:rsid w:val="00DC4956"/>
    <w:rsid w:val="00DC67ED"/>
    <w:rsid w:val="00DC7800"/>
    <w:rsid w:val="00DD5B8F"/>
    <w:rsid w:val="00DE00A4"/>
    <w:rsid w:val="00DE0B6F"/>
    <w:rsid w:val="00DE2D09"/>
    <w:rsid w:val="00DF09A8"/>
    <w:rsid w:val="00DF1601"/>
    <w:rsid w:val="00DF32F7"/>
    <w:rsid w:val="00DF33CD"/>
    <w:rsid w:val="00DF687D"/>
    <w:rsid w:val="00DF7863"/>
    <w:rsid w:val="00E0145C"/>
    <w:rsid w:val="00E0393F"/>
    <w:rsid w:val="00E06AEA"/>
    <w:rsid w:val="00E133D6"/>
    <w:rsid w:val="00E20AF6"/>
    <w:rsid w:val="00E223CD"/>
    <w:rsid w:val="00E24957"/>
    <w:rsid w:val="00E30EB5"/>
    <w:rsid w:val="00E34147"/>
    <w:rsid w:val="00E46CAB"/>
    <w:rsid w:val="00E53425"/>
    <w:rsid w:val="00E57A1E"/>
    <w:rsid w:val="00E6326F"/>
    <w:rsid w:val="00E63702"/>
    <w:rsid w:val="00E64A87"/>
    <w:rsid w:val="00E66E3E"/>
    <w:rsid w:val="00E67433"/>
    <w:rsid w:val="00E73811"/>
    <w:rsid w:val="00E73895"/>
    <w:rsid w:val="00E778BD"/>
    <w:rsid w:val="00E91D33"/>
    <w:rsid w:val="00EA0018"/>
    <w:rsid w:val="00EA3FDA"/>
    <w:rsid w:val="00EA524B"/>
    <w:rsid w:val="00EB150F"/>
    <w:rsid w:val="00EB23E6"/>
    <w:rsid w:val="00EB44BB"/>
    <w:rsid w:val="00EC1B05"/>
    <w:rsid w:val="00EC3B9C"/>
    <w:rsid w:val="00EC5ED0"/>
    <w:rsid w:val="00ED0F79"/>
    <w:rsid w:val="00ED1173"/>
    <w:rsid w:val="00ED199B"/>
    <w:rsid w:val="00ED2EDB"/>
    <w:rsid w:val="00EE4776"/>
    <w:rsid w:val="00EE506D"/>
    <w:rsid w:val="00EF1EF1"/>
    <w:rsid w:val="00EF21E8"/>
    <w:rsid w:val="00EF52DF"/>
    <w:rsid w:val="00F03288"/>
    <w:rsid w:val="00F034E6"/>
    <w:rsid w:val="00F03637"/>
    <w:rsid w:val="00F040C0"/>
    <w:rsid w:val="00F15E0E"/>
    <w:rsid w:val="00F16F26"/>
    <w:rsid w:val="00F23D53"/>
    <w:rsid w:val="00F2654C"/>
    <w:rsid w:val="00F26E4B"/>
    <w:rsid w:val="00F27BF7"/>
    <w:rsid w:val="00F312B1"/>
    <w:rsid w:val="00F331AE"/>
    <w:rsid w:val="00F45198"/>
    <w:rsid w:val="00F45928"/>
    <w:rsid w:val="00F461F3"/>
    <w:rsid w:val="00F4714D"/>
    <w:rsid w:val="00F502F2"/>
    <w:rsid w:val="00F51748"/>
    <w:rsid w:val="00F75C22"/>
    <w:rsid w:val="00F8478C"/>
    <w:rsid w:val="00F92EE1"/>
    <w:rsid w:val="00F94593"/>
    <w:rsid w:val="00F945CA"/>
    <w:rsid w:val="00F96827"/>
    <w:rsid w:val="00FA0043"/>
    <w:rsid w:val="00FA5E0C"/>
    <w:rsid w:val="00FB0BBC"/>
    <w:rsid w:val="00FB3B97"/>
    <w:rsid w:val="00FB7596"/>
    <w:rsid w:val="00FC2ABA"/>
    <w:rsid w:val="00FC5429"/>
    <w:rsid w:val="00FC7C8E"/>
    <w:rsid w:val="00FD1436"/>
    <w:rsid w:val="00FD312E"/>
    <w:rsid w:val="00FD66C8"/>
    <w:rsid w:val="00FF1140"/>
    <w:rsid w:val="00FF1F06"/>
    <w:rsid w:val="00FF2EF5"/>
    <w:rsid w:val="00FF3362"/>
    <w:rsid w:val="00FF6376"/>
    <w:rsid w:val="08E1582E"/>
    <w:rsid w:val="66AA6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lsdException w:name="annotation text"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iCs/>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0"/>
    <w:qFormat/>
    <w:pPr>
      <w:keepNext/>
      <w:jc w:val="center"/>
      <w:outlineLvl w:val="3"/>
    </w:pPr>
    <w:rPr>
      <w:b/>
      <w:sz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ndnote reference"/>
    <w:rPr>
      <w:rFonts w:ascii="Times New Roman" w:eastAsia="宋体" w:hAnsi="Times New Roman" w:cs="Times New Roman"/>
      <w:vertAlign w:val="superscript"/>
    </w:rPr>
  </w:style>
  <w:style w:type="character" w:styleId="a5">
    <w:name w:val="Hyperlink"/>
    <w:rPr>
      <w:rFonts w:ascii="Times New Roman" w:eastAsia="宋体" w:hAnsi="Times New Roman" w:cs="Times New Roman"/>
      <w:color w:val="0000FF"/>
      <w:u w:val="single"/>
    </w:rPr>
  </w:style>
  <w:style w:type="character" w:styleId="a6">
    <w:name w:val="page number"/>
    <w:rPr>
      <w:rFonts w:ascii="Times New Roman" w:eastAsia="宋体" w:hAnsi="Times New Roman" w:cs="Times New Roman"/>
    </w:rPr>
  </w:style>
  <w:style w:type="character" w:styleId="a7">
    <w:name w:val="annotation reference"/>
    <w:uiPriority w:val="99"/>
    <w:rPr>
      <w:rFonts w:ascii="Times New Roman" w:eastAsia="宋体" w:hAnsi="Times New Roman" w:cs="Times New Roman"/>
      <w:sz w:val="21"/>
      <w:szCs w:val="21"/>
    </w:rPr>
  </w:style>
  <w:style w:type="character" w:styleId="a8">
    <w:name w:val="footnote reference"/>
    <w:rPr>
      <w:rFonts w:ascii="Times New Roman" w:eastAsia="宋体" w:hAnsi="Times New Roman" w:cs="Times New Roman"/>
      <w:vertAlign w:val="superscript"/>
    </w:rPr>
  </w:style>
  <w:style w:type="character" w:customStyle="1" w:styleId="ref-vol1">
    <w:name w:val="ref-vol1"/>
    <w:rPr>
      <w:rFonts w:ascii="Times New Roman" w:eastAsia="宋体" w:hAnsi="Times New Roman" w:cs="Times New Roman"/>
      <w:b/>
      <w:bCs/>
    </w:rPr>
  </w:style>
  <w:style w:type="character" w:customStyle="1" w:styleId="linkbar">
    <w:name w:val="linkbar"/>
    <w:rPr>
      <w:rFonts w:ascii="Times New Roman" w:eastAsia="宋体" w:hAnsi="Times New Roman" w:cs="Times New Roman"/>
    </w:rPr>
  </w:style>
  <w:style w:type="character" w:customStyle="1" w:styleId="longtext">
    <w:name w:val="long_text"/>
    <w:rPr>
      <w:rFonts w:ascii="Times New Roman" w:eastAsia="宋体" w:hAnsi="Times New Roman" w:cs="Times New Roman"/>
    </w:rPr>
  </w:style>
  <w:style w:type="character" w:customStyle="1" w:styleId="figpopup-sensitive-area1">
    <w:name w:val="figpopup-sensitive-area1"/>
    <w:rPr>
      <w:rFonts w:ascii="Times New Roman" w:eastAsia="宋体" w:hAnsi="Times New Roman" w:cs="Times New Roman"/>
      <w:u w:val="none"/>
      <w:shd w:val="clear" w:color="auto" w:fill="auto"/>
    </w:rPr>
  </w:style>
  <w:style w:type="character" w:customStyle="1" w:styleId="ref-journal">
    <w:name w:val="ref-journal"/>
    <w:rPr>
      <w:rFonts w:ascii="Times New Roman" w:eastAsia="宋体" w:hAnsi="Times New Roman" w:cs="Times New Roman"/>
    </w:rPr>
  </w:style>
  <w:style w:type="character" w:customStyle="1" w:styleId="highlight1">
    <w:name w:val="highlight1"/>
    <w:rPr>
      <w:rFonts w:ascii="Times New Roman" w:eastAsia="宋体" w:hAnsi="Times New Roman" w:cs="Times New Roman"/>
      <w:shd w:val="clear" w:color="auto" w:fill="FFFF00"/>
    </w:rPr>
  </w:style>
  <w:style w:type="character" w:customStyle="1" w:styleId="citation">
    <w:name w:val="citation"/>
    <w:rPr>
      <w:rFonts w:ascii="Times New Roman" w:eastAsia="宋体" w:hAnsi="Times New Roman" w:cs="Times New Roman"/>
    </w:rPr>
  </w:style>
  <w:style w:type="character" w:customStyle="1" w:styleId="ref-journal1">
    <w:name w:val="ref-journal1"/>
    <w:rPr>
      <w:rFonts w:ascii="Times New Roman" w:eastAsia="宋体" w:hAnsi="Times New Roman" w:cs="Times New Roman"/>
      <w:i/>
      <w:iCs/>
    </w:rPr>
  </w:style>
  <w:style w:type="character" w:customStyle="1" w:styleId="ti">
    <w:name w:val="ti"/>
    <w:rPr>
      <w:rFonts w:ascii="Times New Roman" w:eastAsia="宋体" w:hAnsi="Times New Roman" w:cs="Times New Roman"/>
    </w:rPr>
  </w:style>
  <w:style w:type="character" w:customStyle="1" w:styleId="highlight2">
    <w:name w:val="highlight2"/>
    <w:rPr>
      <w:rFonts w:ascii="Times New Roman" w:eastAsia="宋体" w:hAnsi="Times New Roman" w:cs="Times New Roman"/>
    </w:rPr>
  </w:style>
  <w:style w:type="character" w:customStyle="1" w:styleId="element-citation">
    <w:name w:val="element-citation"/>
    <w:rPr>
      <w:rFonts w:ascii="Times New Roman" w:eastAsia="宋体" w:hAnsi="Times New Roman" w:cs="Times New Roman"/>
    </w:rPr>
  </w:style>
  <w:style w:type="character" w:customStyle="1" w:styleId="highlight">
    <w:name w:val="highlight"/>
    <w:rPr>
      <w:rFonts w:ascii="Times New Roman" w:eastAsia="宋体" w:hAnsi="Times New Roman" w:cs="Times New Roman"/>
    </w:rPr>
  </w:style>
  <w:style w:type="character" w:customStyle="1" w:styleId="ref-vol">
    <w:name w:val="ref-vol"/>
    <w:rPr>
      <w:rFonts w:ascii="Times New Roman" w:eastAsia="宋体" w:hAnsi="Times New Roman" w:cs="Times New Roman"/>
    </w:rPr>
  </w:style>
  <w:style w:type="character" w:customStyle="1" w:styleId="featuredlinkouts">
    <w:name w:val="featured_linkouts"/>
    <w:rPr>
      <w:rFonts w:ascii="Times New Roman" w:eastAsia="宋体" w:hAnsi="Times New Roman" w:cs="Times New Roman"/>
    </w:rPr>
  </w:style>
  <w:style w:type="character" w:customStyle="1" w:styleId="ref-label">
    <w:name w:val="ref-label"/>
    <w:rPr>
      <w:rFonts w:ascii="Times New Roman" w:eastAsia="宋体" w:hAnsi="Times New Roman" w:cs="Times New Roman"/>
    </w:rPr>
  </w:style>
  <w:style w:type="paragraph" w:styleId="10">
    <w:name w:val="toc 1"/>
    <w:basedOn w:val="a"/>
    <w:next w:val="a"/>
    <w:pPr>
      <w:tabs>
        <w:tab w:val="left" w:pos="6507"/>
      </w:tabs>
      <w:spacing w:line="360" w:lineRule="auto"/>
      <w:ind w:hanging="206"/>
      <w:jc w:val="center"/>
    </w:pPr>
    <w:rPr>
      <w:sz w:val="24"/>
    </w:rPr>
  </w:style>
  <w:style w:type="paragraph" w:styleId="a9">
    <w:name w:val="endnote text"/>
    <w:basedOn w:val="a"/>
    <w:pPr>
      <w:snapToGrid w:val="0"/>
      <w:jc w:val="left"/>
    </w:pPr>
  </w:style>
  <w:style w:type="paragraph" w:styleId="aa">
    <w:name w:val="annotation text"/>
    <w:basedOn w:val="a"/>
    <w:link w:val="Char"/>
    <w:uiPriority w:val="99"/>
    <w:qFormat/>
    <w:pPr>
      <w:jc w:val="left"/>
    </w:p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c">
    <w:name w:val="Balloon Text"/>
    <w:basedOn w:val="a"/>
    <w:rPr>
      <w:sz w:val="18"/>
      <w:szCs w:val="18"/>
    </w:rPr>
  </w:style>
  <w:style w:type="paragraph" w:styleId="ad">
    <w:name w:val="Body Text"/>
    <w:basedOn w:val="a"/>
    <w:pPr>
      <w:spacing w:after="120"/>
    </w:pPr>
  </w:style>
  <w:style w:type="paragraph" w:styleId="ae">
    <w:name w:val="annotation subject"/>
    <w:basedOn w:val="aa"/>
    <w:next w:val="aa"/>
    <w:rPr>
      <w:b/>
      <w:bCs/>
    </w:rPr>
  </w:style>
  <w:style w:type="paragraph" w:styleId="af">
    <w:name w:val="footnote text"/>
    <w:basedOn w:val="a"/>
    <w:pPr>
      <w:snapToGrid w:val="0"/>
      <w:jc w:val="left"/>
    </w:pPr>
    <w:rPr>
      <w:sz w:val="18"/>
      <w:szCs w:val="18"/>
    </w:rPr>
  </w:style>
  <w:style w:type="paragraph" w:styleId="af0">
    <w:name w:val="footer"/>
    <w:basedOn w:val="a"/>
    <w:pPr>
      <w:tabs>
        <w:tab w:val="center" w:pos="4153"/>
        <w:tab w:val="right" w:pos="8306"/>
      </w:tabs>
      <w:snapToGrid w:val="0"/>
      <w:jc w:val="left"/>
    </w:pPr>
    <w:rPr>
      <w:sz w:val="18"/>
    </w:rPr>
  </w:style>
  <w:style w:type="paragraph" w:styleId="20">
    <w:name w:val="Body Text Indent 2"/>
    <w:basedOn w:val="a"/>
    <w:pPr>
      <w:spacing w:line="480" w:lineRule="auto"/>
      <w:ind w:firstLine="420"/>
    </w:pPr>
    <w:rPr>
      <w:color w:val="CC99FF"/>
      <w:sz w:val="24"/>
    </w:rPr>
  </w:style>
  <w:style w:type="paragraph" w:styleId="af1">
    <w:name w:val="Body Text Indent"/>
    <w:basedOn w:val="a"/>
    <w:pPr>
      <w:ind w:firstLine="420"/>
    </w:pPr>
    <w:rPr>
      <w:color w:val="008000"/>
      <w:sz w:val="24"/>
    </w:rPr>
  </w:style>
  <w:style w:type="paragraph" w:styleId="af2">
    <w:name w:val="Normal (Web)"/>
    <w:basedOn w:val="a"/>
    <w:pPr>
      <w:widowControl/>
      <w:spacing w:before="100" w:beforeAutospacing="1" w:after="100" w:afterAutospacing="1"/>
      <w:jc w:val="left"/>
    </w:pPr>
    <w:rPr>
      <w:rFonts w:ascii="宋体" w:hAnsi="宋体" w:cs="宋体"/>
      <w:kern w:val="0"/>
      <w:sz w:val="24"/>
    </w:rPr>
  </w:style>
  <w:style w:type="paragraph" w:styleId="a0">
    <w:name w:val="Normal Indent"/>
    <w:basedOn w:val="a"/>
    <w:pPr>
      <w:ind w:firstLineChars="200" w:firstLine="420"/>
    </w:pPr>
  </w:style>
  <w:style w:type="paragraph" w:customStyle="1" w:styleId="p0">
    <w:name w:val="p0"/>
    <w:basedOn w:val="a"/>
    <w:pPr>
      <w:widowControl/>
    </w:pPr>
    <w:rPr>
      <w:rFonts w:ascii="Calibri" w:hAnsi="Calibri" w:cs="宋体"/>
      <w:kern w:val="0"/>
      <w:szCs w:val="21"/>
    </w:rPr>
  </w:style>
  <w:style w:type="paragraph" w:customStyle="1" w:styleId="Default">
    <w:name w:val="Default"/>
    <w:pPr>
      <w:widowControl w:val="0"/>
      <w:autoSpaceDE w:val="0"/>
      <w:autoSpaceDN w:val="0"/>
      <w:adjustRightInd w:val="0"/>
    </w:pPr>
    <w:rPr>
      <w:color w:val="000000"/>
      <w:sz w:val="24"/>
      <w:szCs w:val="24"/>
    </w:rPr>
  </w:style>
  <w:style w:type="paragraph" w:styleId="af3">
    <w:name w:val="Revision"/>
    <w:uiPriority w:val="99"/>
    <w:unhideWhenUsed/>
    <w:rPr>
      <w:kern w:val="2"/>
      <w:sz w:val="21"/>
      <w:szCs w:val="24"/>
    </w:rPr>
  </w:style>
  <w:style w:type="character" w:customStyle="1" w:styleId="Char">
    <w:name w:val="批注文字 Char"/>
    <w:link w:val="aa"/>
    <w:uiPriority w:val="99"/>
    <w:qFormat/>
    <w:rsid w:val="00382BA0"/>
    <w:rPr>
      <w:kern w:val="2"/>
      <w:sz w:val="21"/>
      <w:szCs w:val="24"/>
    </w:rPr>
  </w:style>
  <w:style w:type="character" w:styleId="af4">
    <w:name w:val="Emphasis"/>
    <w:uiPriority w:val="20"/>
    <w:qFormat/>
    <w:rsid w:val="004A102C"/>
    <w:rPr>
      <w:rFonts w:ascii="Times New Roman" w:eastAsia="宋体" w:hAnsi="Times New Roman" w:cs="Times New Roman"/>
      <w:i/>
      <w:iCs/>
    </w:rPr>
  </w:style>
  <w:style w:type="paragraph" w:styleId="af5">
    <w:name w:val="Plain Text"/>
    <w:basedOn w:val="a"/>
    <w:link w:val="Char0"/>
    <w:unhideWhenUsed/>
    <w:rsid w:val="00881294"/>
    <w:pPr>
      <w:widowControl/>
      <w:jc w:val="left"/>
    </w:pPr>
    <w:rPr>
      <w:rFonts w:ascii="Consolas" w:hAnsi="Consolas" w:cs="Consolas"/>
      <w:kern w:val="0"/>
      <w:szCs w:val="21"/>
    </w:rPr>
  </w:style>
  <w:style w:type="character" w:customStyle="1" w:styleId="Char0">
    <w:name w:val="纯文本 Char"/>
    <w:link w:val="af5"/>
    <w:rsid w:val="00881294"/>
    <w:rPr>
      <w:rFonts w:ascii="Consolas" w:eastAsia="宋体"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lsdException w:name="annotation text"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iCs/>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0"/>
    <w:qFormat/>
    <w:pPr>
      <w:keepNext/>
      <w:jc w:val="center"/>
      <w:outlineLvl w:val="3"/>
    </w:pPr>
    <w:rPr>
      <w:b/>
      <w:sz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ndnote reference"/>
    <w:rPr>
      <w:rFonts w:ascii="Times New Roman" w:eastAsia="宋体" w:hAnsi="Times New Roman" w:cs="Times New Roman"/>
      <w:vertAlign w:val="superscript"/>
    </w:rPr>
  </w:style>
  <w:style w:type="character" w:styleId="a5">
    <w:name w:val="Hyperlink"/>
    <w:rPr>
      <w:rFonts w:ascii="Times New Roman" w:eastAsia="宋体" w:hAnsi="Times New Roman" w:cs="Times New Roman"/>
      <w:color w:val="0000FF"/>
      <w:u w:val="single"/>
    </w:rPr>
  </w:style>
  <w:style w:type="character" w:styleId="a6">
    <w:name w:val="page number"/>
    <w:rPr>
      <w:rFonts w:ascii="Times New Roman" w:eastAsia="宋体" w:hAnsi="Times New Roman" w:cs="Times New Roman"/>
    </w:rPr>
  </w:style>
  <w:style w:type="character" w:styleId="a7">
    <w:name w:val="annotation reference"/>
    <w:uiPriority w:val="99"/>
    <w:rPr>
      <w:rFonts w:ascii="Times New Roman" w:eastAsia="宋体" w:hAnsi="Times New Roman" w:cs="Times New Roman"/>
      <w:sz w:val="21"/>
      <w:szCs w:val="21"/>
    </w:rPr>
  </w:style>
  <w:style w:type="character" w:styleId="a8">
    <w:name w:val="footnote reference"/>
    <w:rPr>
      <w:rFonts w:ascii="Times New Roman" w:eastAsia="宋体" w:hAnsi="Times New Roman" w:cs="Times New Roman"/>
      <w:vertAlign w:val="superscript"/>
    </w:rPr>
  </w:style>
  <w:style w:type="character" w:customStyle="1" w:styleId="ref-vol1">
    <w:name w:val="ref-vol1"/>
    <w:rPr>
      <w:rFonts w:ascii="Times New Roman" w:eastAsia="宋体" w:hAnsi="Times New Roman" w:cs="Times New Roman"/>
      <w:b/>
      <w:bCs/>
    </w:rPr>
  </w:style>
  <w:style w:type="character" w:customStyle="1" w:styleId="linkbar">
    <w:name w:val="linkbar"/>
    <w:rPr>
      <w:rFonts w:ascii="Times New Roman" w:eastAsia="宋体" w:hAnsi="Times New Roman" w:cs="Times New Roman"/>
    </w:rPr>
  </w:style>
  <w:style w:type="character" w:customStyle="1" w:styleId="longtext">
    <w:name w:val="long_text"/>
    <w:rPr>
      <w:rFonts w:ascii="Times New Roman" w:eastAsia="宋体" w:hAnsi="Times New Roman" w:cs="Times New Roman"/>
    </w:rPr>
  </w:style>
  <w:style w:type="character" w:customStyle="1" w:styleId="figpopup-sensitive-area1">
    <w:name w:val="figpopup-sensitive-area1"/>
    <w:rPr>
      <w:rFonts w:ascii="Times New Roman" w:eastAsia="宋体" w:hAnsi="Times New Roman" w:cs="Times New Roman"/>
      <w:u w:val="none"/>
      <w:shd w:val="clear" w:color="auto" w:fill="auto"/>
    </w:rPr>
  </w:style>
  <w:style w:type="character" w:customStyle="1" w:styleId="ref-journal">
    <w:name w:val="ref-journal"/>
    <w:rPr>
      <w:rFonts w:ascii="Times New Roman" w:eastAsia="宋体" w:hAnsi="Times New Roman" w:cs="Times New Roman"/>
    </w:rPr>
  </w:style>
  <w:style w:type="character" w:customStyle="1" w:styleId="highlight1">
    <w:name w:val="highlight1"/>
    <w:rPr>
      <w:rFonts w:ascii="Times New Roman" w:eastAsia="宋体" w:hAnsi="Times New Roman" w:cs="Times New Roman"/>
      <w:shd w:val="clear" w:color="auto" w:fill="FFFF00"/>
    </w:rPr>
  </w:style>
  <w:style w:type="character" w:customStyle="1" w:styleId="citation">
    <w:name w:val="citation"/>
    <w:rPr>
      <w:rFonts w:ascii="Times New Roman" w:eastAsia="宋体" w:hAnsi="Times New Roman" w:cs="Times New Roman"/>
    </w:rPr>
  </w:style>
  <w:style w:type="character" w:customStyle="1" w:styleId="ref-journal1">
    <w:name w:val="ref-journal1"/>
    <w:rPr>
      <w:rFonts w:ascii="Times New Roman" w:eastAsia="宋体" w:hAnsi="Times New Roman" w:cs="Times New Roman"/>
      <w:i/>
      <w:iCs/>
    </w:rPr>
  </w:style>
  <w:style w:type="character" w:customStyle="1" w:styleId="ti">
    <w:name w:val="ti"/>
    <w:rPr>
      <w:rFonts w:ascii="Times New Roman" w:eastAsia="宋体" w:hAnsi="Times New Roman" w:cs="Times New Roman"/>
    </w:rPr>
  </w:style>
  <w:style w:type="character" w:customStyle="1" w:styleId="highlight2">
    <w:name w:val="highlight2"/>
    <w:rPr>
      <w:rFonts w:ascii="Times New Roman" w:eastAsia="宋体" w:hAnsi="Times New Roman" w:cs="Times New Roman"/>
    </w:rPr>
  </w:style>
  <w:style w:type="character" w:customStyle="1" w:styleId="element-citation">
    <w:name w:val="element-citation"/>
    <w:rPr>
      <w:rFonts w:ascii="Times New Roman" w:eastAsia="宋体" w:hAnsi="Times New Roman" w:cs="Times New Roman"/>
    </w:rPr>
  </w:style>
  <w:style w:type="character" w:customStyle="1" w:styleId="highlight">
    <w:name w:val="highlight"/>
    <w:rPr>
      <w:rFonts w:ascii="Times New Roman" w:eastAsia="宋体" w:hAnsi="Times New Roman" w:cs="Times New Roman"/>
    </w:rPr>
  </w:style>
  <w:style w:type="character" w:customStyle="1" w:styleId="ref-vol">
    <w:name w:val="ref-vol"/>
    <w:rPr>
      <w:rFonts w:ascii="Times New Roman" w:eastAsia="宋体" w:hAnsi="Times New Roman" w:cs="Times New Roman"/>
    </w:rPr>
  </w:style>
  <w:style w:type="character" w:customStyle="1" w:styleId="featuredlinkouts">
    <w:name w:val="featured_linkouts"/>
    <w:rPr>
      <w:rFonts w:ascii="Times New Roman" w:eastAsia="宋体" w:hAnsi="Times New Roman" w:cs="Times New Roman"/>
    </w:rPr>
  </w:style>
  <w:style w:type="character" w:customStyle="1" w:styleId="ref-label">
    <w:name w:val="ref-label"/>
    <w:rPr>
      <w:rFonts w:ascii="Times New Roman" w:eastAsia="宋体" w:hAnsi="Times New Roman" w:cs="Times New Roman"/>
    </w:rPr>
  </w:style>
  <w:style w:type="paragraph" w:styleId="10">
    <w:name w:val="toc 1"/>
    <w:basedOn w:val="a"/>
    <w:next w:val="a"/>
    <w:pPr>
      <w:tabs>
        <w:tab w:val="left" w:pos="6507"/>
      </w:tabs>
      <w:spacing w:line="360" w:lineRule="auto"/>
      <w:ind w:hanging="206"/>
      <w:jc w:val="center"/>
    </w:pPr>
    <w:rPr>
      <w:sz w:val="24"/>
    </w:rPr>
  </w:style>
  <w:style w:type="paragraph" w:styleId="a9">
    <w:name w:val="endnote text"/>
    <w:basedOn w:val="a"/>
    <w:pPr>
      <w:snapToGrid w:val="0"/>
      <w:jc w:val="left"/>
    </w:pPr>
  </w:style>
  <w:style w:type="paragraph" w:styleId="aa">
    <w:name w:val="annotation text"/>
    <w:basedOn w:val="a"/>
    <w:link w:val="Char"/>
    <w:uiPriority w:val="99"/>
    <w:qFormat/>
    <w:pPr>
      <w:jc w:val="left"/>
    </w:p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c">
    <w:name w:val="Balloon Text"/>
    <w:basedOn w:val="a"/>
    <w:rPr>
      <w:sz w:val="18"/>
      <w:szCs w:val="18"/>
    </w:rPr>
  </w:style>
  <w:style w:type="paragraph" w:styleId="ad">
    <w:name w:val="Body Text"/>
    <w:basedOn w:val="a"/>
    <w:pPr>
      <w:spacing w:after="120"/>
    </w:pPr>
  </w:style>
  <w:style w:type="paragraph" w:styleId="ae">
    <w:name w:val="annotation subject"/>
    <w:basedOn w:val="aa"/>
    <w:next w:val="aa"/>
    <w:rPr>
      <w:b/>
      <w:bCs/>
    </w:rPr>
  </w:style>
  <w:style w:type="paragraph" w:styleId="af">
    <w:name w:val="footnote text"/>
    <w:basedOn w:val="a"/>
    <w:pPr>
      <w:snapToGrid w:val="0"/>
      <w:jc w:val="left"/>
    </w:pPr>
    <w:rPr>
      <w:sz w:val="18"/>
      <w:szCs w:val="18"/>
    </w:rPr>
  </w:style>
  <w:style w:type="paragraph" w:styleId="af0">
    <w:name w:val="footer"/>
    <w:basedOn w:val="a"/>
    <w:pPr>
      <w:tabs>
        <w:tab w:val="center" w:pos="4153"/>
        <w:tab w:val="right" w:pos="8306"/>
      </w:tabs>
      <w:snapToGrid w:val="0"/>
      <w:jc w:val="left"/>
    </w:pPr>
    <w:rPr>
      <w:sz w:val="18"/>
    </w:rPr>
  </w:style>
  <w:style w:type="paragraph" w:styleId="20">
    <w:name w:val="Body Text Indent 2"/>
    <w:basedOn w:val="a"/>
    <w:pPr>
      <w:spacing w:line="480" w:lineRule="auto"/>
      <w:ind w:firstLine="420"/>
    </w:pPr>
    <w:rPr>
      <w:color w:val="CC99FF"/>
      <w:sz w:val="24"/>
    </w:rPr>
  </w:style>
  <w:style w:type="paragraph" w:styleId="af1">
    <w:name w:val="Body Text Indent"/>
    <w:basedOn w:val="a"/>
    <w:pPr>
      <w:ind w:firstLine="420"/>
    </w:pPr>
    <w:rPr>
      <w:color w:val="008000"/>
      <w:sz w:val="24"/>
    </w:rPr>
  </w:style>
  <w:style w:type="paragraph" w:styleId="af2">
    <w:name w:val="Normal (Web)"/>
    <w:basedOn w:val="a"/>
    <w:pPr>
      <w:widowControl/>
      <w:spacing w:before="100" w:beforeAutospacing="1" w:after="100" w:afterAutospacing="1"/>
      <w:jc w:val="left"/>
    </w:pPr>
    <w:rPr>
      <w:rFonts w:ascii="宋体" w:hAnsi="宋体" w:cs="宋体"/>
      <w:kern w:val="0"/>
      <w:sz w:val="24"/>
    </w:rPr>
  </w:style>
  <w:style w:type="paragraph" w:styleId="a0">
    <w:name w:val="Normal Indent"/>
    <w:basedOn w:val="a"/>
    <w:pPr>
      <w:ind w:firstLineChars="200" w:firstLine="420"/>
    </w:pPr>
  </w:style>
  <w:style w:type="paragraph" w:customStyle="1" w:styleId="p0">
    <w:name w:val="p0"/>
    <w:basedOn w:val="a"/>
    <w:pPr>
      <w:widowControl/>
    </w:pPr>
    <w:rPr>
      <w:rFonts w:ascii="Calibri" w:hAnsi="Calibri" w:cs="宋体"/>
      <w:kern w:val="0"/>
      <w:szCs w:val="21"/>
    </w:rPr>
  </w:style>
  <w:style w:type="paragraph" w:customStyle="1" w:styleId="Default">
    <w:name w:val="Default"/>
    <w:pPr>
      <w:widowControl w:val="0"/>
      <w:autoSpaceDE w:val="0"/>
      <w:autoSpaceDN w:val="0"/>
      <w:adjustRightInd w:val="0"/>
    </w:pPr>
    <w:rPr>
      <w:color w:val="000000"/>
      <w:sz w:val="24"/>
      <w:szCs w:val="24"/>
    </w:rPr>
  </w:style>
  <w:style w:type="paragraph" w:styleId="af3">
    <w:name w:val="Revision"/>
    <w:uiPriority w:val="99"/>
    <w:unhideWhenUsed/>
    <w:rPr>
      <w:kern w:val="2"/>
      <w:sz w:val="21"/>
      <w:szCs w:val="24"/>
    </w:rPr>
  </w:style>
  <w:style w:type="character" w:customStyle="1" w:styleId="Char">
    <w:name w:val="批注文字 Char"/>
    <w:link w:val="aa"/>
    <w:uiPriority w:val="99"/>
    <w:qFormat/>
    <w:rsid w:val="00382BA0"/>
    <w:rPr>
      <w:kern w:val="2"/>
      <w:sz w:val="21"/>
      <w:szCs w:val="24"/>
    </w:rPr>
  </w:style>
  <w:style w:type="character" w:styleId="af4">
    <w:name w:val="Emphasis"/>
    <w:uiPriority w:val="20"/>
    <w:qFormat/>
    <w:rsid w:val="004A102C"/>
    <w:rPr>
      <w:rFonts w:ascii="Times New Roman" w:eastAsia="宋体" w:hAnsi="Times New Roman" w:cs="Times New Roman"/>
      <w:i/>
      <w:iCs/>
    </w:rPr>
  </w:style>
  <w:style w:type="paragraph" w:styleId="af5">
    <w:name w:val="Plain Text"/>
    <w:basedOn w:val="a"/>
    <w:link w:val="Char0"/>
    <w:unhideWhenUsed/>
    <w:rsid w:val="00881294"/>
    <w:pPr>
      <w:widowControl/>
      <w:jc w:val="left"/>
    </w:pPr>
    <w:rPr>
      <w:rFonts w:ascii="Consolas" w:hAnsi="Consolas" w:cs="Consolas"/>
      <w:kern w:val="0"/>
      <w:szCs w:val="21"/>
    </w:rPr>
  </w:style>
  <w:style w:type="character" w:customStyle="1" w:styleId="Char0">
    <w:name w:val="纯文本 Char"/>
    <w:link w:val="af5"/>
    <w:rsid w:val="00881294"/>
    <w:rPr>
      <w:rFonts w:ascii="Consolas" w:eastAsia="宋体"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8536">
      <w:bodyDiv w:val="1"/>
      <w:marLeft w:val="0"/>
      <w:marRight w:val="0"/>
      <w:marTop w:val="0"/>
      <w:marBottom w:val="0"/>
      <w:divBdr>
        <w:top w:val="none" w:sz="0" w:space="0" w:color="auto"/>
        <w:left w:val="none" w:sz="0" w:space="0" w:color="auto"/>
        <w:bottom w:val="none" w:sz="0" w:space="0" w:color="auto"/>
        <w:right w:val="none" w:sz="0" w:space="0" w:color="auto"/>
      </w:divBdr>
    </w:div>
    <w:div w:id="169881553">
      <w:bodyDiv w:val="1"/>
      <w:marLeft w:val="0"/>
      <w:marRight w:val="0"/>
      <w:marTop w:val="0"/>
      <w:marBottom w:val="0"/>
      <w:divBdr>
        <w:top w:val="none" w:sz="0" w:space="0" w:color="auto"/>
        <w:left w:val="none" w:sz="0" w:space="0" w:color="auto"/>
        <w:bottom w:val="none" w:sz="0" w:space="0" w:color="auto"/>
        <w:right w:val="none" w:sz="0" w:space="0" w:color="auto"/>
      </w:divBdr>
    </w:div>
    <w:div w:id="299238139">
      <w:bodyDiv w:val="1"/>
      <w:marLeft w:val="0"/>
      <w:marRight w:val="0"/>
      <w:marTop w:val="0"/>
      <w:marBottom w:val="0"/>
      <w:divBdr>
        <w:top w:val="none" w:sz="0" w:space="0" w:color="auto"/>
        <w:left w:val="none" w:sz="0" w:space="0" w:color="auto"/>
        <w:bottom w:val="none" w:sz="0" w:space="0" w:color="auto"/>
        <w:right w:val="none" w:sz="0" w:space="0" w:color="auto"/>
      </w:divBdr>
    </w:div>
    <w:div w:id="19997235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unyu_bch@163.com"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875A6-F5C7-4A48-9C67-91262BB2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6665</Words>
  <Characters>37997</Characters>
  <Application>Microsoft Office Word</Application>
  <DocSecurity>0</DocSecurity>
  <PresentationFormat/>
  <Lines>316</Lines>
  <Paragraphs>89</Paragraphs>
  <ScaleCrop>false</ScaleCrop>
  <HeadingPairs>
    <vt:vector size="2" baseType="variant">
      <vt:variant>
        <vt:lpstr>Title</vt:lpstr>
      </vt:variant>
      <vt:variant>
        <vt:i4>1</vt:i4>
      </vt:variant>
    </vt:vector>
  </HeadingPairs>
  <TitlesOfParts>
    <vt:vector size="1" baseType="lpstr">
      <vt:lpstr>Title:</vt:lpstr>
    </vt:vector>
  </TitlesOfParts>
  <Company>a</Company>
  <LinksUpToDate>false</LinksUpToDate>
  <CharactersWithSpaces>44573</CharactersWithSpaces>
  <SharedDoc>false</SharedDoc>
  <HLinks>
    <vt:vector size="6" baseType="variant">
      <vt:variant>
        <vt:i4>786509</vt:i4>
      </vt:variant>
      <vt:variant>
        <vt:i4>0</vt:i4>
      </vt:variant>
      <vt:variant>
        <vt:i4>0</vt:i4>
      </vt:variant>
      <vt:variant>
        <vt:i4>5</vt:i4>
      </vt:variant>
      <vt:variant>
        <vt:lpwstr>mailto:sunyu_bch@163.com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dc:creator>
  <cp:lastModifiedBy>ma</cp:lastModifiedBy>
  <cp:revision>3</cp:revision>
  <cp:lastPrinted>2013-02-27T18:24:00Z</cp:lastPrinted>
  <dcterms:created xsi:type="dcterms:W3CDTF">2019-04-15T06:52:00Z</dcterms:created>
  <dcterms:modified xsi:type="dcterms:W3CDTF">2019-04-15T09:23:00Z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