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4626" w14:textId="77777777" w:rsidR="00C352C6" w:rsidRPr="00C352C6" w:rsidRDefault="00C352C6" w:rsidP="00371368">
      <w:pPr>
        <w:pStyle w:val="10"/>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23"/>
      <w:bookmarkStart w:id="13" w:name="OLE_LINK373"/>
      <w:r w:rsidRPr="00C352C6">
        <w:rPr>
          <w:rFonts w:ascii="Book Antiqua" w:hAnsi="Book Antiqua" w:cs="Times New Roman"/>
          <w:b/>
          <w:sz w:val="24"/>
          <w:szCs w:val="24"/>
          <w:highlight w:val="white"/>
          <w:lang w:val="en-US" w:eastAsia="zh-CN"/>
        </w:rPr>
        <w:t xml:space="preserve">Name of </w:t>
      </w:r>
      <w:r w:rsidRPr="00C352C6">
        <w:rPr>
          <w:rFonts w:ascii="Book Antiqua" w:hAnsi="Book Antiqua" w:cs="Times New Roman"/>
          <w:b/>
          <w:caps/>
          <w:sz w:val="24"/>
          <w:szCs w:val="24"/>
          <w:highlight w:val="white"/>
          <w:lang w:val="en-US" w:eastAsia="zh-CN"/>
        </w:rPr>
        <w:t>j</w:t>
      </w:r>
      <w:r w:rsidRPr="00C352C6">
        <w:rPr>
          <w:rFonts w:ascii="Book Antiqua" w:hAnsi="Book Antiqua" w:cs="Times New Roman"/>
          <w:b/>
          <w:sz w:val="24"/>
          <w:szCs w:val="24"/>
          <w:highlight w:val="white"/>
          <w:lang w:val="en-US" w:eastAsia="zh-CN"/>
        </w:rPr>
        <w:t xml:space="preserve">ournal: </w:t>
      </w:r>
      <w:bookmarkStart w:id="14" w:name="OLE_LINK718"/>
      <w:bookmarkStart w:id="15" w:name="OLE_LINK719"/>
      <w:r w:rsidRPr="00C352C6">
        <w:rPr>
          <w:rFonts w:ascii="Book Antiqua" w:hAnsi="Book Antiqua" w:cs="Times New Roman"/>
          <w:b/>
          <w:i/>
          <w:sz w:val="24"/>
          <w:szCs w:val="24"/>
          <w:highlight w:val="white"/>
          <w:lang w:val="en-US" w:eastAsia="zh-CN"/>
        </w:rPr>
        <w:t>World Journal of Gastroenterology</w:t>
      </w:r>
      <w:bookmarkEnd w:id="14"/>
      <w:bookmarkEnd w:id="15"/>
    </w:p>
    <w:p w14:paraId="7F30F30C" w14:textId="2CEFFD59" w:rsidR="00C352C6" w:rsidRPr="00C352C6" w:rsidRDefault="00C352C6" w:rsidP="00371368">
      <w:pPr>
        <w:pStyle w:val="10"/>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C352C6">
        <w:rPr>
          <w:rFonts w:ascii="Book Antiqua" w:hAnsi="Book Antiqua" w:cs="Times New Roman"/>
          <w:b/>
          <w:sz w:val="24"/>
          <w:szCs w:val="24"/>
          <w:highlight w:val="white"/>
          <w:lang w:val="en-US" w:eastAsia="zh-CN"/>
        </w:rPr>
        <w:t>Manuscript NO:</w:t>
      </w:r>
      <w:bookmarkEnd w:id="16"/>
      <w:bookmarkEnd w:id="17"/>
      <w:bookmarkEnd w:id="18"/>
      <w:bookmarkEnd w:id="19"/>
      <w:r w:rsidRPr="00C352C6">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45468</w:t>
      </w:r>
    </w:p>
    <w:bookmarkEnd w:id="20"/>
    <w:bookmarkEnd w:id="21"/>
    <w:p w14:paraId="13E90BFF" w14:textId="77777777" w:rsidR="00C352C6" w:rsidRPr="00C352C6" w:rsidRDefault="00C352C6" w:rsidP="00371368">
      <w:pPr>
        <w:adjustRightInd w:val="0"/>
        <w:snapToGrid w:val="0"/>
        <w:spacing w:line="360" w:lineRule="auto"/>
        <w:jc w:val="both"/>
        <w:outlineLvl w:val="0"/>
        <w:rPr>
          <w:rFonts w:ascii="Book Antiqua" w:hAnsi="Book Antiqua"/>
          <w:b/>
          <w:color w:val="000000"/>
          <w:szCs w:val="24"/>
        </w:rPr>
      </w:pPr>
      <w:r w:rsidRPr="00C352C6">
        <w:rPr>
          <w:rFonts w:ascii="Book Antiqua" w:hAnsi="Book Antiqua"/>
          <w:b/>
          <w:color w:val="000000"/>
          <w:szCs w:val="24"/>
          <w:highlight w:val="white"/>
        </w:rPr>
        <w:t xml:space="preserve">Manuscript </w:t>
      </w:r>
      <w:r w:rsidRPr="00C352C6">
        <w:rPr>
          <w:rFonts w:ascii="Book Antiqua" w:hAnsi="Book Antiqua"/>
          <w:b/>
          <w:caps/>
          <w:color w:val="000000"/>
          <w:szCs w:val="24"/>
          <w:highlight w:val="white"/>
        </w:rPr>
        <w:t>t</w:t>
      </w:r>
      <w:r w:rsidRPr="00C352C6">
        <w:rPr>
          <w:rFonts w:ascii="Book Antiqua" w:hAnsi="Book Antiqua"/>
          <w:b/>
          <w:color w:val="000000"/>
          <w:szCs w:val="24"/>
          <w:highlight w:val="white"/>
        </w:rPr>
        <w:t>ype</w:t>
      </w:r>
      <w:r w:rsidRPr="00C352C6">
        <w:rPr>
          <w:rFonts w:ascii="Book Antiqua" w:hAnsi="Book Antiqua"/>
          <w:b/>
          <w:color w:val="000000"/>
          <w:szCs w:val="24"/>
        </w:rPr>
        <w:t>:</w:t>
      </w:r>
      <w:bookmarkEnd w:id="0"/>
      <w:bookmarkEnd w:id="1"/>
      <w:bookmarkEnd w:id="2"/>
      <w:bookmarkEnd w:id="3"/>
      <w:bookmarkEnd w:id="4"/>
      <w:bookmarkEnd w:id="5"/>
      <w:bookmarkEnd w:id="6"/>
      <w:bookmarkEnd w:id="7"/>
      <w:bookmarkEnd w:id="8"/>
      <w:bookmarkEnd w:id="9"/>
      <w:bookmarkEnd w:id="10"/>
      <w:r w:rsidRPr="00C352C6">
        <w:rPr>
          <w:rFonts w:ascii="Book Antiqua" w:hAnsi="Book Antiqua"/>
          <w:b/>
          <w:color w:val="000000"/>
          <w:szCs w:val="24"/>
        </w:rPr>
        <w:t xml:space="preserve"> </w:t>
      </w:r>
      <w:bookmarkStart w:id="22" w:name="OLE_LINK12"/>
      <w:bookmarkStart w:id="23" w:name="OLE_LINK13"/>
      <w:r w:rsidRPr="00C352C6">
        <w:rPr>
          <w:rFonts w:ascii="Book Antiqua" w:hAnsi="Book Antiqua"/>
          <w:b/>
          <w:color w:val="000000"/>
          <w:szCs w:val="24"/>
        </w:rPr>
        <w:t>ORIGINAL ARTICLE</w:t>
      </w:r>
      <w:bookmarkEnd w:id="11"/>
      <w:bookmarkEnd w:id="22"/>
      <w:bookmarkEnd w:id="23"/>
    </w:p>
    <w:p w14:paraId="6E7DFA32" w14:textId="77777777" w:rsidR="00C352C6" w:rsidRPr="00C352C6" w:rsidRDefault="00C352C6" w:rsidP="00C352C6">
      <w:pPr>
        <w:adjustRightInd w:val="0"/>
        <w:snapToGrid w:val="0"/>
        <w:spacing w:line="360" w:lineRule="auto"/>
        <w:jc w:val="both"/>
        <w:rPr>
          <w:rFonts w:ascii="Book Antiqua" w:hAnsi="Book Antiqua"/>
          <w:b/>
          <w:color w:val="000000"/>
          <w:szCs w:val="24"/>
        </w:rPr>
      </w:pPr>
      <w:bookmarkStart w:id="24" w:name="OLE_LINK45"/>
    </w:p>
    <w:bookmarkEnd w:id="24"/>
    <w:p w14:paraId="2BD9CE28" w14:textId="77777777" w:rsidR="00C352C6" w:rsidRPr="00C352C6" w:rsidRDefault="00C352C6" w:rsidP="00371368">
      <w:pPr>
        <w:adjustRightInd w:val="0"/>
        <w:snapToGrid w:val="0"/>
        <w:spacing w:line="360" w:lineRule="auto"/>
        <w:jc w:val="both"/>
        <w:outlineLvl w:val="0"/>
        <w:rPr>
          <w:rFonts w:ascii="Book Antiqua" w:eastAsiaTheme="majorEastAsia" w:hAnsi="Book Antiqua" w:cs="Times New Roman"/>
          <w:b/>
          <w:color w:val="000000" w:themeColor="text1"/>
          <w:szCs w:val="24"/>
        </w:rPr>
      </w:pPr>
      <w:r w:rsidRPr="00C352C6">
        <w:rPr>
          <w:rFonts w:ascii="Book Antiqua" w:eastAsia="YouYuan" w:hAnsi="Book Antiqua"/>
          <w:b/>
          <w:i/>
          <w:szCs w:val="24"/>
        </w:rPr>
        <w:t>Retrospective Study</w:t>
      </w:r>
      <w:bookmarkEnd w:id="12"/>
      <w:bookmarkEnd w:id="13"/>
    </w:p>
    <w:p w14:paraId="4AF631A7" w14:textId="0C080B89" w:rsidR="00DD4B3C" w:rsidRPr="00C352C6"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C352C6">
        <w:rPr>
          <w:rFonts w:ascii="Book Antiqua" w:eastAsiaTheme="majorEastAsia" w:hAnsi="Book Antiqua" w:cs="Times New Roman"/>
          <w:b/>
          <w:color w:val="000000" w:themeColor="text1"/>
          <w:szCs w:val="24"/>
        </w:rPr>
        <w:t xml:space="preserve">Prevalence and risk factors for Barrett’s </w:t>
      </w:r>
      <w:r w:rsidR="00C352C6" w:rsidRPr="00C352C6">
        <w:rPr>
          <w:rFonts w:ascii="Book Antiqua" w:eastAsiaTheme="majorEastAsia" w:hAnsi="Book Antiqua" w:cs="Times New Roman"/>
          <w:b/>
          <w:color w:val="000000" w:themeColor="text1"/>
          <w:szCs w:val="24"/>
        </w:rPr>
        <w:t>es</w:t>
      </w:r>
      <w:r w:rsidRPr="00C352C6">
        <w:rPr>
          <w:rFonts w:ascii="Book Antiqua" w:eastAsiaTheme="majorEastAsia" w:hAnsi="Book Antiqua" w:cs="Times New Roman"/>
          <w:b/>
          <w:color w:val="000000" w:themeColor="text1"/>
          <w:szCs w:val="24"/>
        </w:rPr>
        <w:t>ophagus in Taiwan</w:t>
      </w:r>
    </w:p>
    <w:p w14:paraId="61DBBAD8" w14:textId="77777777" w:rsidR="00DD4B3C" w:rsidRPr="00C352C6" w:rsidRDefault="00DD4B3C" w:rsidP="00C352C6">
      <w:pPr>
        <w:adjustRightInd w:val="0"/>
        <w:snapToGrid w:val="0"/>
        <w:spacing w:line="360" w:lineRule="auto"/>
        <w:jc w:val="both"/>
        <w:rPr>
          <w:rFonts w:ascii="Book Antiqua" w:hAnsi="Book Antiqua" w:cs="Times New Roman"/>
          <w:b/>
          <w:color w:val="000000" w:themeColor="text1"/>
          <w:szCs w:val="24"/>
        </w:rPr>
      </w:pPr>
    </w:p>
    <w:p w14:paraId="459BCEE1" w14:textId="578CA294"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C352C6">
        <w:rPr>
          <w:rFonts w:ascii="Book Antiqua" w:hAnsi="Book Antiqua" w:cs="Times New Roman"/>
          <w:color w:val="000000" w:themeColor="text1"/>
          <w:kern w:val="0"/>
          <w:szCs w:val="24"/>
        </w:rPr>
        <w:t xml:space="preserve">Chen YH </w:t>
      </w:r>
      <w:r w:rsidRPr="00C352C6">
        <w:rPr>
          <w:rFonts w:ascii="Book Antiqua" w:hAnsi="Book Antiqua" w:cs="Times New Roman"/>
          <w:i/>
          <w:color w:val="000000" w:themeColor="text1"/>
          <w:kern w:val="0"/>
          <w:szCs w:val="24"/>
        </w:rPr>
        <w:t>et al</w:t>
      </w:r>
      <w:r w:rsidRPr="00C352C6">
        <w:rPr>
          <w:rFonts w:ascii="Book Antiqua" w:hAnsi="Book Antiqua" w:cs="Times New Roman"/>
          <w:color w:val="000000" w:themeColor="text1"/>
          <w:kern w:val="0"/>
          <w:szCs w:val="24"/>
        </w:rPr>
        <w:t xml:space="preserve">. </w:t>
      </w:r>
      <w:r w:rsidR="00C352C6">
        <w:rPr>
          <w:rFonts w:ascii="Book Antiqua" w:hAnsi="Book Antiqua" w:cs="Times New Roman"/>
          <w:color w:val="000000" w:themeColor="text1"/>
          <w:kern w:val="0"/>
          <w:szCs w:val="24"/>
        </w:rPr>
        <w:t>BE</w:t>
      </w:r>
      <w:r w:rsidRPr="009D2E6D">
        <w:rPr>
          <w:rFonts w:ascii="Book Antiqua" w:hAnsi="Book Antiqua" w:cs="Times New Roman"/>
          <w:color w:val="000000" w:themeColor="text1"/>
          <w:kern w:val="0"/>
          <w:szCs w:val="24"/>
        </w:rPr>
        <w:t>: Prevalence and risk factors</w:t>
      </w:r>
    </w:p>
    <w:p w14:paraId="055C627C" w14:textId="77777777" w:rsidR="00DD4B3C" w:rsidRPr="00C352C6" w:rsidRDefault="00DD4B3C" w:rsidP="009D2E6D">
      <w:pPr>
        <w:adjustRightInd w:val="0"/>
        <w:snapToGrid w:val="0"/>
        <w:spacing w:line="360" w:lineRule="auto"/>
        <w:jc w:val="both"/>
        <w:rPr>
          <w:rFonts w:ascii="Book Antiqua" w:hAnsi="Book Antiqua" w:cs="Times New Roman"/>
          <w:color w:val="000000" w:themeColor="text1"/>
          <w:szCs w:val="24"/>
        </w:rPr>
      </w:pPr>
    </w:p>
    <w:p w14:paraId="443AF33B" w14:textId="77777777" w:rsidR="00DD4B3C" w:rsidRPr="00C352C6" w:rsidRDefault="00DD4B3C" w:rsidP="009D2E6D">
      <w:pPr>
        <w:adjustRightInd w:val="0"/>
        <w:snapToGrid w:val="0"/>
        <w:spacing w:line="360" w:lineRule="auto"/>
        <w:jc w:val="both"/>
        <w:rPr>
          <w:rFonts w:ascii="Book Antiqua" w:hAnsi="Book Antiqua" w:cs="Times New Roman"/>
          <w:color w:val="000000" w:themeColor="text1"/>
          <w:szCs w:val="24"/>
        </w:rPr>
      </w:pPr>
      <w:r w:rsidRPr="00C352C6">
        <w:rPr>
          <w:rFonts w:ascii="Book Antiqua" w:hAnsi="Book Antiqua" w:cs="Times New Roman"/>
          <w:color w:val="000000" w:themeColor="text1"/>
          <w:szCs w:val="24"/>
        </w:rPr>
        <w:t>Yan-Hua Chen, Hsien-Chung Yu, Kung-Hung Lin, Huey-</w:t>
      </w:r>
      <w:proofErr w:type="spellStart"/>
      <w:r w:rsidRPr="00C352C6">
        <w:rPr>
          <w:rFonts w:ascii="Book Antiqua" w:hAnsi="Book Antiqua" w:cs="Times New Roman"/>
          <w:color w:val="000000" w:themeColor="text1"/>
          <w:szCs w:val="24"/>
        </w:rPr>
        <w:t>Shyan</w:t>
      </w:r>
      <w:proofErr w:type="spellEnd"/>
      <w:r w:rsidR="002248D3" w:rsidRPr="00C352C6">
        <w:rPr>
          <w:rFonts w:ascii="Book Antiqua" w:hAnsi="Book Antiqua" w:cs="Times New Roman"/>
          <w:color w:val="000000" w:themeColor="text1"/>
          <w:szCs w:val="24"/>
        </w:rPr>
        <w:t xml:space="preserve"> </w:t>
      </w:r>
      <w:r w:rsidRPr="00C352C6">
        <w:rPr>
          <w:rFonts w:ascii="Book Antiqua" w:hAnsi="Book Antiqua" w:cs="Times New Roman"/>
          <w:color w:val="000000" w:themeColor="text1"/>
          <w:szCs w:val="24"/>
        </w:rPr>
        <w:t>Lin,</w:t>
      </w:r>
      <w:r w:rsidR="00C85A50" w:rsidRPr="00C352C6">
        <w:rPr>
          <w:rFonts w:ascii="Book Antiqua" w:hAnsi="Book Antiqua" w:cs="Times New Roman"/>
          <w:color w:val="000000" w:themeColor="text1"/>
          <w:szCs w:val="24"/>
        </w:rPr>
        <w:t xml:space="preserve"> </w:t>
      </w:r>
      <w:r w:rsidRPr="00C352C6">
        <w:rPr>
          <w:rFonts w:ascii="Book Antiqua" w:hAnsi="Book Antiqua" w:cs="Times New Roman"/>
          <w:color w:val="000000" w:themeColor="text1"/>
          <w:szCs w:val="24"/>
        </w:rPr>
        <w:t>Ping-I Hsu</w:t>
      </w:r>
    </w:p>
    <w:p w14:paraId="2492038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109D93B5" w14:textId="0E50E1E3"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371368">
        <w:rPr>
          <w:rFonts w:ascii="Book Antiqua" w:hAnsi="Book Antiqua" w:cs="Times New Roman"/>
          <w:b/>
          <w:color w:val="000000" w:themeColor="text1"/>
          <w:szCs w:val="24"/>
        </w:rPr>
        <w:t xml:space="preserve">Yan-Hua Chen, Hsien-Chung Yu, Kung-Hung Lin, Ping-I Hsu, </w:t>
      </w:r>
      <w:r w:rsidRPr="009D2E6D">
        <w:rPr>
          <w:rFonts w:ascii="Book Antiqua" w:hAnsi="Book Antiqua" w:cs="Times New Roman"/>
          <w:color w:val="000000" w:themeColor="text1"/>
          <w:szCs w:val="24"/>
        </w:rPr>
        <w:t>Division of Gastroenterology and Hepatology, Department of Internal Medicine, Kaohsiung Veterans Ge</w:t>
      </w:r>
      <w:r w:rsidR="00371368">
        <w:rPr>
          <w:rFonts w:ascii="Book Antiqua" w:hAnsi="Book Antiqua" w:cs="Times New Roman"/>
          <w:color w:val="000000" w:themeColor="text1"/>
          <w:szCs w:val="24"/>
        </w:rPr>
        <w:t xml:space="preserve">neral Hospital, Kaohsiung </w:t>
      </w:r>
      <w:bookmarkStart w:id="25" w:name="OLE_LINK558"/>
      <w:r w:rsidRPr="009D2E6D">
        <w:rPr>
          <w:rFonts w:ascii="Book Antiqua" w:hAnsi="Book Antiqua" w:cs="Times New Roman"/>
          <w:color w:val="000000" w:themeColor="text1"/>
          <w:szCs w:val="24"/>
        </w:rPr>
        <w:t>81362</w:t>
      </w:r>
      <w:bookmarkEnd w:id="25"/>
      <w:r w:rsidRPr="009D2E6D">
        <w:rPr>
          <w:rFonts w:ascii="Book Antiqua" w:hAnsi="Book Antiqua" w:cs="Times New Roman"/>
          <w:color w:val="000000" w:themeColor="text1"/>
          <w:szCs w:val="24"/>
        </w:rPr>
        <w:t>, Taiwan</w:t>
      </w:r>
    </w:p>
    <w:p w14:paraId="08383570"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6F66C361" w14:textId="4C35433E"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Yan-Hua Chen, Hsien-Chung Yu, Kung-Hung Lin, </w:t>
      </w:r>
      <w:r w:rsidRPr="009D2E6D">
        <w:rPr>
          <w:rFonts w:ascii="Book Antiqua" w:hAnsi="Book Antiqua" w:cs="Times New Roman"/>
          <w:color w:val="000000" w:themeColor="text1"/>
          <w:szCs w:val="24"/>
        </w:rPr>
        <w:t>Health Evaluation Center, Kaohsiung Veterans Gene</w:t>
      </w:r>
      <w:r w:rsidR="00371368">
        <w:rPr>
          <w:rFonts w:ascii="Book Antiqua" w:hAnsi="Book Antiqua" w:cs="Times New Roman"/>
          <w:color w:val="000000" w:themeColor="text1"/>
          <w:szCs w:val="24"/>
        </w:rPr>
        <w:t>ral Hospital, Kaohsiung</w:t>
      </w:r>
      <w:r w:rsidRPr="009D2E6D">
        <w:rPr>
          <w:rFonts w:ascii="Book Antiqua" w:hAnsi="Book Antiqua" w:cs="Times New Roman"/>
          <w:color w:val="000000" w:themeColor="text1"/>
          <w:szCs w:val="24"/>
        </w:rPr>
        <w:t xml:space="preserve"> 81362, Taiwan</w:t>
      </w:r>
    </w:p>
    <w:p w14:paraId="54625B32"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5C5169D9" w14:textId="571D8DCD"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b/>
          <w:color w:val="000000" w:themeColor="text1"/>
          <w:szCs w:val="24"/>
        </w:rPr>
        <w:t>Yan-Hua Chen,</w:t>
      </w:r>
      <w:r w:rsidR="00C85A50" w:rsidRPr="009D2E6D">
        <w:rPr>
          <w:rFonts w:ascii="Book Antiqua" w:hAnsi="Book Antiqua" w:cs="Times New Roman"/>
          <w:b/>
          <w:color w:val="000000" w:themeColor="text1"/>
          <w:szCs w:val="24"/>
        </w:rPr>
        <w:t xml:space="preserve"> </w:t>
      </w:r>
      <w:r w:rsidRPr="009D2E6D">
        <w:rPr>
          <w:rFonts w:ascii="Book Antiqua" w:hAnsi="Book Antiqua" w:cs="Times New Roman"/>
          <w:b/>
          <w:color w:val="000000" w:themeColor="text1"/>
          <w:szCs w:val="24"/>
        </w:rPr>
        <w:t>Kung-Hung Lin,</w:t>
      </w:r>
      <w:r w:rsidR="00C85A50" w:rsidRPr="009D2E6D">
        <w:rPr>
          <w:rFonts w:ascii="Book Antiqua" w:hAnsi="Book Antiqua" w:cs="Times New Roman"/>
          <w:b/>
          <w:color w:val="000000" w:themeColor="text1"/>
          <w:szCs w:val="24"/>
        </w:rPr>
        <w:t xml:space="preserve"> </w:t>
      </w:r>
      <w:r w:rsidRPr="009D2E6D">
        <w:rPr>
          <w:rFonts w:ascii="Book Antiqua" w:hAnsi="Book Antiqua"/>
          <w:color w:val="000000" w:themeColor="text1"/>
          <w:kern w:val="0"/>
          <w:szCs w:val="24"/>
        </w:rPr>
        <w:t xml:space="preserve">Department of Nursing, </w:t>
      </w:r>
      <w:proofErr w:type="spellStart"/>
      <w:r w:rsidRPr="009D2E6D">
        <w:rPr>
          <w:rFonts w:ascii="Book Antiqua" w:hAnsi="Book Antiqua"/>
          <w:color w:val="000000" w:themeColor="text1"/>
          <w:kern w:val="0"/>
          <w:szCs w:val="24"/>
        </w:rPr>
        <w:t>Meiho</w:t>
      </w:r>
      <w:proofErr w:type="spellEnd"/>
      <w:r w:rsidRPr="009D2E6D">
        <w:rPr>
          <w:rFonts w:ascii="Book Antiqua" w:hAnsi="Book Antiqua"/>
          <w:color w:val="000000" w:themeColor="text1"/>
          <w:kern w:val="0"/>
          <w:szCs w:val="24"/>
        </w:rPr>
        <w:t xml:space="preserve"> University, </w:t>
      </w:r>
      <w:proofErr w:type="spellStart"/>
      <w:r w:rsidR="00371368" w:rsidRPr="009D2E6D">
        <w:rPr>
          <w:rFonts w:ascii="Book Antiqua" w:eastAsia="Microsoft JhengHei" w:hAnsi="Book Antiqua"/>
          <w:color w:val="000000" w:themeColor="text1"/>
          <w:szCs w:val="24"/>
          <w:shd w:val="clear" w:color="auto" w:fill="FFFFFF"/>
        </w:rPr>
        <w:t>Neipu</w:t>
      </w:r>
      <w:proofErr w:type="spellEnd"/>
      <w:r w:rsidR="00371368" w:rsidRPr="009D2E6D">
        <w:rPr>
          <w:rFonts w:ascii="Book Antiqua" w:eastAsia="Microsoft JhengHei" w:hAnsi="Book Antiqua"/>
          <w:color w:val="000000" w:themeColor="text1"/>
          <w:szCs w:val="24"/>
          <w:shd w:val="clear" w:color="auto" w:fill="FFFFFF"/>
        </w:rPr>
        <w:t xml:space="preserve"> Township</w:t>
      </w:r>
      <w:r w:rsidR="00371368">
        <w:rPr>
          <w:rFonts w:ascii="Book Antiqua" w:eastAsia="Microsoft JhengHei" w:hAnsi="Book Antiqua"/>
          <w:color w:val="000000" w:themeColor="text1"/>
          <w:szCs w:val="24"/>
          <w:shd w:val="clear" w:color="auto" w:fill="FFFFFF"/>
        </w:rPr>
        <w:t>,</w:t>
      </w:r>
      <w:r w:rsidR="00371368" w:rsidRPr="009D2E6D">
        <w:rPr>
          <w:rFonts w:ascii="Book Antiqua" w:eastAsia="Microsoft JhengHei" w:hAnsi="Book Antiqua"/>
          <w:color w:val="000000" w:themeColor="text1"/>
          <w:szCs w:val="24"/>
          <w:shd w:val="clear" w:color="auto" w:fill="FFFFFF"/>
        </w:rPr>
        <w:t xml:space="preserve"> </w:t>
      </w:r>
      <w:r w:rsidRPr="009D2E6D">
        <w:rPr>
          <w:rFonts w:ascii="Book Antiqua" w:eastAsia="Microsoft JhengHei" w:hAnsi="Book Antiqua"/>
          <w:color w:val="000000" w:themeColor="text1"/>
          <w:szCs w:val="24"/>
          <w:shd w:val="clear" w:color="auto" w:fill="FFFFFF"/>
        </w:rPr>
        <w:t>Pingtung County</w:t>
      </w:r>
      <w:r w:rsidR="00371368">
        <w:rPr>
          <w:rFonts w:ascii="Book Antiqua" w:eastAsia="Microsoft JhengHei" w:hAnsi="Book Antiqua"/>
          <w:color w:val="000000" w:themeColor="text1"/>
          <w:szCs w:val="24"/>
          <w:shd w:val="clear" w:color="auto" w:fill="FFFFFF"/>
        </w:rPr>
        <w:t xml:space="preserve"> </w:t>
      </w:r>
      <w:r w:rsidRPr="009D2E6D">
        <w:rPr>
          <w:rFonts w:ascii="Book Antiqua" w:eastAsia="Microsoft JhengHei" w:hAnsi="Book Antiqua"/>
          <w:color w:val="000000" w:themeColor="text1"/>
          <w:szCs w:val="24"/>
          <w:shd w:val="clear" w:color="auto" w:fill="FFFFFF"/>
        </w:rPr>
        <w:t>91202,</w:t>
      </w:r>
      <w:r w:rsidRPr="009D2E6D">
        <w:rPr>
          <w:rFonts w:ascii="Book Antiqua" w:hAnsi="Book Antiqua"/>
          <w:color w:val="000000" w:themeColor="text1"/>
          <w:kern w:val="0"/>
          <w:szCs w:val="24"/>
        </w:rPr>
        <w:t xml:space="preserve"> Taiwan</w:t>
      </w:r>
    </w:p>
    <w:p w14:paraId="3A569E1F"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27FCE182" w14:textId="5D277F40"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Hsien-Chung Yu,</w:t>
      </w:r>
      <w:r w:rsidR="00C85A50" w:rsidRPr="009D2E6D">
        <w:rPr>
          <w:rFonts w:ascii="Book Antiqua" w:hAnsi="Book Antiqua" w:cs="Times New Roman"/>
          <w:b/>
          <w:color w:val="000000" w:themeColor="text1"/>
          <w:szCs w:val="24"/>
        </w:rPr>
        <w:t xml:space="preserve"> </w:t>
      </w:r>
      <w:r w:rsidRPr="009D2E6D">
        <w:rPr>
          <w:rStyle w:val="Emphasis"/>
          <w:rFonts w:ascii="Book Antiqua" w:hAnsi="Book Antiqua"/>
          <w:i w:val="0"/>
          <w:iCs w:val="0"/>
          <w:color w:val="000000" w:themeColor="text1"/>
          <w:szCs w:val="24"/>
          <w:shd w:val="clear" w:color="auto" w:fill="FFFFFF"/>
        </w:rPr>
        <w:t>Institute of Health Care Management,</w:t>
      </w:r>
      <w:r w:rsidR="0030619B" w:rsidRPr="009D2E6D">
        <w:rPr>
          <w:rStyle w:val="Emphasis"/>
          <w:rFonts w:ascii="Book Antiqua" w:hAnsi="Book Antiqua"/>
          <w:i w:val="0"/>
          <w:iCs w:val="0"/>
          <w:color w:val="000000" w:themeColor="text1"/>
          <w:szCs w:val="24"/>
          <w:shd w:val="clear" w:color="auto" w:fill="FFFFFF"/>
        </w:rPr>
        <w:t xml:space="preserve"> </w:t>
      </w:r>
      <w:r w:rsidRPr="009D2E6D">
        <w:rPr>
          <w:rStyle w:val="Emphasis"/>
          <w:rFonts w:ascii="Book Antiqua" w:hAnsi="Book Antiqua"/>
          <w:i w:val="0"/>
          <w:iCs w:val="0"/>
          <w:color w:val="000000" w:themeColor="text1"/>
          <w:szCs w:val="24"/>
          <w:shd w:val="clear" w:color="auto" w:fill="FFFFFF"/>
        </w:rPr>
        <w:t xml:space="preserve">Department of Business Management, National Sun </w:t>
      </w:r>
      <w:proofErr w:type="spellStart"/>
      <w:r w:rsidRPr="009D2E6D">
        <w:rPr>
          <w:rStyle w:val="Emphasis"/>
          <w:rFonts w:ascii="Book Antiqua" w:hAnsi="Book Antiqua"/>
          <w:i w:val="0"/>
          <w:iCs w:val="0"/>
          <w:color w:val="000000" w:themeColor="text1"/>
          <w:szCs w:val="24"/>
          <w:shd w:val="clear" w:color="auto" w:fill="FFFFFF"/>
        </w:rPr>
        <w:t>Yat</w:t>
      </w:r>
      <w:proofErr w:type="spellEnd"/>
      <w:r w:rsidRPr="009D2E6D">
        <w:rPr>
          <w:rStyle w:val="Emphasis"/>
          <w:rFonts w:ascii="Book Antiqua" w:hAnsi="Book Antiqua"/>
          <w:i w:val="0"/>
          <w:iCs w:val="0"/>
          <w:color w:val="000000" w:themeColor="text1"/>
          <w:szCs w:val="24"/>
          <w:shd w:val="clear" w:color="auto" w:fill="FFFFFF"/>
        </w:rPr>
        <w:t>-Sen University, Kaohsiung</w:t>
      </w:r>
      <w:r w:rsidR="00371368">
        <w:rPr>
          <w:rFonts w:ascii="Book Antiqua" w:hAnsi="Book Antiqua" w:cs="Times New Roman"/>
          <w:color w:val="000000" w:themeColor="text1"/>
          <w:szCs w:val="24"/>
        </w:rPr>
        <w:t xml:space="preserve"> </w:t>
      </w:r>
      <w:r w:rsidRPr="009D2E6D">
        <w:rPr>
          <w:rStyle w:val="Emphasis"/>
          <w:rFonts w:ascii="Book Antiqua" w:hAnsi="Book Antiqua"/>
          <w:i w:val="0"/>
          <w:color w:val="000000" w:themeColor="text1"/>
          <w:szCs w:val="24"/>
        </w:rPr>
        <w:t>80424,</w:t>
      </w:r>
      <w:r w:rsidR="0030619B" w:rsidRPr="009D2E6D">
        <w:rPr>
          <w:rStyle w:val="Emphasis"/>
          <w:rFonts w:ascii="Book Antiqua" w:hAnsi="Book Antiqua"/>
          <w:i w:val="0"/>
          <w:color w:val="000000" w:themeColor="text1"/>
          <w:szCs w:val="24"/>
        </w:rPr>
        <w:t xml:space="preserve"> </w:t>
      </w:r>
      <w:r w:rsidRPr="009D2E6D">
        <w:rPr>
          <w:rStyle w:val="Emphasis"/>
          <w:rFonts w:ascii="Book Antiqua" w:hAnsi="Book Antiqua"/>
          <w:i w:val="0"/>
          <w:iCs w:val="0"/>
          <w:color w:val="000000" w:themeColor="text1"/>
          <w:szCs w:val="24"/>
          <w:shd w:val="clear" w:color="auto" w:fill="FFFFFF"/>
        </w:rPr>
        <w:t>Taiwan</w:t>
      </w:r>
    </w:p>
    <w:p w14:paraId="2B63EE5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33BAC58A" w14:textId="4F499271"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Ping-I Hsu,</w:t>
      </w:r>
      <w:r w:rsidRPr="009D2E6D">
        <w:rPr>
          <w:rFonts w:ascii="Book Antiqua" w:hAnsi="Book Antiqua" w:cs="Times New Roman"/>
          <w:color w:val="000000" w:themeColor="text1"/>
          <w:szCs w:val="24"/>
        </w:rPr>
        <w:t xml:space="preserve"> National Yang Ming University, Taipei</w:t>
      </w:r>
      <w:r w:rsidRPr="009D2E6D">
        <w:rPr>
          <w:rFonts w:ascii="Book Antiqua" w:eastAsia="Microsoft JhengHei" w:hAnsi="Book Antiqua"/>
          <w:color w:val="000000" w:themeColor="text1"/>
          <w:szCs w:val="24"/>
          <w:shd w:val="clear" w:color="auto" w:fill="FFFFFF"/>
        </w:rPr>
        <w:t xml:space="preserve"> 12221,</w:t>
      </w:r>
      <w:r w:rsidRPr="009D2E6D">
        <w:rPr>
          <w:rFonts w:ascii="Book Antiqua" w:hAnsi="Book Antiqua" w:cs="Times New Roman"/>
          <w:color w:val="000000" w:themeColor="text1"/>
          <w:szCs w:val="24"/>
        </w:rPr>
        <w:t xml:space="preserve"> Taiwan</w:t>
      </w:r>
    </w:p>
    <w:p w14:paraId="1F38FB61"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68106D36" w14:textId="670BB8C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b/>
          <w:color w:val="000000" w:themeColor="text1"/>
          <w:szCs w:val="24"/>
        </w:rPr>
        <w:t>Huey-</w:t>
      </w:r>
      <w:proofErr w:type="spellStart"/>
      <w:r w:rsidRPr="009D2E6D">
        <w:rPr>
          <w:rFonts w:ascii="Book Antiqua" w:hAnsi="Book Antiqua" w:cs="Times New Roman"/>
          <w:b/>
          <w:color w:val="000000" w:themeColor="text1"/>
          <w:szCs w:val="24"/>
        </w:rPr>
        <w:t>Shyan</w:t>
      </w:r>
      <w:proofErr w:type="spellEnd"/>
      <w:r w:rsidRPr="009D2E6D">
        <w:rPr>
          <w:rFonts w:ascii="Book Antiqua" w:hAnsi="Book Antiqua" w:cs="Times New Roman"/>
          <w:b/>
          <w:color w:val="000000" w:themeColor="text1"/>
          <w:szCs w:val="24"/>
        </w:rPr>
        <w:t xml:space="preserve"> Lin</w:t>
      </w:r>
      <w:r w:rsidRPr="00371368">
        <w:rPr>
          <w:rFonts w:ascii="Book Antiqua" w:hAnsi="Book Antiqua" w:cs="Times New Roman"/>
          <w:b/>
          <w:color w:val="000000" w:themeColor="text1"/>
          <w:szCs w:val="24"/>
        </w:rPr>
        <w:t xml:space="preserve">, </w:t>
      </w:r>
      <w:r w:rsidRPr="009D2E6D">
        <w:rPr>
          <w:rFonts w:ascii="Book Antiqua" w:hAnsi="Book Antiqua" w:cs="Times New Roman"/>
          <w:color w:val="000000" w:themeColor="text1"/>
          <w:szCs w:val="24"/>
        </w:rPr>
        <w:t xml:space="preserve">Department of Health-Business Administration, </w:t>
      </w:r>
      <w:proofErr w:type="spellStart"/>
      <w:r w:rsidRPr="009D2E6D">
        <w:rPr>
          <w:rFonts w:ascii="Book Antiqua" w:hAnsi="Book Antiqua" w:cs="Times New Roman"/>
          <w:color w:val="000000" w:themeColor="text1"/>
          <w:szCs w:val="24"/>
        </w:rPr>
        <w:t>Fooyin</w:t>
      </w:r>
      <w:proofErr w:type="spellEnd"/>
      <w:r w:rsidRPr="009D2E6D">
        <w:rPr>
          <w:rFonts w:ascii="Book Antiqua" w:hAnsi="Book Antiqua" w:cs="Times New Roman"/>
          <w:color w:val="000000" w:themeColor="text1"/>
          <w:szCs w:val="24"/>
        </w:rPr>
        <w:t xml:space="preserve"> University, Kaohsiung 83102, </w:t>
      </w:r>
      <w:r w:rsidR="00371368">
        <w:rPr>
          <w:rFonts w:ascii="Book Antiqua" w:hAnsi="Book Antiqua" w:cs="Times New Roman"/>
          <w:color w:val="000000" w:themeColor="text1"/>
          <w:szCs w:val="24"/>
        </w:rPr>
        <w:t>Taiwan</w:t>
      </w:r>
    </w:p>
    <w:p w14:paraId="593A9A91"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3848805F"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lastRenderedPageBreak/>
        <w:t xml:space="preserve">ORCID number: </w:t>
      </w:r>
      <w:r w:rsidRPr="009D2E6D">
        <w:rPr>
          <w:rFonts w:ascii="Book Antiqua" w:hAnsi="Book Antiqua" w:cs="Times New Roman"/>
          <w:color w:val="000000" w:themeColor="text1"/>
          <w:szCs w:val="24"/>
        </w:rPr>
        <w:t>Yan-Hua Chen (</w:t>
      </w:r>
      <w:r w:rsidRPr="009D2E6D">
        <w:rPr>
          <w:rFonts w:ascii="Book Antiqua" w:hAnsi="Book Antiqua" w:cs="Arial"/>
          <w:color w:val="000000" w:themeColor="text1"/>
          <w:szCs w:val="24"/>
          <w:shd w:val="clear" w:color="auto" w:fill="FFFFFF"/>
        </w:rPr>
        <w:t>0000-0002-5241-258X</w:t>
      </w:r>
      <w:r w:rsidRPr="009D2E6D">
        <w:rPr>
          <w:rFonts w:ascii="Book Antiqua" w:hAnsi="Book Antiqua" w:cs="Times New Roman"/>
          <w:color w:val="000000" w:themeColor="text1"/>
          <w:szCs w:val="24"/>
        </w:rPr>
        <w:t>); Hsien-Chung Yu (0000-0002-0261-0940); Kung-Hung Lin (</w:t>
      </w:r>
      <w:r w:rsidRPr="009D2E6D">
        <w:rPr>
          <w:rFonts w:ascii="Book Antiqua" w:hAnsi="Book Antiqua"/>
          <w:color w:val="000000" w:themeColor="text1"/>
          <w:szCs w:val="24"/>
        </w:rPr>
        <w:t>0000-0003-2020-3756</w:t>
      </w:r>
      <w:r w:rsidRPr="009D2E6D">
        <w:rPr>
          <w:rFonts w:ascii="Book Antiqua" w:hAnsi="Book Antiqua" w:cs="Times New Roman"/>
          <w:color w:val="000000" w:themeColor="text1"/>
          <w:szCs w:val="24"/>
        </w:rPr>
        <w:t>); Huey-</w:t>
      </w:r>
      <w:proofErr w:type="spellStart"/>
      <w:r w:rsidRPr="009D2E6D">
        <w:rPr>
          <w:rFonts w:ascii="Book Antiqua" w:hAnsi="Book Antiqua" w:cs="Times New Roman"/>
          <w:color w:val="000000" w:themeColor="text1"/>
          <w:szCs w:val="24"/>
        </w:rPr>
        <w:t>Shyan</w:t>
      </w:r>
      <w:proofErr w:type="spellEnd"/>
      <w:r w:rsidRPr="009D2E6D">
        <w:rPr>
          <w:rFonts w:ascii="Book Antiqua" w:hAnsi="Book Antiqua" w:cs="Times New Roman"/>
          <w:color w:val="000000" w:themeColor="text1"/>
          <w:szCs w:val="24"/>
        </w:rPr>
        <w:t xml:space="preserve"> Lin (0000-0003-4017-8359);</w:t>
      </w:r>
      <w:r w:rsidR="00C85A50"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Ping-I Hsu (</w:t>
      </w:r>
      <w:r w:rsidRPr="009D2E6D">
        <w:rPr>
          <w:rFonts w:ascii="Book Antiqua" w:hAnsi="Book Antiqua"/>
          <w:color w:val="000000" w:themeColor="text1"/>
          <w:szCs w:val="24"/>
        </w:rPr>
        <w:t>0000-0003-3905-4674</w:t>
      </w:r>
      <w:r w:rsidRPr="009D2E6D">
        <w:rPr>
          <w:rFonts w:ascii="Book Antiqua" w:hAnsi="Book Antiqua" w:cs="Times New Roman"/>
          <w:color w:val="000000" w:themeColor="text1"/>
          <w:szCs w:val="24"/>
        </w:rPr>
        <w:t>).</w:t>
      </w:r>
    </w:p>
    <w:p w14:paraId="5071923B"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3003B37B" w14:textId="1BB2CF8D" w:rsidR="00DD4B3C" w:rsidRPr="009D2E6D" w:rsidRDefault="00DD4B3C" w:rsidP="009D2E6D">
      <w:pPr>
        <w:pStyle w:val="Default"/>
        <w:snapToGrid w:val="0"/>
        <w:spacing w:line="360" w:lineRule="auto"/>
        <w:jc w:val="both"/>
        <w:rPr>
          <w:color w:val="000000" w:themeColor="text1"/>
        </w:rPr>
      </w:pPr>
      <w:r w:rsidRPr="009D2E6D">
        <w:rPr>
          <w:b/>
          <w:color w:val="000000" w:themeColor="text1"/>
        </w:rPr>
        <w:t xml:space="preserve">Author contributions: </w:t>
      </w:r>
      <w:r w:rsidRPr="009D2E6D">
        <w:rPr>
          <w:color w:val="000000" w:themeColor="text1"/>
        </w:rPr>
        <w:t xml:space="preserve">All authors helped to perform the research; </w:t>
      </w:r>
      <w:r w:rsidR="00371368">
        <w:rPr>
          <w:color w:val="000000" w:themeColor="text1"/>
        </w:rPr>
        <w:t>Chen YH, Yu HC</w:t>
      </w:r>
      <w:r w:rsidRPr="009D2E6D">
        <w:rPr>
          <w:color w:val="000000" w:themeColor="text1"/>
        </w:rPr>
        <w:t xml:space="preserve"> and Hsu PI designed the study and drafted the manuscript; Chen YH and Lin KH collected the data; Chen YH and Lin HS performed statistical analyses; Lin HS and Hsu PI revised the manuscript critically for </w:t>
      </w:r>
      <w:r w:rsidR="00371368">
        <w:rPr>
          <w:color w:val="000000" w:themeColor="text1"/>
        </w:rPr>
        <w:t>important intellectual content.</w:t>
      </w:r>
    </w:p>
    <w:p w14:paraId="19094B8E" w14:textId="77777777" w:rsidR="00DD4B3C" w:rsidRPr="009D2E6D" w:rsidRDefault="00DD4B3C" w:rsidP="009D2E6D">
      <w:pPr>
        <w:pStyle w:val="Default"/>
        <w:snapToGrid w:val="0"/>
        <w:spacing w:line="360" w:lineRule="auto"/>
        <w:jc w:val="both"/>
        <w:rPr>
          <w:color w:val="000000" w:themeColor="text1"/>
        </w:rPr>
      </w:pPr>
    </w:p>
    <w:p w14:paraId="14A44035" w14:textId="77777777" w:rsidR="00DD4B3C" w:rsidRPr="009D2E6D" w:rsidRDefault="00DD4B3C" w:rsidP="009D2E6D">
      <w:pPr>
        <w:pStyle w:val="Default"/>
        <w:snapToGrid w:val="0"/>
        <w:spacing w:line="360" w:lineRule="auto"/>
        <w:jc w:val="both"/>
        <w:rPr>
          <w:b/>
          <w:color w:val="000000" w:themeColor="text1"/>
        </w:rPr>
      </w:pPr>
      <w:r w:rsidRPr="009D2E6D">
        <w:rPr>
          <w:b/>
          <w:color w:val="000000" w:themeColor="text1"/>
        </w:rPr>
        <w:t xml:space="preserve">Supported by </w:t>
      </w:r>
      <w:r w:rsidRPr="009D2E6D">
        <w:rPr>
          <w:rFonts w:cs="Times New Roman"/>
          <w:color w:val="000000" w:themeColor="text1"/>
        </w:rPr>
        <w:t xml:space="preserve">the </w:t>
      </w:r>
      <w:r w:rsidRPr="005C7AF3">
        <w:rPr>
          <w:rFonts w:cs="Times New Roman"/>
          <w:caps/>
          <w:color w:val="000000" w:themeColor="text1"/>
        </w:rPr>
        <w:t>i</w:t>
      </w:r>
      <w:r w:rsidRPr="009D2E6D">
        <w:rPr>
          <w:rFonts w:cs="Times New Roman"/>
          <w:color w:val="000000" w:themeColor="text1"/>
        </w:rPr>
        <w:t>n-</w:t>
      </w:r>
      <w:r w:rsidRPr="005C7AF3">
        <w:rPr>
          <w:rFonts w:cs="Times New Roman"/>
          <w:caps/>
          <w:color w:val="000000" w:themeColor="text1"/>
        </w:rPr>
        <w:t>h</w:t>
      </w:r>
      <w:r w:rsidRPr="009D2E6D">
        <w:rPr>
          <w:rFonts w:cs="Times New Roman"/>
          <w:color w:val="000000" w:themeColor="text1"/>
        </w:rPr>
        <w:t xml:space="preserve">ospital </w:t>
      </w:r>
      <w:r w:rsidRPr="00CF4BA2">
        <w:rPr>
          <w:rFonts w:cs="Times New Roman"/>
          <w:caps/>
          <w:color w:val="000000" w:themeColor="text1"/>
        </w:rPr>
        <w:t>r</w:t>
      </w:r>
      <w:r w:rsidRPr="009D2E6D">
        <w:rPr>
          <w:rFonts w:cs="Times New Roman"/>
          <w:color w:val="000000" w:themeColor="text1"/>
        </w:rPr>
        <w:t xml:space="preserve">esearch </w:t>
      </w:r>
      <w:r w:rsidRPr="00CF4BA2">
        <w:rPr>
          <w:rFonts w:cs="Times New Roman"/>
          <w:caps/>
          <w:color w:val="000000" w:themeColor="text1"/>
        </w:rPr>
        <w:t>p</w:t>
      </w:r>
      <w:r w:rsidRPr="009D2E6D">
        <w:rPr>
          <w:rFonts w:cs="Times New Roman"/>
          <w:color w:val="000000" w:themeColor="text1"/>
        </w:rPr>
        <w:t>roject</w:t>
      </w:r>
      <w:r w:rsidRPr="00CF4BA2">
        <w:rPr>
          <w:rFonts w:cs="Times New Roman"/>
          <w:caps/>
          <w:color w:val="000000" w:themeColor="text1"/>
        </w:rPr>
        <w:t xml:space="preserve"> f</w:t>
      </w:r>
      <w:r w:rsidRPr="009D2E6D">
        <w:rPr>
          <w:rFonts w:cs="Times New Roman"/>
          <w:color w:val="000000" w:themeColor="text1"/>
        </w:rPr>
        <w:t>unding of Kaohsiung Veterans General Hospital, No.</w:t>
      </w:r>
      <w:r w:rsidR="00A27AF3" w:rsidRPr="009D2E6D">
        <w:rPr>
          <w:rFonts w:cs="Times New Roman"/>
          <w:color w:val="000000" w:themeColor="text1"/>
        </w:rPr>
        <w:t xml:space="preserve"> </w:t>
      </w:r>
      <w:r w:rsidRPr="009D2E6D">
        <w:rPr>
          <w:rFonts w:cs="Times New Roman"/>
          <w:color w:val="000000" w:themeColor="text1"/>
        </w:rPr>
        <w:t>VGHKS107-040.</w:t>
      </w:r>
    </w:p>
    <w:p w14:paraId="7C3FFEE0" w14:textId="77777777" w:rsidR="00DD4B3C" w:rsidRPr="009D2E6D" w:rsidRDefault="00DD4B3C" w:rsidP="009D2E6D">
      <w:pPr>
        <w:pStyle w:val="Default"/>
        <w:snapToGrid w:val="0"/>
        <w:spacing w:line="360" w:lineRule="auto"/>
        <w:jc w:val="both"/>
        <w:rPr>
          <w:color w:val="000000" w:themeColor="text1"/>
        </w:rPr>
      </w:pPr>
    </w:p>
    <w:p w14:paraId="3E21DE79"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Institutional review board statement: </w:t>
      </w:r>
      <w:r w:rsidRPr="009D2E6D">
        <w:rPr>
          <w:rFonts w:ascii="Book Antiqua" w:hAnsi="Book Antiqua" w:cs="Times New Roman"/>
          <w:color w:val="000000" w:themeColor="text1"/>
          <w:szCs w:val="24"/>
        </w:rPr>
        <w:t>This study was reviewed and</w:t>
      </w:r>
      <w:r w:rsidR="00A27AF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approved by the Institutional Review Board of Kaohsiung Veterans General Hospital (VGHKS17-CT7-07).</w:t>
      </w:r>
    </w:p>
    <w:p w14:paraId="34608E9E"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774C01E3" w14:textId="335CDEF2" w:rsidR="00DD4B3C" w:rsidRPr="009D2E6D" w:rsidRDefault="00DD4B3C" w:rsidP="009D2E6D">
      <w:pPr>
        <w:pStyle w:val="Default"/>
        <w:snapToGrid w:val="0"/>
        <w:spacing w:line="360" w:lineRule="auto"/>
        <w:jc w:val="both"/>
        <w:rPr>
          <w:color w:val="000000" w:themeColor="text1"/>
        </w:rPr>
      </w:pPr>
      <w:r w:rsidRPr="009D2E6D">
        <w:rPr>
          <w:b/>
          <w:bCs/>
          <w:color w:val="000000" w:themeColor="text1"/>
        </w:rPr>
        <w:t xml:space="preserve">Informed consent statement: </w:t>
      </w:r>
      <w:r w:rsidRPr="009D2E6D">
        <w:rPr>
          <w:color w:val="000000" w:themeColor="text1"/>
        </w:rPr>
        <w:t>Patients were not required to give informed consent to the study because the analysis used anonymous clinical data that were obtained after each patient agreed t</w:t>
      </w:r>
      <w:r w:rsidR="00371368">
        <w:rPr>
          <w:color w:val="000000" w:themeColor="text1"/>
        </w:rPr>
        <w:t>o treatment by written consent.</w:t>
      </w:r>
    </w:p>
    <w:p w14:paraId="39F14E09" w14:textId="77777777" w:rsidR="00DD4B3C" w:rsidRPr="009D2E6D" w:rsidRDefault="00DD4B3C" w:rsidP="009D2E6D">
      <w:pPr>
        <w:adjustRightInd w:val="0"/>
        <w:snapToGrid w:val="0"/>
        <w:spacing w:line="360" w:lineRule="auto"/>
        <w:jc w:val="both"/>
        <w:rPr>
          <w:rFonts w:ascii="Book Antiqua" w:hAnsi="Book Antiqua"/>
          <w:b/>
          <w:bCs/>
          <w:color w:val="000000" w:themeColor="text1"/>
          <w:szCs w:val="24"/>
        </w:rPr>
      </w:pPr>
    </w:p>
    <w:p w14:paraId="794B90C0"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b/>
          <w:bCs/>
          <w:color w:val="000000" w:themeColor="text1"/>
          <w:szCs w:val="24"/>
        </w:rPr>
        <w:t xml:space="preserve">Conflict-of-interest statement: </w:t>
      </w:r>
      <w:r w:rsidRPr="009D2E6D">
        <w:rPr>
          <w:rFonts w:ascii="Book Antiqua" w:hAnsi="Book Antiqua"/>
          <w:color w:val="000000" w:themeColor="text1"/>
          <w:szCs w:val="24"/>
        </w:rPr>
        <w:t>All authors declare no conflicts-of-interest related to this article.</w:t>
      </w:r>
    </w:p>
    <w:p w14:paraId="62FCFBA7"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1E4F10B5"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Data sharing statement:</w:t>
      </w:r>
      <w:r w:rsidR="00C85A50" w:rsidRPr="009D2E6D">
        <w:rPr>
          <w:rFonts w:ascii="Book Antiqua" w:hAnsi="Book Antiqua" w:cs="Times New Roman"/>
          <w:b/>
          <w:color w:val="000000" w:themeColor="text1"/>
          <w:szCs w:val="24"/>
        </w:rPr>
        <w:t xml:space="preserve"> </w:t>
      </w:r>
      <w:r w:rsidRPr="009D2E6D">
        <w:rPr>
          <w:rFonts w:ascii="Book Antiqua" w:hAnsi="Book Antiqua" w:cs="Times New Roman"/>
          <w:color w:val="000000" w:themeColor="text1"/>
          <w:szCs w:val="24"/>
        </w:rPr>
        <w:t>No additional data are available.</w:t>
      </w:r>
    </w:p>
    <w:p w14:paraId="5A40BDD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290C32F5" w14:textId="77777777" w:rsidR="00371368" w:rsidRPr="008C37FD" w:rsidRDefault="00371368" w:rsidP="00371368">
      <w:pPr>
        <w:adjustRightInd w:val="0"/>
        <w:snapToGrid w:val="0"/>
        <w:spacing w:line="360" w:lineRule="auto"/>
        <w:jc w:val="both"/>
        <w:rPr>
          <w:rFonts w:ascii="Book Antiqua" w:hAnsi="Book Antiqua"/>
        </w:rPr>
      </w:pPr>
      <w:bookmarkStart w:id="26" w:name="OLE_LINK29"/>
      <w:bookmarkStart w:id="27" w:name="OLE_LINK17"/>
      <w:bookmarkStart w:id="28" w:name="OLE_LINK25"/>
      <w:bookmarkStart w:id="29" w:name="OLE_LINK26"/>
      <w:bookmarkStart w:id="30" w:name="OLE_LINK375"/>
      <w:bookmarkStart w:id="31" w:name="OLE_LINK32"/>
      <w:bookmarkStart w:id="32" w:name="OLE_LINK381"/>
      <w:bookmarkStart w:id="33" w:name="OLE_LINK413"/>
      <w:r w:rsidRPr="008C37FD">
        <w:rPr>
          <w:rFonts w:ascii="Book Antiqua" w:hAnsi="Book Antiqua"/>
          <w:b/>
          <w:color w:val="000000"/>
        </w:rPr>
        <w:t xml:space="preserve">Open-Access: </w:t>
      </w:r>
      <w:r w:rsidRPr="008C37FD">
        <w:rPr>
          <w:rFonts w:ascii="Book Antiqua" w:hAnsi="Book Antiqua"/>
          <w:color w:val="000000"/>
        </w:rPr>
        <w:t xml:space="preserve">This is an </w:t>
      </w:r>
      <w:r w:rsidRPr="008C37FD">
        <w:rPr>
          <w:rFonts w:ascii="Book Antiqua" w:hAnsi="Book Antiqua" w:cs="SimSun"/>
        </w:rPr>
        <w:t xml:space="preserve">open-access article that was </w:t>
      </w:r>
      <w:r w:rsidRPr="008C37FD">
        <w:rPr>
          <w:rFonts w:ascii="Book Antiqua" w:hAnsi="Book Antiqua"/>
        </w:rPr>
        <w:t xml:space="preserve">selected by an in-house editor and fully peer-reviewed by external reviewers. It is </w:t>
      </w:r>
      <w:r w:rsidRPr="008C37FD">
        <w:rPr>
          <w:rFonts w:ascii="Book Antiqua" w:hAnsi="Book Antiqua" w:cs="SimSun"/>
        </w:rPr>
        <w:t xml:space="preserve">distributed in accordance with </w:t>
      </w:r>
      <w:r w:rsidRPr="008C37FD">
        <w:rPr>
          <w:rFonts w:ascii="Book Antiqua" w:hAnsi="Book Antiqua"/>
        </w:rPr>
        <w:t xml:space="preserve">the Creative Commons Attribution Non Commercial (CC BY-NC 4.0) license, which permits others to distribute, remix, adapt, build upon this work non-commercially, and license their derivative works on </w:t>
      </w:r>
      <w:r w:rsidRPr="008C37FD">
        <w:rPr>
          <w:rFonts w:ascii="Book Antiqua" w:hAnsi="Book Antiqua"/>
        </w:rPr>
        <w:lastRenderedPageBreak/>
        <w:t xml:space="preserve">different terms, provided the original work is properly cited and the use is non-commercial. See: </w:t>
      </w:r>
      <w:hyperlink r:id="rId8" w:history="1">
        <w:r w:rsidRPr="008C37FD">
          <w:rPr>
            <w:rStyle w:val="Hyperlink"/>
            <w:rFonts w:ascii="Book Antiqua" w:hAnsi="Book Antiqua"/>
          </w:rPr>
          <w:t>http://creativecommons.org/licenses/by-nc/4.0/</w:t>
        </w:r>
      </w:hyperlink>
    </w:p>
    <w:p w14:paraId="540BB440" w14:textId="77777777" w:rsidR="00371368" w:rsidRPr="008C37FD" w:rsidRDefault="00371368" w:rsidP="00371368">
      <w:pPr>
        <w:adjustRightInd w:val="0"/>
        <w:snapToGrid w:val="0"/>
        <w:spacing w:line="360" w:lineRule="auto"/>
        <w:jc w:val="both"/>
        <w:rPr>
          <w:rFonts w:ascii="Book Antiqua" w:hAnsi="Book Antiqua"/>
        </w:rPr>
      </w:pPr>
    </w:p>
    <w:p w14:paraId="222D0FFA" w14:textId="77777777" w:rsidR="00371368" w:rsidRDefault="00371368" w:rsidP="00371368">
      <w:pPr>
        <w:adjustRightInd w:val="0"/>
        <w:snapToGrid w:val="0"/>
        <w:spacing w:line="360" w:lineRule="auto"/>
        <w:jc w:val="both"/>
        <w:outlineLvl w:val="0"/>
        <w:rPr>
          <w:rFonts w:ascii="Book Antiqua" w:hAnsi="Book Antiqua" w:cs="Times New Roman"/>
          <w:bCs/>
          <w:szCs w:val="24"/>
          <w:highlight w:val="white"/>
        </w:rPr>
      </w:pPr>
      <w:bookmarkStart w:id="34" w:name="OLE_LINK11"/>
      <w:r w:rsidRPr="008C37FD">
        <w:rPr>
          <w:rFonts w:ascii="Book Antiqua" w:hAnsi="Book Antiqua" w:cs="Times New Roman"/>
          <w:b/>
          <w:bCs/>
          <w:szCs w:val="24"/>
          <w:highlight w:val="white"/>
        </w:rPr>
        <w:t>Manuscript source:</w:t>
      </w:r>
      <w:r w:rsidRPr="008C37FD">
        <w:rPr>
          <w:rFonts w:ascii="Book Antiqua" w:hAnsi="Book Antiqua" w:cs="Times New Roman" w:hint="eastAsia"/>
          <w:b/>
          <w:bCs/>
          <w:szCs w:val="24"/>
          <w:highlight w:val="white"/>
          <w:lang w:eastAsia="zh-CN"/>
        </w:rPr>
        <w:t xml:space="preserve"> </w:t>
      </w:r>
      <w:r w:rsidRPr="008C37FD">
        <w:rPr>
          <w:rFonts w:ascii="Book Antiqua" w:hAnsi="Book Antiqua" w:cs="Times New Roman"/>
          <w:bCs/>
          <w:szCs w:val="24"/>
          <w:highlight w:val="white"/>
        </w:rPr>
        <w:t>Unsolicited manuscript</w:t>
      </w:r>
      <w:bookmarkEnd w:id="26"/>
      <w:bookmarkEnd w:id="27"/>
      <w:bookmarkEnd w:id="28"/>
      <w:bookmarkEnd w:id="29"/>
      <w:bookmarkEnd w:id="30"/>
      <w:bookmarkEnd w:id="31"/>
      <w:bookmarkEnd w:id="32"/>
      <w:bookmarkEnd w:id="33"/>
      <w:bookmarkEnd w:id="34"/>
    </w:p>
    <w:p w14:paraId="0AD08917" w14:textId="77777777" w:rsidR="00371368" w:rsidRDefault="00371368" w:rsidP="00371368">
      <w:pPr>
        <w:adjustRightInd w:val="0"/>
        <w:snapToGrid w:val="0"/>
        <w:spacing w:line="360" w:lineRule="auto"/>
        <w:jc w:val="both"/>
        <w:rPr>
          <w:rFonts w:ascii="Book Antiqua" w:hAnsi="Book Antiqua" w:cs="Times New Roman"/>
          <w:bCs/>
          <w:szCs w:val="24"/>
          <w:highlight w:val="white"/>
        </w:rPr>
      </w:pPr>
    </w:p>
    <w:p w14:paraId="796ABBBC" w14:textId="1196F6C0" w:rsidR="00DD4B3C" w:rsidRPr="009D2E6D" w:rsidRDefault="00DD4B3C" w:rsidP="00371368">
      <w:pPr>
        <w:adjustRightInd w:val="0"/>
        <w:snapToGrid w:val="0"/>
        <w:spacing w:line="360" w:lineRule="auto"/>
        <w:jc w:val="both"/>
        <w:rPr>
          <w:rFonts w:ascii="Book Antiqua" w:hAnsi="Book Antiqua"/>
          <w:color w:val="000000" w:themeColor="text1"/>
          <w:szCs w:val="24"/>
        </w:rPr>
      </w:pPr>
      <w:r w:rsidRPr="009D2E6D">
        <w:rPr>
          <w:rFonts w:ascii="Book Antiqua" w:hAnsi="Book Antiqua" w:cs="Times New Roman"/>
          <w:b/>
          <w:color w:val="000000" w:themeColor="text1"/>
          <w:szCs w:val="24"/>
        </w:rPr>
        <w:t>Correspond</w:t>
      </w:r>
      <w:r w:rsidR="00371368">
        <w:rPr>
          <w:rFonts w:ascii="Book Antiqua" w:hAnsi="Book Antiqua" w:cs="Times New Roman"/>
          <w:b/>
          <w:color w:val="000000" w:themeColor="text1"/>
          <w:szCs w:val="24"/>
        </w:rPr>
        <w:t>ing author</w:t>
      </w:r>
      <w:r w:rsidRPr="009D2E6D">
        <w:rPr>
          <w:rFonts w:ascii="Book Antiqua" w:hAnsi="Book Antiqua" w:cs="Times New Roman"/>
          <w:b/>
          <w:color w:val="000000" w:themeColor="text1"/>
          <w:szCs w:val="24"/>
        </w:rPr>
        <w:t xml:space="preserve">: </w:t>
      </w:r>
      <w:r w:rsidRPr="009D2E6D">
        <w:rPr>
          <w:rFonts w:ascii="Book Antiqua" w:hAnsi="Book Antiqua"/>
          <w:b/>
          <w:color w:val="000000" w:themeColor="text1"/>
          <w:szCs w:val="24"/>
        </w:rPr>
        <w:t>Ping-I Hsu, MD, Attending Doctor, Professor,</w:t>
      </w:r>
      <w:r w:rsidRPr="009D2E6D">
        <w:rPr>
          <w:rFonts w:ascii="Book Antiqua" w:hAnsi="Book Antiqua"/>
          <w:color w:val="000000" w:themeColor="text1"/>
          <w:szCs w:val="24"/>
        </w:rPr>
        <w:t xml:space="preserve"> Division of Gastroenterology and Hepatology, Department of Internal Medicine, Kaohsiung Veterans General Hospital, No. 386, Ta-Chung 1</w:t>
      </w:r>
      <w:r w:rsidRPr="00371368">
        <w:rPr>
          <w:rFonts w:ascii="Book Antiqua" w:hAnsi="Book Antiqua"/>
          <w:color w:val="000000" w:themeColor="text1"/>
          <w:szCs w:val="24"/>
          <w:vertAlign w:val="superscript"/>
        </w:rPr>
        <w:t>st</w:t>
      </w:r>
      <w:r w:rsidRPr="009D2E6D">
        <w:rPr>
          <w:rFonts w:ascii="Book Antiqua" w:hAnsi="Book Antiqua"/>
          <w:color w:val="000000" w:themeColor="text1"/>
          <w:szCs w:val="24"/>
        </w:rPr>
        <w:t xml:space="preserve"> Rd,</w:t>
      </w:r>
      <w:r w:rsidR="00903CD0" w:rsidRPr="00903CD0">
        <w:rPr>
          <w:rFonts w:ascii="Book Antiqua" w:hAnsi="Book Antiqua"/>
          <w:color w:val="000000" w:themeColor="text1"/>
          <w:szCs w:val="24"/>
        </w:rPr>
        <w:t xml:space="preserve"> </w:t>
      </w:r>
      <w:proofErr w:type="spellStart"/>
      <w:r w:rsidR="00903CD0" w:rsidRPr="00903CD0">
        <w:rPr>
          <w:rFonts w:ascii="Book Antiqua" w:hAnsi="Book Antiqua"/>
          <w:color w:val="000000" w:themeColor="text1"/>
          <w:szCs w:val="24"/>
        </w:rPr>
        <w:t>Zuoying</w:t>
      </w:r>
      <w:proofErr w:type="spellEnd"/>
      <w:r w:rsidR="00903CD0" w:rsidRPr="00903CD0">
        <w:rPr>
          <w:rFonts w:ascii="Book Antiqua" w:hAnsi="Book Antiqua"/>
          <w:color w:val="000000" w:themeColor="text1"/>
          <w:szCs w:val="24"/>
        </w:rPr>
        <w:t xml:space="preserve"> Dist</w:t>
      </w:r>
      <w:r w:rsidR="00903CD0">
        <w:rPr>
          <w:rFonts w:ascii="Book Antiqua" w:hAnsi="Book Antiqua"/>
          <w:color w:val="000000" w:themeColor="text1"/>
          <w:szCs w:val="24"/>
        </w:rPr>
        <w:t>.,</w:t>
      </w:r>
      <w:r w:rsidRPr="009D2E6D">
        <w:rPr>
          <w:rFonts w:ascii="Book Antiqua" w:hAnsi="Book Antiqua"/>
          <w:color w:val="000000" w:themeColor="text1"/>
          <w:szCs w:val="24"/>
        </w:rPr>
        <w:t xml:space="preserve"> Kaohsiung </w:t>
      </w:r>
      <w:r w:rsidR="00371368" w:rsidRPr="009D2E6D">
        <w:rPr>
          <w:rFonts w:ascii="Book Antiqua" w:hAnsi="Book Antiqua" w:cs="Times New Roman"/>
          <w:color w:val="000000" w:themeColor="text1"/>
          <w:szCs w:val="24"/>
        </w:rPr>
        <w:t>81362</w:t>
      </w:r>
      <w:r w:rsidRPr="009D2E6D">
        <w:rPr>
          <w:rFonts w:ascii="Book Antiqua" w:hAnsi="Book Antiqua"/>
          <w:color w:val="000000" w:themeColor="text1"/>
          <w:szCs w:val="24"/>
        </w:rPr>
        <w:t xml:space="preserve">, Taiwan. </w:t>
      </w:r>
      <w:hyperlink r:id="rId9" w:history="1">
        <w:r w:rsidRPr="00371368">
          <w:rPr>
            <w:rStyle w:val="Hyperlink"/>
            <w:rFonts w:ascii="Book Antiqua" w:hAnsi="Book Antiqua"/>
            <w:color w:val="000000" w:themeColor="text1"/>
            <w:szCs w:val="24"/>
            <w:u w:val="none"/>
          </w:rPr>
          <w:t>pihsu@vghks.gov.tw</w:t>
        </w:r>
      </w:hyperlink>
    </w:p>
    <w:p w14:paraId="0EB10254" w14:textId="24086787" w:rsidR="00DD4B3C" w:rsidRPr="009D2E6D" w:rsidRDefault="00DD4B3C" w:rsidP="009D2E6D">
      <w:pPr>
        <w:adjustRightInd w:val="0"/>
        <w:snapToGrid w:val="0"/>
        <w:spacing w:line="360" w:lineRule="auto"/>
        <w:jc w:val="both"/>
        <w:rPr>
          <w:rFonts w:ascii="Book Antiqua" w:hAnsi="Book Antiqua" w:cstheme="minorHAnsi"/>
          <w:color w:val="000000" w:themeColor="text1"/>
          <w:szCs w:val="24"/>
        </w:rPr>
      </w:pPr>
      <w:r w:rsidRPr="009D2E6D">
        <w:rPr>
          <w:rFonts w:ascii="Book Antiqua" w:hAnsi="Book Antiqua" w:cstheme="minorHAnsi"/>
          <w:b/>
          <w:color w:val="000000" w:themeColor="text1"/>
          <w:szCs w:val="24"/>
        </w:rPr>
        <w:t>Telephone:</w:t>
      </w:r>
      <w:r w:rsidR="00371368">
        <w:rPr>
          <w:rFonts w:ascii="Book Antiqua" w:hAnsi="Book Antiqua" w:cstheme="minorHAnsi"/>
          <w:b/>
          <w:color w:val="000000" w:themeColor="text1"/>
          <w:szCs w:val="24"/>
        </w:rPr>
        <w:t xml:space="preserve"> </w:t>
      </w:r>
      <w:r w:rsidRPr="009D2E6D">
        <w:rPr>
          <w:rFonts w:ascii="Book Antiqua" w:hAnsi="Book Antiqua" w:cstheme="minorHAnsi"/>
          <w:color w:val="000000" w:themeColor="text1"/>
          <w:szCs w:val="24"/>
        </w:rPr>
        <w:t>+886-7-3422121</w:t>
      </w:r>
    </w:p>
    <w:p w14:paraId="37B2FAB3" w14:textId="71785F49"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heme="minorHAnsi"/>
          <w:b/>
          <w:color w:val="000000" w:themeColor="text1"/>
          <w:szCs w:val="24"/>
        </w:rPr>
        <w:t>Fax:</w:t>
      </w:r>
      <w:r w:rsidR="00371368">
        <w:rPr>
          <w:rFonts w:ascii="Book Antiqua" w:hAnsi="Book Antiqua" w:cstheme="minorHAnsi"/>
          <w:b/>
          <w:color w:val="000000" w:themeColor="text1"/>
          <w:szCs w:val="24"/>
        </w:rPr>
        <w:t xml:space="preserve"> </w:t>
      </w:r>
      <w:r w:rsidRPr="009D2E6D">
        <w:rPr>
          <w:rFonts w:ascii="Book Antiqua" w:hAnsi="Book Antiqua" w:cstheme="minorHAnsi"/>
          <w:color w:val="000000" w:themeColor="text1"/>
          <w:szCs w:val="24"/>
        </w:rPr>
        <w:t>+886-7-3468237</w:t>
      </w:r>
    </w:p>
    <w:p w14:paraId="684888FB"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0820C6C2" w14:textId="07611896"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Received: </w:t>
      </w:r>
      <w:r w:rsidR="00371368">
        <w:rPr>
          <w:rFonts w:ascii="Book Antiqua" w:hAnsi="Book Antiqua" w:cs="Times New Roman"/>
          <w:color w:val="000000" w:themeColor="text1"/>
          <w:szCs w:val="24"/>
        </w:rPr>
        <w:t>January 8</w:t>
      </w:r>
      <w:r w:rsidRPr="009D2E6D">
        <w:rPr>
          <w:rFonts w:ascii="Book Antiqua" w:hAnsi="Book Antiqua" w:cs="Times New Roman"/>
          <w:color w:val="000000" w:themeColor="text1"/>
          <w:szCs w:val="24"/>
        </w:rPr>
        <w:t>, 2019</w:t>
      </w:r>
    </w:p>
    <w:p w14:paraId="6C75B8E5" w14:textId="13477980"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Peer-review started:</w:t>
      </w:r>
      <w:r w:rsidR="00CB546C" w:rsidRPr="009D2E6D">
        <w:rPr>
          <w:rFonts w:ascii="Book Antiqua" w:hAnsi="Book Antiqua" w:cs="Times New Roman"/>
          <w:b/>
          <w:color w:val="000000" w:themeColor="text1"/>
          <w:szCs w:val="24"/>
        </w:rPr>
        <w:t xml:space="preserve"> </w:t>
      </w:r>
      <w:r w:rsidR="00371368">
        <w:rPr>
          <w:rFonts w:ascii="Book Antiqua" w:hAnsi="Book Antiqua" w:cs="Times New Roman"/>
          <w:color w:val="000000" w:themeColor="text1"/>
          <w:szCs w:val="24"/>
        </w:rPr>
        <w:t xml:space="preserve">January </w:t>
      </w:r>
      <w:r w:rsidRPr="009D2E6D">
        <w:rPr>
          <w:rFonts w:ascii="Book Antiqua" w:hAnsi="Book Antiqua" w:cs="Times New Roman"/>
          <w:color w:val="000000" w:themeColor="text1"/>
          <w:szCs w:val="24"/>
        </w:rPr>
        <w:t>8, 2019</w:t>
      </w:r>
    </w:p>
    <w:p w14:paraId="7B4320C6"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First decision: </w:t>
      </w:r>
      <w:r w:rsidRPr="009D2E6D">
        <w:rPr>
          <w:rFonts w:ascii="Book Antiqua" w:hAnsi="Book Antiqua" w:cs="Times New Roman"/>
          <w:color w:val="000000" w:themeColor="text1"/>
          <w:szCs w:val="24"/>
        </w:rPr>
        <w:t>January 30, 2019</w:t>
      </w:r>
    </w:p>
    <w:p w14:paraId="594D483C" w14:textId="641F125F"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Revised: </w:t>
      </w:r>
      <w:r w:rsidRPr="009D2E6D">
        <w:rPr>
          <w:rFonts w:ascii="Book Antiqua" w:hAnsi="Book Antiqua" w:cs="Times New Roman"/>
          <w:color w:val="000000" w:themeColor="text1"/>
          <w:szCs w:val="24"/>
        </w:rPr>
        <w:t>February</w:t>
      </w:r>
      <w:r w:rsidR="00D108EC">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24, 2019</w:t>
      </w:r>
      <w:bookmarkStart w:id="35" w:name="_GoBack"/>
      <w:bookmarkEnd w:id="35"/>
    </w:p>
    <w:p w14:paraId="04D90CD4" w14:textId="4E434912"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Accepted:</w:t>
      </w:r>
      <w:r w:rsidR="00A23E4A" w:rsidRPr="00A23E4A">
        <w:t xml:space="preserve"> </w:t>
      </w:r>
      <w:r w:rsidR="00A23E4A" w:rsidRPr="00A23E4A">
        <w:rPr>
          <w:rFonts w:ascii="Book Antiqua" w:hAnsi="Book Antiqua" w:cs="Times New Roman"/>
          <w:color w:val="000000" w:themeColor="text1"/>
          <w:szCs w:val="24"/>
        </w:rPr>
        <w:t>March 1, 2019</w:t>
      </w:r>
    </w:p>
    <w:p w14:paraId="15CDCB21"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Article in press:</w:t>
      </w:r>
    </w:p>
    <w:p w14:paraId="12F6679D"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Published online:</w:t>
      </w:r>
    </w:p>
    <w:p w14:paraId="55D2E0F4" w14:textId="77777777" w:rsidR="00371368" w:rsidRDefault="00371368">
      <w:pPr>
        <w:widowControl/>
        <w:rPr>
          <w:rFonts w:ascii="Book Antiqua" w:hAnsi="Book Antiqua" w:cs="Times New Roman"/>
          <w:b/>
          <w:color w:val="000000" w:themeColor="text1"/>
          <w:szCs w:val="24"/>
        </w:rPr>
      </w:pPr>
      <w:r>
        <w:rPr>
          <w:rFonts w:ascii="Book Antiqua" w:hAnsi="Book Antiqua" w:cs="Times New Roman"/>
          <w:b/>
          <w:color w:val="000000" w:themeColor="text1"/>
          <w:szCs w:val="24"/>
        </w:rPr>
        <w:br w:type="page"/>
      </w:r>
    </w:p>
    <w:p w14:paraId="3C8BD088" w14:textId="31EC6B08"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lastRenderedPageBreak/>
        <w:t>Abstract</w:t>
      </w:r>
    </w:p>
    <w:p w14:paraId="5ACBB990"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BACKGROUND</w:t>
      </w:r>
    </w:p>
    <w:p w14:paraId="549AA01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iCs/>
          <w:color w:val="000000" w:themeColor="text1"/>
          <w:kern w:val="0"/>
          <w:szCs w:val="24"/>
        </w:rPr>
        <w:t>Barrett’s esophagus (BE) is a pre-malignant condition associated with the development of esophageal adenocarcinoma. The prevalence of BE in the general populations of Asian countries ranges from 0.06% to</w:t>
      </w:r>
      <w:r w:rsidR="00235DAD" w:rsidRPr="009D2E6D">
        <w:rPr>
          <w:rFonts w:ascii="Book Antiqua" w:hAnsi="Book Antiqua" w:cs="Times New Roman"/>
          <w:iCs/>
          <w:color w:val="000000" w:themeColor="text1"/>
          <w:kern w:val="0"/>
          <w:szCs w:val="24"/>
        </w:rPr>
        <w:t xml:space="preserve"> </w:t>
      </w:r>
      <w:r w:rsidRPr="009D2E6D">
        <w:rPr>
          <w:rFonts w:ascii="Book Antiqua" w:hAnsi="Book Antiqua" w:cs="Times New Roman"/>
          <w:iCs/>
          <w:color w:val="000000" w:themeColor="text1"/>
          <w:kern w:val="0"/>
          <w:szCs w:val="24"/>
        </w:rPr>
        <w:t>1%.</w:t>
      </w:r>
      <w:r w:rsidR="00430E52" w:rsidRPr="009D2E6D">
        <w:rPr>
          <w:rFonts w:ascii="Book Antiqua" w:hAnsi="Book Antiqua" w:cs="Times New Roman"/>
          <w:iCs/>
          <w:color w:val="000000" w:themeColor="text1"/>
          <w:kern w:val="0"/>
          <w:szCs w:val="24"/>
        </w:rPr>
        <w:t xml:space="preserve"> </w:t>
      </w:r>
      <w:r w:rsidRPr="009D2E6D">
        <w:rPr>
          <w:rFonts w:ascii="Book Antiqua" w:hAnsi="Book Antiqua" w:cs="Times New Roman"/>
          <w:color w:val="000000" w:themeColor="text1"/>
          <w:kern w:val="0"/>
          <w:szCs w:val="24"/>
        </w:rPr>
        <w:t>However, with lifestyle changes in Asian countries and adoption of western customs, the prevalence of BE might have increased.</w:t>
      </w:r>
    </w:p>
    <w:p w14:paraId="4AFC062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41847BFA"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i/>
          <w:color w:val="000000" w:themeColor="text1"/>
          <w:szCs w:val="24"/>
        </w:rPr>
        <w:t>AIM</w:t>
      </w:r>
    </w:p>
    <w:p w14:paraId="12950B0D"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t>To</w:t>
      </w:r>
      <w:r w:rsidR="00430E52"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determine the current prevalence of BE in Taiwan, and to investigate risk factors predicting the presence of BE.</w:t>
      </w:r>
    </w:p>
    <w:p w14:paraId="7AD5B468"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7376ECF1"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METHODS</w:t>
      </w:r>
    </w:p>
    <w:p w14:paraId="346CE0CC"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This retrospective study was conducted at</w:t>
      </w:r>
      <w:r w:rsidR="00430E52"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the </w:t>
      </w:r>
      <w:r w:rsidRPr="009D2E6D">
        <w:rPr>
          <w:rFonts w:ascii="Book Antiqua" w:hAnsi="Book Antiqua" w:cs="Times New Roman"/>
          <w:color w:val="000000" w:themeColor="text1"/>
          <w:szCs w:val="24"/>
        </w:rPr>
        <w:t>Health Evaluation Center of Kaohsiung Veterans General Hospital in Taiwan.</w:t>
      </w:r>
      <w:r w:rsidR="00430E52"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 xml:space="preserve">Between January 2015 and December 2015, 3385 subjects undergoing routine esophagogastroduodenoscopy examinations as part of a health check-up at the Health Evaluation Center were included. Patient characteristics and endoscopic findings were carefully reviewed. Lesions with endoscopic findings consistent with BE awaiting histological evaluation were judged as </w:t>
      </w:r>
      <w:r w:rsidRPr="009D2E6D">
        <w:rPr>
          <w:rFonts w:ascii="Book Antiqua" w:hAnsi="Book Antiqua" w:cs="Times New Roman"/>
          <w:color w:val="000000" w:themeColor="text1"/>
          <w:szCs w:val="24"/>
        </w:rPr>
        <w:t>endoscopically suspected esophageal metaplasia</w:t>
      </w:r>
      <w:r w:rsidR="00430E52"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 xml:space="preserve">(ESEM). BE was defined based on extension of the columnar epithelium </w:t>
      </w:r>
      <w:r w:rsidRPr="009D2E6D">
        <w:rPr>
          <w:rFonts w:ascii="Book Antiqua" w:hAnsi="Book Antiqua" w:cs="Times New Roman"/>
          <w:color w:val="000000" w:themeColor="text1"/>
          <w:szCs w:val="24"/>
        </w:rPr>
        <w:t xml:space="preserve">≥ 1cm above the gastroesophageal junction and </w:t>
      </w:r>
      <w:r w:rsidRPr="009D2E6D">
        <w:rPr>
          <w:rFonts w:ascii="Book Antiqua" w:hAnsi="Book Antiqua" w:cs="Times New Roman"/>
          <w:color w:val="000000" w:themeColor="text1"/>
          <w:kern w:val="0"/>
          <w:szCs w:val="24"/>
        </w:rPr>
        <w:t>was confirmed based on the presence of specialized intestinal metaplasia (</w:t>
      </w:r>
      <w:r w:rsidRPr="009D2E6D">
        <w:rPr>
          <w:rFonts w:ascii="Book Antiqua" w:hAnsi="Book Antiqua" w:cs="Times New Roman"/>
          <w:color w:val="000000" w:themeColor="text1"/>
          <w:szCs w:val="24"/>
        </w:rPr>
        <w:t>IM)</w:t>
      </w:r>
      <w:r w:rsidRPr="009D2E6D">
        <w:rPr>
          <w:rFonts w:ascii="Book Antiqua" w:hAnsi="Book Antiqua" w:cs="Times New Roman"/>
          <w:color w:val="000000" w:themeColor="text1"/>
          <w:kern w:val="0"/>
          <w:szCs w:val="24"/>
        </w:rPr>
        <w:t xml:space="preserve"> in the metaplastic esophageal epithelium. Clinical factors of subjects with BE and subjects without BE were compared, and the risk factors predicting BE were analyzed.</w:t>
      </w:r>
    </w:p>
    <w:p w14:paraId="4FF8C6B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15EBC401"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RESULTS</w:t>
      </w:r>
    </w:p>
    <w:p w14:paraId="10CB2153" w14:textId="3FE572F8"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t xml:space="preserve">A total of 3385 subjects </w:t>
      </w:r>
      <w:r w:rsidRPr="009D2E6D">
        <w:rPr>
          <w:rFonts w:ascii="Book Antiqua" w:hAnsi="Book Antiqua" w:cs="Times New Roman"/>
          <w:color w:val="000000" w:themeColor="text1"/>
          <w:kern w:val="0"/>
          <w:szCs w:val="24"/>
        </w:rPr>
        <w:t>(mean age, 51.29 ± 11.42 years; 57.1% male)</w:t>
      </w:r>
      <w:r w:rsidR="00430E52"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szCs w:val="24"/>
        </w:rPr>
        <w:t xml:space="preserve">were included in the study, and 89 among them were confirmed to have IM and presence of goblet cells </w:t>
      </w:r>
      <w:r w:rsidRPr="00371368">
        <w:rPr>
          <w:rFonts w:ascii="Book Antiqua" w:hAnsi="Book Antiqua" w:cs="Times New Roman"/>
          <w:i/>
          <w:color w:val="000000" w:themeColor="text1"/>
          <w:szCs w:val="24"/>
        </w:rPr>
        <w:t>via</w:t>
      </w:r>
      <w:r w:rsidRPr="009D2E6D">
        <w:rPr>
          <w:rFonts w:ascii="Book Antiqua" w:hAnsi="Book Antiqua" w:cs="Times New Roman"/>
          <w:color w:val="000000" w:themeColor="text1"/>
          <w:szCs w:val="24"/>
        </w:rPr>
        <w:t xml:space="preserve"> biopsy examination. The majority of these </w:t>
      </w:r>
      <w:r w:rsidRPr="009D2E6D">
        <w:rPr>
          <w:rFonts w:ascii="Book Antiqua" w:hAnsi="Book Antiqua" w:cs="Times New Roman"/>
          <w:color w:val="000000" w:themeColor="text1"/>
          <w:szCs w:val="24"/>
        </w:rPr>
        <w:lastRenderedPageBreak/>
        <w:t>individuals were classified as short segment BE (</w:t>
      </w:r>
      <w:r w:rsidRPr="009D2E6D">
        <w:rPr>
          <w:rFonts w:ascii="Book Antiqua" w:hAnsi="Book Antiqua" w:cs="Times New Roman"/>
          <w:i/>
          <w:color w:val="000000" w:themeColor="text1"/>
          <w:szCs w:val="24"/>
        </w:rPr>
        <w:t>n</w:t>
      </w:r>
      <w:r w:rsidR="00371368">
        <w:rPr>
          <w:rFonts w:ascii="Book Antiqua" w:hAnsi="Book Antiqua" w:cs="Times New Roman"/>
          <w:i/>
          <w:color w:val="000000" w:themeColor="text1"/>
          <w:szCs w:val="24"/>
        </w:rPr>
        <w:t xml:space="preserve"> </w:t>
      </w:r>
      <w:r w:rsidRPr="009D2E6D">
        <w:rPr>
          <w:rFonts w:ascii="Book Antiqua" w:hAnsi="Book Antiqua" w:cs="Times New Roman"/>
          <w:color w:val="000000" w:themeColor="text1"/>
          <w:szCs w:val="24"/>
        </w:rPr>
        <w:t>=</w:t>
      </w:r>
      <w:r w:rsidR="00371368">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 xml:space="preserve">85). The overall prevalence of BE was 2.6%. Multivariate analysis disclosed that old age </w:t>
      </w:r>
      <w:r w:rsidR="00371368">
        <w:rPr>
          <w:rFonts w:ascii="Book Antiqua" w:hAnsi="Book Antiqua" w:cs="Times New Roman"/>
          <w:color w:val="000000" w:themeColor="text1"/>
          <w:szCs w:val="24"/>
        </w:rPr>
        <w:t>[odds ratio (</w:t>
      </w:r>
      <w:r w:rsidRPr="009D2E6D">
        <w:rPr>
          <w:rFonts w:ascii="Book Antiqua" w:hAnsi="Book Antiqua" w:cs="Times New Roman"/>
          <w:color w:val="000000" w:themeColor="text1"/>
          <w:szCs w:val="24"/>
        </w:rPr>
        <w:t>OR</w:t>
      </w:r>
      <w:r w:rsidR="00371368">
        <w:rPr>
          <w:rFonts w:ascii="Book Antiqua" w:hAnsi="Book Antiqua" w:cs="Times New Roman"/>
          <w:color w:val="000000" w:themeColor="text1"/>
          <w:szCs w:val="24"/>
        </w:rPr>
        <w:t>) =</w:t>
      </w:r>
      <w:r w:rsidRPr="009D2E6D">
        <w:rPr>
          <w:rFonts w:ascii="Book Antiqua" w:hAnsi="Book Antiqua" w:cs="Times New Roman"/>
          <w:color w:val="000000" w:themeColor="text1"/>
          <w:szCs w:val="24"/>
        </w:rPr>
        <w:t xml:space="preserve"> 1.033; 95%</w:t>
      </w:r>
      <w:r w:rsidR="00371368">
        <w:rPr>
          <w:rFonts w:ascii="Book Antiqua" w:hAnsi="Book Antiqua" w:cs="Times New Roman"/>
          <w:color w:val="000000" w:themeColor="text1"/>
          <w:szCs w:val="24"/>
        </w:rPr>
        <w:t xml:space="preserve"> confidence interval (</w:t>
      </w:r>
      <w:r w:rsidRPr="009D2E6D">
        <w:rPr>
          <w:rFonts w:ascii="Book Antiqua" w:hAnsi="Book Antiqua" w:cs="Times New Roman"/>
          <w:color w:val="000000" w:themeColor="text1"/>
          <w:szCs w:val="24"/>
        </w:rPr>
        <w:t>CI</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 1.012</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1.055;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0.002</w:t>
      </w:r>
      <w:r w:rsidR="00371368">
        <w:rPr>
          <w:rFonts w:ascii="Book Antiqua" w:hAnsi="Book Antiqua" w:cs="Times New Roman"/>
          <w:color w:val="000000" w:themeColor="text1"/>
          <w:szCs w:val="24"/>
        </w:rPr>
        <w:t>], male gender (OR = 2.106; 95%CI:</w:t>
      </w:r>
      <w:r w:rsidRPr="009D2E6D">
        <w:rPr>
          <w:rFonts w:ascii="Book Antiqua" w:hAnsi="Book Antiqua" w:cs="Times New Roman"/>
          <w:color w:val="000000" w:themeColor="text1"/>
          <w:szCs w:val="24"/>
        </w:rPr>
        <w:t xml:space="preserve"> 1.145</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3.872;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0.017), ingestion of tea </w:t>
      </w:r>
      <w:r w:rsidR="00A43E16">
        <w:rPr>
          <w:rFonts w:ascii="Book Antiqua" w:hAnsi="Book Antiqua" w:cs="Times New Roman"/>
          <w:color w:val="000000" w:themeColor="text1"/>
          <w:szCs w:val="24"/>
        </w:rPr>
        <w:t>(OR =</w:t>
      </w:r>
      <w:r w:rsidRPr="009D2E6D">
        <w:rPr>
          <w:rFonts w:ascii="Book Antiqua" w:hAnsi="Book Antiqua" w:cs="Times New Roman"/>
          <w:color w:val="000000" w:themeColor="text1"/>
          <w:szCs w:val="24"/>
        </w:rPr>
        <w:t xml:space="preserve"> 1.695; 95%</w:t>
      </w:r>
      <w:r w:rsidR="00A43E16">
        <w:rPr>
          <w:rFonts w:ascii="Book Antiqua" w:hAnsi="Book Antiqua" w:cs="Times New Roman"/>
          <w:color w:val="000000" w:themeColor="text1"/>
          <w:szCs w:val="24"/>
        </w:rPr>
        <w:t>CI:</w:t>
      </w:r>
      <w:r w:rsidRPr="009D2E6D">
        <w:rPr>
          <w:rFonts w:ascii="Book Antiqua" w:hAnsi="Book Antiqua" w:cs="Times New Roman"/>
          <w:color w:val="000000" w:themeColor="text1"/>
          <w:szCs w:val="24"/>
        </w:rPr>
        <w:t xml:space="preserve"> 1.043</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2.754;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0.033), and presence of hiatal hernia </w:t>
      </w:r>
      <w:r w:rsidR="00A43E16">
        <w:rPr>
          <w:rFonts w:ascii="Book Antiqua" w:hAnsi="Book Antiqua" w:cs="Times New Roman"/>
          <w:color w:val="000000" w:themeColor="text1"/>
          <w:szCs w:val="24"/>
        </w:rPr>
        <w:t>(OR =</w:t>
      </w:r>
      <w:r w:rsidRPr="009D2E6D">
        <w:rPr>
          <w:rFonts w:ascii="Book Antiqua" w:hAnsi="Book Antiqua" w:cs="Times New Roman"/>
          <w:color w:val="000000" w:themeColor="text1"/>
          <w:szCs w:val="24"/>
        </w:rPr>
        <w:t xml:space="preserve"> 3.037; 95%</w:t>
      </w:r>
      <w:r w:rsidR="00A43E16">
        <w:rPr>
          <w:rFonts w:ascii="Book Antiqua" w:hAnsi="Book Antiqua" w:cs="Times New Roman"/>
          <w:color w:val="000000" w:themeColor="text1"/>
          <w:szCs w:val="24"/>
        </w:rPr>
        <w:t>CI:</w:t>
      </w:r>
      <w:r w:rsidRPr="009D2E6D">
        <w:rPr>
          <w:rFonts w:ascii="Book Antiqua" w:hAnsi="Book Antiqua" w:cs="Times New Roman"/>
          <w:color w:val="000000" w:themeColor="text1"/>
          <w:szCs w:val="24"/>
        </w:rPr>
        <w:t xml:space="preserve"> 1.765</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5.225; </w:t>
      </w:r>
      <w:r w:rsidRPr="009D2E6D">
        <w:rPr>
          <w:rFonts w:ascii="Book Antiqua" w:hAnsi="Book Antiqua" w:cs="Times New Roman"/>
          <w:i/>
          <w:color w:val="000000" w:themeColor="text1"/>
          <w:szCs w:val="24"/>
        </w:rPr>
        <w:t>P</w:t>
      </w:r>
      <w:r w:rsidR="00A43E16">
        <w:rPr>
          <w:rFonts w:ascii="Book Antiqua" w:hAnsi="Book Antiqua" w:cs="Times New Roman"/>
          <w:i/>
          <w:color w:val="000000" w:themeColor="text1"/>
          <w:szCs w:val="24"/>
        </w:rPr>
        <w:t xml:space="preserve"> </w:t>
      </w:r>
      <w:r w:rsidRPr="009D2E6D">
        <w:rPr>
          <w:rFonts w:ascii="Book Antiqua" w:hAnsi="Book Antiqua" w:cs="Times New Roman"/>
          <w:color w:val="000000" w:themeColor="text1"/>
          <w:szCs w:val="24"/>
        </w:rPr>
        <w:t>&lt; 0.001) were significant risk factors predicting BE. The independent risk factor for the presence of IM in ESEM lesions was old age alone</w:t>
      </w:r>
      <w:r w:rsidR="00430E52" w:rsidRPr="009D2E6D">
        <w:rPr>
          <w:rFonts w:ascii="Book Antiqua" w:hAnsi="Book Antiqua" w:cs="Times New Roman"/>
          <w:color w:val="000000" w:themeColor="text1"/>
          <w:szCs w:val="24"/>
        </w:rPr>
        <w:t xml:space="preserve"> </w:t>
      </w:r>
      <w:r w:rsidR="00A43E16">
        <w:rPr>
          <w:rFonts w:ascii="Book Antiqua" w:hAnsi="Book Antiqua" w:cs="Times New Roman"/>
          <w:color w:val="000000" w:themeColor="text1"/>
          <w:szCs w:val="24"/>
        </w:rPr>
        <w:t>(OR =</w:t>
      </w:r>
      <w:r w:rsidRPr="009D2E6D">
        <w:rPr>
          <w:rFonts w:ascii="Book Antiqua" w:hAnsi="Book Antiqua" w:cs="Times New Roman"/>
          <w:color w:val="000000" w:themeColor="text1"/>
          <w:szCs w:val="24"/>
        </w:rPr>
        <w:t xml:space="preserve"> 1.029; 95%</w:t>
      </w:r>
      <w:r w:rsidR="00A43E16">
        <w:rPr>
          <w:rFonts w:ascii="Book Antiqua" w:hAnsi="Book Antiqua" w:cs="Times New Roman"/>
          <w:color w:val="000000" w:themeColor="text1"/>
          <w:szCs w:val="24"/>
        </w:rPr>
        <w:t>CI:</w:t>
      </w:r>
      <w:r w:rsidRPr="009D2E6D">
        <w:rPr>
          <w:rFonts w:ascii="Book Antiqua" w:hAnsi="Book Antiqua" w:cs="Times New Roman"/>
          <w:color w:val="000000" w:themeColor="text1"/>
          <w:szCs w:val="24"/>
        </w:rPr>
        <w:t xml:space="preserve"> 1.006</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1.053;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0.014).</w:t>
      </w:r>
    </w:p>
    <w:p w14:paraId="5BCA2127"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7466B141"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CONCLUSION</w:t>
      </w:r>
    </w:p>
    <w:p w14:paraId="22AAED85"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t>Current prevalence of BE among the general population in Taiwan is 2.6%. Old age, male gender, ingestion of tea and hiatal hernia are significant risk factors for BE.</w:t>
      </w:r>
    </w:p>
    <w:p w14:paraId="1266D82B"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0E7F9CBA" w14:textId="60786790"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b/>
          <w:color w:val="000000" w:themeColor="text1"/>
          <w:szCs w:val="24"/>
        </w:rPr>
        <w:t>Key</w:t>
      </w:r>
      <w:r w:rsidR="00A43E16">
        <w:rPr>
          <w:rFonts w:ascii="Book Antiqua" w:hAnsi="Book Antiqua" w:cs="Times New Roman"/>
          <w:b/>
          <w:color w:val="000000" w:themeColor="text1"/>
          <w:szCs w:val="24"/>
        </w:rPr>
        <w:t xml:space="preserve"> </w:t>
      </w:r>
      <w:r w:rsidRPr="009D2E6D">
        <w:rPr>
          <w:rFonts w:ascii="Book Antiqua" w:hAnsi="Book Antiqua" w:cs="Times New Roman"/>
          <w:b/>
          <w:color w:val="000000" w:themeColor="text1"/>
          <w:szCs w:val="24"/>
        </w:rPr>
        <w:t>words:</w:t>
      </w:r>
      <w:r w:rsidR="00566A43" w:rsidRPr="009D2E6D">
        <w:rPr>
          <w:rFonts w:ascii="Book Antiqua" w:hAnsi="Book Antiqua" w:cs="Times New Roman"/>
          <w:b/>
          <w:color w:val="000000" w:themeColor="text1"/>
          <w:szCs w:val="24"/>
        </w:rPr>
        <w:t xml:space="preserve"> </w:t>
      </w:r>
      <w:bookmarkStart w:id="36" w:name="OLE_LINK573"/>
      <w:r w:rsidRPr="009D2E6D">
        <w:rPr>
          <w:rFonts w:ascii="Book Antiqua" w:hAnsi="Book Antiqua" w:cs="Times New Roman"/>
          <w:color w:val="000000" w:themeColor="text1"/>
          <w:szCs w:val="24"/>
        </w:rPr>
        <w:t>Barrett’s esophagus;</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Prevalence;</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Risk factors; Intestinal metaplasia; Taiwan</w:t>
      </w:r>
      <w:bookmarkEnd w:id="36"/>
    </w:p>
    <w:p w14:paraId="50AC3A66"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7A49490C"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03CD0">
        <w:rPr>
          <w:rFonts w:ascii="Book Antiqua" w:hAnsi="Book Antiqua" w:cs="Times New Roman"/>
          <w:b/>
          <w:color w:val="000000" w:themeColor="text1"/>
          <w:szCs w:val="24"/>
        </w:rPr>
        <w:t>©</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b/>
          <w:color w:val="000000" w:themeColor="text1"/>
          <w:szCs w:val="24"/>
        </w:rPr>
        <w:t>The Author(s) 2019.</w:t>
      </w:r>
      <w:r w:rsidR="00566A43" w:rsidRPr="009D2E6D">
        <w:rPr>
          <w:rFonts w:ascii="Book Antiqua" w:hAnsi="Book Antiqua" w:cs="Times New Roman"/>
          <w:b/>
          <w:color w:val="000000" w:themeColor="text1"/>
          <w:szCs w:val="24"/>
        </w:rPr>
        <w:t xml:space="preserve"> </w:t>
      </w:r>
      <w:r w:rsidRPr="009D2E6D">
        <w:rPr>
          <w:rFonts w:ascii="Book Antiqua" w:hAnsi="Book Antiqua" w:cs="Times New Roman"/>
          <w:color w:val="000000" w:themeColor="text1"/>
          <w:szCs w:val="24"/>
        </w:rPr>
        <w:t xml:space="preserve">Published by </w:t>
      </w:r>
      <w:proofErr w:type="spellStart"/>
      <w:r w:rsidRPr="009D2E6D">
        <w:rPr>
          <w:rFonts w:ascii="Book Antiqua" w:hAnsi="Book Antiqua" w:cs="Times New Roman"/>
          <w:color w:val="000000" w:themeColor="text1"/>
          <w:szCs w:val="24"/>
        </w:rPr>
        <w:t>Baishideng</w:t>
      </w:r>
      <w:proofErr w:type="spellEnd"/>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Publishing</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Group Inc. All rights reserved.</w:t>
      </w:r>
    </w:p>
    <w:p w14:paraId="68844413"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35346A57"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b/>
          <w:color w:val="000000" w:themeColor="text1"/>
          <w:szCs w:val="24"/>
        </w:rPr>
        <w:t xml:space="preserve">Core tip: </w:t>
      </w:r>
      <w:r w:rsidRPr="009D2E6D">
        <w:rPr>
          <w:rFonts w:ascii="Book Antiqua" w:hAnsi="Book Antiqua" w:cs="Times New Roman"/>
          <w:color w:val="000000" w:themeColor="text1"/>
          <w:kern w:val="0"/>
          <w:szCs w:val="24"/>
        </w:rPr>
        <w:t>The c</w:t>
      </w:r>
      <w:r w:rsidRPr="009D2E6D">
        <w:rPr>
          <w:rFonts w:ascii="Book Antiqua" w:hAnsi="Book Antiqua" w:cs="Times New Roman"/>
          <w:color w:val="000000" w:themeColor="text1"/>
          <w:szCs w:val="24"/>
        </w:rPr>
        <w:t xml:space="preserve">urrent prevalence of Barrett’s esophagus (BE), based on the diagnostic criteria of the </w:t>
      </w:r>
      <w:r w:rsidRPr="009D2E6D">
        <w:rPr>
          <w:rFonts w:ascii="Book Antiqua" w:hAnsi="Book Antiqua" w:cs="Times New Roman"/>
          <w:iCs/>
          <w:color w:val="000000" w:themeColor="text1"/>
          <w:kern w:val="0"/>
          <w:szCs w:val="24"/>
        </w:rPr>
        <w:t xml:space="preserve">American College of Gastroenterology, is </w:t>
      </w:r>
      <w:r w:rsidRPr="009D2E6D">
        <w:rPr>
          <w:rFonts w:ascii="Book Antiqua" w:hAnsi="Book Antiqua" w:cs="Times New Roman"/>
          <w:color w:val="000000" w:themeColor="text1"/>
          <w:szCs w:val="24"/>
        </w:rPr>
        <w:t>2.6%</w:t>
      </w:r>
      <w:r w:rsidR="00553B07"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among the general population in Taiwan. Its prevalence in Taiwan is the highest among the general population in Asian countries. Significant risk factors for BE include old age, male gender, ingestion of tea and the presence of hiatal hernia.</w:t>
      </w:r>
      <w:r w:rsidR="00553B07"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In clinical practice, more attention should be paid when endoscopically suspected esophageal metaplasia is observed in older individuals, as these lesions have a higher likelihood of bearing intestinal metaplasia.</w:t>
      </w:r>
    </w:p>
    <w:p w14:paraId="36E0527D"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kern w:val="0"/>
          <w:szCs w:val="24"/>
        </w:rPr>
      </w:pPr>
    </w:p>
    <w:p w14:paraId="0560B70C" w14:textId="40D9B574" w:rsidR="00DD4B3C" w:rsidRPr="00A43E16" w:rsidRDefault="00DD4B3C" w:rsidP="009D2E6D">
      <w:pPr>
        <w:adjustRightInd w:val="0"/>
        <w:snapToGrid w:val="0"/>
        <w:spacing w:line="360" w:lineRule="auto"/>
        <w:jc w:val="both"/>
        <w:rPr>
          <w:rFonts w:ascii="Book Antiqua" w:hAnsi="Book Antiqua" w:cs="Times New Roman"/>
          <w:color w:val="000000" w:themeColor="text1"/>
          <w:szCs w:val="24"/>
        </w:rPr>
      </w:pPr>
      <w:bookmarkStart w:id="37" w:name="OLE_LINK576"/>
      <w:bookmarkStart w:id="38" w:name="OLE_LINK577"/>
      <w:r w:rsidRPr="009D2E6D">
        <w:rPr>
          <w:rFonts w:ascii="Book Antiqua" w:hAnsi="Book Antiqua"/>
          <w:color w:val="000000" w:themeColor="text1"/>
          <w:szCs w:val="24"/>
        </w:rPr>
        <w:t>Chen YH, Yu HC, Lin KH, Lin HS, Hsu PI.</w:t>
      </w:r>
      <w:r w:rsidR="00E5737C" w:rsidRPr="009D2E6D">
        <w:rPr>
          <w:rFonts w:ascii="Book Antiqua" w:hAnsi="Book Antiqua"/>
          <w:color w:val="000000" w:themeColor="text1"/>
          <w:szCs w:val="24"/>
        </w:rPr>
        <w:t xml:space="preserve"> </w:t>
      </w:r>
      <w:r w:rsidRPr="009D2E6D">
        <w:rPr>
          <w:rFonts w:ascii="Book Antiqua" w:eastAsiaTheme="majorEastAsia" w:hAnsi="Book Antiqua" w:cs="Times New Roman"/>
          <w:color w:val="000000" w:themeColor="text1"/>
          <w:szCs w:val="24"/>
        </w:rPr>
        <w:t xml:space="preserve">Prevalence </w:t>
      </w:r>
      <w:r w:rsidR="00A43E16">
        <w:rPr>
          <w:rFonts w:ascii="Book Antiqua" w:eastAsiaTheme="majorEastAsia" w:hAnsi="Book Antiqua" w:cs="Times New Roman"/>
          <w:color w:val="000000" w:themeColor="text1"/>
          <w:szCs w:val="24"/>
        </w:rPr>
        <w:t xml:space="preserve">and risk factors for </w:t>
      </w:r>
      <w:r w:rsidR="00A43E16">
        <w:rPr>
          <w:rFonts w:ascii="Book Antiqua" w:eastAsiaTheme="majorEastAsia" w:hAnsi="Book Antiqua" w:cs="Times New Roman"/>
          <w:color w:val="000000" w:themeColor="text1"/>
          <w:szCs w:val="24"/>
        </w:rPr>
        <w:lastRenderedPageBreak/>
        <w:t>Barrett’s e</w:t>
      </w:r>
      <w:r w:rsidRPr="009D2E6D">
        <w:rPr>
          <w:rFonts w:ascii="Book Antiqua" w:eastAsiaTheme="majorEastAsia" w:hAnsi="Book Antiqua" w:cs="Times New Roman"/>
          <w:color w:val="000000" w:themeColor="text1"/>
          <w:szCs w:val="24"/>
        </w:rPr>
        <w:t>sophagus in Taiwan.</w:t>
      </w:r>
      <w:r w:rsidR="00405664" w:rsidRPr="009D2E6D">
        <w:rPr>
          <w:rFonts w:ascii="Book Antiqua" w:eastAsiaTheme="majorEastAsia" w:hAnsi="Book Antiqua" w:cs="Times New Roman"/>
          <w:color w:val="000000" w:themeColor="text1"/>
          <w:szCs w:val="24"/>
        </w:rPr>
        <w:t xml:space="preserve"> </w:t>
      </w:r>
      <w:r w:rsidRPr="009D2E6D">
        <w:rPr>
          <w:rFonts w:ascii="Book Antiqua" w:eastAsiaTheme="majorEastAsia" w:hAnsi="Book Antiqua" w:cs="Times New Roman"/>
          <w:i/>
          <w:color w:val="000000" w:themeColor="text1"/>
          <w:szCs w:val="24"/>
        </w:rPr>
        <w:t>World J Gastroenterol</w:t>
      </w:r>
      <w:r w:rsidR="00E5737C" w:rsidRPr="009D2E6D">
        <w:rPr>
          <w:rFonts w:ascii="Book Antiqua" w:eastAsiaTheme="majorEastAsia" w:hAnsi="Book Antiqua" w:cs="Times New Roman"/>
          <w:i/>
          <w:color w:val="000000" w:themeColor="text1"/>
          <w:szCs w:val="24"/>
        </w:rPr>
        <w:t xml:space="preserve"> </w:t>
      </w:r>
      <w:r w:rsidRPr="009D2E6D">
        <w:rPr>
          <w:rFonts w:ascii="Book Antiqua" w:eastAsiaTheme="majorEastAsia" w:hAnsi="Book Antiqua" w:cs="Times New Roman"/>
          <w:color w:val="000000" w:themeColor="text1"/>
          <w:szCs w:val="24"/>
        </w:rPr>
        <w:t>2019; In press</w:t>
      </w:r>
      <w:bookmarkEnd w:id="37"/>
      <w:bookmarkEnd w:id="38"/>
    </w:p>
    <w:p w14:paraId="6A5B0386"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br w:type="page"/>
      </w:r>
    </w:p>
    <w:p w14:paraId="40A3266A"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lastRenderedPageBreak/>
        <w:t>INTRODUCTION</w:t>
      </w:r>
    </w:p>
    <w:p w14:paraId="4E057837" w14:textId="51BEB39E" w:rsidR="00DD4B3C" w:rsidRPr="009D2E6D" w:rsidRDefault="00DD4B3C" w:rsidP="00A43E16">
      <w:pPr>
        <w:pStyle w:val="Subtitle"/>
        <w:adjustRightInd w:val="0"/>
        <w:snapToGrid w:val="0"/>
        <w:spacing w:after="0" w:line="360" w:lineRule="auto"/>
        <w:jc w:val="both"/>
        <w:outlineLvl w:val="9"/>
        <w:rPr>
          <w:rFonts w:ascii="Book Antiqua" w:eastAsiaTheme="minorEastAsia" w:hAnsi="Book Antiqua" w:cs="Times New Roman"/>
          <w:i w:val="0"/>
          <w:iCs w:val="0"/>
          <w:color w:val="000000" w:themeColor="text1"/>
          <w:kern w:val="0"/>
        </w:rPr>
      </w:pPr>
      <w:r w:rsidRPr="009D2E6D">
        <w:rPr>
          <w:rFonts w:ascii="Book Antiqua" w:eastAsiaTheme="minorEastAsia" w:hAnsi="Book Antiqua" w:cs="Times New Roman"/>
          <w:i w:val="0"/>
          <w:iCs w:val="0"/>
          <w:color w:val="000000" w:themeColor="text1"/>
          <w:kern w:val="0"/>
        </w:rPr>
        <w:t xml:space="preserve">Barrett’s esophagus (BE) is generally recognized as a pre-malignant condition and is associated with esophageal </w:t>
      </w:r>
      <w:proofErr w:type="gramStart"/>
      <w:r w:rsidRPr="009D2E6D">
        <w:rPr>
          <w:rFonts w:ascii="Book Antiqua" w:eastAsiaTheme="minorEastAsia" w:hAnsi="Book Antiqua" w:cs="Times New Roman"/>
          <w:i w:val="0"/>
          <w:iCs w:val="0"/>
          <w:color w:val="000000" w:themeColor="text1"/>
          <w:kern w:val="0"/>
        </w:rPr>
        <w:t>adenocarcinoma</w:t>
      </w:r>
      <w:r w:rsidRPr="009D2E6D">
        <w:rPr>
          <w:rFonts w:ascii="Book Antiqua" w:eastAsiaTheme="minorEastAsia" w:hAnsi="Book Antiqua" w:cs="Times New Roman"/>
          <w:i w:val="0"/>
          <w:iCs w:val="0"/>
          <w:color w:val="000000" w:themeColor="text1"/>
          <w:kern w:val="0"/>
          <w:vertAlign w:val="superscript"/>
        </w:rPr>
        <w:t>[</w:t>
      </w:r>
      <w:proofErr w:type="gramEnd"/>
      <w:r w:rsidRPr="009D2E6D">
        <w:rPr>
          <w:rFonts w:ascii="Book Antiqua" w:eastAsiaTheme="minorEastAsia" w:hAnsi="Book Antiqua" w:cs="Times New Roman"/>
          <w:i w:val="0"/>
          <w:iCs w:val="0"/>
          <w:color w:val="000000" w:themeColor="text1"/>
          <w:kern w:val="0"/>
          <w:vertAlign w:val="superscript"/>
        </w:rPr>
        <w:t>1]</w:t>
      </w:r>
      <w:r w:rsidRPr="009D2E6D">
        <w:rPr>
          <w:rFonts w:ascii="Book Antiqua" w:eastAsiaTheme="minorEastAsia" w:hAnsi="Book Antiqua" w:cs="Times New Roman"/>
          <w:i w:val="0"/>
          <w:iCs w:val="0"/>
          <w:color w:val="000000" w:themeColor="text1"/>
          <w:kern w:val="0"/>
        </w:rPr>
        <w:t xml:space="preserve">. The American Gastroenterological Association defines BE as any extent of metaplastic columnar epithelium replacing the stratified squamous epithelium that normally lines the distal esophagus. Because intestinal metaplasia (IM) is the only type of esophageal columnar epithelium that clearly predisposes individuals to cancer development, its presence is a requirement for </w:t>
      </w:r>
      <w:proofErr w:type="gramStart"/>
      <w:r w:rsidRPr="009D2E6D">
        <w:rPr>
          <w:rFonts w:ascii="Book Antiqua" w:eastAsiaTheme="minorEastAsia" w:hAnsi="Book Antiqua" w:cs="Times New Roman"/>
          <w:i w:val="0"/>
          <w:iCs w:val="0"/>
          <w:color w:val="000000" w:themeColor="text1"/>
          <w:kern w:val="0"/>
        </w:rPr>
        <w:t>diagnosis</w:t>
      </w:r>
      <w:r w:rsidRPr="009D2E6D">
        <w:rPr>
          <w:rFonts w:ascii="Book Antiqua" w:eastAsiaTheme="minorEastAsia" w:hAnsi="Book Antiqua" w:cs="Times New Roman"/>
          <w:i w:val="0"/>
          <w:iCs w:val="0"/>
          <w:color w:val="000000" w:themeColor="text1"/>
          <w:kern w:val="0"/>
          <w:vertAlign w:val="superscript"/>
        </w:rPr>
        <w:t>[</w:t>
      </w:r>
      <w:proofErr w:type="gramEnd"/>
      <w:r w:rsidRPr="009D2E6D">
        <w:rPr>
          <w:rFonts w:ascii="Book Antiqua" w:eastAsiaTheme="minorEastAsia" w:hAnsi="Book Antiqua" w:cs="Times New Roman"/>
          <w:i w:val="0"/>
          <w:iCs w:val="0"/>
          <w:color w:val="000000" w:themeColor="text1"/>
          <w:kern w:val="0"/>
          <w:vertAlign w:val="superscript"/>
        </w:rPr>
        <w:t>2]</w:t>
      </w:r>
      <w:r w:rsidRPr="009D2E6D">
        <w:rPr>
          <w:rFonts w:ascii="Book Antiqua" w:eastAsiaTheme="minorEastAsia" w:hAnsi="Book Antiqua" w:cs="Times New Roman"/>
          <w:i w:val="0"/>
          <w:iCs w:val="0"/>
          <w:color w:val="000000" w:themeColor="text1"/>
          <w:kern w:val="0"/>
        </w:rPr>
        <w:t>. However, the clinical guidelines of the American College of Gastroenterology</w:t>
      </w:r>
      <w:r w:rsidR="00A43E16">
        <w:rPr>
          <w:rFonts w:ascii="Book Antiqua" w:eastAsiaTheme="minorEastAsia" w:hAnsi="Book Antiqua" w:cs="Times New Roman"/>
          <w:i w:val="0"/>
          <w:iCs w:val="0"/>
          <w:color w:val="000000" w:themeColor="text1"/>
          <w:kern w:val="0"/>
        </w:rPr>
        <w:t xml:space="preserve"> (ACG)</w:t>
      </w:r>
      <w:r w:rsidRPr="009D2E6D">
        <w:rPr>
          <w:rFonts w:ascii="Book Antiqua" w:eastAsiaTheme="minorEastAsia" w:hAnsi="Book Antiqua" w:cs="Times New Roman"/>
          <w:i w:val="0"/>
          <w:iCs w:val="0"/>
          <w:color w:val="000000" w:themeColor="text1"/>
          <w:kern w:val="0"/>
        </w:rPr>
        <w:t xml:space="preserve"> recommend that BE should be diagnosed only when the salmon-colored mucosa extend ≥ 1 cm into the tubular esophagus proximal to the gastroesophageal junction because of high inter-observer variability and the low risk for esophageal adenocarcinoma in cases of segments &lt; 1 cm</w:t>
      </w:r>
      <w:r w:rsidRPr="009D2E6D">
        <w:rPr>
          <w:rFonts w:ascii="Book Antiqua" w:eastAsiaTheme="minorEastAsia" w:hAnsi="Book Antiqua" w:cs="Times New Roman"/>
          <w:i w:val="0"/>
          <w:iCs w:val="0"/>
          <w:color w:val="000000" w:themeColor="text1"/>
          <w:kern w:val="0"/>
          <w:vertAlign w:val="superscript"/>
        </w:rPr>
        <w:t>[3]</w:t>
      </w:r>
      <w:r w:rsidRPr="009D2E6D">
        <w:rPr>
          <w:rFonts w:ascii="Book Antiqua" w:eastAsiaTheme="minorEastAsia" w:hAnsi="Book Antiqua" w:cs="Times New Roman"/>
          <w:i w:val="0"/>
          <w:iCs w:val="0"/>
          <w:color w:val="000000" w:themeColor="text1"/>
          <w:kern w:val="0"/>
        </w:rPr>
        <w:t xml:space="preserve">. Periodic endoscopic surveillance for dysplastic or cancerous lesions is suggested for patients diagnosed with BE, although disagreement exists regarding the long-term survival benefit of such </w:t>
      </w:r>
      <w:proofErr w:type="gramStart"/>
      <w:r w:rsidRPr="009D2E6D">
        <w:rPr>
          <w:rFonts w:ascii="Book Antiqua" w:eastAsiaTheme="minorEastAsia" w:hAnsi="Book Antiqua" w:cs="Times New Roman"/>
          <w:i w:val="0"/>
          <w:iCs w:val="0"/>
          <w:color w:val="000000" w:themeColor="text1"/>
          <w:kern w:val="0"/>
        </w:rPr>
        <w:t>surveillance</w:t>
      </w:r>
      <w:r w:rsidRPr="009D2E6D">
        <w:rPr>
          <w:rFonts w:ascii="Book Antiqua" w:eastAsiaTheme="minorEastAsia" w:hAnsi="Book Antiqua" w:cs="Times New Roman"/>
          <w:i w:val="0"/>
          <w:iCs w:val="0"/>
          <w:color w:val="000000" w:themeColor="text1"/>
          <w:kern w:val="0"/>
          <w:vertAlign w:val="superscript"/>
        </w:rPr>
        <w:t>[</w:t>
      </w:r>
      <w:proofErr w:type="gramEnd"/>
      <w:r w:rsidRPr="009D2E6D">
        <w:rPr>
          <w:rFonts w:ascii="Book Antiqua" w:eastAsiaTheme="minorEastAsia" w:hAnsi="Book Antiqua" w:cs="Times New Roman"/>
          <w:i w:val="0"/>
          <w:iCs w:val="0"/>
          <w:color w:val="000000" w:themeColor="text1"/>
          <w:kern w:val="0"/>
          <w:vertAlign w:val="superscript"/>
        </w:rPr>
        <w:t>4]</w:t>
      </w:r>
      <w:r w:rsidRPr="009D2E6D">
        <w:rPr>
          <w:rFonts w:ascii="Book Antiqua" w:eastAsiaTheme="minorEastAsia" w:hAnsi="Book Antiqua" w:cs="Times New Roman"/>
          <w:i w:val="0"/>
          <w:iCs w:val="0"/>
          <w:color w:val="000000" w:themeColor="text1"/>
          <w:kern w:val="0"/>
        </w:rPr>
        <w:t xml:space="preserve">. </w:t>
      </w:r>
    </w:p>
    <w:p w14:paraId="42E1A94D" w14:textId="5E1F3244"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Risk factors for BE have been extensively evaluated. White male individuals with gastroesophageal reflux disease (GERD), hiatal hernia, obesity, cigarette smoking, low birth weight and obstructive sleep apnea are more likely to develop BE</w:t>
      </w:r>
      <w:r w:rsidR="00DD4B3C" w:rsidRPr="009D2E6D">
        <w:rPr>
          <w:rFonts w:ascii="Book Antiqua" w:hAnsi="Book Antiqua" w:cs="Times New Roman"/>
          <w:color w:val="000000" w:themeColor="text1"/>
          <w:kern w:val="0"/>
          <w:szCs w:val="24"/>
          <w:vertAlign w:val="superscript"/>
        </w:rPr>
        <w:t>[5-11]</w:t>
      </w:r>
      <w:r w:rsidR="00DD4B3C" w:rsidRPr="009D2E6D">
        <w:rPr>
          <w:rFonts w:ascii="Book Antiqua" w:hAnsi="Book Antiqua" w:cs="Times New Roman"/>
          <w:color w:val="000000" w:themeColor="text1"/>
          <w:kern w:val="0"/>
          <w:szCs w:val="24"/>
        </w:rPr>
        <w:t xml:space="preserve">. Data concerning the role of alcohol intake in the development of BE are inconsistent. Additionally, some previous studies have found that wine consumption is inversely correlated with </w:t>
      </w:r>
      <w:proofErr w:type="gramStart"/>
      <w:r w:rsidR="00DD4B3C" w:rsidRPr="009D2E6D">
        <w:rPr>
          <w:rFonts w:ascii="Book Antiqua" w:hAnsi="Book Antiqua" w:cs="Times New Roman"/>
          <w:color w:val="000000" w:themeColor="text1"/>
          <w:kern w:val="0"/>
          <w:szCs w:val="24"/>
        </w:rPr>
        <w:t>BE</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8,</w:t>
      </w:r>
      <w:r w:rsidR="00DD4B3C" w:rsidRPr="009D2E6D">
        <w:rPr>
          <w:rFonts w:ascii="Book Antiqua" w:hAnsi="Book Antiqua" w:cs="Times New Roman"/>
          <w:color w:val="000000" w:themeColor="text1"/>
          <w:kern w:val="0"/>
          <w:szCs w:val="24"/>
          <w:vertAlign w:val="superscript"/>
        </w:rPr>
        <w:t>12]</w:t>
      </w:r>
      <w:r w:rsidR="00DD4B3C" w:rsidRPr="009D2E6D">
        <w:rPr>
          <w:rFonts w:ascii="Book Antiqua" w:hAnsi="Book Antiqua" w:cs="Times New Roman"/>
          <w:color w:val="000000" w:themeColor="text1"/>
          <w:kern w:val="0"/>
          <w:szCs w:val="24"/>
        </w:rPr>
        <w:t xml:space="preserve">. An inverse association between the presence of </w:t>
      </w:r>
      <w:r w:rsidR="00DD4B3C" w:rsidRPr="009D2E6D">
        <w:rPr>
          <w:rFonts w:ascii="Book Antiqua" w:hAnsi="Book Antiqua" w:cs="Times New Roman"/>
          <w:i/>
          <w:color w:val="000000" w:themeColor="text1"/>
          <w:kern w:val="0"/>
          <w:szCs w:val="24"/>
        </w:rPr>
        <w:t xml:space="preserve">Helicobacter pylori </w:t>
      </w:r>
      <w:r w:rsidR="00DD4B3C" w:rsidRPr="00A43E16">
        <w:rPr>
          <w:rFonts w:ascii="Book Antiqua" w:hAnsi="Book Antiqua" w:cs="Times New Roman"/>
          <w:color w:val="000000" w:themeColor="text1"/>
          <w:kern w:val="0"/>
          <w:szCs w:val="24"/>
        </w:rPr>
        <w:t>(</w:t>
      </w:r>
      <w:r w:rsidR="00DD4B3C" w:rsidRPr="009D2E6D">
        <w:rPr>
          <w:rFonts w:ascii="Book Antiqua" w:hAnsi="Book Antiqua" w:cs="Times New Roman"/>
          <w:i/>
          <w:color w:val="000000" w:themeColor="text1"/>
          <w:kern w:val="0"/>
          <w:szCs w:val="24"/>
        </w:rPr>
        <w:t>H. pylori</w:t>
      </w:r>
      <w:r w:rsidR="00DD4B3C" w:rsidRPr="00A43E16">
        <w:rPr>
          <w:rFonts w:ascii="Book Antiqua" w:hAnsi="Book Antiqua" w:cs="Times New Roman"/>
          <w:color w:val="000000" w:themeColor="text1"/>
          <w:kern w:val="0"/>
          <w:szCs w:val="24"/>
        </w:rPr>
        <w:t>)</w:t>
      </w:r>
      <w:r w:rsidR="00DD4B3C" w:rsidRPr="009D2E6D">
        <w:rPr>
          <w:rFonts w:ascii="Book Antiqua" w:hAnsi="Book Antiqua" w:cs="Times New Roman"/>
          <w:i/>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infection and BE has also been </w:t>
      </w:r>
      <w:proofErr w:type="gramStart"/>
      <w:r w:rsidR="00DD4B3C" w:rsidRPr="009D2E6D">
        <w:rPr>
          <w:rFonts w:ascii="Book Antiqua" w:hAnsi="Book Antiqua" w:cs="Times New Roman"/>
          <w:color w:val="000000" w:themeColor="text1"/>
          <w:kern w:val="0"/>
          <w:szCs w:val="24"/>
        </w:rPr>
        <w:t>reported</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13,</w:t>
      </w:r>
      <w:r w:rsidR="00DD4B3C" w:rsidRPr="009D2E6D">
        <w:rPr>
          <w:rFonts w:ascii="Book Antiqua" w:hAnsi="Book Antiqua" w:cs="Times New Roman"/>
          <w:color w:val="000000" w:themeColor="text1"/>
          <w:kern w:val="0"/>
          <w:szCs w:val="24"/>
          <w:vertAlign w:val="superscript"/>
        </w:rPr>
        <w:t>14]</w:t>
      </w:r>
    </w:p>
    <w:p w14:paraId="6628C836" w14:textId="29E82759"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prevalence of BE in western countries is between 0.5% and 2% of unselected individuals; in individuals with acid reflux symptoms, the prevalence is higher ranging from 5% to 15%</w:t>
      </w:r>
      <w:r w:rsidR="00DD4B3C" w:rsidRPr="009D2E6D">
        <w:rPr>
          <w:rFonts w:ascii="Book Antiqua" w:hAnsi="Book Antiqua" w:cs="Times New Roman"/>
          <w:color w:val="000000" w:themeColor="text1"/>
          <w:kern w:val="0"/>
          <w:szCs w:val="24"/>
          <w:vertAlign w:val="superscript"/>
        </w:rPr>
        <w:t>[15]</w:t>
      </w:r>
      <w:r w:rsidR="00DD4B3C" w:rsidRPr="009D2E6D">
        <w:rPr>
          <w:rFonts w:ascii="Book Antiqua" w:hAnsi="Book Antiqua" w:cs="Times New Roman"/>
          <w:color w:val="000000" w:themeColor="text1"/>
          <w:kern w:val="0"/>
          <w:szCs w:val="24"/>
        </w:rPr>
        <w:t>. In Asia, the previously reported prevalence of BE is lower than that in</w:t>
      </w:r>
      <w:r>
        <w:rPr>
          <w:rFonts w:ascii="Book Antiqua" w:hAnsi="Book Antiqua" w:cs="Times New Roman"/>
          <w:color w:val="000000" w:themeColor="text1"/>
          <w:kern w:val="0"/>
          <w:szCs w:val="24"/>
        </w:rPr>
        <w:t xml:space="preserve"> western countries. Tseng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16]</w:t>
      </w:r>
      <w:r w:rsidR="00DD4B3C" w:rsidRPr="009D2E6D">
        <w:rPr>
          <w:rFonts w:ascii="Book Antiqua" w:hAnsi="Book Antiqua" w:cs="Times New Roman"/>
          <w:color w:val="000000" w:themeColor="text1"/>
          <w:kern w:val="0"/>
          <w:szCs w:val="24"/>
        </w:rPr>
        <w:t xml:space="preserve"> reported that the </w:t>
      </w:r>
      <w:proofErr w:type="spellStart"/>
      <w:r w:rsidR="00DD4B3C" w:rsidRPr="009D2E6D">
        <w:rPr>
          <w:rFonts w:ascii="Book Antiqua" w:hAnsi="Book Antiqua" w:cs="Times New Roman"/>
          <w:color w:val="000000" w:themeColor="text1"/>
          <w:kern w:val="0"/>
          <w:szCs w:val="24"/>
        </w:rPr>
        <w:t>prevalences</w:t>
      </w:r>
      <w:proofErr w:type="spellEnd"/>
      <w:r w:rsidR="00DD4B3C" w:rsidRPr="009D2E6D">
        <w:rPr>
          <w:rFonts w:ascii="Book Antiqua" w:hAnsi="Book Antiqua" w:cs="Times New Roman"/>
          <w:color w:val="000000" w:themeColor="text1"/>
          <w:kern w:val="0"/>
          <w:szCs w:val="24"/>
        </w:rPr>
        <w:t xml:space="preserve"> of endoscopically suspected esophageal metaplasia (ESEM) and BE b</w:t>
      </w:r>
      <w:r w:rsidR="00DD4B3C" w:rsidRPr="009D2E6D">
        <w:rPr>
          <w:rFonts w:ascii="Book Antiqua" w:hAnsi="Book Antiqua" w:cs="Times New Roman"/>
          <w:color w:val="000000" w:themeColor="text1"/>
          <w:szCs w:val="24"/>
          <w:shd w:val="clear" w:color="auto" w:fill="FFFFFF"/>
        </w:rPr>
        <w:t xml:space="preserve">etween 2003 and 2006 </w:t>
      </w:r>
      <w:r w:rsidR="00DD4B3C" w:rsidRPr="009D2E6D">
        <w:rPr>
          <w:rFonts w:ascii="Book Antiqua" w:hAnsi="Book Antiqua" w:cs="Times New Roman"/>
          <w:color w:val="000000" w:themeColor="text1"/>
          <w:kern w:val="0"/>
          <w:szCs w:val="24"/>
        </w:rPr>
        <w:t xml:space="preserve">in Taiwan were 0.28% and </w:t>
      </w:r>
      <w:r w:rsidR="00DD4B3C" w:rsidRPr="009D2E6D">
        <w:rPr>
          <w:rFonts w:ascii="Book Antiqua" w:hAnsi="Book Antiqua" w:cs="Times New Roman"/>
          <w:color w:val="000000" w:themeColor="text1"/>
          <w:kern w:val="0"/>
          <w:szCs w:val="24"/>
        </w:rPr>
        <w:lastRenderedPageBreak/>
        <w:t>0.06%, respectively</w:t>
      </w:r>
      <w:r>
        <w:rPr>
          <w:rFonts w:ascii="Book Antiqua" w:hAnsi="Book Antiqua" w:cs="Times New Roman"/>
          <w:color w:val="000000" w:themeColor="text1"/>
          <w:kern w:val="0"/>
          <w:szCs w:val="24"/>
        </w:rPr>
        <w:t xml:space="preserve">. Chang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eastAsia="PMingLiU" w:hAnsi="Book Antiqua" w:cs="Times New Roman"/>
          <w:color w:val="000000" w:themeColor="text1"/>
          <w:kern w:val="0"/>
          <w:szCs w:val="24"/>
          <w:vertAlign w:val="superscript"/>
        </w:rPr>
        <w:t>[</w:t>
      </w:r>
      <w:proofErr w:type="gramEnd"/>
      <w:r w:rsidRPr="009D2E6D">
        <w:rPr>
          <w:rFonts w:ascii="Book Antiqua" w:eastAsia="PMingLiU" w:hAnsi="Book Antiqua" w:cs="Times New Roman"/>
          <w:color w:val="000000" w:themeColor="text1"/>
          <w:kern w:val="0"/>
          <w:szCs w:val="24"/>
          <w:vertAlign w:val="superscript"/>
        </w:rPr>
        <w:t>17]</w:t>
      </w:r>
      <w:r w:rsidR="00DD4B3C" w:rsidRPr="009D2E6D">
        <w:rPr>
          <w:rFonts w:ascii="Book Antiqua" w:hAnsi="Book Antiqua" w:cs="Times New Roman"/>
          <w:color w:val="000000" w:themeColor="text1"/>
          <w:kern w:val="0"/>
          <w:szCs w:val="24"/>
        </w:rPr>
        <w:t xml:space="preserve"> showed that the p</w:t>
      </w:r>
      <w:r w:rsidR="00DD4B3C" w:rsidRPr="009D2E6D">
        <w:rPr>
          <w:rFonts w:ascii="Book Antiqua" w:eastAsia="PMingLiU" w:hAnsi="Book Antiqua" w:cs="Times New Roman"/>
          <w:color w:val="000000" w:themeColor="text1"/>
          <w:kern w:val="0"/>
          <w:szCs w:val="24"/>
        </w:rPr>
        <w:t xml:space="preserve">revalence of BE among subjects undergoing screening endoscopy in 2007 was 0.35%. </w:t>
      </w:r>
      <w:r w:rsidR="00DD4B3C" w:rsidRPr="009D2E6D">
        <w:rPr>
          <w:rFonts w:ascii="Book Antiqua" w:hAnsi="Book Antiqua" w:cs="Times New Roman"/>
          <w:color w:val="000000" w:themeColor="text1"/>
          <w:kern w:val="0"/>
          <w:szCs w:val="24"/>
        </w:rPr>
        <w:t xml:space="preserve">However, with lifestyle changes in Asian countries such as increased western food consumption and adoption of western customs, the prevalence of BE might have increased. </w:t>
      </w:r>
    </w:p>
    <w:p w14:paraId="4595A645" w14:textId="518C3FC6"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present study was conducted to (1) </w:t>
      </w:r>
      <w:r w:rsidR="00DD4B3C" w:rsidRPr="009D2E6D">
        <w:rPr>
          <w:rFonts w:ascii="Book Antiqua" w:hAnsi="Book Antiqua" w:cs="Times New Roman"/>
          <w:color w:val="000000" w:themeColor="text1"/>
          <w:szCs w:val="24"/>
        </w:rPr>
        <w:t>assess the current prevalence of BE among the general population in Taiwan, and (2) investigate independent risk factors predicting the development of BE in Taiwan.</w:t>
      </w:r>
    </w:p>
    <w:p w14:paraId="19187910"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5AE9260A"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color w:val="000000" w:themeColor="text1"/>
          <w:kern w:val="0"/>
          <w:szCs w:val="24"/>
        </w:rPr>
      </w:pPr>
      <w:r w:rsidRPr="009D2E6D">
        <w:rPr>
          <w:rFonts w:ascii="Book Antiqua" w:hAnsi="Book Antiqua" w:cs="Times New Roman"/>
          <w:b/>
          <w:color w:val="000000" w:themeColor="text1"/>
          <w:kern w:val="0"/>
          <w:szCs w:val="24"/>
        </w:rPr>
        <w:t>MATERIALS</w:t>
      </w:r>
      <w:r w:rsidR="00D14D7D" w:rsidRPr="009D2E6D">
        <w:rPr>
          <w:rFonts w:ascii="Book Antiqua" w:hAnsi="Book Antiqua" w:cs="Times New Roman"/>
          <w:b/>
          <w:color w:val="000000" w:themeColor="text1"/>
          <w:kern w:val="0"/>
          <w:szCs w:val="24"/>
        </w:rPr>
        <w:t xml:space="preserve"> </w:t>
      </w:r>
      <w:r w:rsidRPr="009D2E6D">
        <w:rPr>
          <w:rFonts w:ascii="Book Antiqua" w:hAnsi="Book Antiqua" w:cs="Times New Roman"/>
          <w:b/>
          <w:color w:val="000000" w:themeColor="text1"/>
          <w:kern w:val="0"/>
          <w:szCs w:val="24"/>
        </w:rPr>
        <w:t>AND METHODS</w:t>
      </w:r>
    </w:p>
    <w:p w14:paraId="3D65358F"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Subjects</w:t>
      </w:r>
    </w:p>
    <w:p w14:paraId="6EC48650" w14:textId="2A9C329C"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Between January 2015 and December 2015, all consecutive outpatients who underwent routine esophagogastroduodenoscopy (EGD) examinations as part of a health check-up at their own expense at the Health Evaluation Center of the Kaohsiung Veterans General Hospital, Taiwan, were recruited into the present study. Exclusion criteria </w:t>
      </w:r>
      <w:r w:rsidR="00A43E16">
        <w:rPr>
          <w:rFonts w:ascii="Book Antiqua" w:hAnsi="Book Antiqua" w:cs="Times New Roman"/>
          <w:color w:val="000000" w:themeColor="text1"/>
          <w:kern w:val="0"/>
          <w:szCs w:val="24"/>
        </w:rPr>
        <w:t xml:space="preserve">were (1) age less than 20 years, </w:t>
      </w:r>
      <w:r w:rsidRPr="009D2E6D">
        <w:rPr>
          <w:rFonts w:ascii="Book Antiqua" w:hAnsi="Book Antiqua" w:cs="Times New Roman"/>
          <w:color w:val="000000" w:themeColor="text1"/>
          <w:kern w:val="0"/>
          <w:szCs w:val="24"/>
        </w:rPr>
        <w:t>(2) refusal to undergo biopsy of suspicious gastrointestinal tract lesions, and (3) history of severe concomitant illness, including decompensated cirrhosis, uremia, and congestive heart failure.</w:t>
      </w:r>
    </w:p>
    <w:p w14:paraId="454E5CCB"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0461A354"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Questionnaire</w:t>
      </w:r>
    </w:p>
    <w:p w14:paraId="30C36F29" w14:textId="17804547"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As a routine practice at the Health Evaluation Center, every subject was instructed to fill out a questionnaire detailing personal history, demographic data including age, gender, medical history, history of smoking, alcohol drinking, and coffee and tea consumption. Self-reported gastrointestinal discomforts including acid reflux symptoms or common upper gastrointestinal symptoms including epigastric pain o</w:t>
      </w:r>
      <w:r w:rsidR="00A43E16">
        <w:rPr>
          <w:rFonts w:ascii="Book Antiqua" w:hAnsi="Book Antiqua" w:cs="Times New Roman"/>
          <w:color w:val="000000" w:themeColor="text1"/>
          <w:kern w:val="0"/>
          <w:szCs w:val="24"/>
        </w:rPr>
        <w:t>r dyspepsia were also recorded.</w:t>
      </w:r>
    </w:p>
    <w:p w14:paraId="4EFE93FE"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548C40B9" w14:textId="26ED6B9C" w:rsidR="00DD4B3C" w:rsidRPr="009D2E6D" w:rsidRDefault="00A43E16"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A43E16">
        <w:rPr>
          <w:rFonts w:ascii="Book Antiqua" w:hAnsi="Book Antiqua" w:cs="Times New Roman"/>
          <w:b/>
          <w:i/>
          <w:color w:val="000000" w:themeColor="text1"/>
          <w:kern w:val="0"/>
          <w:szCs w:val="24"/>
        </w:rPr>
        <w:t>Body mass index</w:t>
      </w:r>
      <w:r w:rsidR="00DD4B3C" w:rsidRPr="009D2E6D">
        <w:rPr>
          <w:rFonts w:ascii="Book Antiqua" w:hAnsi="Book Antiqua" w:cs="Times New Roman"/>
          <w:b/>
          <w:i/>
          <w:color w:val="000000" w:themeColor="text1"/>
          <w:kern w:val="0"/>
          <w:szCs w:val="24"/>
        </w:rPr>
        <w:t xml:space="preserve"> and </w:t>
      </w:r>
      <w:r w:rsidRPr="009D2E6D">
        <w:rPr>
          <w:rFonts w:ascii="Book Antiqua" w:hAnsi="Book Antiqua" w:cs="Times New Roman"/>
          <w:b/>
          <w:i/>
          <w:color w:val="000000" w:themeColor="text1"/>
          <w:kern w:val="0"/>
          <w:szCs w:val="24"/>
        </w:rPr>
        <w:t>body fat percentage</w:t>
      </w:r>
    </w:p>
    <w:p w14:paraId="239BE854" w14:textId="6F66F2D3"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Personal data including body height, body weight, and body composition </w:t>
      </w:r>
      <w:r w:rsidRPr="009D2E6D">
        <w:rPr>
          <w:rFonts w:ascii="Book Antiqua" w:hAnsi="Book Antiqua" w:cs="Times New Roman"/>
          <w:color w:val="000000" w:themeColor="text1"/>
          <w:kern w:val="0"/>
          <w:szCs w:val="24"/>
        </w:rPr>
        <w:lastRenderedPageBreak/>
        <w:t>were readily accessible</w:t>
      </w:r>
      <w:r w:rsidR="00D14D7D"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during routine</w:t>
      </w:r>
      <w:r w:rsidR="00D14D7D"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physical examinations. They were recorded and transformed into </w:t>
      </w:r>
      <w:bookmarkStart w:id="39" w:name="OLE_LINK559"/>
      <w:r w:rsidRPr="009D2E6D">
        <w:rPr>
          <w:rFonts w:ascii="Book Antiqua" w:hAnsi="Book Antiqua" w:cs="Times New Roman"/>
          <w:color w:val="000000" w:themeColor="text1"/>
          <w:kern w:val="0"/>
          <w:szCs w:val="24"/>
        </w:rPr>
        <w:t>body mass index</w:t>
      </w:r>
      <w:bookmarkEnd w:id="39"/>
      <w:r w:rsidRPr="009D2E6D">
        <w:rPr>
          <w:rFonts w:ascii="Book Antiqua" w:hAnsi="Book Antiqua" w:cs="Times New Roman"/>
          <w:color w:val="000000" w:themeColor="text1"/>
          <w:kern w:val="0"/>
          <w:szCs w:val="24"/>
        </w:rPr>
        <w:t xml:space="preserve"> (BMI) and body fat percentage (BFP) measurements, which were clinically important parameters for describing individuals as obese or overweight. BMI was calculated as weight/height</w:t>
      </w:r>
      <w:r w:rsidRPr="009D2E6D">
        <w:rPr>
          <w:rFonts w:ascii="Book Antiqua" w:hAnsi="Book Antiqua" w:cs="Times New Roman"/>
          <w:color w:val="000000" w:themeColor="text1"/>
          <w:kern w:val="0"/>
          <w:szCs w:val="24"/>
          <w:vertAlign w:val="superscript"/>
        </w:rPr>
        <w:t>2</w:t>
      </w:r>
      <w:r w:rsidRPr="009D2E6D">
        <w:rPr>
          <w:rFonts w:ascii="Book Antiqua" w:hAnsi="Book Antiqua" w:cs="Times New Roman"/>
          <w:color w:val="000000" w:themeColor="text1"/>
          <w:kern w:val="0"/>
          <w:szCs w:val="24"/>
        </w:rPr>
        <w:t xml:space="preserve"> (kg/m</w:t>
      </w:r>
      <w:r w:rsidRPr="009D2E6D">
        <w:rPr>
          <w:rFonts w:ascii="Book Antiqua" w:hAnsi="Book Antiqua" w:cs="Times New Roman"/>
          <w:color w:val="000000" w:themeColor="text1"/>
          <w:kern w:val="0"/>
          <w:szCs w:val="24"/>
          <w:vertAlign w:val="superscript"/>
        </w:rPr>
        <w:t>2</w:t>
      </w:r>
      <w:r w:rsidRPr="009D2E6D">
        <w:rPr>
          <w:rFonts w:ascii="Book Antiqua" w:hAnsi="Book Antiqua" w:cs="Times New Roman"/>
          <w:color w:val="000000" w:themeColor="text1"/>
          <w:kern w:val="0"/>
          <w:szCs w:val="24"/>
        </w:rPr>
        <w:t>), while BFP was determined with the bioelectrical impedanc</w:t>
      </w:r>
      <w:r w:rsidR="00A43E16">
        <w:rPr>
          <w:rFonts w:ascii="Book Antiqua" w:hAnsi="Book Antiqua" w:cs="Times New Roman"/>
          <w:color w:val="000000" w:themeColor="text1"/>
          <w:kern w:val="0"/>
          <w:szCs w:val="24"/>
        </w:rPr>
        <w:t>e analysis method using the "X-</w:t>
      </w:r>
      <w:r w:rsidRPr="009D2E6D">
        <w:rPr>
          <w:rFonts w:ascii="Book Antiqua" w:hAnsi="Book Antiqua" w:cs="Times New Roman"/>
          <w:color w:val="000000" w:themeColor="text1"/>
          <w:kern w:val="0"/>
          <w:szCs w:val="24"/>
        </w:rPr>
        <w:t>Scan Plus II body composition analyzer (</w:t>
      </w:r>
      <w:proofErr w:type="spellStart"/>
      <w:r w:rsidRPr="009D2E6D">
        <w:rPr>
          <w:rFonts w:ascii="Book Antiqua" w:hAnsi="Book Antiqua" w:cs="Times New Roman"/>
          <w:color w:val="000000" w:themeColor="text1"/>
          <w:kern w:val="0"/>
          <w:szCs w:val="24"/>
        </w:rPr>
        <w:t>Jawon</w:t>
      </w:r>
      <w:proofErr w:type="spellEnd"/>
      <w:r w:rsidRPr="009D2E6D">
        <w:rPr>
          <w:rFonts w:ascii="Book Antiqua" w:hAnsi="Book Antiqua" w:cs="Times New Roman"/>
          <w:color w:val="000000" w:themeColor="text1"/>
          <w:kern w:val="0"/>
          <w:szCs w:val="24"/>
        </w:rPr>
        <w:t xml:space="preserve"> Medical Co., Ltd, </w:t>
      </w:r>
      <w:proofErr w:type="spellStart"/>
      <w:r w:rsidRPr="009D2E6D">
        <w:rPr>
          <w:rFonts w:ascii="Book Antiqua" w:hAnsi="Book Antiqua" w:cs="Times New Roman"/>
          <w:color w:val="000000" w:themeColor="text1"/>
          <w:kern w:val="0"/>
          <w:szCs w:val="24"/>
        </w:rPr>
        <w:t>Kyoungsan</w:t>
      </w:r>
      <w:proofErr w:type="spellEnd"/>
      <w:r w:rsidRPr="009D2E6D">
        <w:rPr>
          <w:rFonts w:ascii="Book Antiqua" w:hAnsi="Book Antiqua" w:cs="Times New Roman"/>
          <w:color w:val="000000" w:themeColor="text1"/>
          <w:kern w:val="0"/>
          <w:szCs w:val="24"/>
        </w:rPr>
        <w:t xml:space="preserve">, </w:t>
      </w:r>
      <w:r w:rsidR="00A43E16">
        <w:rPr>
          <w:rFonts w:ascii="Book Antiqua" w:hAnsi="Book Antiqua" w:cs="Times New Roman"/>
          <w:color w:val="000000" w:themeColor="text1"/>
          <w:kern w:val="0"/>
          <w:szCs w:val="24"/>
        </w:rPr>
        <w:t xml:space="preserve">South </w:t>
      </w:r>
      <w:r w:rsidRPr="009D2E6D">
        <w:rPr>
          <w:rFonts w:ascii="Book Antiqua" w:hAnsi="Book Antiqua" w:cs="Times New Roman"/>
          <w:color w:val="000000" w:themeColor="text1"/>
          <w:kern w:val="0"/>
          <w:szCs w:val="24"/>
        </w:rPr>
        <w:t xml:space="preserve">Korea)". The criteria of the Health Promotion Administration, Ministry of Health and Welfare of Taiwan, define obesity as (1) a percentage of body fat of </w:t>
      </w:r>
      <w:r w:rsidRPr="009D2E6D">
        <w:rPr>
          <w:rFonts w:ascii="Book Antiqua" w:eastAsia="GulimChe" w:hAnsi="Book Antiqua" w:cs="Times New Roman"/>
          <w:color w:val="000000" w:themeColor="text1"/>
          <w:kern w:val="0"/>
          <w:szCs w:val="24"/>
        </w:rPr>
        <w:t>≥</w:t>
      </w:r>
      <w:r w:rsidR="00A43E16">
        <w:rPr>
          <w:rFonts w:ascii="Book Antiqua" w:eastAsia="GulimChe"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25 in males or </w:t>
      </w:r>
      <w:r w:rsidRPr="009D2E6D">
        <w:rPr>
          <w:rFonts w:ascii="Book Antiqua" w:eastAsia="GulimChe" w:hAnsi="Book Antiqua" w:cs="Times New Roman"/>
          <w:color w:val="000000" w:themeColor="text1"/>
          <w:kern w:val="0"/>
          <w:szCs w:val="24"/>
        </w:rPr>
        <w:t>≥</w:t>
      </w:r>
      <w:r w:rsidR="00A43E16">
        <w:rPr>
          <w:rFonts w:ascii="Book Antiqua" w:eastAsia="GulimChe"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30 in females, or (2) BMI </w:t>
      </w:r>
      <w:r w:rsidRPr="009D2E6D">
        <w:rPr>
          <w:rFonts w:ascii="Book Antiqua" w:eastAsia="GulimChe"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 27. Overweight was defined as a BMI of </w:t>
      </w:r>
      <w:r w:rsidRPr="009D2E6D">
        <w:rPr>
          <w:rFonts w:ascii="Book Antiqua" w:eastAsia="GulimChe" w:hAnsi="Book Antiqua" w:cs="Times New Roman"/>
          <w:color w:val="000000" w:themeColor="text1"/>
          <w:kern w:val="0"/>
          <w:szCs w:val="24"/>
        </w:rPr>
        <w:t>≥</w:t>
      </w:r>
      <w:r w:rsidR="00A43E16">
        <w:rPr>
          <w:rFonts w:ascii="Book Antiqua" w:eastAsia="GulimChe"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24 and &lt; 27. The participants were then classified into a normal or an obesity group based on BFP, and as normal, overweight, or obese based on BMI.</w:t>
      </w:r>
    </w:p>
    <w:p w14:paraId="5B7E7AFE"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2F2CA04E"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Study design</w:t>
      </w:r>
    </w:p>
    <w:p w14:paraId="5E0E963E" w14:textId="0578DE2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Clinical data including personal information from questionnaires, laboratory data, body weight, BMI, BFP, endoscopy reports and pathology report were collected through retrospective chart review. The endoscopes used for examination between January 2015 and August 2015 were GIF-XP260N, GIF-XQ260, GIF-Q260, and GIF-H260Z</w:t>
      </w:r>
      <w:r w:rsidR="009F6548"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(Tokyo, Japan). New-generation endoscopes including GIF-H290Z and GIF-HQ290 had been introduced to our department for endoscopic examination since September 2015. All endoscopic examinations during this period were performed by seven experienced endoscopists. Most of the endoscopic procedures were performed under conscious sedation with the administration of sedative agents via the intravenous route by anesthesiologists. Among those not receiving conscious sedation, the attributed reasons were to old age, high risk in anesthesia due to underlying medical illness, or personal reasons. If more than one episode of endoscopic examination was performed in the same individual during the study period, the result of the first endoscopy was used as the index data. Lesions with endoscopic findings consistent with BE awaiting histological evaluation were judged as </w:t>
      </w:r>
      <w:proofErr w:type="gramStart"/>
      <w:r w:rsidRPr="009D2E6D">
        <w:rPr>
          <w:rFonts w:ascii="Book Antiqua" w:hAnsi="Book Antiqua" w:cs="Times New Roman"/>
          <w:color w:val="000000" w:themeColor="text1"/>
          <w:kern w:val="0"/>
          <w:szCs w:val="24"/>
        </w:rPr>
        <w:t>ESEM</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18]</w:t>
      </w:r>
      <w:r w:rsidRPr="009D2E6D">
        <w:rPr>
          <w:rFonts w:ascii="Book Antiqua" w:hAnsi="Book Antiqua" w:cs="Times New Roman"/>
          <w:color w:val="000000" w:themeColor="text1"/>
          <w:kern w:val="0"/>
          <w:szCs w:val="24"/>
        </w:rPr>
        <w:t xml:space="preserve">. The presence and extent of ESEM were </w:t>
      </w:r>
      <w:r w:rsidRPr="009D2E6D">
        <w:rPr>
          <w:rFonts w:ascii="Book Antiqua" w:hAnsi="Book Antiqua" w:cs="Times New Roman"/>
          <w:color w:val="000000" w:themeColor="text1"/>
          <w:kern w:val="0"/>
          <w:szCs w:val="24"/>
        </w:rPr>
        <w:lastRenderedPageBreak/>
        <w:t xml:space="preserve">diagnosed according to the Prague C &amp; M Criteria. The length of ESEM was measured using the circumferential extent (C value) and the maximum extent (M value) above the anatomic gastroesophageal junction (GEJ) in </w:t>
      </w:r>
      <w:proofErr w:type="gramStart"/>
      <w:r w:rsidRPr="009D2E6D">
        <w:rPr>
          <w:rFonts w:ascii="Book Antiqua" w:hAnsi="Book Antiqua" w:cs="Times New Roman"/>
          <w:color w:val="000000" w:themeColor="text1"/>
          <w:kern w:val="0"/>
          <w:szCs w:val="24"/>
        </w:rPr>
        <w:t>centimeters</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19]</w:t>
      </w:r>
      <w:r w:rsidRPr="009D2E6D">
        <w:rPr>
          <w:rFonts w:ascii="Book Antiqua" w:hAnsi="Book Antiqua" w:cs="Times New Roman"/>
          <w:color w:val="000000" w:themeColor="text1"/>
          <w:kern w:val="0"/>
          <w:szCs w:val="24"/>
        </w:rPr>
        <w:t>. The endoscopic landmark for the GEJ was defined as the proximal margin of the gastric folds. When the value of “M” in the Prague C &amp; M criteria was ≥ 3 cm, the lesion was defined as long-segment BE (LSBE); if the value of “M” was &lt; 3 cm, the lesion was classified as short-segment BE (SSBE). It was common practice for us to perform biopsies in all patients with LSBE in a random manner from four quadrants of the lesions, 2 cm-apart, throughout the columnar-lined esophagus per the Seattle protocol. Target biopsy was used for individuals with small tongues of columnar mucosa and for all patients with any suspicious IM and dysplastic lesions under NBI evaluation. All specimens acquired were embedded in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paraffin, stained with hematoxylin and eosin and then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reviewed by eight experienced general pathologist</w:t>
      </w:r>
      <w:r w:rsidR="00D14D7D" w:rsidRPr="009D2E6D">
        <w:rPr>
          <w:rFonts w:ascii="Book Antiqua" w:hAnsi="Book Antiqua" w:cs="Times New Roman"/>
          <w:color w:val="000000" w:themeColor="text1"/>
          <w:kern w:val="0"/>
          <w:szCs w:val="24"/>
        </w:rPr>
        <w:t>s</w:t>
      </w:r>
      <w:r w:rsidRPr="009D2E6D">
        <w:rPr>
          <w:rFonts w:ascii="Book Antiqua" w:hAnsi="Book Antiqua" w:cs="Times New Roman"/>
          <w:color w:val="000000" w:themeColor="text1"/>
          <w:kern w:val="0"/>
          <w:szCs w:val="24"/>
        </w:rPr>
        <w:t>.</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BE was defined based on extension of the columnar epithelium </w:t>
      </w:r>
      <w:bookmarkStart w:id="40" w:name="_Hlk520532924"/>
      <w:r w:rsidRPr="009D2E6D">
        <w:rPr>
          <w:rFonts w:ascii="Book Antiqua" w:hAnsi="Book Antiqua" w:cs="Times New Roman"/>
          <w:color w:val="000000" w:themeColor="text1"/>
          <w:szCs w:val="24"/>
        </w:rPr>
        <w:t xml:space="preserve">≥ </w:t>
      </w:r>
      <w:r w:rsidRPr="009D2E6D">
        <w:rPr>
          <w:rFonts w:ascii="Book Antiqua" w:eastAsia="PMingLiU" w:hAnsi="Book Antiqua" w:cs="Times New Roman"/>
          <w:color w:val="000000" w:themeColor="text1"/>
          <w:szCs w:val="24"/>
        </w:rPr>
        <w:t>1 cm</w:t>
      </w:r>
      <w:bookmarkEnd w:id="40"/>
      <w:r w:rsidRPr="009D2E6D">
        <w:rPr>
          <w:rFonts w:ascii="Book Antiqua" w:hAnsi="Book Antiqua" w:cs="Times New Roman"/>
          <w:color w:val="000000" w:themeColor="text1"/>
          <w:kern w:val="0"/>
          <w:szCs w:val="24"/>
        </w:rPr>
        <w:t xml:space="preserve"> above the GEJ and was histologically confirmed by the presence of IM epithelium within the columnar-lined esophagus which contains goblet cells</w:t>
      </w:r>
      <w:r w:rsidRPr="009D2E6D">
        <w:rPr>
          <w:rFonts w:ascii="Book Antiqua" w:hAnsi="Book Antiqua" w:cs="Times New Roman"/>
          <w:color w:val="000000" w:themeColor="text1"/>
          <w:kern w:val="0"/>
          <w:szCs w:val="24"/>
          <w:vertAlign w:val="superscript"/>
        </w:rPr>
        <w:t>[20]</w:t>
      </w:r>
      <w:r w:rsidRPr="009D2E6D">
        <w:rPr>
          <w:rFonts w:ascii="Book Antiqua" w:hAnsi="Book Antiqua" w:cs="Times New Roman"/>
          <w:color w:val="000000" w:themeColor="text1"/>
          <w:kern w:val="0"/>
          <w:szCs w:val="24"/>
        </w:rPr>
        <w:t>.</w:t>
      </w:r>
    </w:p>
    <w:p w14:paraId="70A6B46B" w14:textId="1FE285E8" w:rsidR="00DD4B3C" w:rsidRDefault="00DD4B3C"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The present study was approved by the Institutional Review Board of Kaohsiung Veterans General Hospital (VGHKS17-CT7-07).</w:t>
      </w:r>
    </w:p>
    <w:p w14:paraId="26F4FEDF" w14:textId="77777777" w:rsidR="00A43E16" w:rsidRPr="009D2E6D" w:rsidRDefault="00A43E16"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p>
    <w:p w14:paraId="0BB53742" w14:textId="77777777" w:rsidR="00A43E16" w:rsidRDefault="00DD4B3C" w:rsidP="00A43E16">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Statistical analysis</w:t>
      </w:r>
    </w:p>
    <w:p w14:paraId="1335609F" w14:textId="031B0DA1" w:rsidR="00DD4B3C" w:rsidRPr="00A43E16" w:rsidRDefault="00DD4B3C" w:rsidP="00A43E16">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color w:val="000000" w:themeColor="text1"/>
          <w:kern w:val="0"/>
          <w:szCs w:val="24"/>
        </w:rPr>
        <w:t>The primary endpoint of the study was the prevalence of BE. To determine the risk factors for BE, clinical and endoscopic parameters were examined using univariate analysis. These parameters included age</w:t>
      </w:r>
      <w:r w:rsidRPr="009D2E6D">
        <w:rPr>
          <w:rFonts w:ascii="Book Antiqua" w:eastAsia="PMingLiU" w:hAnsi="Book Antiqua" w:cs="Times New Roman"/>
          <w:color w:val="000000" w:themeColor="text1"/>
          <w:kern w:val="0"/>
          <w:szCs w:val="24"/>
        </w:rPr>
        <w:t>, gender, history of smoking, history of alcohol consumption, ingestion of c</w:t>
      </w:r>
      <w:r w:rsidRPr="009D2E6D">
        <w:rPr>
          <w:rFonts w:ascii="Book Antiqua" w:hAnsi="Book Antiqua" w:cs="Times New Roman"/>
          <w:color w:val="000000" w:themeColor="text1"/>
          <w:kern w:val="0"/>
          <w:szCs w:val="24"/>
        </w:rPr>
        <w:t xml:space="preserve">offee, ingestion of tea, coexistence of an underlying disease, presence of diabetes, hypertension, cardiovascular disease, </w:t>
      </w:r>
      <w:r w:rsidRPr="009D2E6D">
        <w:rPr>
          <w:rFonts w:ascii="Book Antiqua" w:hAnsi="Book Antiqua" w:cs="Times New Roman"/>
          <w:i/>
          <w:color w:val="000000" w:themeColor="text1"/>
          <w:kern w:val="0"/>
          <w:szCs w:val="24"/>
        </w:rPr>
        <w:t>H. pylori</w:t>
      </w:r>
      <w:r w:rsidRPr="009D2E6D">
        <w:rPr>
          <w:rFonts w:ascii="Book Antiqua" w:hAnsi="Book Antiqua" w:cs="Times New Roman"/>
          <w:color w:val="000000" w:themeColor="text1"/>
          <w:kern w:val="0"/>
          <w:szCs w:val="24"/>
        </w:rPr>
        <w:t xml:space="preserve"> infection status, BFP, BMI, and endoscopic findings</w:t>
      </w:r>
      <w:r w:rsidR="00B52811"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(including hiatal hernia, reflux esophagitis, peptic ulcer, and gastritis).</w:t>
      </w:r>
      <w:r w:rsidR="00B52811"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The variables found to be statistically significant in univariate analysis were subsequently assessed using multivariate analysis to identify </w:t>
      </w:r>
      <w:r w:rsidRPr="009D2E6D">
        <w:rPr>
          <w:rFonts w:ascii="Book Antiqua" w:hAnsi="Book Antiqua" w:cs="Times New Roman"/>
          <w:color w:val="000000" w:themeColor="text1"/>
          <w:kern w:val="0"/>
          <w:szCs w:val="24"/>
        </w:rPr>
        <w:lastRenderedPageBreak/>
        <w:t xml:space="preserve">independent factors predicting BE. Categorical data were compared using the </w:t>
      </w:r>
      <w:r w:rsidRPr="00A43E16">
        <w:rPr>
          <w:rFonts w:ascii="Book Antiqua" w:hAnsi="Book Antiqua" w:cs="Times New Roman"/>
          <w:i/>
          <w:color w:val="000000" w:themeColor="text1"/>
          <w:kern w:val="0"/>
          <w:szCs w:val="24"/>
        </w:rPr>
        <w:t>χ</w:t>
      </w:r>
      <w:r w:rsidRPr="00A43E16">
        <w:rPr>
          <w:rFonts w:ascii="Book Antiqua" w:hAnsi="Book Antiqua" w:cs="Times New Roman"/>
          <w:i/>
          <w:color w:val="000000" w:themeColor="text1"/>
          <w:kern w:val="0"/>
          <w:szCs w:val="24"/>
          <w:vertAlign w:val="superscript"/>
        </w:rPr>
        <w:t>2</w:t>
      </w:r>
      <w:r w:rsidRPr="009D2E6D">
        <w:rPr>
          <w:rFonts w:ascii="Book Antiqua" w:hAnsi="Book Antiqua" w:cs="Times New Roman"/>
          <w:color w:val="000000" w:themeColor="text1"/>
          <w:kern w:val="0"/>
          <w:szCs w:val="24"/>
        </w:rPr>
        <w:t xml:space="preserve"> test or Fisher’s exact test, as appropriate. The Student’s </w:t>
      </w:r>
      <w:r w:rsidRPr="00A43E16">
        <w:rPr>
          <w:rFonts w:ascii="Book Antiqua" w:hAnsi="Book Antiqua" w:cs="Times New Roman"/>
          <w:i/>
          <w:color w:val="000000" w:themeColor="text1"/>
          <w:kern w:val="0"/>
          <w:szCs w:val="24"/>
        </w:rPr>
        <w:t>t</w:t>
      </w:r>
      <w:r w:rsidRPr="009D2E6D">
        <w:rPr>
          <w:rFonts w:ascii="Book Antiqua" w:hAnsi="Book Antiqua" w:cs="Times New Roman"/>
          <w:color w:val="000000" w:themeColor="text1"/>
          <w:kern w:val="0"/>
          <w:szCs w:val="24"/>
        </w:rPr>
        <w:t xml:space="preserve">-test was used for the comparison of continuous data. SPSS (version 12.0 for Microsoft Windows) was used for all statistical analyses. A </w:t>
      </w:r>
      <w:r w:rsidRPr="009D2E6D">
        <w:rPr>
          <w:rFonts w:ascii="Book Antiqua" w:hAnsi="Book Antiqua" w:cs="Times New Roman"/>
          <w:i/>
          <w:color w:val="000000" w:themeColor="text1"/>
          <w:kern w:val="0"/>
          <w:szCs w:val="24"/>
        </w:rPr>
        <w:t xml:space="preserve">P </w:t>
      </w:r>
      <w:r w:rsidRPr="009D2E6D">
        <w:rPr>
          <w:rFonts w:ascii="Book Antiqua" w:hAnsi="Book Antiqua" w:cs="Times New Roman"/>
          <w:color w:val="000000" w:themeColor="text1"/>
          <w:kern w:val="0"/>
          <w:szCs w:val="24"/>
        </w:rPr>
        <w:t xml:space="preserve">value less than 0.05 was considered statistically significant. The statistical methods of this study were reviewed by </w:t>
      </w:r>
      <w:r w:rsidRPr="009D2E6D">
        <w:rPr>
          <w:rFonts w:ascii="Book Antiqua" w:eastAsia="PMingLiU" w:hAnsi="Book Antiqua" w:cs="Times New Roman"/>
          <w:color w:val="000000" w:themeColor="text1"/>
          <w:szCs w:val="24"/>
        </w:rPr>
        <w:t>Huey-</w:t>
      </w:r>
      <w:proofErr w:type="spellStart"/>
      <w:r w:rsidRPr="009D2E6D">
        <w:rPr>
          <w:rFonts w:ascii="Book Antiqua" w:eastAsia="PMingLiU" w:hAnsi="Book Antiqua" w:cs="Times New Roman"/>
          <w:color w:val="000000" w:themeColor="text1"/>
          <w:szCs w:val="24"/>
        </w:rPr>
        <w:t>Shyan</w:t>
      </w:r>
      <w:proofErr w:type="spellEnd"/>
      <w:r w:rsidRPr="009D2E6D">
        <w:rPr>
          <w:rFonts w:ascii="Book Antiqua" w:eastAsia="PMingLiU" w:hAnsi="Book Antiqua" w:cs="Times New Roman"/>
          <w:color w:val="000000" w:themeColor="text1"/>
          <w:szCs w:val="24"/>
        </w:rPr>
        <w:t xml:space="preserve"> Lin, the </w:t>
      </w:r>
      <w:r w:rsidRPr="009D2E6D">
        <w:rPr>
          <w:rFonts w:ascii="Book Antiqua" w:eastAsia="DFKai-SB" w:hAnsi="Book Antiqua" w:cs="Times New Roman"/>
          <w:color w:val="000000" w:themeColor="text1"/>
          <w:szCs w:val="24"/>
        </w:rPr>
        <w:t>consultant of Research and Development, Department of Health, Kaohsiung City Government, and research consultants of several hospitals, Taiwan.</w:t>
      </w:r>
    </w:p>
    <w:p w14:paraId="01C87028"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01837172"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color w:val="000000" w:themeColor="text1"/>
          <w:kern w:val="0"/>
          <w:szCs w:val="24"/>
        </w:rPr>
      </w:pPr>
      <w:r w:rsidRPr="009D2E6D">
        <w:rPr>
          <w:rFonts w:ascii="Book Antiqua" w:hAnsi="Book Antiqua" w:cs="Times New Roman"/>
          <w:b/>
          <w:color w:val="000000" w:themeColor="text1"/>
          <w:kern w:val="0"/>
          <w:szCs w:val="24"/>
        </w:rPr>
        <w:t>RESULTS</w:t>
      </w:r>
    </w:p>
    <w:p w14:paraId="2AA3DDC3" w14:textId="3609AC2F"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Characteristics of</w:t>
      </w:r>
      <w:r w:rsidR="00A43E16" w:rsidRPr="009D2E6D">
        <w:rPr>
          <w:rFonts w:ascii="Book Antiqua" w:hAnsi="Book Antiqua" w:cs="Times New Roman"/>
          <w:b/>
          <w:i/>
          <w:color w:val="000000" w:themeColor="text1"/>
          <w:kern w:val="0"/>
          <w:szCs w:val="24"/>
        </w:rPr>
        <w:t xml:space="preserve"> participating subjects and endoscopic findings</w:t>
      </w:r>
    </w:p>
    <w:p w14:paraId="6B7F46EA" w14:textId="003DD454" w:rsidR="00DD4B3C" w:rsidRPr="009D2E6D"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During the study period, a total of 3387 subjects were recruited. The majority of these individuals (</w:t>
      </w:r>
      <w:r w:rsidR="007574D8" w:rsidRPr="009D2E6D">
        <w:rPr>
          <w:rFonts w:ascii="Book Antiqua" w:hAnsi="Book Antiqua" w:cs="Times New Roman"/>
          <w:color w:val="000000" w:themeColor="text1"/>
          <w:kern w:val="0"/>
          <w:szCs w:val="24"/>
        </w:rPr>
        <w:t>68</w:t>
      </w:r>
      <w:r w:rsidRPr="009D2E6D">
        <w:rPr>
          <w:rFonts w:ascii="Book Antiqua" w:hAnsi="Book Antiqua" w:cs="Times New Roman"/>
          <w:color w:val="000000" w:themeColor="text1"/>
          <w:kern w:val="0"/>
          <w:szCs w:val="24"/>
        </w:rPr>
        <w:t xml:space="preserve">.5%, </w:t>
      </w:r>
      <w:r w:rsidRPr="00A43E16">
        <w:rPr>
          <w:rFonts w:ascii="Book Antiqua" w:hAnsi="Book Antiqua" w:cs="Times New Roman"/>
          <w:i/>
          <w:color w:val="000000" w:themeColor="text1"/>
          <w:kern w:val="0"/>
          <w:szCs w:val="24"/>
        </w:rPr>
        <w:t>n</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007574D8" w:rsidRPr="009D2E6D">
        <w:rPr>
          <w:rFonts w:ascii="Book Antiqua" w:hAnsi="Book Antiqua" w:cs="Times New Roman"/>
          <w:color w:val="000000" w:themeColor="text1"/>
          <w:kern w:val="0"/>
          <w:szCs w:val="24"/>
        </w:rPr>
        <w:t>2321</w:t>
      </w:r>
      <w:r w:rsidRPr="009D2E6D">
        <w:rPr>
          <w:rFonts w:ascii="Book Antiqua" w:hAnsi="Book Antiqua" w:cs="Times New Roman"/>
          <w:color w:val="000000" w:themeColor="text1"/>
          <w:kern w:val="0"/>
          <w:szCs w:val="24"/>
        </w:rPr>
        <w:t>) were physically robust and underwent their health check-up to rule out physical disorders, particularly malignancy. The remaining individuals were either employees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(21.9%, </w:t>
      </w:r>
      <w:r w:rsidRPr="00A43E16">
        <w:rPr>
          <w:rFonts w:ascii="Book Antiqua" w:hAnsi="Book Antiqua" w:cs="Times New Roman"/>
          <w:i/>
          <w:color w:val="000000" w:themeColor="text1"/>
          <w:kern w:val="0"/>
          <w:szCs w:val="24"/>
        </w:rPr>
        <w:t>n</w:t>
      </w:r>
      <w:r w:rsidR="00A43E16" w:rsidRPr="00A43E1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741) who were undergoing a regular physical check-up arranged by their employers or those suffering from physical discomforts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7574D8" w:rsidRPr="009D2E6D">
        <w:rPr>
          <w:rFonts w:ascii="Book Antiqua" w:hAnsi="Book Antiqua" w:cs="Times New Roman"/>
          <w:color w:val="000000" w:themeColor="text1"/>
          <w:kern w:val="0"/>
          <w:szCs w:val="24"/>
        </w:rPr>
        <w:t>9</w:t>
      </w:r>
      <w:r w:rsidRPr="009D2E6D">
        <w:rPr>
          <w:rFonts w:ascii="Book Antiqua" w:hAnsi="Book Antiqua" w:cs="Times New Roman"/>
          <w:color w:val="000000" w:themeColor="text1"/>
          <w:kern w:val="0"/>
          <w:szCs w:val="24"/>
        </w:rPr>
        <w:t xml:space="preserve">.6%, </w:t>
      </w:r>
      <w:r w:rsidRPr="00A43E16">
        <w:rPr>
          <w:rFonts w:ascii="Book Antiqua" w:hAnsi="Book Antiqua" w:cs="Times New Roman"/>
          <w:i/>
          <w:color w:val="000000" w:themeColor="text1"/>
          <w:kern w:val="0"/>
          <w:szCs w:val="24"/>
        </w:rPr>
        <w:t>n</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007574D8" w:rsidRPr="009D2E6D">
        <w:rPr>
          <w:rFonts w:ascii="Book Antiqua" w:hAnsi="Book Antiqua" w:cs="Times New Roman"/>
          <w:color w:val="000000" w:themeColor="text1"/>
          <w:kern w:val="0"/>
          <w:szCs w:val="24"/>
        </w:rPr>
        <w:t>325</w:t>
      </w:r>
      <w:r w:rsidRPr="009D2E6D">
        <w:rPr>
          <w:rFonts w:ascii="Book Antiqua" w:hAnsi="Book Antiqua" w:cs="Times New Roman"/>
          <w:color w:val="000000" w:themeColor="text1"/>
          <w:kern w:val="0"/>
          <w:szCs w:val="24"/>
        </w:rPr>
        <w:t>).</w:t>
      </w:r>
      <w:r w:rsidR="007574D8"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Of these, two who were aged below 20 years were excluded from the study. Thus, 3385 individuals (mean age, 51.29 ± 11.42 years; 57.1% male) were included in further analyses.</w:t>
      </w:r>
    </w:p>
    <w:p w14:paraId="0CD07E34" w14:textId="28C1D833" w:rsidR="00DD4B3C" w:rsidRDefault="00DD4B3C"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A total of 639 subjects were found to have reflux esophagitis, with a prevalence of 18.8%. Among them, males were predominant (</w:t>
      </w:r>
      <w:r w:rsidRPr="00A43E16">
        <w:rPr>
          <w:rFonts w:ascii="Book Antiqua" w:hAnsi="Book Antiqua" w:cs="Times New Roman"/>
          <w:i/>
          <w:color w:val="000000" w:themeColor="text1"/>
          <w:kern w:val="0"/>
          <w:szCs w:val="24"/>
        </w:rPr>
        <w:t>n</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519, 81.2%). ESEM was found in 423 (12.5%) individuals, and 89 among them were confirmed to have IM and presence of goblets cells </w:t>
      </w:r>
      <w:r w:rsidRPr="00A43E16">
        <w:rPr>
          <w:rFonts w:ascii="Book Antiqua" w:hAnsi="Book Antiqua" w:cs="Times New Roman"/>
          <w:i/>
          <w:color w:val="000000" w:themeColor="text1"/>
          <w:kern w:val="0"/>
          <w:szCs w:val="24"/>
        </w:rPr>
        <w:t>via</w:t>
      </w:r>
      <w:r w:rsidRPr="009D2E6D">
        <w:rPr>
          <w:rFonts w:ascii="Book Antiqua" w:hAnsi="Book Antiqua" w:cs="Times New Roman"/>
          <w:color w:val="000000" w:themeColor="text1"/>
          <w:kern w:val="0"/>
          <w:szCs w:val="24"/>
        </w:rPr>
        <w:t xml:space="preserve"> biopsy examination. Therefore, the overall prevalence of BE was 2.6%. The majority of these individuals were classified as SSBE cases (</w:t>
      </w:r>
      <w:r w:rsidRPr="009D2E6D">
        <w:rPr>
          <w:rFonts w:ascii="Book Antiqua" w:hAnsi="Book Antiqua" w:cs="Times New Roman"/>
          <w:i/>
          <w:color w:val="000000" w:themeColor="text1"/>
          <w:kern w:val="0"/>
          <w:szCs w:val="24"/>
        </w:rPr>
        <w:t>n</w:t>
      </w:r>
      <w:r w:rsidR="00A43E1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85) whereas the remaining four patients were considered to be LSBE cases. No dysplasia or adenocarcinoma was detected in any of the patients. Concomitant reflux esophagitis was identified in 31 of the 89 BE patients (34.8%).</w:t>
      </w:r>
    </w:p>
    <w:p w14:paraId="7BAFF7C9" w14:textId="77777777" w:rsidR="00A43E16" w:rsidRPr="009D2E6D" w:rsidRDefault="00A43E16"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p>
    <w:p w14:paraId="35863E13" w14:textId="403ECD95"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Risk</w:t>
      </w:r>
      <w:r w:rsidR="00A43E16" w:rsidRPr="009D2E6D">
        <w:rPr>
          <w:rFonts w:ascii="Book Antiqua" w:hAnsi="Book Antiqua" w:cs="Times New Roman"/>
          <w:b/>
          <w:i/>
          <w:color w:val="000000" w:themeColor="text1"/>
          <w:kern w:val="0"/>
          <w:szCs w:val="24"/>
        </w:rPr>
        <w:t xml:space="preserve"> factor</w:t>
      </w:r>
      <w:r w:rsidRPr="009D2E6D">
        <w:rPr>
          <w:rFonts w:ascii="Book Antiqua" w:hAnsi="Book Antiqua" w:cs="Times New Roman"/>
          <w:b/>
          <w:i/>
          <w:color w:val="000000" w:themeColor="text1"/>
          <w:kern w:val="0"/>
          <w:szCs w:val="24"/>
        </w:rPr>
        <w:t>s for BE</w:t>
      </w:r>
    </w:p>
    <w:p w14:paraId="7A0826AE" w14:textId="2A73D2AF"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The baseline characteristics of BE subjects and of individuals without BE were </w:t>
      </w:r>
      <w:r w:rsidRPr="009D2E6D">
        <w:rPr>
          <w:rFonts w:ascii="Book Antiqua" w:hAnsi="Book Antiqua" w:cs="Times New Roman"/>
          <w:color w:val="000000" w:themeColor="text1"/>
          <w:kern w:val="0"/>
          <w:szCs w:val="24"/>
        </w:rPr>
        <w:lastRenderedPageBreak/>
        <w:t>compared and shown in</w:t>
      </w:r>
      <w:r w:rsidRPr="00A43E16">
        <w:rPr>
          <w:rFonts w:ascii="Book Antiqua" w:hAnsi="Book Antiqua" w:cs="Times New Roman"/>
          <w:color w:val="000000" w:themeColor="text1"/>
          <w:kern w:val="0"/>
          <w:szCs w:val="24"/>
        </w:rPr>
        <w:t xml:space="preserve"> Table 1</w:t>
      </w:r>
      <w:r w:rsidRPr="009D2E6D">
        <w:rPr>
          <w:rFonts w:ascii="Book Antiqua" w:hAnsi="Book Antiqua" w:cs="Times New Roman"/>
          <w:color w:val="000000" w:themeColor="text1"/>
          <w:kern w:val="0"/>
          <w:szCs w:val="24"/>
        </w:rPr>
        <w:t>. The mean age was significantly higher in individuals with BE than in those without BE. Male gender, alcohol consumption, betel nut consumption, cigarette smoking, ingestion of tea, hypertension, history of cardiovascular disease, abnormal waist circumference and high BMI were more common among BE subjects. Endoscopic findings such as hiatal hernia and reflux esophagitis were discovered more frequently in the BE group. Multivariate analysis rev</w:t>
      </w:r>
      <w:r w:rsidR="00A43E16">
        <w:rPr>
          <w:rFonts w:ascii="Book Antiqua" w:hAnsi="Book Antiqua" w:cs="Times New Roman"/>
          <w:color w:val="000000" w:themeColor="text1"/>
          <w:kern w:val="0"/>
          <w:szCs w:val="24"/>
        </w:rPr>
        <w:t>ealed that old age [odds ratio (OR) = 1.033; 95%confidence interval (CI):</w:t>
      </w:r>
      <w:r w:rsidRPr="009D2E6D">
        <w:rPr>
          <w:rFonts w:ascii="Book Antiqua" w:hAnsi="Book Antiqua" w:cs="Times New Roman"/>
          <w:color w:val="000000" w:themeColor="text1"/>
          <w:kern w:val="0"/>
          <w:szCs w:val="24"/>
        </w:rPr>
        <w:t xml:space="preserve"> 1.012</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1.055; </w:t>
      </w:r>
      <w:r w:rsidRPr="009D2E6D">
        <w:rPr>
          <w:rFonts w:ascii="Book Antiqua" w:hAnsi="Book Antiqua" w:cs="Times New Roman"/>
          <w:i/>
          <w:color w:val="000000" w:themeColor="text1"/>
          <w:kern w:val="0"/>
          <w:szCs w:val="24"/>
        </w:rPr>
        <w:t>P</w:t>
      </w:r>
      <w:r w:rsidR="00A43E16">
        <w:rPr>
          <w:rFonts w:ascii="Book Antiqua" w:hAnsi="Book Antiqua" w:cs="Times New Roman"/>
          <w:color w:val="000000" w:themeColor="text1"/>
          <w:kern w:val="0"/>
          <w:szCs w:val="24"/>
        </w:rPr>
        <w:t xml:space="preserve"> = 0.002]</w:t>
      </w:r>
      <w:r w:rsidRPr="009D2E6D">
        <w:rPr>
          <w:rFonts w:ascii="Book Antiqua" w:hAnsi="Book Antiqua" w:cs="Times New Roman"/>
          <w:color w:val="000000" w:themeColor="text1"/>
          <w:kern w:val="0"/>
          <w:szCs w:val="24"/>
        </w:rPr>
        <w:t xml:space="preserve">, male gender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2.106;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1.145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3.872; </w:t>
      </w:r>
      <w:r w:rsidRPr="009D2E6D">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0.017), ingestion of tea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1.695;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1.043</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2.754; </w:t>
      </w:r>
      <w:r w:rsidRPr="009D2E6D">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0.033), and presence of hiatal hernia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3.037;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1.765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5.225; </w:t>
      </w:r>
      <w:r w:rsidRPr="009D2E6D">
        <w:rPr>
          <w:rFonts w:ascii="Book Antiqua" w:hAnsi="Book Antiqua" w:cs="Times New Roman"/>
          <w:i/>
          <w:color w:val="000000" w:themeColor="text1"/>
          <w:kern w:val="0"/>
          <w:szCs w:val="24"/>
        </w:rPr>
        <w:t>P</w:t>
      </w:r>
      <w:r w:rsidR="00A43E1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 xml:space="preserve">&lt; 0.001) were significant risk factors </w:t>
      </w:r>
      <w:r w:rsidRPr="00A43E16">
        <w:rPr>
          <w:rFonts w:ascii="Book Antiqua" w:hAnsi="Book Antiqua" w:cs="Times New Roman"/>
          <w:color w:val="000000" w:themeColor="text1"/>
          <w:kern w:val="0"/>
          <w:szCs w:val="24"/>
        </w:rPr>
        <w:t>predicting BE (Table 2).</w:t>
      </w:r>
    </w:p>
    <w:p w14:paraId="2D4FB314"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25C0E1DD" w14:textId="010E4755"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 xml:space="preserve">Risk </w:t>
      </w:r>
      <w:r w:rsidR="00A43E16" w:rsidRPr="009D2E6D">
        <w:rPr>
          <w:rFonts w:ascii="Book Antiqua" w:hAnsi="Book Antiqua" w:cs="Times New Roman"/>
          <w:b/>
          <w:i/>
          <w:color w:val="000000" w:themeColor="text1"/>
          <w:kern w:val="0"/>
          <w:szCs w:val="24"/>
        </w:rPr>
        <w:t xml:space="preserve">factors predicting the presence of </w:t>
      </w:r>
      <w:r w:rsidR="00A43E16">
        <w:rPr>
          <w:rFonts w:ascii="Book Antiqua" w:hAnsi="Book Antiqua" w:cs="Times New Roman"/>
          <w:b/>
          <w:i/>
          <w:color w:val="000000" w:themeColor="text1"/>
          <w:kern w:val="0"/>
          <w:szCs w:val="24"/>
        </w:rPr>
        <w:t>IM</w:t>
      </w:r>
      <w:r w:rsidR="00A43E16" w:rsidRPr="009D2E6D">
        <w:rPr>
          <w:rFonts w:ascii="Book Antiqua" w:hAnsi="Book Antiqua" w:cs="Times New Roman"/>
          <w:b/>
          <w:i/>
          <w:color w:val="000000" w:themeColor="text1"/>
          <w:kern w:val="0"/>
          <w:szCs w:val="24"/>
        </w:rPr>
        <w:t xml:space="preserve"> in t</w:t>
      </w:r>
      <w:r w:rsidRPr="009D2E6D">
        <w:rPr>
          <w:rFonts w:ascii="Book Antiqua" w:hAnsi="Book Antiqua" w:cs="Times New Roman"/>
          <w:b/>
          <w:i/>
          <w:color w:val="000000" w:themeColor="text1"/>
          <w:kern w:val="0"/>
          <w:szCs w:val="24"/>
        </w:rPr>
        <w:t xml:space="preserve">he ESEM </w:t>
      </w:r>
      <w:r w:rsidR="00A43E16" w:rsidRPr="009D2E6D">
        <w:rPr>
          <w:rFonts w:ascii="Book Antiqua" w:hAnsi="Book Antiqua" w:cs="Times New Roman"/>
          <w:b/>
          <w:i/>
          <w:color w:val="000000" w:themeColor="text1"/>
          <w:kern w:val="0"/>
          <w:szCs w:val="24"/>
        </w:rPr>
        <w:t>lesions</w:t>
      </w:r>
    </w:p>
    <w:p w14:paraId="73A5B07A" w14:textId="16E5FD33" w:rsidR="00DD4B3C" w:rsidRPr="00A43E16"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Of the 423 individuals with ESEM, IM was detected using histology examination in 89 subjects. The ESEM subjects were further divided into two groups based on the presence of IM and their baseline characteristics were compared </w:t>
      </w:r>
      <w:r w:rsidRPr="00A43E16">
        <w:rPr>
          <w:rFonts w:ascii="Book Antiqua" w:hAnsi="Book Antiqua" w:cs="Times New Roman"/>
          <w:color w:val="000000" w:themeColor="text1"/>
          <w:kern w:val="0"/>
          <w:szCs w:val="24"/>
        </w:rPr>
        <w:t>(Table 3).</w:t>
      </w:r>
      <w:r w:rsidRPr="009D2E6D">
        <w:rPr>
          <w:rFonts w:ascii="Book Antiqua" w:hAnsi="Book Antiqua" w:cs="Times New Roman"/>
          <w:color w:val="000000" w:themeColor="text1"/>
          <w:kern w:val="0"/>
          <w:szCs w:val="24"/>
        </w:rPr>
        <w:t xml:space="preserve"> Univariate analysis revealed that subjects with IM were more likely to be older in age, of male gender, have abnormal waist circumference, and have history of hypertension or cardiovascular disease. Multivariate analysis showed that old age </w:t>
      </w:r>
      <w:r w:rsidR="00A43E16">
        <w:rPr>
          <w:rFonts w:ascii="Book Antiqua" w:hAnsi="Book Antiqua" w:cs="Times New Roman"/>
          <w:color w:val="000000" w:themeColor="text1"/>
          <w:kern w:val="0"/>
          <w:szCs w:val="24"/>
        </w:rPr>
        <w:t>(OR = 1.029; 95%CI:</w:t>
      </w:r>
      <w:r w:rsidRPr="009D2E6D">
        <w:rPr>
          <w:rFonts w:ascii="Book Antiqua" w:hAnsi="Book Antiqua" w:cs="Times New Roman"/>
          <w:color w:val="000000" w:themeColor="text1"/>
          <w:kern w:val="0"/>
          <w:szCs w:val="24"/>
        </w:rPr>
        <w:t xml:space="preserve"> 1.006</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1.053; </w:t>
      </w:r>
      <w:r w:rsidRPr="00A43E1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0.014) was the only significant risk factor predicting the presence of IM </w:t>
      </w:r>
      <w:r w:rsidRPr="00A43E16">
        <w:rPr>
          <w:rFonts w:ascii="Book Antiqua" w:hAnsi="Book Antiqua" w:cs="Times New Roman"/>
          <w:color w:val="000000" w:themeColor="text1"/>
          <w:kern w:val="0"/>
          <w:szCs w:val="24"/>
        </w:rPr>
        <w:t>(Table 4).</w:t>
      </w:r>
    </w:p>
    <w:p w14:paraId="36702651" w14:textId="77777777" w:rsidR="00DD4B3C" w:rsidRPr="009D2E6D" w:rsidRDefault="00DD4B3C" w:rsidP="009D2E6D">
      <w:pPr>
        <w:autoSpaceDE w:val="0"/>
        <w:autoSpaceDN w:val="0"/>
        <w:adjustRightInd w:val="0"/>
        <w:snapToGrid w:val="0"/>
        <w:spacing w:line="360" w:lineRule="auto"/>
        <w:ind w:firstLineChars="100" w:firstLine="240"/>
        <w:jc w:val="both"/>
        <w:rPr>
          <w:rFonts w:ascii="Book Antiqua" w:hAnsi="Book Antiqua" w:cs="Times New Roman"/>
          <w:color w:val="000000" w:themeColor="text1"/>
          <w:kern w:val="0"/>
          <w:szCs w:val="24"/>
        </w:rPr>
      </w:pPr>
    </w:p>
    <w:p w14:paraId="077ABDC8"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color w:val="000000" w:themeColor="text1"/>
          <w:kern w:val="0"/>
          <w:szCs w:val="24"/>
        </w:rPr>
      </w:pPr>
      <w:r w:rsidRPr="009D2E6D">
        <w:rPr>
          <w:rFonts w:ascii="Book Antiqua" w:hAnsi="Book Antiqua" w:cs="Times New Roman"/>
          <w:b/>
          <w:color w:val="000000" w:themeColor="text1"/>
          <w:kern w:val="0"/>
          <w:szCs w:val="24"/>
        </w:rPr>
        <w:t>DISCUSSION</w:t>
      </w:r>
    </w:p>
    <w:p w14:paraId="0ACF58A8" w14:textId="77777777" w:rsidR="00DD4B3C" w:rsidRPr="009D2E6D"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The current study showed that the prevalence of reflux esophagitis and BE in subjects undergoing routine health check-up in Taiwan was 18.8% and 2.6%, respectively. The data indicate that the prevalence of BE among the general population in Taiwan is comparable with that in the western countries, ranging from 0.5% to 2%. Our study also demonstrated that old age, male gender, ingestion of tea, and hiatal hernia were the independent risk factors </w:t>
      </w:r>
      <w:r w:rsidRPr="009D2E6D">
        <w:rPr>
          <w:rFonts w:ascii="Book Antiqua" w:hAnsi="Book Antiqua" w:cs="Times New Roman"/>
          <w:color w:val="000000" w:themeColor="text1"/>
          <w:kern w:val="0"/>
          <w:szCs w:val="24"/>
        </w:rPr>
        <w:lastRenderedPageBreak/>
        <w:t>predicting the presence of BE. In the subjects with ESEM, old age was the only independent risk factor associated with the presence of specialized IM.</w:t>
      </w:r>
    </w:p>
    <w:p w14:paraId="4F88E4F2" w14:textId="08F4DE8C"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Guidelines of the </w:t>
      </w:r>
      <w:r>
        <w:rPr>
          <w:rFonts w:ascii="Book Antiqua" w:hAnsi="Book Antiqua" w:cs="Times New Roman"/>
          <w:color w:val="000000" w:themeColor="text1"/>
          <w:kern w:val="0"/>
          <w:szCs w:val="24"/>
        </w:rPr>
        <w:t>ACG</w:t>
      </w:r>
      <w:r w:rsidR="00DD4B3C" w:rsidRPr="009D2E6D">
        <w:rPr>
          <w:rFonts w:ascii="Book Antiqua" w:hAnsi="Book Antiqua" w:cs="Times New Roman"/>
          <w:color w:val="000000" w:themeColor="text1"/>
          <w:kern w:val="0"/>
          <w:szCs w:val="24"/>
        </w:rPr>
        <w:t xml:space="preserve"> define BE as any change in length of distal esophageal epithelium that can be recognized as columnar type mucosa in endoscopy and confirmed to have intestinal metaplasia </w:t>
      </w:r>
      <w:r w:rsidR="00DD4B3C" w:rsidRPr="00A43E16">
        <w:rPr>
          <w:rFonts w:ascii="Book Antiqua" w:hAnsi="Book Antiqua" w:cs="Times New Roman"/>
          <w:i/>
          <w:color w:val="000000" w:themeColor="text1"/>
          <w:kern w:val="0"/>
          <w:szCs w:val="24"/>
        </w:rPr>
        <w:t>via</w:t>
      </w:r>
      <w:r w:rsidR="00DD4B3C" w:rsidRPr="009D2E6D">
        <w:rPr>
          <w:rFonts w:ascii="Book Antiqua" w:hAnsi="Book Antiqua" w:cs="Times New Roman"/>
          <w:color w:val="000000" w:themeColor="text1"/>
          <w:kern w:val="0"/>
          <w:szCs w:val="24"/>
        </w:rPr>
        <w:t xml:space="preserve"> biopsy of the tubular esophagus. The updated ACG guideline recommends that biopsy is crucial to confirm the presence of IM, because </w:t>
      </w:r>
      <w:r w:rsidR="00DD4B3C" w:rsidRPr="009D2E6D">
        <w:rPr>
          <w:rFonts w:ascii="Book Antiqua" w:eastAsia="PMingLiU" w:hAnsi="Book Antiqua" w:cs="Times New Roman"/>
          <w:color w:val="000000" w:themeColor="text1"/>
          <w:kern w:val="0"/>
          <w:szCs w:val="24"/>
        </w:rPr>
        <w:t>esophageal or gastric cardia cancer risk in subjects with columnar lined epithelium of the esophagus</w:t>
      </w:r>
      <w:r w:rsidR="00DD4B3C" w:rsidRPr="009D2E6D">
        <w:rPr>
          <w:rFonts w:ascii="Book Antiqua" w:hAnsi="Book Antiqua" w:cs="Times New Roman"/>
          <w:color w:val="000000" w:themeColor="text1"/>
          <w:kern w:val="0"/>
          <w:szCs w:val="24"/>
        </w:rPr>
        <w:t xml:space="preserve"> was significantly elevated in those with IM over those without IM in a population-based cohort stu</w:t>
      </w:r>
      <w:r>
        <w:rPr>
          <w:rFonts w:ascii="Book Antiqua" w:hAnsi="Book Antiqua" w:cs="Times New Roman"/>
          <w:color w:val="000000" w:themeColor="text1"/>
          <w:kern w:val="0"/>
          <w:szCs w:val="24"/>
        </w:rPr>
        <w:t>dy (0.38% per year</w:t>
      </w:r>
      <w:r w:rsidRPr="00A43E16">
        <w:rPr>
          <w:rFonts w:ascii="Book Antiqua" w:hAnsi="Book Antiqua" w:cs="Times New Roman"/>
          <w:i/>
          <w:color w:val="000000" w:themeColor="text1"/>
          <w:kern w:val="0"/>
          <w:szCs w:val="24"/>
        </w:rPr>
        <w:t xml:space="preserve"> vs</w:t>
      </w:r>
      <w:r w:rsidR="00DD4B3C" w:rsidRPr="009D2E6D">
        <w:rPr>
          <w:rFonts w:ascii="Book Antiqua" w:hAnsi="Book Antiqua" w:cs="Times New Roman"/>
          <w:color w:val="000000" w:themeColor="text1"/>
          <w:kern w:val="0"/>
          <w:szCs w:val="24"/>
        </w:rPr>
        <w:t xml:space="preserve"> 0.07% per year, respectively)</w:t>
      </w:r>
      <w:r w:rsidR="00DD4B3C" w:rsidRPr="009D2E6D">
        <w:rPr>
          <w:rFonts w:ascii="Book Antiqua" w:hAnsi="Book Antiqua" w:cs="Times New Roman"/>
          <w:color w:val="000000" w:themeColor="text1"/>
          <w:kern w:val="0"/>
          <w:szCs w:val="24"/>
          <w:vertAlign w:val="superscript"/>
        </w:rPr>
        <w:t>[21]</w:t>
      </w:r>
      <w:r w:rsidR="00DD4B3C" w:rsidRPr="009D2E6D">
        <w:rPr>
          <w:rFonts w:ascii="Book Antiqua" w:hAnsi="Book Antiqua" w:cs="Times New Roman"/>
          <w:color w:val="000000" w:themeColor="text1"/>
          <w:kern w:val="0"/>
          <w:szCs w:val="24"/>
        </w:rPr>
        <w:t>. Based on the definition, the prevalence of BE among the general population in Asia has been reported to range from 0.06% to 1</w:t>
      </w:r>
      <w:proofErr w:type="gramStart"/>
      <w:r w:rsidR="00DD4B3C"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16,17,22,</w:t>
      </w:r>
      <w:r w:rsidR="00DD4B3C" w:rsidRPr="009D2E6D">
        <w:rPr>
          <w:rFonts w:ascii="Book Antiqua" w:hAnsi="Book Antiqua" w:cs="Times New Roman"/>
          <w:color w:val="000000" w:themeColor="text1"/>
          <w:kern w:val="0"/>
          <w:szCs w:val="24"/>
          <w:vertAlign w:val="superscript"/>
        </w:rPr>
        <w:t>23]</w:t>
      </w:r>
      <w:r w:rsidR="00DD4B3C" w:rsidRPr="009D2E6D">
        <w:rPr>
          <w:rFonts w:ascii="Book Antiqua" w:hAnsi="Book Antiqua" w:cs="Times New Roman"/>
          <w:color w:val="000000" w:themeColor="text1"/>
          <w:kern w:val="0"/>
          <w:szCs w:val="24"/>
        </w:rPr>
        <w:t>. A previous study in a medical center of Taiwan reported that the prevalence of BE among individuals undergoing routine health check-up was 0.06</w:t>
      </w:r>
      <w:proofErr w:type="gramStart"/>
      <w:r w:rsidR="00DD4B3C" w:rsidRPr="009D2E6D">
        <w:rPr>
          <w:rFonts w:ascii="Book Antiqua" w:hAnsi="Book Antiqua" w:cs="Times New Roman"/>
          <w:color w:val="000000" w:themeColor="text1"/>
          <w:kern w:val="0"/>
          <w:szCs w:val="24"/>
        </w:rPr>
        <w:t>%</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17]</w:t>
      </w:r>
      <w:r>
        <w:rPr>
          <w:rFonts w:ascii="Book Antiqua" w:hAnsi="Book Antiqua" w:cs="Times New Roman"/>
          <w:color w:val="000000" w:themeColor="text1"/>
          <w:kern w:val="0"/>
          <w:szCs w:val="24"/>
        </w:rPr>
        <w:t xml:space="preserve">. Park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22]</w:t>
      </w:r>
      <w:r w:rsidR="00DD4B3C" w:rsidRPr="009D2E6D">
        <w:rPr>
          <w:rFonts w:ascii="Book Antiqua" w:hAnsi="Book Antiqua" w:cs="Times New Roman"/>
          <w:color w:val="000000" w:themeColor="text1"/>
          <w:kern w:val="0"/>
          <w:szCs w:val="24"/>
        </w:rPr>
        <w:t xml:space="preserve"> conducted a nationwide study in </w:t>
      </w:r>
      <w:r>
        <w:rPr>
          <w:rFonts w:ascii="Book Antiqua" w:hAnsi="Book Antiqua" w:cs="Times New Roman"/>
          <w:color w:val="000000" w:themeColor="text1"/>
          <w:kern w:val="0"/>
          <w:szCs w:val="24"/>
        </w:rPr>
        <w:t xml:space="preserve">South </w:t>
      </w:r>
      <w:r w:rsidR="00DD4B3C" w:rsidRPr="009D2E6D">
        <w:rPr>
          <w:rFonts w:ascii="Book Antiqua" w:hAnsi="Book Antiqua" w:cs="Times New Roman"/>
          <w:color w:val="000000" w:themeColor="text1"/>
          <w:kern w:val="0"/>
          <w:szCs w:val="24"/>
        </w:rPr>
        <w:t xml:space="preserve">Korea and found a 0.84% prevalence of </w:t>
      </w:r>
      <w:bookmarkStart w:id="41" w:name="_Hlk521010273"/>
      <w:bookmarkStart w:id="42" w:name="_Hlk521006631"/>
      <w:r w:rsidR="00DD4B3C" w:rsidRPr="009D2E6D">
        <w:rPr>
          <w:rFonts w:ascii="Book Antiqua" w:hAnsi="Book Antiqua" w:cs="Times New Roman"/>
          <w:color w:val="000000" w:themeColor="text1"/>
          <w:kern w:val="0"/>
          <w:szCs w:val="24"/>
        </w:rPr>
        <w:t>histology-proven</w:t>
      </w:r>
      <w:bookmarkEnd w:id="41"/>
      <w:r w:rsidR="00DD4B3C" w:rsidRPr="009D2E6D">
        <w:rPr>
          <w:rFonts w:ascii="Book Antiqua" w:hAnsi="Book Antiqua" w:cs="Times New Roman"/>
          <w:color w:val="000000" w:themeColor="text1"/>
          <w:kern w:val="0"/>
          <w:szCs w:val="24"/>
        </w:rPr>
        <w:t xml:space="preserve"> BE</w:t>
      </w:r>
      <w:bookmarkEnd w:id="42"/>
      <w:r w:rsidR="00DD4B3C" w:rsidRPr="009D2E6D">
        <w:rPr>
          <w:rFonts w:ascii="Book Antiqua" w:hAnsi="Book Antiqua" w:cs="Times New Roman"/>
          <w:color w:val="000000" w:themeColor="text1"/>
          <w:kern w:val="0"/>
          <w:szCs w:val="24"/>
        </w:rPr>
        <w:t xml:space="preserve"> in individuals undergoing routine health check-up. Pen</w:t>
      </w:r>
      <w:r>
        <w:rPr>
          <w:rFonts w:ascii="Book Antiqua" w:hAnsi="Book Antiqua" w:cs="Times New Roman"/>
          <w:color w:val="000000" w:themeColor="text1"/>
          <w:kern w:val="0"/>
          <w:szCs w:val="24"/>
        </w:rPr>
        <w:t xml:space="preserve">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23]</w:t>
      </w:r>
      <w:r w:rsidR="00DD4B3C" w:rsidRPr="009D2E6D">
        <w:rPr>
          <w:rFonts w:ascii="Book Antiqua" w:hAnsi="Book Antiqua" w:cs="Times New Roman"/>
          <w:color w:val="000000" w:themeColor="text1"/>
          <w:kern w:val="0"/>
          <w:szCs w:val="24"/>
        </w:rPr>
        <w:t xml:space="preserve"> reported a 1% prevalence of </w:t>
      </w:r>
      <w:bookmarkStart w:id="43" w:name="_Hlk521072436"/>
      <w:r w:rsidR="00DD4B3C" w:rsidRPr="009D2E6D">
        <w:rPr>
          <w:rFonts w:ascii="Book Antiqua" w:hAnsi="Book Antiqua" w:cs="Times New Roman"/>
          <w:color w:val="000000" w:themeColor="text1"/>
          <w:kern w:val="0"/>
          <w:szCs w:val="24"/>
        </w:rPr>
        <w:t>histology-proven BE</w:t>
      </w:r>
      <w:bookmarkEnd w:id="43"/>
      <w:r w:rsidR="00DD4B3C" w:rsidRPr="009D2E6D">
        <w:rPr>
          <w:rFonts w:ascii="Book Antiqua" w:hAnsi="Book Antiqua" w:cs="Times New Roman"/>
          <w:color w:val="000000" w:themeColor="text1"/>
          <w:kern w:val="0"/>
          <w:szCs w:val="24"/>
        </w:rPr>
        <w:t xml:space="preserve"> among the general population in China. The current study defined BE as ESEM </w:t>
      </w:r>
      <w:bookmarkStart w:id="44" w:name="_Hlk521072481"/>
      <w:r w:rsidR="00DD4B3C" w:rsidRPr="009D2E6D">
        <w:rPr>
          <w:rFonts w:ascii="Book Antiqua" w:hAnsi="Book Antiqua" w:cs="Times New Roman"/>
          <w:color w:val="000000" w:themeColor="text1"/>
          <w:szCs w:val="24"/>
        </w:rPr>
        <w:t>≥</w:t>
      </w:r>
      <w:r>
        <w:rPr>
          <w:rFonts w:ascii="Book Antiqua" w:hAnsi="Book Antiqua" w:cs="Times New Roman"/>
          <w:color w:val="000000" w:themeColor="text1"/>
          <w:szCs w:val="24"/>
        </w:rPr>
        <w:t xml:space="preserve"> </w:t>
      </w:r>
      <w:r w:rsidR="00DD4B3C" w:rsidRPr="009D2E6D">
        <w:rPr>
          <w:rFonts w:ascii="Book Antiqua" w:eastAsia="PMingLiU" w:hAnsi="Book Antiqua" w:cs="Times New Roman"/>
          <w:color w:val="000000" w:themeColor="text1"/>
          <w:szCs w:val="24"/>
        </w:rPr>
        <w:t>1 cm</w:t>
      </w:r>
      <w:bookmarkEnd w:id="44"/>
      <w:r w:rsidR="00DD4B3C" w:rsidRPr="009D2E6D">
        <w:rPr>
          <w:rFonts w:ascii="Book Antiqua" w:eastAsia="PMingLiU" w:hAnsi="Book Antiqua" w:cs="Times New Roman"/>
          <w:color w:val="000000" w:themeColor="text1"/>
          <w:szCs w:val="24"/>
        </w:rPr>
        <w:t xml:space="preserve"> with the presence of biopsy-proven IM, and demonstrated that the prevalence of BE among the general population was </w:t>
      </w:r>
      <w:r w:rsidR="00DD4B3C" w:rsidRPr="009D2E6D">
        <w:rPr>
          <w:rFonts w:ascii="Book Antiqua" w:hAnsi="Book Antiqua" w:cs="Times New Roman"/>
          <w:color w:val="000000" w:themeColor="text1"/>
          <w:kern w:val="0"/>
          <w:szCs w:val="24"/>
        </w:rPr>
        <w:t xml:space="preserve">2.6% </w:t>
      </w:r>
      <w:r w:rsidR="00DD4B3C" w:rsidRPr="009D2E6D">
        <w:rPr>
          <w:rFonts w:ascii="Book Antiqua" w:eastAsia="PMingLiU" w:hAnsi="Book Antiqua" w:cs="Times New Roman"/>
          <w:color w:val="000000" w:themeColor="text1"/>
          <w:szCs w:val="24"/>
        </w:rPr>
        <w:t>in Taiwan,</w:t>
      </w:r>
      <w:r w:rsidR="00DD4B3C" w:rsidRPr="009D2E6D">
        <w:rPr>
          <w:rFonts w:ascii="Book Antiqua" w:hAnsi="Book Antiqua" w:cs="Times New Roman"/>
          <w:color w:val="000000" w:themeColor="text1"/>
          <w:kern w:val="0"/>
          <w:szCs w:val="24"/>
        </w:rPr>
        <w:t xml:space="preserve"> indicating that BE is not an uncommon disease in Taiwan currently.</w:t>
      </w:r>
    </w:p>
    <w:p w14:paraId="51C3EF6E" w14:textId="3D651CB2"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highlight w:val="yellow"/>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Previously well-discussed risk factors for BE have included older age, male gender and hiatal hernia, consistent with our </w:t>
      </w:r>
      <w:proofErr w:type="gramStart"/>
      <w:r w:rsidR="00DD4B3C" w:rsidRPr="009D2E6D">
        <w:rPr>
          <w:rFonts w:ascii="Book Antiqua" w:hAnsi="Book Antiqua" w:cs="Times New Roman"/>
          <w:color w:val="000000" w:themeColor="text1"/>
          <w:kern w:val="0"/>
          <w:szCs w:val="24"/>
        </w:rPr>
        <w:t>findings</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11,23,</w:t>
      </w:r>
      <w:r w:rsidR="00DD4B3C" w:rsidRPr="009D2E6D">
        <w:rPr>
          <w:rFonts w:ascii="Book Antiqua" w:hAnsi="Book Antiqua" w:cs="Times New Roman"/>
          <w:color w:val="000000" w:themeColor="text1"/>
          <w:kern w:val="0"/>
          <w:szCs w:val="24"/>
          <w:vertAlign w:val="superscript"/>
        </w:rPr>
        <w:t>24]</w:t>
      </w:r>
      <w:r w:rsidR="00DD4B3C" w:rsidRPr="009D2E6D">
        <w:rPr>
          <w:rFonts w:ascii="Book Antiqua" w:hAnsi="Book Antiqua" w:cs="Times New Roman"/>
          <w:color w:val="000000" w:themeColor="text1"/>
          <w:kern w:val="0"/>
          <w:szCs w:val="24"/>
        </w:rPr>
        <w:t xml:space="preserve">. Individuals of old age and male gender might have a predisposition for the development of BE based on epidemiological data, but the underlying mechanisms accounting for the associations between the development of BE and the two risk factors need further investigations. Phenomena such as impaired esophageal motility or gastric emptying and decreased </w:t>
      </w:r>
      <w:bookmarkStart w:id="45" w:name="OLE_LINK562"/>
      <w:r w:rsidR="00DD4B3C" w:rsidRPr="009D2E6D">
        <w:rPr>
          <w:rFonts w:ascii="Book Antiqua" w:hAnsi="Book Antiqua" w:cs="Times New Roman"/>
          <w:color w:val="000000" w:themeColor="text1"/>
          <w:kern w:val="0"/>
          <w:szCs w:val="24"/>
        </w:rPr>
        <w:t>lower esophageal sphincter</w:t>
      </w:r>
      <w:bookmarkEnd w:id="45"/>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(LES) tone have been observed in many elderly individuals, and the risk of acid-related esophageal mucosal injury might increase </w:t>
      </w:r>
      <w:proofErr w:type="gramStart"/>
      <w:r w:rsidR="00DD4B3C" w:rsidRPr="009D2E6D">
        <w:rPr>
          <w:rFonts w:ascii="Book Antiqua" w:hAnsi="Book Antiqua" w:cs="Times New Roman"/>
          <w:color w:val="000000" w:themeColor="text1"/>
          <w:kern w:val="0"/>
          <w:szCs w:val="24"/>
        </w:rPr>
        <w:t>subsequently</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25]</w:t>
      </w:r>
      <w:r w:rsidR="00DD4B3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lastRenderedPageBreak/>
        <w:t xml:space="preserve">Further, gender-related differences in physiology and pathophysiology of the alimentary tract might contribute to the preponderance of BE in males. Estrogen has been found to have anti-inflammatory activity, contributing to tissue resistance in females in animal </w:t>
      </w:r>
      <w:proofErr w:type="gramStart"/>
      <w:r w:rsidR="00DD4B3C" w:rsidRPr="009D2E6D">
        <w:rPr>
          <w:rFonts w:ascii="Book Antiqua" w:hAnsi="Book Antiqua" w:cs="Times New Roman"/>
          <w:color w:val="000000" w:themeColor="text1"/>
          <w:kern w:val="0"/>
          <w:szCs w:val="24"/>
        </w:rPr>
        <w:t>models</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26,</w:t>
      </w:r>
      <w:r w:rsidR="00DD4B3C" w:rsidRPr="009D2E6D">
        <w:rPr>
          <w:rFonts w:ascii="Book Antiqua" w:hAnsi="Book Antiqua" w:cs="Times New Roman"/>
          <w:color w:val="000000" w:themeColor="text1"/>
          <w:kern w:val="0"/>
          <w:szCs w:val="24"/>
          <w:vertAlign w:val="superscript"/>
        </w:rPr>
        <w:t>27]</w:t>
      </w:r>
      <w:r w:rsidR="00DD4B3C" w:rsidRPr="009D2E6D">
        <w:rPr>
          <w:rFonts w:ascii="Book Antiqua" w:hAnsi="Book Antiqua" w:cs="Times New Roman"/>
          <w:color w:val="000000" w:themeColor="text1"/>
          <w:kern w:val="0"/>
          <w:szCs w:val="24"/>
        </w:rPr>
        <w:t xml:space="preserve">. Recently, </w:t>
      </w:r>
      <w:proofErr w:type="spellStart"/>
      <w:r w:rsidR="00DD4B3C" w:rsidRPr="009D2E6D">
        <w:rPr>
          <w:rFonts w:ascii="Book Antiqua" w:hAnsi="Book Antiqua" w:cs="Times New Roman"/>
          <w:color w:val="000000" w:themeColor="text1"/>
          <w:kern w:val="0"/>
          <w:szCs w:val="24"/>
        </w:rPr>
        <w:t>Masaka</w:t>
      </w:r>
      <w:proofErr w:type="spellEnd"/>
      <w:r w:rsidR="00DD4B3C" w:rsidRPr="009D2E6D">
        <w:rPr>
          <w:rFonts w:ascii="Book Antiqua" w:hAnsi="Book Antiqua" w:cs="Times New Roman"/>
          <w:color w:val="000000" w:themeColor="text1"/>
          <w:kern w:val="0"/>
          <w:szCs w:val="24"/>
        </w:rPr>
        <w:t xml:space="preserve"> </w:t>
      </w:r>
      <w:r w:rsidR="00DD4B3C" w:rsidRPr="00A43E16">
        <w:rPr>
          <w:rFonts w:ascii="Book Antiqua" w:hAnsi="Book Antiqua" w:cs="Times New Roman"/>
          <w:i/>
          <w:color w:val="000000" w:themeColor="text1"/>
          <w:kern w:val="0"/>
          <w:szCs w:val="24"/>
        </w:rPr>
        <w:t xml:space="preserve">et </w:t>
      </w:r>
      <w:proofErr w:type="gramStart"/>
      <w:r w:rsidR="00DD4B3C" w:rsidRPr="00A43E16">
        <w:rPr>
          <w:rFonts w:ascii="Book Antiqua" w:hAnsi="Book Antiqua" w:cs="Times New Roman"/>
          <w:i/>
          <w:color w:val="000000" w:themeColor="text1"/>
          <w:kern w:val="0"/>
          <w:szCs w:val="24"/>
        </w:rPr>
        <w:t>al</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26]</w:t>
      </w:r>
      <w:r w:rsidR="00DD4B3C" w:rsidRPr="009D2E6D">
        <w:rPr>
          <w:rFonts w:ascii="Book Antiqua" w:hAnsi="Book Antiqua" w:cs="Times New Roman"/>
          <w:color w:val="000000" w:themeColor="text1"/>
          <w:kern w:val="0"/>
          <w:szCs w:val="24"/>
        </w:rPr>
        <w:t xml:space="preserve"> explored the role of estrogen (E2) in protecting esophageal damage in a chronic rat reflux esophagitis model. In addition, significant male-predominance in esophageal tissue damage due to exogenous nitric oxide (NO) has been </w:t>
      </w:r>
      <w:proofErr w:type="gramStart"/>
      <w:r w:rsidR="00DD4B3C" w:rsidRPr="009D2E6D">
        <w:rPr>
          <w:rFonts w:ascii="Book Antiqua" w:hAnsi="Book Antiqua" w:cs="Times New Roman"/>
          <w:color w:val="000000" w:themeColor="text1"/>
          <w:kern w:val="0"/>
          <w:szCs w:val="24"/>
        </w:rPr>
        <w:t>found</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26]</w:t>
      </w:r>
      <w:r w:rsidR="00DD4B3C" w:rsidRPr="009D2E6D">
        <w:rPr>
          <w:rFonts w:ascii="Book Antiqua" w:hAnsi="Book Antiqua" w:cs="Times New Roman"/>
          <w:color w:val="000000" w:themeColor="text1"/>
          <w:kern w:val="0"/>
          <w:szCs w:val="24"/>
        </w:rPr>
        <w:t>. However, the detailed mechanism of estrogen action in controlling pathogenesis of the GERD spectrum remains unclear.</w:t>
      </w:r>
    </w:p>
    <w:p w14:paraId="64C52ECB" w14:textId="3A56DEDA"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In the current study, tea ingestion was significantly associated with the development of BE.</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Such a finding has been rarely reported in previous studies. However, it undoubtedly poses a great impact on our daily clinical practice and care of the patient with BE, especially in Asian countries where the prevalence of tea ingestion is high.</w:t>
      </w:r>
      <w:r w:rsidR="00E5737C" w:rsidRPr="009D2E6D">
        <w:rPr>
          <w:rFonts w:ascii="Book Antiqua" w:hAnsi="Book Antiqua" w:cs="Times New Roman"/>
          <w:color w:val="000000" w:themeColor="text1"/>
          <w:kern w:val="0"/>
          <w:szCs w:val="24"/>
        </w:rPr>
        <w:t xml:space="preserve"> </w:t>
      </w:r>
      <w:r w:rsidR="00042A82" w:rsidRPr="009D2E6D">
        <w:rPr>
          <w:rFonts w:ascii="Book Antiqua" w:hAnsi="Book Antiqua" w:cs="Times New Roman"/>
          <w:color w:val="000000" w:themeColor="text1"/>
          <w:kern w:val="0"/>
          <w:szCs w:val="24"/>
        </w:rPr>
        <w:t>S</w:t>
      </w:r>
      <w:r w:rsidR="00DD4B3C" w:rsidRPr="009D2E6D">
        <w:rPr>
          <w:rFonts w:ascii="Book Antiqua" w:hAnsi="Book Antiqua" w:cs="Times New Roman"/>
          <w:color w:val="000000" w:themeColor="text1"/>
          <w:kern w:val="0"/>
          <w:szCs w:val="24"/>
        </w:rPr>
        <w:t xml:space="preserve">everal studies have shown that caffeine from coffee and tea induced or aggravated acid reflux by decreasing </w:t>
      </w:r>
      <w:r>
        <w:rPr>
          <w:rFonts w:ascii="Book Antiqua" w:hAnsi="Book Antiqua" w:cs="Times New Roman"/>
          <w:color w:val="000000" w:themeColor="text1"/>
          <w:kern w:val="0"/>
          <w:szCs w:val="24"/>
        </w:rPr>
        <w:t>LES</w:t>
      </w:r>
      <w:r w:rsidR="00DD4B3C" w:rsidRPr="009D2E6D">
        <w:rPr>
          <w:rFonts w:ascii="Book Antiqua" w:hAnsi="Book Antiqua" w:cs="Times New Roman"/>
          <w:color w:val="000000" w:themeColor="text1"/>
          <w:kern w:val="0"/>
          <w:szCs w:val="24"/>
        </w:rPr>
        <w:t xml:space="preserve"> pressure</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(LESP</w:t>
      </w:r>
      <w:proofErr w:type="gramStart"/>
      <w:r w:rsidR="00DD4B3C"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28,</w:t>
      </w:r>
      <w:r w:rsidR="00DD4B3C" w:rsidRPr="009D2E6D">
        <w:rPr>
          <w:rFonts w:ascii="Book Antiqua" w:hAnsi="Book Antiqua" w:cs="Times New Roman"/>
          <w:color w:val="000000" w:themeColor="text1"/>
          <w:kern w:val="0"/>
          <w:szCs w:val="24"/>
          <w:vertAlign w:val="superscript"/>
        </w:rPr>
        <w:t>29]</w:t>
      </w:r>
      <w:r w:rsidR="00DD4B3C" w:rsidRPr="009D2E6D">
        <w:rPr>
          <w:rFonts w:ascii="Book Antiqua" w:hAnsi="Book Antiqua" w:cs="Times New Roman"/>
          <w:color w:val="000000" w:themeColor="text1"/>
          <w:kern w:val="0"/>
          <w:szCs w:val="24"/>
        </w:rPr>
        <w:t>. Gudjonsson</w:t>
      </w:r>
      <w:r w:rsidR="009F1FFC" w:rsidRPr="009D2E6D">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28]</w:t>
      </w:r>
      <w:r w:rsidR="00DD4B3C" w:rsidRPr="009D2E6D">
        <w:rPr>
          <w:rFonts w:ascii="Book Antiqua" w:hAnsi="Book Antiqua" w:cs="Times New Roman"/>
          <w:color w:val="000000" w:themeColor="text1"/>
          <w:kern w:val="0"/>
          <w:szCs w:val="24"/>
        </w:rPr>
        <w:t xml:space="preserve"> conducted a blinded crossover study of 12 healthy subjects to evaluate the effect of coffee and tea upon LES function.</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LESP was significantly lower after intra-gastric instillation of regular coffee and tea. The data for lower esophageal pH paralleled those for </w:t>
      </w:r>
      <w:proofErr w:type="gramStart"/>
      <w:r w:rsidR="00DD4B3C" w:rsidRPr="009D2E6D">
        <w:rPr>
          <w:rFonts w:ascii="Book Antiqua" w:hAnsi="Book Antiqua" w:cs="Times New Roman"/>
          <w:color w:val="000000" w:themeColor="text1"/>
          <w:kern w:val="0"/>
          <w:szCs w:val="24"/>
        </w:rPr>
        <w:t>LESP</w:t>
      </w:r>
      <w:bookmarkStart w:id="46" w:name="OLE_LINK563"/>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28]</w:t>
      </w:r>
      <w:bookmarkEnd w:id="46"/>
      <w:r w:rsidR="00DD4B3C" w:rsidRPr="009D2E6D">
        <w:rPr>
          <w:rFonts w:ascii="Book Antiqua" w:hAnsi="Book Antiqua" w:cs="Times New Roman"/>
          <w:color w:val="000000" w:themeColor="text1"/>
          <w:kern w:val="0"/>
          <w:szCs w:val="24"/>
        </w:rPr>
        <w:t>.</w:t>
      </w:r>
      <w:r w:rsidR="00042A82"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A</w:t>
      </w:r>
      <w:r w:rsidR="00042A82" w:rsidRPr="009D2E6D">
        <w:rPr>
          <w:rFonts w:ascii="Book Antiqua" w:hAnsi="Book Antiqua" w:cs="Times New Roman"/>
          <w:color w:val="000000" w:themeColor="text1"/>
          <w:kern w:val="0"/>
          <w:szCs w:val="24"/>
        </w:rPr>
        <w:t>nother</w:t>
      </w:r>
      <w:r w:rsidR="00DD4B3C" w:rsidRPr="009D2E6D">
        <w:rPr>
          <w:rFonts w:ascii="Book Antiqua" w:hAnsi="Book Antiqua" w:cs="Times New Roman"/>
          <w:color w:val="000000" w:themeColor="text1"/>
          <w:kern w:val="0"/>
          <w:szCs w:val="24"/>
        </w:rPr>
        <w:t xml:space="preserve"> singl</w:t>
      </w:r>
      <w:r w:rsidR="00042A82" w:rsidRPr="009D2E6D">
        <w:rPr>
          <w:rFonts w:ascii="Book Antiqua" w:hAnsi="Book Antiqua" w:cs="Times New Roman"/>
          <w:color w:val="000000" w:themeColor="text1"/>
          <w:kern w:val="0"/>
          <w:szCs w:val="24"/>
        </w:rPr>
        <w:t>e-blinded experimental study</w:t>
      </w:r>
      <w:r>
        <w:rPr>
          <w:rFonts w:ascii="Book Antiqua" w:hAnsi="Book Antiqua" w:cs="Times New Roman"/>
          <w:color w:val="000000" w:themeColor="text1"/>
          <w:kern w:val="0"/>
          <w:szCs w:val="24"/>
        </w:rPr>
        <w:t xml:space="preserve"> performed by </w:t>
      </w:r>
      <w:proofErr w:type="spellStart"/>
      <w:r>
        <w:rPr>
          <w:rFonts w:ascii="Book Antiqua" w:hAnsi="Book Antiqua" w:cs="Times New Roman"/>
          <w:color w:val="000000" w:themeColor="text1"/>
          <w:kern w:val="0"/>
          <w:szCs w:val="24"/>
        </w:rPr>
        <w:t>Lohsiriwat</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29]</w:t>
      </w:r>
      <w:r w:rsidR="00DD4B3C" w:rsidRPr="009D2E6D">
        <w:rPr>
          <w:rFonts w:ascii="Book Antiqua" w:hAnsi="Book Antiqua" w:cs="Times New Roman"/>
          <w:color w:val="000000" w:themeColor="text1"/>
          <w:kern w:val="0"/>
          <w:szCs w:val="24"/>
        </w:rPr>
        <w:t xml:space="preserve"> evaluate</w:t>
      </w:r>
      <w:r w:rsidR="00042A82" w:rsidRPr="009D2E6D">
        <w:rPr>
          <w:rFonts w:ascii="Book Antiqua" w:hAnsi="Book Antiqua" w:cs="Times New Roman"/>
          <w:color w:val="000000" w:themeColor="text1"/>
          <w:kern w:val="0"/>
          <w:szCs w:val="24"/>
        </w:rPr>
        <w:t>d</w:t>
      </w:r>
      <w:r w:rsidR="00DD4B3C" w:rsidRPr="009D2E6D">
        <w:rPr>
          <w:rFonts w:ascii="Book Antiqua" w:hAnsi="Book Antiqua" w:cs="Times New Roman"/>
          <w:color w:val="000000" w:themeColor="text1"/>
          <w:kern w:val="0"/>
          <w:szCs w:val="24"/>
        </w:rPr>
        <w:t xml:space="preserve"> the effect of caffeine on LES and esophageal peristaltic contractions in healthy Thai adults.</w:t>
      </w:r>
      <w:r w:rsidR="00042A82"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result indicated</w:t>
      </w:r>
      <w:r w:rsidR="00042A82"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that caffeine affected esophageal function, resulting in a decrease in basal LESP and distal esophageal contraction, which is known to promote</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esophageal </w:t>
      </w:r>
      <w:proofErr w:type="gramStart"/>
      <w:r w:rsidR="00DD4B3C" w:rsidRPr="009D2E6D">
        <w:rPr>
          <w:rFonts w:ascii="Book Antiqua" w:hAnsi="Book Antiqua" w:cs="Times New Roman"/>
          <w:color w:val="000000" w:themeColor="text1"/>
          <w:kern w:val="0"/>
          <w:szCs w:val="24"/>
        </w:rPr>
        <w:t>reflux</w:t>
      </w:r>
      <w:bookmarkStart w:id="47" w:name="OLE_LINK564"/>
      <w:bookmarkStart w:id="48" w:name="OLE_LINK565"/>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29]</w:t>
      </w:r>
      <w:bookmarkEnd w:id="47"/>
      <w:bookmarkEnd w:id="48"/>
      <w:r w:rsidR="00DD4B3C" w:rsidRPr="009D2E6D">
        <w:rPr>
          <w:rFonts w:ascii="Book Antiqua" w:hAnsi="Book Antiqua" w:cs="Times New Roman"/>
          <w:color w:val="000000" w:themeColor="text1"/>
          <w:kern w:val="0"/>
          <w:szCs w:val="24"/>
        </w:rPr>
        <w:t>.</w:t>
      </w:r>
      <w:r w:rsidR="00E5737C" w:rsidRPr="009D2E6D">
        <w:rPr>
          <w:rFonts w:ascii="Book Antiqua" w:hAnsi="Book Antiqua" w:cs="Times New Roman"/>
          <w:color w:val="000000" w:themeColor="text1"/>
          <w:kern w:val="0"/>
          <w:szCs w:val="24"/>
        </w:rPr>
        <w:t xml:space="preserve"> </w:t>
      </w:r>
      <w:r w:rsidR="00042A82" w:rsidRPr="009D2E6D">
        <w:rPr>
          <w:rFonts w:ascii="Book Antiqua" w:hAnsi="Book Antiqua" w:cs="Times New Roman"/>
          <w:color w:val="000000" w:themeColor="text1"/>
          <w:kern w:val="0"/>
          <w:szCs w:val="24"/>
        </w:rPr>
        <w:t>Additionally, t</w:t>
      </w:r>
      <w:r w:rsidR="00DD4B3C" w:rsidRPr="009D2E6D">
        <w:rPr>
          <w:rFonts w:ascii="Book Antiqua" w:hAnsi="Book Antiqua" w:cs="Times New Roman"/>
          <w:color w:val="000000" w:themeColor="text1"/>
          <w:kern w:val="0"/>
          <w:szCs w:val="24"/>
        </w:rPr>
        <w:t xml:space="preserve">ea consumption has been shown to increase gastric acid </w:t>
      </w:r>
      <w:proofErr w:type="gramStart"/>
      <w:r w:rsidR="00DD4B3C" w:rsidRPr="009D2E6D">
        <w:rPr>
          <w:rFonts w:ascii="Book Antiqua" w:hAnsi="Book Antiqua" w:cs="Times New Roman"/>
          <w:color w:val="000000" w:themeColor="text1"/>
          <w:kern w:val="0"/>
          <w:szCs w:val="24"/>
        </w:rPr>
        <w:t>secretion</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30]</w:t>
      </w:r>
      <w:r w:rsidR="00DD4B3C" w:rsidRPr="009D2E6D">
        <w:rPr>
          <w:rFonts w:ascii="Book Antiqua" w:hAnsi="Book Antiqua" w:cs="Times New Roman"/>
          <w:color w:val="000000" w:themeColor="text1"/>
          <w:kern w:val="0"/>
          <w:szCs w:val="24"/>
        </w:rPr>
        <w:t>. Theophylline</w:t>
      </w:r>
      <w:r w:rsidR="00042A82" w:rsidRPr="009D2E6D">
        <w:rPr>
          <w:rFonts w:ascii="Book Antiqua" w:hAnsi="Book Antiqua" w:cs="Times New Roman"/>
          <w:color w:val="000000" w:themeColor="text1"/>
          <w:kern w:val="0"/>
          <w:szCs w:val="24"/>
        </w:rPr>
        <w:t xml:space="preserve"> existing in black tea and green tea</w:t>
      </w:r>
      <w:r w:rsidR="00DD4B3C" w:rsidRPr="009D2E6D">
        <w:rPr>
          <w:rFonts w:ascii="Book Antiqua" w:hAnsi="Book Antiqua" w:cs="Times New Roman"/>
          <w:color w:val="000000" w:themeColor="text1"/>
          <w:kern w:val="0"/>
          <w:szCs w:val="24"/>
        </w:rPr>
        <w:t xml:space="preserve"> was also reported to induce esophageal acid reflux through inhibition of </w:t>
      </w:r>
      <w:proofErr w:type="gramStart"/>
      <w:r w:rsidR="00DD4B3C" w:rsidRPr="009D2E6D">
        <w:rPr>
          <w:rFonts w:ascii="Book Antiqua" w:hAnsi="Book Antiqua" w:cs="Times New Roman"/>
          <w:color w:val="000000" w:themeColor="text1"/>
          <w:kern w:val="0"/>
          <w:szCs w:val="24"/>
        </w:rPr>
        <w:t>LESP</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31]</w:t>
      </w:r>
      <w:r w:rsidR="00DD4B3C" w:rsidRPr="009D2E6D">
        <w:rPr>
          <w:rFonts w:ascii="Book Antiqua" w:hAnsi="Book Antiqua" w:cs="Times New Roman"/>
          <w:color w:val="000000" w:themeColor="text1"/>
          <w:kern w:val="0"/>
          <w:szCs w:val="24"/>
        </w:rPr>
        <w:t>.</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It is </w:t>
      </w:r>
      <w:r w:rsidR="00042A82" w:rsidRPr="009D2E6D">
        <w:rPr>
          <w:rFonts w:ascii="Book Antiqua" w:hAnsi="Book Antiqua" w:cs="Times New Roman"/>
          <w:color w:val="000000" w:themeColor="text1"/>
          <w:kern w:val="0"/>
          <w:szCs w:val="24"/>
        </w:rPr>
        <w:t xml:space="preserve">therefore </w:t>
      </w:r>
      <w:r w:rsidR="00DD4B3C" w:rsidRPr="009D2E6D">
        <w:rPr>
          <w:rFonts w:ascii="Book Antiqua" w:hAnsi="Book Antiqua" w:cs="Times New Roman"/>
          <w:color w:val="000000" w:themeColor="text1"/>
          <w:kern w:val="0"/>
          <w:szCs w:val="24"/>
        </w:rPr>
        <w:t xml:space="preserve">reasonable to expect that tea ingestion might be a risk factor for </w:t>
      </w:r>
      <w:proofErr w:type="gramStart"/>
      <w:r w:rsidR="00DD4B3C" w:rsidRPr="009D2E6D">
        <w:rPr>
          <w:rFonts w:ascii="Book Antiqua" w:hAnsi="Book Antiqua" w:cs="Times New Roman"/>
          <w:color w:val="000000" w:themeColor="text1"/>
          <w:kern w:val="0"/>
          <w:szCs w:val="24"/>
        </w:rPr>
        <w:t>BE</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32-34]</w:t>
      </w:r>
      <w:r w:rsidR="00DD4B3C" w:rsidRPr="009D2E6D">
        <w:rPr>
          <w:rFonts w:ascii="Book Antiqua" w:hAnsi="Book Antiqua" w:cs="Times New Roman"/>
          <w:color w:val="000000" w:themeColor="text1"/>
          <w:kern w:val="0"/>
          <w:szCs w:val="24"/>
        </w:rPr>
        <w:t xml:space="preserve">. However, only a few studies have examined the relationship of coffee or tea with BE, and their data have been inconsistent. No association between risk of BE and consumption of coffee or tea was found by </w:t>
      </w:r>
      <w:proofErr w:type="spellStart"/>
      <w:r w:rsidR="00DD4B3C" w:rsidRPr="009D2E6D">
        <w:rPr>
          <w:rFonts w:ascii="Book Antiqua" w:hAnsi="Book Antiqua" w:cs="Times New Roman"/>
          <w:color w:val="000000" w:themeColor="text1"/>
          <w:kern w:val="0"/>
          <w:szCs w:val="24"/>
        </w:rPr>
        <w:t>Sajja</w:t>
      </w:r>
      <w:proofErr w:type="spellEnd"/>
      <w:r w:rsidR="00DD4B3C" w:rsidRPr="009D2E6D">
        <w:rPr>
          <w:rFonts w:ascii="Book Antiqua" w:hAnsi="Book Antiqua" w:cs="Times New Roman"/>
          <w:color w:val="000000" w:themeColor="text1"/>
          <w:kern w:val="0"/>
          <w:szCs w:val="24"/>
        </w:rPr>
        <w:t xml:space="preserve"> </w:t>
      </w:r>
      <w:r w:rsidR="00DD4B3C" w:rsidRPr="00A43E16">
        <w:rPr>
          <w:rFonts w:ascii="Book Antiqua" w:hAnsi="Book Antiqua" w:cs="Times New Roman"/>
          <w:i/>
          <w:color w:val="000000" w:themeColor="text1"/>
          <w:kern w:val="0"/>
          <w:szCs w:val="24"/>
        </w:rPr>
        <w:t xml:space="preserve">et </w:t>
      </w:r>
      <w:proofErr w:type="gramStart"/>
      <w:r w:rsidR="00DD4B3C" w:rsidRPr="00A43E16">
        <w:rPr>
          <w:rFonts w:ascii="Book Antiqua" w:hAnsi="Book Antiqua" w:cs="Times New Roman"/>
          <w:i/>
          <w:color w:val="000000" w:themeColor="text1"/>
          <w:kern w:val="0"/>
          <w:szCs w:val="24"/>
        </w:rPr>
        <w:t>al</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35]</w:t>
      </w:r>
      <w:r w:rsidR="00DD4B3C" w:rsidRPr="009D2E6D">
        <w:rPr>
          <w:rFonts w:ascii="Book Antiqua" w:hAnsi="Book Antiqua" w:cs="Times New Roman"/>
          <w:color w:val="000000" w:themeColor="text1"/>
          <w:kern w:val="0"/>
          <w:szCs w:val="24"/>
        </w:rPr>
        <w:t xml:space="preserve">. An Italian study </w:t>
      </w:r>
      <w:r w:rsidR="00DD4B3C" w:rsidRPr="009D2E6D">
        <w:rPr>
          <w:rFonts w:ascii="Book Antiqua" w:hAnsi="Book Antiqua" w:cs="Times New Roman"/>
          <w:color w:val="000000" w:themeColor="text1"/>
          <w:kern w:val="0"/>
          <w:szCs w:val="24"/>
        </w:rPr>
        <w:lastRenderedPageBreak/>
        <w:t>condu</w:t>
      </w:r>
      <w:r>
        <w:rPr>
          <w:rFonts w:ascii="Book Antiqua" w:hAnsi="Book Antiqua" w:cs="Times New Roman"/>
          <w:color w:val="000000" w:themeColor="text1"/>
          <w:kern w:val="0"/>
          <w:szCs w:val="24"/>
        </w:rPr>
        <w:t xml:space="preserve">cted by </w:t>
      </w:r>
      <w:proofErr w:type="spellStart"/>
      <w:r>
        <w:rPr>
          <w:rFonts w:ascii="Book Antiqua" w:hAnsi="Book Antiqua" w:cs="Times New Roman"/>
          <w:color w:val="000000" w:themeColor="text1"/>
          <w:kern w:val="0"/>
          <w:szCs w:val="24"/>
        </w:rPr>
        <w:t>Filiberti</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36]</w:t>
      </w:r>
      <w:r w:rsidR="00DD4B3C" w:rsidRPr="009D2E6D">
        <w:rPr>
          <w:rFonts w:ascii="Book Antiqua" w:hAnsi="Book Antiqua" w:cs="Times New Roman"/>
          <w:color w:val="000000" w:themeColor="text1"/>
          <w:kern w:val="0"/>
          <w:szCs w:val="24"/>
        </w:rPr>
        <w:t xml:space="preserve"> revealed that tea intake reduced the risk of BE and reflux esophagitis. A double-blind study performed by </w:t>
      </w:r>
      <w:proofErr w:type="spellStart"/>
      <w:r w:rsidR="00DD4B3C" w:rsidRPr="009D2E6D">
        <w:rPr>
          <w:rFonts w:ascii="Book Antiqua" w:hAnsi="Book Antiqua" w:cs="Times New Roman"/>
          <w:color w:val="000000" w:themeColor="text1"/>
          <w:kern w:val="0"/>
          <w:szCs w:val="24"/>
        </w:rPr>
        <w:t>Pehl</w:t>
      </w:r>
      <w:proofErr w:type="spellEnd"/>
      <w:r w:rsidR="009F1FFC" w:rsidRPr="009D2E6D">
        <w:rPr>
          <w:rFonts w:ascii="Book Antiqua" w:hAnsi="Book Antiqua" w:cs="Times New Roman"/>
          <w:color w:val="000000" w:themeColor="text1"/>
          <w:kern w:val="0"/>
          <w:szCs w:val="24"/>
        </w:rPr>
        <w:t xml:space="preserve"> </w:t>
      </w:r>
      <w:r w:rsidRPr="00A43E16">
        <w:rPr>
          <w:rFonts w:ascii="Book Antiqua" w:hAnsi="Book Antiqua" w:cs="Times New Roman"/>
          <w:i/>
          <w:iCs/>
          <w:color w:val="000000" w:themeColor="text1"/>
          <w:kern w:val="0"/>
          <w:szCs w:val="24"/>
        </w:rPr>
        <w:t>et al</w:t>
      </w:r>
      <w:r>
        <w:rPr>
          <w:rFonts w:ascii="Book Antiqua" w:hAnsi="Book Antiqua" w:cs="Times New Roman"/>
          <w:iCs/>
          <w:color w:val="000000" w:themeColor="text1"/>
          <w:kern w:val="0"/>
          <w:szCs w:val="24"/>
          <w:vertAlign w:val="superscript"/>
        </w:rPr>
        <w:t>[37]</w:t>
      </w:r>
      <w:r w:rsidR="00DD4B3C" w:rsidRPr="009D2E6D">
        <w:rPr>
          <w:rFonts w:ascii="Book Antiqua" w:hAnsi="Book Antiqua" w:cs="Times New Roman"/>
          <w:iCs/>
          <w:color w:val="000000" w:themeColor="text1"/>
          <w:kern w:val="0"/>
          <w:szCs w:val="24"/>
        </w:rPr>
        <w:t xml:space="preserve"> compared the impact of regular and decaffeinated coffee on esophageal acidity in terms of esophageal pH measurements, and reported that the fraction of time for which esophageal pH was less than 4 was reduced in the </w:t>
      </w:r>
      <w:bookmarkStart w:id="49" w:name="_Hlk521769473"/>
      <w:r w:rsidR="00DD4B3C" w:rsidRPr="009D2E6D">
        <w:rPr>
          <w:rFonts w:ascii="Book Antiqua" w:hAnsi="Book Antiqua" w:cs="Times New Roman"/>
          <w:iCs/>
          <w:color w:val="000000" w:themeColor="text1"/>
          <w:kern w:val="0"/>
          <w:szCs w:val="24"/>
        </w:rPr>
        <w:t>decaffeinated coffee</w:t>
      </w:r>
      <w:bookmarkEnd w:id="49"/>
      <w:r w:rsidR="00DD4B3C" w:rsidRPr="009D2E6D">
        <w:rPr>
          <w:rFonts w:ascii="Book Antiqua" w:hAnsi="Book Antiqua" w:cs="Times New Roman"/>
          <w:iCs/>
          <w:color w:val="000000" w:themeColor="text1"/>
          <w:kern w:val="0"/>
          <w:szCs w:val="24"/>
        </w:rPr>
        <w:t xml:space="preserve">-consuming group potentially </w:t>
      </w:r>
      <w:r w:rsidR="00DD4B3C" w:rsidRPr="00A43E16">
        <w:rPr>
          <w:rFonts w:ascii="Book Antiqua" w:hAnsi="Book Antiqua" w:cs="Times New Roman"/>
          <w:i/>
          <w:iCs/>
          <w:color w:val="000000" w:themeColor="text1"/>
          <w:kern w:val="0"/>
          <w:szCs w:val="24"/>
        </w:rPr>
        <w:t>via</w:t>
      </w:r>
      <w:r w:rsidR="00DD4B3C" w:rsidRPr="009D2E6D">
        <w:rPr>
          <w:rFonts w:ascii="Book Antiqua" w:hAnsi="Book Antiqua" w:cs="Times New Roman"/>
          <w:iCs/>
          <w:color w:val="000000" w:themeColor="text1"/>
          <w:kern w:val="0"/>
          <w:szCs w:val="24"/>
        </w:rPr>
        <w:t xml:space="preserve"> a reduction in esophageal reflux. </w:t>
      </w:r>
      <w:r>
        <w:rPr>
          <w:rFonts w:ascii="Book Antiqua" w:hAnsi="Book Antiqua" w:cs="Times New Roman"/>
          <w:color w:val="000000" w:themeColor="text1"/>
          <w:kern w:val="0"/>
          <w:szCs w:val="24"/>
        </w:rPr>
        <w:t xml:space="preserve">Chang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38]</w:t>
      </w:r>
      <w:r w:rsidR="00DD4B3C" w:rsidRPr="009D2E6D">
        <w:rPr>
          <w:rFonts w:ascii="Book Antiqua" w:hAnsi="Book Antiqua" w:cs="Times New Roman"/>
          <w:color w:val="000000" w:themeColor="text1"/>
          <w:kern w:val="0"/>
          <w:szCs w:val="24"/>
        </w:rPr>
        <w:t xml:space="preserve"> have recently studied the effect of reflux-provoking diets on acid reflux in Taiwan, and found that frequent tea consumption increased the risk of asymptomatic erosive esophagitis in Taiwanese men. Therefore, with increased acid exposure over the esophageal mucosa, probably by decreasing </w:t>
      </w:r>
      <w:r>
        <w:rPr>
          <w:rFonts w:ascii="Book Antiqua" w:hAnsi="Book Antiqua" w:cs="Times New Roman"/>
          <w:color w:val="000000" w:themeColor="text1"/>
          <w:kern w:val="0"/>
          <w:szCs w:val="24"/>
        </w:rPr>
        <w:t>LES</w:t>
      </w:r>
      <w:r w:rsidR="00DD4B3C" w:rsidRPr="009D2E6D">
        <w:rPr>
          <w:rFonts w:ascii="Book Antiqua" w:hAnsi="Book Antiqua" w:cs="Times New Roman"/>
          <w:color w:val="000000" w:themeColor="text1"/>
          <w:kern w:val="0"/>
          <w:szCs w:val="24"/>
        </w:rPr>
        <w:t xml:space="preserve"> pressure, tea ingestion is still a reasonable risk factor for BE. In the results of the present study, the proportion of subjects with reflux esophagitis was indeed higher in the BE group tha</w:t>
      </w:r>
      <w:r>
        <w:rPr>
          <w:rFonts w:ascii="Book Antiqua" w:hAnsi="Book Antiqua" w:cs="Times New Roman"/>
          <w:color w:val="000000" w:themeColor="text1"/>
          <w:kern w:val="0"/>
          <w:szCs w:val="24"/>
        </w:rPr>
        <w:t xml:space="preserve">n in the non-BE group (34.8% </w:t>
      </w:r>
      <w:r w:rsidRPr="00A43E16">
        <w:rPr>
          <w:rFonts w:ascii="Book Antiqua" w:hAnsi="Book Antiqua" w:cs="Times New Roman"/>
          <w:i/>
          <w:color w:val="000000" w:themeColor="text1"/>
          <w:kern w:val="0"/>
          <w:szCs w:val="24"/>
        </w:rPr>
        <w:t>vs</w:t>
      </w:r>
      <w:r w:rsidR="00DD4B3C" w:rsidRPr="009D2E6D">
        <w:rPr>
          <w:rFonts w:ascii="Book Antiqua" w:hAnsi="Book Antiqua" w:cs="Times New Roman"/>
          <w:color w:val="000000" w:themeColor="text1"/>
          <w:kern w:val="0"/>
          <w:szCs w:val="24"/>
        </w:rPr>
        <w:t xml:space="preserve"> 13.4% respectively, </w:t>
      </w:r>
      <w:r w:rsidRPr="00A43E16">
        <w:rPr>
          <w:rFonts w:ascii="Book Antiqua" w:hAnsi="Book Antiqua" w:cs="Times New Roman"/>
          <w:i/>
          <w:color w:val="000000" w:themeColor="text1"/>
          <w:kern w:val="0"/>
          <w:szCs w:val="24"/>
        </w:rPr>
        <w:t>P</w:t>
      </w: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&lt;</w:t>
      </w:r>
      <w:r>
        <w:rPr>
          <w:rFonts w:ascii="Book Antiqua" w:hAnsi="Book Antiqua" w:cs="Times New Roman"/>
          <w:color w:val="000000" w:themeColor="text1"/>
          <w:kern w:val="0"/>
          <w:szCs w:val="24"/>
        </w:rPr>
        <w:t xml:space="preserve"> </w:t>
      </w:r>
      <w:r w:rsidR="00DD4B3C" w:rsidRPr="009D2E6D">
        <w:rPr>
          <w:rFonts w:ascii="Book Antiqua" w:eastAsia="PMingLiU" w:hAnsi="Book Antiqua" w:cs="Times New Roman"/>
          <w:color w:val="000000" w:themeColor="text1"/>
          <w:kern w:val="0"/>
          <w:szCs w:val="24"/>
        </w:rPr>
        <w:t>0.001,</w:t>
      </w:r>
      <w:r w:rsidR="00DD4B3C" w:rsidRPr="00A43E16">
        <w:rPr>
          <w:rFonts w:ascii="Book Antiqua" w:eastAsia="PMingLiU" w:hAnsi="Book Antiqua" w:cs="Times New Roman"/>
          <w:color w:val="000000" w:themeColor="text1"/>
          <w:kern w:val="0"/>
          <w:szCs w:val="24"/>
        </w:rPr>
        <w:t xml:space="preserve"> Table 1</w:t>
      </w:r>
      <w:r w:rsidR="00DD4B3C" w:rsidRPr="00A43E16">
        <w:rPr>
          <w:rFonts w:ascii="Book Antiqua" w:hAnsi="Book Antiqua" w:cs="Times New Roman"/>
          <w:color w:val="000000" w:themeColor="text1"/>
          <w:kern w:val="0"/>
          <w:szCs w:val="24"/>
        </w:rPr>
        <w:t>)</w:t>
      </w:r>
      <w:r w:rsidR="00DD4B3C" w:rsidRPr="009D2E6D">
        <w:rPr>
          <w:rFonts w:ascii="Book Antiqua" w:hAnsi="Book Antiqua" w:cs="Times New Roman"/>
          <w:color w:val="000000" w:themeColor="text1"/>
          <w:kern w:val="0"/>
          <w:szCs w:val="24"/>
        </w:rPr>
        <w:t>, although the association was not significant in multivariate analysis.</w:t>
      </w:r>
    </w:p>
    <w:p w14:paraId="7BA107CC" w14:textId="525D23D5" w:rsidR="00EB2890"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importance of IM, which is diagnosed as identification of goblet cells in the columnar-lined esophagus, could be explained based on higher risk of developing adenocarcinoma in such cases compared with cases of columnar metaplasia without goblet cells, as previously reported</w:t>
      </w:r>
      <w:r>
        <w:rPr>
          <w:rFonts w:ascii="Book Antiqua" w:hAnsi="Book Antiqua" w:cs="Times New Roman"/>
          <w:color w:val="000000" w:themeColor="text1"/>
          <w:kern w:val="0"/>
          <w:szCs w:val="24"/>
          <w:vertAlign w:val="superscript"/>
        </w:rPr>
        <w:t>[21,</w:t>
      </w:r>
      <w:r w:rsidR="00DD4B3C" w:rsidRPr="009D2E6D">
        <w:rPr>
          <w:rFonts w:ascii="Book Antiqua" w:hAnsi="Book Antiqua" w:cs="Times New Roman"/>
          <w:color w:val="000000" w:themeColor="text1"/>
          <w:kern w:val="0"/>
          <w:szCs w:val="24"/>
          <w:vertAlign w:val="superscript"/>
        </w:rPr>
        <w:t>39]</w:t>
      </w:r>
      <w:r w:rsidR="00DD4B3C" w:rsidRPr="009D2E6D">
        <w:rPr>
          <w:rFonts w:ascii="Book Antiqua" w:hAnsi="Book Antiqua" w:cs="Times New Roman"/>
          <w:color w:val="000000" w:themeColor="text1"/>
          <w:kern w:val="0"/>
          <w:szCs w:val="24"/>
        </w:rPr>
        <w:t>. Of the 423 subjects labeled as ESEM</w:t>
      </w:r>
      <w:r w:rsidR="003C2A21" w:rsidRPr="009D2E6D">
        <w:rPr>
          <w:rFonts w:ascii="Book Antiqua" w:hAnsi="Book Antiqua" w:cs="Times New Roman"/>
          <w:color w:val="000000" w:themeColor="text1"/>
          <w:kern w:val="0"/>
          <w:szCs w:val="24"/>
        </w:rPr>
        <w:t xml:space="preserve"> in this study</w:t>
      </w:r>
      <w:r w:rsidR="00DD4B3C" w:rsidRPr="009D2E6D">
        <w:rPr>
          <w:rFonts w:ascii="Book Antiqua" w:hAnsi="Book Antiqua" w:cs="Times New Roman"/>
          <w:color w:val="000000" w:themeColor="text1"/>
          <w:kern w:val="0"/>
          <w:szCs w:val="24"/>
        </w:rPr>
        <w:t>, IM was detected in 89 individuals.</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detection rate of</w:t>
      </w:r>
      <w:r w:rsidR="003C2A21" w:rsidRPr="009D2E6D">
        <w:rPr>
          <w:rFonts w:ascii="Book Antiqua" w:hAnsi="Book Antiqua" w:cs="Times New Roman"/>
          <w:color w:val="000000" w:themeColor="text1"/>
          <w:kern w:val="0"/>
          <w:szCs w:val="24"/>
        </w:rPr>
        <w:t xml:space="preserve"> IM in metaplastic epithelium was </w:t>
      </w:r>
      <w:r w:rsidR="00DD4B3C" w:rsidRPr="009D2E6D">
        <w:rPr>
          <w:rFonts w:ascii="Book Antiqua" w:hAnsi="Book Antiqua" w:cs="Times New Roman"/>
          <w:color w:val="000000" w:themeColor="text1"/>
          <w:kern w:val="0"/>
          <w:szCs w:val="24"/>
        </w:rPr>
        <w:t xml:space="preserve">21% only. </w:t>
      </w:r>
      <w:r w:rsidR="003C2A21" w:rsidRPr="009D2E6D">
        <w:rPr>
          <w:rFonts w:ascii="Book Antiqua" w:hAnsi="Book Antiqua" w:cs="Times New Roman"/>
          <w:color w:val="000000" w:themeColor="text1"/>
          <w:kern w:val="0"/>
          <w:szCs w:val="24"/>
        </w:rPr>
        <w:t xml:space="preserve">Many </w:t>
      </w:r>
      <w:r w:rsidR="00DD4B3C" w:rsidRPr="009D2E6D">
        <w:rPr>
          <w:rFonts w:ascii="Book Antiqua" w:hAnsi="Book Antiqua" w:cs="Times New Roman"/>
          <w:color w:val="000000" w:themeColor="text1"/>
          <w:kern w:val="0"/>
          <w:szCs w:val="24"/>
        </w:rPr>
        <w:t xml:space="preserve">factors may lead to false negative detection of IM in daily practice. For example, the number of endoscopic biopsies taken may directly affect the yield rate of IM. Harrison et al. found that the diagnostic yield of IM was 34.7% when four biopsies were taken, which increased to 67.9% with eight biopsies, and would have reached 100% if more than 16 biopsies were </w:t>
      </w:r>
      <w:proofErr w:type="gramStart"/>
      <w:r w:rsidR="00DD4B3C" w:rsidRPr="009D2E6D">
        <w:rPr>
          <w:rFonts w:ascii="Book Antiqua" w:hAnsi="Book Antiqua" w:cs="Times New Roman"/>
          <w:color w:val="000000" w:themeColor="text1"/>
          <w:kern w:val="0"/>
          <w:szCs w:val="24"/>
        </w:rPr>
        <w:t>taken</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40]</w:t>
      </w:r>
      <w:r w:rsidR="00DD4B3C" w:rsidRPr="009D2E6D">
        <w:rPr>
          <w:rFonts w:ascii="Book Antiqua" w:hAnsi="Book Antiqua" w:cs="Times New Roman"/>
          <w:color w:val="000000" w:themeColor="text1"/>
          <w:kern w:val="0"/>
          <w:szCs w:val="24"/>
        </w:rPr>
        <w:t>. Moreover, the distribution of IM over the columnar-lined esophagus is markedly heterogeneous, which could cause sa</w:t>
      </w:r>
      <w:r>
        <w:rPr>
          <w:rFonts w:ascii="Book Antiqua" w:hAnsi="Book Antiqua" w:cs="Times New Roman"/>
          <w:color w:val="000000" w:themeColor="text1"/>
          <w:kern w:val="0"/>
          <w:szCs w:val="24"/>
        </w:rPr>
        <w:t xml:space="preserve">mpling error. </w:t>
      </w:r>
      <w:proofErr w:type="spellStart"/>
      <w:r>
        <w:rPr>
          <w:rFonts w:ascii="Book Antiqua" w:hAnsi="Book Antiqua" w:cs="Times New Roman"/>
          <w:color w:val="000000" w:themeColor="text1"/>
          <w:kern w:val="0"/>
          <w:szCs w:val="24"/>
        </w:rPr>
        <w:t>Chandrasoma</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A43E16">
        <w:rPr>
          <w:rFonts w:ascii="Book Antiqua" w:hAnsi="Book Antiqua" w:cs="Times New Roman"/>
          <w:color w:val="000000" w:themeColor="text1"/>
          <w:kern w:val="0"/>
          <w:szCs w:val="24"/>
          <w:vertAlign w:val="superscript"/>
        </w:rPr>
        <w:t>[</w:t>
      </w:r>
      <w:proofErr w:type="gramEnd"/>
      <w:r w:rsidRPr="00A43E16">
        <w:rPr>
          <w:rFonts w:ascii="Book Antiqua" w:hAnsi="Book Antiqua" w:cs="Times New Roman"/>
          <w:color w:val="000000" w:themeColor="text1"/>
          <w:kern w:val="0"/>
          <w:szCs w:val="24"/>
          <w:vertAlign w:val="superscript"/>
        </w:rPr>
        <w:t>41]</w:t>
      </w:r>
      <w:r w:rsidR="00DD4B3C" w:rsidRPr="00A43E16">
        <w:rPr>
          <w:rFonts w:ascii="Book Antiqua" w:hAnsi="Book Antiqua" w:cs="Times New Roman"/>
          <w:color w:val="000000" w:themeColor="text1"/>
          <w:kern w:val="0"/>
          <w:szCs w:val="24"/>
          <w:vertAlign w:val="superscript"/>
        </w:rPr>
        <w:t xml:space="preserve"> </w:t>
      </w:r>
      <w:r w:rsidR="00DD4B3C" w:rsidRPr="009D2E6D">
        <w:rPr>
          <w:rFonts w:ascii="Book Antiqua" w:hAnsi="Book Antiqua" w:cs="Times New Roman"/>
          <w:color w:val="000000" w:themeColor="text1"/>
          <w:kern w:val="0"/>
          <w:szCs w:val="24"/>
        </w:rPr>
        <w:t xml:space="preserve">demonstrated that the prevalence and density of goblet cells between the most proximal and most distal levels were markedly different, and the probability of finding IM was highest when the biopsies were focused in the </w:t>
      </w:r>
      <w:r w:rsidR="00DD4B3C" w:rsidRPr="009D2E6D">
        <w:rPr>
          <w:rFonts w:ascii="Book Antiqua" w:hAnsi="Book Antiqua" w:cs="Times New Roman"/>
          <w:color w:val="000000" w:themeColor="text1"/>
          <w:kern w:val="0"/>
          <w:szCs w:val="24"/>
        </w:rPr>
        <w:lastRenderedPageBreak/>
        <w:t xml:space="preserve">most proximal area of the columnar-lined esophagus. In </w:t>
      </w:r>
      <w:r w:rsidR="0085056A" w:rsidRPr="009D2E6D">
        <w:rPr>
          <w:rFonts w:ascii="Book Antiqua" w:hAnsi="Book Antiqua" w:cs="Times New Roman"/>
          <w:color w:val="000000" w:themeColor="text1"/>
          <w:kern w:val="0"/>
          <w:szCs w:val="24"/>
        </w:rPr>
        <w:t>this</w:t>
      </w:r>
      <w:r w:rsidR="00DD4B3C" w:rsidRPr="009D2E6D">
        <w:rPr>
          <w:rFonts w:ascii="Book Antiqua" w:hAnsi="Book Antiqua" w:cs="Times New Roman"/>
          <w:color w:val="000000" w:themeColor="text1"/>
          <w:kern w:val="0"/>
          <w:szCs w:val="24"/>
        </w:rPr>
        <w:t xml:space="preserve"> study, we adopted the Seattle protocol with four quadrant biopsies, 2 cm-apart, throughout the columnar-lined esophagus.</w:t>
      </w:r>
      <w:r w:rsidR="00E5737C" w:rsidRPr="009D2E6D">
        <w:rPr>
          <w:rFonts w:ascii="Book Antiqua" w:hAnsi="Book Antiqua" w:cs="Times New Roman"/>
          <w:color w:val="000000" w:themeColor="text1"/>
          <w:kern w:val="0"/>
          <w:szCs w:val="24"/>
        </w:rPr>
        <w:t xml:space="preserve"> </w:t>
      </w:r>
      <w:r w:rsidR="003C2A21" w:rsidRPr="009D2E6D">
        <w:rPr>
          <w:rFonts w:ascii="Book Antiqua" w:hAnsi="Book Antiqua" w:cs="Times New Roman"/>
          <w:color w:val="000000" w:themeColor="text1"/>
          <w:kern w:val="0"/>
          <w:szCs w:val="24"/>
        </w:rPr>
        <w:t xml:space="preserve">Additionally, target biopsy was used for individuals with small tongues of columnar mucosa and for all patients with any suspicious IM and dysplastic lesions under NBI evaluation. Although obtaining 4-quadrant biopsy specimens at interval of every 1 cm throughout the columnar-lined esophagus might increase the yield rate of IM, </w:t>
      </w:r>
      <w:r w:rsidR="00DD4B3C" w:rsidRPr="009D2E6D">
        <w:rPr>
          <w:rFonts w:ascii="Book Antiqua" w:hAnsi="Book Antiqua" w:cs="Times New Roman"/>
          <w:color w:val="000000" w:themeColor="text1"/>
          <w:kern w:val="0"/>
          <w:szCs w:val="24"/>
        </w:rPr>
        <w:t>the procedure time</w:t>
      </w:r>
      <w:r w:rsidR="003C2A21" w:rsidRPr="009D2E6D">
        <w:rPr>
          <w:rFonts w:ascii="Book Antiqua" w:hAnsi="Book Antiqua" w:cs="Times New Roman"/>
          <w:color w:val="000000" w:themeColor="text1"/>
          <w:kern w:val="0"/>
          <w:szCs w:val="24"/>
        </w:rPr>
        <w:t>, the dose of</w:t>
      </w:r>
      <w:r w:rsidR="00DD4B3C" w:rsidRPr="009D2E6D">
        <w:rPr>
          <w:rFonts w:ascii="Book Antiqua" w:hAnsi="Book Antiqua" w:cs="Times New Roman"/>
          <w:color w:val="000000" w:themeColor="text1"/>
          <w:kern w:val="0"/>
          <w:szCs w:val="24"/>
        </w:rPr>
        <w:t xml:space="preserve"> anesthetic</w:t>
      </w:r>
      <w:r w:rsidR="003C2A21" w:rsidRPr="009D2E6D">
        <w:rPr>
          <w:rFonts w:ascii="Book Antiqua" w:hAnsi="Book Antiqua" w:cs="Times New Roman"/>
          <w:color w:val="000000" w:themeColor="text1"/>
          <w:kern w:val="0"/>
          <w:szCs w:val="24"/>
        </w:rPr>
        <w:t xml:space="preserve"> agents</w:t>
      </w:r>
      <w:r w:rsidR="00DD4B3C" w:rsidRPr="009D2E6D">
        <w:rPr>
          <w:rFonts w:ascii="Book Antiqua" w:hAnsi="Book Antiqua" w:cs="Times New Roman"/>
          <w:color w:val="000000" w:themeColor="text1"/>
          <w:kern w:val="0"/>
          <w:szCs w:val="24"/>
        </w:rPr>
        <w:t xml:space="preserve"> </w:t>
      </w:r>
      <w:r w:rsidR="00EB2890" w:rsidRPr="009D2E6D">
        <w:rPr>
          <w:rFonts w:ascii="Book Antiqua" w:hAnsi="Book Antiqua" w:cs="Times New Roman"/>
          <w:color w:val="000000" w:themeColor="text1"/>
          <w:kern w:val="0"/>
          <w:szCs w:val="24"/>
        </w:rPr>
        <w:t>and biopsy-related bleeding rate would increase.</w:t>
      </w:r>
      <w:r w:rsidR="00DD4B3C" w:rsidRPr="009D2E6D">
        <w:rPr>
          <w:rFonts w:ascii="Book Antiqua" w:hAnsi="Book Antiqua" w:cs="Times New Roman"/>
          <w:color w:val="000000" w:themeColor="text1"/>
          <w:kern w:val="0"/>
          <w:szCs w:val="24"/>
        </w:rPr>
        <w:t xml:space="preserve"> </w:t>
      </w:r>
      <w:r w:rsidR="00EB2890" w:rsidRPr="009D2E6D">
        <w:rPr>
          <w:rFonts w:ascii="Book Antiqua" w:hAnsi="Book Antiqua" w:cs="Times New Roman"/>
          <w:color w:val="000000" w:themeColor="text1"/>
          <w:kern w:val="0"/>
          <w:szCs w:val="24"/>
        </w:rPr>
        <w:t xml:space="preserve">Our Health Evaluation Center therefore used the Seattle protocol with 4-quadrant biopsies at interval of every 2 cm for ESEM. Furthermore, the esophageal biopsy specimens were interpreted by eight pathologists. </w:t>
      </w:r>
      <w:proofErr w:type="spellStart"/>
      <w:r>
        <w:rPr>
          <w:rFonts w:ascii="Book Antiqua" w:hAnsi="Book Antiqua" w:cs="Times New Roman"/>
          <w:color w:val="000000" w:themeColor="text1"/>
          <w:kern w:val="0"/>
          <w:szCs w:val="24"/>
        </w:rPr>
        <w:t>Mastracci</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42]</w:t>
      </w:r>
      <w:r w:rsidR="00DD4B3C" w:rsidRPr="009D2E6D">
        <w:rPr>
          <w:rFonts w:ascii="Book Antiqua" w:hAnsi="Book Antiqua" w:cs="Times New Roman"/>
          <w:color w:val="000000" w:themeColor="text1"/>
          <w:kern w:val="0"/>
          <w:szCs w:val="24"/>
        </w:rPr>
        <w:t xml:space="preserve"> revealed that the overall agreement rate of the diagnostic category of “BE with IM”</w:t>
      </w:r>
      <w:r w:rsidR="00EB2890"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between pathologists is moderate, with a K value of 0.599. This phenomenon might also be one of the confounding factors responsible for the different detection rates between ESEM and BE.</w:t>
      </w:r>
    </w:p>
    <w:p w14:paraId="6BB50615" w14:textId="62BF341A"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results of the present study demonstrated that old age significantly increased the likelihood of discovering IM, with a 1.029-fold increase in odds ratio per year of age increase. There are some postulated reasons which might explain this phenomenon. First, the density and surface area of IM might increase over time, due to prolonged gastric acid </w:t>
      </w:r>
      <w:proofErr w:type="gramStart"/>
      <w:r w:rsidR="00DD4B3C" w:rsidRPr="009D2E6D">
        <w:rPr>
          <w:rFonts w:ascii="Book Antiqua" w:hAnsi="Book Antiqua" w:cs="Times New Roman"/>
          <w:color w:val="000000" w:themeColor="text1"/>
          <w:kern w:val="0"/>
          <w:szCs w:val="24"/>
        </w:rPr>
        <w:t>stimulation</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43]</w:t>
      </w:r>
      <w:r w:rsidR="00DD4B3C" w:rsidRPr="009D2E6D">
        <w:rPr>
          <w:rFonts w:ascii="Book Antiqua" w:hAnsi="Book Antiqua" w:cs="Times New Roman"/>
          <w:color w:val="000000" w:themeColor="text1"/>
          <w:kern w:val="0"/>
          <w:szCs w:val="24"/>
        </w:rPr>
        <w:t xml:space="preserve">. Second, the prevalence of hiatus hernia, which is a risk factor for acid reflux, increases with </w:t>
      </w:r>
      <w:proofErr w:type="gramStart"/>
      <w:r w:rsidR="00DD4B3C" w:rsidRPr="009D2E6D">
        <w:rPr>
          <w:rFonts w:ascii="Book Antiqua" w:hAnsi="Book Antiqua" w:cs="Times New Roman"/>
          <w:color w:val="000000" w:themeColor="text1"/>
          <w:kern w:val="0"/>
          <w:szCs w:val="24"/>
        </w:rPr>
        <w:t>age</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44]</w:t>
      </w:r>
      <w:r w:rsidR="00DD4B3C" w:rsidRPr="009D2E6D">
        <w:rPr>
          <w:rFonts w:ascii="Book Antiqua" w:hAnsi="Book Antiqua" w:cs="Times New Roman"/>
          <w:color w:val="000000" w:themeColor="text1"/>
          <w:kern w:val="0"/>
          <w:szCs w:val="24"/>
        </w:rPr>
        <w:t xml:space="preserve">. Third, many older individuals, as a result of underlying medical illness and medication, may experience decreases in salivary flow, esophageal motility, gastric emptying, and </w:t>
      </w:r>
      <w:r>
        <w:rPr>
          <w:rFonts w:ascii="Book Antiqua" w:hAnsi="Book Antiqua" w:cs="Times New Roman"/>
          <w:color w:val="000000" w:themeColor="text1"/>
          <w:kern w:val="0"/>
          <w:szCs w:val="24"/>
        </w:rPr>
        <w:t>LES</w:t>
      </w:r>
      <w:r w:rsidR="00DD4B3C" w:rsidRPr="009D2E6D">
        <w:rPr>
          <w:rFonts w:ascii="Book Antiqua" w:hAnsi="Book Antiqua" w:cs="Times New Roman"/>
          <w:color w:val="000000" w:themeColor="text1"/>
          <w:kern w:val="0"/>
          <w:szCs w:val="24"/>
        </w:rPr>
        <w:t xml:space="preserve"> tone</w:t>
      </w:r>
      <w:r w:rsidR="00DD4B3C" w:rsidRPr="009D2E6D">
        <w:rPr>
          <w:rFonts w:ascii="Book Antiqua" w:hAnsi="Book Antiqua" w:cs="Times New Roman"/>
          <w:color w:val="000000" w:themeColor="text1"/>
          <w:kern w:val="0"/>
          <w:szCs w:val="24"/>
          <w:vertAlign w:val="superscript"/>
        </w:rPr>
        <w:t>[25]</w:t>
      </w:r>
      <w:r w:rsidR="00DD4B3C" w:rsidRPr="009D2E6D">
        <w:rPr>
          <w:rFonts w:ascii="Book Antiqua" w:hAnsi="Book Antiqua" w:cs="Times New Roman"/>
          <w:color w:val="000000" w:themeColor="text1"/>
          <w:kern w:val="0"/>
          <w:szCs w:val="24"/>
        </w:rPr>
        <w:t>. In clinical practice, more attention should be paid when ESEM is observed in older individuals, as these lesions have a h</w:t>
      </w:r>
      <w:r>
        <w:rPr>
          <w:rFonts w:ascii="Book Antiqua" w:hAnsi="Book Antiqua" w:cs="Times New Roman"/>
          <w:color w:val="000000" w:themeColor="text1"/>
          <w:kern w:val="0"/>
          <w:szCs w:val="24"/>
        </w:rPr>
        <w:t>igher likelihood of bearing IM.</w:t>
      </w:r>
    </w:p>
    <w:p w14:paraId="1AB73FE7" w14:textId="5C3EBF88"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present study also had some limitations. First, it was conducted using a retrospective observational method, and was subject to confounding due to other unmeasured variables. Second, in real-world clinical practice, there may exist conditions affecting the detection rate such as poor compliance with standard biopsy protocol or insufficient observation over the E-C junction </w:t>
      </w:r>
      <w:r w:rsidR="00DD4B3C" w:rsidRPr="009D2E6D">
        <w:rPr>
          <w:rFonts w:ascii="Book Antiqua" w:hAnsi="Book Antiqua" w:cs="Times New Roman"/>
          <w:color w:val="000000" w:themeColor="text1"/>
          <w:kern w:val="0"/>
          <w:szCs w:val="24"/>
        </w:rPr>
        <w:lastRenderedPageBreak/>
        <w:t>area.</w:t>
      </w:r>
    </w:p>
    <w:p w14:paraId="031B4688" w14:textId="6E46A86F"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In conclusion, the c</w:t>
      </w:r>
      <w:r w:rsidR="00DD4B3C" w:rsidRPr="009D2E6D">
        <w:rPr>
          <w:rFonts w:ascii="Book Antiqua" w:hAnsi="Book Antiqua" w:cs="Times New Roman"/>
          <w:color w:val="000000" w:themeColor="text1"/>
          <w:szCs w:val="24"/>
        </w:rPr>
        <w:t>urrent prevalence of BE among the general population in Taiwan is 2.6%. Its prevalence in Taiwan is the highest in Asian countries, and is comparable with that in western countries. Old age, male gender, ingestion of tea and the presence of hiatal hernia are significant risk factors for the development of BE in Taiwan.</w:t>
      </w:r>
    </w:p>
    <w:p w14:paraId="1A3CC7C0" w14:textId="77777777" w:rsidR="00F67955" w:rsidRPr="009D2E6D" w:rsidRDefault="00F67955"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478A625D"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color w:val="000000" w:themeColor="text1"/>
          <w:kern w:val="0"/>
          <w:szCs w:val="24"/>
        </w:rPr>
      </w:pPr>
      <w:r w:rsidRPr="009D2E6D">
        <w:rPr>
          <w:rFonts w:ascii="Book Antiqua" w:hAnsi="Book Antiqua" w:cs="Times New Roman"/>
          <w:b/>
          <w:color w:val="000000" w:themeColor="text1"/>
          <w:kern w:val="0"/>
          <w:szCs w:val="24"/>
        </w:rPr>
        <w:t>ARTICLE HIGHLIGHTS</w:t>
      </w:r>
    </w:p>
    <w:p w14:paraId="22EC674C"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background</w:t>
      </w:r>
    </w:p>
    <w:p w14:paraId="62439C75" w14:textId="27B896F9"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Barrett’s esophagus (BE) is generally recognized as a pre-malignant condition and is associated with the development of esophageal adenocarcinoma. The presence of intestinal metaplasia</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(IM)</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is generally required for diagnosis because it is the only type of esophageal columnar epithelium that clearly predisposes individuals to cancer development. The updated guidelines of the American College of Gastroenterology recommend that BE should be diagnosed when there is</w:t>
      </w:r>
      <w:r w:rsidR="00A27AF3"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extension of salmon-colored mucosa into the tubular esophagus extending ≥</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1 cm proximal to the gastroesophageal junction with biopsy confirmation of IM. The prevalence of BE in the general populations of Asian countries ranges from 0.06% to 1%, which is lower than that in western</w:t>
      </w:r>
      <w:r w:rsidR="00F67955"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countries. However, with adoption of western customs and lifestyle changes in Asian countries,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the prevalence of BE might have increased.</w:t>
      </w:r>
    </w:p>
    <w:p w14:paraId="56D62A24"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711B87A8"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motivation</w:t>
      </w:r>
    </w:p>
    <w:p w14:paraId="48303D67"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Currently, there is a lack of universal diagnostic criteria for BE because the definition varies among different countries and is updated as time goes by. Nevertheless, the most</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updated guidelines from the American College of Gastroenterology provide a pragmatic framework for our daily clinical practice. We wished to update the current prevalence of</w:t>
      </w:r>
      <w:r w:rsidR="00A27AF3"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BE in Taiwan based on th</w:t>
      </w:r>
      <w:r w:rsidR="00A27AF3" w:rsidRPr="009D2E6D">
        <w:rPr>
          <w:rFonts w:ascii="Book Antiqua" w:hAnsi="Book Antiqua" w:cs="Times New Roman"/>
          <w:color w:val="000000" w:themeColor="text1"/>
          <w:kern w:val="0"/>
          <w:szCs w:val="24"/>
        </w:rPr>
        <w:t>ese</w:t>
      </w:r>
      <w:r w:rsidRPr="009D2E6D">
        <w:rPr>
          <w:rFonts w:ascii="Book Antiqua" w:hAnsi="Book Antiqua" w:cs="Times New Roman"/>
          <w:color w:val="000000" w:themeColor="text1"/>
          <w:kern w:val="0"/>
          <w:szCs w:val="24"/>
        </w:rPr>
        <w:t xml:space="preserve"> criteria strictly.</w:t>
      </w:r>
    </w:p>
    <w:p w14:paraId="7DB07E8B"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76F38A70"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objectives</w:t>
      </w:r>
    </w:p>
    <w:p w14:paraId="7812D2E9"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lastRenderedPageBreak/>
        <w:t>To</w:t>
      </w:r>
      <w:r w:rsidR="00E5737C"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determine the current prevalence of BE in Taiwan, and to investigate risk factors predicting the presence of BE.</w:t>
      </w:r>
    </w:p>
    <w:p w14:paraId="053227F7"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7033D0D2"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methods</w:t>
      </w:r>
    </w:p>
    <w:p w14:paraId="0EDEFAEF"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Subjects undergoing routine esophagogastroduodenoscopy examinations as part of a health check-up at the Health Evaluation Center of Kaohsiung Veterans General Hospital in Taiwan were included. Subjects aged below 20 years or refused biopsy examination were excluded. Endoscopic findings consistent with BE awaiting histological evaluation were judged as endoscopically suspected esophageal metaplasia (ESEM). The diagnosis of BE requires</w:t>
      </w:r>
      <w:r w:rsidR="00826AFE"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an extension of the columnar epithelium ≥ 1cm above the gastroesophageal</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junction and the presence of specialized IM</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 the metaplastic esophageal epithelium. To determine the risk factors for BE, clinical and endoscopic parameters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were examined using univariate analysis.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The variables found to be statistically significant in univariate analysis were subsequently assessed using multivariate analysis to identify independent factors predicting BE. Categorical data were compared using the </w:t>
      </w:r>
      <w:bookmarkStart w:id="50" w:name="OLE_LINK566"/>
      <w:r w:rsidRPr="00A43E16">
        <w:rPr>
          <w:rFonts w:ascii="Book Antiqua" w:hAnsi="Book Antiqua" w:cs="Times New Roman"/>
          <w:i/>
          <w:color w:val="000000" w:themeColor="text1"/>
          <w:kern w:val="0"/>
          <w:szCs w:val="24"/>
        </w:rPr>
        <w:t>χ</w:t>
      </w:r>
      <w:r w:rsidRPr="00A43E16">
        <w:rPr>
          <w:rFonts w:ascii="Book Antiqua" w:hAnsi="Book Antiqua" w:cs="Times New Roman"/>
          <w:i/>
          <w:color w:val="000000" w:themeColor="text1"/>
          <w:kern w:val="0"/>
          <w:szCs w:val="24"/>
          <w:vertAlign w:val="superscript"/>
        </w:rPr>
        <w:t>2</w:t>
      </w:r>
      <w:bookmarkEnd w:id="50"/>
      <w:r w:rsidRPr="009D2E6D">
        <w:rPr>
          <w:rFonts w:ascii="Book Antiqua" w:hAnsi="Book Antiqua" w:cs="Times New Roman"/>
          <w:color w:val="000000" w:themeColor="text1"/>
          <w:kern w:val="0"/>
          <w:szCs w:val="24"/>
        </w:rPr>
        <w:t xml:space="preserve"> test or Fisher’s exact test, as appropriate. The Student’s </w:t>
      </w:r>
      <w:r w:rsidRPr="00A43E16">
        <w:rPr>
          <w:rFonts w:ascii="Book Antiqua" w:hAnsi="Book Antiqua" w:cs="Times New Roman"/>
          <w:i/>
          <w:color w:val="000000" w:themeColor="text1"/>
          <w:kern w:val="0"/>
          <w:szCs w:val="24"/>
        </w:rPr>
        <w:t>t</w:t>
      </w:r>
      <w:r w:rsidRPr="009D2E6D">
        <w:rPr>
          <w:rFonts w:ascii="Book Antiqua" w:hAnsi="Book Antiqua" w:cs="Times New Roman"/>
          <w:color w:val="000000" w:themeColor="text1"/>
          <w:kern w:val="0"/>
          <w:szCs w:val="24"/>
        </w:rPr>
        <w:t xml:space="preserve">-test was used for the comparison of continuous data. A </w:t>
      </w:r>
      <w:r w:rsidRPr="00A43E1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value less than 0.05 was considered statistically significant.</w:t>
      </w:r>
    </w:p>
    <w:p w14:paraId="1B4D5301"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00761F57"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results</w:t>
      </w:r>
    </w:p>
    <w:p w14:paraId="4E9CF524" w14:textId="2B95C28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A total of 3385 subjects were recruited in the study. Of these, two who were aged below 20 years were excluded from the study. Thus, 3385 individuals (mean age, 51.29 ± 11.42 years; 57.1% male) were included in further analyses. ESEM was found in 423 individuals, and 89 among them were confirmed to have IM and presence of goblet cells via biopsy examination. Therefore, the overall prevalence of BE was 2.6%. Factors that were significantly associated with a higher risk for BE </w:t>
      </w:r>
      <w:r w:rsidRPr="00D34C76">
        <w:rPr>
          <w:rFonts w:ascii="Book Antiqua" w:hAnsi="Book Antiqua" w:cs="Times New Roman"/>
          <w:i/>
          <w:color w:val="000000" w:themeColor="text1"/>
          <w:kern w:val="0"/>
          <w:szCs w:val="24"/>
        </w:rPr>
        <w:t>via</w:t>
      </w:r>
      <w:r w:rsidR="00E5737C" w:rsidRPr="00D34C7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multivariate analysis included</w:t>
      </w:r>
      <w:r w:rsidR="00E5737C" w:rsidRPr="009D2E6D">
        <w:rPr>
          <w:rFonts w:ascii="Book Antiqua" w:hAnsi="Book Antiqua" w:cs="Times New Roman"/>
          <w:color w:val="000000" w:themeColor="text1"/>
          <w:kern w:val="0"/>
          <w:szCs w:val="24"/>
        </w:rPr>
        <w:t xml:space="preserve"> </w:t>
      </w:r>
      <w:r w:rsidR="00D34C76">
        <w:rPr>
          <w:rFonts w:ascii="Book Antiqua" w:hAnsi="Book Antiqua" w:cs="Times New Roman"/>
          <w:color w:val="000000" w:themeColor="text1"/>
          <w:kern w:val="0"/>
          <w:szCs w:val="24"/>
        </w:rPr>
        <w:t>old age [odds ratio (OR) = 1.033; 95% confidence interval (CI):</w:t>
      </w:r>
      <w:r w:rsidRPr="009D2E6D">
        <w:rPr>
          <w:rFonts w:ascii="Book Antiqua" w:hAnsi="Book Antiqua" w:cs="Times New Roman"/>
          <w:color w:val="000000" w:themeColor="text1"/>
          <w:kern w:val="0"/>
          <w:szCs w:val="24"/>
        </w:rPr>
        <w:t xml:space="preserve"> 1.012</w:t>
      </w:r>
      <w:r w:rsidR="00371368">
        <w:rPr>
          <w:rFonts w:ascii="Book Antiqua" w:hAnsi="Book Antiqua" w:cs="Times New Roman"/>
          <w:color w:val="000000" w:themeColor="text1"/>
          <w:kern w:val="0"/>
          <w:szCs w:val="24"/>
        </w:rPr>
        <w:t>-</w:t>
      </w:r>
      <w:r w:rsidR="00D34C76">
        <w:rPr>
          <w:rFonts w:ascii="Book Antiqua" w:hAnsi="Book Antiqua" w:cs="Times New Roman"/>
          <w:color w:val="000000" w:themeColor="text1"/>
          <w:kern w:val="0"/>
          <w:szCs w:val="24"/>
        </w:rPr>
        <w:t xml:space="preserve">1.055; </w:t>
      </w:r>
      <w:r w:rsidR="00D34C76" w:rsidRPr="00D34C76">
        <w:rPr>
          <w:rFonts w:ascii="Book Antiqua" w:hAnsi="Book Antiqua" w:cs="Times New Roman"/>
          <w:i/>
          <w:color w:val="000000" w:themeColor="text1"/>
          <w:kern w:val="0"/>
          <w:szCs w:val="24"/>
        </w:rPr>
        <w:t>P</w:t>
      </w:r>
      <w:r w:rsidR="00D34C76">
        <w:rPr>
          <w:rFonts w:ascii="Book Antiqua" w:hAnsi="Book Antiqua" w:cs="Times New Roman"/>
          <w:color w:val="000000" w:themeColor="text1"/>
          <w:kern w:val="0"/>
          <w:szCs w:val="24"/>
        </w:rPr>
        <w:t xml:space="preserve"> = 0.002],</w:t>
      </w:r>
      <w:r w:rsidRPr="009D2E6D">
        <w:rPr>
          <w:rFonts w:ascii="Book Antiqua" w:hAnsi="Book Antiqua" w:cs="Times New Roman"/>
          <w:color w:val="000000" w:themeColor="text1"/>
          <w:kern w:val="0"/>
          <w:szCs w:val="24"/>
        </w:rPr>
        <w:t xml:space="preserve"> male gender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2.106;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1.145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3.872; </w:t>
      </w:r>
      <w:r w:rsidRPr="00D34C7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0.017), ingestion of tea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lastRenderedPageBreak/>
        <w:t>1.695;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1.043</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2.754; </w:t>
      </w:r>
      <w:r w:rsidRPr="00D34C76">
        <w:rPr>
          <w:rFonts w:ascii="Book Antiqua" w:hAnsi="Book Antiqua" w:cs="Times New Roman"/>
          <w:i/>
          <w:color w:val="000000" w:themeColor="text1"/>
          <w:kern w:val="0"/>
          <w:szCs w:val="24"/>
        </w:rPr>
        <w:t xml:space="preserve">P </w:t>
      </w:r>
      <w:r w:rsidRPr="009D2E6D">
        <w:rPr>
          <w:rFonts w:ascii="Book Antiqua" w:hAnsi="Book Antiqua" w:cs="Times New Roman"/>
          <w:color w:val="000000" w:themeColor="text1"/>
          <w:kern w:val="0"/>
          <w:szCs w:val="24"/>
        </w:rPr>
        <w:t xml:space="preserve">= 0.033), and presence of hiatal hernia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3.037;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1.765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5.225; </w:t>
      </w:r>
      <w:r w:rsidRPr="00D34C7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&lt; 0.001). Old age alone was the only independent risk</w:t>
      </w:r>
      <w:r w:rsidR="00F67955"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factor for the presence of IM in ESEM lesions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1.029;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1.006</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1.053; </w:t>
      </w:r>
      <w:r w:rsidRPr="00D34C76">
        <w:rPr>
          <w:rFonts w:ascii="Book Antiqua" w:hAnsi="Book Antiqua" w:cs="Times New Roman"/>
          <w:i/>
          <w:color w:val="000000" w:themeColor="text1"/>
          <w:kern w:val="0"/>
          <w:szCs w:val="24"/>
        </w:rPr>
        <w:t xml:space="preserve">P </w:t>
      </w:r>
      <w:r w:rsidRPr="009D2E6D">
        <w:rPr>
          <w:rFonts w:ascii="Book Antiqua" w:hAnsi="Book Antiqua" w:cs="Times New Roman"/>
          <w:color w:val="000000" w:themeColor="text1"/>
          <w:kern w:val="0"/>
          <w:szCs w:val="24"/>
        </w:rPr>
        <w:t>= 0.014).</w:t>
      </w:r>
    </w:p>
    <w:p w14:paraId="76754A2E"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0CABC5CB"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conclusions</w:t>
      </w:r>
    </w:p>
    <w:p w14:paraId="34CFB29F"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The current prevalence of BE among the general population in Taiwan is 2.6%. Its prevalence</w:t>
      </w:r>
      <w:r w:rsidR="007C61A2"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 Taiwan is not only the highest in Asian countries but also comparable with that in western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countries. Adoption in western customs and foods might have contributed to this phenomenon substantially. From this study, we confirmed that old age, male gender, and presence of hiatal hernia were solid risk factors for BE. Besides, ingestion of tea, a common habit of Asian people, is also significantly associated with the development of BE in Taiwan. Such a finding has been rarely reported in previous studies. The results of the present study demonstrated that old age significantly increased</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the likelihood of discovering IM in ESEM lesions, with a 1.029-fold increase in odds ratio per year of age increase. From this point, more attention should be paid when ESEM is observed</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 older individuals in clinical practice, as these lesions have a higher likelihood of bearing IM.</w:t>
      </w:r>
    </w:p>
    <w:p w14:paraId="1F04483E"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02543B22"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perspectives</w:t>
      </w:r>
    </w:p>
    <w:p w14:paraId="746D3B33"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As this is a retrospective observational study and was subject to confounding due to other unmeasured variables, the true prevalence of BE might have been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underestimated. Well-designed prospective clinical trials are needed to reveal the real</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prevalence of BE in the future. The exact mechanism responsible for the impact of tea ingestion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on the development of BE is not clear. Further studies focusing on this topic are required.</w:t>
      </w:r>
    </w:p>
    <w:p w14:paraId="20F16DD0" w14:textId="77777777" w:rsidR="00D34C76" w:rsidRDefault="00D34C76">
      <w:pPr>
        <w:widowControl/>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br w:type="page"/>
      </w:r>
    </w:p>
    <w:p w14:paraId="2F3D4CED" w14:textId="681FA45D" w:rsidR="00DD4B3C" w:rsidRPr="009D2E6D" w:rsidRDefault="00DD4B3C" w:rsidP="00371368">
      <w:pPr>
        <w:adjustRightInd w:val="0"/>
        <w:snapToGrid w:val="0"/>
        <w:spacing w:line="360" w:lineRule="auto"/>
        <w:jc w:val="both"/>
        <w:outlineLvl w:val="0"/>
        <w:rPr>
          <w:rFonts w:ascii="Book Antiqua" w:hAnsi="Book Antiqua" w:cs="Times New Roman"/>
          <w:color w:val="000000" w:themeColor="text1"/>
          <w:kern w:val="0"/>
          <w:szCs w:val="24"/>
        </w:rPr>
      </w:pPr>
      <w:r w:rsidRPr="009D2E6D">
        <w:rPr>
          <w:rFonts w:ascii="Book Antiqua" w:hAnsi="Book Antiqua" w:cs="Times New Roman"/>
          <w:b/>
          <w:color w:val="000000" w:themeColor="text1"/>
          <w:kern w:val="0"/>
          <w:szCs w:val="24"/>
        </w:rPr>
        <w:lastRenderedPageBreak/>
        <w:t>REFERENCES</w:t>
      </w:r>
    </w:p>
    <w:p w14:paraId="23B1FB4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1 </w:t>
      </w:r>
      <w:r w:rsidRPr="009B6397">
        <w:rPr>
          <w:rFonts w:ascii="Book Antiqua" w:hAnsi="Book Antiqua"/>
          <w:b/>
          <w:bCs/>
          <w:color w:val="000000" w:themeColor="text1"/>
          <w:szCs w:val="24"/>
        </w:rPr>
        <w:t>Sharma P</w:t>
      </w:r>
      <w:r w:rsidRPr="009B6397">
        <w:rPr>
          <w:rFonts w:ascii="Book Antiqua" w:hAnsi="Book Antiqua"/>
          <w:color w:val="000000" w:themeColor="text1"/>
          <w:szCs w:val="24"/>
        </w:rPr>
        <w:t>. Clinical practice. Barrett's esophagus. </w:t>
      </w:r>
      <w:r w:rsidRPr="009B6397">
        <w:rPr>
          <w:rFonts w:ascii="Book Antiqua" w:hAnsi="Book Antiqua"/>
          <w:i/>
          <w:iCs/>
          <w:color w:val="000000" w:themeColor="text1"/>
          <w:szCs w:val="24"/>
        </w:rPr>
        <w:t>N Engl J Med</w:t>
      </w:r>
      <w:r w:rsidRPr="009B6397">
        <w:rPr>
          <w:rFonts w:ascii="Book Antiqua" w:hAnsi="Book Antiqua"/>
          <w:color w:val="000000" w:themeColor="text1"/>
          <w:szCs w:val="24"/>
        </w:rPr>
        <w:t> 2009; </w:t>
      </w:r>
      <w:r w:rsidRPr="009B6397">
        <w:rPr>
          <w:rFonts w:ascii="Book Antiqua" w:hAnsi="Book Antiqua"/>
          <w:b/>
          <w:bCs/>
          <w:color w:val="000000" w:themeColor="text1"/>
          <w:szCs w:val="24"/>
        </w:rPr>
        <w:t>361</w:t>
      </w:r>
      <w:r w:rsidRPr="009B6397">
        <w:rPr>
          <w:rFonts w:ascii="Book Antiqua" w:hAnsi="Book Antiqua"/>
          <w:color w:val="000000" w:themeColor="text1"/>
          <w:szCs w:val="24"/>
        </w:rPr>
        <w:t>: 2548-2556 [PMID: 20032324 DOI: 10.1056/NEJMcp0902173]</w:t>
      </w:r>
    </w:p>
    <w:p w14:paraId="7E021DC5" w14:textId="45BCBA66"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2 </w:t>
      </w:r>
      <w:r w:rsidRPr="009B6397">
        <w:rPr>
          <w:rFonts w:ascii="Book Antiqua" w:hAnsi="Book Antiqua"/>
          <w:b/>
          <w:bCs/>
          <w:color w:val="000000" w:themeColor="text1"/>
          <w:szCs w:val="24"/>
        </w:rPr>
        <w:t>American Gastroenterological Association</w:t>
      </w:r>
      <w:r w:rsidRPr="009B6397">
        <w:rPr>
          <w:rFonts w:ascii="Book Antiqua" w:hAnsi="Book Antiqua"/>
          <w:color w:val="000000" w:themeColor="text1"/>
          <w:szCs w:val="24"/>
        </w:rPr>
        <w:t>, Spechler SJ, Sharma P, Souza RF, Inadomi JM, Shaheen NJ. American Gastroenterological Association medical position statement on the management of Barrett's esophagus.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2011; </w:t>
      </w:r>
      <w:r w:rsidRPr="009B6397">
        <w:rPr>
          <w:rFonts w:ascii="Book Antiqua" w:hAnsi="Book Antiqua"/>
          <w:b/>
          <w:bCs/>
          <w:color w:val="000000" w:themeColor="text1"/>
          <w:szCs w:val="24"/>
        </w:rPr>
        <w:t>140</w:t>
      </w:r>
      <w:r w:rsidRPr="009B6397">
        <w:rPr>
          <w:rFonts w:ascii="Book Antiqua" w:hAnsi="Book Antiqua"/>
          <w:color w:val="000000" w:themeColor="text1"/>
          <w:szCs w:val="24"/>
        </w:rPr>
        <w:t>: 1084-1091 [PMID: 21376940 DOI: 10.1053/j.gastro.2011.01.030]</w:t>
      </w:r>
    </w:p>
    <w:p w14:paraId="323D113E"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3 </w:t>
      </w:r>
      <w:r w:rsidRPr="009B6397">
        <w:rPr>
          <w:rFonts w:ascii="Book Antiqua" w:hAnsi="Book Antiqua"/>
          <w:b/>
          <w:bCs/>
          <w:color w:val="000000" w:themeColor="text1"/>
          <w:szCs w:val="24"/>
        </w:rPr>
        <w:t>Shaheen NJ</w:t>
      </w:r>
      <w:r w:rsidRPr="009B6397">
        <w:rPr>
          <w:rFonts w:ascii="Book Antiqua" w:hAnsi="Book Antiqua"/>
          <w:color w:val="000000" w:themeColor="text1"/>
          <w:szCs w:val="24"/>
        </w:rPr>
        <w:t>, Falk GW, Iyer PG, Gerson LB; American College of Gastroenterology. ACG Clinical Guideline: Diagnosis and Management of Barrett's Esophagus.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2016; </w:t>
      </w:r>
      <w:r w:rsidRPr="009B6397">
        <w:rPr>
          <w:rFonts w:ascii="Book Antiqua" w:hAnsi="Book Antiqua"/>
          <w:b/>
          <w:bCs/>
          <w:color w:val="000000" w:themeColor="text1"/>
          <w:szCs w:val="24"/>
        </w:rPr>
        <w:t>111</w:t>
      </w:r>
      <w:r w:rsidRPr="009B6397">
        <w:rPr>
          <w:rFonts w:ascii="Book Antiqua" w:hAnsi="Book Antiqua"/>
          <w:color w:val="000000" w:themeColor="text1"/>
          <w:szCs w:val="24"/>
        </w:rPr>
        <w:t>: 30-50; quiz 51 [PMID: 26526079 DOI: 10.1038/ajg.2015.322]</w:t>
      </w:r>
    </w:p>
    <w:p w14:paraId="6BCB48F8" w14:textId="7447C740"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4 </w:t>
      </w:r>
      <w:r w:rsidRPr="009B6397">
        <w:rPr>
          <w:rFonts w:ascii="Book Antiqua" w:hAnsi="Book Antiqua"/>
          <w:b/>
          <w:bCs/>
          <w:color w:val="000000" w:themeColor="text1"/>
          <w:szCs w:val="24"/>
        </w:rPr>
        <w:t>ASGE Standards of Practice Committee</w:t>
      </w:r>
      <w:r w:rsidRPr="009B6397">
        <w:rPr>
          <w:rFonts w:ascii="Book Antiqua" w:hAnsi="Book Antiqua"/>
          <w:color w:val="000000" w:themeColor="text1"/>
          <w:szCs w:val="24"/>
        </w:rPr>
        <w:t>, Evans JA, Early DS, Fukami N, Ben-Menachem T, Chandrasekhara V, Chathadi KV, Decker GA, Fanelli RD, Fisher DA, Foley KQ, Hwang JH, Jain R, Jue TL, Khan KM, Lightdale J, Malpas PM, Maple JT, Pasha SF, Saltzman JR, Sharaf RN, Shergill A, Dominitz JA, Cash BD; Standards of Practice Committee of the American Society for Gastrointestinal Endoscopy. The role of endoscopy in Barrett's esophagus and other premalignant conditions of the esophagus. </w:t>
      </w:r>
      <w:r w:rsidRPr="009B6397">
        <w:rPr>
          <w:rFonts w:ascii="Book Antiqua" w:hAnsi="Book Antiqua"/>
          <w:i/>
          <w:iCs/>
          <w:color w:val="000000" w:themeColor="text1"/>
          <w:szCs w:val="24"/>
        </w:rPr>
        <w:t>Gastrointest Endosc</w:t>
      </w:r>
      <w:r w:rsidRPr="009B6397">
        <w:rPr>
          <w:rFonts w:ascii="Book Antiqua" w:hAnsi="Book Antiqua"/>
          <w:color w:val="000000" w:themeColor="text1"/>
          <w:szCs w:val="24"/>
        </w:rPr>
        <w:t>2012; </w:t>
      </w:r>
      <w:r w:rsidRPr="009B6397">
        <w:rPr>
          <w:rFonts w:ascii="Book Antiqua" w:hAnsi="Book Antiqua"/>
          <w:b/>
          <w:bCs/>
          <w:color w:val="000000" w:themeColor="text1"/>
          <w:szCs w:val="24"/>
        </w:rPr>
        <w:t>76</w:t>
      </w:r>
      <w:r w:rsidRPr="009B6397">
        <w:rPr>
          <w:rFonts w:ascii="Book Antiqua" w:hAnsi="Book Antiqua"/>
          <w:color w:val="000000" w:themeColor="text1"/>
          <w:szCs w:val="24"/>
        </w:rPr>
        <w:t>: 1087-1094 [PMID: 23164510 DOI: 10.1016/j.gie.2012.08.004]</w:t>
      </w:r>
    </w:p>
    <w:p w14:paraId="70BB3CF0"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5 </w:t>
      </w:r>
      <w:r w:rsidRPr="009B6397">
        <w:rPr>
          <w:rFonts w:ascii="Book Antiqua" w:hAnsi="Book Antiqua"/>
          <w:b/>
          <w:bCs/>
          <w:color w:val="000000" w:themeColor="text1"/>
          <w:szCs w:val="24"/>
        </w:rPr>
        <w:t>Johansson J</w:t>
      </w:r>
      <w:r w:rsidRPr="009B6397">
        <w:rPr>
          <w:rFonts w:ascii="Book Antiqua" w:hAnsi="Book Antiqua"/>
          <w:color w:val="000000" w:themeColor="text1"/>
          <w:szCs w:val="24"/>
        </w:rPr>
        <w:t>, Håkansson HO, Mellblom L, Kempas A, Johansson KE, Granath F, Nyrén O. Risk factors for Barrett's oesophagus: a population-based approach. </w:t>
      </w:r>
      <w:r w:rsidRPr="009B6397">
        <w:rPr>
          <w:rFonts w:ascii="Book Antiqua" w:hAnsi="Book Antiqua"/>
          <w:i/>
          <w:iCs/>
          <w:color w:val="000000" w:themeColor="text1"/>
          <w:szCs w:val="24"/>
        </w:rPr>
        <w:t>Scand J Gastroenterol</w:t>
      </w:r>
      <w:r w:rsidRPr="009B6397">
        <w:rPr>
          <w:rFonts w:ascii="Book Antiqua" w:hAnsi="Book Antiqua"/>
          <w:color w:val="000000" w:themeColor="text1"/>
          <w:szCs w:val="24"/>
        </w:rPr>
        <w:t> 2007; </w:t>
      </w:r>
      <w:r w:rsidRPr="009B6397">
        <w:rPr>
          <w:rFonts w:ascii="Book Antiqua" w:hAnsi="Book Antiqua"/>
          <w:b/>
          <w:bCs/>
          <w:color w:val="000000" w:themeColor="text1"/>
          <w:szCs w:val="24"/>
        </w:rPr>
        <w:t>42</w:t>
      </w:r>
      <w:r w:rsidRPr="009B6397">
        <w:rPr>
          <w:rFonts w:ascii="Book Antiqua" w:hAnsi="Book Antiqua"/>
          <w:color w:val="000000" w:themeColor="text1"/>
          <w:szCs w:val="24"/>
        </w:rPr>
        <w:t>: 148-156 [PMID: 17327933 DOI: 10.1080/00365520600881037]</w:t>
      </w:r>
    </w:p>
    <w:p w14:paraId="5A1DC44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6 </w:t>
      </w:r>
      <w:r w:rsidRPr="009B6397">
        <w:rPr>
          <w:rFonts w:ascii="Book Antiqua" w:hAnsi="Book Antiqua"/>
          <w:b/>
          <w:bCs/>
          <w:color w:val="000000" w:themeColor="text1"/>
          <w:szCs w:val="24"/>
        </w:rPr>
        <w:t>Abrams JA</w:t>
      </w:r>
      <w:r w:rsidRPr="009B6397">
        <w:rPr>
          <w:rFonts w:ascii="Book Antiqua" w:hAnsi="Book Antiqua"/>
          <w:color w:val="000000" w:themeColor="text1"/>
          <w:szCs w:val="24"/>
        </w:rPr>
        <w:t>, Fields S, Lightdale CJ, Neugut AI. Racial and ethnic disparities in the prevalence of Barrett's esophagus among patients who undergo upper endoscopy.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2008; </w:t>
      </w:r>
      <w:r w:rsidRPr="009B6397">
        <w:rPr>
          <w:rFonts w:ascii="Book Antiqua" w:hAnsi="Book Antiqua"/>
          <w:b/>
          <w:bCs/>
          <w:color w:val="000000" w:themeColor="text1"/>
          <w:szCs w:val="24"/>
        </w:rPr>
        <w:t>6</w:t>
      </w:r>
      <w:r w:rsidRPr="009B6397">
        <w:rPr>
          <w:rFonts w:ascii="Book Antiqua" w:hAnsi="Book Antiqua"/>
          <w:color w:val="000000" w:themeColor="text1"/>
          <w:szCs w:val="24"/>
        </w:rPr>
        <w:t>: 30-34 [PMID: 18063419 DOI: 10.1016/j.cgh.2007.10.006]</w:t>
      </w:r>
    </w:p>
    <w:p w14:paraId="43002386"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7 </w:t>
      </w:r>
      <w:r w:rsidRPr="009B6397">
        <w:rPr>
          <w:rFonts w:ascii="Book Antiqua" w:hAnsi="Book Antiqua"/>
          <w:b/>
          <w:bCs/>
          <w:color w:val="000000" w:themeColor="text1"/>
          <w:szCs w:val="24"/>
        </w:rPr>
        <w:t>Kubo A</w:t>
      </w:r>
      <w:r w:rsidRPr="009B6397">
        <w:rPr>
          <w:rFonts w:ascii="Book Antiqua" w:hAnsi="Book Antiqua"/>
          <w:color w:val="000000" w:themeColor="text1"/>
          <w:szCs w:val="24"/>
        </w:rPr>
        <w:t xml:space="preserve">, Cook MB, Shaheen NJ, Vaughan TL, Whiteman DC, Murray L, Corley DA. Sex-specific associations between body mass index, waist circumference and the risk of Barrett's oesophagus: a pooled analysis from the </w:t>
      </w:r>
      <w:r w:rsidRPr="009B6397">
        <w:rPr>
          <w:rFonts w:ascii="Book Antiqua" w:hAnsi="Book Antiqua"/>
          <w:color w:val="000000" w:themeColor="text1"/>
          <w:szCs w:val="24"/>
        </w:rPr>
        <w:lastRenderedPageBreak/>
        <w:t>international BEACON consortium. </w:t>
      </w:r>
      <w:r w:rsidRPr="009B6397">
        <w:rPr>
          <w:rFonts w:ascii="Book Antiqua" w:hAnsi="Book Antiqua"/>
          <w:i/>
          <w:iCs/>
          <w:color w:val="000000" w:themeColor="text1"/>
          <w:szCs w:val="24"/>
        </w:rPr>
        <w:t>Gut</w:t>
      </w:r>
      <w:r w:rsidRPr="009B6397">
        <w:rPr>
          <w:rFonts w:ascii="Book Antiqua" w:hAnsi="Book Antiqua"/>
          <w:color w:val="000000" w:themeColor="text1"/>
          <w:szCs w:val="24"/>
        </w:rPr>
        <w:t> 2013; </w:t>
      </w:r>
      <w:r w:rsidRPr="009B6397">
        <w:rPr>
          <w:rFonts w:ascii="Book Antiqua" w:hAnsi="Book Antiqua"/>
          <w:b/>
          <w:bCs/>
          <w:color w:val="000000" w:themeColor="text1"/>
          <w:szCs w:val="24"/>
        </w:rPr>
        <w:t>62</w:t>
      </w:r>
      <w:r w:rsidRPr="009B6397">
        <w:rPr>
          <w:rFonts w:ascii="Book Antiqua" w:hAnsi="Book Antiqua"/>
          <w:color w:val="000000" w:themeColor="text1"/>
          <w:szCs w:val="24"/>
        </w:rPr>
        <w:t>: 1684-1691 [PMID: 23355549 DOI: 10.1136/gutjnl-2012-303753]</w:t>
      </w:r>
    </w:p>
    <w:p w14:paraId="775FA0F2"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8 </w:t>
      </w:r>
      <w:r w:rsidRPr="009B6397">
        <w:rPr>
          <w:rFonts w:ascii="Book Antiqua" w:hAnsi="Book Antiqua"/>
          <w:b/>
          <w:bCs/>
          <w:color w:val="000000" w:themeColor="text1"/>
          <w:szCs w:val="24"/>
        </w:rPr>
        <w:t>Steevens J</w:t>
      </w:r>
      <w:r w:rsidRPr="009B6397">
        <w:rPr>
          <w:rFonts w:ascii="Book Antiqua" w:hAnsi="Book Antiqua"/>
          <w:color w:val="000000" w:themeColor="text1"/>
          <w:szCs w:val="24"/>
        </w:rPr>
        <w:t>, Schouten LJ, Driessen AL, Huysentruyt CJ, Keulemans YC, Goldbohm RA, van den Brandt PA. A prospective cohort study on overweight, smoking, alcohol consumption, and risk of Barrett's esophagus. </w:t>
      </w:r>
      <w:r w:rsidRPr="009B6397">
        <w:rPr>
          <w:rFonts w:ascii="Book Antiqua" w:hAnsi="Book Antiqua"/>
          <w:i/>
          <w:iCs/>
          <w:color w:val="000000" w:themeColor="text1"/>
          <w:szCs w:val="24"/>
        </w:rPr>
        <w:t>Cancer Epidemiol Biomarkers Prev</w:t>
      </w:r>
      <w:r w:rsidRPr="009B6397">
        <w:rPr>
          <w:rFonts w:ascii="Book Antiqua" w:hAnsi="Book Antiqua"/>
          <w:color w:val="000000" w:themeColor="text1"/>
          <w:szCs w:val="24"/>
        </w:rPr>
        <w:t> 2011; </w:t>
      </w:r>
      <w:r w:rsidRPr="009B6397">
        <w:rPr>
          <w:rFonts w:ascii="Book Antiqua" w:hAnsi="Book Antiqua"/>
          <w:b/>
          <w:bCs/>
          <w:color w:val="000000" w:themeColor="text1"/>
          <w:szCs w:val="24"/>
        </w:rPr>
        <w:t>20</w:t>
      </w:r>
      <w:r w:rsidRPr="009B6397">
        <w:rPr>
          <w:rFonts w:ascii="Book Antiqua" w:hAnsi="Book Antiqua"/>
          <w:color w:val="000000" w:themeColor="text1"/>
          <w:szCs w:val="24"/>
        </w:rPr>
        <w:t>: 345-358 [PMID: 21173169 DOI: 10.1158/1055-9965.EPI-10-0636]</w:t>
      </w:r>
    </w:p>
    <w:p w14:paraId="2AAE58E1"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9 </w:t>
      </w:r>
      <w:r w:rsidRPr="009B6397">
        <w:rPr>
          <w:rFonts w:ascii="Book Antiqua" w:hAnsi="Book Antiqua"/>
          <w:b/>
          <w:bCs/>
          <w:color w:val="000000" w:themeColor="text1"/>
          <w:szCs w:val="24"/>
        </w:rPr>
        <w:t>Forssell L</w:t>
      </w:r>
      <w:r w:rsidRPr="009B6397">
        <w:rPr>
          <w:rFonts w:ascii="Book Antiqua" w:hAnsi="Book Antiqua"/>
          <w:color w:val="000000" w:themeColor="text1"/>
          <w:szCs w:val="24"/>
        </w:rPr>
        <w:t>, Cnattingius S, Bottai M, Edstedt Bonamy AK, Lagergren J, Agréus L, Akre O. Increased risk of Barrett's esophagus among individuals born preterm or small for gestational age.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2013; </w:t>
      </w:r>
      <w:r w:rsidRPr="009B6397">
        <w:rPr>
          <w:rFonts w:ascii="Book Antiqua" w:hAnsi="Book Antiqua"/>
          <w:b/>
          <w:bCs/>
          <w:color w:val="000000" w:themeColor="text1"/>
          <w:szCs w:val="24"/>
        </w:rPr>
        <w:t>11</w:t>
      </w:r>
      <w:r w:rsidRPr="009B6397">
        <w:rPr>
          <w:rFonts w:ascii="Book Antiqua" w:hAnsi="Book Antiqua"/>
          <w:color w:val="000000" w:themeColor="text1"/>
          <w:szCs w:val="24"/>
        </w:rPr>
        <w:t>: 790-794 [PMID: 23376800 DOI: 10.1016/j.cgh.2013.01.024]</w:t>
      </w:r>
    </w:p>
    <w:p w14:paraId="7D94780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10 </w:t>
      </w:r>
      <w:r w:rsidRPr="009B6397">
        <w:rPr>
          <w:rFonts w:ascii="Book Antiqua" w:hAnsi="Book Antiqua"/>
          <w:b/>
          <w:bCs/>
          <w:color w:val="000000" w:themeColor="text1"/>
          <w:szCs w:val="24"/>
        </w:rPr>
        <w:t>Leggett CL</w:t>
      </w:r>
      <w:r w:rsidRPr="009B6397">
        <w:rPr>
          <w:rFonts w:ascii="Book Antiqua" w:hAnsi="Book Antiqua"/>
          <w:color w:val="000000" w:themeColor="text1"/>
          <w:szCs w:val="24"/>
        </w:rPr>
        <w:t>, Gorospe EC, Calvin AD, Harmsen WS, Zinsmeister AR, Caples S, Somers VK, Dunagan K, Lutzke L, Wang KK, Iyer PG. Obstructive sleep apnea is a risk factor for Barrett's esophagus.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2014; </w:t>
      </w:r>
      <w:r w:rsidRPr="009B6397">
        <w:rPr>
          <w:rFonts w:ascii="Book Antiqua" w:hAnsi="Book Antiqua"/>
          <w:b/>
          <w:bCs/>
          <w:color w:val="000000" w:themeColor="text1"/>
          <w:szCs w:val="24"/>
        </w:rPr>
        <w:t>12</w:t>
      </w:r>
      <w:r w:rsidRPr="009B6397">
        <w:rPr>
          <w:rFonts w:ascii="Book Antiqua" w:hAnsi="Book Antiqua"/>
          <w:color w:val="000000" w:themeColor="text1"/>
          <w:szCs w:val="24"/>
        </w:rPr>
        <w:t>: 583-8.e1 [PMID: 24035775 DOI: 10.1016/j.cgh.2013.08.043]</w:t>
      </w:r>
    </w:p>
    <w:p w14:paraId="43CE22B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11 </w:t>
      </w:r>
      <w:r w:rsidRPr="009B6397">
        <w:rPr>
          <w:rFonts w:ascii="Book Antiqua" w:hAnsi="Book Antiqua"/>
          <w:b/>
          <w:bCs/>
          <w:color w:val="000000" w:themeColor="text1"/>
          <w:szCs w:val="24"/>
        </w:rPr>
        <w:t>Shiota S</w:t>
      </w:r>
      <w:r w:rsidRPr="009B6397">
        <w:rPr>
          <w:rFonts w:ascii="Book Antiqua" w:hAnsi="Book Antiqua"/>
          <w:color w:val="000000" w:themeColor="text1"/>
          <w:szCs w:val="24"/>
        </w:rPr>
        <w:t>, Singh S, Anshasi A, El-Serag HB. Prevalence of Barrett's Esophagus in Asian Countries: A Systematic Review and Meta-analysis.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2015; </w:t>
      </w:r>
      <w:r w:rsidRPr="009B6397">
        <w:rPr>
          <w:rFonts w:ascii="Book Antiqua" w:hAnsi="Book Antiqua"/>
          <w:b/>
          <w:bCs/>
          <w:color w:val="000000" w:themeColor="text1"/>
          <w:szCs w:val="24"/>
        </w:rPr>
        <w:t>13</w:t>
      </w:r>
      <w:r w:rsidRPr="009B6397">
        <w:rPr>
          <w:rFonts w:ascii="Book Antiqua" w:hAnsi="Book Antiqua"/>
          <w:color w:val="000000" w:themeColor="text1"/>
          <w:szCs w:val="24"/>
        </w:rPr>
        <w:t>: 1907-1918 [PMID: 26260107 DOI: 10.1016/j.cgh.2015.07.050]</w:t>
      </w:r>
    </w:p>
    <w:p w14:paraId="56160BA9"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12 </w:t>
      </w:r>
      <w:r w:rsidRPr="009B6397">
        <w:rPr>
          <w:rFonts w:ascii="Book Antiqua" w:hAnsi="Book Antiqua"/>
          <w:b/>
          <w:bCs/>
          <w:color w:val="000000" w:themeColor="text1"/>
          <w:szCs w:val="24"/>
        </w:rPr>
        <w:t>Kubo A</w:t>
      </w:r>
      <w:r w:rsidRPr="009B6397">
        <w:rPr>
          <w:rFonts w:ascii="Book Antiqua" w:hAnsi="Book Antiqua"/>
          <w:color w:val="000000" w:themeColor="text1"/>
          <w:szCs w:val="24"/>
        </w:rPr>
        <w:t>, Levin TR, Block G, Rumore GJ, Quesenberry CP Jr, Buffler P, Corley DA. Alcohol types and sociodemographic characteristics as risk factors for Barrett's esophagus.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2009; </w:t>
      </w:r>
      <w:r w:rsidRPr="009B6397">
        <w:rPr>
          <w:rFonts w:ascii="Book Antiqua" w:hAnsi="Book Antiqua"/>
          <w:b/>
          <w:bCs/>
          <w:color w:val="000000" w:themeColor="text1"/>
          <w:szCs w:val="24"/>
        </w:rPr>
        <w:t>136</w:t>
      </w:r>
      <w:r w:rsidRPr="009B6397">
        <w:rPr>
          <w:rFonts w:ascii="Book Antiqua" w:hAnsi="Book Antiqua"/>
          <w:color w:val="000000" w:themeColor="text1"/>
          <w:szCs w:val="24"/>
        </w:rPr>
        <w:t>: 806-815 [PMID: 19111726 DOI: 10.1053/j.gastro.2008.11.042]</w:t>
      </w:r>
    </w:p>
    <w:p w14:paraId="26CA3C0C"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13 </w:t>
      </w:r>
      <w:r w:rsidRPr="009B6397">
        <w:rPr>
          <w:rFonts w:ascii="Book Antiqua" w:hAnsi="Book Antiqua"/>
          <w:b/>
          <w:bCs/>
          <w:color w:val="000000" w:themeColor="text1"/>
          <w:szCs w:val="24"/>
        </w:rPr>
        <w:t>Corley DA</w:t>
      </w:r>
      <w:r w:rsidRPr="009B6397">
        <w:rPr>
          <w:rFonts w:ascii="Book Antiqua" w:hAnsi="Book Antiqua"/>
          <w:color w:val="000000" w:themeColor="text1"/>
          <w:szCs w:val="24"/>
        </w:rPr>
        <w:t>, Kubo A, Levin TR, Block G, Habel L, Zhao W, Leighton P, Rumore G, Quesenberry C, Buffler P, Parsonnet J. Helicobacter pylori infection and the risk of Barrett's oesophagus: a community-based study. </w:t>
      </w:r>
      <w:r w:rsidRPr="009B6397">
        <w:rPr>
          <w:rFonts w:ascii="Book Antiqua" w:hAnsi="Book Antiqua"/>
          <w:i/>
          <w:iCs/>
          <w:color w:val="000000" w:themeColor="text1"/>
          <w:szCs w:val="24"/>
        </w:rPr>
        <w:t>Gut</w:t>
      </w:r>
      <w:r w:rsidRPr="009B6397">
        <w:rPr>
          <w:rFonts w:ascii="Book Antiqua" w:hAnsi="Book Antiqua"/>
          <w:color w:val="000000" w:themeColor="text1"/>
          <w:szCs w:val="24"/>
        </w:rPr>
        <w:t> 2008; </w:t>
      </w:r>
      <w:r w:rsidRPr="009B6397">
        <w:rPr>
          <w:rFonts w:ascii="Book Antiqua" w:hAnsi="Book Antiqua"/>
          <w:b/>
          <w:bCs/>
          <w:color w:val="000000" w:themeColor="text1"/>
          <w:szCs w:val="24"/>
        </w:rPr>
        <w:t>57</w:t>
      </w:r>
      <w:r w:rsidRPr="009B6397">
        <w:rPr>
          <w:rFonts w:ascii="Book Antiqua" w:hAnsi="Book Antiqua"/>
          <w:color w:val="000000" w:themeColor="text1"/>
          <w:szCs w:val="24"/>
        </w:rPr>
        <w:t>: 727-733 [PMID: 17895354 DOI: 10.1136/gut.2007.132068]</w:t>
      </w:r>
    </w:p>
    <w:p w14:paraId="376E502F"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14 </w:t>
      </w:r>
      <w:r w:rsidRPr="009B6397">
        <w:rPr>
          <w:rFonts w:ascii="Book Antiqua" w:hAnsi="Book Antiqua"/>
          <w:b/>
          <w:bCs/>
          <w:color w:val="000000" w:themeColor="text1"/>
          <w:szCs w:val="24"/>
        </w:rPr>
        <w:t>Wang C</w:t>
      </w:r>
      <w:r w:rsidRPr="009B6397">
        <w:rPr>
          <w:rFonts w:ascii="Book Antiqua" w:hAnsi="Book Antiqua"/>
          <w:color w:val="000000" w:themeColor="text1"/>
          <w:szCs w:val="24"/>
        </w:rPr>
        <w:t>, Yuan Y, Hunt RH. Helicobacter pylori infection and Barrett's esophagus: a systematic review and meta-analysis.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2009; </w:t>
      </w:r>
      <w:r w:rsidRPr="009B6397">
        <w:rPr>
          <w:rFonts w:ascii="Book Antiqua" w:hAnsi="Book Antiqua"/>
          <w:b/>
          <w:bCs/>
          <w:color w:val="000000" w:themeColor="text1"/>
          <w:szCs w:val="24"/>
        </w:rPr>
        <w:t>104</w:t>
      </w:r>
      <w:r w:rsidRPr="009B6397">
        <w:rPr>
          <w:rFonts w:ascii="Book Antiqua" w:hAnsi="Book Antiqua"/>
          <w:color w:val="000000" w:themeColor="text1"/>
          <w:szCs w:val="24"/>
        </w:rPr>
        <w:t>: 492-500; quiz 491, 501 [PMID: 19174811 DOI: 10.1038/ajg.2008.37]</w:t>
      </w:r>
    </w:p>
    <w:p w14:paraId="1E06DAE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lastRenderedPageBreak/>
        <w:t>15 </w:t>
      </w:r>
      <w:r w:rsidRPr="009B6397">
        <w:rPr>
          <w:rFonts w:ascii="Book Antiqua" w:hAnsi="Book Antiqua"/>
          <w:b/>
          <w:bCs/>
          <w:color w:val="000000" w:themeColor="text1"/>
          <w:szCs w:val="24"/>
        </w:rPr>
        <w:t>Runge TM</w:t>
      </w:r>
      <w:r w:rsidRPr="009B6397">
        <w:rPr>
          <w:rFonts w:ascii="Book Antiqua" w:hAnsi="Book Antiqua"/>
          <w:color w:val="000000" w:themeColor="text1"/>
          <w:szCs w:val="24"/>
        </w:rPr>
        <w:t>, Abrams JA, Shaheen NJ. Epidemiology of Barrett's Esophagus and Esophageal Adenocarcinoma. </w:t>
      </w:r>
      <w:r w:rsidRPr="009B6397">
        <w:rPr>
          <w:rFonts w:ascii="Book Antiqua" w:hAnsi="Book Antiqua"/>
          <w:i/>
          <w:iCs/>
          <w:color w:val="000000" w:themeColor="text1"/>
          <w:szCs w:val="24"/>
        </w:rPr>
        <w:t>Gastroenterol Clin North Am</w:t>
      </w:r>
      <w:r w:rsidRPr="009B6397">
        <w:rPr>
          <w:rFonts w:ascii="Book Antiqua" w:hAnsi="Book Antiqua"/>
          <w:color w:val="000000" w:themeColor="text1"/>
          <w:szCs w:val="24"/>
        </w:rPr>
        <w:t> 2015; </w:t>
      </w:r>
      <w:r w:rsidRPr="009B6397">
        <w:rPr>
          <w:rFonts w:ascii="Book Antiqua" w:hAnsi="Book Antiqua"/>
          <w:b/>
          <w:bCs/>
          <w:color w:val="000000" w:themeColor="text1"/>
          <w:szCs w:val="24"/>
        </w:rPr>
        <w:t>44</w:t>
      </w:r>
      <w:r w:rsidRPr="009B6397">
        <w:rPr>
          <w:rFonts w:ascii="Book Antiqua" w:hAnsi="Book Antiqua"/>
          <w:color w:val="000000" w:themeColor="text1"/>
          <w:szCs w:val="24"/>
        </w:rPr>
        <w:t>: 203-231 [PMID: 26021191 DOI: 10.1016/j.gtc.2015.02.001]</w:t>
      </w:r>
    </w:p>
    <w:p w14:paraId="0809138F"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16 </w:t>
      </w:r>
      <w:r w:rsidRPr="009B6397">
        <w:rPr>
          <w:rFonts w:ascii="Book Antiqua" w:hAnsi="Book Antiqua"/>
          <w:b/>
          <w:bCs/>
          <w:color w:val="000000" w:themeColor="text1"/>
          <w:szCs w:val="24"/>
        </w:rPr>
        <w:t>Tseng PH</w:t>
      </w:r>
      <w:r w:rsidRPr="009B6397">
        <w:rPr>
          <w:rFonts w:ascii="Book Antiqua" w:hAnsi="Book Antiqua"/>
          <w:color w:val="000000" w:themeColor="text1"/>
          <w:szCs w:val="24"/>
        </w:rPr>
        <w:t>, Lee YC, Chiu HM, Huang SP, Liao WC, Chen CC, Wang HP, Wu MS, Lin JT. Prevalence and clinical characteristics of Barrett's esophagus in a Chinese general population. </w:t>
      </w:r>
      <w:r w:rsidRPr="009B6397">
        <w:rPr>
          <w:rFonts w:ascii="Book Antiqua" w:hAnsi="Book Antiqua"/>
          <w:i/>
          <w:iCs/>
          <w:color w:val="000000" w:themeColor="text1"/>
          <w:szCs w:val="24"/>
        </w:rPr>
        <w:t>J Clin Gastroenterol</w:t>
      </w:r>
      <w:r w:rsidRPr="009B6397">
        <w:rPr>
          <w:rFonts w:ascii="Book Antiqua" w:hAnsi="Book Antiqua"/>
          <w:color w:val="000000" w:themeColor="text1"/>
          <w:szCs w:val="24"/>
        </w:rPr>
        <w:t> 2008; </w:t>
      </w:r>
      <w:r w:rsidRPr="009B6397">
        <w:rPr>
          <w:rFonts w:ascii="Book Antiqua" w:hAnsi="Book Antiqua"/>
          <w:b/>
          <w:bCs/>
          <w:color w:val="000000" w:themeColor="text1"/>
          <w:szCs w:val="24"/>
        </w:rPr>
        <w:t>42</w:t>
      </w:r>
      <w:r w:rsidRPr="009B6397">
        <w:rPr>
          <w:rFonts w:ascii="Book Antiqua" w:hAnsi="Book Antiqua"/>
          <w:color w:val="000000" w:themeColor="text1"/>
          <w:szCs w:val="24"/>
        </w:rPr>
        <w:t>: 1074-1079 [PMID: 18360296 DOI: 10.1097/MCG.0b013e31809e7126]</w:t>
      </w:r>
    </w:p>
    <w:p w14:paraId="5F40128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17 </w:t>
      </w:r>
      <w:r w:rsidRPr="009B6397">
        <w:rPr>
          <w:rFonts w:ascii="Book Antiqua" w:hAnsi="Book Antiqua"/>
          <w:b/>
          <w:bCs/>
          <w:color w:val="000000" w:themeColor="text1"/>
          <w:szCs w:val="24"/>
        </w:rPr>
        <w:t>Chang CY</w:t>
      </w:r>
      <w:r w:rsidRPr="009B6397">
        <w:rPr>
          <w:rFonts w:ascii="Book Antiqua" w:hAnsi="Book Antiqua"/>
          <w:color w:val="000000" w:themeColor="text1"/>
          <w:szCs w:val="24"/>
        </w:rPr>
        <w:t>, Lee YC, Lee CT, Tu CH, Hwang JC, Chiang H, Tai CM, Chiang TH, Wu MS, Lin JT. The application of Prague C and M criteria in the diagnosis of Barrett's esophagus in an ethnic Chinese population.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2009; </w:t>
      </w:r>
      <w:r w:rsidRPr="009B6397">
        <w:rPr>
          <w:rFonts w:ascii="Book Antiqua" w:hAnsi="Book Antiqua"/>
          <w:b/>
          <w:bCs/>
          <w:color w:val="000000" w:themeColor="text1"/>
          <w:szCs w:val="24"/>
        </w:rPr>
        <w:t>104</w:t>
      </w:r>
      <w:r w:rsidRPr="009B6397">
        <w:rPr>
          <w:rFonts w:ascii="Book Antiqua" w:hAnsi="Book Antiqua"/>
          <w:color w:val="000000" w:themeColor="text1"/>
          <w:szCs w:val="24"/>
        </w:rPr>
        <w:t>: 13-20 [PMID: 19098843 DOI: 10.1038/ajg.2008.43]</w:t>
      </w:r>
    </w:p>
    <w:p w14:paraId="38141DD0" w14:textId="00B3C72F"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18 </w:t>
      </w:r>
      <w:r w:rsidRPr="009B6397">
        <w:rPr>
          <w:rFonts w:ascii="Book Antiqua" w:hAnsi="Book Antiqua"/>
          <w:b/>
          <w:bCs/>
          <w:color w:val="000000" w:themeColor="text1"/>
          <w:szCs w:val="24"/>
        </w:rPr>
        <w:t>Vakil N</w:t>
      </w:r>
      <w:r w:rsidRPr="009B6397">
        <w:rPr>
          <w:rFonts w:ascii="Book Antiqua" w:hAnsi="Book Antiqua"/>
          <w:color w:val="000000" w:themeColor="text1"/>
          <w:szCs w:val="24"/>
        </w:rPr>
        <w:t>, van Zanten SV, Kahrilas P, Dent J, Jones R; Global Consensus Group. The Montreal definition and classification of gastroesophageal reflux disease: a global evidence-based consensus.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2006; </w:t>
      </w:r>
      <w:r w:rsidRPr="009B6397">
        <w:rPr>
          <w:rFonts w:ascii="Book Antiqua" w:hAnsi="Book Antiqua"/>
          <w:b/>
          <w:bCs/>
          <w:color w:val="000000" w:themeColor="text1"/>
          <w:szCs w:val="24"/>
        </w:rPr>
        <w:t>101</w:t>
      </w:r>
      <w:r w:rsidRPr="009B6397">
        <w:rPr>
          <w:rFonts w:ascii="Book Antiqua" w:hAnsi="Book Antiqua"/>
          <w:color w:val="000000" w:themeColor="text1"/>
          <w:szCs w:val="24"/>
        </w:rPr>
        <w:t>: 1900-</w:t>
      </w:r>
      <w:r>
        <w:rPr>
          <w:rFonts w:ascii="Book Antiqua" w:hAnsi="Book Antiqua"/>
          <w:color w:val="000000" w:themeColor="text1"/>
          <w:szCs w:val="24"/>
        </w:rPr>
        <w:t>19</w:t>
      </w:r>
      <w:r w:rsidRPr="009B6397">
        <w:rPr>
          <w:rFonts w:ascii="Book Antiqua" w:hAnsi="Book Antiqua"/>
          <w:color w:val="000000" w:themeColor="text1"/>
          <w:szCs w:val="24"/>
        </w:rPr>
        <w:t>20; quiz 1943 [PMID: 16928254 DOI: 10.1111/j.1572-0241.2006.00630.x]</w:t>
      </w:r>
    </w:p>
    <w:p w14:paraId="76C87AB1"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19 </w:t>
      </w:r>
      <w:r w:rsidRPr="009B6397">
        <w:rPr>
          <w:rFonts w:ascii="Book Antiqua" w:hAnsi="Book Antiqua"/>
          <w:b/>
          <w:bCs/>
          <w:color w:val="000000" w:themeColor="text1"/>
          <w:szCs w:val="24"/>
        </w:rPr>
        <w:t>Sharma P</w:t>
      </w:r>
      <w:r w:rsidRPr="009B6397">
        <w:rPr>
          <w:rFonts w:ascii="Book Antiqua" w:hAnsi="Book Antiqua"/>
          <w:color w:val="000000" w:themeColor="text1"/>
          <w:szCs w:val="24"/>
        </w:rPr>
        <w:t>, Dent J, Armstrong D, Bergman JJ, Gossner L, Hoshihara Y, Jankowski JA, Junghard O, Lundell L, Tytgat GN, Vieth M. The development and validation of an endoscopic grading system for Barrett's esophagus: the Prague C &amp;amp; M criteria.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2006; </w:t>
      </w:r>
      <w:r w:rsidRPr="009B6397">
        <w:rPr>
          <w:rFonts w:ascii="Book Antiqua" w:hAnsi="Book Antiqua"/>
          <w:b/>
          <w:bCs/>
          <w:color w:val="000000" w:themeColor="text1"/>
          <w:szCs w:val="24"/>
        </w:rPr>
        <w:t>131</w:t>
      </w:r>
      <w:r w:rsidRPr="009B6397">
        <w:rPr>
          <w:rFonts w:ascii="Book Antiqua" w:hAnsi="Book Antiqua"/>
          <w:color w:val="000000" w:themeColor="text1"/>
          <w:szCs w:val="24"/>
        </w:rPr>
        <w:t>: 1392-1399 [PMID: 17101315 DOI: 10.1053/j.gastro.2006.08.032]</w:t>
      </w:r>
    </w:p>
    <w:p w14:paraId="0417D91B"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20 </w:t>
      </w:r>
      <w:r w:rsidRPr="009B6397">
        <w:rPr>
          <w:rFonts w:ascii="Book Antiqua" w:hAnsi="Book Antiqua"/>
          <w:b/>
          <w:bCs/>
          <w:color w:val="000000" w:themeColor="text1"/>
          <w:szCs w:val="24"/>
        </w:rPr>
        <w:t>Haggitt RC</w:t>
      </w:r>
      <w:r w:rsidRPr="009B6397">
        <w:rPr>
          <w:rFonts w:ascii="Book Antiqua" w:hAnsi="Book Antiqua"/>
          <w:color w:val="000000" w:themeColor="text1"/>
          <w:szCs w:val="24"/>
        </w:rPr>
        <w:t>, Reid BJ, Rabinovitch PS, Rubin CE. Barrett's esophagus. Correlation between mucin histochemistry, flow cytometry, and histologic diagnosis for predicting increased cancer risk. </w:t>
      </w:r>
      <w:r w:rsidRPr="009B6397">
        <w:rPr>
          <w:rFonts w:ascii="Book Antiqua" w:hAnsi="Book Antiqua"/>
          <w:i/>
          <w:iCs/>
          <w:color w:val="000000" w:themeColor="text1"/>
          <w:szCs w:val="24"/>
        </w:rPr>
        <w:t>Am J Pathol</w:t>
      </w:r>
      <w:r w:rsidRPr="009B6397">
        <w:rPr>
          <w:rFonts w:ascii="Book Antiqua" w:hAnsi="Book Antiqua"/>
          <w:color w:val="000000" w:themeColor="text1"/>
          <w:szCs w:val="24"/>
        </w:rPr>
        <w:t> 1988; </w:t>
      </w:r>
      <w:r w:rsidRPr="009B6397">
        <w:rPr>
          <w:rFonts w:ascii="Book Antiqua" w:hAnsi="Book Antiqua"/>
          <w:b/>
          <w:bCs/>
          <w:color w:val="000000" w:themeColor="text1"/>
          <w:szCs w:val="24"/>
        </w:rPr>
        <w:t>131</w:t>
      </w:r>
      <w:r w:rsidRPr="009B6397">
        <w:rPr>
          <w:rFonts w:ascii="Book Antiqua" w:hAnsi="Book Antiqua"/>
          <w:color w:val="000000" w:themeColor="text1"/>
          <w:szCs w:val="24"/>
        </w:rPr>
        <w:t>: 53-61 [PMID: 3354644]</w:t>
      </w:r>
    </w:p>
    <w:p w14:paraId="21F09D94"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21 </w:t>
      </w:r>
      <w:r w:rsidRPr="009B6397">
        <w:rPr>
          <w:rFonts w:ascii="Book Antiqua" w:hAnsi="Book Antiqua"/>
          <w:b/>
          <w:bCs/>
          <w:color w:val="000000" w:themeColor="text1"/>
          <w:szCs w:val="24"/>
        </w:rPr>
        <w:t>Bhat S</w:t>
      </w:r>
      <w:r w:rsidRPr="009B6397">
        <w:rPr>
          <w:rFonts w:ascii="Book Antiqua" w:hAnsi="Book Antiqua"/>
          <w:color w:val="000000" w:themeColor="text1"/>
          <w:szCs w:val="24"/>
        </w:rPr>
        <w:t>, Coleman HG, Yousef F, Johnston BT, McManus DT, Gavin AT, Murray LJ. Risk of malignant progression in Barrett's esophagus patients: results from a large population-based study. </w:t>
      </w:r>
      <w:r w:rsidRPr="009B6397">
        <w:rPr>
          <w:rFonts w:ascii="Book Antiqua" w:hAnsi="Book Antiqua"/>
          <w:i/>
          <w:iCs/>
          <w:color w:val="000000" w:themeColor="text1"/>
          <w:szCs w:val="24"/>
        </w:rPr>
        <w:t>J Natl Cancer Inst</w:t>
      </w:r>
      <w:r w:rsidRPr="009B6397">
        <w:rPr>
          <w:rFonts w:ascii="Book Antiqua" w:hAnsi="Book Antiqua"/>
          <w:color w:val="000000" w:themeColor="text1"/>
          <w:szCs w:val="24"/>
        </w:rPr>
        <w:t> 2011; </w:t>
      </w:r>
      <w:r w:rsidRPr="009B6397">
        <w:rPr>
          <w:rFonts w:ascii="Book Antiqua" w:hAnsi="Book Antiqua"/>
          <w:b/>
          <w:bCs/>
          <w:color w:val="000000" w:themeColor="text1"/>
          <w:szCs w:val="24"/>
        </w:rPr>
        <w:t>103</w:t>
      </w:r>
      <w:r w:rsidRPr="009B6397">
        <w:rPr>
          <w:rFonts w:ascii="Book Antiqua" w:hAnsi="Book Antiqua"/>
          <w:color w:val="000000" w:themeColor="text1"/>
          <w:szCs w:val="24"/>
        </w:rPr>
        <w:t>: 1049-1057 [PMID: 21680910 DOI: 10.1093/jnci/djr203]</w:t>
      </w:r>
    </w:p>
    <w:p w14:paraId="26D9F628"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22 </w:t>
      </w:r>
      <w:r w:rsidRPr="009B6397">
        <w:rPr>
          <w:rFonts w:ascii="Book Antiqua" w:hAnsi="Book Antiqua"/>
          <w:b/>
          <w:bCs/>
          <w:color w:val="000000" w:themeColor="text1"/>
          <w:szCs w:val="24"/>
        </w:rPr>
        <w:t>Park JJ</w:t>
      </w:r>
      <w:r w:rsidRPr="009B6397">
        <w:rPr>
          <w:rFonts w:ascii="Book Antiqua" w:hAnsi="Book Antiqua"/>
          <w:color w:val="000000" w:themeColor="text1"/>
          <w:szCs w:val="24"/>
        </w:rPr>
        <w:t xml:space="preserve">, Kim JW, Kim HJ, Chung MG, Park SM, Baik GH, Nah BK, Nam SY, Seo KS, Ko BS, Jang JY, Kim BG, Kim JW, Choi YS, Joo MK, Kim JI, Cho MY, Kim N, Park SH, Jung HC, Chung IS; H. pylori and GERD Study Group of </w:t>
      </w:r>
      <w:r w:rsidRPr="009B6397">
        <w:rPr>
          <w:rFonts w:ascii="Book Antiqua" w:hAnsi="Book Antiqua"/>
          <w:color w:val="000000" w:themeColor="text1"/>
          <w:szCs w:val="24"/>
        </w:rPr>
        <w:lastRenderedPageBreak/>
        <w:t>Korean College of Helicobacter and Upper Gastrointestinal Research. The prevalence of and risk factors for Barrett's esophagus in a Korean population: A nationwide multicenter prospective study. </w:t>
      </w:r>
      <w:r w:rsidRPr="009B6397">
        <w:rPr>
          <w:rFonts w:ascii="Book Antiqua" w:hAnsi="Book Antiqua"/>
          <w:i/>
          <w:iCs/>
          <w:color w:val="000000" w:themeColor="text1"/>
          <w:szCs w:val="24"/>
        </w:rPr>
        <w:t>J Clin Gastroenterol</w:t>
      </w:r>
      <w:r w:rsidRPr="009B6397">
        <w:rPr>
          <w:rFonts w:ascii="Book Antiqua" w:hAnsi="Book Antiqua"/>
          <w:color w:val="000000" w:themeColor="text1"/>
          <w:szCs w:val="24"/>
        </w:rPr>
        <w:t> 2009; </w:t>
      </w:r>
      <w:r w:rsidRPr="009B6397">
        <w:rPr>
          <w:rFonts w:ascii="Book Antiqua" w:hAnsi="Book Antiqua"/>
          <w:b/>
          <w:bCs/>
          <w:color w:val="000000" w:themeColor="text1"/>
          <w:szCs w:val="24"/>
        </w:rPr>
        <w:t>43</w:t>
      </w:r>
      <w:r w:rsidRPr="009B6397">
        <w:rPr>
          <w:rFonts w:ascii="Book Antiqua" w:hAnsi="Book Antiqua"/>
          <w:color w:val="000000" w:themeColor="text1"/>
          <w:szCs w:val="24"/>
        </w:rPr>
        <w:t>: 907-914 [PMID: 19417682 DOI: 10.1097/MCG.0b013e318196bd11]</w:t>
      </w:r>
    </w:p>
    <w:p w14:paraId="12C529A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23 </w:t>
      </w:r>
      <w:r w:rsidRPr="009B6397">
        <w:rPr>
          <w:rFonts w:ascii="Book Antiqua" w:hAnsi="Book Antiqua"/>
          <w:b/>
          <w:bCs/>
          <w:color w:val="000000" w:themeColor="text1"/>
          <w:szCs w:val="24"/>
        </w:rPr>
        <w:t>Peng S</w:t>
      </w:r>
      <w:r w:rsidRPr="009B6397">
        <w:rPr>
          <w:rFonts w:ascii="Book Antiqua" w:hAnsi="Book Antiqua"/>
          <w:color w:val="000000" w:themeColor="text1"/>
          <w:szCs w:val="24"/>
        </w:rPr>
        <w:t>, Cui Y, Xiao YL, Xiong LS, Hu PJ, Li CJ, Chen MH. Prevalence of erosive esophagitis and Barrett's esophagus in the adult Chinese population. </w:t>
      </w:r>
      <w:r w:rsidRPr="009B6397">
        <w:rPr>
          <w:rFonts w:ascii="Book Antiqua" w:hAnsi="Book Antiqua"/>
          <w:i/>
          <w:iCs/>
          <w:color w:val="000000" w:themeColor="text1"/>
          <w:szCs w:val="24"/>
        </w:rPr>
        <w:t>Endoscopy</w:t>
      </w:r>
      <w:r w:rsidRPr="009B6397">
        <w:rPr>
          <w:rFonts w:ascii="Book Antiqua" w:hAnsi="Book Antiqua"/>
          <w:color w:val="000000" w:themeColor="text1"/>
          <w:szCs w:val="24"/>
        </w:rPr>
        <w:t> 2009; </w:t>
      </w:r>
      <w:r w:rsidRPr="009B6397">
        <w:rPr>
          <w:rFonts w:ascii="Book Antiqua" w:hAnsi="Book Antiqua"/>
          <w:b/>
          <w:bCs/>
          <w:color w:val="000000" w:themeColor="text1"/>
          <w:szCs w:val="24"/>
        </w:rPr>
        <w:t>41</w:t>
      </w:r>
      <w:r w:rsidRPr="009B6397">
        <w:rPr>
          <w:rFonts w:ascii="Book Antiqua" w:hAnsi="Book Antiqua"/>
          <w:color w:val="000000" w:themeColor="text1"/>
          <w:szCs w:val="24"/>
        </w:rPr>
        <w:t>: 1011-1017 [PMID: 19967617 DOI: 10.1055/s-0029-1215291]</w:t>
      </w:r>
    </w:p>
    <w:p w14:paraId="30DB022C"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24 </w:t>
      </w:r>
      <w:r w:rsidRPr="009B6397">
        <w:rPr>
          <w:rFonts w:ascii="Book Antiqua" w:hAnsi="Book Antiqua"/>
          <w:b/>
          <w:bCs/>
          <w:color w:val="000000" w:themeColor="text1"/>
          <w:szCs w:val="24"/>
        </w:rPr>
        <w:t>Kuo CJ</w:t>
      </w:r>
      <w:r w:rsidRPr="009B6397">
        <w:rPr>
          <w:rFonts w:ascii="Book Antiqua" w:hAnsi="Book Antiqua"/>
          <w:color w:val="000000" w:themeColor="text1"/>
          <w:szCs w:val="24"/>
        </w:rPr>
        <w:t>, Lin CH, Liu NJ, Wu RC, Tang JH, Cheng CL. Frequency and risk factors for Barrett's esophagus in Taiwanese patients: a prospective study in a tertiary referral center. </w:t>
      </w:r>
      <w:r w:rsidRPr="009B6397">
        <w:rPr>
          <w:rFonts w:ascii="Book Antiqua" w:hAnsi="Book Antiqua"/>
          <w:i/>
          <w:iCs/>
          <w:color w:val="000000" w:themeColor="text1"/>
          <w:szCs w:val="24"/>
        </w:rPr>
        <w:t>Dig Dis Sci</w:t>
      </w:r>
      <w:r w:rsidRPr="009B6397">
        <w:rPr>
          <w:rFonts w:ascii="Book Antiqua" w:hAnsi="Book Antiqua"/>
          <w:color w:val="000000" w:themeColor="text1"/>
          <w:szCs w:val="24"/>
        </w:rPr>
        <w:t> 2010; </w:t>
      </w:r>
      <w:r w:rsidRPr="009B6397">
        <w:rPr>
          <w:rFonts w:ascii="Book Antiqua" w:hAnsi="Book Antiqua"/>
          <w:b/>
          <w:bCs/>
          <w:color w:val="000000" w:themeColor="text1"/>
          <w:szCs w:val="24"/>
        </w:rPr>
        <w:t>55</w:t>
      </w:r>
      <w:r w:rsidRPr="009B6397">
        <w:rPr>
          <w:rFonts w:ascii="Book Antiqua" w:hAnsi="Book Antiqua"/>
          <w:color w:val="000000" w:themeColor="text1"/>
          <w:szCs w:val="24"/>
        </w:rPr>
        <w:t>: 1337-1343 [PMID: 19557516 DOI: 10.1007/s10620-009-0872-7]</w:t>
      </w:r>
    </w:p>
    <w:p w14:paraId="5CEF0F0D"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25 </w:t>
      </w:r>
      <w:r w:rsidRPr="009B6397">
        <w:rPr>
          <w:rFonts w:ascii="Book Antiqua" w:hAnsi="Book Antiqua"/>
          <w:b/>
          <w:bCs/>
          <w:color w:val="000000" w:themeColor="text1"/>
          <w:szCs w:val="24"/>
        </w:rPr>
        <w:t>Tack J</w:t>
      </w:r>
      <w:r w:rsidRPr="009B6397">
        <w:rPr>
          <w:rFonts w:ascii="Book Antiqua" w:hAnsi="Book Antiqua"/>
          <w:color w:val="000000" w:themeColor="text1"/>
          <w:szCs w:val="24"/>
        </w:rPr>
        <w:t>, Vantrappen G. The aging oesophagus. </w:t>
      </w:r>
      <w:r w:rsidRPr="009B6397">
        <w:rPr>
          <w:rFonts w:ascii="Book Antiqua" w:hAnsi="Book Antiqua"/>
          <w:i/>
          <w:iCs/>
          <w:color w:val="000000" w:themeColor="text1"/>
          <w:szCs w:val="24"/>
        </w:rPr>
        <w:t>Gut</w:t>
      </w:r>
      <w:r w:rsidRPr="009B6397">
        <w:rPr>
          <w:rFonts w:ascii="Book Antiqua" w:hAnsi="Book Antiqua"/>
          <w:color w:val="000000" w:themeColor="text1"/>
          <w:szCs w:val="24"/>
        </w:rPr>
        <w:t> 1997; </w:t>
      </w:r>
      <w:r w:rsidRPr="009B6397">
        <w:rPr>
          <w:rFonts w:ascii="Book Antiqua" w:hAnsi="Book Antiqua"/>
          <w:b/>
          <w:bCs/>
          <w:color w:val="000000" w:themeColor="text1"/>
          <w:szCs w:val="24"/>
        </w:rPr>
        <w:t>41</w:t>
      </w:r>
      <w:r w:rsidRPr="009B6397">
        <w:rPr>
          <w:rFonts w:ascii="Book Antiqua" w:hAnsi="Book Antiqua"/>
          <w:color w:val="000000" w:themeColor="text1"/>
          <w:szCs w:val="24"/>
        </w:rPr>
        <w:t>: 422-424 [PMID: 9391234 DOI: 10.1136/gut.41.4.422]</w:t>
      </w:r>
    </w:p>
    <w:p w14:paraId="5A2140FC"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26 </w:t>
      </w:r>
      <w:r w:rsidRPr="009B6397">
        <w:rPr>
          <w:rFonts w:ascii="Book Antiqua" w:hAnsi="Book Antiqua"/>
          <w:b/>
          <w:bCs/>
          <w:color w:val="000000" w:themeColor="text1"/>
          <w:szCs w:val="24"/>
        </w:rPr>
        <w:t>Masaka T</w:t>
      </w:r>
      <w:r w:rsidRPr="009B6397">
        <w:rPr>
          <w:rFonts w:ascii="Book Antiqua" w:hAnsi="Book Antiqua"/>
          <w:color w:val="000000" w:themeColor="text1"/>
          <w:szCs w:val="24"/>
        </w:rPr>
        <w:t>, Iijima K, Endo H, Asanuma K, Ara N, Ishiyama F, Asano N, Koike T, Imatani A, Shimosegawa T. Gender differences in oesophageal mucosal injury in a reflux oesophagitis model of rats. </w:t>
      </w:r>
      <w:r w:rsidRPr="009B6397">
        <w:rPr>
          <w:rFonts w:ascii="Book Antiqua" w:hAnsi="Book Antiqua"/>
          <w:i/>
          <w:iCs/>
          <w:color w:val="000000" w:themeColor="text1"/>
          <w:szCs w:val="24"/>
        </w:rPr>
        <w:t>Gut</w:t>
      </w:r>
      <w:r w:rsidRPr="009B6397">
        <w:rPr>
          <w:rFonts w:ascii="Book Antiqua" w:hAnsi="Book Antiqua"/>
          <w:color w:val="000000" w:themeColor="text1"/>
          <w:szCs w:val="24"/>
        </w:rPr>
        <w:t> 2013; </w:t>
      </w:r>
      <w:r w:rsidRPr="009B6397">
        <w:rPr>
          <w:rFonts w:ascii="Book Antiqua" w:hAnsi="Book Antiqua"/>
          <w:b/>
          <w:bCs/>
          <w:color w:val="000000" w:themeColor="text1"/>
          <w:szCs w:val="24"/>
        </w:rPr>
        <w:t>62</w:t>
      </w:r>
      <w:r w:rsidRPr="009B6397">
        <w:rPr>
          <w:rFonts w:ascii="Book Antiqua" w:hAnsi="Book Antiqua"/>
          <w:color w:val="000000" w:themeColor="text1"/>
          <w:szCs w:val="24"/>
        </w:rPr>
        <w:t>: 6-14 [PMID: 22287598 DOI: 10.1136/gutjnl-2011-301389]</w:t>
      </w:r>
    </w:p>
    <w:p w14:paraId="48C6E687"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27 </w:t>
      </w:r>
      <w:r w:rsidRPr="009B6397">
        <w:rPr>
          <w:rFonts w:ascii="Book Antiqua" w:hAnsi="Book Antiqua"/>
          <w:b/>
          <w:bCs/>
          <w:color w:val="000000" w:themeColor="text1"/>
          <w:szCs w:val="24"/>
        </w:rPr>
        <w:t>Velders M</w:t>
      </w:r>
      <w:r w:rsidRPr="009B6397">
        <w:rPr>
          <w:rFonts w:ascii="Book Antiqua" w:hAnsi="Book Antiqua"/>
          <w:color w:val="000000" w:themeColor="text1"/>
          <w:szCs w:val="24"/>
        </w:rPr>
        <w:t>, Schleipen B, Fritzemeier KH, Zierau O, Diel P. Selective estrogen receptor-β activation stimulates skeletal muscle growth and regeneration. </w:t>
      </w:r>
      <w:r w:rsidRPr="009B6397">
        <w:rPr>
          <w:rFonts w:ascii="Book Antiqua" w:hAnsi="Book Antiqua"/>
          <w:i/>
          <w:iCs/>
          <w:color w:val="000000" w:themeColor="text1"/>
          <w:szCs w:val="24"/>
        </w:rPr>
        <w:t>FASEB J</w:t>
      </w:r>
      <w:r w:rsidRPr="009B6397">
        <w:rPr>
          <w:rFonts w:ascii="Book Antiqua" w:hAnsi="Book Antiqua"/>
          <w:color w:val="000000" w:themeColor="text1"/>
          <w:szCs w:val="24"/>
        </w:rPr>
        <w:t> 2012; </w:t>
      </w:r>
      <w:r w:rsidRPr="009B6397">
        <w:rPr>
          <w:rFonts w:ascii="Book Antiqua" w:hAnsi="Book Antiqua"/>
          <w:b/>
          <w:bCs/>
          <w:color w:val="000000" w:themeColor="text1"/>
          <w:szCs w:val="24"/>
        </w:rPr>
        <w:t>26</w:t>
      </w:r>
      <w:r w:rsidRPr="009B6397">
        <w:rPr>
          <w:rFonts w:ascii="Book Antiqua" w:hAnsi="Book Antiqua"/>
          <w:color w:val="000000" w:themeColor="text1"/>
          <w:szCs w:val="24"/>
        </w:rPr>
        <w:t>: 1909-1920 [PMID: 22278942 DOI: 10.1096/fj.11-194779]</w:t>
      </w:r>
    </w:p>
    <w:p w14:paraId="1186A0DD"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28 </w:t>
      </w:r>
      <w:r w:rsidRPr="009B6397">
        <w:rPr>
          <w:rFonts w:ascii="Book Antiqua" w:hAnsi="Book Antiqua"/>
          <w:b/>
          <w:bCs/>
          <w:color w:val="000000" w:themeColor="text1"/>
          <w:szCs w:val="24"/>
        </w:rPr>
        <w:t>Gudjonsson H</w:t>
      </w:r>
      <w:r w:rsidRPr="009B6397">
        <w:rPr>
          <w:rFonts w:ascii="Book Antiqua" w:hAnsi="Book Antiqua"/>
          <w:color w:val="000000" w:themeColor="text1"/>
          <w:szCs w:val="24"/>
        </w:rPr>
        <w:t>, McAuliffe TL, Kaye MD. [The effect of coffee and tea upon lower esophageal sphincteric function.]. </w:t>
      </w:r>
      <w:r w:rsidRPr="009B6397">
        <w:rPr>
          <w:rFonts w:ascii="Book Antiqua" w:hAnsi="Book Antiqua"/>
          <w:i/>
          <w:iCs/>
          <w:color w:val="000000" w:themeColor="text1"/>
          <w:szCs w:val="24"/>
        </w:rPr>
        <w:t>Laeknabladid</w:t>
      </w:r>
      <w:r w:rsidRPr="009B6397">
        <w:rPr>
          <w:rFonts w:ascii="Book Antiqua" w:hAnsi="Book Antiqua"/>
          <w:color w:val="000000" w:themeColor="text1"/>
          <w:szCs w:val="24"/>
        </w:rPr>
        <w:t> 1995; </w:t>
      </w:r>
      <w:r w:rsidRPr="009B6397">
        <w:rPr>
          <w:rFonts w:ascii="Book Antiqua" w:hAnsi="Book Antiqua"/>
          <w:b/>
          <w:bCs/>
          <w:color w:val="000000" w:themeColor="text1"/>
          <w:szCs w:val="24"/>
        </w:rPr>
        <w:t>81</w:t>
      </w:r>
      <w:r w:rsidRPr="009B6397">
        <w:rPr>
          <w:rFonts w:ascii="Book Antiqua" w:hAnsi="Book Antiqua"/>
          <w:color w:val="000000" w:themeColor="text1"/>
          <w:szCs w:val="24"/>
        </w:rPr>
        <w:t>: 484-488 [PMID: 20065484]</w:t>
      </w:r>
    </w:p>
    <w:p w14:paraId="74D5ED4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29 </w:t>
      </w:r>
      <w:r w:rsidRPr="009B6397">
        <w:rPr>
          <w:rFonts w:ascii="Book Antiqua" w:hAnsi="Book Antiqua"/>
          <w:b/>
          <w:bCs/>
          <w:color w:val="000000" w:themeColor="text1"/>
          <w:szCs w:val="24"/>
        </w:rPr>
        <w:t>Lohsiriwat S</w:t>
      </w:r>
      <w:r w:rsidRPr="009B6397">
        <w:rPr>
          <w:rFonts w:ascii="Book Antiqua" w:hAnsi="Book Antiqua"/>
          <w:color w:val="000000" w:themeColor="text1"/>
          <w:szCs w:val="24"/>
        </w:rPr>
        <w:t>, Puengna N, Leelakusolvong S. Effect of caffeine on lower esophageal sphincter pressure in Thai healthy volunteers. </w:t>
      </w:r>
      <w:r w:rsidRPr="009B6397">
        <w:rPr>
          <w:rFonts w:ascii="Book Antiqua" w:hAnsi="Book Antiqua"/>
          <w:i/>
          <w:iCs/>
          <w:color w:val="000000" w:themeColor="text1"/>
          <w:szCs w:val="24"/>
        </w:rPr>
        <w:t>Dis Esophagus</w:t>
      </w:r>
      <w:r w:rsidRPr="009B6397">
        <w:rPr>
          <w:rFonts w:ascii="Book Antiqua" w:hAnsi="Book Antiqua"/>
          <w:color w:val="000000" w:themeColor="text1"/>
          <w:szCs w:val="24"/>
        </w:rPr>
        <w:t> 2006; </w:t>
      </w:r>
      <w:r w:rsidRPr="009B6397">
        <w:rPr>
          <w:rFonts w:ascii="Book Antiqua" w:hAnsi="Book Antiqua"/>
          <w:b/>
          <w:bCs/>
          <w:color w:val="000000" w:themeColor="text1"/>
          <w:szCs w:val="24"/>
        </w:rPr>
        <w:t>19</w:t>
      </w:r>
      <w:r w:rsidRPr="009B6397">
        <w:rPr>
          <w:rFonts w:ascii="Book Antiqua" w:hAnsi="Book Antiqua"/>
          <w:color w:val="000000" w:themeColor="text1"/>
          <w:szCs w:val="24"/>
        </w:rPr>
        <w:t>: 183-188 [PMID: 16722996 DOI: 10.1111/j.1442-2050.2006.00562.x]</w:t>
      </w:r>
    </w:p>
    <w:p w14:paraId="4DFC1F45"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30 </w:t>
      </w:r>
      <w:r w:rsidRPr="009B6397">
        <w:rPr>
          <w:rFonts w:ascii="Book Antiqua" w:hAnsi="Book Antiqua"/>
          <w:b/>
          <w:bCs/>
          <w:color w:val="000000" w:themeColor="text1"/>
          <w:szCs w:val="24"/>
        </w:rPr>
        <w:t>Ruggiero P</w:t>
      </w:r>
      <w:r w:rsidRPr="009B6397">
        <w:rPr>
          <w:rFonts w:ascii="Book Antiqua" w:hAnsi="Book Antiqua"/>
          <w:color w:val="000000" w:themeColor="text1"/>
          <w:szCs w:val="24"/>
        </w:rPr>
        <w:t xml:space="preserve">, Rossi G, Tombola F, Pancotto L, Lauretti L, Del Giudice G, Zoratti M. Red wine and green tea reduce H pylori- or VacA-induced gastritis </w:t>
      </w:r>
      <w:r w:rsidRPr="009B6397">
        <w:rPr>
          <w:rFonts w:ascii="Book Antiqua" w:hAnsi="Book Antiqua"/>
          <w:color w:val="000000" w:themeColor="text1"/>
          <w:szCs w:val="24"/>
        </w:rPr>
        <w:lastRenderedPageBreak/>
        <w:t>in a mouse model. </w:t>
      </w:r>
      <w:r w:rsidRPr="009B6397">
        <w:rPr>
          <w:rFonts w:ascii="Book Antiqua" w:hAnsi="Book Antiqua"/>
          <w:i/>
          <w:iCs/>
          <w:color w:val="000000" w:themeColor="text1"/>
          <w:szCs w:val="24"/>
        </w:rPr>
        <w:t>World J Gastroenterol</w:t>
      </w:r>
      <w:r w:rsidRPr="009B6397">
        <w:rPr>
          <w:rFonts w:ascii="Book Antiqua" w:hAnsi="Book Antiqua"/>
          <w:color w:val="000000" w:themeColor="text1"/>
          <w:szCs w:val="24"/>
        </w:rPr>
        <w:t> 2007; </w:t>
      </w:r>
      <w:r w:rsidRPr="009B6397">
        <w:rPr>
          <w:rFonts w:ascii="Book Antiqua" w:hAnsi="Book Antiqua"/>
          <w:b/>
          <w:bCs/>
          <w:color w:val="000000" w:themeColor="text1"/>
          <w:szCs w:val="24"/>
        </w:rPr>
        <w:t>13</w:t>
      </w:r>
      <w:r w:rsidRPr="009B6397">
        <w:rPr>
          <w:rFonts w:ascii="Book Antiqua" w:hAnsi="Book Antiqua"/>
          <w:color w:val="000000" w:themeColor="text1"/>
          <w:szCs w:val="24"/>
        </w:rPr>
        <w:t>: 349-354 [PMID: 17230601 DOI: 10.3748/wjg.v13.i3.349]</w:t>
      </w:r>
    </w:p>
    <w:p w14:paraId="5C4884B0"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31 </w:t>
      </w:r>
      <w:r w:rsidRPr="009B6397">
        <w:rPr>
          <w:rFonts w:ascii="Book Antiqua" w:hAnsi="Book Antiqua"/>
          <w:b/>
          <w:bCs/>
          <w:color w:val="000000" w:themeColor="text1"/>
          <w:szCs w:val="24"/>
        </w:rPr>
        <w:t>Berquist WE</w:t>
      </w:r>
      <w:r w:rsidRPr="009B6397">
        <w:rPr>
          <w:rFonts w:ascii="Book Antiqua" w:hAnsi="Book Antiqua"/>
          <w:color w:val="000000" w:themeColor="text1"/>
          <w:szCs w:val="24"/>
        </w:rPr>
        <w:t>, Rachelefsky GS, Kadden M, Siegel SC, Katz RM, Mickey MR, Ament ME. Effect of theophylline on gastroesophageal reflux in normal adults. </w:t>
      </w:r>
      <w:r w:rsidRPr="009B6397">
        <w:rPr>
          <w:rFonts w:ascii="Book Antiqua" w:hAnsi="Book Antiqua"/>
          <w:i/>
          <w:iCs/>
          <w:color w:val="000000" w:themeColor="text1"/>
          <w:szCs w:val="24"/>
        </w:rPr>
        <w:t>J Allergy Clin Immunol</w:t>
      </w:r>
      <w:r w:rsidRPr="009B6397">
        <w:rPr>
          <w:rFonts w:ascii="Book Antiqua" w:hAnsi="Book Antiqua"/>
          <w:color w:val="000000" w:themeColor="text1"/>
          <w:szCs w:val="24"/>
        </w:rPr>
        <w:t> 1981; </w:t>
      </w:r>
      <w:r w:rsidRPr="009B6397">
        <w:rPr>
          <w:rFonts w:ascii="Book Antiqua" w:hAnsi="Book Antiqua"/>
          <w:b/>
          <w:bCs/>
          <w:color w:val="000000" w:themeColor="text1"/>
          <w:szCs w:val="24"/>
        </w:rPr>
        <w:t>67</w:t>
      </w:r>
      <w:r w:rsidRPr="009B6397">
        <w:rPr>
          <w:rFonts w:ascii="Book Antiqua" w:hAnsi="Book Antiqua"/>
          <w:color w:val="000000" w:themeColor="text1"/>
          <w:szCs w:val="24"/>
        </w:rPr>
        <w:t>: 407-411 [PMID: 7229228 DOI: 10.1016/0091-6749(81)90087-7]</w:t>
      </w:r>
    </w:p>
    <w:p w14:paraId="65173FFB"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32 </w:t>
      </w:r>
      <w:r w:rsidRPr="009B6397">
        <w:rPr>
          <w:rFonts w:ascii="Book Antiqua" w:hAnsi="Book Antiqua"/>
          <w:b/>
          <w:bCs/>
          <w:color w:val="000000" w:themeColor="text1"/>
          <w:szCs w:val="24"/>
        </w:rPr>
        <w:t>Bhatia SJ</w:t>
      </w:r>
      <w:r w:rsidRPr="009B6397">
        <w:rPr>
          <w:rFonts w:ascii="Book Antiqua" w:hAnsi="Book Antiqua"/>
          <w:color w:val="000000" w:themeColor="text1"/>
          <w:szCs w:val="24"/>
        </w:rPr>
        <w:t>, Reddy DN, Ghoshal UC, Jayanthi V, Abraham P, Choudhuri G, Broor SL, Ahuja V, Augustine P, Balakrishnan V, Bhasin DK, Bhat N, Chacko A, Dadhich S, Dhali GK, Dhawan PS, Dwivedi M, Goenka MK, Koshy A, Kumar A, Misra SP, Mukewar S, Raju EP, Shenoy KT, Singh SP, Sood A, Srinivasan R. Epidemiology and symptom profile of gastroesophageal reflux in the Indian population: report of the Indian Society of Gastroenterology Task Force. </w:t>
      </w:r>
      <w:r w:rsidRPr="009B6397">
        <w:rPr>
          <w:rFonts w:ascii="Book Antiqua" w:hAnsi="Book Antiqua"/>
          <w:i/>
          <w:iCs/>
          <w:color w:val="000000" w:themeColor="text1"/>
          <w:szCs w:val="24"/>
        </w:rPr>
        <w:t>Indian J Gastroenterol</w:t>
      </w:r>
      <w:r w:rsidRPr="009B6397">
        <w:rPr>
          <w:rFonts w:ascii="Book Antiqua" w:hAnsi="Book Antiqua"/>
          <w:color w:val="000000" w:themeColor="text1"/>
          <w:szCs w:val="24"/>
        </w:rPr>
        <w:t> 2011; </w:t>
      </w:r>
      <w:r w:rsidRPr="009B6397">
        <w:rPr>
          <w:rFonts w:ascii="Book Antiqua" w:hAnsi="Book Antiqua"/>
          <w:b/>
          <w:bCs/>
          <w:color w:val="000000" w:themeColor="text1"/>
          <w:szCs w:val="24"/>
        </w:rPr>
        <w:t>30</w:t>
      </w:r>
      <w:r w:rsidRPr="009B6397">
        <w:rPr>
          <w:rFonts w:ascii="Book Antiqua" w:hAnsi="Book Antiqua"/>
          <w:color w:val="000000" w:themeColor="text1"/>
          <w:szCs w:val="24"/>
        </w:rPr>
        <w:t>: 118-127 [PMID: 21792655 DOI: 10.1007/s12664-011-0112-x]</w:t>
      </w:r>
    </w:p>
    <w:p w14:paraId="47FE7D8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33 </w:t>
      </w:r>
      <w:r w:rsidRPr="009B6397">
        <w:rPr>
          <w:rFonts w:ascii="Book Antiqua" w:hAnsi="Book Antiqua"/>
          <w:b/>
          <w:bCs/>
          <w:color w:val="000000" w:themeColor="text1"/>
          <w:szCs w:val="24"/>
        </w:rPr>
        <w:t>Winters C Jr</w:t>
      </w:r>
      <w:r w:rsidRPr="009B6397">
        <w:rPr>
          <w:rFonts w:ascii="Book Antiqua" w:hAnsi="Book Antiqua"/>
          <w:color w:val="000000" w:themeColor="text1"/>
          <w:szCs w:val="24"/>
        </w:rPr>
        <w:t>, Spurling TJ, Chobanian SJ, Curtis DJ, Esposito RL, Hacker JF 3rd, Johnson DA, Cruess DF, Cotelingam JD, Gurney MS. Barrett's esophagus. A prevalent, occult complication of gastroesophageal reflux disease.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1987; </w:t>
      </w:r>
      <w:r w:rsidRPr="009B6397">
        <w:rPr>
          <w:rFonts w:ascii="Book Antiqua" w:hAnsi="Book Antiqua"/>
          <w:b/>
          <w:bCs/>
          <w:color w:val="000000" w:themeColor="text1"/>
          <w:szCs w:val="24"/>
        </w:rPr>
        <w:t>92</w:t>
      </w:r>
      <w:r w:rsidRPr="009B6397">
        <w:rPr>
          <w:rFonts w:ascii="Book Antiqua" w:hAnsi="Book Antiqua"/>
          <w:color w:val="000000" w:themeColor="text1"/>
          <w:szCs w:val="24"/>
        </w:rPr>
        <w:t>: 118-124 [PMID: 3781178 DOI: 10.1016/0016-5085(87)90847-X]</w:t>
      </w:r>
    </w:p>
    <w:p w14:paraId="0922EC8E"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34 </w:t>
      </w:r>
      <w:r w:rsidRPr="009B6397">
        <w:rPr>
          <w:rFonts w:ascii="Book Antiqua" w:hAnsi="Book Antiqua"/>
          <w:b/>
          <w:bCs/>
          <w:color w:val="000000" w:themeColor="text1"/>
          <w:szCs w:val="24"/>
        </w:rPr>
        <w:t>Burgess JN</w:t>
      </w:r>
      <w:r w:rsidRPr="009B6397">
        <w:rPr>
          <w:rFonts w:ascii="Book Antiqua" w:hAnsi="Book Antiqua"/>
          <w:color w:val="000000" w:themeColor="text1"/>
          <w:szCs w:val="24"/>
        </w:rPr>
        <w:t>, Payne WS, Andersen HA, Weiland LH, Carlson HC. Barrett esophagus: the columnar-epithelial-lined lower esophagus. </w:t>
      </w:r>
      <w:r w:rsidRPr="009B6397">
        <w:rPr>
          <w:rFonts w:ascii="Book Antiqua" w:hAnsi="Book Antiqua"/>
          <w:i/>
          <w:iCs/>
          <w:color w:val="000000" w:themeColor="text1"/>
          <w:szCs w:val="24"/>
        </w:rPr>
        <w:t>Mayo Clin Proc</w:t>
      </w:r>
      <w:r w:rsidRPr="009B6397">
        <w:rPr>
          <w:rFonts w:ascii="Book Antiqua" w:hAnsi="Book Antiqua"/>
          <w:color w:val="000000" w:themeColor="text1"/>
          <w:szCs w:val="24"/>
        </w:rPr>
        <w:t> 1971; </w:t>
      </w:r>
      <w:r w:rsidRPr="009B6397">
        <w:rPr>
          <w:rFonts w:ascii="Book Antiqua" w:hAnsi="Book Antiqua"/>
          <w:b/>
          <w:bCs/>
          <w:color w:val="000000" w:themeColor="text1"/>
          <w:szCs w:val="24"/>
        </w:rPr>
        <w:t>46</w:t>
      </w:r>
      <w:r w:rsidRPr="009B6397">
        <w:rPr>
          <w:rFonts w:ascii="Book Antiqua" w:hAnsi="Book Antiqua"/>
          <w:color w:val="000000" w:themeColor="text1"/>
          <w:szCs w:val="24"/>
        </w:rPr>
        <w:t>: 728-734 [PMID: 5128394]</w:t>
      </w:r>
    </w:p>
    <w:p w14:paraId="1BD9B9C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35 </w:t>
      </w:r>
      <w:r w:rsidRPr="009B6397">
        <w:rPr>
          <w:rFonts w:ascii="Book Antiqua" w:hAnsi="Book Antiqua"/>
          <w:b/>
          <w:bCs/>
          <w:color w:val="000000" w:themeColor="text1"/>
          <w:szCs w:val="24"/>
        </w:rPr>
        <w:t>Sajja KC</w:t>
      </w:r>
      <w:r w:rsidRPr="009B6397">
        <w:rPr>
          <w:rFonts w:ascii="Book Antiqua" w:hAnsi="Book Antiqua"/>
          <w:color w:val="000000" w:themeColor="text1"/>
          <w:szCs w:val="24"/>
        </w:rPr>
        <w:t>, El-Serag HB, Thrift AP. Coffee or Tea, Hot or Cold, Are Not Associated With Risk of Barrett's Esophagus.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2016; </w:t>
      </w:r>
      <w:r w:rsidRPr="009B6397">
        <w:rPr>
          <w:rFonts w:ascii="Book Antiqua" w:hAnsi="Book Antiqua"/>
          <w:b/>
          <w:bCs/>
          <w:color w:val="000000" w:themeColor="text1"/>
          <w:szCs w:val="24"/>
        </w:rPr>
        <w:t>14</w:t>
      </w:r>
      <w:r w:rsidRPr="009B6397">
        <w:rPr>
          <w:rFonts w:ascii="Book Antiqua" w:hAnsi="Book Antiqua"/>
          <w:color w:val="000000" w:themeColor="text1"/>
          <w:szCs w:val="24"/>
        </w:rPr>
        <w:t>: 769-772 [PMID: 26681488 DOI: 10.1016/j.cgh.2015.12.007]</w:t>
      </w:r>
    </w:p>
    <w:p w14:paraId="0AB82DD5"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36 </w:t>
      </w:r>
      <w:r w:rsidRPr="009B6397">
        <w:rPr>
          <w:rFonts w:ascii="Book Antiqua" w:hAnsi="Book Antiqua"/>
          <w:b/>
          <w:bCs/>
          <w:color w:val="000000" w:themeColor="text1"/>
          <w:szCs w:val="24"/>
        </w:rPr>
        <w:t>Filiberti RA</w:t>
      </w:r>
      <w:r w:rsidRPr="009B6397">
        <w:rPr>
          <w:rFonts w:ascii="Book Antiqua" w:hAnsi="Book Antiqua"/>
          <w:color w:val="000000" w:themeColor="text1"/>
          <w:szCs w:val="24"/>
        </w:rPr>
        <w:t>, Fontana V, De Ceglie A, Blanchi S, Grossi E, Della Casa D, Lacchin T, De Matthaeis M, Ignomirelli O, Cappiello R, Rosa A, Foti M, Laterza F, D'Onofrio V, Iaquinto G, Conio M. Association between coffee or tea drinking and Barrett's esophagus or esophagitis: an Italian study. </w:t>
      </w:r>
      <w:r w:rsidRPr="009B6397">
        <w:rPr>
          <w:rFonts w:ascii="Book Antiqua" w:hAnsi="Book Antiqua"/>
          <w:i/>
          <w:iCs/>
          <w:color w:val="000000" w:themeColor="text1"/>
          <w:szCs w:val="24"/>
        </w:rPr>
        <w:t>Eur J Clin Nutr</w:t>
      </w:r>
      <w:r w:rsidRPr="009B6397">
        <w:rPr>
          <w:rFonts w:ascii="Book Antiqua" w:hAnsi="Book Antiqua"/>
          <w:color w:val="000000" w:themeColor="text1"/>
          <w:szCs w:val="24"/>
        </w:rPr>
        <w:t> 2017; </w:t>
      </w:r>
      <w:r w:rsidRPr="009B6397">
        <w:rPr>
          <w:rFonts w:ascii="Book Antiqua" w:hAnsi="Book Antiqua"/>
          <w:b/>
          <w:bCs/>
          <w:color w:val="000000" w:themeColor="text1"/>
          <w:szCs w:val="24"/>
        </w:rPr>
        <w:t>71</w:t>
      </w:r>
      <w:r w:rsidRPr="009B6397">
        <w:rPr>
          <w:rFonts w:ascii="Book Antiqua" w:hAnsi="Book Antiqua"/>
          <w:color w:val="000000" w:themeColor="text1"/>
          <w:szCs w:val="24"/>
        </w:rPr>
        <w:t>: 980-986 [PMID: 28488688 DOI: 10.1038/ejcn.2017.64]</w:t>
      </w:r>
    </w:p>
    <w:p w14:paraId="56C2FC80"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37 </w:t>
      </w:r>
      <w:r w:rsidRPr="009B6397">
        <w:rPr>
          <w:rFonts w:ascii="Book Antiqua" w:hAnsi="Book Antiqua"/>
          <w:b/>
          <w:bCs/>
          <w:color w:val="000000" w:themeColor="text1"/>
          <w:szCs w:val="24"/>
        </w:rPr>
        <w:t>Pehl C</w:t>
      </w:r>
      <w:r w:rsidRPr="009B6397">
        <w:rPr>
          <w:rFonts w:ascii="Book Antiqua" w:hAnsi="Book Antiqua"/>
          <w:color w:val="000000" w:themeColor="text1"/>
          <w:szCs w:val="24"/>
        </w:rPr>
        <w:t xml:space="preserve">, Pfeiffer A, Wendl B, Kaess H. The effect of decaffeination of coffee </w:t>
      </w:r>
      <w:r w:rsidRPr="009B6397">
        <w:rPr>
          <w:rFonts w:ascii="Book Antiqua" w:hAnsi="Book Antiqua"/>
          <w:color w:val="000000" w:themeColor="text1"/>
          <w:szCs w:val="24"/>
        </w:rPr>
        <w:lastRenderedPageBreak/>
        <w:t>on gastro-oesophageal reflux in patients with reflux disease. </w:t>
      </w:r>
      <w:r w:rsidRPr="009B6397">
        <w:rPr>
          <w:rFonts w:ascii="Book Antiqua" w:hAnsi="Book Antiqua"/>
          <w:i/>
          <w:iCs/>
          <w:color w:val="000000" w:themeColor="text1"/>
          <w:szCs w:val="24"/>
        </w:rPr>
        <w:t>Aliment Pharmacol Ther</w:t>
      </w:r>
      <w:r w:rsidRPr="009B6397">
        <w:rPr>
          <w:rFonts w:ascii="Book Antiqua" w:hAnsi="Book Antiqua"/>
          <w:color w:val="000000" w:themeColor="text1"/>
          <w:szCs w:val="24"/>
        </w:rPr>
        <w:t> 1997; </w:t>
      </w:r>
      <w:r w:rsidRPr="009B6397">
        <w:rPr>
          <w:rFonts w:ascii="Book Antiqua" w:hAnsi="Book Antiqua"/>
          <w:b/>
          <w:bCs/>
          <w:color w:val="000000" w:themeColor="text1"/>
          <w:szCs w:val="24"/>
        </w:rPr>
        <w:t>11</w:t>
      </w:r>
      <w:r w:rsidRPr="009B6397">
        <w:rPr>
          <w:rFonts w:ascii="Book Antiqua" w:hAnsi="Book Antiqua"/>
          <w:color w:val="000000" w:themeColor="text1"/>
          <w:szCs w:val="24"/>
        </w:rPr>
        <w:t>: 483-486 [PMID: 9218070 DOI: 10.1046/j.1365-2036.1997.00161.x]</w:t>
      </w:r>
    </w:p>
    <w:p w14:paraId="115D9637"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38 </w:t>
      </w:r>
      <w:r w:rsidRPr="009B6397">
        <w:rPr>
          <w:rFonts w:ascii="Book Antiqua" w:hAnsi="Book Antiqua"/>
          <w:b/>
          <w:bCs/>
          <w:color w:val="000000" w:themeColor="text1"/>
          <w:szCs w:val="24"/>
        </w:rPr>
        <w:t>Chang CH</w:t>
      </w:r>
      <w:r w:rsidRPr="009B6397">
        <w:rPr>
          <w:rFonts w:ascii="Book Antiqua" w:hAnsi="Book Antiqua"/>
          <w:color w:val="000000" w:themeColor="text1"/>
          <w:szCs w:val="24"/>
        </w:rPr>
        <w:t>, Wu CP, Wang JD, Lee SW, Chang CS, Yeh HZ, Ko CW, Lien HC. Alcohol and tea consumption are associated with asymptomatic erosive esophagitis in Taiwanese men. </w:t>
      </w:r>
      <w:r w:rsidRPr="009B6397">
        <w:rPr>
          <w:rFonts w:ascii="Book Antiqua" w:hAnsi="Book Antiqua"/>
          <w:i/>
          <w:iCs/>
          <w:color w:val="000000" w:themeColor="text1"/>
          <w:szCs w:val="24"/>
        </w:rPr>
        <w:t>PLoS One</w:t>
      </w:r>
      <w:r w:rsidRPr="009B6397">
        <w:rPr>
          <w:rFonts w:ascii="Book Antiqua" w:hAnsi="Book Antiqua"/>
          <w:color w:val="000000" w:themeColor="text1"/>
          <w:szCs w:val="24"/>
        </w:rPr>
        <w:t> 2017; </w:t>
      </w:r>
      <w:r w:rsidRPr="009B6397">
        <w:rPr>
          <w:rFonts w:ascii="Book Antiqua" w:hAnsi="Book Antiqua"/>
          <w:b/>
          <w:bCs/>
          <w:color w:val="000000" w:themeColor="text1"/>
          <w:szCs w:val="24"/>
        </w:rPr>
        <w:t>12</w:t>
      </w:r>
      <w:r w:rsidRPr="009B6397">
        <w:rPr>
          <w:rFonts w:ascii="Book Antiqua" w:hAnsi="Book Antiqua"/>
          <w:color w:val="000000" w:themeColor="text1"/>
          <w:szCs w:val="24"/>
        </w:rPr>
        <w:t>: e0173230 [PMID: 28264069 DOI: 10.1371/journal.pone.0173230]</w:t>
      </w:r>
    </w:p>
    <w:p w14:paraId="4E587C0B"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39 </w:t>
      </w:r>
      <w:r w:rsidRPr="009B6397">
        <w:rPr>
          <w:rFonts w:ascii="Book Antiqua" w:hAnsi="Book Antiqua"/>
          <w:b/>
          <w:bCs/>
          <w:color w:val="000000" w:themeColor="text1"/>
          <w:szCs w:val="24"/>
        </w:rPr>
        <w:t>Bandla S</w:t>
      </w:r>
      <w:r w:rsidRPr="009B6397">
        <w:rPr>
          <w:rFonts w:ascii="Book Antiqua" w:hAnsi="Book Antiqua"/>
          <w:color w:val="000000" w:themeColor="text1"/>
          <w:szCs w:val="24"/>
        </w:rPr>
        <w:t>, Peters JH, Ruff D, Chen SM, Li CY, Song K, Thoms K, Litle VR, Watson T, Chapurin N, Lada M, Pennathur A, Luketich JD, Peterson D, Dulak A, Lin L, Bass A, Beer DG, Godfrey TE, Zhou Z. Comparison of cancer-associated genetic abnormalities in columnar-lined esophagus tissues with and without goblet cells. </w:t>
      </w:r>
      <w:r w:rsidRPr="009B6397">
        <w:rPr>
          <w:rFonts w:ascii="Book Antiqua" w:hAnsi="Book Antiqua"/>
          <w:i/>
          <w:iCs/>
          <w:color w:val="000000" w:themeColor="text1"/>
          <w:szCs w:val="24"/>
        </w:rPr>
        <w:t>Ann Surg</w:t>
      </w:r>
      <w:r w:rsidRPr="009B6397">
        <w:rPr>
          <w:rFonts w:ascii="Book Antiqua" w:hAnsi="Book Antiqua"/>
          <w:color w:val="000000" w:themeColor="text1"/>
          <w:szCs w:val="24"/>
        </w:rPr>
        <w:t> 2014; </w:t>
      </w:r>
      <w:r w:rsidRPr="009B6397">
        <w:rPr>
          <w:rFonts w:ascii="Book Antiqua" w:hAnsi="Book Antiqua"/>
          <w:b/>
          <w:bCs/>
          <w:color w:val="000000" w:themeColor="text1"/>
          <w:szCs w:val="24"/>
        </w:rPr>
        <w:t>260</w:t>
      </w:r>
      <w:r w:rsidRPr="009B6397">
        <w:rPr>
          <w:rFonts w:ascii="Book Antiqua" w:hAnsi="Book Antiqua"/>
          <w:color w:val="000000" w:themeColor="text1"/>
          <w:szCs w:val="24"/>
        </w:rPr>
        <w:t>: 72-80 [PMID: 24509200 DOI: 10.1097/SLA.0000000000000424]</w:t>
      </w:r>
    </w:p>
    <w:p w14:paraId="339B977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40 </w:t>
      </w:r>
      <w:r w:rsidRPr="009B6397">
        <w:rPr>
          <w:rFonts w:ascii="Book Antiqua" w:hAnsi="Book Antiqua"/>
          <w:b/>
          <w:bCs/>
          <w:color w:val="000000" w:themeColor="text1"/>
          <w:szCs w:val="24"/>
        </w:rPr>
        <w:t>Harrison R</w:t>
      </w:r>
      <w:r w:rsidRPr="009B6397">
        <w:rPr>
          <w:rFonts w:ascii="Book Antiqua" w:hAnsi="Book Antiqua"/>
          <w:color w:val="000000" w:themeColor="text1"/>
          <w:szCs w:val="24"/>
        </w:rPr>
        <w:t>, Perry I, Haddadin W, McDonald S, Bryan R, Abrams K, Sampliner R, Talley NJ, Moayyedi P, Jankowski JA. Detection of intestinal metaplasia in Barrett's esophagus: an observational comparator study suggests the need for a minimum of eight biopsies.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2007; </w:t>
      </w:r>
      <w:r w:rsidRPr="009B6397">
        <w:rPr>
          <w:rFonts w:ascii="Book Antiqua" w:hAnsi="Book Antiqua"/>
          <w:b/>
          <w:bCs/>
          <w:color w:val="000000" w:themeColor="text1"/>
          <w:szCs w:val="24"/>
        </w:rPr>
        <w:t>102</w:t>
      </w:r>
      <w:r w:rsidRPr="009B6397">
        <w:rPr>
          <w:rFonts w:ascii="Book Antiqua" w:hAnsi="Book Antiqua"/>
          <w:color w:val="000000" w:themeColor="text1"/>
          <w:szCs w:val="24"/>
        </w:rPr>
        <w:t>: 1154-1161 [PMID: 17433019 DOI: 10.1111/j.1572-0241.2007.01230.x]</w:t>
      </w:r>
    </w:p>
    <w:p w14:paraId="730DEE5E"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41 </w:t>
      </w:r>
      <w:r w:rsidRPr="009B6397">
        <w:rPr>
          <w:rFonts w:ascii="Book Antiqua" w:hAnsi="Book Antiqua"/>
          <w:b/>
          <w:bCs/>
          <w:color w:val="000000" w:themeColor="text1"/>
          <w:szCs w:val="24"/>
        </w:rPr>
        <w:t>Chandrasoma PT</w:t>
      </w:r>
      <w:r w:rsidRPr="009B6397">
        <w:rPr>
          <w:rFonts w:ascii="Book Antiqua" w:hAnsi="Book Antiqua"/>
          <w:color w:val="000000" w:themeColor="text1"/>
          <w:szCs w:val="24"/>
        </w:rPr>
        <w:t>, Der R, Dalton P, Kobayashi G, Ma Y, Peters J, Demeester T. Distribution and significance of epithelial types in columnar-lined esophagus. </w:t>
      </w:r>
      <w:r w:rsidRPr="009B6397">
        <w:rPr>
          <w:rFonts w:ascii="Book Antiqua" w:hAnsi="Book Antiqua"/>
          <w:i/>
          <w:iCs/>
          <w:color w:val="000000" w:themeColor="text1"/>
          <w:szCs w:val="24"/>
        </w:rPr>
        <w:t>Am J Surg Pathol</w:t>
      </w:r>
      <w:r w:rsidRPr="009B6397">
        <w:rPr>
          <w:rFonts w:ascii="Book Antiqua" w:hAnsi="Book Antiqua"/>
          <w:color w:val="000000" w:themeColor="text1"/>
          <w:szCs w:val="24"/>
        </w:rPr>
        <w:t>2001; </w:t>
      </w:r>
      <w:r w:rsidRPr="009B6397">
        <w:rPr>
          <w:rFonts w:ascii="Book Antiqua" w:hAnsi="Book Antiqua"/>
          <w:b/>
          <w:bCs/>
          <w:color w:val="000000" w:themeColor="text1"/>
          <w:szCs w:val="24"/>
        </w:rPr>
        <w:t>25</w:t>
      </w:r>
      <w:r w:rsidRPr="009B6397">
        <w:rPr>
          <w:rFonts w:ascii="Book Antiqua" w:hAnsi="Book Antiqua"/>
          <w:color w:val="000000" w:themeColor="text1"/>
          <w:szCs w:val="24"/>
        </w:rPr>
        <w:t>: 1188-1193 [PMID: 11688579 DOI: 10.1097/00000478-200109000-00010]</w:t>
      </w:r>
    </w:p>
    <w:p w14:paraId="787E72F2"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42 </w:t>
      </w:r>
      <w:r w:rsidRPr="009B6397">
        <w:rPr>
          <w:rFonts w:ascii="Book Antiqua" w:hAnsi="Book Antiqua"/>
          <w:b/>
          <w:bCs/>
          <w:color w:val="000000" w:themeColor="text1"/>
          <w:szCs w:val="24"/>
        </w:rPr>
        <w:t>Mastracci L</w:t>
      </w:r>
      <w:r w:rsidRPr="009B6397">
        <w:rPr>
          <w:rFonts w:ascii="Book Antiqua" w:hAnsi="Book Antiqua"/>
          <w:color w:val="000000" w:themeColor="text1"/>
          <w:szCs w:val="24"/>
        </w:rPr>
        <w:t>, Piol N, Molinaro L, Pitto F, Tinelli C, De Silvestri A, Fiocca R, Grillo F; ABRAM Study Group. Interobserver reproducibility in pathologist interpretation of columnar-lined esophagus. </w:t>
      </w:r>
      <w:r w:rsidRPr="009B6397">
        <w:rPr>
          <w:rFonts w:ascii="Book Antiqua" w:hAnsi="Book Antiqua"/>
          <w:i/>
          <w:iCs/>
          <w:color w:val="000000" w:themeColor="text1"/>
          <w:szCs w:val="24"/>
        </w:rPr>
        <w:t>Virchows Arch</w:t>
      </w:r>
      <w:r w:rsidRPr="009B6397">
        <w:rPr>
          <w:rFonts w:ascii="Book Antiqua" w:hAnsi="Book Antiqua"/>
          <w:color w:val="000000" w:themeColor="text1"/>
          <w:szCs w:val="24"/>
        </w:rPr>
        <w:t> 2016; </w:t>
      </w:r>
      <w:r w:rsidRPr="009B6397">
        <w:rPr>
          <w:rFonts w:ascii="Book Antiqua" w:hAnsi="Book Antiqua"/>
          <w:b/>
          <w:bCs/>
          <w:color w:val="000000" w:themeColor="text1"/>
          <w:szCs w:val="24"/>
        </w:rPr>
        <w:t>468</w:t>
      </w:r>
      <w:r w:rsidRPr="009B6397">
        <w:rPr>
          <w:rFonts w:ascii="Book Antiqua" w:hAnsi="Book Antiqua"/>
          <w:color w:val="000000" w:themeColor="text1"/>
          <w:szCs w:val="24"/>
        </w:rPr>
        <w:t>: 159-167 [PMID: 26563401 DOI: 10.1007/s00428-015-1878-5]</w:t>
      </w:r>
    </w:p>
    <w:p w14:paraId="260CB636"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43 </w:t>
      </w:r>
      <w:r w:rsidRPr="009B6397">
        <w:rPr>
          <w:rFonts w:ascii="Book Antiqua" w:hAnsi="Book Antiqua"/>
          <w:b/>
          <w:bCs/>
          <w:color w:val="000000" w:themeColor="text1"/>
          <w:szCs w:val="24"/>
        </w:rPr>
        <w:t>Smout AJ</w:t>
      </w:r>
      <w:r w:rsidRPr="009B6397">
        <w:rPr>
          <w:rFonts w:ascii="Book Antiqua" w:hAnsi="Book Antiqua"/>
          <w:color w:val="000000" w:themeColor="text1"/>
          <w:szCs w:val="24"/>
        </w:rPr>
        <w:t>, Breedijk M, van der Zouw C, Akkermans LM. Physiological gastroesophageal reflux and esophageal motor activity studied with a new system for 24-hour recording and automated analysis. </w:t>
      </w:r>
      <w:r w:rsidRPr="009B6397">
        <w:rPr>
          <w:rFonts w:ascii="Book Antiqua" w:hAnsi="Book Antiqua"/>
          <w:i/>
          <w:iCs/>
          <w:color w:val="000000" w:themeColor="text1"/>
          <w:szCs w:val="24"/>
        </w:rPr>
        <w:t>Dig Dis Sci</w:t>
      </w:r>
      <w:r w:rsidRPr="009B6397">
        <w:rPr>
          <w:rFonts w:ascii="Book Antiqua" w:hAnsi="Book Antiqua"/>
          <w:color w:val="000000" w:themeColor="text1"/>
          <w:szCs w:val="24"/>
        </w:rPr>
        <w:t> 1989; </w:t>
      </w:r>
      <w:r w:rsidRPr="009B6397">
        <w:rPr>
          <w:rFonts w:ascii="Book Antiqua" w:hAnsi="Book Antiqua"/>
          <w:b/>
          <w:bCs/>
          <w:color w:val="000000" w:themeColor="text1"/>
          <w:szCs w:val="24"/>
        </w:rPr>
        <w:t>34</w:t>
      </w:r>
      <w:r w:rsidRPr="009B6397">
        <w:rPr>
          <w:rFonts w:ascii="Book Antiqua" w:hAnsi="Book Antiqua"/>
          <w:color w:val="000000" w:themeColor="text1"/>
          <w:szCs w:val="24"/>
        </w:rPr>
        <w:t>: 372-378 [PMID: 2920643 DOI: 10.1007/bf01536258]</w:t>
      </w:r>
    </w:p>
    <w:p w14:paraId="50B6F8AD"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lastRenderedPageBreak/>
        <w:t>44 </w:t>
      </w:r>
      <w:r w:rsidRPr="009B6397">
        <w:rPr>
          <w:rFonts w:ascii="Book Antiqua" w:hAnsi="Book Antiqua"/>
          <w:b/>
          <w:bCs/>
          <w:color w:val="000000" w:themeColor="text1"/>
          <w:szCs w:val="24"/>
        </w:rPr>
        <w:t>Roman S</w:t>
      </w:r>
      <w:r w:rsidRPr="009B6397">
        <w:rPr>
          <w:rFonts w:ascii="Book Antiqua" w:hAnsi="Book Antiqua"/>
          <w:color w:val="000000" w:themeColor="text1"/>
          <w:szCs w:val="24"/>
        </w:rPr>
        <w:t>, Kahrilas PJ. The diagnosis and management of hiatus hernia. </w:t>
      </w:r>
      <w:r w:rsidRPr="009B6397">
        <w:rPr>
          <w:rFonts w:ascii="Book Antiqua" w:hAnsi="Book Antiqua"/>
          <w:i/>
          <w:iCs/>
          <w:color w:val="000000" w:themeColor="text1"/>
          <w:szCs w:val="24"/>
        </w:rPr>
        <w:t>BMJ</w:t>
      </w:r>
      <w:r w:rsidRPr="009B6397">
        <w:rPr>
          <w:rFonts w:ascii="Book Antiqua" w:hAnsi="Book Antiqua"/>
          <w:color w:val="000000" w:themeColor="text1"/>
          <w:szCs w:val="24"/>
        </w:rPr>
        <w:t> 2014; </w:t>
      </w:r>
      <w:r w:rsidRPr="009B6397">
        <w:rPr>
          <w:rFonts w:ascii="Book Antiqua" w:hAnsi="Book Antiqua"/>
          <w:b/>
          <w:bCs/>
          <w:color w:val="000000" w:themeColor="text1"/>
          <w:szCs w:val="24"/>
        </w:rPr>
        <w:t>349</w:t>
      </w:r>
      <w:r w:rsidRPr="009B6397">
        <w:rPr>
          <w:rFonts w:ascii="Book Antiqua" w:hAnsi="Book Antiqua"/>
          <w:color w:val="000000" w:themeColor="text1"/>
          <w:szCs w:val="24"/>
        </w:rPr>
        <w:t>: g6154 [PMID: 25341679 DOI: 10.1136/bmj.g6154]</w:t>
      </w:r>
    </w:p>
    <w:p w14:paraId="7485128B" w14:textId="1A4F2E94" w:rsidR="009B6397" w:rsidRPr="008C37FD" w:rsidRDefault="009B6397" w:rsidP="009B6397">
      <w:pPr>
        <w:wordWrap w:val="0"/>
        <w:snapToGrid w:val="0"/>
        <w:spacing w:line="360" w:lineRule="auto"/>
        <w:jc w:val="right"/>
        <w:rPr>
          <w:rFonts w:ascii="Book Antiqua" w:hAnsi="Book Antiqua"/>
          <w:b/>
          <w:bCs/>
        </w:rPr>
      </w:pPr>
      <w:bookmarkStart w:id="51" w:name="OLE_LINK148"/>
      <w:bookmarkStart w:id="52" w:name="OLE_LINK320"/>
      <w:bookmarkStart w:id="53" w:name="OLE_LINK387"/>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386"/>
      <w:bookmarkStart w:id="151" w:name="OLE_LINK33"/>
      <w:bookmarkStart w:id="152" w:name="OLE_LINK34"/>
      <w:r w:rsidRPr="008C37FD">
        <w:rPr>
          <w:rFonts w:ascii="Book Antiqua" w:hAnsi="Book Antiqua"/>
          <w:b/>
          <w:bCs/>
        </w:rPr>
        <w:t>P-Reviewer:</w:t>
      </w:r>
      <w:r w:rsidRPr="008C37FD">
        <w:rPr>
          <w:rFonts w:ascii="Book Antiqua" w:hAnsi="Book Antiqua" w:hint="eastAsia"/>
          <w:b/>
          <w:bCs/>
        </w:rPr>
        <w:t xml:space="preserve"> </w:t>
      </w:r>
      <w:r w:rsidRPr="009B6397">
        <w:rPr>
          <w:rFonts w:ascii="Book Antiqua" w:hAnsi="Book Antiqua"/>
          <w:bCs/>
        </w:rPr>
        <w:t>Friedel</w:t>
      </w:r>
      <w:r>
        <w:rPr>
          <w:rFonts w:ascii="Book Antiqua" w:hAnsi="Book Antiqua"/>
          <w:bCs/>
        </w:rPr>
        <w:t xml:space="preserve"> D, </w:t>
      </w:r>
      <w:proofErr w:type="spellStart"/>
      <w:r>
        <w:rPr>
          <w:rFonts w:ascii="Book Antiqua" w:hAnsi="Book Antiqua"/>
          <w:bCs/>
        </w:rPr>
        <w:t>Mastracci</w:t>
      </w:r>
      <w:proofErr w:type="spellEnd"/>
      <w:r>
        <w:rPr>
          <w:rFonts w:ascii="Book Antiqua" w:hAnsi="Book Antiqua"/>
          <w:bCs/>
        </w:rPr>
        <w:t xml:space="preserve"> L, Zhao J</w:t>
      </w:r>
    </w:p>
    <w:p w14:paraId="302566CB" w14:textId="77777777" w:rsidR="009B6397" w:rsidRPr="008C37FD" w:rsidRDefault="009B6397" w:rsidP="009B6397">
      <w:pPr>
        <w:snapToGrid w:val="0"/>
        <w:spacing w:line="360" w:lineRule="auto"/>
        <w:jc w:val="right"/>
        <w:rPr>
          <w:rFonts w:ascii="Book Antiqua" w:hAnsi="Book Antiqua"/>
        </w:rPr>
      </w:pPr>
      <w:r w:rsidRPr="008C37FD">
        <w:rPr>
          <w:rFonts w:ascii="Book Antiqua" w:hAnsi="Book Antiqua"/>
          <w:b/>
          <w:bCs/>
        </w:rPr>
        <w:t>S-Editor:</w:t>
      </w:r>
      <w:r w:rsidRPr="008C37FD">
        <w:rPr>
          <w:rFonts w:ascii="Book Antiqua" w:hAnsi="Book Antiqua" w:hint="eastAsia"/>
        </w:rPr>
        <w:t xml:space="preserve"> </w:t>
      </w:r>
      <w:r w:rsidRPr="008C37FD">
        <w:rPr>
          <w:rFonts w:ascii="Book Antiqua" w:hAnsi="Book Antiqua"/>
        </w:rPr>
        <w:t>Ma</w:t>
      </w:r>
      <w:r w:rsidRPr="008C37FD">
        <w:rPr>
          <w:rFonts w:ascii="Book Antiqua" w:hAnsi="Book Antiqua" w:hint="eastAsia"/>
        </w:rPr>
        <w:t xml:space="preserve"> </w:t>
      </w:r>
      <w:r w:rsidRPr="008C37FD">
        <w:rPr>
          <w:rFonts w:ascii="Book Antiqua" w:hAnsi="Book Antiqua"/>
        </w:rPr>
        <w:t>RY</w:t>
      </w:r>
      <w:r w:rsidRPr="008C37FD">
        <w:rPr>
          <w:rFonts w:ascii="Book Antiqua" w:hAnsi="Book Antiqua" w:hint="eastAsia"/>
        </w:rPr>
        <w:t xml:space="preserve"> </w:t>
      </w:r>
      <w:r w:rsidRPr="008C37FD">
        <w:rPr>
          <w:rFonts w:ascii="Book Antiqua" w:hAnsi="Book Antiqua"/>
          <w:b/>
          <w:bCs/>
        </w:rPr>
        <w:t>L-Editor:</w:t>
      </w:r>
      <w:r w:rsidRPr="008C37FD">
        <w:rPr>
          <w:rFonts w:ascii="Book Antiqua" w:hAnsi="Book Antiqua"/>
        </w:rPr>
        <w:t xml:space="preserve"> </w:t>
      </w:r>
      <w:r w:rsidRPr="008C37FD">
        <w:rPr>
          <w:rFonts w:ascii="Book Antiqua" w:hAnsi="Book Antiqua"/>
          <w:b/>
          <w:bCs/>
        </w:rPr>
        <w:t>E-Editor:</w:t>
      </w:r>
    </w:p>
    <w:p w14:paraId="25E53CCF" w14:textId="77777777" w:rsidR="009B6397" w:rsidRPr="008C37FD" w:rsidRDefault="009B6397" w:rsidP="009B6397">
      <w:pPr>
        <w:shd w:val="clear" w:color="auto" w:fill="FFFFFF"/>
        <w:snapToGrid w:val="0"/>
        <w:spacing w:line="360" w:lineRule="auto"/>
        <w:jc w:val="both"/>
        <w:rPr>
          <w:rFonts w:ascii="Book Antiqua" w:hAnsi="Book Antiqua" w:cs="Helvetica"/>
          <w:b/>
        </w:rPr>
      </w:pPr>
      <w:bookmarkStart w:id="153" w:name="OLE_LINK880"/>
      <w:bookmarkStart w:id="154" w:name="OLE_LINK88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8C37FD">
        <w:rPr>
          <w:rFonts w:ascii="Book Antiqua" w:hAnsi="Book Antiqua" w:cs="Helvetica"/>
          <w:b/>
        </w:rPr>
        <w:t xml:space="preserve">Specialty type: </w:t>
      </w:r>
      <w:r w:rsidRPr="008C37FD">
        <w:rPr>
          <w:rFonts w:ascii="Book Antiqua" w:hAnsi="Book Antiqua" w:cs="Helvetica"/>
        </w:rPr>
        <w:t>Gastroenterology and</w:t>
      </w:r>
      <w:r w:rsidRPr="008C37FD">
        <w:rPr>
          <w:rFonts w:ascii="Book Antiqua" w:hAnsi="Book Antiqua" w:cs="Helvetica" w:hint="eastAsia"/>
        </w:rPr>
        <w:t xml:space="preserve"> </w:t>
      </w:r>
      <w:r w:rsidRPr="008C37FD">
        <w:rPr>
          <w:rFonts w:ascii="Book Antiqua" w:hAnsi="Book Antiqua" w:cs="Helvetica"/>
        </w:rPr>
        <w:t>hepatology</w:t>
      </w:r>
    </w:p>
    <w:p w14:paraId="665A9A7A" w14:textId="71A86464" w:rsidR="009B6397" w:rsidRPr="008C37FD" w:rsidRDefault="009B6397" w:rsidP="009B6397">
      <w:pPr>
        <w:shd w:val="clear" w:color="auto" w:fill="FFFFFF"/>
        <w:snapToGrid w:val="0"/>
        <w:spacing w:line="360" w:lineRule="auto"/>
        <w:jc w:val="both"/>
        <w:rPr>
          <w:rFonts w:ascii="Book Antiqua" w:hAnsi="Book Antiqua" w:cs="Helvetica"/>
          <w:b/>
        </w:rPr>
      </w:pPr>
      <w:r w:rsidRPr="008C37FD">
        <w:rPr>
          <w:rFonts w:ascii="Book Antiqua" w:hAnsi="Book Antiqua" w:cs="Helvetica"/>
          <w:b/>
        </w:rPr>
        <w:t xml:space="preserve">Country of origin: </w:t>
      </w:r>
      <w:r>
        <w:rPr>
          <w:rFonts w:ascii="Book Antiqua" w:hAnsi="Book Antiqua" w:cs="Helvetica"/>
        </w:rPr>
        <w:t>Taiwan</w:t>
      </w:r>
    </w:p>
    <w:p w14:paraId="3CE52CE3" w14:textId="77777777" w:rsidR="009B6397" w:rsidRPr="008C37FD" w:rsidRDefault="009B6397" w:rsidP="009B6397">
      <w:pPr>
        <w:shd w:val="clear" w:color="auto" w:fill="FFFFFF"/>
        <w:snapToGrid w:val="0"/>
        <w:spacing w:line="360" w:lineRule="auto"/>
        <w:jc w:val="both"/>
        <w:rPr>
          <w:rFonts w:ascii="Book Antiqua" w:hAnsi="Book Antiqua" w:cs="Helvetica"/>
          <w:b/>
        </w:rPr>
      </w:pPr>
      <w:r w:rsidRPr="008C37FD">
        <w:rPr>
          <w:rFonts w:ascii="Book Antiqua" w:hAnsi="Book Antiqua" w:cs="Helvetica"/>
          <w:b/>
        </w:rPr>
        <w:t>Peer-review report classification</w:t>
      </w:r>
    </w:p>
    <w:p w14:paraId="3EF7CFE4"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A (Excellent): </w:t>
      </w:r>
      <w:r w:rsidRPr="008C37FD">
        <w:rPr>
          <w:rFonts w:ascii="Book Antiqua" w:hAnsi="Book Antiqua" w:cs="Helvetica" w:hint="eastAsia"/>
        </w:rPr>
        <w:t>0</w:t>
      </w:r>
    </w:p>
    <w:p w14:paraId="43EF25FC"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B (Very good): </w:t>
      </w:r>
      <w:r w:rsidRPr="008C37FD">
        <w:rPr>
          <w:rFonts w:ascii="Book Antiqua" w:hAnsi="Book Antiqua" w:cs="Helvetica" w:hint="eastAsia"/>
        </w:rPr>
        <w:t>B</w:t>
      </w:r>
    </w:p>
    <w:p w14:paraId="48910B50"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C (Good): </w:t>
      </w:r>
      <w:r w:rsidRPr="008C37FD">
        <w:rPr>
          <w:rFonts w:ascii="Book Antiqua" w:hAnsi="Book Antiqua" w:cs="Helvetica" w:hint="eastAsia"/>
        </w:rPr>
        <w:t>C, C</w:t>
      </w:r>
    </w:p>
    <w:p w14:paraId="7F6BE2EF"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D (Fair): </w:t>
      </w:r>
      <w:r w:rsidRPr="008C37FD">
        <w:rPr>
          <w:rFonts w:ascii="Book Antiqua" w:hAnsi="Book Antiqua" w:cs="Helvetica" w:hint="eastAsia"/>
        </w:rPr>
        <w:t>0</w:t>
      </w:r>
    </w:p>
    <w:p w14:paraId="68EDFA16" w14:textId="77777777" w:rsidR="009B6397" w:rsidRPr="008C37FD" w:rsidRDefault="009B6397" w:rsidP="009B6397">
      <w:pPr>
        <w:snapToGrid w:val="0"/>
        <w:spacing w:line="360" w:lineRule="auto"/>
        <w:jc w:val="both"/>
        <w:rPr>
          <w:rFonts w:ascii="Book Antiqua" w:hAnsi="Book Antiqua"/>
          <w:b/>
          <w:iCs/>
        </w:rPr>
      </w:pPr>
      <w:r w:rsidRPr="008C37FD">
        <w:rPr>
          <w:rFonts w:ascii="Book Antiqua" w:hAnsi="Book Antiqua" w:cs="Helvetica"/>
        </w:rPr>
        <w:t xml:space="preserve">Grade E (Poor): </w:t>
      </w:r>
      <w:r w:rsidRPr="008C37FD">
        <w:rPr>
          <w:rFonts w:ascii="Book Antiqua" w:hAnsi="Book Antiqua" w:cs="Helvetica" w:hint="eastAsia"/>
        </w:rPr>
        <w:t>0</w:t>
      </w:r>
      <w:bookmarkEnd w:id="150"/>
      <w:bookmarkEnd w:id="153"/>
      <w:bookmarkEnd w:id="154"/>
    </w:p>
    <w:bookmarkEnd w:id="151"/>
    <w:bookmarkEnd w:id="152"/>
    <w:p w14:paraId="025DA241"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5D2638BB" w14:textId="77777777" w:rsidR="00DD4B3C" w:rsidRDefault="00DD4B3C" w:rsidP="009D2E6D">
      <w:pPr>
        <w:widowControl/>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br w:type="page"/>
      </w:r>
    </w:p>
    <w:p w14:paraId="6ABAAC5E" w14:textId="205D824B" w:rsidR="009B6397" w:rsidRPr="008455AD" w:rsidRDefault="009B6397" w:rsidP="009D2E6D">
      <w:pPr>
        <w:widowControl/>
        <w:adjustRightInd w:val="0"/>
        <w:snapToGrid w:val="0"/>
        <w:spacing w:line="360" w:lineRule="auto"/>
        <w:jc w:val="both"/>
        <w:rPr>
          <w:rFonts w:ascii="Book Antiqua" w:hAnsi="Book Antiqua" w:cs="Times New Roman"/>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1 </w:t>
      </w:r>
      <w:r w:rsidRPr="009D2E6D">
        <w:rPr>
          <w:rFonts w:ascii="Book Antiqua" w:eastAsia="PMingLiU" w:hAnsi="Book Antiqua" w:cs="Times New Roman"/>
          <w:b/>
          <w:color w:val="000000" w:themeColor="text1"/>
          <w:kern w:val="0"/>
          <w:szCs w:val="24"/>
        </w:rPr>
        <w:t>Demographic data and endoscopic features of study groups</w:t>
      </w:r>
      <w:r w:rsidR="008455AD">
        <w:rPr>
          <w:rFonts w:ascii="Book Antiqua" w:eastAsia="PMingLiU" w:hAnsi="Book Antiqua" w:cs="Times New Roman"/>
          <w:b/>
          <w:color w:val="000000" w:themeColor="text1"/>
          <w:kern w:val="0"/>
          <w:szCs w:val="24"/>
        </w:rPr>
        <w:t xml:space="preserve"> </w:t>
      </w:r>
      <w:r w:rsidR="008455AD" w:rsidRPr="008455AD">
        <w:rPr>
          <w:rFonts w:ascii="Book Antiqua" w:eastAsia="PMingLiU" w:hAnsi="Book Antiqua" w:cs="Times New Roman"/>
          <w:b/>
          <w:i/>
          <w:color w:val="000000" w:themeColor="text1"/>
          <w:kern w:val="0"/>
          <w:szCs w:val="24"/>
        </w:rPr>
        <w:t>n</w:t>
      </w:r>
      <w:r w:rsidR="008455AD">
        <w:rPr>
          <w:rFonts w:ascii="Book Antiqua" w:eastAsia="PMingLiU" w:hAnsi="Book Antiqua" w:cs="Times New Roman"/>
          <w:b/>
          <w:color w:val="000000" w:themeColor="text1"/>
          <w:kern w:val="0"/>
          <w:szCs w:val="24"/>
        </w:rPr>
        <w:t xml:space="preserve"> (%)</w:t>
      </w:r>
    </w:p>
    <w:tbl>
      <w:tblPr>
        <w:tblW w:w="5679" w:type="pct"/>
        <w:tblLayout w:type="fixed"/>
        <w:tblCellMar>
          <w:left w:w="28" w:type="dxa"/>
          <w:right w:w="28" w:type="dxa"/>
        </w:tblCellMar>
        <w:tblLook w:val="04A0" w:firstRow="1" w:lastRow="0" w:firstColumn="1" w:lastColumn="0" w:noHBand="0" w:noVBand="1"/>
      </w:tblPr>
      <w:tblGrid>
        <w:gridCol w:w="5140"/>
        <w:gridCol w:w="1596"/>
        <w:gridCol w:w="1600"/>
        <w:gridCol w:w="1098"/>
      </w:tblGrid>
      <w:tr w:rsidR="00236CB6" w:rsidRPr="009D2E6D" w14:paraId="431555D3" w14:textId="77777777" w:rsidTr="00DC5EDE">
        <w:trPr>
          <w:trHeight w:val="345"/>
        </w:trPr>
        <w:tc>
          <w:tcPr>
            <w:tcW w:w="2724" w:type="pct"/>
            <w:vMerge w:val="restart"/>
            <w:tcBorders>
              <w:top w:val="single" w:sz="4" w:space="0" w:color="auto"/>
              <w:left w:val="nil"/>
            </w:tcBorders>
            <w:shd w:val="clear" w:color="auto" w:fill="auto"/>
            <w:noWrap/>
            <w:vAlign w:val="center"/>
            <w:hideMark/>
          </w:tcPr>
          <w:p w14:paraId="11B0BC82" w14:textId="137EE5CC" w:rsidR="00236CB6" w:rsidRPr="009D2E6D" w:rsidRDefault="00236CB6" w:rsidP="009D2E6D">
            <w:pPr>
              <w:adjustRightInd w:val="0"/>
              <w:snapToGrid w:val="0"/>
              <w:spacing w:line="360" w:lineRule="auto"/>
              <w:jc w:val="both"/>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Characteristics</w:t>
            </w:r>
          </w:p>
        </w:tc>
        <w:tc>
          <w:tcPr>
            <w:tcW w:w="1694" w:type="pct"/>
            <w:gridSpan w:val="2"/>
            <w:tcBorders>
              <w:top w:val="single" w:sz="4" w:space="0" w:color="auto"/>
              <w:bottom w:val="single" w:sz="4" w:space="0" w:color="auto"/>
            </w:tcBorders>
            <w:shd w:val="clear" w:color="auto" w:fill="auto"/>
            <w:noWrap/>
            <w:vAlign w:val="center"/>
            <w:hideMark/>
          </w:tcPr>
          <w:p w14:paraId="06622D6A" w14:textId="338820E4"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Barrett's esophagus</w:t>
            </w:r>
          </w:p>
        </w:tc>
        <w:tc>
          <w:tcPr>
            <w:tcW w:w="582" w:type="pct"/>
            <w:vMerge w:val="restart"/>
            <w:tcBorders>
              <w:top w:val="single" w:sz="4" w:space="0" w:color="auto"/>
              <w:right w:val="nil"/>
            </w:tcBorders>
            <w:shd w:val="clear" w:color="auto" w:fill="auto"/>
            <w:noWrap/>
            <w:vAlign w:val="center"/>
            <w:hideMark/>
          </w:tcPr>
          <w:p w14:paraId="7F74E8D6" w14:textId="403F0DE8" w:rsidR="00236CB6" w:rsidRPr="009D2E6D" w:rsidRDefault="00236CB6" w:rsidP="008455AD">
            <w:pPr>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236CB6" w:rsidRPr="009D2E6D" w14:paraId="33422876" w14:textId="77777777" w:rsidTr="00DC5EDE">
        <w:trPr>
          <w:trHeight w:val="330"/>
        </w:trPr>
        <w:tc>
          <w:tcPr>
            <w:tcW w:w="2724" w:type="pct"/>
            <w:vMerge/>
            <w:tcBorders>
              <w:left w:val="nil"/>
              <w:bottom w:val="single" w:sz="12" w:space="0" w:color="auto"/>
            </w:tcBorders>
            <w:shd w:val="clear" w:color="auto" w:fill="auto"/>
            <w:noWrap/>
            <w:vAlign w:val="center"/>
            <w:hideMark/>
          </w:tcPr>
          <w:p w14:paraId="248A51B3" w14:textId="4E3CF48F" w:rsidR="00236CB6" w:rsidRPr="009D2E6D" w:rsidRDefault="00236CB6"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p>
        </w:tc>
        <w:tc>
          <w:tcPr>
            <w:tcW w:w="846" w:type="pct"/>
            <w:tcBorders>
              <w:top w:val="single" w:sz="4" w:space="0" w:color="auto"/>
              <w:bottom w:val="single" w:sz="12" w:space="0" w:color="auto"/>
            </w:tcBorders>
            <w:shd w:val="clear" w:color="auto" w:fill="auto"/>
            <w:noWrap/>
            <w:vAlign w:val="center"/>
            <w:hideMark/>
          </w:tcPr>
          <w:p w14:paraId="696D15E5" w14:textId="0BC117C4"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Yes</w:t>
            </w:r>
            <w:r>
              <w:rPr>
                <w:rFonts w:ascii="Book Antiqua" w:eastAsia="PMingLiU" w:hAnsi="Book Antiqua" w:cs="Times New Roman"/>
                <w:b/>
                <w:color w:val="000000" w:themeColor="text1"/>
                <w:kern w:val="0"/>
                <w:szCs w:val="24"/>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n</w:t>
            </w:r>
            <w:r>
              <w:rPr>
                <w:rFonts w:ascii="Book Antiqua" w:eastAsia="PMingLiU" w:hAnsi="Book Antiqua" w:cs="Times New Roman"/>
                <w:b/>
                <w:i/>
                <w:color w:val="000000" w:themeColor="text1"/>
                <w:kern w:val="0"/>
                <w:szCs w:val="24"/>
              </w:rPr>
              <w:t xml:space="preserve"> </w:t>
            </w:r>
            <w:r w:rsidRPr="009D2E6D">
              <w:rPr>
                <w:rFonts w:ascii="Book Antiqua" w:eastAsia="PMingLiU" w:hAnsi="Book Antiqua" w:cs="Times New Roman"/>
                <w:b/>
                <w:color w:val="000000" w:themeColor="text1"/>
                <w:kern w:val="0"/>
                <w:szCs w:val="24"/>
              </w:rPr>
              <w:t>=</w:t>
            </w:r>
            <w:r>
              <w:rPr>
                <w:rFonts w:ascii="Book Antiqua" w:eastAsia="PMingLiU" w:hAnsi="Book Antiqua" w:cs="Times New Roman"/>
                <w:b/>
                <w:color w:val="000000" w:themeColor="text1"/>
                <w:kern w:val="0"/>
                <w:szCs w:val="24"/>
              </w:rPr>
              <w:t xml:space="preserve"> </w:t>
            </w:r>
            <w:r w:rsidRPr="009D2E6D">
              <w:rPr>
                <w:rFonts w:ascii="Book Antiqua" w:eastAsia="PMingLiU" w:hAnsi="Book Antiqua" w:cs="Times New Roman"/>
                <w:b/>
                <w:color w:val="000000" w:themeColor="text1"/>
                <w:kern w:val="0"/>
                <w:szCs w:val="24"/>
              </w:rPr>
              <w:t>89)</w:t>
            </w:r>
          </w:p>
        </w:tc>
        <w:tc>
          <w:tcPr>
            <w:tcW w:w="848" w:type="pct"/>
            <w:tcBorders>
              <w:top w:val="single" w:sz="4" w:space="0" w:color="auto"/>
              <w:bottom w:val="single" w:sz="12" w:space="0" w:color="auto"/>
            </w:tcBorders>
            <w:shd w:val="clear" w:color="auto" w:fill="auto"/>
            <w:noWrap/>
            <w:vAlign w:val="center"/>
            <w:hideMark/>
          </w:tcPr>
          <w:p w14:paraId="76A4D5F8" w14:textId="25A238FB"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No</w:t>
            </w:r>
            <w:r>
              <w:rPr>
                <w:rFonts w:ascii="Book Antiqua" w:eastAsia="PMingLiU" w:hAnsi="Book Antiqua" w:cs="Times New Roman"/>
                <w:b/>
                <w:color w:val="000000" w:themeColor="text1"/>
                <w:kern w:val="0"/>
                <w:szCs w:val="24"/>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n</w:t>
            </w:r>
            <w:r w:rsidRPr="009D2E6D">
              <w:rPr>
                <w:rFonts w:ascii="Book Antiqua" w:eastAsia="PMingLiU" w:hAnsi="Book Antiqua" w:cs="Times New Roman"/>
                <w:b/>
                <w:color w:val="000000" w:themeColor="text1"/>
                <w:kern w:val="0"/>
                <w:szCs w:val="24"/>
              </w:rPr>
              <w:t xml:space="preserve"> = 3296)</w:t>
            </w:r>
          </w:p>
        </w:tc>
        <w:tc>
          <w:tcPr>
            <w:tcW w:w="582" w:type="pct"/>
            <w:vMerge/>
            <w:tcBorders>
              <w:bottom w:val="single" w:sz="12" w:space="0" w:color="auto"/>
              <w:right w:val="nil"/>
            </w:tcBorders>
            <w:shd w:val="clear" w:color="auto" w:fill="auto"/>
            <w:noWrap/>
            <w:vAlign w:val="center"/>
            <w:hideMark/>
          </w:tcPr>
          <w:p w14:paraId="2CB19231" w14:textId="19BB447C"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p>
        </w:tc>
      </w:tr>
      <w:tr w:rsidR="002B7148" w:rsidRPr="009D2E6D" w14:paraId="1533F3B9" w14:textId="77777777" w:rsidTr="002B7148">
        <w:trPr>
          <w:trHeight w:val="330"/>
        </w:trPr>
        <w:tc>
          <w:tcPr>
            <w:tcW w:w="2724" w:type="pct"/>
            <w:tcBorders>
              <w:top w:val="single" w:sz="12" w:space="0" w:color="auto"/>
              <w:left w:val="nil"/>
              <w:bottom w:val="nil"/>
            </w:tcBorders>
            <w:shd w:val="clear" w:color="auto" w:fill="auto"/>
            <w:noWrap/>
            <w:vAlign w:val="center"/>
            <w:hideMark/>
          </w:tcPr>
          <w:p w14:paraId="0C16F55C"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 (</w:t>
            </w:r>
            <w:proofErr w:type="spellStart"/>
            <w:r w:rsidRPr="009D2E6D">
              <w:rPr>
                <w:rFonts w:ascii="Book Antiqua" w:eastAsia="PMingLiU" w:hAnsi="Book Antiqua" w:cs="Times New Roman"/>
                <w:color w:val="000000" w:themeColor="text1"/>
                <w:kern w:val="0"/>
                <w:szCs w:val="24"/>
              </w:rPr>
              <w:t>yr</w:t>
            </w:r>
            <w:proofErr w:type="spellEnd"/>
            <w:r w:rsidRPr="009D2E6D">
              <w:rPr>
                <w:rFonts w:ascii="Book Antiqua" w:eastAsia="PMingLiU" w:hAnsi="Book Antiqua" w:cs="Times New Roman"/>
                <w:color w:val="000000" w:themeColor="text1"/>
                <w:kern w:val="0"/>
                <w:szCs w:val="24"/>
              </w:rPr>
              <w:t>) (mean ± SD)</w:t>
            </w:r>
          </w:p>
        </w:tc>
        <w:tc>
          <w:tcPr>
            <w:tcW w:w="846" w:type="pct"/>
            <w:tcBorders>
              <w:top w:val="single" w:sz="12" w:space="0" w:color="auto"/>
              <w:bottom w:val="nil"/>
            </w:tcBorders>
            <w:shd w:val="clear" w:color="auto" w:fill="auto"/>
            <w:noWrap/>
            <w:vAlign w:val="center"/>
            <w:hideMark/>
          </w:tcPr>
          <w:p w14:paraId="67CF90A1" w14:textId="13AFFEB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55.63</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10.49</w:t>
            </w:r>
          </w:p>
        </w:tc>
        <w:tc>
          <w:tcPr>
            <w:tcW w:w="848" w:type="pct"/>
            <w:tcBorders>
              <w:top w:val="single" w:sz="12" w:space="0" w:color="auto"/>
              <w:bottom w:val="nil"/>
            </w:tcBorders>
            <w:shd w:val="clear" w:color="auto" w:fill="auto"/>
            <w:noWrap/>
            <w:vAlign w:val="center"/>
            <w:hideMark/>
          </w:tcPr>
          <w:p w14:paraId="250E9D21" w14:textId="5B8A982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51.18</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11.43</w:t>
            </w:r>
          </w:p>
        </w:tc>
        <w:tc>
          <w:tcPr>
            <w:tcW w:w="582" w:type="pct"/>
            <w:tcBorders>
              <w:top w:val="single" w:sz="12" w:space="0" w:color="auto"/>
              <w:bottom w:val="nil"/>
              <w:right w:val="nil"/>
            </w:tcBorders>
            <w:shd w:val="clear" w:color="auto" w:fill="auto"/>
            <w:noWrap/>
            <w:vAlign w:val="center"/>
            <w:hideMark/>
          </w:tcPr>
          <w:p w14:paraId="3CAEB3C9" w14:textId="6EFC5CC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57F70B94" w14:textId="77777777" w:rsidTr="002B7148">
        <w:trPr>
          <w:trHeight w:val="330"/>
        </w:trPr>
        <w:tc>
          <w:tcPr>
            <w:tcW w:w="2724" w:type="pct"/>
            <w:tcBorders>
              <w:top w:val="nil"/>
              <w:left w:val="nil"/>
              <w:bottom w:val="nil"/>
            </w:tcBorders>
            <w:shd w:val="clear" w:color="auto" w:fill="auto"/>
            <w:noWrap/>
            <w:vAlign w:val="center"/>
            <w:hideMark/>
          </w:tcPr>
          <w:p w14:paraId="0519C18C" w14:textId="227C0B10" w:rsidR="00C9155D" w:rsidRPr="009D2E6D" w:rsidRDefault="00C9155D" w:rsidP="008455A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Male gender</w:t>
            </w:r>
          </w:p>
        </w:tc>
        <w:tc>
          <w:tcPr>
            <w:tcW w:w="846" w:type="pct"/>
            <w:tcBorders>
              <w:top w:val="nil"/>
              <w:bottom w:val="nil"/>
            </w:tcBorders>
            <w:shd w:val="clear" w:color="auto" w:fill="auto"/>
            <w:noWrap/>
            <w:vAlign w:val="center"/>
            <w:hideMark/>
          </w:tcPr>
          <w:p w14:paraId="4822DA52" w14:textId="79A958A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73 (82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3716B88" w14:textId="4129770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1859 (56.4</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1370CE9" w14:textId="6280DA45"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1A288944" w14:textId="77777777" w:rsidTr="002B7148">
        <w:trPr>
          <w:trHeight w:val="330"/>
        </w:trPr>
        <w:tc>
          <w:tcPr>
            <w:tcW w:w="2724" w:type="pct"/>
            <w:tcBorders>
              <w:top w:val="nil"/>
              <w:left w:val="nil"/>
              <w:bottom w:val="nil"/>
            </w:tcBorders>
            <w:shd w:val="clear" w:color="auto" w:fill="auto"/>
            <w:noWrap/>
            <w:vAlign w:val="center"/>
            <w:hideMark/>
          </w:tcPr>
          <w:p w14:paraId="3B840ACD"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Smoking</w:t>
            </w:r>
          </w:p>
        </w:tc>
        <w:tc>
          <w:tcPr>
            <w:tcW w:w="846" w:type="pct"/>
            <w:tcBorders>
              <w:top w:val="nil"/>
              <w:bottom w:val="nil"/>
            </w:tcBorders>
            <w:shd w:val="clear" w:color="auto" w:fill="auto"/>
            <w:noWrap/>
            <w:vAlign w:val="center"/>
            <w:hideMark/>
          </w:tcPr>
          <w:p w14:paraId="539F32BD" w14:textId="1F7BFD1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135CFFFC" w14:textId="354C8173"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576 (17.5</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D52CE7"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0.041</w:t>
            </w:r>
            <w:r w:rsidRPr="009D2E6D">
              <w:rPr>
                <w:rFonts w:ascii="Book Antiqua" w:eastAsia="PMingLiU" w:hAnsi="Book Antiqua" w:cs="Arial"/>
                <w:color w:val="000000" w:themeColor="text1"/>
                <w:kern w:val="0"/>
                <w:szCs w:val="24"/>
                <w:vertAlign w:val="superscript"/>
              </w:rPr>
              <w:t>a</w:t>
            </w:r>
          </w:p>
        </w:tc>
      </w:tr>
      <w:tr w:rsidR="002B7148" w:rsidRPr="009D2E6D" w14:paraId="60ADE855" w14:textId="77777777" w:rsidTr="002B7148">
        <w:trPr>
          <w:trHeight w:val="330"/>
        </w:trPr>
        <w:tc>
          <w:tcPr>
            <w:tcW w:w="2724" w:type="pct"/>
            <w:tcBorders>
              <w:top w:val="nil"/>
              <w:left w:val="nil"/>
              <w:bottom w:val="nil"/>
            </w:tcBorders>
            <w:shd w:val="clear" w:color="auto" w:fill="auto"/>
            <w:noWrap/>
            <w:vAlign w:val="center"/>
            <w:hideMark/>
          </w:tcPr>
          <w:p w14:paraId="2026A62F"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 xml:space="preserve">Consumption of alcohol </w:t>
            </w:r>
          </w:p>
        </w:tc>
        <w:tc>
          <w:tcPr>
            <w:tcW w:w="846" w:type="pct"/>
            <w:tcBorders>
              <w:top w:val="nil"/>
              <w:bottom w:val="nil"/>
            </w:tcBorders>
            <w:shd w:val="clear" w:color="auto" w:fill="auto"/>
            <w:noWrap/>
            <w:vAlign w:val="center"/>
            <w:hideMark/>
          </w:tcPr>
          <w:p w14:paraId="05C2208F" w14:textId="7C930AB1"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43 (48.3</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017F163" w14:textId="29BBF40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1080 (32.8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94487D"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0.002</w:t>
            </w:r>
            <w:r w:rsidRPr="009D2E6D">
              <w:rPr>
                <w:rFonts w:ascii="Book Antiqua" w:eastAsia="PMingLiU" w:hAnsi="Book Antiqua" w:cs="Arial"/>
                <w:color w:val="000000" w:themeColor="text1"/>
                <w:kern w:val="0"/>
                <w:szCs w:val="24"/>
                <w:vertAlign w:val="superscript"/>
              </w:rPr>
              <w:t>a</w:t>
            </w:r>
          </w:p>
        </w:tc>
      </w:tr>
      <w:tr w:rsidR="002B7148" w:rsidRPr="009D2E6D" w14:paraId="1D36A220" w14:textId="77777777" w:rsidTr="002B7148">
        <w:trPr>
          <w:trHeight w:val="330"/>
        </w:trPr>
        <w:tc>
          <w:tcPr>
            <w:tcW w:w="2724" w:type="pct"/>
            <w:tcBorders>
              <w:top w:val="nil"/>
              <w:left w:val="nil"/>
              <w:bottom w:val="nil"/>
            </w:tcBorders>
            <w:shd w:val="clear" w:color="auto" w:fill="auto"/>
            <w:noWrap/>
            <w:vAlign w:val="center"/>
            <w:hideMark/>
          </w:tcPr>
          <w:p w14:paraId="0AB6E7B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Consumption of betel nuts</w:t>
            </w:r>
          </w:p>
        </w:tc>
        <w:tc>
          <w:tcPr>
            <w:tcW w:w="846" w:type="pct"/>
            <w:tcBorders>
              <w:top w:val="nil"/>
              <w:bottom w:val="nil"/>
            </w:tcBorders>
            <w:shd w:val="clear" w:color="auto" w:fill="auto"/>
            <w:noWrap/>
            <w:vAlign w:val="center"/>
            <w:hideMark/>
          </w:tcPr>
          <w:p w14:paraId="25E3FB00" w14:textId="282D0F7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272CED87" w14:textId="2EBE0DB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52 (1.6</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1A11F33"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0.016</w:t>
            </w:r>
            <w:r w:rsidRPr="009D2E6D">
              <w:rPr>
                <w:rFonts w:ascii="Book Antiqua" w:eastAsia="PMingLiU" w:hAnsi="Book Antiqua" w:cs="Arial"/>
                <w:color w:val="000000" w:themeColor="text1"/>
                <w:kern w:val="0"/>
                <w:szCs w:val="24"/>
                <w:vertAlign w:val="superscript"/>
              </w:rPr>
              <w:t>a</w:t>
            </w:r>
          </w:p>
        </w:tc>
      </w:tr>
      <w:tr w:rsidR="002B7148" w:rsidRPr="009D2E6D" w14:paraId="1C1C450F" w14:textId="77777777" w:rsidTr="002B7148">
        <w:trPr>
          <w:trHeight w:val="330"/>
        </w:trPr>
        <w:tc>
          <w:tcPr>
            <w:tcW w:w="2724" w:type="pct"/>
            <w:tcBorders>
              <w:top w:val="nil"/>
              <w:left w:val="nil"/>
              <w:bottom w:val="nil"/>
            </w:tcBorders>
            <w:shd w:val="clear" w:color="auto" w:fill="auto"/>
            <w:noWrap/>
            <w:vAlign w:val="center"/>
            <w:hideMark/>
          </w:tcPr>
          <w:p w14:paraId="53F65AC0"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coffee</w:t>
            </w:r>
          </w:p>
        </w:tc>
        <w:tc>
          <w:tcPr>
            <w:tcW w:w="846" w:type="pct"/>
            <w:tcBorders>
              <w:top w:val="nil"/>
              <w:bottom w:val="nil"/>
            </w:tcBorders>
            <w:shd w:val="clear" w:color="auto" w:fill="auto"/>
            <w:noWrap/>
            <w:vAlign w:val="center"/>
            <w:hideMark/>
          </w:tcPr>
          <w:p w14:paraId="2D0454C6" w14:textId="3D9BB05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7FCD3BD9" w14:textId="1AAD0D7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658 (20</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F7DE738"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0.172</w:t>
            </w:r>
          </w:p>
        </w:tc>
      </w:tr>
      <w:tr w:rsidR="002B7148" w:rsidRPr="009D2E6D" w14:paraId="4801BA33" w14:textId="77777777" w:rsidTr="002B7148">
        <w:trPr>
          <w:trHeight w:val="330"/>
        </w:trPr>
        <w:tc>
          <w:tcPr>
            <w:tcW w:w="2724" w:type="pct"/>
            <w:tcBorders>
              <w:top w:val="nil"/>
              <w:left w:val="nil"/>
              <w:bottom w:val="nil"/>
            </w:tcBorders>
            <w:shd w:val="clear" w:color="auto" w:fill="auto"/>
            <w:noWrap/>
            <w:vAlign w:val="center"/>
            <w:hideMark/>
          </w:tcPr>
          <w:p w14:paraId="039211B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tea</w:t>
            </w:r>
          </w:p>
        </w:tc>
        <w:tc>
          <w:tcPr>
            <w:tcW w:w="846" w:type="pct"/>
            <w:tcBorders>
              <w:top w:val="nil"/>
              <w:bottom w:val="nil"/>
            </w:tcBorders>
            <w:shd w:val="clear" w:color="auto" w:fill="auto"/>
            <w:noWrap/>
            <w:vAlign w:val="center"/>
            <w:hideMark/>
          </w:tcPr>
          <w:p w14:paraId="15BE54FA" w14:textId="168BB2A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26 (29.2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2491C8A" w14:textId="5E2CDC6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624 (18.9</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39D8AA15"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0.015</w:t>
            </w:r>
            <w:r w:rsidRPr="009D2E6D">
              <w:rPr>
                <w:rFonts w:ascii="Book Antiqua" w:eastAsia="PMingLiU" w:hAnsi="Book Antiqua" w:cs="Arial"/>
                <w:color w:val="000000" w:themeColor="text1"/>
                <w:kern w:val="0"/>
                <w:szCs w:val="24"/>
                <w:vertAlign w:val="superscript"/>
              </w:rPr>
              <w:t>a</w:t>
            </w:r>
          </w:p>
        </w:tc>
      </w:tr>
      <w:tr w:rsidR="002B7148" w:rsidRPr="009D2E6D" w14:paraId="21B15DBA" w14:textId="77777777" w:rsidTr="002B7148">
        <w:trPr>
          <w:trHeight w:val="330"/>
        </w:trPr>
        <w:tc>
          <w:tcPr>
            <w:tcW w:w="2724" w:type="pct"/>
            <w:tcBorders>
              <w:top w:val="nil"/>
              <w:left w:val="nil"/>
              <w:bottom w:val="nil"/>
            </w:tcBorders>
            <w:shd w:val="clear" w:color="auto" w:fill="auto"/>
            <w:noWrap/>
            <w:vAlign w:val="center"/>
            <w:hideMark/>
          </w:tcPr>
          <w:p w14:paraId="055116D0"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hypertension</w:t>
            </w:r>
          </w:p>
        </w:tc>
        <w:tc>
          <w:tcPr>
            <w:tcW w:w="846" w:type="pct"/>
            <w:tcBorders>
              <w:top w:val="nil"/>
              <w:bottom w:val="nil"/>
            </w:tcBorders>
            <w:shd w:val="clear" w:color="auto" w:fill="auto"/>
            <w:noWrap/>
            <w:vAlign w:val="center"/>
            <w:hideMark/>
          </w:tcPr>
          <w:p w14:paraId="12E4ECB4" w14:textId="0CCF772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6A8EEE0" w14:textId="3409FC33"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619 (18.8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59E0D752" w14:textId="0442731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555335E2" w14:textId="77777777" w:rsidTr="002B7148">
        <w:trPr>
          <w:trHeight w:val="330"/>
        </w:trPr>
        <w:tc>
          <w:tcPr>
            <w:tcW w:w="2724" w:type="pct"/>
            <w:tcBorders>
              <w:top w:val="nil"/>
              <w:left w:val="nil"/>
              <w:bottom w:val="nil"/>
            </w:tcBorders>
            <w:shd w:val="clear" w:color="auto" w:fill="auto"/>
            <w:noWrap/>
            <w:vAlign w:val="center"/>
            <w:hideMark/>
          </w:tcPr>
          <w:p w14:paraId="2C65627E"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cardiovascular disease</w:t>
            </w:r>
          </w:p>
        </w:tc>
        <w:tc>
          <w:tcPr>
            <w:tcW w:w="846" w:type="pct"/>
            <w:tcBorders>
              <w:top w:val="nil"/>
              <w:bottom w:val="nil"/>
            </w:tcBorders>
            <w:shd w:val="clear" w:color="auto" w:fill="auto"/>
            <w:noWrap/>
            <w:vAlign w:val="center"/>
            <w:hideMark/>
          </w:tcPr>
          <w:p w14:paraId="48803EE9" w14:textId="3BECC0C5"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6D985945" w14:textId="572FCDA1"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742 (22.5</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8A5A26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297C8093" w14:textId="77777777" w:rsidTr="002B7148">
        <w:trPr>
          <w:trHeight w:val="330"/>
        </w:trPr>
        <w:tc>
          <w:tcPr>
            <w:tcW w:w="2724" w:type="pct"/>
            <w:tcBorders>
              <w:top w:val="nil"/>
              <w:left w:val="nil"/>
              <w:bottom w:val="nil"/>
            </w:tcBorders>
            <w:shd w:val="clear" w:color="auto" w:fill="auto"/>
            <w:noWrap/>
            <w:vAlign w:val="center"/>
            <w:hideMark/>
          </w:tcPr>
          <w:p w14:paraId="7447065A"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pulmonary disease</w:t>
            </w:r>
          </w:p>
        </w:tc>
        <w:tc>
          <w:tcPr>
            <w:tcW w:w="846" w:type="pct"/>
            <w:tcBorders>
              <w:top w:val="nil"/>
              <w:bottom w:val="nil"/>
            </w:tcBorders>
            <w:shd w:val="clear" w:color="auto" w:fill="auto"/>
            <w:noWrap/>
            <w:vAlign w:val="center"/>
            <w:hideMark/>
          </w:tcPr>
          <w:p w14:paraId="63CB9012" w14:textId="27B5E17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570E5479" w14:textId="6BCE51B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100 (3.0</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5BCB8364"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0.752</w:t>
            </w:r>
          </w:p>
        </w:tc>
      </w:tr>
      <w:tr w:rsidR="002B7148" w:rsidRPr="009D2E6D" w14:paraId="53020973" w14:textId="77777777" w:rsidTr="002B7148">
        <w:trPr>
          <w:trHeight w:val="330"/>
        </w:trPr>
        <w:tc>
          <w:tcPr>
            <w:tcW w:w="2724" w:type="pct"/>
            <w:tcBorders>
              <w:top w:val="nil"/>
              <w:left w:val="nil"/>
              <w:bottom w:val="nil"/>
            </w:tcBorders>
            <w:shd w:val="clear" w:color="auto" w:fill="auto"/>
            <w:noWrap/>
            <w:vAlign w:val="center"/>
            <w:hideMark/>
          </w:tcPr>
          <w:p w14:paraId="285D5ACD"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diabetes</w:t>
            </w:r>
          </w:p>
        </w:tc>
        <w:tc>
          <w:tcPr>
            <w:tcW w:w="846" w:type="pct"/>
            <w:tcBorders>
              <w:top w:val="nil"/>
              <w:bottom w:val="nil"/>
            </w:tcBorders>
            <w:shd w:val="clear" w:color="auto" w:fill="auto"/>
            <w:noWrap/>
            <w:vAlign w:val="center"/>
            <w:hideMark/>
          </w:tcPr>
          <w:p w14:paraId="20712452" w14:textId="75181DED"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 (9</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66FA061" w14:textId="0D04930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224 (6.8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3684A96"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0.419</w:t>
            </w:r>
          </w:p>
        </w:tc>
      </w:tr>
      <w:tr w:rsidR="002B7148" w:rsidRPr="009D2E6D" w14:paraId="0BCACA08" w14:textId="77777777" w:rsidTr="002B7148">
        <w:trPr>
          <w:trHeight w:val="330"/>
        </w:trPr>
        <w:tc>
          <w:tcPr>
            <w:tcW w:w="2724" w:type="pct"/>
            <w:tcBorders>
              <w:top w:val="nil"/>
              <w:left w:val="nil"/>
              <w:bottom w:val="nil"/>
            </w:tcBorders>
            <w:shd w:val="clear" w:color="auto" w:fill="auto"/>
            <w:noWrap/>
            <w:vAlign w:val="center"/>
            <w:hideMark/>
          </w:tcPr>
          <w:p w14:paraId="10315A05"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symptoms</w:t>
            </w:r>
          </w:p>
        </w:tc>
        <w:tc>
          <w:tcPr>
            <w:tcW w:w="846" w:type="pct"/>
            <w:tcBorders>
              <w:top w:val="nil"/>
              <w:bottom w:val="nil"/>
            </w:tcBorders>
            <w:shd w:val="clear" w:color="auto" w:fill="auto"/>
            <w:noWrap/>
            <w:vAlign w:val="center"/>
            <w:hideMark/>
          </w:tcPr>
          <w:p w14:paraId="5057321B" w14:textId="5240067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3C6EF11" w14:textId="45D0664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163 (4.9</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CE20BC"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0.801</w:t>
            </w:r>
          </w:p>
        </w:tc>
      </w:tr>
      <w:tr w:rsidR="002B7148" w:rsidRPr="009D2E6D" w14:paraId="1107219D" w14:textId="77777777" w:rsidTr="002B7148">
        <w:trPr>
          <w:trHeight w:val="330"/>
        </w:trPr>
        <w:tc>
          <w:tcPr>
            <w:tcW w:w="2724" w:type="pct"/>
            <w:tcBorders>
              <w:top w:val="nil"/>
              <w:left w:val="nil"/>
              <w:bottom w:val="nil"/>
            </w:tcBorders>
            <w:shd w:val="clear" w:color="auto" w:fill="auto"/>
            <w:noWrap/>
            <w:vAlign w:val="center"/>
            <w:hideMark/>
          </w:tcPr>
          <w:p w14:paraId="7DB54096"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Waist</w:t>
            </w:r>
          </w:p>
        </w:tc>
        <w:tc>
          <w:tcPr>
            <w:tcW w:w="846" w:type="pct"/>
            <w:tcBorders>
              <w:top w:val="nil"/>
              <w:bottom w:val="nil"/>
            </w:tcBorders>
            <w:shd w:val="clear" w:color="auto" w:fill="auto"/>
            <w:noWrap/>
            <w:vAlign w:val="center"/>
            <w:hideMark/>
          </w:tcPr>
          <w:p w14:paraId="2D7BB6BA"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550F602B"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49E92A43" w14:textId="0446140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4E7F5964" w14:textId="77777777" w:rsidTr="002B7148">
        <w:trPr>
          <w:trHeight w:val="330"/>
        </w:trPr>
        <w:tc>
          <w:tcPr>
            <w:tcW w:w="2724" w:type="pct"/>
            <w:tcBorders>
              <w:top w:val="nil"/>
              <w:left w:val="nil"/>
              <w:bottom w:val="nil"/>
            </w:tcBorders>
            <w:shd w:val="clear" w:color="auto" w:fill="auto"/>
            <w:noWrap/>
            <w:vAlign w:val="center"/>
            <w:hideMark/>
          </w:tcPr>
          <w:p w14:paraId="59A12C45" w14:textId="67B31859"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172C41AA" w14:textId="33802AA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52 (58.4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7FF3AABD" w14:textId="0C5E27C2"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2566 (77.9</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41EA244C"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33C5FCD9" w14:textId="77777777" w:rsidTr="002B7148">
        <w:trPr>
          <w:trHeight w:val="330"/>
        </w:trPr>
        <w:tc>
          <w:tcPr>
            <w:tcW w:w="2724" w:type="pct"/>
            <w:tcBorders>
              <w:top w:val="nil"/>
              <w:left w:val="nil"/>
              <w:bottom w:val="nil"/>
            </w:tcBorders>
            <w:shd w:val="clear" w:color="auto" w:fill="auto"/>
            <w:noWrap/>
            <w:vAlign w:val="center"/>
            <w:hideMark/>
          </w:tcPr>
          <w:p w14:paraId="06952CBF" w14:textId="1619C82B"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23E23F94" w14:textId="7F9583D3"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37 (41.6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5E843FB2" w14:textId="64B2A72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730 (22.1</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128C848E"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769E7D3A" w14:textId="77777777" w:rsidTr="002B7148">
        <w:trPr>
          <w:trHeight w:val="330"/>
        </w:trPr>
        <w:tc>
          <w:tcPr>
            <w:tcW w:w="2724" w:type="pct"/>
            <w:tcBorders>
              <w:top w:val="nil"/>
              <w:left w:val="nil"/>
              <w:bottom w:val="nil"/>
            </w:tcBorders>
            <w:shd w:val="clear" w:color="auto" w:fill="auto"/>
            <w:noWrap/>
            <w:vAlign w:val="center"/>
            <w:hideMark/>
          </w:tcPr>
          <w:p w14:paraId="4D81F2B0"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fat percentage</w:t>
            </w:r>
          </w:p>
        </w:tc>
        <w:tc>
          <w:tcPr>
            <w:tcW w:w="846" w:type="pct"/>
            <w:tcBorders>
              <w:top w:val="nil"/>
              <w:bottom w:val="nil"/>
            </w:tcBorders>
            <w:shd w:val="clear" w:color="auto" w:fill="auto"/>
            <w:noWrap/>
            <w:vAlign w:val="center"/>
            <w:hideMark/>
          </w:tcPr>
          <w:p w14:paraId="0D482C5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35B6B6A8"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3D8A1D9A"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0.072</w:t>
            </w:r>
          </w:p>
        </w:tc>
      </w:tr>
      <w:tr w:rsidR="002B7148" w:rsidRPr="009D2E6D" w14:paraId="3D357F29" w14:textId="77777777" w:rsidTr="002B7148">
        <w:trPr>
          <w:trHeight w:val="330"/>
        </w:trPr>
        <w:tc>
          <w:tcPr>
            <w:tcW w:w="2724" w:type="pct"/>
            <w:tcBorders>
              <w:top w:val="nil"/>
              <w:left w:val="nil"/>
              <w:bottom w:val="nil"/>
            </w:tcBorders>
            <w:shd w:val="clear" w:color="auto" w:fill="auto"/>
            <w:noWrap/>
            <w:vAlign w:val="center"/>
            <w:hideMark/>
          </w:tcPr>
          <w:p w14:paraId="39370392" w14:textId="67B8FAFE"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0E90C84A" w14:textId="4324E64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50 (56.8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9268188" w14:textId="2B0EBC2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2163 (66</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544030B"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282D7256" w14:textId="77777777" w:rsidTr="002B7148">
        <w:trPr>
          <w:trHeight w:val="330"/>
        </w:trPr>
        <w:tc>
          <w:tcPr>
            <w:tcW w:w="2724" w:type="pct"/>
            <w:tcBorders>
              <w:top w:val="nil"/>
              <w:left w:val="nil"/>
              <w:bottom w:val="nil"/>
            </w:tcBorders>
            <w:shd w:val="clear" w:color="auto" w:fill="auto"/>
            <w:noWrap/>
            <w:vAlign w:val="center"/>
            <w:hideMark/>
          </w:tcPr>
          <w:p w14:paraId="485C0A48" w14:textId="7EB194CA"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0E034373" w14:textId="506CF11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38 (43.2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FFAB4CE" w14:textId="3A544C2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1113 (34</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5FF72AAF"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4C94F576" w14:textId="77777777" w:rsidTr="002B7148">
        <w:trPr>
          <w:trHeight w:val="330"/>
        </w:trPr>
        <w:tc>
          <w:tcPr>
            <w:tcW w:w="2724" w:type="pct"/>
            <w:tcBorders>
              <w:top w:val="nil"/>
              <w:left w:val="nil"/>
              <w:bottom w:val="nil"/>
            </w:tcBorders>
            <w:shd w:val="clear" w:color="auto" w:fill="auto"/>
            <w:noWrap/>
            <w:vAlign w:val="center"/>
            <w:hideMark/>
          </w:tcPr>
          <w:p w14:paraId="72882342"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mass index</w:t>
            </w:r>
          </w:p>
        </w:tc>
        <w:tc>
          <w:tcPr>
            <w:tcW w:w="846" w:type="pct"/>
            <w:tcBorders>
              <w:top w:val="nil"/>
              <w:bottom w:val="nil"/>
            </w:tcBorders>
            <w:shd w:val="clear" w:color="auto" w:fill="auto"/>
            <w:noWrap/>
            <w:vAlign w:val="center"/>
            <w:hideMark/>
          </w:tcPr>
          <w:p w14:paraId="6BBD88E5"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7B7C4C9D"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6A940BC8"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0.002</w:t>
            </w:r>
            <w:r w:rsidRPr="009D2E6D">
              <w:rPr>
                <w:rFonts w:ascii="Book Antiqua" w:eastAsia="PMingLiU" w:hAnsi="Book Antiqua" w:cs="Arial"/>
                <w:color w:val="000000" w:themeColor="text1"/>
                <w:kern w:val="0"/>
                <w:szCs w:val="24"/>
                <w:vertAlign w:val="superscript"/>
              </w:rPr>
              <w:t>a</w:t>
            </w:r>
          </w:p>
        </w:tc>
      </w:tr>
      <w:tr w:rsidR="002B7148" w:rsidRPr="009D2E6D" w14:paraId="6275F7C9" w14:textId="77777777" w:rsidTr="002B7148">
        <w:trPr>
          <w:trHeight w:val="330"/>
        </w:trPr>
        <w:tc>
          <w:tcPr>
            <w:tcW w:w="2724" w:type="pct"/>
            <w:tcBorders>
              <w:top w:val="nil"/>
              <w:left w:val="nil"/>
              <w:bottom w:val="nil"/>
            </w:tcBorders>
            <w:shd w:val="clear" w:color="auto" w:fill="auto"/>
            <w:noWrap/>
            <w:vAlign w:val="center"/>
            <w:hideMark/>
          </w:tcPr>
          <w:p w14:paraId="099988BC" w14:textId="7A3F95B4"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24)</w:t>
            </w:r>
          </w:p>
        </w:tc>
        <w:tc>
          <w:tcPr>
            <w:tcW w:w="846" w:type="pct"/>
            <w:tcBorders>
              <w:top w:val="nil"/>
              <w:bottom w:val="nil"/>
            </w:tcBorders>
            <w:shd w:val="clear" w:color="auto" w:fill="auto"/>
            <w:noWrap/>
            <w:vAlign w:val="center"/>
            <w:hideMark/>
          </w:tcPr>
          <w:p w14:paraId="621F581B" w14:textId="718A0BAD"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B114180" w14:textId="7FFFED3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1818 (55.2</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00A9EAB"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1E48C9AE" w14:textId="77777777" w:rsidTr="002B7148">
        <w:trPr>
          <w:trHeight w:val="330"/>
        </w:trPr>
        <w:tc>
          <w:tcPr>
            <w:tcW w:w="2724" w:type="pct"/>
            <w:tcBorders>
              <w:top w:val="nil"/>
              <w:left w:val="nil"/>
              <w:bottom w:val="nil"/>
            </w:tcBorders>
            <w:shd w:val="clear" w:color="auto" w:fill="auto"/>
            <w:noWrap/>
            <w:vAlign w:val="center"/>
            <w:hideMark/>
          </w:tcPr>
          <w:p w14:paraId="62AFC8FD" w14:textId="75AFEFC5"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verweight (24</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27)</w:t>
            </w:r>
          </w:p>
        </w:tc>
        <w:tc>
          <w:tcPr>
            <w:tcW w:w="846" w:type="pct"/>
            <w:tcBorders>
              <w:top w:val="nil"/>
              <w:bottom w:val="nil"/>
            </w:tcBorders>
            <w:shd w:val="clear" w:color="auto" w:fill="auto"/>
            <w:noWrap/>
            <w:vAlign w:val="center"/>
            <w:hideMark/>
          </w:tcPr>
          <w:p w14:paraId="0CBE6C21" w14:textId="5A1B039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34 (38.2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883F814" w14:textId="252672C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960 (29.1</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39D0E75E"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24959746" w14:textId="77777777" w:rsidTr="002B7148">
        <w:trPr>
          <w:trHeight w:val="330"/>
        </w:trPr>
        <w:tc>
          <w:tcPr>
            <w:tcW w:w="2724" w:type="pct"/>
            <w:tcBorders>
              <w:top w:val="nil"/>
              <w:left w:val="nil"/>
              <w:bottom w:val="nil"/>
            </w:tcBorders>
            <w:shd w:val="clear" w:color="auto" w:fill="auto"/>
            <w:noWrap/>
            <w:vAlign w:val="center"/>
            <w:hideMark/>
          </w:tcPr>
          <w:p w14:paraId="696DEB74" w14:textId="62163029"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(27</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 xml:space="preserve"> BMI)</w:t>
            </w:r>
          </w:p>
        </w:tc>
        <w:tc>
          <w:tcPr>
            <w:tcW w:w="846" w:type="pct"/>
            <w:tcBorders>
              <w:top w:val="nil"/>
              <w:bottom w:val="nil"/>
            </w:tcBorders>
            <w:shd w:val="clear" w:color="auto" w:fill="auto"/>
            <w:noWrap/>
            <w:vAlign w:val="center"/>
            <w:hideMark/>
          </w:tcPr>
          <w:p w14:paraId="38EEB9C7" w14:textId="6EC6963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 (24.7</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4E88C03" w14:textId="2E88D87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518 (15.7</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8501DD7"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15150263" w14:textId="77777777" w:rsidTr="002B7148">
        <w:trPr>
          <w:trHeight w:val="330"/>
        </w:trPr>
        <w:tc>
          <w:tcPr>
            <w:tcW w:w="2724" w:type="pct"/>
            <w:tcBorders>
              <w:top w:val="nil"/>
              <w:left w:val="nil"/>
              <w:bottom w:val="nil"/>
            </w:tcBorders>
            <w:shd w:val="clear" w:color="auto" w:fill="auto"/>
            <w:noWrap/>
            <w:vAlign w:val="center"/>
            <w:hideMark/>
          </w:tcPr>
          <w:p w14:paraId="19D92DED"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i/>
                <w:iCs/>
                <w:color w:val="000000" w:themeColor="text1"/>
                <w:kern w:val="0"/>
                <w:szCs w:val="24"/>
              </w:rPr>
              <w:t>H. pylor</w:t>
            </w:r>
            <w:r w:rsidRPr="009D2E6D">
              <w:rPr>
                <w:rFonts w:ascii="Book Antiqua" w:eastAsia="PMingLiU" w:hAnsi="Book Antiqua" w:cs="Times New Roman"/>
                <w:color w:val="000000" w:themeColor="text1"/>
                <w:kern w:val="0"/>
                <w:szCs w:val="24"/>
              </w:rPr>
              <w:t>i infection</w:t>
            </w:r>
          </w:p>
        </w:tc>
        <w:tc>
          <w:tcPr>
            <w:tcW w:w="846" w:type="pct"/>
            <w:tcBorders>
              <w:top w:val="nil"/>
              <w:bottom w:val="nil"/>
            </w:tcBorders>
            <w:shd w:val="clear" w:color="auto" w:fill="auto"/>
            <w:noWrap/>
            <w:vAlign w:val="center"/>
            <w:hideMark/>
          </w:tcPr>
          <w:p w14:paraId="3BC39A3D" w14:textId="511ADD3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 (15.7</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7245F32F" w14:textId="21C13A5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603 (18.3</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08F50A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0.536</w:t>
            </w:r>
          </w:p>
        </w:tc>
      </w:tr>
      <w:tr w:rsidR="002B7148" w:rsidRPr="009D2E6D" w14:paraId="65690552" w14:textId="77777777" w:rsidTr="002B7148">
        <w:trPr>
          <w:trHeight w:val="330"/>
        </w:trPr>
        <w:tc>
          <w:tcPr>
            <w:tcW w:w="2724" w:type="pct"/>
            <w:tcBorders>
              <w:top w:val="nil"/>
              <w:left w:val="nil"/>
              <w:bottom w:val="nil"/>
            </w:tcBorders>
            <w:shd w:val="clear" w:color="auto" w:fill="auto"/>
            <w:noWrap/>
            <w:vAlign w:val="center"/>
            <w:hideMark/>
          </w:tcPr>
          <w:p w14:paraId="620957E5"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Endoscopic findings</w:t>
            </w:r>
          </w:p>
        </w:tc>
        <w:tc>
          <w:tcPr>
            <w:tcW w:w="846" w:type="pct"/>
            <w:tcBorders>
              <w:top w:val="nil"/>
              <w:bottom w:val="nil"/>
            </w:tcBorders>
            <w:shd w:val="clear" w:color="auto" w:fill="auto"/>
            <w:noWrap/>
            <w:vAlign w:val="center"/>
            <w:hideMark/>
          </w:tcPr>
          <w:p w14:paraId="1B7DDFEC"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02CA4A5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2591CCC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5F4FDE41" w14:textId="77777777" w:rsidTr="002B7148">
        <w:trPr>
          <w:trHeight w:val="330"/>
        </w:trPr>
        <w:tc>
          <w:tcPr>
            <w:tcW w:w="2724" w:type="pct"/>
            <w:tcBorders>
              <w:top w:val="nil"/>
              <w:left w:val="nil"/>
              <w:bottom w:val="nil"/>
            </w:tcBorders>
            <w:shd w:val="clear" w:color="auto" w:fill="auto"/>
            <w:noWrap/>
            <w:vAlign w:val="center"/>
            <w:hideMark/>
          </w:tcPr>
          <w:p w14:paraId="08FDF94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esophagitis</w:t>
            </w:r>
          </w:p>
        </w:tc>
        <w:tc>
          <w:tcPr>
            <w:tcW w:w="846" w:type="pct"/>
            <w:tcBorders>
              <w:top w:val="nil"/>
              <w:bottom w:val="nil"/>
            </w:tcBorders>
            <w:shd w:val="clear" w:color="auto" w:fill="auto"/>
            <w:noWrap/>
            <w:vAlign w:val="center"/>
            <w:hideMark/>
          </w:tcPr>
          <w:p w14:paraId="1250CE25" w14:textId="27D1569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636F3750" w14:textId="605BC302"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608 (18.4</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3CA9F604" w14:textId="44D57BA1"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01A8434C" w14:textId="77777777" w:rsidTr="002B7148">
        <w:trPr>
          <w:trHeight w:val="330"/>
        </w:trPr>
        <w:tc>
          <w:tcPr>
            <w:tcW w:w="2724" w:type="pct"/>
            <w:tcBorders>
              <w:top w:val="nil"/>
              <w:left w:val="nil"/>
              <w:bottom w:val="nil"/>
            </w:tcBorders>
            <w:shd w:val="clear" w:color="auto" w:fill="auto"/>
            <w:noWrap/>
            <w:vAlign w:val="center"/>
            <w:hideMark/>
          </w:tcPr>
          <w:p w14:paraId="160E458C"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Hiatal hernia</w:t>
            </w:r>
          </w:p>
        </w:tc>
        <w:tc>
          <w:tcPr>
            <w:tcW w:w="846" w:type="pct"/>
            <w:tcBorders>
              <w:top w:val="nil"/>
              <w:bottom w:val="nil"/>
            </w:tcBorders>
            <w:shd w:val="clear" w:color="auto" w:fill="auto"/>
            <w:noWrap/>
            <w:vAlign w:val="center"/>
            <w:hideMark/>
          </w:tcPr>
          <w:p w14:paraId="3C8ECED9" w14:textId="47E685F5"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71 (79.8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5F44E4C3" w14:textId="37EBBF9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1739 (52.8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090240" w14:textId="4CF4B9D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45708C62" w14:textId="77777777" w:rsidTr="002B7148">
        <w:trPr>
          <w:trHeight w:val="330"/>
        </w:trPr>
        <w:tc>
          <w:tcPr>
            <w:tcW w:w="2724" w:type="pct"/>
            <w:tcBorders>
              <w:top w:val="nil"/>
              <w:left w:val="nil"/>
              <w:bottom w:val="nil"/>
            </w:tcBorders>
            <w:shd w:val="clear" w:color="auto" w:fill="auto"/>
            <w:noWrap/>
            <w:vAlign w:val="center"/>
            <w:hideMark/>
          </w:tcPr>
          <w:p w14:paraId="2F2A5968"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Gastritis</w:t>
            </w:r>
          </w:p>
        </w:tc>
        <w:tc>
          <w:tcPr>
            <w:tcW w:w="846" w:type="pct"/>
            <w:tcBorders>
              <w:top w:val="nil"/>
              <w:bottom w:val="nil"/>
            </w:tcBorders>
            <w:shd w:val="clear" w:color="auto" w:fill="auto"/>
            <w:noWrap/>
            <w:vAlign w:val="center"/>
            <w:hideMark/>
          </w:tcPr>
          <w:p w14:paraId="06B4B75D" w14:textId="065B29FC"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68 (76.4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1F975638" w14:textId="5B3E6B5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2263 (68.7</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BD35500"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0.119</w:t>
            </w:r>
          </w:p>
        </w:tc>
      </w:tr>
      <w:tr w:rsidR="002B7148" w:rsidRPr="009D2E6D" w14:paraId="5B15977A" w14:textId="77777777" w:rsidTr="002B7148">
        <w:trPr>
          <w:trHeight w:val="330"/>
        </w:trPr>
        <w:tc>
          <w:tcPr>
            <w:tcW w:w="2724" w:type="pct"/>
            <w:tcBorders>
              <w:top w:val="nil"/>
              <w:left w:val="nil"/>
              <w:bottom w:val="nil"/>
            </w:tcBorders>
            <w:shd w:val="clear" w:color="auto" w:fill="auto"/>
            <w:noWrap/>
            <w:vAlign w:val="center"/>
            <w:hideMark/>
          </w:tcPr>
          <w:p w14:paraId="09C66BF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ulcer</w:t>
            </w:r>
          </w:p>
        </w:tc>
        <w:tc>
          <w:tcPr>
            <w:tcW w:w="846" w:type="pct"/>
            <w:tcBorders>
              <w:top w:val="nil"/>
              <w:bottom w:val="nil"/>
            </w:tcBorders>
            <w:shd w:val="clear" w:color="auto" w:fill="auto"/>
            <w:noWrap/>
            <w:vAlign w:val="center"/>
            <w:hideMark/>
          </w:tcPr>
          <w:p w14:paraId="1C288679" w14:textId="6BB98BF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45 (50.6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D5FC074" w14:textId="1C9C661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1345 (40.8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D66C80E"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0.065</w:t>
            </w:r>
          </w:p>
        </w:tc>
      </w:tr>
      <w:tr w:rsidR="002B7148" w:rsidRPr="009D2E6D" w14:paraId="5A363249" w14:textId="77777777" w:rsidTr="002B7148">
        <w:trPr>
          <w:trHeight w:val="330"/>
        </w:trPr>
        <w:tc>
          <w:tcPr>
            <w:tcW w:w="2724" w:type="pct"/>
            <w:tcBorders>
              <w:top w:val="nil"/>
              <w:left w:val="nil"/>
              <w:bottom w:val="nil"/>
            </w:tcBorders>
            <w:shd w:val="clear" w:color="auto" w:fill="auto"/>
            <w:noWrap/>
            <w:vAlign w:val="center"/>
            <w:hideMark/>
          </w:tcPr>
          <w:p w14:paraId="66610DB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lastRenderedPageBreak/>
              <w:t>Duodenal ulcer</w:t>
            </w:r>
          </w:p>
        </w:tc>
        <w:tc>
          <w:tcPr>
            <w:tcW w:w="846" w:type="pct"/>
            <w:tcBorders>
              <w:top w:val="nil"/>
              <w:bottom w:val="nil"/>
            </w:tcBorders>
            <w:shd w:val="clear" w:color="auto" w:fill="auto"/>
            <w:noWrap/>
            <w:vAlign w:val="center"/>
            <w:hideMark/>
          </w:tcPr>
          <w:p w14:paraId="345822FD" w14:textId="3874D04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9867237" w14:textId="0653576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218 (6.6</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5D868B9"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0.709</w:t>
            </w:r>
          </w:p>
        </w:tc>
      </w:tr>
      <w:tr w:rsidR="002B7148" w:rsidRPr="009D2E6D" w14:paraId="798BA898" w14:textId="77777777" w:rsidTr="002B7148">
        <w:trPr>
          <w:trHeight w:val="330"/>
        </w:trPr>
        <w:tc>
          <w:tcPr>
            <w:tcW w:w="2724" w:type="pct"/>
            <w:tcBorders>
              <w:top w:val="nil"/>
              <w:left w:val="nil"/>
              <w:bottom w:val="nil"/>
            </w:tcBorders>
            <w:shd w:val="clear" w:color="auto" w:fill="auto"/>
            <w:noWrap/>
            <w:vAlign w:val="center"/>
            <w:hideMark/>
          </w:tcPr>
          <w:p w14:paraId="6C33F362"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and duodenal ulcer</w:t>
            </w:r>
          </w:p>
        </w:tc>
        <w:tc>
          <w:tcPr>
            <w:tcW w:w="846" w:type="pct"/>
            <w:tcBorders>
              <w:top w:val="nil"/>
              <w:bottom w:val="nil"/>
            </w:tcBorders>
            <w:shd w:val="clear" w:color="auto" w:fill="auto"/>
            <w:noWrap/>
            <w:vAlign w:val="center"/>
            <w:hideMark/>
          </w:tcPr>
          <w:p w14:paraId="200CE0C7" w14:textId="0C6AE5D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47 (52.8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170FAEA2" w14:textId="336AF4B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1421 (43.1</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4FAB4BE6"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0.069</w:t>
            </w:r>
          </w:p>
        </w:tc>
      </w:tr>
      <w:tr w:rsidR="002B7148" w:rsidRPr="009D2E6D" w14:paraId="455ACB92" w14:textId="77777777" w:rsidTr="002B7148">
        <w:trPr>
          <w:trHeight w:val="345"/>
        </w:trPr>
        <w:tc>
          <w:tcPr>
            <w:tcW w:w="2724" w:type="pct"/>
            <w:tcBorders>
              <w:top w:val="nil"/>
              <w:left w:val="nil"/>
              <w:bottom w:val="single" w:sz="12" w:space="0" w:color="auto"/>
            </w:tcBorders>
            <w:shd w:val="clear" w:color="auto" w:fill="auto"/>
            <w:noWrap/>
            <w:vAlign w:val="center"/>
            <w:hideMark/>
          </w:tcPr>
          <w:p w14:paraId="7DCFBA96"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Inlet patch</w:t>
            </w:r>
          </w:p>
        </w:tc>
        <w:tc>
          <w:tcPr>
            <w:tcW w:w="846" w:type="pct"/>
            <w:tcBorders>
              <w:top w:val="nil"/>
              <w:bottom w:val="single" w:sz="12" w:space="0" w:color="auto"/>
            </w:tcBorders>
            <w:shd w:val="clear" w:color="auto" w:fill="auto"/>
            <w:noWrap/>
            <w:vAlign w:val="center"/>
            <w:hideMark/>
          </w:tcPr>
          <w:p w14:paraId="253617F0" w14:textId="29F8843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8(9</w:t>
            </w:r>
            <w:r>
              <w:rPr>
                <w:rFonts w:ascii="Book Antiqua" w:eastAsia="PMingLiU" w:hAnsi="Book Antiqua" w:cs="Times New Roman"/>
                <w:color w:val="000000" w:themeColor="text1"/>
                <w:kern w:val="0"/>
                <w:szCs w:val="24"/>
              </w:rPr>
              <w:t>)</w:t>
            </w:r>
          </w:p>
        </w:tc>
        <w:tc>
          <w:tcPr>
            <w:tcW w:w="848" w:type="pct"/>
            <w:tcBorders>
              <w:top w:val="nil"/>
              <w:bottom w:val="single" w:sz="12" w:space="0" w:color="auto"/>
            </w:tcBorders>
            <w:shd w:val="clear" w:color="auto" w:fill="auto"/>
            <w:noWrap/>
            <w:vAlign w:val="center"/>
            <w:hideMark/>
          </w:tcPr>
          <w:p w14:paraId="04B6DA1B" w14:textId="26EEA3F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167 (5.1</w:t>
            </w:r>
            <w:r>
              <w:rPr>
                <w:rFonts w:ascii="Book Antiqua" w:eastAsia="PMingLiU" w:hAnsi="Book Antiqua" w:cs="Times New Roman"/>
                <w:color w:val="000000" w:themeColor="text1"/>
                <w:kern w:val="0"/>
                <w:szCs w:val="24"/>
              </w:rPr>
              <w:t>)</w:t>
            </w:r>
          </w:p>
        </w:tc>
        <w:tc>
          <w:tcPr>
            <w:tcW w:w="582" w:type="pct"/>
            <w:tcBorders>
              <w:top w:val="nil"/>
              <w:bottom w:val="single" w:sz="12" w:space="0" w:color="auto"/>
              <w:right w:val="nil"/>
            </w:tcBorders>
            <w:shd w:val="clear" w:color="auto" w:fill="auto"/>
            <w:noWrap/>
            <w:vAlign w:val="center"/>
            <w:hideMark/>
          </w:tcPr>
          <w:p w14:paraId="75D9F361"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0.137</w:t>
            </w:r>
          </w:p>
        </w:tc>
      </w:tr>
    </w:tbl>
    <w:p w14:paraId="47407947" w14:textId="2AC9E371"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roofErr w:type="spellStart"/>
      <w:r w:rsidRPr="009D2E6D">
        <w:rPr>
          <w:rFonts w:ascii="Book Antiqua" w:eastAsia="PMingLiU" w:hAnsi="Book Antiqua" w:cs="Arial"/>
          <w:color w:val="000000" w:themeColor="text1"/>
          <w:kern w:val="0"/>
          <w:szCs w:val="24"/>
          <w:vertAlign w:val="superscript"/>
        </w:rPr>
        <w:t>a</w:t>
      </w:r>
      <w:r w:rsidRPr="009D2E6D">
        <w:rPr>
          <w:rFonts w:ascii="Book Antiqua" w:eastAsia="PMingLiU" w:hAnsi="Book Antiqua" w:cs="Open Sans"/>
          <w:i/>
          <w:color w:val="000000" w:themeColor="text1"/>
          <w:kern w:val="0"/>
          <w:szCs w:val="24"/>
        </w:rPr>
        <w:t>P</w:t>
      </w:r>
      <w:proofErr w:type="spellEnd"/>
      <w:r w:rsidR="008455AD">
        <w:rPr>
          <w:rFonts w:ascii="Book Antiqua" w:eastAsia="PMingLiU" w:hAnsi="Book Antiqua" w:cs="Open Sans"/>
          <w:i/>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sidR="008455A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0.05. BMI: Body mass index</w:t>
      </w:r>
      <w:r w:rsidR="00EC5E73" w:rsidRPr="009D2E6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i/>
          <w:color w:val="000000" w:themeColor="text1"/>
          <w:kern w:val="0"/>
          <w:szCs w:val="24"/>
        </w:rPr>
        <w:t>H.</w:t>
      </w:r>
      <w:r w:rsidR="008B77CB" w:rsidRPr="009D2E6D">
        <w:rPr>
          <w:rFonts w:ascii="Book Antiqua" w:eastAsia="PMingLiU" w:hAnsi="Book Antiqua" w:cs="Times New Roman"/>
          <w:i/>
          <w:color w:val="000000" w:themeColor="text1"/>
          <w:kern w:val="0"/>
          <w:szCs w:val="24"/>
        </w:rPr>
        <w:t xml:space="preserve"> </w:t>
      </w:r>
      <w:r w:rsidRPr="009D2E6D">
        <w:rPr>
          <w:rFonts w:ascii="Book Antiqua" w:eastAsia="PMingLiU" w:hAnsi="Book Antiqua" w:cs="Times New Roman"/>
          <w:i/>
          <w:color w:val="000000" w:themeColor="text1"/>
          <w:kern w:val="0"/>
          <w:szCs w:val="24"/>
        </w:rPr>
        <w:t>pylori</w:t>
      </w:r>
      <w:r w:rsidRPr="009D2E6D">
        <w:rPr>
          <w:rFonts w:ascii="Book Antiqua" w:eastAsia="PMingLiU" w:hAnsi="Book Antiqua" w:cs="Times New Roman"/>
          <w:color w:val="000000" w:themeColor="text1"/>
          <w:kern w:val="0"/>
          <w:szCs w:val="24"/>
        </w:rPr>
        <w:t>:</w:t>
      </w:r>
      <w:r w:rsidRPr="009D2E6D">
        <w:rPr>
          <w:rFonts w:ascii="Book Antiqua" w:eastAsia="PMingLiU" w:hAnsi="Book Antiqua" w:cs="Times New Roman"/>
          <w:i/>
          <w:color w:val="000000" w:themeColor="text1"/>
          <w:kern w:val="0"/>
          <w:szCs w:val="24"/>
        </w:rPr>
        <w:t xml:space="preserve"> Helicobacter pylori</w:t>
      </w:r>
      <w:r w:rsidR="00EC5E73" w:rsidRPr="009D2E6D">
        <w:rPr>
          <w:rFonts w:ascii="Book Antiqua" w:eastAsia="PMingLiU" w:hAnsi="Book Antiqua" w:cs="Times New Roman"/>
          <w:color w:val="000000" w:themeColor="text1"/>
          <w:kern w:val="0"/>
          <w:szCs w:val="24"/>
        </w:rPr>
        <w:t>;</w:t>
      </w:r>
      <w:r w:rsidR="00116D84" w:rsidRPr="009D2E6D">
        <w:rPr>
          <w:rFonts w:ascii="Book Antiqua" w:eastAsia="PMingLiU" w:hAnsi="Book Antiqua" w:cs="Times New Roman"/>
          <w:color w:val="000000" w:themeColor="text1"/>
          <w:kern w:val="0"/>
          <w:szCs w:val="24"/>
        </w:rPr>
        <w:t xml:space="preserve"> SD: Standard deviation</w:t>
      </w:r>
      <w:r w:rsidRPr="009D2E6D">
        <w:rPr>
          <w:rFonts w:ascii="Book Antiqua" w:eastAsia="PMingLiU" w:hAnsi="Book Antiqua" w:cs="Times New Roman"/>
          <w:i/>
          <w:color w:val="000000" w:themeColor="text1"/>
          <w:kern w:val="0"/>
          <w:szCs w:val="24"/>
        </w:rPr>
        <w:t>.</w:t>
      </w:r>
    </w:p>
    <w:p w14:paraId="0F797F73"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431B0C69" w14:textId="77777777" w:rsidR="00DD4B3C" w:rsidRDefault="00DD4B3C" w:rsidP="009D2E6D">
      <w:pPr>
        <w:adjustRightInd w:val="0"/>
        <w:snapToGrid w:val="0"/>
        <w:spacing w:line="360" w:lineRule="auto"/>
        <w:jc w:val="both"/>
        <w:rPr>
          <w:rFonts w:ascii="Book Antiqua" w:hAnsi="Book Antiqua"/>
          <w:color w:val="000000" w:themeColor="text1"/>
          <w:szCs w:val="24"/>
        </w:rPr>
      </w:pPr>
      <w:r w:rsidRPr="009D2E6D">
        <w:rPr>
          <w:rFonts w:ascii="Book Antiqua" w:hAnsi="Book Antiqua"/>
          <w:color w:val="000000" w:themeColor="text1"/>
          <w:szCs w:val="24"/>
        </w:rPr>
        <w:br w:type="page"/>
      </w:r>
    </w:p>
    <w:p w14:paraId="1E27213F" w14:textId="7D20D1C2" w:rsidR="008455AD" w:rsidRPr="009D2E6D" w:rsidRDefault="008455AD" w:rsidP="009D2E6D">
      <w:pPr>
        <w:adjustRightInd w:val="0"/>
        <w:snapToGrid w:val="0"/>
        <w:spacing w:line="360" w:lineRule="auto"/>
        <w:jc w:val="both"/>
        <w:rPr>
          <w:rFonts w:ascii="Book Antiqua" w:hAnsi="Book Antiqua"/>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2 </w:t>
      </w:r>
      <w:r w:rsidRPr="009D2E6D">
        <w:rPr>
          <w:rFonts w:ascii="Book Antiqua" w:eastAsia="PMingLiU" w:hAnsi="Book Antiqua" w:cs="Times New Roman"/>
          <w:b/>
          <w:color w:val="000000" w:themeColor="text1"/>
          <w:kern w:val="0"/>
          <w:szCs w:val="24"/>
        </w:rPr>
        <w:t>Multivariate analy</w:t>
      </w:r>
      <w:r>
        <w:rPr>
          <w:rFonts w:ascii="Book Antiqua" w:eastAsia="PMingLiU" w:hAnsi="Book Antiqua" w:cs="Times New Roman"/>
          <w:b/>
          <w:color w:val="000000" w:themeColor="text1"/>
          <w:kern w:val="0"/>
          <w:szCs w:val="24"/>
        </w:rPr>
        <w:t>sis of risk factors predicting B</w:t>
      </w:r>
      <w:r w:rsidRPr="009D2E6D">
        <w:rPr>
          <w:rFonts w:ascii="Book Antiqua" w:eastAsia="PMingLiU" w:hAnsi="Book Antiqua" w:cs="Times New Roman"/>
          <w:b/>
          <w:color w:val="000000" w:themeColor="text1"/>
          <w:kern w:val="0"/>
          <w:szCs w:val="24"/>
        </w:rPr>
        <w:t>arrett's esophagus</w:t>
      </w:r>
    </w:p>
    <w:tbl>
      <w:tblPr>
        <w:tblW w:w="5238" w:type="pct"/>
        <w:tblLayout w:type="fixed"/>
        <w:tblCellMar>
          <w:left w:w="28" w:type="dxa"/>
          <w:right w:w="28" w:type="dxa"/>
        </w:tblCellMar>
        <w:tblLook w:val="04A0" w:firstRow="1" w:lastRow="0" w:firstColumn="1" w:lastColumn="0" w:noHBand="0" w:noVBand="1"/>
      </w:tblPr>
      <w:tblGrid>
        <w:gridCol w:w="2180"/>
        <w:gridCol w:w="1342"/>
        <w:gridCol w:w="1772"/>
        <w:gridCol w:w="2455"/>
        <w:gridCol w:w="952"/>
      </w:tblGrid>
      <w:tr w:rsidR="00DD4B3C" w:rsidRPr="009D2E6D" w14:paraId="05D4607E" w14:textId="77777777" w:rsidTr="00403F00">
        <w:trPr>
          <w:trHeight w:val="345"/>
        </w:trPr>
        <w:tc>
          <w:tcPr>
            <w:tcW w:w="1253" w:type="pct"/>
            <w:tcBorders>
              <w:top w:val="single" w:sz="4" w:space="0" w:color="auto"/>
              <w:left w:val="nil"/>
              <w:bottom w:val="single" w:sz="12" w:space="0" w:color="auto"/>
              <w:right w:val="nil"/>
            </w:tcBorders>
            <w:shd w:val="clear" w:color="auto" w:fill="auto"/>
            <w:noWrap/>
            <w:vAlign w:val="center"/>
            <w:hideMark/>
          </w:tcPr>
          <w:p w14:paraId="49679DDA" w14:textId="34BA11FD" w:rsidR="00DD4B3C" w:rsidRPr="009D2E6D" w:rsidRDefault="006D7650"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Clinical f</w:t>
            </w:r>
            <w:r w:rsidR="00DD4B3C" w:rsidRPr="009D2E6D">
              <w:rPr>
                <w:rFonts w:ascii="Book Antiqua" w:eastAsia="PMingLiU" w:hAnsi="Book Antiqua" w:cs="Times New Roman"/>
                <w:b/>
                <w:color w:val="000000" w:themeColor="text1"/>
                <w:kern w:val="0"/>
                <w:szCs w:val="24"/>
              </w:rPr>
              <w:t xml:space="preserve">actor </w:t>
            </w:r>
          </w:p>
        </w:tc>
        <w:tc>
          <w:tcPr>
            <w:tcW w:w="771" w:type="pct"/>
            <w:tcBorders>
              <w:top w:val="single" w:sz="4" w:space="0" w:color="auto"/>
              <w:left w:val="nil"/>
              <w:bottom w:val="single" w:sz="12" w:space="0" w:color="auto"/>
              <w:right w:val="nil"/>
            </w:tcBorders>
            <w:shd w:val="clear" w:color="auto" w:fill="auto"/>
            <w:noWrap/>
            <w:vAlign w:val="center"/>
            <w:hideMark/>
          </w:tcPr>
          <w:p w14:paraId="271F9E5F"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Coefficient</w:t>
            </w:r>
          </w:p>
        </w:tc>
        <w:tc>
          <w:tcPr>
            <w:tcW w:w="1018" w:type="pct"/>
            <w:tcBorders>
              <w:top w:val="single" w:sz="4" w:space="0" w:color="auto"/>
              <w:left w:val="nil"/>
              <w:bottom w:val="single" w:sz="12" w:space="0" w:color="auto"/>
              <w:right w:val="nil"/>
            </w:tcBorders>
            <w:shd w:val="clear" w:color="auto" w:fill="auto"/>
            <w:noWrap/>
            <w:vAlign w:val="center"/>
            <w:hideMark/>
          </w:tcPr>
          <w:p w14:paraId="030B64C1" w14:textId="53AA7284" w:rsidR="00DD4B3C" w:rsidRPr="009D2E6D" w:rsidRDefault="008455AD"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Standard e</w:t>
            </w:r>
            <w:r w:rsidR="00DD4B3C" w:rsidRPr="009D2E6D">
              <w:rPr>
                <w:rFonts w:ascii="Book Antiqua" w:eastAsia="PMingLiU" w:hAnsi="Book Antiqua" w:cs="Times New Roman"/>
                <w:b/>
                <w:color w:val="000000" w:themeColor="text1"/>
                <w:kern w:val="0"/>
                <w:szCs w:val="24"/>
              </w:rPr>
              <w:t>rror</w:t>
            </w:r>
          </w:p>
        </w:tc>
        <w:tc>
          <w:tcPr>
            <w:tcW w:w="1411" w:type="pct"/>
            <w:tcBorders>
              <w:top w:val="single" w:sz="4" w:space="0" w:color="auto"/>
              <w:left w:val="nil"/>
              <w:bottom w:val="single" w:sz="12" w:space="0" w:color="auto"/>
              <w:right w:val="nil"/>
            </w:tcBorders>
            <w:shd w:val="clear" w:color="auto" w:fill="auto"/>
            <w:noWrap/>
            <w:vAlign w:val="center"/>
            <w:hideMark/>
          </w:tcPr>
          <w:p w14:paraId="6724E31A" w14:textId="3049B253" w:rsidR="00DD4B3C" w:rsidRPr="009D2E6D" w:rsidRDefault="008455AD"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Odds r</w:t>
            </w:r>
            <w:r w:rsidR="00DD4B3C" w:rsidRPr="009D2E6D">
              <w:rPr>
                <w:rFonts w:ascii="Book Antiqua" w:eastAsia="PMingLiU" w:hAnsi="Book Antiqua" w:cs="Times New Roman"/>
                <w:b/>
                <w:color w:val="000000" w:themeColor="text1"/>
                <w:kern w:val="0"/>
                <w:szCs w:val="24"/>
              </w:rPr>
              <w:t>atio (95%CI)</w:t>
            </w:r>
          </w:p>
        </w:tc>
        <w:tc>
          <w:tcPr>
            <w:tcW w:w="547" w:type="pct"/>
            <w:tcBorders>
              <w:top w:val="single" w:sz="4" w:space="0" w:color="auto"/>
              <w:left w:val="nil"/>
              <w:bottom w:val="single" w:sz="12" w:space="0" w:color="auto"/>
              <w:right w:val="nil"/>
            </w:tcBorders>
            <w:shd w:val="clear" w:color="auto" w:fill="auto"/>
            <w:noWrap/>
            <w:vAlign w:val="center"/>
            <w:hideMark/>
          </w:tcPr>
          <w:p w14:paraId="0D2955FC" w14:textId="6E84FB5E" w:rsidR="00DD4B3C" w:rsidRPr="009D2E6D" w:rsidRDefault="00DD4B3C"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sidR="008455AD">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DD4B3C" w:rsidRPr="009D2E6D" w14:paraId="1C5B524A" w14:textId="77777777" w:rsidTr="00403F00">
        <w:trPr>
          <w:trHeight w:val="330"/>
        </w:trPr>
        <w:tc>
          <w:tcPr>
            <w:tcW w:w="1253" w:type="pct"/>
            <w:tcBorders>
              <w:top w:val="single" w:sz="12" w:space="0" w:color="auto"/>
              <w:left w:val="nil"/>
              <w:bottom w:val="nil"/>
              <w:right w:val="nil"/>
            </w:tcBorders>
            <w:shd w:val="clear" w:color="auto" w:fill="auto"/>
            <w:noWrap/>
            <w:vAlign w:val="center"/>
            <w:hideMark/>
          </w:tcPr>
          <w:p w14:paraId="3F86813D"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w:t>
            </w:r>
          </w:p>
        </w:tc>
        <w:tc>
          <w:tcPr>
            <w:tcW w:w="771" w:type="pct"/>
            <w:tcBorders>
              <w:top w:val="single" w:sz="12" w:space="0" w:color="auto"/>
              <w:left w:val="nil"/>
              <w:bottom w:val="nil"/>
              <w:right w:val="nil"/>
            </w:tcBorders>
            <w:shd w:val="clear" w:color="auto" w:fill="auto"/>
            <w:noWrap/>
            <w:vAlign w:val="center"/>
            <w:hideMark/>
          </w:tcPr>
          <w:p w14:paraId="2618D53B"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0.033</w:t>
            </w:r>
          </w:p>
        </w:tc>
        <w:tc>
          <w:tcPr>
            <w:tcW w:w="1018" w:type="pct"/>
            <w:tcBorders>
              <w:top w:val="single" w:sz="12" w:space="0" w:color="auto"/>
              <w:left w:val="nil"/>
              <w:bottom w:val="nil"/>
              <w:right w:val="nil"/>
            </w:tcBorders>
            <w:shd w:val="clear" w:color="auto" w:fill="auto"/>
            <w:noWrap/>
            <w:vAlign w:val="center"/>
            <w:hideMark/>
          </w:tcPr>
          <w:p w14:paraId="21B90AA2"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0.011</w:t>
            </w:r>
          </w:p>
        </w:tc>
        <w:tc>
          <w:tcPr>
            <w:tcW w:w="1411" w:type="pct"/>
            <w:tcBorders>
              <w:top w:val="single" w:sz="12" w:space="0" w:color="auto"/>
              <w:left w:val="nil"/>
              <w:bottom w:val="nil"/>
              <w:right w:val="nil"/>
            </w:tcBorders>
            <w:shd w:val="clear" w:color="auto" w:fill="auto"/>
            <w:noWrap/>
            <w:vAlign w:val="center"/>
            <w:hideMark/>
          </w:tcPr>
          <w:p w14:paraId="52D9A64B" w14:textId="6114F4CE"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1.033 (1.012</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1.055)</w:t>
            </w:r>
          </w:p>
        </w:tc>
        <w:tc>
          <w:tcPr>
            <w:tcW w:w="547" w:type="pct"/>
            <w:tcBorders>
              <w:top w:val="single" w:sz="12" w:space="0" w:color="auto"/>
              <w:left w:val="nil"/>
              <w:bottom w:val="nil"/>
              <w:right w:val="nil"/>
            </w:tcBorders>
            <w:shd w:val="clear" w:color="auto" w:fill="auto"/>
            <w:noWrap/>
            <w:vAlign w:val="center"/>
            <w:hideMark/>
          </w:tcPr>
          <w:p w14:paraId="02CD62FE"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0.002</w:t>
            </w:r>
          </w:p>
        </w:tc>
      </w:tr>
      <w:tr w:rsidR="00DD4B3C" w:rsidRPr="009D2E6D" w14:paraId="4872EED9" w14:textId="77777777" w:rsidTr="00403F00">
        <w:trPr>
          <w:trHeight w:val="330"/>
        </w:trPr>
        <w:tc>
          <w:tcPr>
            <w:tcW w:w="1253" w:type="pct"/>
            <w:tcBorders>
              <w:top w:val="nil"/>
              <w:left w:val="nil"/>
              <w:bottom w:val="nil"/>
              <w:right w:val="nil"/>
            </w:tcBorders>
            <w:shd w:val="clear" w:color="auto" w:fill="auto"/>
            <w:noWrap/>
            <w:vAlign w:val="center"/>
            <w:hideMark/>
          </w:tcPr>
          <w:p w14:paraId="76709435"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Male gender</w:t>
            </w:r>
          </w:p>
        </w:tc>
        <w:tc>
          <w:tcPr>
            <w:tcW w:w="771" w:type="pct"/>
            <w:tcBorders>
              <w:top w:val="nil"/>
              <w:left w:val="nil"/>
              <w:bottom w:val="nil"/>
              <w:right w:val="nil"/>
            </w:tcBorders>
            <w:shd w:val="clear" w:color="auto" w:fill="auto"/>
            <w:noWrap/>
            <w:vAlign w:val="center"/>
            <w:hideMark/>
          </w:tcPr>
          <w:p w14:paraId="57F2B65B"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0.745</w:t>
            </w:r>
          </w:p>
        </w:tc>
        <w:tc>
          <w:tcPr>
            <w:tcW w:w="1018" w:type="pct"/>
            <w:tcBorders>
              <w:top w:val="nil"/>
              <w:left w:val="nil"/>
              <w:bottom w:val="nil"/>
              <w:right w:val="nil"/>
            </w:tcBorders>
            <w:shd w:val="clear" w:color="auto" w:fill="auto"/>
            <w:noWrap/>
            <w:vAlign w:val="center"/>
            <w:hideMark/>
          </w:tcPr>
          <w:p w14:paraId="154A99B4"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0.311</w:t>
            </w:r>
          </w:p>
        </w:tc>
        <w:tc>
          <w:tcPr>
            <w:tcW w:w="1411" w:type="pct"/>
            <w:tcBorders>
              <w:top w:val="nil"/>
              <w:left w:val="nil"/>
              <w:bottom w:val="nil"/>
              <w:right w:val="nil"/>
            </w:tcBorders>
            <w:shd w:val="clear" w:color="auto" w:fill="auto"/>
            <w:noWrap/>
            <w:vAlign w:val="center"/>
            <w:hideMark/>
          </w:tcPr>
          <w:p w14:paraId="69F73D4B" w14:textId="5BD66B43"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2.106 (1.145</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3.872)</w:t>
            </w:r>
          </w:p>
        </w:tc>
        <w:tc>
          <w:tcPr>
            <w:tcW w:w="547" w:type="pct"/>
            <w:tcBorders>
              <w:top w:val="nil"/>
              <w:left w:val="nil"/>
              <w:bottom w:val="nil"/>
              <w:right w:val="nil"/>
            </w:tcBorders>
            <w:shd w:val="clear" w:color="auto" w:fill="auto"/>
            <w:noWrap/>
            <w:vAlign w:val="center"/>
            <w:hideMark/>
          </w:tcPr>
          <w:p w14:paraId="4CF75B35"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0.017</w:t>
            </w:r>
          </w:p>
        </w:tc>
      </w:tr>
      <w:tr w:rsidR="00DD4B3C" w:rsidRPr="009D2E6D" w14:paraId="32C81F86" w14:textId="77777777" w:rsidTr="00403F00">
        <w:trPr>
          <w:trHeight w:val="330"/>
        </w:trPr>
        <w:tc>
          <w:tcPr>
            <w:tcW w:w="1253" w:type="pct"/>
            <w:tcBorders>
              <w:top w:val="nil"/>
              <w:left w:val="nil"/>
              <w:bottom w:val="nil"/>
              <w:right w:val="nil"/>
            </w:tcBorders>
            <w:shd w:val="clear" w:color="auto" w:fill="auto"/>
            <w:noWrap/>
            <w:vAlign w:val="center"/>
            <w:hideMark/>
          </w:tcPr>
          <w:p w14:paraId="7C41D890"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Tea consumption</w:t>
            </w:r>
          </w:p>
        </w:tc>
        <w:tc>
          <w:tcPr>
            <w:tcW w:w="771" w:type="pct"/>
            <w:tcBorders>
              <w:top w:val="nil"/>
              <w:left w:val="nil"/>
              <w:bottom w:val="nil"/>
              <w:right w:val="nil"/>
            </w:tcBorders>
            <w:shd w:val="clear" w:color="auto" w:fill="auto"/>
            <w:noWrap/>
            <w:vAlign w:val="center"/>
            <w:hideMark/>
          </w:tcPr>
          <w:p w14:paraId="051E156F"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0.528</w:t>
            </w:r>
          </w:p>
        </w:tc>
        <w:tc>
          <w:tcPr>
            <w:tcW w:w="1018" w:type="pct"/>
            <w:tcBorders>
              <w:top w:val="nil"/>
              <w:left w:val="nil"/>
              <w:bottom w:val="nil"/>
              <w:right w:val="nil"/>
            </w:tcBorders>
            <w:shd w:val="clear" w:color="auto" w:fill="auto"/>
            <w:noWrap/>
            <w:vAlign w:val="center"/>
            <w:hideMark/>
          </w:tcPr>
          <w:p w14:paraId="6E290662"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0.248</w:t>
            </w:r>
          </w:p>
        </w:tc>
        <w:tc>
          <w:tcPr>
            <w:tcW w:w="1411" w:type="pct"/>
            <w:tcBorders>
              <w:top w:val="nil"/>
              <w:left w:val="nil"/>
              <w:bottom w:val="nil"/>
              <w:right w:val="nil"/>
            </w:tcBorders>
            <w:shd w:val="clear" w:color="auto" w:fill="auto"/>
            <w:noWrap/>
            <w:vAlign w:val="center"/>
            <w:hideMark/>
          </w:tcPr>
          <w:p w14:paraId="36E6CD3F" w14:textId="185B8D71"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1.695 (1.043</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2.754)</w:t>
            </w:r>
          </w:p>
        </w:tc>
        <w:tc>
          <w:tcPr>
            <w:tcW w:w="547" w:type="pct"/>
            <w:tcBorders>
              <w:top w:val="nil"/>
              <w:left w:val="nil"/>
              <w:bottom w:val="nil"/>
              <w:right w:val="nil"/>
            </w:tcBorders>
            <w:shd w:val="clear" w:color="auto" w:fill="auto"/>
            <w:noWrap/>
            <w:vAlign w:val="center"/>
            <w:hideMark/>
          </w:tcPr>
          <w:p w14:paraId="4F5CB63D"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0.033</w:t>
            </w:r>
          </w:p>
        </w:tc>
      </w:tr>
      <w:tr w:rsidR="00DD4B3C" w:rsidRPr="009D2E6D" w14:paraId="5CED0B81" w14:textId="77777777" w:rsidTr="00403F00">
        <w:trPr>
          <w:trHeight w:val="345"/>
        </w:trPr>
        <w:tc>
          <w:tcPr>
            <w:tcW w:w="1253" w:type="pct"/>
            <w:tcBorders>
              <w:top w:val="nil"/>
              <w:left w:val="nil"/>
              <w:bottom w:val="single" w:sz="12" w:space="0" w:color="auto"/>
              <w:right w:val="nil"/>
            </w:tcBorders>
            <w:shd w:val="clear" w:color="auto" w:fill="auto"/>
            <w:noWrap/>
            <w:vAlign w:val="center"/>
            <w:hideMark/>
          </w:tcPr>
          <w:p w14:paraId="426E1798"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Hiatal hernia</w:t>
            </w:r>
          </w:p>
        </w:tc>
        <w:tc>
          <w:tcPr>
            <w:tcW w:w="771" w:type="pct"/>
            <w:tcBorders>
              <w:top w:val="nil"/>
              <w:left w:val="nil"/>
              <w:bottom w:val="single" w:sz="12" w:space="0" w:color="auto"/>
              <w:right w:val="nil"/>
            </w:tcBorders>
            <w:shd w:val="clear" w:color="auto" w:fill="auto"/>
            <w:noWrap/>
            <w:vAlign w:val="center"/>
            <w:hideMark/>
          </w:tcPr>
          <w:p w14:paraId="148BF9BD"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1.111</w:t>
            </w:r>
          </w:p>
        </w:tc>
        <w:tc>
          <w:tcPr>
            <w:tcW w:w="1018" w:type="pct"/>
            <w:tcBorders>
              <w:top w:val="nil"/>
              <w:left w:val="nil"/>
              <w:bottom w:val="single" w:sz="12" w:space="0" w:color="auto"/>
              <w:right w:val="nil"/>
            </w:tcBorders>
            <w:shd w:val="clear" w:color="auto" w:fill="auto"/>
            <w:noWrap/>
            <w:vAlign w:val="center"/>
            <w:hideMark/>
          </w:tcPr>
          <w:p w14:paraId="58F88121"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0.277</w:t>
            </w:r>
          </w:p>
        </w:tc>
        <w:tc>
          <w:tcPr>
            <w:tcW w:w="1411" w:type="pct"/>
            <w:tcBorders>
              <w:top w:val="nil"/>
              <w:left w:val="nil"/>
              <w:bottom w:val="single" w:sz="12" w:space="0" w:color="auto"/>
              <w:right w:val="nil"/>
            </w:tcBorders>
            <w:shd w:val="clear" w:color="auto" w:fill="auto"/>
            <w:noWrap/>
            <w:vAlign w:val="center"/>
            <w:hideMark/>
          </w:tcPr>
          <w:p w14:paraId="507EB50A" w14:textId="47895D95"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3.037 (1.765</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5.225)</w:t>
            </w:r>
          </w:p>
        </w:tc>
        <w:tc>
          <w:tcPr>
            <w:tcW w:w="547" w:type="pct"/>
            <w:tcBorders>
              <w:top w:val="nil"/>
              <w:left w:val="nil"/>
              <w:bottom w:val="single" w:sz="12" w:space="0" w:color="auto"/>
              <w:right w:val="nil"/>
            </w:tcBorders>
            <w:shd w:val="clear" w:color="auto" w:fill="auto"/>
            <w:noWrap/>
            <w:vAlign w:val="center"/>
            <w:hideMark/>
          </w:tcPr>
          <w:p w14:paraId="27F4299C" w14:textId="7BFB0B44"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sidR="008455A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p>
        </w:tc>
      </w:tr>
    </w:tbl>
    <w:p w14:paraId="0CDF38CC" w14:textId="740E7718" w:rsidR="00DD4B3C" w:rsidRDefault="008455AD" w:rsidP="009D2E6D">
      <w:pPr>
        <w:adjustRightInd w:val="0"/>
        <w:snapToGrid w:val="0"/>
        <w:spacing w:line="360" w:lineRule="auto"/>
        <w:jc w:val="both"/>
        <w:rPr>
          <w:rFonts w:ascii="Book Antiqua" w:hAnsi="Book Antiqua"/>
          <w:color w:val="000000" w:themeColor="text1"/>
          <w:szCs w:val="24"/>
        </w:rPr>
      </w:pPr>
      <w:r>
        <w:rPr>
          <w:rFonts w:ascii="Book Antiqua" w:hAnsi="Book Antiqua"/>
          <w:color w:val="000000" w:themeColor="text1"/>
          <w:szCs w:val="24"/>
        </w:rPr>
        <w:t>CI: Confidence interval.</w:t>
      </w:r>
    </w:p>
    <w:p w14:paraId="49E512C9" w14:textId="69FBB7E5" w:rsidR="008455AD" w:rsidRDefault="008455AD">
      <w:pPr>
        <w:widowControl/>
        <w:rPr>
          <w:rFonts w:ascii="Book Antiqua" w:hAnsi="Book Antiqua"/>
          <w:color w:val="000000" w:themeColor="text1"/>
          <w:szCs w:val="24"/>
        </w:rPr>
      </w:pPr>
      <w:r>
        <w:rPr>
          <w:rFonts w:ascii="Book Antiqua" w:hAnsi="Book Antiqua"/>
          <w:color w:val="000000" w:themeColor="text1"/>
          <w:szCs w:val="24"/>
        </w:rPr>
        <w:br w:type="page"/>
      </w:r>
    </w:p>
    <w:p w14:paraId="78CAC6D9" w14:textId="2EBD18AC" w:rsidR="008455AD" w:rsidRPr="008455AD" w:rsidRDefault="008455AD" w:rsidP="009D2E6D">
      <w:pPr>
        <w:adjustRightInd w:val="0"/>
        <w:snapToGrid w:val="0"/>
        <w:spacing w:line="360" w:lineRule="auto"/>
        <w:jc w:val="both"/>
        <w:rPr>
          <w:rFonts w:ascii="Book Antiqua" w:hAnsi="Book Antiqua"/>
          <w:i/>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3 </w:t>
      </w:r>
      <w:r w:rsidRPr="009D2E6D">
        <w:rPr>
          <w:rFonts w:ascii="Book Antiqua" w:eastAsia="PMingLiU" w:hAnsi="Book Antiqua" w:cs="Times New Roman"/>
          <w:b/>
          <w:color w:val="000000" w:themeColor="text1"/>
          <w:kern w:val="0"/>
          <w:szCs w:val="24"/>
        </w:rPr>
        <w:t>Univariate analysis of risk factors in relation to presence of i</w:t>
      </w:r>
      <w:r w:rsidRPr="009D2E6D">
        <w:rPr>
          <w:rFonts w:ascii="Book Antiqua" w:hAnsi="Book Antiqua" w:cs="Times New Roman"/>
          <w:b/>
          <w:color w:val="000000" w:themeColor="text1"/>
          <w:kern w:val="0"/>
          <w:szCs w:val="24"/>
        </w:rPr>
        <w:t>ntestinal metaplasia</w:t>
      </w:r>
      <w:r w:rsidRPr="009D2E6D">
        <w:rPr>
          <w:rFonts w:ascii="Book Antiqua" w:eastAsia="PMingLiU" w:hAnsi="Book Antiqua" w:cs="Times New Roman"/>
          <w:b/>
          <w:color w:val="000000" w:themeColor="text1"/>
          <w:kern w:val="0"/>
          <w:szCs w:val="24"/>
        </w:rPr>
        <w:t xml:space="preserve"> in the subjects with columnar lined epithelium of the esophagus</w:t>
      </w:r>
      <w:r>
        <w:rPr>
          <w:rFonts w:ascii="Book Antiqua" w:eastAsia="PMingLiU" w:hAnsi="Book Antiqua" w:cs="Times New Roman"/>
          <w:b/>
          <w:color w:val="000000" w:themeColor="text1"/>
          <w:kern w:val="0"/>
          <w:szCs w:val="24"/>
        </w:rPr>
        <w:t xml:space="preserve"> </w:t>
      </w:r>
      <w:r w:rsidRPr="008455AD">
        <w:rPr>
          <w:rFonts w:ascii="Book Antiqua" w:eastAsia="PMingLiU" w:hAnsi="Book Antiqua" w:cs="Times New Roman"/>
          <w:b/>
          <w:i/>
          <w:color w:val="000000" w:themeColor="text1"/>
          <w:kern w:val="0"/>
          <w:szCs w:val="24"/>
        </w:rPr>
        <w:t>n</w:t>
      </w:r>
      <w:r>
        <w:rPr>
          <w:rFonts w:ascii="Book Antiqua" w:eastAsia="PMingLiU" w:hAnsi="Book Antiqua" w:cs="Times New Roman"/>
          <w:b/>
          <w:color w:val="000000" w:themeColor="text1"/>
          <w:kern w:val="0"/>
          <w:szCs w:val="24"/>
        </w:rPr>
        <w:t xml:space="preserve"> (%)</w:t>
      </w:r>
    </w:p>
    <w:tbl>
      <w:tblPr>
        <w:tblW w:w="5000" w:type="pct"/>
        <w:tblLayout w:type="fixed"/>
        <w:tblCellMar>
          <w:left w:w="28" w:type="dxa"/>
          <w:right w:w="28" w:type="dxa"/>
        </w:tblCellMar>
        <w:tblLook w:val="04A0" w:firstRow="1" w:lastRow="0" w:firstColumn="1" w:lastColumn="0" w:noHBand="0" w:noVBand="1"/>
      </w:tblPr>
      <w:tblGrid>
        <w:gridCol w:w="3338"/>
        <w:gridCol w:w="1899"/>
        <w:gridCol w:w="1831"/>
        <w:gridCol w:w="1238"/>
      </w:tblGrid>
      <w:tr w:rsidR="00236CB6" w:rsidRPr="009D2E6D" w14:paraId="0DA9934D" w14:textId="77777777" w:rsidTr="008A2DBF">
        <w:trPr>
          <w:trHeight w:val="345"/>
        </w:trPr>
        <w:tc>
          <w:tcPr>
            <w:tcW w:w="2010" w:type="pct"/>
            <w:vMerge w:val="restart"/>
            <w:tcBorders>
              <w:top w:val="single" w:sz="4" w:space="0" w:color="auto"/>
              <w:left w:val="nil"/>
            </w:tcBorders>
            <w:shd w:val="clear" w:color="auto" w:fill="auto"/>
            <w:noWrap/>
            <w:vAlign w:val="center"/>
            <w:hideMark/>
          </w:tcPr>
          <w:p w14:paraId="33688D43" w14:textId="225AA0CC" w:rsidR="00236CB6" w:rsidRPr="009D2E6D" w:rsidRDefault="00236CB6" w:rsidP="009D2E6D">
            <w:pPr>
              <w:adjustRightInd w:val="0"/>
              <w:snapToGrid w:val="0"/>
              <w:spacing w:line="360" w:lineRule="auto"/>
              <w:jc w:val="both"/>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Characteristics</w:t>
            </w:r>
          </w:p>
        </w:tc>
        <w:tc>
          <w:tcPr>
            <w:tcW w:w="2245" w:type="pct"/>
            <w:gridSpan w:val="2"/>
            <w:tcBorders>
              <w:top w:val="single" w:sz="4" w:space="0" w:color="auto"/>
              <w:bottom w:val="single" w:sz="4" w:space="0" w:color="auto"/>
            </w:tcBorders>
            <w:shd w:val="clear" w:color="auto" w:fill="auto"/>
            <w:noWrap/>
            <w:vAlign w:val="center"/>
            <w:hideMark/>
          </w:tcPr>
          <w:p w14:paraId="48AFDBAE" w14:textId="1F5DE971"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ESEM</w:t>
            </w:r>
          </w:p>
        </w:tc>
        <w:tc>
          <w:tcPr>
            <w:tcW w:w="745" w:type="pct"/>
            <w:vMerge w:val="restart"/>
            <w:tcBorders>
              <w:top w:val="single" w:sz="4" w:space="0" w:color="auto"/>
              <w:right w:val="nil"/>
            </w:tcBorders>
            <w:shd w:val="clear" w:color="auto" w:fill="auto"/>
            <w:noWrap/>
            <w:vAlign w:val="center"/>
            <w:hideMark/>
          </w:tcPr>
          <w:p w14:paraId="1D8B8CE9" w14:textId="35D7D9A9" w:rsidR="00236CB6" w:rsidRPr="009D2E6D" w:rsidRDefault="00236CB6" w:rsidP="008455AD">
            <w:pPr>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236CB6" w:rsidRPr="009D2E6D" w14:paraId="65F3390A" w14:textId="77777777" w:rsidTr="008A2DBF">
        <w:trPr>
          <w:trHeight w:val="852"/>
        </w:trPr>
        <w:tc>
          <w:tcPr>
            <w:tcW w:w="2010" w:type="pct"/>
            <w:vMerge/>
            <w:tcBorders>
              <w:left w:val="nil"/>
              <w:bottom w:val="single" w:sz="12" w:space="0" w:color="auto"/>
            </w:tcBorders>
            <w:shd w:val="clear" w:color="auto" w:fill="auto"/>
            <w:noWrap/>
            <w:vAlign w:val="center"/>
            <w:hideMark/>
          </w:tcPr>
          <w:p w14:paraId="3D849D7B" w14:textId="0C43DBF9" w:rsidR="00236CB6" w:rsidRPr="009D2E6D" w:rsidRDefault="00236CB6"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p>
        </w:tc>
        <w:tc>
          <w:tcPr>
            <w:tcW w:w="1143" w:type="pct"/>
            <w:tcBorders>
              <w:top w:val="single" w:sz="4" w:space="0" w:color="auto"/>
              <w:bottom w:val="single" w:sz="12" w:space="0" w:color="auto"/>
            </w:tcBorders>
            <w:shd w:val="clear" w:color="auto" w:fill="auto"/>
            <w:noWrap/>
            <w:vAlign w:val="center"/>
            <w:hideMark/>
          </w:tcPr>
          <w:p w14:paraId="239A4D7B" w14:textId="060DF83C" w:rsidR="00236CB6" w:rsidRPr="009D2E6D" w:rsidRDefault="00236CB6" w:rsidP="00E24B13">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With specialized IM (BE)</w:t>
            </w:r>
            <w:r>
              <w:rPr>
                <w:rFonts w:ascii="Book Antiqua" w:hAnsi="Book Antiqua" w:cs="Times New Roman" w:hint="eastAsia"/>
                <w:b/>
                <w:color w:val="000000" w:themeColor="text1"/>
                <w:kern w:val="0"/>
                <w:szCs w:val="24"/>
                <w:lang w:eastAsia="zh-CN"/>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n</w:t>
            </w:r>
            <w:r>
              <w:rPr>
                <w:rFonts w:ascii="Book Antiqua" w:eastAsia="PMingLiU" w:hAnsi="Book Antiqua" w:cs="Times New Roman"/>
                <w:b/>
                <w:i/>
                <w:color w:val="000000" w:themeColor="text1"/>
                <w:kern w:val="0"/>
                <w:szCs w:val="24"/>
              </w:rPr>
              <w:t xml:space="preserve"> </w:t>
            </w:r>
            <w:r w:rsidRPr="009D2E6D">
              <w:rPr>
                <w:rFonts w:ascii="Book Antiqua" w:eastAsia="PMingLiU" w:hAnsi="Book Antiqua" w:cs="Times New Roman"/>
                <w:b/>
                <w:color w:val="000000" w:themeColor="text1"/>
                <w:kern w:val="0"/>
                <w:szCs w:val="24"/>
              </w:rPr>
              <w:t>= 89)</w:t>
            </w:r>
          </w:p>
        </w:tc>
        <w:tc>
          <w:tcPr>
            <w:tcW w:w="1102" w:type="pct"/>
            <w:tcBorders>
              <w:top w:val="single" w:sz="4" w:space="0" w:color="auto"/>
              <w:bottom w:val="single" w:sz="12" w:space="0" w:color="auto"/>
            </w:tcBorders>
            <w:shd w:val="clear" w:color="auto" w:fill="auto"/>
            <w:noWrap/>
            <w:vAlign w:val="center"/>
            <w:hideMark/>
          </w:tcPr>
          <w:p w14:paraId="664E26FD" w14:textId="1E14FD6C" w:rsidR="00236CB6" w:rsidRPr="009D2E6D" w:rsidRDefault="00236CB6" w:rsidP="00E24B13">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No specialized IM</w:t>
            </w:r>
            <w:r>
              <w:rPr>
                <w:rFonts w:ascii="Book Antiqua" w:hAnsi="Book Antiqua" w:cs="Times New Roman" w:hint="eastAsia"/>
                <w:b/>
                <w:color w:val="000000" w:themeColor="text1"/>
                <w:kern w:val="0"/>
                <w:szCs w:val="24"/>
                <w:lang w:eastAsia="zh-CN"/>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 xml:space="preserve">n </w:t>
            </w:r>
            <w:r w:rsidRPr="009D2E6D">
              <w:rPr>
                <w:rFonts w:ascii="Book Antiqua" w:eastAsia="PMingLiU" w:hAnsi="Book Antiqua" w:cs="Times New Roman"/>
                <w:b/>
                <w:color w:val="000000" w:themeColor="text1"/>
                <w:kern w:val="0"/>
                <w:szCs w:val="24"/>
              </w:rPr>
              <w:t>= 334)</w:t>
            </w:r>
          </w:p>
        </w:tc>
        <w:tc>
          <w:tcPr>
            <w:tcW w:w="745" w:type="pct"/>
            <w:vMerge/>
            <w:tcBorders>
              <w:bottom w:val="single" w:sz="12" w:space="0" w:color="auto"/>
              <w:right w:val="nil"/>
            </w:tcBorders>
            <w:shd w:val="clear" w:color="auto" w:fill="auto"/>
            <w:noWrap/>
            <w:vAlign w:val="center"/>
            <w:hideMark/>
          </w:tcPr>
          <w:p w14:paraId="5F3A9857" w14:textId="56632D90"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p>
        </w:tc>
      </w:tr>
      <w:tr w:rsidR="0039763A" w:rsidRPr="009D2E6D" w14:paraId="614FDEC5" w14:textId="77777777" w:rsidTr="00EF3C80">
        <w:trPr>
          <w:trHeight w:val="330"/>
        </w:trPr>
        <w:tc>
          <w:tcPr>
            <w:tcW w:w="2010" w:type="pct"/>
            <w:tcBorders>
              <w:top w:val="single" w:sz="12" w:space="0" w:color="auto"/>
              <w:left w:val="nil"/>
              <w:bottom w:val="nil"/>
            </w:tcBorders>
            <w:shd w:val="clear" w:color="auto" w:fill="auto"/>
            <w:noWrap/>
            <w:vAlign w:val="center"/>
            <w:hideMark/>
          </w:tcPr>
          <w:p w14:paraId="08896C63"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 (</w:t>
            </w:r>
            <w:proofErr w:type="spellStart"/>
            <w:r w:rsidRPr="009D2E6D">
              <w:rPr>
                <w:rFonts w:ascii="Book Antiqua" w:eastAsia="PMingLiU" w:hAnsi="Book Antiqua" w:cs="Times New Roman"/>
                <w:color w:val="000000" w:themeColor="text1"/>
                <w:kern w:val="0"/>
                <w:szCs w:val="24"/>
              </w:rPr>
              <w:t>yr</w:t>
            </w:r>
            <w:proofErr w:type="spellEnd"/>
            <w:r w:rsidRPr="009D2E6D">
              <w:rPr>
                <w:rFonts w:ascii="Book Antiqua" w:eastAsia="PMingLiU" w:hAnsi="Book Antiqua" w:cs="Times New Roman"/>
                <w:color w:val="000000" w:themeColor="text1"/>
                <w:kern w:val="0"/>
                <w:szCs w:val="24"/>
              </w:rPr>
              <w:t>) (mean ± SD)</w:t>
            </w:r>
          </w:p>
        </w:tc>
        <w:tc>
          <w:tcPr>
            <w:tcW w:w="1143" w:type="pct"/>
            <w:tcBorders>
              <w:top w:val="single" w:sz="12" w:space="0" w:color="auto"/>
              <w:bottom w:val="nil"/>
            </w:tcBorders>
            <w:shd w:val="clear" w:color="auto" w:fill="auto"/>
            <w:noWrap/>
            <w:vAlign w:val="center"/>
            <w:hideMark/>
          </w:tcPr>
          <w:p w14:paraId="1B0FC944" w14:textId="2CA85BB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55.63</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10.49</w:t>
            </w:r>
          </w:p>
        </w:tc>
        <w:tc>
          <w:tcPr>
            <w:tcW w:w="1102" w:type="pct"/>
            <w:tcBorders>
              <w:top w:val="single" w:sz="12" w:space="0" w:color="auto"/>
              <w:bottom w:val="nil"/>
            </w:tcBorders>
            <w:shd w:val="clear" w:color="auto" w:fill="auto"/>
            <w:noWrap/>
            <w:vAlign w:val="center"/>
            <w:hideMark/>
          </w:tcPr>
          <w:p w14:paraId="36511805" w14:textId="5999058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51.36</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11.27</w:t>
            </w:r>
          </w:p>
        </w:tc>
        <w:tc>
          <w:tcPr>
            <w:tcW w:w="745" w:type="pct"/>
            <w:tcBorders>
              <w:top w:val="single" w:sz="12" w:space="0" w:color="auto"/>
              <w:bottom w:val="nil"/>
              <w:right w:val="nil"/>
            </w:tcBorders>
            <w:shd w:val="clear" w:color="auto" w:fill="auto"/>
            <w:noWrap/>
            <w:vAlign w:val="center"/>
            <w:hideMark/>
          </w:tcPr>
          <w:p w14:paraId="6013592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39763A" w:rsidRPr="009D2E6D" w14:paraId="3FD84493" w14:textId="77777777" w:rsidTr="00EF3C80">
        <w:trPr>
          <w:trHeight w:val="330"/>
        </w:trPr>
        <w:tc>
          <w:tcPr>
            <w:tcW w:w="2010" w:type="pct"/>
            <w:tcBorders>
              <w:top w:val="nil"/>
              <w:left w:val="nil"/>
              <w:bottom w:val="nil"/>
            </w:tcBorders>
            <w:shd w:val="clear" w:color="auto" w:fill="auto"/>
            <w:noWrap/>
            <w:vAlign w:val="center"/>
            <w:hideMark/>
          </w:tcPr>
          <w:p w14:paraId="50220ED9" w14:textId="5203C529" w:rsidR="0039763A" w:rsidRPr="009D2E6D" w:rsidRDefault="0039763A" w:rsidP="008455A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Male gender</w:t>
            </w:r>
          </w:p>
        </w:tc>
        <w:tc>
          <w:tcPr>
            <w:tcW w:w="1143" w:type="pct"/>
            <w:tcBorders>
              <w:top w:val="nil"/>
              <w:bottom w:val="nil"/>
            </w:tcBorders>
            <w:shd w:val="clear" w:color="auto" w:fill="auto"/>
            <w:noWrap/>
            <w:vAlign w:val="center"/>
            <w:hideMark/>
          </w:tcPr>
          <w:p w14:paraId="45A06828" w14:textId="63275F1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73 (82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6F58102D" w14:textId="129A319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226 (67.6</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071911A"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0.008</w:t>
            </w:r>
            <w:r w:rsidRPr="009D2E6D">
              <w:rPr>
                <w:rFonts w:ascii="Book Antiqua" w:eastAsia="PMingLiU" w:hAnsi="Book Antiqua" w:cs="Arial"/>
                <w:color w:val="000000" w:themeColor="text1"/>
                <w:kern w:val="0"/>
                <w:szCs w:val="24"/>
                <w:vertAlign w:val="superscript"/>
              </w:rPr>
              <w:t>a</w:t>
            </w:r>
          </w:p>
        </w:tc>
      </w:tr>
      <w:tr w:rsidR="0039763A" w:rsidRPr="009D2E6D" w14:paraId="5CE83084" w14:textId="77777777" w:rsidTr="00EF3C80">
        <w:trPr>
          <w:trHeight w:val="330"/>
        </w:trPr>
        <w:tc>
          <w:tcPr>
            <w:tcW w:w="2010" w:type="pct"/>
            <w:tcBorders>
              <w:top w:val="nil"/>
              <w:left w:val="nil"/>
              <w:bottom w:val="nil"/>
            </w:tcBorders>
            <w:shd w:val="clear" w:color="auto" w:fill="auto"/>
            <w:noWrap/>
            <w:vAlign w:val="center"/>
            <w:hideMark/>
          </w:tcPr>
          <w:p w14:paraId="66CB82BB"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Smoking</w:t>
            </w:r>
          </w:p>
        </w:tc>
        <w:tc>
          <w:tcPr>
            <w:tcW w:w="1143" w:type="pct"/>
            <w:tcBorders>
              <w:top w:val="nil"/>
              <w:bottom w:val="nil"/>
            </w:tcBorders>
            <w:shd w:val="clear" w:color="auto" w:fill="auto"/>
            <w:noWrap/>
            <w:vAlign w:val="center"/>
            <w:hideMark/>
          </w:tcPr>
          <w:p w14:paraId="28633D24" w14:textId="204F014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03833BB" w14:textId="55050901"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66 (19.8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7254C2D"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0.211</w:t>
            </w:r>
          </w:p>
        </w:tc>
      </w:tr>
      <w:tr w:rsidR="0039763A" w:rsidRPr="009D2E6D" w14:paraId="2524C342" w14:textId="77777777" w:rsidTr="00EF3C80">
        <w:trPr>
          <w:trHeight w:val="330"/>
        </w:trPr>
        <w:tc>
          <w:tcPr>
            <w:tcW w:w="2010" w:type="pct"/>
            <w:tcBorders>
              <w:top w:val="nil"/>
              <w:left w:val="nil"/>
              <w:bottom w:val="nil"/>
            </w:tcBorders>
            <w:shd w:val="clear" w:color="auto" w:fill="auto"/>
            <w:noWrap/>
            <w:vAlign w:val="center"/>
            <w:hideMark/>
          </w:tcPr>
          <w:p w14:paraId="529A0D72"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Consumption of alcohol</w:t>
            </w:r>
          </w:p>
        </w:tc>
        <w:tc>
          <w:tcPr>
            <w:tcW w:w="1143" w:type="pct"/>
            <w:tcBorders>
              <w:top w:val="nil"/>
              <w:bottom w:val="nil"/>
            </w:tcBorders>
            <w:shd w:val="clear" w:color="auto" w:fill="auto"/>
            <w:noWrap/>
            <w:vAlign w:val="center"/>
            <w:hideMark/>
          </w:tcPr>
          <w:p w14:paraId="7B02B1EA" w14:textId="0CABAA7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43 (48.3</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401D00E1" w14:textId="7F55BA7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124 (37.1</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33B796E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0.055</w:t>
            </w:r>
          </w:p>
        </w:tc>
      </w:tr>
      <w:tr w:rsidR="0039763A" w:rsidRPr="009D2E6D" w14:paraId="0D44C017" w14:textId="77777777" w:rsidTr="00EF3C80">
        <w:trPr>
          <w:trHeight w:val="330"/>
        </w:trPr>
        <w:tc>
          <w:tcPr>
            <w:tcW w:w="2010" w:type="pct"/>
            <w:tcBorders>
              <w:top w:val="nil"/>
              <w:left w:val="nil"/>
              <w:bottom w:val="nil"/>
            </w:tcBorders>
            <w:shd w:val="clear" w:color="auto" w:fill="auto"/>
            <w:noWrap/>
            <w:vAlign w:val="center"/>
            <w:hideMark/>
          </w:tcPr>
          <w:p w14:paraId="0E637C51"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Consumption of betel nuts</w:t>
            </w:r>
          </w:p>
        </w:tc>
        <w:tc>
          <w:tcPr>
            <w:tcW w:w="1143" w:type="pct"/>
            <w:tcBorders>
              <w:top w:val="nil"/>
              <w:bottom w:val="nil"/>
            </w:tcBorders>
            <w:shd w:val="clear" w:color="auto" w:fill="auto"/>
            <w:noWrap/>
            <w:vAlign w:val="center"/>
            <w:hideMark/>
          </w:tcPr>
          <w:p w14:paraId="19A4F1E4" w14:textId="27477BFA"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82AF961" w14:textId="539286B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 (1.8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3ADCAAB"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0.059</w:t>
            </w:r>
          </w:p>
        </w:tc>
      </w:tr>
      <w:tr w:rsidR="0039763A" w:rsidRPr="009D2E6D" w14:paraId="5EEE09AE" w14:textId="77777777" w:rsidTr="00EF3C80">
        <w:trPr>
          <w:trHeight w:val="330"/>
        </w:trPr>
        <w:tc>
          <w:tcPr>
            <w:tcW w:w="2010" w:type="pct"/>
            <w:tcBorders>
              <w:top w:val="nil"/>
              <w:left w:val="nil"/>
              <w:bottom w:val="nil"/>
            </w:tcBorders>
            <w:shd w:val="clear" w:color="auto" w:fill="auto"/>
            <w:noWrap/>
            <w:vAlign w:val="center"/>
            <w:hideMark/>
          </w:tcPr>
          <w:p w14:paraId="2189EE27"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coffee</w:t>
            </w:r>
          </w:p>
        </w:tc>
        <w:tc>
          <w:tcPr>
            <w:tcW w:w="1143" w:type="pct"/>
            <w:tcBorders>
              <w:top w:val="nil"/>
              <w:bottom w:val="nil"/>
            </w:tcBorders>
            <w:shd w:val="clear" w:color="auto" w:fill="auto"/>
            <w:noWrap/>
            <w:vAlign w:val="center"/>
            <w:hideMark/>
          </w:tcPr>
          <w:p w14:paraId="4381FFB2" w14:textId="3AACE1B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1212E745" w14:textId="07961FD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90 (26.9</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7A3F069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0.834</w:t>
            </w:r>
          </w:p>
        </w:tc>
      </w:tr>
      <w:tr w:rsidR="0039763A" w:rsidRPr="009D2E6D" w14:paraId="48BB5F92" w14:textId="77777777" w:rsidTr="00EF3C80">
        <w:trPr>
          <w:trHeight w:val="330"/>
        </w:trPr>
        <w:tc>
          <w:tcPr>
            <w:tcW w:w="2010" w:type="pct"/>
            <w:tcBorders>
              <w:top w:val="nil"/>
              <w:left w:val="nil"/>
              <w:bottom w:val="nil"/>
            </w:tcBorders>
            <w:shd w:val="clear" w:color="auto" w:fill="auto"/>
            <w:noWrap/>
            <w:vAlign w:val="center"/>
            <w:hideMark/>
          </w:tcPr>
          <w:p w14:paraId="6CF6453B"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tea</w:t>
            </w:r>
          </w:p>
        </w:tc>
        <w:tc>
          <w:tcPr>
            <w:tcW w:w="1143" w:type="pct"/>
            <w:tcBorders>
              <w:top w:val="nil"/>
              <w:bottom w:val="nil"/>
            </w:tcBorders>
            <w:shd w:val="clear" w:color="auto" w:fill="auto"/>
            <w:noWrap/>
            <w:vAlign w:val="center"/>
            <w:hideMark/>
          </w:tcPr>
          <w:p w14:paraId="3ECACD4A" w14:textId="1314796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26 (29.2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7235180" w14:textId="033CE27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90 (26.9</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0FA988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0.67</w:t>
            </w:r>
          </w:p>
        </w:tc>
      </w:tr>
      <w:tr w:rsidR="0039763A" w:rsidRPr="009D2E6D" w14:paraId="199D9436" w14:textId="77777777" w:rsidTr="00EF3C80">
        <w:trPr>
          <w:trHeight w:val="330"/>
        </w:trPr>
        <w:tc>
          <w:tcPr>
            <w:tcW w:w="2010" w:type="pct"/>
            <w:tcBorders>
              <w:top w:val="nil"/>
              <w:left w:val="nil"/>
              <w:bottom w:val="nil"/>
            </w:tcBorders>
            <w:shd w:val="clear" w:color="auto" w:fill="auto"/>
            <w:noWrap/>
            <w:vAlign w:val="center"/>
            <w:hideMark/>
          </w:tcPr>
          <w:p w14:paraId="574E31AA"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hypertension</w:t>
            </w:r>
          </w:p>
        </w:tc>
        <w:tc>
          <w:tcPr>
            <w:tcW w:w="1143" w:type="pct"/>
            <w:tcBorders>
              <w:top w:val="nil"/>
              <w:bottom w:val="nil"/>
            </w:tcBorders>
            <w:shd w:val="clear" w:color="auto" w:fill="auto"/>
            <w:noWrap/>
            <w:vAlign w:val="center"/>
            <w:hideMark/>
          </w:tcPr>
          <w:p w14:paraId="6DD4277D" w14:textId="03540611"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1DE82819" w14:textId="5120207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72 (21.6</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6E56F90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0.010</w:t>
            </w:r>
            <w:r w:rsidRPr="009D2E6D">
              <w:rPr>
                <w:rFonts w:ascii="Book Antiqua" w:eastAsia="PMingLiU" w:hAnsi="Book Antiqua" w:cs="Arial"/>
                <w:color w:val="000000" w:themeColor="text1"/>
                <w:kern w:val="0"/>
                <w:szCs w:val="24"/>
                <w:vertAlign w:val="superscript"/>
              </w:rPr>
              <w:t>a</w:t>
            </w:r>
          </w:p>
        </w:tc>
      </w:tr>
      <w:tr w:rsidR="0039763A" w:rsidRPr="009D2E6D" w14:paraId="2077DF7D" w14:textId="77777777" w:rsidTr="00EF3C80">
        <w:trPr>
          <w:trHeight w:val="330"/>
        </w:trPr>
        <w:tc>
          <w:tcPr>
            <w:tcW w:w="2010" w:type="pct"/>
            <w:tcBorders>
              <w:top w:val="nil"/>
              <w:left w:val="nil"/>
              <w:bottom w:val="nil"/>
            </w:tcBorders>
            <w:shd w:val="clear" w:color="auto" w:fill="auto"/>
            <w:noWrap/>
            <w:vAlign w:val="center"/>
            <w:hideMark/>
          </w:tcPr>
          <w:p w14:paraId="4D4B947D"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cardiovascular disease</w:t>
            </w:r>
          </w:p>
        </w:tc>
        <w:tc>
          <w:tcPr>
            <w:tcW w:w="1143" w:type="pct"/>
            <w:tcBorders>
              <w:top w:val="nil"/>
              <w:bottom w:val="nil"/>
            </w:tcBorders>
            <w:shd w:val="clear" w:color="auto" w:fill="auto"/>
            <w:noWrap/>
            <w:vAlign w:val="center"/>
            <w:hideMark/>
          </w:tcPr>
          <w:p w14:paraId="678C5414" w14:textId="596DA86F"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5EB055AB" w14:textId="5B96B6C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80 (24</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DD35BDC"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0.013</w:t>
            </w:r>
            <w:r w:rsidRPr="009D2E6D">
              <w:rPr>
                <w:rFonts w:ascii="Book Antiqua" w:eastAsia="PMingLiU" w:hAnsi="Book Antiqua" w:cs="Arial"/>
                <w:color w:val="000000" w:themeColor="text1"/>
                <w:kern w:val="0"/>
                <w:szCs w:val="24"/>
                <w:vertAlign w:val="superscript"/>
              </w:rPr>
              <w:t>a</w:t>
            </w:r>
          </w:p>
        </w:tc>
      </w:tr>
      <w:tr w:rsidR="0039763A" w:rsidRPr="009D2E6D" w14:paraId="3E8720F6" w14:textId="77777777" w:rsidTr="00EF3C80">
        <w:trPr>
          <w:trHeight w:val="330"/>
        </w:trPr>
        <w:tc>
          <w:tcPr>
            <w:tcW w:w="2010" w:type="pct"/>
            <w:tcBorders>
              <w:top w:val="nil"/>
              <w:left w:val="nil"/>
              <w:bottom w:val="nil"/>
            </w:tcBorders>
            <w:shd w:val="clear" w:color="auto" w:fill="auto"/>
            <w:noWrap/>
            <w:vAlign w:val="center"/>
            <w:hideMark/>
          </w:tcPr>
          <w:p w14:paraId="31C58CB6"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pulmonary disease</w:t>
            </w:r>
          </w:p>
        </w:tc>
        <w:tc>
          <w:tcPr>
            <w:tcW w:w="1143" w:type="pct"/>
            <w:tcBorders>
              <w:top w:val="nil"/>
              <w:bottom w:val="nil"/>
            </w:tcBorders>
            <w:shd w:val="clear" w:color="auto" w:fill="auto"/>
            <w:noWrap/>
            <w:vAlign w:val="center"/>
            <w:hideMark/>
          </w:tcPr>
          <w:p w14:paraId="02B3F4D8" w14:textId="70B4E960"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ED2F5A1" w14:textId="6A48F310"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 (3.0</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6E25E31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0.741</w:t>
            </w:r>
          </w:p>
        </w:tc>
      </w:tr>
      <w:tr w:rsidR="0039763A" w:rsidRPr="009D2E6D" w14:paraId="4D3BCC0A" w14:textId="77777777" w:rsidTr="00EF3C80">
        <w:trPr>
          <w:trHeight w:val="330"/>
        </w:trPr>
        <w:tc>
          <w:tcPr>
            <w:tcW w:w="2010" w:type="pct"/>
            <w:tcBorders>
              <w:top w:val="nil"/>
              <w:left w:val="nil"/>
              <w:bottom w:val="nil"/>
            </w:tcBorders>
            <w:shd w:val="clear" w:color="auto" w:fill="auto"/>
            <w:noWrap/>
            <w:vAlign w:val="center"/>
            <w:hideMark/>
          </w:tcPr>
          <w:p w14:paraId="61084B37"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diabetes</w:t>
            </w:r>
          </w:p>
        </w:tc>
        <w:tc>
          <w:tcPr>
            <w:tcW w:w="1143" w:type="pct"/>
            <w:tcBorders>
              <w:top w:val="nil"/>
              <w:bottom w:val="nil"/>
            </w:tcBorders>
            <w:shd w:val="clear" w:color="auto" w:fill="auto"/>
            <w:noWrap/>
            <w:vAlign w:val="center"/>
            <w:hideMark/>
          </w:tcPr>
          <w:p w14:paraId="163A729F" w14:textId="5007D735"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 (9</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C753732" w14:textId="130CFC9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26 (7.8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07D338E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0.710</w:t>
            </w:r>
          </w:p>
        </w:tc>
      </w:tr>
      <w:tr w:rsidR="0039763A" w:rsidRPr="009D2E6D" w14:paraId="5514489D" w14:textId="77777777" w:rsidTr="00EF3C80">
        <w:trPr>
          <w:trHeight w:val="330"/>
        </w:trPr>
        <w:tc>
          <w:tcPr>
            <w:tcW w:w="2010" w:type="pct"/>
            <w:tcBorders>
              <w:top w:val="nil"/>
              <w:left w:val="nil"/>
              <w:bottom w:val="nil"/>
            </w:tcBorders>
            <w:shd w:val="clear" w:color="auto" w:fill="auto"/>
            <w:noWrap/>
            <w:vAlign w:val="center"/>
            <w:hideMark/>
          </w:tcPr>
          <w:p w14:paraId="0A0F83B6"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symptoms</w:t>
            </w:r>
          </w:p>
        </w:tc>
        <w:tc>
          <w:tcPr>
            <w:tcW w:w="1143" w:type="pct"/>
            <w:tcBorders>
              <w:top w:val="nil"/>
              <w:bottom w:val="nil"/>
            </w:tcBorders>
            <w:shd w:val="clear" w:color="auto" w:fill="auto"/>
            <w:noWrap/>
            <w:vAlign w:val="center"/>
            <w:hideMark/>
          </w:tcPr>
          <w:p w14:paraId="103C9C0F" w14:textId="4406D5AA"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D9F957E" w14:textId="076AA9F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20 (6.0</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3E36BD9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0.437</w:t>
            </w:r>
          </w:p>
        </w:tc>
      </w:tr>
      <w:tr w:rsidR="0039763A" w:rsidRPr="009D2E6D" w14:paraId="758F9176" w14:textId="77777777" w:rsidTr="00EF3C80">
        <w:trPr>
          <w:trHeight w:val="475"/>
        </w:trPr>
        <w:tc>
          <w:tcPr>
            <w:tcW w:w="2010" w:type="pct"/>
            <w:tcBorders>
              <w:top w:val="nil"/>
              <w:left w:val="nil"/>
              <w:bottom w:val="nil"/>
            </w:tcBorders>
            <w:shd w:val="clear" w:color="auto" w:fill="auto"/>
            <w:noWrap/>
            <w:vAlign w:val="center"/>
            <w:hideMark/>
          </w:tcPr>
          <w:p w14:paraId="06329DA2"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Waist</w:t>
            </w:r>
          </w:p>
        </w:tc>
        <w:tc>
          <w:tcPr>
            <w:tcW w:w="1143" w:type="pct"/>
            <w:tcBorders>
              <w:top w:val="nil"/>
              <w:bottom w:val="nil"/>
            </w:tcBorders>
            <w:shd w:val="clear" w:color="auto" w:fill="auto"/>
            <w:noWrap/>
            <w:vAlign w:val="center"/>
            <w:hideMark/>
          </w:tcPr>
          <w:p w14:paraId="5ED60739"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524BB024"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3CB136C9"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0.007</w:t>
            </w:r>
            <w:r w:rsidRPr="009D2E6D">
              <w:rPr>
                <w:rFonts w:ascii="Book Antiqua" w:eastAsia="PMingLiU" w:hAnsi="Book Antiqua" w:cs="Arial"/>
                <w:color w:val="000000" w:themeColor="text1"/>
                <w:kern w:val="0"/>
                <w:szCs w:val="24"/>
                <w:vertAlign w:val="superscript"/>
              </w:rPr>
              <w:t>a</w:t>
            </w:r>
          </w:p>
        </w:tc>
      </w:tr>
      <w:tr w:rsidR="0039763A" w:rsidRPr="009D2E6D" w14:paraId="4DAFFB21" w14:textId="77777777" w:rsidTr="00EF3C80">
        <w:trPr>
          <w:trHeight w:val="330"/>
        </w:trPr>
        <w:tc>
          <w:tcPr>
            <w:tcW w:w="2010" w:type="pct"/>
            <w:tcBorders>
              <w:top w:val="nil"/>
              <w:left w:val="nil"/>
              <w:bottom w:val="nil"/>
            </w:tcBorders>
            <w:shd w:val="clear" w:color="auto" w:fill="auto"/>
            <w:noWrap/>
            <w:vAlign w:val="center"/>
            <w:hideMark/>
          </w:tcPr>
          <w:p w14:paraId="1FCC50E8" w14:textId="33E5A375"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7C48A3A1" w14:textId="201E000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52 (58.4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49113DAC" w14:textId="762EEB8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244 (73.1</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3577BD9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2313917E" w14:textId="77777777" w:rsidTr="00EF3C80">
        <w:trPr>
          <w:trHeight w:val="330"/>
        </w:trPr>
        <w:tc>
          <w:tcPr>
            <w:tcW w:w="2010" w:type="pct"/>
            <w:tcBorders>
              <w:top w:val="nil"/>
              <w:left w:val="nil"/>
              <w:bottom w:val="nil"/>
            </w:tcBorders>
            <w:shd w:val="clear" w:color="auto" w:fill="auto"/>
            <w:noWrap/>
            <w:vAlign w:val="center"/>
            <w:hideMark/>
          </w:tcPr>
          <w:p w14:paraId="7341F534" w14:textId="5CBA0CBC"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4468D263" w14:textId="0F36150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37 (41.6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57D02267" w14:textId="0D68480F"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90 (26.9</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66C4B2FD"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3C4EC9AC" w14:textId="77777777" w:rsidTr="00EF3C80">
        <w:trPr>
          <w:trHeight w:val="330"/>
        </w:trPr>
        <w:tc>
          <w:tcPr>
            <w:tcW w:w="2010" w:type="pct"/>
            <w:tcBorders>
              <w:top w:val="nil"/>
              <w:left w:val="nil"/>
              <w:bottom w:val="nil"/>
            </w:tcBorders>
            <w:shd w:val="clear" w:color="auto" w:fill="auto"/>
            <w:noWrap/>
            <w:vAlign w:val="center"/>
            <w:hideMark/>
          </w:tcPr>
          <w:p w14:paraId="40C152BC"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fat percentage</w:t>
            </w:r>
          </w:p>
        </w:tc>
        <w:tc>
          <w:tcPr>
            <w:tcW w:w="1143" w:type="pct"/>
            <w:tcBorders>
              <w:top w:val="nil"/>
              <w:bottom w:val="nil"/>
            </w:tcBorders>
            <w:shd w:val="clear" w:color="auto" w:fill="auto"/>
            <w:noWrap/>
            <w:vAlign w:val="center"/>
            <w:hideMark/>
          </w:tcPr>
          <w:p w14:paraId="538FC67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060A737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59FC3A2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0.275</w:t>
            </w:r>
          </w:p>
        </w:tc>
      </w:tr>
      <w:tr w:rsidR="0039763A" w:rsidRPr="009D2E6D" w14:paraId="7E1EC823" w14:textId="77777777" w:rsidTr="00EF3C80">
        <w:trPr>
          <w:trHeight w:val="330"/>
        </w:trPr>
        <w:tc>
          <w:tcPr>
            <w:tcW w:w="2010" w:type="pct"/>
            <w:tcBorders>
              <w:top w:val="nil"/>
              <w:left w:val="nil"/>
              <w:bottom w:val="nil"/>
            </w:tcBorders>
            <w:shd w:val="clear" w:color="auto" w:fill="auto"/>
            <w:noWrap/>
            <w:vAlign w:val="center"/>
            <w:hideMark/>
          </w:tcPr>
          <w:p w14:paraId="359BA27A" w14:textId="6887728B"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2EB4F7BD" w14:textId="6207898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50 (56.8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5756685" w14:textId="423A2628"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211 (63.2</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3EAB497"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6EC8A0B5" w14:textId="77777777" w:rsidTr="00EF3C80">
        <w:trPr>
          <w:trHeight w:val="330"/>
        </w:trPr>
        <w:tc>
          <w:tcPr>
            <w:tcW w:w="2010" w:type="pct"/>
            <w:tcBorders>
              <w:top w:val="nil"/>
              <w:left w:val="nil"/>
              <w:bottom w:val="nil"/>
            </w:tcBorders>
            <w:shd w:val="clear" w:color="auto" w:fill="auto"/>
            <w:noWrap/>
            <w:vAlign w:val="center"/>
            <w:hideMark/>
          </w:tcPr>
          <w:p w14:paraId="7DF0EB42" w14:textId="2F422E11"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1E7E4F9F" w14:textId="0263771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38 (43.2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58DCBB7" w14:textId="69A48948"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123 (36.8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BCCE70D"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134CBD71" w14:textId="77777777" w:rsidTr="00EF3C80">
        <w:trPr>
          <w:trHeight w:val="330"/>
        </w:trPr>
        <w:tc>
          <w:tcPr>
            <w:tcW w:w="2010" w:type="pct"/>
            <w:tcBorders>
              <w:top w:val="nil"/>
              <w:left w:val="nil"/>
              <w:bottom w:val="nil"/>
            </w:tcBorders>
            <w:shd w:val="clear" w:color="auto" w:fill="auto"/>
            <w:noWrap/>
            <w:vAlign w:val="center"/>
            <w:hideMark/>
          </w:tcPr>
          <w:p w14:paraId="21CA286E"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mass index</w:t>
            </w:r>
          </w:p>
        </w:tc>
        <w:tc>
          <w:tcPr>
            <w:tcW w:w="1143" w:type="pct"/>
            <w:tcBorders>
              <w:top w:val="nil"/>
              <w:bottom w:val="nil"/>
            </w:tcBorders>
            <w:shd w:val="clear" w:color="auto" w:fill="auto"/>
            <w:noWrap/>
            <w:vAlign w:val="center"/>
            <w:hideMark/>
          </w:tcPr>
          <w:p w14:paraId="637DD45B"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16B2ED9C"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69523F21"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0.121</w:t>
            </w:r>
          </w:p>
        </w:tc>
      </w:tr>
      <w:tr w:rsidR="0039763A" w:rsidRPr="009D2E6D" w14:paraId="1FBFB581" w14:textId="77777777" w:rsidTr="00EF3C80">
        <w:trPr>
          <w:trHeight w:val="330"/>
        </w:trPr>
        <w:tc>
          <w:tcPr>
            <w:tcW w:w="2010" w:type="pct"/>
            <w:tcBorders>
              <w:top w:val="nil"/>
              <w:left w:val="nil"/>
              <w:bottom w:val="nil"/>
            </w:tcBorders>
            <w:shd w:val="clear" w:color="auto" w:fill="auto"/>
            <w:noWrap/>
            <w:vAlign w:val="center"/>
            <w:hideMark/>
          </w:tcPr>
          <w:p w14:paraId="020C5379" w14:textId="18EE076A"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24)</w:t>
            </w:r>
          </w:p>
        </w:tc>
        <w:tc>
          <w:tcPr>
            <w:tcW w:w="1143" w:type="pct"/>
            <w:tcBorders>
              <w:top w:val="nil"/>
              <w:bottom w:val="nil"/>
            </w:tcBorders>
            <w:shd w:val="clear" w:color="auto" w:fill="auto"/>
            <w:noWrap/>
            <w:vAlign w:val="center"/>
            <w:hideMark/>
          </w:tcPr>
          <w:p w14:paraId="2DEAFE02" w14:textId="192FDAB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6D4A79BB" w14:textId="2E2AD272"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157 (47</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5D2CEE52"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6928126D" w14:textId="77777777" w:rsidTr="00EF3C80">
        <w:trPr>
          <w:trHeight w:val="330"/>
        </w:trPr>
        <w:tc>
          <w:tcPr>
            <w:tcW w:w="2010" w:type="pct"/>
            <w:tcBorders>
              <w:top w:val="nil"/>
              <w:left w:val="nil"/>
              <w:bottom w:val="nil"/>
            </w:tcBorders>
            <w:shd w:val="clear" w:color="auto" w:fill="auto"/>
            <w:noWrap/>
            <w:vAlign w:val="center"/>
            <w:hideMark/>
          </w:tcPr>
          <w:p w14:paraId="18A2D70E" w14:textId="7E9F1AB0"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lastRenderedPageBreak/>
              <w:t>O</w:t>
            </w:r>
            <w:r w:rsidRPr="009D2E6D">
              <w:rPr>
                <w:rFonts w:ascii="Book Antiqua" w:eastAsia="PMingLiU" w:hAnsi="Book Antiqua" w:cs="Times New Roman"/>
                <w:color w:val="000000" w:themeColor="text1"/>
                <w:kern w:val="0"/>
                <w:szCs w:val="24"/>
              </w:rPr>
              <w:t>verweight (24</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27)</w:t>
            </w:r>
          </w:p>
        </w:tc>
        <w:tc>
          <w:tcPr>
            <w:tcW w:w="1143" w:type="pct"/>
            <w:tcBorders>
              <w:top w:val="nil"/>
              <w:bottom w:val="nil"/>
            </w:tcBorders>
            <w:shd w:val="clear" w:color="auto" w:fill="auto"/>
            <w:noWrap/>
            <w:vAlign w:val="center"/>
            <w:hideMark/>
          </w:tcPr>
          <w:p w14:paraId="3A20E89D" w14:textId="6D171274"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34 (38.2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60E97767" w14:textId="1148497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122 (36.5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7796A44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4AA515E4" w14:textId="77777777" w:rsidTr="00EF3C80">
        <w:trPr>
          <w:trHeight w:val="330"/>
        </w:trPr>
        <w:tc>
          <w:tcPr>
            <w:tcW w:w="2010" w:type="pct"/>
            <w:tcBorders>
              <w:top w:val="nil"/>
              <w:left w:val="nil"/>
              <w:bottom w:val="nil"/>
            </w:tcBorders>
            <w:shd w:val="clear" w:color="auto" w:fill="auto"/>
            <w:noWrap/>
            <w:vAlign w:val="center"/>
            <w:hideMark/>
          </w:tcPr>
          <w:p w14:paraId="4157BE15" w14:textId="38CFC015"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(27</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 xml:space="preserve"> BMI)</w:t>
            </w:r>
          </w:p>
        </w:tc>
        <w:tc>
          <w:tcPr>
            <w:tcW w:w="1143" w:type="pct"/>
            <w:tcBorders>
              <w:top w:val="nil"/>
              <w:bottom w:val="nil"/>
            </w:tcBorders>
            <w:shd w:val="clear" w:color="auto" w:fill="auto"/>
            <w:noWrap/>
            <w:vAlign w:val="center"/>
            <w:hideMark/>
          </w:tcPr>
          <w:p w14:paraId="5E240757" w14:textId="0327649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 (24.7</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98EC75D" w14:textId="58FBC931"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55 (16.5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4582EC03"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05DE2236" w14:textId="77777777" w:rsidTr="00EF3C80">
        <w:trPr>
          <w:trHeight w:val="330"/>
        </w:trPr>
        <w:tc>
          <w:tcPr>
            <w:tcW w:w="2010" w:type="pct"/>
            <w:tcBorders>
              <w:top w:val="nil"/>
              <w:left w:val="nil"/>
              <w:bottom w:val="nil"/>
            </w:tcBorders>
            <w:shd w:val="clear" w:color="auto" w:fill="auto"/>
            <w:noWrap/>
            <w:vAlign w:val="center"/>
            <w:hideMark/>
          </w:tcPr>
          <w:p w14:paraId="3A45ADC3"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i/>
                <w:iCs/>
                <w:color w:val="000000" w:themeColor="text1"/>
                <w:kern w:val="0"/>
                <w:szCs w:val="24"/>
              </w:rPr>
              <w:t>H. pylor</w:t>
            </w:r>
            <w:r w:rsidRPr="009D2E6D">
              <w:rPr>
                <w:rFonts w:ascii="Book Antiqua" w:eastAsia="PMingLiU" w:hAnsi="Book Antiqua" w:cs="Times New Roman"/>
                <w:color w:val="000000" w:themeColor="text1"/>
                <w:kern w:val="0"/>
                <w:szCs w:val="24"/>
              </w:rPr>
              <w:t>i infection</w:t>
            </w:r>
          </w:p>
        </w:tc>
        <w:tc>
          <w:tcPr>
            <w:tcW w:w="1143" w:type="pct"/>
            <w:tcBorders>
              <w:top w:val="nil"/>
              <w:bottom w:val="nil"/>
            </w:tcBorders>
            <w:shd w:val="clear" w:color="auto" w:fill="auto"/>
            <w:noWrap/>
            <w:vAlign w:val="center"/>
            <w:hideMark/>
          </w:tcPr>
          <w:p w14:paraId="1E27D4D4" w14:textId="2A2A33F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 (15.7</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5719E5D6" w14:textId="572164B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68 (20.4</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793382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0.326</w:t>
            </w:r>
          </w:p>
        </w:tc>
      </w:tr>
      <w:tr w:rsidR="0039763A" w:rsidRPr="009D2E6D" w14:paraId="40516C80" w14:textId="77777777" w:rsidTr="00EF3C80">
        <w:trPr>
          <w:trHeight w:val="330"/>
        </w:trPr>
        <w:tc>
          <w:tcPr>
            <w:tcW w:w="2010" w:type="pct"/>
            <w:tcBorders>
              <w:top w:val="nil"/>
              <w:left w:val="nil"/>
              <w:bottom w:val="nil"/>
            </w:tcBorders>
            <w:shd w:val="clear" w:color="auto" w:fill="auto"/>
            <w:noWrap/>
            <w:vAlign w:val="center"/>
            <w:hideMark/>
          </w:tcPr>
          <w:p w14:paraId="35D336A1"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Endoscopic findings</w:t>
            </w:r>
          </w:p>
        </w:tc>
        <w:tc>
          <w:tcPr>
            <w:tcW w:w="1143" w:type="pct"/>
            <w:tcBorders>
              <w:top w:val="nil"/>
              <w:bottom w:val="nil"/>
            </w:tcBorders>
            <w:shd w:val="clear" w:color="auto" w:fill="auto"/>
            <w:noWrap/>
            <w:vAlign w:val="center"/>
            <w:hideMark/>
          </w:tcPr>
          <w:p w14:paraId="02E37D22"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0ED1048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03A732B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4C815873" w14:textId="77777777" w:rsidTr="00EF3C80">
        <w:trPr>
          <w:trHeight w:val="330"/>
        </w:trPr>
        <w:tc>
          <w:tcPr>
            <w:tcW w:w="2010" w:type="pct"/>
            <w:tcBorders>
              <w:top w:val="nil"/>
              <w:left w:val="nil"/>
              <w:bottom w:val="nil"/>
            </w:tcBorders>
            <w:shd w:val="clear" w:color="auto" w:fill="auto"/>
            <w:noWrap/>
            <w:vAlign w:val="center"/>
            <w:hideMark/>
          </w:tcPr>
          <w:p w14:paraId="0EBC320F"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esophagitis</w:t>
            </w:r>
          </w:p>
        </w:tc>
        <w:tc>
          <w:tcPr>
            <w:tcW w:w="1143" w:type="pct"/>
            <w:tcBorders>
              <w:top w:val="nil"/>
              <w:bottom w:val="nil"/>
            </w:tcBorders>
            <w:shd w:val="clear" w:color="auto" w:fill="auto"/>
            <w:noWrap/>
            <w:vAlign w:val="center"/>
            <w:hideMark/>
          </w:tcPr>
          <w:p w14:paraId="64D92ED5" w14:textId="3503D1C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83717D2" w14:textId="4614F9C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112 (33.5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7499D4B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0.818</w:t>
            </w:r>
          </w:p>
        </w:tc>
      </w:tr>
      <w:tr w:rsidR="0039763A" w:rsidRPr="009D2E6D" w14:paraId="44483A93" w14:textId="77777777" w:rsidTr="00EF3C80">
        <w:trPr>
          <w:trHeight w:val="330"/>
        </w:trPr>
        <w:tc>
          <w:tcPr>
            <w:tcW w:w="2010" w:type="pct"/>
            <w:tcBorders>
              <w:top w:val="nil"/>
              <w:left w:val="nil"/>
              <w:bottom w:val="nil"/>
            </w:tcBorders>
            <w:shd w:val="clear" w:color="auto" w:fill="auto"/>
            <w:noWrap/>
            <w:vAlign w:val="center"/>
            <w:hideMark/>
          </w:tcPr>
          <w:p w14:paraId="192B1F01"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Hiatal hernia</w:t>
            </w:r>
          </w:p>
        </w:tc>
        <w:tc>
          <w:tcPr>
            <w:tcW w:w="1143" w:type="pct"/>
            <w:tcBorders>
              <w:top w:val="nil"/>
              <w:bottom w:val="nil"/>
            </w:tcBorders>
            <w:shd w:val="clear" w:color="auto" w:fill="auto"/>
            <w:noWrap/>
            <w:vAlign w:val="center"/>
            <w:hideMark/>
          </w:tcPr>
          <w:p w14:paraId="26511A12" w14:textId="23E6629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71 (79.8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150A9EBB" w14:textId="251240E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289 (86.5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53782C4C"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0.112</w:t>
            </w:r>
          </w:p>
        </w:tc>
      </w:tr>
      <w:tr w:rsidR="0039763A" w:rsidRPr="009D2E6D" w14:paraId="388456CC" w14:textId="77777777" w:rsidTr="00EF3C80">
        <w:trPr>
          <w:trHeight w:val="330"/>
        </w:trPr>
        <w:tc>
          <w:tcPr>
            <w:tcW w:w="2010" w:type="pct"/>
            <w:tcBorders>
              <w:top w:val="nil"/>
              <w:left w:val="nil"/>
              <w:bottom w:val="nil"/>
            </w:tcBorders>
            <w:shd w:val="clear" w:color="auto" w:fill="auto"/>
            <w:noWrap/>
            <w:vAlign w:val="center"/>
            <w:hideMark/>
          </w:tcPr>
          <w:p w14:paraId="21FBE083"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Gastritis</w:t>
            </w:r>
          </w:p>
        </w:tc>
        <w:tc>
          <w:tcPr>
            <w:tcW w:w="1143" w:type="pct"/>
            <w:tcBorders>
              <w:top w:val="nil"/>
              <w:bottom w:val="nil"/>
            </w:tcBorders>
            <w:shd w:val="clear" w:color="auto" w:fill="auto"/>
            <w:noWrap/>
            <w:vAlign w:val="center"/>
            <w:hideMark/>
          </w:tcPr>
          <w:p w14:paraId="56E0C387" w14:textId="53CA39A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68 (76.4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1B51920" w14:textId="578B1474"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245 (73.4</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B918412"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0.56</w:t>
            </w:r>
          </w:p>
        </w:tc>
      </w:tr>
      <w:tr w:rsidR="0039763A" w:rsidRPr="009D2E6D" w14:paraId="541D086C" w14:textId="77777777" w:rsidTr="00EF3C80">
        <w:trPr>
          <w:trHeight w:val="330"/>
        </w:trPr>
        <w:tc>
          <w:tcPr>
            <w:tcW w:w="2010" w:type="pct"/>
            <w:tcBorders>
              <w:top w:val="nil"/>
              <w:left w:val="nil"/>
              <w:bottom w:val="nil"/>
            </w:tcBorders>
            <w:shd w:val="clear" w:color="auto" w:fill="auto"/>
            <w:noWrap/>
            <w:vAlign w:val="center"/>
            <w:hideMark/>
          </w:tcPr>
          <w:p w14:paraId="480299B0"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ulcer</w:t>
            </w:r>
          </w:p>
        </w:tc>
        <w:tc>
          <w:tcPr>
            <w:tcW w:w="1143" w:type="pct"/>
            <w:tcBorders>
              <w:top w:val="nil"/>
              <w:bottom w:val="nil"/>
            </w:tcBorders>
            <w:shd w:val="clear" w:color="auto" w:fill="auto"/>
            <w:noWrap/>
            <w:vAlign w:val="center"/>
            <w:hideMark/>
          </w:tcPr>
          <w:p w14:paraId="26CEDD04" w14:textId="4745991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45 (50.6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E996958" w14:textId="65674825"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143 (42.8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5E6B4403"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0.191</w:t>
            </w:r>
          </w:p>
        </w:tc>
      </w:tr>
      <w:tr w:rsidR="0039763A" w:rsidRPr="009D2E6D" w14:paraId="2E76DF36" w14:textId="77777777" w:rsidTr="00EF3C80">
        <w:trPr>
          <w:trHeight w:val="330"/>
        </w:trPr>
        <w:tc>
          <w:tcPr>
            <w:tcW w:w="2010" w:type="pct"/>
            <w:tcBorders>
              <w:top w:val="nil"/>
              <w:left w:val="nil"/>
              <w:bottom w:val="nil"/>
            </w:tcBorders>
            <w:shd w:val="clear" w:color="auto" w:fill="auto"/>
            <w:noWrap/>
            <w:vAlign w:val="center"/>
            <w:hideMark/>
          </w:tcPr>
          <w:p w14:paraId="78D8EF32"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Duodenal ulcer</w:t>
            </w:r>
          </w:p>
        </w:tc>
        <w:tc>
          <w:tcPr>
            <w:tcW w:w="1143" w:type="pct"/>
            <w:tcBorders>
              <w:top w:val="nil"/>
              <w:bottom w:val="nil"/>
            </w:tcBorders>
            <w:shd w:val="clear" w:color="auto" w:fill="auto"/>
            <w:noWrap/>
            <w:vAlign w:val="center"/>
            <w:hideMark/>
          </w:tcPr>
          <w:p w14:paraId="355D5ACF" w14:textId="4676219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2F8D3C5" w14:textId="08574E4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25 (7.5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4EE125E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0.542</w:t>
            </w:r>
          </w:p>
        </w:tc>
      </w:tr>
      <w:tr w:rsidR="0039763A" w:rsidRPr="009D2E6D" w14:paraId="402C3FCC" w14:textId="77777777" w:rsidTr="00EF3C80">
        <w:trPr>
          <w:trHeight w:val="330"/>
        </w:trPr>
        <w:tc>
          <w:tcPr>
            <w:tcW w:w="2010" w:type="pct"/>
            <w:tcBorders>
              <w:top w:val="nil"/>
              <w:left w:val="nil"/>
              <w:bottom w:val="nil"/>
            </w:tcBorders>
            <w:shd w:val="clear" w:color="auto" w:fill="auto"/>
            <w:noWrap/>
            <w:vAlign w:val="center"/>
            <w:hideMark/>
          </w:tcPr>
          <w:p w14:paraId="215DF67B"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and duodenal ulcer</w:t>
            </w:r>
          </w:p>
        </w:tc>
        <w:tc>
          <w:tcPr>
            <w:tcW w:w="1143" w:type="pct"/>
            <w:tcBorders>
              <w:top w:val="nil"/>
              <w:bottom w:val="nil"/>
            </w:tcBorders>
            <w:shd w:val="clear" w:color="auto" w:fill="auto"/>
            <w:noWrap/>
            <w:vAlign w:val="center"/>
            <w:hideMark/>
          </w:tcPr>
          <w:p w14:paraId="2CC59AAF" w14:textId="467A1F9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47 (52.8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3579DF5C" w14:textId="7AA779D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152 (45.5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F7AAC2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0.22</w:t>
            </w:r>
          </w:p>
        </w:tc>
      </w:tr>
      <w:tr w:rsidR="0039763A" w:rsidRPr="009D2E6D" w14:paraId="40379512" w14:textId="77777777" w:rsidTr="00EF3C80">
        <w:trPr>
          <w:trHeight w:val="345"/>
        </w:trPr>
        <w:tc>
          <w:tcPr>
            <w:tcW w:w="2010" w:type="pct"/>
            <w:tcBorders>
              <w:top w:val="nil"/>
              <w:left w:val="nil"/>
            </w:tcBorders>
            <w:shd w:val="clear" w:color="auto" w:fill="auto"/>
            <w:noWrap/>
            <w:vAlign w:val="center"/>
            <w:hideMark/>
          </w:tcPr>
          <w:p w14:paraId="7C983BD7"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Inlet patch</w:t>
            </w:r>
          </w:p>
        </w:tc>
        <w:tc>
          <w:tcPr>
            <w:tcW w:w="1143" w:type="pct"/>
            <w:tcBorders>
              <w:top w:val="nil"/>
            </w:tcBorders>
            <w:shd w:val="clear" w:color="auto" w:fill="auto"/>
            <w:noWrap/>
            <w:vAlign w:val="center"/>
            <w:hideMark/>
          </w:tcPr>
          <w:p w14:paraId="773C92ED" w14:textId="03095D2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 (9</w:t>
            </w:r>
            <w:r>
              <w:rPr>
                <w:rFonts w:ascii="Book Antiqua" w:eastAsia="PMingLiU" w:hAnsi="Book Antiqua" w:cs="Times New Roman"/>
                <w:color w:val="000000" w:themeColor="text1"/>
                <w:kern w:val="0"/>
                <w:szCs w:val="24"/>
              </w:rPr>
              <w:t>)</w:t>
            </w:r>
          </w:p>
        </w:tc>
        <w:tc>
          <w:tcPr>
            <w:tcW w:w="1102" w:type="pct"/>
            <w:tcBorders>
              <w:top w:val="nil"/>
            </w:tcBorders>
            <w:shd w:val="clear" w:color="auto" w:fill="auto"/>
            <w:noWrap/>
            <w:vAlign w:val="center"/>
            <w:hideMark/>
          </w:tcPr>
          <w:p w14:paraId="701C9A95" w14:textId="7F8D4A4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30 (9</w:t>
            </w:r>
            <w:r>
              <w:rPr>
                <w:rFonts w:ascii="Book Antiqua" w:eastAsia="PMingLiU" w:hAnsi="Book Antiqua" w:cs="Times New Roman"/>
                <w:color w:val="000000" w:themeColor="text1"/>
                <w:kern w:val="0"/>
                <w:szCs w:val="24"/>
              </w:rPr>
              <w:t>)</w:t>
            </w:r>
          </w:p>
        </w:tc>
        <w:tc>
          <w:tcPr>
            <w:tcW w:w="745" w:type="pct"/>
            <w:tcBorders>
              <w:top w:val="nil"/>
              <w:right w:val="nil"/>
            </w:tcBorders>
            <w:shd w:val="clear" w:color="auto" w:fill="auto"/>
            <w:noWrap/>
            <w:vAlign w:val="center"/>
            <w:hideMark/>
          </w:tcPr>
          <w:p w14:paraId="14634AC1"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0.998</w:t>
            </w:r>
          </w:p>
        </w:tc>
      </w:tr>
      <w:tr w:rsidR="0039763A" w:rsidRPr="009D2E6D" w14:paraId="330F8827" w14:textId="77777777" w:rsidTr="00EF3C80">
        <w:trPr>
          <w:trHeight w:val="345"/>
        </w:trPr>
        <w:tc>
          <w:tcPr>
            <w:tcW w:w="2010" w:type="pct"/>
            <w:tcBorders>
              <w:top w:val="nil"/>
              <w:left w:val="nil"/>
              <w:bottom w:val="single" w:sz="12" w:space="0" w:color="auto"/>
            </w:tcBorders>
            <w:shd w:val="clear" w:color="auto" w:fill="auto"/>
            <w:noWrap/>
            <w:vAlign w:val="center"/>
          </w:tcPr>
          <w:p w14:paraId="2F5EADE7" w14:textId="77777777" w:rsidR="0039763A" w:rsidRPr="009D2E6D" w:rsidRDefault="0039763A" w:rsidP="006D7650">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Length of ESEM (cm)</w:t>
            </w:r>
          </w:p>
        </w:tc>
        <w:tc>
          <w:tcPr>
            <w:tcW w:w="1143" w:type="pct"/>
            <w:tcBorders>
              <w:top w:val="nil"/>
              <w:bottom w:val="single" w:sz="12" w:space="0" w:color="auto"/>
            </w:tcBorders>
            <w:shd w:val="clear" w:color="auto" w:fill="auto"/>
            <w:noWrap/>
            <w:vAlign w:val="center"/>
          </w:tcPr>
          <w:p w14:paraId="5E425301" w14:textId="2DD0BE50"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1.42</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0.84</w:t>
            </w:r>
          </w:p>
        </w:tc>
        <w:tc>
          <w:tcPr>
            <w:tcW w:w="1102" w:type="pct"/>
            <w:tcBorders>
              <w:top w:val="nil"/>
              <w:bottom w:val="single" w:sz="12" w:space="0" w:color="auto"/>
            </w:tcBorders>
            <w:shd w:val="clear" w:color="auto" w:fill="auto"/>
            <w:noWrap/>
            <w:vAlign w:val="center"/>
          </w:tcPr>
          <w:p w14:paraId="448397EA" w14:textId="77A9182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1.31</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0.48</w:t>
            </w:r>
          </w:p>
        </w:tc>
        <w:tc>
          <w:tcPr>
            <w:tcW w:w="745" w:type="pct"/>
            <w:tcBorders>
              <w:top w:val="nil"/>
              <w:bottom w:val="single" w:sz="12" w:space="0" w:color="auto"/>
              <w:right w:val="nil"/>
            </w:tcBorders>
            <w:shd w:val="clear" w:color="auto" w:fill="auto"/>
            <w:noWrap/>
            <w:vAlign w:val="center"/>
          </w:tcPr>
          <w:p w14:paraId="0767C57A"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0.243</w:t>
            </w:r>
          </w:p>
        </w:tc>
      </w:tr>
    </w:tbl>
    <w:p w14:paraId="3B230FD3" w14:textId="5F7C2574" w:rsidR="00DD4B3C" w:rsidRPr="008455AD" w:rsidRDefault="00DD4B3C" w:rsidP="009D2E6D">
      <w:pPr>
        <w:adjustRightInd w:val="0"/>
        <w:snapToGrid w:val="0"/>
        <w:spacing w:line="360" w:lineRule="auto"/>
        <w:jc w:val="both"/>
        <w:rPr>
          <w:rFonts w:ascii="Book Antiqua" w:hAnsi="Book Antiqua" w:cs="Times New Roman"/>
          <w:color w:val="000000" w:themeColor="text1"/>
          <w:szCs w:val="24"/>
        </w:rPr>
      </w:pPr>
      <w:proofErr w:type="spellStart"/>
      <w:r w:rsidRPr="009D2E6D">
        <w:rPr>
          <w:rFonts w:ascii="Book Antiqua" w:eastAsia="PMingLiU" w:hAnsi="Book Antiqua" w:cs="Arial"/>
          <w:color w:val="000000" w:themeColor="text1"/>
          <w:kern w:val="0"/>
          <w:szCs w:val="24"/>
          <w:vertAlign w:val="superscript"/>
        </w:rPr>
        <w:t>a</w:t>
      </w:r>
      <w:r w:rsidRPr="009D2E6D">
        <w:rPr>
          <w:rFonts w:ascii="Book Antiqua" w:eastAsia="PMingLiU" w:hAnsi="Book Antiqua" w:cs="Open Sans"/>
          <w:i/>
          <w:color w:val="000000" w:themeColor="text1"/>
          <w:kern w:val="0"/>
          <w:szCs w:val="24"/>
        </w:rPr>
        <w:t>P</w:t>
      </w:r>
      <w:proofErr w:type="spellEnd"/>
      <w:r w:rsidR="008455AD">
        <w:rPr>
          <w:rFonts w:ascii="Book Antiqua" w:eastAsia="PMingLiU" w:hAnsi="Book Antiqua" w:cs="Open Sans"/>
          <w:i/>
          <w:color w:val="000000" w:themeColor="text1"/>
          <w:kern w:val="0"/>
          <w:szCs w:val="24"/>
        </w:rPr>
        <w:t xml:space="preserve"> </w:t>
      </w:r>
      <w:r w:rsidR="008455AD">
        <w:rPr>
          <w:rFonts w:ascii="Book Antiqua" w:eastAsia="PMingLiU" w:hAnsi="Book Antiqua" w:cs="Times New Roman"/>
          <w:color w:val="000000" w:themeColor="text1"/>
          <w:kern w:val="0"/>
          <w:szCs w:val="24"/>
        </w:rPr>
        <w:t xml:space="preserve">&lt; 0.05. </w:t>
      </w:r>
      <w:r w:rsidRPr="009D2E6D">
        <w:rPr>
          <w:rFonts w:ascii="Book Antiqua" w:eastAsia="PMingLiU" w:hAnsi="Book Antiqua" w:cs="Times New Roman"/>
          <w:color w:val="000000" w:themeColor="text1"/>
          <w:kern w:val="0"/>
          <w:szCs w:val="24"/>
        </w:rPr>
        <w:t xml:space="preserve">BE: Barrett’s esophagus; BMI: Body mass index; ESEM: Endoscopically suspected esophageal metaplasia; </w:t>
      </w:r>
      <w:r w:rsidRPr="009D2E6D">
        <w:rPr>
          <w:rFonts w:ascii="Book Antiqua" w:eastAsia="PMingLiU" w:hAnsi="Book Antiqua" w:cs="Times New Roman"/>
          <w:i/>
          <w:color w:val="000000" w:themeColor="text1"/>
          <w:kern w:val="0"/>
          <w:szCs w:val="24"/>
        </w:rPr>
        <w:t>H.</w:t>
      </w:r>
      <w:r w:rsidR="008B77CB" w:rsidRPr="009D2E6D">
        <w:rPr>
          <w:rFonts w:ascii="Book Antiqua" w:eastAsia="PMingLiU" w:hAnsi="Book Antiqua" w:cs="Times New Roman"/>
          <w:i/>
          <w:color w:val="000000" w:themeColor="text1"/>
          <w:kern w:val="0"/>
          <w:szCs w:val="24"/>
        </w:rPr>
        <w:t xml:space="preserve"> </w:t>
      </w:r>
      <w:r w:rsidRPr="009D2E6D">
        <w:rPr>
          <w:rFonts w:ascii="Book Antiqua" w:eastAsia="PMingLiU" w:hAnsi="Book Antiqua" w:cs="Times New Roman"/>
          <w:i/>
          <w:color w:val="000000" w:themeColor="text1"/>
          <w:kern w:val="0"/>
          <w:szCs w:val="24"/>
        </w:rPr>
        <w:t>pylori</w:t>
      </w:r>
      <w:r w:rsidRPr="009D2E6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i/>
          <w:color w:val="000000" w:themeColor="text1"/>
          <w:kern w:val="0"/>
          <w:szCs w:val="24"/>
        </w:rPr>
        <w:t>Helicobacter pylori</w:t>
      </w:r>
      <w:r w:rsidRPr="009D2E6D">
        <w:rPr>
          <w:rFonts w:ascii="Book Antiqua" w:eastAsia="PMingLiU" w:hAnsi="Book Antiqua" w:cs="Times New Roman"/>
          <w:color w:val="000000" w:themeColor="text1"/>
          <w:kern w:val="0"/>
          <w:szCs w:val="24"/>
        </w:rPr>
        <w:t>; IM: Intestinal metaplasia</w:t>
      </w:r>
      <w:r w:rsidR="00365994" w:rsidRPr="009D2E6D">
        <w:rPr>
          <w:rFonts w:ascii="Book Antiqua" w:eastAsia="PMingLiU" w:hAnsi="Book Antiqua" w:cs="Times New Roman"/>
          <w:color w:val="000000" w:themeColor="text1"/>
          <w:kern w:val="0"/>
          <w:szCs w:val="24"/>
        </w:rPr>
        <w:t>; SD: Standard deviation</w:t>
      </w:r>
      <w:r w:rsidRPr="009D2E6D">
        <w:rPr>
          <w:rFonts w:ascii="Book Antiqua" w:eastAsia="PMingLiU" w:hAnsi="Book Antiqua" w:cs="Times New Roman"/>
          <w:color w:val="000000" w:themeColor="text1"/>
          <w:kern w:val="0"/>
          <w:szCs w:val="24"/>
        </w:rPr>
        <w:t>.</w:t>
      </w:r>
    </w:p>
    <w:p w14:paraId="4B22EF16" w14:textId="77777777" w:rsidR="00DD4B3C" w:rsidRDefault="00DD4B3C" w:rsidP="009D2E6D">
      <w:pPr>
        <w:adjustRightInd w:val="0"/>
        <w:snapToGrid w:val="0"/>
        <w:spacing w:line="360" w:lineRule="auto"/>
        <w:jc w:val="both"/>
        <w:rPr>
          <w:rFonts w:ascii="Book Antiqua" w:hAnsi="Book Antiqua"/>
          <w:color w:val="000000" w:themeColor="text1"/>
          <w:szCs w:val="24"/>
        </w:rPr>
      </w:pPr>
      <w:r w:rsidRPr="009D2E6D">
        <w:rPr>
          <w:rFonts w:ascii="Book Antiqua" w:hAnsi="Book Antiqua"/>
          <w:color w:val="000000" w:themeColor="text1"/>
          <w:szCs w:val="24"/>
        </w:rPr>
        <w:br w:type="page"/>
      </w:r>
    </w:p>
    <w:p w14:paraId="2D111F69" w14:textId="25709F33" w:rsidR="008455AD" w:rsidRPr="009D2E6D" w:rsidRDefault="006D7650" w:rsidP="009D2E6D">
      <w:pPr>
        <w:adjustRightInd w:val="0"/>
        <w:snapToGrid w:val="0"/>
        <w:spacing w:line="360" w:lineRule="auto"/>
        <w:jc w:val="both"/>
        <w:rPr>
          <w:rFonts w:ascii="Book Antiqua" w:hAnsi="Book Antiqua"/>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4 </w:t>
      </w:r>
      <w:r w:rsidRPr="009D2E6D">
        <w:rPr>
          <w:rFonts w:ascii="Book Antiqua" w:eastAsia="PMingLiU" w:hAnsi="Book Antiqua" w:cs="Times New Roman"/>
          <w:b/>
          <w:color w:val="000000" w:themeColor="text1"/>
          <w:kern w:val="0"/>
          <w:szCs w:val="24"/>
        </w:rPr>
        <w:t>Multivariate analysis of risk factors in relation to presence of specialized intestinal metaplasia</w:t>
      </w:r>
    </w:p>
    <w:tbl>
      <w:tblPr>
        <w:tblW w:w="5000" w:type="pct"/>
        <w:tblCellMar>
          <w:left w:w="28" w:type="dxa"/>
          <w:right w:w="28" w:type="dxa"/>
        </w:tblCellMar>
        <w:tblLook w:val="04A0" w:firstRow="1" w:lastRow="0" w:firstColumn="1" w:lastColumn="0" w:noHBand="0" w:noVBand="1"/>
      </w:tblPr>
      <w:tblGrid>
        <w:gridCol w:w="1623"/>
        <w:gridCol w:w="1283"/>
        <w:gridCol w:w="1650"/>
        <w:gridCol w:w="2365"/>
        <w:gridCol w:w="1385"/>
      </w:tblGrid>
      <w:tr w:rsidR="00DD4B3C" w:rsidRPr="009D2E6D" w14:paraId="57EC44F6" w14:textId="77777777" w:rsidTr="006D7650">
        <w:trPr>
          <w:trHeight w:val="345"/>
        </w:trPr>
        <w:tc>
          <w:tcPr>
            <w:tcW w:w="990" w:type="pct"/>
            <w:tcBorders>
              <w:top w:val="single" w:sz="4" w:space="0" w:color="auto"/>
              <w:left w:val="nil"/>
              <w:bottom w:val="single" w:sz="12" w:space="0" w:color="auto"/>
              <w:right w:val="nil"/>
            </w:tcBorders>
            <w:shd w:val="clear" w:color="auto" w:fill="auto"/>
            <w:noWrap/>
            <w:vAlign w:val="center"/>
            <w:hideMark/>
          </w:tcPr>
          <w:p w14:paraId="34FF4ECB" w14:textId="4F683DFE" w:rsidR="00DD4B3C" w:rsidRPr="009D2E6D" w:rsidRDefault="006D7650"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Clinical f</w:t>
            </w:r>
            <w:r w:rsidR="00DD4B3C" w:rsidRPr="009D2E6D">
              <w:rPr>
                <w:rFonts w:ascii="Book Antiqua" w:eastAsia="PMingLiU" w:hAnsi="Book Antiqua" w:cs="Times New Roman"/>
                <w:b/>
                <w:color w:val="000000" w:themeColor="text1"/>
                <w:kern w:val="0"/>
                <w:szCs w:val="24"/>
              </w:rPr>
              <w:t xml:space="preserve">actor </w:t>
            </w:r>
          </w:p>
        </w:tc>
        <w:tc>
          <w:tcPr>
            <w:tcW w:w="747" w:type="pct"/>
            <w:tcBorders>
              <w:top w:val="single" w:sz="4" w:space="0" w:color="auto"/>
              <w:left w:val="nil"/>
              <w:bottom w:val="single" w:sz="12" w:space="0" w:color="auto"/>
              <w:right w:val="nil"/>
            </w:tcBorders>
            <w:shd w:val="clear" w:color="auto" w:fill="auto"/>
            <w:noWrap/>
            <w:vAlign w:val="center"/>
            <w:hideMark/>
          </w:tcPr>
          <w:p w14:paraId="417EA447"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Coefficient</w:t>
            </w:r>
          </w:p>
        </w:tc>
        <w:tc>
          <w:tcPr>
            <w:tcW w:w="979" w:type="pct"/>
            <w:tcBorders>
              <w:top w:val="single" w:sz="4" w:space="0" w:color="auto"/>
              <w:left w:val="nil"/>
              <w:bottom w:val="single" w:sz="12" w:space="0" w:color="auto"/>
              <w:right w:val="nil"/>
            </w:tcBorders>
            <w:shd w:val="clear" w:color="auto" w:fill="auto"/>
            <w:noWrap/>
            <w:vAlign w:val="center"/>
            <w:hideMark/>
          </w:tcPr>
          <w:p w14:paraId="32710C2A" w14:textId="5E189B17" w:rsidR="00DD4B3C" w:rsidRPr="009D2E6D" w:rsidRDefault="006D7650"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Standard e</w:t>
            </w:r>
            <w:r w:rsidR="00DD4B3C" w:rsidRPr="009D2E6D">
              <w:rPr>
                <w:rFonts w:ascii="Book Antiqua" w:eastAsia="PMingLiU" w:hAnsi="Book Antiqua" w:cs="Times New Roman"/>
                <w:b/>
                <w:color w:val="000000" w:themeColor="text1"/>
                <w:kern w:val="0"/>
                <w:szCs w:val="24"/>
              </w:rPr>
              <w:t>rror</w:t>
            </w:r>
          </w:p>
        </w:tc>
        <w:tc>
          <w:tcPr>
            <w:tcW w:w="1437" w:type="pct"/>
            <w:tcBorders>
              <w:top w:val="single" w:sz="4" w:space="0" w:color="auto"/>
              <w:left w:val="nil"/>
              <w:bottom w:val="single" w:sz="12" w:space="0" w:color="auto"/>
              <w:right w:val="nil"/>
            </w:tcBorders>
            <w:shd w:val="clear" w:color="auto" w:fill="auto"/>
            <w:noWrap/>
            <w:vAlign w:val="center"/>
            <w:hideMark/>
          </w:tcPr>
          <w:p w14:paraId="35EC6EF7" w14:textId="0F9AB5B7" w:rsidR="00DD4B3C" w:rsidRPr="009D2E6D" w:rsidRDefault="006D7650"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Odds r</w:t>
            </w:r>
            <w:r w:rsidR="00DD4B3C" w:rsidRPr="009D2E6D">
              <w:rPr>
                <w:rFonts w:ascii="Book Antiqua" w:eastAsia="PMingLiU" w:hAnsi="Book Antiqua" w:cs="Times New Roman"/>
                <w:b/>
                <w:color w:val="000000" w:themeColor="text1"/>
                <w:kern w:val="0"/>
                <w:szCs w:val="24"/>
              </w:rPr>
              <w:t>atio (95%CI)</w:t>
            </w:r>
          </w:p>
        </w:tc>
        <w:tc>
          <w:tcPr>
            <w:tcW w:w="847" w:type="pct"/>
            <w:tcBorders>
              <w:top w:val="single" w:sz="4" w:space="0" w:color="auto"/>
              <w:left w:val="nil"/>
              <w:bottom w:val="single" w:sz="12" w:space="0" w:color="auto"/>
              <w:right w:val="nil"/>
            </w:tcBorders>
            <w:shd w:val="clear" w:color="auto" w:fill="auto"/>
            <w:noWrap/>
            <w:vAlign w:val="center"/>
            <w:hideMark/>
          </w:tcPr>
          <w:p w14:paraId="4A69CD0D" w14:textId="6F7AF40E" w:rsidR="00DD4B3C" w:rsidRPr="009D2E6D" w:rsidRDefault="00DD4B3C"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sidR="006D7650">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DD4B3C" w:rsidRPr="009D2E6D" w14:paraId="4594D213" w14:textId="77777777" w:rsidTr="006D7650">
        <w:trPr>
          <w:trHeight w:val="330"/>
        </w:trPr>
        <w:tc>
          <w:tcPr>
            <w:tcW w:w="990" w:type="pct"/>
            <w:tcBorders>
              <w:top w:val="single" w:sz="12" w:space="0" w:color="auto"/>
              <w:left w:val="nil"/>
              <w:bottom w:val="single" w:sz="12" w:space="0" w:color="auto"/>
              <w:right w:val="nil"/>
            </w:tcBorders>
            <w:shd w:val="clear" w:color="auto" w:fill="auto"/>
            <w:noWrap/>
            <w:vAlign w:val="center"/>
            <w:hideMark/>
          </w:tcPr>
          <w:p w14:paraId="1E1E7805"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w:t>
            </w:r>
          </w:p>
        </w:tc>
        <w:tc>
          <w:tcPr>
            <w:tcW w:w="747" w:type="pct"/>
            <w:tcBorders>
              <w:top w:val="single" w:sz="12" w:space="0" w:color="auto"/>
              <w:left w:val="nil"/>
              <w:bottom w:val="single" w:sz="12" w:space="0" w:color="auto"/>
              <w:right w:val="nil"/>
            </w:tcBorders>
            <w:shd w:val="clear" w:color="auto" w:fill="auto"/>
            <w:noWrap/>
            <w:vAlign w:val="center"/>
            <w:hideMark/>
          </w:tcPr>
          <w:p w14:paraId="11EF2BD0"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0.029</w:t>
            </w:r>
          </w:p>
        </w:tc>
        <w:tc>
          <w:tcPr>
            <w:tcW w:w="979" w:type="pct"/>
            <w:tcBorders>
              <w:top w:val="single" w:sz="12" w:space="0" w:color="auto"/>
              <w:left w:val="nil"/>
              <w:bottom w:val="single" w:sz="12" w:space="0" w:color="auto"/>
              <w:right w:val="nil"/>
            </w:tcBorders>
            <w:shd w:val="clear" w:color="auto" w:fill="auto"/>
            <w:noWrap/>
            <w:vAlign w:val="center"/>
            <w:hideMark/>
          </w:tcPr>
          <w:p w14:paraId="1F7095CB"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0.012</w:t>
            </w:r>
          </w:p>
        </w:tc>
        <w:tc>
          <w:tcPr>
            <w:tcW w:w="1437" w:type="pct"/>
            <w:tcBorders>
              <w:top w:val="single" w:sz="12" w:space="0" w:color="auto"/>
              <w:left w:val="nil"/>
              <w:bottom w:val="single" w:sz="12" w:space="0" w:color="auto"/>
              <w:right w:val="nil"/>
            </w:tcBorders>
            <w:shd w:val="clear" w:color="auto" w:fill="auto"/>
            <w:noWrap/>
            <w:vAlign w:val="center"/>
            <w:hideMark/>
          </w:tcPr>
          <w:p w14:paraId="3D2F4E4F" w14:textId="26EDFC7C"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1.029 (1.006</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1.053)</w:t>
            </w:r>
          </w:p>
        </w:tc>
        <w:tc>
          <w:tcPr>
            <w:tcW w:w="847" w:type="pct"/>
            <w:tcBorders>
              <w:top w:val="single" w:sz="12" w:space="0" w:color="auto"/>
              <w:left w:val="nil"/>
              <w:bottom w:val="single" w:sz="12" w:space="0" w:color="auto"/>
              <w:right w:val="nil"/>
            </w:tcBorders>
            <w:shd w:val="clear" w:color="auto" w:fill="auto"/>
            <w:noWrap/>
            <w:vAlign w:val="center"/>
            <w:hideMark/>
          </w:tcPr>
          <w:p w14:paraId="5ADC0410"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0.014</w:t>
            </w:r>
            <w:r w:rsidRPr="009D2E6D">
              <w:rPr>
                <w:rFonts w:ascii="Book Antiqua" w:eastAsia="PMingLiU" w:hAnsi="Book Antiqua" w:cs="Arial"/>
                <w:color w:val="000000" w:themeColor="text1"/>
                <w:kern w:val="0"/>
                <w:szCs w:val="24"/>
                <w:vertAlign w:val="superscript"/>
              </w:rPr>
              <w:t xml:space="preserve"> a</w:t>
            </w:r>
          </w:p>
        </w:tc>
      </w:tr>
    </w:tbl>
    <w:p w14:paraId="001B6844" w14:textId="4C7A961A" w:rsidR="00C04E48" w:rsidRPr="006D7650" w:rsidRDefault="00DD4B3C" w:rsidP="009D2E6D">
      <w:pPr>
        <w:adjustRightInd w:val="0"/>
        <w:snapToGrid w:val="0"/>
        <w:spacing w:line="360" w:lineRule="auto"/>
        <w:jc w:val="both"/>
        <w:rPr>
          <w:rFonts w:ascii="Book Antiqua" w:hAnsi="Book Antiqua" w:cs="Times New Roman"/>
          <w:color w:val="000000" w:themeColor="text1"/>
          <w:szCs w:val="24"/>
        </w:rPr>
      </w:pPr>
      <w:proofErr w:type="spellStart"/>
      <w:r w:rsidRPr="009D2E6D">
        <w:rPr>
          <w:rFonts w:ascii="Book Antiqua" w:eastAsia="PMingLiU" w:hAnsi="Book Antiqua" w:cs="Arial"/>
          <w:color w:val="000000" w:themeColor="text1"/>
          <w:kern w:val="0"/>
          <w:szCs w:val="24"/>
          <w:vertAlign w:val="superscript"/>
        </w:rPr>
        <w:t>a</w:t>
      </w:r>
      <w:r w:rsidRPr="009D2E6D">
        <w:rPr>
          <w:rFonts w:ascii="Book Antiqua" w:eastAsia="PMingLiU" w:hAnsi="Book Antiqua" w:cs="Open Sans"/>
          <w:i/>
          <w:color w:val="000000" w:themeColor="text1"/>
          <w:kern w:val="0"/>
          <w:szCs w:val="24"/>
        </w:rPr>
        <w:t>P</w:t>
      </w:r>
      <w:proofErr w:type="spellEnd"/>
      <w:r w:rsidR="006D7650">
        <w:rPr>
          <w:rFonts w:ascii="Book Antiqua" w:eastAsia="PMingLiU" w:hAnsi="Book Antiqua" w:cs="Open Sans"/>
          <w:i/>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sidR="006D7650">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0.05. CI: Confidence interval.</w:t>
      </w:r>
    </w:p>
    <w:sectPr w:rsidR="00C04E48" w:rsidRPr="006D7650" w:rsidSect="00896A1E">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BBD9" w14:textId="77777777" w:rsidR="00E636CB" w:rsidRDefault="00E636CB">
      <w:r>
        <w:separator/>
      </w:r>
    </w:p>
  </w:endnote>
  <w:endnote w:type="continuationSeparator" w:id="0">
    <w:p w14:paraId="4BC08E3D" w14:textId="77777777" w:rsidR="00E636CB" w:rsidRDefault="00E6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Microsoft YaHei"/>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GulimChe">
    <w:charset w:val="81"/>
    <w:family w:val="modern"/>
    <w:pitch w:val="fixed"/>
    <w:sig w:usb0="B00002AF" w:usb1="69D77CFB" w:usb2="00000030" w:usb3="00000000" w:csb0="0008009F" w:csb1="00000000"/>
  </w:font>
  <w:font w:name="DFKai-SB">
    <w:altName w:val="Microsoft YaHei"/>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7877" w14:textId="1394D5C6" w:rsidR="00371368" w:rsidRDefault="00371368">
    <w:pPr>
      <w:pStyle w:val="Footer"/>
      <w:jc w:val="center"/>
    </w:pPr>
  </w:p>
  <w:p w14:paraId="4206462C" w14:textId="77777777" w:rsidR="00371368" w:rsidRDefault="0037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F840" w14:textId="77777777" w:rsidR="00E636CB" w:rsidRDefault="00E636CB">
      <w:r>
        <w:separator/>
      </w:r>
    </w:p>
  </w:footnote>
  <w:footnote w:type="continuationSeparator" w:id="0">
    <w:p w14:paraId="4668A386" w14:textId="77777777" w:rsidR="00E636CB" w:rsidRDefault="00E63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35646"/>
    <w:multiLevelType w:val="hybridMultilevel"/>
    <w:tmpl w:val="823247F4"/>
    <w:lvl w:ilvl="0" w:tplc="C0CAA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792BC0"/>
    <w:multiLevelType w:val="hybridMultilevel"/>
    <w:tmpl w:val="96AE329C"/>
    <w:lvl w:ilvl="0" w:tplc="3FA2A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D4B3C"/>
    <w:rsid w:val="00042A82"/>
    <w:rsid w:val="00071D47"/>
    <w:rsid w:val="000B2E5F"/>
    <w:rsid w:val="000D0EC2"/>
    <w:rsid w:val="000D349A"/>
    <w:rsid w:val="00116D84"/>
    <w:rsid w:val="00137C3E"/>
    <w:rsid w:val="00146065"/>
    <w:rsid w:val="00153BEE"/>
    <w:rsid w:val="0019118A"/>
    <w:rsid w:val="001A61FD"/>
    <w:rsid w:val="001B67FF"/>
    <w:rsid w:val="001C791A"/>
    <w:rsid w:val="001F598E"/>
    <w:rsid w:val="00203B24"/>
    <w:rsid w:val="002248D3"/>
    <w:rsid w:val="00235DAD"/>
    <w:rsid w:val="00236CB6"/>
    <w:rsid w:val="002B7148"/>
    <w:rsid w:val="002F2819"/>
    <w:rsid w:val="0030619B"/>
    <w:rsid w:val="00330E47"/>
    <w:rsid w:val="00341781"/>
    <w:rsid w:val="00365994"/>
    <w:rsid w:val="00371368"/>
    <w:rsid w:val="00385224"/>
    <w:rsid w:val="0039763A"/>
    <w:rsid w:val="003B7601"/>
    <w:rsid w:val="003C2A21"/>
    <w:rsid w:val="003C5E9B"/>
    <w:rsid w:val="003E6AF9"/>
    <w:rsid w:val="00403F00"/>
    <w:rsid w:val="00405664"/>
    <w:rsid w:val="00416836"/>
    <w:rsid w:val="00430E52"/>
    <w:rsid w:val="00467AFC"/>
    <w:rsid w:val="00495CB6"/>
    <w:rsid w:val="004978C5"/>
    <w:rsid w:val="004D19D4"/>
    <w:rsid w:val="00536197"/>
    <w:rsid w:val="00553B07"/>
    <w:rsid w:val="00556233"/>
    <w:rsid w:val="005626B4"/>
    <w:rsid w:val="00566A43"/>
    <w:rsid w:val="005A7A42"/>
    <w:rsid w:val="005C0BCE"/>
    <w:rsid w:val="005C7AF3"/>
    <w:rsid w:val="00613396"/>
    <w:rsid w:val="00632435"/>
    <w:rsid w:val="00671AE2"/>
    <w:rsid w:val="006B12E8"/>
    <w:rsid w:val="006D7650"/>
    <w:rsid w:val="007570FC"/>
    <w:rsid w:val="007574D8"/>
    <w:rsid w:val="00770FBC"/>
    <w:rsid w:val="007C61A2"/>
    <w:rsid w:val="007E2C9F"/>
    <w:rsid w:val="008105A0"/>
    <w:rsid w:val="00826AFE"/>
    <w:rsid w:val="0083765F"/>
    <w:rsid w:val="008455AD"/>
    <w:rsid w:val="0085056A"/>
    <w:rsid w:val="00871F14"/>
    <w:rsid w:val="008721D3"/>
    <w:rsid w:val="00874785"/>
    <w:rsid w:val="00896A1E"/>
    <w:rsid w:val="008B77CB"/>
    <w:rsid w:val="008F369B"/>
    <w:rsid w:val="00903CD0"/>
    <w:rsid w:val="00917513"/>
    <w:rsid w:val="00936790"/>
    <w:rsid w:val="0095335C"/>
    <w:rsid w:val="0095445F"/>
    <w:rsid w:val="00965939"/>
    <w:rsid w:val="00986D21"/>
    <w:rsid w:val="0099242F"/>
    <w:rsid w:val="009B6397"/>
    <w:rsid w:val="009D2E6D"/>
    <w:rsid w:val="009F01ED"/>
    <w:rsid w:val="009F1218"/>
    <w:rsid w:val="009F1FFC"/>
    <w:rsid w:val="009F6548"/>
    <w:rsid w:val="00A006C7"/>
    <w:rsid w:val="00A23E4A"/>
    <w:rsid w:val="00A27AF3"/>
    <w:rsid w:val="00A41F8F"/>
    <w:rsid w:val="00A43E16"/>
    <w:rsid w:val="00A44DF2"/>
    <w:rsid w:val="00A81333"/>
    <w:rsid w:val="00A871F0"/>
    <w:rsid w:val="00B52811"/>
    <w:rsid w:val="00B720F2"/>
    <w:rsid w:val="00BA3B42"/>
    <w:rsid w:val="00BB7D47"/>
    <w:rsid w:val="00C04E48"/>
    <w:rsid w:val="00C06984"/>
    <w:rsid w:val="00C352C6"/>
    <w:rsid w:val="00C42CE7"/>
    <w:rsid w:val="00C838C0"/>
    <w:rsid w:val="00C85A50"/>
    <w:rsid w:val="00C9155D"/>
    <w:rsid w:val="00C952C1"/>
    <w:rsid w:val="00CB546C"/>
    <w:rsid w:val="00CC623D"/>
    <w:rsid w:val="00CF4BA2"/>
    <w:rsid w:val="00D01E7D"/>
    <w:rsid w:val="00D108EC"/>
    <w:rsid w:val="00D14D7D"/>
    <w:rsid w:val="00D34C76"/>
    <w:rsid w:val="00DB24BA"/>
    <w:rsid w:val="00DD4B3C"/>
    <w:rsid w:val="00DF0757"/>
    <w:rsid w:val="00E125F1"/>
    <w:rsid w:val="00E24B13"/>
    <w:rsid w:val="00E5737C"/>
    <w:rsid w:val="00E636CB"/>
    <w:rsid w:val="00EB2890"/>
    <w:rsid w:val="00EC5E73"/>
    <w:rsid w:val="00EF3C80"/>
    <w:rsid w:val="00EF440C"/>
    <w:rsid w:val="00F67955"/>
    <w:rsid w:val="00F87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79F7"/>
  <w15:docId w15:val="{79BD1AFC-D762-47C4-832C-96AA168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B3C"/>
    <w:pPr>
      <w:widowControl w:val="0"/>
    </w:pPr>
  </w:style>
  <w:style w:type="paragraph" w:styleId="Heading1">
    <w:name w:val="heading 1"/>
    <w:basedOn w:val="Normal"/>
    <w:link w:val="Heading1Char"/>
    <w:uiPriority w:val="9"/>
    <w:qFormat/>
    <w:rsid w:val="00DD4B3C"/>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B3C"/>
    <w:rPr>
      <w:rFonts w:ascii="PMingLiU" w:eastAsia="PMingLiU" w:hAnsi="PMingLiU" w:cs="PMingLiU"/>
      <w:b/>
      <w:bCs/>
      <w:kern w:val="36"/>
      <w:sz w:val="48"/>
      <w:szCs w:val="48"/>
    </w:rPr>
  </w:style>
  <w:style w:type="paragraph" w:styleId="Header">
    <w:name w:val="header"/>
    <w:basedOn w:val="Normal"/>
    <w:link w:val="HeaderChar"/>
    <w:uiPriority w:val="99"/>
    <w:unhideWhenUsed/>
    <w:rsid w:val="00DD4B3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D4B3C"/>
    <w:rPr>
      <w:sz w:val="20"/>
      <w:szCs w:val="20"/>
    </w:rPr>
  </w:style>
  <w:style w:type="paragraph" w:styleId="Footer">
    <w:name w:val="footer"/>
    <w:basedOn w:val="Normal"/>
    <w:link w:val="FooterChar"/>
    <w:uiPriority w:val="99"/>
    <w:unhideWhenUsed/>
    <w:rsid w:val="00DD4B3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D4B3C"/>
    <w:rPr>
      <w:sz w:val="20"/>
      <w:szCs w:val="20"/>
    </w:rPr>
  </w:style>
  <w:style w:type="paragraph" w:customStyle="1" w:styleId="EndNoteBibliographyTitle">
    <w:name w:val="EndNote Bibliography Title"/>
    <w:basedOn w:val="Normal"/>
    <w:link w:val="EndNoteBibliographyTitle0"/>
    <w:rsid w:val="00DD4B3C"/>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DD4B3C"/>
    <w:rPr>
      <w:rFonts w:ascii="Calibri" w:hAnsi="Calibri" w:cs="Calibri"/>
      <w:noProof/>
    </w:rPr>
  </w:style>
  <w:style w:type="paragraph" w:customStyle="1" w:styleId="EndNoteBibliography">
    <w:name w:val="EndNote Bibliography"/>
    <w:basedOn w:val="Normal"/>
    <w:link w:val="EndNoteBibliography0"/>
    <w:rsid w:val="00DD4B3C"/>
    <w:rPr>
      <w:rFonts w:ascii="Calibri" w:hAnsi="Calibri" w:cs="Calibri"/>
      <w:noProof/>
    </w:rPr>
  </w:style>
  <w:style w:type="character" w:customStyle="1" w:styleId="EndNoteBibliography0">
    <w:name w:val="EndNote Bibliography 字元"/>
    <w:basedOn w:val="DefaultParagraphFont"/>
    <w:link w:val="EndNoteBibliography"/>
    <w:rsid w:val="00DD4B3C"/>
    <w:rPr>
      <w:rFonts w:ascii="Calibri" w:hAnsi="Calibri" w:cs="Calibri"/>
      <w:noProof/>
    </w:rPr>
  </w:style>
  <w:style w:type="character" w:styleId="Hyperlink">
    <w:name w:val="Hyperlink"/>
    <w:basedOn w:val="DefaultParagraphFont"/>
    <w:uiPriority w:val="99"/>
    <w:unhideWhenUsed/>
    <w:rsid w:val="00DD4B3C"/>
    <w:rPr>
      <w:color w:val="0000FF" w:themeColor="hyperlink"/>
      <w:u w:val="single"/>
    </w:rPr>
  </w:style>
  <w:style w:type="paragraph" w:styleId="BalloonText">
    <w:name w:val="Balloon Text"/>
    <w:basedOn w:val="Normal"/>
    <w:link w:val="BalloonTextChar"/>
    <w:uiPriority w:val="99"/>
    <w:semiHidden/>
    <w:unhideWhenUsed/>
    <w:rsid w:val="00DD4B3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4B3C"/>
    <w:rPr>
      <w:rFonts w:asciiTheme="majorHAnsi" w:eastAsiaTheme="majorEastAsia" w:hAnsiTheme="majorHAnsi" w:cstheme="majorBidi"/>
      <w:sz w:val="18"/>
      <w:szCs w:val="18"/>
    </w:rPr>
  </w:style>
  <w:style w:type="character" w:customStyle="1" w:styleId="apple-converted-space">
    <w:name w:val="apple-converted-space"/>
    <w:basedOn w:val="DefaultParagraphFont"/>
    <w:rsid w:val="00DD4B3C"/>
  </w:style>
  <w:style w:type="character" w:customStyle="1" w:styleId="highlight">
    <w:name w:val="highlight"/>
    <w:basedOn w:val="DefaultParagraphFont"/>
    <w:rsid w:val="00DD4B3C"/>
  </w:style>
  <w:style w:type="character" w:customStyle="1" w:styleId="A2">
    <w:name w:val="A2"/>
    <w:uiPriority w:val="99"/>
    <w:rsid w:val="00DD4B3C"/>
    <w:rPr>
      <w:rFonts w:cs="Times"/>
      <w:color w:val="000000"/>
      <w:sz w:val="20"/>
      <w:szCs w:val="20"/>
    </w:rPr>
  </w:style>
  <w:style w:type="character" w:customStyle="1" w:styleId="1">
    <w:name w:val="未解析的提及項目1"/>
    <w:basedOn w:val="DefaultParagraphFont"/>
    <w:uiPriority w:val="99"/>
    <w:semiHidden/>
    <w:unhideWhenUsed/>
    <w:rsid w:val="00DD4B3C"/>
    <w:rPr>
      <w:color w:val="605E5C"/>
      <w:shd w:val="clear" w:color="auto" w:fill="E1DFDD"/>
    </w:rPr>
  </w:style>
  <w:style w:type="paragraph" w:styleId="Subtitle">
    <w:name w:val="Subtitle"/>
    <w:basedOn w:val="Normal"/>
    <w:next w:val="Normal"/>
    <w:link w:val="SubtitleChar"/>
    <w:uiPriority w:val="11"/>
    <w:qFormat/>
    <w:rsid w:val="00DD4B3C"/>
    <w:pPr>
      <w:spacing w:after="60"/>
      <w:jc w:val="center"/>
      <w:outlineLvl w:val="1"/>
    </w:pPr>
    <w:rPr>
      <w:rFonts w:asciiTheme="majorHAnsi" w:eastAsia="PMingLiU" w:hAnsiTheme="majorHAnsi" w:cstheme="majorBidi"/>
      <w:i/>
      <w:iCs/>
      <w:szCs w:val="24"/>
    </w:rPr>
  </w:style>
  <w:style w:type="character" w:customStyle="1" w:styleId="SubtitleChar">
    <w:name w:val="Subtitle Char"/>
    <w:basedOn w:val="DefaultParagraphFont"/>
    <w:link w:val="Subtitle"/>
    <w:uiPriority w:val="11"/>
    <w:rsid w:val="00DD4B3C"/>
    <w:rPr>
      <w:rFonts w:asciiTheme="majorHAnsi" w:eastAsia="PMingLiU" w:hAnsiTheme="majorHAnsi" w:cstheme="majorBidi"/>
      <w:i/>
      <w:iCs/>
      <w:szCs w:val="24"/>
    </w:rPr>
  </w:style>
  <w:style w:type="paragraph" w:styleId="ListParagraph">
    <w:name w:val="List Paragraph"/>
    <w:basedOn w:val="Normal"/>
    <w:uiPriority w:val="34"/>
    <w:qFormat/>
    <w:rsid w:val="00DD4B3C"/>
    <w:pPr>
      <w:ind w:leftChars="200" w:left="480"/>
    </w:pPr>
  </w:style>
  <w:style w:type="character" w:styleId="Emphasis">
    <w:name w:val="Emphasis"/>
    <w:uiPriority w:val="20"/>
    <w:qFormat/>
    <w:rsid w:val="00DD4B3C"/>
    <w:rPr>
      <w:i/>
      <w:iCs/>
    </w:rPr>
  </w:style>
  <w:style w:type="paragraph" w:customStyle="1" w:styleId="Default">
    <w:name w:val="Default"/>
    <w:rsid w:val="00DD4B3C"/>
    <w:pPr>
      <w:widowControl w:val="0"/>
      <w:autoSpaceDE w:val="0"/>
      <w:autoSpaceDN w:val="0"/>
      <w:adjustRightInd w:val="0"/>
    </w:pPr>
    <w:rPr>
      <w:rFonts w:ascii="Book Antiqua" w:hAnsi="Book Antiqua" w:cs="Book Antiqua"/>
      <w:color w:val="000000"/>
      <w:kern w:val="0"/>
      <w:szCs w:val="24"/>
    </w:rPr>
  </w:style>
  <w:style w:type="character" w:customStyle="1" w:styleId="UnresolvedMention1">
    <w:name w:val="Unresolved Mention1"/>
    <w:basedOn w:val="DefaultParagraphFont"/>
    <w:uiPriority w:val="99"/>
    <w:semiHidden/>
    <w:unhideWhenUsed/>
    <w:rsid w:val="00536197"/>
    <w:rPr>
      <w:color w:val="605E5C"/>
      <w:shd w:val="clear" w:color="auto" w:fill="E1DFDD"/>
    </w:rPr>
  </w:style>
  <w:style w:type="paragraph" w:customStyle="1" w:styleId="10">
    <w:name w:val="正文1"/>
    <w:uiPriority w:val="99"/>
    <w:rsid w:val="00C352C6"/>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1993">
      <w:bodyDiv w:val="1"/>
      <w:marLeft w:val="0"/>
      <w:marRight w:val="0"/>
      <w:marTop w:val="0"/>
      <w:marBottom w:val="0"/>
      <w:divBdr>
        <w:top w:val="none" w:sz="0" w:space="0" w:color="auto"/>
        <w:left w:val="none" w:sz="0" w:space="0" w:color="auto"/>
        <w:bottom w:val="none" w:sz="0" w:space="0" w:color="auto"/>
        <w:right w:val="none" w:sz="0" w:space="0" w:color="auto"/>
      </w:divBdr>
    </w:div>
    <w:div w:id="17253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hsu@vghks.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303B-5C00-46EE-A654-A3A09CF5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7420</Words>
  <Characters>42297</Characters>
  <Application>Microsoft Office Word</Application>
  <DocSecurity>0</DocSecurity>
  <Lines>352</Lines>
  <Paragraphs>99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2019-03-02T03:22:00Z</dcterms:created>
  <dcterms:modified xsi:type="dcterms:W3CDTF">2019-03-02T03:22:00Z</dcterms:modified>
</cp:coreProperties>
</file>