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media/image6.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87F02" w14:textId="77777777" w:rsidR="00350F6A" w:rsidRPr="00820F66" w:rsidRDefault="00350F6A" w:rsidP="00A43D45">
      <w:pPr>
        <w:spacing w:line="360" w:lineRule="auto"/>
        <w:ind w:rightChars="65" w:right="156"/>
        <w:jc w:val="both"/>
        <w:rPr>
          <w:rFonts w:ascii="Book Antiqua" w:eastAsia="Book Antiqua" w:hAnsi="Book Antiqua"/>
          <w:i/>
        </w:rPr>
      </w:pPr>
      <w:commentRangeStart w:id="0"/>
      <w:r w:rsidRPr="00820F66">
        <w:rPr>
          <w:rFonts w:ascii="Book Antiqua" w:eastAsia="Book Antiqua" w:hAnsi="Book Antiqua"/>
          <w:b/>
        </w:rPr>
        <w:t>Name</w:t>
      </w:r>
      <w:commentRangeEnd w:id="0"/>
      <w:r w:rsidR="00E32C35" w:rsidRPr="00820F66">
        <w:rPr>
          <w:rStyle w:val="afb"/>
        </w:rPr>
        <w:commentReference w:id="0"/>
      </w:r>
      <w:r w:rsidRPr="00820F66">
        <w:rPr>
          <w:rFonts w:ascii="Book Antiqua" w:eastAsia="Book Antiqua" w:hAnsi="Book Antiqua"/>
          <w:b/>
        </w:rPr>
        <w:t xml:space="preserve"> of Journal: </w:t>
      </w:r>
      <w:r w:rsidRPr="00820F66">
        <w:rPr>
          <w:rFonts w:ascii="Book Antiqua" w:eastAsia="Book Antiqua" w:hAnsi="Book Antiqua"/>
          <w:i/>
        </w:rPr>
        <w:t>World Journal of Clinical Cases</w:t>
      </w:r>
    </w:p>
    <w:p w14:paraId="6A7320DD" w14:textId="0FAEA069" w:rsidR="00350F6A" w:rsidRPr="00820F66" w:rsidRDefault="00350F6A" w:rsidP="00A43D45">
      <w:pPr>
        <w:spacing w:line="360" w:lineRule="auto"/>
        <w:ind w:rightChars="65" w:right="156"/>
        <w:jc w:val="both"/>
        <w:rPr>
          <w:rFonts w:ascii="Book Antiqua" w:hAnsi="Book Antiqua"/>
        </w:rPr>
      </w:pPr>
      <w:r w:rsidRPr="00820F66">
        <w:rPr>
          <w:rFonts w:ascii="Book Antiqua" w:eastAsia="Book Antiqua" w:hAnsi="Book Antiqua"/>
          <w:b/>
        </w:rPr>
        <w:t xml:space="preserve">Manuscript NO: </w:t>
      </w:r>
      <w:r w:rsidRPr="00820F66">
        <w:rPr>
          <w:rFonts w:ascii="Book Antiqua" w:hAnsi="Book Antiqua"/>
        </w:rPr>
        <w:t>45</w:t>
      </w:r>
      <w:r w:rsidR="007E5A42" w:rsidRPr="00820F66">
        <w:rPr>
          <w:rFonts w:ascii="Book Antiqua" w:hAnsi="Book Antiqua"/>
        </w:rPr>
        <w:t>502</w:t>
      </w:r>
    </w:p>
    <w:p w14:paraId="45A65B1A" w14:textId="77777777" w:rsidR="00350F6A" w:rsidRPr="00820F66" w:rsidRDefault="00350F6A" w:rsidP="00A43D45">
      <w:pPr>
        <w:spacing w:line="360" w:lineRule="auto"/>
        <w:ind w:rightChars="65" w:right="156"/>
        <w:jc w:val="both"/>
        <w:rPr>
          <w:rFonts w:ascii="Book Antiqua" w:eastAsiaTheme="minorEastAsia" w:hAnsi="Book Antiqua"/>
        </w:rPr>
      </w:pPr>
      <w:r w:rsidRPr="00820F66">
        <w:rPr>
          <w:rFonts w:ascii="Book Antiqua" w:eastAsia="Book Antiqua" w:hAnsi="Book Antiqua"/>
          <w:b/>
        </w:rPr>
        <w:t xml:space="preserve">Manuscript Type: </w:t>
      </w:r>
      <w:r w:rsidRPr="00820F66">
        <w:rPr>
          <w:rFonts w:ascii="Book Antiqua" w:eastAsia="Book Antiqua" w:hAnsi="Book Antiqua"/>
        </w:rPr>
        <w:t>CASE REPORT</w:t>
      </w:r>
    </w:p>
    <w:p w14:paraId="3A117B56" w14:textId="77777777" w:rsidR="002C0890" w:rsidRPr="00820F66" w:rsidRDefault="002C0890" w:rsidP="00A43D45">
      <w:pPr>
        <w:spacing w:line="360" w:lineRule="auto"/>
        <w:ind w:rightChars="65" w:right="156"/>
        <w:jc w:val="both"/>
        <w:rPr>
          <w:rFonts w:ascii="Book Antiqua" w:eastAsiaTheme="minorEastAsia" w:hAnsi="Book Antiqua"/>
        </w:rPr>
      </w:pPr>
    </w:p>
    <w:p w14:paraId="479B6152" w14:textId="71FB821C" w:rsidR="002C0890" w:rsidRPr="00820F66" w:rsidRDefault="007E5A42" w:rsidP="00A43D45">
      <w:pPr>
        <w:autoSpaceDE w:val="0"/>
        <w:autoSpaceDN w:val="0"/>
        <w:adjustRightInd w:val="0"/>
        <w:spacing w:line="360" w:lineRule="auto"/>
        <w:jc w:val="both"/>
        <w:rPr>
          <w:rFonts w:ascii="Book Antiqua" w:hAnsi="Book Antiqua"/>
          <w:b/>
          <w:color w:val="000000"/>
        </w:rPr>
      </w:pPr>
      <w:bookmarkStart w:id="1" w:name="OLE_LINK3"/>
      <w:r w:rsidRPr="00820F66">
        <w:rPr>
          <w:rFonts w:ascii="Book Antiqua" w:hAnsi="Book Antiqua"/>
          <w:b/>
          <w:color w:val="000000"/>
        </w:rPr>
        <w:t>Paraneoplastic</w:t>
      </w:r>
      <w:r w:rsidRPr="00820F66">
        <w:rPr>
          <w:rFonts w:ascii="Book Antiqua" w:hAnsi="Book Antiqua"/>
          <w:b/>
          <w:bCs/>
          <w:color w:val="000000"/>
        </w:rPr>
        <w:t xml:space="preserve"> leukemoid reaction in a patient with </w:t>
      </w:r>
      <w:r w:rsidRPr="00820F66">
        <w:rPr>
          <w:rFonts w:ascii="Book Antiqua" w:hAnsi="Book Antiqua"/>
          <w:b/>
          <w:color w:val="000000"/>
        </w:rPr>
        <w:t>sarcomatoid hepatocellular carcinoma: A case report</w:t>
      </w:r>
    </w:p>
    <w:bookmarkEnd w:id="1"/>
    <w:p w14:paraId="58BB6CD3" w14:textId="77777777" w:rsidR="007E5A42" w:rsidRPr="00820F66" w:rsidRDefault="007E5A42" w:rsidP="00A43D45">
      <w:pPr>
        <w:autoSpaceDE w:val="0"/>
        <w:autoSpaceDN w:val="0"/>
        <w:adjustRightInd w:val="0"/>
        <w:spacing w:line="360" w:lineRule="auto"/>
        <w:jc w:val="both"/>
        <w:rPr>
          <w:rFonts w:ascii="Book Antiqua" w:hAnsi="Book Antiqua"/>
          <w:b/>
          <w:bCs/>
        </w:rPr>
      </w:pPr>
    </w:p>
    <w:p w14:paraId="04CDE2D8" w14:textId="1CB48118" w:rsidR="00350F6A" w:rsidRPr="00820F66" w:rsidRDefault="007E5A42" w:rsidP="00A43D45">
      <w:pPr>
        <w:spacing w:line="360" w:lineRule="auto"/>
        <w:jc w:val="both"/>
        <w:rPr>
          <w:rFonts w:ascii="Book Antiqua" w:eastAsiaTheme="minorEastAsia" w:hAnsi="Book Antiqua"/>
        </w:rPr>
      </w:pPr>
      <w:r w:rsidRPr="00820F66">
        <w:rPr>
          <w:rFonts w:ascii="Book Antiqua" w:eastAsiaTheme="minorEastAsia" w:hAnsi="Book Antiqua"/>
        </w:rPr>
        <w:t>Hu B</w:t>
      </w:r>
      <w:r w:rsidR="002C0890" w:rsidRPr="00820F66">
        <w:rPr>
          <w:rFonts w:ascii="Book Antiqua" w:eastAsiaTheme="minorEastAsia" w:hAnsi="Book Antiqua"/>
        </w:rPr>
        <w:t xml:space="preserve"> </w:t>
      </w:r>
      <w:r w:rsidR="002C0890" w:rsidRPr="00820F66">
        <w:rPr>
          <w:rFonts w:ascii="Book Antiqua" w:eastAsiaTheme="minorEastAsia" w:hAnsi="Book Antiqua"/>
          <w:i/>
        </w:rPr>
        <w:t>et al</w:t>
      </w:r>
      <w:r w:rsidR="002C0890" w:rsidRPr="00820F66">
        <w:rPr>
          <w:rFonts w:ascii="Book Antiqua" w:eastAsiaTheme="minorEastAsia" w:hAnsi="Book Antiqua"/>
        </w:rPr>
        <w:t xml:space="preserve">. </w:t>
      </w:r>
      <w:bookmarkStart w:id="2" w:name="OLE_LINK2"/>
      <w:r w:rsidRPr="00820F66">
        <w:rPr>
          <w:rFonts w:ascii="Book Antiqua" w:hAnsi="Book Antiqua"/>
          <w:color w:val="000000"/>
        </w:rPr>
        <w:t>Liver cancer patient with a complication</w:t>
      </w:r>
    </w:p>
    <w:bookmarkEnd w:id="2"/>
    <w:p w14:paraId="5185D556" w14:textId="77777777" w:rsidR="002C0890" w:rsidRPr="00820F66" w:rsidRDefault="002C0890" w:rsidP="00A43D45">
      <w:pPr>
        <w:spacing w:line="360" w:lineRule="auto"/>
        <w:jc w:val="both"/>
        <w:rPr>
          <w:rFonts w:ascii="Book Antiqua" w:eastAsiaTheme="minorEastAsia" w:hAnsi="Book Antiqua"/>
          <w:b/>
        </w:rPr>
      </w:pPr>
    </w:p>
    <w:p w14:paraId="00486003" w14:textId="62E99139" w:rsidR="002C0890" w:rsidRPr="00820F66" w:rsidRDefault="007E5A42" w:rsidP="00A43D45">
      <w:pPr>
        <w:overflowPunct w:val="0"/>
        <w:autoSpaceDE w:val="0"/>
        <w:autoSpaceDN w:val="0"/>
        <w:adjustRightInd w:val="0"/>
        <w:spacing w:line="360" w:lineRule="auto"/>
        <w:jc w:val="both"/>
        <w:rPr>
          <w:rFonts w:ascii="Book Antiqua" w:eastAsiaTheme="minorEastAsia" w:hAnsi="Book Antiqua"/>
        </w:rPr>
      </w:pPr>
      <w:r w:rsidRPr="00820F66">
        <w:rPr>
          <w:rFonts w:ascii="Book Antiqua" w:hAnsi="Book Antiqua" w:cs="Times"/>
          <w:color w:val="000000"/>
        </w:rPr>
        <w:t>Bo Hu, Xin-Ting Sang, Xiao-Bo Yang</w:t>
      </w:r>
    </w:p>
    <w:p w14:paraId="2469C923" w14:textId="77777777" w:rsidR="002C0890" w:rsidRPr="00820F66" w:rsidRDefault="002C0890" w:rsidP="00A43D45">
      <w:pPr>
        <w:overflowPunct w:val="0"/>
        <w:autoSpaceDE w:val="0"/>
        <w:autoSpaceDN w:val="0"/>
        <w:adjustRightInd w:val="0"/>
        <w:spacing w:line="360" w:lineRule="auto"/>
        <w:jc w:val="both"/>
        <w:rPr>
          <w:rFonts w:ascii="Book Antiqua" w:eastAsiaTheme="minorEastAsia" w:hAnsi="Book Antiqua"/>
          <w:b/>
          <w:bCs/>
        </w:rPr>
      </w:pPr>
    </w:p>
    <w:p w14:paraId="55E68FE6" w14:textId="4DCAC8D1" w:rsidR="00350F6A" w:rsidRPr="00820F66" w:rsidRDefault="007E5A42" w:rsidP="00A43D45">
      <w:pPr>
        <w:overflowPunct w:val="0"/>
        <w:autoSpaceDE w:val="0"/>
        <w:autoSpaceDN w:val="0"/>
        <w:adjustRightInd w:val="0"/>
        <w:spacing w:line="360" w:lineRule="auto"/>
        <w:jc w:val="both"/>
        <w:rPr>
          <w:rFonts w:ascii="Book Antiqua" w:eastAsiaTheme="minorEastAsia" w:hAnsi="Book Antiqua"/>
        </w:rPr>
      </w:pPr>
      <w:r w:rsidRPr="00820F66">
        <w:rPr>
          <w:rFonts w:ascii="Book Antiqua" w:hAnsi="Book Antiqua" w:cs="Times"/>
          <w:b/>
          <w:color w:val="000000"/>
        </w:rPr>
        <w:t>Bo Hu, Xin-Ting Sang, Xiao-Bo Yang</w:t>
      </w:r>
      <w:r w:rsidR="005F01BD" w:rsidRPr="00820F66">
        <w:rPr>
          <w:rFonts w:ascii="Book Antiqua" w:eastAsia="Book Antiqua" w:hAnsi="Book Antiqua"/>
          <w:b/>
        </w:rPr>
        <w:t>,</w:t>
      </w:r>
      <w:r w:rsidR="00FF6C7E" w:rsidRPr="00820F66">
        <w:rPr>
          <w:rFonts w:ascii="Book Antiqua" w:eastAsia="Book Antiqua" w:hAnsi="Book Antiqua"/>
          <w:b/>
        </w:rPr>
        <w:t xml:space="preserve"> </w:t>
      </w:r>
      <w:r w:rsidRPr="00820F66">
        <w:rPr>
          <w:rFonts w:ascii="Book Antiqua" w:hAnsi="Book Antiqua" w:cs="Times"/>
          <w:color w:val="000000"/>
        </w:rPr>
        <w:t xml:space="preserve">Department of Liver Surgery, Peking Union Medical College Hospital, </w:t>
      </w:r>
      <w:bookmarkStart w:id="3" w:name="OLE_LINK11"/>
      <w:r w:rsidRPr="00820F66">
        <w:rPr>
          <w:rFonts w:ascii="Book Antiqua" w:hAnsi="Book Antiqua" w:cs="Times"/>
          <w:color w:val="000000"/>
        </w:rPr>
        <w:t>Chinese Academy of Medical Sciences and Peking Union Medical College,</w:t>
      </w:r>
      <w:bookmarkEnd w:id="3"/>
      <w:r w:rsidRPr="00820F66">
        <w:rPr>
          <w:rFonts w:ascii="Book Antiqua" w:hAnsi="Book Antiqua" w:cs="Times"/>
          <w:color w:val="000000"/>
        </w:rPr>
        <w:t xml:space="preserve"> Beijing 100730, China</w:t>
      </w:r>
    </w:p>
    <w:p w14:paraId="7509332F" w14:textId="77777777" w:rsidR="002C0890" w:rsidRPr="00820F66" w:rsidRDefault="002C0890" w:rsidP="00A43D45">
      <w:pPr>
        <w:overflowPunct w:val="0"/>
        <w:autoSpaceDE w:val="0"/>
        <w:autoSpaceDN w:val="0"/>
        <w:adjustRightInd w:val="0"/>
        <w:spacing w:line="360" w:lineRule="auto"/>
        <w:jc w:val="both"/>
        <w:rPr>
          <w:rFonts w:ascii="Book Antiqua" w:eastAsiaTheme="minorEastAsia" w:hAnsi="Book Antiqua"/>
        </w:rPr>
      </w:pPr>
    </w:p>
    <w:p w14:paraId="2B89FDE7" w14:textId="32A42762" w:rsidR="002C0890" w:rsidRPr="00820F66" w:rsidRDefault="006237AC" w:rsidP="00A43D45">
      <w:pPr>
        <w:overflowPunct w:val="0"/>
        <w:autoSpaceDE w:val="0"/>
        <w:autoSpaceDN w:val="0"/>
        <w:adjustRightInd w:val="0"/>
        <w:spacing w:line="360" w:lineRule="auto"/>
        <w:jc w:val="both"/>
        <w:rPr>
          <w:rFonts w:ascii="Book Antiqua" w:hAnsi="Book Antiqua" w:cs="Times"/>
          <w:color w:val="000000"/>
        </w:rPr>
      </w:pPr>
      <w:r w:rsidRPr="00820F66">
        <w:rPr>
          <w:rFonts w:ascii="Book Antiqua" w:hAnsi="Book Antiqua"/>
          <w:b/>
        </w:rPr>
        <w:t xml:space="preserve">ORCID number: </w:t>
      </w:r>
      <w:r w:rsidR="007E5A42" w:rsidRPr="00820F66">
        <w:rPr>
          <w:rFonts w:ascii="Book Antiqua" w:hAnsi="Book Antiqua" w:cs="Times"/>
          <w:color w:val="000000"/>
        </w:rPr>
        <w:t>Bo Hu (0000-0002-7918-2235); Xin-Ting Sang (0000-0003-1952-0527); Xiao-Bo Yang (0000-0003-1929-8866).</w:t>
      </w:r>
    </w:p>
    <w:p w14:paraId="5DDF0FEB" w14:textId="77777777" w:rsidR="007E5A42" w:rsidRPr="00820F66" w:rsidRDefault="007E5A42" w:rsidP="00A43D45">
      <w:pPr>
        <w:overflowPunct w:val="0"/>
        <w:autoSpaceDE w:val="0"/>
        <w:autoSpaceDN w:val="0"/>
        <w:adjustRightInd w:val="0"/>
        <w:spacing w:line="360" w:lineRule="auto"/>
        <w:jc w:val="both"/>
        <w:rPr>
          <w:rFonts w:ascii="Book Antiqua" w:eastAsiaTheme="minorEastAsia" w:hAnsi="Book Antiqua"/>
        </w:rPr>
      </w:pPr>
    </w:p>
    <w:p w14:paraId="09533709" w14:textId="53834728" w:rsidR="00350F6A" w:rsidRPr="00820F66" w:rsidRDefault="006237AC" w:rsidP="00A43D45">
      <w:pPr>
        <w:spacing w:line="360" w:lineRule="auto"/>
        <w:jc w:val="both"/>
        <w:rPr>
          <w:rFonts w:ascii="Book Antiqua" w:eastAsiaTheme="minorEastAsia" w:hAnsi="Book Antiqua"/>
        </w:rPr>
      </w:pPr>
      <w:r w:rsidRPr="00820F66">
        <w:rPr>
          <w:rFonts w:ascii="Book Antiqua" w:eastAsia="黑体" w:hAnsi="Book Antiqua"/>
          <w:b/>
        </w:rPr>
        <w:t>Author contributions:</w:t>
      </w:r>
      <w:r w:rsidRPr="00820F66">
        <w:rPr>
          <w:rFonts w:ascii="Book Antiqua" w:eastAsia="华文中宋" w:hAnsi="Book Antiqua"/>
        </w:rPr>
        <w:t xml:space="preserve"> </w:t>
      </w:r>
      <w:r w:rsidR="007E5A42" w:rsidRPr="00820F66">
        <w:rPr>
          <w:rFonts w:ascii="Book Antiqua" w:hAnsi="Book Antiqua" w:cs="Times"/>
          <w:color w:val="000000"/>
        </w:rPr>
        <w:t>Hu B collected the patient’s clinical data and wrote the paper; Sang XT and Yang XB analyzed the data and designed the report.</w:t>
      </w:r>
    </w:p>
    <w:p w14:paraId="47CD8789" w14:textId="77777777" w:rsidR="002C0890" w:rsidRPr="00820F66" w:rsidRDefault="002C0890" w:rsidP="00A43D45">
      <w:pPr>
        <w:spacing w:line="360" w:lineRule="auto"/>
        <w:jc w:val="both"/>
        <w:rPr>
          <w:rFonts w:ascii="Book Antiqua" w:eastAsiaTheme="minorEastAsia" w:hAnsi="Book Antiqua"/>
        </w:rPr>
      </w:pPr>
    </w:p>
    <w:p w14:paraId="213D9B89" w14:textId="3467D45F" w:rsidR="006237AC" w:rsidRPr="00820F66" w:rsidRDefault="006237AC" w:rsidP="00A43D45">
      <w:pPr>
        <w:shd w:val="clear" w:color="auto" w:fill="FFFFFF"/>
        <w:spacing w:line="360" w:lineRule="auto"/>
        <w:jc w:val="both"/>
        <w:rPr>
          <w:rFonts w:ascii="Book Antiqua" w:hAnsi="Book Antiqua"/>
        </w:rPr>
      </w:pPr>
      <w:r w:rsidRPr="00820F66">
        <w:rPr>
          <w:rFonts w:ascii="Book Antiqua" w:hAnsi="Book Antiqua"/>
          <w:b/>
        </w:rPr>
        <w:t>Informed consent statement:</w:t>
      </w:r>
      <w:r w:rsidRPr="00820F66">
        <w:rPr>
          <w:rFonts w:ascii="Book Antiqua" w:eastAsia="华文中宋" w:hAnsi="Book Antiqua"/>
        </w:rPr>
        <w:t xml:space="preserve"> </w:t>
      </w:r>
      <w:r w:rsidR="007E5A42" w:rsidRPr="00820F66">
        <w:rPr>
          <w:rFonts w:ascii="Book Antiqua" w:hAnsi="Book Antiqua" w:cs="Times"/>
          <w:color w:val="000000"/>
        </w:rPr>
        <w:t xml:space="preserve">Consent was obtained from the patient at the time of investigations, but not at the time of writing </w:t>
      </w:r>
      <w:r w:rsidR="00EA1FF9" w:rsidRPr="00820F66">
        <w:rPr>
          <w:rFonts w:ascii="Book Antiqua" w:hAnsi="Book Antiqua" w:cs="Times"/>
          <w:color w:val="000000"/>
        </w:rPr>
        <w:t xml:space="preserve">this </w:t>
      </w:r>
      <w:r w:rsidR="007E5A42" w:rsidRPr="00820F66">
        <w:rPr>
          <w:rFonts w:ascii="Book Antiqua" w:hAnsi="Book Antiqua" w:cs="Times"/>
          <w:color w:val="000000"/>
        </w:rPr>
        <w:t>case report.</w:t>
      </w:r>
    </w:p>
    <w:p w14:paraId="53848B71" w14:textId="77777777" w:rsidR="006237AC" w:rsidRPr="00820F66" w:rsidRDefault="006237AC" w:rsidP="00A43D45">
      <w:pPr>
        <w:shd w:val="clear" w:color="auto" w:fill="FFFFFF"/>
        <w:spacing w:line="360" w:lineRule="auto"/>
        <w:jc w:val="both"/>
        <w:rPr>
          <w:rFonts w:ascii="Book Antiqua" w:hAnsi="Book Antiqua"/>
        </w:rPr>
      </w:pPr>
    </w:p>
    <w:p w14:paraId="1EE6627E" w14:textId="12457385" w:rsidR="006237AC" w:rsidRPr="00820F66" w:rsidRDefault="006237AC" w:rsidP="00A43D45">
      <w:pPr>
        <w:spacing w:line="360" w:lineRule="auto"/>
        <w:jc w:val="both"/>
        <w:rPr>
          <w:rFonts w:ascii="Book Antiqua" w:eastAsia="华文中宋" w:hAnsi="Book Antiqua"/>
        </w:rPr>
      </w:pPr>
      <w:r w:rsidRPr="00820F66">
        <w:rPr>
          <w:rFonts w:ascii="Book Antiqua" w:hAnsi="Book Antiqua"/>
          <w:b/>
          <w:lang w:val="it-IT"/>
        </w:rPr>
        <w:t>Conflict-of-interest statement</w:t>
      </w:r>
      <w:r w:rsidRPr="00820F66">
        <w:rPr>
          <w:rFonts w:ascii="Book Antiqua" w:hAnsi="Book Antiqua"/>
          <w:b/>
        </w:rPr>
        <w:t>:</w:t>
      </w:r>
      <w:r w:rsidRPr="00820F66">
        <w:rPr>
          <w:rFonts w:ascii="Book Antiqua" w:eastAsia="华文中宋" w:hAnsi="Book Antiqua"/>
        </w:rPr>
        <w:t xml:space="preserve"> </w:t>
      </w:r>
      <w:r w:rsidR="007E5A42" w:rsidRPr="00820F66">
        <w:rPr>
          <w:rFonts w:ascii="Book Antiqua" w:hAnsi="Book Antiqua" w:cs="Times"/>
          <w:color w:val="000000"/>
        </w:rPr>
        <w:t>The authors declare that they have no conflicts of interest.</w:t>
      </w:r>
    </w:p>
    <w:p w14:paraId="075D3998" w14:textId="77777777" w:rsidR="006237AC" w:rsidRPr="00820F66" w:rsidRDefault="006237AC" w:rsidP="00A43D45">
      <w:pPr>
        <w:spacing w:line="360" w:lineRule="auto"/>
        <w:jc w:val="both"/>
        <w:rPr>
          <w:rFonts w:ascii="Book Antiqua" w:eastAsia="华文中宋" w:hAnsi="Book Antiqua"/>
        </w:rPr>
      </w:pPr>
    </w:p>
    <w:p w14:paraId="1E772A14" w14:textId="36E711AF" w:rsidR="006237AC" w:rsidRPr="00820F66" w:rsidRDefault="006237AC" w:rsidP="00A43D45">
      <w:pPr>
        <w:spacing w:line="360" w:lineRule="auto"/>
        <w:jc w:val="both"/>
        <w:rPr>
          <w:rFonts w:ascii="Book Antiqua" w:eastAsia="华文中宋" w:hAnsi="Book Antiqua"/>
        </w:rPr>
      </w:pPr>
      <w:r w:rsidRPr="00820F66">
        <w:rPr>
          <w:rFonts w:ascii="Book Antiqua" w:hAnsi="Book Antiqua"/>
          <w:b/>
        </w:rPr>
        <w:t>CARE Checklist (2016) statement:</w:t>
      </w:r>
      <w:r w:rsidRPr="00820F66">
        <w:rPr>
          <w:rFonts w:ascii="Book Antiqua" w:eastAsia="华文中宋" w:hAnsi="Book Antiqua"/>
        </w:rPr>
        <w:t xml:space="preserve"> </w:t>
      </w:r>
      <w:r w:rsidR="007E5A42" w:rsidRPr="00820F66">
        <w:rPr>
          <w:rFonts w:ascii="Book Antiqua" w:hAnsi="Book Antiqua"/>
          <w:color w:val="333333"/>
        </w:rPr>
        <w:t>T</w:t>
      </w:r>
      <w:r w:rsidR="007E5A42" w:rsidRPr="00820F66">
        <w:rPr>
          <w:rFonts w:ascii="Book Antiqua" w:hAnsi="Book Antiqua" w:cs="Times"/>
          <w:color w:val="000000"/>
        </w:rPr>
        <w:t>he authors have read the CARE Checklist (2016), and the manuscript was prepared and revised according to the CARE Checklist (2016).</w:t>
      </w:r>
    </w:p>
    <w:p w14:paraId="5C95FB09" w14:textId="77777777" w:rsidR="006237AC" w:rsidRPr="00820F66" w:rsidRDefault="006237AC" w:rsidP="00A43D45">
      <w:pPr>
        <w:spacing w:line="360" w:lineRule="auto"/>
        <w:jc w:val="both"/>
        <w:rPr>
          <w:rFonts w:ascii="Book Antiqua" w:eastAsia="华文中宋" w:hAnsi="Book Antiqua"/>
        </w:rPr>
      </w:pPr>
    </w:p>
    <w:p w14:paraId="00CC63D6" w14:textId="77777777" w:rsidR="006237AC" w:rsidRPr="00820F66" w:rsidRDefault="006237AC" w:rsidP="00A43D45">
      <w:pPr>
        <w:spacing w:line="360" w:lineRule="auto"/>
        <w:jc w:val="both"/>
        <w:rPr>
          <w:rFonts w:ascii="Book Antiqua" w:eastAsiaTheme="minorEastAsia" w:hAnsi="Book Antiqua"/>
        </w:rPr>
      </w:pPr>
      <w:r w:rsidRPr="00820F66">
        <w:rPr>
          <w:rFonts w:ascii="Book Antiqua" w:hAnsi="Book Antiqua"/>
          <w:b/>
        </w:rPr>
        <w:t xml:space="preserve">Open-Access: </w:t>
      </w:r>
      <w:bookmarkStart w:id="4" w:name="OLE_LINK4"/>
      <w:r w:rsidRPr="00820F66">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p w14:paraId="3C1EBADF" w14:textId="77777777" w:rsidR="006237AC" w:rsidRPr="00820F66" w:rsidRDefault="006237AC" w:rsidP="00A43D45">
      <w:pPr>
        <w:spacing w:line="360" w:lineRule="auto"/>
        <w:jc w:val="both"/>
        <w:rPr>
          <w:rFonts w:ascii="Book Antiqua" w:hAnsi="Book Antiqua"/>
        </w:rPr>
      </w:pPr>
    </w:p>
    <w:p w14:paraId="01F3C459" w14:textId="77777777" w:rsidR="006237AC" w:rsidRPr="00820F66" w:rsidRDefault="006237AC" w:rsidP="00A43D45">
      <w:pPr>
        <w:spacing w:line="360" w:lineRule="auto"/>
        <w:jc w:val="both"/>
        <w:rPr>
          <w:rFonts w:ascii="Book Antiqua" w:hAnsi="Book Antiqua"/>
          <w:bCs/>
          <w:iCs/>
        </w:rPr>
      </w:pPr>
      <w:r w:rsidRPr="00820F66">
        <w:rPr>
          <w:rFonts w:ascii="Book Antiqua" w:hAnsi="Book Antiqua"/>
          <w:b/>
          <w:bCs/>
          <w:iCs/>
        </w:rPr>
        <w:t>Manuscript source:</w:t>
      </w:r>
      <w:r w:rsidRPr="00820F66">
        <w:rPr>
          <w:rFonts w:ascii="Book Antiqua" w:hAnsi="Book Antiqua"/>
          <w:bCs/>
          <w:iCs/>
        </w:rPr>
        <w:t xml:space="preserve"> Unsolicited manuscript</w:t>
      </w:r>
    </w:p>
    <w:p w14:paraId="7FC04645" w14:textId="77777777" w:rsidR="006237AC" w:rsidRPr="00820F66" w:rsidRDefault="006237AC" w:rsidP="00A43D45">
      <w:pPr>
        <w:spacing w:line="360" w:lineRule="auto"/>
        <w:jc w:val="both"/>
        <w:rPr>
          <w:rFonts w:ascii="Book Antiqua" w:hAnsi="Book Antiqua"/>
        </w:rPr>
      </w:pPr>
    </w:p>
    <w:p w14:paraId="0FE672B2" w14:textId="0E25C64F" w:rsidR="002C0890" w:rsidRPr="00820F66" w:rsidRDefault="006237AC" w:rsidP="00A43D45">
      <w:pPr>
        <w:overflowPunct w:val="0"/>
        <w:autoSpaceDE w:val="0"/>
        <w:autoSpaceDN w:val="0"/>
        <w:adjustRightInd w:val="0"/>
        <w:spacing w:line="360" w:lineRule="auto"/>
        <w:jc w:val="both"/>
        <w:rPr>
          <w:rFonts w:ascii="Book Antiqua" w:eastAsiaTheme="minorEastAsia" w:hAnsi="Book Antiqua"/>
        </w:rPr>
      </w:pPr>
      <w:r w:rsidRPr="00820F66">
        <w:rPr>
          <w:rFonts w:ascii="Book Antiqua" w:hAnsi="Book Antiqua" w:cs="Arial"/>
          <w:b/>
        </w:rPr>
        <w:t>Corresponding author</w:t>
      </w:r>
      <w:r w:rsidRPr="00820F66">
        <w:rPr>
          <w:rFonts w:ascii="Book Antiqua" w:hAnsi="Book Antiqua"/>
          <w:b/>
          <w:iCs/>
        </w:rPr>
        <w:t xml:space="preserve">: </w:t>
      </w:r>
      <w:r w:rsidR="007E5A42" w:rsidRPr="00820F66">
        <w:rPr>
          <w:rFonts w:ascii="Book Antiqua" w:hAnsi="Book Antiqua" w:cs="Times"/>
          <w:b/>
          <w:color w:val="000000"/>
        </w:rPr>
        <w:t>Xin-Ting Sang, MD, Director, Professor</w:t>
      </w:r>
      <w:r w:rsidR="007E5A42" w:rsidRPr="00820F66">
        <w:rPr>
          <w:rFonts w:ascii="Book Antiqua" w:hAnsi="Book Antiqua" w:cs="Times"/>
          <w:color w:val="000000"/>
        </w:rPr>
        <w:t>, De</w:t>
      </w:r>
      <w:bookmarkStart w:id="5" w:name="OLE_LINK12"/>
      <w:bookmarkStart w:id="6" w:name="OLE_LINK13"/>
      <w:r w:rsidR="007E5A42" w:rsidRPr="00820F66">
        <w:rPr>
          <w:rFonts w:ascii="Book Antiqua" w:hAnsi="Book Antiqua" w:cs="Times"/>
          <w:color w:val="000000"/>
        </w:rPr>
        <w:t>partment of Liver Surgery, Peking Union Medical College H</w:t>
      </w:r>
      <w:bookmarkEnd w:id="5"/>
      <w:bookmarkEnd w:id="6"/>
      <w:r w:rsidR="007E5A42" w:rsidRPr="00820F66">
        <w:rPr>
          <w:rFonts w:ascii="Book Antiqua" w:hAnsi="Book Antiqua" w:cs="Times"/>
          <w:color w:val="000000"/>
        </w:rPr>
        <w:t>ospital,</w:t>
      </w:r>
      <w:r w:rsidR="007E5A42" w:rsidRPr="00820F66">
        <w:rPr>
          <w:rFonts w:ascii="Book Antiqua" w:hAnsi="Book Antiqua"/>
        </w:rPr>
        <w:t xml:space="preserve"> </w:t>
      </w:r>
      <w:r w:rsidR="007E5A42" w:rsidRPr="00820F66">
        <w:rPr>
          <w:rFonts w:ascii="Book Antiqua" w:hAnsi="Book Antiqua" w:cs="Times"/>
          <w:color w:val="000000"/>
        </w:rPr>
        <w:t>Chinese Academy of Medical Sciences and Peking Union Medical College, 1</w:t>
      </w:r>
      <w:r w:rsidR="00EA1FF9" w:rsidRPr="00820F66">
        <w:rPr>
          <w:rFonts w:ascii="Book Antiqua" w:hAnsi="Book Antiqua" w:cs="Times"/>
          <w:color w:val="000000"/>
        </w:rPr>
        <w:t xml:space="preserve"> </w:t>
      </w:r>
      <w:r w:rsidR="007E5A42" w:rsidRPr="00820F66">
        <w:rPr>
          <w:rFonts w:ascii="Book Antiqua" w:hAnsi="Book Antiqua" w:cs="Times"/>
          <w:color w:val="000000"/>
        </w:rPr>
        <w:t>Shuaifuyuan, Wangfujing, Beijing 100730, China.</w:t>
      </w:r>
      <w:r w:rsidR="007E5A42" w:rsidRPr="00820F66">
        <w:rPr>
          <w:rFonts w:ascii="Book Antiqua" w:hAnsi="Book Antiqua"/>
        </w:rPr>
        <w:t xml:space="preserve"> </w:t>
      </w:r>
      <w:r w:rsidR="007E5A42" w:rsidRPr="00820F66">
        <w:rPr>
          <w:rFonts w:ascii="Book Antiqua" w:hAnsi="Book Antiqua" w:cs="Times"/>
        </w:rPr>
        <w:t>sangxt@pumch.cn</w:t>
      </w:r>
    </w:p>
    <w:p w14:paraId="2A6C8913" w14:textId="2DC52C84" w:rsidR="00930BE2" w:rsidRPr="00820F66" w:rsidRDefault="00350F6A" w:rsidP="00A43D45">
      <w:pPr>
        <w:overflowPunct w:val="0"/>
        <w:autoSpaceDE w:val="0"/>
        <w:autoSpaceDN w:val="0"/>
        <w:adjustRightInd w:val="0"/>
        <w:spacing w:line="360" w:lineRule="auto"/>
        <w:jc w:val="both"/>
        <w:rPr>
          <w:rFonts w:ascii="Book Antiqua" w:eastAsia="Book Antiqua" w:hAnsi="Book Antiqua"/>
        </w:rPr>
      </w:pPr>
      <w:r w:rsidRPr="00820F66">
        <w:rPr>
          <w:rFonts w:ascii="Book Antiqua" w:eastAsia="Book Antiqua" w:hAnsi="Book Antiqua"/>
          <w:b/>
        </w:rPr>
        <w:t>Telephone:</w:t>
      </w:r>
      <w:r w:rsidR="00DA270E" w:rsidRPr="00820F66">
        <w:rPr>
          <w:rFonts w:ascii="Book Antiqua" w:eastAsia="Book Antiqua" w:hAnsi="Book Antiqua"/>
        </w:rPr>
        <w:t xml:space="preserve"> </w:t>
      </w:r>
      <w:r w:rsidR="007E5A42" w:rsidRPr="00820F66">
        <w:rPr>
          <w:rFonts w:ascii="Book Antiqua" w:hAnsi="Book Antiqua"/>
          <w:color w:val="000000" w:themeColor="text1"/>
        </w:rPr>
        <w:t>+86-010-69152836</w:t>
      </w:r>
    </w:p>
    <w:p w14:paraId="441CD54F" w14:textId="361727A2" w:rsidR="00350F6A" w:rsidRPr="00820F66" w:rsidRDefault="00350F6A" w:rsidP="00A43D45">
      <w:pPr>
        <w:overflowPunct w:val="0"/>
        <w:autoSpaceDE w:val="0"/>
        <w:autoSpaceDN w:val="0"/>
        <w:adjustRightInd w:val="0"/>
        <w:spacing w:line="360" w:lineRule="auto"/>
        <w:jc w:val="both"/>
        <w:rPr>
          <w:rFonts w:ascii="Book Antiqua" w:eastAsiaTheme="minorEastAsia" w:hAnsi="Book Antiqua"/>
        </w:rPr>
      </w:pPr>
      <w:r w:rsidRPr="00820F66">
        <w:rPr>
          <w:rFonts w:ascii="Book Antiqua" w:eastAsia="Book Antiqua" w:hAnsi="Book Antiqua"/>
          <w:b/>
        </w:rPr>
        <w:t>Fax:</w:t>
      </w:r>
      <w:r w:rsidR="00216AC5" w:rsidRPr="00820F66">
        <w:rPr>
          <w:rFonts w:ascii="Book Antiqua" w:eastAsia="Book Antiqua" w:hAnsi="Book Antiqua"/>
        </w:rPr>
        <w:t xml:space="preserve"> </w:t>
      </w:r>
      <w:r w:rsidR="007E5A42" w:rsidRPr="00820F66">
        <w:rPr>
          <w:rFonts w:ascii="Book Antiqua" w:hAnsi="Book Antiqua"/>
          <w:color w:val="000000" w:themeColor="text1"/>
        </w:rPr>
        <w:t>+86-010-69156043</w:t>
      </w:r>
    </w:p>
    <w:p w14:paraId="65A04947" w14:textId="77777777" w:rsidR="006237AC" w:rsidRPr="00820F66" w:rsidRDefault="006237AC" w:rsidP="00A43D45">
      <w:pPr>
        <w:overflowPunct w:val="0"/>
        <w:autoSpaceDE w:val="0"/>
        <w:autoSpaceDN w:val="0"/>
        <w:adjustRightInd w:val="0"/>
        <w:spacing w:line="360" w:lineRule="auto"/>
        <w:jc w:val="both"/>
        <w:rPr>
          <w:rFonts w:ascii="Book Antiqua" w:eastAsiaTheme="minorEastAsia" w:hAnsi="Book Antiqua"/>
        </w:rPr>
      </w:pPr>
    </w:p>
    <w:p w14:paraId="62480BF8" w14:textId="63A74AC9" w:rsidR="006237AC" w:rsidRPr="00820F66" w:rsidRDefault="006237AC" w:rsidP="00A43D45">
      <w:pPr>
        <w:spacing w:line="360" w:lineRule="auto"/>
        <w:jc w:val="both"/>
        <w:rPr>
          <w:rFonts w:ascii="Book Antiqua" w:hAnsi="Book Antiqua"/>
        </w:rPr>
      </w:pPr>
      <w:r w:rsidRPr="00820F66">
        <w:rPr>
          <w:rFonts w:ascii="Book Antiqua" w:hAnsi="Book Antiqua"/>
          <w:b/>
        </w:rPr>
        <w:t xml:space="preserve">Received: </w:t>
      </w:r>
      <w:r w:rsidR="007E5A42" w:rsidRPr="00820F66">
        <w:rPr>
          <w:rFonts w:ascii="Book Antiqua" w:hAnsi="Book Antiqua"/>
        </w:rPr>
        <w:t>January</w:t>
      </w:r>
      <w:r w:rsidRPr="00820F66">
        <w:rPr>
          <w:rFonts w:ascii="Book Antiqua" w:hAnsi="Book Antiqua"/>
        </w:rPr>
        <w:t xml:space="preserve"> 2</w:t>
      </w:r>
      <w:r w:rsidR="007E5A42" w:rsidRPr="00820F66">
        <w:rPr>
          <w:rFonts w:ascii="Book Antiqua" w:hAnsi="Book Antiqua"/>
        </w:rPr>
        <w:t>1</w:t>
      </w:r>
      <w:r w:rsidRPr="00820F66">
        <w:rPr>
          <w:rFonts w:ascii="Book Antiqua" w:hAnsi="Book Antiqua"/>
        </w:rPr>
        <w:t>, 201</w:t>
      </w:r>
      <w:r w:rsidR="007E5A42" w:rsidRPr="00820F66">
        <w:rPr>
          <w:rFonts w:ascii="Book Antiqua" w:hAnsi="Book Antiqua"/>
        </w:rPr>
        <w:t>9</w:t>
      </w:r>
    </w:p>
    <w:p w14:paraId="01000A6E" w14:textId="0469442E" w:rsidR="006237AC" w:rsidRPr="00820F66" w:rsidRDefault="006237AC" w:rsidP="00A43D45">
      <w:pPr>
        <w:spacing w:line="360" w:lineRule="auto"/>
        <w:jc w:val="both"/>
        <w:rPr>
          <w:rFonts w:ascii="Book Antiqua" w:hAnsi="Book Antiqua"/>
        </w:rPr>
      </w:pPr>
      <w:r w:rsidRPr="00820F66">
        <w:rPr>
          <w:rFonts w:ascii="Book Antiqua" w:hAnsi="Book Antiqua"/>
          <w:b/>
        </w:rPr>
        <w:t>Peer-review started:</w:t>
      </w:r>
      <w:r w:rsidRPr="00820F66">
        <w:rPr>
          <w:rFonts w:ascii="Book Antiqua" w:hAnsi="Book Antiqua"/>
        </w:rPr>
        <w:t xml:space="preserve"> </w:t>
      </w:r>
      <w:r w:rsidR="007E5A42" w:rsidRPr="00820F66">
        <w:rPr>
          <w:rFonts w:ascii="Book Antiqua" w:hAnsi="Book Antiqua"/>
        </w:rPr>
        <w:t xml:space="preserve">January </w:t>
      </w:r>
      <w:r w:rsidRPr="00820F66">
        <w:rPr>
          <w:rFonts w:ascii="Book Antiqua" w:hAnsi="Book Antiqua"/>
        </w:rPr>
        <w:t>2</w:t>
      </w:r>
      <w:r w:rsidR="007E5A42" w:rsidRPr="00820F66">
        <w:rPr>
          <w:rFonts w:ascii="Book Antiqua" w:hAnsi="Book Antiqua"/>
        </w:rPr>
        <w:t>2</w:t>
      </w:r>
      <w:r w:rsidRPr="00820F66">
        <w:rPr>
          <w:rFonts w:ascii="Book Antiqua" w:hAnsi="Book Antiqua"/>
        </w:rPr>
        <w:t>, 201</w:t>
      </w:r>
      <w:r w:rsidR="007E5A42" w:rsidRPr="00820F66">
        <w:rPr>
          <w:rFonts w:ascii="Book Antiqua" w:hAnsi="Book Antiqua"/>
        </w:rPr>
        <w:t>9</w:t>
      </w:r>
    </w:p>
    <w:p w14:paraId="799CCF8F" w14:textId="619912B8" w:rsidR="006237AC" w:rsidRPr="00820F66" w:rsidRDefault="006237AC" w:rsidP="00A43D45">
      <w:pPr>
        <w:spacing w:line="360" w:lineRule="auto"/>
        <w:jc w:val="both"/>
        <w:rPr>
          <w:rFonts w:ascii="Book Antiqua" w:hAnsi="Book Antiqua"/>
        </w:rPr>
      </w:pPr>
      <w:r w:rsidRPr="00820F66">
        <w:rPr>
          <w:rFonts w:ascii="Book Antiqua" w:hAnsi="Book Antiqua"/>
          <w:b/>
        </w:rPr>
        <w:t>First decision:</w:t>
      </w:r>
      <w:r w:rsidRPr="00820F66">
        <w:rPr>
          <w:rFonts w:ascii="Book Antiqua" w:hAnsi="Book Antiqua"/>
        </w:rPr>
        <w:t xml:space="preserve"> March </w:t>
      </w:r>
      <w:r w:rsidR="007E5A42" w:rsidRPr="00820F66">
        <w:rPr>
          <w:rFonts w:ascii="Book Antiqua" w:hAnsi="Book Antiqua"/>
        </w:rPr>
        <w:t>9</w:t>
      </w:r>
      <w:r w:rsidRPr="00820F66">
        <w:rPr>
          <w:rFonts w:ascii="Book Antiqua" w:hAnsi="Book Antiqua"/>
        </w:rPr>
        <w:t>, 2019</w:t>
      </w:r>
    </w:p>
    <w:p w14:paraId="0FD3AA99" w14:textId="2D6BEC0B" w:rsidR="006237AC" w:rsidRPr="00820F66" w:rsidRDefault="006237AC" w:rsidP="00A43D45">
      <w:pPr>
        <w:spacing w:line="360" w:lineRule="auto"/>
        <w:jc w:val="both"/>
        <w:rPr>
          <w:rFonts w:ascii="Book Antiqua" w:hAnsi="Book Antiqua"/>
        </w:rPr>
      </w:pPr>
      <w:r w:rsidRPr="00820F66">
        <w:rPr>
          <w:rFonts w:ascii="Book Antiqua" w:hAnsi="Book Antiqua"/>
          <w:b/>
        </w:rPr>
        <w:t xml:space="preserve">Revised: </w:t>
      </w:r>
      <w:r w:rsidR="007E5A42" w:rsidRPr="00820F66">
        <w:rPr>
          <w:rFonts w:ascii="Book Antiqua" w:hAnsi="Book Antiqua"/>
        </w:rPr>
        <w:t>April</w:t>
      </w:r>
      <w:r w:rsidRPr="00820F66">
        <w:rPr>
          <w:rFonts w:ascii="Book Antiqua" w:hAnsi="Book Antiqua"/>
        </w:rPr>
        <w:t xml:space="preserve"> 2, 2019</w:t>
      </w:r>
    </w:p>
    <w:p w14:paraId="46446202" w14:textId="4751D333" w:rsidR="006237AC" w:rsidRPr="00820F66" w:rsidRDefault="006237AC" w:rsidP="00A43D45">
      <w:pPr>
        <w:spacing w:line="360" w:lineRule="auto"/>
        <w:jc w:val="both"/>
        <w:rPr>
          <w:rFonts w:ascii="Book Antiqua" w:hAnsi="Book Antiqua"/>
          <w:b/>
        </w:rPr>
      </w:pPr>
      <w:r w:rsidRPr="00820F66">
        <w:rPr>
          <w:rFonts w:ascii="Book Antiqua" w:hAnsi="Book Antiqua"/>
          <w:b/>
        </w:rPr>
        <w:t>Accepted:</w:t>
      </w:r>
      <w:r w:rsidR="002203B7" w:rsidRPr="00820F66">
        <w:t xml:space="preserve"> </w:t>
      </w:r>
      <w:r w:rsidR="002203B7" w:rsidRPr="00820F66">
        <w:rPr>
          <w:rFonts w:ascii="Book Antiqua" w:hAnsi="Book Antiqua"/>
        </w:rPr>
        <w:t>April 18, 2019</w:t>
      </w:r>
      <w:r w:rsidR="007E5A42" w:rsidRPr="00820F66">
        <w:rPr>
          <w:rFonts w:ascii="Book Antiqua" w:hAnsi="Book Antiqua"/>
          <w:b/>
        </w:rPr>
        <w:t xml:space="preserve"> </w:t>
      </w:r>
    </w:p>
    <w:p w14:paraId="4870C9EE" w14:textId="07CFA259" w:rsidR="006237AC" w:rsidRPr="00820F66" w:rsidRDefault="006237AC" w:rsidP="00A43D45">
      <w:pPr>
        <w:spacing w:line="360" w:lineRule="auto"/>
        <w:jc w:val="both"/>
        <w:rPr>
          <w:rFonts w:ascii="Book Antiqua" w:hAnsi="Book Antiqua"/>
          <w:b/>
        </w:rPr>
      </w:pPr>
      <w:r w:rsidRPr="00820F66">
        <w:rPr>
          <w:rFonts w:ascii="Book Antiqua" w:hAnsi="Book Antiqua"/>
          <w:b/>
        </w:rPr>
        <w:t xml:space="preserve">Article in press: </w:t>
      </w:r>
      <w:r w:rsidR="00820F66" w:rsidRPr="00820F66">
        <w:rPr>
          <w:rFonts w:ascii="Book Antiqua" w:hAnsi="Book Antiqua"/>
        </w:rPr>
        <w:t>April 1</w:t>
      </w:r>
      <w:r w:rsidR="00820F66">
        <w:rPr>
          <w:rFonts w:ascii="Book Antiqua" w:hAnsi="Book Antiqua" w:hint="eastAsia"/>
        </w:rPr>
        <w:t>9</w:t>
      </w:r>
      <w:r w:rsidR="00820F66" w:rsidRPr="00820F66">
        <w:rPr>
          <w:rFonts w:ascii="Book Antiqua" w:hAnsi="Book Antiqua"/>
        </w:rPr>
        <w:t>, 2019</w:t>
      </w:r>
    </w:p>
    <w:p w14:paraId="29FF9C2F" w14:textId="47EAC8B3" w:rsidR="006237AC" w:rsidRPr="00820F66" w:rsidRDefault="006237AC" w:rsidP="00A43D45">
      <w:pPr>
        <w:spacing w:line="360" w:lineRule="auto"/>
        <w:jc w:val="both"/>
        <w:rPr>
          <w:rFonts w:ascii="Book Antiqua" w:eastAsiaTheme="minorEastAsia" w:hAnsi="Book Antiqua"/>
          <w:bCs/>
        </w:rPr>
      </w:pPr>
      <w:r w:rsidRPr="00820F66">
        <w:rPr>
          <w:rFonts w:ascii="Book Antiqua" w:hAnsi="Book Antiqua"/>
          <w:b/>
        </w:rPr>
        <w:t>Published online:</w:t>
      </w:r>
      <w:r w:rsidRPr="00820F66">
        <w:rPr>
          <w:rFonts w:ascii="Book Antiqua" w:eastAsia="Times New Roman" w:hAnsi="Book Antiqua"/>
          <w:b/>
          <w:bCs/>
        </w:rPr>
        <w:t xml:space="preserve"> </w:t>
      </w:r>
      <w:r w:rsidR="00820F66" w:rsidRPr="00820F66">
        <w:rPr>
          <w:rFonts w:ascii="Book Antiqua" w:eastAsia="Times New Roman" w:hAnsi="Book Antiqua"/>
          <w:bCs/>
        </w:rPr>
        <w:t>June 6, 2019</w:t>
      </w:r>
    </w:p>
    <w:p w14:paraId="1B456E8F" w14:textId="77777777" w:rsidR="00350F6A" w:rsidRPr="00820F66" w:rsidRDefault="00350F6A" w:rsidP="00A43D45">
      <w:pPr>
        <w:spacing w:line="360" w:lineRule="auto"/>
        <w:jc w:val="both"/>
        <w:rPr>
          <w:rFonts w:ascii="Book Antiqua" w:hAnsi="Book Antiqua"/>
          <w:b/>
        </w:rPr>
      </w:pPr>
      <w:r w:rsidRPr="00820F66">
        <w:rPr>
          <w:rFonts w:ascii="Book Antiqua" w:hAnsi="Book Antiqua"/>
          <w:b/>
        </w:rPr>
        <w:br w:type="page"/>
      </w:r>
    </w:p>
    <w:p w14:paraId="28185B22" w14:textId="77777777" w:rsidR="00350F6A" w:rsidRPr="00820F66" w:rsidRDefault="00350F6A" w:rsidP="00A43D45">
      <w:pPr>
        <w:spacing w:line="360" w:lineRule="auto"/>
        <w:jc w:val="both"/>
        <w:rPr>
          <w:rFonts w:ascii="Book Antiqua" w:hAnsi="Book Antiqua"/>
          <w:b/>
        </w:rPr>
      </w:pPr>
      <w:r w:rsidRPr="00820F66">
        <w:rPr>
          <w:rFonts w:ascii="Book Antiqua" w:hAnsi="Book Antiqua"/>
          <w:b/>
        </w:rPr>
        <w:t>Abstract</w:t>
      </w:r>
    </w:p>
    <w:p w14:paraId="496CEBC3" w14:textId="77777777" w:rsidR="00350F6A" w:rsidRPr="00820F66" w:rsidRDefault="00350F6A" w:rsidP="00A43D45">
      <w:pPr>
        <w:spacing w:line="360" w:lineRule="auto"/>
        <w:jc w:val="both"/>
        <w:rPr>
          <w:rFonts w:ascii="Book Antiqua" w:hAnsi="Book Antiqua"/>
          <w:i/>
        </w:rPr>
      </w:pPr>
      <w:r w:rsidRPr="00820F66">
        <w:rPr>
          <w:rFonts w:ascii="Book Antiqua" w:hAnsi="Book Antiqua"/>
          <w:b/>
          <w:i/>
        </w:rPr>
        <w:t>BACKGROUND</w:t>
      </w:r>
    </w:p>
    <w:p w14:paraId="5CD74DAC" w14:textId="56E56E6A" w:rsidR="007E5A42" w:rsidRPr="00820F66" w:rsidRDefault="007E5A42" w:rsidP="00A43D45">
      <w:pPr>
        <w:autoSpaceDE w:val="0"/>
        <w:autoSpaceDN w:val="0"/>
        <w:adjustRightInd w:val="0"/>
        <w:spacing w:line="360" w:lineRule="auto"/>
        <w:jc w:val="both"/>
        <w:rPr>
          <w:rFonts w:ascii="Book Antiqua" w:eastAsiaTheme="minorEastAsia" w:hAnsi="Book Antiqua" w:cs="Times"/>
          <w:color w:val="000000"/>
        </w:rPr>
      </w:pPr>
      <w:r w:rsidRPr="00820F66">
        <w:rPr>
          <w:rFonts w:ascii="Book Antiqua" w:hAnsi="Book Antiqua" w:cs="Times"/>
          <w:color w:val="000000"/>
        </w:rPr>
        <w:t xml:space="preserve">Sarcomatoid hepatocellular carcinoma (SHC) combined with paraneoplastic leukemoid reaction (PLR), which </w:t>
      </w:r>
      <w:r w:rsidRPr="00820F66">
        <w:rPr>
          <w:rFonts w:ascii="Book Antiqua" w:eastAsiaTheme="minorEastAsia" w:hAnsi="Book Antiqua" w:cs="Times"/>
          <w:color w:val="1A1718"/>
        </w:rPr>
        <w:t xml:space="preserve">is associated with </w:t>
      </w:r>
      <w:r w:rsidR="00EA1FF9" w:rsidRPr="00820F66">
        <w:rPr>
          <w:rFonts w:ascii="Book Antiqua" w:eastAsiaTheme="minorEastAsia" w:hAnsi="Book Antiqua" w:cs="Times"/>
          <w:color w:val="1A1718"/>
        </w:rPr>
        <w:t xml:space="preserve">a </w:t>
      </w:r>
      <w:r w:rsidRPr="00820F66">
        <w:rPr>
          <w:rFonts w:ascii="Book Antiqua" w:eastAsiaTheme="minorEastAsia" w:hAnsi="Book Antiqua" w:cs="Times"/>
          <w:color w:val="1A1718"/>
        </w:rPr>
        <w:t xml:space="preserve">poor prognosis, </w:t>
      </w:r>
      <w:r w:rsidRPr="00820F66">
        <w:rPr>
          <w:rFonts w:ascii="Book Antiqua" w:hAnsi="Book Antiqua" w:cs="Times"/>
          <w:color w:val="000000"/>
        </w:rPr>
        <w:t>is rarely seen in the clinic.</w:t>
      </w:r>
      <w:r w:rsidRPr="00820F66">
        <w:rPr>
          <w:rFonts w:ascii="Book Antiqua" w:hAnsi="Book Antiqua" w:cs="Arial"/>
          <w:color w:val="1C1D1E"/>
          <w:shd w:val="clear" w:color="auto" w:fill="FFFFFF"/>
        </w:rPr>
        <w:t xml:space="preserve"> </w:t>
      </w:r>
      <w:r w:rsidRPr="00820F66">
        <w:rPr>
          <w:rFonts w:ascii="Book Antiqua" w:hAnsi="Book Antiqua" w:cs="Times"/>
          <w:color w:val="000000"/>
        </w:rPr>
        <w:t>Here, we report the case of a patient in the above situation.</w:t>
      </w:r>
    </w:p>
    <w:p w14:paraId="59FA3A0B" w14:textId="77777777" w:rsidR="00743A43" w:rsidRPr="00820F66" w:rsidRDefault="00743A43" w:rsidP="00A43D45">
      <w:pPr>
        <w:spacing w:line="360" w:lineRule="auto"/>
        <w:jc w:val="both"/>
        <w:rPr>
          <w:rFonts w:ascii="Book Antiqua" w:eastAsiaTheme="minorEastAsia" w:hAnsi="Book Antiqua"/>
        </w:rPr>
      </w:pPr>
    </w:p>
    <w:p w14:paraId="1C305C9F" w14:textId="77777777" w:rsidR="00350F6A" w:rsidRPr="00820F66" w:rsidRDefault="00350F6A" w:rsidP="00A43D45">
      <w:pPr>
        <w:spacing w:line="360" w:lineRule="auto"/>
        <w:jc w:val="both"/>
        <w:rPr>
          <w:rFonts w:ascii="Book Antiqua" w:hAnsi="Book Antiqua"/>
          <w:b/>
          <w:i/>
        </w:rPr>
      </w:pPr>
      <w:r w:rsidRPr="00820F66">
        <w:rPr>
          <w:rFonts w:ascii="Book Antiqua" w:hAnsi="Book Antiqua"/>
          <w:b/>
          <w:i/>
        </w:rPr>
        <w:t>CASE SUMMARY</w:t>
      </w:r>
    </w:p>
    <w:p w14:paraId="2D11698E" w14:textId="67082F3F" w:rsidR="007E5A42" w:rsidRPr="00820F66" w:rsidRDefault="007E5A42" w:rsidP="00A43D45">
      <w:pPr>
        <w:spacing w:line="360" w:lineRule="auto"/>
        <w:jc w:val="both"/>
        <w:rPr>
          <w:rFonts w:ascii="Book Antiqua" w:hAnsi="Book Antiqua" w:cs="Times"/>
          <w:color w:val="000000"/>
        </w:rPr>
      </w:pPr>
      <w:r w:rsidRPr="00820F66">
        <w:rPr>
          <w:rFonts w:ascii="Book Antiqua" w:hAnsi="Book Antiqua" w:cs="Times"/>
          <w:color w:val="000000"/>
        </w:rPr>
        <w:t>A 75-year-old female patient with a past medical history of hypertension and cerebral infarction paid a hospital visit as a result of right upper quadrant abdominal pain and anorexia for two months.</w:t>
      </w:r>
      <w:r w:rsidRPr="00820F66">
        <w:rPr>
          <w:rFonts w:ascii="Book Antiqua" w:hAnsi="Book Antiqua"/>
          <w:color w:val="000000"/>
          <w:shd w:val="clear" w:color="auto" w:fill="FFFFFF"/>
        </w:rPr>
        <w:t xml:space="preserve"> </w:t>
      </w:r>
      <w:r w:rsidRPr="00820F66">
        <w:rPr>
          <w:rFonts w:ascii="Book Antiqua" w:hAnsi="Book Antiqua" w:cs="Times"/>
          <w:color w:val="000000"/>
        </w:rPr>
        <w:t>Laboratory examination revealed a white blood cell (WBC) count of 43790/μL, which was then increased up to 77050/μL. In addition, the results of bone marrow examination suggested a leukemoid reaction. Computed tomography (CT) revealed a focal hepatic mass, which was confirmed through pathological examination to be a</w:t>
      </w:r>
      <w:r w:rsidR="00EA1FF9" w:rsidRPr="00820F66">
        <w:rPr>
          <w:rFonts w:ascii="Book Antiqua" w:hAnsi="Book Antiqua" w:cs="Times"/>
          <w:color w:val="000000"/>
        </w:rPr>
        <w:t>n</w:t>
      </w:r>
      <w:r w:rsidRPr="00820F66">
        <w:rPr>
          <w:rFonts w:ascii="Book Antiqua" w:hAnsi="Book Antiqua" w:cs="Times"/>
          <w:color w:val="000000"/>
        </w:rPr>
        <w:t xml:space="preserve"> SHC postoperatively. In addition, the WBC count had fallen to a normal level before she left the hospital. However, the patient died two and a half months after the second hospital admission.</w:t>
      </w:r>
    </w:p>
    <w:p w14:paraId="3CDD9DFC" w14:textId="77777777" w:rsidR="00743A43" w:rsidRPr="00820F66" w:rsidRDefault="00743A43" w:rsidP="00A43D45">
      <w:pPr>
        <w:spacing w:line="360" w:lineRule="auto"/>
        <w:jc w:val="both"/>
        <w:rPr>
          <w:rFonts w:ascii="Book Antiqua" w:eastAsiaTheme="minorEastAsia" w:hAnsi="Book Antiqua"/>
        </w:rPr>
      </w:pPr>
    </w:p>
    <w:p w14:paraId="5CBF430A" w14:textId="77777777" w:rsidR="00350F6A" w:rsidRPr="00820F66" w:rsidRDefault="00350F6A" w:rsidP="00A43D45">
      <w:pPr>
        <w:spacing w:line="360" w:lineRule="auto"/>
        <w:jc w:val="both"/>
        <w:rPr>
          <w:rFonts w:ascii="Book Antiqua" w:hAnsi="Book Antiqua"/>
          <w:b/>
          <w:i/>
        </w:rPr>
      </w:pPr>
      <w:r w:rsidRPr="00820F66">
        <w:rPr>
          <w:rFonts w:ascii="Book Antiqua" w:hAnsi="Book Antiqua"/>
          <w:b/>
          <w:i/>
        </w:rPr>
        <w:t>CONCLUSION</w:t>
      </w:r>
    </w:p>
    <w:p w14:paraId="3A432D5F" w14:textId="54ED9A73" w:rsidR="007E725B" w:rsidRPr="00820F66" w:rsidRDefault="007E5A42" w:rsidP="00A43D45">
      <w:pPr>
        <w:autoSpaceDE w:val="0"/>
        <w:autoSpaceDN w:val="0"/>
        <w:adjustRightInd w:val="0"/>
        <w:spacing w:line="360" w:lineRule="auto"/>
        <w:jc w:val="both"/>
        <w:rPr>
          <w:rFonts w:ascii="Book Antiqua" w:hAnsi="Book Antiqua" w:cs="Times"/>
          <w:color w:val="000000"/>
        </w:rPr>
      </w:pPr>
      <w:r w:rsidRPr="00820F66">
        <w:rPr>
          <w:rFonts w:ascii="Book Antiqua" w:hAnsi="Book Antiqua" w:cs="Times"/>
          <w:color w:val="000000"/>
        </w:rPr>
        <w:t xml:space="preserve">This </w:t>
      </w:r>
      <w:r w:rsidR="00EA1FF9" w:rsidRPr="00820F66">
        <w:rPr>
          <w:rFonts w:ascii="Book Antiqua" w:hAnsi="Book Antiqua" w:cs="Times"/>
          <w:color w:val="000000"/>
        </w:rPr>
        <w:t xml:space="preserve">is </w:t>
      </w:r>
      <w:r w:rsidRPr="00820F66">
        <w:rPr>
          <w:rFonts w:ascii="Book Antiqua" w:hAnsi="Book Antiqua" w:cs="Times"/>
          <w:color w:val="000000"/>
        </w:rPr>
        <w:t xml:space="preserve">a rare case of SHC combined with PLR, both of which have </w:t>
      </w:r>
      <w:r w:rsidR="00EA1FF9" w:rsidRPr="00820F66">
        <w:rPr>
          <w:rFonts w:ascii="Book Antiqua" w:hAnsi="Book Antiqua" w:cs="Times"/>
          <w:color w:val="000000"/>
        </w:rPr>
        <w:t xml:space="preserve">an </w:t>
      </w:r>
      <w:r w:rsidRPr="00820F66">
        <w:rPr>
          <w:rFonts w:ascii="Book Antiqua" w:hAnsi="Book Antiqua" w:cs="Times"/>
          <w:color w:val="000000"/>
        </w:rPr>
        <w:t>extremely poor prognosis.</w:t>
      </w:r>
    </w:p>
    <w:p w14:paraId="64A364F8" w14:textId="77777777" w:rsidR="007E5A42" w:rsidRPr="00820F66" w:rsidRDefault="007E5A42" w:rsidP="00A43D45">
      <w:pPr>
        <w:autoSpaceDE w:val="0"/>
        <w:autoSpaceDN w:val="0"/>
        <w:adjustRightInd w:val="0"/>
        <w:spacing w:line="360" w:lineRule="auto"/>
        <w:jc w:val="both"/>
        <w:rPr>
          <w:rFonts w:ascii="Book Antiqua" w:eastAsiaTheme="minorEastAsia" w:hAnsi="Book Antiqua"/>
        </w:rPr>
      </w:pPr>
    </w:p>
    <w:p w14:paraId="7CB505B6" w14:textId="0E895EF9" w:rsidR="00743A43" w:rsidRPr="00820F66" w:rsidRDefault="00743A43" w:rsidP="00A43D45">
      <w:pPr>
        <w:autoSpaceDE w:val="0"/>
        <w:autoSpaceDN w:val="0"/>
        <w:adjustRightInd w:val="0"/>
        <w:spacing w:line="360" w:lineRule="auto"/>
        <w:jc w:val="both"/>
        <w:rPr>
          <w:rFonts w:ascii="Book Antiqua" w:hAnsi="Book Antiqua" w:cs="Times"/>
          <w:color w:val="000000"/>
        </w:rPr>
      </w:pPr>
      <w:r w:rsidRPr="00820F66">
        <w:rPr>
          <w:rFonts w:ascii="Book Antiqua" w:hAnsi="Book Antiqua"/>
          <w:b/>
          <w:bCs/>
        </w:rPr>
        <w:t>Key words</w:t>
      </w:r>
      <w:r w:rsidRPr="00820F66">
        <w:rPr>
          <w:rFonts w:ascii="Book Antiqua" w:hAnsi="Book Antiqua"/>
        </w:rPr>
        <w:t>:</w:t>
      </w:r>
      <w:r w:rsidRPr="00820F66">
        <w:rPr>
          <w:rFonts w:ascii="Book Antiqua" w:eastAsia="华文中宋" w:hAnsi="Book Antiqua"/>
        </w:rPr>
        <w:t xml:space="preserve"> </w:t>
      </w:r>
      <w:bookmarkStart w:id="7" w:name="OLE_LINK5"/>
      <w:r w:rsidR="007E5A42" w:rsidRPr="00820F66">
        <w:rPr>
          <w:rFonts w:ascii="Book Antiqua" w:hAnsi="Book Antiqua" w:cs="Times"/>
        </w:rPr>
        <w:t xml:space="preserve">Paraneoplastic leukemoid reaction; White blood cells; Bone marrow examination; </w:t>
      </w:r>
      <w:r w:rsidR="007E5A42" w:rsidRPr="00820F66">
        <w:rPr>
          <w:rFonts w:ascii="Book Antiqua" w:hAnsi="Book Antiqua" w:cs="Times"/>
          <w:color w:val="000000"/>
        </w:rPr>
        <w:t>Sarcomatoid hepatocellular carcinoma; Poor prognosis; Case report</w:t>
      </w:r>
    </w:p>
    <w:bookmarkEnd w:id="7"/>
    <w:p w14:paraId="470D2DFB" w14:textId="77777777" w:rsidR="007E5A42" w:rsidRPr="00820F66" w:rsidRDefault="007E5A42" w:rsidP="00A43D45">
      <w:pPr>
        <w:autoSpaceDE w:val="0"/>
        <w:autoSpaceDN w:val="0"/>
        <w:adjustRightInd w:val="0"/>
        <w:spacing w:line="360" w:lineRule="auto"/>
        <w:jc w:val="both"/>
        <w:rPr>
          <w:rFonts w:ascii="Book Antiqua" w:eastAsiaTheme="minorEastAsia" w:hAnsi="Book Antiqua"/>
        </w:rPr>
      </w:pPr>
    </w:p>
    <w:p w14:paraId="6443E3D5" w14:textId="77777777" w:rsidR="00743A43" w:rsidRPr="00820F66" w:rsidRDefault="00743A43" w:rsidP="00A43D45">
      <w:pPr>
        <w:spacing w:line="360" w:lineRule="auto"/>
        <w:ind w:right="-46"/>
        <w:jc w:val="both"/>
        <w:rPr>
          <w:rFonts w:ascii="Book Antiqua" w:hAnsi="Book Antiqua" w:cs="Arial"/>
        </w:rPr>
      </w:pPr>
      <w:r w:rsidRPr="00820F66">
        <w:rPr>
          <w:rFonts w:ascii="Book Antiqua" w:hAnsi="Book Antiqua" w:cs="Arial"/>
          <w:b/>
        </w:rPr>
        <w:t>© The Author(s) 2019.</w:t>
      </w:r>
      <w:r w:rsidRPr="00820F66">
        <w:rPr>
          <w:rFonts w:ascii="Book Antiqua" w:hAnsi="Book Antiqua" w:cs="Arial"/>
        </w:rPr>
        <w:t xml:space="preserve"> Published by Baishideng Publishing Group Inc. All rights reserved.</w:t>
      </w:r>
    </w:p>
    <w:p w14:paraId="1B884C41" w14:textId="77777777" w:rsidR="00743A43" w:rsidRPr="00820F66" w:rsidRDefault="00743A43" w:rsidP="00A43D45">
      <w:pPr>
        <w:spacing w:line="360" w:lineRule="auto"/>
        <w:ind w:right="-565"/>
        <w:jc w:val="both"/>
        <w:rPr>
          <w:rFonts w:ascii="Book Antiqua" w:hAnsi="Book Antiqua" w:cs="Arial"/>
          <w:b/>
        </w:rPr>
      </w:pPr>
    </w:p>
    <w:p w14:paraId="253E7F38" w14:textId="3751CEC5" w:rsidR="00101F42" w:rsidRPr="00820F66" w:rsidRDefault="00743A43" w:rsidP="00A43D45">
      <w:pPr>
        <w:spacing w:line="360" w:lineRule="auto"/>
        <w:jc w:val="both"/>
        <w:rPr>
          <w:rFonts w:ascii="Book Antiqua" w:hAnsi="Book Antiqua" w:cs="Times"/>
        </w:rPr>
      </w:pPr>
      <w:r w:rsidRPr="00820F66">
        <w:rPr>
          <w:rFonts w:ascii="Book Antiqua" w:hAnsi="Book Antiqua" w:cs="Arial"/>
          <w:b/>
        </w:rPr>
        <w:t xml:space="preserve">Core tip: </w:t>
      </w:r>
      <w:bookmarkStart w:id="8" w:name="OLE_LINK15"/>
      <w:bookmarkStart w:id="9" w:name="OLE_LINK14"/>
      <w:bookmarkStart w:id="10" w:name="OLE_LINK7"/>
      <w:r w:rsidR="007E5A42" w:rsidRPr="00820F66">
        <w:rPr>
          <w:rFonts w:ascii="Book Antiqua" w:hAnsi="Book Antiqua" w:cs="Times"/>
          <w:color w:val="000000"/>
        </w:rPr>
        <w:t>S</w:t>
      </w:r>
      <w:r w:rsidR="007E5A42" w:rsidRPr="00820F66">
        <w:rPr>
          <w:rFonts w:ascii="Book Antiqua" w:hAnsi="Book Antiqua" w:cs="Times"/>
        </w:rPr>
        <w:t xml:space="preserve">arcomatoid hepatocellular carcinoma (SHC) is a rare histological subtype of hepatocellular carcinoma (HCC), with largely incompletely described clinical manifestations and outcomes. SHC combined with paraneoplastic leukemoid reaction (PLR), which is defined as reactive leukocytosis exceeding 50000/μL, is associated with </w:t>
      </w:r>
      <w:r w:rsidR="00EA1FF9" w:rsidRPr="00820F66">
        <w:rPr>
          <w:rFonts w:ascii="Book Antiqua" w:hAnsi="Book Antiqua" w:cs="Times"/>
        </w:rPr>
        <w:t xml:space="preserve">a </w:t>
      </w:r>
      <w:r w:rsidR="007E5A42" w:rsidRPr="00820F66">
        <w:rPr>
          <w:rFonts w:ascii="Book Antiqua" w:hAnsi="Book Antiqua" w:cs="Times"/>
        </w:rPr>
        <w:t>poor prognosis and is rarely seen in the clinic. A surgery or surgery-centered multidisciplinary team may benefit patients in this situation.</w:t>
      </w:r>
      <w:bookmarkEnd w:id="8"/>
      <w:bookmarkEnd w:id="9"/>
    </w:p>
    <w:bookmarkEnd w:id="10"/>
    <w:p w14:paraId="224F5AB1" w14:textId="77777777" w:rsidR="007E5A42" w:rsidRPr="00820F66" w:rsidRDefault="007E5A42" w:rsidP="00A43D45">
      <w:pPr>
        <w:spacing w:line="360" w:lineRule="auto"/>
        <w:jc w:val="both"/>
        <w:rPr>
          <w:rFonts w:ascii="Book Antiqua" w:eastAsia="Book Antiqua" w:hAnsi="Book Antiqua"/>
        </w:rPr>
      </w:pPr>
    </w:p>
    <w:p w14:paraId="29482CCC" w14:textId="547901FE" w:rsidR="00743A43" w:rsidRDefault="00820F66" w:rsidP="00A43D45">
      <w:pPr>
        <w:spacing w:line="360" w:lineRule="auto"/>
        <w:jc w:val="both"/>
        <w:rPr>
          <w:rFonts w:ascii="Book Antiqua" w:hAnsi="Book Antiqua"/>
          <w:iCs/>
        </w:rPr>
      </w:pPr>
      <w:r w:rsidRPr="00820F66">
        <w:rPr>
          <w:rFonts w:ascii="Book Antiqua" w:hAnsi="Book Antiqua"/>
          <w:b/>
          <w:color w:val="000000" w:themeColor="text1"/>
        </w:rPr>
        <w:t>Citation:</w:t>
      </w:r>
      <w:r>
        <w:rPr>
          <w:rFonts w:ascii="Book Antiqua" w:hAnsi="Book Antiqua" w:hint="eastAsia"/>
          <w:b/>
          <w:color w:val="000000" w:themeColor="text1"/>
        </w:rPr>
        <w:t xml:space="preserve"> </w:t>
      </w:r>
      <w:r w:rsidR="007E5A42" w:rsidRPr="00820F66">
        <w:rPr>
          <w:rFonts w:ascii="Book Antiqua" w:hAnsi="Book Antiqua"/>
          <w:color w:val="000000" w:themeColor="text1"/>
        </w:rPr>
        <w:t xml:space="preserve">Hu B, Sang XT, Yang XB. </w:t>
      </w:r>
      <w:r w:rsidR="007E5A42" w:rsidRPr="00820F66">
        <w:rPr>
          <w:rFonts w:ascii="Book Antiqua" w:hAnsi="Book Antiqua"/>
          <w:color w:val="000000"/>
        </w:rPr>
        <w:t>Paraneoplastic</w:t>
      </w:r>
      <w:r w:rsidR="007E5A42" w:rsidRPr="00820F66">
        <w:rPr>
          <w:rFonts w:ascii="Book Antiqua" w:hAnsi="Book Antiqua"/>
          <w:bCs/>
          <w:color w:val="000000"/>
        </w:rPr>
        <w:t xml:space="preserve"> leukemoid reaction in a patient with </w:t>
      </w:r>
      <w:r w:rsidR="007E5A42" w:rsidRPr="00820F66">
        <w:rPr>
          <w:rFonts w:ascii="Book Antiqua" w:hAnsi="Book Antiqua"/>
          <w:color w:val="000000"/>
        </w:rPr>
        <w:t>sarcomatoid hepatocellular carcinoma: A case report.</w:t>
      </w:r>
      <w:r w:rsidR="00743A43" w:rsidRPr="00820F66">
        <w:rPr>
          <w:rFonts w:ascii="Book Antiqua" w:hAnsi="Book Antiqua"/>
          <w:bCs/>
        </w:rPr>
        <w:t xml:space="preserve"> </w:t>
      </w:r>
      <w:r w:rsidR="00743A43" w:rsidRPr="00820F66">
        <w:rPr>
          <w:rFonts w:ascii="Book Antiqua" w:hAnsi="Book Antiqua"/>
          <w:i/>
          <w:iCs/>
        </w:rPr>
        <w:t xml:space="preserve">World J Clin Cases </w:t>
      </w:r>
      <w:r w:rsidR="00743A43" w:rsidRPr="00820F66">
        <w:rPr>
          <w:rFonts w:ascii="Book Antiqua" w:hAnsi="Book Antiqua"/>
          <w:iCs/>
        </w:rPr>
        <w:t xml:space="preserve">2019; </w:t>
      </w:r>
      <w:r w:rsidRPr="00820F66">
        <w:rPr>
          <w:rFonts w:ascii="Book Antiqua" w:hAnsi="Book Antiqua"/>
          <w:iCs/>
        </w:rPr>
        <w:t xml:space="preserve">7(11): </w:t>
      </w:r>
      <w:r w:rsidR="0057070A">
        <w:rPr>
          <w:rFonts w:ascii="Book Antiqua" w:hAnsi="Book Antiqua" w:hint="eastAsia"/>
          <w:iCs/>
        </w:rPr>
        <w:t>1330</w:t>
      </w:r>
      <w:r w:rsidRPr="00820F66">
        <w:rPr>
          <w:rFonts w:ascii="Book Antiqua" w:hAnsi="Book Antiqua"/>
          <w:iCs/>
        </w:rPr>
        <w:t>-1</w:t>
      </w:r>
      <w:r w:rsidR="0057070A">
        <w:rPr>
          <w:rFonts w:ascii="Book Antiqua" w:hAnsi="Book Antiqua" w:hint="eastAsia"/>
          <w:iCs/>
        </w:rPr>
        <w:t>336</w:t>
      </w:r>
    </w:p>
    <w:p w14:paraId="7AB91175" w14:textId="591D16E6" w:rsidR="00820F66" w:rsidRPr="00820F66" w:rsidRDefault="00820F66" w:rsidP="00820F66">
      <w:pPr>
        <w:spacing w:line="360" w:lineRule="auto"/>
        <w:jc w:val="both"/>
        <w:rPr>
          <w:rFonts w:ascii="Book Antiqua" w:hAnsi="Book Antiqua"/>
        </w:rPr>
      </w:pPr>
      <w:r w:rsidRPr="00820F66">
        <w:rPr>
          <w:rFonts w:ascii="Book Antiqua" w:hAnsi="Book Antiqua"/>
          <w:b/>
        </w:rPr>
        <w:t>URL:</w:t>
      </w:r>
      <w:r w:rsidRPr="00820F66">
        <w:rPr>
          <w:rFonts w:ascii="Book Antiqua" w:hAnsi="Book Antiqua"/>
        </w:rPr>
        <w:t xml:space="preserve"> https://www.wjgnet.com/2307-8960/full/v7/i11/</w:t>
      </w:r>
      <w:r w:rsidR="0057070A">
        <w:rPr>
          <w:rFonts w:ascii="Book Antiqua" w:hAnsi="Book Antiqua" w:hint="eastAsia"/>
          <w:iCs/>
        </w:rPr>
        <w:t>1330</w:t>
      </w:r>
      <w:r w:rsidRPr="00820F66">
        <w:rPr>
          <w:rFonts w:ascii="Book Antiqua" w:hAnsi="Book Antiqua"/>
        </w:rPr>
        <w:t xml:space="preserve">.htm  </w:t>
      </w:r>
    </w:p>
    <w:p w14:paraId="26E54050" w14:textId="732556FD" w:rsidR="00820F66" w:rsidRPr="00820F66" w:rsidRDefault="00820F66" w:rsidP="00820F66">
      <w:pPr>
        <w:spacing w:line="360" w:lineRule="auto"/>
        <w:jc w:val="both"/>
        <w:rPr>
          <w:rFonts w:ascii="Book Antiqua" w:hAnsi="Book Antiqua"/>
        </w:rPr>
      </w:pPr>
      <w:r w:rsidRPr="00820F66">
        <w:rPr>
          <w:rFonts w:ascii="Book Antiqua" w:hAnsi="Book Antiqua"/>
          <w:b/>
        </w:rPr>
        <w:t>DOI:</w:t>
      </w:r>
      <w:r w:rsidRPr="00820F66">
        <w:rPr>
          <w:rFonts w:ascii="Book Antiqua" w:hAnsi="Book Antiqua"/>
        </w:rPr>
        <w:t xml:space="preserve"> https://dx.doi.org/10.12998/wjcc.v7.i11.</w:t>
      </w:r>
      <w:r w:rsidR="0057070A">
        <w:rPr>
          <w:rFonts w:ascii="Book Antiqua" w:hAnsi="Book Antiqua" w:hint="eastAsia"/>
          <w:iCs/>
        </w:rPr>
        <w:t>1330</w:t>
      </w:r>
      <w:bookmarkStart w:id="11" w:name="_GoBack"/>
      <w:bookmarkEnd w:id="11"/>
    </w:p>
    <w:p w14:paraId="58113C5D" w14:textId="6D004273" w:rsidR="000B4062" w:rsidRPr="00820F66" w:rsidRDefault="00743A43" w:rsidP="00A43D45">
      <w:pPr>
        <w:spacing w:line="360" w:lineRule="auto"/>
        <w:jc w:val="both"/>
        <w:rPr>
          <w:rFonts w:ascii="Book Antiqua" w:hAnsi="Book Antiqua"/>
          <w:b/>
        </w:rPr>
      </w:pPr>
      <w:r w:rsidRPr="00820F66">
        <w:rPr>
          <w:rFonts w:ascii="Book Antiqua" w:eastAsiaTheme="minorEastAsia" w:hAnsi="Book Antiqua"/>
        </w:rPr>
        <w:br w:type="page"/>
      </w:r>
      <w:r w:rsidRPr="00820F66">
        <w:rPr>
          <w:rFonts w:ascii="Book Antiqua" w:hAnsi="Book Antiqua"/>
          <w:b/>
        </w:rPr>
        <w:t>INTRODUCTION</w:t>
      </w:r>
    </w:p>
    <w:p w14:paraId="2C62AF11" w14:textId="3024CD80" w:rsidR="008E4CE5" w:rsidRPr="00820F66" w:rsidRDefault="007E5A42" w:rsidP="008E4CE5">
      <w:pPr>
        <w:autoSpaceDE w:val="0"/>
        <w:autoSpaceDN w:val="0"/>
        <w:adjustRightInd w:val="0"/>
        <w:spacing w:line="360" w:lineRule="auto"/>
        <w:jc w:val="both"/>
        <w:rPr>
          <w:rFonts w:ascii="Book Antiqua" w:hAnsi="Book Antiqua" w:cs="Times"/>
        </w:rPr>
      </w:pPr>
      <w:r w:rsidRPr="00820F66">
        <w:rPr>
          <w:rFonts w:ascii="Book Antiqua" w:hAnsi="Book Antiqua" w:cs="Times"/>
        </w:rPr>
        <w:t xml:space="preserve">Leukemoid reaction is referred to as the condition in which reactive leukocytosis has exceeded 50000/μL, accompanied by a significant increase in the early neutrophil precursors. Typically, leukemoid reaction can serve as a paraneoplastic manifestation of various malignant tumors, including lung, gastrointestinal, genitourinary, ovarian, </w:t>
      </w:r>
      <w:r w:rsidR="000475BA" w:rsidRPr="00820F66">
        <w:rPr>
          <w:rFonts w:ascii="Book Antiqua" w:hAnsi="Book Antiqua" w:cs="Times"/>
        </w:rPr>
        <w:t xml:space="preserve">and </w:t>
      </w:r>
      <w:r w:rsidRPr="00820F66">
        <w:rPr>
          <w:rFonts w:ascii="Book Antiqua" w:hAnsi="Book Antiqua" w:cs="Times"/>
        </w:rPr>
        <w:t>head and neck cancers, as well as hepatocellular carcinoma (HCC)</w:t>
      </w:r>
      <w:r w:rsidRPr="00820F66">
        <w:rPr>
          <w:rFonts w:ascii="Book Antiqua" w:hAnsi="Book Antiqua" w:cs="Times"/>
          <w:vertAlign w:val="superscript"/>
        </w:rPr>
        <w:t>[1]</w:t>
      </w:r>
      <w:r w:rsidRPr="00820F66">
        <w:rPr>
          <w:rFonts w:ascii="Book Antiqua" w:hAnsi="Book Antiqua" w:cs="Times"/>
        </w:rPr>
        <w:t xml:space="preserve">. Generally, the most common presentation of the paraneoplastic leukemoid reaction (PLR) is less severe and lacks </w:t>
      </w:r>
      <w:r w:rsidR="000475BA" w:rsidRPr="00820F66">
        <w:rPr>
          <w:rFonts w:ascii="Book Antiqua" w:hAnsi="Book Antiqua" w:cs="Times"/>
        </w:rPr>
        <w:t xml:space="preserve">an </w:t>
      </w:r>
      <w:r w:rsidRPr="00820F66">
        <w:rPr>
          <w:rFonts w:ascii="Book Antiqua" w:hAnsi="Book Antiqua" w:cs="Times"/>
        </w:rPr>
        <w:t xml:space="preserve">increase in </w:t>
      </w:r>
      <w:r w:rsidR="000475BA" w:rsidRPr="00820F66">
        <w:rPr>
          <w:rFonts w:ascii="Book Antiqua" w:hAnsi="Book Antiqua" w:cs="Times"/>
        </w:rPr>
        <w:t xml:space="preserve">the </w:t>
      </w:r>
      <w:r w:rsidRPr="00820F66">
        <w:rPr>
          <w:rFonts w:ascii="Book Antiqua" w:hAnsi="Book Antiqua" w:cs="Times"/>
        </w:rPr>
        <w:t>levels of inflammatory markers. It shows no response to antibiotic therapy</w:t>
      </w:r>
      <w:r w:rsidRPr="00820F66">
        <w:rPr>
          <w:rFonts w:ascii="Book Antiqua" w:hAnsi="Book Antiqua" w:cs="Times"/>
          <w:vertAlign w:val="superscript"/>
        </w:rPr>
        <w:t>[2</w:t>
      </w:r>
      <w:r w:rsidR="000A053E" w:rsidRPr="00820F66">
        <w:rPr>
          <w:rFonts w:ascii="Book Antiqua" w:hAnsi="Book Antiqua" w:cs="Times" w:hint="eastAsia"/>
          <w:vertAlign w:val="superscript"/>
        </w:rPr>
        <w:t>-</w:t>
      </w:r>
      <w:r w:rsidRPr="00820F66">
        <w:rPr>
          <w:rFonts w:ascii="Book Antiqua" w:hAnsi="Book Antiqua" w:cs="Times"/>
          <w:vertAlign w:val="superscript"/>
        </w:rPr>
        <w:t>,5]</w:t>
      </w:r>
      <w:r w:rsidRPr="00820F66">
        <w:rPr>
          <w:rFonts w:ascii="Book Antiqua" w:hAnsi="Book Antiqua" w:cs="Times"/>
        </w:rPr>
        <w:t>. Moreover, the PLR-induced complications mainly result from increased blood viscosity, and gangrene in the foot has been described in one report</w:t>
      </w:r>
      <w:r w:rsidRPr="00820F66">
        <w:rPr>
          <w:rFonts w:ascii="Book Antiqua" w:hAnsi="Book Antiqua" w:cs="Times"/>
          <w:vertAlign w:val="superscript"/>
        </w:rPr>
        <w:t>[6]</w:t>
      </w:r>
      <w:r w:rsidRPr="00820F66">
        <w:rPr>
          <w:rFonts w:ascii="Book Antiqua" w:hAnsi="Book Antiqua" w:cs="Times"/>
        </w:rPr>
        <w:t>. As a result, to manage PLR is indeed to treat the underlying tumor.</w:t>
      </w:r>
    </w:p>
    <w:p w14:paraId="122D99EB" w14:textId="10B883F3" w:rsidR="00E5612E" w:rsidRPr="00820F66" w:rsidRDefault="007E5A42" w:rsidP="008E4CE5">
      <w:pPr>
        <w:autoSpaceDE w:val="0"/>
        <w:autoSpaceDN w:val="0"/>
        <w:adjustRightInd w:val="0"/>
        <w:spacing w:line="360" w:lineRule="auto"/>
        <w:ind w:firstLineChars="200" w:firstLine="480"/>
        <w:jc w:val="both"/>
        <w:rPr>
          <w:rFonts w:ascii="Book Antiqua" w:hAnsi="Book Antiqua" w:cs="Times"/>
        </w:rPr>
      </w:pPr>
      <w:r w:rsidRPr="00820F66">
        <w:rPr>
          <w:rFonts w:ascii="Book Antiqua" w:hAnsi="Book Antiqua" w:cs="Times"/>
        </w:rPr>
        <w:t>Sarcomatoid hepatocellular carcinoma (SHC) is characterized by the proliferation of spindle cells or bizarre giant cells</w:t>
      </w:r>
      <w:r w:rsidRPr="00820F66">
        <w:rPr>
          <w:rFonts w:ascii="Book Antiqua" w:hAnsi="Book Antiqua" w:cs="Times"/>
          <w:vertAlign w:val="superscript"/>
        </w:rPr>
        <w:t xml:space="preserve">[7] </w:t>
      </w:r>
      <w:r w:rsidRPr="00820F66">
        <w:rPr>
          <w:rFonts w:ascii="Book Antiqua" w:hAnsi="Book Antiqua" w:cs="Times"/>
        </w:rPr>
        <w:t xml:space="preserve">and is usually associated with </w:t>
      </w:r>
      <w:r w:rsidR="000475BA" w:rsidRPr="00820F66">
        <w:rPr>
          <w:rFonts w:ascii="Book Antiqua" w:hAnsi="Book Antiqua" w:cs="Times"/>
        </w:rPr>
        <w:t xml:space="preserve">a </w:t>
      </w:r>
      <w:r w:rsidRPr="00820F66">
        <w:rPr>
          <w:rFonts w:ascii="Book Antiqua" w:hAnsi="Book Antiqua" w:cs="Times"/>
        </w:rPr>
        <w:t>dismal prognosis and high risks of recurrence and metastasis. Typically, the hepatocellular markers were negative in the malignant spindle cell component, whereas creatine kinase (CK) and vimentin were positive in most SCC patients</w:t>
      </w:r>
      <w:r w:rsidRPr="00820F66">
        <w:rPr>
          <w:rFonts w:ascii="Book Antiqua" w:hAnsi="Book Antiqua" w:cs="Times"/>
          <w:vertAlign w:val="superscript"/>
        </w:rPr>
        <w:t>[8]</w:t>
      </w:r>
      <w:r w:rsidRPr="00820F66">
        <w:rPr>
          <w:rFonts w:ascii="Book Antiqua" w:hAnsi="Book Antiqua" w:cs="Times"/>
        </w:rPr>
        <w:t xml:space="preserve">. SHC is distinct from nonsarcomatoid liver cancer. However, it can be </w:t>
      </w:r>
      <w:r w:rsidR="000475BA" w:rsidRPr="00820F66">
        <w:rPr>
          <w:rFonts w:ascii="Book Antiqua" w:hAnsi="Book Antiqua" w:cs="Times"/>
        </w:rPr>
        <w:t>misdiagnosed</w:t>
      </w:r>
      <w:r w:rsidRPr="00820F66">
        <w:rPr>
          <w:rFonts w:ascii="Book Antiqua" w:hAnsi="Book Antiqua" w:cs="Times"/>
        </w:rPr>
        <w:t xml:space="preserve"> as intrahepatic cholangiocarcinoma, making differential diagnosis necessary. PLR is even more rarely seen in SHC patients, which was fatal in our case.</w:t>
      </w:r>
    </w:p>
    <w:p w14:paraId="71655AF1" w14:textId="77777777" w:rsidR="001D4EF3" w:rsidRPr="00820F66" w:rsidRDefault="001D4EF3" w:rsidP="00A43D45">
      <w:pPr>
        <w:autoSpaceDE w:val="0"/>
        <w:autoSpaceDN w:val="0"/>
        <w:adjustRightInd w:val="0"/>
        <w:spacing w:line="360" w:lineRule="auto"/>
        <w:ind w:firstLineChars="100" w:firstLine="240"/>
        <w:jc w:val="both"/>
        <w:rPr>
          <w:rFonts w:ascii="Book Antiqua" w:hAnsi="Book Antiqua" w:cs="Times"/>
        </w:rPr>
      </w:pPr>
    </w:p>
    <w:p w14:paraId="432FFCD2" w14:textId="77777777" w:rsidR="00350F6A" w:rsidRPr="00820F66" w:rsidRDefault="00350F6A" w:rsidP="00A43D45">
      <w:pPr>
        <w:spacing w:line="360" w:lineRule="auto"/>
        <w:jc w:val="both"/>
        <w:rPr>
          <w:rFonts w:ascii="Book Antiqua" w:eastAsia="Book Antiqua" w:hAnsi="Book Antiqua"/>
          <w:b/>
        </w:rPr>
      </w:pPr>
      <w:r w:rsidRPr="00820F66">
        <w:rPr>
          <w:rFonts w:ascii="Book Antiqua" w:eastAsia="Book Antiqua" w:hAnsi="Book Antiqua"/>
          <w:b/>
        </w:rPr>
        <w:t>CASE PRESENTATION</w:t>
      </w:r>
    </w:p>
    <w:p w14:paraId="1401AF7B" w14:textId="60CB323A" w:rsidR="00743A43" w:rsidRPr="00820F66" w:rsidRDefault="00350F6A" w:rsidP="00A43D45">
      <w:pPr>
        <w:overflowPunct w:val="0"/>
        <w:autoSpaceDE w:val="0"/>
        <w:autoSpaceDN w:val="0"/>
        <w:adjustRightInd w:val="0"/>
        <w:spacing w:line="360" w:lineRule="auto"/>
        <w:jc w:val="both"/>
        <w:rPr>
          <w:rFonts w:ascii="Book Antiqua" w:hAnsi="Book Antiqua"/>
          <w:b/>
          <w:i/>
        </w:rPr>
      </w:pPr>
      <w:r w:rsidRPr="00820F66">
        <w:rPr>
          <w:rFonts w:ascii="Book Antiqua" w:hAnsi="Book Antiqua"/>
          <w:b/>
          <w:i/>
        </w:rPr>
        <w:t>Chief complaints</w:t>
      </w:r>
    </w:p>
    <w:p w14:paraId="11A0F131" w14:textId="77777777" w:rsidR="00654259" w:rsidRPr="00820F66" w:rsidRDefault="00654259" w:rsidP="00A43D45">
      <w:pPr>
        <w:autoSpaceDE w:val="0"/>
        <w:autoSpaceDN w:val="0"/>
        <w:adjustRightInd w:val="0"/>
        <w:spacing w:line="360" w:lineRule="auto"/>
        <w:jc w:val="both"/>
        <w:rPr>
          <w:rFonts w:ascii="Book Antiqua" w:hAnsi="Book Antiqua" w:cs="Times"/>
          <w:color w:val="000000"/>
        </w:rPr>
      </w:pPr>
      <w:r w:rsidRPr="00820F66">
        <w:rPr>
          <w:rFonts w:ascii="Book Antiqua" w:hAnsi="Book Antiqua" w:cs="Times"/>
          <w:color w:val="000000"/>
        </w:rPr>
        <w:t>A 75-year-old female patient presented to the hospital as a result of</w:t>
      </w:r>
      <w:r w:rsidRPr="00820F66">
        <w:rPr>
          <w:rFonts w:ascii="Book Antiqua" w:eastAsiaTheme="minorEastAsia" w:hAnsi="Book Antiqua" w:cs="Times"/>
          <w:color w:val="000000"/>
        </w:rPr>
        <w:t xml:space="preserve"> </w:t>
      </w:r>
      <w:r w:rsidRPr="00820F66">
        <w:rPr>
          <w:rFonts w:ascii="Book Antiqua" w:hAnsi="Book Antiqua" w:cs="Times"/>
          <w:color w:val="000000"/>
        </w:rPr>
        <w:t>right upper quadrant abdominal pain. Meanwhile, she also complained of anorexia and progressive generalized weakness.</w:t>
      </w:r>
    </w:p>
    <w:p w14:paraId="40B1626B" w14:textId="77777777" w:rsidR="00350F6A" w:rsidRPr="00820F66" w:rsidRDefault="00350F6A" w:rsidP="00A43D45">
      <w:pPr>
        <w:spacing w:line="360" w:lineRule="auto"/>
        <w:jc w:val="both"/>
        <w:rPr>
          <w:rFonts w:ascii="Book Antiqua" w:hAnsi="Book Antiqua"/>
          <w:b/>
        </w:rPr>
      </w:pPr>
    </w:p>
    <w:p w14:paraId="7E2553DF" w14:textId="77777777" w:rsidR="00743A43" w:rsidRPr="00820F66" w:rsidRDefault="00350F6A" w:rsidP="00A43D45">
      <w:pPr>
        <w:autoSpaceDE w:val="0"/>
        <w:autoSpaceDN w:val="0"/>
        <w:adjustRightInd w:val="0"/>
        <w:spacing w:line="360" w:lineRule="auto"/>
        <w:jc w:val="both"/>
        <w:rPr>
          <w:rFonts w:ascii="Book Antiqua" w:hAnsi="Book Antiqua"/>
          <w:b/>
          <w:i/>
        </w:rPr>
      </w:pPr>
      <w:r w:rsidRPr="00820F66">
        <w:rPr>
          <w:rFonts w:ascii="Book Antiqua" w:hAnsi="Book Antiqua"/>
          <w:b/>
          <w:i/>
        </w:rPr>
        <w:t>History of present illness</w:t>
      </w:r>
    </w:p>
    <w:p w14:paraId="4CD2E362" w14:textId="77777777" w:rsidR="00654259" w:rsidRPr="00820F66" w:rsidRDefault="00654259" w:rsidP="00A43D45">
      <w:pPr>
        <w:spacing w:line="360" w:lineRule="auto"/>
        <w:jc w:val="both"/>
        <w:rPr>
          <w:rFonts w:ascii="Book Antiqua" w:hAnsi="Book Antiqua" w:cs="Times"/>
          <w:color w:val="000000"/>
        </w:rPr>
      </w:pPr>
      <w:r w:rsidRPr="00820F66">
        <w:rPr>
          <w:rFonts w:ascii="Book Antiqua" w:hAnsi="Book Antiqua" w:cs="Times"/>
          <w:color w:val="000000"/>
        </w:rPr>
        <w:t>Patient’s symptoms started two months ago with recurrent episodes of bloating.</w:t>
      </w:r>
    </w:p>
    <w:p w14:paraId="1CA9E59A" w14:textId="77777777" w:rsidR="00350F6A" w:rsidRPr="00820F66" w:rsidRDefault="00350F6A" w:rsidP="00A43D45">
      <w:pPr>
        <w:spacing w:line="360" w:lineRule="auto"/>
        <w:jc w:val="both"/>
        <w:rPr>
          <w:rFonts w:ascii="Book Antiqua" w:hAnsi="Book Antiqua"/>
          <w:b/>
        </w:rPr>
      </w:pPr>
    </w:p>
    <w:p w14:paraId="7C0ABCCC" w14:textId="77777777" w:rsidR="00743A43" w:rsidRPr="00820F66" w:rsidRDefault="00350F6A" w:rsidP="00A43D45">
      <w:pPr>
        <w:spacing w:line="360" w:lineRule="auto"/>
        <w:jc w:val="both"/>
        <w:rPr>
          <w:rFonts w:ascii="Book Antiqua" w:eastAsiaTheme="minorEastAsia" w:hAnsi="Book Antiqua"/>
          <w:b/>
          <w:i/>
        </w:rPr>
      </w:pPr>
      <w:r w:rsidRPr="00820F66">
        <w:rPr>
          <w:rFonts w:ascii="Book Antiqua" w:hAnsi="Book Antiqua"/>
          <w:b/>
          <w:i/>
        </w:rPr>
        <w:t>History of past i</w:t>
      </w:r>
      <w:r w:rsidRPr="00820F66">
        <w:rPr>
          <w:rFonts w:ascii="Book Antiqua" w:eastAsia="Book Antiqua" w:hAnsi="Book Antiqua"/>
          <w:b/>
          <w:i/>
        </w:rPr>
        <w:t>llness</w:t>
      </w:r>
    </w:p>
    <w:p w14:paraId="2F816A54" w14:textId="77777777" w:rsidR="00654259" w:rsidRPr="00820F66" w:rsidRDefault="00654259" w:rsidP="00A43D45">
      <w:pPr>
        <w:autoSpaceDE w:val="0"/>
        <w:autoSpaceDN w:val="0"/>
        <w:adjustRightInd w:val="0"/>
        <w:spacing w:line="360" w:lineRule="auto"/>
        <w:jc w:val="both"/>
        <w:rPr>
          <w:rFonts w:ascii="Book Antiqua" w:hAnsi="Book Antiqua" w:cs="Times"/>
          <w:color w:val="000000"/>
        </w:rPr>
      </w:pPr>
      <w:r w:rsidRPr="00820F66">
        <w:rPr>
          <w:rFonts w:ascii="Book Antiqua" w:hAnsi="Book Antiqua" w:cs="Times"/>
          <w:color w:val="000000"/>
        </w:rPr>
        <w:t>The patient had a past history of hypertension and cerebral infarction that caused mild instability in walking.</w:t>
      </w:r>
    </w:p>
    <w:p w14:paraId="60A668CE" w14:textId="77777777" w:rsidR="00350F6A" w:rsidRPr="00820F66" w:rsidRDefault="00350F6A" w:rsidP="00A43D45">
      <w:pPr>
        <w:spacing w:line="360" w:lineRule="auto"/>
        <w:jc w:val="both"/>
        <w:rPr>
          <w:rFonts w:ascii="Book Antiqua" w:hAnsi="Book Antiqua"/>
          <w:b/>
        </w:rPr>
      </w:pPr>
    </w:p>
    <w:p w14:paraId="2F44AF54" w14:textId="77777777" w:rsidR="00654259" w:rsidRPr="00820F66" w:rsidRDefault="00654259" w:rsidP="00A43D45">
      <w:pPr>
        <w:autoSpaceDE w:val="0"/>
        <w:autoSpaceDN w:val="0"/>
        <w:adjustRightInd w:val="0"/>
        <w:spacing w:line="360" w:lineRule="auto"/>
        <w:jc w:val="both"/>
        <w:rPr>
          <w:rFonts w:ascii="Book Antiqua" w:hAnsi="Book Antiqua" w:cs="Times"/>
          <w:b/>
          <w:i/>
          <w:color w:val="000000"/>
        </w:rPr>
      </w:pPr>
      <w:r w:rsidRPr="00820F66">
        <w:rPr>
          <w:rFonts w:ascii="Book Antiqua" w:hAnsi="Book Antiqua" w:cs="Times"/>
          <w:b/>
          <w:i/>
          <w:color w:val="000000"/>
        </w:rPr>
        <w:t>Physical examination</w:t>
      </w:r>
    </w:p>
    <w:p w14:paraId="7906F4D1" w14:textId="6B67BDB8" w:rsidR="00654259" w:rsidRPr="00820F66" w:rsidRDefault="00654259" w:rsidP="00A43D45">
      <w:pPr>
        <w:autoSpaceDE w:val="0"/>
        <w:autoSpaceDN w:val="0"/>
        <w:adjustRightInd w:val="0"/>
        <w:spacing w:line="360" w:lineRule="auto"/>
        <w:jc w:val="both"/>
        <w:rPr>
          <w:rStyle w:val="apple-converted-space"/>
          <w:rFonts w:ascii="Book Antiqua" w:hAnsi="Book Antiqua"/>
          <w:color w:val="333333"/>
          <w:shd w:val="clear" w:color="auto" w:fill="FFFFFF"/>
        </w:rPr>
      </w:pPr>
      <w:r w:rsidRPr="00820F66">
        <w:rPr>
          <w:rFonts w:ascii="Book Antiqua" w:hAnsi="Book Antiqua" w:cs="Times"/>
          <w:color w:val="000000"/>
        </w:rPr>
        <w:t>On the first admission, her temperature was 36.4 °C, blood pressure was 100/63 mmHg, pulse rate was 82 beats/min</w:t>
      </w:r>
      <w:r w:rsidR="000475BA" w:rsidRPr="00820F66">
        <w:rPr>
          <w:rFonts w:ascii="Book Antiqua" w:hAnsi="Book Antiqua" w:cs="Times"/>
          <w:color w:val="000000"/>
        </w:rPr>
        <w:t>,</w:t>
      </w:r>
      <w:r w:rsidRPr="00820F66">
        <w:rPr>
          <w:rFonts w:ascii="Book Antiqua" w:hAnsi="Book Antiqua" w:cs="Times"/>
          <w:color w:val="000000"/>
        </w:rPr>
        <w:t xml:space="preserve"> and respiratory rate was 16 breaths/min. Physical examination revealed tenderness in her right upper abdomen, with</w:t>
      </w:r>
      <w:r w:rsidRPr="00820F66">
        <w:rPr>
          <w:rFonts w:ascii="Book Antiqua" w:eastAsiaTheme="minorEastAsia" w:hAnsi="Book Antiqua" w:cs="Times"/>
          <w:color w:val="000000"/>
        </w:rPr>
        <w:t xml:space="preserve"> no evidence of </w:t>
      </w:r>
      <w:r w:rsidRPr="00820F66">
        <w:rPr>
          <w:rFonts w:ascii="Book Antiqua" w:hAnsi="Book Antiqua" w:cs="Times"/>
          <w:color w:val="000000"/>
        </w:rPr>
        <w:t xml:space="preserve">any </w:t>
      </w:r>
      <w:r w:rsidRPr="00820F66">
        <w:rPr>
          <w:rFonts w:ascii="Book Antiqua" w:eastAsiaTheme="minorEastAsia" w:hAnsi="Book Antiqua" w:cs="Times"/>
          <w:color w:val="000000"/>
        </w:rPr>
        <w:t>abdominal mass</w:t>
      </w:r>
      <w:r w:rsidRPr="00820F66">
        <w:rPr>
          <w:rFonts w:ascii="Book Antiqua" w:hAnsi="Book Antiqua" w:cs="Times"/>
          <w:color w:val="000000"/>
        </w:rPr>
        <w:t>.</w:t>
      </w:r>
    </w:p>
    <w:p w14:paraId="5DAA5133" w14:textId="77777777" w:rsidR="00654259" w:rsidRPr="00820F66" w:rsidRDefault="00654259" w:rsidP="00A43D45">
      <w:pPr>
        <w:autoSpaceDE w:val="0"/>
        <w:autoSpaceDN w:val="0"/>
        <w:adjustRightInd w:val="0"/>
        <w:spacing w:line="360" w:lineRule="auto"/>
        <w:jc w:val="both"/>
        <w:rPr>
          <w:rStyle w:val="apple-converted-space"/>
          <w:rFonts w:ascii="Book Antiqua" w:hAnsi="Book Antiqua"/>
          <w:color w:val="333333"/>
          <w:shd w:val="clear" w:color="auto" w:fill="FFFFFF"/>
        </w:rPr>
      </w:pPr>
    </w:p>
    <w:p w14:paraId="1AEAE4D2" w14:textId="77777777" w:rsidR="00654259" w:rsidRPr="00820F66" w:rsidRDefault="00654259" w:rsidP="00A43D45">
      <w:pPr>
        <w:autoSpaceDE w:val="0"/>
        <w:autoSpaceDN w:val="0"/>
        <w:adjustRightInd w:val="0"/>
        <w:spacing w:line="360" w:lineRule="auto"/>
        <w:jc w:val="both"/>
        <w:rPr>
          <w:rFonts w:ascii="Book Antiqua" w:hAnsi="Book Antiqua" w:cs="Times"/>
          <w:b/>
          <w:i/>
          <w:color w:val="000000"/>
        </w:rPr>
      </w:pPr>
      <w:r w:rsidRPr="00820F66">
        <w:rPr>
          <w:rFonts w:ascii="Book Antiqua" w:eastAsiaTheme="minorEastAsia" w:hAnsi="Book Antiqua" w:cs="Times"/>
          <w:b/>
          <w:i/>
          <w:color w:val="000000"/>
        </w:rPr>
        <w:t xml:space="preserve">Laboratory </w:t>
      </w:r>
      <w:r w:rsidRPr="00820F66">
        <w:rPr>
          <w:rFonts w:ascii="Book Antiqua" w:hAnsi="Book Antiqua" w:cs="Times"/>
          <w:b/>
          <w:i/>
          <w:color w:val="000000"/>
        </w:rPr>
        <w:t>examination</w:t>
      </w:r>
    </w:p>
    <w:p w14:paraId="40591F89" w14:textId="4D477D26" w:rsidR="00654259" w:rsidRPr="00820F66" w:rsidRDefault="00654259" w:rsidP="00A43D45">
      <w:pPr>
        <w:autoSpaceDE w:val="0"/>
        <w:autoSpaceDN w:val="0"/>
        <w:adjustRightInd w:val="0"/>
        <w:spacing w:line="360" w:lineRule="auto"/>
        <w:jc w:val="both"/>
        <w:rPr>
          <w:rFonts w:ascii="Book Antiqua" w:hAnsi="Book Antiqua" w:cs="Times"/>
          <w:color w:val="000000"/>
        </w:rPr>
      </w:pPr>
      <w:r w:rsidRPr="00820F66">
        <w:rPr>
          <w:rFonts w:ascii="Book Antiqua" w:eastAsiaTheme="minorEastAsia" w:hAnsi="Book Antiqua" w:cs="Times"/>
          <w:color w:val="000000"/>
        </w:rPr>
        <w:t xml:space="preserve">Laboratory </w:t>
      </w:r>
      <w:r w:rsidRPr="00820F66">
        <w:rPr>
          <w:rFonts w:ascii="Book Antiqua" w:hAnsi="Book Antiqua" w:cs="Times"/>
          <w:color w:val="000000"/>
        </w:rPr>
        <w:t>examination showed a</w:t>
      </w:r>
      <w:r w:rsidRPr="00820F66">
        <w:rPr>
          <w:rFonts w:ascii="Book Antiqua" w:eastAsiaTheme="minorEastAsia" w:hAnsi="Book Antiqua" w:cs="Times"/>
          <w:color w:val="000000"/>
        </w:rPr>
        <w:t xml:space="preserve"> </w:t>
      </w:r>
      <w:r w:rsidRPr="00820F66">
        <w:rPr>
          <w:rFonts w:ascii="Book Antiqua" w:hAnsi="Book Antiqua" w:cs="Times"/>
          <w:color w:val="000000"/>
        </w:rPr>
        <w:t>white blood cell (WBC) count of 43790/μL, with 87.1%</w:t>
      </w:r>
      <w:r w:rsidR="000475BA" w:rsidRPr="00820F66">
        <w:rPr>
          <w:rFonts w:ascii="Book Antiqua" w:hAnsi="Book Antiqua" w:cs="Times"/>
          <w:color w:val="000000"/>
        </w:rPr>
        <w:t xml:space="preserve"> of</w:t>
      </w:r>
      <w:r w:rsidRPr="00820F66">
        <w:rPr>
          <w:rFonts w:ascii="Book Antiqua" w:hAnsi="Book Antiqua" w:cs="Times"/>
          <w:color w:val="000000"/>
        </w:rPr>
        <w:t xml:space="preserve"> neutrophils, hemoglobin of 12.7 g/dL, platelet</w:t>
      </w:r>
      <w:r w:rsidR="000475BA" w:rsidRPr="00820F66">
        <w:rPr>
          <w:rFonts w:ascii="Book Antiqua" w:hAnsi="Book Antiqua" w:cs="Times"/>
          <w:color w:val="000000"/>
        </w:rPr>
        <w:t>s</w:t>
      </w:r>
      <w:r w:rsidRPr="00820F66">
        <w:rPr>
          <w:rFonts w:ascii="Book Antiqua" w:hAnsi="Book Antiqua" w:cs="Times"/>
          <w:color w:val="000000"/>
        </w:rPr>
        <w:t xml:space="preserve"> of 362</w:t>
      </w:r>
      <w:r w:rsidRPr="00820F66">
        <w:rPr>
          <w:rFonts w:ascii="Book Antiqua" w:eastAsiaTheme="minorEastAsia" w:hAnsi="Book Antiqua" w:cs="Times"/>
          <w:color w:val="000000"/>
        </w:rPr>
        <w:t>00/mm</w:t>
      </w:r>
      <w:r w:rsidRPr="00820F66">
        <w:rPr>
          <w:rFonts w:ascii="Book Antiqua" w:eastAsiaTheme="minorEastAsia" w:hAnsi="Book Antiqua" w:cs="Times"/>
          <w:color w:val="000000"/>
          <w:vertAlign w:val="superscript"/>
        </w:rPr>
        <w:t>3</w:t>
      </w:r>
      <w:bookmarkStart w:id="12" w:name="OLE_LINK1"/>
      <w:r w:rsidRPr="00820F66">
        <w:rPr>
          <w:rFonts w:ascii="Book Antiqua" w:hAnsi="Book Antiqua" w:cs="Times"/>
          <w:color w:val="000000"/>
        </w:rPr>
        <w:t>, total bilirubin of 0.12 mg/dL</w:t>
      </w:r>
      <w:bookmarkEnd w:id="12"/>
      <w:r w:rsidRPr="00820F66">
        <w:rPr>
          <w:rFonts w:ascii="Book Antiqua" w:hAnsi="Book Antiqua" w:cs="Times"/>
          <w:color w:val="000000"/>
        </w:rPr>
        <w:t>, direct bilirubin of 0.05 mg/dL, albumin of 3.7 g</w:t>
      </w:r>
      <w:r w:rsidRPr="00820F66">
        <w:rPr>
          <w:rFonts w:ascii="Book Antiqua" w:eastAsiaTheme="minorEastAsia" w:hAnsi="Book Antiqua" w:cs="Times"/>
          <w:color w:val="000000"/>
        </w:rPr>
        <w:t>/dL</w:t>
      </w:r>
      <w:r w:rsidRPr="00820F66">
        <w:rPr>
          <w:rFonts w:ascii="Book Antiqua" w:hAnsi="Book Antiqua" w:cs="Times"/>
          <w:color w:val="000000"/>
        </w:rPr>
        <w:t xml:space="preserve">, aspartate aminotransferase of 18 </w:t>
      </w:r>
      <w:r w:rsidRPr="00820F66">
        <w:rPr>
          <w:rFonts w:ascii="Book Antiqua" w:eastAsiaTheme="minorEastAsia" w:hAnsi="Book Antiqua" w:cs="Times"/>
          <w:color w:val="000000"/>
        </w:rPr>
        <w:t>U</w:t>
      </w:r>
      <w:r w:rsidRPr="00820F66">
        <w:rPr>
          <w:rFonts w:ascii="Book Antiqua" w:hAnsi="Book Antiqua" w:cs="Times"/>
          <w:color w:val="000000"/>
        </w:rPr>
        <w:t xml:space="preserve">/L, and alanine aminotransferase of 22 U/L. In addition, tests for serum tumor markers revealed no abnormalities in the levels of α-fetoprotein (AFP; 3.4 ng/mL) and carcinoembryonic antigen (1.80 ng/mL) but elevated levels of carbohydrate antigenic determinant (CA19-9; </w:t>
      </w:r>
      <w:r w:rsidRPr="00820F66">
        <w:rPr>
          <w:rFonts w:ascii="Book Antiqua" w:eastAsiaTheme="minorEastAsia" w:hAnsi="Book Antiqua" w:cs="Times"/>
          <w:color w:val="000000"/>
        </w:rPr>
        <w:t>72.6 U/mL</w:t>
      </w:r>
      <w:r w:rsidRPr="00820F66">
        <w:rPr>
          <w:rFonts w:ascii="Book Antiqua" w:hAnsi="Book Antiqua" w:cs="Times"/>
          <w:color w:val="000000"/>
        </w:rPr>
        <w:t>). In addition, the coagulation profile was within normal limits, and the results of the hepatitis panel and human immunodeficiency virus antibody tests were negative.</w:t>
      </w:r>
      <w:r w:rsidRPr="00820F66">
        <w:rPr>
          <w:rFonts w:ascii="Book Antiqua" w:hAnsi="Book Antiqua"/>
        </w:rPr>
        <w:t xml:space="preserve"> </w:t>
      </w:r>
      <w:r w:rsidRPr="00820F66">
        <w:rPr>
          <w:rFonts w:ascii="Book Antiqua" w:hAnsi="Book Antiqua" w:cs="Times"/>
          <w:color w:val="000000"/>
        </w:rPr>
        <w:t xml:space="preserve">In view of the elevated WBC levels, the patient was discharged to the Hematology Clinic for bone marrow biopsy and other tests to rule out the possibility of blood diseases. Two weeks later, the patient was admitted again, and routine blood examination showed a WBC count of 77050/μL. Subsequently, the patient developed </w:t>
      </w:r>
      <w:r w:rsidR="000475BA" w:rsidRPr="00820F66">
        <w:rPr>
          <w:rFonts w:ascii="Book Antiqua" w:hAnsi="Book Antiqua" w:cs="Times"/>
          <w:color w:val="000000"/>
        </w:rPr>
        <w:t xml:space="preserve">a </w:t>
      </w:r>
      <w:r w:rsidRPr="00820F66">
        <w:rPr>
          <w:rFonts w:ascii="Book Antiqua" w:hAnsi="Book Antiqua" w:cs="Times"/>
          <w:color w:val="000000"/>
        </w:rPr>
        <w:t>fever of 38.6 °C, which did not subside after antibiotic infusion, and her blood WBC levels were not significantly lowered. The results of the bone marrow examination showed that the proportion of granulocyte-neutrophil nucleated cells was increased by 40%, and toxic granules could be observed (Figure 1). In addition, a peripheral smear revealed neutrophilia with band forms but no blasts. Subsequently, p</w:t>
      </w:r>
      <w:r w:rsidRPr="00820F66">
        <w:rPr>
          <w:rFonts w:ascii="Book Antiqua" w:eastAsiaTheme="minorEastAsia" w:hAnsi="Book Antiqua" w:cs="Times"/>
          <w:color w:val="000000"/>
        </w:rPr>
        <w:t xml:space="preserve">rocalcitonin test was </w:t>
      </w:r>
      <w:r w:rsidRPr="00820F66">
        <w:rPr>
          <w:rFonts w:ascii="Book Antiqua" w:hAnsi="Book Antiqua" w:cs="Times"/>
          <w:color w:val="000000"/>
        </w:rPr>
        <w:t>performed,</w:t>
      </w:r>
      <w:r w:rsidRPr="00820F66">
        <w:rPr>
          <w:rFonts w:ascii="Book Antiqua" w:eastAsiaTheme="minorEastAsia" w:hAnsi="Book Antiqua" w:cs="Times"/>
          <w:color w:val="000000"/>
        </w:rPr>
        <w:t xml:space="preserve"> and the result was </w:t>
      </w:r>
      <w:r w:rsidRPr="00820F66">
        <w:rPr>
          <w:rFonts w:ascii="Book Antiqua" w:hAnsi="Book Antiqua" w:cs="Times"/>
          <w:color w:val="000000"/>
        </w:rPr>
        <w:t>0.31 ng/mL, indicating a lower risk of infection. Moreover, repeat blood cultures were negative, but the WBC count was elevated continuously.</w:t>
      </w:r>
    </w:p>
    <w:p w14:paraId="2E171FE8" w14:textId="77777777" w:rsidR="00654259" w:rsidRPr="00820F66" w:rsidRDefault="00654259" w:rsidP="00A43D45">
      <w:pPr>
        <w:autoSpaceDE w:val="0"/>
        <w:autoSpaceDN w:val="0"/>
        <w:adjustRightInd w:val="0"/>
        <w:spacing w:line="360" w:lineRule="auto"/>
        <w:jc w:val="both"/>
        <w:rPr>
          <w:rFonts w:ascii="Book Antiqua" w:hAnsi="Book Antiqua" w:cs="Times"/>
          <w:color w:val="000000"/>
        </w:rPr>
      </w:pPr>
    </w:p>
    <w:p w14:paraId="361B9D0B" w14:textId="77777777" w:rsidR="00654259" w:rsidRPr="00820F66" w:rsidRDefault="00654259" w:rsidP="00A43D45">
      <w:pPr>
        <w:autoSpaceDE w:val="0"/>
        <w:autoSpaceDN w:val="0"/>
        <w:adjustRightInd w:val="0"/>
        <w:spacing w:line="360" w:lineRule="auto"/>
        <w:jc w:val="both"/>
        <w:rPr>
          <w:rFonts w:ascii="Book Antiqua" w:hAnsi="Book Antiqua" w:cs="Times"/>
          <w:b/>
          <w:i/>
          <w:color w:val="000000"/>
        </w:rPr>
      </w:pPr>
      <w:r w:rsidRPr="00820F66">
        <w:rPr>
          <w:rFonts w:ascii="Book Antiqua" w:hAnsi="Book Antiqua" w:cs="Times"/>
          <w:b/>
          <w:i/>
          <w:color w:val="000000"/>
        </w:rPr>
        <w:t>Imaging examination</w:t>
      </w:r>
    </w:p>
    <w:p w14:paraId="7AD7646A" w14:textId="314618E4" w:rsidR="00350F6A" w:rsidRPr="00820F66" w:rsidRDefault="001D4EF3" w:rsidP="00A43D45">
      <w:pPr>
        <w:autoSpaceDE w:val="0"/>
        <w:autoSpaceDN w:val="0"/>
        <w:adjustRightInd w:val="0"/>
        <w:spacing w:line="360" w:lineRule="auto"/>
        <w:jc w:val="both"/>
        <w:rPr>
          <w:rFonts w:ascii="Book Antiqua" w:hAnsi="Book Antiqua" w:cs="Times"/>
          <w:color w:val="000000"/>
        </w:rPr>
      </w:pPr>
      <w:r w:rsidRPr="00820F66">
        <w:rPr>
          <w:rFonts w:ascii="Book Antiqua" w:hAnsi="Book Antiqua" w:cs="Times"/>
          <w:color w:val="000000"/>
        </w:rPr>
        <w:t>Computed tomography</w:t>
      </w:r>
      <w:r w:rsidR="00654259" w:rsidRPr="00820F66">
        <w:rPr>
          <w:rFonts w:ascii="Book Antiqua" w:hAnsi="Book Antiqua" w:cs="Times"/>
          <w:color w:val="000000"/>
        </w:rPr>
        <w:t xml:space="preserve"> (CT) revealed a 9.3-cm focal hepatic mass in the left lobe of the liver, along with dilatation of the intrahepatic bile duct (Figure 2). A chest radiograph suggested no abnormality.</w:t>
      </w:r>
    </w:p>
    <w:p w14:paraId="3F1830E4" w14:textId="77777777" w:rsidR="00654259" w:rsidRPr="00820F66" w:rsidRDefault="00654259" w:rsidP="00A43D45">
      <w:pPr>
        <w:autoSpaceDE w:val="0"/>
        <w:autoSpaceDN w:val="0"/>
        <w:adjustRightInd w:val="0"/>
        <w:spacing w:line="360" w:lineRule="auto"/>
        <w:jc w:val="both"/>
        <w:rPr>
          <w:rFonts w:ascii="Book Antiqua" w:hAnsi="Book Antiqua"/>
          <w:b/>
          <w:bCs/>
        </w:rPr>
      </w:pPr>
    </w:p>
    <w:p w14:paraId="022BAA5B" w14:textId="7C9B3587" w:rsidR="00654259" w:rsidRPr="00820F66" w:rsidRDefault="00654259" w:rsidP="00A43D45">
      <w:pPr>
        <w:spacing w:line="360" w:lineRule="auto"/>
        <w:jc w:val="both"/>
        <w:rPr>
          <w:rFonts w:ascii="Book Antiqua" w:hAnsi="Book Antiqua"/>
          <w:b/>
          <w:color w:val="000000" w:themeColor="text1"/>
        </w:rPr>
      </w:pPr>
      <w:r w:rsidRPr="00820F66">
        <w:rPr>
          <w:rFonts w:ascii="Book Antiqua" w:eastAsiaTheme="minorEastAsia" w:hAnsi="Book Antiqua"/>
          <w:b/>
          <w:color w:val="000000" w:themeColor="text1"/>
        </w:rPr>
        <w:t>F</w:t>
      </w:r>
      <w:r w:rsidRPr="00820F66">
        <w:rPr>
          <w:rFonts w:ascii="Book Antiqua" w:hAnsi="Book Antiqua"/>
          <w:b/>
          <w:color w:val="000000" w:themeColor="text1"/>
        </w:rPr>
        <w:t>INAL DIAGNOSIS</w:t>
      </w:r>
    </w:p>
    <w:p w14:paraId="475EFC68" w14:textId="085FBA70" w:rsidR="00350F6A" w:rsidRPr="00820F66" w:rsidRDefault="00654259" w:rsidP="00A43D45">
      <w:pPr>
        <w:spacing w:line="360" w:lineRule="auto"/>
        <w:jc w:val="both"/>
        <w:rPr>
          <w:rFonts w:ascii="Book Antiqua" w:hAnsi="Book Antiqua" w:cs="Times"/>
          <w:color w:val="000000"/>
        </w:rPr>
      </w:pPr>
      <w:r w:rsidRPr="00820F66">
        <w:rPr>
          <w:rFonts w:ascii="Book Antiqua" w:hAnsi="Book Antiqua"/>
          <w:color w:val="000000" w:themeColor="text1"/>
        </w:rPr>
        <w:t>Hence, symptoms, signs</w:t>
      </w:r>
      <w:r w:rsidR="000475BA" w:rsidRPr="00820F66">
        <w:rPr>
          <w:rFonts w:ascii="Book Antiqua" w:hAnsi="Book Antiqua"/>
          <w:color w:val="000000" w:themeColor="text1"/>
        </w:rPr>
        <w:t>,</w:t>
      </w:r>
      <w:r w:rsidRPr="00820F66">
        <w:rPr>
          <w:rFonts w:ascii="Book Antiqua" w:hAnsi="Book Antiqua"/>
          <w:color w:val="000000" w:themeColor="text1"/>
        </w:rPr>
        <w:t xml:space="preserve"> and lab</w:t>
      </w:r>
      <w:r w:rsidRPr="00820F66">
        <w:rPr>
          <w:rFonts w:ascii="Book Antiqua" w:hAnsi="Book Antiqua" w:cs="Times"/>
          <w:color w:val="000000"/>
        </w:rPr>
        <w:t xml:space="preserve">oratory studies </w:t>
      </w:r>
      <w:r w:rsidRPr="00820F66">
        <w:rPr>
          <w:rFonts w:ascii="Book Antiqua" w:eastAsiaTheme="minorEastAsia" w:hAnsi="Book Antiqua" w:cs="Times"/>
          <w:color w:val="000000"/>
        </w:rPr>
        <w:t>were negative for an infectious etiology</w:t>
      </w:r>
      <w:r w:rsidRPr="00820F66">
        <w:rPr>
          <w:rFonts w:ascii="Book Antiqua" w:hAnsi="Book Antiqua" w:cs="Times"/>
          <w:color w:val="000000"/>
        </w:rPr>
        <w:t>. In summary,</w:t>
      </w:r>
      <w:r w:rsidRPr="00820F66">
        <w:rPr>
          <w:rFonts w:ascii="Book Antiqua" w:hAnsi="Book Antiqua" w:cs="Times"/>
          <w:color w:val="FF0000"/>
        </w:rPr>
        <w:t xml:space="preserve"> </w:t>
      </w:r>
      <w:r w:rsidRPr="00820F66">
        <w:rPr>
          <w:rFonts w:ascii="Book Antiqua" w:hAnsi="Book Antiqua" w:cs="Times"/>
          <w:color w:val="000000"/>
        </w:rPr>
        <w:t>the elevation in WBC count was believed to be caused by a PLR, which was not a surgical contraindication.</w:t>
      </w:r>
    </w:p>
    <w:p w14:paraId="55AAB8EA" w14:textId="77777777" w:rsidR="00654259" w:rsidRPr="00820F66" w:rsidRDefault="00654259" w:rsidP="00A43D45">
      <w:pPr>
        <w:spacing w:line="360" w:lineRule="auto"/>
        <w:jc w:val="both"/>
        <w:rPr>
          <w:rFonts w:ascii="Book Antiqua" w:hAnsi="Book Antiqua"/>
          <w:b/>
        </w:rPr>
      </w:pPr>
    </w:p>
    <w:p w14:paraId="1B046787" w14:textId="77777777" w:rsidR="009C0742" w:rsidRPr="00820F66" w:rsidRDefault="00350F6A" w:rsidP="00A43D45">
      <w:pPr>
        <w:autoSpaceDE w:val="0"/>
        <w:autoSpaceDN w:val="0"/>
        <w:adjustRightInd w:val="0"/>
        <w:spacing w:line="360" w:lineRule="auto"/>
        <w:jc w:val="both"/>
        <w:rPr>
          <w:rFonts w:ascii="Book Antiqua" w:hAnsi="Book Antiqua"/>
          <w:b/>
        </w:rPr>
      </w:pPr>
      <w:r w:rsidRPr="00820F66">
        <w:rPr>
          <w:rFonts w:ascii="Book Antiqua" w:hAnsi="Book Antiqua"/>
          <w:b/>
        </w:rPr>
        <w:t>TREATMENT</w:t>
      </w:r>
    </w:p>
    <w:p w14:paraId="22060F54" w14:textId="32FB7CC6" w:rsidR="00350F6A" w:rsidRPr="00820F66" w:rsidRDefault="00654259" w:rsidP="00A43D45">
      <w:pPr>
        <w:spacing w:line="360" w:lineRule="auto"/>
        <w:jc w:val="both"/>
        <w:rPr>
          <w:rFonts w:ascii="Book Antiqua" w:hAnsi="Book Antiqua" w:cs="Times"/>
          <w:color w:val="000000"/>
        </w:rPr>
      </w:pPr>
      <w:r w:rsidRPr="00820F66">
        <w:rPr>
          <w:rFonts w:ascii="Book Antiqua" w:hAnsi="Book Antiqua"/>
          <w:color w:val="000000" w:themeColor="text1"/>
        </w:rPr>
        <w:t>Hepatectomy for the liver mass was performed 5 d after the second hospitalization. Immediately after tumor removal, her presenting symptoms and laboratory values were i</w:t>
      </w:r>
      <w:r w:rsidRPr="00820F66">
        <w:rPr>
          <w:rFonts w:ascii="Book Antiqua" w:hAnsi="Book Antiqua" w:cs="Times"/>
          <w:color w:val="000000"/>
        </w:rPr>
        <w:t xml:space="preserve">mproved remarkably. Typically, her WBC count had dropped to </w:t>
      </w:r>
      <w:r w:rsidR="000475BA" w:rsidRPr="00820F66">
        <w:rPr>
          <w:rFonts w:ascii="Book Antiqua" w:hAnsi="Book Antiqua" w:cs="Times"/>
          <w:color w:val="000000"/>
        </w:rPr>
        <w:t xml:space="preserve">the </w:t>
      </w:r>
      <w:r w:rsidRPr="00820F66">
        <w:rPr>
          <w:rFonts w:ascii="Book Antiqua" w:hAnsi="Book Antiqua" w:cs="Times"/>
          <w:color w:val="000000"/>
        </w:rPr>
        <w:t>normal level 5 d after surgery (Figure 3). Postoperative pathology examination</w:t>
      </w:r>
      <w:r w:rsidR="000475BA" w:rsidRPr="00820F66">
        <w:rPr>
          <w:rFonts w:ascii="Book Antiqua" w:hAnsi="Book Antiqua" w:cs="Times"/>
          <w:color w:val="000000"/>
        </w:rPr>
        <w:t xml:space="preserve"> </w:t>
      </w:r>
      <w:r w:rsidRPr="00820F66">
        <w:rPr>
          <w:rFonts w:ascii="Book Antiqua" w:hAnsi="Book Antiqua" w:cs="Times"/>
          <w:color w:val="000000"/>
        </w:rPr>
        <w:t>revealed that the poorly differentiated malignant cells were positive for CD34, Vimentin, human epithelial membrane antigen</w:t>
      </w:r>
      <w:r w:rsidR="000475BA" w:rsidRPr="00820F66">
        <w:rPr>
          <w:rFonts w:ascii="Book Antiqua" w:hAnsi="Book Antiqua" w:cs="Times"/>
          <w:color w:val="000000"/>
        </w:rPr>
        <w:t>,</w:t>
      </w:r>
      <w:r w:rsidRPr="00820F66">
        <w:rPr>
          <w:rFonts w:ascii="Book Antiqua" w:hAnsi="Book Antiqua" w:cs="Times"/>
          <w:color w:val="000000"/>
        </w:rPr>
        <w:t xml:space="preserve"> and cytokeratin 7 (CK7), while negative for CK19 (Figure 4), which was suggestive of SHC.</w:t>
      </w:r>
    </w:p>
    <w:p w14:paraId="190A32B9" w14:textId="77777777" w:rsidR="00654259" w:rsidRPr="00820F66" w:rsidRDefault="00654259" w:rsidP="00A43D45">
      <w:pPr>
        <w:spacing w:line="360" w:lineRule="auto"/>
        <w:jc w:val="both"/>
        <w:rPr>
          <w:rFonts w:ascii="Book Antiqua" w:hAnsi="Book Antiqua"/>
          <w:b/>
        </w:rPr>
      </w:pPr>
    </w:p>
    <w:p w14:paraId="49DE9568" w14:textId="77777777" w:rsidR="009C0742" w:rsidRPr="00820F66" w:rsidRDefault="00350F6A" w:rsidP="00A43D45">
      <w:pPr>
        <w:autoSpaceDE w:val="0"/>
        <w:autoSpaceDN w:val="0"/>
        <w:adjustRightInd w:val="0"/>
        <w:spacing w:line="360" w:lineRule="auto"/>
        <w:jc w:val="both"/>
        <w:rPr>
          <w:rFonts w:ascii="Book Antiqua" w:hAnsi="Book Antiqua"/>
          <w:b/>
        </w:rPr>
      </w:pPr>
      <w:r w:rsidRPr="00820F66">
        <w:rPr>
          <w:rFonts w:ascii="Book Antiqua" w:hAnsi="Book Antiqua"/>
          <w:b/>
        </w:rPr>
        <w:t>OUT</w:t>
      </w:r>
      <w:r w:rsidR="009C0742" w:rsidRPr="00820F66">
        <w:rPr>
          <w:rFonts w:ascii="Book Antiqua" w:hAnsi="Book Antiqua"/>
          <w:b/>
        </w:rPr>
        <w:t>COME AND FOLLOW-UP</w:t>
      </w:r>
    </w:p>
    <w:p w14:paraId="184348F6" w14:textId="55C27857" w:rsidR="00350F6A" w:rsidRPr="00820F66" w:rsidRDefault="00654259" w:rsidP="00A43D45">
      <w:pPr>
        <w:spacing w:line="360" w:lineRule="auto"/>
        <w:jc w:val="both"/>
        <w:rPr>
          <w:rFonts w:ascii="Book Antiqua" w:hAnsi="Book Antiqua" w:cs="Times"/>
          <w:color w:val="000000"/>
        </w:rPr>
      </w:pPr>
      <w:r w:rsidRPr="00820F66">
        <w:rPr>
          <w:rFonts w:ascii="Book Antiqua" w:hAnsi="Book Antiqua" w:cs="Times"/>
          <w:color w:val="000000"/>
        </w:rPr>
        <w:t>Unfortunately, the patient died two and a half months after the second discharge. Since the patient</w:t>
      </w:r>
      <w:r w:rsidR="001D4EF3" w:rsidRPr="00820F66">
        <w:rPr>
          <w:rFonts w:ascii="Book Antiqua" w:hAnsi="Book Antiqua" w:cs="Times"/>
          <w:color w:val="000000"/>
        </w:rPr>
        <w:t>’</w:t>
      </w:r>
      <w:r w:rsidRPr="00820F66">
        <w:rPr>
          <w:rFonts w:ascii="Book Antiqua" w:hAnsi="Book Antiqua" w:cs="Times"/>
          <w:color w:val="000000"/>
        </w:rPr>
        <w:t xml:space="preserve">s family </w:t>
      </w:r>
      <w:r w:rsidR="000475BA" w:rsidRPr="00820F66">
        <w:rPr>
          <w:rFonts w:ascii="Book Antiqua" w:hAnsi="Book Antiqua" w:cs="Times"/>
          <w:color w:val="000000"/>
        </w:rPr>
        <w:t xml:space="preserve">did </w:t>
      </w:r>
      <w:r w:rsidRPr="00820F66">
        <w:rPr>
          <w:rFonts w:ascii="Book Antiqua" w:hAnsi="Book Antiqua" w:cs="Times"/>
          <w:color w:val="000000"/>
        </w:rPr>
        <w:t>not cooperate with our follow-up work, we are unable to know the specific circumstances of the patient’s death.</w:t>
      </w:r>
    </w:p>
    <w:p w14:paraId="6A718E64" w14:textId="77777777" w:rsidR="00654259" w:rsidRPr="00820F66" w:rsidRDefault="00654259" w:rsidP="00A43D45">
      <w:pPr>
        <w:spacing w:line="360" w:lineRule="auto"/>
        <w:jc w:val="both"/>
        <w:rPr>
          <w:rFonts w:ascii="Book Antiqua" w:hAnsi="Book Antiqua"/>
          <w:b/>
        </w:rPr>
      </w:pPr>
    </w:p>
    <w:p w14:paraId="266D1B3A" w14:textId="77777777" w:rsidR="005F4450" w:rsidRPr="00820F66" w:rsidRDefault="003B36A0" w:rsidP="00A43D45">
      <w:pPr>
        <w:spacing w:line="360" w:lineRule="auto"/>
        <w:jc w:val="both"/>
        <w:rPr>
          <w:rFonts w:ascii="Book Antiqua" w:hAnsi="Book Antiqua"/>
          <w:b/>
        </w:rPr>
      </w:pPr>
      <w:r w:rsidRPr="00820F66">
        <w:rPr>
          <w:rFonts w:ascii="Book Antiqua" w:hAnsi="Book Antiqua"/>
          <w:b/>
        </w:rPr>
        <w:t>D</w:t>
      </w:r>
      <w:r w:rsidR="00990661" w:rsidRPr="00820F66">
        <w:rPr>
          <w:rFonts w:ascii="Book Antiqua" w:hAnsi="Book Antiqua"/>
          <w:b/>
        </w:rPr>
        <w:t>ISCUSSION</w:t>
      </w:r>
    </w:p>
    <w:p w14:paraId="32975F62" w14:textId="7F14D988" w:rsidR="00654259" w:rsidRPr="00820F66" w:rsidRDefault="00654259" w:rsidP="00A43D45">
      <w:pPr>
        <w:spacing w:line="360" w:lineRule="auto"/>
        <w:jc w:val="both"/>
        <w:rPr>
          <w:rFonts w:ascii="Book Antiqua" w:hAnsi="Book Antiqua" w:cs="Times"/>
          <w:color w:val="000000"/>
        </w:rPr>
      </w:pPr>
      <w:r w:rsidRPr="00820F66">
        <w:rPr>
          <w:rFonts w:ascii="Book Antiqua" w:hAnsi="Book Antiqua" w:cs="Times"/>
          <w:color w:val="000000"/>
        </w:rPr>
        <w:t>Generally, leukemoid reaction is conventionally defined as the condition in which the peripheral WBC count has exceeded 50000/μL, with a dominance of mature neutrophils, and it is related to the reactive causes outside the bone marrow, such as severe infection, poisoning, allergic reaction, drugs</w:t>
      </w:r>
      <w:r w:rsidR="00B17EA3" w:rsidRPr="00820F66">
        <w:rPr>
          <w:rFonts w:ascii="Book Antiqua" w:hAnsi="Book Antiqua" w:cs="Times"/>
          <w:color w:val="000000"/>
        </w:rPr>
        <w:t>,</w:t>
      </w:r>
      <w:r w:rsidRPr="00820F66">
        <w:rPr>
          <w:rFonts w:ascii="Book Antiqua" w:hAnsi="Book Antiqua" w:cs="Times"/>
          <w:color w:val="000000"/>
        </w:rPr>
        <w:t xml:space="preserve"> or malignant tumors</w:t>
      </w:r>
      <w:r w:rsidRPr="00820F66">
        <w:rPr>
          <w:rFonts w:ascii="Book Antiqua" w:hAnsi="Book Antiqua" w:cs="Times"/>
          <w:color w:val="000000"/>
          <w:vertAlign w:val="superscript"/>
        </w:rPr>
        <w:t>[</w:t>
      </w:r>
      <w:r w:rsidR="001C55C1" w:rsidRPr="00820F66">
        <w:rPr>
          <w:rFonts w:ascii="Book Antiqua" w:hAnsi="Book Antiqua" w:cs="Times"/>
          <w:color w:val="000000"/>
          <w:vertAlign w:val="superscript"/>
        </w:rPr>
        <w:t>3</w:t>
      </w:r>
      <w:r w:rsidRPr="00820F66">
        <w:rPr>
          <w:rFonts w:ascii="Book Antiqua" w:hAnsi="Book Antiqua" w:cs="Times"/>
          <w:color w:val="000000"/>
          <w:vertAlign w:val="superscript"/>
        </w:rPr>
        <w:t>,</w:t>
      </w:r>
      <w:r w:rsidR="001C55C1" w:rsidRPr="00820F66">
        <w:rPr>
          <w:rFonts w:ascii="Book Antiqua" w:hAnsi="Book Antiqua" w:cs="Times"/>
          <w:color w:val="000000"/>
          <w:vertAlign w:val="superscript"/>
        </w:rPr>
        <w:t>9</w:t>
      </w:r>
      <w:r w:rsidRPr="00820F66">
        <w:rPr>
          <w:rFonts w:ascii="Book Antiqua" w:hAnsi="Book Antiqua" w:cs="Times"/>
          <w:color w:val="000000"/>
          <w:vertAlign w:val="superscript"/>
        </w:rPr>
        <w:t>,1</w:t>
      </w:r>
      <w:r w:rsidR="001C55C1" w:rsidRPr="00820F66">
        <w:rPr>
          <w:rFonts w:ascii="Book Antiqua" w:hAnsi="Book Antiqua" w:cs="Times"/>
          <w:color w:val="000000"/>
          <w:vertAlign w:val="superscript"/>
        </w:rPr>
        <w:t>0</w:t>
      </w:r>
      <w:r w:rsidRPr="00820F66">
        <w:rPr>
          <w:rFonts w:ascii="Book Antiqua" w:hAnsi="Book Antiqua" w:cs="Times"/>
          <w:color w:val="000000"/>
          <w:vertAlign w:val="superscript"/>
        </w:rPr>
        <w:t>]</w:t>
      </w:r>
      <w:r w:rsidRPr="00820F66">
        <w:rPr>
          <w:rFonts w:ascii="Book Antiqua" w:hAnsi="Book Antiqua" w:cs="Times"/>
          <w:color w:val="000000"/>
        </w:rPr>
        <w:t>. After the causes of the leukemoid reaction are removed, the abnormal changes in WBC counts in blood and bone marrow can return to normal levels within a short period of time.</w:t>
      </w:r>
    </w:p>
    <w:p w14:paraId="7432F5BC" w14:textId="03514BB2" w:rsidR="00654259" w:rsidRPr="00820F66" w:rsidRDefault="00654259" w:rsidP="001C55C1">
      <w:pPr>
        <w:autoSpaceDE w:val="0"/>
        <w:autoSpaceDN w:val="0"/>
        <w:adjustRightInd w:val="0"/>
        <w:spacing w:line="360" w:lineRule="auto"/>
        <w:ind w:firstLineChars="200" w:firstLine="480"/>
        <w:jc w:val="both"/>
        <w:rPr>
          <w:rFonts w:ascii="Book Antiqua" w:hAnsi="Book Antiqua" w:cs="Times"/>
          <w:color w:val="000000"/>
        </w:rPr>
      </w:pPr>
      <w:r w:rsidRPr="00820F66">
        <w:rPr>
          <w:rFonts w:ascii="Book Antiqua" w:hAnsi="Book Antiqua" w:cs="Times"/>
          <w:color w:val="000000"/>
        </w:rPr>
        <w:t>Specifically, a</w:t>
      </w:r>
      <w:r w:rsidR="001D4EF3" w:rsidRPr="00820F66">
        <w:rPr>
          <w:rFonts w:ascii="Book Antiqua" w:hAnsi="Book Antiqua" w:cs="Times"/>
          <w:color w:val="000000"/>
        </w:rPr>
        <w:t xml:space="preserve"> </w:t>
      </w:r>
      <w:r w:rsidRPr="00820F66">
        <w:rPr>
          <w:rFonts w:ascii="Book Antiqua" w:hAnsi="Book Antiqua" w:cs="Times"/>
          <w:color w:val="000000"/>
        </w:rPr>
        <w:t xml:space="preserve">PLR is a cancer-associated leukemoid reaction. Some scholars believe that PLR is more likely to occur in malignant tumor patients at </w:t>
      </w:r>
      <w:bookmarkStart w:id="13" w:name="OLE_LINK6"/>
      <w:r w:rsidRPr="00820F66">
        <w:rPr>
          <w:rFonts w:ascii="Book Antiqua" w:hAnsi="Book Antiqua" w:cs="Times"/>
          <w:color w:val="000000"/>
        </w:rPr>
        <w:t>middle-age</w:t>
      </w:r>
      <w:bookmarkEnd w:id="13"/>
      <w:r w:rsidRPr="00820F66">
        <w:rPr>
          <w:rFonts w:ascii="Book Antiqua" w:hAnsi="Book Antiqua" w:cs="Times"/>
          <w:color w:val="000000"/>
          <w:vertAlign w:val="superscript"/>
        </w:rPr>
        <w:t>[1</w:t>
      </w:r>
      <w:r w:rsidR="001C55C1" w:rsidRPr="00820F66">
        <w:rPr>
          <w:rFonts w:ascii="Book Antiqua" w:hAnsi="Book Antiqua" w:cs="Times"/>
          <w:color w:val="000000"/>
          <w:vertAlign w:val="superscript"/>
        </w:rPr>
        <w:t>1</w:t>
      </w:r>
      <w:r w:rsidRPr="00820F66">
        <w:rPr>
          <w:rFonts w:ascii="Book Antiqua" w:hAnsi="Book Antiqua" w:cs="Times"/>
          <w:color w:val="000000"/>
          <w:vertAlign w:val="superscript"/>
        </w:rPr>
        <w:t>]</w:t>
      </w:r>
      <w:r w:rsidRPr="00820F66">
        <w:rPr>
          <w:rFonts w:ascii="Book Antiqua" w:hAnsi="Book Antiqua" w:cs="Times"/>
          <w:color w:val="000000"/>
        </w:rPr>
        <w:t>. At the same time, tumor stage is also related to the occurrence of PLR, which is particularly true for stage III-IV tumors. Notably, the underlying mechanism appears to be the production of growth factors by the tumor cells, such as granulocyte macrophage colony stimulating factor (GM-CSF), granulocyte CSF (G-CSF), and interleukins (IL-3 and IL-6)</w:t>
      </w:r>
      <w:r w:rsidRPr="00820F66">
        <w:rPr>
          <w:rFonts w:ascii="Book Antiqua" w:hAnsi="Book Antiqua" w:cs="Times"/>
          <w:color w:val="000000"/>
          <w:vertAlign w:val="superscript"/>
        </w:rPr>
        <w:t>[1</w:t>
      </w:r>
      <w:r w:rsidR="001C55C1" w:rsidRPr="00820F66">
        <w:rPr>
          <w:rFonts w:ascii="Book Antiqua" w:hAnsi="Book Antiqua" w:cs="Times"/>
          <w:color w:val="000000"/>
          <w:vertAlign w:val="superscript"/>
        </w:rPr>
        <w:t>1</w:t>
      </w:r>
      <w:r w:rsidRPr="00820F66">
        <w:rPr>
          <w:rFonts w:ascii="Book Antiqua" w:hAnsi="Book Antiqua" w:cs="Times"/>
          <w:color w:val="000000"/>
          <w:vertAlign w:val="superscript"/>
        </w:rPr>
        <w:t>]</w:t>
      </w:r>
      <w:r w:rsidRPr="00820F66">
        <w:rPr>
          <w:rFonts w:ascii="Book Antiqua" w:hAnsi="Book Antiqua" w:cs="Times"/>
          <w:color w:val="000000"/>
        </w:rPr>
        <w:t>.</w:t>
      </w:r>
    </w:p>
    <w:p w14:paraId="620A23E8" w14:textId="3D74D6A7" w:rsidR="00654259" w:rsidRPr="00820F66" w:rsidRDefault="00654259" w:rsidP="001C55C1">
      <w:pPr>
        <w:autoSpaceDE w:val="0"/>
        <w:autoSpaceDN w:val="0"/>
        <w:adjustRightInd w:val="0"/>
        <w:spacing w:line="360" w:lineRule="auto"/>
        <w:ind w:firstLineChars="200" w:firstLine="480"/>
        <w:jc w:val="both"/>
        <w:rPr>
          <w:rFonts w:ascii="Book Antiqua" w:hAnsi="Book Antiqua" w:cs="Times"/>
          <w:color w:val="000000"/>
        </w:rPr>
      </w:pPr>
      <w:r w:rsidRPr="00820F66">
        <w:rPr>
          <w:rFonts w:ascii="Book Antiqua" w:hAnsi="Book Antiqua" w:cs="Times"/>
          <w:color w:val="000000"/>
        </w:rPr>
        <w:t>PLR is rarely reported in SHC, and both have dismal prognoses. SHC is a rare histological subtype of HCC, which is discovered in 3.9</w:t>
      </w:r>
      <w:r w:rsidR="001C55C1" w:rsidRPr="00820F66">
        <w:rPr>
          <w:rFonts w:ascii="Book Antiqua" w:hAnsi="Book Antiqua" w:cs="Times" w:hint="eastAsia"/>
          <w:color w:val="000000"/>
        </w:rPr>
        <w:t>%</w:t>
      </w:r>
      <w:r w:rsidRPr="00820F66">
        <w:rPr>
          <w:rFonts w:ascii="Book Antiqua" w:hAnsi="Book Antiqua" w:cs="Times"/>
          <w:color w:val="000000"/>
        </w:rPr>
        <w:t xml:space="preserve">-9.4% </w:t>
      </w:r>
      <w:r w:rsidR="00B17EA3" w:rsidRPr="00820F66">
        <w:rPr>
          <w:rFonts w:ascii="Book Antiqua" w:hAnsi="Book Antiqua" w:cs="Times"/>
          <w:color w:val="000000"/>
        </w:rPr>
        <w:t xml:space="preserve">of </w:t>
      </w:r>
      <w:r w:rsidRPr="00820F66">
        <w:rPr>
          <w:rFonts w:ascii="Book Antiqua" w:hAnsi="Book Antiqua" w:cs="Times"/>
          <w:color w:val="000000"/>
        </w:rPr>
        <w:t xml:space="preserve">HCC autopsy cases and 1.8% </w:t>
      </w:r>
      <w:r w:rsidR="00B17EA3" w:rsidRPr="00820F66">
        <w:rPr>
          <w:rFonts w:ascii="Book Antiqua" w:hAnsi="Book Antiqua" w:cs="Times"/>
          <w:color w:val="000000"/>
        </w:rPr>
        <w:t xml:space="preserve">of </w:t>
      </w:r>
      <w:r w:rsidRPr="00820F66">
        <w:rPr>
          <w:rFonts w:ascii="Book Antiqua" w:hAnsi="Book Antiqua" w:cs="Times"/>
          <w:color w:val="000000"/>
        </w:rPr>
        <w:t>patients with surgically resected HCC</w:t>
      </w:r>
      <w:r w:rsidRPr="00820F66">
        <w:rPr>
          <w:rFonts w:ascii="Book Antiqua" w:hAnsi="Book Antiqua" w:cs="Times"/>
          <w:color w:val="000000"/>
          <w:vertAlign w:val="superscript"/>
        </w:rPr>
        <w:t>[1</w:t>
      </w:r>
      <w:r w:rsidR="001C55C1" w:rsidRPr="00820F66">
        <w:rPr>
          <w:rFonts w:ascii="Book Antiqua" w:hAnsi="Book Antiqua" w:cs="Times"/>
          <w:color w:val="000000"/>
          <w:vertAlign w:val="superscript"/>
        </w:rPr>
        <w:t>2</w:t>
      </w:r>
      <w:r w:rsidR="001C55C1" w:rsidRPr="00820F66">
        <w:rPr>
          <w:rFonts w:ascii="Book Antiqua" w:hAnsi="Book Antiqua" w:cs="Times" w:hint="eastAsia"/>
          <w:color w:val="000000"/>
          <w:vertAlign w:val="superscript"/>
        </w:rPr>
        <w:t>-</w:t>
      </w:r>
      <w:r w:rsidRPr="00820F66">
        <w:rPr>
          <w:rFonts w:ascii="Book Antiqua" w:hAnsi="Book Antiqua" w:cs="Times"/>
          <w:color w:val="000000"/>
          <w:vertAlign w:val="superscript"/>
        </w:rPr>
        <w:t>14]</w:t>
      </w:r>
      <w:r w:rsidRPr="00820F66">
        <w:rPr>
          <w:rFonts w:ascii="Book Antiqua" w:hAnsi="Book Antiqua" w:cs="Times"/>
          <w:color w:val="000000"/>
        </w:rPr>
        <w:t xml:space="preserve">. However, the pathogenesis of SHC has not been fully elucidated yet, which may be associated with chronic hepatitis B, chronic hepatitis C, liver cirrhosis, preoperative radiotherapy or chemotherapy, and interventional therapy. Kim </w:t>
      </w:r>
      <w:r w:rsidRPr="00820F66">
        <w:rPr>
          <w:rFonts w:ascii="Book Antiqua" w:hAnsi="Book Antiqua" w:cs="Times"/>
          <w:i/>
          <w:color w:val="000000"/>
        </w:rPr>
        <w:t>et al</w:t>
      </w:r>
      <w:r w:rsidR="001C55C1" w:rsidRPr="00820F66">
        <w:rPr>
          <w:rFonts w:ascii="Book Antiqua" w:hAnsi="Book Antiqua" w:cs="Times"/>
          <w:color w:val="000000"/>
          <w:vertAlign w:val="superscript"/>
        </w:rPr>
        <w:t>[15]</w:t>
      </w:r>
      <w:r w:rsidRPr="00820F66">
        <w:rPr>
          <w:rFonts w:ascii="Book Antiqua" w:hAnsi="Book Antiqua" w:cs="Times"/>
          <w:color w:val="000000"/>
        </w:rPr>
        <w:t xml:space="preserve"> believed that mutations in</w:t>
      </w:r>
      <w:r w:rsidR="00B17EA3" w:rsidRPr="00820F66">
        <w:rPr>
          <w:rFonts w:ascii="Book Antiqua" w:hAnsi="Book Antiqua" w:cs="Times"/>
          <w:color w:val="000000"/>
        </w:rPr>
        <w:t xml:space="preserve"> the</w:t>
      </w:r>
      <w:r w:rsidRPr="00820F66">
        <w:rPr>
          <w:rFonts w:ascii="Book Antiqua" w:hAnsi="Book Antiqua" w:cs="Times"/>
          <w:color w:val="000000"/>
        </w:rPr>
        <w:t xml:space="preserve"> </w:t>
      </w:r>
      <w:r w:rsidRPr="00820F66">
        <w:rPr>
          <w:rFonts w:ascii="Book Antiqua" w:hAnsi="Book Antiqua" w:cs="Times"/>
          <w:i/>
          <w:color w:val="000000"/>
        </w:rPr>
        <w:t>p53</w:t>
      </w:r>
      <w:r w:rsidRPr="00820F66">
        <w:rPr>
          <w:rFonts w:ascii="Book Antiqua" w:hAnsi="Book Antiqua" w:cs="Times"/>
          <w:color w:val="000000"/>
        </w:rPr>
        <w:t xml:space="preserve"> gene might be related to the occurrence of SHC. In our case, the patient showed no abovementioned predisposing factors and had not received any nonsurgical treatment. Some scholars call it </w:t>
      </w:r>
      <w:r w:rsidR="001C55C1" w:rsidRPr="00820F66">
        <w:rPr>
          <w:rFonts w:ascii="Book Antiqua" w:hAnsi="Book Antiqua" w:cs="Times"/>
          <w:color w:val="000000"/>
        </w:rPr>
        <w:t>“</w:t>
      </w:r>
      <w:r w:rsidRPr="00820F66">
        <w:rPr>
          <w:rFonts w:ascii="Book Antiqua" w:hAnsi="Book Antiqua" w:cs="Times"/>
          <w:color w:val="000000"/>
        </w:rPr>
        <w:t>pure</w:t>
      </w:r>
      <w:r w:rsidR="001C55C1" w:rsidRPr="00820F66">
        <w:rPr>
          <w:rFonts w:ascii="Book Antiqua" w:hAnsi="Book Antiqua" w:cs="Times"/>
          <w:color w:val="000000"/>
        </w:rPr>
        <w:t>”</w:t>
      </w:r>
      <w:r w:rsidRPr="00820F66">
        <w:rPr>
          <w:rFonts w:ascii="Book Antiqua" w:hAnsi="Book Antiqua" w:cs="Times"/>
          <w:color w:val="000000"/>
        </w:rPr>
        <w:t xml:space="preserve"> SHC</w:t>
      </w:r>
      <w:r w:rsidRPr="00820F66">
        <w:rPr>
          <w:rFonts w:ascii="Book Antiqua" w:hAnsi="Book Antiqua" w:cs="Times"/>
          <w:color w:val="000000"/>
          <w:vertAlign w:val="superscript"/>
        </w:rPr>
        <w:t>[1</w:t>
      </w:r>
      <w:r w:rsidR="001C55C1" w:rsidRPr="00820F66">
        <w:rPr>
          <w:rFonts w:ascii="Book Antiqua" w:hAnsi="Book Antiqua" w:cs="Times"/>
          <w:color w:val="000000"/>
          <w:vertAlign w:val="superscript"/>
        </w:rPr>
        <w:t>6</w:t>
      </w:r>
      <w:r w:rsidR="001C55C1" w:rsidRPr="00820F66">
        <w:rPr>
          <w:rFonts w:ascii="Book Antiqua" w:hAnsi="Book Antiqua" w:cs="Times" w:hint="eastAsia"/>
          <w:color w:val="000000"/>
          <w:vertAlign w:val="superscript"/>
        </w:rPr>
        <w:t>,</w:t>
      </w:r>
      <w:r w:rsidR="001C55C1" w:rsidRPr="00820F66">
        <w:rPr>
          <w:rFonts w:ascii="Book Antiqua" w:hAnsi="Book Antiqua" w:cs="Times"/>
          <w:color w:val="000000"/>
          <w:vertAlign w:val="superscript"/>
        </w:rPr>
        <w:t>17</w:t>
      </w:r>
      <w:r w:rsidRPr="00820F66">
        <w:rPr>
          <w:rFonts w:ascii="Book Antiqua" w:hAnsi="Book Antiqua" w:cs="Times"/>
          <w:color w:val="000000"/>
          <w:vertAlign w:val="superscript"/>
        </w:rPr>
        <w:t>]</w:t>
      </w:r>
      <w:r w:rsidRPr="00820F66">
        <w:rPr>
          <w:rFonts w:ascii="Book Antiqua" w:hAnsi="Book Antiqua" w:cs="Times"/>
          <w:color w:val="000000"/>
        </w:rPr>
        <w:t xml:space="preserve">. Typically, SHC is characterized by high </w:t>
      </w:r>
      <w:r w:rsidR="00B17EA3" w:rsidRPr="00820F66">
        <w:rPr>
          <w:rFonts w:ascii="Book Antiqua" w:hAnsi="Book Antiqua" w:cs="Times"/>
          <w:color w:val="000000"/>
        </w:rPr>
        <w:t xml:space="preserve">malignancy </w:t>
      </w:r>
      <w:r w:rsidRPr="00820F66">
        <w:rPr>
          <w:rFonts w:ascii="Book Antiqua" w:hAnsi="Book Antiqua" w:cs="Times"/>
          <w:color w:val="000000"/>
        </w:rPr>
        <w:t>grade, rapid progression</w:t>
      </w:r>
      <w:r w:rsidR="00B17EA3" w:rsidRPr="00820F66">
        <w:rPr>
          <w:rFonts w:ascii="Book Antiqua" w:hAnsi="Book Antiqua" w:cs="Times"/>
          <w:color w:val="000000"/>
        </w:rPr>
        <w:t>,</w:t>
      </w:r>
      <w:r w:rsidRPr="00820F66">
        <w:rPr>
          <w:rFonts w:ascii="Book Antiqua" w:hAnsi="Book Antiqua" w:cs="Times"/>
          <w:color w:val="000000"/>
        </w:rPr>
        <w:t xml:space="preserve"> and poor prognosis. Compared with</w:t>
      </w:r>
      <w:r w:rsidR="00B17EA3" w:rsidRPr="00820F66">
        <w:rPr>
          <w:rFonts w:ascii="Book Antiqua" w:hAnsi="Book Antiqua" w:cs="Times"/>
          <w:color w:val="000000"/>
        </w:rPr>
        <w:t xml:space="preserve"> </w:t>
      </w:r>
      <w:r w:rsidRPr="00820F66">
        <w:rPr>
          <w:rFonts w:ascii="Book Antiqua" w:hAnsi="Book Antiqua" w:cs="Times"/>
          <w:color w:val="000000"/>
        </w:rPr>
        <w:t>nonsarcomatoid HCC, SHC is characterized by lower levels of bilirubin, liver enzymes</w:t>
      </w:r>
      <w:r w:rsidR="00B17EA3" w:rsidRPr="00820F66">
        <w:rPr>
          <w:rFonts w:ascii="Book Antiqua" w:hAnsi="Book Antiqua" w:cs="Times"/>
          <w:color w:val="000000"/>
        </w:rPr>
        <w:t>,</w:t>
      </w:r>
      <w:r w:rsidRPr="00820F66">
        <w:rPr>
          <w:rFonts w:ascii="Book Antiqua" w:hAnsi="Book Antiqua" w:cs="Times"/>
          <w:color w:val="000000"/>
        </w:rPr>
        <w:t xml:space="preserve"> and AFP, as well as a lower FIB-4 score. In addition, central necrosis and hemorrhage can be more frequently seen in SHC than in the ordinary type of HCC</w:t>
      </w:r>
      <w:r w:rsidRPr="00820F66">
        <w:rPr>
          <w:rFonts w:ascii="Book Antiqua" w:hAnsi="Book Antiqua" w:cs="Times"/>
          <w:color w:val="000000"/>
          <w:vertAlign w:val="superscript"/>
        </w:rPr>
        <w:t>[1</w:t>
      </w:r>
      <w:r w:rsidR="001C55C1" w:rsidRPr="00820F66">
        <w:rPr>
          <w:rFonts w:ascii="Book Antiqua" w:hAnsi="Book Antiqua" w:cs="Times"/>
          <w:color w:val="000000"/>
          <w:vertAlign w:val="superscript"/>
        </w:rPr>
        <w:t>4</w:t>
      </w:r>
      <w:r w:rsidRPr="00820F66">
        <w:rPr>
          <w:rFonts w:ascii="Book Antiqua" w:hAnsi="Book Antiqua" w:cs="Times"/>
          <w:color w:val="000000"/>
          <w:vertAlign w:val="superscript"/>
        </w:rPr>
        <w:t>,</w:t>
      </w:r>
      <w:r w:rsidR="001C55C1" w:rsidRPr="00820F66">
        <w:rPr>
          <w:rFonts w:ascii="Book Antiqua" w:hAnsi="Book Antiqua" w:cs="Times"/>
          <w:color w:val="000000"/>
          <w:vertAlign w:val="superscript"/>
        </w:rPr>
        <w:t>18</w:t>
      </w:r>
      <w:r w:rsidR="001C55C1" w:rsidRPr="00820F66">
        <w:rPr>
          <w:rFonts w:ascii="Book Antiqua" w:hAnsi="Book Antiqua" w:cs="Times" w:hint="eastAsia"/>
          <w:color w:val="000000"/>
          <w:vertAlign w:val="superscript"/>
        </w:rPr>
        <w:t>-</w:t>
      </w:r>
      <w:r w:rsidRPr="00820F66">
        <w:rPr>
          <w:rFonts w:ascii="Book Antiqua" w:hAnsi="Book Antiqua" w:cs="Times"/>
          <w:color w:val="000000"/>
          <w:vertAlign w:val="superscript"/>
        </w:rPr>
        <w:t>20]</w:t>
      </w:r>
      <w:r w:rsidRPr="00820F66">
        <w:rPr>
          <w:rFonts w:ascii="Book Antiqua" w:hAnsi="Book Antiqua" w:cs="Times"/>
          <w:color w:val="000000"/>
        </w:rPr>
        <w:t xml:space="preserve">. Our results </w:t>
      </w:r>
      <w:r w:rsidR="00B17EA3" w:rsidRPr="00820F66">
        <w:rPr>
          <w:rFonts w:ascii="Book Antiqua" w:hAnsi="Book Antiqua" w:cs="Times"/>
          <w:color w:val="000000"/>
        </w:rPr>
        <w:t xml:space="preserve">are </w:t>
      </w:r>
      <w:r w:rsidRPr="00820F66">
        <w:rPr>
          <w:rFonts w:ascii="Book Antiqua" w:hAnsi="Book Antiqua" w:cs="Times"/>
          <w:color w:val="000000"/>
        </w:rPr>
        <w:t xml:space="preserve">in accordance with previous studies reporting that more than 50% patients were negative for both HBsAg and hepatitis C virus antibody and had negative or low serum AFP levels. According to literature reports, some patients may have fever, but the WBC count is generally not high or is slightly elevated, suggesting the presence of noninfectious fever, which may be related to the sarcomatoid components or tumor parenchymal ischemia and necrosis. In our case, the patient developed fever after admission, with </w:t>
      </w:r>
      <w:r w:rsidR="00B17EA3" w:rsidRPr="00820F66">
        <w:rPr>
          <w:rFonts w:ascii="Book Antiqua" w:hAnsi="Book Antiqua" w:cs="Times"/>
          <w:color w:val="000000"/>
        </w:rPr>
        <w:t xml:space="preserve">a </w:t>
      </w:r>
      <w:r w:rsidRPr="00820F66">
        <w:rPr>
          <w:rFonts w:ascii="Book Antiqua" w:hAnsi="Book Antiqua" w:cs="Times"/>
          <w:color w:val="000000"/>
        </w:rPr>
        <w:t>significant increase in WBC count and neutrophil percentage, and her blood culture results were negative, which was suggestive of PLR. The WBC count in our case had dropped rapidly after surgery, which had confirmed our diagnosis.</w:t>
      </w:r>
    </w:p>
    <w:p w14:paraId="3A1069CD" w14:textId="30FDE590" w:rsidR="00654259" w:rsidRPr="00820F66" w:rsidRDefault="00654259" w:rsidP="001C55C1">
      <w:pPr>
        <w:autoSpaceDE w:val="0"/>
        <w:autoSpaceDN w:val="0"/>
        <w:adjustRightInd w:val="0"/>
        <w:spacing w:line="360" w:lineRule="auto"/>
        <w:ind w:firstLineChars="200" w:firstLine="480"/>
        <w:jc w:val="both"/>
        <w:rPr>
          <w:rFonts w:ascii="Book Antiqua" w:hAnsi="Book Antiqua" w:cs="Times"/>
          <w:color w:val="000000"/>
        </w:rPr>
      </w:pPr>
      <w:r w:rsidRPr="00820F66">
        <w:rPr>
          <w:rFonts w:ascii="Book Antiqua" w:hAnsi="Book Antiqua" w:cs="Times"/>
          <w:color w:val="000000"/>
        </w:rPr>
        <w:t xml:space="preserve">In our case, SHC combined with a PLR was fatal, reflecting that such condition was aggressive. Shin </w:t>
      </w:r>
      <w:r w:rsidRPr="00820F66">
        <w:rPr>
          <w:rFonts w:ascii="Book Antiqua" w:hAnsi="Book Antiqua" w:cs="Times"/>
          <w:i/>
          <w:color w:val="000000"/>
        </w:rPr>
        <w:t>et al</w:t>
      </w:r>
      <w:r w:rsidRPr="00820F66">
        <w:rPr>
          <w:rFonts w:ascii="Book Antiqua" w:hAnsi="Book Antiqua" w:cs="Times"/>
          <w:color w:val="000000"/>
        </w:rPr>
        <w:t xml:space="preserve"> reported a 71-year-old patient diagnosed with SHC, whose leukocyte count increased to 147800/μL and died on the 10</w:t>
      </w:r>
      <w:r w:rsidRPr="00820F66">
        <w:rPr>
          <w:rFonts w:ascii="Book Antiqua" w:hAnsi="Book Antiqua" w:cs="Times"/>
          <w:color w:val="000000"/>
          <w:vertAlign w:val="superscript"/>
        </w:rPr>
        <w:t>th</w:t>
      </w:r>
      <w:r w:rsidRPr="00820F66">
        <w:rPr>
          <w:rFonts w:ascii="Book Antiqua" w:hAnsi="Book Antiqua" w:cs="Times"/>
          <w:color w:val="000000"/>
        </w:rPr>
        <w:t xml:space="preserve"> day of hospitalization, which also </w:t>
      </w:r>
      <w:r w:rsidR="00E8681B" w:rsidRPr="00820F66">
        <w:rPr>
          <w:rFonts w:ascii="Book Antiqua" w:hAnsi="Book Antiqua" w:cs="Times"/>
          <w:color w:val="000000"/>
        </w:rPr>
        <w:t xml:space="preserve">suggested </w:t>
      </w:r>
      <w:r w:rsidRPr="00820F66">
        <w:rPr>
          <w:rFonts w:ascii="Book Antiqua" w:hAnsi="Book Antiqua" w:cs="Times"/>
          <w:color w:val="000000"/>
        </w:rPr>
        <w:t>the danger of this state. Unlike our case, the patient did not undergo surgery, and the pathological results were obtained by fine needle aspiration biopsy. We hypothesized that timely surgical treatment may be beneficial to such patient to some extent, but overall the prognosis is still poor. For malignant tumor patients with persistently unexplained elevated WBC count, PLR should be considered once infection is excluded. With regard to the relationship between PLR and sarcomatoid carcinoma, some scholars have reported cases of renal cell carcinoma and lung cancer with sarcomatous changes, accompanying PLR; however, it has not been specifically reported whether PLR is more common in sarcomatoid cancer</w:t>
      </w:r>
      <w:r w:rsidRPr="00820F66">
        <w:rPr>
          <w:rFonts w:ascii="Book Antiqua" w:hAnsi="Book Antiqua" w:cs="Times"/>
          <w:color w:val="000000"/>
          <w:vertAlign w:val="superscript"/>
        </w:rPr>
        <w:t>[2</w:t>
      </w:r>
      <w:r w:rsidR="001C55C1" w:rsidRPr="00820F66">
        <w:rPr>
          <w:rFonts w:ascii="Book Antiqua" w:hAnsi="Book Antiqua" w:cs="Times"/>
          <w:color w:val="000000"/>
          <w:vertAlign w:val="superscript"/>
        </w:rPr>
        <w:t>1</w:t>
      </w:r>
      <w:r w:rsidRPr="00820F66">
        <w:rPr>
          <w:rFonts w:ascii="Book Antiqua" w:hAnsi="Book Antiqua" w:cs="Times"/>
          <w:color w:val="000000"/>
          <w:vertAlign w:val="superscript"/>
        </w:rPr>
        <w:t>,2</w:t>
      </w:r>
      <w:r w:rsidR="001C55C1" w:rsidRPr="00820F66">
        <w:rPr>
          <w:rFonts w:ascii="Book Antiqua" w:hAnsi="Book Antiqua" w:cs="Times"/>
          <w:color w:val="000000"/>
          <w:vertAlign w:val="superscript"/>
        </w:rPr>
        <w:t>2</w:t>
      </w:r>
      <w:r w:rsidRPr="00820F66">
        <w:rPr>
          <w:rFonts w:ascii="Book Antiqua" w:hAnsi="Book Antiqua" w:cs="Times"/>
          <w:color w:val="000000"/>
          <w:vertAlign w:val="superscript"/>
        </w:rPr>
        <w:t>]</w:t>
      </w:r>
      <w:r w:rsidRPr="00820F66">
        <w:rPr>
          <w:rFonts w:ascii="Book Antiqua" w:hAnsi="Book Antiqua" w:cs="Times"/>
          <w:color w:val="000000"/>
        </w:rPr>
        <w:t xml:space="preserve">. It is likely that the progression and necrosis of SHC may be associated with an increase in inflammatory cytokine response, which may thereby result in leukemoid reaction. In an article examining the relationship between PLR and solid tumors, Chakraborty </w:t>
      </w:r>
      <w:r w:rsidRPr="00820F66">
        <w:rPr>
          <w:rFonts w:ascii="Book Antiqua" w:hAnsi="Book Antiqua" w:cs="Times"/>
          <w:i/>
          <w:color w:val="000000"/>
        </w:rPr>
        <w:t>et al</w:t>
      </w:r>
      <w:r w:rsidR="001C55C1" w:rsidRPr="00820F66">
        <w:rPr>
          <w:rFonts w:ascii="Book Antiqua" w:hAnsi="Book Antiqua" w:cs="Times"/>
          <w:color w:val="000000"/>
          <w:vertAlign w:val="superscript"/>
        </w:rPr>
        <w:t>[10]</w:t>
      </w:r>
      <w:r w:rsidRPr="00820F66">
        <w:rPr>
          <w:rFonts w:ascii="Book Antiqua" w:hAnsi="Book Antiqua" w:cs="Times"/>
          <w:color w:val="000000"/>
        </w:rPr>
        <w:t xml:space="preserve"> reported a case of SHC with PLR </w:t>
      </w:r>
      <w:r w:rsidR="00E8681B" w:rsidRPr="00820F66">
        <w:rPr>
          <w:rFonts w:ascii="Book Antiqua" w:hAnsi="Book Antiqua" w:cs="Times"/>
          <w:color w:val="000000"/>
        </w:rPr>
        <w:t xml:space="preserve">who </w:t>
      </w:r>
      <w:r w:rsidRPr="00820F66">
        <w:rPr>
          <w:rFonts w:ascii="Book Antiqua" w:hAnsi="Book Antiqua" w:cs="Times"/>
          <w:color w:val="000000"/>
        </w:rPr>
        <w:t xml:space="preserve">died 10 d after admission, which </w:t>
      </w:r>
      <w:r w:rsidR="00E8681B" w:rsidRPr="00820F66">
        <w:rPr>
          <w:rFonts w:ascii="Book Antiqua" w:hAnsi="Book Antiqua" w:cs="Times"/>
          <w:color w:val="000000"/>
        </w:rPr>
        <w:t xml:space="preserve">is </w:t>
      </w:r>
      <w:r w:rsidRPr="00820F66">
        <w:rPr>
          <w:rFonts w:ascii="Book Antiqua" w:hAnsi="Book Antiqua" w:cs="Times"/>
          <w:color w:val="000000"/>
        </w:rPr>
        <w:t xml:space="preserve">earlier than most other types of tumors (such as cervical cancer, </w:t>
      </w:r>
      <w:r w:rsidR="001D4EF3" w:rsidRPr="00820F66">
        <w:rPr>
          <w:rFonts w:ascii="Book Antiqua" w:hAnsi="Book Antiqua" w:cs="Times" w:hint="eastAsia"/>
          <w:color w:val="000000"/>
        </w:rPr>
        <w:t>HCC</w:t>
      </w:r>
      <w:r w:rsidR="00E8681B" w:rsidRPr="00820F66">
        <w:rPr>
          <w:rFonts w:ascii="Book Antiqua" w:hAnsi="Book Antiqua" w:cs="Times"/>
          <w:color w:val="000000"/>
        </w:rPr>
        <w:t>,</w:t>
      </w:r>
      <w:r w:rsidRPr="00820F66">
        <w:rPr>
          <w:rFonts w:ascii="Book Antiqua" w:hAnsi="Book Antiqua" w:cs="Times"/>
          <w:color w:val="000000"/>
        </w:rPr>
        <w:t xml:space="preserve"> and gastric cancer). In terms of treatment, liver resection or liver transplantation is the therapeutic gold standard for such patients</w:t>
      </w:r>
      <w:r w:rsidRPr="00820F66">
        <w:rPr>
          <w:rFonts w:ascii="Book Antiqua" w:hAnsi="Book Antiqua" w:cs="Times"/>
          <w:color w:val="000000"/>
          <w:vertAlign w:val="superscript"/>
        </w:rPr>
        <w:t>[2</w:t>
      </w:r>
      <w:r w:rsidR="001C55C1" w:rsidRPr="00820F66">
        <w:rPr>
          <w:rFonts w:ascii="Book Antiqua" w:hAnsi="Book Antiqua" w:cs="Times"/>
          <w:color w:val="000000"/>
          <w:vertAlign w:val="superscript"/>
        </w:rPr>
        <w:t>3</w:t>
      </w:r>
      <w:r w:rsidRPr="00820F66">
        <w:rPr>
          <w:rFonts w:ascii="Book Antiqua" w:hAnsi="Book Antiqua" w:cs="Times"/>
          <w:color w:val="000000"/>
          <w:vertAlign w:val="superscript"/>
        </w:rPr>
        <w:t>]</w:t>
      </w:r>
      <w:r w:rsidRPr="00820F66">
        <w:rPr>
          <w:rFonts w:ascii="Book Antiqua" w:hAnsi="Book Antiqua" w:cs="Times"/>
          <w:color w:val="000000"/>
        </w:rPr>
        <w:t>, but the effect is still unclear. On the other hand, with actively evolving tumor treatment modalities and concepts, and knowing that optimal efficacy can rarely be achieved by a single treatment regimen, surgery-centered multidisciplinary team as a collaborative health care model has been increasingly recognized</w:t>
      </w:r>
      <w:r w:rsidRPr="00820F66">
        <w:rPr>
          <w:rFonts w:ascii="Book Antiqua" w:hAnsi="Book Antiqua" w:cs="Times"/>
          <w:color w:val="000000"/>
          <w:vertAlign w:val="superscript"/>
        </w:rPr>
        <w:t>[2</w:t>
      </w:r>
      <w:r w:rsidR="001C55C1" w:rsidRPr="00820F66">
        <w:rPr>
          <w:rFonts w:ascii="Book Antiqua" w:hAnsi="Book Antiqua" w:cs="Times"/>
          <w:color w:val="000000"/>
          <w:vertAlign w:val="superscript"/>
        </w:rPr>
        <w:t>4</w:t>
      </w:r>
      <w:r w:rsidRPr="00820F66">
        <w:rPr>
          <w:rFonts w:ascii="Book Antiqua" w:hAnsi="Book Antiqua" w:cs="Times"/>
          <w:color w:val="000000"/>
          <w:vertAlign w:val="superscript"/>
        </w:rPr>
        <w:t>]</w:t>
      </w:r>
      <w:r w:rsidRPr="00820F66">
        <w:rPr>
          <w:rFonts w:ascii="Book Antiqua" w:hAnsi="Book Antiqua" w:cs="Times"/>
          <w:color w:val="000000"/>
        </w:rPr>
        <w:t>, which may also benefit patients in this situation. In short, different factors that influence leukocyte elevation and tumor progression should be considered to understand their pathogenesis and to devise effective strategies for their clinical management.</w:t>
      </w:r>
    </w:p>
    <w:p w14:paraId="0A2AD2B9" w14:textId="762EC5D8" w:rsidR="00675A02" w:rsidRPr="00820F66" w:rsidRDefault="00654259" w:rsidP="00A43D45">
      <w:pPr>
        <w:autoSpaceDE w:val="0"/>
        <w:autoSpaceDN w:val="0"/>
        <w:adjustRightInd w:val="0"/>
        <w:spacing w:line="360" w:lineRule="auto"/>
        <w:ind w:firstLine="482"/>
        <w:jc w:val="both"/>
        <w:rPr>
          <w:rFonts w:ascii="Book Antiqua" w:hAnsi="Book Antiqua" w:cs="Times"/>
          <w:color w:val="000000"/>
        </w:rPr>
      </w:pPr>
      <w:r w:rsidRPr="00820F66">
        <w:rPr>
          <w:rFonts w:ascii="Book Antiqua" w:hAnsi="Book Antiqua" w:cs="Times"/>
          <w:color w:val="000000"/>
        </w:rPr>
        <w:t xml:space="preserve">As evidenced by our case, patients with malignant tumors should consider the possibility of PLR in the presence of persistently unexplained elevated levels of WBC. Nonetheless, the association of SHC with leukemoid reaction could not be concluded due to the limited data and care reports, but a prompt diagnostic approach to identify the underlying cause and early application of the most effective treatment might result in </w:t>
      </w:r>
      <w:r w:rsidR="00B11A33" w:rsidRPr="00820F66">
        <w:rPr>
          <w:rFonts w:ascii="Book Antiqua" w:hAnsi="Book Antiqua" w:cs="Times"/>
          <w:color w:val="000000"/>
        </w:rPr>
        <w:t xml:space="preserve">a </w:t>
      </w:r>
      <w:r w:rsidRPr="00820F66">
        <w:rPr>
          <w:rFonts w:ascii="Book Antiqua" w:hAnsi="Book Antiqua" w:cs="Times"/>
          <w:color w:val="000000"/>
        </w:rPr>
        <w:t>better prognosis for such patients.</w:t>
      </w:r>
    </w:p>
    <w:p w14:paraId="4D124ACE" w14:textId="77777777" w:rsidR="00654259" w:rsidRPr="00820F66" w:rsidRDefault="00654259" w:rsidP="00A43D45">
      <w:pPr>
        <w:autoSpaceDE w:val="0"/>
        <w:autoSpaceDN w:val="0"/>
        <w:adjustRightInd w:val="0"/>
        <w:spacing w:line="360" w:lineRule="auto"/>
        <w:ind w:firstLine="482"/>
        <w:jc w:val="both"/>
        <w:rPr>
          <w:rFonts w:ascii="Book Antiqua" w:eastAsiaTheme="minorEastAsia" w:hAnsi="Book Antiqua"/>
        </w:rPr>
      </w:pPr>
    </w:p>
    <w:p w14:paraId="75EC206F" w14:textId="77777777" w:rsidR="00675A02" w:rsidRPr="00820F66" w:rsidRDefault="00675A02" w:rsidP="00A43D45">
      <w:pPr>
        <w:autoSpaceDE w:val="0"/>
        <w:autoSpaceDN w:val="0"/>
        <w:adjustRightInd w:val="0"/>
        <w:spacing w:line="360" w:lineRule="auto"/>
        <w:jc w:val="both"/>
        <w:rPr>
          <w:rFonts w:ascii="Book Antiqua" w:eastAsiaTheme="minorEastAsia" w:hAnsi="Book Antiqua"/>
          <w:b/>
        </w:rPr>
      </w:pPr>
      <w:r w:rsidRPr="00820F66">
        <w:rPr>
          <w:rFonts w:ascii="Book Antiqua" w:eastAsia="Book Antiqua" w:hAnsi="Book Antiqua"/>
          <w:b/>
        </w:rPr>
        <w:t>CONCLUSION</w:t>
      </w:r>
    </w:p>
    <w:p w14:paraId="242DEDD8" w14:textId="371AFB74" w:rsidR="008A5149" w:rsidRPr="00820F66" w:rsidRDefault="00654259" w:rsidP="00A43D45">
      <w:pPr>
        <w:autoSpaceDE w:val="0"/>
        <w:autoSpaceDN w:val="0"/>
        <w:adjustRightInd w:val="0"/>
        <w:spacing w:line="360" w:lineRule="auto"/>
        <w:jc w:val="both"/>
        <w:rPr>
          <w:rFonts w:ascii="Book Antiqua" w:hAnsi="Book Antiqua" w:cs="Times"/>
          <w:color w:val="000000"/>
        </w:rPr>
      </w:pPr>
      <w:r w:rsidRPr="00820F66">
        <w:rPr>
          <w:rFonts w:ascii="Book Antiqua" w:hAnsi="Book Antiqua" w:cs="Times"/>
          <w:color w:val="000000"/>
        </w:rPr>
        <w:t xml:space="preserve">This </w:t>
      </w:r>
      <w:r w:rsidR="00B11A33" w:rsidRPr="00820F66">
        <w:rPr>
          <w:rFonts w:ascii="Book Antiqua" w:hAnsi="Book Antiqua" w:cs="Times"/>
          <w:color w:val="000000"/>
        </w:rPr>
        <w:t xml:space="preserve">is </w:t>
      </w:r>
      <w:r w:rsidRPr="00820F66">
        <w:rPr>
          <w:rFonts w:ascii="Book Antiqua" w:hAnsi="Book Antiqua" w:cs="Times"/>
          <w:color w:val="000000"/>
        </w:rPr>
        <w:t xml:space="preserve">a rare case of SHC combined with PLR, both of which had carried </w:t>
      </w:r>
      <w:r w:rsidR="00B11A33" w:rsidRPr="00820F66">
        <w:rPr>
          <w:rFonts w:ascii="Book Antiqua" w:hAnsi="Book Antiqua" w:cs="Times"/>
          <w:color w:val="000000"/>
        </w:rPr>
        <w:t xml:space="preserve">an </w:t>
      </w:r>
      <w:r w:rsidRPr="00820F66">
        <w:rPr>
          <w:rFonts w:ascii="Book Antiqua" w:hAnsi="Book Antiqua" w:cs="Times"/>
          <w:color w:val="000000"/>
        </w:rPr>
        <w:t xml:space="preserve">extremely poor prognosis and had been associated with shorter postoperative survival </w:t>
      </w:r>
      <w:r w:rsidR="00B11A33" w:rsidRPr="00820F66">
        <w:rPr>
          <w:rFonts w:ascii="Book Antiqua" w:hAnsi="Book Antiqua" w:cs="Times"/>
          <w:color w:val="000000"/>
        </w:rPr>
        <w:t>periods</w:t>
      </w:r>
      <w:r w:rsidRPr="00820F66">
        <w:rPr>
          <w:rFonts w:ascii="Book Antiqua" w:hAnsi="Book Antiqua" w:cs="Times"/>
          <w:color w:val="000000"/>
        </w:rPr>
        <w:t>.</w:t>
      </w:r>
    </w:p>
    <w:p w14:paraId="38123C5C" w14:textId="40B1F786" w:rsidR="00654259" w:rsidRPr="00820F66" w:rsidRDefault="00654259" w:rsidP="00A43D45">
      <w:pPr>
        <w:autoSpaceDE w:val="0"/>
        <w:autoSpaceDN w:val="0"/>
        <w:adjustRightInd w:val="0"/>
        <w:spacing w:line="360" w:lineRule="auto"/>
        <w:jc w:val="both"/>
        <w:rPr>
          <w:rFonts w:ascii="Book Antiqua" w:hAnsi="Book Antiqua" w:cs="Times"/>
          <w:color w:val="000000"/>
        </w:rPr>
      </w:pPr>
    </w:p>
    <w:p w14:paraId="3C784F2E" w14:textId="77777777" w:rsidR="00654259" w:rsidRPr="00820F66" w:rsidRDefault="00654259" w:rsidP="00A43D45">
      <w:pPr>
        <w:spacing w:line="360" w:lineRule="auto"/>
        <w:jc w:val="both"/>
        <w:rPr>
          <w:rFonts w:ascii="Book Antiqua" w:hAnsi="Book Antiqua"/>
          <w:b/>
          <w:snapToGrid w:val="0"/>
          <w:color w:val="000000" w:themeColor="text1"/>
          <w:kern w:val="10"/>
        </w:rPr>
      </w:pPr>
      <w:r w:rsidRPr="00820F66">
        <w:rPr>
          <w:rFonts w:ascii="Book Antiqua" w:hAnsi="Book Antiqua"/>
          <w:b/>
          <w:snapToGrid w:val="0"/>
          <w:color w:val="000000" w:themeColor="text1"/>
          <w:kern w:val="10"/>
        </w:rPr>
        <w:t>ACKNOWLEDGMENTS</w:t>
      </w:r>
    </w:p>
    <w:p w14:paraId="0671B18A" w14:textId="1EAB2A74" w:rsidR="00654259" w:rsidRPr="00820F66" w:rsidRDefault="00654259" w:rsidP="00A43D45">
      <w:pPr>
        <w:autoSpaceDE w:val="0"/>
        <w:autoSpaceDN w:val="0"/>
        <w:adjustRightInd w:val="0"/>
        <w:spacing w:line="360" w:lineRule="auto"/>
        <w:jc w:val="both"/>
        <w:rPr>
          <w:rFonts w:ascii="Book Antiqua" w:hAnsi="Book Antiqua" w:cs="Times"/>
          <w:color w:val="000000"/>
        </w:rPr>
      </w:pPr>
      <w:r w:rsidRPr="00820F66">
        <w:rPr>
          <w:rFonts w:ascii="Book Antiqua" w:hAnsi="Book Antiqua" w:cs="Times"/>
          <w:color w:val="000000"/>
        </w:rPr>
        <w:t xml:space="preserve">We would like to express our gratitude to the participants of the study, </w:t>
      </w:r>
      <w:r w:rsidR="00B11A33" w:rsidRPr="00820F66">
        <w:rPr>
          <w:rFonts w:ascii="Book Antiqua" w:hAnsi="Book Antiqua" w:cs="Times"/>
          <w:color w:val="000000"/>
        </w:rPr>
        <w:t xml:space="preserve">and </w:t>
      </w:r>
      <w:r w:rsidRPr="00820F66">
        <w:rPr>
          <w:rFonts w:ascii="Book Antiqua" w:hAnsi="Book Antiqua" w:cs="Times"/>
          <w:color w:val="000000"/>
        </w:rPr>
        <w:t>to Dr. Hai-Tao Zhao for his contributions in preparing the manuscript.</w:t>
      </w:r>
    </w:p>
    <w:p w14:paraId="7E495477" w14:textId="77777777" w:rsidR="00654259" w:rsidRPr="00820F66" w:rsidRDefault="00654259" w:rsidP="00A43D45">
      <w:pPr>
        <w:autoSpaceDE w:val="0"/>
        <w:autoSpaceDN w:val="0"/>
        <w:adjustRightInd w:val="0"/>
        <w:spacing w:line="360" w:lineRule="auto"/>
        <w:jc w:val="both"/>
        <w:rPr>
          <w:rFonts w:ascii="Book Antiqua" w:hAnsi="Book Antiqua"/>
        </w:rPr>
      </w:pPr>
    </w:p>
    <w:p w14:paraId="2EF3AA5B" w14:textId="7604B8B3" w:rsidR="00E40079" w:rsidRPr="00820F66" w:rsidRDefault="00E40079" w:rsidP="00A43D45">
      <w:pPr>
        <w:pStyle w:val="a9"/>
        <w:spacing w:before="0" w:beforeAutospacing="0" w:after="0" w:afterAutospacing="0" w:line="360" w:lineRule="auto"/>
        <w:jc w:val="both"/>
        <w:rPr>
          <w:rFonts w:ascii="Book Antiqua" w:hAnsi="Book Antiqua"/>
          <w:sz w:val="24"/>
          <w:szCs w:val="24"/>
        </w:rPr>
      </w:pPr>
      <w:r w:rsidRPr="00820F66">
        <w:rPr>
          <w:rFonts w:ascii="Book Antiqua" w:hAnsi="Book Antiqua"/>
          <w:b/>
          <w:bCs/>
          <w:sz w:val="24"/>
          <w:szCs w:val="24"/>
        </w:rPr>
        <w:t>R</w:t>
      </w:r>
      <w:r w:rsidR="00C03E3C" w:rsidRPr="00820F66">
        <w:rPr>
          <w:rFonts w:ascii="Book Antiqua" w:hAnsi="Book Antiqua"/>
          <w:b/>
          <w:bCs/>
          <w:sz w:val="24"/>
          <w:szCs w:val="24"/>
        </w:rPr>
        <w:t>EFERENCES</w:t>
      </w:r>
    </w:p>
    <w:p w14:paraId="69A817F0"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 </w:t>
      </w:r>
      <w:r w:rsidRPr="00820F66">
        <w:rPr>
          <w:rFonts w:ascii="Book Antiqua" w:hAnsi="Book Antiqua"/>
          <w:b/>
        </w:rPr>
        <w:t>Shin HP</w:t>
      </w:r>
      <w:r w:rsidRPr="00820F66">
        <w:rPr>
          <w:rFonts w:ascii="Book Antiqua" w:hAnsi="Book Antiqua"/>
        </w:rPr>
        <w:t xml:space="preserve">, Jeon JW, Park JJ, Cha JM, Joo KR, Lee JI, Kim GY, Kang SY. A case of leukemoid reaction in a patient with sarcomatous hepatocellular carcinoma. </w:t>
      </w:r>
      <w:r w:rsidRPr="00820F66">
        <w:rPr>
          <w:rFonts w:ascii="Book Antiqua" w:hAnsi="Book Antiqua"/>
          <w:i/>
        </w:rPr>
        <w:t>Korean J Hepatol</w:t>
      </w:r>
      <w:r w:rsidRPr="00820F66">
        <w:rPr>
          <w:rFonts w:ascii="Book Antiqua" w:hAnsi="Book Antiqua"/>
        </w:rPr>
        <w:t xml:space="preserve"> 2011; </w:t>
      </w:r>
      <w:r w:rsidRPr="00820F66">
        <w:rPr>
          <w:rFonts w:ascii="Book Antiqua" w:hAnsi="Book Antiqua"/>
          <w:b/>
        </w:rPr>
        <w:t>17</w:t>
      </w:r>
      <w:r w:rsidRPr="00820F66">
        <w:rPr>
          <w:rFonts w:ascii="Book Antiqua" w:hAnsi="Book Antiqua"/>
        </w:rPr>
        <w:t>: 226-228 [PMID: 22102390 DOI: 10.3350/kjhep.2011.17.3.226]</w:t>
      </w:r>
    </w:p>
    <w:p w14:paraId="70AB41FA"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2 </w:t>
      </w:r>
      <w:r w:rsidRPr="00820F66">
        <w:rPr>
          <w:rFonts w:ascii="Book Antiqua" w:hAnsi="Book Antiqua"/>
          <w:b/>
        </w:rPr>
        <w:t>Schniewind B</w:t>
      </w:r>
      <w:r w:rsidRPr="00820F66">
        <w:rPr>
          <w:rFonts w:ascii="Book Antiqua" w:hAnsi="Book Antiqua"/>
        </w:rPr>
        <w:t xml:space="preserve">, Christgen M, Hauschild A, Kurdow R, Kalthoff H, Klomp HJ. Paraneoplastic leukemoid reaction and rapid progression in a patient with malignant melanoma: establishment of KT293, a novel G-CSF-secreting melanoma cell line. </w:t>
      </w:r>
      <w:r w:rsidRPr="00820F66">
        <w:rPr>
          <w:rFonts w:ascii="Book Antiqua" w:hAnsi="Book Antiqua"/>
          <w:i/>
        </w:rPr>
        <w:t>Cancer Biol Ther</w:t>
      </w:r>
      <w:r w:rsidRPr="00820F66">
        <w:rPr>
          <w:rFonts w:ascii="Book Antiqua" w:hAnsi="Book Antiqua"/>
        </w:rPr>
        <w:t xml:space="preserve"> 2005; </w:t>
      </w:r>
      <w:r w:rsidRPr="00820F66">
        <w:rPr>
          <w:rFonts w:ascii="Book Antiqua" w:hAnsi="Book Antiqua"/>
          <w:b/>
        </w:rPr>
        <w:t>4</w:t>
      </w:r>
      <w:r w:rsidRPr="00820F66">
        <w:rPr>
          <w:rFonts w:ascii="Book Antiqua" w:hAnsi="Book Antiqua"/>
        </w:rPr>
        <w:t>: 23-27 [PMID: 15662134 DOI: 10.4161/cbt.4.1.1447]</w:t>
      </w:r>
    </w:p>
    <w:p w14:paraId="750F1452"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3 </w:t>
      </w:r>
      <w:r w:rsidRPr="00820F66">
        <w:rPr>
          <w:rFonts w:ascii="Book Antiqua" w:hAnsi="Book Antiqua"/>
          <w:b/>
        </w:rPr>
        <w:t>Sakka V</w:t>
      </w:r>
      <w:r w:rsidRPr="00820F66">
        <w:rPr>
          <w:rFonts w:ascii="Book Antiqua" w:hAnsi="Book Antiqua"/>
        </w:rPr>
        <w:t xml:space="preserve">, Tsiodras S, Giamarellos-Bourboulis EJ, Giamarellou H. An update on the etiology and diagnostic evaluation of a leukemoid reaction. </w:t>
      </w:r>
      <w:r w:rsidRPr="00820F66">
        <w:rPr>
          <w:rFonts w:ascii="Book Antiqua" w:hAnsi="Book Antiqua"/>
          <w:i/>
        </w:rPr>
        <w:t>Eur J Intern Med</w:t>
      </w:r>
      <w:r w:rsidRPr="00820F66">
        <w:rPr>
          <w:rFonts w:ascii="Book Antiqua" w:hAnsi="Book Antiqua"/>
        </w:rPr>
        <w:t xml:space="preserve"> 2006; </w:t>
      </w:r>
      <w:r w:rsidRPr="00820F66">
        <w:rPr>
          <w:rFonts w:ascii="Book Antiqua" w:hAnsi="Book Antiqua"/>
          <w:b/>
        </w:rPr>
        <w:t>17</w:t>
      </w:r>
      <w:r w:rsidRPr="00820F66">
        <w:rPr>
          <w:rFonts w:ascii="Book Antiqua" w:hAnsi="Book Antiqua"/>
        </w:rPr>
        <w:t>: 394-398 [PMID: 16962944 DOI: 10.1016/j.ejim.2006.04.004]</w:t>
      </w:r>
    </w:p>
    <w:p w14:paraId="5E8B7B68"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4 </w:t>
      </w:r>
      <w:r w:rsidRPr="00820F66">
        <w:rPr>
          <w:rFonts w:ascii="Book Antiqua" w:hAnsi="Book Antiqua"/>
          <w:b/>
        </w:rPr>
        <w:t>Wilcox RA</w:t>
      </w:r>
      <w:r w:rsidRPr="00820F66">
        <w:rPr>
          <w:rFonts w:ascii="Book Antiqua" w:hAnsi="Book Antiqua"/>
        </w:rPr>
        <w:t xml:space="preserve">. Cancer-associated myeloproliferation: old association, new therapeutic target. </w:t>
      </w:r>
      <w:r w:rsidRPr="00820F66">
        <w:rPr>
          <w:rFonts w:ascii="Book Antiqua" w:hAnsi="Book Antiqua"/>
          <w:i/>
        </w:rPr>
        <w:t>Mayo Clin Proc</w:t>
      </w:r>
      <w:r w:rsidRPr="00820F66">
        <w:rPr>
          <w:rFonts w:ascii="Book Antiqua" w:hAnsi="Book Antiqua"/>
        </w:rPr>
        <w:t xml:space="preserve"> 2010; </w:t>
      </w:r>
      <w:r w:rsidRPr="00820F66">
        <w:rPr>
          <w:rFonts w:ascii="Book Antiqua" w:hAnsi="Book Antiqua"/>
          <w:b/>
        </w:rPr>
        <w:t>85</w:t>
      </w:r>
      <w:r w:rsidRPr="00820F66">
        <w:rPr>
          <w:rFonts w:ascii="Book Antiqua" w:hAnsi="Book Antiqua"/>
        </w:rPr>
        <w:t>: 656-663 [PMID: 20592171 DOI: 10.4065/mcp.2010.0077]</w:t>
      </w:r>
    </w:p>
    <w:p w14:paraId="280A3B18"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5 </w:t>
      </w:r>
      <w:r w:rsidRPr="00820F66">
        <w:rPr>
          <w:rFonts w:ascii="Book Antiqua" w:hAnsi="Book Antiqua"/>
          <w:b/>
        </w:rPr>
        <w:t>Schmidt H</w:t>
      </w:r>
      <w:r w:rsidRPr="00820F66">
        <w:rPr>
          <w:rFonts w:ascii="Book Antiqua" w:hAnsi="Book Antiqua"/>
        </w:rPr>
        <w:t xml:space="preserve">, Bastholt L, Geertsen P, Christensen IJ, Larsen S, Gehl J, von der Maase H. Elevated neutrophil and monocyte counts in peripheral blood are associated with poor survival in patients with metastatic melanoma: a prognostic model. </w:t>
      </w:r>
      <w:r w:rsidRPr="00820F66">
        <w:rPr>
          <w:rFonts w:ascii="Book Antiqua" w:hAnsi="Book Antiqua"/>
          <w:i/>
        </w:rPr>
        <w:t>Br J Cancer</w:t>
      </w:r>
      <w:r w:rsidRPr="00820F66">
        <w:rPr>
          <w:rFonts w:ascii="Book Antiqua" w:hAnsi="Book Antiqua"/>
        </w:rPr>
        <w:t xml:space="preserve"> 2005; </w:t>
      </w:r>
      <w:r w:rsidRPr="00820F66">
        <w:rPr>
          <w:rFonts w:ascii="Book Antiqua" w:hAnsi="Book Antiqua"/>
          <w:b/>
        </w:rPr>
        <w:t>93</w:t>
      </w:r>
      <w:r w:rsidRPr="00820F66">
        <w:rPr>
          <w:rFonts w:ascii="Book Antiqua" w:hAnsi="Book Antiqua"/>
        </w:rPr>
        <w:t>: 273-278 [PMID: 16052222 DOI: 10.1038/sj.bjc.6602702]</w:t>
      </w:r>
    </w:p>
    <w:p w14:paraId="2B89DA4B"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6 </w:t>
      </w:r>
      <w:r w:rsidRPr="00820F66">
        <w:rPr>
          <w:rFonts w:ascii="Book Antiqua" w:hAnsi="Book Antiqua"/>
          <w:b/>
        </w:rPr>
        <w:t>Lammel V</w:t>
      </w:r>
      <w:r w:rsidRPr="00820F66">
        <w:rPr>
          <w:rFonts w:ascii="Book Antiqua" w:hAnsi="Book Antiqua"/>
        </w:rPr>
        <w:t xml:space="preserve">, Stoeckle C, Padberg B, Zweifel R, Kienle DL, Reinhart WH, Simon HU. Hypereosinophilia driven by GM-CSF in large-cell carcinoma of the lung. </w:t>
      </w:r>
      <w:r w:rsidRPr="00820F66">
        <w:rPr>
          <w:rFonts w:ascii="Book Antiqua" w:hAnsi="Book Antiqua"/>
          <w:i/>
        </w:rPr>
        <w:t>Lung Cancer</w:t>
      </w:r>
      <w:r w:rsidRPr="00820F66">
        <w:rPr>
          <w:rFonts w:ascii="Book Antiqua" w:hAnsi="Book Antiqua"/>
        </w:rPr>
        <w:t xml:space="preserve"> 2012; </w:t>
      </w:r>
      <w:r w:rsidRPr="00820F66">
        <w:rPr>
          <w:rFonts w:ascii="Book Antiqua" w:hAnsi="Book Antiqua"/>
          <w:b/>
        </w:rPr>
        <w:t>76</w:t>
      </w:r>
      <w:r w:rsidRPr="00820F66">
        <w:rPr>
          <w:rFonts w:ascii="Book Antiqua" w:hAnsi="Book Antiqua"/>
        </w:rPr>
        <w:t>: 493-495 [PMID: 22420949 DOI: 10.1016/j.lungcan.2012.02.014]</w:t>
      </w:r>
    </w:p>
    <w:p w14:paraId="6288292A"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7 </w:t>
      </w:r>
      <w:r w:rsidRPr="00820F66">
        <w:rPr>
          <w:rFonts w:ascii="Book Antiqua" w:hAnsi="Book Antiqua"/>
          <w:b/>
        </w:rPr>
        <w:t>Hung Y</w:t>
      </w:r>
      <w:r w:rsidRPr="00820F66">
        <w:rPr>
          <w:rFonts w:ascii="Book Antiqua" w:hAnsi="Book Antiqua"/>
        </w:rPr>
        <w:t xml:space="preserve">, Hsieh TY, Gao HW, Chang WC, Chang WK. Unusual computed tomography features of ruptured sarcomatous hepatocellular carcinoma. </w:t>
      </w:r>
      <w:r w:rsidRPr="00820F66">
        <w:rPr>
          <w:rFonts w:ascii="Book Antiqua" w:hAnsi="Book Antiqua"/>
          <w:i/>
        </w:rPr>
        <w:t>J Chin Med Assoc</w:t>
      </w:r>
      <w:r w:rsidRPr="00820F66">
        <w:rPr>
          <w:rFonts w:ascii="Book Antiqua" w:hAnsi="Book Antiqua"/>
        </w:rPr>
        <w:t xml:space="preserve"> 2014; </w:t>
      </w:r>
      <w:r w:rsidRPr="00820F66">
        <w:rPr>
          <w:rFonts w:ascii="Book Antiqua" w:hAnsi="Book Antiqua"/>
          <w:b/>
        </w:rPr>
        <w:t>77</w:t>
      </w:r>
      <w:r w:rsidRPr="00820F66">
        <w:rPr>
          <w:rFonts w:ascii="Book Antiqua" w:hAnsi="Book Antiqua"/>
        </w:rPr>
        <w:t>: 265-268 [PMID: 24726675 DOI: 10.1016/j.jcma.2014.02.006]</w:t>
      </w:r>
    </w:p>
    <w:p w14:paraId="1CA019C2"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8 </w:t>
      </w:r>
      <w:r w:rsidRPr="00820F66">
        <w:rPr>
          <w:rFonts w:ascii="Book Antiqua" w:hAnsi="Book Antiqua"/>
          <w:b/>
        </w:rPr>
        <w:t>Shafizadeh N</w:t>
      </w:r>
      <w:r w:rsidRPr="00820F66">
        <w:rPr>
          <w:rFonts w:ascii="Book Antiqua" w:hAnsi="Book Antiqua"/>
        </w:rPr>
        <w:t xml:space="preserve">, Kakar S. Hepatocellular Carcinoma: Histologic Subtypes. </w:t>
      </w:r>
      <w:r w:rsidRPr="00820F66">
        <w:rPr>
          <w:rFonts w:ascii="Book Antiqua" w:hAnsi="Book Antiqua"/>
          <w:i/>
        </w:rPr>
        <w:t>Surg Pathol Clin</w:t>
      </w:r>
      <w:r w:rsidRPr="00820F66">
        <w:rPr>
          <w:rFonts w:ascii="Book Antiqua" w:hAnsi="Book Antiqua"/>
        </w:rPr>
        <w:t xml:space="preserve"> 2013; </w:t>
      </w:r>
      <w:r w:rsidRPr="00820F66">
        <w:rPr>
          <w:rFonts w:ascii="Book Antiqua" w:hAnsi="Book Antiqua"/>
          <w:b/>
        </w:rPr>
        <w:t>6</w:t>
      </w:r>
      <w:r w:rsidRPr="00820F66">
        <w:rPr>
          <w:rFonts w:ascii="Book Antiqua" w:hAnsi="Book Antiqua"/>
        </w:rPr>
        <w:t>: 367-384 [PMID: 26838979 DOI: 10.1016/j.path.2013.03.007]</w:t>
      </w:r>
    </w:p>
    <w:p w14:paraId="4508F7BA"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9 </w:t>
      </w:r>
      <w:r w:rsidRPr="00820F66">
        <w:rPr>
          <w:rFonts w:ascii="Book Antiqua" w:hAnsi="Book Antiqua"/>
          <w:b/>
        </w:rPr>
        <w:t>Mandal SK</w:t>
      </w:r>
      <w:r w:rsidRPr="00820F66">
        <w:rPr>
          <w:rFonts w:ascii="Book Antiqua" w:hAnsi="Book Antiqua"/>
        </w:rPr>
        <w:t xml:space="preserve">, Ganguly J, Sil K, Mondal SS, Sardar D, Sarkar P. Renal cell carcinoma with paraneoplastic leucocytosis. </w:t>
      </w:r>
      <w:r w:rsidRPr="00820F66">
        <w:rPr>
          <w:rFonts w:ascii="Book Antiqua" w:hAnsi="Book Antiqua"/>
          <w:i/>
        </w:rPr>
        <w:t>J Cancer Res Ther</w:t>
      </w:r>
      <w:r w:rsidRPr="00820F66">
        <w:rPr>
          <w:rFonts w:ascii="Book Antiqua" w:hAnsi="Book Antiqua"/>
        </w:rPr>
        <w:t xml:space="preserve"> 2015; </w:t>
      </w:r>
      <w:r w:rsidRPr="00820F66">
        <w:rPr>
          <w:rFonts w:ascii="Book Antiqua" w:hAnsi="Book Antiqua"/>
          <w:b/>
        </w:rPr>
        <w:t>11</w:t>
      </w:r>
      <w:r w:rsidRPr="00820F66">
        <w:rPr>
          <w:rFonts w:ascii="Book Antiqua" w:hAnsi="Book Antiqua"/>
        </w:rPr>
        <w:t>: 660 [PMID: 26458671 DOI: 10.4103/0973-1482.139388]</w:t>
      </w:r>
    </w:p>
    <w:p w14:paraId="041462A8"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10 </w:t>
      </w:r>
      <w:r w:rsidRPr="00820F66">
        <w:rPr>
          <w:rFonts w:ascii="Book Antiqua" w:hAnsi="Book Antiqua"/>
          <w:b/>
        </w:rPr>
        <w:t>Chakraborty S</w:t>
      </w:r>
      <w:r w:rsidRPr="00820F66">
        <w:rPr>
          <w:rFonts w:ascii="Book Antiqua" w:hAnsi="Book Antiqua"/>
        </w:rPr>
        <w:t xml:space="preserve">, Keenportz B, Woodward S, Anderson J, Colan D. Paraneoplastic leukemoid reaction in solid tumors. </w:t>
      </w:r>
      <w:r w:rsidRPr="00820F66">
        <w:rPr>
          <w:rFonts w:ascii="Book Antiqua" w:hAnsi="Book Antiqua"/>
          <w:i/>
        </w:rPr>
        <w:t>Am J Clin Oncol</w:t>
      </w:r>
      <w:r w:rsidRPr="00820F66">
        <w:rPr>
          <w:rFonts w:ascii="Book Antiqua" w:hAnsi="Book Antiqua"/>
        </w:rPr>
        <w:t xml:space="preserve"> 2015; </w:t>
      </w:r>
      <w:r w:rsidRPr="00820F66">
        <w:rPr>
          <w:rFonts w:ascii="Book Antiqua" w:hAnsi="Book Antiqua"/>
          <w:b/>
        </w:rPr>
        <w:t>38</w:t>
      </w:r>
      <w:r w:rsidRPr="00820F66">
        <w:rPr>
          <w:rFonts w:ascii="Book Antiqua" w:hAnsi="Book Antiqua"/>
        </w:rPr>
        <w:t>: 326-330 [PMID: 24145395 DOI: 10.1097/COC.0b013e3182a530dd]</w:t>
      </w:r>
    </w:p>
    <w:p w14:paraId="1D197078"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11 </w:t>
      </w:r>
      <w:r w:rsidRPr="00820F66">
        <w:rPr>
          <w:rFonts w:ascii="Book Antiqua" w:hAnsi="Book Antiqua"/>
          <w:b/>
        </w:rPr>
        <w:t>McCoach CE</w:t>
      </w:r>
      <w:r w:rsidRPr="00820F66">
        <w:rPr>
          <w:rFonts w:ascii="Book Antiqua" w:hAnsi="Book Antiqua"/>
        </w:rPr>
        <w:t xml:space="preserve">, Rogers JG, Dwyre DM, Jonas BA. Paraneoplastic Leukemoid Reaction as a Marker of Tumor Progression in Non-Small Cell Lung Cancer. </w:t>
      </w:r>
      <w:r w:rsidRPr="00820F66">
        <w:rPr>
          <w:rFonts w:ascii="Book Antiqua" w:hAnsi="Book Antiqua"/>
          <w:i/>
        </w:rPr>
        <w:t>Cancer Treat Commun</w:t>
      </w:r>
      <w:r w:rsidRPr="00820F66">
        <w:rPr>
          <w:rFonts w:ascii="Book Antiqua" w:hAnsi="Book Antiqua"/>
        </w:rPr>
        <w:t xml:space="preserve"> 2015; </w:t>
      </w:r>
      <w:r w:rsidRPr="00820F66">
        <w:rPr>
          <w:rFonts w:ascii="Book Antiqua" w:hAnsi="Book Antiqua"/>
          <w:b/>
        </w:rPr>
        <w:t>4</w:t>
      </w:r>
      <w:r w:rsidRPr="00820F66">
        <w:rPr>
          <w:rFonts w:ascii="Book Antiqua" w:hAnsi="Book Antiqua"/>
        </w:rPr>
        <w:t>: 15-18 [PMID: 25932381 DOI: 10.1016/j.ctrc.2015.03.003]</w:t>
      </w:r>
    </w:p>
    <w:p w14:paraId="73FC703A"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12 </w:t>
      </w:r>
      <w:r w:rsidRPr="00820F66">
        <w:rPr>
          <w:rFonts w:ascii="Book Antiqua" w:hAnsi="Book Antiqua"/>
          <w:b/>
        </w:rPr>
        <w:t>Da Ines D</w:t>
      </w:r>
      <w:r w:rsidRPr="00820F66">
        <w:rPr>
          <w:rFonts w:ascii="Book Antiqua" w:hAnsi="Book Antiqua"/>
        </w:rPr>
        <w:t xml:space="preserve">, Bailly A, Lannareix V, Petitcolin V, Boldor L, Charpy C, Abergel A, Pezet D, Garcier JM. Hepatocellular carcinoma with sarcomatous change: prompt and fatal intraabdominal recurrence after liver transplantation. </w:t>
      </w:r>
      <w:r w:rsidRPr="00820F66">
        <w:rPr>
          <w:rFonts w:ascii="Book Antiqua" w:hAnsi="Book Antiqua"/>
          <w:i/>
        </w:rPr>
        <w:t>Gastroenterol Clin Biol</w:t>
      </w:r>
      <w:r w:rsidRPr="00820F66">
        <w:rPr>
          <w:rFonts w:ascii="Book Antiqua" w:hAnsi="Book Antiqua"/>
        </w:rPr>
        <w:t xml:space="preserve"> 2009; </w:t>
      </w:r>
      <w:r w:rsidRPr="00820F66">
        <w:rPr>
          <w:rFonts w:ascii="Book Antiqua" w:hAnsi="Book Antiqua"/>
          <w:b/>
        </w:rPr>
        <w:t>33</w:t>
      </w:r>
      <w:r w:rsidRPr="00820F66">
        <w:rPr>
          <w:rFonts w:ascii="Book Antiqua" w:hAnsi="Book Antiqua"/>
        </w:rPr>
        <w:t>: 590-593 [PMID: 19481391 DOI: 10.1016/j.gcb.2009.04.008]</w:t>
      </w:r>
    </w:p>
    <w:p w14:paraId="366A4999"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13 </w:t>
      </w:r>
      <w:r w:rsidRPr="00820F66">
        <w:rPr>
          <w:rFonts w:ascii="Book Antiqua" w:hAnsi="Book Antiqua"/>
          <w:b/>
        </w:rPr>
        <w:t>Liao SH</w:t>
      </w:r>
      <w:r w:rsidRPr="00820F66">
        <w:rPr>
          <w:rFonts w:ascii="Book Antiqua" w:hAnsi="Book Antiqua"/>
        </w:rPr>
        <w:t xml:space="preserve">, Su TH, Jeng YM, Liang PC, Chen DS, Chen CH, Kao JH. Clinical Manifestations and Outcomes of Patients with Sarcomatoid Hepatocellular Carcinoma. </w:t>
      </w:r>
      <w:r w:rsidRPr="00820F66">
        <w:rPr>
          <w:rFonts w:ascii="Book Antiqua" w:hAnsi="Book Antiqua"/>
          <w:i/>
        </w:rPr>
        <w:t>Hepatology</w:t>
      </w:r>
      <w:r w:rsidRPr="00820F66">
        <w:rPr>
          <w:rFonts w:ascii="Book Antiqua" w:hAnsi="Book Antiqua"/>
        </w:rPr>
        <w:t xml:space="preserve"> 2019; </w:t>
      </w:r>
      <w:r w:rsidRPr="00820F66">
        <w:rPr>
          <w:rFonts w:ascii="Book Antiqua" w:hAnsi="Book Antiqua"/>
          <w:b/>
        </w:rPr>
        <w:t>69</w:t>
      </w:r>
      <w:r w:rsidRPr="00820F66">
        <w:rPr>
          <w:rFonts w:ascii="Book Antiqua" w:hAnsi="Book Antiqua"/>
        </w:rPr>
        <w:t>: 209-221 [PMID: 30014620 DOI: 10.1002/hep.30162]</w:t>
      </w:r>
    </w:p>
    <w:p w14:paraId="2696350C"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14 </w:t>
      </w:r>
      <w:r w:rsidRPr="00820F66">
        <w:rPr>
          <w:rFonts w:ascii="Book Antiqua" w:hAnsi="Book Antiqua"/>
          <w:b/>
        </w:rPr>
        <w:t>Koo HR</w:t>
      </w:r>
      <w:r w:rsidRPr="00820F66">
        <w:rPr>
          <w:rFonts w:ascii="Book Antiqua" w:hAnsi="Book Antiqua"/>
        </w:rPr>
        <w:t xml:space="preserve">, Park MS, Kim MJ, Lim JS, Yu JS, Jin H, Kim KW. Radiological and clinical features of sarcomatoid hepatocellular carcinoma in 11 cases. </w:t>
      </w:r>
      <w:r w:rsidRPr="00820F66">
        <w:rPr>
          <w:rFonts w:ascii="Book Antiqua" w:hAnsi="Book Antiqua"/>
          <w:i/>
        </w:rPr>
        <w:t>J Comput Assist Tomogr</w:t>
      </w:r>
      <w:r w:rsidRPr="00820F66">
        <w:rPr>
          <w:rFonts w:ascii="Book Antiqua" w:hAnsi="Book Antiqua"/>
        </w:rPr>
        <w:t xml:space="preserve"> 2008; </w:t>
      </w:r>
      <w:r w:rsidRPr="00820F66">
        <w:rPr>
          <w:rFonts w:ascii="Book Antiqua" w:hAnsi="Book Antiqua"/>
          <w:b/>
        </w:rPr>
        <w:t>32</w:t>
      </w:r>
      <w:r w:rsidRPr="00820F66">
        <w:rPr>
          <w:rFonts w:ascii="Book Antiqua" w:hAnsi="Book Antiqua"/>
        </w:rPr>
        <w:t>: 745-749 [PMID: 18830104 DOI: 10.1097/RCT.0b013e3181591ccd]</w:t>
      </w:r>
    </w:p>
    <w:p w14:paraId="6B7DC541"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15 </w:t>
      </w:r>
      <w:r w:rsidRPr="00820F66">
        <w:rPr>
          <w:rFonts w:ascii="Book Antiqua" w:hAnsi="Book Antiqua"/>
          <w:b/>
        </w:rPr>
        <w:t>Kim DG</w:t>
      </w:r>
      <w:r w:rsidRPr="00820F66">
        <w:rPr>
          <w:rFonts w:ascii="Book Antiqua" w:hAnsi="Book Antiqua"/>
        </w:rPr>
        <w:t xml:space="preserve">, Park SY, Kim H, Chun YH, Moon WS, Park SH. A comprehensive karyotypic analysis on a newly established sarcomatoid hepatocellular carcinoma cell line SH-J1 by comparative genomic hybridization and chromosome painting. </w:t>
      </w:r>
      <w:r w:rsidRPr="00820F66">
        <w:rPr>
          <w:rFonts w:ascii="Book Antiqua" w:hAnsi="Book Antiqua"/>
          <w:i/>
        </w:rPr>
        <w:t>Cancer Genet Cytogenet</w:t>
      </w:r>
      <w:r w:rsidRPr="00820F66">
        <w:rPr>
          <w:rFonts w:ascii="Book Antiqua" w:hAnsi="Book Antiqua"/>
        </w:rPr>
        <w:t xml:space="preserve"> 2002; </w:t>
      </w:r>
      <w:r w:rsidRPr="00820F66">
        <w:rPr>
          <w:rFonts w:ascii="Book Antiqua" w:hAnsi="Book Antiqua"/>
          <w:b/>
        </w:rPr>
        <w:t>132</w:t>
      </w:r>
      <w:r w:rsidRPr="00820F66">
        <w:rPr>
          <w:rFonts w:ascii="Book Antiqua" w:hAnsi="Book Antiqua"/>
        </w:rPr>
        <w:t>: 120-124 [PMID: 11850072 DOI: 10.1016/s0165-4608(01)00543-x]</w:t>
      </w:r>
    </w:p>
    <w:p w14:paraId="53053BC8"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16 </w:t>
      </w:r>
      <w:r w:rsidRPr="00820F66">
        <w:rPr>
          <w:rFonts w:ascii="Book Antiqua" w:hAnsi="Book Antiqua"/>
          <w:b/>
        </w:rPr>
        <w:t>Seok JY</w:t>
      </w:r>
      <w:r w:rsidRPr="00820F66">
        <w:rPr>
          <w:rFonts w:ascii="Book Antiqua" w:hAnsi="Book Antiqua"/>
        </w:rPr>
        <w:t xml:space="preserve">, Kim YB. [Sarcomatoid hepatocellular carcinoma]. </w:t>
      </w:r>
      <w:r w:rsidRPr="00820F66">
        <w:rPr>
          <w:rFonts w:ascii="Book Antiqua" w:hAnsi="Book Antiqua"/>
          <w:i/>
        </w:rPr>
        <w:t>Korean J Hepatol</w:t>
      </w:r>
      <w:r w:rsidRPr="00820F66">
        <w:rPr>
          <w:rFonts w:ascii="Book Antiqua" w:hAnsi="Book Antiqua"/>
        </w:rPr>
        <w:t xml:space="preserve"> 2010; </w:t>
      </w:r>
      <w:r w:rsidRPr="00820F66">
        <w:rPr>
          <w:rFonts w:ascii="Book Antiqua" w:hAnsi="Book Antiqua"/>
          <w:b/>
        </w:rPr>
        <w:t>16</w:t>
      </w:r>
      <w:r w:rsidRPr="00820F66">
        <w:rPr>
          <w:rFonts w:ascii="Book Antiqua" w:hAnsi="Book Antiqua"/>
        </w:rPr>
        <w:t>: 89-94 [PMID: 20375648 DOI: 10.3350/kjhep.2010.16.1.89]</w:t>
      </w:r>
    </w:p>
    <w:p w14:paraId="0AD35A86"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17 </w:t>
      </w:r>
      <w:r w:rsidRPr="00820F66">
        <w:rPr>
          <w:rFonts w:ascii="Book Antiqua" w:hAnsi="Book Antiqua"/>
          <w:b/>
        </w:rPr>
        <w:t>Wang QB</w:t>
      </w:r>
      <w:r w:rsidRPr="00820F66">
        <w:rPr>
          <w:rFonts w:ascii="Book Antiqua" w:hAnsi="Book Antiqua"/>
        </w:rPr>
        <w:t xml:space="preserve">, Cui BK, Weng JM, Wu QL, Qiu JL, Lin XJ. Clinicopathological characteristics and outcome of primary sarcomatoid carcinoma and carcinosarcoma of the liver. </w:t>
      </w:r>
      <w:r w:rsidRPr="00820F66">
        <w:rPr>
          <w:rFonts w:ascii="Book Antiqua" w:hAnsi="Book Antiqua"/>
          <w:i/>
        </w:rPr>
        <w:t>J Gastrointest Surg</w:t>
      </w:r>
      <w:r w:rsidRPr="00820F66">
        <w:rPr>
          <w:rFonts w:ascii="Book Antiqua" w:hAnsi="Book Antiqua"/>
        </w:rPr>
        <w:t xml:space="preserve"> 2012; </w:t>
      </w:r>
      <w:r w:rsidRPr="00820F66">
        <w:rPr>
          <w:rFonts w:ascii="Book Antiqua" w:hAnsi="Book Antiqua"/>
          <w:b/>
        </w:rPr>
        <w:t>16</w:t>
      </w:r>
      <w:r w:rsidRPr="00820F66">
        <w:rPr>
          <w:rFonts w:ascii="Book Antiqua" w:hAnsi="Book Antiqua"/>
        </w:rPr>
        <w:t>: 1715-1726 [PMID: 22767081 DOI: 10.1007/s11605-012-1946-y]</w:t>
      </w:r>
    </w:p>
    <w:p w14:paraId="69448B9D"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18 </w:t>
      </w:r>
      <w:r w:rsidRPr="00820F66">
        <w:rPr>
          <w:rFonts w:ascii="Book Antiqua" w:hAnsi="Book Antiqua"/>
          <w:b/>
        </w:rPr>
        <w:t>Llovet JM</w:t>
      </w:r>
      <w:r w:rsidRPr="00820F66">
        <w:rPr>
          <w:rFonts w:ascii="Book Antiqua" w:hAnsi="Book Antiqua"/>
        </w:rPr>
        <w:t xml:space="preserve">, Fuster J, Bruix J. Intention-to-treat analysis of surgical treatment for early hepatocellular carcinoma: resection versus transplantation. </w:t>
      </w:r>
      <w:r w:rsidRPr="00820F66">
        <w:rPr>
          <w:rFonts w:ascii="Book Antiqua" w:hAnsi="Book Antiqua"/>
          <w:i/>
        </w:rPr>
        <w:t>Hepatology</w:t>
      </w:r>
      <w:r w:rsidRPr="00820F66">
        <w:rPr>
          <w:rFonts w:ascii="Book Antiqua" w:hAnsi="Book Antiqua"/>
        </w:rPr>
        <w:t xml:space="preserve"> 1999; </w:t>
      </w:r>
      <w:r w:rsidRPr="00820F66">
        <w:rPr>
          <w:rFonts w:ascii="Book Antiqua" w:hAnsi="Book Antiqua"/>
          <w:b/>
        </w:rPr>
        <w:t>30</w:t>
      </w:r>
      <w:r w:rsidRPr="00820F66">
        <w:rPr>
          <w:rFonts w:ascii="Book Antiqua" w:hAnsi="Book Antiqua"/>
        </w:rPr>
        <w:t>: 1434-1440 [PMID: 10573522 DOI: 10.1002/hep.510300629]</w:t>
      </w:r>
    </w:p>
    <w:p w14:paraId="05ACE413"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19 </w:t>
      </w:r>
      <w:r w:rsidRPr="00820F66">
        <w:rPr>
          <w:rFonts w:ascii="Book Antiqua" w:hAnsi="Book Antiqua"/>
          <w:b/>
        </w:rPr>
        <w:t>Pompili M</w:t>
      </w:r>
      <w:r w:rsidRPr="00820F66">
        <w:rPr>
          <w:rFonts w:ascii="Book Antiqua" w:hAnsi="Book Antiqua"/>
        </w:rPr>
        <w:t xml:space="preserve">, Saviano A, de Matthaeis N, Cucchetti A, Ardito F, Federico B, Brunello F, Pinna AD, Giorgio A, Giulini SM, De Sio I, Torzilli G, Fornari F, Capussotti L, Guglielmi A, Piscaglia F, Aldrighetti L, Caturelli E, Calise F, Nuzzo G, Rapaccini GL, Giuliante F. Long-term effectiveness of resection and radiofrequency ablation for single hepatocellular carcinoma ≤3 cm. Results of a multicenter Italian survey. </w:t>
      </w:r>
      <w:r w:rsidRPr="00820F66">
        <w:rPr>
          <w:rFonts w:ascii="Book Antiqua" w:hAnsi="Book Antiqua"/>
          <w:i/>
        </w:rPr>
        <w:t>J Hepatol</w:t>
      </w:r>
      <w:r w:rsidRPr="00820F66">
        <w:rPr>
          <w:rFonts w:ascii="Book Antiqua" w:hAnsi="Book Antiqua"/>
        </w:rPr>
        <w:t xml:space="preserve"> 2013; </w:t>
      </w:r>
      <w:r w:rsidRPr="00820F66">
        <w:rPr>
          <w:rFonts w:ascii="Book Antiqua" w:hAnsi="Book Antiqua"/>
          <w:b/>
        </w:rPr>
        <w:t>59</w:t>
      </w:r>
      <w:r w:rsidRPr="00820F66">
        <w:rPr>
          <w:rFonts w:ascii="Book Antiqua" w:hAnsi="Book Antiqua"/>
        </w:rPr>
        <w:t>: 89-97 [PMID: 23523578 DOI: 10.1016/j.jhep.2013.03.009]</w:t>
      </w:r>
    </w:p>
    <w:p w14:paraId="54B65ECE"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20 </w:t>
      </w:r>
      <w:r w:rsidRPr="00820F66">
        <w:rPr>
          <w:rFonts w:ascii="Book Antiqua" w:hAnsi="Book Antiqua"/>
          <w:b/>
        </w:rPr>
        <w:t>Liu C</w:t>
      </w:r>
      <w:r w:rsidRPr="00820F66">
        <w:rPr>
          <w:rFonts w:ascii="Book Antiqua" w:hAnsi="Book Antiqua"/>
        </w:rPr>
        <w:t xml:space="preserve">, Xiao GQ, Yan LN, Li B, Jiang L, Wen TF, Wang WT, Xu MQ, Yang JY. Value of α-fetoprotein in association with clinicopathological features of hepatocellular carcinoma. </w:t>
      </w:r>
      <w:r w:rsidRPr="00820F66">
        <w:rPr>
          <w:rFonts w:ascii="Book Antiqua" w:hAnsi="Book Antiqua"/>
          <w:i/>
        </w:rPr>
        <w:t>World J Gastroenterol</w:t>
      </w:r>
      <w:r w:rsidRPr="00820F66">
        <w:rPr>
          <w:rFonts w:ascii="Book Antiqua" w:hAnsi="Book Antiqua"/>
        </w:rPr>
        <w:t xml:space="preserve"> 2013; </w:t>
      </w:r>
      <w:r w:rsidRPr="00820F66">
        <w:rPr>
          <w:rFonts w:ascii="Book Antiqua" w:hAnsi="Book Antiqua"/>
          <w:b/>
        </w:rPr>
        <w:t>19</w:t>
      </w:r>
      <w:r w:rsidRPr="00820F66">
        <w:rPr>
          <w:rFonts w:ascii="Book Antiqua" w:hAnsi="Book Antiqua"/>
        </w:rPr>
        <w:t>: 1811-1819 [PMID: 23555170 DOI: 10.3748/wjg.v19.i11.1811]</w:t>
      </w:r>
    </w:p>
    <w:p w14:paraId="735FDDA0"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21 </w:t>
      </w:r>
      <w:r w:rsidRPr="00820F66">
        <w:rPr>
          <w:rFonts w:ascii="Book Antiqua" w:hAnsi="Book Antiqua"/>
          <w:b/>
        </w:rPr>
        <w:t>Huang W</w:t>
      </w:r>
      <w:r w:rsidRPr="00820F66">
        <w:rPr>
          <w:rFonts w:ascii="Book Antiqua" w:hAnsi="Book Antiqua"/>
        </w:rPr>
        <w:t xml:space="preserve">, Wang F, Li Y, Duan F, Yu Z. Leukemoid reaction in sarcomatoid renal cell carcinoma: a two-case report. </w:t>
      </w:r>
      <w:r w:rsidRPr="00820F66">
        <w:rPr>
          <w:rFonts w:ascii="Book Antiqua" w:hAnsi="Book Antiqua"/>
          <w:i/>
        </w:rPr>
        <w:t>World J Surg Oncol</w:t>
      </w:r>
      <w:r w:rsidRPr="00820F66">
        <w:rPr>
          <w:rFonts w:ascii="Book Antiqua" w:hAnsi="Book Antiqua"/>
        </w:rPr>
        <w:t xml:space="preserve"> 2014; </w:t>
      </w:r>
      <w:r w:rsidRPr="00820F66">
        <w:rPr>
          <w:rFonts w:ascii="Book Antiqua" w:hAnsi="Book Antiqua"/>
          <w:b/>
        </w:rPr>
        <w:t>12</w:t>
      </w:r>
      <w:r w:rsidRPr="00820F66">
        <w:rPr>
          <w:rFonts w:ascii="Book Antiqua" w:hAnsi="Book Antiqua"/>
        </w:rPr>
        <w:t>: 100 [PMID: 24745762 DOI: 10.1186/1477-7819-12-100]</w:t>
      </w:r>
    </w:p>
    <w:p w14:paraId="3FC62655"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22 </w:t>
      </w:r>
      <w:r w:rsidRPr="00820F66">
        <w:rPr>
          <w:rFonts w:ascii="Book Antiqua" w:hAnsi="Book Antiqua"/>
          <w:b/>
        </w:rPr>
        <w:t>Wang D</w:t>
      </w:r>
      <w:r w:rsidRPr="00820F66">
        <w:rPr>
          <w:rFonts w:ascii="Book Antiqua" w:hAnsi="Book Antiqua"/>
        </w:rPr>
        <w:t xml:space="preserve">, Zhang H, Yu F, Fang B. Extreme leukocytosis and leukemoid reaction associated with the lung sarcomatoid carcinoma: an unusual case report. </w:t>
      </w:r>
      <w:r w:rsidRPr="00820F66">
        <w:rPr>
          <w:rFonts w:ascii="Book Antiqua" w:hAnsi="Book Antiqua"/>
          <w:i/>
        </w:rPr>
        <w:t>Int J Gen Med</w:t>
      </w:r>
      <w:r w:rsidRPr="00820F66">
        <w:rPr>
          <w:rFonts w:ascii="Book Antiqua" w:hAnsi="Book Antiqua"/>
        </w:rPr>
        <w:t xml:space="preserve"> 2016; </w:t>
      </w:r>
      <w:r w:rsidRPr="00820F66">
        <w:rPr>
          <w:rFonts w:ascii="Book Antiqua" w:hAnsi="Book Antiqua"/>
          <w:b/>
        </w:rPr>
        <w:t>10</w:t>
      </w:r>
      <w:r w:rsidRPr="00820F66">
        <w:rPr>
          <w:rFonts w:ascii="Book Antiqua" w:hAnsi="Book Antiqua"/>
        </w:rPr>
        <w:t>: 7-9 [PMID: 28096688 DOI: 10.2147/IJGM.S102524]</w:t>
      </w:r>
    </w:p>
    <w:p w14:paraId="2FB9513D"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23 </w:t>
      </w:r>
      <w:r w:rsidRPr="00820F66">
        <w:rPr>
          <w:rFonts w:ascii="Book Antiqua" w:hAnsi="Book Antiqua"/>
          <w:b/>
        </w:rPr>
        <w:t>Levi Sandri GB</w:t>
      </w:r>
      <w:r w:rsidRPr="00820F66">
        <w:rPr>
          <w:rFonts w:ascii="Book Antiqua" w:hAnsi="Book Antiqua"/>
        </w:rPr>
        <w:t xml:space="preserve">, Ettorre GM, Colasanti M, De Werra E, Mascianà G, Ferraro D, Tortorelli G, Sciuto R, Lucatelli P, Pizzi G, Visco-Comandini U, Vennarecci G. Hepatocellular carcinoma with macrovascular invasion treated with yttrium-90 radioembolization prior to transplantation. </w:t>
      </w:r>
      <w:r w:rsidRPr="00820F66">
        <w:rPr>
          <w:rFonts w:ascii="Book Antiqua" w:hAnsi="Book Antiqua"/>
          <w:i/>
        </w:rPr>
        <w:t>Hepatobiliary Surg Nutr</w:t>
      </w:r>
      <w:r w:rsidRPr="00820F66">
        <w:rPr>
          <w:rFonts w:ascii="Book Antiqua" w:hAnsi="Book Antiqua"/>
        </w:rPr>
        <w:t xml:space="preserve"> 2017; </w:t>
      </w:r>
      <w:r w:rsidRPr="00820F66">
        <w:rPr>
          <w:rFonts w:ascii="Book Antiqua" w:hAnsi="Book Antiqua"/>
          <w:b/>
        </w:rPr>
        <w:t>6</w:t>
      </w:r>
      <w:r w:rsidRPr="00820F66">
        <w:rPr>
          <w:rFonts w:ascii="Book Antiqua" w:hAnsi="Book Antiqua"/>
        </w:rPr>
        <w:t>: 44-48 [PMID: 28261594 DOI: 10.21037/hbsn.2017.01.08]</w:t>
      </w:r>
    </w:p>
    <w:p w14:paraId="736E5A23" w14:textId="77777777" w:rsidR="00A43D45" w:rsidRPr="00820F66" w:rsidRDefault="00A43D45" w:rsidP="00A43D45">
      <w:pPr>
        <w:spacing w:line="360" w:lineRule="auto"/>
        <w:jc w:val="both"/>
        <w:rPr>
          <w:rFonts w:ascii="Book Antiqua" w:hAnsi="Book Antiqua"/>
        </w:rPr>
      </w:pPr>
      <w:r w:rsidRPr="00820F66">
        <w:rPr>
          <w:rFonts w:ascii="Book Antiqua" w:hAnsi="Book Antiqua"/>
        </w:rPr>
        <w:t xml:space="preserve">24 </w:t>
      </w:r>
      <w:r w:rsidRPr="00820F66">
        <w:rPr>
          <w:rFonts w:ascii="Book Antiqua" w:hAnsi="Book Antiqua"/>
          <w:b/>
        </w:rPr>
        <w:t>Wang K</w:t>
      </w:r>
      <w:r w:rsidRPr="00820F66">
        <w:rPr>
          <w:rFonts w:ascii="Book Antiqua" w:hAnsi="Book Antiqua"/>
        </w:rPr>
        <w:t xml:space="preserve">, Zhang H, Xia Y, Liu J, Shen F. Surgical options for intrahepatic cholangiocarcinoma. </w:t>
      </w:r>
      <w:r w:rsidRPr="00820F66">
        <w:rPr>
          <w:rFonts w:ascii="Book Antiqua" w:hAnsi="Book Antiqua"/>
          <w:i/>
        </w:rPr>
        <w:t>Hepatobiliary Surg Nutr</w:t>
      </w:r>
      <w:r w:rsidRPr="00820F66">
        <w:rPr>
          <w:rFonts w:ascii="Book Antiqua" w:hAnsi="Book Antiqua"/>
        </w:rPr>
        <w:t xml:space="preserve"> 2017; </w:t>
      </w:r>
      <w:r w:rsidRPr="00820F66">
        <w:rPr>
          <w:rFonts w:ascii="Book Antiqua" w:hAnsi="Book Antiqua"/>
          <w:b/>
        </w:rPr>
        <w:t>6</w:t>
      </w:r>
      <w:r w:rsidRPr="00820F66">
        <w:rPr>
          <w:rFonts w:ascii="Book Antiqua" w:hAnsi="Book Antiqua"/>
        </w:rPr>
        <w:t>: 79-90 [PMID: 28503555 DOI: 10.21037/hbsn.2017.01.06]</w:t>
      </w:r>
    </w:p>
    <w:p w14:paraId="4A3A8E56" w14:textId="5BA55971" w:rsidR="003C7EAC" w:rsidRPr="00820F66" w:rsidRDefault="003C7EAC" w:rsidP="00A43D45">
      <w:pPr>
        <w:spacing w:line="360" w:lineRule="auto"/>
        <w:jc w:val="both"/>
        <w:rPr>
          <w:rFonts w:ascii="Book Antiqua" w:eastAsia="等线" w:hAnsi="Book Antiqua"/>
        </w:rPr>
      </w:pPr>
    </w:p>
    <w:p w14:paraId="6E625C84" w14:textId="37964F19" w:rsidR="003157C4" w:rsidRPr="00820F66" w:rsidRDefault="003157C4" w:rsidP="00A43D45">
      <w:pPr>
        <w:pStyle w:val="aff1"/>
        <w:suppressAutoHyphens/>
        <w:spacing w:after="0" w:line="360" w:lineRule="auto"/>
        <w:ind w:left="360" w:right="230" w:firstLine="482"/>
        <w:jc w:val="both"/>
        <w:rPr>
          <w:rFonts w:ascii="Book Antiqua" w:hAnsi="Book Antiqua" w:cs="Mangal"/>
          <w:b/>
          <w:bCs/>
          <w:sz w:val="24"/>
          <w:szCs w:val="24"/>
          <w:lang w:val="it-IT" w:bidi="hi-IN"/>
        </w:rPr>
      </w:pPr>
      <w:r w:rsidRPr="00820F66">
        <w:rPr>
          <w:rFonts w:ascii="Book Antiqua" w:eastAsia="Lucida Sans Unicode" w:hAnsi="Book Antiqua" w:cs="Arial"/>
          <w:b/>
          <w:noProof/>
          <w:sz w:val="24"/>
          <w:szCs w:val="24"/>
          <w:lang w:val="it-IT" w:eastAsia="hi-IN" w:bidi="hi-IN"/>
        </w:rPr>
        <w:t>P-Reviewer</w:t>
      </w:r>
      <w:r w:rsidRPr="00820F66">
        <w:rPr>
          <w:rFonts w:ascii="Book Antiqua" w:hAnsi="Book Antiqua" w:cs="Arial"/>
          <w:b/>
          <w:noProof/>
          <w:sz w:val="24"/>
          <w:szCs w:val="24"/>
          <w:lang w:val="it-IT" w:bidi="hi-IN"/>
        </w:rPr>
        <w:t>:</w:t>
      </w:r>
      <w:r w:rsidRPr="00820F66">
        <w:rPr>
          <w:rFonts w:ascii="Book Antiqua" w:hAnsi="Book Antiqua"/>
          <w:sz w:val="24"/>
          <w:szCs w:val="24"/>
        </w:rPr>
        <w:t xml:space="preserve"> </w:t>
      </w:r>
      <w:r w:rsidR="00A43D45" w:rsidRPr="00820F66">
        <w:rPr>
          <w:rFonts w:ascii="Book Antiqua" w:hAnsi="Book Antiqua"/>
          <w:sz w:val="24"/>
          <w:szCs w:val="24"/>
        </w:rPr>
        <w:t>Kozarek R, Labusca L, Xavier-Elsas P</w:t>
      </w:r>
      <w:r w:rsidRPr="00820F66">
        <w:rPr>
          <w:rFonts w:ascii="Book Antiqua" w:hAnsi="Book Antiqua" w:cs="Mangal"/>
          <w:bCs/>
          <w:sz w:val="24"/>
          <w:szCs w:val="24"/>
          <w:lang w:val="it-IT" w:bidi="hi-IN"/>
        </w:rPr>
        <w:t xml:space="preserve"> </w:t>
      </w:r>
      <w:r w:rsidRPr="00820F66">
        <w:rPr>
          <w:rFonts w:ascii="Book Antiqua" w:eastAsia="Lucida Sans Unicode" w:hAnsi="Book Antiqua" w:cs="Mangal"/>
          <w:b/>
          <w:bCs/>
          <w:sz w:val="24"/>
          <w:szCs w:val="24"/>
          <w:lang w:val="it-IT" w:eastAsia="hi-IN" w:bidi="hi-IN"/>
        </w:rPr>
        <w:t>S-Editor</w:t>
      </w:r>
      <w:r w:rsidRPr="00820F66">
        <w:rPr>
          <w:rFonts w:ascii="Book Antiqua" w:hAnsi="Book Antiqua" w:cs="Mangal"/>
          <w:b/>
          <w:bCs/>
          <w:sz w:val="24"/>
          <w:szCs w:val="24"/>
          <w:lang w:val="it-IT" w:bidi="hi-IN"/>
        </w:rPr>
        <w:t>:</w:t>
      </w:r>
      <w:r w:rsidRPr="00820F66">
        <w:rPr>
          <w:rFonts w:ascii="Book Antiqua" w:eastAsia="Lucida Sans Unicode" w:hAnsi="Book Antiqua" w:cs="Mangal"/>
          <w:bCs/>
          <w:sz w:val="24"/>
          <w:szCs w:val="24"/>
          <w:lang w:val="it-IT" w:eastAsia="hi-IN" w:bidi="hi-IN"/>
        </w:rPr>
        <w:t xml:space="preserve"> </w:t>
      </w:r>
      <w:r w:rsidRPr="00820F66">
        <w:rPr>
          <w:rFonts w:ascii="Book Antiqua" w:hAnsi="Book Antiqua" w:cs="Mangal"/>
          <w:bCs/>
          <w:sz w:val="24"/>
          <w:szCs w:val="24"/>
          <w:lang w:val="it-IT" w:bidi="hi-IN"/>
        </w:rPr>
        <w:t>Dou Y</w:t>
      </w:r>
      <w:r w:rsidRPr="00820F66">
        <w:rPr>
          <w:rFonts w:ascii="Book Antiqua" w:eastAsia="Lucida Sans Unicode" w:hAnsi="Book Antiqua" w:cs="Mangal"/>
          <w:b/>
          <w:bCs/>
          <w:sz w:val="24"/>
          <w:szCs w:val="24"/>
          <w:lang w:val="it-IT" w:eastAsia="hi-IN" w:bidi="hi-IN"/>
        </w:rPr>
        <w:t xml:space="preserve"> L-Editor</w:t>
      </w:r>
      <w:r w:rsidRPr="00820F66">
        <w:rPr>
          <w:rFonts w:ascii="Book Antiqua" w:hAnsi="Book Antiqua" w:cs="Mangal"/>
          <w:b/>
          <w:bCs/>
          <w:sz w:val="24"/>
          <w:szCs w:val="24"/>
          <w:lang w:val="it-IT" w:bidi="hi-IN"/>
        </w:rPr>
        <w:t>:</w:t>
      </w:r>
      <w:r w:rsidRPr="00820F66">
        <w:rPr>
          <w:rFonts w:ascii="Book Antiqua" w:eastAsia="Lucida Sans Unicode" w:hAnsi="Book Antiqua" w:cs="Mangal"/>
          <w:b/>
          <w:bCs/>
          <w:sz w:val="24"/>
          <w:szCs w:val="24"/>
          <w:lang w:val="it-IT" w:eastAsia="hi-IN" w:bidi="hi-IN"/>
        </w:rPr>
        <w:t xml:space="preserve"> </w:t>
      </w:r>
      <w:r w:rsidR="00B11A33" w:rsidRPr="00820F66">
        <w:rPr>
          <w:rFonts w:ascii="Book Antiqua" w:eastAsia="Lucida Sans Unicode" w:hAnsi="Book Antiqua" w:cs="Mangal"/>
          <w:bCs/>
          <w:sz w:val="24"/>
          <w:szCs w:val="24"/>
          <w:lang w:val="it-IT" w:eastAsia="hi-IN" w:bidi="hi-IN"/>
        </w:rPr>
        <w:t>Wang TQ</w:t>
      </w:r>
      <w:r w:rsidR="00B11A33" w:rsidRPr="00820F66">
        <w:rPr>
          <w:rFonts w:ascii="Book Antiqua" w:eastAsia="Lucida Sans Unicode" w:hAnsi="Book Antiqua" w:cs="Mangal"/>
          <w:b/>
          <w:bCs/>
          <w:sz w:val="24"/>
          <w:szCs w:val="24"/>
          <w:lang w:val="it-IT" w:eastAsia="hi-IN" w:bidi="hi-IN"/>
        </w:rPr>
        <w:t xml:space="preserve"> </w:t>
      </w:r>
      <w:r w:rsidRPr="00820F66">
        <w:rPr>
          <w:rFonts w:ascii="Book Antiqua" w:eastAsia="Lucida Sans Unicode" w:hAnsi="Book Antiqua" w:cs="Mangal"/>
          <w:b/>
          <w:bCs/>
          <w:sz w:val="24"/>
          <w:szCs w:val="24"/>
          <w:lang w:val="it-IT" w:eastAsia="hi-IN" w:bidi="hi-IN"/>
        </w:rPr>
        <w:t>E-Editor</w:t>
      </w:r>
      <w:r w:rsidRPr="00820F66">
        <w:rPr>
          <w:rFonts w:ascii="Book Antiqua" w:hAnsi="Book Antiqua" w:cs="Mangal"/>
          <w:b/>
          <w:bCs/>
          <w:sz w:val="24"/>
          <w:szCs w:val="24"/>
          <w:lang w:val="it-IT" w:bidi="hi-IN"/>
        </w:rPr>
        <w:t>:</w:t>
      </w:r>
      <w:r w:rsidR="00820F66" w:rsidRPr="00820F66">
        <w:t xml:space="preserve"> </w:t>
      </w:r>
      <w:r w:rsidR="00820F66" w:rsidRPr="00820F66">
        <w:rPr>
          <w:rFonts w:ascii="Book Antiqua" w:hAnsi="Book Antiqua" w:cs="Mangal"/>
          <w:bCs/>
          <w:sz w:val="24"/>
          <w:szCs w:val="24"/>
          <w:lang w:val="it-IT" w:bidi="hi-IN"/>
        </w:rPr>
        <w:t>Xing YX</w:t>
      </w:r>
    </w:p>
    <w:p w14:paraId="4E841ECD" w14:textId="77777777" w:rsidR="003157C4" w:rsidRPr="00820F66" w:rsidRDefault="003157C4" w:rsidP="00A43D45">
      <w:pPr>
        <w:pStyle w:val="aff1"/>
        <w:suppressAutoHyphens/>
        <w:spacing w:after="0" w:line="360" w:lineRule="auto"/>
        <w:ind w:left="360" w:right="120" w:firstLine="482"/>
        <w:jc w:val="both"/>
        <w:rPr>
          <w:rFonts w:ascii="Book Antiqua" w:hAnsi="Book Antiqua" w:cs="Mangal"/>
          <w:b/>
          <w:bCs/>
          <w:sz w:val="24"/>
          <w:szCs w:val="24"/>
          <w:lang w:val="it-IT" w:bidi="hi-IN"/>
        </w:rPr>
      </w:pPr>
    </w:p>
    <w:p w14:paraId="3D9E7910" w14:textId="77777777" w:rsidR="003157C4" w:rsidRPr="00820F66" w:rsidRDefault="003157C4" w:rsidP="00A43D45">
      <w:pPr>
        <w:shd w:val="clear" w:color="auto" w:fill="FFFFFF"/>
        <w:spacing w:line="360" w:lineRule="auto"/>
        <w:jc w:val="both"/>
        <w:rPr>
          <w:rFonts w:ascii="Book Antiqua" w:hAnsi="Book Antiqua" w:cs="Helvetica"/>
          <w:b/>
        </w:rPr>
      </w:pPr>
      <w:r w:rsidRPr="00820F66">
        <w:rPr>
          <w:rFonts w:ascii="Book Antiqua" w:hAnsi="Book Antiqua" w:cs="Helvetica"/>
          <w:b/>
        </w:rPr>
        <w:t xml:space="preserve">Specialty type: </w:t>
      </w:r>
      <w:r w:rsidRPr="00820F66">
        <w:rPr>
          <w:rFonts w:ascii="Book Antiqua" w:hAnsi="Book Antiqua" w:cs="宋体"/>
        </w:rPr>
        <w:t>Medicine, Research and Experimental</w:t>
      </w:r>
    </w:p>
    <w:p w14:paraId="03972572" w14:textId="6187B8E4" w:rsidR="003157C4" w:rsidRPr="00820F66" w:rsidRDefault="003157C4" w:rsidP="00A43D45">
      <w:pPr>
        <w:shd w:val="clear" w:color="auto" w:fill="FFFFFF"/>
        <w:spacing w:line="360" w:lineRule="auto"/>
        <w:jc w:val="both"/>
        <w:rPr>
          <w:rFonts w:ascii="Book Antiqua" w:hAnsi="Book Antiqua" w:cs="Helvetica"/>
          <w:b/>
        </w:rPr>
      </w:pPr>
      <w:r w:rsidRPr="00820F66">
        <w:rPr>
          <w:rFonts w:ascii="Book Antiqua" w:hAnsi="Book Antiqua" w:cs="Helvetica"/>
          <w:b/>
        </w:rPr>
        <w:t xml:space="preserve">Country of origin: </w:t>
      </w:r>
      <w:r w:rsidRPr="00820F66">
        <w:rPr>
          <w:rFonts w:ascii="Book Antiqua" w:hAnsi="Book Antiqua" w:cs="Helvetica"/>
        </w:rPr>
        <w:t>China</w:t>
      </w:r>
    </w:p>
    <w:p w14:paraId="58843697" w14:textId="77777777" w:rsidR="003157C4" w:rsidRPr="00820F66" w:rsidRDefault="003157C4" w:rsidP="00A43D45">
      <w:pPr>
        <w:shd w:val="clear" w:color="auto" w:fill="FFFFFF"/>
        <w:spacing w:line="360" w:lineRule="auto"/>
        <w:jc w:val="both"/>
        <w:rPr>
          <w:rFonts w:ascii="Book Antiqua" w:hAnsi="Book Antiqua" w:cs="Helvetica"/>
          <w:b/>
        </w:rPr>
      </w:pPr>
      <w:r w:rsidRPr="00820F66">
        <w:rPr>
          <w:rFonts w:ascii="Book Antiqua" w:hAnsi="Book Antiqua" w:cs="Helvetica"/>
          <w:b/>
        </w:rPr>
        <w:t>Peer-review report classification</w:t>
      </w:r>
    </w:p>
    <w:p w14:paraId="632F3730" w14:textId="77777777" w:rsidR="003157C4" w:rsidRPr="00820F66" w:rsidRDefault="003157C4" w:rsidP="00A43D45">
      <w:pPr>
        <w:shd w:val="clear" w:color="auto" w:fill="FFFFFF"/>
        <w:spacing w:line="360" w:lineRule="auto"/>
        <w:jc w:val="both"/>
        <w:rPr>
          <w:rFonts w:ascii="Book Antiqua" w:hAnsi="Book Antiqua" w:cs="Helvetica"/>
        </w:rPr>
      </w:pPr>
      <w:r w:rsidRPr="00820F66">
        <w:rPr>
          <w:rFonts w:ascii="Book Antiqua" w:hAnsi="Book Antiqua" w:cs="Helvetica"/>
        </w:rPr>
        <w:t>Grade A (Excellent): 0</w:t>
      </w:r>
    </w:p>
    <w:p w14:paraId="256521B4" w14:textId="178B8996" w:rsidR="003157C4" w:rsidRPr="00820F66" w:rsidRDefault="003157C4" w:rsidP="00A43D45">
      <w:pPr>
        <w:shd w:val="clear" w:color="auto" w:fill="FFFFFF"/>
        <w:spacing w:line="360" w:lineRule="auto"/>
        <w:jc w:val="both"/>
        <w:rPr>
          <w:rFonts w:ascii="Book Antiqua" w:hAnsi="Book Antiqua" w:cs="Helvetica"/>
        </w:rPr>
      </w:pPr>
      <w:r w:rsidRPr="00820F66">
        <w:rPr>
          <w:rFonts w:ascii="Book Antiqua" w:hAnsi="Book Antiqua" w:cs="Helvetica"/>
        </w:rPr>
        <w:t>Grade B (Very good): B</w:t>
      </w:r>
    </w:p>
    <w:p w14:paraId="33CAB422" w14:textId="711B5496" w:rsidR="003157C4" w:rsidRPr="00820F66" w:rsidRDefault="003157C4" w:rsidP="00A43D45">
      <w:pPr>
        <w:shd w:val="clear" w:color="auto" w:fill="FFFFFF"/>
        <w:spacing w:line="360" w:lineRule="auto"/>
        <w:jc w:val="both"/>
        <w:rPr>
          <w:rFonts w:ascii="Book Antiqua" w:hAnsi="Book Antiqua" w:cs="Helvetica"/>
        </w:rPr>
      </w:pPr>
      <w:r w:rsidRPr="00820F66">
        <w:rPr>
          <w:rFonts w:ascii="Book Antiqua" w:hAnsi="Book Antiqua" w:cs="Helvetica"/>
        </w:rPr>
        <w:t xml:space="preserve">Grade C (Good): </w:t>
      </w:r>
      <w:r w:rsidR="00A43D45" w:rsidRPr="00820F66">
        <w:rPr>
          <w:rFonts w:ascii="Book Antiqua" w:hAnsi="Book Antiqua" w:cs="Helvetica"/>
        </w:rPr>
        <w:t>C</w:t>
      </w:r>
    </w:p>
    <w:p w14:paraId="026D499B" w14:textId="33D273B7" w:rsidR="003157C4" w:rsidRPr="00820F66" w:rsidRDefault="003157C4" w:rsidP="00A43D45">
      <w:pPr>
        <w:shd w:val="clear" w:color="auto" w:fill="FFFFFF"/>
        <w:spacing w:line="360" w:lineRule="auto"/>
        <w:jc w:val="both"/>
        <w:rPr>
          <w:rFonts w:ascii="Book Antiqua" w:hAnsi="Book Antiqua" w:cs="Helvetica"/>
        </w:rPr>
      </w:pPr>
      <w:r w:rsidRPr="00820F66">
        <w:rPr>
          <w:rFonts w:ascii="Book Antiqua" w:hAnsi="Book Antiqua" w:cs="Helvetica"/>
        </w:rPr>
        <w:t xml:space="preserve">Grade D (Fair): </w:t>
      </w:r>
      <w:r w:rsidR="00A43D45" w:rsidRPr="00820F66">
        <w:rPr>
          <w:rFonts w:ascii="Book Antiqua" w:hAnsi="Book Antiqua" w:cs="Helvetica"/>
        </w:rPr>
        <w:t>D</w:t>
      </w:r>
    </w:p>
    <w:p w14:paraId="35AD7D33" w14:textId="77777777" w:rsidR="003157C4" w:rsidRPr="00820F66" w:rsidRDefault="003157C4" w:rsidP="00A43D45">
      <w:pPr>
        <w:shd w:val="clear" w:color="auto" w:fill="FFFFFF"/>
        <w:spacing w:line="360" w:lineRule="auto"/>
        <w:jc w:val="both"/>
        <w:rPr>
          <w:rFonts w:ascii="Book Antiqua" w:hAnsi="Book Antiqua" w:cs="Helvetica"/>
        </w:rPr>
      </w:pPr>
      <w:r w:rsidRPr="00820F66">
        <w:rPr>
          <w:rFonts w:ascii="Book Antiqua" w:hAnsi="Book Antiqua" w:cs="Helvetica"/>
        </w:rPr>
        <w:t>Grade E (Poor): 0</w:t>
      </w:r>
    </w:p>
    <w:p w14:paraId="7BC6A788" w14:textId="77777777" w:rsidR="00A43D45" w:rsidRPr="00820F66" w:rsidRDefault="00675A02" w:rsidP="00A43D45">
      <w:pPr>
        <w:spacing w:line="360" w:lineRule="auto"/>
        <w:ind w:left="360" w:hangingChars="150" w:hanging="360"/>
        <w:jc w:val="both"/>
        <w:rPr>
          <w:rFonts w:ascii="Book Antiqua" w:hAnsi="Book Antiqua"/>
        </w:rPr>
      </w:pPr>
      <w:r w:rsidRPr="00820F66">
        <w:rPr>
          <w:rFonts w:ascii="Book Antiqua" w:eastAsia="等线" w:hAnsi="Book Antiqua"/>
        </w:rPr>
        <w:br w:type="page"/>
      </w:r>
    </w:p>
    <w:p w14:paraId="0F160F76" w14:textId="3EFC7E7D" w:rsidR="00A43D45" w:rsidRPr="00820F66" w:rsidRDefault="001C55C1" w:rsidP="00A43D45">
      <w:pPr>
        <w:spacing w:line="360" w:lineRule="auto"/>
        <w:jc w:val="both"/>
        <w:rPr>
          <w:rFonts w:ascii="Book Antiqua" w:hAnsi="Book Antiqua"/>
        </w:rPr>
      </w:pPr>
      <w:r w:rsidRPr="00820F66">
        <w:rPr>
          <w:rFonts w:ascii="Book Antiqua" w:hAnsi="Book Antiqua"/>
          <w:noProof/>
        </w:rPr>
        <mc:AlternateContent>
          <mc:Choice Requires="wps">
            <w:drawing>
              <wp:anchor distT="0" distB="0" distL="114300" distR="114300" simplePos="0" relativeHeight="251661312" behindDoc="0" locked="0" layoutInCell="1" allowOverlap="1" wp14:anchorId="5316E435" wp14:editId="19261464">
                <wp:simplePos x="0" y="0"/>
                <wp:positionH relativeFrom="column">
                  <wp:posOffset>2045335</wp:posOffset>
                </wp:positionH>
                <wp:positionV relativeFrom="paragraph">
                  <wp:posOffset>1104900</wp:posOffset>
                </wp:positionV>
                <wp:extent cx="247650" cy="333375"/>
                <wp:effectExtent l="25400" t="0" r="31750" b="22225"/>
                <wp:wrapNone/>
                <wp:docPr id="3" name="文本框 3"/>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5763D8FD"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6E435" id="_x0000_t202" coordsize="21600,21600" o:spt="202" path="m,l,21600r21600,l21600,xe">
                <v:stroke joinstyle="miter"/>
                <v:path gradientshapeok="t" o:connecttype="rect"/>
              </v:shapetype>
              <v:shape id="文本框 3" o:spid="_x0000_s1026" type="#_x0000_t202" style="position:absolute;left:0;text-align:left;margin-left:161.05pt;margin-top:87pt;width:1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UMogIAAC0FAAAOAAAAZHJzL2Uyb0RvYy54bWysVM1uEzEQviPxDpbvdPPblqibKrQqQqra&#10;ihT17Hi9WUtej7Gd7JYHgDfgxIU7z5XnYMabpKH0hNiD1/Pj8TffzPjsvK0NWysfNNic9496nCkr&#10;odB2mfNP91dvTjkLUdhCGLAq548q8PPp61dnjZuoAVRgCuUZBrFh0ricVzG6SZYFWalahCNwyqKx&#10;BF+LiKJfZoUXDUavTTbo9Y6zBnzhPEgVAmovOyOfpvhlqWS8LcugIjM5R2wxrT6tC1qz6ZmYLL1w&#10;lZZbGOIfUNRCW7x0H+pSRMFWXv8VqtbSQ4AyHkmoMyhLLVXKAbPp955lM6+EUykXJCe4PU3h/4WV&#10;N+s7z3SR8yFnVtRYos33b5sfvzY/v7Ih0dO4MEGvuUO/2L6DFsu80wdUUtZt6Wv6Yz4M7Uj0455c&#10;1UYmUTkYnRyP0SLRNMTvZExRsqfDzof4XkHNaJNzj7VLlIr1dYid686F7gpgdHGljUkC9Yu6MJ6t&#10;BVbaxAQRg//hZSxrcn48RBh0yAId7yIbSxqVOgavIwFWUfl5VTRsYVb+o0COxr3THqZQaAK4F7Cd&#10;xqMefZwJs8Q5kNFz5iE+6FilIhIbL+BcLPtdisZVooOeWpKA7zJKHO2xJOkAZkbl6cpAu9gu2m3N&#10;FlA8YskQRSpIcPJKI7HXIsQ74bHJES0ObrzFpTSAxMB2x1kF/stLevLH3kMrZw0OTc7D55XwijPz&#10;wWJXvu2PRhg2JmE0Phmg4A8ti0OLXdUXgNXq4xPhZNqSfzS7bemhfsD5ntGtaBJW4t05j7vtRexG&#10;Gd8HqWaz5IRz5US8tnMnKTSxTm1z3z4I77a9FbEpb2A3XmLyrMU6XzppYbaKUOrUf0RwxypWgQSc&#10;yVSP7ftBQ38oJ6+nV276GwAA//8DAFBLAwQUAAYACAAAACEAQzmIUeEAAAALAQAADwAAAGRycy9k&#10;b3ducmV2LnhtbEyPzU7DMBCE70i8g7VI3KgTB9IqxKlQpQrRAxIB1KsbmyQ0XofY+eHtWU5w3JlP&#10;szP5drEdm8zgW4cS4lUEzGDldIu1hLfX/c0GmA8KteocGgnfxsO2uLzIVabdjC9mKkPNKAR9piQ0&#10;IfQZ575qjFV+5XqD5H24wapA51BzPaiZwm3HRRSl3KoW6UOjerNrTHUuRyvhuP88PHXr8vlrdy6n&#10;x/HdJofZSnl9tTzcAwtmCX8w/Nan6lBQp5MbUXvWSUiEiAklY31Lo4hI0piUkwQh0jvgRc7/byh+&#10;AAAA//8DAFBLAQItABQABgAIAAAAIQC2gziS/gAAAOEBAAATAAAAAAAAAAAAAAAAAAAAAABbQ29u&#10;dGVudF9UeXBlc10ueG1sUEsBAi0AFAAGAAgAAAAhADj9If/WAAAAlAEAAAsAAAAAAAAAAAAAAAAA&#10;LwEAAF9yZWxzLy5yZWxzUEsBAi0AFAAGAAgAAAAhAMPKdQyiAgAALQUAAA4AAAAAAAAAAAAAAAAA&#10;LgIAAGRycy9lMm9Eb2MueG1sUEsBAi0AFAAGAAgAAAAhAEM5iFHhAAAACwEAAA8AAAAAAAAAAAAA&#10;AAAA/AQAAGRycy9kb3ducmV2LnhtbFBLBQYAAAAABAAEAPMAAAAKBgAAAAA=&#10;" fillcolor="white [3201]" stroked="f" strokeweight=".5pt">
                <v:shadow on="t" color="white [3212]" opacity="0" offset="0,4pt"/>
                <v:textbox>
                  <w:txbxContent>
                    <w:p w14:paraId="5763D8FD"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B</w:t>
                      </w:r>
                    </w:p>
                  </w:txbxContent>
                </v:textbox>
              </v:shape>
            </w:pict>
          </mc:Fallback>
        </mc:AlternateContent>
      </w:r>
      <w:r w:rsidRPr="00820F66">
        <w:rPr>
          <w:rFonts w:ascii="Book Antiqua" w:hAnsi="Book Antiqua"/>
          <w:noProof/>
        </w:rPr>
        <mc:AlternateContent>
          <mc:Choice Requires="wps">
            <w:drawing>
              <wp:anchor distT="0" distB="0" distL="114300" distR="114300" simplePos="0" relativeHeight="251663360" behindDoc="0" locked="0" layoutInCell="1" allowOverlap="1" wp14:anchorId="4AC78274" wp14:editId="74035765">
                <wp:simplePos x="0" y="0"/>
                <wp:positionH relativeFrom="margin">
                  <wp:align>left</wp:align>
                </wp:positionH>
                <wp:positionV relativeFrom="paragraph">
                  <wp:posOffset>1076960</wp:posOffset>
                </wp:positionV>
                <wp:extent cx="247650" cy="333375"/>
                <wp:effectExtent l="38100" t="0" r="38100" b="47625"/>
                <wp:wrapNone/>
                <wp:docPr id="5" name="文本框 5"/>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0351B071"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78274" id="文本框 5" o:spid="_x0000_s1027" type="#_x0000_t202" style="position:absolute;left:0;text-align:left;margin-left:0;margin-top:84.8pt;width:19.5pt;height:26.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DCpQIAADQFAAAOAAAAZHJzL2Uyb0RvYy54bWysVM1uEzEQviPxDpbvdDdp0paomyq0KkKq&#10;2ooU9ex4vVlLXo+xneyWB4A34MSFO8/V52DGm6Sh9ITYg9fz4/E388349KxrDFsrHzTYgg8Ocs6U&#10;lVBquyz4p7vLNyechShsKQxYVfAHFfjZ9PWr09ZN1BBqMKXyDIPYMGldwesY3STLgqxVI8IBOGXR&#10;WIFvRETRL7PSixajNyYb5vlR1oIvnQepQkDtRW/k0xS/qpSMN1UVVGSm4IgtptWndUFrNj0Vk6UX&#10;rtZyA0P8A4pGaIuX7kJdiCjYyuu/QjVaeghQxQMJTQZVpaVKOWA2g/xZNvNaOJVyweIEtytT+H9h&#10;5fX61jNdFnzMmRUNUvT4/dvjj1+PP7+yMZWndWGCXnOHfrF7Bx3SvNUHVFLWXeUb+mM+DO1Y6Idd&#10;cVUXmUTlcHR8NEaLRNMhfscpevZ02PkQ3ytoGG0K7pG7VFKxvgoRgaDr1oXuCmB0eamNSQL1izo3&#10;nq0FMm1igogn/vAylrUFPzpEGHTIAh3vIxtLGpU6Bq8jAVZR+XldtmxhVv6joBrlJzmmUGoCuBOw&#10;ncajnD7OhFniHMjoOfMQ73WsE4lUjRdwLpaDPkXjatFDTy1JwLcZpcR3WJK0BzMjenoaaBe7RZfY&#10;3FG0gPIBmUMwiZfg5KXG+l6JEG+Fx15H0Di/8QaXygDWBzY7zmrwX17Skz+2IFo5a3F2Ch4+r4RX&#10;nJkPFpvz7WA0wrAxCaPx8RAFv29Z7FvsqjkHJG2AL4WTaUv+0Wy3lYfmHsd8RreiSViJdxc8brfn&#10;sZ9ofCakms2SE46XE/HKzp2k0FR86p677l54t2mxiL15DdspE5Nnndb70kkLs1WESqc2pDr3VUUy&#10;SMDRTLRsnhGa/X05eT09dtPfAAAA//8DAFBLAwQUAAYACAAAACEA089I0t4AAAAHAQAADwAAAGRy&#10;cy9kb3ducmV2LnhtbEyPzU7DMBCE70i8g7VI3KjTVAo0jVOhShWiByQCqFc3XpLQeB1i54e3ZzmV&#10;48ysZr7NtrNtxYi9bxwpWC4iEEilMw1VCt7f9ncPIHzQZHTrCBX8oIdtfn2V6dS4iV5xLEIluIR8&#10;qhXUIXSplL6s0Wq/cB0SZ5+utzqw7Ctpej1xuW1lHEWJtLohXqh1h7say3MxWAXH/dfhub0vXr53&#10;52J8Gj7s6jBZpW5v5scNiIBzuBzDHz6jQ85MJzeQ8aJVwI8EdpN1AoLj1ZqNk4I4jpcg80z+589/&#10;AQAA//8DAFBLAQItABQABgAIAAAAIQC2gziS/gAAAOEBAAATAAAAAAAAAAAAAAAAAAAAAABbQ29u&#10;dGVudF9UeXBlc10ueG1sUEsBAi0AFAAGAAgAAAAhADj9If/WAAAAlAEAAAsAAAAAAAAAAAAAAAAA&#10;LwEAAF9yZWxzLy5yZWxzUEsBAi0AFAAGAAgAAAAhAJYHkMKlAgAANAUAAA4AAAAAAAAAAAAAAAAA&#10;LgIAAGRycy9lMm9Eb2MueG1sUEsBAi0AFAAGAAgAAAAhANPPSNLeAAAABwEAAA8AAAAAAAAAAAAA&#10;AAAA/wQAAGRycy9kb3ducmV2LnhtbFBLBQYAAAAABAAEAPMAAAAKBgAAAAA=&#10;" fillcolor="white [3201]" stroked="f" strokeweight=".5pt">
                <v:shadow on="t" color="white [3212]" opacity="0" offset="0,4pt"/>
                <v:textbox>
                  <w:txbxContent>
                    <w:p w14:paraId="0351B071"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A</w:t>
                      </w:r>
                    </w:p>
                  </w:txbxContent>
                </v:textbox>
                <w10:wrap anchorx="margin"/>
              </v:shape>
            </w:pict>
          </mc:Fallback>
        </mc:AlternateContent>
      </w:r>
      <w:r w:rsidR="00A43D45" w:rsidRPr="00820F66">
        <w:rPr>
          <w:rFonts w:ascii="Book Antiqua" w:hAnsi="Book Antiqua"/>
          <w:noProof/>
        </w:rPr>
        <w:drawing>
          <wp:inline distT="0" distB="0" distL="0" distR="0" wp14:anchorId="736C1A62" wp14:editId="153D27CD">
            <wp:extent cx="2011716" cy="1434367"/>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613eb406b2aef4006f9cb263a154488.jpeg"/>
                    <pic:cNvPicPr/>
                  </pic:nvPicPr>
                  <pic:blipFill>
                    <a:blip r:embed="rId9">
                      <a:extLst>
                        <a:ext uri="{28A0092B-C50C-407E-A947-70E740481C1C}">
                          <a14:useLocalDpi xmlns:a14="http://schemas.microsoft.com/office/drawing/2010/main" val="0"/>
                        </a:ext>
                      </a:extLst>
                    </a:blip>
                    <a:stretch>
                      <a:fillRect/>
                    </a:stretch>
                  </pic:blipFill>
                  <pic:spPr>
                    <a:xfrm>
                      <a:off x="0" y="0"/>
                      <a:ext cx="2028952" cy="1446657"/>
                    </a:xfrm>
                    <a:prstGeom prst="rect">
                      <a:avLst/>
                    </a:prstGeom>
                  </pic:spPr>
                </pic:pic>
              </a:graphicData>
            </a:graphic>
          </wp:inline>
        </w:drawing>
      </w:r>
      <w:r w:rsidR="00A43D45" w:rsidRPr="00820F66">
        <w:rPr>
          <w:rFonts w:ascii="Book Antiqua" w:hAnsi="Book Antiqua"/>
          <w:noProof/>
        </w:rPr>
        <w:drawing>
          <wp:inline distT="0" distB="0" distL="0" distR="0" wp14:anchorId="662CA33C" wp14:editId="597F24BD">
            <wp:extent cx="1956689" cy="143490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c6fb7450a70a9d5d7dc9f1e324f0981.jpeg"/>
                    <pic:cNvPicPr/>
                  </pic:nvPicPr>
                  <pic:blipFill>
                    <a:blip r:embed="rId10">
                      <a:extLst>
                        <a:ext uri="{28A0092B-C50C-407E-A947-70E740481C1C}">
                          <a14:useLocalDpi xmlns:a14="http://schemas.microsoft.com/office/drawing/2010/main" val="0"/>
                        </a:ext>
                      </a:extLst>
                    </a:blip>
                    <a:stretch>
                      <a:fillRect/>
                    </a:stretch>
                  </pic:blipFill>
                  <pic:spPr>
                    <a:xfrm>
                      <a:off x="0" y="0"/>
                      <a:ext cx="1970208" cy="1444819"/>
                    </a:xfrm>
                    <a:prstGeom prst="rect">
                      <a:avLst/>
                    </a:prstGeom>
                  </pic:spPr>
                </pic:pic>
              </a:graphicData>
            </a:graphic>
          </wp:inline>
        </w:drawing>
      </w:r>
    </w:p>
    <w:p w14:paraId="5C5BC981" w14:textId="118E8B5E" w:rsidR="00A43D45" w:rsidRPr="00820F66" w:rsidRDefault="001C55C1" w:rsidP="00A43D45">
      <w:pPr>
        <w:spacing w:line="360" w:lineRule="auto"/>
        <w:jc w:val="both"/>
        <w:rPr>
          <w:rFonts w:ascii="Book Antiqua" w:hAnsi="Book Antiqua" w:cs="Times"/>
          <w:color w:val="000000"/>
        </w:rPr>
      </w:pPr>
      <w:r w:rsidRPr="00820F66">
        <w:rPr>
          <w:rFonts w:ascii="Book Antiqua" w:hAnsi="Book Antiqua"/>
          <w:noProof/>
        </w:rPr>
        <mc:AlternateContent>
          <mc:Choice Requires="wps">
            <w:drawing>
              <wp:anchor distT="0" distB="0" distL="114300" distR="114300" simplePos="0" relativeHeight="251662336" behindDoc="0" locked="0" layoutInCell="1" allowOverlap="1" wp14:anchorId="7DB14EBB" wp14:editId="7B64B918">
                <wp:simplePos x="0" y="0"/>
                <wp:positionH relativeFrom="column">
                  <wp:posOffset>2008505</wp:posOffset>
                </wp:positionH>
                <wp:positionV relativeFrom="paragraph">
                  <wp:posOffset>1139825</wp:posOffset>
                </wp:positionV>
                <wp:extent cx="247650" cy="333375"/>
                <wp:effectExtent l="25400" t="0" r="31750" b="22225"/>
                <wp:wrapNone/>
                <wp:docPr id="4" name="文本框 4"/>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1371A8D3"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4EBB" id="文本框 4" o:spid="_x0000_s1028" type="#_x0000_t202" style="position:absolute;left:0;text-align:left;margin-left:158.15pt;margin-top:89.75pt;width:1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YipgIAADQFAAAOAAAAZHJzL2Uyb0RvYy54bWysVM1u2zAMvg/YOwi6r3ZSp+2COkXWosOA&#10;oi2WDj0rshwbkEVNUmJ3D7C9wU677L7n6nOMlOM063oa5oMs/ogiv4/U6VnXaLZRztdgcj46SDlT&#10;RkJRm1XOP91dvjnhzAdhCqHBqJw/KM/PZq9fnbZ2qsZQgS6UYxjE+Glrc16FYKdJ4mWlGuEPwCqD&#10;xhJcIwKKbpUUTrQYvdHJOE2PkhZcYR1I5T1qL3ojn8X4ZalkuClLrwLTOcfcQlxdXJe0JrNTMV05&#10;YatabtMQ/5BFI2qDl+5CXYgg2NrVf4VqaunAQxkOJDQJlGUtVawBqxmlz6pZVMKqWAuC4+0OJv//&#10;wsrrza1jdZHzjDMjGqTo8fu3xx+/Hn9+ZRnB01o/Ra+FRb/QvYMOaR70HpVUdVe6hv5YD0M7Av2w&#10;A1d1gUlUjrPjowlaJJoO8TueUJTk6bB1PrxX0DDa5NwhdxFSsbnyoXcdXOguD7ouLmuto0D9os61&#10;YxuBTOsQU8Tgf3hpw9qcHx1iGnTIAB3vI2tDGhU7Bq8jAdZBuUVVtGyp1+6jQIwm6UmKJRQ1JbgT&#10;sJ0mWUofZ0KvcA5kcJw5CPd1qCKJhMYLeS5Xo75EbSvRpx5bkhIfKooY7XKJ0l6aCdHT00C70C27&#10;yOZ4oGgJxQMyh8lEXryVlzXieyV8uBUOex2TxvkNN7iUGhAf2O44q8B9eUlP/tiCaOWsxdnJuf+8&#10;Fk5xpj8YbM63oyzDsCEK2eR4jILbtyz3LWbdnAOSNsKXwsq4Jf+gh23poLnHMZ/TrWgSRuLdOQ/D&#10;9jz0E43PhFTzeXTC8bIiXJmFlRSawKfuuevuhbPbFgvYm9cwTJmYPuu03pdOGpivA5R1bEPCuUcV&#10;ySABRzPSsn1GaPb35ej19NjNfgMAAP//AwBQSwMEFAAGAAgAAAAhAMXzv+bhAAAACwEAAA8AAABk&#10;cnMvZG93bnJldi54bWxMj8tOwzAQRfdI/IM1SOyo00RpS4hToUoVogukBiq2bjwkoX6E2Hnw9wwr&#10;WM7coztn8u1sNBux962zApaLCBjayqnW1gLeXvd3G2A+SKukdhYFfKOHbXF9lctMuckecSxDzajE&#10;+kwKaELoMs591aCRfuE6tJR9uN7IQGNfc9XLicqN5nEUrbiRraULjexw12B1KQcj4H3/eXjW6/Ll&#10;a3cpx6fhZJLDZIS4vZkfH4AFnMMfDL/6pA4FOZ3dYJVnWkCyXCWEUrC+T4ERkaQpbc4C4iSOgBc5&#10;//9D8QMAAP//AwBQSwECLQAUAAYACAAAACEAtoM4kv4AAADhAQAAEwAAAAAAAAAAAAAAAAAAAAAA&#10;W0NvbnRlbnRfVHlwZXNdLnhtbFBLAQItABQABgAIAAAAIQA4/SH/1gAAAJQBAAALAAAAAAAAAAAA&#10;AAAAAC8BAABfcmVscy8ucmVsc1BLAQItABQABgAIAAAAIQAFoUYipgIAADQFAAAOAAAAAAAAAAAA&#10;AAAAAC4CAABkcnMvZTJvRG9jLnhtbFBLAQItABQABgAIAAAAIQDF87/m4QAAAAsBAAAPAAAAAAAA&#10;AAAAAAAAAAAFAABkcnMvZG93bnJldi54bWxQSwUGAAAAAAQABADzAAAADgYAAAAA&#10;" fillcolor="white [3201]" stroked="f" strokeweight=".5pt">
                <v:shadow on="t" color="white [3212]" opacity="0" offset="0,4pt"/>
                <v:textbox>
                  <w:txbxContent>
                    <w:p w14:paraId="1371A8D3"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D</w:t>
                      </w:r>
                    </w:p>
                  </w:txbxContent>
                </v:textbox>
              </v:shape>
            </w:pict>
          </mc:Fallback>
        </mc:AlternateContent>
      </w:r>
      <w:r w:rsidRPr="00820F66">
        <w:rPr>
          <w:rFonts w:ascii="Book Antiqua" w:hAnsi="Book Antiqua"/>
          <w:noProof/>
        </w:rPr>
        <mc:AlternateContent>
          <mc:Choice Requires="wps">
            <w:drawing>
              <wp:anchor distT="0" distB="0" distL="114300" distR="114300" simplePos="0" relativeHeight="251659264" behindDoc="0" locked="0" layoutInCell="1" allowOverlap="1" wp14:anchorId="5A614899" wp14:editId="63F24C2D">
                <wp:simplePos x="0" y="0"/>
                <wp:positionH relativeFrom="margin">
                  <wp:align>left</wp:align>
                </wp:positionH>
                <wp:positionV relativeFrom="paragraph">
                  <wp:posOffset>1125220</wp:posOffset>
                </wp:positionV>
                <wp:extent cx="247650" cy="333375"/>
                <wp:effectExtent l="38100" t="0" r="38100" b="47625"/>
                <wp:wrapNone/>
                <wp:docPr id="34" name="文本框 34"/>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chemeClr val="lt1"/>
                        </a:solidFill>
                        <a:ln w="6350">
                          <a:noFill/>
                        </a:ln>
                        <a:effectLst>
                          <a:outerShdw blurRad="50800" dist="50800" dir="5400000" algn="ctr" rotWithShape="0">
                            <a:schemeClr val="bg1">
                              <a:alpha val="0"/>
                            </a:schemeClr>
                          </a:outerShdw>
                        </a:effectLst>
                      </wps:spPr>
                      <wps:txbx>
                        <w:txbxContent>
                          <w:p w14:paraId="173A0C05"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4899" id="文本框 34" o:spid="_x0000_s1029" type="#_x0000_t202" style="position:absolute;left:0;text-align:left;margin-left:0;margin-top:88.6pt;width:19.5pt;height:2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1opwIAADYFAAAOAAAAZHJzL2Uyb0RvYy54bWysVM1uEzEQviPxDpbvdJM0aUvUTRVaFSFV&#10;bUWKena83qwlr8fYk+yWB4A34MSFO8/V52Dszaah9ITYg9fz4/HM98349KytDdsoHzTYnA8PBpwp&#10;K6HQdpXzT3eXb044CyhsIQxYlfMHFfjZ7PWr08ZN1QgqMIXyjILYMG1czitEN82yICtVi3AATlky&#10;luBrgST6VVZ40VD02mSjweAoa8AXzoNUIZD2ojPyWYpflkriTVkGhczknHLDtPq0LuOazU7FdOWF&#10;q7TcpiH+IYtaaEuX7kJdCBRs7fVfoWotPQQo8UBCnUFZaqlSDVTNcPCsmkUlnEq1EDjB7WAK/y+s&#10;vN7ceqaLnB+OObOiJo4ev397/PHr8edXRjoCqHFhSn4LR57YvoOWiO71gZSx7rb0dfxTRYzsBPXD&#10;Dl7VIpOkHI2PjyZkkWQ6pO94EqNkT4edD/heQc3iJuee2Eugis1VwM61d4l3BTC6uNTGJCF2jDo3&#10;nm0EcW0wpUjB//AyljU5PzqkNOIhC/F4F9nYqFGpZ+i6KMAalV9URcOWZu0/CkJpMjgZUAmFjgnu&#10;BGqoyXgQP86EWdEkSPScecB7jVWiMaLxQp7L1bAr0bhKdKmnpoyJ9xUljHa5JGkvzSzS09EQd9gu&#10;247PnqIlFA/EHCWTeAlOXmrC90oEvBWeup2SpgnGG1pKA4QPbHecVeC/vKSP/tSEZOWsoenJefi8&#10;Fl5xZj5Yas+3w/GYwmISxpPjEQl+37Lct9h1fQ5E2pDeCifTNvqj6belh/qeBn0ebyWTsJLuzjn2&#10;23PsZpoeCqnm8+REA+YEXtmFkzF0BD92z117L7zbthhSb15DP2di+qzTOt940sJ8jVDq1IYR5w5V&#10;IiMKNJyJlu1DEqd/X05eT8/d7DcAAAD//wMAUEsDBBQABgAIAAAAIQBzKVqg3QAAAAcBAAAPAAAA&#10;ZHJzL2Rvd25yZXYueG1sTI/NTsMwEITvSLyDtUjcqEMqERriVKhShegBiQDi6sZLEmqvQ+z88PYs&#10;JzjOzGrm22K7OCsmHELnScH1KgGBVHvTUaPg9WV/dQsiRE1GW0+o4BsDbMvzs0Lnxs/0jFMVG8El&#10;FHKtoI2xz6UMdYtOh5XvkTj78IPTkeXQSDPomcudlWmS3EinO+KFVve4a7E+VaNT8L7/PDzarHr6&#10;2p2q6WF8c+vD7JS6vFju70BEXOLfMfziMzqUzHT0I5kgrAJ+JLKbZSkIjtcbNo4K0nSTgSwL+Z+/&#10;/AEAAP//AwBQSwECLQAUAAYACAAAACEAtoM4kv4AAADhAQAAEwAAAAAAAAAAAAAAAAAAAAAAW0Nv&#10;bnRlbnRfVHlwZXNdLnhtbFBLAQItABQABgAIAAAAIQA4/SH/1gAAAJQBAAALAAAAAAAAAAAAAAAA&#10;AC8BAABfcmVscy8ucmVsc1BLAQItABQABgAIAAAAIQDDFK1opwIAADYFAAAOAAAAAAAAAAAAAAAA&#10;AC4CAABkcnMvZTJvRG9jLnhtbFBLAQItABQABgAIAAAAIQBzKVqg3QAAAAcBAAAPAAAAAAAAAAAA&#10;AAAAAAEFAABkcnMvZG93bnJldi54bWxQSwUGAAAAAAQABADzAAAACwYAAAAA&#10;" fillcolor="white [3201]" stroked="f" strokeweight=".5pt">
                <v:shadow on="t" color="white [3212]" opacity="0" offset="0,4pt"/>
                <v:textbox>
                  <w:txbxContent>
                    <w:p w14:paraId="173A0C05" w14:textId="77777777" w:rsidR="00A43D45" w:rsidRPr="00A107C7" w:rsidRDefault="00A43D45" w:rsidP="00A43D45">
                      <w:pPr>
                        <w:rPr>
                          <w:sz w:val="4"/>
                          <w14:textOutline w14:w="9525" w14:cap="rnd" w14:cmpd="sng" w14:algn="ctr">
                            <w14:noFill/>
                            <w14:prstDash w14:val="solid"/>
                            <w14:bevel/>
                          </w14:textOutline>
                        </w:rPr>
                      </w:pPr>
                      <w:r>
                        <w:rPr>
                          <w:sz w:val="18"/>
                          <w14:textOutline w14:w="9525" w14:cap="rnd" w14:cmpd="sng" w14:algn="ctr">
                            <w14:noFill/>
                            <w14:prstDash w14:val="solid"/>
                            <w14:bevel/>
                          </w14:textOutline>
                        </w:rPr>
                        <w:t>C</w:t>
                      </w:r>
                    </w:p>
                  </w:txbxContent>
                </v:textbox>
                <w10:wrap anchorx="margin"/>
              </v:shape>
            </w:pict>
          </mc:Fallback>
        </mc:AlternateContent>
      </w:r>
      <w:r w:rsidR="00A43D45" w:rsidRPr="00820F66">
        <w:rPr>
          <w:rFonts w:ascii="Book Antiqua" w:hAnsi="Book Antiqua" w:cs="Times"/>
          <w:noProof/>
          <w:color w:val="000000"/>
          <w:bdr w:val="single" w:sz="4" w:space="0" w:color="auto"/>
        </w:rPr>
        <w:drawing>
          <wp:inline distT="0" distB="0" distL="0" distR="0" wp14:anchorId="4A5D4F4F" wp14:editId="78B853BA">
            <wp:extent cx="2004060" cy="14630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881bcaa5fab2033bb750e97d2fcac51.jpeg"/>
                    <pic:cNvPicPr/>
                  </pic:nvPicPr>
                  <pic:blipFill>
                    <a:blip r:embed="rId11">
                      <a:extLst>
                        <a:ext uri="{28A0092B-C50C-407E-A947-70E740481C1C}">
                          <a14:useLocalDpi xmlns:a14="http://schemas.microsoft.com/office/drawing/2010/main" val="0"/>
                        </a:ext>
                      </a:extLst>
                    </a:blip>
                    <a:stretch>
                      <a:fillRect/>
                    </a:stretch>
                  </pic:blipFill>
                  <pic:spPr>
                    <a:xfrm>
                      <a:off x="0" y="0"/>
                      <a:ext cx="2022919" cy="1476808"/>
                    </a:xfrm>
                    <a:prstGeom prst="rect">
                      <a:avLst/>
                    </a:prstGeom>
                  </pic:spPr>
                </pic:pic>
              </a:graphicData>
            </a:graphic>
          </wp:inline>
        </w:drawing>
      </w:r>
      <w:r w:rsidR="00A43D45" w:rsidRPr="00820F66">
        <w:rPr>
          <w:rFonts w:ascii="Book Antiqua" w:hAnsi="Book Antiqua" w:cs="Times"/>
          <w:noProof/>
          <w:color w:val="000000"/>
        </w:rPr>
        <w:drawing>
          <wp:inline distT="0" distB="0" distL="0" distR="0" wp14:anchorId="5270F217" wp14:editId="52044F5F">
            <wp:extent cx="1927274" cy="1490784"/>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6303" cy="1528709"/>
                    </a:xfrm>
                    <a:prstGeom prst="rect">
                      <a:avLst/>
                    </a:prstGeom>
                  </pic:spPr>
                </pic:pic>
              </a:graphicData>
            </a:graphic>
          </wp:inline>
        </w:drawing>
      </w:r>
    </w:p>
    <w:p w14:paraId="484E3713" w14:textId="13E1D2F0" w:rsidR="00A43D45" w:rsidRPr="00820F66" w:rsidRDefault="00A43D45" w:rsidP="00A43D45">
      <w:pPr>
        <w:spacing w:line="360" w:lineRule="auto"/>
        <w:jc w:val="both"/>
        <w:rPr>
          <w:rFonts w:ascii="Book Antiqua" w:hAnsi="Book Antiqua" w:cs="Times"/>
          <w:color w:val="000000"/>
        </w:rPr>
      </w:pPr>
      <w:r w:rsidRPr="00820F66">
        <w:rPr>
          <w:rFonts w:ascii="Book Antiqua" w:hAnsi="Book Antiqua" w:cs="Times"/>
          <w:b/>
          <w:bCs/>
          <w:color w:val="000000"/>
        </w:rPr>
        <w:t>Figure 1</w:t>
      </w:r>
      <w:r w:rsidRPr="00820F66">
        <w:rPr>
          <w:rFonts w:ascii="Book Antiqua" w:hAnsi="Book Antiqua" w:cs="Times"/>
          <w:b/>
          <w:color w:val="000000"/>
        </w:rPr>
        <w:t xml:space="preserve"> Bone marrow smear and bone marrow biopsy results. </w:t>
      </w:r>
      <w:r w:rsidRPr="00820F66">
        <w:rPr>
          <w:rFonts w:ascii="Book Antiqua" w:hAnsi="Book Antiqua" w:cs="Times"/>
          <w:color w:val="000000"/>
        </w:rPr>
        <w:t xml:space="preserve">A-C: Bone marrow smears showed that hyperplasia was extremely active, the proportion of granulocyte-neutrophil </w:t>
      </w:r>
      <w:r w:rsidR="00B11A33" w:rsidRPr="00820F66">
        <w:rPr>
          <w:rFonts w:ascii="Book Antiqua" w:hAnsi="Book Antiqua" w:cs="Times"/>
          <w:color w:val="000000"/>
        </w:rPr>
        <w:t xml:space="preserve">nucleated </w:t>
      </w:r>
      <w:r w:rsidRPr="00820F66">
        <w:rPr>
          <w:rFonts w:ascii="Book Antiqua" w:hAnsi="Book Antiqua" w:cs="Times"/>
          <w:color w:val="000000"/>
        </w:rPr>
        <w:t>cells increased, and most of the granules were coarse and numerous; D: Bone marrow biopsy examination showed that</w:t>
      </w:r>
      <w:r w:rsidRPr="00820F66">
        <w:rPr>
          <w:rFonts w:ascii="Book Antiqua" w:eastAsiaTheme="minorEastAsia" w:hAnsi="Book Antiqua" w:cs="Times"/>
          <w:color w:val="000000"/>
        </w:rPr>
        <w:t xml:space="preserve"> </w:t>
      </w:r>
      <w:r w:rsidRPr="00820F66">
        <w:rPr>
          <w:rFonts w:ascii="Book Antiqua" w:hAnsi="Book Antiqua" w:cs="Times"/>
          <w:color w:val="000000"/>
        </w:rPr>
        <w:t xml:space="preserve">the hematopoietic tissue </w:t>
      </w:r>
      <w:r w:rsidR="00B11A33" w:rsidRPr="00820F66">
        <w:rPr>
          <w:rFonts w:ascii="Book Antiqua" w:hAnsi="Book Antiqua" w:cs="Times"/>
          <w:color w:val="000000"/>
        </w:rPr>
        <w:t xml:space="preserve">was </w:t>
      </w:r>
      <w:r w:rsidRPr="00820F66">
        <w:rPr>
          <w:rFonts w:ascii="Book Antiqua" w:hAnsi="Book Antiqua" w:cs="Times"/>
          <w:color w:val="000000"/>
        </w:rPr>
        <w:t xml:space="preserve">obviously increased, the adipose tissue </w:t>
      </w:r>
      <w:r w:rsidR="00B11A33" w:rsidRPr="00820F66">
        <w:rPr>
          <w:rFonts w:ascii="Book Antiqua" w:hAnsi="Book Antiqua" w:cs="Times"/>
          <w:color w:val="000000"/>
        </w:rPr>
        <w:t xml:space="preserve">was </w:t>
      </w:r>
      <w:r w:rsidRPr="00820F66">
        <w:rPr>
          <w:rFonts w:ascii="Book Antiqua" w:hAnsi="Book Antiqua" w:cs="Times"/>
          <w:color w:val="000000"/>
        </w:rPr>
        <w:t xml:space="preserve">reduced, the ratio of granulocytes to red blood cells </w:t>
      </w:r>
      <w:r w:rsidR="00B11A33" w:rsidRPr="00820F66">
        <w:rPr>
          <w:rFonts w:ascii="Book Antiqua" w:hAnsi="Book Antiqua" w:cs="Times"/>
          <w:color w:val="000000"/>
        </w:rPr>
        <w:t xml:space="preserve">was </w:t>
      </w:r>
      <w:r w:rsidRPr="00820F66">
        <w:rPr>
          <w:rFonts w:ascii="Book Antiqua" w:hAnsi="Book Antiqua" w:cs="Times"/>
          <w:color w:val="000000"/>
        </w:rPr>
        <w:t xml:space="preserve">increased, and the megakaryocytes </w:t>
      </w:r>
      <w:r w:rsidR="00B11A33" w:rsidRPr="00820F66">
        <w:rPr>
          <w:rFonts w:ascii="Book Antiqua" w:hAnsi="Book Antiqua" w:cs="Times"/>
          <w:color w:val="000000"/>
        </w:rPr>
        <w:t xml:space="preserve">were </w:t>
      </w:r>
      <w:r w:rsidRPr="00820F66">
        <w:rPr>
          <w:rFonts w:ascii="Book Antiqua" w:hAnsi="Book Antiqua" w:cs="Times"/>
          <w:color w:val="000000"/>
        </w:rPr>
        <w:t>visible.</w:t>
      </w:r>
    </w:p>
    <w:p w14:paraId="7BA3AC3D" w14:textId="77777777" w:rsidR="00A43D45" w:rsidRPr="00820F66" w:rsidRDefault="00A43D45" w:rsidP="00A43D45">
      <w:pPr>
        <w:spacing w:line="360" w:lineRule="auto"/>
        <w:jc w:val="both"/>
        <w:rPr>
          <w:rFonts w:ascii="Book Antiqua" w:hAnsi="Book Antiqua" w:cs="Times"/>
          <w:color w:val="000000"/>
        </w:rPr>
      </w:pPr>
    </w:p>
    <w:p w14:paraId="5F94A4EF" w14:textId="77777777" w:rsidR="00A43D45" w:rsidRPr="00820F66" w:rsidRDefault="00A43D45" w:rsidP="00A43D45">
      <w:pPr>
        <w:spacing w:line="360" w:lineRule="auto"/>
        <w:jc w:val="both"/>
        <w:rPr>
          <w:rFonts w:ascii="Book Antiqua" w:hAnsi="Book Antiqua" w:cs="Times"/>
          <w:color w:val="000000"/>
        </w:rPr>
      </w:pPr>
      <w:r w:rsidRPr="00820F66">
        <w:rPr>
          <w:rFonts w:ascii="Book Antiqua" w:hAnsi="Book Antiqua" w:cs="Times"/>
          <w:color w:val="000000"/>
        </w:rPr>
        <w:br w:type="page"/>
      </w:r>
    </w:p>
    <w:p w14:paraId="1E51A55F" w14:textId="77777777" w:rsidR="001C55C1" w:rsidRPr="00820F66" w:rsidRDefault="001C55C1" w:rsidP="001C55C1">
      <w:pPr>
        <w:rPr>
          <w:rFonts w:ascii="Book Antiqua" w:hAnsi="Book Antiqua" w:cs="Times"/>
          <w:color w:val="000000"/>
        </w:rPr>
      </w:pPr>
    </w:p>
    <w:p w14:paraId="3D41EFD3" w14:textId="77777777" w:rsidR="001C55C1" w:rsidRPr="00820F66" w:rsidRDefault="001C55C1" w:rsidP="001C55C1">
      <w:pPr>
        <w:autoSpaceDE w:val="0"/>
        <w:autoSpaceDN w:val="0"/>
        <w:adjustRightInd w:val="0"/>
        <w:spacing w:after="240" w:line="300" w:lineRule="atLeast"/>
        <w:jc w:val="center"/>
        <w:rPr>
          <w:rFonts w:ascii="Book Antiqua" w:hAnsi="Book Antiqua" w:cs="Times"/>
          <w:color w:val="000000"/>
          <w:sz w:val="30"/>
          <w:szCs w:val="30"/>
        </w:rPr>
      </w:pPr>
      <w:r w:rsidRPr="00820F66">
        <w:rPr>
          <w:rFonts w:ascii="Book Antiqua" w:hAnsi="Book Antiqua" w:cs="Times"/>
          <w:noProof/>
          <w:color w:val="000000"/>
          <w:sz w:val="30"/>
          <w:szCs w:val="30"/>
        </w:rPr>
        <mc:AlternateContent>
          <mc:Choice Requires="wps">
            <w:drawing>
              <wp:anchor distT="0" distB="0" distL="114300" distR="114300" simplePos="0" relativeHeight="251665408" behindDoc="0" locked="0" layoutInCell="1" allowOverlap="1" wp14:anchorId="259A41FA" wp14:editId="29E1E2DF">
                <wp:simplePos x="0" y="0"/>
                <wp:positionH relativeFrom="column">
                  <wp:posOffset>2268171</wp:posOffset>
                </wp:positionH>
                <wp:positionV relativeFrom="paragraph">
                  <wp:posOffset>930935</wp:posOffset>
                </wp:positionV>
                <wp:extent cx="175846" cy="98474"/>
                <wp:effectExtent l="0" t="25400" r="40640" b="15875"/>
                <wp:wrapNone/>
                <wp:docPr id="1" name="直线箭头连接符 28"/>
                <wp:cNvGraphicFramePr/>
                <a:graphic xmlns:a="http://schemas.openxmlformats.org/drawingml/2006/main">
                  <a:graphicData uri="http://schemas.microsoft.com/office/word/2010/wordprocessingShape">
                    <wps:wsp>
                      <wps:cNvCnPr/>
                      <wps:spPr>
                        <a:xfrm flipV="1">
                          <a:off x="0" y="0"/>
                          <a:ext cx="175846" cy="9847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91953B" id="_x0000_t32" coordsize="21600,21600" o:spt="32" o:oned="t" path="m,l21600,21600e" filled="f">
                <v:path arrowok="t" fillok="f" o:connecttype="none"/>
                <o:lock v:ext="edit" shapetype="t"/>
              </v:shapetype>
              <v:shape id="直线箭头连接符 28" o:spid="_x0000_s1026" type="#_x0000_t32" style="position:absolute;left:0;text-align:left;margin-left:178.6pt;margin-top:73.3pt;width:13.85pt;height:7.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UoDAIAAD4EAAAOAAAAZHJzL2Uyb0RvYy54bWysU8mOEzEQvSPxD5bvpJMozIQonTlkGC4I&#10;Ira74y53W/Im22T5CX4AiRNwGjjNict8DYTPoOzu9LBJCMSl5KXeq3rP5fnZTiuyAR+kNSUdDYaU&#10;gOG2kqYu6fNnF3emlITITMWUNVDSPQR6trh9a751MxjbxqoKPEESE2ZbV9ImRjcrisAb0CwMrAOD&#10;l8J6zSJufV1Unm2RXatiPByeFFvrK+cthxDw9Ly9pIvMLwTw+FiIAJGokmJvMUef4zrFYjFns9oz&#10;10jetcH+oQvNpMGiPdU5i4y89PIXKi25t8GKOOBWF1YIySFrQDWj4U9qnjbMQdaC5gTX2xT+Hy1/&#10;tFl5Iit8O0oM0/hEh9dXh0/Xh48fPr+9+nr95surd4fL92Q8TV5tXZghZGlWvtsFt/JJ+E54TYSS&#10;7kWiSicojuyy0/veadhFwvFwdHp3OjmhhOPVvenkdJLIi5YlYZ0P8QFYTdKipCF6JusmLq0x+KTW&#10;txXY5mGILfAISGBlUgxWyepCKpU3aZ5gqTzZMJyEdT3qCv6QFZlU901F4t6hD9FLZmoFXWZiLZL+&#10;VnFexb2CtuITEOhiUpa15/m9qcc4BxOPNZXB7AQT2F0PHP4Z2OUnKOTZ/htwj8iVrYk9WEtj/e+q&#10;x92xZdHmHx1odScL1rba51nI1uCQ5mfsPlT6Bd/vM/zm2y++AQAA//8DAFBLAwQUAAYACAAAACEA&#10;3G5t6OIAAAALAQAADwAAAGRycy9kb3ducmV2LnhtbEyPwU7DMAyG70i8Q2QkLoil60Y3StMJoXFB&#10;2tSNcc8a0xYapzTZWt4ec4Kj/X/6/TlbjbYVZ+x940jBdBKBQCqdaahScHh9vl2C8EGT0a0jVPCN&#10;Hlb55UWmU+MG2uF5HyrBJeRTraAOoUul9GWNVvuJ65A4e3e91YHHvpKm1wOX21bGUZRIqxviC7Xu&#10;8KnG8nN/sgrWTfXVr4vN22I3uOKl2GxvPg5bpa6vxscHEAHH8AfDrz6rQ85OR3ci40WrYHa3iBnl&#10;YJ4kIJiYLef3II68SeIpyDyT/3/IfwAAAP//AwBQSwECLQAUAAYACAAAACEAtoM4kv4AAADhAQAA&#10;EwAAAAAAAAAAAAAAAAAAAAAAW0NvbnRlbnRfVHlwZXNdLnhtbFBLAQItABQABgAIAAAAIQA4/SH/&#10;1gAAAJQBAAALAAAAAAAAAAAAAAAAAC8BAABfcmVscy8ucmVsc1BLAQItABQABgAIAAAAIQDrMWUo&#10;DAIAAD4EAAAOAAAAAAAAAAAAAAAAAC4CAABkcnMvZTJvRG9jLnhtbFBLAQItABQABgAIAAAAIQDc&#10;bm3o4gAAAAsBAAAPAAAAAAAAAAAAAAAAAGYEAABkcnMvZG93bnJldi54bWxQSwUGAAAAAAQABADz&#10;AAAAdQUAAAAA&#10;" strokecolor="white [3212]" strokeweight=".5pt">
                <v:stroke endarrow="block" joinstyle="miter"/>
              </v:shape>
            </w:pict>
          </mc:Fallback>
        </mc:AlternateContent>
      </w:r>
      <w:r w:rsidRPr="00820F66">
        <w:rPr>
          <w:rFonts w:ascii="Book Antiqua" w:hAnsi="Book Antiqua" w:cs="Times"/>
          <w:noProof/>
          <w:color w:val="000000"/>
          <w:sz w:val="30"/>
          <w:szCs w:val="30"/>
        </w:rPr>
        <w:drawing>
          <wp:inline distT="0" distB="0" distL="0" distR="0" wp14:anchorId="59C950B0" wp14:editId="1B295B50">
            <wp:extent cx="2857500" cy="23241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ee92a39993bec925d34cbd691cc0c9.jpeg"/>
                    <pic:cNvPicPr/>
                  </pic:nvPicPr>
                  <pic:blipFill>
                    <a:blip r:embed="rId13">
                      <a:extLst>
                        <a:ext uri="{28A0092B-C50C-407E-A947-70E740481C1C}">
                          <a14:useLocalDpi xmlns:a14="http://schemas.microsoft.com/office/drawing/2010/main" val="0"/>
                        </a:ext>
                      </a:extLst>
                    </a:blip>
                    <a:stretch>
                      <a:fillRect/>
                    </a:stretch>
                  </pic:blipFill>
                  <pic:spPr>
                    <a:xfrm>
                      <a:off x="0" y="0"/>
                      <a:ext cx="2857500" cy="2324100"/>
                    </a:xfrm>
                    <a:prstGeom prst="rect">
                      <a:avLst/>
                    </a:prstGeom>
                  </pic:spPr>
                </pic:pic>
              </a:graphicData>
            </a:graphic>
          </wp:inline>
        </w:drawing>
      </w:r>
    </w:p>
    <w:p w14:paraId="79DEF763" w14:textId="72E57CA4" w:rsidR="00A43D45" w:rsidRPr="00820F66" w:rsidRDefault="00A43D45" w:rsidP="001C55C1">
      <w:pPr>
        <w:autoSpaceDE w:val="0"/>
        <w:autoSpaceDN w:val="0"/>
        <w:adjustRightInd w:val="0"/>
        <w:spacing w:line="360" w:lineRule="auto"/>
        <w:jc w:val="both"/>
        <w:rPr>
          <w:rFonts w:ascii="Book Antiqua" w:hAnsi="Book Antiqua" w:cs="Times"/>
          <w:color w:val="000000"/>
        </w:rPr>
      </w:pPr>
      <w:r w:rsidRPr="00820F66">
        <w:rPr>
          <w:rFonts w:ascii="Book Antiqua" w:hAnsi="Book Antiqua" w:cs="Times"/>
          <w:noProof/>
          <w:color w:val="000000"/>
        </w:rPr>
        <mc:AlternateContent>
          <mc:Choice Requires="wps">
            <w:drawing>
              <wp:anchor distT="0" distB="0" distL="114300" distR="114300" simplePos="0" relativeHeight="251660288" behindDoc="0" locked="0" layoutInCell="1" allowOverlap="1" wp14:anchorId="0A65C263" wp14:editId="7CDEFF64">
                <wp:simplePos x="0" y="0"/>
                <wp:positionH relativeFrom="column">
                  <wp:posOffset>2268171</wp:posOffset>
                </wp:positionH>
                <wp:positionV relativeFrom="paragraph">
                  <wp:posOffset>930935</wp:posOffset>
                </wp:positionV>
                <wp:extent cx="175846" cy="98474"/>
                <wp:effectExtent l="0" t="25400" r="40640" b="15875"/>
                <wp:wrapNone/>
                <wp:docPr id="28" name="直线箭头连接符 28"/>
                <wp:cNvGraphicFramePr/>
                <a:graphic xmlns:a="http://schemas.openxmlformats.org/drawingml/2006/main">
                  <a:graphicData uri="http://schemas.microsoft.com/office/word/2010/wordprocessingShape">
                    <wps:wsp>
                      <wps:cNvCnPr/>
                      <wps:spPr>
                        <a:xfrm flipV="1">
                          <a:off x="0" y="0"/>
                          <a:ext cx="175846" cy="9847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88B828" id="直线箭头连接符 28" o:spid="_x0000_s1026" type="#_x0000_t32" style="position:absolute;left:0;text-align:left;margin-left:178.6pt;margin-top:73.3pt;width:13.85pt;height:7.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05DQIAAD8EAAAOAAAAZHJzL2Uyb0RvYy54bWysU8mOEzEQvSPxD5bvpJMozIQonTlkGC4I&#10;Ira747a7LXmTXWT5CX4AiRNwGjjNict8DYTPoOzu9LBJCMSl5KXeq3rP5fnZzmiyESEqZ0s6Ggwp&#10;EZa7Stm6pM+fXdyZUhKB2YppZ0VJ9yLSs8XtW/Otn4mxa5yuRCBIYuNs60vaAPhZUUTeCMPiwHlh&#10;8VK6YBjgNtRFFdgW2Y0uxsPhSbF1ofLBcREjnp63l3SR+aUUHB5LGQUQXVLsDXIMOa5TLBZzNqsD&#10;843iXRvsH7owTFks2lOdM2DkZVC/UBnFg4tOwoA7UzgpFRdZA6oZDX9S87RhXmQtaE70vU3x/9Hy&#10;R5tVIKoq6RhfyjKDb3R4fXX4dH34+OHz26uv12++vHp3uHxP8B7N2vo4Q8zSrkK3i34VkvKdDIZI&#10;rfwLnIPsBaoju2z1vrda7IBwPByd3p1OTijheHVvOjmdJPKiZUlsPkR4IJwhaVHSCIGpuoGlsxbf&#10;1IW2Ats8jNACj4AE1jbF6LSqLpTWeZMGSix1IBuGo7CuR13BH7KAKX3fVgT2Hn2AoJittegyE2uR&#10;9LeK8wr2WrQVnwiJNiZlWXse4Jt6jHNh4VhTW8xOMInd9cDhn4FdfoKKPNx/A+4RubKz0IONsi78&#10;rjrsji3LNv/oQKs7WbB21T7PQrYGpzQ/Y/ej0jf4fp/hN/9+8Q0AAP//AwBQSwMEFAAGAAgAAAAh&#10;ANxubejiAAAACwEAAA8AAABkcnMvZG93bnJldi54bWxMj8FOwzAMhu9IvENkJC6IpetGN0rTCaFx&#10;QdrUjXHPGtMWGqc02VreHnOCo/1/+v05W422FWfsfeNIwXQSgUAqnWmoUnB4fb5dgvBBk9GtI1Tw&#10;jR5W+eVFplPjBtrheR8qwSXkU62gDqFLpfRljVb7ieuQOHt3vdWBx76SptcDl9tWxlGUSKsb4gu1&#10;7vCpxvJzf7IK1k311a+LzdtiN7jipdhsbz4OW6Wur8bHBxABx/AHw68+q0POTkd3IuNFq2B2t4gZ&#10;5WCeJCCYmC3n9yCOvEniKcg8k/9/yH8AAAD//wMAUEsBAi0AFAAGAAgAAAAhALaDOJL+AAAA4QEA&#10;ABMAAAAAAAAAAAAAAAAAAAAAAFtDb250ZW50X1R5cGVzXS54bWxQSwECLQAUAAYACAAAACEAOP0h&#10;/9YAAACUAQAACwAAAAAAAAAAAAAAAAAvAQAAX3JlbHMvLnJlbHNQSwECLQAUAAYACAAAACEAwiV9&#10;OQ0CAAA/BAAADgAAAAAAAAAAAAAAAAAuAgAAZHJzL2Uyb0RvYy54bWxQSwECLQAUAAYACAAAACEA&#10;3G5t6OIAAAALAQAADwAAAAAAAAAAAAAAAABnBAAAZHJzL2Rvd25yZXYueG1sUEsFBgAAAAAEAAQA&#10;8wAAAHYFAAAAAA==&#10;" strokecolor="white [3212]" strokeweight=".5pt">
                <v:stroke endarrow="block" joinstyle="miter"/>
              </v:shape>
            </w:pict>
          </mc:Fallback>
        </mc:AlternateContent>
      </w:r>
      <w:r w:rsidRPr="00820F66">
        <w:rPr>
          <w:rFonts w:ascii="Book Antiqua" w:hAnsi="Book Antiqua" w:cs="Times"/>
          <w:b/>
          <w:bCs/>
          <w:color w:val="000000"/>
        </w:rPr>
        <w:t>Figure 2</w:t>
      </w:r>
      <w:r w:rsidRPr="00820F66">
        <w:rPr>
          <w:rFonts w:ascii="Book Antiqua" w:hAnsi="Book Antiqua" w:cs="Times"/>
          <w:color w:val="000000"/>
        </w:rPr>
        <w:t xml:space="preserve"> </w:t>
      </w:r>
      <w:r w:rsidRPr="00820F66">
        <w:rPr>
          <w:rFonts w:ascii="Book Antiqua" w:hAnsi="Book Antiqua" w:cs="Times"/>
          <w:b/>
          <w:color w:val="000000"/>
        </w:rPr>
        <w:t xml:space="preserve">Computerized tomography </w:t>
      </w:r>
      <w:r w:rsidR="00B11A33" w:rsidRPr="00820F66">
        <w:rPr>
          <w:rFonts w:ascii="Book Antiqua" w:hAnsi="Book Antiqua" w:cs="Times"/>
          <w:b/>
          <w:color w:val="000000"/>
        </w:rPr>
        <w:t xml:space="preserve">image showing </w:t>
      </w:r>
      <w:r w:rsidRPr="00820F66">
        <w:rPr>
          <w:rFonts w:ascii="Book Antiqua" w:hAnsi="Book Antiqua" w:cs="Times"/>
          <w:b/>
          <w:color w:val="000000"/>
        </w:rPr>
        <w:t>a 9.3-cm focal hepatic mass in the left lobe of the liver and dilatation of intrahepatic bile duct,</w:t>
      </w:r>
      <w:r w:rsidRPr="00820F66">
        <w:rPr>
          <w:rFonts w:ascii="Book Antiqua" w:hAnsi="Book Antiqua"/>
          <w:b/>
          <w:color w:val="333333"/>
          <w:shd w:val="clear" w:color="auto" w:fill="F6F6F6"/>
        </w:rPr>
        <w:t xml:space="preserve"> </w:t>
      </w:r>
      <w:r w:rsidRPr="00820F66">
        <w:rPr>
          <w:rFonts w:ascii="Book Antiqua" w:hAnsi="Book Antiqua" w:cs="Times"/>
          <w:b/>
          <w:color w:val="000000"/>
        </w:rPr>
        <w:t>as indicated by the arrow.</w:t>
      </w:r>
    </w:p>
    <w:p w14:paraId="79C58BFE" w14:textId="77777777" w:rsidR="00A43D45" w:rsidRPr="00820F66" w:rsidRDefault="00A43D45" w:rsidP="00A43D45">
      <w:pPr>
        <w:autoSpaceDE w:val="0"/>
        <w:autoSpaceDN w:val="0"/>
        <w:adjustRightInd w:val="0"/>
        <w:spacing w:line="360" w:lineRule="auto"/>
        <w:jc w:val="both"/>
        <w:rPr>
          <w:rFonts w:ascii="Book Antiqua" w:hAnsi="Book Antiqua" w:cs="Times"/>
          <w:color w:val="000000"/>
        </w:rPr>
      </w:pPr>
    </w:p>
    <w:p w14:paraId="38A593AF" w14:textId="77777777" w:rsidR="00A43D45" w:rsidRPr="00820F66" w:rsidRDefault="00A43D45" w:rsidP="00A43D45">
      <w:pPr>
        <w:spacing w:line="360" w:lineRule="auto"/>
        <w:jc w:val="both"/>
        <w:rPr>
          <w:rFonts w:ascii="Book Antiqua" w:hAnsi="Book Antiqua" w:cs="Times"/>
          <w:b/>
          <w:bCs/>
          <w:color w:val="000000"/>
        </w:rPr>
      </w:pPr>
      <w:r w:rsidRPr="00820F66">
        <w:rPr>
          <w:rFonts w:ascii="Book Antiqua" w:hAnsi="Book Antiqua" w:cs="Times"/>
          <w:b/>
          <w:bCs/>
          <w:color w:val="000000"/>
        </w:rPr>
        <w:br w:type="page"/>
      </w:r>
    </w:p>
    <w:p w14:paraId="2A98995E" w14:textId="38B952AD" w:rsidR="00A43D45" w:rsidRPr="00820F66" w:rsidRDefault="00A43D45" w:rsidP="00A43D45">
      <w:pPr>
        <w:autoSpaceDE w:val="0"/>
        <w:autoSpaceDN w:val="0"/>
        <w:adjustRightInd w:val="0"/>
        <w:spacing w:line="360" w:lineRule="auto"/>
        <w:jc w:val="both"/>
        <w:rPr>
          <w:rFonts w:ascii="Book Antiqua" w:hAnsi="Book Antiqua" w:cs="Times"/>
          <w:b/>
          <w:bCs/>
          <w:color w:val="000000"/>
        </w:rPr>
      </w:pPr>
      <w:r w:rsidRPr="00820F66">
        <w:rPr>
          <w:rFonts w:ascii="Book Antiqua" w:hAnsi="Book Antiqua" w:cs="Times"/>
          <w:noProof/>
          <w:color w:val="000000"/>
        </w:rPr>
        <w:drawing>
          <wp:inline distT="0" distB="0" distL="0" distR="0" wp14:anchorId="7142A9DB" wp14:editId="257B2707">
            <wp:extent cx="4074850" cy="2165655"/>
            <wp:effectExtent l="0" t="0" r="190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771544627783_.pic_hd.jpg"/>
                    <pic:cNvPicPr/>
                  </pic:nvPicPr>
                  <pic:blipFill>
                    <a:blip r:embed="rId14">
                      <a:extLst>
                        <a:ext uri="{28A0092B-C50C-407E-A947-70E740481C1C}">
                          <a14:useLocalDpi xmlns:a14="http://schemas.microsoft.com/office/drawing/2010/main" val="0"/>
                        </a:ext>
                      </a:extLst>
                    </a:blip>
                    <a:stretch>
                      <a:fillRect/>
                    </a:stretch>
                  </pic:blipFill>
                  <pic:spPr>
                    <a:xfrm>
                      <a:off x="0" y="0"/>
                      <a:ext cx="4096886" cy="2177367"/>
                    </a:xfrm>
                    <a:prstGeom prst="rect">
                      <a:avLst/>
                    </a:prstGeom>
                  </pic:spPr>
                </pic:pic>
              </a:graphicData>
            </a:graphic>
          </wp:inline>
        </w:drawing>
      </w:r>
    </w:p>
    <w:p w14:paraId="3B407BFF" w14:textId="0477D209" w:rsidR="00A43D45" w:rsidRPr="00820F66" w:rsidRDefault="00A43D45" w:rsidP="00A43D45">
      <w:pPr>
        <w:autoSpaceDE w:val="0"/>
        <w:autoSpaceDN w:val="0"/>
        <w:adjustRightInd w:val="0"/>
        <w:spacing w:line="360" w:lineRule="auto"/>
        <w:jc w:val="both"/>
        <w:rPr>
          <w:rFonts w:ascii="Book Antiqua" w:eastAsiaTheme="minorEastAsia" w:hAnsi="Book Antiqua" w:cs="Times"/>
          <w:b/>
          <w:color w:val="000000"/>
        </w:rPr>
      </w:pPr>
      <w:r w:rsidRPr="00820F66">
        <w:rPr>
          <w:rFonts w:ascii="Book Antiqua" w:hAnsi="Book Antiqua" w:cs="Times"/>
          <w:b/>
          <w:bCs/>
          <w:color w:val="000000"/>
        </w:rPr>
        <w:t>Figure 3</w:t>
      </w:r>
      <w:r w:rsidRPr="00820F66">
        <w:rPr>
          <w:rFonts w:ascii="Book Antiqua" w:hAnsi="Book Antiqua" w:cs="Times"/>
          <w:color w:val="000000"/>
        </w:rPr>
        <w:t xml:space="preserve"> </w:t>
      </w:r>
      <w:r w:rsidRPr="00820F66">
        <w:rPr>
          <w:rFonts w:ascii="Book Antiqua" w:hAnsi="Book Antiqua" w:cs="Times"/>
          <w:b/>
          <w:color w:val="000000"/>
        </w:rPr>
        <w:t>Illustration of the clinical course of body temperature and white blood cell counts during the second hospitalization.</w:t>
      </w:r>
    </w:p>
    <w:p w14:paraId="6D2F1954" w14:textId="77777777" w:rsidR="00A43D45" w:rsidRPr="00820F66" w:rsidRDefault="00A43D45" w:rsidP="00A43D45">
      <w:pPr>
        <w:spacing w:line="360" w:lineRule="auto"/>
        <w:jc w:val="both"/>
        <w:rPr>
          <w:rFonts w:ascii="Book Antiqua" w:eastAsiaTheme="minorEastAsia" w:hAnsi="Book Antiqua" w:cs="Times"/>
          <w:color w:val="000000"/>
        </w:rPr>
      </w:pPr>
      <w:r w:rsidRPr="00820F66">
        <w:rPr>
          <w:rFonts w:ascii="Book Antiqua" w:eastAsiaTheme="minorEastAsia" w:hAnsi="Book Antiqua" w:cs="Times"/>
          <w:color w:val="000000"/>
        </w:rPr>
        <w:br w:type="page"/>
      </w:r>
    </w:p>
    <w:p w14:paraId="33E1BF1A" w14:textId="7C769B41" w:rsidR="00A43D45" w:rsidRPr="00820F66" w:rsidRDefault="00A43D45" w:rsidP="00A43D45">
      <w:pPr>
        <w:autoSpaceDE w:val="0"/>
        <w:autoSpaceDN w:val="0"/>
        <w:adjustRightInd w:val="0"/>
        <w:spacing w:line="360" w:lineRule="auto"/>
        <w:jc w:val="both"/>
        <w:rPr>
          <w:rFonts w:ascii="Book Antiqua" w:eastAsiaTheme="minorEastAsia" w:hAnsi="Book Antiqua" w:cs="Times"/>
          <w:color w:val="000000"/>
        </w:rPr>
      </w:pPr>
      <w:r w:rsidRPr="00820F66">
        <w:rPr>
          <w:rFonts w:ascii="Book Antiqua" w:eastAsiaTheme="minorEastAsia" w:hAnsi="Book Antiqua" w:cs="Times"/>
          <w:noProof/>
          <w:color w:val="000000"/>
        </w:rPr>
        <w:drawing>
          <wp:inline distT="0" distB="0" distL="0" distR="0" wp14:anchorId="009503C0" wp14:editId="6FBD85CF">
            <wp:extent cx="2693670" cy="2024743"/>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9939" cy="2044489"/>
                    </a:xfrm>
                    <a:prstGeom prst="rect">
                      <a:avLst/>
                    </a:prstGeom>
                  </pic:spPr>
                </pic:pic>
              </a:graphicData>
            </a:graphic>
          </wp:inline>
        </w:drawing>
      </w:r>
    </w:p>
    <w:p w14:paraId="78E9F63E" w14:textId="7CFA1465" w:rsidR="00675A02" w:rsidRPr="00A43D45" w:rsidRDefault="00A43D45" w:rsidP="00A43D45">
      <w:pPr>
        <w:spacing w:line="360" w:lineRule="auto"/>
        <w:jc w:val="both"/>
        <w:rPr>
          <w:rFonts w:ascii="Book Antiqua" w:eastAsia="等线" w:hAnsi="Book Antiqua"/>
        </w:rPr>
      </w:pPr>
      <w:r w:rsidRPr="00820F66">
        <w:rPr>
          <w:rFonts w:ascii="Book Antiqua" w:hAnsi="Book Antiqua" w:cs="Times"/>
          <w:b/>
          <w:bCs/>
          <w:color w:val="000000"/>
        </w:rPr>
        <w:t>Figure 4</w:t>
      </w:r>
      <w:r w:rsidRPr="00820F66">
        <w:rPr>
          <w:rFonts w:ascii="Book Antiqua" w:hAnsi="Book Antiqua" w:cs="Times"/>
          <w:b/>
          <w:color w:val="000000"/>
        </w:rPr>
        <w:t xml:space="preserve"> Microscopic </w:t>
      </w:r>
      <w:r w:rsidR="00D01282" w:rsidRPr="00820F66">
        <w:rPr>
          <w:rFonts w:ascii="Book Antiqua" w:hAnsi="Book Antiqua" w:cs="Times"/>
          <w:b/>
          <w:color w:val="000000"/>
        </w:rPr>
        <w:t xml:space="preserve">image </w:t>
      </w:r>
      <w:r w:rsidRPr="00820F66">
        <w:rPr>
          <w:rFonts w:ascii="Book Antiqua" w:hAnsi="Book Antiqua" w:cs="Times"/>
          <w:b/>
          <w:color w:val="000000"/>
        </w:rPr>
        <w:t xml:space="preserve">of the tumor </w:t>
      </w:r>
      <w:r w:rsidR="00D01282" w:rsidRPr="00820F66">
        <w:rPr>
          <w:rFonts w:ascii="Book Antiqua" w:hAnsi="Book Antiqua" w:cs="Times"/>
          <w:b/>
          <w:color w:val="000000"/>
        </w:rPr>
        <w:t xml:space="preserve">showing </w:t>
      </w:r>
      <w:r w:rsidRPr="00820F66">
        <w:rPr>
          <w:rFonts w:ascii="Book Antiqua" w:hAnsi="Book Antiqua" w:cs="Times"/>
          <w:b/>
          <w:color w:val="000000"/>
        </w:rPr>
        <w:t>poorly differentiated malignant cells suggestive of SHC.</w:t>
      </w:r>
    </w:p>
    <w:sectPr w:rsidR="00675A02" w:rsidRPr="00A43D45" w:rsidSect="009579BC">
      <w:headerReference w:type="even" r:id="rId16"/>
      <w:headerReference w:type="default" r:id="rId17"/>
      <w:pgSz w:w="12240" w:h="15840"/>
      <w:pgMar w:top="1440" w:right="1440" w:bottom="1440" w:left="1440" w:header="720" w:footer="720" w:gutter="0"/>
      <w:lnNumType w:countBy="1" w:restart="continuous"/>
      <w:pgNumType w:start="1"/>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ang Tianqi" w:date="2019-04-29T08:22:00Z" w:initials="WT">
    <w:p w14:paraId="25BC62DC" w14:textId="7278164D" w:rsidR="00E32C35" w:rsidRPr="00E32C35" w:rsidRDefault="00E32C35">
      <w:pPr>
        <w:pStyle w:val="afc"/>
        <w:rPr>
          <w:color w:val="FF0000"/>
        </w:rPr>
      </w:pPr>
      <w:r>
        <w:rPr>
          <w:rStyle w:val="afb"/>
        </w:rPr>
        <w:annotationRef/>
      </w:r>
      <w:r w:rsidRPr="00E32C35">
        <w:rPr>
          <w:color w:val="FF0000"/>
        </w:rPr>
        <w:t>请注意：因为联系不上作者，语言修改未得到作者确认。</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BC62D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2437D" w14:textId="77777777" w:rsidR="006F3031" w:rsidRDefault="006F3031" w:rsidP="00ED3DBF">
      <w:r>
        <w:separator/>
      </w:r>
    </w:p>
  </w:endnote>
  <w:endnote w:type="continuationSeparator" w:id="0">
    <w:p w14:paraId="6869F019" w14:textId="77777777" w:rsidR="006F3031" w:rsidRDefault="006F3031" w:rsidP="00E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Light">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80A10" w14:textId="77777777" w:rsidR="006F3031" w:rsidRDefault="006F3031" w:rsidP="00ED3DBF">
      <w:r>
        <w:separator/>
      </w:r>
    </w:p>
  </w:footnote>
  <w:footnote w:type="continuationSeparator" w:id="0">
    <w:p w14:paraId="4D78AA27" w14:textId="77777777" w:rsidR="006F3031" w:rsidRDefault="006F3031" w:rsidP="00ED3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11A8" w14:textId="77777777" w:rsidR="007E5A42" w:rsidRPr="0051623F" w:rsidRDefault="007E5A42" w:rsidP="009579BC">
    <w:pPr>
      <w:pStyle w:val="a3"/>
      <w:framePr w:wrap="none" w:vAnchor="text" w:hAnchor="margin" w:xAlign="right" w:y="1"/>
      <w:rPr>
        <w:rStyle w:val="af6"/>
        <w:rFonts w:ascii="Times" w:hAnsi="Times"/>
        <w:sz w:val="26"/>
        <w:szCs w:val="26"/>
      </w:rPr>
    </w:pPr>
    <w:r w:rsidRPr="0051623F">
      <w:rPr>
        <w:rStyle w:val="af6"/>
        <w:rFonts w:ascii="Times" w:hAnsi="Times"/>
        <w:sz w:val="26"/>
        <w:szCs w:val="26"/>
      </w:rPr>
      <w:fldChar w:fldCharType="begin"/>
    </w:r>
    <w:r w:rsidRPr="0051623F">
      <w:rPr>
        <w:rStyle w:val="af6"/>
        <w:rFonts w:ascii="Times" w:hAnsi="Times"/>
        <w:sz w:val="26"/>
        <w:szCs w:val="26"/>
      </w:rPr>
      <w:instrText xml:space="preserve">PAGE  </w:instrText>
    </w:r>
    <w:r w:rsidRPr="0051623F">
      <w:rPr>
        <w:rStyle w:val="af6"/>
        <w:rFonts w:ascii="Times" w:hAnsi="Times"/>
        <w:sz w:val="26"/>
        <w:szCs w:val="26"/>
      </w:rPr>
      <w:fldChar w:fldCharType="separate"/>
    </w:r>
    <w:r>
      <w:rPr>
        <w:rStyle w:val="af6"/>
        <w:rFonts w:ascii="Times" w:hAnsi="Times"/>
        <w:noProof/>
        <w:sz w:val="26"/>
        <w:szCs w:val="26"/>
      </w:rPr>
      <w:t>2</w:t>
    </w:r>
    <w:r w:rsidRPr="0051623F">
      <w:rPr>
        <w:rStyle w:val="af6"/>
        <w:rFonts w:ascii="Times" w:hAnsi="Times"/>
        <w:sz w:val="26"/>
        <w:szCs w:val="26"/>
      </w:rPr>
      <w:fldChar w:fldCharType="end"/>
    </w:r>
  </w:p>
  <w:p w14:paraId="0228165A" w14:textId="77777777" w:rsidR="007E5A42" w:rsidRPr="000F090F" w:rsidRDefault="007E5A42" w:rsidP="009579BC">
    <w:pPr>
      <w:pStyle w:val="a3"/>
      <w:ind w:right="360" w:firstLine="360"/>
      <w:jc w:val="left"/>
      <w:rPr>
        <w:rFonts w:ascii="Times New Roman" w:hAnsi="Times New Roman"/>
        <w:color w:val="000000"/>
        <w:sz w:val="21"/>
        <w:szCs w:val="21"/>
      </w:rPr>
    </w:pPr>
    <w:r w:rsidRPr="00790943">
      <w:rPr>
        <w:rFonts w:ascii="Times" w:hAnsi="Times"/>
        <w:sz w:val="26"/>
        <w:szCs w:val="26"/>
      </w:rPr>
      <w:tab/>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hint="eastAsia"/>
        <w:color w:val="000000"/>
        <w:sz w:val="21"/>
        <w:szCs w:val="21"/>
      </w:rPr>
      <w:t xml:space="preserve"> </w:t>
    </w:r>
    <w:r>
      <w:rPr>
        <w:rFonts w:ascii="Times New Roman" w:hAnsi="Times New Roman"/>
        <w:color w:val="000000"/>
        <w:sz w:val="21"/>
        <w:szCs w:val="21"/>
      </w:rPr>
      <w:t xml:space="preserve">      </w:t>
    </w:r>
    <w:r w:rsidRPr="00CF3FAD">
      <w:rPr>
        <w:rFonts w:ascii="Times New Roman" w:hAnsi="Times New Roman"/>
        <w:color w:val="000000"/>
        <w:sz w:val="21"/>
        <w:szCs w:val="21"/>
      </w:rPr>
      <w:t xml:space="preserve"> </w:t>
    </w:r>
    <w:r>
      <w:rPr>
        <w:rFonts w:ascii="Times New Roman" w:hAnsi="Times New Roman"/>
        <w:color w:val="000000"/>
        <w:sz w:val="21"/>
        <w:szCs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8515B" w14:textId="1281B13F" w:rsidR="007E5A42" w:rsidRPr="008A1192" w:rsidRDefault="007E5A42" w:rsidP="009579BC">
    <w:pPr>
      <w:pStyle w:val="a3"/>
      <w:tabs>
        <w:tab w:val="clear" w:pos="4153"/>
        <w:tab w:val="clear" w:pos="8306"/>
        <w:tab w:val="right" w:pos="9360"/>
      </w:tabs>
      <w:ind w:right="360"/>
      <w:jc w:val="left"/>
      <w:rPr>
        <w:rFonts w:ascii="Times" w:hAnsi="Times"/>
        <w:sz w:val="26"/>
        <w:szCs w:val="26"/>
      </w:rP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rtf9zixaadbe00dpvavvy0dpxwxvrsz5d&quot;&gt;My EndNote Library&lt;record-ids&gt;&lt;item&gt;379&lt;/item&gt;&lt;item&gt;380&lt;/item&gt;&lt;item&gt;383&lt;/item&gt;&lt;item&gt;387&lt;/item&gt;&lt;item&gt;389&lt;/item&gt;&lt;item&gt;390&lt;/item&gt;&lt;item&gt;391&lt;/item&gt;&lt;item&gt;392&lt;/item&gt;&lt;item&gt;394&lt;/item&gt;&lt;item&gt;395&lt;/item&gt;&lt;item&gt;396&lt;/item&gt;&lt;item&gt;397&lt;/item&gt;&lt;item&gt;398&lt;/item&gt;&lt;item&gt;399&lt;/item&gt;&lt;item&gt;400&lt;/item&gt;&lt;item&gt;401&lt;/item&gt;&lt;item&gt;402&lt;/item&gt;&lt;item&gt;405&lt;/item&gt;&lt;item&gt;406&lt;/item&gt;&lt;item&gt;407&lt;/item&gt;&lt;item&gt;411&lt;/item&gt;&lt;item&gt;412&lt;/item&gt;&lt;item&gt;413&lt;/item&gt;&lt;item&gt;414&lt;/item&gt;&lt;item&gt;415&lt;/item&gt;&lt;item&gt;418&lt;/item&gt;&lt;item&gt;419&lt;/item&gt;&lt;item&gt;421&lt;/item&gt;&lt;item&gt;430&lt;/item&gt;&lt;item&gt;440&lt;/item&gt;&lt;item&gt;444&lt;/item&gt;&lt;item&gt;445&lt;/item&gt;&lt;item&gt;446&lt;/item&gt;&lt;item&gt;447&lt;/item&gt;&lt;item&gt;448&lt;/item&gt;&lt;item&gt;449&lt;/item&gt;&lt;item&gt;450&lt;/item&gt;&lt;item&gt;451&lt;/item&gt;&lt;/record-ids&gt;&lt;/item&gt;&lt;/Libraries&gt;"/>
  </w:docVars>
  <w:rsids>
    <w:rsidRoot w:val="00E5612E"/>
    <w:rsid w:val="000035C0"/>
    <w:rsid w:val="0000382B"/>
    <w:rsid w:val="00004207"/>
    <w:rsid w:val="00004BF5"/>
    <w:rsid w:val="00012AD5"/>
    <w:rsid w:val="00013BA1"/>
    <w:rsid w:val="00015914"/>
    <w:rsid w:val="00015B1F"/>
    <w:rsid w:val="00016C33"/>
    <w:rsid w:val="00017136"/>
    <w:rsid w:val="0001773E"/>
    <w:rsid w:val="00020E7F"/>
    <w:rsid w:val="00022663"/>
    <w:rsid w:val="00023297"/>
    <w:rsid w:val="00024EAF"/>
    <w:rsid w:val="00027114"/>
    <w:rsid w:val="000315CE"/>
    <w:rsid w:val="00031F60"/>
    <w:rsid w:val="00034958"/>
    <w:rsid w:val="0004154E"/>
    <w:rsid w:val="000419D1"/>
    <w:rsid w:val="000446F7"/>
    <w:rsid w:val="00044C82"/>
    <w:rsid w:val="000475BA"/>
    <w:rsid w:val="00050410"/>
    <w:rsid w:val="00050BD3"/>
    <w:rsid w:val="00051DB8"/>
    <w:rsid w:val="0005226F"/>
    <w:rsid w:val="00055AFD"/>
    <w:rsid w:val="00056801"/>
    <w:rsid w:val="00057577"/>
    <w:rsid w:val="00057F4B"/>
    <w:rsid w:val="00060BDB"/>
    <w:rsid w:val="000615B0"/>
    <w:rsid w:val="0006218F"/>
    <w:rsid w:val="000623A1"/>
    <w:rsid w:val="00064354"/>
    <w:rsid w:val="00064DF5"/>
    <w:rsid w:val="00065A64"/>
    <w:rsid w:val="00067017"/>
    <w:rsid w:val="000678BC"/>
    <w:rsid w:val="00073AAE"/>
    <w:rsid w:val="00073B0E"/>
    <w:rsid w:val="00073E9B"/>
    <w:rsid w:val="00075D0A"/>
    <w:rsid w:val="000762CD"/>
    <w:rsid w:val="00076734"/>
    <w:rsid w:val="000767E3"/>
    <w:rsid w:val="0007740C"/>
    <w:rsid w:val="00080544"/>
    <w:rsid w:val="00084D83"/>
    <w:rsid w:val="000852A5"/>
    <w:rsid w:val="00087622"/>
    <w:rsid w:val="000903E3"/>
    <w:rsid w:val="00091F16"/>
    <w:rsid w:val="0009286C"/>
    <w:rsid w:val="000956B9"/>
    <w:rsid w:val="00096C33"/>
    <w:rsid w:val="00096EB1"/>
    <w:rsid w:val="000A0368"/>
    <w:rsid w:val="000A053E"/>
    <w:rsid w:val="000A064D"/>
    <w:rsid w:val="000A06D8"/>
    <w:rsid w:val="000A116F"/>
    <w:rsid w:val="000A1531"/>
    <w:rsid w:val="000A1F5E"/>
    <w:rsid w:val="000A242B"/>
    <w:rsid w:val="000A327E"/>
    <w:rsid w:val="000A478B"/>
    <w:rsid w:val="000A575A"/>
    <w:rsid w:val="000A6484"/>
    <w:rsid w:val="000A6C23"/>
    <w:rsid w:val="000A700E"/>
    <w:rsid w:val="000A783D"/>
    <w:rsid w:val="000B0946"/>
    <w:rsid w:val="000B25A3"/>
    <w:rsid w:val="000B28CA"/>
    <w:rsid w:val="000B2D84"/>
    <w:rsid w:val="000B4062"/>
    <w:rsid w:val="000B6F62"/>
    <w:rsid w:val="000B7369"/>
    <w:rsid w:val="000C17B0"/>
    <w:rsid w:val="000C1E4F"/>
    <w:rsid w:val="000C2671"/>
    <w:rsid w:val="000C2C70"/>
    <w:rsid w:val="000C2F04"/>
    <w:rsid w:val="000C4591"/>
    <w:rsid w:val="000C4D33"/>
    <w:rsid w:val="000C5A9A"/>
    <w:rsid w:val="000C65EF"/>
    <w:rsid w:val="000C693D"/>
    <w:rsid w:val="000C73F5"/>
    <w:rsid w:val="000C7BE1"/>
    <w:rsid w:val="000D1254"/>
    <w:rsid w:val="000D2FD2"/>
    <w:rsid w:val="000D3069"/>
    <w:rsid w:val="000D3802"/>
    <w:rsid w:val="000D4C77"/>
    <w:rsid w:val="000D4CB7"/>
    <w:rsid w:val="000D6318"/>
    <w:rsid w:val="000D68A0"/>
    <w:rsid w:val="000E1FC2"/>
    <w:rsid w:val="000E2396"/>
    <w:rsid w:val="000E2DB8"/>
    <w:rsid w:val="000E3270"/>
    <w:rsid w:val="000E5B6E"/>
    <w:rsid w:val="000E6992"/>
    <w:rsid w:val="000E6AD9"/>
    <w:rsid w:val="000F090F"/>
    <w:rsid w:val="000F0DBD"/>
    <w:rsid w:val="000F4063"/>
    <w:rsid w:val="000F4FC3"/>
    <w:rsid w:val="000F6653"/>
    <w:rsid w:val="000F66B8"/>
    <w:rsid w:val="000F78EB"/>
    <w:rsid w:val="00101E43"/>
    <w:rsid w:val="00101F03"/>
    <w:rsid w:val="00101F42"/>
    <w:rsid w:val="00104943"/>
    <w:rsid w:val="00104EB0"/>
    <w:rsid w:val="001065D1"/>
    <w:rsid w:val="001074D5"/>
    <w:rsid w:val="00110C91"/>
    <w:rsid w:val="00111BBF"/>
    <w:rsid w:val="00112F1F"/>
    <w:rsid w:val="001131BD"/>
    <w:rsid w:val="0011392E"/>
    <w:rsid w:val="00115A82"/>
    <w:rsid w:val="00116268"/>
    <w:rsid w:val="001168BA"/>
    <w:rsid w:val="00117A6D"/>
    <w:rsid w:val="00120E89"/>
    <w:rsid w:val="0012240B"/>
    <w:rsid w:val="00123920"/>
    <w:rsid w:val="00123AF7"/>
    <w:rsid w:val="00126B95"/>
    <w:rsid w:val="00130929"/>
    <w:rsid w:val="00130DD1"/>
    <w:rsid w:val="00132D7A"/>
    <w:rsid w:val="001330A7"/>
    <w:rsid w:val="00133428"/>
    <w:rsid w:val="00133637"/>
    <w:rsid w:val="0013474E"/>
    <w:rsid w:val="00134B6B"/>
    <w:rsid w:val="001367A3"/>
    <w:rsid w:val="001368EF"/>
    <w:rsid w:val="00136D01"/>
    <w:rsid w:val="001425D9"/>
    <w:rsid w:val="00142F7D"/>
    <w:rsid w:val="00143FF0"/>
    <w:rsid w:val="0014464D"/>
    <w:rsid w:val="00145726"/>
    <w:rsid w:val="001502DC"/>
    <w:rsid w:val="0015228A"/>
    <w:rsid w:val="001526AD"/>
    <w:rsid w:val="00153A77"/>
    <w:rsid w:val="00156244"/>
    <w:rsid w:val="00175E2A"/>
    <w:rsid w:val="00177770"/>
    <w:rsid w:val="001810D6"/>
    <w:rsid w:val="00182F63"/>
    <w:rsid w:val="00183A3E"/>
    <w:rsid w:val="0018492C"/>
    <w:rsid w:val="00184E4F"/>
    <w:rsid w:val="00184FC5"/>
    <w:rsid w:val="00185E7C"/>
    <w:rsid w:val="0018612D"/>
    <w:rsid w:val="00186EBA"/>
    <w:rsid w:val="0018715D"/>
    <w:rsid w:val="00190CD5"/>
    <w:rsid w:val="00193606"/>
    <w:rsid w:val="00194361"/>
    <w:rsid w:val="00195348"/>
    <w:rsid w:val="00196234"/>
    <w:rsid w:val="00197368"/>
    <w:rsid w:val="00197613"/>
    <w:rsid w:val="001A09E6"/>
    <w:rsid w:val="001A2FD7"/>
    <w:rsid w:val="001A51E3"/>
    <w:rsid w:val="001A73A1"/>
    <w:rsid w:val="001A7A64"/>
    <w:rsid w:val="001B09B7"/>
    <w:rsid w:val="001B13B0"/>
    <w:rsid w:val="001B247F"/>
    <w:rsid w:val="001B26F2"/>
    <w:rsid w:val="001B290B"/>
    <w:rsid w:val="001B2A94"/>
    <w:rsid w:val="001B54EB"/>
    <w:rsid w:val="001B64CF"/>
    <w:rsid w:val="001C0CE6"/>
    <w:rsid w:val="001C1076"/>
    <w:rsid w:val="001C1352"/>
    <w:rsid w:val="001C3855"/>
    <w:rsid w:val="001C3F46"/>
    <w:rsid w:val="001C4235"/>
    <w:rsid w:val="001C55C1"/>
    <w:rsid w:val="001C576C"/>
    <w:rsid w:val="001C6A34"/>
    <w:rsid w:val="001D4EF3"/>
    <w:rsid w:val="001D5503"/>
    <w:rsid w:val="001E13EB"/>
    <w:rsid w:val="001E4FF4"/>
    <w:rsid w:val="001F0247"/>
    <w:rsid w:val="001F0662"/>
    <w:rsid w:val="001F3004"/>
    <w:rsid w:val="002005E5"/>
    <w:rsid w:val="00201504"/>
    <w:rsid w:val="002036FA"/>
    <w:rsid w:val="00210840"/>
    <w:rsid w:val="002114B0"/>
    <w:rsid w:val="002130B3"/>
    <w:rsid w:val="00213A0A"/>
    <w:rsid w:val="0021410C"/>
    <w:rsid w:val="00214DCD"/>
    <w:rsid w:val="00216786"/>
    <w:rsid w:val="00216AC5"/>
    <w:rsid w:val="00217ADC"/>
    <w:rsid w:val="002203B7"/>
    <w:rsid w:val="00220F89"/>
    <w:rsid w:val="002215A4"/>
    <w:rsid w:val="00221A9A"/>
    <w:rsid w:val="00222895"/>
    <w:rsid w:val="002229F8"/>
    <w:rsid w:val="002360E6"/>
    <w:rsid w:val="0024022A"/>
    <w:rsid w:val="0024334F"/>
    <w:rsid w:val="00244704"/>
    <w:rsid w:val="00244CF3"/>
    <w:rsid w:val="002451F3"/>
    <w:rsid w:val="00250CC3"/>
    <w:rsid w:val="002541C4"/>
    <w:rsid w:val="002564BE"/>
    <w:rsid w:val="00257E1A"/>
    <w:rsid w:val="002600DD"/>
    <w:rsid w:val="002623E5"/>
    <w:rsid w:val="002626F0"/>
    <w:rsid w:val="00262BCF"/>
    <w:rsid w:val="00263A1C"/>
    <w:rsid w:val="00265E42"/>
    <w:rsid w:val="00270C79"/>
    <w:rsid w:val="0027215A"/>
    <w:rsid w:val="00272601"/>
    <w:rsid w:val="00272AC6"/>
    <w:rsid w:val="00273927"/>
    <w:rsid w:val="002746AD"/>
    <w:rsid w:val="00275E7A"/>
    <w:rsid w:val="002768E8"/>
    <w:rsid w:val="0028531B"/>
    <w:rsid w:val="00286A14"/>
    <w:rsid w:val="0029186F"/>
    <w:rsid w:val="00292690"/>
    <w:rsid w:val="002927E3"/>
    <w:rsid w:val="00295F1E"/>
    <w:rsid w:val="00296540"/>
    <w:rsid w:val="00296AD1"/>
    <w:rsid w:val="00296E31"/>
    <w:rsid w:val="00297B6B"/>
    <w:rsid w:val="002A07B9"/>
    <w:rsid w:val="002A10EC"/>
    <w:rsid w:val="002A24BC"/>
    <w:rsid w:val="002A24C8"/>
    <w:rsid w:val="002B0FB8"/>
    <w:rsid w:val="002B1C53"/>
    <w:rsid w:val="002B234A"/>
    <w:rsid w:val="002B3892"/>
    <w:rsid w:val="002B4619"/>
    <w:rsid w:val="002B479F"/>
    <w:rsid w:val="002B5B1A"/>
    <w:rsid w:val="002C0890"/>
    <w:rsid w:val="002C0F77"/>
    <w:rsid w:val="002C2532"/>
    <w:rsid w:val="002C3A4A"/>
    <w:rsid w:val="002C3FD0"/>
    <w:rsid w:val="002C46C7"/>
    <w:rsid w:val="002C78B1"/>
    <w:rsid w:val="002D0044"/>
    <w:rsid w:val="002D0596"/>
    <w:rsid w:val="002D1DC8"/>
    <w:rsid w:val="002D711E"/>
    <w:rsid w:val="002D78B8"/>
    <w:rsid w:val="002E2DED"/>
    <w:rsid w:val="002E2FD2"/>
    <w:rsid w:val="002E432F"/>
    <w:rsid w:val="002E6E2D"/>
    <w:rsid w:val="002F07DC"/>
    <w:rsid w:val="002F1D5D"/>
    <w:rsid w:val="002F2AE1"/>
    <w:rsid w:val="002F3289"/>
    <w:rsid w:val="002F335A"/>
    <w:rsid w:val="002F56FA"/>
    <w:rsid w:val="002F5F7C"/>
    <w:rsid w:val="002F75CE"/>
    <w:rsid w:val="003016D4"/>
    <w:rsid w:val="003036B8"/>
    <w:rsid w:val="00304BBD"/>
    <w:rsid w:val="00306799"/>
    <w:rsid w:val="003126CE"/>
    <w:rsid w:val="003157C4"/>
    <w:rsid w:val="00315B94"/>
    <w:rsid w:val="00321941"/>
    <w:rsid w:val="00322706"/>
    <w:rsid w:val="003236DA"/>
    <w:rsid w:val="00325F0A"/>
    <w:rsid w:val="003268FD"/>
    <w:rsid w:val="003304F9"/>
    <w:rsid w:val="003342CC"/>
    <w:rsid w:val="003347A7"/>
    <w:rsid w:val="00334FBC"/>
    <w:rsid w:val="003369ED"/>
    <w:rsid w:val="00336B08"/>
    <w:rsid w:val="00344505"/>
    <w:rsid w:val="00344775"/>
    <w:rsid w:val="003464B0"/>
    <w:rsid w:val="003466C9"/>
    <w:rsid w:val="00347D1F"/>
    <w:rsid w:val="00347DAD"/>
    <w:rsid w:val="003507FD"/>
    <w:rsid w:val="00350A04"/>
    <w:rsid w:val="00350F6A"/>
    <w:rsid w:val="00351344"/>
    <w:rsid w:val="00353391"/>
    <w:rsid w:val="003566C5"/>
    <w:rsid w:val="00357077"/>
    <w:rsid w:val="003573B1"/>
    <w:rsid w:val="003622B0"/>
    <w:rsid w:val="00362E44"/>
    <w:rsid w:val="00363045"/>
    <w:rsid w:val="003639FB"/>
    <w:rsid w:val="00364374"/>
    <w:rsid w:val="003654E4"/>
    <w:rsid w:val="00365F07"/>
    <w:rsid w:val="00366614"/>
    <w:rsid w:val="00367E8F"/>
    <w:rsid w:val="00370AAD"/>
    <w:rsid w:val="00373962"/>
    <w:rsid w:val="00373C23"/>
    <w:rsid w:val="00373C91"/>
    <w:rsid w:val="0037599B"/>
    <w:rsid w:val="00377683"/>
    <w:rsid w:val="00377F54"/>
    <w:rsid w:val="00381553"/>
    <w:rsid w:val="00381C2C"/>
    <w:rsid w:val="00382D2A"/>
    <w:rsid w:val="00382E6B"/>
    <w:rsid w:val="00382FA8"/>
    <w:rsid w:val="00383C46"/>
    <w:rsid w:val="00383EC5"/>
    <w:rsid w:val="00384178"/>
    <w:rsid w:val="00384438"/>
    <w:rsid w:val="00384AB3"/>
    <w:rsid w:val="0038709E"/>
    <w:rsid w:val="003905C7"/>
    <w:rsid w:val="00390CFA"/>
    <w:rsid w:val="00391118"/>
    <w:rsid w:val="00392172"/>
    <w:rsid w:val="00392328"/>
    <w:rsid w:val="003935E6"/>
    <w:rsid w:val="003937A8"/>
    <w:rsid w:val="003937FD"/>
    <w:rsid w:val="0039594B"/>
    <w:rsid w:val="00395BAA"/>
    <w:rsid w:val="003A158F"/>
    <w:rsid w:val="003A193D"/>
    <w:rsid w:val="003A1D90"/>
    <w:rsid w:val="003A1EA3"/>
    <w:rsid w:val="003A3EC6"/>
    <w:rsid w:val="003A6701"/>
    <w:rsid w:val="003A670D"/>
    <w:rsid w:val="003A6912"/>
    <w:rsid w:val="003A7F9C"/>
    <w:rsid w:val="003B0085"/>
    <w:rsid w:val="003B01BC"/>
    <w:rsid w:val="003B1199"/>
    <w:rsid w:val="003B18F8"/>
    <w:rsid w:val="003B1B9A"/>
    <w:rsid w:val="003B1C0A"/>
    <w:rsid w:val="003B24D3"/>
    <w:rsid w:val="003B36A0"/>
    <w:rsid w:val="003B4072"/>
    <w:rsid w:val="003B43EB"/>
    <w:rsid w:val="003B525F"/>
    <w:rsid w:val="003B5DEF"/>
    <w:rsid w:val="003B69CD"/>
    <w:rsid w:val="003C0D6B"/>
    <w:rsid w:val="003C0EDB"/>
    <w:rsid w:val="003C1FAC"/>
    <w:rsid w:val="003C218B"/>
    <w:rsid w:val="003C2CCF"/>
    <w:rsid w:val="003C35BB"/>
    <w:rsid w:val="003C3954"/>
    <w:rsid w:val="003C3E6D"/>
    <w:rsid w:val="003C4805"/>
    <w:rsid w:val="003C63BA"/>
    <w:rsid w:val="003C6619"/>
    <w:rsid w:val="003C7EAC"/>
    <w:rsid w:val="003D0130"/>
    <w:rsid w:val="003D04F2"/>
    <w:rsid w:val="003D0C34"/>
    <w:rsid w:val="003D1155"/>
    <w:rsid w:val="003D1564"/>
    <w:rsid w:val="003D4148"/>
    <w:rsid w:val="003D64B9"/>
    <w:rsid w:val="003D6B12"/>
    <w:rsid w:val="003D76D2"/>
    <w:rsid w:val="003D7ABA"/>
    <w:rsid w:val="003E071C"/>
    <w:rsid w:val="003E18BC"/>
    <w:rsid w:val="003E33C1"/>
    <w:rsid w:val="003E3A8E"/>
    <w:rsid w:val="003E623B"/>
    <w:rsid w:val="003F11B4"/>
    <w:rsid w:val="003F2246"/>
    <w:rsid w:val="003F4D64"/>
    <w:rsid w:val="003F53BA"/>
    <w:rsid w:val="003F68FC"/>
    <w:rsid w:val="003F7065"/>
    <w:rsid w:val="003F7F50"/>
    <w:rsid w:val="00400408"/>
    <w:rsid w:val="004027A6"/>
    <w:rsid w:val="00402E9A"/>
    <w:rsid w:val="004031DD"/>
    <w:rsid w:val="00403E7D"/>
    <w:rsid w:val="0040506B"/>
    <w:rsid w:val="004116C1"/>
    <w:rsid w:val="0041204E"/>
    <w:rsid w:val="004121DC"/>
    <w:rsid w:val="00414310"/>
    <w:rsid w:val="00415BA5"/>
    <w:rsid w:val="0041606F"/>
    <w:rsid w:val="00422614"/>
    <w:rsid w:val="004233E3"/>
    <w:rsid w:val="004304DE"/>
    <w:rsid w:val="004311BF"/>
    <w:rsid w:val="00431295"/>
    <w:rsid w:val="00432CD2"/>
    <w:rsid w:val="00434175"/>
    <w:rsid w:val="0043435D"/>
    <w:rsid w:val="00434D76"/>
    <w:rsid w:val="004354D7"/>
    <w:rsid w:val="00435A2B"/>
    <w:rsid w:val="00436723"/>
    <w:rsid w:val="00437204"/>
    <w:rsid w:val="004373A4"/>
    <w:rsid w:val="0044040D"/>
    <w:rsid w:val="004431B6"/>
    <w:rsid w:val="004454DE"/>
    <w:rsid w:val="00446ECB"/>
    <w:rsid w:val="004473F2"/>
    <w:rsid w:val="004510B4"/>
    <w:rsid w:val="00453011"/>
    <w:rsid w:val="0045370A"/>
    <w:rsid w:val="0045421B"/>
    <w:rsid w:val="00455E0A"/>
    <w:rsid w:val="0046142C"/>
    <w:rsid w:val="0046149F"/>
    <w:rsid w:val="00462121"/>
    <w:rsid w:val="00463D16"/>
    <w:rsid w:val="004657F8"/>
    <w:rsid w:val="00466617"/>
    <w:rsid w:val="0046716D"/>
    <w:rsid w:val="0047062B"/>
    <w:rsid w:val="00470BBF"/>
    <w:rsid w:val="004715EA"/>
    <w:rsid w:val="00472886"/>
    <w:rsid w:val="00472931"/>
    <w:rsid w:val="0047307C"/>
    <w:rsid w:val="004739C4"/>
    <w:rsid w:val="00473CEF"/>
    <w:rsid w:val="00475AEF"/>
    <w:rsid w:val="0047697C"/>
    <w:rsid w:val="00477BB8"/>
    <w:rsid w:val="004812EB"/>
    <w:rsid w:val="00482498"/>
    <w:rsid w:val="004834A8"/>
    <w:rsid w:val="00483C25"/>
    <w:rsid w:val="0048419D"/>
    <w:rsid w:val="004900B9"/>
    <w:rsid w:val="0049014A"/>
    <w:rsid w:val="00492FEA"/>
    <w:rsid w:val="0049456B"/>
    <w:rsid w:val="0049661A"/>
    <w:rsid w:val="004969BC"/>
    <w:rsid w:val="004974B8"/>
    <w:rsid w:val="004A0E2C"/>
    <w:rsid w:val="004A1D9A"/>
    <w:rsid w:val="004A3D22"/>
    <w:rsid w:val="004A460C"/>
    <w:rsid w:val="004A78DC"/>
    <w:rsid w:val="004B4BC1"/>
    <w:rsid w:val="004B5B10"/>
    <w:rsid w:val="004B7BFF"/>
    <w:rsid w:val="004C0EE2"/>
    <w:rsid w:val="004C336E"/>
    <w:rsid w:val="004C5428"/>
    <w:rsid w:val="004C7229"/>
    <w:rsid w:val="004C7DCB"/>
    <w:rsid w:val="004D1EEB"/>
    <w:rsid w:val="004D230A"/>
    <w:rsid w:val="004D52B4"/>
    <w:rsid w:val="004D6A5F"/>
    <w:rsid w:val="004D6A9B"/>
    <w:rsid w:val="004D78A7"/>
    <w:rsid w:val="004E1BB6"/>
    <w:rsid w:val="004F1209"/>
    <w:rsid w:val="004F4733"/>
    <w:rsid w:val="004F4A74"/>
    <w:rsid w:val="004F5F62"/>
    <w:rsid w:val="00500D71"/>
    <w:rsid w:val="005022D0"/>
    <w:rsid w:val="00502580"/>
    <w:rsid w:val="00504D95"/>
    <w:rsid w:val="0050625A"/>
    <w:rsid w:val="0051111A"/>
    <w:rsid w:val="00511C45"/>
    <w:rsid w:val="00512AAD"/>
    <w:rsid w:val="0051386A"/>
    <w:rsid w:val="00513C0D"/>
    <w:rsid w:val="005159A5"/>
    <w:rsid w:val="0051623F"/>
    <w:rsid w:val="00517D2B"/>
    <w:rsid w:val="005223A6"/>
    <w:rsid w:val="00523474"/>
    <w:rsid w:val="00524E56"/>
    <w:rsid w:val="00525ED4"/>
    <w:rsid w:val="00527713"/>
    <w:rsid w:val="005307C6"/>
    <w:rsid w:val="0053132F"/>
    <w:rsid w:val="00534E79"/>
    <w:rsid w:val="00543F0D"/>
    <w:rsid w:val="005440CF"/>
    <w:rsid w:val="0054487F"/>
    <w:rsid w:val="005451EC"/>
    <w:rsid w:val="00547F62"/>
    <w:rsid w:val="005508DD"/>
    <w:rsid w:val="00551370"/>
    <w:rsid w:val="00551DD5"/>
    <w:rsid w:val="00552561"/>
    <w:rsid w:val="00553801"/>
    <w:rsid w:val="00554536"/>
    <w:rsid w:val="00554567"/>
    <w:rsid w:val="00557991"/>
    <w:rsid w:val="00560A41"/>
    <w:rsid w:val="0056127D"/>
    <w:rsid w:val="005634E6"/>
    <w:rsid w:val="00563702"/>
    <w:rsid w:val="00564942"/>
    <w:rsid w:val="00564F74"/>
    <w:rsid w:val="00565793"/>
    <w:rsid w:val="0056629E"/>
    <w:rsid w:val="005671C9"/>
    <w:rsid w:val="0056728A"/>
    <w:rsid w:val="0057070A"/>
    <w:rsid w:val="005729D5"/>
    <w:rsid w:val="00574A5C"/>
    <w:rsid w:val="00574ED9"/>
    <w:rsid w:val="00575E4C"/>
    <w:rsid w:val="00575FA9"/>
    <w:rsid w:val="00576ED0"/>
    <w:rsid w:val="00582192"/>
    <w:rsid w:val="00582914"/>
    <w:rsid w:val="00586FAB"/>
    <w:rsid w:val="005935DF"/>
    <w:rsid w:val="00593C17"/>
    <w:rsid w:val="00596731"/>
    <w:rsid w:val="005A331C"/>
    <w:rsid w:val="005A472D"/>
    <w:rsid w:val="005A48BC"/>
    <w:rsid w:val="005A72EA"/>
    <w:rsid w:val="005B3059"/>
    <w:rsid w:val="005B3350"/>
    <w:rsid w:val="005B5670"/>
    <w:rsid w:val="005B59F2"/>
    <w:rsid w:val="005B5D63"/>
    <w:rsid w:val="005B741D"/>
    <w:rsid w:val="005C32F5"/>
    <w:rsid w:val="005C422E"/>
    <w:rsid w:val="005C4EE2"/>
    <w:rsid w:val="005C579C"/>
    <w:rsid w:val="005D1071"/>
    <w:rsid w:val="005D161B"/>
    <w:rsid w:val="005D16BE"/>
    <w:rsid w:val="005D602B"/>
    <w:rsid w:val="005D797C"/>
    <w:rsid w:val="005E136B"/>
    <w:rsid w:val="005E1E7F"/>
    <w:rsid w:val="005E3A93"/>
    <w:rsid w:val="005E4B60"/>
    <w:rsid w:val="005F01BD"/>
    <w:rsid w:val="005F1C26"/>
    <w:rsid w:val="005F3C3A"/>
    <w:rsid w:val="005F4450"/>
    <w:rsid w:val="005F7F14"/>
    <w:rsid w:val="00600BDE"/>
    <w:rsid w:val="00601462"/>
    <w:rsid w:val="00601819"/>
    <w:rsid w:val="00602F86"/>
    <w:rsid w:val="00603BAF"/>
    <w:rsid w:val="00603E26"/>
    <w:rsid w:val="00604727"/>
    <w:rsid w:val="006060B9"/>
    <w:rsid w:val="00606CEB"/>
    <w:rsid w:val="00606DA3"/>
    <w:rsid w:val="00610CDE"/>
    <w:rsid w:val="00612FBB"/>
    <w:rsid w:val="00615472"/>
    <w:rsid w:val="00616D7B"/>
    <w:rsid w:val="00617A00"/>
    <w:rsid w:val="00617AFE"/>
    <w:rsid w:val="00621F6A"/>
    <w:rsid w:val="006237AC"/>
    <w:rsid w:val="006249E0"/>
    <w:rsid w:val="006250BE"/>
    <w:rsid w:val="0062724C"/>
    <w:rsid w:val="0063096B"/>
    <w:rsid w:val="00631A71"/>
    <w:rsid w:val="00631DB7"/>
    <w:rsid w:val="006326B6"/>
    <w:rsid w:val="006330C2"/>
    <w:rsid w:val="00633954"/>
    <w:rsid w:val="006344B8"/>
    <w:rsid w:val="00637B28"/>
    <w:rsid w:val="00640145"/>
    <w:rsid w:val="006408E6"/>
    <w:rsid w:val="0064101A"/>
    <w:rsid w:val="00641CDA"/>
    <w:rsid w:val="00641E9D"/>
    <w:rsid w:val="00642098"/>
    <w:rsid w:val="006423CE"/>
    <w:rsid w:val="00643C64"/>
    <w:rsid w:val="006444E3"/>
    <w:rsid w:val="00644590"/>
    <w:rsid w:val="00647105"/>
    <w:rsid w:val="00650E91"/>
    <w:rsid w:val="00654259"/>
    <w:rsid w:val="00655700"/>
    <w:rsid w:val="0065580C"/>
    <w:rsid w:val="0065735A"/>
    <w:rsid w:val="0065777E"/>
    <w:rsid w:val="0066170A"/>
    <w:rsid w:val="00662B70"/>
    <w:rsid w:val="00663D79"/>
    <w:rsid w:val="006651DD"/>
    <w:rsid w:val="00666669"/>
    <w:rsid w:val="00667293"/>
    <w:rsid w:val="00667BA9"/>
    <w:rsid w:val="00670511"/>
    <w:rsid w:val="00670780"/>
    <w:rsid w:val="00673E6F"/>
    <w:rsid w:val="006745FA"/>
    <w:rsid w:val="0067542B"/>
    <w:rsid w:val="00675A02"/>
    <w:rsid w:val="00676BD4"/>
    <w:rsid w:val="00680F3C"/>
    <w:rsid w:val="00682D9D"/>
    <w:rsid w:val="0068502B"/>
    <w:rsid w:val="0068657D"/>
    <w:rsid w:val="00687467"/>
    <w:rsid w:val="00692EEE"/>
    <w:rsid w:val="0069314B"/>
    <w:rsid w:val="00693347"/>
    <w:rsid w:val="00694538"/>
    <w:rsid w:val="0069656D"/>
    <w:rsid w:val="00696EA8"/>
    <w:rsid w:val="006A030A"/>
    <w:rsid w:val="006A0D54"/>
    <w:rsid w:val="006A1768"/>
    <w:rsid w:val="006A2896"/>
    <w:rsid w:val="006A3DF6"/>
    <w:rsid w:val="006A6418"/>
    <w:rsid w:val="006A70A0"/>
    <w:rsid w:val="006B010B"/>
    <w:rsid w:val="006B1370"/>
    <w:rsid w:val="006B33A1"/>
    <w:rsid w:val="006B35BB"/>
    <w:rsid w:val="006B5144"/>
    <w:rsid w:val="006B56B1"/>
    <w:rsid w:val="006B5AED"/>
    <w:rsid w:val="006C0283"/>
    <w:rsid w:val="006C18EB"/>
    <w:rsid w:val="006C2C90"/>
    <w:rsid w:val="006C522C"/>
    <w:rsid w:val="006C62AC"/>
    <w:rsid w:val="006D13C4"/>
    <w:rsid w:val="006D4871"/>
    <w:rsid w:val="006D58CC"/>
    <w:rsid w:val="006D6678"/>
    <w:rsid w:val="006E14FA"/>
    <w:rsid w:val="006E3203"/>
    <w:rsid w:val="006E53A3"/>
    <w:rsid w:val="006E6AC3"/>
    <w:rsid w:val="006E7766"/>
    <w:rsid w:val="006E77FF"/>
    <w:rsid w:val="006E7CAB"/>
    <w:rsid w:val="006F071B"/>
    <w:rsid w:val="006F1074"/>
    <w:rsid w:val="006F1912"/>
    <w:rsid w:val="006F22A2"/>
    <w:rsid w:val="006F3031"/>
    <w:rsid w:val="006F5606"/>
    <w:rsid w:val="006F698C"/>
    <w:rsid w:val="006F730D"/>
    <w:rsid w:val="006F7319"/>
    <w:rsid w:val="006F768B"/>
    <w:rsid w:val="006F77A8"/>
    <w:rsid w:val="0070225D"/>
    <w:rsid w:val="007026AA"/>
    <w:rsid w:val="00704C9C"/>
    <w:rsid w:val="0070511A"/>
    <w:rsid w:val="00707C09"/>
    <w:rsid w:val="00710CBE"/>
    <w:rsid w:val="00712499"/>
    <w:rsid w:val="00713143"/>
    <w:rsid w:val="00713D38"/>
    <w:rsid w:val="007166A6"/>
    <w:rsid w:val="00716AA6"/>
    <w:rsid w:val="00721599"/>
    <w:rsid w:val="0072365C"/>
    <w:rsid w:val="00726C7F"/>
    <w:rsid w:val="007272E2"/>
    <w:rsid w:val="00731081"/>
    <w:rsid w:val="0073165B"/>
    <w:rsid w:val="0073230B"/>
    <w:rsid w:val="00733FD8"/>
    <w:rsid w:val="00734685"/>
    <w:rsid w:val="007349C2"/>
    <w:rsid w:val="00736811"/>
    <w:rsid w:val="00736A67"/>
    <w:rsid w:val="007377CC"/>
    <w:rsid w:val="00742277"/>
    <w:rsid w:val="00742668"/>
    <w:rsid w:val="00742A30"/>
    <w:rsid w:val="00743A43"/>
    <w:rsid w:val="00744162"/>
    <w:rsid w:val="00744A5F"/>
    <w:rsid w:val="00744EF0"/>
    <w:rsid w:val="00745CCF"/>
    <w:rsid w:val="00746834"/>
    <w:rsid w:val="007512E9"/>
    <w:rsid w:val="00751F17"/>
    <w:rsid w:val="007524DD"/>
    <w:rsid w:val="007540E7"/>
    <w:rsid w:val="00757313"/>
    <w:rsid w:val="00757EFF"/>
    <w:rsid w:val="0076056B"/>
    <w:rsid w:val="00760D59"/>
    <w:rsid w:val="00762F1E"/>
    <w:rsid w:val="00764B9B"/>
    <w:rsid w:val="00766CA1"/>
    <w:rsid w:val="00770FD8"/>
    <w:rsid w:val="00771420"/>
    <w:rsid w:val="00771A25"/>
    <w:rsid w:val="00771AA7"/>
    <w:rsid w:val="00772872"/>
    <w:rsid w:val="007730F3"/>
    <w:rsid w:val="007741E1"/>
    <w:rsid w:val="007742D9"/>
    <w:rsid w:val="007767C7"/>
    <w:rsid w:val="007767FF"/>
    <w:rsid w:val="00780C88"/>
    <w:rsid w:val="0078125E"/>
    <w:rsid w:val="00781504"/>
    <w:rsid w:val="0078177C"/>
    <w:rsid w:val="00782B95"/>
    <w:rsid w:val="00782FA8"/>
    <w:rsid w:val="00783089"/>
    <w:rsid w:val="00785D4B"/>
    <w:rsid w:val="00790943"/>
    <w:rsid w:val="00791979"/>
    <w:rsid w:val="00791DF7"/>
    <w:rsid w:val="00793176"/>
    <w:rsid w:val="00793964"/>
    <w:rsid w:val="00793A74"/>
    <w:rsid w:val="00795534"/>
    <w:rsid w:val="00797A03"/>
    <w:rsid w:val="007A42E7"/>
    <w:rsid w:val="007A5D4B"/>
    <w:rsid w:val="007A6639"/>
    <w:rsid w:val="007A6F9C"/>
    <w:rsid w:val="007B0441"/>
    <w:rsid w:val="007B38AB"/>
    <w:rsid w:val="007B3B35"/>
    <w:rsid w:val="007C01CD"/>
    <w:rsid w:val="007C0555"/>
    <w:rsid w:val="007C1DDB"/>
    <w:rsid w:val="007C20C3"/>
    <w:rsid w:val="007C27FC"/>
    <w:rsid w:val="007C342B"/>
    <w:rsid w:val="007C35D3"/>
    <w:rsid w:val="007C3679"/>
    <w:rsid w:val="007C4F85"/>
    <w:rsid w:val="007C630F"/>
    <w:rsid w:val="007C6F27"/>
    <w:rsid w:val="007C7524"/>
    <w:rsid w:val="007D09AB"/>
    <w:rsid w:val="007D0ACD"/>
    <w:rsid w:val="007D2681"/>
    <w:rsid w:val="007D2DB2"/>
    <w:rsid w:val="007D2F27"/>
    <w:rsid w:val="007D406C"/>
    <w:rsid w:val="007D41F5"/>
    <w:rsid w:val="007D5664"/>
    <w:rsid w:val="007D5865"/>
    <w:rsid w:val="007D63F8"/>
    <w:rsid w:val="007D715C"/>
    <w:rsid w:val="007D7BBD"/>
    <w:rsid w:val="007E0757"/>
    <w:rsid w:val="007E0A8B"/>
    <w:rsid w:val="007E0D04"/>
    <w:rsid w:val="007E4DC1"/>
    <w:rsid w:val="007E54BA"/>
    <w:rsid w:val="007E5A42"/>
    <w:rsid w:val="007E725B"/>
    <w:rsid w:val="007F09B9"/>
    <w:rsid w:val="007F0F5F"/>
    <w:rsid w:val="007F2341"/>
    <w:rsid w:val="007F33E1"/>
    <w:rsid w:val="007F3443"/>
    <w:rsid w:val="007F3E32"/>
    <w:rsid w:val="007F4B24"/>
    <w:rsid w:val="007F54A5"/>
    <w:rsid w:val="007F6AF3"/>
    <w:rsid w:val="00802F5B"/>
    <w:rsid w:val="00810A44"/>
    <w:rsid w:val="0081118B"/>
    <w:rsid w:val="0081189E"/>
    <w:rsid w:val="008119D3"/>
    <w:rsid w:val="00811EAC"/>
    <w:rsid w:val="0081272D"/>
    <w:rsid w:val="008137AF"/>
    <w:rsid w:val="0081475A"/>
    <w:rsid w:val="00815D9C"/>
    <w:rsid w:val="00815E94"/>
    <w:rsid w:val="00816EE1"/>
    <w:rsid w:val="00817FC5"/>
    <w:rsid w:val="0082022D"/>
    <w:rsid w:val="00820F66"/>
    <w:rsid w:val="00821D7C"/>
    <w:rsid w:val="0082238D"/>
    <w:rsid w:val="00824000"/>
    <w:rsid w:val="0082533A"/>
    <w:rsid w:val="008253E1"/>
    <w:rsid w:val="00825B45"/>
    <w:rsid w:val="00825C1C"/>
    <w:rsid w:val="0083133B"/>
    <w:rsid w:val="0083265B"/>
    <w:rsid w:val="00833406"/>
    <w:rsid w:val="0083412A"/>
    <w:rsid w:val="008435AE"/>
    <w:rsid w:val="00844D2B"/>
    <w:rsid w:val="00845E47"/>
    <w:rsid w:val="0085278C"/>
    <w:rsid w:val="00852C6D"/>
    <w:rsid w:val="00852C90"/>
    <w:rsid w:val="00854131"/>
    <w:rsid w:val="00855307"/>
    <w:rsid w:val="00856686"/>
    <w:rsid w:val="00862794"/>
    <w:rsid w:val="008629CB"/>
    <w:rsid w:val="008647AB"/>
    <w:rsid w:val="008648FC"/>
    <w:rsid w:val="0086680B"/>
    <w:rsid w:val="00870B1B"/>
    <w:rsid w:val="00871B48"/>
    <w:rsid w:val="00871EFD"/>
    <w:rsid w:val="008730C0"/>
    <w:rsid w:val="00873D52"/>
    <w:rsid w:val="00874695"/>
    <w:rsid w:val="008766C2"/>
    <w:rsid w:val="008821D4"/>
    <w:rsid w:val="008855FA"/>
    <w:rsid w:val="00886006"/>
    <w:rsid w:val="008867A8"/>
    <w:rsid w:val="00890263"/>
    <w:rsid w:val="00893E1F"/>
    <w:rsid w:val="0089459C"/>
    <w:rsid w:val="00895EFA"/>
    <w:rsid w:val="00895F96"/>
    <w:rsid w:val="008A1192"/>
    <w:rsid w:val="008A3AF1"/>
    <w:rsid w:val="008A42CE"/>
    <w:rsid w:val="008A5149"/>
    <w:rsid w:val="008A6800"/>
    <w:rsid w:val="008A6B01"/>
    <w:rsid w:val="008A7157"/>
    <w:rsid w:val="008B0A3C"/>
    <w:rsid w:val="008B0CCA"/>
    <w:rsid w:val="008B357E"/>
    <w:rsid w:val="008B46FE"/>
    <w:rsid w:val="008B7C9B"/>
    <w:rsid w:val="008B7DA6"/>
    <w:rsid w:val="008C02EC"/>
    <w:rsid w:val="008C0BE5"/>
    <w:rsid w:val="008C0F68"/>
    <w:rsid w:val="008C21EB"/>
    <w:rsid w:val="008C24FF"/>
    <w:rsid w:val="008C307C"/>
    <w:rsid w:val="008C4DEA"/>
    <w:rsid w:val="008C61AA"/>
    <w:rsid w:val="008C624C"/>
    <w:rsid w:val="008D0255"/>
    <w:rsid w:val="008D0B64"/>
    <w:rsid w:val="008D1D1C"/>
    <w:rsid w:val="008D25C2"/>
    <w:rsid w:val="008D2C70"/>
    <w:rsid w:val="008D2D4E"/>
    <w:rsid w:val="008D4FCE"/>
    <w:rsid w:val="008D51C4"/>
    <w:rsid w:val="008D551D"/>
    <w:rsid w:val="008D5E95"/>
    <w:rsid w:val="008D7C7C"/>
    <w:rsid w:val="008E2BA9"/>
    <w:rsid w:val="008E2EC1"/>
    <w:rsid w:val="008E30A2"/>
    <w:rsid w:val="008E3EE6"/>
    <w:rsid w:val="008E48CF"/>
    <w:rsid w:val="008E4CE5"/>
    <w:rsid w:val="008E789A"/>
    <w:rsid w:val="008E7AA9"/>
    <w:rsid w:val="008F1294"/>
    <w:rsid w:val="008F2FBF"/>
    <w:rsid w:val="008F558C"/>
    <w:rsid w:val="008F5B90"/>
    <w:rsid w:val="008F71C0"/>
    <w:rsid w:val="008F7377"/>
    <w:rsid w:val="008F7886"/>
    <w:rsid w:val="009010A5"/>
    <w:rsid w:val="009036BB"/>
    <w:rsid w:val="00904150"/>
    <w:rsid w:val="00905492"/>
    <w:rsid w:val="00907715"/>
    <w:rsid w:val="00910C93"/>
    <w:rsid w:val="00911715"/>
    <w:rsid w:val="00914E71"/>
    <w:rsid w:val="009151A6"/>
    <w:rsid w:val="00916B4D"/>
    <w:rsid w:val="009179EA"/>
    <w:rsid w:val="00921424"/>
    <w:rsid w:val="00921FFB"/>
    <w:rsid w:val="0092635A"/>
    <w:rsid w:val="0092650D"/>
    <w:rsid w:val="00926C43"/>
    <w:rsid w:val="00927549"/>
    <w:rsid w:val="00927C2D"/>
    <w:rsid w:val="0093075F"/>
    <w:rsid w:val="009307C7"/>
    <w:rsid w:val="00930BE2"/>
    <w:rsid w:val="009334F6"/>
    <w:rsid w:val="009337DE"/>
    <w:rsid w:val="00933FCF"/>
    <w:rsid w:val="0094006A"/>
    <w:rsid w:val="00940A2F"/>
    <w:rsid w:val="009448E2"/>
    <w:rsid w:val="00944A0E"/>
    <w:rsid w:val="00944C53"/>
    <w:rsid w:val="00946324"/>
    <w:rsid w:val="00946B15"/>
    <w:rsid w:val="00950048"/>
    <w:rsid w:val="00950807"/>
    <w:rsid w:val="00951F54"/>
    <w:rsid w:val="009531FC"/>
    <w:rsid w:val="00953CD2"/>
    <w:rsid w:val="009545B0"/>
    <w:rsid w:val="00955773"/>
    <w:rsid w:val="009558C0"/>
    <w:rsid w:val="0095668D"/>
    <w:rsid w:val="00956928"/>
    <w:rsid w:val="00956930"/>
    <w:rsid w:val="00956FBA"/>
    <w:rsid w:val="009579BC"/>
    <w:rsid w:val="00957D9C"/>
    <w:rsid w:val="00964700"/>
    <w:rsid w:val="00964CC3"/>
    <w:rsid w:val="009659E3"/>
    <w:rsid w:val="00966973"/>
    <w:rsid w:val="0097151C"/>
    <w:rsid w:val="009737EF"/>
    <w:rsid w:val="00974086"/>
    <w:rsid w:val="00975834"/>
    <w:rsid w:val="00975E94"/>
    <w:rsid w:val="00976946"/>
    <w:rsid w:val="00977CCF"/>
    <w:rsid w:val="0098078E"/>
    <w:rsid w:val="0098118F"/>
    <w:rsid w:val="00986A2C"/>
    <w:rsid w:val="0098702C"/>
    <w:rsid w:val="00987762"/>
    <w:rsid w:val="00990661"/>
    <w:rsid w:val="00991D03"/>
    <w:rsid w:val="00993BA3"/>
    <w:rsid w:val="009A20B0"/>
    <w:rsid w:val="009A34D1"/>
    <w:rsid w:val="009A3857"/>
    <w:rsid w:val="009A3EFC"/>
    <w:rsid w:val="009A5C62"/>
    <w:rsid w:val="009A61B9"/>
    <w:rsid w:val="009A76B2"/>
    <w:rsid w:val="009B0F88"/>
    <w:rsid w:val="009B2899"/>
    <w:rsid w:val="009B3760"/>
    <w:rsid w:val="009B386B"/>
    <w:rsid w:val="009B480A"/>
    <w:rsid w:val="009B5CF5"/>
    <w:rsid w:val="009C0742"/>
    <w:rsid w:val="009C1479"/>
    <w:rsid w:val="009C220C"/>
    <w:rsid w:val="009C274E"/>
    <w:rsid w:val="009C46E8"/>
    <w:rsid w:val="009C47D5"/>
    <w:rsid w:val="009C4E99"/>
    <w:rsid w:val="009D048B"/>
    <w:rsid w:val="009D10E2"/>
    <w:rsid w:val="009D19BD"/>
    <w:rsid w:val="009D2E5A"/>
    <w:rsid w:val="009D34DA"/>
    <w:rsid w:val="009D4644"/>
    <w:rsid w:val="009D48F1"/>
    <w:rsid w:val="009E12CD"/>
    <w:rsid w:val="009E29E1"/>
    <w:rsid w:val="009E429C"/>
    <w:rsid w:val="009E5C74"/>
    <w:rsid w:val="009E6FEF"/>
    <w:rsid w:val="009E7138"/>
    <w:rsid w:val="009E783A"/>
    <w:rsid w:val="009F0127"/>
    <w:rsid w:val="009F1F66"/>
    <w:rsid w:val="009F27BC"/>
    <w:rsid w:val="009F33A2"/>
    <w:rsid w:val="009F34E8"/>
    <w:rsid w:val="009F443A"/>
    <w:rsid w:val="009F4BF7"/>
    <w:rsid w:val="009F6103"/>
    <w:rsid w:val="009F767D"/>
    <w:rsid w:val="009F7A3E"/>
    <w:rsid w:val="00A019CB"/>
    <w:rsid w:val="00A03B6F"/>
    <w:rsid w:val="00A05528"/>
    <w:rsid w:val="00A05F98"/>
    <w:rsid w:val="00A07682"/>
    <w:rsid w:val="00A106C3"/>
    <w:rsid w:val="00A11E00"/>
    <w:rsid w:val="00A12261"/>
    <w:rsid w:val="00A1551F"/>
    <w:rsid w:val="00A15705"/>
    <w:rsid w:val="00A15885"/>
    <w:rsid w:val="00A16247"/>
    <w:rsid w:val="00A2072F"/>
    <w:rsid w:val="00A219EB"/>
    <w:rsid w:val="00A21FB4"/>
    <w:rsid w:val="00A22A9C"/>
    <w:rsid w:val="00A23CFF"/>
    <w:rsid w:val="00A25DEA"/>
    <w:rsid w:val="00A27FDB"/>
    <w:rsid w:val="00A3311F"/>
    <w:rsid w:val="00A36AE2"/>
    <w:rsid w:val="00A40107"/>
    <w:rsid w:val="00A40BBE"/>
    <w:rsid w:val="00A41B75"/>
    <w:rsid w:val="00A41F6E"/>
    <w:rsid w:val="00A43D45"/>
    <w:rsid w:val="00A54782"/>
    <w:rsid w:val="00A55DEB"/>
    <w:rsid w:val="00A56223"/>
    <w:rsid w:val="00A6054C"/>
    <w:rsid w:val="00A628A1"/>
    <w:rsid w:val="00A62901"/>
    <w:rsid w:val="00A645C6"/>
    <w:rsid w:val="00A65ACE"/>
    <w:rsid w:val="00A65DE8"/>
    <w:rsid w:val="00A66F57"/>
    <w:rsid w:val="00A67519"/>
    <w:rsid w:val="00A67D8D"/>
    <w:rsid w:val="00A67DDF"/>
    <w:rsid w:val="00A70913"/>
    <w:rsid w:val="00A71834"/>
    <w:rsid w:val="00A7455C"/>
    <w:rsid w:val="00A75AB7"/>
    <w:rsid w:val="00A7773B"/>
    <w:rsid w:val="00A82F1E"/>
    <w:rsid w:val="00A84328"/>
    <w:rsid w:val="00A85418"/>
    <w:rsid w:val="00A8606B"/>
    <w:rsid w:val="00A87BA9"/>
    <w:rsid w:val="00A91976"/>
    <w:rsid w:val="00A922BB"/>
    <w:rsid w:val="00A93C4E"/>
    <w:rsid w:val="00A9413B"/>
    <w:rsid w:val="00A950EC"/>
    <w:rsid w:val="00AA00DA"/>
    <w:rsid w:val="00AA286F"/>
    <w:rsid w:val="00AA32A1"/>
    <w:rsid w:val="00AA50EC"/>
    <w:rsid w:val="00AA5EC0"/>
    <w:rsid w:val="00AA6005"/>
    <w:rsid w:val="00AA6329"/>
    <w:rsid w:val="00AA6C3B"/>
    <w:rsid w:val="00AB0415"/>
    <w:rsid w:val="00AB12FD"/>
    <w:rsid w:val="00AB1CCF"/>
    <w:rsid w:val="00AB248D"/>
    <w:rsid w:val="00AB47F3"/>
    <w:rsid w:val="00AB6DE1"/>
    <w:rsid w:val="00AC0E5C"/>
    <w:rsid w:val="00AC1295"/>
    <w:rsid w:val="00AC1329"/>
    <w:rsid w:val="00AC1B2E"/>
    <w:rsid w:val="00AC466F"/>
    <w:rsid w:val="00AC5321"/>
    <w:rsid w:val="00AC62CA"/>
    <w:rsid w:val="00AD316E"/>
    <w:rsid w:val="00AD51E3"/>
    <w:rsid w:val="00AD5FC3"/>
    <w:rsid w:val="00AD7FCF"/>
    <w:rsid w:val="00AE0002"/>
    <w:rsid w:val="00AE1D4F"/>
    <w:rsid w:val="00AE222F"/>
    <w:rsid w:val="00AE584E"/>
    <w:rsid w:val="00AE58E7"/>
    <w:rsid w:val="00AE59D9"/>
    <w:rsid w:val="00AE68E0"/>
    <w:rsid w:val="00AE7EA0"/>
    <w:rsid w:val="00AF22E6"/>
    <w:rsid w:val="00AF2FA5"/>
    <w:rsid w:val="00AF443B"/>
    <w:rsid w:val="00AF6EF3"/>
    <w:rsid w:val="00B00DFD"/>
    <w:rsid w:val="00B0250D"/>
    <w:rsid w:val="00B03482"/>
    <w:rsid w:val="00B04E46"/>
    <w:rsid w:val="00B05EDF"/>
    <w:rsid w:val="00B078CF"/>
    <w:rsid w:val="00B10B52"/>
    <w:rsid w:val="00B10F70"/>
    <w:rsid w:val="00B11992"/>
    <w:rsid w:val="00B11A33"/>
    <w:rsid w:val="00B13428"/>
    <w:rsid w:val="00B155DF"/>
    <w:rsid w:val="00B158B0"/>
    <w:rsid w:val="00B1636B"/>
    <w:rsid w:val="00B16ACB"/>
    <w:rsid w:val="00B179D7"/>
    <w:rsid w:val="00B17EA3"/>
    <w:rsid w:val="00B216B9"/>
    <w:rsid w:val="00B2187F"/>
    <w:rsid w:val="00B21986"/>
    <w:rsid w:val="00B21DAF"/>
    <w:rsid w:val="00B231F1"/>
    <w:rsid w:val="00B27F54"/>
    <w:rsid w:val="00B303B6"/>
    <w:rsid w:val="00B31D4B"/>
    <w:rsid w:val="00B32562"/>
    <w:rsid w:val="00B33021"/>
    <w:rsid w:val="00B34824"/>
    <w:rsid w:val="00B353D1"/>
    <w:rsid w:val="00B3643E"/>
    <w:rsid w:val="00B37A1E"/>
    <w:rsid w:val="00B401A0"/>
    <w:rsid w:val="00B456E6"/>
    <w:rsid w:val="00B45873"/>
    <w:rsid w:val="00B45EF3"/>
    <w:rsid w:val="00B45FFF"/>
    <w:rsid w:val="00B4777A"/>
    <w:rsid w:val="00B502C9"/>
    <w:rsid w:val="00B5049E"/>
    <w:rsid w:val="00B50778"/>
    <w:rsid w:val="00B508EB"/>
    <w:rsid w:val="00B50CA8"/>
    <w:rsid w:val="00B52512"/>
    <w:rsid w:val="00B56084"/>
    <w:rsid w:val="00B60648"/>
    <w:rsid w:val="00B61DB3"/>
    <w:rsid w:val="00B70803"/>
    <w:rsid w:val="00B72994"/>
    <w:rsid w:val="00B73366"/>
    <w:rsid w:val="00B7391F"/>
    <w:rsid w:val="00B755D4"/>
    <w:rsid w:val="00B75998"/>
    <w:rsid w:val="00B769B0"/>
    <w:rsid w:val="00B778D6"/>
    <w:rsid w:val="00B806C7"/>
    <w:rsid w:val="00B8159C"/>
    <w:rsid w:val="00B81D0C"/>
    <w:rsid w:val="00B85C8C"/>
    <w:rsid w:val="00B864E9"/>
    <w:rsid w:val="00B8770B"/>
    <w:rsid w:val="00B91492"/>
    <w:rsid w:val="00B91F9E"/>
    <w:rsid w:val="00B93466"/>
    <w:rsid w:val="00B93623"/>
    <w:rsid w:val="00B95C59"/>
    <w:rsid w:val="00B9606A"/>
    <w:rsid w:val="00BA2362"/>
    <w:rsid w:val="00BA304F"/>
    <w:rsid w:val="00BA50B0"/>
    <w:rsid w:val="00BA516F"/>
    <w:rsid w:val="00BA7F28"/>
    <w:rsid w:val="00BB0B9E"/>
    <w:rsid w:val="00BB16A1"/>
    <w:rsid w:val="00BB17FC"/>
    <w:rsid w:val="00BB24B5"/>
    <w:rsid w:val="00BB3177"/>
    <w:rsid w:val="00BB4621"/>
    <w:rsid w:val="00BB4732"/>
    <w:rsid w:val="00BB4A54"/>
    <w:rsid w:val="00BB4B5B"/>
    <w:rsid w:val="00BB67F2"/>
    <w:rsid w:val="00BC029D"/>
    <w:rsid w:val="00BC11EA"/>
    <w:rsid w:val="00BC1318"/>
    <w:rsid w:val="00BC1A14"/>
    <w:rsid w:val="00BC1CE1"/>
    <w:rsid w:val="00BC1D4D"/>
    <w:rsid w:val="00BC2197"/>
    <w:rsid w:val="00BC3467"/>
    <w:rsid w:val="00BC4BEA"/>
    <w:rsid w:val="00BD09F3"/>
    <w:rsid w:val="00BD0C9B"/>
    <w:rsid w:val="00BD0D1F"/>
    <w:rsid w:val="00BD0FE9"/>
    <w:rsid w:val="00BD252B"/>
    <w:rsid w:val="00BD2774"/>
    <w:rsid w:val="00BD29AA"/>
    <w:rsid w:val="00BD4F5C"/>
    <w:rsid w:val="00BD509A"/>
    <w:rsid w:val="00BD616E"/>
    <w:rsid w:val="00BD75BA"/>
    <w:rsid w:val="00BE1EE1"/>
    <w:rsid w:val="00BE2E64"/>
    <w:rsid w:val="00BE4040"/>
    <w:rsid w:val="00BE4C8F"/>
    <w:rsid w:val="00BE5C07"/>
    <w:rsid w:val="00BF2CFD"/>
    <w:rsid w:val="00BF571D"/>
    <w:rsid w:val="00BF606B"/>
    <w:rsid w:val="00BF6EC1"/>
    <w:rsid w:val="00C00145"/>
    <w:rsid w:val="00C023CB"/>
    <w:rsid w:val="00C03E3C"/>
    <w:rsid w:val="00C045A0"/>
    <w:rsid w:val="00C0622A"/>
    <w:rsid w:val="00C06EF1"/>
    <w:rsid w:val="00C14680"/>
    <w:rsid w:val="00C1474E"/>
    <w:rsid w:val="00C15236"/>
    <w:rsid w:val="00C15256"/>
    <w:rsid w:val="00C15CBF"/>
    <w:rsid w:val="00C16F95"/>
    <w:rsid w:val="00C174FB"/>
    <w:rsid w:val="00C20F93"/>
    <w:rsid w:val="00C21ACA"/>
    <w:rsid w:val="00C238F5"/>
    <w:rsid w:val="00C244BD"/>
    <w:rsid w:val="00C24B1E"/>
    <w:rsid w:val="00C25D58"/>
    <w:rsid w:val="00C26DF7"/>
    <w:rsid w:val="00C26F7B"/>
    <w:rsid w:val="00C30D30"/>
    <w:rsid w:val="00C32CF7"/>
    <w:rsid w:val="00C33A8D"/>
    <w:rsid w:val="00C33F11"/>
    <w:rsid w:val="00C35CCF"/>
    <w:rsid w:val="00C35FE1"/>
    <w:rsid w:val="00C4322C"/>
    <w:rsid w:val="00C46A1E"/>
    <w:rsid w:val="00C5038D"/>
    <w:rsid w:val="00C50423"/>
    <w:rsid w:val="00C529E9"/>
    <w:rsid w:val="00C53A20"/>
    <w:rsid w:val="00C5458D"/>
    <w:rsid w:val="00C579B1"/>
    <w:rsid w:val="00C60108"/>
    <w:rsid w:val="00C60C40"/>
    <w:rsid w:val="00C6199B"/>
    <w:rsid w:val="00C61E61"/>
    <w:rsid w:val="00C62565"/>
    <w:rsid w:val="00C638CA"/>
    <w:rsid w:val="00C667DD"/>
    <w:rsid w:val="00C66F04"/>
    <w:rsid w:val="00C6750B"/>
    <w:rsid w:val="00C70D2D"/>
    <w:rsid w:val="00C714C3"/>
    <w:rsid w:val="00C71997"/>
    <w:rsid w:val="00C72096"/>
    <w:rsid w:val="00C75052"/>
    <w:rsid w:val="00C81CAC"/>
    <w:rsid w:val="00C8370E"/>
    <w:rsid w:val="00C85841"/>
    <w:rsid w:val="00C9037C"/>
    <w:rsid w:val="00C9211C"/>
    <w:rsid w:val="00C950CA"/>
    <w:rsid w:val="00C959DB"/>
    <w:rsid w:val="00C95F36"/>
    <w:rsid w:val="00CA1008"/>
    <w:rsid w:val="00CA10F9"/>
    <w:rsid w:val="00CA1F25"/>
    <w:rsid w:val="00CA2BFF"/>
    <w:rsid w:val="00CA2D3F"/>
    <w:rsid w:val="00CA70F8"/>
    <w:rsid w:val="00CB11C2"/>
    <w:rsid w:val="00CB279A"/>
    <w:rsid w:val="00CB2D5F"/>
    <w:rsid w:val="00CB329C"/>
    <w:rsid w:val="00CB5800"/>
    <w:rsid w:val="00CC022D"/>
    <w:rsid w:val="00CC1275"/>
    <w:rsid w:val="00CC2F85"/>
    <w:rsid w:val="00CC3135"/>
    <w:rsid w:val="00CC37F8"/>
    <w:rsid w:val="00CC5792"/>
    <w:rsid w:val="00CC6620"/>
    <w:rsid w:val="00CC665C"/>
    <w:rsid w:val="00CC71B2"/>
    <w:rsid w:val="00CC7271"/>
    <w:rsid w:val="00CD1055"/>
    <w:rsid w:val="00CD2439"/>
    <w:rsid w:val="00CD62D2"/>
    <w:rsid w:val="00CD73B3"/>
    <w:rsid w:val="00CD75E4"/>
    <w:rsid w:val="00CE01F2"/>
    <w:rsid w:val="00CE4679"/>
    <w:rsid w:val="00CE4C71"/>
    <w:rsid w:val="00CE5A15"/>
    <w:rsid w:val="00CE5B2A"/>
    <w:rsid w:val="00CE6403"/>
    <w:rsid w:val="00CE7A64"/>
    <w:rsid w:val="00CF0BF4"/>
    <w:rsid w:val="00CF2FA6"/>
    <w:rsid w:val="00CF3DD0"/>
    <w:rsid w:val="00CF3FAD"/>
    <w:rsid w:val="00CF44D5"/>
    <w:rsid w:val="00CF49F5"/>
    <w:rsid w:val="00CF62A9"/>
    <w:rsid w:val="00CF73B0"/>
    <w:rsid w:val="00D003CF"/>
    <w:rsid w:val="00D01282"/>
    <w:rsid w:val="00D018FD"/>
    <w:rsid w:val="00D02213"/>
    <w:rsid w:val="00D05AA6"/>
    <w:rsid w:val="00D061BA"/>
    <w:rsid w:val="00D07152"/>
    <w:rsid w:val="00D07FD3"/>
    <w:rsid w:val="00D11E4B"/>
    <w:rsid w:val="00D12BCA"/>
    <w:rsid w:val="00D13279"/>
    <w:rsid w:val="00D132C5"/>
    <w:rsid w:val="00D146C9"/>
    <w:rsid w:val="00D17123"/>
    <w:rsid w:val="00D20181"/>
    <w:rsid w:val="00D206EB"/>
    <w:rsid w:val="00D21067"/>
    <w:rsid w:val="00D238AC"/>
    <w:rsid w:val="00D24A08"/>
    <w:rsid w:val="00D27536"/>
    <w:rsid w:val="00D300B7"/>
    <w:rsid w:val="00D306B0"/>
    <w:rsid w:val="00D37F89"/>
    <w:rsid w:val="00D41D6E"/>
    <w:rsid w:val="00D41F9C"/>
    <w:rsid w:val="00D43D86"/>
    <w:rsid w:val="00D444C9"/>
    <w:rsid w:val="00D45123"/>
    <w:rsid w:val="00D50308"/>
    <w:rsid w:val="00D50745"/>
    <w:rsid w:val="00D523DF"/>
    <w:rsid w:val="00D525E5"/>
    <w:rsid w:val="00D528A7"/>
    <w:rsid w:val="00D55A1C"/>
    <w:rsid w:val="00D55B23"/>
    <w:rsid w:val="00D5650A"/>
    <w:rsid w:val="00D5764E"/>
    <w:rsid w:val="00D6113C"/>
    <w:rsid w:val="00D61A88"/>
    <w:rsid w:val="00D61D87"/>
    <w:rsid w:val="00D63DD1"/>
    <w:rsid w:val="00D649DD"/>
    <w:rsid w:val="00D6584B"/>
    <w:rsid w:val="00D65DC8"/>
    <w:rsid w:val="00D65FCC"/>
    <w:rsid w:val="00D661DB"/>
    <w:rsid w:val="00D669E3"/>
    <w:rsid w:val="00D67F35"/>
    <w:rsid w:val="00D738D4"/>
    <w:rsid w:val="00D74190"/>
    <w:rsid w:val="00D74454"/>
    <w:rsid w:val="00D74636"/>
    <w:rsid w:val="00D750B5"/>
    <w:rsid w:val="00D75BBE"/>
    <w:rsid w:val="00D765E7"/>
    <w:rsid w:val="00D77144"/>
    <w:rsid w:val="00D821DD"/>
    <w:rsid w:val="00D83DA4"/>
    <w:rsid w:val="00D84979"/>
    <w:rsid w:val="00D84F21"/>
    <w:rsid w:val="00D857B9"/>
    <w:rsid w:val="00D90ED5"/>
    <w:rsid w:val="00D938EE"/>
    <w:rsid w:val="00D95E6D"/>
    <w:rsid w:val="00D9648A"/>
    <w:rsid w:val="00D96851"/>
    <w:rsid w:val="00D9785A"/>
    <w:rsid w:val="00DA03C3"/>
    <w:rsid w:val="00DA270E"/>
    <w:rsid w:val="00DA296D"/>
    <w:rsid w:val="00DA6F0E"/>
    <w:rsid w:val="00DA7221"/>
    <w:rsid w:val="00DA7A9C"/>
    <w:rsid w:val="00DB0E22"/>
    <w:rsid w:val="00DB4233"/>
    <w:rsid w:val="00DB577B"/>
    <w:rsid w:val="00DB5AF6"/>
    <w:rsid w:val="00DB666D"/>
    <w:rsid w:val="00DB6920"/>
    <w:rsid w:val="00DB6F10"/>
    <w:rsid w:val="00DC0FD4"/>
    <w:rsid w:val="00DC1A1A"/>
    <w:rsid w:val="00DC1AD0"/>
    <w:rsid w:val="00DC3019"/>
    <w:rsid w:val="00DC485C"/>
    <w:rsid w:val="00DC7EAE"/>
    <w:rsid w:val="00DD2E10"/>
    <w:rsid w:val="00DD320E"/>
    <w:rsid w:val="00DD7690"/>
    <w:rsid w:val="00DE124D"/>
    <w:rsid w:val="00DE146D"/>
    <w:rsid w:val="00DE14FC"/>
    <w:rsid w:val="00DE4AD6"/>
    <w:rsid w:val="00DE58BB"/>
    <w:rsid w:val="00DE6728"/>
    <w:rsid w:val="00DE7BA5"/>
    <w:rsid w:val="00DF0A8C"/>
    <w:rsid w:val="00DF1996"/>
    <w:rsid w:val="00DF2E02"/>
    <w:rsid w:val="00DF3391"/>
    <w:rsid w:val="00DF3FF6"/>
    <w:rsid w:val="00DF51E3"/>
    <w:rsid w:val="00E0083F"/>
    <w:rsid w:val="00E00B31"/>
    <w:rsid w:val="00E015B9"/>
    <w:rsid w:val="00E021BA"/>
    <w:rsid w:val="00E022D9"/>
    <w:rsid w:val="00E02A17"/>
    <w:rsid w:val="00E02C28"/>
    <w:rsid w:val="00E02C3F"/>
    <w:rsid w:val="00E02E18"/>
    <w:rsid w:val="00E03A6C"/>
    <w:rsid w:val="00E04973"/>
    <w:rsid w:val="00E1205A"/>
    <w:rsid w:val="00E137A8"/>
    <w:rsid w:val="00E13A7C"/>
    <w:rsid w:val="00E14125"/>
    <w:rsid w:val="00E148BE"/>
    <w:rsid w:val="00E14E8B"/>
    <w:rsid w:val="00E1539F"/>
    <w:rsid w:val="00E156BF"/>
    <w:rsid w:val="00E15879"/>
    <w:rsid w:val="00E16B59"/>
    <w:rsid w:val="00E177C3"/>
    <w:rsid w:val="00E1780A"/>
    <w:rsid w:val="00E17A56"/>
    <w:rsid w:val="00E17D8E"/>
    <w:rsid w:val="00E20664"/>
    <w:rsid w:val="00E21870"/>
    <w:rsid w:val="00E24787"/>
    <w:rsid w:val="00E2482B"/>
    <w:rsid w:val="00E248CA"/>
    <w:rsid w:val="00E30C3D"/>
    <w:rsid w:val="00E32C35"/>
    <w:rsid w:val="00E32F1D"/>
    <w:rsid w:val="00E33A7B"/>
    <w:rsid w:val="00E3639A"/>
    <w:rsid w:val="00E375C7"/>
    <w:rsid w:val="00E40079"/>
    <w:rsid w:val="00E406A9"/>
    <w:rsid w:val="00E40CC6"/>
    <w:rsid w:val="00E412F3"/>
    <w:rsid w:val="00E44935"/>
    <w:rsid w:val="00E44C9A"/>
    <w:rsid w:val="00E45B8B"/>
    <w:rsid w:val="00E5098C"/>
    <w:rsid w:val="00E50E7B"/>
    <w:rsid w:val="00E51957"/>
    <w:rsid w:val="00E51C17"/>
    <w:rsid w:val="00E527D7"/>
    <w:rsid w:val="00E54375"/>
    <w:rsid w:val="00E5612E"/>
    <w:rsid w:val="00E576D7"/>
    <w:rsid w:val="00E578F5"/>
    <w:rsid w:val="00E608A0"/>
    <w:rsid w:val="00E622C0"/>
    <w:rsid w:val="00E627C4"/>
    <w:rsid w:val="00E65D11"/>
    <w:rsid w:val="00E67079"/>
    <w:rsid w:val="00E72C32"/>
    <w:rsid w:val="00E73188"/>
    <w:rsid w:val="00E73269"/>
    <w:rsid w:val="00E74B52"/>
    <w:rsid w:val="00E74EE9"/>
    <w:rsid w:val="00E8012E"/>
    <w:rsid w:val="00E832E6"/>
    <w:rsid w:val="00E859FF"/>
    <w:rsid w:val="00E8681B"/>
    <w:rsid w:val="00E87279"/>
    <w:rsid w:val="00E90F9A"/>
    <w:rsid w:val="00E9220C"/>
    <w:rsid w:val="00E92293"/>
    <w:rsid w:val="00E924A4"/>
    <w:rsid w:val="00E92948"/>
    <w:rsid w:val="00E92C43"/>
    <w:rsid w:val="00E93B84"/>
    <w:rsid w:val="00E93CD2"/>
    <w:rsid w:val="00E96405"/>
    <w:rsid w:val="00E97D70"/>
    <w:rsid w:val="00E97F72"/>
    <w:rsid w:val="00EA0BBC"/>
    <w:rsid w:val="00EA1FF9"/>
    <w:rsid w:val="00EA29C0"/>
    <w:rsid w:val="00EA3BB9"/>
    <w:rsid w:val="00EA5660"/>
    <w:rsid w:val="00EA678D"/>
    <w:rsid w:val="00EA7597"/>
    <w:rsid w:val="00EA7A3E"/>
    <w:rsid w:val="00EB2305"/>
    <w:rsid w:val="00EB2455"/>
    <w:rsid w:val="00EB2C9C"/>
    <w:rsid w:val="00EB6A05"/>
    <w:rsid w:val="00EB759E"/>
    <w:rsid w:val="00EC0508"/>
    <w:rsid w:val="00EC145F"/>
    <w:rsid w:val="00EC1B08"/>
    <w:rsid w:val="00EC2AF1"/>
    <w:rsid w:val="00EC371D"/>
    <w:rsid w:val="00EC4ECB"/>
    <w:rsid w:val="00EC58BF"/>
    <w:rsid w:val="00EC686E"/>
    <w:rsid w:val="00EC7B73"/>
    <w:rsid w:val="00EC7F17"/>
    <w:rsid w:val="00ED0ED5"/>
    <w:rsid w:val="00ED33CF"/>
    <w:rsid w:val="00ED3DBF"/>
    <w:rsid w:val="00ED4613"/>
    <w:rsid w:val="00ED6DC0"/>
    <w:rsid w:val="00ED7623"/>
    <w:rsid w:val="00EE0B59"/>
    <w:rsid w:val="00EE1854"/>
    <w:rsid w:val="00EE22DC"/>
    <w:rsid w:val="00EE2ACD"/>
    <w:rsid w:val="00EE653C"/>
    <w:rsid w:val="00EE686F"/>
    <w:rsid w:val="00EE6FCA"/>
    <w:rsid w:val="00EE72E8"/>
    <w:rsid w:val="00EF0A9A"/>
    <w:rsid w:val="00EF5F76"/>
    <w:rsid w:val="00EF5FA1"/>
    <w:rsid w:val="00EF63A3"/>
    <w:rsid w:val="00EF6557"/>
    <w:rsid w:val="00EF7353"/>
    <w:rsid w:val="00EF7B18"/>
    <w:rsid w:val="00F019A3"/>
    <w:rsid w:val="00F051BF"/>
    <w:rsid w:val="00F069D6"/>
    <w:rsid w:val="00F12588"/>
    <w:rsid w:val="00F13A46"/>
    <w:rsid w:val="00F1711E"/>
    <w:rsid w:val="00F1764F"/>
    <w:rsid w:val="00F21765"/>
    <w:rsid w:val="00F21BFD"/>
    <w:rsid w:val="00F22484"/>
    <w:rsid w:val="00F224E4"/>
    <w:rsid w:val="00F236AC"/>
    <w:rsid w:val="00F2373B"/>
    <w:rsid w:val="00F237A1"/>
    <w:rsid w:val="00F23CE8"/>
    <w:rsid w:val="00F24B3F"/>
    <w:rsid w:val="00F24D21"/>
    <w:rsid w:val="00F24ECF"/>
    <w:rsid w:val="00F253B4"/>
    <w:rsid w:val="00F331A3"/>
    <w:rsid w:val="00F33B46"/>
    <w:rsid w:val="00F34125"/>
    <w:rsid w:val="00F34765"/>
    <w:rsid w:val="00F35D03"/>
    <w:rsid w:val="00F35DFB"/>
    <w:rsid w:val="00F36D8E"/>
    <w:rsid w:val="00F405AC"/>
    <w:rsid w:val="00F45A36"/>
    <w:rsid w:val="00F46FB5"/>
    <w:rsid w:val="00F5052B"/>
    <w:rsid w:val="00F52B05"/>
    <w:rsid w:val="00F618FD"/>
    <w:rsid w:val="00F636A6"/>
    <w:rsid w:val="00F63EE2"/>
    <w:rsid w:val="00F6450C"/>
    <w:rsid w:val="00F64880"/>
    <w:rsid w:val="00F65CD3"/>
    <w:rsid w:val="00F66720"/>
    <w:rsid w:val="00F670A4"/>
    <w:rsid w:val="00F700B6"/>
    <w:rsid w:val="00F70301"/>
    <w:rsid w:val="00F70771"/>
    <w:rsid w:val="00F71115"/>
    <w:rsid w:val="00F71357"/>
    <w:rsid w:val="00F725AF"/>
    <w:rsid w:val="00F72AD0"/>
    <w:rsid w:val="00F82EB9"/>
    <w:rsid w:val="00F837AD"/>
    <w:rsid w:val="00F858CB"/>
    <w:rsid w:val="00F8744E"/>
    <w:rsid w:val="00F90049"/>
    <w:rsid w:val="00F905CC"/>
    <w:rsid w:val="00F915CA"/>
    <w:rsid w:val="00F9247C"/>
    <w:rsid w:val="00F94797"/>
    <w:rsid w:val="00F95297"/>
    <w:rsid w:val="00F957E3"/>
    <w:rsid w:val="00F97296"/>
    <w:rsid w:val="00FA279B"/>
    <w:rsid w:val="00FA3BA4"/>
    <w:rsid w:val="00FA511C"/>
    <w:rsid w:val="00FB3A45"/>
    <w:rsid w:val="00FB3D50"/>
    <w:rsid w:val="00FB5DBB"/>
    <w:rsid w:val="00FB6BCF"/>
    <w:rsid w:val="00FB70D0"/>
    <w:rsid w:val="00FB7823"/>
    <w:rsid w:val="00FC0211"/>
    <w:rsid w:val="00FC10F5"/>
    <w:rsid w:val="00FC247D"/>
    <w:rsid w:val="00FC3514"/>
    <w:rsid w:val="00FC3ABA"/>
    <w:rsid w:val="00FC3B83"/>
    <w:rsid w:val="00FC4DDC"/>
    <w:rsid w:val="00FC6DF4"/>
    <w:rsid w:val="00FD044E"/>
    <w:rsid w:val="00FD28FA"/>
    <w:rsid w:val="00FD2E44"/>
    <w:rsid w:val="00FD2F9C"/>
    <w:rsid w:val="00FD37DB"/>
    <w:rsid w:val="00FD4B7B"/>
    <w:rsid w:val="00FD509B"/>
    <w:rsid w:val="00FD547B"/>
    <w:rsid w:val="00FD56FD"/>
    <w:rsid w:val="00FD588C"/>
    <w:rsid w:val="00FD640C"/>
    <w:rsid w:val="00FD6883"/>
    <w:rsid w:val="00FD7478"/>
    <w:rsid w:val="00FE2ABA"/>
    <w:rsid w:val="00FE572A"/>
    <w:rsid w:val="00FF12CE"/>
    <w:rsid w:val="00FF17E2"/>
    <w:rsid w:val="00FF19D0"/>
    <w:rsid w:val="00FF1C77"/>
    <w:rsid w:val="00FF24BB"/>
    <w:rsid w:val="00FF6002"/>
    <w:rsid w:val="00FF6988"/>
    <w:rsid w:val="00FF6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89F7D"/>
  <w14:defaultImageDpi w14:val="32767"/>
  <w15:docId w15:val="{DEE170F0-D953-407A-8A50-80EF0114B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Light" w:eastAsia="等线 Light" w:hAnsi="等线 Light"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D64"/>
    <w:rPr>
      <w:rFonts w:ascii="Times New Roman" w:hAnsi="Times New Roman"/>
      <w:sz w:val="24"/>
      <w:szCs w:val="24"/>
    </w:rPr>
  </w:style>
  <w:style w:type="paragraph" w:styleId="1">
    <w:name w:val="heading 1"/>
    <w:basedOn w:val="a"/>
    <w:next w:val="a"/>
    <w:link w:val="10"/>
    <w:uiPriority w:val="9"/>
    <w:qFormat/>
    <w:rsid w:val="00B7391F"/>
    <w:pPr>
      <w:pBdr>
        <w:bottom w:val="thinThickSmallGap" w:sz="12" w:space="1" w:color="C45911"/>
      </w:pBdr>
      <w:spacing w:before="400" w:after="200" w:line="252" w:lineRule="auto"/>
      <w:jc w:val="center"/>
      <w:outlineLvl w:val="0"/>
    </w:pPr>
    <w:rPr>
      <w:rFonts w:ascii="等线 Light" w:hAnsi="等线 Light"/>
      <w:caps/>
      <w:color w:val="833C0B"/>
      <w:spacing w:val="20"/>
      <w:sz w:val="28"/>
      <w:szCs w:val="28"/>
    </w:rPr>
  </w:style>
  <w:style w:type="paragraph" w:styleId="2">
    <w:name w:val="heading 2"/>
    <w:basedOn w:val="a"/>
    <w:next w:val="a"/>
    <w:link w:val="20"/>
    <w:uiPriority w:val="9"/>
    <w:qFormat/>
    <w:rsid w:val="00B7391F"/>
    <w:pPr>
      <w:pBdr>
        <w:bottom w:val="single" w:sz="4" w:space="1" w:color="823B0B"/>
      </w:pBdr>
      <w:spacing w:before="400" w:after="200" w:line="252" w:lineRule="auto"/>
      <w:jc w:val="center"/>
      <w:outlineLvl w:val="1"/>
    </w:pPr>
    <w:rPr>
      <w:rFonts w:ascii="等线 Light" w:hAnsi="等线 Light"/>
      <w:caps/>
      <w:color w:val="833C0B"/>
      <w:spacing w:val="15"/>
    </w:rPr>
  </w:style>
  <w:style w:type="paragraph" w:styleId="3">
    <w:name w:val="heading 3"/>
    <w:basedOn w:val="a"/>
    <w:next w:val="a"/>
    <w:link w:val="30"/>
    <w:uiPriority w:val="9"/>
    <w:qFormat/>
    <w:rsid w:val="00B7391F"/>
    <w:pPr>
      <w:pBdr>
        <w:top w:val="dotted" w:sz="4" w:space="1" w:color="823B0B"/>
        <w:bottom w:val="dotted" w:sz="4" w:space="1" w:color="823B0B"/>
      </w:pBdr>
      <w:spacing w:before="300" w:after="200" w:line="252" w:lineRule="auto"/>
      <w:jc w:val="center"/>
      <w:outlineLvl w:val="2"/>
    </w:pPr>
    <w:rPr>
      <w:rFonts w:ascii="等线 Light" w:hAnsi="等线 Light"/>
      <w:caps/>
      <w:color w:val="823B0B"/>
    </w:rPr>
  </w:style>
  <w:style w:type="paragraph" w:styleId="4">
    <w:name w:val="heading 4"/>
    <w:basedOn w:val="a"/>
    <w:next w:val="a"/>
    <w:link w:val="40"/>
    <w:uiPriority w:val="9"/>
    <w:qFormat/>
    <w:rsid w:val="00B7391F"/>
    <w:pPr>
      <w:pBdr>
        <w:bottom w:val="dotted" w:sz="4" w:space="1" w:color="C45911"/>
      </w:pBdr>
      <w:spacing w:after="120" w:line="252" w:lineRule="auto"/>
      <w:jc w:val="center"/>
      <w:outlineLvl w:val="3"/>
    </w:pPr>
    <w:rPr>
      <w:rFonts w:ascii="等线 Light" w:hAnsi="等线 Light"/>
      <w:caps/>
      <w:color w:val="823B0B"/>
      <w:spacing w:val="10"/>
      <w:sz w:val="22"/>
      <w:szCs w:val="22"/>
    </w:rPr>
  </w:style>
  <w:style w:type="paragraph" w:styleId="5">
    <w:name w:val="heading 5"/>
    <w:basedOn w:val="a"/>
    <w:next w:val="a"/>
    <w:link w:val="50"/>
    <w:uiPriority w:val="9"/>
    <w:qFormat/>
    <w:rsid w:val="00B7391F"/>
    <w:pPr>
      <w:spacing w:before="320" w:after="120" w:line="252" w:lineRule="auto"/>
      <w:jc w:val="center"/>
      <w:outlineLvl w:val="4"/>
    </w:pPr>
    <w:rPr>
      <w:rFonts w:ascii="等线 Light" w:hAnsi="等线 Light"/>
      <w:caps/>
      <w:color w:val="823B0B"/>
      <w:spacing w:val="10"/>
      <w:sz w:val="22"/>
      <w:szCs w:val="22"/>
    </w:rPr>
  </w:style>
  <w:style w:type="paragraph" w:styleId="6">
    <w:name w:val="heading 6"/>
    <w:basedOn w:val="a"/>
    <w:next w:val="a"/>
    <w:link w:val="60"/>
    <w:uiPriority w:val="9"/>
    <w:qFormat/>
    <w:rsid w:val="00B7391F"/>
    <w:pPr>
      <w:spacing w:after="120" w:line="252" w:lineRule="auto"/>
      <w:jc w:val="center"/>
      <w:outlineLvl w:val="5"/>
    </w:pPr>
    <w:rPr>
      <w:rFonts w:ascii="等线 Light" w:hAnsi="等线 Light"/>
      <w:caps/>
      <w:color w:val="C45911"/>
      <w:spacing w:val="10"/>
      <w:sz w:val="22"/>
      <w:szCs w:val="22"/>
    </w:rPr>
  </w:style>
  <w:style w:type="paragraph" w:styleId="7">
    <w:name w:val="heading 7"/>
    <w:basedOn w:val="a"/>
    <w:next w:val="a"/>
    <w:link w:val="70"/>
    <w:uiPriority w:val="9"/>
    <w:qFormat/>
    <w:rsid w:val="00B7391F"/>
    <w:pPr>
      <w:spacing w:after="120" w:line="252" w:lineRule="auto"/>
      <w:jc w:val="center"/>
      <w:outlineLvl w:val="6"/>
    </w:pPr>
    <w:rPr>
      <w:rFonts w:ascii="等线 Light" w:hAnsi="等线 Light"/>
      <w:i/>
      <w:iCs/>
      <w:caps/>
      <w:color w:val="C45911"/>
      <w:spacing w:val="10"/>
      <w:sz w:val="22"/>
      <w:szCs w:val="22"/>
    </w:rPr>
  </w:style>
  <w:style w:type="paragraph" w:styleId="8">
    <w:name w:val="heading 8"/>
    <w:basedOn w:val="a"/>
    <w:next w:val="a"/>
    <w:link w:val="80"/>
    <w:uiPriority w:val="9"/>
    <w:qFormat/>
    <w:rsid w:val="00B7391F"/>
    <w:pPr>
      <w:spacing w:after="120" w:line="252" w:lineRule="auto"/>
      <w:jc w:val="center"/>
      <w:outlineLvl w:val="7"/>
    </w:pPr>
    <w:rPr>
      <w:rFonts w:ascii="等线 Light" w:hAnsi="等线 Light"/>
      <w:caps/>
      <w:spacing w:val="10"/>
      <w:sz w:val="20"/>
      <w:szCs w:val="20"/>
    </w:rPr>
  </w:style>
  <w:style w:type="paragraph" w:styleId="9">
    <w:name w:val="heading 9"/>
    <w:basedOn w:val="a"/>
    <w:next w:val="a"/>
    <w:link w:val="90"/>
    <w:uiPriority w:val="9"/>
    <w:qFormat/>
    <w:rsid w:val="00B7391F"/>
    <w:pPr>
      <w:spacing w:after="120" w:line="252" w:lineRule="auto"/>
      <w:jc w:val="center"/>
      <w:outlineLvl w:val="8"/>
    </w:pPr>
    <w:rPr>
      <w:rFonts w:ascii="等线 Light" w:hAnsi="等线 Light"/>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4739C4"/>
    <w:pPr>
      <w:spacing w:after="200" w:line="252" w:lineRule="auto"/>
      <w:jc w:val="center"/>
    </w:pPr>
    <w:rPr>
      <w:rFonts w:eastAsia="等线"/>
      <w:sz w:val="20"/>
      <w:szCs w:val="22"/>
    </w:rPr>
  </w:style>
  <w:style w:type="paragraph" w:customStyle="1" w:styleId="EndNoteBibliography">
    <w:name w:val="EndNote Bibliography"/>
    <w:basedOn w:val="a"/>
    <w:rsid w:val="004739C4"/>
    <w:pPr>
      <w:spacing w:after="200"/>
    </w:pPr>
    <w:rPr>
      <w:rFonts w:eastAsia="等线"/>
      <w:sz w:val="20"/>
      <w:szCs w:val="22"/>
    </w:rPr>
  </w:style>
  <w:style w:type="paragraph" w:styleId="a3">
    <w:name w:val="header"/>
    <w:basedOn w:val="a"/>
    <w:link w:val="a4"/>
    <w:uiPriority w:val="99"/>
    <w:unhideWhenUsed/>
    <w:rsid w:val="00ED3DBF"/>
    <w:pPr>
      <w:pBdr>
        <w:bottom w:val="single" w:sz="6" w:space="1" w:color="auto"/>
      </w:pBdr>
      <w:tabs>
        <w:tab w:val="center" w:pos="4153"/>
        <w:tab w:val="right" w:pos="8306"/>
      </w:tabs>
      <w:snapToGrid w:val="0"/>
      <w:spacing w:after="200" w:line="252" w:lineRule="auto"/>
      <w:jc w:val="center"/>
    </w:pPr>
    <w:rPr>
      <w:rFonts w:ascii="等线 Light" w:hAnsi="等线 Light"/>
      <w:sz w:val="18"/>
      <w:szCs w:val="18"/>
    </w:rPr>
  </w:style>
  <w:style w:type="character" w:customStyle="1" w:styleId="a4">
    <w:name w:val="页眉 字符"/>
    <w:link w:val="a3"/>
    <w:uiPriority w:val="99"/>
    <w:rsid w:val="00ED3DBF"/>
    <w:rPr>
      <w:sz w:val="18"/>
      <w:szCs w:val="18"/>
    </w:rPr>
  </w:style>
  <w:style w:type="paragraph" w:styleId="a5">
    <w:name w:val="footer"/>
    <w:basedOn w:val="a"/>
    <w:link w:val="a6"/>
    <w:uiPriority w:val="99"/>
    <w:unhideWhenUsed/>
    <w:rsid w:val="00ED3DBF"/>
    <w:pPr>
      <w:tabs>
        <w:tab w:val="center" w:pos="4153"/>
        <w:tab w:val="right" w:pos="8306"/>
      </w:tabs>
      <w:snapToGrid w:val="0"/>
      <w:spacing w:after="200" w:line="252" w:lineRule="auto"/>
    </w:pPr>
    <w:rPr>
      <w:rFonts w:ascii="等线 Light" w:hAnsi="等线 Light"/>
      <w:sz w:val="18"/>
      <w:szCs w:val="18"/>
    </w:rPr>
  </w:style>
  <w:style w:type="character" w:customStyle="1" w:styleId="a6">
    <w:name w:val="页脚 字符"/>
    <w:link w:val="a5"/>
    <w:uiPriority w:val="99"/>
    <w:rsid w:val="00ED3DBF"/>
    <w:rPr>
      <w:sz w:val="18"/>
      <w:szCs w:val="18"/>
    </w:rPr>
  </w:style>
  <w:style w:type="character" w:styleId="a7">
    <w:name w:val="Hyperlink"/>
    <w:uiPriority w:val="99"/>
    <w:unhideWhenUsed/>
    <w:rsid w:val="005C579C"/>
    <w:rPr>
      <w:color w:val="0563C1"/>
      <w:u w:val="single"/>
    </w:rPr>
  </w:style>
  <w:style w:type="character" w:styleId="a8">
    <w:name w:val="FollowedHyperlink"/>
    <w:uiPriority w:val="99"/>
    <w:semiHidden/>
    <w:unhideWhenUsed/>
    <w:rsid w:val="005C579C"/>
    <w:rPr>
      <w:color w:val="954F72"/>
      <w:u w:val="single"/>
    </w:rPr>
  </w:style>
  <w:style w:type="paragraph" w:styleId="a9">
    <w:name w:val="Normal (Web)"/>
    <w:basedOn w:val="a"/>
    <w:uiPriority w:val="99"/>
    <w:unhideWhenUsed/>
    <w:rsid w:val="00F64880"/>
    <w:pPr>
      <w:spacing w:before="100" w:beforeAutospacing="1" w:after="100" w:afterAutospacing="1" w:line="252" w:lineRule="auto"/>
    </w:pPr>
    <w:rPr>
      <w:sz w:val="22"/>
      <w:szCs w:val="22"/>
    </w:rPr>
  </w:style>
  <w:style w:type="character" w:customStyle="1" w:styleId="10">
    <w:name w:val="标题 1 字符"/>
    <w:link w:val="1"/>
    <w:uiPriority w:val="9"/>
    <w:rsid w:val="00B7391F"/>
    <w:rPr>
      <w:caps/>
      <w:color w:val="833C0B"/>
      <w:spacing w:val="20"/>
      <w:sz w:val="28"/>
      <w:szCs w:val="28"/>
    </w:rPr>
  </w:style>
  <w:style w:type="character" w:customStyle="1" w:styleId="20">
    <w:name w:val="标题 2 字符"/>
    <w:link w:val="2"/>
    <w:uiPriority w:val="9"/>
    <w:semiHidden/>
    <w:rsid w:val="00B7391F"/>
    <w:rPr>
      <w:caps/>
      <w:color w:val="833C0B"/>
      <w:spacing w:val="15"/>
      <w:sz w:val="24"/>
      <w:szCs w:val="24"/>
    </w:rPr>
  </w:style>
  <w:style w:type="character" w:customStyle="1" w:styleId="30">
    <w:name w:val="标题 3 字符"/>
    <w:link w:val="3"/>
    <w:uiPriority w:val="9"/>
    <w:semiHidden/>
    <w:rsid w:val="00B7391F"/>
    <w:rPr>
      <w:caps/>
      <w:color w:val="823B0B"/>
      <w:sz w:val="24"/>
      <w:szCs w:val="24"/>
    </w:rPr>
  </w:style>
  <w:style w:type="character" w:customStyle="1" w:styleId="40">
    <w:name w:val="标题 4 字符"/>
    <w:link w:val="4"/>
    <w:uiPriority w:val="9"/>
    <w:semiHidden/>
    <w:rsid w:val="00B7391F"/>
    <w:rPr>
      <w:caps/>
      <w:color w:val="823B0B"/>
      <w:spacing w:val="10"/>
    </w:rPr>
  </w:style>
  <w:style w:type="character" w:customStyle="1" w:styleId="50">
    <w:name w:val="标题 5 字符"/>
    <w:link w:val="5"/>
    <w:uiPriority w:val="9"/>
    <w:semiHidden/>
    <w:rsid w:val="00B7391F"/>
    <w:rPr>
      <w:caps/>
      <w:color w:val="823B0B"/>
      <w:spacing w:val="10"/>
    </w:rPr>
  </w:style>
  <w:style w:type="character" w:customStyle="1" w:styleId="60">
    <w:name w:val="标题 6 字符"/>
    <w:link w:val="6"/>
    <w:uiPriority w:val="9"/>
    <w:semiHidden/>
    <w:rsid w:val="00B7391F"/>
    <w:rPr>
      <w:caps/>
      <w:color w:val="C45911"/>
      <w:spacing w:val="10"/>
    </w:rPr>
  </w:style>
  <w:style w:type="character" w:customStyle="1" w:styleId="70">
    <w:name w:val="标题 7 字符"/>
    <w:link w:val="7"/>
    <w:uiPriority w:val="9"/>
    <w:semiHidden/>
    <w:rsid w:val="00B7391F"/>
    <w:rPr>
      <w:i/>
      <w:iCs/>
      <w:caps/>
      <w:color w:val="C45911"/>
      <w:spacing w:val="10"/>
    </w:rPr>
  </w:style>
  <w:style w:type="character" w:customStyle="1" w:styleId="80">
    <w:name w:val="标题 8 字符"/>
    <w:link w:val="8"/>
    <w:uiPriority w:val="9"/>
    <w:semiHidden/>
    <w:rsid w:val="00B7391F"/>
    <w:rPr>
      <w:caps/>
      <w:spacing w:val="10"/>
      <w:sz w:val="20"/>
      <w:szCs w:val="20"/>
    </w:rPr>
  </w:style>
  <w:style w:type="character" w:customStyle="1" w:styleId="90">
    <w:name w:val="标题 9 字符"/>
    <w:link w:val="9"/>
    <w:uiPriority w:val="9"/>
    <w:semiHidden/>
    <w:rsid w:val="00B7391F"/>
    <w:rPr>
      <w:i/>
      <w:iCs/>
      <w:caps/>
      <w:spacing w:val="10"/>
      <w:sz w:val="20"/>
      <w:szCs w:val="20"/>
    </w:rPr>
  </w:style>
  <w:style w:type="paragraph" w:styleId="aa">
    <w:name w:val="caption"/>
    <w:basedOn w:val="a"/>
    <w:next w:val="a"/>
    <w:uiPriority w:val="35"/>
    <w:qFormat/>
    <w:rsid w:val="00B7391F"/>
    <w:pPr>
      <w:spacing w:after="200" w:line="252" w:lineRule="auto"/>
    </w:pPr>
    <w:rPr>
      <w:rFonts w:ascii="等线 Light" w:hAnsi="等线 Light"/>
      <w:caps/>
      <w:spacing w:val="10"/>
      <w:sz w:val="18"/>
      <w:szCs w:val="18"/>
    </w:rPr>
  </w:style>
  <w:style w:type="paragraph" w:styleId="ab">
    <w:name w:val="Title"/>
    <w:basedOn w:val="a"/>
    <w:next w:val="a"/>
    <w:link w:val="ac"/>
    <w:uiPriority w:val="10"/>
    <w:qFormat/>
    <w:rsid w:val="00B7391F"/>
    <w:pPr>
      <w:pBdr>
        <w:top w:val="dotted" w:sz="2" w:space="1" w:color="833C0B"/>
        <w:bottom w:val="dotted" w:sz="2" w:space="6" w:color="833C0B"/>
      </w:pBdr>
      <w:spacing w:before="500" w:after="300"/>
      <w:jc w:val="center"/>
    </w:pPr>
    <w:rPr>
      <w:rFonts w:ascii="等线 Light" w:hAnsi="等线 Light"/>
      <w:caps/>
      <w:color w:val="833C0B"/>
      <w:spacing w:val="50"/>
      <w:sz w:val="44"/>
      <w:szCs w:val="44"/>
    </w:rPr>
  </w:style>
  <w:style w:type="character" w:customStyle="1" w:styleId="ac">
    <w:name w:val="标题 字符"/>
    <w:link w:val="ab"/>
    <w:uiPriority w:val="10"/>
    <w:rsid w:val="00B7391F"/>
    <w:rPr>
      <w:caps/>
      <w:color w:val="833C0B"/>
      <w:spacing w:val="50"/>
      <w:sz w:val="44"/>
      <w:szCs w:val="44"/>
    </w:rPr>
  </w:style>
  <w:style w:type="paragraph" w:styleId="ad">
    <w:name w:val="Subtitle"/>
    <w:basedOn w:val="a"/>
    <w:next w:val="a"/>
    <w:link w:val="ae"/>
    <w:uiPriority w:val="11"/>
    <w:qFormat/>
    <w:rsid w:val="00B7391F"/>
    <w:pPr>
      <w:spacing w:after="560"/>
      <w:jc w:val="center"/>
    </w:pPr>
    <w:rPr>
      <w:rFonts w:ascii="等线 Light" w:hAnsi="等线 Light"/>
      <w:caps/>
      <w:spacing w:val="20"/>
      <w:sz w:val="18"/>
      <w:szCs w:val="18"/>
    </w:rPr>
  </w:style>
  <w:style w:type="character" w:customStyle="1" w:styleId="ae">
    <w:name w:val="副标题 字符"/>
    <w:link w:val="ad"/>
    <w:uiPriority w:val="11"/>
    <w:rsid w:val="00B7391F"/>
    <w:rPr>
      <w:caps/>
      <w:spacing w:val="20"/>
      <w:sz w:val="18"/>
      <w:szCs w:val="18"/>
    </w:rPr>
  </w:style>
  <w:style w:type="character" w:styleId="af">
    <w:name w:val="Strong"/>
    <w:uiPriority w:val="22"/>
    <w:qFormat/>
    <w:rsid w:val="00B7391F"/>
    <w:rPr>
      <w:b/>
      <w:bCs/>
      <w:color w:val="C45911"/>
      <w:spacing w:val="5"/>
    </w:rPr>
  </w:style>
  <w:style w:type="character" w:styleId="af0">
    <w:name w:val="Emphasis"/>
    <w:uiPriority w:val="20"/>
    <w:qFormat/>
    <w:rsid w:val="00B7391F"/>
    <w:rPr>
      <w:caps/>
      <w:spacing w:val="5"/>
      <w:sz w:val="20"/>
      <w:szCs w:val="20"/>
    </w:rPr>
  </w:style>
  <w:style w:type="paragraph" w:customStyle="1" w:styleId="21">
    <w:name w:val="中等深浅网格 21"/>
    <w:basedOn w:val="a"/>
    <w:link w:val="22"/>
    <w:uiPriority w:val="1"/>
    <w:qFormat/>
    <w:rsid w:val="00B7391F"/>
    <w:rPr>
      <w:rFonts w:ascii="等线 Light" w:hAnsi="等线 Light"/>
      <w:sz w:val="22"/>
      <w:szCs w:val="22"/>
    </w:rPr>
  </w:style>
  <w:style w:type="paragraph" w:customStyle="1" w:styleId="-11">
    <w:name w:val="彩色列表 - 强调文字颜色 11"/>
    <w:basedOn w:val="a"/>
    <w:uiPriority w:val="34"/>
    <w:qFormat/>
    <w:rsid w:val="00B7391F"/>
    <w:pPr>
      <w:spacing w:after="200" w:line="252" w:lineRule="auto"/>
      <w:ind w:left="720"/>
      <w:contextualSpacing/>
    </w:pPr>
    <w:rPr>
      <w:rFonts w:ascii="等线 Light" w:hAnsi="等线 Light"/>
      <w:sz w:val="22"/>
      <w:szCs w:val="22"/>
    </w:rPr>
  </w:style>
  <w:style w:type="paragraph" w:customStyle="1" w:styleId="-110">
    <w:name w:val="彩色网格 - 强调文字颜色 11"/>
    <w:basedOn w:val="a"/>
    <w:next w:val="a"/>
    <w:link w:val="-1"/>
    <w:uiPriority w:val="29"/>
    <w:qFormat/>
    <w:rsid w:val="00B7391F"/>
    <w:pPr>
      <w:spacing w:after="200" w:line="252" w:lineRule="auto"/>
    </w:pPr>
    <w:rPr>
      <w:rFonts w:ascii="等线 Light" w:hAnsi="等线 Light"/>
      <w:i/>
      <w:iCs/>
      <w:sz w:val="22"/>
      <w:szCs w:val="22"/>
    </w:rPr>
  </w:style>
  <w:style w:type="character" w:customStyle="1" w:styleId="-1">
    <w:name w:val="彩色网格 - 强调文字颜色 1字符"/>
    <w:link w:val="-110"/>
    <w:uiPriority w:val="29"/>
    <w:rsid w:val="00B7391F"/>
    <w:rPr>
      <w:i/>
      <w:iCs/>
    </w:rPr>
  </w:style>
  <w:style w:type="paragraph" w:customStyle="1" w:styleId="-21">
    <w:name w:val="浅色底纹 - 强调文字颜色 21"/>
    <w:basedOn w:val="a"/>
    <w:next w:val="a"/>
    <w:link w:val="-2"/>
    <w:uiPriority w:val="30"/>
    <w:qFormat/>
    <w:rsid w:val="00B7391F"/>
    <w:pPr>
      <w:pBdr>
        <w:top w:val="dotted" w:sz="2" w:space="10" w:color="833C0B"/>
        <w:bottom w:val="dotted" w:sz="2" w:space="4" w:color="833C0B"/>
      </w:pBdr>
      <w:spacing w:before="160" w:after="200" w:line="300" w:lineRule="auto"/>
      <w:ind w:left="1440" w:right="1440"/>
    </w:pPr>
    <w:rPr>
      <w:rFonts w:ascii="等线 Light" w:hAnsi="等线 Light"/>
      <w:caps/>
      <w:color w:val="823B0B"/>
      <w:spacing w:val="5"/>
      <w:sz w:val="20"/>
      <w:szCs w:val="20"/>
    </w:rPr>
  </w:style>
  <w:style w:type="character" w:customStyle="1" w:styleId="-2">
    <w:name w:val="浅色底纹 - 强调文字颜色 2字符"/>
    <w:link w:val="-21"/>
    <w:uiPriority w:val="30"/>
    <w:rsid w:val="00B7391F"/>
    <w:rPr>
      <w:caps/>
      <w:color w:val="823B0B"/>
      <w:spacing w:val="5"/>
      <w:sz w:val="20"/>
      <w:szCs w:val="20"/>
    </w:rPr>
  </w:style>
  <w:style w:type="character" w:styleId="af1">
    <w:name w:val="Subtle Emphasis"/>
    <w:uiPriority w:val="19"/>
    <w:qFormat/>
    <w:rsid w:val="00B7391F"/>
    <w:rPr>
      <w:i/>
      <w:iCs/>
    </w:rPr>
  </w:style>
  <w:style w:type="character" w:styleId="af2">
    <w:name w:val="Intense Emphasis"/>
    <w:uiPriority w:val="21"/>
    <w:qFormat/>
    <w:rsid w:val="00B7391F"/>
    <w:rPr>
      <w:i/>
      <w:iCs/>
      <w:caps/>
      <w:spacing w:val="10"/>
      <w:sz w:val="20"/>
      <w:szCs w:val="20"/>
    </w:rPr>
  </w:style>
  <w:style w:type="character" w:styleId="af3">
    <w:name w:val="Subtle Reference"/>
    <w:uiPriority w:val="31"/>
    <w:qFormat/>
    <w:rsid w:val="00B7391F"/>
    <w:rPr>
      <w:rFonts w:ascii="等线" w:eastAsia="等线" w:hAnsi="等线" w:cs="Times New Roman"/>
      <w:i/>
      <w:iCs/>
      <w:color w:val="823B0B"/>
    </w:rPr>
  </w:style>
  <w:style w:type="character" w:styleId="af4">
    <w:name w:val="Intense Reference"/>
    <w:uiPriority w:val="32"/>
    <w:qFormat/>
    <w:rsid w:val="00B7391F"/>
    <w:rPr>
      <w:rFonts w:ascii="等线" w:eastAsia="等线" w:hAnsi="等线" w:cs="Times New Roman"/>
      <w:b/>
      <w:bCs/>
      <w:i/>
      <w:iCs/>
      <w:color w:val="823B0B"/>
    </w:rPr>
  </w:style>
  <w:style w:type="character" w:styleId="af5">
    <w:name w:val="Book Title"/>
    <w:uiPriority w:val="33"/>
    <w:qFormat/>
    <w:rsid w:val="00B7391F"/>
    <w:rPr>
      <w:caps/>
      <w:color w:val="823B0B"/>
      <w:spacing w:val="5"/>
      <w:u w:color="823B0B"/>
    </w:rPr>
  </w:style>
  <w:style w:type="paragraph" w:styleId="TOC">
    <w:name w:val="TOC Heading"/>
    <w:basedOn w:val="1"/>
    <w:next w:val="a"/>
    <w:uiPriority w:val="39"/>
    <w:semiHidden/>
    <w:unhideWhenUsed/>
    <w:qFormat/>
    <w:rsid w:val="00B7391F"/>
    <w:pPr>
      <w:outlineLvl w:val="9"/>
    </w:pPr>
  </w:style>
  <w:style w:type="character" w:customStyle="1" w:styleId="22">
    <w:name w:val="中等深浅网格 2字符"/>
    <w:basedOn w:val="a0"/>
    <w:link w:val="21"/>
    <w:uiPriority w:val="1"/>
    <w:rsid w:val="00B7391F"/>
  </w:style>
  <w:style w:type="character" w:styleId="af6">
    <w:name w:val="page number"/>
    <w:basedOn w:val="a0"/>
    <w:uiPriority w:val="99"/>
    <w:semiHidden/>
    <w:unhideWhenUsed/>
    <w:rsid w:val="00270C79"/>
  </w:style>
  <w:style w:type="character" w:styleId="af7">
    <w:name w:val="line number"/>
    <w:basedOn w:val="a0"/>
    <w:uiPriority w:val="99"/>
    <w:semiHidden/>
    <w:unhideWhenUsed/>
    <w:rsid w:val="00D37F89"/>
  </w:style>
  <w:style w:type="table" w:styleId="af8">
    <w:name w:val="Table Grid"/>
    <w:basedOn w:val="a1"/>
    <w:uiPriority w:val="39"/>
    <w:rsid w:val="0043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普通表格 41"/>
    <w:basedOn w:val="a1"/>
    <w:uiPriority w:val="44"/>
    <w:rsid w:val="004367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thilite">
    <w:name w:val="hithilite"/>
    <w:basedOn w:val="a0"/>
    <w:rsid w:val="00DC1AD0"/>
  </w:style>
  <w:style w:type="paragraph" w:styleId="af9">
    <w:name w:val="Balloon Text"/>
    <w:basedOn w:val="a"/>
    <w:link w:val="afa"/>
    <w:uiPriority w:val="99"/>
    <w:semiHidden/>
    <w:unhideWhenUsed/>
    <w:rsid w:val="00825B45"/>
    <w:rPr>
      <w:rFonts w:ascii="Tahoma" w:hAnsi="Tahoma" w:cs="Tahoma"/>
      <w:sz w:val="16"/>
      <w:szCs w:val="16"/>
    </w:rPr>
  </w:style>
  <w:style w:type="character" w:customStyle="1" w:styleId="afa">
    <w:name w:val="批注框文本 字符"/>
    <w:basedOn w:val="a0"/>
    <w:link w:val="af9"/>
    <w:uiPriority w:val="99"/>
    <w:semiHidden/>
    <w:rsid w:val="00825B45"/>
    <w:rPr>
      <w:rFonts w:ascii="Tahoma" w:hAnsi="Tahoma" w:cs="Tahoma"/>
      <w:sz w:val="16"/>
      <w:szCs w:val="16"/>
    </w:rPr>
  </w:style>
  <w:style w:type="character" w:styleId="afb">
    <w:name w:val="annotation reference"/>
    <w:basedOn w:val="a0"/>
    <w:uiPriority w:val="99"/>
    <w:unhideWhenUsed/>
    <w:rsid w:val="00825B45"/>
    <w:rPr>
      <w:sz w:val="16"/>
      <w:szCs w:val="16"/>
    </w:rPr>
  </w:style>
  <w:style w:type="paragraph" w:styleId="afc">
    <w:name w:val="annotation text"/>
    <w:basedOn w:val="a"/>
    <w:link w:val="11"/>
    <w:uiPriority w:val="99"/>
    <w:unhideWhenUsed/>
    <w:qFormat/>
    <w:rsid w:val="00825B45"/>
    <w:rPr>
      <w:sz w:val="20"/>
      <w:szCs w:val="20"/>
    </w:rPr>
  </w:style>
  <w:style w:type="character" w:customStyle="1" w:styleId="11">
    <w:name w:val="批注文字 字符1"/>
    <w:basedOn w:val="a0"/>
    <w:link w:val="afc"/>
    <w:uiPriority w:val="99"/>
    <w:qFormat/>
    <w:rsid w:val="00825B45"/>
    <w:rPr>
      <w:rFonts w:ascii="Times New Roman" w:hAnsi="Times New Roman"/>
    </w:rPr>
  </w:style>
  <w:style w:type="paragraph" w:styleId="afd">
    <w:name w:val="annotation subject"/>
    <w:basedOn w:val="afc"/>
    <w:next w:val="afc"/>
    <w:link w:val="afe"/>
    <w:uiPriority w:val="99"/>
    <w:semiHidden/>
    <w:unhideWhenUsed/>
    <w:rsid w:val="00825B45"/>
    <w:rPr>
      <w:b/>
      <w:bCs/>
    </w:rPr>
  </w:style>
  <w:style w:type="character" w:customStyle="1" w:styleId="afe">
    <w:name w:val="批注主题 字符"/>
    <w:basedOn w:val="11"/>
    <w:link w:val="afd"/>
    <w:uiPriority w:val="99"/>
    <w:semiHidden/>
    <w:rsid w:val="00825B45"/>
    <w:rPr>
      <w:rFonts w:ascii="Times New Roman" w:hAnsi="Times New Roman"/>
      <w:b/>
      <w:bCs/>
    </w:rPr>
  </w:style>
  <w:style w:type="paragraph" w:styleId="aff">
    <w:name w:val="Revision"/>
    <w:hidden/>
    <w:uiPriority w:val="71"/>
    <w:semiHidden/>
    <w:rsid w:val="00811EAC"/>
    <w:rPr>
      <w:rFonts w:ascii="Times New Roman" w:hAnsi="Times New Roman"/>
      <w:sz w:val="24"/>
      <w:szCs w:val="24"/>
    </w:rPr>
  </w:style>
  <w:style w:type="paragraph" w:customStyle="1" w:styleId="12">
    <w:name w:val="正文1"/>
    <w:uiPriority w:val="99"/>
    <w:rsid w:val="00350F6A"/>
    <w:pPr>
      <w:spacing w:line="276" w:lineRule="auto"/>
    </w:pPr>
    <w:rPr>
      <w:rFonts w:ascii="Arial" w:eastAsia="宋体" w:hAnsi="Arial" w:cs="Arial"/>
      <w:color w:val="000000"/>
      <w:sz w:val="22"/>
      <w:lang w:val="pl-PL" w:eastAsia="pl-PL"/>
    </w:rPr>
  </w:style>
  <w:style w:type="character" w:customStyle="1" w:styleId="aff0">
    <w:name w:val="批注文字 字符"/>
    <w:uiPriority w:val="99"/>
    <w:semiHidden/>
    <w:rsid w:val="00350F6A"/>
    <w:rPr>
      <w:kern w:val="2"/>
      <w:sz w:val="21"/>
      <w:szCs w:val="22"/>
    </w:rPr>
  </w:style>
  <w:style w:type="paragraph" w:styleId="aff1">
    <w:name w:val="List Paragraph"/>
    <w:basedOn w:val="a"/>
    <w:uiPriority w:val="34"/>
    <w:qFormat/>
    <w:rsid w:val="003157C4"/>
    <w:pPr>
      <w:spacing w:after="200" w:line="276" w:lineRule="auto"/>
      <w:ind w:left="720"/>
      <w:contextualSpacing/>
    </w:pPr>
    <w:rPr>
      <w:rFonts w:ascii="Calibri" w:eastAsia="宋体" w:hAnsi="Calibri"/>
      <w:sz w:val="22"/>
      <w:szCs w:val="22"/>
      <w:lang w:val="en-GB" w:eastAsia="en-US"/>
    </w:rPr>
  </w:style>
  <w:style w:type="character" w:customStyle="1" w:styleId="apple-converted-space">
    <w:name w:val="apple-converted-space"/>
    <w:rsid w:val="00654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894">
      <w:bodyDiv w:val="1"/>
      <w:marLeft w:val="0"/>
      <w:marRight w:val="0"/>
      <w:marTop w:val="0"/>
      <w:marBottom w:val="0"/>
      <w:divBdr>
        <w:top w:val="none" w:sz="0" w:space="0" w:color="auto"/>
        <w:left w:val="none" w:sz="0" w:space="0" w:color="auto"/>
        <w:bottom w:val="none" w:sz="0" w:space="0" w:color="auto"/>
        <w:right w:val="none" w:sz="0" w:space="0" w:color="auto"/>
      </w:divBdr>
    </w:div>
    <w:div w:id="40909709">
      <w:bodyDiv w:val="1"/>
      <w:marLeft w:val="0"/>
      <w:marRight w:val="0"/>
      <w:marTop w:val="0"/>
      <w:marBottom w:val="0"/>
      <w:divBdr>
        <w:top w:val="none" w:sz="0" w:space="0" w:color="auto"/>
        <w:left w:val="none" w:sz="0" w:space="0" w:color="auto"/>
        <w:bottom w:val="none" w:sz="0" w:space="0" w:color="auto"/>
        <w:right w:val="none" w:sz="0" w:space="0" w:color="auto"/>
      </w:divBdr>
    </w:div>
    <w:div w:id="68887654">
      <w:bodyDiv w:val="1"/>
      <w:marLeft w:val="0"/>
      <w:marRight w:val="0"/>
      <w:marTop w:val="0"/>
      <w:marBottom w:val="0"/>
      <w:divBdr>
        <w:top w:val="none" w:sz="0" w:space="0" w:color="auto"/>
        <w:left w:val="none" w:sz="0" w:space="0" w:color="auto"/>
        <w:bottom w:val="none" w:sz="0" w:space="0" w:color="auto"/>
        <w:right w:val="none" w:sz="0" w:space="0" w:color="auto"/>
      </w:divBdr>
    </w:div>
    <w:div w:id="158539452">
      <w:bodyDiv w:val="1"/>
      <w:marLeft w:val="0"/>
      <w:marRight w:val="0"/>
      <w:marTop w:val="0"/>
      <w:marBottom w:val="0"/>
      <w:divBdr>
        <w:top w:val="none" w:sz="0" w:space="0" w:color="auto"/>
        <w:left w:val="none" w:sz="0" w:space="0" w:color="auto"/>
        <w:bottom w:val="none" w:sz="0" w:space="0" w:color="auto"/>
        <w:right w:val="none" w:sz="0" w:space="0" w:color="auto"/>
      </w:divBdr>
    </w:div>
    <w:div w:id="160439102">
      <w:bodyDiv w:val="1"/>
      <w:marLeft w:val="0"/>
      <w:marRight w:val="0"/>
      <w:marTop w:val="0"/>
      <w:marBottom w:val="0"/>
      <w:divBdr>
        <w:top w:val="none" w:sz="0" w:space="0" w:color="auto"/>
        <w:left w:val="none" w:sz="0" w:space="0" w:color="auto"/>
        <w:bottom w:val="none" w:sz="0" w:space="0" w:color="auto"/>
        <w:right w:val="none" w:sz="0" w:space="0" w:color="auto"/>
      </w:divBdr>
    </w:div>
    <w:div w:id="165094462">
      <w:bodyDiv w:val="1"/>
      <w:marLeft w:val="0"/>
      <w:marRight w:val="0"/>
      <w:marTop w:val="0"/>
      <w:marBottom w:val="0"/>
      <w:divBdr>
        <w:top w:val="none" w:sz="0" w:space="0" w:color="auto"/>
        <w:left w:val="none" w:sz="0" w:space="0" w:color="auto"/>
        <w:bottom w:val="none" w:sz="0" w:space="0" w:color="auto"/>
        <w:right w:val="none" w:sz="0" w:space="0" w:color="auto"/>
      </w:divBdr>
    </w:div>
    <w:div w:id="186262184">
      <w:bodyDiv w:val="1"/>
      <w:marLeft w:val="0"/>
      <w:marRight w:val="0"/>
      <w:marTop w:val="0"/>
      <w:marBottom w:val="0"/>
      <w:divBdr>
        <w:top w:val="none" w:sz="0" w:space="0" w:color="auto"/>
        <w:left w:val="none" w:sz="0" w:space="0" w:color="auto"/>
        <w:bottom w:val="none" w:sz="0" w:space="0" w:color="auto"/>
        <w:right w:val="none" w:sz="0" w:space="0" w:color="auto"/>
      </w:divBdr>
    </w:div>
    <w:div w:id="216430701">
      <w:bodyDiv w:val="1"/>
      <w:marLeft w:val="0"/>
      <w:marRight w:val="0"/>
      <w:marTop w:val="0"/>
      <w:marBottom w:val="0"/>
      <w:divBdr>
        <w:top w:val="none" w:sz="0" w:space="0" w:color="auto"/>
        <w:left w:val="none" w:sz="0" w:space="0" w:color="auto"/>
        <w:bottom w:val="none" w:sz="0" w:space="0" w:color="auto"/>
        <w:right w:val="none" w:sz="0" w:space="0" w:color="auto"/>
      </w:divBdr>
    </w:div>
    <w:div w:id="217522397">
      <w:bodyDiv w:val="1"/>
      <w:marLeft w:val="0"/>
      <w:marRight w:val="0"/>
      <w:marTop w:val="0"/>
      <w:marBottom w:val="0"/>
      <w:divBdr>
        <w:top w:val="none" w:sz="0" w:space="0" w:color="auto"/>
        <w:left w:val="none" w:sz="0" w:space="0" w:color="auto"/>
        <w:bottom w:val="none" w:sz="0" w:space="0" w:color="auto"/>
        <w:right w:val="none" w:sz="0" w:space="0" w:color="auto"/>
      </w:divBdr>
    </w:div>
    <w:div w:id="231165053">
      <w:bodyDiv w:val="1"/>
      <w:marLeft w:val="0"/>
      <w:marRight w:val="0"/>
      <w:marTop w:val="0"/>
      <w:marBottom w:val="0"/>
      <w:divBdr>
        <w:top w:val="none" w:sz="0" w:space="0" w:color="auto"/>
        <w:left w:val="none" w:sz="0" w:space="0" w:color="auto"/>
        <w:bottom w:val="none" w:sz="0" w:space="0" w:color="auto"/>
        <w:right w:val="none" w:sz="0" w:space="0" w:color="auto"/>
      </w:divBdr>
    </w:div>
    <w:div w:id="262423805">
      <w:bodyDiv w:val="1"/>
      <w:marLeft w:val="0"/>
      <w:marRight w:val="0"/>
      <w:marTop w:val="0"/>
      <w:marBottom w:val="0"/>
      <w:divBdr>
        <w:top w:val="none" w:sz="0" w:space="0" w:color="auto"/>
        <w:left w:val="none" w:sz="0" w:space="0" w:color="auto"/>
        <w:bottom w:val="none" w:sz="0" w:space="0" w:color="auto"/>
        <w:right w:val="none" w:sz="0" w:space="0" w:color="auto"/>
      </w:divBdr>
    </w:div>
    <w:div w:id="266541351">
      <w:bodyDiv w:val="1"/>
      <w:marLeft w:val="0"/>
      <w:marRight w:val="0"/>
      <w:marTop w:val="0"/>
      <w:marBottom w:val="0"/>
      <w:divBdr>
        <w:top w:val="none" w:sz="0" w:space="0" w:color="auto"/>
        <w:left w:val="none" w:sz="0" w:space="0" w:color="auto"/>
        <w:bottom w:val="none" w:sz="0" w:space="0" w:color="auto"/>
        <w:right w:val="none" w:sz="0" w:space="0" w:color="auto"/>
      </w:divBdr>
    </w:div>
    <w:div w:id="270475209">
      <w:bodyDiv w:val="1"/>
      <w:marLeft w:val="0"/>
      <w:marRight w:val="0"/>
      <w:marTop w:val="0"/>
      <w:marBottom w:val="0"/>
      <w:divBdr>
        <w:top w:val="none" w:sz="0" w:space="0" w:color="auto"/>
        <w:left w:val="none" w:sz="0" w:space="0" w:color="auto"/>
        <w:bottom w:val="none" w:sz="0" w:space="0" w:color="auto"/>
        <w:right w:val="none" w:sz="0" w:space="0" w:color="auto"/>
      </w:divBdr>
    </w:div>
    <w:div w:id="271283925">
      <w:bodyDiv w:val="1"/>
      <w:marLeft w:val="0"/>
      <w:marRight w:val="0"/>
      <w:marTop w:val="0"/>
      <w:marBottom w:val="0"/>
      <w:divBdr>
        <w:top w:val="none" w:sz="0" w:space="0" w:color="auto"/>
        <w:left w:val="none" w:sz="0" w:space="0" w:color="auto"/>
        <w:bottom w:val="none" w:sz="0" w:space="0" w:color="auto"/>
        <w:right w:val="none" w:sz="0" w:space="0" w:color="auto"/>
      </w:divBdr>
    </w:div>
    <w:div w:id="305866153">
      <w:bodyDiv w:val="1"/>
      <w:marLeft w:val="0"/>
      <w:marRight w:val="0"/>
      <w:marTop w:val="0"/>
      <w:marBottom w:val="0"/>
      <w:divBdr>
        <w:top w:val="none" w:sz="0" w:space="0" w:color="auto"/>
        <w:left w:val="none" w:sz="0" w:space="0" w:color="auto"/>
        <w:bottom w:val="none" w:sz="0" w:space="0" w:color="auto"/>
        <w:right w:val="none" w:sz="0" w:space="0" w:color="auto"/>
      </w:divBdr>
    </w:div>
    <w:div w:id="372732262">
      <w:bodyDiv w:val="1"/>
      <w:marLeft w:val="0"/>
      <w:marRight w:val="0"/>
      <w:marTop w:val="0"/>
      <w:marBottom w:val="0"/>
      <w:divBdr>
        <w:top w:val="none" w:sz="0" w:space="0" w:color="auto"/>
        <w:left w:val="none" w:sz="0" w:space="0" w:color="auto"/>
        <w:bottom w:val="none" w:sz="0" w:space="0" w:color="auto"/>
        <w:right w:val="none" w:sz="0" w:space="0" w:color="auto"/>
      </w:divBdr>
    </w:div>
    <w:div w:id="415982945">
      <w:bodyDiv w:val="1"/>
      <w:marLeft w:val="0"/>
      <w:marRight w:val="0"/>
      <w:marTop w:val="0"/>
      <w:marBottom w:val="0"/>
      <w:divBdr>
        <w:top w:val="none" w:sz="0" w:space="0" w:color="auto"/>
        <w:left w:val="none" w:sz="0" w:space="0" w:color="auto"/>
        <w:bottom w:val="none" w:sz="0" w:space="0" w:color="auto"/>
        <w:right w:val="none" w:sz="0" w:space="0" w:color="auto"/>
      </w:divBdr>
    </w:div>
    <w:div w:id="460390844">
      <w:bodyDiv w:val="1"/>
      <w:marLeft w:val="0"/>
      <w:marRight w:val="0"/>
      <w:marTop w:val="0"/>
      <w:marBottom w:val="0"/>
      <w:divBdr>
        <w:top w:val="none" w:sz="0" w:space="0" w:color="auto"/>
        <w:left w:val="none" w:sz="0" w:space="0" w:color="auto"/>
        <w:bottom w:val="none" w:sz="0" w:space="0" w:color="auto"/>
        <w:right w:val="none" w:sz="0" w:space="0" w:color="auto"/>
      </w:divBdr>
    </w:div>
    <w:div w:id="470486115">
      <w:bodyDiv w:val="1"/>
      <w:marLeft w:val="0"/>
      <w:marRight w:val="0"/>
      <w:marTop w:val="0"/>
      <w:marBottom w:val="0"/>
      <w:divBdr>
        <w:top w:val="none" w:sz="0" w:space="0" w:color="auto"/>
        <w:left w:val="none" w:sz="0" w:space="0" w:color="auto"/>
        <w:bottom w:val="none" w:sz="0" w:space="0" w:color="auto"/>
        <w:right w:val="none" w:sz="0" w:space="0" w:color="auto"/>
      </w:divBdr>
    </w:div>
    <w:div w:id="510098804">
      <w:bodyDiv w:val="1"/>
      <w:marLeft w:val="0"/>
      <w:marRight w:val="0"/>
      <w:marTop w:val="0"/>
      <w:marBottom w:val="0"/>
      <w:divBdr>
        <w:top w:val="none" w:sz="0" w:space="0" w:color="auto"/>
        <w:left w:val="none" w:sz="0" w:space="0" w:color="auto"/>
        <w:bottom w:val="none" w:sz="0" w:space="0" w:color="auto"/>
        <w:right w:val="none" w:sz="0" w:space="0" w:color="auto"/>
      </w:divBdr>
    </w:div>
    <w:div w:id="518199751">
      <w:bodyDiv w:val="1"/>
      <w:marLeft w:val="0"/>
      <w:marRight w:val="0"/>
      <w:marTop w:val="0"/>
      <w:marBottom w:val="0"/>
      <w:divBdr>
        <w:top w:val="none" w:sz="0" w:space="0" w:color="auto"/>
        <w:left w:val="none" w:sz="0" w:space="0" w:color="auto"/>
        <w:bottom w:val="none" w:sz="0" w:space="0" w:color="auto"/>
        <w:right w:val="none" w:sz="0" w:space="0" w:color="auto"/>
      </w:divBdr>
    </w:div>
    <w:div w:id="522089516">
      <w:bodyDiv w:val="1"/>
      <w:marLeft w:val="0"/>
      <w:marRight w:val="0"/>
      <w:marTop w:val="0"/>
      <w:marBottom w:val="0"/>
      <w:divBdr>
        <w:top w:val="none" w:sz="0" w:space="0" w:color="auto"/>
        <w:left w:val="none" w:sz="0" w:space="0" w:color="auto"/>
        <w:bottom w:val="none" w:sz="0" w:space="0" w:color="auto"/>
        <w:right w:val="none" w:sz="0" w:space="0" w:color="auto"/>
      </w:divBdr>
    </w:div>
    <w:div w:id="579874539">
      <w:bodyDiv w:val="1"/>
      <w:marLeft w:val="0"/>
      <w:marRight w:val="0"/>
      <w:marTop w:val="0"/>
      <w:marBottom w:val="0"/>
      <w:divBdr>
        <w:top w:val="none" w:sz="0" w:space="0" w:color="auto"/>
        <w:left w:val="none" w:sz="0" w:space="0" w:color="auto"/>
        <w:bottom w:val="none" w:sz="0" w:space="0" w:color="auto"/>
        <w:right w:val="none" w:sz="0" w:space="0" w:color="auto"/>
      </w:divBdr>
    </w:div>
    <w:div w:id="631517141">
      <w:bodyDiv w:val="1"/>
      <w:marLeft w:val="0"/>
      <w:marRight w:val="0"/>
      <w:marTop w:val="0"/>
      <w:marBottom w:val="0"/>
      <w:divBdr>
        <w:top w:val="none" w:sz="0" w:space="0" w:color="auto"/>
        <w:left w:val="none" w:sz="0" w:space="0" w:color="auto"/>
        <w:bottom w:val="none" w:sz="0" w:space="0" w:color="auto"/>
        <w:right w:val="none" w:sz="0" w:space="0" w:color="auto"/>
      </w:divBdr>
    </w:div>
    <w:div w:id="641616312">
      <w:bodyDiv w:val="1"/>
      <w:marLeft w:val="0"/>
      <w:marRight w:val="0"/>
      <w:marTop w:val="0"/>
      <w:marBottom w:val="0"/>
      <w:divBdr>
        <w:top w:val="none" w:sz="0" w:space="0" w:color="auto"/>
        <w:left w:val="none" w:sz="0" w:space="0" w:color="auto"/>
        <w:bottom w:val="none" w:sz="0" w:space="0" w:color="auto"/>
        <w:right w:val="none" w:sz="0" w:space="0" w:color="auto"/>
      </w:divBdr>
    </w:div>
    <w:div w:id="668564586">
      <w:bodyDiv w:val="1"/>
      <w:marLeft w:val="0"/>
      <w:marRight w:val="0"/>
      <w:marTop w:val="0"/>
      <w:marBottom w:val="0"/>
      <w:divBdr>
        <w:top w:val="none" w:sz="0" w:space="0" w:color="auto"/>
        <w:left w:val="none" w:sz="0" w:space="0" w:color="auto"/>
        <w:bottom w:val="none" w:sz="0" w:space="0" w:color="auto"/>
        <w:right w:val="none" w:sz="0" w:space="0" w:color="auto"/>
      </w:divBdr>
    </w:div>
    <w:div w:id="693309270">
      <w:bodyDiv w:val="1"/>
      <w:marLeft w:val="0"/>
      <w:marRight w:val="0"/>
      <w:marTop w:val="0"/>
      <w:marBottom w:val="0"/>
      <w:divBdr>
        <w:top w:val="none" w:sz="0" w:space="0" w:color="auto"/>
        <w:left w:val="none" w:sz="0" w:space="0" w:color="auto"/>
        <w:bottom w:val="none" w:sz="0" w:space="0" w:color="auto"/>
        <w:right w:val="none" w:sz="0" w:space="0" w:color="auto"/>
      </w:divBdr>
    </w:div>
    <w:div w:id="745616133">
      <w:bodyDiv w:val="1"/>
      <w:marLeft w:val="0"/>
      <w:marRight w:val="0"/>
      <w:marTop w:val="0"/>
      <w:marBottom w:val="0"/>
      <w:divBdr>
        <w:top w:val="none" w:sz="0" w:space="0" w:color="auto"/>
        <w:left w:val="none" w:sz="0" w:space="0" w:color="auto"/>
        <w:bottom w:val="none" w:sz="0" w:space="0" w:color="auto"/>
        <w:right w:val="none" w:sz="0" w:space="0" w:color="auto"/>
      </w:divBdr>
    </w:div>
    <w:div w:id="799884160">
      <w:bodyDiv w:val="1"/>
      <w:marLeft w:val="0"/>
      <w:marRight w:val="0"/>
      <w:marTop w:val="0"/>
      <w:marBottom w:val="0"/>
      <w:divBdr>
        <w:top w:val="none" w:sz="0" w:space="0" w:color="auto"/>
        <w:left w:val="none" w:sz="0" w:space="0" w:color="auto"/>
        <w:bottom w:val="none" w:sz="0" w:space="0" w:color="auto"/>
        <w:right w:val="none" w:sz="0" w:space="0" w:color="auto"/>
      </w:divBdr>
    </w:div>
    <w:div w:id="895898190">
      <w:bodyDiv w:val="1"/>
      <w:marLeft w:val="0"/>
      <w:marRight w:val="0"/>
      <w:marTop w:val="0"/>
      <w:marBottom w:val="0"/>
      <w:divBdr>
        <w:top w:val="none" w:sz="0" w:space="0" w:color="auto"/>
        <w:left w:val="none" w:sz="0" w:space="0" w:color="auto"/>
        <w:bottom w:val="none" w:sz="0" w:space="0" w:color="auto"/>
        <w:right w:val="none" w:sz="0" w:space="0" w:color="auto"/>
      </w:divBdr>
    </w:div>
    <w:div w:id="946694349">
      <w:bodyDiv w:val="1"/>
      <w:marLeft w:val="0"/>
      <w:marRight w:val="0"/>
      <w:marTop w:val="0"/>
      <w:marBottom w:val="0"/>
      <w:divBdr>
        <w:top w:val="none" w:sz="0" w:space="0" w:color="auto"/>
        <w:left w:val="none" w:sz="0" w:space="0" w:color="auto"/>
        <w:bottom w:val="none" w:sz="0" w:space="0" w:color="auto"/>
        <w:right w:val="none" w:sz="0" w:space="0" w:color="auto"/>
      </w:divBdr>
    </w:div>
    <w:div w:id="987443256">
      <w:bodyDiv w:val="1"/>
      <w:marLeft w:val="0"/>
      <w:marRight w:val="0"/>
      <w:marTop w:val="0"/>
      <w:marBottom w:val="0"/>
      <w:divBdr>
        <w:top w:val="none" w:sz="0" w:space="0" w:color="auto"/>
        <w:left w:val="none" w:sz="0" w:space="0" w:color="auto"/>
        <w:bottom w:val="none" w:sz="0" w:space="0" w:color="auto"/>
        <w:right w:val="none" w:sz="0" w:space="0" w:color="auto"/>
      </w:divBdr>
    </w:div>
    <w:div w:id="1033187316">
      <w:bodyDiv w:val="1"/>
      <w:marLeft w:val="0"/>
      <w:marRight w:val="0"/>
      <w:marTop w:val="0"/>
      <w:marBottom w:val="0"/>
      <w:divBdr>
        <w:top w:val="none" w:sz="0" w:space="0" w:color="auto"/>
        <w:left w:val="none" w:sz="0" w:space="0" w:color="auto"/>
        <w:bottom w:val="none" w:sz="0" w:space="0" w:color="auto"/>
        <w:right w:val="none" w:sz="0" w:space="0" w:color="auto"/>
      </w:divBdr>
    </w:div>
    <w:div w:id="1054355529">
      <w:bodyDiv w:val="1"/>
      <w:marLeft w:val="0"/>
      <w:marRight w:val="0"/>
      <w:marTop w:val="0"/>
      <w:marBottom w:val="0"/>
      <w:divBdr>
        <w:top w:val="none" w:sz="0" w:space="0" w:color="auto"/>
        <w:left w:val="none" w:sz="0" w:space="0" w:color="auto"/>
        <w:bottom w:val="none" w:sz="0" w:space="0" w:color="auto"/>
        <w:right w:val="none" w:sz="0" w:space="0" w:color="auto"/>
      </w:divBdr>
      <w:divsChild>
        <w:div w:id="331639417">
          <w:marLeft w:val="0"/>
          <w:marRight w:val="0"/>
          <w:marTop w:val="0"/>
          <w:marBottom w:val="0"/>
          <w:divBdr>
            <w:top w:val="none" w:sz="0" w:space="0" w:color="auto"/>
            <w:left w:val="none" w:sz="0" w:space="0" w:color="auto"/>
            <w:bottom w:val="none" w:sz="0" w:space="0" w:color="auto"/>
            <w:right w:val="none" w:sz="0" w:space="0" w:color="auto"/>
          </w:divBdr>
          <w:divsChild>
            <w:div w:id="1018699135">
              <w:marLeft w:val="0"/>
              <w:marRight w:val="0"/>
              <w:marTop w:val="0"/>
              <w:marBottom w:val="0"/>
              <w:divBdr>
                <w:top w:val="none" w:sz="0" w:space="0" w:color="auto"/>
                <w:left w:val="none" w:sz="0" w:space="0" w:color="auto"/>
                <w:bottom w:val="none" w:sz="0" w:space="0" w:color="auto"/>
                <w:right w:val="none" w:sz="0" w:space="0" w:color="auto"/>
              </w:divBdr>
              <w:divsChild>
                <w:div w:id="1120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7925">
      <w:bodyDiv w:val="1"/>
      <w:marLeft w:val="0"/>
      <w:marRight w:val="0"/>
      <w:marTop w:val="0"/>
      <w:marBottom w:val="0"/>
      <w:divBdr>
        <w:top w:val="none" w:sz="0" w:space="0" w:color="auto"/>
        <w:left w:val="none" w:sz="0" w:space="0" w:color="auto"/>
        <w:bottom w:val="none" w:sz="0" w:space="0" w:color="auto"/>
        <w:right w:val="none" w:sz="0" w:space="0" w:color="auto"/>
      </w:divBdr>
    </w:div>
    <w:div w:id="1104883798">
      <w:bodyDiv w:val="1"/>
      <w:marLeft w:val="0"/>
      <w:marRight w:val="0"/>
      <w:marTop w:val="0"/>
      <w:marBottom w:val="0"/>
      <w:divBdr>
        <w:top w:val="none" w:sz="0" w:space="0" w:color="auto"/>
        <w:left w:val="none" w:sz="0" w:space="0" w:color="auto"/>
        <w:bottom w:val="none" w:sz="0" w:space="0" w:color="auto"/>
        <w:right w:val="none" w:sz="0" w:space="0" w:color="auto"/>
      </w:divBdr>
    </w:div>
    <w:div w:id="1105731000">
      <w:bodyDiv w:val="1"/>
      <w:marLeft w:val="0"/>
      <w:marRight w:val="0"/>
      <w:marTop w:val="0"/>
      <w:marBottom w:val="0"/>
      <w:divBdr>
        <w:top w:val="none" w:sz="0" w:space="0" w:color="auto"/>
        <w:left w:val="none" w:sz="0" w:space="0" w:color="auto"/>
        <w:bottom w:val="none" w:sz="0" w:space="0" w:color="auto"/>
        <w:right w:val="none" w:sz="0" w:space="0" w:color="auto"/>
      </w:divBdr>
    </w:div>
    <w:div w:id="1127434577">
      <w:bodyDiv w:val="1"/>
      <w:marLeft w:val="0"/>
      <w:marRight w:val="0"/>
      <w:marTop w:val="0"/>
      <w:marBottom w:val="0"/>
      <w:divBdr>
        <w:top w:val="none" w:sz="0" w:space="0" w:color="auto"/>
        <w:left w:val="none" w:sz="0" w:space="0" w:color="auto"/>
        <w:bottom w:val="none" w:sz="0" w:space="0" w:color="auto"/>
        <w:right w:val="none" w:sz="0" w:space="0" w:color="auto"/>
      </w:divBdr>
    </w:div>
    <w:div w:id="1128401360">
      <w:bodyDiv w:val="1"/>
      <w:marLeft w:val="0"/>
      <w:marRight w:val="0"/>
      <w:marTop w:val="0"/>
      <w:marBottom w:val="0"/>
      <w:divBdr>
        <w:top w:val="none" w:sz="0" w:space="0" w:color="auto"/>
        <w:left w:val="none" w:sz="0" w:space="0" w:color="auto"/>
        <w:bottom w:val="none" w:sz="0" w:space="0" w:color="auto"/>
        <w:right w:val="none" w:sz="0" w:space="0" w:color="auto"/>
      </w:divBdr>
    </w:div>
    <w:div w:id="1150051735">
      <w:bodyDiv w:val="1"/>
      <w:marLeft w:val="0"/>
      <w:marRight w:val="0"/>
      <w:marTop w:val="0"/>
      <w:marBottom w:val="0"/>
      <w:divBdr>
        <w:top w:val="none" w:sz="0" w:space="0" w:color="auto"/>
        <w:left w:val="none" w:sz="0" w:space="0" w:color="auto"/>
        <w:bottom w:val="none" w:sz="0" w:space="0" w:color="auto"/>
        <w:right w:val="none" w:sz="0" w:space="0" w:color="auto"/>
      </w:divBdr>
      <w:divsChild>
        <w:div w:id="1447387595">
          <w:marLeft w:val="0"/>
          <w:marRight w:val="0"/>
          <w:marTop w:val="0"/>
          <w:marBottom w:val="0"/>
          <w:divBdr>
            <w:top w:val="none" w:sz="0" w:space="0" w:color="auto"/>
            <w:left w:val="none" w:sz="0" w:space="0" w:color="auto"/>
            <w:bottom w:val="none" w:sz="0" w:space="0" w:color="auto"/>
            <w:right w:val="none" w:sz="0" w:space="0" w:color="auto"/>
          </w:divBdr>
          <w:divsChild>
            <w:div w:id="41562932">
              <w:marLeft w:val="0"/>
              <w:marRight w:val="0"/>
              <w:marTop w:val="0"/>
              <w:marBottom w:val="0"/>
              <w:divBdr>
                <w:top w:val="none" w:sz="0" w:space="0" w:color="auto"/>
                <w:left w:val="none" w:sz="0" w:space="0" w:color="auto"/>
                <w:bottom w:val="none" w:sz="0" w:space="0" w:color="auto"/>
                <w:right w:val="none" w:sz="0" w:space="0" w:color="auto"/>
              </w:divBdr>
              <w:divsChild>
                <w:div w:id="1513493435">
                  <w:marLeft w:val="0"/>
                  <w:marRight w:val="0"/>
                  <w:marTop w:val="0"/>
                  <w:marBottom w:val="0"/>
                  <w:divBdr>
                    <w:top w:val="none" w:sz="0" w:space="0" w:color="auto"/>
                    <w:left w:val="none" w:sz="0" w:space="0" w:color="auto"/>
                    <w:bottom w:val="none" w:sz="0" w:space="0" w:color="auto"/>
                    <w:right w:val="none" w:sz="0" w:space="0" w:color="auto"/>
                  </w:divBdr>
                  <w:divsChild>
                    <w:div w:id="7888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55467">
      <w:bodyDiv w:val="1"/>
      <w:marLeft w:val="0"/>
      <w:marRight w:val="0"/>
      <w:marTop w:val="0"/>
      <w:marBottom w:val="0"/>
      <w:divBdr>
        <w:top w:val="none" w:sz="0" w:space="0" w:color="auto"/>
        <w:left w:val="none" w:sz="0" w:space="0" w:color="auto"/>
        <w:bottom w:val="none" w:sz="0" w:space="0" w:color="auto"/>
        <w:right w:val="none" w:sz="0" w:space="0" w:color="auto"/>
      </w:divBdr>
      <w:divsChild>
        <w:div w:id="1580947751">
          <w:marLeft w:val="0"/>
          <w:marRight w:val="0"/>
          <w:marTop w:val="0"/>
          <w:marBottom w:val="0"/>
          <w:divBdr>
            <w:top w:val="none" w:sz="0" w:space="0" w:color="auto"/>
            <w:left w:val="none" w:sz="0" w:space="0" w:color="auto"/>
            <w:bottom w:val="none" w:sz="0" w:space="0" w:color="auto"/>
            <w:right w:val="none" w:sz="0" w:space="0" w:color="auto"/>
          </w:divBdr>
          <w:divsChild>
            <w:div w:id="451100318">
              <w:marLeft w:val="0"/>
              <w:marRight w:val="0"/>
              <w:marTop w:val="0"/>
              <w:marBottom w:val="0"/>
              <w:divBdr>
                <w:top w:val="none" w:sz="0" w:space="0" w:color="auto"/>
                <w:left w:val="none" w:sz="0" w:space="0" w:color="auto"/>
                <w:bottom w:val="none" w:sz="0" w:space="0" w:color="auto"/>
                <w:right w:val="none" w:sz="0" w:space="0" w:color="auto"/>
              </w:divBdr>
              <w:divsChild>
                <w:div w:id="11716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0297">
      <w:bodyDiv w:val="1"/>
      <w:marLeft w:val="0"/>
      <w:marRight w:val="0"/>
      <w:marTop w:val="0"/>
      <w:marBottom w:val="0"/>
      <w:divBdr>
        <w:top w:val="none" w:sz="0" w:space="0" w:color="auto"/>
        <w:left w:val="none" w:sz="0" w:space="0" w:color="auto"/>
        <w:bottom w:val="none" w:sz="0" w:space="0" w:color="auto"/>
        <w:right w:val="none" w:sz="0" w:space="0" w:color="auto"/>
      </w:divBdr>
    </w:div>
    <w:div w:id="1242525577">
      <w:bodyDiv w:val="1"/>
      <w:marLeft w:val="0"/>
      <w:marRight w:val="0"/>
      <w:marTop w:val="0"/>
      <w:marBottom w:val="0"/>
      <w:divBdr>
        <w:top w:val="none" w:sz="0" w:space="0" w:color="auto"/>
        <w:left w:val="none" w:sz="0" w:space="0" w:color="auto"/>
        <w:bottom w:val="none" w:sz="0" w:space="0" w:color="auto"/>
        <w:right w:val="none" w:sz="0" w:space="0" w:color="auto"/>
      </w:divBdr>
    </w:div>
    <w:div w:id="1270284699">
      <w:bodyDiv w:val="1"/>
      <w:marLeft w:val="0"/>
      <w:marRight w:val="0"/>
      <w:marTop w:val="0"/>
      <w:marBottom w:val="0"/>
      <w:divBdr>
        <w:top w:val="none" w:sz="0" w:space="0" w:color="auto"/>
        <w:left w:val="none" w:sz="0" w:space="0" w:color="auto"/>
        <w:bottom w:val="none" w:sz="0" w:space="0" w:color="auto"/>
        <w:right w:val="none" w:sz="0" w:space="0" w:color="auto"/>
      </w:divBdr>
    </w:div>
    <w:div w:id="1277366855">
      <w:bodyDiv w:val="1"/>
      <w:marLeft w:val="0"/>
      <w:marRight w:val="0"/>
      <w:marTop w:val="0"/>
      <w:marBottom w:val="0"/>
      <w:divBdr>
        <w:top w:val="none" w:sz="0" w:space="0" w:color="auto"/>
        <w:left w:val="none" w:sz="0" w:space="0" w:color="auto"/>
        <w:bottom w:val="none" w:sz="0" w:space="0" w:color="auto"/>
        <w:right w:val="none" w:sz="0" w:space="0" w:color="auto"/>
      </w:divBdr>
    </w:div>
    <w:div w:id="1281184529">
      <w:bodyDiv w:val="1"/>
      <w:marLeft w:val="0"/>
      <w:marRight w:val="0"/>
      <w:marTop w:val="0"/>
      <w:marBottom w:val="0"/>
      <w:divBdr>
        <w:top w:val="none" w:sz="0" w:space="0" w:color="auto"/>
        <w:left w:val="none" w:sz="0" w:space="0" w:color="auto"/>
        <w:bottom w:val="none" w:sz="0" w:space="0" w:color="auto"/>
        <w:right w:val="none" w:sz="0" w:space="0" w:color="auto"/>
      </w:divBdr>
    </w:div>
    <w:div w:id="1284194445">
      <w:bodyDiv w:val="1"/>
      <w:marLeft w:val="0"/>
      <w:marRight w:val="0"/>
      <w:marTop w:val="0"/>
      <w:marBottom w:val="0"/>
      <w:divBdr>
        <w:top w:val="none" w:sz="0" w:space="0" w:color="auto"/>
        <w:left w:val="none" w:sz="0" w:space="0" w:color="auto"/>
        <w:bottom w:val="none" w:sz="0" w:space="0" w:color="auto"/>
        <w:right w:val="none" w:sz="0" w:space="0" w:color="auto"/>
      </w:divBdr>
    </w:div>
    <w:div w:id="1294561842">
      <w:bodyDiv w:val="1"/>
      <w:marLeft w:val="0"/>
      <w:marRight w:val="0"/>
      <w:marTop w:val="0"/>
      <w:marBottom w:val="0"/>
      <w:divBdr>
        <w:top w:val="none" w:sz="0" w:space="0" w:color="auto"/>
        <w:left w:val="none" w:sz="0" w:space="0" w:color="auto"/>
        <w:bottom w:val="none" w:sz="0" w:space="0" w:color="auto"/>
        <w:right w:val="none" w:sz="0" w:space="0" w:color="auto"/>
      </w:divBdr>
    </w:div>
    <w:div w:id="1309170572">
      <w:bodyDiv w:val="1"/>
      <w:marLeft w:val="0"/>
      <w:marRight w:val="0"/>
      <w:marTop w:val="0"/>
      <w:marBottom w:val="0"/>
      <w:divBdr>
        <w:top w:val="none" w:sz="0" w:space="0" w:color="auto"/>
        <w:left w:val="none" w:sz="0" w:space="0" w:color="auto"/>
        <w:bottom w:val="none" w:sz="0" w:space="0" w:color="auto"/>
        <w:right w:val="none" w:sz="0" w:space="0" w:color="auto"/>
      </w:divBdr>
    </w:div>
    <w:div w:id="1314748544">
      <w:bodyDiv w:val="1"/>
      <w:marLeft w:val="0"/>
      <w:marRight w:val="0"/>
      <w:marTop w:val="0"/>
      <w:marBottom w:val="0"/>
      <w:divBdr>
        <w:top w:val="none" w:sz="0" w:space="0" w:color="auto"/>
        <w:left w:val="none" w:sz="0" w:space="0" w:color="auto"/>
        <w:bottom w:val="none" w:sz="0" w:space="0" w:color="auto"/>
        <w:right w:val="none" w:sz="0" w:space="0" w:color="auto"/>
      </w:divBdr>
      <w:divsChild>
        <w:div w:id="683243000">
          <w:marLeft w:val="0"/>
          <w:marRight w:val="0"/>
          <w:marTop w:val="0"/>
          <w:marBottom w:val="0"/>
          <w:divBdr>
            <w:top w:val="none" w:sz="0" w:space="0" w:color="auto"/>
            <w:left w:val="none" w:sz="0" w:space="0" w:color="auto"/>
            <w:bottom w:val="none" w:sz="0" w:space="0" w:color="auto"/>
            <w:right w:val="none" w:sz="0" w:space="0" w:color="auto"/>
          </w:divBdr>
          <w:divsChild>
            <w:div w:id="1636445435">
              <w:marLeft w:val="0"/>
              <w:marRight w:val="0"/>
              <w:marTop w:val="0"/>
              <w:marBottom w:val="0"/>
              <w:divBdr>
                <w:top w:val="none" w:sz="0" w:space="0" w:color="auto"/>
                <w:left w:val="none" w:sz="0" w:space="0" w:color="auto"/>
                <w:bottom w:val="none" w:sz="0" w:space="0" w:color="auto"/>
                <w:right w:val="none" w:sz="0" w:space="0" w:color="auto"/>
              </w:divBdr>
              <w:divsChild>
                <w:div w:id="1211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9227">
      <w:bodyDiv w:val="1"/>
      <w:marLeft w:val="0"/>
      <w:marRight w:val="0"/>
      <w:marTop w:val="0"/>
      <w:marBottom w:val="0"/>
      <w:divBdr>
        <w:top w:val="none" w:sz="0" w:space="0" w:color="auto"/>
        <w:left w:val="none" w:sz="0" w:space="0" w:color="auto"/>
        <w:bottom w:val="none" w:sz="0" w:space="0" w:color="auto"/>
        <w:right w:val="none" w:sz="0" w:space="0" w:color="auto"/>
      </w:divBdr>
    </w:div>
    <w:div w:id="1336300711">
      <w:bodyDiv w:val="1"/>
      <w:marLeft w:val="0"/>
      <w:marRight w:val="0"/>
      <w:marTop w:val="0"/>
      <w:marBottom w:val="0"/>
      <w:divBdr>
        <w:top w:val="none" w:sz="0" w:space="0" w:color="auto"/>
        <w:left w:val="none" w:sz="0" w:space="0" w:color="auto"/>
        <w:bottom w:val="none" w:sz="0" w:space="0" w:color="auto"/>
        <w:right w:val="none" w:sz="0" w:space="0" w:color="auto"/>
      </w:divBdr>
    </w:div>
    <w:div w:id="1337536500">
      <w:bodyDiv w:val="1"/>
      <w:marLeft w:val="0"/>
      <w:marRight w:val="0"/>
      <w:marTop w:val="0"/>
      <w:marBottom w:val="0"/>
      <w:divBdr>
        <w:top w:val="none" w:sz="0" w:space="0" w:color="auto"/>
        <w:left w:val="none" w:sz="0" w:space="0" w:color="auto"/>
        <w:bottom w:val="none" w:sz="0" w:space="0" w:color="auto"/>
        <w:right w:val="none" w:sz="0" w:space="0" w:color="auto"/>
      </w:divBdr>
    </w:div>
    <w:div w:id="1346445098">
      <w:bodyDiv w:val="1"/>
      <w:marLeft w:val="0"/>
      <w:marRight w:val="0"/>
      <w:marTop w:val="0"/>
      <w:marBottom w:val="0"/>
      <w:divBdr>
        <w:top w:val="none" w:sz="0" w:space="0" w:color="auto"/>
        <w:left w:val="none" w:sz="0" w:space="0" w:color="auto"/>
        <w:bottom w:val="none" w:sz="0" w:space="0" w:color="auto"/>
        <w:right w:val="none" w:sz="0" w:space="0" w:color="auto"/>
      </w:divBdr>
    </w:div>
    <w:div w:id="1371757349">
      <w:bodyDiv w:val="1"/>
      <w:marLeft w:val="0"/>
      <w:marRight w:val="0"/>
      <w:marTop w:val="0"/>
      <w:marBottom w:val="0"/>
      <w:divBdr>
        <w:top w:val="none" w:sz="0" w:space="0" w:color="auto"/>
        <w:left w:val="none" w:sz="0" w:space="0" w:color="auto"/>
        <w:bottom w:val="none" w:sz="0" w:space="0" w:color="auto"/>
        <w:right w:val="none" w:sz="0" w:space="0" w:color="auto"/>
      </w:divBdr>
    </w:div>
    <w:div w:id="1424183444">
      <w:bodyDiv w:val="1"/>
      <w:marLeft w:val="0"/>
      <w:marRight w:val="0"/>
      <w:marTop w:val="0"/>
      <w:marBottom w:val="0"/>
      <w:divBdr>
        <w:top w:val="none" w:sz="0" w:space="0" w:color="auto"/>
        <w:left w:val="none" w:sz="0" w:space="0" w:color="auto"/>
        <w:bottom w:val="none" w:sz="0" w:space="0" w:color="auto"/>
        <w:right w:val="none" w:sz="0" w:space="0" w:color="auto"/>
      </w:divBdr>
    </w:div>
    <w:div w:id="1429931102">
      <w:bodyDiv w:val="1"/>
      <w:marLeft w:val="0"/>
      <w:marRight w:val="0"/>
      <w:marTop w:val="0"/>
      <w:marBottom w:val="0"/>
      <w:divBdr>
        <w:top w:val="none" w:sz="0" w:space="0" w:color="auto"/>
        <w:left w:val="none" w:sz="0" w:space="0" w:color="auto"/>
        <w:bottom w:val="none" w:sz="0" w:space="0" w:color="auto"/>
        <w:right w:val="none" w:sz="0" w:space="0" w:color="auto"/>
      </w:divBdr>
    </w:div>
    <w:div w:id="1433818546">
      <w:bodyDiv w:val="1"/>
      <w:marLeft w:val="0"/>
      <w:marRight w:val="0"/>
      <w:marTop w:val="0"/>
      <w:marBottom w:val="0"/>
      <w:divBdr>
        <w:top w:val="none" w:sz="0" w:space="0" w:color="auto"/>
        <w:left w:val="none" w:sz="0" w:space="0" w:color="auto"/>
        <w:bottom w:val="none" w:sz="0" w:space="0" w:color="auto"/>
        <w:right w:val="none" w:sz="0" w:space="0" w:color="auto"/>
      </w:divBdr>
    </w:div>
    <w:div w:id="1455833627">
      <w:bodyDiv w:val="1"/>
      <w:marLeft w:val="0"/>
      <w:marRight w:val="0"/>
      <w:marTop w:val="0"/>
      <w:marBottom w:val="0"/>
      <w:divBdr>
        <w:top w:val="none" w:sz="0" w:space="0" w:color="auto"/>
        <w:left w:val="none" w:sz="0" w:space="0" w:color="auto"/>
        <w:bottom w:val="none" w:sz="0" w:space="0" w:color="auto"/>
        <w:right w:val="none" w:sz="0" w:space="0" w:color="auto"/>
      </w:divBdr>
    </w:div>
    <w:div w:id="1466040440">
      <w:bodyDiv w:val="1"/>
      <w:marLeft w:val="0"/>
      <w:marRight w:val="0"/>
      <w:marTop w:val="0"/>
      <w:marBottom w:val="0"/>
      <w:divBdr>
        <w:top w:val="none" w:sz="0" w:space="0" w:color="auto"/>
        <w:left w:val="none" w:sz="0" w:space="0" w:color="auto"/>
        <w:bottom w:val="none" w:sz="0" w:space="0" w:color="auto"/>
        <w:right w:val="none" w:sz="0" w:space="0" w:color="auto"/>
      </w:divBdr>
    </w:div>
    <w:div w:id="1503542379">
      <w:bodyDiv w:val="1"/>
      <w:marLeft w:val="0"/>
      <w:marRight w:val="0"/>
      <w:marTop w:val="0"/>
      <w:marBottom w:val="0"/>
      <w:divBdr>
        <w:top w:val="none" w:sz="0" w:space="0" w:color="auto"/>
        <w:left w:val="none" w:sz="0" w:space="0" w:color="auto"/>
        <w:bottom w:val="none" w:sz="0" w:space="0" w:color="auto"/>
        <w:right w:val="none" w:sz="0" w:space="0" w:color="auto"/>
      </w:divBdr>
    </w:div>
    <w:div w:id="1515149592">
      <w:bodyDiv w:val="1"/>
      <w:marLeft w:val="0"/>
      <w:marRight w:val="0"/>
      <w:marTop w:val="0"/>
      <w:marBottom w:val="0"/>
      <w:divBdr>
        <w:top w:val="none" w:sz="0" w:space="0" w:color="auto"/>
        <w:left w:val="none" w:sz="0" w:space="0" w:color="auto"/>
        <w:bottom w:val="none" w:sz="0" w:space="0" w:color="auto"/>
        <w:right w:val="none" w:sz="0" w:space="0" w:color="auto"/>
      </w:divBdr>
    </w:div>
    <w:div w:id="1533493989">
      <w:bodyDiv w:val="1"/>
      <w:marLeft w:val="0"/>
      <w:marRight w:val="0"/>
      <w:marTop w:val="0"/>
      <w:marBottom w:val="0"/>
      <w:divBdr>
        <w:top w:val="none" w:sz="0" w:space="0" w:color="auto"/>
        <w:left w:val="none" w:sz="0" w:space="0" w:color="auto"/>
        <w:bottom w:val="none" w:sz="0" w:space="0" w:color="auto"/>
        <w:right w:val="none" w:sz="0" w:space="0" w:color="auto"/>
      </w:divBdr>
    </w:div>
    <w:div w:id="1535001254">
      <w:bodyDiv w:val="1"/>
      <w:marLeft w:val="0"/>
      <w:marRight w:val="0"/>
      <w:marTop w:val="0"/>
      <w:marBottom w:val="0"/>
      <w:divBdr>
        <w:top w:val="none" w:sz="0" w:space="0" w:color="auto"/>
        <w:left w:val="none" w:sz="0" w:space="0" w:color="auto"/>
        <w:bottom w:val="none" w:sz="0" w:space="0" w:color="auto"/>
        <w:right w:val="none" w:sz="0" w:space="0" w:color="auto"/>
      </w:divBdr>
    </w:div>
    <w:div w:id="1578710164">
      <w:bodyDiv w:val="1"/>
      <w:marLeft w:val="0"/>
      <w:marRight w:val="0"/>
      <w:marTop w:val="0"/>
      <w:marBottom w:val="0"/>
      <w:divBdr>
        <w:top w:val="none" w:sz="0" w:space="0" w:color="auto"/>
        <w:left w:val="none" w:sz="0" w:space="0" w:color="auto"/>
        <w:bottom w:val="none" w:sz="0" w:space="0" w:color="auto"/>
        <w:right w:val="none" w:sz="0" w:space="0" w:color="auto"/>
      </w:divBdr>
    </w:div>
    <w:div w:id="1631323521">
      <w:bodyDiv w:val="1"/>
      <w:marLeft w:val="0"/>
      <w:marRight w:val="0"/>
      <w:marTop w:val="0"/>
      <w:marBottom w:val="0"/>
      <w:divBdr>
        <w:top w:val="none" w:sz="0" w:space="0" w:color="auto"/>
        <w:left w:val="none" w:sz="0" w:space="0" w:color="auto"/>
        <w:bottom w:val="none" w:sz="0" w:space="0" w:color="auto"/>
        <w:right w:val="none" w:sz="0" w:space="0" w:color="auto"/>
      </w:divBdr>
    </w:div>
    <w:div w:id="1639988882">
      <w:bodyDiv w:val="1"/>
      <w:marLeft w:val="0"/>
      <w:marRight w:val="0"/>
      <w:marTop w:val="0"/>
      <w:marBottom w:val="0"/>
      <w:divBdr>
        <w:top w:val="none" w:sz="0" w:space="0" w:color="auto"/>
        <w:left w:val="none" w:sz="0" w:space="0" w:color="auto"/>
        <w:bottom w:val="none" w:sz="0" w:space="0" w:color="auto"/>
        <w:right w:val="none" w:sz="0" w:space="0" w:color="auto"/>
      </w:divBdr>
    </w:div>
    <w:div w:id="1694841515">
      <w:bodyDiv w:val="1"/>
      <w:marLeft w:val="0"/>
      <w:marRight w:val="0"/>
      <w:marTop w:val="0"/>
      <w:marBottom w:val="0"/>
      <w:divBdr>
        <w:top w:val="none" w:sz="0" w:space="0" w:color="auto"/>
        <w:left w:val="none" w:sz="0" w:space="0" w:color="auto"/>
        <w:bottom w:val="none" w:sz="0" w:space="0" w:color="auto"/>
        <w:right w:val="none" w:sz="0" w:space="0" w:color="auto"/>
      </w:divBdr>
    </w:div>
    <w:div w:id="1703826999">
      <w:bodyDiv w:val="1"/>
      <w:marLeft w:val="0"/>
      <w:marRight w:val="0"/>
      <w:marTop w:val="0"/>
      <w:marBottom w:val="0"/>
      <w:divBdr>
        <w:top w:val="none" w:sz="0" w:space="0" w:color="auto"/>
        <w:left w:val="none" w:sz="0" w:space="0" w:color="auto"/>
        <w:bottom w:val="none" w:sz="0" w:space="0" w:color="auto"/>
        <w:right w:val="none" w:sz="0" w:space="0" w:color="auto"/>
      </w:divBdr>
    </w:div>
    <w:div w:id="1797480735">
      <w:bodyDiv w:val="1"/>
      <w:marLeft w:val="0"/>
      <w:marRight w:val="0"/>
      <w:marTop w:val="0"/>
      <w:marBottom w:val="0"/>
      <w:divBdr>
        <w:top w:val="none" w:sz="0" w:space="0" w:color="auto"/>
        <w:left w:val="none" w:sz="0" w:space="0" w:color="auto"/>
        <w:bottom w:val="none" w:sz="0" w:space="0" w:color="auto"/>
        <w:right w:val="none" w:sz="0" w:space="0" w:color="auto"/>
      </w:divBdr>
      <w:divsChild>
        <w:div w:id="1530069719">
          <w:marLeft w:val="0"/>
          <w:marRight w:val="0"/>
          <w:marTop w:val="0"/>
          <w:marBottom w:val="0"/>
          <w:divBdr>
            <w:top w:val="none" w:sz="0" w:space="0" w:color="auto"/>
            <w:left w:val="none" w:sz="0" w:space="0" w:color="auto"/>
            <w:bottom w:val="none" w:sz="0" w:space="0" w:color="auto"/>
            <w:right w:val="none" w:sz="0" w:space="0" w:color="auto"/>
          </w:divBdr>
          <w:divsChild>
            <w:div w:id="146946771">
              <w:marLeft w:val="0"/>
              <w:marRight w:val="0"/>
              <w:marTop w:val="0"/>
              <w:marBottom w:val="0"/>
              <w:divBdr>
                <w:top w:val="none" w:sz="0" w:space="0" w:color="auto"/>
                <w:left w:val="none" w:sz="0" w:space="0" w:color="auto"/>
                <w:bottom w:val="none" w:sz="0" w:space="0" w:color="auto"/>
                <w:right w:val="none" w:sz="0" w:space="0" w:color="auto"/>
              </w:divBdr>
              <w:divsChild>
                <w:div w:id="64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5613">
      <w:bodyDiv w:val="1"/>
      <w:marLeft w:val="0"/>
      <w:marRight w:val="0"/>
      <w:marTop w:val="0"/>
      <w:marBottom w:val="0"/>
      <w:divBdr>
        <w:top w:val="none" w:sz="0" w:space="0" w:color="auto"/>
        <w:left w:val="none" w:sz="0" w:space="0" w:color="auto"/>
        <w:bottom w:val="none" w:sz="0" w:space="0" w:color="auto"/>
        <w:right w:val="none" w:sz="0" w:space="0" w:color="auto"/>
      </w:divBdr>
    </w:div>
    <w:div w:id="1823350390">
      <w:bodyDiv w:val="1"/>
      <w:marLeft w:val="0"/>
      <w:marRight w:val="0"/>
      <w:marTop w:val="0"/>
      <w:marBottom w:val="0"/>
      <w:divBdr>
        <w:top w:val="none" w:sz="0" w:space="0" w:color="auto"/>
        <w:left w:val="none" w:sz="0" w:space="0" w:color="auto"/>
        <w:bottom w:val="none" w:sz="0" w:space="0" w:color="auto"/>
        <w:right w:val="none" w:sz="0" w:space="0" w:color="auto"/>
      </w:divBdr>
    </w:div>
    <w:div w:id="1862474686">
      <w:bodyDiv w:val="1"/>
      <w:marLeft w:val="0"/>
      <w:marRight w:val="0"/>
      <w:marTop w:val="0"/>
      <w:marBottom w:val="0"/>
      <w:divBdr>
        <w:top w:val="none" w:sz="0" w:space="0" w:color="auto"/>
        <w:left w:val="none" w:sz="0" w:space="0" w:color="auto"/>
        <w:bottom w:val="none" w:sz="0" w:space="0" w:color="auto"/>
        <w:right w:val="none" w:sz="0" w:space="0" w:color="auto"/>
      </w:divBdr>
    </w:div>
    <w:div w:id="1864393655">
      <w:bodyDiv w:val="1"/>
      <w:marLeft w:val="0"/>
      <w:marRight w:val="0"/>
      <w:marTop w:val="0"/>
      <w:marBottom w:val="0"/>
      <w:divBdr>
        <w:top w:val="none" w:sz="0" w:space="0" w:color="auto"/>
        <w:left w:val="none" w:sz="0" w:space="0" w:color="auto"/>
        <w:bottom w:val="none" w:sz="0" w:space="0" w:color="auto"/>
        <w:right w:val="none" w:sz="0" w:space="0" w:color="auto"/>
      </w:divBdr>
    </w:div>
    <w:div w:id="1888881227">
      <w:bodyDiv w:val="1"/>
      <w:marLeft w:val="0"/>
      <w:marRight w:val="0"/>
      <w:marTop w:val="0"/>
      <w:marBottom w:val="0"/>
      <w:divBdr>
        <w:top w:val="none" w:sz="0" w:space="0" w:color="auto"/>
        <w:left w:val="none" w:sz="0" w:space="0" w:color="auto"/>
        <w:bottom w:val="none" w:sz="0" w:space="0" w:color="auto"/>
        <w:right w:val="none" w:sz="0" w:space="0" w:color="auto"/>
      </w:divBdr>
    </w:div>
    <w:div w:id="1916015406">
      <w:bodyDiv w:val="1"/>
      <w:marLeft w:val="0"/>
      <w:marRight w:val="0"/>
      <w:marTop w:val="0"/>
      <w:marBottom w:val="0"/>
      <w:divBdr>
        <w:top w:val="none" w:sz="0" w:space="0" w:color="auto"/>
        <w:left w:val="none" w:sz="0" w:space="0" w:color="auto"/>
        <w:bottom w:val="none" w:sz="0" w:space="0" w:color="auto"/>
        <w:right w:val="none" w:sz="0" w:space="0" w:color="auto"/>
      </w:divBdr>
    </w:div>
    <w:div w:id="1929270419">
      <w:bodyDiv w:val="1"/>
      <w:marLeft w:val="0"/>
      <w:marRight w:val="0"/>
      <w:marTop w:val="0"/>
      <w:marBottom w:val="0"/>
      <w:divBdr>
        <w:top w:val="none" w:sz="0" w:space="0" w:color="auto"/>
        <w:left w:val="none" w:sz="0" w:space="0" w:color="auto"/>
        <w:bottom w:val="none" w:sz="0" w:space="0" w:color="auto"/>
        <w:right w:val="none" w:sz="0" w:space="0" w:color="auto"/>
      </w:divBdr>
    </w:div>
    <w:div w:id="1935631428">
      <w:bodyDiv w:val="1"/>
      <w:marLeft w:val="0"/>
      <w:marRight w:val="0"/>
      <w:marTop w:val="0"/>
      <w:marBottom w:val="0"/>
      <w:divBdr>
        <w:top w:val="none" w:sz="0" w:space="0" w:color="auto"/>
        <w:left w:val="none" w:sz="0" w:space="0" w:color="auto"/>
        <w:bottom w:val="none" w:sz="0" w:space="0" w:color="auto"/>
        <w:right w:val="none" w:sz="0" w:space="0" w:color="auto"/>
      </w:divBdr>
    </w:div>
    <w:div w:id="1946691801">
      <w:bodyDiv w:val="1"/>
      <w:marLeft w:val="0"/>
      <w:marRight w:val="0"/>
      <w:marTop w:val="0"/>
      <w:marBottom w:val="0"/>
      <w:divBdr>
        <w:top w:val="none" w:sz="0" w:space="0" w:color="auto"/>
        <w:left w:val="none" w:sz="0" w:space="0" w:color="auto"/>
        <w:bottom w:val="none" w:sz="0" w:space="0" w:color="auto"/>
        <w:right w:val="none" w:sz="0" w:space="0" w:color="auto"/>
      </w:divBdr>
    </w:div>
    <w:div w:id="1981811844">
      <w:bodyDiv w:val="1"/>
      <w:marLeft w:val="0"/>
      <w:marRight w:val="0"/>
      <w:marTop w:val="0"/>
      <w:marBottom w:val="0"/>
      <w:divBdr>
        <w:top w:val="none" w:sz="0" w:space="0" w:color="auto"/>
        <w:left w:val="none" w:sz="0" w:space="0" w:color="auto"/>
        <w:bottom w:val="none" w:sz="0" w:space="0" w:color="auto"/>
        <w:right w:val="none" w:sz="0" w:space="0" w:color="auto"/>
      </w:divBdr>
    </w:div>
    <w:div w:id="2021197793">
      <w:bodyDiv w:val="1"/>
      <w:marLeft w:val="0"/>
      <w:marRight w:val="0"/>
      <w:marTop w:val="0"/>
      <w:marBottom w:val="0"/>
      <w:divBdr>
        <w:top w:val="none" w:sz="0" w:space="0" w:color="auto"/>
        <w:left w:val="none" w:sz="0" w:space="0" w:color="auto"/>
        <w:bottom w:val="none" w:sz="0" w:space="0" w:color="auto"/>
        <w:right w:val="none" w:sz="0" w:space="0" w:color="auto"/>
      </w:divBdr>
    </w:div>
    <w:div w:id="2032486734">
      <w:bodyDiv w:val="1"/>
      <w:marLeft w:val="0"/>
      <w:marRight w:val="0"/>
      <w:marTop w:val="0"/>
      <w:marBottom w:val="0"/>
      <w:divBdr>
        <w:top w:val="none" w:sz="0" w:space="0" w:color="auto"/>
        <w:left w:val="none" w:sz="0" w:space="0" w:color="auto"/>
        <w:bottom w:val="none" w:sz="0" w:space="0" w:color="auto"/>
        <w:right w:val="none" w:sz="0" w:space="0" w:color="auto"/>
      </w:divBdr>
    </w:div>
    <w:div w:id="2039620153">
      <w:bodyDiv w:val="1"/>
      <w:marLeft w:val="0"/>
      <w:marRight w:val="0"/>
      <w:marTop w:val="0"/>
      <w:marBottom w:val="0"/>
      <w:divBdr>
        <w:top w:val="none" w:sz="0" w:space="0" w:color="auto"/>
        <w:left w:val="none" w:sz="0" w:space="0" w:color="auto"/>
        <w:bottom w:val="none" w:sz="0" w:space="0" w:color="auto"/>
        <w:right w:val="none" w:sz="0" w:space="0" w:color="auto"/>
      </w:divBdr>
    </w:div>
    <w:div w:id="2051805792">
      <w:bodyDiv w:val="1"/>
      <w:marLeft w:val="0"/>
      <w:marRight w:val="0"/>
      <w:marTop w:val="0"/>
      <w:marBottom w:val="0"/>
      <w:divBdr>
        <w:top w:val="none" w:sz="0" w:space="0" w:color="auto"/>
        <w:left w:val="none" w:sz="0" w:space="0" w:color="auto"/>
        <w:bottom w:val="none" w:sz="0" w:space="0" w:color="auto"/>
        <w:right w:val="none" w:sz="0" w:space="0" w:color="auto"/>
      </w:divBdr>
    </w:div>
    <w:div w:id="2102027740">
      <w:bodyDiv w:val="1"/>
      <w:marLeft w:val="0"/>
      <w:marRight w:val="0"/>
      <w:marTop w:val="0"/>
      <w:marBottom w:val="0"/>
      <w:divBdr>
        <w:top w:val="none" w:sz="0" w:space="0" w:color="auto"/>
        <w:left w:val="none" w:sz="0" w:space="0" w:color="auto"/>
        <w:bottom w:val="none" w:sz="0" w:space="0" w:color="auto"/>
        <w:right w:val="none" w:sz="0" w:space="0" w:color="auto"/>
      </w:divBdr>
    </w:div>
    <w:div w:id="2126534316">
      <w:bodyDiv w:val="1"/>
      <w:marLeft w:val="0"/>
      <w:marRight w:val="0"/>
      <w:marTop w:val="0"/>
      <w:marBottom w:val="0"/>
      <w:divBdr>
        <w:top w:val="none" w:sz="0" w:space="0" w:color="auto"/>
        <w:left w:val="none" w:sz="0" w:space="0" w:color="auto"/>
        <w:bottom w:val="none" w:sz="0" w:space="0" w:color="auto"/>
        <w:right w:val="none" w:sz="0" w:space="0" w:color="auto"/>
      </w:divBdr>
      <w:divsChild>
        <w:div w:id="2049405756">
          <w:marLeft w:val="0"/>
          <w:marRight w:val="0"/>
          <w:marTop w:val="0"/>
          <w:marBottom w:val="0"/>
          <w:divBdr>
            <w:top w:val="none" w:sz="0" w:space="0" w:color="auto"/>
            <w:left w:val="none" w:sz="0" w:space="0" w:color="auto"/>
            <w:bottom w:val="none" w:sz="0" w:space="0" w:color="auto"/>
            <w:right w:val="none" w:sz="0" w:space="0" w:color="auto"/>
          </w:divBdr>
          <w:divsChild>
            <w:div w:id="1710570116">
              <w:marLeft w:val="0"/>
              <w:marRight w:val="0"/>
              <w:marTop w:val="0"/>
              <w:marBottom w:val="0"/>
              <w:divBdr>
                <w:top w:val="none" w:sz="0" w:space="0" w:color="auto"/>
                <w:left w:val="none" w:sz="0" w:space="0" w:color="auto"/>
                <w:bottom w:val="none" w:sz="0" w:space="0" w:color="auto"/>
                <w:right w:val="none" w:sz="0" w:space="0" w:color="auto"/>
              </w:divBdr>
              <w:divsChild>
                <w:div w:id="10356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F52B6C-C8EB-4845-B898-D70132605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3349</Words>
  <Characters>19095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22400</CharactersWithSpaces>
  <SharedDoc>false</SharedDoc>
  <HLinks>
    <vt:vector size="144" baseType="variant">
      <vt:variant>
        <vt:i4>4194361</vt:i4>
      </vt:variant>
      <vt:variant>
        <vt:i4>140</vt:i4>
      </vt:variant>
      <vt:variant>
        <vt:i4>0</vt:i4>
      </vt:variant>
      <vt:variant>
        <vt:i4>5</vt:i4>
      </vt:variant>
      <vt:variant>
        <vt:lpwstr/>
      </vt:variant>
      <vt:variant>
        <vt:lpwstr>_ENREF_12</vt:lpwstr>
      </vt:variant>
      <vt:variant>
        <vt:i4>4653067</vt:i4>
      </vt:variant>
      <vt:variant>
        <vt:i4>134</vt:i4>
      </vt:variant>
      <vt:variant>
        <vt:i4>0</vt:i4>
      </vt:variant>
      <vt:variant>
        <vt:i4>5</vt:i4>
      </vt:variant>
      <vt:variant>
        <vt:lpwstr/>
      </vt:variant>
      <vt:variant>
        <vt:lpwstr>_ENREF_6</vt:lpwstr>
      </vt:variant>
      <vt:variant>
        <vt:i4>4194367</vt:i4>
      </vt:variant>
      <vt:variant>
        <vt:i4>126</vt:i4>
      </vt:variant>
      <vt:variant>
        <vt:i4>0</vt:i4>
      </vt:variant>
      <vt:variant>
        <vt:i4>5</vt:i4>
      </vt:variant>
      <vt:variant>
        <vt:lpwstr/>
      </vt:variant>
      <vt:variant>
        <vt:lpwstr>_ENREF_14</vt:lpwstr>
      </vt:variant>
      <vt:variant>
        <vt:i4>4784139</vt:i4>
      </vt:variant>
      <vt:variant>
        <vt:i4>120</vt:i4>
      </vt:variant>
      <vt:variant>
        <vt:i4>0</vt:i4>
      </vt:variant>
      <vt:variant>
        <vt:i4>5</vt:i4>
      </vt:variant>
      <vt:variant>
        <vt:lpwstr/>
      </vt:variant>
      <vt:variant>
        <vt:lpwstr>_ENREF_8</vt:lpwstr>
      </vt:variant>
      <vt:variant>
        <vt:i4>4194354</vt:i4>
      </vt:variant>
      <vt:variant>
        <vt:i4>114</vt:i4>
      </vt:variant>
      <vt:variant>
        <vt:i4>0</vt:i4>
      </vt:variant>
      <vt:variant>
        <vt:i4>5</vt:i4>
      </vt:variant>
      <vt:variant>
        <vt:lpwstr/>
      </vt:variant>
      <vt:variant>
        <vt:lpwstr>_ENREF_19</vt:lpwstr>
      </vt:variant>
      <vt:variant>
        <vt:i4>4390923</vt:i4>
      </vt:variant>
      <vt:variant>
        <vt:i4>106</vt:i4>
      </vt:variant>
      <vt:variant>
        <vt:i4>0</vt:i4>
      </vt:variant>
      <vt:variant>
        <vt:i4>5</vt:i4>
      </vt:variant>
      <vt:variant>
        <vt:lpwstr/>
      </vt:variant>
      <vt:variant>
        <vt:lpwstr>_ENREF_2</vt:lpwstr>
      </vt:variant>
      <vt:variant>
        <vt:i4>4194366</vt:i4>
      </vt:variant>
      <vt:variant>
        <vt:i4>100</vt:i4>
      </vt:variant>
      <vt:variant>
        <vt:i4>0</vt:i4>
      </vt:variant>
      <vt:variant>
        <vt:i4>5</vt:i4>
      </vt:variant>
      <vt:variant>
        <vt:lpwstr/>
      </vt:variant>
      <vt:variant>
        <vt:lpwstr>_ENREF_15</vt:lpwstr>
      </vt:variant>
      <vt:variant>
        <vt:i4>4325387</vt:i4>
      </vt:variant>
      <vt:variant>
        <vt:i4>92</vt:i4>
      </vt:variant>
      <vt:variant>
        <vt:i4>0</vt:i4>
      </vt:variant>
      <vt:variant>
        <vt:i4>5</vt:i4>
      </vt:variant>
      <vt:variant>
        <vt:lpwstr/>
      </vt:variant>
      <vt:variant>
        <vt:lpwstr>_ENREF_3</vt:lpwstr>
      </vt:variant>
      <vt:variant>
        <vt:i4>4194364</vt:i4>
      </vt:variant>
      <vt:variant>
        <vt:i4>86</vt:i4>
      </vt:variant>
      <vt:variant>
        <vt:i4>0</vt:i4>
      </vt:variant>
      <vt:variant>
        <vt:i4>5</vt:i4>
      </vt:variant>
      <vt:variant>
        <vt:lpwstr/>
      </vt:variant>
      <vt:variant>
        <vt:lpwstr>_ENREF_17</vt:lpwstr>
      </vt:variant>
      <vt:variant>
        <vt:i4>4194365</vt:i4>
      </vt:variant>
      <vt:variant>
        <vt:i4>82</vt:i4>
      </vt:variant>
      <vt:variant>
        <vt:i4>0</vt:i4>
      </vt:variant>
      <vt:variant>
        <vt:i4>5</vt:i4>
      </vt:variant>
      <vt:variant>
        <vt:lpwstr/>
      </vt:variant>
      <vt:variant>
        <vt:lpwstr>_ENREF_16</vt:lpwstr>
      </vt:variant>
      <vt:variant>
        <vt:i4>4390923</vt:i4>
      </vt:variant>
      <vt:variant>
        <vt:i4>79</vt:i4>
      </vt:variant>
      <vt:variant>
        <vt:i4>0</vt:i4>
      </vt:variant>
      <vt:variant>
        <vt:i4>5</vt:i4>
      </vt:variant>
      <vt:variant>
        <vt:lpwstr/>
      </vt:variant>
      <vt:variant>
        <vt:lpwstr>_ENREF_2</vt:lpwstr>
      </vt:variant>
      <vt:variant>
        <vt:i4>4784139</vt:i4>
      </vt:variant>
      <vt:variant>
        <vt:i4>69</vt:i4>
      </vt:variant>
      <vt:variant>
        <vt:i4>0</vt:i4>
      </vt:variant>
      <vt:variant>
        <vt:i4>5</vt:i4>
      </vt:variant>
      <vt:variant>
        <vt:lpwstr/>
      </vt:variant>
      <vt:variant>
        <vt:lpwstr>_ENREF_8</vt:lpwstr>
      </vt:variant>
      <vt:variant>
        <vt:i4>4653067</vt:i4>
      </vt:variant>
      <vt:variant>
        <vt:i4>63</vt:i4>
      </vt:variant>
      <vt:variant>
        <vt:i4>0</vt:i4>
      </vt:variant>
      <vt:variant>
        <vt:i4>5</vt:i4>
      </vt:variant>
      <vt:variant>
        <vt:lpwstr/>
      </vt:variant>
      <vt:variant>
        <vt:lpwstr>_ENREF_6</vt:lpwstr>
      </vt:variant>
      <vt:variant>
        <vt:i4>4194315</vt:i4>
      </vt:variant>
      <vt:variant>
        <vt:i4>57</vt:i4>
      </vt:variant>
      <vt:variant>
        <vt:i4>0</vt:i4>
      </vt:variant>
      <vt:variant>
        <vt:i4>5</vt:i4>
      </vt:variant>
      <vt:variant>
        <vt:lpwstr/>
      </vt:variant>
      <vt:variant>
        <vt:lpwstr>_ENREF_1</vt:lpwstr>
      </vt:variant>
      <vt:variant>
        <vt:i4>4194363</vt:i4>
      </vt:variant>
      <vt:variant>
        <vt:i4>49</vt:i4>
      </vt:variant>
      <vt:variant>
        <vt:i4>0</vt:i4>
      </vt:variant>
      <vt:variant>
        <vt:i4>5</vt:i4>
      </vt:variant>
      <vt:variant>
        <vt:lpwstr/>
      </vt:variant>
      <vt:variant>
        <vt:lpwstr>_ENREF_10</vt:lpwstr>
      </vt:variant>
      <vt:variant>
        <vt:i4>4194364</vt:i4>
      </vt:variant>
      <vt:variant>
        <vt:i4>43</vt:i4>
      </vt:variant>
      <vt:variant>
        <vt:i4>0</vt:i4>
      </vt:variant>
      <vt:variant>
        <vt:i4>5</vt:i4>
      </vt:variant>
      <vt:variant>
        <vt:lpwstr/>
      </vt:variant>
      <vt:variant>
        <vt:lpwstr>_ENREF_17</vt:lpwstr>
      </vt:variant>
      <vt:variant>
        <vt:i4>4456459</vt:i4>
      </vt:variant>
      <vt:variant>
        <vt:i4>37</vt:i4>
      </vt:variant>
      <vt:variant>
        <vt:i4>0</vt:i4>
      </vt:variant>
      <vt:variant>
        <vt:i4>5</vt:i4>
      </vt:variant>
      <vt:variant>
        <vt:lpwstr/>
      </vt:variant>
      <vt:variant>
        <vt:lpwstr>_ENREF_5</vt:lpwstr>
      </vt:variant>
      <vt:variant>
        <vt:i4>4194362</vt:i4>
      </vt:variant>
      <vt:variant>
        <vt:i4>31</vt:i4>
      </vt:variant>
      <vt:variant>
        <vt:i4>0</vt:i4>
      </vt:variant>
      <vt:variant>
        <vt:i4>5</vt:i4>
      </vt:variant>
      <vt:variant>
        <vt:lpwstr/>
      </vt:variant>
      <vt:variant>
        <vt:lpwstr>_ENREF_11</vt:lpwstr>
      </vt:variant>
      <vt:variant>
        <vt:i4>4194360</vt:i4>
      </vt:variant>
      <vt:variant>
        <vt:i4>25</vt:i4>
      </vt:variant>
      <vt:variant>
        <vt:i4>0</vt:i4>
      </vt:variant>
      <vt:variant>
        <vt:i4>5</vt:i4>
      </vt:variant>
      <vt:variant>
        <vt:lpwstr/>
      </vt:variant>
      <vt:variant>
        <vt:lpwstr>_ENREF_13</vt:lpwstr>
      </vt:variant>
      <vt:variant>
        <vt:i4>4194362</vt:i4>
      </vt:variant>
      <vt:variant>
        <vt:i4>21</vt:i4>
      </vt:variant>
      <vt:variant>
        <vt:i4>0</vt:i4>
      </vt:variant>
      <vt:variant>
        <vt:i4>5</vt:i4>
      </vt:variant>
      <vt:variant>
        <vt:lpwstr/>
      </vt:variant>
      <vt:variant>
        <vt:lpwstr>_ENREF_11</vt:lpwstr>
      </vt:variant>
      <vt:variant>
        <vt:i4>4718603</vt:i4>
      </vt:variant>
      <vt:variant>
        <vt:i4>18</vt:i4>
      </vt:variant>
      <vt:variant>
        <vt:i4>0</vt:i4>
      </vt:variant>
      <vt:variant>
        <vt:i4>5</vt:i4>
      </vt:variant>
      <vt:variant>
        <vt:lpwstr/>
      </vt:variant>
      <vt:variant>
        <vt:lpwstr>_ENREF_9</vt:lpwstr>
      </vt:variant>
      <vt:variant>
        <vt:i4>4521995</vt:i4>
      </vt:variant>
      <vt:variant>
        <vt:i4>15</vt:i4>
      </vt:variant>
      <vt:variant>
        <vt:i4>0</vt:i4>
      </vt:variant>
      <vt:variant>
        <vt:i4>5</vt:i4>
      </vt:variant>
      <vt:variant>
        <vt:lpwstr/>
      </vt:variant>
      <vt:variant>
        <vt:lpwstr>_ENREF_4</vt:lpwstr>
      </vt:variant>
      <vt:variant>
        <vt:i4>4194355</vt:i4>
      </vt:variant>
      <vt:variant>
        <vt:i4>7</vt:i4>
      </vt:variant>
      <vt:variant>
        <vt:i4>0</vt:i4>
      </vt:variant>
      <vt:variant>
        <vt:i4>5</vt:i4>
      </vt:variant>
      <vt:variant>
        <vt:lpwstr/>
      </vt:variant>
      <vt:variant>
        <vt:lpwstr>_ENREF_18</vt:lpwstr>
      </vt:variant>
      <vt:variant>
        <vt:i4>4587531</vt:i4>
      </vt:variant>
      <vt:variant>
        <vt:i4>4</vt:i4>
      </vt:variant>
      <vt:variant>
        <vt:i4>0</vt:i4>
      </vt:variant>
      <vt:variant>
        <vt:i4>5</vt:i4>
      </vt:variant>
      <vt:variant>
        <vt:lpwstr/>
      </vt:variant>
      <vt:variant>
        <vt:lpwstr>_ENREF_7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Parkey Pan</dc:creator>
  <cp:lastModifiedBy>云 晓健</cp:lastModifiedBy>
  <cp:revision>7</cp:revision>
  <dcterms:created xsi:type="dcterms:W3CDTF">2019-04-29T00:15:00Z</dcterms:created>
  <dcterms:modified xsi:type="dcterms:W3CDTF">2019-06-06T17:11:00Z</dcterms:modified>
</cp:coreProperties>
</file>