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C816" w14:textId="77777777" w:rsidR="00EB6FF0" w:rsidRPr="008F2DB5" w:rsidRDefault="004805E8"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sz w:val="24"/>
          <w:szCs w:val="24"/>
          <w:lang w:val="en-US"/>
        </w:rPr>
        <w:t xml:space="preserve">Name of Journal: </w:t>
      </w:r>
      <w:r w:rsidRPr="008F2DB5">
        <w:rPr>
          <w:rFonts w:ascii="Book Antiqua" w:eastAsia="Calibri" w:hAnsi="Book Antiqua" w:cs="Times New Roman"/>
          <w:i/>
          <w:sz w:val="24"/>
          <w:szCs w:val="24"/>
          <w:lang w:val="en-US"/>
        </w:rPr>
        <w:t>World Journal of Clinical Cases</w:t>
      </w:r>
    </w:p>
    <w:p w14:paraId="4D40B2DB" w14:textId="77777777" w:rsidR="004805E8" w:rsidRPr="00E9022C" w:rsidRDefault="004805E8" w:rsidP="005710FA">
      <w:pPr>
        <w:spacing w:after="0" w:line="360" w:lineRule="auto"/>
        <w:jc w:val="both"/>
        <w:rPr>
          <w:rFonts w:ascii="Book Antiqua" w:eastAsia="Calibri" w:hAnsi="Book Antiqua" w:cs="Times New Roman"/>
          <w:b/>
          <w:sz w:val="24"/>
          <w:szCs w:val="24"/>
          <w:lang w:val="en-US"/>
        </w:rPr>
      </w:pPr>
      <w:r w:rsidRPr="00E9022C">
        <w:rPr>
          <w:rFonts w:ascii="Book Antiqua" w:eastAsia="Calibri" w:hAnsi="Book Antiqua" w:cs="Times New Roman"/>
          <w:b/>
          <w:sz w:val="24"/>
          <w:szCs w:val="24"/>
          <w:lang w:val="en-US"/>
        </w:rPr>
        <w:t>Manuscript NO</w:t>
      </w:r>
      <w:r w:rsidR="006A3068" w:rsidRPr="00E9022C">
        <w:rPr>
          <w:rFonts w:ascii="Book Antiqua" w:eastAsia="Calibri" w:hAnsi="Book Antiqua" w:cs="Times New Roman"/>
          <w:b/>
          <w:sz w:val="24"/>
          <w:szCs w:val="24"/>
          <w:lang w:val="en-US"/>
        </w:rPr>
        <w:t xml:space="preserve">: </w:t>
      </w:r>
      <w:r w:rsidR="006A3068" w:rsidRPr="008F2DB5">
        <w:rPr>
          <w:rFonts w:ascii="Book Antiqua" w:eastAsia="Calibri" w:hAnsi="Book Antiqua" w:cs="Times New Roman"/>
          <w:sz w:val="24"/>
          <w:szCs w:val="24"/>
          <w:lang w:val="en-US"/>
        </w:rPr>
        <w:t>45583</w:t>
      </w:r>
    </w:p>
    <w:p w14:paraId="461A649C" w14:textId="77777777" w:rsidR="00EB6FF0" w:rsidRPr="008F2DB5" w:rsidRDefault="004805E8"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sz w:val="24"/>
          <w:szCs w:val="24"/>
          <w:lang w:val="en-US"/>
        </w:rPr>
        <w:t xml:space="preserve">Manuscript Type: </w:t>
      </w:r>
      <w:r w:rsidRPr="008F2DB5">
        <w:rPr>
          <w:rFonts w:ascii="Book Antiqua" w:eastAsia="Calibri" w:hAnsi="Book Antiqua" w:cs="Times New Roman"/>
          <w:sz w:val="24"/>
          <w:szCs w:val="24"/>
          <w:lang w:val="en-US"/>
        </w:rPr>
        <w:t>CASE REPORT</w:t>
      </w:r>
    </w:p>
    <w:p w14:paraId="7D928178" w14:textId="77777777" w:rsidR="004805E8" w:rsidRPr="00E9022C" w:rsidRDefault="004805E8" w:rsidP="005710FA">
      <w:pPr>
        <w:spacing w:after="0" w:line="360" w:lineRule="auto"/>
        <w:jc w:val="both"/>
        <w:rPr>
          <w:rFonts w:ascii="Book Antiqua" w:eastAsia="Calibri" w:hAnsi="Book Antiqua" w:cs="Times New Roman"/>
          <w:sz w:val="24"/>
          <w:szCs w:val="24"/>
          <w:lang w:val="en-US"/>
        </w:rPr>
      </w:pPr>
    </w:p>
    <w:p w14:paraId="787DDFC3" w14:textId="77777777" w:rsidR="00EB6FF0" w:rsidRPr="00E9022C" w:rsidRDefault="00EB6FF0" w:rsidP="005710FA">
      <w:pPr>
        <w:spacing w:after="0" w:line="360" w:lineRule="auto"/>
        <w:jc w:val="both"/>
        <w:rPr>
          <w:rFonts w:ascii="Book Antiqua" w:hAnsi="Book Antiqua" w:cs="Times New Roman"/>
          <w:b/>
          <w:sz w:val="24"/>
          <w:szCs w:val="24"/>
          <w:lang w:val="en-US" w:eastAsia="zh-CN"/>
        </w:rPr>
      </w:pPr>
      <w:r w:rsidRPr="00E9022C">
        <w:rPr>
          <w:rFonts w:ascii="Book Antiqua" w:eastAsia="Calibri" w:hAnsi="Book Antiqua" w:cs="Times New Roman"/>
          <w:b/>
          <w:sz w:val="24"/>
          <w:szCs w:val="24"/>
          <w:lang w:val="en-US"/>
        </w:rPr>
        <w:t>Laparoscopic appendectomy for elemental mercury sequestration in the appendix: A case report</w:t>
      </w:r>
    </w:p>
    <w:p w14:paraId="7D4402B0" w14:textId="77777777" w:rsidR="00433ADD" w:rsidRPr="00E9022C" w:rsidRDefault="00433ADD" w:rsidP="005710FA">
      <w:pPr>
        <w:spacing w:after="0" w:line="360" w:lineRule="auto"/>
        <w:jc w:val="both"/>
        <w:rPr>
          <w:rFonts w:ascii="Book Antiqua" w:hAnsi="Book Antiqua" w:cs="Times New Roman"/>
          <w:b/>
          <w:sz w:val="24"/>
          <w:szCs w:val="24"/>
          <w:lang w:val="en-US" w:eastAsia="zh-CN"/>
        </w:rPr>
      </w:pPr>
    </w:p>
    <w:p w14:paraId="0FFE2FC2" w14:textId="5B3E3A00" w:rsidR="008C0DDD" w:rsidRPr="00E9022C" w:rsidRDefault="00433ADD" w:rsidP="005710FA">
      <w:pPr>
        <w:spacing w:after="0" w:line="360" w:lineRule="auto"/>
        <w:jc w:val="both"/>
        <w:rPr>
          <w:rFonts w:ascii="Book Antiqua" w:hAnsi="Book Antiqua" w:cs="Times New Roman"/>
          <w:sz w:val="24"/>
          <w:szCs w:val="24"/>
          <w:lang w:val="en-US" w:eastAsia="zh-CN"/>
        </w:rPr>
      </w:pPr>
      <w:proofErr w:type="spellStart"/>
      <w:r w:rsidRPr="00E9022C">
        <w:rPr>
          <w:rFonts w:ascii="Book Antiqua" w:eastAsia="Calibri" w:hAnsi="Book Antiqua" w:cs="Times New Roman"/>
          <w:sz w:val="24"/>
          <w:szCs w:val="24"/>
          <w:lang w:val="en-US"/>
        </w:rPr>
        <w:t>Norčič</w:t>
      </w:r>
      <w:proofErr w:type="spellEnd"/>
      <w:r w:rsidRPr="00E9022C">
        <w:rPr>
          <w:rFonts w:ascii="Book Antiqua" w:eastAsia="Calibri" w:hAnsi="Book Antiqua" w:cs="Times New Roman"/>
          <w:sz w:val="24"/>
          <w:szCs w:val="24"/>
          <w:lang w:val="en-US"/>
        </w:rPr>
        <w:t xml:space="preserve"> </w:t>
      </w:r>
      <w:r w:rsidRPr="00E9022C">
        <w:rPr>
          <w:rFonts w:ascii="Book Antiqua" w:hAnsi="Book Antiqua" w:cs="Times New Roman"/>
          <w:sz w:val="24"/>
          <w:szCs w:val="24"/>
          <w:lang w:val="en-US" w:eastAsia="zh-CN"/>
        </w:rPr>
        <w:t xml:space="preserve">G </w:t>
      </w:r>
      <w:r w:rsidRPr="00E9022C">
        <w:rPr>
          <w:rFonts w:ascii="Book Antiqua" w:hAnsi="Book Antiqua" w:cs="Times New Roman"/>
          <w:i/>
          <w:sz w:val="24"/>
          <w:szCs w:val="24"/>
          <w:lang w:val="en-US" w:eastAsia="zh-CN"/>
        </w:rPr>
        <w:t xml:space="preserve">et al. </w:t>
      </w:r>
      <w:r w:rsidRPr="00E9022C">
        <w:rPr>
          <w:rFonts w:ascii="Book Antiqua" w:eastAsia="Calibri" w:hAnsi="Book Antiqua" w:cs="Times New Roman"/>
          <w:sz w:val="24"/>
          <w:szCs w:val="24"/>
          <w:lang w:val="en-US"/>
        </w:rPr>
        <w:t>Appendectomy due to mercury sequestration</w:t>
      </w:r>
    </w:p>
    <w:p w14:paraId="35282155" w14:textId="77777777" w:rsidR="00433ADD" w:rsidRPr="00E9022C" w:rsidRDefault="00433ADD" w:rsidP="005710FA">
      <w:pPr>
        <w:spacing w:after="0" w:line="360" w:lineRule="auto"/>
        <w:jc w:val="both"/>
        <w:rPr>
          <w:rFonts w:ascii="Book Antiqua" w:hAnsi="Book Antiqua" w:cs="Times New Roman"/>
          <w:b/>
          <w:sz w:val="24"/>
          <w:szCs w:val="24"/>
          <w:lang w:val="en-US" w:eastAsia="zh-CN"/>
        </w:rPr>
      </w:pPr>
    </w:p>
    <w:p w14:paraId="257AD8F4" w14:textId="77777777" w:rsidR="008C0DDD"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 xml:space="preserve">Gregor </w:t>
      </w:r>
      <w:proofErr w:type="spellStart"/>
      <w:r w:rsidRPr="00E9022C">
        <w:rPr>
          <w:rFonts w:ascii="Book Antiqua" w:eastAsia="Calibri" w:hAnsi="Book Antiqua" w:cs="Times New Roman"/>
          <w:sz w:val="24"/>
          <w:szCs w:val="24"/>
          <w:lang w:val="en-US"/>
        </w:rPr>
        <w:t>Norčič</w:t>
      </w:r>
      <w:proofErr w:type="spellEnd"/>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Žan</w:t>
      </w:r>
      <w:proofErr w:type="spellEnd"/>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Čebron</w:t>
      </w:r>
      <w:proofErr w:type="spellEnd"/>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Primož</w:t>
      </w:r>
      <w:proofErr w:type="spellEnd"/>
      <w:r w:rsidRPr="00E9022C">
        <w:rPr>
          <w:rFonts w:ascii="Book Antiqua" w:eastAsia="Calibri" w:hAnsi="Book Antiqua" w:cs="Times New Roman"/>
          <w:sz w:val="24"/>
          <w:szCs w:val="24"/>
          <w:lang w:val="en-US"/>
        </w:rPr>
        <w:t xml:space="preserve"> Sever, Jan </w:t>
      </w:r>
      <w:proofErr w:type="spellStart"/>
      <w:r w:rsidRPr="00E9022C">
        <w:rPr>
          <w:rFonts w:ascii="Book Antiqua" w:eastAsia="Calibri" w:hAnsi="Book Antiqua" w:cs="Times New Roman"/>
          <w:sz w:val="24"/>
          <w:szCs w:val="24"/>
          <w:lang w:val="en-US"/>
        </w:rPr>
        <w:t>Grosek</w:t>
      </w:r>
      <w:proofErr w:type="spellEnd"/>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Aleš</w:t>
      </w:r>
      <w:proofErr w:type="spellEnd"/>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Tomažič</w:t>
      </w:r>
      <w:proofErr w:type="spellEnd"/>
    </w:p>
    <w:p w14:paraId="74E1DA4F" w14:textId="77777777" w:rsidR="008C0DDD" w:rsidRPr="00E9022C" w:rsidRDefault="008C0DDD" w:rsidP="005710FA">
      <w:pPr>
        <w:spacing w:after="0" w:line="360" w:lineRule="auto"/>
        <w:jc w:val="both"/>
        <w:rPr>
          <w:rFonts w:ascii="Book Antiqua" w:eastAsia="Calibri" w:hAnsi="Book Antiqua" w:cs="Times New Roman"/>
          <w:b/>
          <w:sz w:val="24"/>
          <w:szCs w:val="24"/>
          <w:lang w:val="en-US"/>
        </w:rPr>
      </w:pPr>
    </w:p>
    <w:p w14:paraId="17810874" w14:textId="53635CAB" w:rsidR="00EB6FF0" w:rsidRPr="00E9022C" w:rsidRDefault="004805E8"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sz w:val="24"/>
          <w:szCs w:val="24"/>
          <w:lang w:val="en-US"/>
        </w:rPr>
        <w:t xml:space="preserve">Gregor </w:t>
      </w:r>
      <w:proofErr w:type="spellStart"/>
      <w:r w:rsidRPr="00E9022C">
        <w:rPr>
          <w:rFonts w:ascii="Book Antiqua" w:eastAsia="Calibri" w:hAnsi="Book Antiqua" w:cs="Times New Roman"/>
          <w:b/>
          <w:sz w:val="24"/>
          <w:szCs w:val="24"/>
          <w:lang w:val="en-US"/>
        </w:rPr>
        <w:t>Norčič</w:t>
      </w:r>
      <w:proofErr w:type="spellEnd"/>
      <w:r w:rsidRPr="00E9022C">
        <w:rPr>
          <w:rFonts w:ascii="Book Antiqua" w:eastAsia="Calibri" w:hAnsi="Book Antiqua" w:cs="Times New Roman"/>
          <w:b/>
          <w:sz w:val="24"/>
          <w:szCs w:val="24"/>
          <w:lang w:val="en-US"/>
        </w:rPr>
        <w:t xml:space="preserve">, </w:t>
      </w:r>
      <w:proofErr w:type="spellStart"/>
      <w:r w:rsidRPr="00E9022C">
        <w:rPr>
          <w:rFonts w:ascii="Book Antiqua" w:eastAsia="Calibri" w:hAnsi="Book Antiqua" w:cs="Times New Roman"/>
          <w:b/>
          <w:sz w:val="24"/>
          <w:szCs w:val="24"/>
          <w:lang w:val="en-US"/>
        </w:rPr>
        <w:t>Žan</w:t>
      </w:r>
      <w:proofErr w:type="spellEnd"/>
      <w:r w:rsidRPr="00E9022C">
        <w:rPr>
          <w:rFonts w:ascii="Book Antiqua" w:eastAsia="Calibri" w:hAnsi="Book Antiqua" w:cs="Times New Roman"/>
          <w:b/>
          <w:sz w:val="24"/>
          <w:szCs w:val="24"/>
          <w:lang w:val="en-US"/>
        </w:rPr>
        <w:t xml:space="preserve"> </w:t>
      </w:r>
      <w:proofErr w:type="spellStart"/>
      <w:r w:rsidRPr="00E9022C">
        <w:rPr>
          <w:rFonts w:ascii="Book Antiqua" w:eastAsia="Calibri" w:hAnsi="Book Antiqua" w:cs="Times New Roman"/>
          <w:b/>
          <w:sz w:val="24"/>
          <w:szCs w:val="24"/>
          <w:lang w:val="en-US"/>
        </w:rPr>
        <w:t>Čebron</w:t>
      </w:r>
      <w:proofErr w:type="spellEnd"/>
      <w:r w:rsidRPr="00E9022C">
        <w:rPr>
          <w:rFonts w:ascii="Book Antiqua" w:eastAsia="Calibri" w:hAnsi="Book Antiqua" w:cs="Times New Roman"/>
          <w:b/>
          <w:sz w:val="24"/>
          <w:szCs w:val="24"/>
          <w:lang w:val="en-US"/>
        </w:rPr>
        <w:t xml:space="preserve">, </w:t>
      </w:r>
      <w:proofErr w:type="spellStart"/>
      <w:r w:rsidRPr="00E9022C">
        <w:rPr>
          <w:rFonts w:ascii="Book Antiqua" w:eastAsia="Calibri" w:hAnsi="Book Antiqua" w:cs="Times New Roman"/>
          <w:b/>
          <w:sz w:val="24"/>
          <w:szCs w:val="24"/>
          <w:lang w:val="en-US"/>
        </w:rPr>
        <w:t>Primož</w:t>
      </w:r>
      <w:proofErr w:type="spellEnd"/>
      <w:r w:rsidRPr="00E9022C">
        <w:rPr>
          <w:rFonts w:ascii="Book Antiqua" w:eastAsia="Calibri" w:hAnsi="Book Antiqua" w:cs="Times New Roman"/>
          <w:b/>
          <w:sz w:val="24"/>
          <w:szCs w:val="24"/>
          <w:lang w:val="en-US"/>
        </w:rPr>
        <w:t xml:space="preserve"> Sever, Jan </w:t>
      </w:r>
      <w:proofErr w:type="spellStart"/>
      <w:r w:rsidRPr="00E9022C">
        <w:rPr>
          <w:rFonts w:ascii="Book Antiqua" w:eastAsia="Calibri" w:hAnsi="Book Antiqua" w:cs="Times New Roman"/>
          <w:b/>
          <w:sz w:val="24"/>
          <w:szCs w:val="24"/>
          <w:lang w:val="en-US"/>
        </w:rPr>
        <w:t>Grosek</w:t>
      </w:r>
      <w:proofErr w:type="spellEnd"/>
      <w:r w:rsidRPr="00E9022C">
        <w:rPr>
          <w:rFonts w:ascii="Book Antiqua" w:eastAsia="Calibri" w:hAnsi="Book Antiqua" w:cs="Times New Roman"/>
          <w:b/>
          <w:sz w:val="24"/>
          <w:szCs w:val="24"/>
          <w:lang w:val="en-US"/>
        </w:rPr>
        <w:t xml:space="preserve">, </w:t>
      </w:r>
      <w:proofErr w:type="spellStart"/>
      <w:r w:rsidRPr="00E9022C">
        <w:rPr>
          <w:rFonts w:ascii="Book Antiqua" w:eastAsia="Calibri" w:hAnsi="Book Antiqua" w:cs="Times New Roman"/>
          <w:b/>
          <w:sz w:val="24"/>
          <w:szCs w:val="24"/>
          <w:lang w:val="en-US"/>
        </w:rPr>
        <w:t>Aleš</w:t>
      </w:r>
      <w:proofErr w:type="spellEnd"/>
      <w:r w:rsidRPr="00E9022C">
        <w:rPr>
          <w:rFonts w:ascii="Book Antiqua" w:eastAsia="Calibri" w:hAnsi="Book Antiqua" w:cs="Times New Roman"/>
          <w:b/>
          <w:sz w:val="24"/>
          <w:szCs w:val="24"/>
          <w:lang w:val="en-US"/>
        </w:rPr>
        <w:t xml:space="preserve"> </w:t>
      </w:r>
      <w:proofErr w:type="spellStart"/>
      <w:r w:rsidRPr="00E9022C">
        <w:rPr>
          <w:rFonts w:ascii="Book Antiqua" w:eastAsia="Calibri" w:hAnsi="Book Antiqua" w:cs="Times New Roman"/>
          <w:b/>
          <w:sz w:val="24"/>
          <w:szCs w:val="24"/>
          <w:lang w:val="en-US"/>
        </w:rPr>
        <w:t>Tomažič</w:t>
      </w:r>
      <w:proofErr w:type="spellEnd"/>
      <w:r w:rsidRPr="00E9022C">
        <w:rPr>
          <w:rFonts w:ascii="Book Antiqua" w:eastAsia="Calibri" w:hAnsi="Book Antiqua" w:cs="Times New Roman"/>
          <w:b/>
          <w:sz w:val="24"/>
          <w:szCs w:val="24"/>
          <w:lang w:val="en-US"/>
        </w:rPr>
        <w:t>,</w:t>
      </w:r>
      <w:r w:rsidRPr="00E9022C">
        <w:rPr>
          <w:rFonts w:ascii="Book Antiqua" w:eastAsia="Calibri" w:hAnsi="Book Antiqua" w:cs="Times New Roman"/>
          <w:sz w:val="24"/>
          <w:szCs w:val="24"/>
          <w:lang w:val="en-US"/>
        </w:rPr>
        <w:t xml:space="preserve"> </w:t>
      </w:r>
      <w:r w:rsidR="00EB6FF0" w:rsidRPr="00E9022C">
        <w:rPr>
          <w:rFonts w:ascii="Book Antiqua" w:eastAsia="Calibri" w:hAnsi="Book Antiqua" w:cs="Times New Roman"/>
          <w:sz w:val="24"/>
          <w:szCs w:val="24"/>
          <w:lang w:val="en-US"/>
        </w:rPr>
        <w:t>Department of Abdominal Surgery, University Medical Centre Ljubljana, Ljubljana</w:t>
      </w:r>
      <w:r w:rsidR="00433ADD" w:rsidRPr="00E9022C">
        <w:rPr>
          <w:rFonts w:ascii="Book Antiqua" w:hAnsi="Book Antiqua" w:cs="Times New Roman"/>
          <w:sz w:val="24"/>
          <w:szCs w:val="24"/>
          <w:lang w:val="en-US" w:eastAsia="zh-CN"/>
        </w:rPr>
        <w:t xml:space="preserve"> </w:t>
      </w:r>
      <w:r w:rsidR="00433ADD" w:rsidRPr="00E9022C">
        <w:rPr>
          <w:rFonts w:ascii="Book Antiqua" w:eastAsia="Calibri" w:hAnsi="Book Antiqua" w:cs="Times New Roman"/>
          <w:sz w:val="24"/>
          <w:szCs w:val="24"/>
          <w:lang w:val="en-US"/>
        </w:rPr>
        <w:t>SI-1000</w:t>
      </w:r>
      <w:r w:rsidR="00EB6FF0" w:rsidRPr="00E9022C">
        <w:rPr>
          <w:rFonts w:ascii="Book Antiqua" w:eastAsia="Calibri" w:hAnsi="Book Antiqua" w:cs="Times New Roman"/>
          <w:sz w:val="24"/>
          <w:szCs w:val="24"/>
          <w:lang w:val="en-US"/>
        </w:rPr>
        <w:t>, Slovenia</w:t>
      </w:r>
    </w:p>
    <w:p w14:paraId="4C2E1871" w14:textId="77777777" w:rsidR="008C0DDD" w:rsidRPr="00E9022C" w:rsidRDefault="008C0DDD" w:rsidP="005710FA">
      <w:pPr>
        <w:spacing w:after="0" w:line="360" w:lineRule="auto"/>
        <w:jc w:val="both"/>
        <w:rPr>
          <w:rFonts w:ascii="Book Antiqua" w:hAnsi="Book Antiqua" w:cs="Times New Roman"/>
          <w:sz w:val="24"/>
          <w:szCs w:val="24"/>
          <w:lang w:val="en-US" w:eastAsia="zh-CN"/>
        </w:rPr>
      </w:pPr>
    </w:p>
    <w:p w14:paraId="2B80B3EA" w14:textId="6D494DC1" w:rsidR="00433ADD" w:rsidRPr="00E9022C" w:rsidRDefault="00433ADD" w:rsidP="005710FA">
      <w:pPr>
        <w:spacing w:after="0" w:line="360" w:lineRule="auto"/>
        <w:jc w:val="both"/>
        <w:rPr>
          <w:rFonts w:ascii="Book Antiqua" w:eastAsia="Calibri" w:hAnsi="Book Antiqua" w:cs="Times New Roman"/>
          <w:sz w:val="24"/>
          <w:szCs w:val="24"/>
          <w:lang w:val="en-US"/>
        </w:rPr>
      </w:pPr>
      <w:r w:rsidRPr="00E9022C">
        <w:rPr>
          <w:rFonts w:ascii="Book Antiqua" w:hAnsi="Book Antiqua"/>
          <w:b/>
          <w:sz w:val="24"/>
          <w:szCs w:val="24"/>
        </w:rPr>
        <w:t>ORCID number:</w:t>
      </w:r>
      <w:r w:rsidR="00E9022C" w:rsidRPr="00E9022C">
        <w:rPr>
          <w:rFonts w:ascii="Book Antiqua" w:hAnsi="Book Antiqua"/>
          <w:sz w:val="24"/>
          <w:szCs w:val="24"/>
        </w:rPr>
        <w:t xml:space="preserve"> </w:t>
      </w:r>
      <w:r w:rsidRPr="00E9022C">
        <w:rPr>
          <w:rFonts w:ascii="Book Antiqua" w:eastAsia="Calibri" w:hAnsi="Book Antiqua" w:cs="Times New Roman"/>
          <w:sz w:val="24"/>
          <w:szCs w:val="24"/>
          <w:lang w:val="en-US"/>
        </w:rPr>
        <w:t xml:space="preserve">Gregor </w:t>
      </w:r>
      <w:proofErr w:type="spellStart"/>
      <w:r w:rsidRPr="00E9022C">
        <w:rPr>
          <w:rFonts w:ascii="Book Antiqua" w:eastAsia="Calibri" w:hAnsi="Book Antiqua" w:cs="Times New Roman"/>
          <w:sz w:val="24"/>
          <w:szCs w:val="24"/>
          <w:lang w:val="en-US"/>
        </w:rPr>
        <w:t>Norčič</w:t>
      </w:r>
      <w:proofErr w:type="spellEnd"/>
      <w:r w:rsidRPr="00E9022C">
        <w:rPr>
          <w:rFonts w:ascii="Book Antiqua" w:eastAsia="Calibri" w:hAnsi="Book Antiqua" w:cs="Times New Roman"/>
          <w:sz w:val="24"/>
          <w:szCs w:val="24"/>
          <w:lang w:val="en-US"/>
        </w:rPr>
        <w:t xml:space="preserve"> (0000-0002-8861-3412)</w:t>
      </w:r>
      <w:r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Žan</w:t>
      </w:r>
      <w:proofErr w:type="spellEnd"/>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Čebron</w:t>
      </w:r>
      <w:proofErr w:type="spellEnd"/>
      <w:r w:rsidRPr="00E9022C">
        <w:rPr>
          <w:rFonts w:ascii="Book Antiqua" w:eastAsia="Calibri" w:hAnsi="Book Antiqua" w:cs="Times New Roman"/>
          <w:sz w:val="24"/>
          <w:szCs w:val="24"/>
          <w:lang w:val="en-US"/>
        </w:rPr>
        <w:t xml:space="preserve"> (0000-0003-1896-7167)</w:t>
      </w:r>
      <w:r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Primož</w:t>
      </w:r>
      <w:proofErr w:type="spellEnd"/>
      <w:r w:rsidRPr="00E9022C">
        <w:rPr>
          <w:rFonts w:ascii="Book Antiqua" w:eastAsia="Calibri" w:hAnsi="Book Antiqua" w:cs="Times New Roman"/>
          <w:sz w:val="24"/>
          <w:szCs w:val="24"/>
          <w:lang w:val="en-US"/>
        </w:rPr>
        <w:t xml:space="preserve"> Sever (0000-0002-3449-6759)</w:t>
      </w:r>
      <w:r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 xml:space="preserve"> Jan </w:t>
      </w:r>
      <w:proofErr w:type="spellStart"/>
      <w:r w:rsidRPr="00E9022C">
        <w:rPr>
          <w:rFonts w:ascii="Book Antiqua" w:eastAsia="Calibri" w:hAnsi="Book Antiqua" w:cs="Times New Roman"/>
          <w:sz w:val="24"/>
          <w:szCs w:val="24"/>
          <w:lang w:val="en-US"/>
        </w:rPr>
        <w:t>Grosek</w:t>
      </w:r>
      <w:proofErr w:type="spellEnd"/>
      <w:r w:rsidRPr="00E9022C">
        <w:rPr>
          <w:rFonts w:ascii="Book Antiqua" w:eastAsia="Calibri" w:hAnsi="Book Antiqua" w:cs="Times New Roman"/>
          <w:sz w:val="24"/>
          <w:szCs w:val="24"/>
          <w:lang w:val="en-US"/>
        </w:rPr>
        <w:t xml:space="preserve"> (0000-0001-9832-4596)</w:t>
      </w:r>
      <w:r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Aleš</w:t>
      </w:r>
      <w:proofErr w:type="spellEnd"/>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Tomažič</w:t>
      </w:r>
      <w:proofErr w:type="spellEnd"/>
      <w:r w:rsidRPr="00E9022C">
        <w:rPr>
          <w:rFonts w:ascii="Book Antiqua" w:eastAsia="Calibri" w:hAnsi="Book Antiqua" w:cs="Times New Roman"/>
          <w:sz w:val="24"/>
          <w:szCs w:val="24"/>
          <w:lang w:val="en-US"/>
        </w:rPr>
        <w:t xml:space="preserve"> (0000-0002-1063-8636).</w:t>
      </w:r>
    </w:p>
    <w:p w14:paraId="4747E09D" w14:textId="77777777" w:rsidR="00433ADD" w:rsidRPr="00E9022C" w:rsidRDefault="00433ADD" w:rsidP="005710FA">
      <w:pPr>
        <w:spacing w:after="0" w:line="360" w:lineRule="auto"/>
        <w:jc w:val="both"/>
        <w:rPr>
          <w:rFonts w:ascii="Book Antiqua" w:hAnsi="Book Antiqua" w:cs="Times New Roman"/>
          <w:sz w:val="24"/>
          <w:szCs w:val="24"/>
          <w:lang w:val="en-US" w:eastAsia="zh-CN"/>
        </w:rPr>
      </w:pPr>
    </w:p>
    <w:p w14:paraId="04CBF06B" w14:textId="214A0AC6" w:rsidR="008C0DDD" w:rsidRPr="00E9022C" w:rsidRDefault="00433ADD" w:rsidP="005710FA">
      <w:pPr>
        <w:spacing w:after="0" w:line="360" w:lineRule="auto"/>
        <w:jc w:val="both"/>
        <w:rPr>
          <w:rFonts w:ascii="Book Antiqua" w:hAnsi="Book Antiqua" w:cs="Times New Roman"/>
          <w:sz w:val="24"/>
          <w:szCs w:val="24"/>
          <w:lang w:val="en-US" w:eastAsia="zh-CN"/>
        </w:rPr>
      </w:pPr>
      <w:r w:rsidRPr="00E9022C">
        <w:rPr>
          <w:rFonts w:ascii="Book Antiqua" w:hAnsi="Book Antiqua"/>
          <w:b/>
          <w:sz w:val="24"/>
          <w:szCs w:val="24"/>
        </w:rPr>
        <w:t>Author contributions:</w:t>
      </w:r>
      <w:r w:rsidRPr="00E9022C">
        <w:rPr>
          <w:rFonts w:ascii="Book Antiqua" w:hAnsi="Book Antiqua"/>
          <w:b/>
          <w:sz w:val="24"/>
          <w:szCs w:val="24"/>
          <w:lang w:eastAsia="zh-CN"/>
        </w:rPr>
        <w:t xml:space="preserve"> </w:t>
      </w:r>
      <w:proofErr w:type="spellStart"/>
      <w:r w:rsidRPr="00E9022C">
        <w:rPr>
          <w:rFonts w:ascii="Book Antiqua" w:eastAsia="Calibri" w:hAnsi="Book Antiqua" w:cs="Times New Roman"/>
          <w:sz w:val="24"/>
          <w:szCs w:val="24"/>
          <w:lang w:val="en-US"/>
        </w:rPr>
        <w:t>Norčič</w:t>
      </w:r>
      <w:proofErr w:type="spellEnd"/>
      <w:r w:rsidRPr="00E9022C">
        <w:rPr>
          <w:rFonts w:ascii="Book Antiqua" w:eastAsia="Calibri" w:hAnsi="Book Antiqua" w:cs="Times New Roman"/>
          <w:sz w:val="24"/>
          <w:szCs w:val="24"/>
          <w:lang w:val="en-US"/>
        </w:rPr>
        <w:t xml:space="preserve"> </w:t>
      </w:r>
      <w:r w:rsidRPr="00E9022C">
        <w:rPr>
          <w:rFonts w:ascii="Book Antiqua" w:hAnsi="Book Antiqua" w:cs="Times New Roman"/>
          <w:sz w:val="24"/>
          <w:szCs w:val="24"/>
          <w:lang w:val="en-US" w:eastAsia="zh-CN"/>
        </w:rPr>
        <w:t xml:space="preserve">G contributed to </w:t>
      </w:r>
      <w:r w:rsidRPr="00E9022C">
        <w:rPr>
          <w:rFonts w:ascii="Book Antiqua" w:eastAsia="Calibri" w:hAnsi="Book Antiqua" w:cs="Times New Roman"/>
          <w:sz w:val="24"/>
          <w:szCs w:val="24"/>
          <w:lang w:val="en-US"/>
        </w:rPr>
        <w:t>s</w:t>
      </w:r>
      <w:r w:rsidR="00C01B87" w:rsidRPr="00E9022C">
        <w:rPr>
          <w:rFonts w:ascii="Book Antiqua" w:eastAsia="Calibri" w:hAnsi="Book Antiqua" w:cs="Times New Roman"/>
          <w:sz w:val="24"/>
          <w:szCs w:val="24"/>
          <w:lang w:val="en-US"/>
        </w:rPr>
        <w:t>tudy conception and design</w:t>
      </w:r>
      <w:r w:rsidRPr="00E9022C">
        <w:rPr>
          <w:rFonts w:ascii="Book Antiqua" w:hAnsi="Book Antiqua" w:cs="Times New Roman"/>
          <w:sz w:val="24"/>
          <w:szCs w:val="24"/>
          <w:lang w:val="en-US" w:eastAsia="zh-CN"/>
        </w:rPr>
        <w:t xml:space="preserve">; </w:t>
      </w:r>
      <w:proofErr w:type="spellStart"/>
      <w:r w:rsidRPr="00E9022C">
        <w:rPr>
          <w:rFonts w:ascii="Book Antiqua" w:eastAsia="Calibri" w:hAnsi="Book Antiqua" w:cs="Times New Roman"/>
          <w:sz w:val="24"/>
          <w:szCs w:val="24"/>
          <w:lang w:val="en-US"/>
        </w:rPr>
        <w:t>Čebron</w:t>
      </w:r>
      <w:proofErr w:type="spellEnd"/>
      <w:r w:rsidRPr="00E9022C">
        <w:rPr>
          <w:rFonts w:ascii="Book Antiqua" w:hAnsi="Book Antiqua" w:cs="Times New Roman"/>
          <w:sz w:val="24"/>
          <w:szCs w:val="24"/>
          <w:lang w:val="en-US" w:eastAsia="zh-CN"/>
        </w:rPr>
        <w:t xml:space="preserve"> </w:t>
      </w:r>
      <w:r w:rsidRPr="00E9022C">
        <w:rPr>
          <w:rFonts w:ascii="Book Antiqua" w:eastAsia="Calibri" w:hAnsi="Book Antiqua" w:cs="Times New Roman"/>
          <w:sz w:val="24"/>
          <w:szCs w:val="24"/>
          <w:lang w:val="en-US"/>
        </w:rPr>
        <w:t>Ž</w:t>
      </w:r>
      <w:r w:rsidRPr="00E9022C">
        <w:rPr>
          <w:rFonts w:ascii="Book Antiqua" w:hAnsi="Book Antiqua" w:cs="Times New Roman"/>
          <w:sz w:val="24"/>
          <w:szCs w:val="24"/>
          <w:lang w:val="en-US" w:eastAsia="zh-CN"/>
        </w:rPr>
        <w:t xml:space="preserve"> contributed to</w:t>
      </w:r>
      <w:r w:rsidRPr="00E9022C">
        <w:rPr>
          <w:rFonts w:ascii="Book Antiqua" w:eastAsia="Calibri" w:hAnsi="Book Antiqua" w:cs="Times New Roman"/>
          <w:sz w:val="24"/>
          <w:szCs w:val="24"/>
          <w:lang w:val="en-US"/>
        </w:rPr>
        <w:t xml:space="preserve"> c</w:t>
      </w:r>
      <w:r w:rsidR="00C01B87" w:rsidRPr="00E9022C">
        <w:rPr>
          <w:rFonts w:ascii="Book Antiqua" w:eastAsia="Calibri" w:hAnsi="Book Antiqua" w:cs="Times New Roman"/>
          <w:sz w:val="24"/>
          <w:szCs w:val="24"/>
          <w:lang w:val="en-US"/>
        </w:rPr>
        <w:t>ollection of data</w:t>
      </w:r>
      <w:r w:rsidR="005710FA"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 xml:space="preserve"> a</w:t>
      </w:r>
      <w:r w:rsidR="00C01B87" w:rsidRPr="00E9022C">
        <w:rPr>
          <w:rFonts w:ascii="Book Antiqua" w:eastAsia="Calibri" w:hAnsi="Book Antiqua" w:cs="Times New Roman"/>
          <w:sz w:val="24"/>
          <w:szCs w:val="24"/>
          <w:lang w:val="en-US"/>
        </w:rPr>
        <w:t>nalysis and interpretation of data</w:t>
      </w:r>
      <w:r w:rsidRPr="00E9022C">
        <w:rPr>
          <w:rFonts w:ascii="Book Antiqua" w:hAnsi="Book Antiqua" w:cs="Times New Roman"/>
          <w:sz w:val="24"/>
          <w:szCs w:val="24"/>
          <w:lang w:val="en-US" w:eastAsia="zh-CN"/>
        </w:rPr>
        <w:t xml:space="preserve">; </w:t>
      </w:r>
      <w:proofErr w:type="spellStart"/>
      <w:r w:rsidRPr="00E9022C">
        <w:rPr>
          <w:rFonts w:ascii="Book Antiqua" w:eastAsia="Calibri" w:hAnsi="Book Antiqua" w:cs="Times New Roman"/>
          <w:sz w:val="24"/>
          <w:szCs w:val="24"/>
          <w:lang w:val="en-US"/>
        </w:rPr>
        <w:t>Grosek</w:t>
      </w:r>
      <w:proofErr w:type="spellEnd"/>
      <w:r w:rsidRPr="00E9022C">
        <w:rPr>
          <w:rFonts w:ascii="Book Antiqua" w:hAnsi="Book Antiqua" w:cs="Times New Roman"/>
          <w:sz w:val="24"/>
          <w:szCs w:val="24"/>
          <w:lang w:val="en-US" w:eastAsia="zh-CN"/>
        </w:rPr>
        <w:t xml:space="preserve"> J</w:t>
      </w:r>
      <w:r w:rsidRPr="00E9022C">
        <w:rPr>
          <w:rFonts w:ascii="Book Antiqua" w:eastAsia="Calibri" w:hAnsi="Book Antiqua" w:cs="Times New Roman"/>
          <w:sz w:val="24"/>
          <w:szCs w:val="24"/>
          <w:lang w:val="en-US"/>
        </w:rPr>
        <w:t xml:space="preserve"> </w:t>
      </w:r>
      <w:r w:rsidRPr="00E9022C">
        <w:rPr>
          <w:rFonts w:ascii="Book Antiqua" w:hAnsi="Book Antiqua" w:cs="Times New Roman"/>
          <w:sz w:val="24"/>
          <w:szCs w:val="24"/>
          <w:lang w:val="en-US" w:eastAsia="zh-CN"/>
        </w:rPr>
        <w:t xml:space="preserve">and </w:t>
      </w:r>
      <w:r w:rsidRPr="00E9022C">
        <w:rPr>
          <w:rFonts w:ascii="Book Antiqua" w:eastAsia="Calibri" w:hAnsi="Book Antiqua" w:cs="Times New Roman"/>
          <w:sz w:val="24"/>
          <w:szCs w:val="24"/>
          <w:lang w:val="en-US"/>
        </w:rPr>
        <w:t>Sever</w:t>
      </w:r>
      <w:r w:rsidRPr="00E9022C">
        <w:rPr>
          <w:rFonts w:ascii="Book Antiqua" w:hAnsi="Book Antiqua" w:cs="Times New Roman"/>
          <w:sz w:val="24"/>
          <w:szCs w:val="24"/>
          <w:lang w:val="en-US" w:eastAsia="zh-CN"/>
        </w:rPr>
        <w:t xml:space="preserve"> P contributed to</w:t>
      </w:r>
      <w:r w:rsidRPr="00E9022C">
        <w:rPr>
          <w:rFonts w:ascii="Book Antiqua" w:eastAsia="Calibri" w:hAnsi="Book Antiqua" w:cs="Times New Roman"/>
          <w:sz w:val="24"/>
          <w:szCs w:val="24"/>
          <w:lang w:val="en-US"/>
        </w:rPr>
        <w:t xml:space="preserve"> d</w:t>
      </w:r>
      <w:r w:rsidR="00C01B87" w:rsidRPr="00E9022C">
        <w:rPr>
          <w:rFonts w:ascii="Book Antiqua" w:eastAsia="Calibri" w:hAnsi="Book Antiqua" w:cs="Times New Roman"/>
          <w:sz w:val="24"/>
          <w:szCs w:val="24"/>
          <w:lang w:val="en-US"/>
        </w:rPr>
        <w:t>rafting of manuscript</w:t>
      </w:r>
      <w:r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Tomažič</w:t>
      </w:r>
      <w:proofErr w:type="spellEnd"/>
      <w:r w:rsidRPr="00E9022C">
        <w:rPr>
          <w:rFonts w:ascii="Book Antiqua" w:hAnsi="Book Antiqua" w:cs="Times New Roman"/>
          <w:sz w:val="24"/>
          <w:szCs w:val="24"/>
          <w:lang w:val="en-US" w:eastAsia="zh-CN"/>
        </w:rPr>
        <w:t xml:space="preserve"> A contributed to</w:t>
      </w:r>
      <w:r w:rsidRPr="00E9022C">
        <w:rPr>
          <w:rFonts w:ascii="Book Antiqua" w:eastAsia="Calibri" w:hAnsi="Book Antiqua" w:cs="Times New Roman"/>
          <w:sz w:val="24"/>
          <w:szCs w:val="24"/>
          <w:lang w:val="en-US"/>
        </w:rPr>
        <w:t xml:space="preserve"> c</w:t>
      </w:r>
      <w:r w:rsidR="00C01B87" w:rsidRPr="00E9022C">
        <w:rPr>
          <w:rFonts w:ascii="Book Antiqua" w:eastAsia="Calibri" w:hAnsi="Book Antiqua" w:cs="Times New Roman"/>
          <w:sz w:val="24"/>
          <w:szCs w:val="24"/>
          <w:lang w:val="en-US"/>
        </w:rPr>
        <w:t>ritical revision</w:t>
      </w:r>
      <w:r w:rsidRPr="00E9022C">
        <w:rPr>
          <w:rFonts w:ascii="Book Antiqua" w:hAnsi="Book Antiqua" w:cs="Times New Roman"/>
          <w:sz w:val="24"/>
          <w:szCs w:val="24"/>
          <w:lang w:val="en-US" w:eastAsia="zh-CN"/>
        </w:rPr>
        <w:t xml:space="preserve">; </w:t>
      </w:r>
      <w:r w:rsidRPr="00E9022C">
        <w:rPr>
          <w:rFonts w:ascii="Book Antiqua" w:eastAsia="Calibri" w:hAnsi="Book Antiqua" w:cs="Times New Roman"/>
          <w:sz w:val="24"/>
          <w:szCs w:val="24"/>
          <w:lang w:val="en-US"/>
        </w:rPr>
        <w:t>a</w:t>
      </w:r>
      <w:r w:rsidR="00C01B87" w:rsidRPr="00E9022C">
        <w:rPr>
          <w:rFonts w:ascii="Book Antiqua" w:eastAsia="Calibri" w:hAnsi="Book Antiqua" w:cs="Times New Roman"/>
          <w:sz w:val="24"/>
          <w:szCs w:val="24"/>
          <w:lang w:val="en-US"/>
        </w:rPr>
        <w:t>ll authors issued final approval for the version to be submitted.</w:t>
      </w:r>
    </w:p>
    <w:p w14:paraId="790A149C" w14:textId="77777777" w:rsidR="00C01B87" w:rsidRPr="00E9022C" w:rsidRDefault="00C01B87" w:rsidP="005710FA">
      <w:pPr>
        <w:spacing w:after="0" w:line="360" w:lineRule="auto"/>
        <w:jc w:val="both"/>
        <w:rPr>
          <w:rFonts w:ascii="Book Antiqua" w:hAnsi="Book Antiqua" w:cs="Times New Roman"/>
          <w:sz w:val="24"/>
          <w:szCs w:val="24"/>
          <w:lang w:val="en-US" w:eastAsia="zh-CN"/>
        </w:rPr>
      </w:pPr>
    </w:p>
    <w:p w14:paraId="25E251EE" w14:textId="766DE47C" w:rsidR="00A22F22" w:rsidRPr="00E9022C" w:rsidRDefault="00A22F22" w:rsidP="005710FA">
      <w:pPr>
        <w:spacing w:after="0" w:line="360" w:lineRule="auto"/>
        <w:jc w:val="both"/>
        <w:rPr>
          <w:rFonts w:ascii="Book Antiqua" w:eastAsia="Calibri" w:hAnsi="Book Antiqua" w:cs="Times New Roman"/>
          <w:sz w:val="24"/>
          <w:szCs w:val="24"/>
          <w:lang w:val="en-US"/>
        </w:rPr>
      </w:pPr>
      <w:r w:rsidRPr="00E9022C">
        <w:rPr>
          <w:rFonts w:ascii="Book Antiqua" w:hAnsi="Book Antiqua"/>
          <w:b/>
          <w:sz w:val="24"/>
          <w:szCs w:val="24"/>
        </w:rPr>
        <w:t>Informed consent statement</w:t>
      </w:r>
      <w:r w:rsidRPr="00E9022C">
        <w:rPr>
          <w:rFonts w:ascii="Book Antiqua" w:hAnsi="Book Antiqua"/>
          <w:b/>
          <w:iCs/>
          <w:sz w:val="24"/>
          <w:szCs w:val="24"/>
        </w:rPr>
        <w:t xml:space="preserve">: </w:t>
      </w:r>
      <w:r w:rsidRPr="00E9022C">
        <w:rPr>
          <w:rFonts w:ascii="Book Antiqua" w:eastAsia="Calibri" w:hAnsi="Book Antiqua" w:cs="Times New Roman"/>
          <w:sz w:val="24"/>
          <w:szCs w:val="24"/>
          <w:lang w:val="en-US"/>
        </w:rPr>
        <w:t>Written informed consent was obtained from the patient before the surgery for publication of this case report and accompanying images.</w:t>
      </w:r>
    </w:p>
    <w:p w14:paraId="7DAB1D47" w14:textId="77777777" w:rsidR="00A22F22" w:rsidRPr="00E9022C" w:rsidRDefault="00A22F22" w:rsidP="005710FA">
      <w:pPr>
        <w:spacing w:after="0" w:line="360" w:lineRule="auto"/>
        <w:jc w:val="both"/>
        <w:rPr>
          <w:rFonts w:ascii="Book Antiqua" w:hAnsi="Book Antiqua"/>
          <w:b/>
          <w:sz w:val="24"/>
          <w:szCs w:val="24"/>
        </w:rPr>
      </w:pPr>
    </w:p>
    <w:p w14:paraId="288F183E" w14:textId="675E3439" w:rsidR="00A22F22" w:rsidRPr="00E9022C" w:rsidRDefault="00A22F22" w:rsidP="005710FA">
      <w:pPr>
        <w:spacing w:after="0" w:line="360" w:lineRule="auto"/>
        <w:jc w:val="both"/>
        <w:rPr>
          <w:rFonts w:ascii="Book Antiqua" w:hAnsi="Book Antiqua" w:cs="Times New Roman"/>
          <w:sz w:val="24"/>
          <w:szCs w:val="24"/>
          <w:lang w:val="en-US" w:eastAsia="zh-CN"/>
        </w:rPr>
      </w:pPr>
      <w:r w:rsidRPr="00E9022C">
        <w:rPr>
          <w:rFonts w:ascii="Book Antiqua" w:hAnsi="Book Antiqua"/>
          <w:b/>
          <w:sz w:val="24"/>
          <w:szCs w:val="24"/>
        </w:rPr>
        <w:t>Conflict-of-interest statement</w:t>
      </w:r>
      <w:r w:rsidRPr="00E9022C">
        <w:rPr>
          <w:rFonts w:ascii="Book Antiqua" w:hAnsi="Book Antiqua" w:cs="TimesNewRomanPS-BoldItalicMT"/>
          <w:b/>
          <w:iCs/>
          <w:sz w:val="24"/>
          <w:szCs w:val="24"/>
        </w:rPr>
        <w:t xml:space="preserve">: </w:t>
      </w:r>
      <w:r w:rsidRPr="00E9022C">
        <w:rPr>
          <w:rFonts w:ascii="Book Antiqua" w:eastAsia="Calibri" w:hAnsi="Book Antiqua" w:cs="Times New Roman"/>
          <w:sz w:val="24"/>
          <w:szCs w:val="24"/>
          <w:lang w:val="en-US"/>
        </w:rPr>
        <w:t>The authors declare no conflict of interests with regard to this case report.</w:t>
      </w:r>
    </w:p>
    <w:p w14:paraId="14A1C849" w14:textId="77777777" w:rsidR="00A22F22" w:rsidRPr="00E9022C" w:rsidRDefault="00A22F22" w:rsidP="005710FA">
      <w:pPr>
        <w:snapToGrid w:val="0"/>
        <w:spacing w:after="0" w:line="360" w:lineRule="auto"/>
        <w:jc w:val="both"/>
        <w:rPr>
          <w:rFonts w:ascii="Book Antiqua" w:hAnsi="Book Antiqua" w:cs="Book Antiqua"/>
          <w:sz w:val="24"/>
          <w:szCs w:val="24"/>
        </w:rPr>
      </w:pPr>
    </w:p>
    <w:p w14:paraId="1D8D501E" w14:textId="7D4EECB7" w:rsidR="00A22F22" w:rsidRPr="00E9022C" w:rsidRDefault="00A22F22" w:rsidP="005710FA">
      <w:pPr>
        <w:spacing w:after="0" w:line="360" w:lineRule="auto"/>
        <w:jc w:val="both"/>
        <w:rPr>
          <w:rFonts w:ascii="Book Antiqua" w:hAnsi="Book Antiqua"/>
          <w:b/>
          <w:sz w:val="24"/>
          <w:szCs w:val="24"/>
        </w:rPr>
      </w:pPr>
      <w:r w:rsidRPr="00E9022C">
        <w:rPr>
          <w:rFonts w:ascii="Book Antiqua" w:hAnsi="Book Antiqua"/>
          <w:b/>
          <w:sz w:val="24"/>
          <w:szCs w:val="24"/>
        </w:rPr>
        <w:lastRenderedPageBreak/>
        <w:t>CARE Checklist (2016) statement:</w:t>
      </w:r>
      <w:r w:rsidRPr="00E9022C">
        <w:rPr>
          <w:rFonts w:ascii="Book Antiqua" w:eastAsia="Calibri" w:hAnsi="Book Antiqua" w:cs="Times New Roman"/>
          <w:sz w:val="24"/>
          <w:szCs w:val="24"/>
          <w:lang w:val="en-US"/>
        </w:rPr>
        <w:t xml:space="preserve"> The authors have read the CARE Checklist (2016), and the manuscript was prepared and revised according to the CARE Checklist (2016).</w:t>
      </w:r>
    </w:p>
    <w:p w14:paraId="51476032" w14:textId="77777777" w:rsidR="00A22F22" w:rsidRPr="00E9022C" w:rsidRDefault="00A22F22" w:rsidP="005710FA">
      <w:pPr>
        <w:adjustRightInd w:val="0"/>
        <w:snapToGrid w:val="0"/>
        <w:spacing w:after="0" w:line="360" w:lineRule="auto"/>
        <w:jc w:val="both"/>
        <w:rPr>
          <w:rFonts w:ascii="Book Antiqua" w:hAnsi="Book Antiqua"/>
          <w:sz w:val="24"/>
          <w:szCs w:val="24"/>
        </w:rPr>
      </w:pPr>
    </w:p>
    <w:p w14:paraId="3A423B13" w14:textId="77777777" w:rsidR="00A22F22" w:rsidRPr="00E9022C" w:rsidRDefault="00A22F22" w:rsidP="005710FA">
      <w:pPr>
        <w:adjustRightInd w:val="0"/>
        <w:snapToGrid w:val="0"/>
        <w:spacing w:after="0" w:line="360" w:lineRule="auto"/>
        <w:jc w:val="both"/>
        <w:rPr>
          <w:rFonts w:ascii="Book Antiqua" w:hAnsi="Book Antiqua"/>
          <w:sz w:val="24"/>
          <w:szCs w:val="24"/>
        </w:rPr>
      </w:pPr>
      <w:r w:rsidRPr="00E9022C">
        <w:rPr>
          <w:rFonts w:ascii="Book Antiqua" w:hAnsi="Book Antiqua"/>
          <w:b/>
          <w:sz w:val="24"/>
          <w:szCs w:val="24"/>
        </w:rPr>
        <w:t xml:space="preserve">Open-Access: </w:t>
      </w:r>
      <w:r w:rsidRPr="00E9022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E9022C">
        <w:fldChar w:fldCharType="begin"/>
      </w:r>
      <w:r w:rsidRPr="00E9022C">
        <w:rPr>
          <w:rFonts w:ascii="Book Antiqua" w:hAnsi="Book Antiqua"/>
          <w:sz w:val="24"/>
          <w:szCs w:val="24"/>
        </w:rPr>
        <w:instrText xml:space="preserve"> HYPERLINK "http://creativecommons.org/licenses/by-nc/4.0/" </w:instrText>
      </w:r>
      <w:r w:rsidRPr="00E9022C">
        <w:fldChar w:fldCharType="separate"/>
      </w:r>
      <w:r w:rsidRPr="00E9022C">
        <w:rPr>
          <w:rStyle w:val="Hyperlink"/>
          <w:rFonts w:ascii="Book Antiqua" w:hAnsi="Book Antiqua"/>
          <w:color w:val="auto"/>
          <w:sz w:val="24"/>
          <w:szCs w:val="24"/>
          <w:u w:val="none"/>
        </w:rPr>
        <w:t>http://creativecommons.org/licenses/by-nc/4.0/</w:t>
      </w:r>
      <w:r w:rsidRPr="00E9022C">
        <w:rPr>
          <w:rStyle w:val="Hyperlink"/>
          <w:rFonts w:ascii="Book Antiqua" w:hAnsi="Book Antiqua"/>
          <w:color w:val="auto"/>
          <w:sz w:val="24"/>
          <w:szCs w:val="24"/>
          <w:u w:val="none"/>
        </w:rPr>
        <w:fldChar w:fldCharType="end"/>
      </w:r>
    </w:p>
    <w:p w14:paraId="2F056F66" w14:textId="77777777" w:rsidR="00C01B87" w:rsidRPr="00E9022C" w:rsidRDefault="00C01B87" w:rsidP="005710FA">
      <w:pPr>
        <w:spacing w:after="0" w:line="360" w:lineRule="auto"/>
        <w:jc w:val="both"/>
        <w:rPr>
          <w:rFonts w:ascii="Book Antiqua" w:hAnsi="Book Antiqua" w:cs="Times New Roman"/>
          <w:sz w:val="24"/>
          <w:szCs w:val="24"/>
          <w:lang w:val="en-US" w:eastAsia="zh-CN"/>
        </w:rPr>
      </w:pPr>
    </w:p>
    <w:p w14:paraId="70E35EC2" w14:textId="55576760" w:rsidR="00A22F22" w:rsidRPr="00E9022C" w:rsidRDefault="00A22F22" w:rsidP="005710FA">
      <w:pPr>
        <w:spacing w:after="0" w:line="360" w:lineRule="auto"/>
        <w:jc w:val="both"/>
        <w:rPr>
          <w:rFonts w:ascii="Book Antiqua" w:eastAsia="SimSun" w:hAnsi="Book Antiqua" w:cs="SimSun"/>
          <w:sz w:val="24"/>
          <w:szCs w:val="24"/>
          <w:lang w:eastAsia="zh-CN"/>
        </w:rPr>
      </w:pPr>
      <w:r w:rsidRPr="00E9022C">
        <w:rPr>
          <w:rFonts w:ascii="Book Antiqua" w:eastAsia="SimSun" w:hAnsi="Book Antiqua" w:cs="SimSun"/>
          <w:b/>
          <w:sz w:val="24"/>
          <w:szCs w:val="24"/>
        </w:rPr>
        <w:t>Manuscript source:</w:t>
      </w:r>
      <w:r w:rsidRPr="00E9022C">
        <w:rPr>
          <w:rFonts w:ascii="Book Antiqua" w:eastAsia="SimSun" w:hAnsi="Book Antiqua" w:cs="SimSun"/>
          <w:sz w:val="24"/>
          <w:szCs w:val="24"/>
        </w:rPr>
        <w:t> Unsolicited manuscript</w:t>
      </w:r>
    </w:p>
    <w:p w14:paraId="1525B73A" w14:textId="77777777" w:rsidR="00A22F22" w:rsidRPr="00E9022C" w:rsidRDefault="00A22F22" w:rsidP="005710FA">
      <w:pPr>
        <w:spacing w:after="0" w:line="360" w:lineRule="auto"/>
        <w:jc w:val="both"/>
        <w:rPr>
          <w:rFonts w:ascii="Book Antiqua" w:hAnsi="Book Antiqua" w:cs="Times New Roman"/>
          <w:sz w:val="24"/>
          <w:szCs w:val="24"/>
          <w:lang w:val="en-US" w:eastAsia="zh-CN"/>
        </w:rPr>
      </w:pPr>
    </w:p>
    <w:p w14:paraId="7E8F797D" w14:textId="1AB3D381" w:rsidR="00C01B87" w:rsidRPr="00E9022C" w:rsidRDefault="00A22F22" w:rsidP="005710FA">
      <w:pPr>
        <w:spacing w:after="0" w:line="360" w:lineRule="auto"/>
        <w:jc w:val="both"/>
        <w:rPr>
          <w:rFonts w:ascii="Book Antiqua" w:eastAsia="Calibri" w:hAnsi="Book Antiqua" w:cs="Times New Roman"/>
          <w:b/>
          <w:sz w:val="24"/>
          <w:szCs w:val="24"/>
          <w:lang w:val="en-US"/>
        </w:rPr>
      </w:pPr>
      <w:r w:rsidRPr="00E9022C">
        <w:rPr>
          <w:rFonts w:ascii="Book Antiqua" w:hAnsi="Book Antiqua"/>
          <w:b/>
          <w:sz w:val="24"/>
          <w:szCs w:val="24"/>
        </w:rPr>
        <w:t>Corresponding author:</w:t>
      </w:r>
      <w:r w:rsidRPr="00E9022C">
        <w:rPr>
          <w:rFonts w:ascii="Book Antiqua" w:hAnsi="Book Antiqua"/>
          <w:b/>
          <w:sz w:val="24"/>
          <w:szCs w:val="24"/>
          <w:lang w:eastAsia="zh-CN"/>
        </w:rPr>
        <w:t xml:space="preserve"> </w:t>
      </w:r>
      <w:r w:rsidRPr="00E9022C">
        <w:rPr>
          <w:rFonts w:ascii="Book Antiqua" w:eastAsia="Calibri" w:hAnsi="Book Antiqua" w:cs="Times New Roman"/>
          <w:b/>
          <w:sz w:val="24"/>
          <w:szCs w:val="24"/>
          <w:lang w:val="en-US"/>
        </w:rPr>
        <w:t xml:space="preserve">Gregor </w:t>
      </w:r>
      <w:proofErr w:type="spellStart"/>
      <w:r w:rsidRPr="00E9022C">
        <w:rPr>
          <w:rFonts w:ascii="Book Antiqua" w:eastAsia="Calibri" w:hAnsi="Book Antiqua" w:cs="Times New Roman"/>
          <w:b/>
          <w:sz w:val="24"/>
          <w:szCs w:val="24"/>
          <w:lang w:val="en-US"/>
        </w:rPr>
        <w:t>Norčič</w:t>
      </w:r>
      <w:proofErr w:type="spellEnd"/>
      <w:r w:rsidRPr="00E9022C">
        <w:rPr>
          <w:rFonts w:ascii="Book Antiqua" w:eastAsia="Calibri" w:hAnsi="Book Antiqua" w:cs="Times New Roman"/>
          <w:b/>
          <w:sz w:val="24"/>
          <w:szCs w:val="24"/>
          <w:lang w:val="en-US"/>
        </w:rPr>
        <w:t xml:space="preserve">, MD, PhD, Surgeon, Consultant, </w:t>
      </w:r>
      <w:r w:rsidRPr="00E9022C">
        <w:rPr>
          <w:rFonts w:ascii="Book Antiqua" w:eastAsia="Calibri" w:hAnsi="Book Antiqua" w:cs="Times New Roman"/>
          <w:sz w:val="24"/>
          <w:szCs w:val="24"/>
          <w:lang w:val="en-US"/>
        </w:rPr>
        <w:t xml:space="preserve">Department of Abdominal Surgery, University Medical Centre Ljubljana, </w:t>
      </w:r>
      <w:proofErr w:type="spellStart"/>
      <w:r w:rsidRPr="00E9022C">
        <w:rPr>
          <w:rFonts w:ascii="Book Antiqua" w:eastAsia="Calibri" w:hAnsi="Book Antiqua" w:cs="Times New Roman"/>
          <w:sz w:val="24"/>
          <w:szCs w:val="24"/>
          <w:lang w:val="en-US"/>
        </w:rPr>
        <w:t>Zaloska</w:t>
      </w:r>
      <w:proofErr w:type="spellEnd"/>
      <w:r w:rsidRPr="00E9022C">
        <w:rPr>
          <w:rFonts w:ascii="Book Antiqua" w:eastAsia="Calibri" w:hAnsi="Book Antiqua" w:cs="Times New Roman"/>
          <w:sz w:val="24"/>
          <w:szCs w:val="24"/>
          <w:lang w:val="en-US"/>
        </w:rPr>
        <w:t xml:space="preserve"> 7, Ljubljana SI-1000, Slovenia. gregor.norcic@kclj.si</w:t>
      </w:r>
    </w:p>
    <w:p w14:paraId="132ED804" w14:textId="23A51442" w:rsidR="000C733E" w:rsidRPr="00E9022C" w:rsidRDefault="000C733E"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sz w:val="24"/>
          <w:szCs w:val="24"/>
          <w:lang w:val="en-US"/>
        </w:rPr>
        <w:t xml:space="preserve">Telephone: </w:t>
      </w:r>
      <w:r w:rsidRPr="00E9022C">
        <w:rPr>
          <w:rFonts w:ascii="Book Antiqua" w:eastAsia="Calibri" w:hAnsi="Book Antiqua" w:cs="Times New Roman"/>
          <w:sz w:val="24"/>
          <w:szCs w:val="24"/>
          <w:lang w:val="en-US"/>
        </w:rPr>
        <w:t>+386</w:t>
      </w:r>
      <w:r w:rsidR="00A22F22"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15</w:t>
      </w:r>
      <w:r w:rsidR="00A22F22" w:rsidRPr="00E9022C">
        <w:rPr>
          <w:rFonts w:ascii="Book Antiqua" w:hAnsi="Book Antiqua" w:cs="Times New Roman"/>
          <w:sz w:val="24"/>
          <w:szCs w:val="24"/>
          <w:lang w:val="en-US" w:eastAsia="zh-CN"/>
        </w:rPr>
        <w:t>-</w:t>
      </w:r>
      <w:r w:rsidR="00A22F22" w:rsidRPr="00E9022C">
        <w:rPr>
          <w:rFonts w:ascii="Book Antiqua" w:eastAsia="Calibri" w:hAnsi="Book Antiqua" w:cs="Times New Roman"/>
          <w:sz w:val="24"/>
          <w:szCs w:val="24"/>
          <w:lang w:val="en-US"/>
        </w:rPr>
        <w:t>22</w:t>
      </w:r>
      <w:r w:rsidRPr="00E9022C">
        <w:rPr>
          <w:rFonts w:ascii="Book Antiqua" w:eastAsia="Calibri" w:hAnsi="Book Antiqua" w:cs="Times New Roman"/>
          <w:sz w:val="24"/>
          <w:szCs w:val="24"/>
          <w:lang w:val="en-US"/>
        </w:rPr>
        <w:t>4788</w:t>
      </w:r>
    </w:p>
    <w:p w14:paraId="30D050BC" w14:textId="106EEA14" w:rsidR="000C733E" w:rsidRPr="00E9022C" w:rsidRDefault="000C733E"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sz w:val="24"/>
          <w:szCs w:val="24"/>
          <w:lang w:val="en-US"/>
        </w:rPr>
        <w:t>Fax:</w:t>
      </w:r>
      <w:r w:rsidRPr="00E9022C">
        <w:rPr>
          <w:rFonts w:ascii="Book Antiqua" w:eastAsia="Calibri" w:hAnsi="Book Antiqua" w:cs="Times New Roman"/>
          <w:sz w:val="24"/>
          <w:szCs w:val="24"/>
          <w:lang w:val="en-US"/>
        </w:rPr>
        <w:t xml:space="preserve"> +386</w:t>
      </w:r>
      <w:r w:rsidR="00A22F22"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15</w:t>
      </w:r>
      <w:r w:rsidR="00A22F22" w:rsidRPr="00E9022C">
        <w:rPr>
          <w:rFonts w:ascii="Book Antiqua" w:hAnsi="Book Antiqua" w:cs="Times New Roman"/>
          <w:sz w:val="24"/>
          <w:szCs w:val="24"/>
          <w:lang w:val="en-US" w:eastAsia="zh-CN"/>
        </w:rPr>
        <w:t>-</w:t>
      </w:r>
      <w:r w:rsidR="00A22F22" w:rsidRPr="00E9022C">
        <w:rPr>
          <w:rFonts w:ascii="Book Antiqua" w:eastAsia="Calibri" w:hAnsi="Book Antiqua" w:cs="Times New Roman"/>
          <w:sz w:val="24"/>
          <w:szCs w:val="24"/>
          <w:lang w:val="en-US"/>
        </w:rPr>
        <w:t>22</w:t>
      </w:r>
      <w:r w:rsidRPr="00E9022C">
        <w:rPr>
          <w:rFonts w:ascii="Book Antiqua" w:eastAsia="Calibri" w:hAnsi="Book Antiqua" w:cs="Times New Roman"/>
          <w:sz w:val="24"/>
          <w:szCs w:val="24"/>
          <w:lang w:val="en-US"/>
        </w:rPr>
        <w:t>4788</w:t>
      </w:r>
    </w:p>
    <w:p w14:paraId="6DB7E725" w14:textId="77777777" w:rsidR="00450008" w:rsidRPr="00E9022C" w:rsidRDefault="00450008" w:rsidP="005710FA">
      <w:pPr>
        <w:spacing w:after="0" w:line="360" w:lineRule="auto"/>
        <w:jc w:val="both"/>
        <w:rPr>
          <w:rFonts w:ascii="Book Antiqua" w:eastAsia="Calibri" w:hAnsi="Book Antiqua" w:cs="Times New Roman"/>
          <w:sz w:val="24"/>
          <w:szCs w:val="24"/>
          <w:lang w:val="en-US"/>
        </w:rPr>
      </w:pPr>
    </w:p>
    <w:p w14:paraId="18ED3772" w14:textId="123A84BB" w:rsidR="00A22F22" w:rsidRPr="00E9022C" w:rsidRDefault="00A22F22" w:rsidP="005710FA">
      <w:pPr>
        <w:spacing w:after="0" w:line="360" w:lineRule="auto"/>
        <w:jc w:val="both"/>
        <w:rPr>
          <w:rFonts w:ascii="Book Antiqua" w:hAnsi="Book Antiqua"/>
          <w:b/>
          <w:sz w:val="24"/>
          <w:szCs w:val="24"/>
        </w:rPr>
      </w:pPr>
      <w:r w:rsidRPr="00E9022C">
        <w:rPr>
          <w:rFonts w:ascii="Book Antiqua" w:hAnsi="Book Antiqua"/>
          <w:b/>
          <w:sz w:val="24"/>
          <w:szCs w:val="24"/>
        </w:rPr>
        <w:t>Received:</w:t>
      </w:r>
      <w:r w:rsidR="00E9022C" w:rsidRPr="00E9022C">
        <w:rPr>
          <w:rFonts w:ascii="Book Antiqua" w:hAnsi="Book Antiqua"/>
          <w:b/>
          <w:sz w:val="24"/>
          <w:szCs w:val="24"/>
        </w:rPr>
        <w:t xml:space="preserve"> </w:t>
      </w:r>
      <w:r w:rsidR="005710FA" w:rsidRPr="00E9022C">
        <w:rPr>
          <w:rFonts w:ascii="Book Antiqua" w:hAnsi="Book Antiqua"/>
          <w:sz w:val="24"/>
          <w:szCs w:val="24"/>
          <w:lang w:eastAsia="zh-CN"/>
        </w:rPr>
        <w:t>January 8, 2019</w:t>
      </w:r>
      <w:r w:rsidRPr="00E9022C">
        <w:rPr>
          <w:rFonts w:ascii="Book Antiqua" w:hAnsi="Book Antiqua"/>
          <w:sz w:val="24"/>
          <w:szCs w:val="24"/>
        </w:rPr>
        <w:t xml:space="preserve"> </w:t>
      </w:r>
    </w:p>
    <w:p w14:paraId="5F74C22A" w14:textId="6D211628" w:rsidR="00A22F22" w:rsidRPr="00E9022C" w:rsidRDefault="00A22F22" w:rsidP="005710FA">
      <w:pPr>
        <w:spacing w:after="0" w:line="360" w:lineRule="auto"/>
        <w:jc w:val="both"/>
        <w:rPr>
          <w:rFonts w:ascii="Book Antiqua" w:hAnsi="Book Antiqua"/>
          <w:b/>
          <w:sz w:val="24"/>
          <w:szCs w:val="24"/>
        </w:rPr>
      </w:pPr>
      <w:r w:rsidRPr="00E9022C">
        <w:rPr>
          <w:rFonts w:ascii="Book Antiqua" w:hAnsi="Book Antiqua"/>
          <w:b/>
          <w:sz w:val="24"/>
          <w:szCs w:val="24"/>
        </w:rPr>
        <w:t>Peer-review started:</w:t>
      </w:r>
      <w:r w:rsidR="005710FA" w:rsidRPr="00E9022C">
        <w:rPr>
          <w:rFonts w:ascii="Book Antiqua" w:hAnsi="Book Antiqua"/>
          <w:sz w:val="24"/>
          <w:szCs w:val="24"/>
          <w:lang w:eastAsia="zh-CN"/>
        </w:rPr>
        <w:t xml:space="preserve"> January 8, 2019</w:t>
      </w:r>
    </w:p>
    <w:p w14:paraId="1D49B67A" w14:textId="211AAF6A" w:rsidR="00A22F22" w:rsidRPr="00E9022C" w:rsidRDefault="00A22F22" w:rsidP="005710FA">
      <w:pPr>
        <w:spacing w:after="0" w:line="360" w:lineRule="auto"/>
        <w:jc w:val="both"/>
        <w:rPr>
          <w:rFonts w:ascii="Book Antiqua" w:hAnsi="Book Antiqua"/>
          <w:b/>
          <w:sz w:val="24"/>
          <w:szCs w:val="24"/>
        </w:rPr>
      </w:pPr>
      <w:r w:rsidRPr="00E9022C">
        <w:rPr>
          <w:rFonts w:ascii="Book Antiqua" w:hAnsi="Book Antiqua"/>
          <w:b/>
          <w:sz w:val="24"/>
          <w:szCs w:val="24"/>
        </w:rPr>
        <w:t>First decision:</w:t>
      </w:r>
      <w:r w:rsidR="005710FA" w:rsidRPr="00E9022C">
        <w:rPr>
          <w:rFonts w:ascii="Book Antiqua" w:hAnsi="Book Antiqua"/>
          <w:sz w:val="24"/>
          <w:szCs w:val="24"/>
          <w:lang w:eastAsia="zh-CN"/>
        </w:rPr>
        <w:t xml:space="preserve"> January 26, 2019</w:t>
      </w:r>
    </w:p>
    <w:p w14:paraId="2FEA2B68" w14:textId="073B9EDC" w:rsidR="00A22F22" w:rsidRPr="00E9022C" w:rsidRDefault="00A22F22" w:rsidP="005710FA">
      <w:pPr>
        <w:spacing w:after="0" w:line="360" w:lineRule="auto"/>
        <w:jc w:val="both"/>
        <w:rPr>
          <w:rFonts w:ascii="Book Antiqua" w:hAnsi="Book Antiqua"/>
          <w:b/>
          <w:sz w:val="24"/>
          <w:szCs w:val="24"/>
        </w:rPr>
      </w:pPr>
      <w:r w:rsidRPr="00E9022C">
        <w:rPr>
          <w:rFonts w:ascii="Book Antiqua" w:hAnsi="Book Antiqua"/>
          <w:b/>
          <w:sz w:val="24"/>
          <w:szCs w:val="24"/>
        </w:rPr>
        <w:t xml:space="preserve">Revised: </w:t>
      </w:r>
      <w:r w:rsidR="005710FA" w:rsidRPr="00E9022C">
        <w:rPr>
          <w:rFonts w:ascii="Book Antiqua" w:hAnsi="Book Antiqua"/>
          <w:sz w:val="24"/>
          <w:szCs w:val="24"/>
          <w:lang w:eastAsia="zh-CN"/>
        </w:rPr>
        <w:t>February 1, 2019</w:t>
      </w:r>
      <w:r w:rsidR="00E9022C" w:rsidRPr="00E9022C">
        <w:rPr>
          <w:rFonts w:ascii="Book Antiqua" w:hAnsi="Book Antiqua"/>
          <w:sz w:val="24"/>
          <w:szCs w:val="24"/>
        </w:rPr>
        <w:t xml:space="preserve"> </w:t>
      </w:r>
    </w:p>
    <w:p w14:paraId="458FFA64" w14:textId="3AFF0F17" w:rsidR="00A22F22" w:rsidRPr="00E9022C" w:rsidRDefault="00A22F22" w:rsidP="005710FA">
      <w:pPr>
        <w:spacing w:after="0" w:line="360" w:lineRule="auto"/>
        <w:jc w:val="both"/>
        <w:rPr>
          <w:rFonts w:ascii="Book Antiqua" w:hAnsi="Book Antiqua"/>
          <w:b/>
          <w:sz w:val="24"/>
          <w:szCs w:val="24"/>
        </w:rPr>
      </w:pPr>
      <w:r w:rsidRPr="00E9022C">
        <w:rPr>
          <w:rFonts w:ascii="Book Antiqua" w:hAnsi="Book Antiqua"/>
          <w:b/>
          <w:sz w:val="24"/>
          <w:szCs w:val="24"/>
        </w:rPr>
        <w:t>Accepted:</w:t>
      </w:r>
      <w:r w:rsidR="00E9022C" w:rsidRPr="00E9022C">
        <w:rPr>
          <w:rFonts w:ascii="Book Antiqua" w:hAnsi="Book Antiqua"/>
          <w:b/>
          <w:sz w:val="24"/>
          <w:szCs w:val="24"/>
        </w:rPr>
        <w:t xml:space="preserve"> </w:t>
      </w:r>
      <w:r w:rsidR="002364F5" w:rsidRPr="002364F5">
        <w:rPr>
          <w:rFonts w:ascii="Book Antiqua" w:hAnsi="Book Antiqua"/>
          <w:sz w:val="24"/>
          <w:szCs w:val="24"/>
        </w:rPr>
        <w:t>February 18, 2019</w:t>
      </w:r>
    </w:p>
    <w:p w14:paraId="3F859E5A" w14:textId="615C36D5" w:rsidR="00A22F22" w:rsidRPr="00E9022C" w:rsidRDefault="00A22F22" w:rsidP="005710FA">
      <w:pPr>
        <w:spacing w:after="0" w:line="360" w:lineRule="auto"/>
        <w:jc w:val="both"/>
        <w:rPr>
          <w:rFonts w:ascii="Book Antiqua" w:hAnsi="Book Antiqua"/>
          <w:sz w:val="24"/>
          <w:szCs w:val="24"/>
        </w:rPr>
      </w:pPr>
      <w:r w:rsidRPr="00E9022C">
        <w:rPr>
          <w:rFonts w:ascii="Book Antiqua" w:hAnsi="Book Antiqua"/>
          <w:b/>
          <w:sz w:val="24"/>
          <w:szCs w:val="24"/>
        </w:rPr>
        <w:t>Article in press:</w:t>
      </w:r>
      <w:r w:rsidR="00E9022C" w:rsidRPr="00E9022C">
        <w:rPr>
          <w:rFonts w:ascii="Book Antiqua" w:hAnsi="Book Antiqua"/>
          <w:sz w:val="24"/>
          <w:szCs w:val="24"/>
        </w:rPr>
        <w:t xml:space="preserve"> </w:t>
      </w:r>
    </w:p>
    <w:p w14:paraId="44537650" w14:textId="0418BC3D" w:rsidR="00450008" w:rsidRPr="00E9022C" w:rsidRDefault="00A22F22" w:rsidP="005710FA">
      <w:pPr>
        <w:spacing w:after="0" w:line="360" w:lineRule="auto"/>
        <w:jc w:val="both"/>
        <w:rPr>
          <w:rFonts w:ascii="Book Antiqua" w:eastAsia="Calibri" w:hAnsi="Book Antiqua" w:cs="Times New Roman"/>
          <w:sz w:val="24"/>
          <w:szCs w:val="24"/>
          <w:lang w:val="en-US"/>
        </w:rPr>
      </w:pPr>
      <w:r w:rsidRPr="00E9022C">
        <w:rPr>
          <w:rFonts w:ascii="Book Antiqua" w:hAnsi="Book Antiqua"/>
          <w:b/>
          <w:sz w:val="24"/>
          <w:szCs w:val="24"/>
        </w:rPr>
        <w:t>Published online:</w:t>
      </w:r>
    </w:p>
    <w:p w14:paraId="1A06D466" w14:textId="5198FCA9" w:rsidR="00EB6FF0"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br w:type="page"/>
      </w:r>
    </w:p>
    <w:p w14:paraId="130EFCA3" w14:textId="77777777" w:rsidR="00EB6FF0" w:rsidRPr="00E9022C" w:rsidRDefault="00C01B87" w:rsidP="005710FA">
      <w:pPr>
        <w:spacing w:after="0" w:line="360" w:lineRule="auto"/>
        <w:jc w:val="both"/>
        <w:rPr>
          <w:rFonts w:ascii="Book Antiqua" w:eastAsia="Calibri" w:hAnsi="Book Antiqua" w:cs="Times New Roman"/>
          <w:b/>
          <w:bCs/>
          <w:sz w:val="24"/>
          <w:szCs w:val="24"/>
          <w:lang w:val="en-US"/>
        </w:rPr>
      </w:pPr>
      <w:r w:rsidRPr="00E9022C">
        <w:rPr>
          <w:rFonts w:ascii="Book Antiqua" w:eastAsia="Calibri" w:hAnsi="Book Antiqua" w:cs="Times New Roman"/>
          <w:b/>
          <w:bCs/>
          <w:sz w:val="24"/>
          <w:szCs w:val="24"/>
          <w:lang w:val="en-US"/>
        </w:rPr>
        <w:lastRenderedPageBreak/>
        <w:t>Abstract</w:t>
      </w:r>
    </w:p>
    <w:p w14:paraId="40FEB9CE" w14:textId="77777777" w:rsidR="00C01B87" w:rsidRPr="00E9022C" w:rsidRDefault="001955ED"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i/>
          <w:sz w:val="24"/>
          <w:szCs w:val="24"/>
          <w:lang w:val="en-US"/>
        </w:rPr>
        <w:t>BACKGROUND</w:t>
      </w:r>
    </w:p>
    <w:p w14:paraId="072ADD58" w14:textId="77777777" w:rsidR="00EB6FF0"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Despite negligible absorption of elemental mercury after acute ingestion, retention in the appendix with subsequent local and systemic complications is possible. We present a case of elemental mercury sequestration in the appendix, managed by laparoscopic appendectomy.</w:t>
      </w:r>
    </w:p>
    <w:p w14:paraId="127A33B7" w14:textId="77777777" w:rsidR="004A2336" w:rsidRPr="00E9022C" w:rsidRDefault="004A2336" w:rsidP="005710FA">
      <w:pPr>
        <w:spacing w:after="0" w:line="360" w:lineRule="auto"/>
        <w:jc w:val="both"/>
        <w:rPr>
          <w:rFonts w:ascii="Book Antiqua" w:eastAsia="Calibri" w:hAnsi="Book Antiqua" w:cs="Times New Roman"/>
          <w:sz w:val="24"/>
          <w:szCs w:val="24"/>
          <w:lang w:val="en-US"/>
        </w:rPr>
      </w:pPr>
    </w:p>
    <w:p w14:paraId="751EB68A" w14:textId="1486C709" w:rsidR="00C01B87"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i/>
          <w:sz w:val="24"/>
          <w:szCs w:val="24"/>
          <w:lang w:val="en-US"/>
        </w:rPr>
        <w:t xml:space="preserve">CASE </w:t>
      </w:r>
      <w:r w:rsidR="00FB3DD1" w:rsidRPr="00E9022C">
        <w:rPr>
          <w:rFonts w:ascii="Book Antiqua" w:eastAsia="Calibri" w:hAnsi="Book Antiqua" w:cs="Times New Roman"/>
          <w:b/>
          <w:i/>
          <w:sz w:val="24"/>
          <w:szCs w:val="24"/>
          <w:lang w:val="en-US"/>
        </w:rPr>
        <w:t>SUMMARY</w:t>
      </w:r>
    </w:p>
    <w:p w14:paraId="364DBBC7" w14:textId="37407820" w:rsidR="00EB6FF0"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A 57-year-old Caucasian female was found unconscious following application of long-lasting insulin detemir and ingestion of elemental mercury in a suicidal attempt. Diagnostic investigations revealed</w:t>
      </w:r>
      <w:r w:rsidR="000C733E" w:rsidRPr="00E9022C">
        <w:rPr>
          <w:rFonts w:ascii="Book Antiqua" w:eastAsia="Calibri" w:hAnsi="Book Antiqua" w:cs="Times New Roman"/>
          <w:sz w:val="24"/>
          <w:szCs w:val="24"/>
          <w:lang w:val="en-US"/>
        </w:rPr>
        <w:t xml:space="preserve"> several radiopaque </w:t>
      </w:r>
      <w:r w:rsidRPr="00E9022C">
        <w:rPr>
          <w:rFonts w:ascii="Book Antiqua" w:eastAsia="Calibri" w:hAnsi="Book Antiqua" w:cs="Times New Roman"/>
          <w:sz w:val="24"/>
          <w:szCs w:val="24"/>
          <w:lang w:val="en-US"/>
        </w:rPr>
        <w:t xml:space="preserve">collections in the </w:t>
      </w:r>
      <w:r w:rsidR="005710FA" w:rsidRPr="00E9022C">
        <w:rPr>
          <w:rFonts w:ascii="Book Antiqua" w:eastAsia="Calibri" w:hAnsi="Book Antiqua" w:cs="Times New Roman"/>
          <w:sz w:val="24"/>
          <w:szCs w:val="24"/>
          <w:lang w:val="en-US"/>
        </w:rPr>
        <w:t xml:space="preserve">gastrointestinal </w:t>
      </w:r>
      <w:r w:rsidR="005710FA"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GI</w:t>
      </w:r>
      <w:r w:rsidR="005710FA"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 xml:space="preserve"> tract </w:t>
      </w:r>
      <w:r w:rsidR="000C733E" w:rsidRPr="00E9022C">
        <w:rPr>
          <w:rFonts w:ascii="Book Antiqua" w:eastAsia="Calibri" w:hAnsi="Book Antiqua" w:cs="Times New Roman"/>
          <w:sz w:val="24"/>
          <w:szCs w:val="24"/>
          <w:lang w:val="en-US"/>
        </w:rPr>
        <w:t>and elevated mercury levels in the blood</w:t>
      </w:r>
      <w:r w:rsidRPr="00E9022C">
        <w:rPr>
          <w:rFonts w:ascii="Book Antiqua" w:eastAsia="Calibri" w:hAnsi="Book Antiqua" w:cs="Times New Roman"/>
          <w:sz w:val="24"/>
          <w:szCs w:val="24"/>
          <w:lang w:val="en-US"/>
        </w:rPr>
        <w:t>.</w:t>
      </w:r>
      <w:r w:rsidR="00E9022C" w:rsidRPr="00E9022C">
        <w:rPr>
          <w:rFonts w:ascii="Book Antiqua" w:eastAsia="Calibri" w:hAnsi="Book Antiqua" w:cs="Times New Roman"/>
          <w:sz w:val="24"/>
          <w:szCs w:val="24"/>
          <w:lang w:val="en-US"/>
        </w:rPr>
        <w:t xml:space="preserve"> </w:t>
      </w:r>
      <w:r w:rsidRPr="00E9022C">
        <w:rPr>
          <w:rFonts w:ascii="Book Antiqua" w:eastAsia="Calibri" w:hAnsi="Book Antiqua" w:cs="Times New Roman"/>
          <w:sz w:val="24"/>
          <w:szCs w:val="24"/>
          <w:lang w:val="en-US"/>
        </w:rPr>
        <w:t>Much of the ingested elemental mercury was eliminated from the GI tract with stools stimulated by several enemas. However, a significant amount of mercury remained sequestrated in the appendix despite all conservative measures. Consequently, following deliberations by an interdisciplinary team of specialists, laparoscopic appendectomy was performed 29 d after the mercury ingestion. The surgery itself and postoperative course were uneventful.</w:t>
      </w:r>
    </w:p>
    <w:p w14:paraId="5F298DA5" w14:textId="77777777" w:rsidR="004A2336" w:rsidRPr="00E9022C" w:rsidRDefault="004A2336" w:rsidP="005710FA">
      <w:pPr>
        <w:spacing w:after="0" w:line="360" w:lineRule="auto"/>
        <w:jc w:val="both"/>
        <w:rPr>
          <w:rFonts w:ascii="Book Antiqua" w:eastAsia="Calibri" w:hAnsi="Book Antiqua" w:cs="Times New Roman"/>
          <w:sz w:val="24"/>
          <w:szCs w:val="24"/>
          <w:lang w:val="en-US"/>
        </w:rPr>
      </w:pPr>
    </w:p>
    <w:p w14:paraId="582BD04D" w14:textId="77777777" w:rsidR="00C01B87"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i/>
          <w:sz w:val="24"/>
          <w:szCs w:val="24"/>
          <w:lang w:val="en-US"/>
        </w:rPr>
        <w:t>CONCLUSION</w:t>
      </w:r>
    </w:p>
    <w:p w14:paraId="23E30040" w14:textId="77777777" w:rsidR="00EB6FF0" w:rsidRPr="00E9022C" w:rsidRDefault="00EB6FF0" w:rsidP="005710FA">
      <w:pPr>
        <w:spacing w:after="0" w:line="360" w:lineRule="auto"/>
        <w:jc w:val="both"/>
        <w:rPr>
          <w:rFonts w:ascii="Book Antiqua" w:eastAsia="Calibri" w:hAnsi="Book Antiqua" w:cs="Times New Roman"/>
          <w:sz w:val="24"/>
          <w:szCs w:val="24"/>
          <w:lang w:val="en-US"/>
        </w:rPr>
      </w:pPr>
      <w:bookmarkStart w:id="0" w:name="_Hlk536603440"/>
      <w:r w:rsidRPr="00E9022C">
        <w:rPr>
          <w:rFonts w:ascii="Book Antiqua" w:eastAsia="Calibri" w:hAnsi="Book Antiqua" w:cs="Times New Roman"/>
          <w:sz w:val="24"/>
          <w:szCs w:val="24"/>
          <w:lang w:val="en-US"/>
        </w:rPr>
        <w:t xml:space="preserve">Since conservative measures are often unsuccessful in the management of mercury retention in the appendix, surgery remains a compelling option to prevent possible associated complications. </w:t>
      </w:r>
    </w:p>
    <w:bookmarkEnd w:id="0"/>
    <w:p w14:paraId="568D6EC4" w14:textId="77777777" w:rsidR="000C2D0A" w:rsidRPr="00E9022C" w:rsidRDefault="000C2D0A" w:rsidP="005710FA">
      <w:pPr>
        <w:spacing w:after="0" w:line="360" w:lineRule="auto"/>
        <w:jc w:val="both"/>
        <w:rPr>
          <w:rFonts w:ascii="Book Antiqua" w:eastAsia="Calibri" w:hAnsi="Book Antiqua" w:cs="Times New Roman"/>
          <w:sz w:val="24"/>
          <w:szCs w:val="24"/>
          <w:lang w:val="en-US"/>
        </w:rPr>
      </w:pPr>
    </w:p>
    <w:p w14:paraId="0ADF350A" w14:textId="45DCE159" w:rsidR="00C01B87" w:rsidRPr="00E9022C" w:rsidRDefault="00C01B87"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b/>
          <w:bCs/>
          <w:sz w:val="24"/>
          <w:szCs w:val="24"/>
          <w:lang w:val="en-US"/>
        </w:rPr>
        <w:t>Key</w:t>
      </w:r>
      <w:r w:rsidR="005710FA" w:rsidRPr="00E9022C">
        <w:rPr>
          <w:rFonts w:ascii="Book Antiqua" w:hAnsi="Book Antiqua" w:cs="Times New Roman"/>
          <w:b/>
          <w:bCs/>
          <w:sz w:val="24"/>
          <w:szCs w:val="24"/>
          <w:lang w:val="en-US" w:eastAsia="zh-CN"/>
        </w:rPr>
        <w:t xml:space="preserve"> </w:t>
      </w:r>
      <w:r w:rsidRPr="00E9022C">
        <w:rPr>
          <w:rFonts w:ascii="Book Antiqua" w:eastAsia="Calibri" w:hAnsi="Book Antiqua" w:cs="Times New Roman"/>
          <w:b/>
          <w:bCs/>
          <w:sz w:val="24"/>
          <w:szCs w:val="24"/>
          <w:lang w:val="en-US"/>
        </w:rPr>
        <w:t xml:space="preserve">words: </w:t>
      </w:r>
      <w:r w:rsidR="00FB3DD1" w:rsidRPr="00E9022C">
        <w:rPr>
          <w:rFonts w:ascii="Book Antiqua" w:eastAsia="Calibri" w:hAnsi="Book Antiqua" w:cs="Times New Roman"/>
          <w:sz w:val="24"/>
          <w:szCs w:val="24"/>
          <w:lang w:val="en-US"/>
        </w:rPr>
        <w:t xml:space="preserve">Mercury </w:t>
      </w:r>
      <w:r w:rsidRPr="00E9022C">
        <w:rPr>
          <w:rFonts w:ascii="Book Antiqua" w:eastAsia="Calibri" w:hAnsi="Book Antiqua" w:cs="Times New Roman"/>
          <w:sz w:val="24"/>
          <w:szCs w:val="24"/>
          <w:lang w:val="en-US"/>
        </w:rPr>
        <w:t>poisoning</w:t>
      </w:r>
      <w:r w:rsidR="00FB3DD1" w:rsidRPr="00E9022C">
        <w:rPr>
          <w:rFonts w:ascii="Book Antiqua" w:eastAsia="Calibri" w:hAnsi="Book Antiqua" w:cs="Times New Roman"/>
          <w:sz w:val="24"/>
          <w:szCs w:val="24"/>
          <w:lang w:val="en-US"/>
        </w:rPr>
        <w:t>;</w:t>
      </w:r>
      <w:r w:rsidRPr="00E9022C">
        <w:rPr>
          <w:rFonts w:ascii="Book Antiqua" w:eastAsia="Calibri" w:hAnsi="Book Antiqua" w:cs="Times New Roman"/>
          <w:sz w:val="24"/>
          <w:szCs w:val="24"/>
          <w:lang w:val="en-US"/>
        </w:rPr>
        <w:t xml:space="preserve"> </w:t>
      </w:r>
      <w:r w:rsidR="00FB3DD1" w:rsidRPr="00E9022C">
        <w:rPr>
          <w:rFonts w:ascii="Book Antiqua" w:eastAsia="Calibri" w:hAnsi="Book Antiqua" w:cs="Times New Roman"/>
          <w:sz w:val="24"/>
          <w:szCs w:val="24"/>
          <w:lang w:val="en-US"/>
        </w:rPr>
        <w:t>Appendix;</w:t>
      </w:r>
      <w:r w:rsidRPr="00E9022C">
        <w:rPr>
          <w:rFonts w:ascii="Book Antiqua" w:eastAsia="Calibri" w:hAnsi="Book Antiqua" w:cs="Times New Roman"/>
          <w:sz w:val="24"/>
          <w:szCs w:val="24"/>
          <w:lang w:val="en-US"/>
        </w:rPr>
        <w:t xml:space="preserve"> </w:t>
      </w:r>
      <w:r w:rsidR="00FB3DD1" w:rsidRPr="00E9022C">
        <w:rPr>
          <w:rFonts w:ascii="Book Antiqua" w:eastAsia="Calibri" w:hAnsi="Book Antiqua" w:cs="Times New Roman"/>
          <w:sz w:val="24"/>
          <w:szCs w:val="24"/>
          <w:lang w:val="en-US"/>
        </w:rPr>
        <w:t xml:space="preserve">Mercury </w:t>
      </w:r>
      <w:r w:rsidRPr="00E9022C">
        <w:rPr>
          <w:rFonts w:ascii="Book Antiqua" w:eastAsia="Calibri" w:hAnsi="Book Antiqua" w:cs="Times New Roman"/>
          <w:sz w:val="24"/>
          <w:szCs w:val="24"/>
          <w:lang w:val="en-US"/>
        </w:rPr>
        <w:t>ingestion</w:t>
      </w:r>
      <w:r w:rsidR="00FB3DD1" w:rsidRPr="00E9022C">
        <w:rPr>
          <w:rFonts w:ascii="Book Antiqua" w:eastAsia="Calibri" w:hAnsi="Book Antiqua" w:cs="Times New Roman"/>
          <w:sz w:val="24"/>
          <w:szCs w:val="24"/>
          <w:lang w:val="en-US"/>
        </w:rPr>
        <w:t>;</w:t>
      </w:r>
      <w:r w:rsidRPr="00E9022C">
        <w:rPr>
          <w:rFonts w:ascii="Book Antiqua" w:eastAsia="Calibri" w:hAnsi="Book Antiqua" w:cs="Times New Roman"/>
          <w:sz w:val="24"/>
          <w:szCs w:val="24"/>
          <w:lang w:val="en-US"/>
        </w:rPr>
        <w:t xml:space="preserve"> </w:t>
      </w:r>
      <w:r w:rsidR="00FB3DD1" w:rsidRPr="00E9022C">
        <w:rPr>
          <w:rFonts w:ascii="Book Antiqua" w:eastAsia="Calibri" w:hAnsi="Book Antiqua" w:cs="Times New Roman"/>
          <w:sz w:val="24"/>
          <w:szCs w:val="24"/>
          <w:lang w:val="en-US"/>
        </w:rPr>
        <w:t xml:space="preserve">Mercury </w:t>
      </w:r>
      <w:r w:rsidRPr="00E9022C">
        <w:rPr>
          <w:rFonts w:ascii="Book Antiqua" w:eastAsia="Calibri" w:hAnsi="Book Antiqua" w:cs="Times New Roman"/>
          <w:sz w:val="24"/>
          <w:szCs w:val="24"/>
          <w:lang w:val="en-US"/>
        </w:rPr>
        <w:t>retention</w:t>
      </w:r>
      <w:r w:rsidR="00FB3DD1" w:rsidRPr="00E9022C">
        <w:rPr>
          <w:rFonts w:ascii="Book Antiqua" w:eastAsia="Calibri" w:hAnsi="Book Antiqua" w:cs="Times New Roman"/>
          <w:sz w:val="24"/>
          <w:szCs w:val="24"/>
          <w:lang w:val="en-US"/>
        </w:rPr>
        <w:t>;</w:t>
      </w:r>
      <w:r w:rsidRPr="00E9022C">
        <w:rPr>
          <w:rFonts w:ascii="Book Antiqua" w:eastAsia="Calibri" w:hAnsi="Book Antiqua" w:cs="Times New Roman"/>
          <w:sz w:val="24"/>
          <w:szCs w:val="24"/>
          <w:lang w:val="en-US"/>
        </w:rPr>
        <w:t xml:space="preserve"> </w:t>
      </w:r>
      <w:r w:rsidR="00FB3DD1" w:rsidRPr="00E9022C">
        <w:rPr>
          <w:rFonts w:ascii="Book Antiqua" w:eastAsia="Calibri" w:hAnsi="Book Antiqua" w:cs="Times New Roman"/>
          <w:sz w:val="24"/>
          <w:szCs w:val="24"/>
          <w:lang w:val="en-US"/>
        </w:rPr>
        <w:t>Appendectomy;</w:t>
      </w:r>
      <w:r w:rsidRPr="00E9022C">
        <w:rPr>
          <w:rFonts w:ascii="Book Antiqua" w:eastAsia="Calibri" w:hAnsi="Book Antiqua" w:cs="Times New Roman"/>
          <w:sz w:val="24"/>
          <w:szCs w:val="24"/>
          <w:lang w:val="en-US"/>
        </w:rPr>
        <w:t xml:space="preserve"> </w:t>
      </w:r>
      <w:r w:rsidR="00FB3DD1" w:rsidRPr="00E9022C">
        <w:rPr>
          <w:rFonts w:ascii="Book Antiqua" w:eastAsia="Calibri" w:hAnsi="Book Antiqua" w:cs="Times New Roman"/>
          <w:sz w:val="24"/>
          <w:szCs w:val="24"/>
          <w:lang w:val="en-US"/>
        </w:rPr>
        <w:t xml:space="preserve">Case </w:t>
      </w:r>
      <w:r w:rsidRPr="00E9022C">
        <w:rPr>
          <w:rFonts w:ascii="Book Antiqua" w:eastAsia="Calibri" w:hAnsi="Book Antiqua" w:cs="Times New Roman"/>
          <w:sz w:val="24"/>
          <w:szCs w:val="24"/>
          <w:lang w:val="en-US"/>
        </w:rPr>
        <w:t>report</w:t>
      </w:r>
    </w:p>
    <w:p w14:paraId="30028053" w14:textId="77777777" w:rsidR="001955ED" w:rsidRPr="00E9022C" w:rsidRDefault="001955ED" w:rsidP="005710FA">
      <w:pPr>
        <w:spacing w:after="0" w:line="360" w:lineRule="auto"/>
        <w:jc w:val="both"/>
        <w:rPr>
          <w:rFonts w:ascii="Book Antiqua" w:hAnsi="Book Antiqua" w:cs="Times New Roman"/>
          <w:b/>
          <w:bCs/>
          <w:sz w:val="24"/>
          <w:szCs w:val="24"/>
          <w:lang w:val="en-US" w:eastAsia="zh-CN"/>
        </w:rPr>
      </w:pPr>
    </w:p>
    <w:p w14:paraId="62A7F154" w14:textId="77777777" w:rsidR="005710FA" w:rsidRPr="00E9022C" w:rsidRDefault="005710FA" w:rsidP="005710FA">
      <w:pPr>
        <w:spacing w:after="0" w:line="360" w:lineRule="auto"/>
        <w:jc w:val="both"/>
        <w:rPr>
          <w:rFonts w:ascii="Book Antiqua" w:hAnsi="Book Antiqua" w:cs="Arial"/>
          <w:sz w:val="24"/>
          <w:szCs w:val="24"/>
        </w:rPr>
      </w:pPr>
      <w:r w:rsidRPr="00E9022C">
        <w:rPr>
          <w:rFonts w:ascii="Book Antiqua" w:hAnsi="Book Antiqua"/>
          <w:b/>
          <w:sz w:val="24"/>
          <w:szCs w:val="24"/>
        </w:rPr>
        <w:t xml:space="preserve">© </w:t>
      </w:r>
      <w:r w:rsidRPr="00E9022C">
        <w:rPr>
          <w:rFonts w:ascii="Book Antiqua" w:hAnsi="Book Antiqua" w:cs="Arial"/>
          <w:b/>
          <w:sz w:val="24"/>
          <w:szCs w:val="24"/>
        </w:rPr>
        <w:t>The Author(s) 2019.</w:t>
      </w:r>
      <w:r w:rsidRPr="00E9022C">
        <w:rPr>
          <w:rFonts w:ascii="Book Antiqua" w:hAnsi="Book Antiqua" w:cs="Arial"/>
          <w:sz w:val="24"/>
          <w:szCs w:val="24"/>
        </w:rPr>
        <w:t xml:space="preserve"> Published by Baishideng Publishing Group Inc. All rights reserved.</w:t>
      </w:r>
    </w:p>
    <w:p w14:paraId="45BDF484" w14:textId="77777777" w:rsidR="005710FA" w:rsidRPr="00E9022C" w:rsidRDefault="005710FA" w:rsidP="005710FA">
      <w:pPr>
        <w:spacing w:after="0" w:line="360" w:lineRule="auto"/>
        <w:jc w:val="both"/>
        <w:rPr>
          <w:rFonts w:ascii="Book Antiqua" w:hAnsi="Book Antiqua" w:cs="Times New Roman"/>
          <w:b/>
          <w:bCs/>
          <w:sz w:val="24"/>
          <w:szCs w:val="24"/>
          <w:lang w:val="en-US" w:eastAsia="zh-CN"/>
        </w:rPr>
      </w:pPr>
    </w:p>
    <w:p w14:paraId="31158728" w14:textId="691F7312" w:rsidR="00A921D5" w:rsidRPr="00E9022C" w:rsidRDefault="001955ED" w:rsidP="005710FA">
      <w:pPr>
        <w:spacing w:after="0" w:line="360" w:lineRule="auto"/>
        <w:jc w:val="both"/>
        <w:rPr>
          <w:rFonts w:ascii="Book Antiqua" w:eastAsia="Calibri" w:hAnsi="Book Antiqua" w:cs="Times New Roman"/>
          <w:sz w:val="24"/>
          <w:szCs w:val="24"/>
          <w:lang w:val="en-US"/>
        </w:rPr>
      </w:pPr>
      <w:bookmarkStart w:id="1" w:name="_Hlk536601955"/>
      <w:r w:rsidRPr="00E9022C">
        <w:rPr>
          <w:rFonts w:ascii="Book Antiqua" w:eastAsia="Calibri" w:hAnsi="Book Antiqua" w:cs="Times New Roman"/>
          <w:b/>
          <w:bCs/>
          <w:sz w:val="24"/>
          <w:szCs w:val="24"/>
          <w:lang w:val="en-US"/>
        </w:rPr>
        <w:lastRenderedPageBreak/>
        <w:t>Core tip:</w:t>
      </w:r>
      <w:r w:rsidR="00E9022C" w:rsidRPr="00E9022C">
        <w:rPr>
          <w:rFonts w:ascii="Book Antiqua" w:eastAsia="Calibri" w:hAnsi="Book Antiqua" w:cs="Times New Roman"/>
          <w:b/>
          <w:bCs/>
          <w:sz w:val="24"/>
          <w:szCs w:val="24"/>
          <w:lang w:val="en-US"/>
        </w:rPr>
        <w:t xml:space="preserve"> </w:t>
      </w:r>
      <w:r w:rsidR="000C733E" w:rsidRPr="00E9022C">
        <w:rPr>
          <w:rFonts w:ascii="Book Antiqua" w:eastAsia="Calibri" w:hAnsi="Book Antiqua" w:cs="Times New Roman"/>
          <w:sz w:val="24"/>
          <w:szCs w:val="24"/>
          <w:lang w:val="en-US"/>
        </w:rPr>
        <w:t>Despite negligible absorption of elemental mercury after acute ingestion, retention in the appendix with subsequent local and systemic complications is possible.</w:t>
      </w:r>
      <w:r w:rsidR="00E9022C" w:rsidRPr="00E9022C">
        <w:rPr>
          <w:rFonts w:ascii="Book Antiqua" w:eastAsia="Calibri" w:hAnsi="Book Antiqua" w:cs="Times New Roman"/>
          <w:sz w:val="24"/>
          <w:szCs w:val="24"/>
          <w:lang w:val="en-US"/>
        </w:rPr>
        <w:t xml:space="preserve"> </w:t>
      </w:r>
      <w:r w:rsidR="000C733E" w:rsidRPr="00E9022C">
        <w:rPr>
          <w:rFonts w:ascii="Book Antiqua" w:eastAsia="Calibri" w:hAnsi="Book Antiqua" w:cs="Times New Roman"/>
          <w:sz w:val="24"/>
          <w:szCs w:val="24"/>
          <w:lang w:val="en-GB"/>
        </w:rPr>
        <w:t>The question of whether or not to perform appendectomy in an asymptomatic patient remains open. We present a case of elemental mercury sequestration in the appendix, managed by laparoscopic appendectomy in order to prevent possible complications.</w:t>
      </w:r>
      <w:r w:rsidR="00D97063" w:rsidRPr="00E9022C">
        <w:rPr>
          <w:rFonts w:ascii="Book Antiqua" w:eastAsia="Calibri" w:hAnsi="Book Antiqua" w:cs="Times New Roman"/>
          <w:sz w:val="24"/>
          <w:szCs w:val="24"/>
          <w:lang w:val="en-US"/>
        </w:rPr>
        <w:t xml:space="preserve"> </w:t>
      </w:r>
      <w:r w:rsidR="000C733E" w:rsidRPr="00E9022C">
        <w:rPr>
          <w:rFonts w:ascii="Book Antiqua" w:eastAsia="Calibri" w:hAnsi="Book Antiqua" w:cs="Times New Roman"/>
          <w:sz w:val="24"/>
          <w:szCs w:val="24"/>
          <w:lang w:val="en-US"/>
        </w:rPr>
        <w:t>Given the limited evidence regarding the optimal management approach for patients with retained mercury, the choice of treatment strategy should be determined on a case-by-case basis by a multidisciplinary team</w:t>
      </w:r>
      <w:r w:rsidR="00A921D5" w:rsidRPr="00E9022C">
        <w:rPr>
          <w:rFonts w:ascii="Book Antiqua" w:eastAsia="Calibri" w:hAnsi="Book Antiqua" w:cs="Times New Roman"/>
          <w:sz w:val="24"/>
          <w:szCs w:val="24"/>
          <w:lang w:val="en-US"/>
        </w:rPr>
        <w:t>.</w:t>
      </w:r>
      <w:bookmarkEnd w:id="1"/>
    </w:p>
    <w:p w14:paraId="5145C7A7" w14:textId="77777777" w:rsidR="005710FA" w:rsidRPr="00E9022C" w:rsidRDefault="005710FA" w:rsidP="005710FA">
      <w:pPr>
        <w:spacing w:after="0" w:line="360" w:lineRule="auto"/>
        <w:jc w:val="both"/>
        <w:rPr>
          <w:rFonts w:ascii="Book Antiqua" w:hAnsi="Book Antiqua" w:cs="Times New Roman"/>
          <w:b/>
          <w:sz w:val="24"/>
          <w:szCs w:val="24"/>
          <w:lang w:val="en-US" w:eastAsia="zh-CN"/>
        </w:rPr>
      </w:pPr>
    </w:p>
    <w:p w14:paraId="4CFC4460" w14:textId="7A4E2155" w:rsidR="005710FA" w:rsidRPr="00E9022C" w:rsidRDefault="005710FA" w:rsidP="005710FA">
      <w:pPr>
        <w:spacing w:after="0" w:line="360" w:lineRule="auto"/>
        <w:jc w:val="both"/>
        <w:rPr>
          <w:rFonts w:ascii="Book Antiqua" w:hAnsi="Book Antiqua" w:cs="Times New Roman"/>
          <w:sz w:val="24"/>
          <w:szCs w:val="24"/>
          <w:lang w:val="en-US" w:eastAsia="zh-CN"/>
        </w:rPr>
      </w:pPr>
      <w:proofErr w:type="spellStart"/>
      <w:r w:rsidRPr="00E9022C">
        <w:rPr>
          <w:rFonts w:ascii="Book Antiqua" w:eastAsia="Calibri" w:hAnsi="Book Antiqua" w:cs="Times New Roman"/>
          <w:sz w:val="24"/>
          <w:szCs w:val="24"/>
          <w:lang w:val="en-US"/>
        </w:rPr>
        <w:t>Norčič</w:t>
      </w:r>
      <w:proofErr w:type="spellEnd"/>
      <w:r w:rsidRPr="00E9022C">
        <w:rPr>
          <w:rFonts w:ascii="Book Antiqua" w:hAnsi="Book Antiqua" w:cs="Times New Roman"/>
          <w:sz w:val="24"/>
          <w:szCs w:val="24"/>
          <w:lang w:val="en-US" w:eastAsia="zh-CN"/>
        </w:rPr>
        <w:t xml:space="preserve"> G</w:t>
      </w:r>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Čebron</w:t>
      </w:r>
      <w:proofErr w:type="spellEnd"/>
      <w:r w:rsidRPr="00E9022C">
        <w:rPr>
          <w:rFonts w:ascii="Book Antiqua" w:hAnsi="Book Antiqua" w:cs="Times New Roman"/>
          <w:sz w:val="24"/>
          <w:szCs w:val="24"/>
          <w:lang w:val="en-US" w:eastAsia="zh-CN"/>
        </w:rPr>
        <w:t xml:space="preserve"> </w:t>
      </w:r>
      <w:r w:rsidRPr="00E9022C">
        <w:rPr>
          <w:rFonts w:ascii="Book Antiqua" w:eastAsia="Calibri" w:hAnsi="Book Antiqua" w:cs="Times New Roman"/>
          <w:sz w:val="24"/>
          <w:szCs w:val="24"/>
          <w:lang w:val="en-US"/>
        </w:rPr>
        <w:t>Ž, Sever</w:t>
      </w:r>
      <w:r w:rsidRPr="00E9022C">
        <w:rPr>
          <w:rFonts w:ascii="Book Antiqua" w:hAnsi="Book Antiqua" w:cs="Times New Roman"/>
          <w:sz w:val="24"/>
          <w:szCs w:val="24"/>
          <w:lang w:val="en-US" w:eastAsia="zh-CN"/>
        </w:rPr>
        <w:t xml:space="preserve"> P</w:t>
      </w:r>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Grosek</w:t>
      </w:r>
      <w:proofErr w:type="spellEnd"/>
      <w:r w:rsidRPr="00E9022C">
        <w:rPr>
          <w:rFonts w:ascii="Book Antiqua" w:hAnsi="Book Antiqua" w:cs="Times New Roman"/>
          <w:sz w:val="24"/>
          <w:szCs w:val="24"/>
          <w:lang w:val="en-US" w:eastAsia="zh-CN"/>
        </w:rPr>
        <w:t xml:space="preserve"> J</w:t>
      </w:r>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Tomažič</w:t>
      </w:r>
      <w:proofErr w:type="spellEnd"/>
      <w:r w:rsidRPr="00E9022C">
        <w:rPr>
          <w:rFonts w:ascii="Book Antiqua" w:hAnsi="Book Antiqua" w:cs="Times New Roman"/>
          <w:sz w:val="24"/>
          <w:szCs w:val="24"/>
          <w:lang w:val="en-US" w:eastAsia="zh-CN"/>
        </w:rPr>
        <w:t xml:space="preserve"> A.</w:t>
      </w:r>
      <w:r w:rsidRPr="00E9022C">
        <w:rPr>
          <w:rFonts w:ascii="Book Antiqua" w:eastAsia="Calibri" w:hAnsi="Book Antiqua" w:cs="Times New Roman"/>
          <w:sz w:val="24"/>
          <w:szCs w:val="24"/>
          <w:lang w:val="en-US"/>
        </w:rPr>
        <w:t xml:space="preserve"> Laparoscopic appendectomy for elemental mercury sequestration in the appendix: A case report</w:t>
      </w:r>
      <w:r w:rsidRPr="00E9022C">
        <w:rPr>
          <w:rFonts w:ascii="Book Antiqua" w:hAnsi="Book Antiqua" w:cs="Times New Roman"/>
          <w:sz w:val="24"/>
          <w:szCs w:val="24"/>
          <w:lang w:val="en-US" w:eastAsia="zh-CN"/>
        </w:rPr>
        <w:t xml:space="preserve">. </w:t>
      </w:r>
      <w:r w:rsidRPr="00E9022C">
        <w:rPr>
          <w:rFonts w:ascii="Book Antiqua" w:hAnsi="Book Antiqua"/>
          <w:i/>
          <w:iCs/>
          <w:sz w:val="24"/>
          <w:szCs w:val="24"/>
        </w:rPr>
        <w:t>World J Clin Cases</w:t>
      </w:r>
      <w:r w:rsidRPr="00E9022C">
        <w:rPr>
          <w:rFonts w:ascii="Book Antiqua" w:hAnsi="Book Antiqua"/>
          <w:i/>
          <w:iCs/>
          <w:sz w:val="24"/>
          <w:szCs w:val="24"/>
          <w:lang w:eastAsia="zh-CN"/>
        </w:rPr>
        <w:t xml:space="preserve"> </w:t>
      </w:r>
      <w:r w:rsidRPr="00E9022C">
        <w:rPr>
          <w:rFonts w:ascii="Book Antiqua" w:hAnsi="Book Antiqua"/>
          <w:iCs/>
          <w:sz w:val="24"/>
          <w:szCs w:val="24"/>
          <w:lang w:eastAsia="zh-CN"/>
        </w:rPr>
        <w:t>2019; In press</w:t>
      </w:r>
    </w:p>
    <w:p w14:paraId="16FC2E1B" w14:textId="77777777" w:rsidR="005710FA" w:rsidRPr="00E9022C" w:rsidRDefault="005710FA" w:rsidP="005710FA">
      <w:pPr>
        <w:spacing w:after="0" w:line="360" w:lineRule="auto"/>
        <w:jc w:val="both"/>
        <w:rPr>
          <w:rFonts w:ascii="Book Antiqua" w:hAnsi="Book Antiqua" w:cs="Times New Roman"/>
          <w:sz w:val="24"/>
          <w:szCs w:val="24"/>
          <w:lang w:val="en-US" w:eastAsia="zh-CN"/>
        </w:rPr>
      </w:pPr>
      <w:r w:rsidRPr="00E9022C">
        <w:rPr>
          <w:rFonts w:ascii="Book Antiqua" w:hAnsi="Book Antiqua" w:cs="Times New Roman"/>
          <w:sz w:val="24"/>
          <w:szCs w:val="24"/>
          <w:lang w:val="en-US" w:eastAsia="zh-CN"/>
        </w:rPr>
        <w:br w:type="page"/>
      </w:r>
    </w:p>
    <w:p w14:paraId="3D0A9CAD" w14:textId="2261A4CE" w:rsidR="00EB6FF0" w:rsidRPr="00E9022C" w:rsidRDefault="001955ED" w:rsidP="005710FA">
      <w:pPr>
        <w:keepNext/>
        <w:keepLines/>
        <w:spacing w:after="0" w:line="360" w:lineRule="auto"/>
        <w:jc w:val="both"/>
        <w:rPr>
          <w:rFonts w:ascii="Book Antiqua" w:eastAsia="Times New Roman" w:hAnsi="Book Antiqua" w:cs="Times New Roman"/>
          <w:b/>
          <w:sz w:val="24"/>
          <w:szCs w:val="24"/>
          <w:lang w:val="en-US"/>
        </w:rPr>
      </w:pPr>
      <w:r w:rsidRPr="00E9022C">
        <w:rPr>
          <w:rFonts w:ascii="Book Antiqua" w:eastAsia="Times New Roman" w:hAnsi="Book Antiqua" w:cs="Times New Roman"/>
          <w:b/>
          <w:sz w:val="24"/>
          <w:szCs w:val="24"/>
          <w:lang w:val="en-US"/>
        </w:rPr>
        <w:lastRenderedPageBreak/>
        <w:t>INTRODUCTION</w:t>
      </w:r>
    </w:p>
    <w:p w14:paraId="5B297828" w14:textId="3DBE3AA7" w:rsidR="00EB6FF0"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Mercury is a heavy metal which compounds occur in different chemical dispositions including elemental, inorganic and organic forms</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{"citationItems":[{"id":"ITEM-1","itemData":{"DOI":"10.1155/2012/460508","ISBN":"1687-9813 (Electronic)\\n1687-9805 (Linking)","ISSN":"16879813","PMID":"22235210","abstract":"Mercury is a toxic heavy metal which is widely dispersed in nature. Most human exposure results from fish consumption or dental amalgam. Mercury occurs in several chemical forms, with complex pharmacokinetics. Mercury is capable of inducing a wide range of clinical presentations. Diagnosis of mercury toxicity can be challenging but can be obtained with reasonable reliability. Effective therapies for clinical toxicity have been described.","author":[{"dropping-particle":"","family":"Bernhoft","given":"Robin A.","non-dropping-particle":"","parse-names":false,"suffix":""}],"container-title":"Journal of Environmental and Public Health","id":"ITEM-1","issued":{"date-parts":[["2012"]]},"title":"Mercury toxicity and treatment: A review of the literature","type":"article-journal","volume":"2012"},"uris":["http://www.mendeley.com/documents/?uuid=4e4cdd90-01ff-4304-b9a7-24623d003e37"]},{"id":"ITEM-2","itemData":{"DOI":"10.1186/2008-2231-22-46","ISBN":"2008-2231 (Electronic)\\r1560-8115 (Linking)","ISSN":"20082231","PMID":"24888360","abstract":"Mercury poisoning cases have been reported in many parts of the world, resulting in many deaths every year. Mercury compounds are classified in different chemical types such as elemental, inorganic and organic forms. Long term exposure to mercury compounds from different sources e.g. water, food, soil and air lead to toxic effects on cardiovascular, pulmonary, urinary, gastrointestinal, neurological systems and skin. Mercury level can be measured in plasma, urine, feces and hair samples. Urinary concentration is a good indicator of poisoning of elemental and inorganic mercury, but organic mercury (e.g. methyl mercury) can be detected easily in feces. Gold nanoparticles (AuNPs) are a rapid, cheap and sensitive method for detection of thymine bound mercuric ions. Silver nanoparticles are used as a sensitive detector of low concentration Hg2+ ions in homogeneous aqueous solutions. Besides supportive therapy, British anti lewisite, dimercaprol (BAL), 2,3-dimercaptosuccinic acid (DMSA. succimer) and dimercaptopropanesulfoxid acid (DMPS) are currently used as chelating agents in mercury poisoning. Natural biologic scavengers such as algae, azolla and other aquatic plants possess the ability to uptake mercury traces from the environment.","author":[{"dropping-particle":"","family":"Rafati-Rahimzadeh","given":"Mehrdad","non-dropping-particle":"","parse-names":false,"suffix":""},{"dropping-particle":"","family":"Rafati-Rahimzadeh","given":"Mehravar","non-dropping-particle":"","parse-names":false,"suffix":""},{"dropping-particle":"","family":"Kazemi","given":"Sohrab","non-dropping-particle":"","parse-names":false,"suffix":""},{"dropping-particle":"","family":"Moghadamnia","given":"Ali Akbar","non-dropping-particle":"","parse-names":false,"suffix":""}],"container-title":"DARU, Journal of Pharmaceutical Sciences","id":"ITEM-2","issue":"1","issued":{"date-parts":[["2014"]]},"page":"1-10","title":"Current approaches of the management of mercury poisoning: Need of the hour","type":"article-journal","volume":"22"},"uris":["http://www.mendeley.com/documents/?uuid=161a52f8-6658-4c0f-92ca-82c532d530c2"]}],"mendeley":{"formattedCitation":"&lt;sup&gt;[1,2]&lt;/sup&gt;","plainTextFormattedCitation":"[1,2]","previouslyFormattedCitation":"&lt;sup&gt;1,2&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[1,2]</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Its human toxicity is well-established and varies with the form of mercury, the dose and the type of exposure</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{"citationItems":[{"id":"ITEM-1","itemData":{"DOI":"10.1155/2012/460508","ISBN":"1687-9813 (Electronic)\\n1687-9805 (Linking)","ISSN":"16879813","PMID":"22235210","abstract":"Mercury is a toxic heavy metal which is widely dispersed in nature. Most human exposure results from fish consumption or dental amalgam. Mercury occurs in several chemical forms, with complex pharmacokinetics. Mercury is capable of inducing a wide range of clinical presentations. Diagnosis of mercury toxicity can be challenging but can be obtained with reasonable reliability. Effective therapies for clinical toxicity have been described.","author":[{"dropping-particle":"","family":"Bernhoft","given":"Robin A.","non-dropping-particle":"","parse-names":false,"suffix":""}],"container-title":"Journal of Environmental and Public Health","id":"ITEM-1","issued":{"date-parts":[["2012"]]},"title":"Mercury toxicity and treatment: A review of the literature","type":"article-journal","volume":"2012"},"uris":["http://www.mendeley.com/documents/?uuid=4e4cdd90-01ff-4304-b9a7-24623d003e37"]}],"mendeley":{"formattedCitation":"&lt;sup&gt;[1]&lt;/sup&gt;","plainTextFormattedCitation":"[1]","previouslyFormattedCitation":"&lt;sup&gt;1&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[1]</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xml:space="preserve">. Acute ingestion of elemental mercury is considered non-toxic due to the negligible absorption by intact </w:t>
      </w:r>
      <w:r w:rsidR="005710FA" w:rsidRPr="00E9022C">
        <w:rPr>
          <w:rFonts w:ascii="Book Antiqua" w:eastAsia="Calibri" w:hAnsi="Book Antiqua" w:cs="Times New Roman"/>
          <w:sz w:val="24"/>
          <w:szCs w:val="24"/>
          <w:lang w:val="en-US"/>
        </w:rPr>
        <w:t xml:space="preserve">gastrointestinal </w:t>
      </w:r>
      <w:r w:rsidR="005710FA"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GI</w:t>
      </w:r>
      <w:r w:rsidR="005710FA" w:rsidRPr="00E9022C">
        <w:rPr>
          <w:rFonts w:ascii="Book Antiqua" w:hAnsi="Book Antiqua" w:cs="Times New Roman"/>
          <w:sz w:val="24"/>
          <w:szCs w:val="24"/>
          <w:lang w:val="en-US" w:eastAsia="zh-CN"/>
        </w:rPr>
        <w:t>)</w:t>
      </w:r>
      <w:r w:rsidRPr="00E9022C">
        <w:rPr>
          <w:rFonts w:ascii="Book Antiqua" w:eastAsia="Calibri" w:hAnsi="Book Antiqua" w:cs="Times New Roman"/>
          <w:sz w:val="24"/>
          <w:szCs w:val="24"/>
          <w:lang w:val="en-US"/>
        </w:rPr>
        <w:t xml:space="preserve"> mucosa (oral bioavailability of 0.04%)</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[3]</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However, after ingestion of even small amounts of elemental mercury, sequestration in the appendix is possible and subsequent local complications can occur</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{"citationItems":[{"id":"ITEM-1","itemData":{"DOI":"10.1080/15563650701664731","ISBN":"1530-6984","ISSN":"15563650","PMID":"22356465","abstract":"Localized surface plasmon resonances possess very interesting properties for a wide variety of sensing applications. In many of the existing applications, only the intensity of the reflected or transmitted signals is taken into account, while the phase information is ignored. At the center frequency of a (localized) surface plasmon resonance, the electron cloud makes the transition between in- and out-of-phase oscillation with respect to the incident wave. Here we show that this information can experimentally be extracted by performing phase-sensitive measurements, which result in linewidths that are almost 1 order of magnitude smaller than those for intensity based measurements. As this phase change is an intrinsic property of a plasmon resonance, this opens up many possibilities for boosting the figure-of-merit (FOM) of refractive index sensing by taking into account the phase of the plasmon resonance. We experimentally investigated this for two model systems: randomly distributed gold nanodisks and gold nanorings on top of a continuous gold layer and a dielectric spacer and observed FOM values up to 8.3 and 16.5 for the respective nanoparticles.","author":[{"dropping-particle":"","family":"Caravati","given":"E. Martin","non-dropping-particle":"","parse-names":false,"suffix":""},{"dropping-particle":"","family":"Erdman","given":"Andrew R.","non-dropping-particle":"","parse-names":false,"suffix":""},{"dropping-particle":"","family":"Christianson","given":"Gwenn","non-dropping-particle":"","parse-names":false,"suffix":""},{"dropping-particle":"","family":"Nelson","given":"Lewis S.","non-dropping-particle":"","parse-names":false,"suffix":""},{"dropping-particle":"","family":"Woolf","given":"Alan D.","non-dropping-particle":"","parse-names":false,"suffix":""},{"dropping-particle":"","family":"Booze","given":"Lisa L.","non-dropping-particle":"","parse-names":false,"suffix":""},{"dropping-particle":"","family":"Cobaugh","given":"Daniel J.","non-dropping-particle":"","parse-names":false,"suffix":""},{"dropping-particle":"","family":"Chyka","given":"Peter A.","non-dropping-particle":"","parse-names":false,"suffix":""},{"dropping-particle":"","family":"Scharman","given":"Elizabeth J.","non-dropping-particle":"","parse-names":false,"suffix":""},{"dropping-particle":"","family":"Manoguerra","given":"Anthony S.","non-dropping-particle":"","parse-names":false,"suffix":""},{"dropping-particle":"","family":"Troutman","given":"William G.","non-dropping-particle":"","parse-names":false,"suffix":""}],"container-title":"Clinical Toxicology","id":"ITEM-1","issue":"1","issued":{"date-parts":[["2008"]]},"page":"1-21","title":"Elemental mercury exposure: An evidence-based consensus guideline for out-of-hospital management","type":"article-journal","volume":"46"},"uris":["http://www.mendeley.com/documents/?uuid=919eb3a2-5bc6-4e9a-80f9-db02a9a81c50"]},{"id":"ITEM-2","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Toxicology","id":"ITEM-2","issue":"1","issued":{"date-parts":[["2018"]]},"page":"69-73","publisher":"Informa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[3,4]&lt;/sup&gt;","plainTextFormattedCitation":"[3,4]","previouslyFormattedCitation":"&lt;sup&gt;3,4&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[3,4]</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xml:space="preserve">. Due to limited data in the literature the optimal management of patients is still not clear. </w:t>
      </w:r>
    </w:p>
    <w:p w14:paraId="60F3722B" w14:textId="646A91A2" w:rsidR="00EB6FF0" w:rsidRPr="00E9022C"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 xml:space="preserve">In the present report, we describe the clinical presentation, management, and outcome of mercury sequestration in appendix following elemental mercury ingestion in a suicidal attempt. The management approach is discussed in the context of available literature. </w:t>
      </w:r>
    </w:p>
    <w:p w14:paraId="766FBB14" w14:textId="77777777" w:rsidR="00555A6F" w:rsidRPr="00E9022C" w:rsidRDefault="00555A6F" w:rsidP="005710FA">
      <w:pPr>
        <w:spacing w:after="0" w:line="360" w:lineRule="auto"/>
        <w:jc w:val="both"/>
        <w:rPr>
          <w:rFonts w:ascii="Book Antiqua" w:eastAsia="Calibri" w:hAnsi="Book Antiqua" w:cs="Times New Roman"/>
          <w:sz w:val="24"/>
          <w:szCs w:val="24"/>
          <w:lang w:val="en-US"/>
        </w:rPr>
      </w:pPr>
    </w:p>
    <w:p w14:paraId="3768D7D7" w14:textId="6761D495" w:rsidR="00EB6FF0" w:rsidRPr="00E9022C" w:rsidRDefault="001955ED" w:rsidP="005710FA">
      <w:pPr>
        <w:keepNext/>
        <w:keepLines/>
        <w:spacing w:after="0" w:line="360" w:lineRule="auto"/>
        <w:jc w:val="both"/>
        <w:rPr>
          <w:rFonts w:ascii="Book Antiqua" w:eastAsia="Times New Roman" w:hAnsi="Book Antiqua" w:cs="Times New Roman"/>
          <w:b/>
          <w:sz w:val="24"/>
          <w:szCs w:val="24"/>
          <w:lang w:val="en-US"/>
        </w:rPr>
      </w:pPr>
      <w:r w:rsidRPr="00E9022C">
        <w:rPr>
          <w:rFonts w:ascii="Book Antiqua" w:eastAsia="Times New Roman" w:hAnsi="Book Antiqua" w:cs="Times New Roman"/>
          <w:b/>
          <w:sz w:val="24"/>
          <w:szCs w:val="24"/>
          <w:lang w:val="en-US"/>
        </w:rPr>
        <w:t xml:space="preserve">CASE </w:t>
      </w:r>
      <w:r w:rsidR="00FB3DD1" w:rsidRPr="00E9022C">
        <w:rPr>
          <w:rFonts w:ascii="Book Antiqua" w:eastAsia="Times New Roman" w:hAnsi="Book Antiqua" w:cs="Times New Roman"/>
          <w:b/>
          <w:sz w:val="24"/>
          <w:szCs w:val="24"/>
          <w:lang w:val="en-US"/>
        </w:rPr>
        <w:t>PRESENTATION</w:t>
      </w:r>
    </w:p>
    <w:p w14:paraId="56002BE9" w14:textId="7CF989C0" w:rsidR="00282181" w:rsidRPr="00E9022C" w:rsidRDefault="00282181" w:rsidP="005710FA">
      <w:pPr>
        <w:spacing w:after="0" w:line="360" w:lineRule="auto"/>
        <w:jc w:val="both"/>
        <w:rPr>
          <w:rFonts w:ascii="Book Antiqua" w:eastAsia="Calibri" w:hAnsi="Book Antiqua" w:cs="Times New Roman"/>
          <w:b/>
          <w:i/>
          <w:sz w:val="24"/>
          <w:szCs w:val="24"/>
          <w:lang w:val="en-US"/>
        </w:rPr>
      </w:pPr>
      <w:bookmarkStart w:id="2" w:name="_Hlk536605265"/>
      <w:r w:rsidRPr="00E9022C">
        <w:rPr>
          <w:rFonts w:ascii="Book Antiqua" w:eastAsia="Calibri" w:hAnsi="Book Antiqua" w:cs="Times New Roman"/>
          <w:b/>
          <w:i/>
          <w:sz w:val="24"/>
          <w:szCs w:val="24"/>
          <w:lang w:val="en-US"/>
        </w:rPr>
        <w:t>Chief complaints</w:t>
      </w:r>
    </w:p>
    <w:p w14:paraId="6176CA12" w14:textId="77777777" w:rsidR="00282181"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A 57-year-old Caucasian female was found unconscious near her house by her brother several hours after application of approximately 4 pens of long-lasting insulin detemir and ingestion of elemental mercury in a suicidal attempt.</w:t>
      </w:r>
    </w:p>
    <w:p w14:paraId="34E7B8D0" w14:textId="7EAAF97C" w:rsidR="00282181" w:rsidRPr="00E9022C" w:rsidRDefault="00282181" w:rsidP="005710FA">
      <w:pPr>
        <w:spacing w:after="0" w:line="360" w:lineRule="auto"/>
        <w:jc w:val="both"/>
        <w:rPr>
          <w:rFonts w:ascii="Book Antiqua" w:eastAsia="Calibri" w:hAnsi="Book Antiqua" w:cs="Times New Roman"/>
          <w:sz w:val="24"/>
          <w:szCs w:val="24"/>
          <w:lang w:val="en-US"/>
        </w:rPr>
      </w:pPr>
    </w:p>
    <w:p w14:paraId="0031F486" w14:textId="1757FE94" w:rsidR="00282181" w:rsidRPr="00E9022C" w:rsidRDefault="00282181" w:rsidP="005710FA">
      <w:pPr>
        <w:spacing w:after="0" w:line="360" w:lineRule="auto"/>
        <w:jc w:val="both"/>
        <w:rPr>
          <w:rFonts w:ascii="Book Antiqua" w:eastAsia="Calibri" w:hAnsi="Book Antiqua" w:cs="Times New Roman"/>
          <w:b/>
          <w:i/>
          <w:sz w:val="24"/>
          <w:szCs w:val="24"/>
          <w:lang w:val="en-US"/>
        </w:rPr>
      </w:pPr>
      <w:r w:rsidRPr="00E9022C">
        <w:rPr>
          <w:rFonts w:ascii="Book Antiqua" w:eastAsia="Calibri" w:hAnsi="Book Antiqua" w:cs="Times New Roman"/>
          <w:b/>
          <w:i/>
          <w:sz w:val="24"/>
          <w:szCs w:val="24"/>
          <w:lang w:val="en-US"/>
        </w:rPr>
        <w:t>History of present illness</w:t>
      </w:r>
    </w:p>
    <w:p w14:paraId="25CE4058" w14:textId="665FB80E" w:rsidR="00282181" w:rsidRPr="00E9022C" w:rsidRDefault="00282181"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Besides being treated for depression she had already threatened to commit suicide before.</w:t>
      </w:r>
    </w:p>
    <w:p w14:paraId="0124CEAD" w14:textId="0352A966" w:rsidR="00282181" w:rsidRPr="00E9022C" w:rsidRDefault="00282181" w:rsidP="005710FA">
      <w:pPr>
        <w:spacing w:after="0" w:line="360" w:lineRule="auto"/>
        <w:jc w:val="both"/>
        <w:rPr>
          <w:rFonts w:ascii="Book Antiqua" w:eastAsia="Calibri" w:hAnsi="Book Antiqua" w:cs="Times New Roman"/>
          <w:sz w:val="24"/>
          <w:szCs w:val="24"/>
          <w:lang w:val="en-US"/>
        </w:rPr>
      </w:pPr>
    </w:p>
    <w:p w14:paraId="15395492" w14:textId="67EA7EA4" w:rsidR="00282181" w:rsidRPr="00E9022C" w:rsidRDefault="00282181" w:rsidP="005710FA">
      <w:pPr>
        <w:spacing w:after="0" w:line="360" w:lineRule="auto"/>
        <w:jc w:val="both"/>
        <w:rPr>
          <w:rFonts w:ascii="Book Antiqua" w:eastAsia="Calibri" w:hAnsi="Book Antiqua" w:cs="Times New Roman"/>
          <w:b/>
          <w:i/>
          <w:sz w:val="24"/>
          <w:szCs w:val="24"/>
          <w:lang w:val="en-US"/>
        </w:rPr>
      </w:pPr>
      <w:r w:rsidRPr="00E9022C">
        <w:rPr>
          <w:rFonts w:ascii="Book Antiqua" w:eastAsia="Calibri" w:hAnsi="Book Antiqua" w:cs="Times New Roman"/>
          <w:b/>
          <w:i/>
          <w:sz w:val="24"/>
          <w:szCs w:val="24"/>
          <w:lang w:val="en-US"/>
        </w:rPr>
        <w:t>History of past illness</w:t>
      </w:r>
    </w:p>
    <w:p w14:paraId="4C2D2A66" w14:textId="2F254513" w:rsidR="00EB6FF0"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 xml:space="preserve">Background medical history was remarkable for depression, type 2 diabetes, arterial hypertension and dyslipidemia. She had also undergone two previous abdominal surgical procedures – bariatric gastric by-pass operation and GI cyst removal. </w:t>
      </w:r>
    </w:p>
    <w:p w14:paraId="14FC2DAF" w14:textId="11607FF9" w:rsidR="00282181" w:rsidRPr="00E9022C" w:rsidRDefault="00282181" w:rsidP="005710FA">
      <w:pPr>
        <w:spacing w:after="0" w:line="360" w:lineRule="auto"/>
        <w:jc w:val="both"/>
        <w:rPr>
          <w:rFonts w:ascii="Book Antiqua" w:eastAsia="Calibri" w:hAnsi="Book Antiqua" w:cs="Times New Roman"/>
          <w:sz w:val="24"/>
          <w:szCs w:val="24"/>
          <w:lang w:val="en-US"/>
        </w:rPr>
      </w:pPr>
    </w:p>
    <w:p w14:paraId="3E1A38EA" w14:textId="23AC25EC" w:rsidR="00282181" w:rsidRPr="00E9022C" w:rsidRDefault="00282181" w:rsidP="005710FA">
      <w:pPr>
        <w:spacing w:after="0" w:line="360" w:lineRule="auto"/>
        <w:jc w:val="both"/>
        <w:rPr>
          <w:rFonts w:ascii="Book Antiqua" w:eastAsia="Calibri" w:hAnsi="Book Antiqua" w:cs="Times New Roman"/>
          <w:b/>
          <w:i/>
          <w:sz w:val="24"/>
          <w:szCs w:val="24"/>
          <w:lang w:val="en-US"/>
        </w:rPr>
      </w:pPr>
      <w:r w:rsidRPr="00E9022C">
        <w:rPr>
          <w:rFonts w:ascii="Book Antiqua" w:eastAsia="Calibri" w:hAnsi="Book Antiqua" w:cs="Times New Roman"/>
          <w:b/>
          <w:i/>
          <w:sz w:val="24"/>
          <w:szCs w:val="24"/>
          <w:lang w:val="en-US"/>
        </w:rPr>
        <w:t>Physical examination upon admission</w:t>
      </w:r>
    </w:p>
    <w:p w14:paraId="69CC05E3" w14:textId="29B068C4" w:rsidR="00282181"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lastRenderedPageBreak/>
        <w:t>The patient was noted to be unconscious (GCS 6) by the paramedics, with respiratory rate of 12/min, heart rate of 89/min, blood pressure of 162/72 mmHg and unmeasurable pO</w:t>
      </w:r>
      <w:r w:rsidRPr="00E9022C">
        <w:rPr>
          <w:rFonts w:ascii="Book Antiqua" w:eastAsia="Calibri" w:hAnsi="Book Antiqua" w:cs="Times New Roman"/>
          <w:sz w:val="24"/>
          <w:szCs w:val="24"/>
          <w:vertAlign w:val="subscript"/>
          <w:lang w:val="en-US"/>
        </w:rPr>
        <w:t>2</w:t>
      </w:r>
      <w:r w:rsidRPr="00E9022C">
        <w:rPr>
          <w:rFonts w:ascii="Book Antiqua" w:eastAsia="Calibri" w:hAnsi="Book Antiqua" w:cs="Times New Roman"/>
          <w:sz w:val="24"/>
          <w:szCs w:val="24"/>
          <w:lang w:val="en-US"/>
        </w:rPr>
        <w:t xml:space="preserve"> saturation in peripheral blood. She was brought to hospital in severe hypothermia with body core temperature of only 28.4</w:t>
      </w:r>
      <w:r w:rsidR="00E9022C">
        <w:rPr>
          <w:rFonts w:ascii="Book Antiqua" w:hAnsi="Book Antiqua" w:cs="Times New Roman" w:hint="eastAsia"/>
          <w:sz w:val="24"/>
          <w:szCs w:val="24"/>
          <w:lang w:val="en-US" w:eastAsia="zh-CN"/>
        </w:rPr>
        <w:t xml:space="preserve"> </w:t>
      </w:r>
      <w:r w:rsidRPr="00E9022C">
        <w:rPr>
          <w:rFonts w:ascii="Book Antiqua" w:eastAsia="Calibri" w:hAnsi="Book Antiqua" w:cs="Times New Roman"/>
          <w:sz w:val="24"/>
          <w:szCs w:val="24"/>
          <w:lang w:val="en-US"/>
        </w:rPr>
        <w:t>°C</w:t>
      </w:r>
      <w:r w:rsidR="00282181" w:rsidRPr="00E9022C">
        <w:rPr>
          <w:rFonts w:ascii="Book Antiqua" w:eastAsia="Calibri" w:hAnsi="Book Antiqua" w:cs="Times New Roman"/>
          <w:sz w:val="24"/>
          <w:szCs w:val="24"/>
          <w:lang w:val="en-US"/>
        </w:rPr>
        <w:t>.</w:t>
      </w:r>
      <w:r w:rsidRPr="00E9022C">
        <w:rPr>
          <w:rFonts w:ascii="Book Antiqua" w:eastAsia="Calibri" w:hAnsi="Book Antiqua" w:cs="Times New Roman"/>
          <w:sz w:val="24"/>
          <w:szCs w:val="24"/>
          <w:lang w:val="en-US"/>
        </w:rPr>
        <w:t xml:space="preserve"> </w:t>
      </w:r>
    </w:p>
    <w:p w14:paraId="685CF605" w14:textId="77777777" w:rsidR="00282181" w:rsidRPr="00E9022C" w:rsidRDefault="00282181" w:rsidP="005710FA">
      <w:pPr>
        <w:spacing w:after="0" w:line="360" w:lineRule="auto"/>
        <w:jc w:val="both"/>
        <w:rPr>
          <w:rFonts w:ascii="Book Antiqua" w:eastAsia="Calibri" w:hAnsi="Book Antiqua" w:cs="Times New Roman"/>
          <w:sz w:val="24"/>
          <w:szCs w:val="24"/>
          <w:lang w:val="en-US"/>
        </w:rPr>
      </w:pPr>
    </w:p>
    <w:p w14:paraId="3041EF4D" w14:textId="77777777" w:rsidR="00282181" w:rsidRPr="00E9022C" w:rsidRDefault="00282181" w:rsidP="005710FA">
      <w:pPr>
        <w:spacing w:after="0" w:line="360" w:lineRule="auto"/>
        <w:jc w:val="both"/>
        <w:rPr>
          <w:rFonts w:ascii="Book Antiqua" w:eastAsia="Calibri" w:hAnsi="Book Antiqua" w:cs="Times New Roman"/>
          <w:b/>
          <w:i/>
          <w:sz w:val="24"/>
          <w:szCs w:val="24"/>
          <w:lang w:val="en-US"/>
        </w:rPr>
      </w:pPr>
      <w:r w:rsidRPr="00E9022C">
        <w:rPr>
          <w:rFonts w:ascii="Book Antiqua" w:eastAsia="Calibri" w:hAnsi="Book Antiqua" w:cs="Times New Roman"/>
          <w:b/>
          <w:i/>
          <w:sz w:val="24"/>
          <w:szCs w:val="24"/>
          <w:lang w:val="en-US"/>
        </w:rPr>
        <w:t>Laboratory examinations</w:t>
      </w:r>
    </w:p>
    <w:p w14:paraId="3556AF60" w14:textId="6FAFE371" w:rsidR="00282181" w:rsidRPr="00E9022C" w:rsidRDefault="00C6339A" w:rsidP="005710FA">
      <w:pPr>
        <w:spacing w:after="0" w:line="360" w:lineRule="auto"/>
        <w:jc w:val="both"/>
        <w:rPr>
          <w:rFonts w:ascii="Book Antiqua" w:eastAsia="Calibri" w:hAnsi="Book Antiqua" w:cs="Times New Roman"/>
          <w:sz w:val="24"/>
          <w:szCs w:val="24"/>
          <w:lang w:val="en-GB"/>
        </w:rPr>
      </w:pPr>
      <w:r w:rsidRPr="00E9022C">
        <w:rPr>
          <w:rFonts w:ascii="Book Antiqua" w:eastAsia="Calibri" w:hAnsi="Book Antiqua" w:cs="Times New Roman"/>
          <w:sz w:val="24"/>
          <w:szCs w:val="24"/>
          <w:lang w:val="en-GB"/>
        </w:rPr>
        <w:t xml:space="preserve">The laboratory blood tests were performed showing elevation of mercury levels in the blood (elemental blood mercury being 136.10 </w:t>
      </w:r>
      <w:proofErr w:type="spellStart"/>
      <w:r w:rsidRPr="00E9022C">
        <w:rPr>
          <w:rFonts w:ascii="Book Antiqua" w:eastAsia="Calibri" w:hAnsi="Book Antiqua" w:cs="Times New Roman"/>
          <w:sz w:val="24"/>
          <w:szCs w:val="24"/>
          <w:lang w:val="en-GB"/>
        </w:rPr>
        <w:t>μg</w:t>
      </w:r>
      <w:proofErr w:type="spellEnd"/>
      <w:r w:rsidRPr="00E9022C">
        <w:rPr>
          <w:rFonts w:ascii="Book Antiqua" w:eastAsia="Calibri" w:hAnsi="Book Antiqua" w:cs="Times New Roman"/>
          <w:sz w:val="24"/>
          <w:szCs w:val="24"/>
          <w:lang w:val="en-GB"/>
        </w:rPr>
        <w:t>/L; normal value is up to 5</w:t>
      </w:r>
      <w:r w:rsidR="00E9022C">
        <w:rPr>
          <w:rFonts w:ascii="Book Antiqua" w:hAnsi="Book Antiqua" w:cs="Times New Roman" w:hint="eastAsia"/>
          <w:sz w:val="24"/>
          <w:szCs w:val="24"/>
          <w:lang w:val="en-GB" w:eastAsia="zh-CN"/>
        </w:rPr>
        <w:t xml:space="preserve"> </w:t>
      </w:r>
      <w:proofErr w:type="spellStart"/>
      <w:r w:rsidRPr="00E9022C">
        <w:rPr>
          <w:rFonts w:ascii="Book Antiqua" w:eastAsia="Calibri" w:hAnsi="Book Antiqua" w:cs="Times New Roman"/>
          <w:sz w:val="24"/>
          <w:szCs w:val="24"/>
          <w:lang w:val="en-GB"/>
        </w:rPr>
        <w:t>μg</w:t>
      </w:r>
      <w:proofErr w:type="spellEnd"/>
      <w:r w:rsidRPr="00E9022C">
        <w:rPr>
          <w:rFonts w:ascii="Book Antiqua" w:eastAsia="Calibri" w:hAnsi="Book Antiqua" w:cs="Times New Roman"/>
          <w:sz w:val="24"/>
          <w:szCs w:val="24"/>
          <w:lang w:val="en-GB"/>
        </w:rPr>
        <w:t>/L).</w:t>
      </w:r>
    </w:p>
    <w:p w14:paraId="6E02CACD" w14:textId="77777777" w:rsidR="00C6339A" w:rsidRPr="00E9022C" w:rsidRDefault="00C6339A" w:rsidP="005710FA">
      <w:pPr>
        <w:spacing w:after="0" w:line="360" w:lineRule="auto"/>
        <w:jc w:val="both"/>
        <w:rPr>
          <w:rFonts w:ascii="Book Antiqua" w:eastAsia="Calibri" w:hAnsi="Book Antiqua" w:cs="Times New Roman"/>
          <w:sz w:val="24"/>
          <w:szCs w:val="24"/>
          <w:lang w:val="en-GB"/>
        </w:rPr>
      </w:pPr>
    </w:p>
    <w:p w14:paraId="25A8B7BA" w14:textId="77777777" w:rsidR="00282181" w:rsidRPr="00E9022C" w:rsidRDefault="00282181" w:rsidP="005710FA">
      <w:pPr>
        <w:spacing w:after="0" w:line="360" w:lineRule="auto"/>
        <w:jc w:val="both"/>
        <w:rPr>
          <w:rFonts w:ascii="Book Antiqua" w:eastAsia="Calibri" w:hAnsi="Book Antiqua" w:cs="Times New Roman"/>
          <w:b/>
          <w:i/>
          <w:sz w:val="24"/>
          <w:szCs w:val="24"/>
          <w:lang w:val="en-US"/>
        </w:rPr>
      </w:pPr>
      <w:r w:rsidRPr="00E9022C">
        <w:rPr>
          <w:rFonts w:ascii="Book Antiqua" w:eastAsia="Calibri" w:hAnsi="Book Antiqua" w:cs="Times New Roman"/>
          <w:b/>
          <w:i/>
          <w:sz w:val="24"/>
          <w:szCs w:val="24"/>
          <w:lang w:val="en-US"/>
        </w:rPr>
        <w:t>Imaging examinations</w:t>
      </w:r>
    </w:p>
    <w:p w14:paraId="48583CEF" w14:textId="588BA800" w:rsidR="00282181" w:rsidRPr="00E9022C" w:rsidRDefault="00282181"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X-ray of abdomen was performed and showed several radiopaque foreign bodies, mostly in GI tract (Figure 1).</w:t>
      </w:r>
    </w:p>
    <w:p w14:paraId="2D28DBE6" w14:textId="77777777" w:rsidR="00282181" w:rsidRPr="00E9022C" w:rsidRDefault="00282181" w:rsidP="005710FA">
      <w:pPr>
        <w:spacing w:after="0" w:line="360" w:lineRule="auto"/>
        <w:jc w:val="both"/>
        <w:rPr>
          <w:rFonts w:ascii="Book Antiqua" w:eastAsia="Calibri" w:hAnsi="Book Antiqua" w:cs="Times New Roman"/>
          <w:sz w:val="24"/>
          <w:szCs w:val="24"/>
          <w:lang w:val="en-US"/>
        </w:rPr>
      </w:pPr>
    </w:p>
    <w:p w14:paraId="7209AFB1" w14:textId="1D2E6688" w:rsidR="00282181" w:rsidRPr="00E9022C" w:rsidRDefault="00282181" w:rsidP="005710FA">
      <w:pPr>
        <w:spacing w:after="0" w:line="360" w:lineRule="auto"/>
        <w:jc w:val="both"/>
        <w:rPr>
          <w:rFonts w:ascii="Book Antiqua" w:eastAsia="Calibri" w:hAnsi="Book Antiqua" w:cs="Times New Roman"/>
          <w:b/>
          <w:sz w:val="24"/>
          <w:szCs w:val="24"/>
          <w:lang w:val="en-US"/>
        </w:rPr>
      </w:pPr>
      <w:r w:rsidRPr="00E9022C">
        <w:rPr>
          <w:rFonts w:ascii="Book Antiqua" w:eastAsia="Calibri" w:hAnsi="Book Antiqua" w:cs="Times New Roman"/>
          <w:b/>
          <w:sz w:val="24"/>
          <w:szCs w:val="24"/>
          <w:lang w:val="en-US"/>
        </w:rPr>
        <w:t>FINAL DIAGNOSIS</w:t>
      </w:r>
    </w:p>
    <w:p w14:paraId="7BC055FB" w14:textId="00B8DA20" w:rsidR="00EB6FF0" w:rsidRPr="00E9022C" w:rsidRDefault="00282181"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Intentional self-poisoning, elemental mercury ingestion, foreign bodies in GI tract with retention in appendix, insulin poisoning, hypoglycemia, depression, suicidal attempt.</w:t>
      </w:r>
    </w:p>
    <w:p w14:paraId="57F4D89B" w14:textId="3F0DF570" w:rsidR="00282181" w:rsidRPr="00E9022C" w:rsidRDefault="00282181" w:rsidP="005710FA">
      <w:pPr>
        <w:spacing w:after="0" w:line="360" w:lineRule="auto"/>
        <w:jc w:val="both"/>
        <w:rPr>
          <w:rFonts w:ascii="Book Antiqua" w:hAnsi="Book Antiqua" w:cs="Times New Roman"/>
          <w:sz w:val="24"/>
          <w:szCs w:val="24"/>
          <w:lang w:val="en-US" w:eastAsia="zh-CN"/>
        </w:rPr>
      </w:pPr>
    </w:p>
    <w:p w14:paraId="158DA40E" w14:textId="6B00ABC4" w:rsidR="00282181" w:rsidRPr="00E9022C" w:rsidRDefault="00282181" w:rsidP="005710FA">
      <w:pPr>
        <w:spacing w:after="0" w:line="360" w:lineRule="auto"/>
        <w:jc w:val="both"/>
        <w:rPr>
          <w:rFonts w:ascii="Book Antiqua" w:eastAsia="Calibri" w:hAnsi="Book Antiqua" w:cs="Times New Roman"/>
          <w:b/>
          <w:sz w:val="24"/>
          <w:szCs w:val="24"/>
          <w:lang w:val="en-US"/>
        </w:rPr>
      </w:pPr>
      <w:r w:rsidRPr="00E9022C">
        <w:rPr>
          <w:rFonts w:ascii="Book Antiqua" w:eastAsia="Calibri" w:hAnsi="Book Antiqua" w:cs="Times New Roman"/>
          <w:b/>
          <w:sz w:val="24"/>
          <w:szCs w:val="24"/>
          <w:lang w:val="en-US"/>
        </w:rPr>
        <w:t>TREATMENT</w:t>
      </w:r>
    </w:p>
    <w:p w14:paraId="117F8583" w14:textId="4F5A1AC6" w:rsidR="00EB6FF0" w:rsidRPr="00E9022C" w:rsidRDefault="00282181"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 xml:space="preserve">After admission to ICU in general hospital, </w:t>
      </w:r>
      <w:r w:rsidR="00EB6FF0" w:rsidRPr="00E9022C">
        <w:rPr>
          <w:rFonts w:ascii="Book Antiqua" w:eastAsia="Calibri" w:hAnsi="Book Antiqua" w:cs="Times New Roman"/>
          <w:sz w:val="24"/>
          <w:szCs w:val="24"/>
          <w:lang w:val="en-US"/>
        </w:rPr>
        <w:t>a gastric lavage was performed and osmotic laxatives (</w:t>
      </w:r>
      <w:proofErr w:type="spellStart"/>
      <w:r w:rsidR="00EB6FF0" w:rsidRPr="00E9022C">
        <w:rPr>
          <w:rFonts w:ascii="Book Antiqua" w:eastAsia="Calibri" w:hAnsi="Book Antiqua" w:cs="Times New Roman"/>
          <w:sz w:val="24"/>
          <w:szCs w:val="24"/>
          <w:lang w:val="en-US"/>
        </w:rPr>
        <w:t>Moviprep</w:t>
      </w:r>
      <w:proofErr w:type="spellEnd"/>
      <w:r w:rsidR="00EB6FF0" w:rsidRPr="00E9022C">
        <w:rPr>
          <w:rFonts w:ascii="Book Antiqua" w:eastAsia="Calibri" w:hAnsi="Book Antiqua" w:cs="Times New Roman"/>
          <w:i/>
          <w:sz w:val="24"/>
          <w:szCs w:val="24"/>
          <w:vertAlign w:val="superscript"/>
          <w:lang w:val="en-US"/>
        </w:rPr>
        <w:t>®</w:t>
      </w:r>
      <w:r w:rsidR="00EB6FF0" w:rsidRPr="00E9022C">
        <w:rPr>
          <w:rFonts w:ascii="Book Antiqua" w:eastAsia="Calibri" w:hAnsi="Book Antiqua" w:cs="Times New Roman"/>
          <w:sz w:val="24"/>
          <w:szCs w:val="24"/>
          <w:lang w:val="en-US"/>
        </w:rPr>
        <w:t>) were administered.</w:t>
      </w:r>
      <w:r w:rsidRPr="00E9022C">
        <w:rPr>
          <w:rFonts w:ascii="Book Antiqua" w:eastAsia="Calibri" w:hAnsi="Book Antiqua" w:cs="Times New Roman"/>
          <w:sz w:val="24"/>
          <w:szCs w:val="24"/>
          <w:lang w:val="en-US"/>
        </w:rPr>
        <w:t xml:space="preserve"> Due to discovered elemental mercury ingestion and subsequent elevation of blood mercury levels the patient was transferred </w:t>
      </w:r>
      <w:r w:rsidR="00EB6FF0" w:rsidRPr="00E9022C">
        <w:rPr>
          <w:rFonts w:ascii="Book Antiqua" w:eastAsia="Calibri" w:hAnsi="Book Antiqua" w:cs="Times New Roman"/>
          <w:sz w:val="24"/>
          <w:szCs w:val="24"/>
          <w:lang w:val="en-US"/>
        </w:rPr>
        <w:t>to the National Center for Clinical Toxicology and Pharmacology for potential treatment with chelating agents. Treatment with metal-chelating agent dimercaprol (200 mg every 4 h) was commenced and administered for 8 d. The expected rise of mercury in urine and fall of mercury in blood occurred (elemental mercury in urine was 52</w:t>
      </w:r>
      <w:r w:rsidR="00474516" w:rsidRPr="00E9022C">
        <w:rPr>
          <w:rFonts w:ascii="Book Antiqua" w:eastAsia="Calibri" w:hAnsi="Book Antiqua" w:cs="Times New Roman"/>
          <w:sz w:val="24"/>
          <w:szCs w:val="24"/>
          <w:lang w:val="en-US"/>
        </w:rPr>
        <w:t>.</w:t>
      </w:r>
      <w:r w:rsidR="00EB6FF0" w:rsidRPr="00E9022C">
        <w:rPr>
          <w:rFonts w:ascii="Book Antiqua" w:eastAsia="Calibri" w:hAnsi="Book Antiqua" w:cs="Times New Roman"/>
          <w:sz w:val="24"/>
          <w:szCs w:val="24"/>
          <w:lang w:val="en-US"/>
        </w:rPr>
        <w:t xml:space="preserve">12 </w:t>
      </w:r>
      <w:proofErr w:type="spellStart"/>
      <w:r w:rsidR="00EB6FF0" w:rsidRPr="00E9022C">
        <w:rPr>
          <w:rFonts w:ascii="Book Antiqua" w:eastAsia="Calibri" w:hAnsi="Book Antiqua" w:cs="Times New Roman"/>
          <w:sz w:val="24"/>
          <w:szCs w:val="24"/>
          <w:lang w:val="en-US"/>
        </w:rPr>
        <w:t>μg</w:t>
      </w:r>
      <w:proofErr w:type="spellEnd"/>
      <w:r w:rsidR="00EB6FF0" w:rsidRPr="00E9022C">
        <w:rPr>
          <w:rFonts w:ascii="Book Antiqua" w:eastAsia="Calibri" w:hAnsi="Book Antiqua" w:cs="Times New Roman"/>
          <w:sz w:val="24"/>
          <w:szCs w:val="24"/>
          <w:lang w:val="en-US"/>
        </w:rPr>
        <w:t>/L and in blood 81</w:t>
      </w:r>
      <w:r w:rsidR="00474516" w:rsidRPr="00E9022C">
        <w:rPr>
          <w:rFonts w:ascii="Book Antiqua" w:eastAsia="Calibri" w:hAnsi="Book Antiqua" w:cs="Times New Roman"/>
          <w:sz w:val="24"/>
          <w:szCs w:val="24"/>
          <w:lang w:val="en-US"/>
        </w:rPr>
        <w:t>.</w:t>
      </w:r>
      <w:r w:rsidR="00EB6FF0" w:rsidRPr="00E9022C">
        <w:rPr>
          <w:rFonts w:ascii="Book Antiqua" w:eastAsia="Calibri" w:hAnsi="Book Antiqua" w:cs="Times New Roman"/>
          <w:sz w:val="24"/>
          <w:szCs w:val="24"/>
          <w:lang w:val="en-US"/>
        </w:rPr>
        <w:t xml:space="preserve">53 </w:t>
      </w:r>
      <w:proofErr w:type="spellStart"/>
      <w:r w:rsidR="00EB6FF0" w:rsidRPr="00E9022C">
        <w:rPr>
          <w:rFonts w:ascii="Book Antiqua" w:eastAsia="Calibri" w:hAnsi="Book Antiqua" w:cs="Times New Roman"/>
          <w:sz w:val="24"/>
          <w:szCs w:val="24"/>
          <w:lang w:val="en-US"/>
        </w:rPr>
        <w:t>μg</w:t>
      </w:r>
      <w:proofErr w:type="spellEnd"/>
      <w:r w:rsidR="00EB6FF0" w:rsidRPr="00E9022C">
        <w:rPr>
          <w:rFonts w:ascii="Book Antiqua" w:eastAsia="Calibri" w:hAnsi="Book Antiqua" w:cs="Times New Roman"/>
          <w:sz w:val="24"/>
          <w:szCs w:val="24"/>
          <w:lang w:val="en-US"/>
        </w:rPr>
        <w:t>/L).</w:t>
      </w:r>
    </w:p>
    <w:p w14:paraId="6431A397" w14:textId="77777777" w:rsidR="00EB6FF0" w:rsidRPr="00E9022C"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In the meantime, the majority of the ingested elemental mercury had been already eliminated from the GI tract with stools stimulated by several enemas (</w:t>
      </w:r>
      <w:r w:rsidRPr="00E9022C">
        <w:rPr>
          <w:rFonts w:ascii="Book Antiqua" w:eastAsia="Calibri" w:hAnsi="Book Antiqua" w:cs="Times New Roman"/>
          <w:bCs/>
          <w:iCs/>
          <w:sz w:val="24"/>
          <w:szCs w:val="24"/>
          <w:lang w:val="en-US"/>
        </w:rPr>
        <w:t>Figure 2</w:t>
      </w:r>
      <w:r w:rsidRPr="00E9022C">
        <w:rPr>
          <w:rFonts w:ascii="Book Antiqua" w:eastAsia="Calibri" w:hAnsi="Book Antiqua" w:cs="Times New Roman"/>
          <w:sz w:val="24"/>
          <w:szCs w:val="24"/>
          <w:lang w:val="en-US"/>
        </w:rPr>
        <w:t xml:space="preserve">). </w:t>
      </w:r>
      <w:r w:rsidRPr="00E9022C">
        <w:rPr>
          <w:rFonts w:ascii="Book Antiqua" w:eastAsia="Calibri" w:hAnsi="Book Antiqua" w:cs="Times New Roman"/>
          <w:sz w:val="24"/>
          <w:szCs w:val="24"/>
          <w:lang w:val="en-US"/>
        </w:rPr>
        <w:lastRenderedPageBreak/>
        <w:t>However, a certain amount of elemental mercury was still sequestrated in the appendix despite all conservative measures.</w:t>
      </w:r>
    </w:p>
    <w:p w14:paraId="5F5DD01D" w14:textId="4EC1F898" w:rsidR="00EB6FF0" w:rsidRPr="00E9022C"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Due to the risk of developing appendicitis and possible continuous absorption of sequestrated elemental mercury with its potential toxic effects, the decision to perform appendectomy was made by an interdisciplinary team of specialists. Laparoscopic appendectomy was subsequently performed 29 d after elemental mercury ingestion, with special care taken to avoid intraperitoneal spillage of mercury during the procedure. At the end of the surgical procedure, an intraoperative x-ray of the abdomen was performed to exclude any elemental mercury retained at the stapler line. Following removal of the appendix, dissection of the specimen was performed, revealing a copious collection of elemental mercury inside its lumen (Figure</w:t>
      </w:r>
      <w:r w:rsidR="00C6339A" w:rsidRPr="00E9022C">
        <w:rPr>
          <w:rFonts w:ascii="Book Antiqua" w:eastAsia="Calibri" w:hAnsi="Book Antiqua" w:cs="Times New Roman"/>
          <w:sz w:val="24"/>
          <w:szCs w:val="24"/>
          <w:lang w:val="en-US"/>
        </w:rPr>
        <w:t xml:space="preserve"> 3</w:t>
      </w:r>
      <w:r w:rsidRPr="00E9022C">
        <w:rPr>
          <w:rFonts w:ascii="Book Antiqua" w:eastAsia="Calibri" w:hAnsi="Book Antiqua" w:cs="Times New Roman"/>
          <w:sz w:val="24"/>
          <w:szCs w:val="24"/>
          <w:lang w:val="en-US"/>
        </w:rPr>
        <w:t>). Histopathology report described a 6 cm long appendix with mild chronic and focally purulent appendicitis with elemental mercury in its lumen. The surgery itself and postoperative course were uneventful. The patient was discharged home three days after the operation.</w:t>
      </w:r>
    </w:p>
    <w:bookmarkEnd w:id="2"/>
    <w:p w14:paraId="2D05D6D5" w14:textId="173F7EB1" w:rsidR="00555A6F" w:rsidRPr="00E9022C" w:rsidRDefault="00555A6F" w:rsidP="005710FA">
      <w:pPr>
        <w:spacing w:after="0" w:line="360" w:lineRule="auto"/>
        <w:jc w:val="both"/>
        <w:rPr>
          <w:rFonts w:ascii="Book Antiqua" w:hAnsi="Book Antiqua" w:cs="Times New Roman"/>
          <w:sz w:val="24"/>
          <w:szCs w:val="24"/>
          <w:lang w:val="en-US" w:eastAsia="zh-CN"/>
        </w:rPr>
      </w:pPr>
    </w:p>
    <w:p w14:paraId="79EBF97B" w14:textId="00EF342C" w:rsidR="00282181" w:rsidRPr="00E9022C" w:rsidRDefault="00282181" w:rsidP="005710FA">
      <w:pPr>
        <w:spacing w:after="0" w:line="360" w:lineRule="auto"/>
        <w:jc w:val="both"/>
        <w:rPr>
          <w:rFonts w:ascii="Book Antiqua" w:hAnsi="Book Antiqua" w:cs="Times New Roman"/>
          <w:b/>
          <w:sz w:val="24"/>
          <w:szCs w:val="24"/>
          <w:lang w:val="en-US" w:eastAsia="zh-CN"/>
        </w:rPr>
      </w:pPr>
      <w:r w:rsidRPr="00E9022C">
        <w:rPr>
          <w:rFonts w:ascii="Book Antiqua" w:hAnsi="Book Antiqua" w:cs="Times New Roman"/>
          <w:b/>
          <w:sz w:val="24"/>
          <w:szCs w:val="24"/>
          <w:lang w:val="en-US" w:eastAsia="zh-CN"/>
        </w:rPr>
        <w:t>OUTCOME AND FOLLOW-UP</w:t>
      </w:r>
    </w:p>
    <w:p w14:paraId="73B12E7C" w14:textId="06A7F1FF" w:rsidR="00282181" w:rsidRPr="00E9022C" w:rsidRDefault="00282181" w:rsidP="005710FA">
      <w:pPr>
        <w:spacing w:after="0" w:line="360" w:lineRule="auto"/>
        <w:jc w:val="both"/>
        <w:rPr>
          <w:rFonts w:ascii="Book Antiqua" w:eastAsia="Calibri" w:hAnsi="Book Antiqua" w:cs="Times New Roman"/>
          <w:sz w:val="24"/>
          <w:szCs w:val="24"/>
          <w:lang w:val="en-GB"/>
        </w:rPr>
      </w:pPr>
      <w:bookmarkStart w:id="3" w:name="_Hlk536609069"/>
      <w:r w:rsidRPr="00E9022C">
        <w:rPr>
          <w:rFonts w:ascii="Book Antiqua" w:eastAsia="Calibri" w:hAnsi="Book Antiqua" w:cs="Times New Roman"/>
          <w:sz w:val="24"/>
          <w:szCs w:val="24"/>
          <w:lang w:val="en-GB"/>
        </w:rPr>
        <w:t>The surgery itself and postoperative course were uneventful. The patient was discharged home three days after the operation.</w:t>
      </w:r>
      <w:bookmarkEnd w:id="3"/>
    </w:p>
    <w:p w14:paraId="78BFA148" w14:textId="77777777" w:rsidR="00271F7E" w:rsidRPr="00E9022C" w:rsidRDefault="00271F7E" w:rsidP="005710FA">
      <w:pPr>
        <w:spacing w:after="0" w:line="360" w:lineRule="auto"/>
        <w:jc w:val="both"/>
        <w:rPr>
          <w:rFonts w:ascii="Book Antiqua" w:hAnsi="Book Antiqua" w:cs="Times New Roman"/>
          <w:sz w:val="24"/>
          <w:szCs w:val="24"/>
          <w:lang w:eastAsia="zh-CN"/>
        </w:rPr>
      </w:pPr>
    </w:p>
    <w:p w14:paraId="6A9B378C" w14:textId="77777777" w:rsidR="00EB6FF0" w:rsidRPr="00E9022C" w:rsidRDefault="001955ED" w:rsidP="005710FA">
      <w:pPr>
        <w:keepNext/>
        <w:keepLines/>
        <w:spacing w:after="0" w:line="360" w:lineRule="auto"/>
        <w:jc w:val="both"/>
        <w:rPr>
          <w:rFonts w:ascii="Book Antiqua" w:eastAsia="Times New Roman" w:hAnsi="Book Antiqua" w:cs="Times New Roman"/>
          <w:b/>
          <w:sz w:val="24"/>
          <w:szCs w:val="24"/>
          <w:lang w:val="en-US"/>
        </w:rPr>
      </w:pPr>
      <w:r w:rsidRPr="00E9022C">
        <w:rPr>
          <w:rFonts w:ascii="Book Antiqua" w:eastAsia="Times New Roman" w:hAnsi="Book Antiqua" w:cs="Times New Roman"/>
          <w:b/>
          <w:sz w:val="24"/>
          <w:szCs w:val="24"/>
          <w:lang w:val="en-US"/>
        </w:rPr>
        <w:t>DISCUSSION</w:t>
      </w:r>
    </w:p>
    <w:p w14:paraId="5FAEE161" w14:textId="48DA0B80" w:rsidR="00EB6FF0"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 xml:space="preserve">We report a case of elemental mercury ingestion in a suicidal attempt with subsequent retention of mercury in the appendix. In order </w:t>
      </w:r>
      <w:r w:rsidR="00474516" w:rsidRPr="00E9022C">
        <w:rPr>
          <w:rFonts w:ascii="Book Antiqua" w:eastAsia="Calibri" w:hAnsi="Book Antiqua" w:cs="Times New Roman"/>
          <w:sz w:val="24"/>
          <w:szCs w:val="24"/>
          <w:lang w:val="en-US"/>
        </w:rPr>
        <w:t xml:space="preserve">to </w:t>
      </w:r>
      <w:r w:rsidRPr="00E9022C">
        <w:rPr>
          <w:rFonts w:ascii="Book Antiqua" w:eastAsia="Calibri" w:hAnsi="Book Antiqua" w:cs="Times New Roman"/>
          <w:sz w:val="24"/>
          <w:szCs w:val="24"/>
          <w:lang w:val="en-US"/>
        </w:rPr>
        <w:t xml:space="preserve">prevent complications from the retained mercury, laparoscopic appendectomy was performed. Histopathology report of the removed appendix described a mild chronic and focally purulent appendicitis approximately 1 </w:t>
      </w:r>
      <w:proofErr w:type="spellStart"/>
      <w:r w:rsidRPr="00E9022C">
        <w:rPr>
          <w:rFonts w:ascii="Book Antiqua" w:eastAsia="Calibri" w:hAnsi="Book Antiqua" w:cs="Times New Roman"/>
          <w:sz w:val="24"/>
          <w:szCs w:val="24"/>
          <w:lang w:val="en-US"/>
        </w:rPr>
        <w:t>mo</w:t>
      </w:r>
      <w:proofErr w:type="spellEnd"/>
      <w:r w:rsidRPr="00E9022C">
        <w:rPr>
          <w:rFonts w:ascii="Book Antiqua" w:eastAsia="Calibri" w:hAnsi="Book Antiqua" w:cs="Times New Roman"/>
          <w:sz w:val="24"/>
          <w:szCs w:val="24"/>
          <w:lang w:val="en-US"/>
        </w:rPr>
        <w:t xml:space="preserve"> after the mercury ingestion.</w:t>
      </w:r>
    </w:p>
    <w:p w14:paraId="5309392D" w14:textId="70BE1FE2" w:rsidR="00EB6FF0" w:rsidRPr="00E9022C"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 xml:space="preserve">In a recently published paper by </w:t>
      </w:r>
      <w:proofErr w:type="spellStart"/>
      <w:r w:rsidRPr="00E9022C">
        <w:rPr>
          <w:rFonts w:ascii="Book Antiqua" w:eastAsia="Calibri" w:hAnsi="Book Antiqua" w:cs="Times New Roman"/>
          <w:sz w:val="24"/>
          <w:szCs w:val="24"/>
          <w:lang w:val="en-US"/>
        </w:rPr>
        <w:t>Michielan</w:t>
      </w:r>
      <w:proofErr w:type="spellEnd"/>
      <w:r w:rsidRPr="00E9022C">
        <w:rPr>
          <w:rFonts w:ascii="Book Antiqua" w:eastAsia="Calibri" w:hAnsi="Book Antiqua" w:cs="Times New Roman"/>
          <w:sz w:val="24"/>
          <w:szCs w:val="24"/>
          <w:lang w:val="en-US"/>
        </w:rPr>
        <w:t xml:space="preserve"> </w:t>
      </w:r>
      <w:r w:rsidRPr="00E9022C">
        <w:rPr>
          <w:rFonts w:ascii="Book Antiqua" w:eastAsia="Calibri" w:hAnsi="Book Antiqua" w:cs="Times New Roman"/>
          <w:i/>
          <w:sz w:val="24"/>
          <w:szCs w:val="24"/>
          <w:lang w:val="en-US"/>
        </w:rPr>
        <w:t>et al</w:t>
      </w:r>
      <w:r w:rsidR="00E9022C" w:rsidRPr="00E9022C">
        <w:rPr>
          <w:rFonts w:ascii="Book Antiqua" w:eastAsia="Calibri" w:hAnsi="Book Antiqua" w:cs="Times New Roman"/>
          <w:sz w:val="24"/>
          <w:szCs w:val="24"/>
          <w:lang w:val="en-US"/>
        </w:rPr>
        <w:fldChar w:fldCharType="begin" w:fldLock="1"/>
      </w:r>
      <w:r w:rsidR="00E9022C" w:rsidRPr="00E9022C">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00E9022C" w:rsidRPr="00E9022C">
        <w:rPr>
          <w:rFonts w:ascii="Book Antiqua" w:eastAsia="Calibri" w:hAnsi="Book Antiqua" w:cs="Times New Roman"/>
          <w:sz w:val="24"/>
          <w:szCs w:val="24"/>
          <w:lang w:val="en-US"/>
        </w:rPr>
        <w:fldChar w:fldCharType="separate"/>
      </w:r>
      <w:r w:rsidR="00E9022C" w:rsidRPr="00E9022C">
        <w:rPr>
          <w:rFonts w:ascii="Book Antiqua" w:eastAsia="Calibri" w:hAnsi="Book Antiqua" w:cs="Times New Roman"/>
          <w:noProof/>
          <w:sz w:val="24"/>
          <w:szCs w:val="24"/>
          <w:vertAlign w:val="superscript"/>
          <w:lang w:val="en-US"/>
        </w:rPr>
        <w:t>[3]</w:t>
      </w:r>
      <w:r w:rsidR="00E9022C"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a review of similar case reports was performed. Including their own case, they found only 10 described cases of elemental mercury sequestration in the appendix after oral ingestion. The clinical consequences of oral ingestion of mercury are largely unknown since the vast majority of systemic toxicity is associated with the inhalation route</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{"citationItems":[{"id":"ITEM-1","itemData":{"DOI":"10.1080/15563650701664731","ISBN":"1530-6984","ISSN":"15563650","PMID":"22356465","abstract":"Localized surface plasmon resonances possess very interesting properties for a wide variety of sensing applications. In many of the existing applications, only the intensity of the reflected or transmitted signals is taken into account, while the phase information is ignored. At the center frequency of a (localized) surface plasmon resonance, the electron cloud makes the transition between in- and out-of-phase oscillation with respect to the incident wave. Here we show that this information can experimentally be extracted by performing phase-sensitive measurements, which result in linewidths that are almost 1 order of magnitude smaller than those for intensity based measurements. As this phase change is an intrinsic property of a plasmon resonance, this opens up many possibilities for boosting the figure-of-merit (FOM) of refractive index sensing by taking into account the phase of the plasmon resonance. We experimentally investigated this for two model systems: randomly distributed gold nanodisks and gold nanorings on top of a continuous gold layer and a dielectric spacer and observed FOM values up to 8.3 and 16.5 for the respective nanoparticles.","author":[{"dropping-particle":"","family":"Caravati","given":"E. Martin","non-dropping-particle":"","parse-names":false,"suffix":""},{"dropping-particle":"","family":"Erdman","given":"Andrew R.","non-dropping-particle":"","parse-names":false,"suffix":""},{"dropping-particle":"","family":"Christianson","given":"Gwenn","non-dropping-particle":"","parse-names":false,"suffix":""},{"dropping-particle":"","family":"Nelson","given":"Lewis S.","non-dropping-particle":"","parse-names":false,"suffix":""},{"dropping-particle":"","family":"Woolf","given":"Alan D.","non-dropping-particle":"","parse-names":false,"suffix":""},{"dropping-particle":"","family":"Booze","given":"Lisa L.","non-dropping-particle":"","parse-names":false,"suffix":""},{"dropping-particle":"","family":"Cobaugh","given":"Daniel J.","non-dropping-particle":"","parse-names":false,"suffix":""},{"dropping-particle":"","family":"Chyka","given":"Peter A.","non-dropping-particle":"","parse-names":false,"suffix":""},{"dropping-particle":"","family":"Scharman","given":"Elizabeth J.","non-dropping-particle":"","parse-names":false,"suffix":""},{"dropping-particle":"","family":"Manoguerra","given":"Anthony S.","non-dropping-particle":"","parse-names":false,"suffix":""},{"dropping-particle":"","family":"Troutman","given":"William G.","non-dropping-particle":"","parse-names":false,"suffix":""}],"container-title":"Clinical Toxicology","id":"ITEM-1","issue":"1","issued":{"date-parts":[["2008"]]},"page":"1-21","title":"Elemental mercury exposure: An evidence-based consensus guideline for out-of-hospital management","type":"article-journal","volume":"46"},"uris":["http://www.mendeley.com/documents/?uuid=919eb3a2-5bc6-4e9a-80f9-db02a9a81c50"]}],"mendeley":{"formattedCitation":"&lt;sup&gt;[4]&lt;/sup&gt;","plainTextFormattedCitation":"[4]","previouslyFormattedCitation":"&lt;sup&gt;4&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[4]</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xml:space="preserve">. Acute ingestion </w:t>
      </w:r>
      <w:r w:rsidRPr="00E9022C">
        <w:rPr>
          <w:rFonts w:ascii="Book Antiqua" w:eastAsia="Calibri" w:hAnsi="Book Antiqua" w:cs="Times New Roman"/>
          <w:sz w:val="24"/>
          <w:szCs w:val="24"/>
          <w:lang w:val="en-US"/>
        </w:rPr>
        <w:lastRenderedPageBreak/>
        <w:t>of elemental mercury is even considered non-toxic due to negligible absorption by intact GI mucosa (oral bioavailability of 0.04%)</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[3]</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xml:space="preserve"> Furthermore, most foreign bodies that enter the GI tract are eliminated in four to six days</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{"citationItems":[{"id":"ITEM-1","itemData":{"DOI":"10.4174/astr.2015.89.3.158","ISSN":"2288-6575","PMID":"26366386","abstract":"Foreign bodies usually do not cause complications and pass through the gastrointestinal tract spontaneously. Usually endoscopic intervention is recommended within 24 hours. Cases of acute appendicitis caused by foreign bodies are very rare. In our case, we experienced successful endoscopic and surgical treatment of a patient with ingestion of razor blade and some unrecognizable foreign bodies. A 22-year-old soldier was admitted with a small quantity of hematemesis and epigastric pain. We performed emergent endoscopy and successfully removed several foreign bodies. After 17 days, we performed appendectomy to remove the remaining foreign body and to relieve the symptoms. There is no doubt that endoscopic intervention is definitely useful method to remove foreign bodies. If there is no spontaneous drainage of the foreign body from the appendix, an appendectomy must be considered to remove the foreign body and prevent surgical complications such as appendicitis, periappendiceal abscess, and perforation.","author":[{"dropping-particle":"","family":"Kim","given":"Joo Heung","non-dropping-particle":"","parse-names":false,"suffix":""},{"dropping-particle":"","family":"Lee","given":"Dae Sup","non-dropping-particle":"","parse-names":false,"suffix":""},{"dropping-particle":"","family":"Kim","given":"Kwang Min","non-dropping-particle":"","parse-names":false,"suffix":""}],"container-title":"Annals of Surgical Treatment and Research","id":"ITEM-1","issue":"3","issued":{"date-parts":[["2015"]]},"page":"158-161","title":"Acute appendicitis caused by foreign body ingestion","type":"article-journal","volume":"89"},"uris":["http://www.mendeley.com/documents/?uuid=74b4b76b-2bba-44aa-91fa-5c93cc3786ff"]}],"mendeley":{"formattedCitation":"&lt;sup&gt;[5]&lt;/sup&gt;","plainTextFormattedCitation":"[5]","previouslyFormattedCitation":"&lt;sup&gt;5&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[5]</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However, due to the vertical anatomy at the coecal region, foreign bodies heavier than other bowel contents are capable of entering the lumen of the appendix (elemental mercury for instance) where the peristalsis is insufficient to push it back into the GI tract</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10.1159/000016880","ISSN":"0257-2753","author":[{"dropping-particle":"","family":"Klingler","given":"Paul","non-dropping-particle":"","parse-names":false,"suffix":""},{"dropping-particle":"","family":"Seelig","given":"Matthias","non-dropping-particle":"","parse-names":false,"suffix":""},{"dropping-particle":"","family":"DeVault","given":"Kenneth","non-dropping-particle":"","parse-names":false,"suffix":""},{"dropping-particle":"","family":"Wetscher","given":"Gerold","non-dropping-particle":"","parse-names":false,"suffix":""},{"dropping-particle":"","family":"Floch","given":"Neil","non-dropping-particle":"","parse-names":false,"suffix":""},{"dropping-particle":"","family":"Branton","given":"Susan","non-dropping-particle":"","parse-names":false,"suffix":""},{"dropping-particle":"","family":"Hinder","given":"Ronald","non-dropping-particle":"","parse-names":false,"suffix":""}],"container-title":"Digestive Diseases","id":"ITEM-1","issue":"5","issued":{"date-parts":[["1998"]]},"page":"308-314","title":"Ingested Foreign Bodies within the Appendix: A 100-Year Review of the Literature","type":"article-journal","volume":"16"},"uris":["http://www.mendeley.com/documents/?uuid=cb090c2b-0e7a-4d0f-b3fc-697ae81db5cc"]},{"id":"ITEM-2","itemData":{"DOI":"10.4174/astr.2015.89.3.158","ISSN":"2288-6575","PMID":"26366386","abstract":"Foreign bodies usually do not cause complications and pass through the gastrointestinal tract spontaneously. Usually endoscopic intervention is recommended within 24 hours. Cases of acute appendicitis caused by foreign bodies are very rare. In our case, we experienced successful endoscopic and surgical treatment of a patient with ingestion of razor blade and some unrecognizable foreign bodies. A 22-year-old soldier was admitted with a small quantity of hematemesis and epigastric pain. We performed emergent endoscopy and successfully removed several foreign bodies. After 17 days, we performed appendectomy to remove the remaining foreign body and to relieve the symptoms. There is no doubt that endoscopic intervention is definitely useful method to remove foreign bodies. If there is no spontaneous drainage of the foreign body from the appendix, an appendectomy must be considered to remove the foreign body and prevent surgical complications such as appendicitis, periappendiceal abscess, and perforation.","author":[{"dropping-particle":"","family":"Kim","given":"Joo Heung","non-dropping-particle":"","parse-names":false,"suffix":""},{"dropping-particle":"","family":"Lee","given":"Dae Sup","non-dropping-particle":"","parse-names":false,"suffix":""},{"dropping-particle":"","family":"Kim","given":"Kwang Min","non-dropping-particle":"","parse-names":false,"suffix":""}],"container-title":"Annals of Surgical Treatment and Research","id":"ITEM-2","issue":"3","issued":{"date-parts":[["2015"]]},"page":"158-161","title":"Acute appendicitis caused by foreign body ingestion","type":"article-journal","volume":"89"},"uris":["http://www.mendeley.com/documents/?uuid=74b4b76b-2bba-44aa-91fa-5c93cc3786ff"]},{"id":"ITEM-3","itemData":{"DOI":"10.1080/15563650701664731","ISBN":"1530-6984","ISSN":"15563650","PMID":"22356465","abstract":"Localized surface plasmon resonances possess very interesting properties for a wide variety of sensing applications. In many of the existing applications, only the intensity of the reflected or transmitted signals is taken into account, while the phase information is ignored. At the center frequency of a (localized) surface plasmon resonance, the electron cloud makes the transition between in- and out-of-phase oscillation with respect to the incident wave. Here we show that this information can experimentally be extracted by performing phase-sensitive measurements, which result in linewidths that are almost 1 order of magnitude smaller than those for intensity based measurements. As this phase change is an intrinsic property of a plasmon resonance, this opens up many possibilities for boosting the figure-of-merit (FOM) of refractive index sensing by taking into account the phase of the plasmon resonance. We experimentally investigated this for two model systems: randomly distributed gold nanodisks and gold nanorings on top of a continuous gold layer and a dielectric spacer and observed FOM values up to 8.3 and 16.5 for the respective nanoparticles.","author":[{"dropping-particle":"","family":"Caravati","given":"E. Martin","non-dropping-particle":"","parse-names":false,"suffix":""},{"dropping-particle":"","family":"Erdman","given":"Andrew R.","non-dropping-particle":"","parse-names":false,"suffix":""},{"dropping-particle":"","family":"Christianson","given":"Gwenn","non-dropping-particle":"","parse-names":false,"suffix":""},{"dropping-particle":"","family":"Nelson","given":"Lewis S.","non-dropping-particle":"","parse-names":false,"suffix":""},{"dropping-particle":"","family":"Woolf","given":"Alan D.","non-dropping-particle":"","parse-names":false,"suffix":""},{"dropping-particle":"","family":"Booze","given":"Lisa L.","non-dropping-particle":"","parse-names":false,"suffix":""},{"dropping-particle":"","family":"Cobaugh","given":"Daniel J.","non-dropping-particle":"","parse-names":false,"suffix":""},{"dropping-particle":"","family":"Chyka","given":"Peter A.","non-dropping-particle":"","parse-names":false,"suffix":""},{"dropping-particle":"","family":"Scharman","given":"Elizabeth J.","non-dropping-particle":"","parse-names":false,"suffix":""},{"dropping-particle":"","family":"Manoguerra","given":"Anthony S.","non-dropping-particle":"","parse-names":false,"suffix":""},{"dropping-particle":"","family":"Troutman","given":"William G.","non-dropping-particle":"","parse-names":false,"suffix":""}],"container-title":"Clinical Toxicology","id":"ITEM-3","issue":"1","issued":{"date-parts":[["2008"]]},"page":"1-21","title":"Elemental mercury exposure: An evidence-based consensus guideline for out-of-hospital management","type":"article-journal","volume":"46"},"uris":["http://www.mendeley.com/documents/?uuid=919eb3a2-5bc6-4e9a-80f9-db02a9a81c50"]}],"mendeley":{"formattedCitation":"&lt;sup&gt;[4–6]&lt;/sup&gt;","plainTextFormattedCitation":"[4–6]","previouslyFormattedCitation":"&lt;sup&gt;4–6&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[4–6]</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w:t>
      </w:r>
    </w:p>
    <w:p w14:paraId="23E3659E" w14:textId="1A919705" w:rsidR="00EB6FF0" w:rsidRPr="00E9022C"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Despite oral bioavailability of elemental mercury being close to nil, there are still several reasons to justify the measures for removal of mercury sequestrated in the appendix. The first is the possible interaction of mercury with gut bacteria which might lead to the conversion of elemental mercury into organic mercury compounds</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{"citationItems":[{"id":"ITEM-1","itemData":{"DOI":"10.1136/emj.19.1.82","ISSN":"13510622","abstract":"A case of poisoning with a mercury \"solution\" is reported. The solution was known to contain mercury but its exact nature was unknown. Despite appropriate initial management, various assumptions were made that resulted in a \"toxic\" level. The presentation and management is discussed.","author":[{"dropping-particle":"","family":"Poulden","given":"M","non-dropping-particle":"","parse-names":false,"suffix":""}],"container-title":"Emergency Medicine Journal","id":"ITEM-1","issue":"1","issued":{"date-parts":[["2002"]]},"page":"82-83","title":"Mercury: Is it elemental my dear Watson?","type":"article-journal","volume":"19"},"uris":["http://www.mendeley.com/documents/?uuid=84b9c727-9685-4f73-b316-4b2b3a8b94d7"]}],"mendeley":{"formattedCitation":"&lt;sup&gt;[7]&lt;/sup&gt;","plainTextFormattedCitation":"[7]","previouslyFormattedCitation":"&lt;sup&gt;7&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[7]</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Unlike elemental mercury, the bioavailability of organic mercury compounds is high via the GI route as they can be absorbed almost completely</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{"citationItems":[{"id":"ITEM-1","itemData":{"DOI":"10.3390/ijerph14020169","ISBN":"1660-4601","ISSN":"16604601","PMID":"28208586","abstract":"To estimate human exposure to methylmercury (MeHg), risk assessors often assume 95%–100% bioavailability in their models. However, recent research suggests that assuming all, or most, of the ingested mercury (Hg) is absorbed into systemic circulation may be erroneous. The objective of this paper is to review and discuss the available state of knowledge concerning the assimilation or bioavailability of Hg in fish and humans. In fish, this meant reviewing studies on assimilation efficiency, that is the difference between ingested and excreted Hg over a given period of time. In humans, this meant reviewing studies that mostly investigated bioaccessibility (digestive processes) rather than bioavailability (cumulative digestive + absorptive processes), although studies incorporating absorption for a fuller picture of bioavailability were also included where possible. The outcome of this review shows that in a variety of organisms and experimental models that Hg bioavailability and assimilation is less than 100%. Specifically, 25 studies on fish were reviewed, and assimilation efficiencies ranged from 10% to 100% for MeHg and from 2% to 51% for Hg(II). For humans, 20 studies were reviewed with bioaccessibility estimates ranging from 2% to 100% for MeHg and 0.2% to 94% for Hg(II). The overall absorption estimates ranged from 12% to 79% for MeHg and 49% to 69% for Hg(II), and were consistently less than 100%. For both fish and humans, a number of cases are discussed in which factors (e.g., Hg source, cooking methods, nutrients) are shown to affect Hg bioavailability. The summaries presented here challenge a widely-held assumption in the Hg risk assessment field, and the paper discusses possible ways forward for the field.","author":[{"dropping-particle":"","family":"Bradley","given":"Mark A.","non-dropping-particle":"","parse-names":false,"suffix":""},{"dropping-particle":"","family":"Barst","given":"Benjamin D.","non-dropping-particle":"","parse-names":false,"suffix":""},{"dropping-particle":"","family":"Basu","given":"Niladri","non-dropping-particle":"","parse-names":false,"suffix":""}],"container-title":"International Journal of Environmental Research and Public Health","id":"ITEM-1","issue":"2","issued":{"date-parts":[["2017"]]},"title":"A review of mercury bioavailability in humans and fish","type":"article-journal","volume":"14"},"uris":["http://www.mendeley.com/documents/?uuid=dd8bd1c1-30f4-47b9-9d21-6ff74dd6f1d0"]},{"id":"ITEM-2","itemData":{"DOI":"10.3961/jpmph.2012.45.6.353","ISBN":"1975-8375","ISSN":"19758375","PMID":"23230465","abstract":"Methylmercury is a hazardous substance that is of interest with regard to environmental health, as inorganic mercury circulating in the general environment is dissolved into freshwater and seawater, condensed through the food chain, ingested by humans, and consequently affects human health. Recently, there has been much interest and discussion regarding the toxicity of methylmercury, the correlation with fish and shellfish intake, and methods of long-term management of the human health effects of methylmercury. What effects chronic exposure to a low concentration of methylmercury has on human health remains controversial. Although the possibility of methylmercury poisoning the heart and blood vessel system, the reproductive system, and the immune system is continuously raised and discussed, and the carcinogenicity of methylmercury is also under discussion, a clear conclusion regarding the human health effects according to exposure level has not yet been drawn. The Joint FAO/WHO Expert Committee on Food Additives proposed to prepare additional fish and shellfish intake recommendations for consumers based on the quantified evaluation of the hazardousness of methylmercury contained in fish and shellfish, methylmercury management in the Korea has not yet caught up with this international trend. Currently, the methylmercury exposure level of Koreans is known to be very high. The starting point of methylmercury exposure management is inorganic mercury in the general environment, but food intake through methylation is the main exposure source. Along with efforts to reduce mercury in the general environment, food intake management should be undertaken to reduce the human exposure to methylmercury in Korea.","author":[{"dropping-particle":"","family":"Hong","given":"Young Seoub","non-dropping-particle":"","parse-names":false,"suffix":""},{"dropping-particle":"","family":"Kim","given":"Yu Mi","non-dropping-particle":"","parse-names":false,"suffix":""},{"dropping-particle":"","family":"Lee","given":"Kyung Eun","non-dropping-particle":"","parse-names":false,"suffix":""}],"container-title":"Journal of Preventive Medicine and Public Health","id":"ITEM-2","issue":"6","issued":{"date-parts":[["2012"]]},"page":"353-363","title":"Methylmercury exposure and health effects","type":"article-journal","volume":"45"},"uris":["http://www.mendeley.com/documents/?uuid=832f16ec-38f3-49a9-b95a-405f82e34433"]}],"mendeley":{"formattedCitation":"&lt;sup&gt;[8,9]&lt;/sup&gt;","plainTextFormattedCitation":"[8,9]","previouslyFormattedCitation":"&lt;sup&gt;8,9&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[8,9]</w:t>
      </w:r>
      <w:r w:rsidRPr="00E9022C">
        <w:rPr>
          <w:rFonts w:ascii="Book Antiqua" w:eastAsia="Calibri" w:hAnsi="Book Antiqua" w:cs="Times New Roman"/>
          <w:sz w:val="24"/>
          <w:szCs w:val="24"/>
          <w:lang w:val="en-US"/>
        </w:rPr>
        <w:fldChar w:fldCharType="end"/>
      </w:r>
      <w:r w:rsidR="003A1A45" w:rsidRPr="00E9022C">
        <w:rPr>
          <w:rFonts w:ascii="Book Antiqua" w:eastAsia="Calibri" w:hAnsi="Book Antiqua" w:cs="Times New Roman"/>
          <w:sz w:val="24"/>
          <w:szCs w:val="24"/>
          <w:lang w:val="en-US"/>
        </w:rPr>
        <w:t xml:space="preserve"> </w:t>
      </w:r>
      <w:r w:rsidRPr="00E9022C">
        <w:rPr>
          <w:rFonts w:ascii="Book Antiqua" w:eastAsia="Calibri" w:hAnsi="Book Antiqua" w:cs="Times New Roman"/>
          <w:sz w:val="24"/>
          <w:szCs w:val="24"/>
          <w:lang w:val="en-US"/>
        </w:rPr>
        <w:t>with subsequent</w:t>
      </w:r>
      <w:r w:rsidR="00E9022C" w:rsidRPr="00E9022C">
        <w:rPr>
          <w:rFonts w:ascii="Book Antiqua" w:eastAsia="Calibri" w:hAnsi="Book Antiqua" w:cs="Times New Roman"/>
          <w:sz w:val="24"/>
          <w:szCs w:val="24"/>
          <w:lang w:val="en-US"/>
        </w:rPr>
        <w:t xml:space="preserve"> </w:t>
      </w:r>
      <w:r w:rsidRPr="00E9022C">
        <w:rPr>
          <w:rFonts w:ascii="Book Antiqua" w:eastAsia="Calibri" w:hAnsi="Book Antiqua" w:cs="Times New Roman"/>
          <w:sz w:val="24"/>
          <w:szCs w:val="24"/>
          <w:lang w:val="en-US"/>
        </w:rPr>
        <w:t xml:space="preserve">systemic toxicity. The second reason to consider </w:t>
      </w:r>
      <w:r w:rsidR="00E9022C">
        <w:rPr>
          <w:rFonts w:ascii="Book Antiqua" w:hAnsi="Book Antiqua" w:cs="Times New Roman" w:hint="eastAsia"/>
          <w:sz w:val="24"/>
          <w:szCs w:val="24"/>
          <w:lang w:val="en-US" w:eastAsia="zh-CN"/>
        </w:rPr>
        <w:t>is</w:t>
      </w:r>
      <w:r w:rsidRPr="00E9022C">
        <w:rPr>
          <w:rFonts w:ascii="Book Antiqua" w:eastAsia="Calibri" w:hAnsi="Book Antiqua" w:cs="Times New Roman"/>
          <w:sz w:val="24"/>
          <w:szCs w:val="24"/>
          <w:lang w:val="en-US"/>
        </w:rPr>
        <w:t xml:space="preserve"> possible local complications such as development of acute appendicitis with consequent perforation and spillage of mercury into the abdominal cavity. To date, there are only two case reports describing acute inflammation of the appendix due to elemental mercury retention, with both papers published over 50 years ago</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{"citationItems":[{"id":"ITEM-1","itemData":{"ISSN":"0003-4932","PMID":"13017531","author":[{"dropping-particle":"","family":"CRIKELAIR","given":"G F","non-dropping-particle":"","parse-names":false,"suffix":""},{"dropping-particle":"","family":"HIRATZKA","given":"T","non-dropping-particle":"","parse-names":false,"suffix":""}],"container-title":"Annals of surgery","id":"ITEM-1","issue":"2","issued":{"date-parts":[["1953","2"]]},"page":"272-5","title":"Intraperitoneal mercury granuloma.","type":"article-journal","volume":"137"},"uris":["http://www.mendeley.com/documents/?uuid=3ab64fe8-3c16-41e9-bbba-5fc6f6510b2f"]},{"id":"ITEM-2","itemData":{"ISSN":"0002-9610","PMID":"20266035","author":[{"dropping-particle":"","family":"BIRNBAUM","given":"W","non-dropping-particle":"","parse-names":false,"suffix":""}],"container-title":"American journal of surgery","id":"ITEM-2","issue":"4","issued":{"date-parts":[["1947","10"]]},"page":"494-6","title":"Inflammation of the vermiform appendix by metallic mercury.","type":"article-journal","volume":"74"},"uris":["http://www.mendeley.com/documents/?uuid=3228846c-9ba8-4c88-9687-76fc33406cfa"]}],"mendeley":{"formattedCitation":"&lt;sup&gt;[10,11]&lt;/sup&gt;","plainTextFormattedCitation":"[10,11]","previouslyFormattedCitation":"&lt;sup&gt;10,11&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[10,11]</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To the best of our knowledge, the index case report is the third describing appendicitis consequent on retained elemental mercury.</w:t>
      </w:r>
      <w:r w:rsidR="00E9022C" w:rsidRPr="00E9022C">
        <w:rPr>
          <w:rFonts w:ascii="Book Antiqua" w:eastAsia="Calibri" w:hAnsi="Book Antiqua" w:cs="Times New Roman"/>
          <w:sz w:val="24"/>
          <w:szCs w:val="24"/>
          <w:lang w:val="en-US"/>
        </w:rPr>
        <w:t xml:space="preserve"> </w:t>
      </w:r>
    </w:p>
    <w:p w14:paraId="65BE11F2" w14:textId="5E5B5A47" w:rsidR="00EB6FF0" w:rsidRPr="00E9022C"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Different conservative and surgical approaches of management of elemental mercury sequestrated in appendix have been reported in the literature. In general, conservatives measures such as whole bowel irrigation and endoscopic irrigation are recommended as first line of treatment</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[3]</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xml:space="preserve">. Besides irrigation methods, the </w:t>
      </w:r>
      <w:r w:rsidR="00282181" w:rsidRPr="00E9022C">
        <w:rPr>
          <w:rFonts w:ascii="Book Antiqua" w:eastAsia="Calibri" w:hAnsi="Book Antiqua" w:cs="Times New Roman"/>
          <w:sz w:val="24"/>
          <w:szCs w:val="24"/>
          <w:lang w:val="en-US"/>
        </w:rPr>
        <w:t xml:space="preserve">Trendelenburg </w:t>
      </w:r>
      <w:r w:rsidRPr="00E9022C">
        <w:rPr>
          <w:rFonts w:ascii="Book Antiqua" w:eastAsia="Calibri" w:hAnsi="Book Antiqua" w:cs="Times New Roman"/>
          <w:sz w:val="24"/>
          <w:szCs w:val="24"/>
          <w:lang w:val="en-US"/>
        </w:rPr>
        <w:t>position (30°) combined with left lateral decubitus position has also been reported to be successful in one patient</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10.1002/ccr3.811","ISSN":"20500904","author":[{"dropping-particle":"","family":"Bazoukis","given":"George","non-dropping-particle":"","parse-names":false,"suffix":""},{"dropping-particle":"","family":"Papadatos","given":"Stamatis S.","non-dropping-particle":"","parse-names":false,"suffix":""},{"dropping-particle":"","family":"Michelongona","given":"Paschalia","non-dropping-particle":"","parse-names":false,"suffix":""},{"dropping-particle":"","family":"Fragkou","given":"Archodula","non-dropping-particle":"","parse-names":false,"suffix":""},{"dropping-particle":"","family":"Yalouris","given":"Athanasios","non-dropping-particle":"","parse-names":false,"suffix":""}],"container-title":"Clinical Case Reports","id":"ITEM-1","issue":"2","issued":{"date-parts":[["2017"]]},"page":"126-129","title":"Assessment and management of elemental mercury poisoning-a case report","type":"article-journal","volume":"5"},"uris":["http://www.mendeley.com/documents/?uuid=a506e1ca-e6d7-4361-a17a-c4d6b0522ed0"]}],"mendeley":{"formattedCitation":"&lt;sup&gt;[12]&lt;/sup&gt;","plainTextFormattedCitation":"[12]","previouslyFormattedCitation":"&lt;sup&gt;12&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[12]</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although this approach failed to remove the mercury from the appendix in other patients</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[3]</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Moreover,</w:t>
      </w:r>
      <w:r w:rsidR="00E9022C" w:rsidRPr="00E9022C">
        <w:rPr>
          <w:rFonts w:ascii="Book Antiqua" w:eastAsia="Calibri" w:hAnsi="Book Antiqua" w:cs="Times New Roman"/>
          <w:sz w:val="24"/>
          <w:szCs w:val="24"/>
          <w:lang w:val="en-US"/>
        </w:rPr>
        <w:t xml:space="preserve"> </w:t>
      </w:r>
      <w:r w:rsidRPr="00E9022C">
        <w:rPr>
          <w:rFonts w:ascii="Book Antiqua" w:eastAsia="Calibri" w:hAnsi="Book Antiqua" w:cs="Times New Roman"/>
          <w:sz w:val="24"/>
          <w:szCs w:val="24"/>
          <w:lang w:val="en-US"/>
        </w:rPr>
        <w:t xml:space="preserve">one report also described a complete spontaneous elimination of appendiceal mercury within 7 </w:t>
      </w:r>
      <w:proofErr w:type="spellStart"/>
      <w:r w:rsidRPr="00E9022C">
        <w:rPr>
          <w:rFonts w:ascii="Book Antiqua" w:eastAsia="Calibri" w:hAnsi="Book Antiqua" w:cs="Times New Roman"/>
          <w:sz w:val="24"/>
          <w:szCs w:val="24"/>
          <w:lang w:val="en-US"/>
        </w:rPr>
        <w:t>mo</w:t>
      </w:r>
      <w:proofErr w:type="spellEnd"/>
      <w:r w:rsidRPr="00E9022C">
        <w:rPr>
          <w:rFonts w:ascii="Book Antiqua" w:eastAsia="Calibri" w:hAnsi="Book Antiqua" w:cs="Times New Roman"/>
          <w:sz w:val="24"/>
          <w:szCs w:val="24"/>
          <w:lang w:val="en-US"/>
        </w:rPr>
        <w:t xml:space="preserve"> without any associated complication</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{"citationItems":[{"id":"ITEM-1","itemData":{"DOI":"10.1080/15563650701846288","ISSN":"15563650","PMID":"18608269","abstract":"Introduction: Few cases of mercury sequestration in the appendix appear in the literature. Based on these, both prophylactic appendectomy and non-surgical management have been recommended. We report a case in which a patient with mercury retained in the appendix was managed conservatively without developing mercurialism or appendicitis.; Case Report: A 43-year-old man ingested approximately one tablespoon of elemental mercury after an argument with his wife. An initial abdominal radiograph showed mercury in the pylorus of the stomach and a follow-up x-ray at 72 hours showed mercury localized to the appendix. The patient was treated as an outpatient and examined several times over a 37-day period. He never developed signs of appendicitis. On a follow-up examination 7 months after the ingestion, he was radiographically free of mercury. Periodically throughout his clinical course, blood mercury levels were obtained. Only one, 6 days after ingestion, showed an elevated mercury level of 68 mcg/L (reference range &lt;10 mcg/L). Despite this, the patient never developed signs or symptoms of mercury poisoning.; Conclusion: Patients in whom elemental mercury is retained in the appendix, who are without symptoms and have normal gastric mucosa, may be conservatively managed without surgery.; ","author":[{"dropping-particle":"","family":"Rusyniak","given":"Daniel E.","non-dropping-particle":"","parse-names":false,"suffix":""},{"dropping-particle":"","family":"Nañagas","given":"Kristine A.","non-dropping-particle":"","parse-names":false,"suffix":""}],"container-title":"Clinical Toxicology","id":"ITEM-1","issue":"9","issued":{"date-parts":[["2008"]]},"page":"831-833","title":"Conservative management of elemental mercury retained in the appendix","type":"article-journal","volume":"46"},"uris":["http://www.mendeley.com/documents/?uuid=95f8e17d-f6fb-4da1-a202-6a8543ac823f"]}],"mendeley":{"formattedCitation":"&lt;sup&gt;[13]&lt;/sup&gt;","plainTextFormattedCitation":"[13]","previouslyFormattedCitation":"&lt;sup&gt;13&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[13]</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xml:space="preserve">. We believe that the effectiveness of the conservative methods may be significantly influenced by the variations in the anatomy and location of the appendix. Meanwhile, since conservative measures are </w:t>
      </w:r>
      <w:r w:rsidRPr="00E9022C">
        <w:rPr>
          <w:rFonts w:ascii="Book Antiqua" w:eastAsia="Calibri" w:hAnsi="Book Antiqua" w:cs="Times New Roman"/>
          <w:sz w:val="24"/>
          <w:szCs w:val="24"/>
          <w:lang w:val="en-US"/>
        </w:rPr>
        <w:lastRenderedPageBreak/>
        <w:t>often unsuccessful, surgery remains a compelling option to prevent possible associated complications of retained mercury in the appendix.</w:t>
      </w:r>
    </w:p>
    <w:p w14:paraId="47C36FEB" w14:textId="25EC12D6" w:rsidR="00EB6FF0" w:rsidRPr="00E9022C"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Nevertheless, the question of whether or not to perform appendectomy in an asymptomatic patient remains open</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[3]</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xml:space="preserve">, since surgery itself bears risks of potential complications. Remarkable in this regard is the potential perforation of the appendix during the procedure and spillage of elemental mercury into the peritoneal cavity causing life-threatening peritonitis. However, in the hands of the experienced surgeon, the rate of complications of laparoscopic appendectomy is very low. </w:t>
      </w:r>
    </w:p>
    <w:p w14:paraId="2FA95FA4" w14:textId="6C9B59EE" w:rsidR="00EB6FF0" w:rsidRPr="00E9022C" w:rsidRDefault="00EB6FF0" w:rsidP="00E9022C">
      <w:pPr>
        <w:spacing w:after="0" w:line="360" w:lineRule="auto"/>
        <w:ind w:firstLineChars="100" w:firstLine="240"/>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Given the paucity of evidence regarding the optimal treatment of patients with retained ingested mercury, it is prudent to recommend that the choice of treatment strategy should be determined on a case-by-case basis by a multidisciplinary team (MDT) including toxicologists, gastroenterologists and abdominal surgeons</w:t>
      </w:r>
      <w:r w:rsidRPr="00E9022C">
        <w:rPr>
          <w:rFonts w:ascii="Book Antiqua" w:eastAsia="Calibri" w:hAnsi="Book Antiqua" w:cs="Times New Roman"/>
          <w:sz w:val="24"/>
          <w:szCs w:val="24"/>
          <w:lang w:val="en-US"/>
        </w:rPr>
        <w:fldChar w:fldCharType="begin" w:fldLock="1"/>
      </w:r>
      <w:r w:rsidR="00650FEB" w:rsidRPr="00E9022C">
        <w:rPr>
          <w:rFonts w:ascii="Book Antiqua" w:eastAsia="Calibri" w:hAnsi="Book Antiqua" w:cs="Times New Roman"/>
          <w:sz w:val="24"/>
          <w:szCs w:val="24"/>
          <w:lang w:val="en-US"/>
        </w:rPr>
        <w:instrText>ADDIN CSL_CITATION {"citationItems":[{"id":"ITEM-1","itemData":{"DOI":"10.1080/15563650.2017.1338346","ISBN":"1556-3650","ISSN":"15569519","PMID":"28650684","abstract":"Background: Ingestion of elemental mercury (Hg0) is considered non-toxic. After massive ingestion, local intestinal complications may develop: retention within appendix is quite frequent but treatment is debated. We describe a case of intentional ingestion of Hg0 requiring multi-step decontamination and prophylactic appendectomy.Case detail: A 19-year-old woman was admitted to ED for abdominal pain. History revealed ingestion of large amount of Hg0 as suicide attempt. To prevent absorption, facilitate elimination, and avoid complications a conservative approach was started. Due to inefficacy of initial maneuvers colonoscopy with irrigation/aspiration was performed, repeated whole bowel irrigation was continued and second colonoscopy was performed to clean residual metal. Abdominal plain films confirmed the presence of retained mercury within the appendix in asymptomatic patient. To reduce risk of appendicitis, potential perforation, and possibly systemic toxicity, a prophylactic laparoscopic appendectomy was performed at day 5 with removal of all retained mercury without peritoneal spillage. Highest mercury concentration was 22.7 mcg/L in serum (1-4.5 mcg/L) and 5.1mcg/L in urine (0.1-5 mcg/L).Conclusions: After ingestion, metal retention in appendix is quite frequent. Evidence about optimal treatment are different and based on case reports. A multi-step approach with multidisciplinary evaluation tailored to the patient is suggested.","author":[{"dropping-particle":"","family":"Michielan","given":"Andrea","non-dropping-particle":"","parse-names":false,"suffix":""},{"dropping-particle":"","family":"Schicchi","given":"Azzurra","non-dropping-particle":"","parse-names":false,"suffix":""},{"dropping-particle":"","family":"Cappuccio","given":"Roberto","non-dropping-particle":"","parse-names":false,"suffix":""},{"dropping-particle":"","family":"Lonati","given":"Davide","non-dropping-particle":"","parse-names":false,"suffix":""},{"dropping-particle":"","family":"Lamboglia","given":"Francesca","non-dropping-particle":"","parse-names":false,"suffix":""},{"dropping-particle":"","family":"Vitalba","given":"Alessandra","non-dropping-particle":"","parse-names":false,"suffix":""},{"dropping-particle":"","family":"Caroli","given":"Alessandro","non-dropping-particle":"","parse-names":false,"suffix":""},{"dropping-particle":"","family":"Crevani","given":"Marta","non-dropping-particle":"","parse-names":false,"suffix":""},{"dropping-particle":"","family":"Locatelli","given":"Carlo A.","non-dropping-particle":"","parse-names":false,"suffix":""},{"dropping-particle":"","family":"Betetto","given":"Giorgio","non-dropping-particle":"","parse-names":false,"suffix":""}],"container-title":"Clinical Toxicology","id":"ITEM-1","issue":"1","issued":{"date-parts":[["2018"]]},"page":"69-73","publisher":"Informa UK Limited, trading as Taylor &amp; Francis Group","title":"Intentional ingestion of elemental mercury requiring multi-step decontamination and prophylactic appendectomy: a case report and treatment proposal","type":"article-journal","volume":"56"},"uris":["http://www.mendeley.com/documents/?uuid=8ad8e905-532b-4a96-a16b-e20771294fa4"]}],"mendeley":{"formattedCitation":"&lt;sup&gt;[3]&lt;/sup&gt;","plainTextFormattedCitation":"[3]","previouslyFormattedCitation":"&lt;sup&gt;3&lt;/sup&gt;"},"properties":{"noteIndex":0},"schema":"https://github.com/citation-style-language/schema/raw/master/csl-citation.json"}</w:instrText>
      </w:r>
      <w:r w:rsidRPr="00E9022C">
        <w:rPr>
          <w:rFonts w:ascii="Book Antiqua" w:eastAsia="Calibri" w:hAnsi="Book Antiqua" w:cs="Times New Roman"/>
          <w:sz w:val="24"/>
          <w:szCs w:val="24"/>
          <w:lang w:val="en-US"/>
        </w:rPr>
        <w:fldChar w:fldCharType="separate"/>
      </w:r>
      <w:r w:rsidR="00650FEB" w:rsidRPr="00E9022C">
        <w:rPr>
          <w:rFonts w:ascii="Book Antiqua" w:eastAsia="Calibri" w:hAnsi="Book Antiqua" w:cs="Times New Roman"/>
          <w:noProof/>
          <w:sz w:val="24"/>
          <w:szCs w:val="24"/>
          <w:vertAlign w:val="superscript"/>
          <w:lang w:val="en-US"/>
        </w:rPr>
        <w:t>[3]</w:t>
      </w:r>
      <w:r w:rsidRPr="00E9022C">
        <w:rPr>
          <w:rFonts w:ascii="Book Antiqua" w:eastAsia="Calibri" w:hAnsi="Book Antiqua" w:cs="Times New Roman"/>
          <w:sz w:val="24"/>
          <w:szCs w:val="24"/>
          <w:lang w:val="en-US"/>
        </w:rPr>
        <w:fldChar w:fldCharType="end"/>
      </w:r>
      <w:r w:rsidRPr="00E9022C">
        <w:rPr>
          <w:rFonts w:ascii="Book Antiqua" w:eastAsia="Calibri" w:hAnsi="Book Antiqua" w:cs="Times New Roman"/>
          <w:sz w:val="24"/>
          <w:szCs w:val="24"/>
          <w:lang w:val="en-US"/>
        </w:rPr>
        <w:t xml:space="preserve">. Based on the presumed amount of retained mercury and the patient’s overall clinical circumstances, the MDT should carefully weigh the potential complications of retained mercury against the potential risks and benefits of surgical intervention for each patient. </w:t>
      </w:r>
    </w:p>
    <w:p w14:paraId="0FC6E52E" w14:textId="77777777" w:rsidR="00EB6FF0" w:rsidRPr="00E9022C" w:rsidRDefault="00EB6FF0" w:rsidP="005710FA">
      <w:pPr>
        <w:spacing w:after="0" w:line="360" w:lineRule="auto"/>
        <w:jc w:val="both"/>
        <w:rPr>
          <w:rFonts w:ascii="Book Antiqua" w:hAnsi="Book Antiqua" w:cs="Times New Roman"/>
          <w:sz w:val="24"/>
          <w:szCs w:val="24"/>
          <w:lang w:val="en-US" w:eastAsia="zh-CN"/>
        </w:rPr>
      </w:pPr>
    </w:p>
    <w:p w14:paraId="5C52DDF1" w14:textId="1ED5F686" w:rsidR="00271F7E" w:rsidRPr="00E9022C" w:rsidRDefault="00FB3DD1" w:rsidP="005710FA">
      <w:pPr>
        <w:adjustRightInd w:val="0"/>
        <w:snapToGrid w:val="0"/>
        <w:spacing w:after="0" w:line="360" w:lineRule="auto"/>
        <w:jc w:val="both"/>
        <w:rPr>
          <w:rFonts w:ascii="Book Antiqua" w:hAnsi="Book Antiqua"/>
          <w:b/>
          <w:sz w:val="24"/>
          <w:szCs w:val="24"/>
        </w:rPr>
      </w:pPr>
      <w:r w:rsidRPr="00E9022C">
        <w:rPr>
          <w:rFonts w:ascii="Book Antiqua" w:hAnsi="Book Antiqua"/>
          <w:b/>
          <w:sz w:val="24"/>
          <w:szCs w:val="24"/>
        </w:rPr>
        <w:t>CONCLUSION</w:t>
      </w:r>
    </w:p>
    <w:p w14:paraId="032060FA" w14:textId="00C8E1D8" w:rsidR="00A7759A" w:rsidRPr="00E9022C" w:rsidRDefault="00A7759A" w:rsidP="005710FA">
      <w:pPr>
        <w:spacing w:after="0" w:line="360" w:lineRule="auto"/>
        <w:jc w:val="both"/>
        <w:rPr>
          <w:rFonts w:ascii="Book Antiqua" w:eastAsia="Calibri" w:hAnsi="Book Antiqua" w:cs="Times New Roman"/>
          <w:sz w:val="24"/>
          <w:szCs w:val="24"/>
          <w:lang w:val="en-GB"/>
        </w:rPr>
      </w:pPr>
      <w:r w:rsidRPr="00E9022C">
        <w:rPr>
          <w:rFonts w:ascii="Book Antiqua" w:eastAsia="Calibri" w:hAnsi="Book Antiqua" w:cs="Times New Roman"/>
          <w:sz w:val="24"/>
          <w:szCs w:val="24"/>
          <w:lang w:val="en-GB"/>
        </w:rPr>
        <w:t xml:space="preserve">Since conservative measures are often unsuccessful for elemental mercury sequestration in appendix, surgery seems feasible and safe option. Given the limited evidence the choice of treatment should be determined on a case-by-case basis by a </w:t>
      </w:r>
      <w:r w:rsidR="00E9022C" w:rsidRPr="00E9022C">
        <w:rPr>
          <w:rFonts w:ascii="Book Antiqua" w:eastAsia="Calibri" w:hAnsi="Book Antiqua" w:cs="Times New Roman"/>
          <w:sz w:val="24"/>
          <w:szCs w:val="24"/>
          <w:lang w:val="en-US"/>
        </w:rPr>
        <w:t>MDT</w:t>
      </w:r>
      <w:r w:rsidRPr="00E9022C">
        <w:rPr>
          <w:rFonts w:ascii="Book Antiqua" w:eastAsia="Calibri" w:hAnsi="Book Antiqua" w:cs="Times New Roman"/>
          <w:sz w:val="24"/>
          <w:szCs w:val="24"/>
          <w:lang w:val="en-GB"/>
        </w:rPr>
        <w:t xml:space="preserve">. More case reports are needed to determine optimal treatment strategy. </w:t>
      </w:r>
    </w:p>
    <w:p w14:paraId="5CA51DCA" w14:textId="77777777" w:rsidR="00282181" w:rsidRPr="00E9022C" w:rsidRDefault="00282181" w:rsidP="005710FA">
      <w:pPr>
        <w:adjustRightInd w:val="0"/>
        <w:snapToGrid w:val="0"/>
        <w:spacing w:after="0" w:line="360" w:lineRule="auto"/>
        <w:jc w:val="both"/>
        <w:rPr>
          <w:rFonts w:ascii="Book Antiqua" w:hAnsi="Book Antiqua"/>
          <w:b/>
          <w:sz w:val="24"/>
          <w:szCs w:val="24"/>
          <w:lang w:eastAsia="zh-CN"/>
        </w:rPr>
      </w:pPr>
    </w:p>
    <w:p w14:paraId="6FB73144" w14:textId="77777777" w:rsidR="00A22F22" w:rsidRPr="00E9022C" w:rsidRDefault="00A22F22" w:rsidP="005710FA">
      <w:pPr>
        <w:spacing w:after="0" w:line="360" w:lineRule="auto"/>
        <w:jc w:val="both"/>
        <w:rPr>
          <w:rFonts w:ascii="Book Antiqua" w:hAnsi="Book Antiqua" w:cs="Times New Roman"/>
          <w:b/>
          <w:sz w:val="24"/>
          <w:szCs w:val="24"/>
          <w:lang w:val="en-US" w:eastAsia="zh-CN"/>
        </w:rPr>
      </w:pPr>
      <w:r w:rsidRPr="00E9022C">
        <w:rPr>
          <w:rFonts w:ascii="Book Antiqua" w:eastAsia="Calibri" w:hAnsi="Book Antiqua" w:cs="Times New Roman"/>
          <w:b/>
          <w:sz w:val="24"/>
          <w:szCs w:val="24"/>
          <w:lang w:val="en-US"/>
        </w:rPr>
        <w:t>ACKNOWLEDGE</w:t>
      </w:r>
      <w:r w:rsidRPr="00E9022C">
        <w:rPr>
          <w:rFonts w:ascii="Book Antiqua" w:hAnsi="Book Antiqua" w:cs="Times New Roman"/>
          <w:b/>
          <w:sz w:val="24"/>
          <w:szCs w:val="24"/>
          <w:lang w:val="en-US" w:eastAsia="zh-CN"/>
        </w:rPr>
        <w:t>MENTS</w:t>
      </w:r>
    </w:p>
    <w:p w14:paraId="61E9F091" w14:textId="7396067C" w:rsidR="00A22F22" w:rsidRPr="00E9022C" w:rsidRDefault="00A22F22"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 xml:space="preserve">The authors would like to acknowledge </w:t>
      </w:r>
      <w:r w:rsidR="00E9022C" w:rsidRPr="00E9022C">
        <w:rPr>
          <w:rFonts w:ascii="Book Antiqua" w:eastAsia="Calibri" w:hAnsi="Book Antiqua" w:cs="Times New Roman"/>
          <w:sz w:val="24"/>
          <w:szCs w:val="24"/>
          <w:lang w:val="en-US"/>
        </w:rPr>
        <w:t>D</w:t>
      </w:r>
      <w:r w:rsidRPr="00E9022C">
        <w:rPr>
          <w:rFonts w:ascii="Book Antiqua" w:eastAsia="Calibri" w:hAnsi="Book Antiqua" w:cs="Times New Roman"/>
          <w:sz w:val="24"/>
          <w:szCs w:val="24"/>
          <w:lang w:val="en-US"/>
        </w:rPr>
        <w:t>r.</w:t>
      </w:r>
      <w:r w:rsidR="00E9022C"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Ugwoke</w:t>
      </w:r>
      <w:proofErr w:type="spellEnd"/>
      <w:r w:rsidRPr="00E9022C">
        <w:rPr>
          <w:rFonts w:ascii="Book Antiqua" w:eastAsia="Calibri" w:hAnsi="Book Antiqua" w:cs="Times New Roman"/>
          <w:sz w:val="24"/>
          <w:szCs w:val="24"/>
          <w:lang w:val="en-US"/>
        </w:rPr>
        <w:t xml:space="preserve">, </w:t>
      </w:r>
      <w:proofErr w:type="spellStart"/>
      <w:r w:rsidRPr="00E9022C">
        <w:rPr>
          <w:rFonts w:ascii="Book Antiqua" w:eastAsia="Calibri" w:hAnsi="Book Antiqua" w:cs="Times New Roman"/>
          <w:sz w:val="24"/>
          <w:szCs w:val="24"/>
          <w:lang w:val="en-US"/>
        </w:rPr>
        <w:t>Chiedozie</w:t>
      </w:r>
      <w:proofErr w:type="spellEnd"/>
      <w:r w:rsidRPr="00E9022C">
        <w:rPr>
          <w:rFonts w:ascii="Book Antiqua" w:eastAsia="Calibri" w:hAnsi="Book Antiqua" w:cs="Times New Roman"/>
          <w:sz w:val="24"/>
          <w:szCs w:val="24"/>
          <w:lang w:val="en-US"/>
        </w:rPr>
        <w:t xml:space="preserve"> Kenneth for the proofreading of the final manuscript. </w:t>
      </w:r>
      <w:bookmarkStart w:id="4" w:name="_GoBack"/>
      <w:bookmarkEnd w:id="4"/>
    </w:p>
    <w:p w14:paraId="7279C2E3" w14:textId="77777777" w:rsidR="00282181" w:rsidRPr="00E9022C" w:rsidRDefault="00282181" w:rsidP="005710FA">
      <w:pPr>
        <w:adjustRightInd w:val="0"/>
        <w:snapToGrid w:val="0"/>
        <w:spacing w:after="0" w:line="360" w:lineRule="auto"/>
        <w:jc w:val="both"/>
        <w:rPr>
          <w:rFonts w:ascii="Book Antiqua" w:hAnsi="Book Antiqua"/>
          <w:b/>
          <w:sz w:val="24"/>
          <w:szCs w:val="24"/>
        </w:rPr>
      </w:pPr>
    </w:p>
    <w:p w14:paraId="72194449" w14:textId="77777777" w:rsidR="00271F7E" w:rsidRPr="00E9022C" w:rsidRDefault="00271F7E" w:rsidP="005710FA">
      <w:pPr>
        <w:spacing w:after="0" w:line="360" w:lineRule="auto"/>
        <w:jc w:val="both"/>
        <w:rPr>
          <w:rFonts w:ascii="Book Antiqua" w:hAnsi="Book Antiqua" w:cs="Times New Roman"/>
          <w:sz w:val="24"/>
          <w:szCs w:val="24"/>
          <w:lang w:val="en-US" w:eastAsia="zh-CN"/>
        </w:rPr>
      </w:pPr>
    </w:p>
    <w:p w14:paraId="4E5D8746" w14:textId="77777777" w:rsidR="00EB6FF0"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br w:type="page"/>
      </w:r>
    </w:p>
    <w:p w14:paraId="751B71DA" w14:textId="2E89B316" w:rsidR="00E9022C" w:rsidRPr="0044555F" w:rsidRDefault="00271F7E" w:rsidP="0044555F">
      <w:pPr>
        <w:spacing w:after="0" w:line="360" w:lineRule="auto"/>
        <w:jc w:val="both"/>
        <w:rPr>
          <w:rFonts w:ascii="Book Antiqua" w:eastAsia="Calibri" w:hAnsi="Book Antiqua" w:cs="Times New Roman"/>
          <w:sz w:val="24"/>
          <w:szCs w:val="24"/>
          <w:lang w:val="en-US"/>
        </w:rPr>
      </w:pPr>
      <w:r w:rsidRPr="0044555F">
        <w:rPr>
          <w:rFonts w:ascii="Book Antiqua" w:hAnsi="Book Antiqua" w:cs="Times New Roman"/>
          <w:b/>
          <w:sz w:val="24"/>
          <w:szCs w:val="24"/>
        </w:rPr>
        <w:lastRenderedPageBreak/>
        <w:t>REFERENCES</w:t>
      </w:r>
    </w:p>
    <w:p w14:paraId="44DFD9F3"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1 </w:t>
      </w:r>
      <w:r w:rsidRPr="0044555F">
        <w:rPr>
          <w:rFonts w:ascii="Book Antiqua" w:hAnsi="Book Antiqua"/>
          <w:b/>
          <w:sz w:val="24"/>
          <w:szCs w:val="24"/>
        </w:rPr>
        <w:t>Bernhoft RA</w:t>
      </w:r>
      <w:r w:rsidRPr="0044555F">
        <w:rPr>
          <w:rFonts w:ascii="Book Antiqua" w:hAnsi="Book Antiqua"/>
          <w:sz w:val="24"/>
          <w:szCs w:val="24"/>
        </w:rPr>
        <w:t xml:space="preserve">. Mercury toxicity and treatment: a review of the literature. </w:t>
      </w:r>
      <w:r w:rsidRPr="0044555F">
        <w:rPr>
          <w:rFonts w:ascii="Book Antiqua" w:hAnsi="Book Antiqua"/>
          <w:i/>
          <w:sz w:val="24"/>
          <w:szCs w:val="24"/>
        </w:rPr>
        <w:t>J Environ Public Health</w:t>
      </w:r>
      <w:r w:rsidRPr="0044555F">
        <w:rPr>
          <w:rFonts w:ascii="Book Antiqua" w:hAnsi="Book Antiqua"/>
          <w:sz w:val="24"/>
          <w:szCs w:val="24"/>
        </w:rPr>
        <w:t xml:space="preserve"> 2012; </w:t>
      </w:r>
      <w:r w:rsidRPr="0044555F">
        <w:rPr>
          <w:rFonts w:ascii="Book Antiqua" w:hAnsi="Book Antiqua"/>
          <w:b/>
          <w:sz w:val="24"/>
          <w:szCs w:val="24"/>
        </w:rPr>
        <w:t>2012</w:t>
      </w:r>
      <w:r w:rsidRPr="0044555F">
        <w:rPr>
          <w:rFonts w:ascii="Book Antiqua" w:hAnsi="Book Antiqua"/>
          <w:sz w:val="24"/>
          <w:szCs w:val="24"/>
        </w:rPr>
        <w:t>: 460508 [PMID: 22235210 DOI: 10.1155/2012/460508]</w:t>
      </w:r>
    </w:p>
    <w:p w14:paraId="5AB923FB"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2 </w:t>
      </w:r>
      <w:r w:rsidRPr="0044555F">
        <w:rPr>
          <w:rFonts w:ascii="Book Antiqua" w:hAnsi="Book Antiqua"/>
          <w:b/>
          <w:sz w:val="24"/>
          <w:szCs w:val="24"/>
        </w:rPr>
        <w:t>Rafati-Rahimzadeh M</w:t>
      </w:r>
      <w:r w:rsidRPr="0044555F">
        <w:rPr>
          <w:rFonts w:ascii="Book Antiqua" w:hAnsi="Book Antiqua"/>
          <w:sz w:val="24"/>
          <w:szCs w:val="24"/>
        </w:rPr>
        <w:t xml:space="preserve">, Rafati-Rahimzadeh M, Kazemi S, Moghadamnia AA. Current approaches of the management of mercury poisoning: need of the hour. </w:t>
      </w:r>
      <w:r w:rsidRPr="0044555F">
        <w:rPr>
          <w:rFonts w:ascii="Book Antiqua" w:hAnsi="Book Antiqua"/>
          <w:i/>
          <w:sz w:val="24"/>
          <w:szCs w:val="24"/>
        </w:rPr>
        <w:t>Daru</w:t>
      </w:r>
      <w:r w:rsidRPr="0044555F">
        <w:rPr>
          <w:rFonts w:ascii="Book Antiqua" w:hAnsi="Book Antiqua"/>
          <w:sz w:val="24"/>
          <w:szCs w:val="24"/>
        </w:rPr>
        <w:t xml:space="preserve"> 2014; </w:t>
      </w:r>
      <w:r w:rsidRPr="0044555F">
        <w:rPr>
          <w:rFonts w:ascii="Book Antiqua" w:hAnsi="Book Antiqua"/>
          <w:b/>
          <w:sz w:val="24"/>
          <w:szCs w:val="24"/>
        </w:rPr>
        <w:t>22</w:t>
      </w:r>
      <w:r w:rsidRPr="0044555F">
        <w:rPr>
          <w:rFonts w:ascii="Book Antiqua" w:hAnsi="Book Antiqua"/>
          <w:sz w:val="24"/>
          <w:szCs w:val="24"/>
        </w:rPr>
        <w:t>: 46 [PMID: 24888360 DOI: 10.1186/2008-2231-22-46]</w:t>
      </w:r>
    </w:p>
    <w:p w14:paraId="0BA632D2"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3 </w:t>
      </w:r>
      <w:r w:rsidRPr="0044555F">
        <w:rPr>
          <w:rFonts w:ascii="Book Antiqua" w:hAnsi="Book Antiqua"/>
          <w:b/>
          <w:sz w:val="24"/>
          <w:szCs w:val="24"/>
        </w:rPr>
        <w:t>Michielan A</w:t>
      </w:r>
      <w:r w:rsidRPr="0044555F">
        <w:rPr>
          <w:rFonts w:ascii="Book Antiqua" w:hAnsi="Book Antiqua"/>
          <w:sz w:val="24"/>
          <w:szCs w:val="24"/>
        </w:rPr>
        <w:t xml:space="preserve">, Schicchi A, Cappuccio R, Lonati D, Lamboglia F, Vitalba A, Caroli A, Crevani M, Locatelli CA, Betetto G. Intentional ingestion of elemental mercury requiring multi-step decontamination and prophylactic appendectomy: a case report and treatment proposal. </w:t>
      </w:r>
      <w:r w:rsidRPr="0044555F">
        <w:rPr>
          <w:rFonts w:ascii="Book Antiqua" w:hAnsi="Book Antiqua"/>
          <w:i/>
          <w:sz w:val="24"/>
          <w:szCs w:val="24"/>
        </w:rPr>
        <w:t xml:space="preserve">Clin Toxicol </w:t>
      </w:r>
      <w:r w:rsidRPr="00427121">
        <w:rPr>
          <w:rFonts w:ascii="Book Antiqua" w:hAnsi="Book Antiqua"/>
          <w:sz w:val="24"/>
          <w:szCs w:val="24"/>
        </w:rPr>
        <w:t>(Phila)</w:t>
      </w:r>
      <w:r w:rsidRPr="0044555F">
        <w:rPr>
          <w:rFonts w:ascii="Book Antiqua" w:hAnsi="Book Antiqua"/>
          <w:sz w:val="24"/>
          <w:szCs w:val="24"/>
        </w:rPr>
        <w:t xml:space="preserve"> 2018; </w:t>
      </w:r>
      <w:r w:rsidRPr="0044555F">
        <w:rPr>
          <w:rFonts w:ascii="Book Antiqua" w:hAnsi="Book Antiqua"/>
          <w:b/>
          <w:sz w:val="24"/>
          <w:szCs w:val="24"/>
        </w:rPr>
        <w:t>56</w:t>
      </w:r>
      <w:r w:rsidRPr="0044555F">
        <w:rPr>
          <w:rFonts w:ascii="Book Antiqua" w:hAnsi="Book Antiqua"/>
          <w:sz w:val="24"/>
          <w:szCs w:val="24"/>
        </w:rPr>
        <w:t>: 69-73 [PMID: 28650684 DOI: 10.1080/15563650.2017.1338346]</w:t>
      </w:r>
    </w:p>
    <w:p w14:paraId="01F86594"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4 </w:t>
      </w:r>
      <w:r w:rsidRPr="0044555F">
        <w:rPr>
          <w:rFonts w:ascii="Book Antiqua" w:hAnsi="Book Antiqua"/>
          <w:b/>
          <w:sz w:val="24"/>
          <w:szCs w:val="24"/>
        </w:rPr>
        <w:t>Caravati EM</w:t>
      </w:r>
      <w:r w:rsidRPr="0044555F">
        <w:rPr>
          <w:rFonts w:ascii="Book Antiqua" w:hAnsi="Book Antiqua"/>
          <w:sz w:val="24"/>
          <w:szCs w:val="24"/>
        </w:rPr>
        <w:t xml:space="preserve">, Erdman AR, Christianson G, Nelson LS, Woolf AD, Booze LL, Cobaugh DJ, Chyka PA, Scharman EJ, Manoguerra AS, Troutman WG; American Association of Poison Control Centers. Elemental mercury exposure: an evidence-based consensus guideline for out-of-hospital management. </w:t>
      </w:r>
      <w:r w:rsidRPr="0044555F">
        <w:rPr>
          <w:rFonts w:ascii="Book Antiqua" w:hAnsi="Book Antiqua"/>
          <w:i/>
          <w:sz w:val="24"/>
          <w:szCs w:val="24"/>
        </w:rPr>
        <w:t xml:space="preserve">Clin Toxicol </w:t>
      </w:r>
      <w:r w:rsidRPr="00427121">
        <w:rPr>
          <w:rFonts w:ascii="Book Antiqua" w:hAnsi="Book Antiqua"/>
          <w:sz w:val="24"/>
          <w:szCs w:val="24"/>
        </w:rPr>
        <w:t xml:space="preserve">(Phila) </w:t>
      </w:r>
      <w:r w:rsidRPr="0044555F">
        <w:rPr>
          <w:rFonts w:ascii="Book Antiqua" w:hAnsi="Book Antiqua"/>
          <w:sz w:val="24"/>
          <w:szCs w:val="24"/>
        </w:rPr>
        <w:t xml:space="preserve">2008; </w:t>
      </w:r>
      <w:r w:rsidRPr="0044555F">
        <w:rPr>
          <w:rFonts w:ascii="Book Antiqua" w:hAnsi="Book Antiqua"/>
          <w:b/>
          <w:sz w:val="24"/>
          <w:szCs w:val="24"/>
        </w:rPr>
        <w:t>46</w:t>
      </w:r>
      <w:r w:rsidRPr="0044555F">
        <w:rPr>
          <w:rFonts w:ascii="Book Antiqua" w:hAnsi="Book Antiqua"/>
          <w:sz w:val="24"/>
          <w:szCs w:val="24"/>
        </w:rPr>
        <w:t>: 1-21 [PMID: 18167033 DOI: 10.1080/15563650701664731]</w:t>
      </w:r>
    </w:p>
    <w:p w14:paraId="315D9697"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5 </w:t>
      </w:r>
      <w:r w:rsidRPr="0044555F">
        <w:rPr>
          <w:rFonts w:ascii="Book Antiqua" w:hAnsi="Book Antiqua"/>
          <w:b/>
          <w:sz w:val="24"/>
          <w:szCs w:val="24"/>
        </w:rPr>
        <w:t>Kim JH</w:t>
      </w:r>
      <w:r w:rsidRPr="0044555F">
        <w:rPr>
          <w:rFonts w:ascii="Book Antiqua" w:hAnsi="Book Antiqua"/>
          <w:sz w:val="24"/>
          <w:szCs w:val="24"/>
        </w:rPr>
        <w:t xml:space="preserve">, Lee DS, Kim KM. Acute appendicitis caused by foreign body ingestion. </w:t>
      </w:r>
      <w:r w:rsidRPr="0044555F">
        <w:rPr>
          <w:rFonts w:ascii="Book Antiqua" w:hAnsi="Book Antiqua"/>
          <w:i/>
          <w:sz w:val="24"/>
          <w:szCs w:val="24"/>
        </w:rPr>
        <w:t>Ann Surg Treat Res</w:t>
      </w:r>
      <w:r w:rsidRPr="0044555F">
        <w:rPr>
          <w:rFonts w:ascii="Book Antiqua" w:hAnsi="Book Antiqua"/>
          <w:sz w:val="24"/>
          <w:szCs w:val="24"/>
        </w:rPr>
        <w:t xml:space="preserve"> 2015; </w:t>
      </w:r>
      <w:r w:rsidRPr="0044555F">
        <w:rPr>
          <w:rFonts w:ascii="Book Antiqua" w:hAnsi="Book Antiqua"/>
          <w:b/>
          <w:sz w:val="24"/>
          <w:szCs w:val="24"/>
        </w:rPr>
        <w:t>89</w:t>
      </w:r>
      <w:r w:rsidRPr="0044555F">
        <w:rPr>
          <w:rFonts w:ascii="Book Antiqua" w:hAnsi="Book Antiqua"/>
          <w:sz w:val="24"/>
          <w:szCs w:val="24"/>
        </w:rPr>
        <w:t>: 158-161 [PMID: 26366386 DOI: 10.4174/astr.2015.89.3.158]</w:t>
      </w:r>
    </w:p>
    <w:p w14:paraId="6E66DEB2"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6 </w:t>
      </w:r>
      <w:r w:rsidRPr="0044555F">
        <w:rPr>
          <w:rFonts w:ascii="Book Antiqua" w:hAnsi="Book Antiqua"/>
          <w:b/>
          <w:sz w:val="24"/>
          <w:szCs w:val="24"/>
        </w:rPr>
        <w:t>Klingler PJ</w:t>
      </w:r>
      <w:r w:rsidRPr="0044555F">
        <w:rPr>
          <w:rFonts w:ascii="Book Antiqua" w:hAnsi="Book Antiqua"/>
          <w:sz w:val="24"/>
          <w:szCs w:val="24"/>
        </w:rPr>
        <w:t xml:space="preserve">, Seelig MH, DeVault KR, Wetscher GJ, Floch NR, Branton SA, Hinder RA. Ingested foreign bodies within the appendix: A 100-year review of the literature. </w:t>
      </w:r>
      <w:r w:rsidRPr="0044555F">
        <w:rPr>
          <w:rFonts w:ascii="Book Antiqua" w:hAnsi="Book Antiqua"/>
          <w:i/>
          <w:sz w:val="24"/>
          <w:szCs w:val="24"/>
        </w:rPr>
        <w:t>Dig Dis</w:t>
      </w:r>
      <w:r w:rsidRPr="0044555F">
        <w:rPr>
          <w:rFonts w:ascii="Book Antiqua" w:hAnsi="Book Antiqua"/>
          <w:sz w:val="24"/>
          <w:szCs w:val="24"/>
        </w:rPr>
        <w:t xml:space="preserve"> 1998; </w:t>
      </w:r>
      <w:r w:rsidRPr="0044555F">
        <w:rPr>
          <w:rFonts w:ascii="Book Antiqua" w:hAnsi="Book Antiqua"/>
          <w:b/>
          <w:sz w:val="24"/>
          <w:szCs w:val="24"/>
        </w:rPr>
        <w:t>16</w:t>
      </w:r>
      <w:r w:rsidRPr="0044555F">
        <w:rPr>
          <w:rFonts w:ascii="Book Antiqua" w:hAnsi="Book Antiqua"/>
          <w:sz w:val="24"/>
          <w:szCs w:val="24"/>
        </w:rPr>
        <w:t>: 308-314 [PMID: 9892790 DOI: 10.1159/000016880]</w:t>
      </w:r>
    </w:p>
    <w:p w14:paraId="7B7A3A36"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7 </w:t>
      </w:r>
      <w:r w:rsidRPr="0044555F">
        <w:rPr>
          <w:rFonts w:ascii="Book Antiqua" w:hAnsi="Book Antiqua"/>
          <w:b/>
          <w:sz w:val="24"/>
          <w:szCs w:val="24"/>
        </w:rPr>
        <w:t>Poulden M</w:t>
      </w:r>
      <w:r w:rsidRPr="0044555F">
        <w:rPr>
          <w:rFonts w:ascii="Book Antiqua" w:hAnsi="Book Antiqua"/>
          <w:sz w:val="24"/>
          <w:szCs w:val="24"/>
        </w:rPr>
        <w:t xml:space="preserve">. Mercury: is it elemental my dear Watson? </w:t>
      </w:r>
      <w:r w:rsidRPr="0044555F">
        <w:rPr>
          <w:rFonts w:ascii="Book Antiqua" w:hAnsi="Book Antiqua"/>
          <w:i/>
          <w:sz w:val="24"/>
          <w:szCs w:val="24"/>
        </w:rPr>
        <w:t>Emerg Med J</w:t>
      </w:r>
      <w:r w:rsidRPr="0044555F">
        <w:rPr>
          <w:rFonts w:ascii="Book Antiqua" w:hAnsi="Book Antiqua"/>
          <w:sz w:val="24"/>
          <w:szCs w:val="24"/>
        </w:rPr>
        <w:t xml:space="preserve"> 2002; </w:t>
      </w:r>
      <w:r w:rsidRPr="0044555F">
        <w:rPr>
          <w:rFonts w:ascii="Book Antiqua" w:hAnsi="Book Antiqua"/>
          <w:b/>
          <w:sz w:val="24"/>
          <w:szCs w:val="24"/>
        </w:rPr>
        <w:t>19</w:t>
      </w:r>
      <w:r w:rsidRPr="0044555F">
        <w:rPr>
          <w:rFonts w:ascii="Book Antiqua" w:hAnsi="Book Antiqua"/>
          <w:sz w:val="24"/>
          <w:szCs w:val="24"/>
        </w:rPr>
        <w:t>: 82-83 [PMID: 11777890 DOI: 10.1136/emj.19.1.82]</w:t>
      </w:r>
    </w:p>
    <w:p w14:paraId="1B182B05" w14:textId="16DAA168"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8 </w:t>
      </w:r>
      <w:r w:rsidRPr="0044555F">
        <w:rPr>
          <w:rFonts w:ascii="Book Antiqua" w:hAnsi="Book Antiqua"/>
          <w:b/>
          <w:sz w:val="24"/>
          <w:szCs w:val="24"/>
        </w:rPr>
        <w:t>Bradley MA</w:t>
      </w:r>
      <w:r w:rsidRPr="0044555F">
        <w:rPr>
          <w:rFonts w:ascii="Book Antiqua" w:hAnsi="Book Antiqua"/>
          <w:sz w:val="24"/>
          <w:szCs w:val="24"/>
        </w:rPr>
        <w:t xml:space="preserve">, Barst BD, Basu N. A Review of Mercury Bioavailability in Humans and Fish. </w:t>
      </w:r>
      <w:r w:rsidRPr="0044555F">
        <w:rPr>
          <w:rFonts w:ascii="Book Antiqua" w:hAnsi="Book Antiqua"/>
          <w:i/>
          <w:sz w:val="24"/>
          <w:szCs w:val="24"/>
        </w:rPr>
        <w:t>Int J Environ Res Public Health</w:t>
      </w:r>
      <w:r w:rsidRPr="0044555F">
        <w:rPr>
          <w:rFonts w:ascii="Book Antiqua" w:hAnsi="Book Antiqua"/>
          <w:sz w:val="24"/>
          <w:szCs w:val="24"/>
        </w:rPr>
        <w:t xml:space="preserve"> 2017; </w:t>
      </w:r>
      <w:r w:rsidRPr="0044555F">
        <w:rPr>
          <w:rFonts w:ascii="Book Antiqua" w:hAnsi="Book Antiqua"/>
          <w:b/>
          <w:sz w:val="24"/>
          <w:szCs w:val="24"/>
        </w:rPr>
        <w:t>14</w:t>
      </w:r>
      <w:r w:rsidRPr="0044555F">
        <w:rPr>
          <w:rFonts w:ascii="Book Antiqua" w:hAnsi="Book Antiqua"/>
          <w:sz w:val="24"/>
          <w:szCs w:val="24"/>
        </w:rPr>
        <w:t xml:space="preserve">: </w:t>
      </w:r>
      <w:r w:rsidR="00427121" w:rsidRPr="00427121">
        <w:rPr>
          <w:rFonts w:ascii="Book Antiqua" w:hAnsi="Book Antiqua"/>
          <w:sz w:val="24"/>
          <w:szCs w:val="24"/>
        </w:rPr>
        <w:t>pii: E169</w:t>
      </w:r>
      <w:r w:rsidRPr="0044555F">
        <w:rPr>
          <w:rFonts w:ascii="Book Antiqua" w:hAnsi="Book Antiqua"/>
          <w:sz w:val="24"/>
          <w:szCs w:val="24"/>
        </w:rPr>
        <w:t xml:space="preserve"> [PMID: 28208586 DOI: 10.3390/ijerph14020169]</w:t>
      </w:r>
    </w:p>
    <w:p w14:paraId="09372CF8"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9 </w:t>
      </w:r>
      <w:r w:rsidRPr="0044555F">
        <w:rPr>
          <w:rFonts w:ascii="Book Antiqua" w:hAnsi="Book Antiqua"/>
          <w:b/>
          <w:sz w:val="24"/>
          <w:szCs w:val="24"/>
        </w:rPr>
        <w:t>Hong YS</w:t>
      </w:r>
      <w:r w:rsidRPr="0044555F">
        <w:rPr>
          <w:rFonts w:ascii="Book Antiqua" w:hAnsi="Book Antiqua"/>
          <w:sz w:val="24"/>
          <w:szCs w:val="24"/>
        </w:rPr>
        <w:t xml:space="preserve">, Kim YM, Lee KE. Methylmercury exposure and health effects. </w:t>
      </w:r>
      <w:r w:rsidRPr="0044555F">
        <w:rPr>
          <w:rFonts w:ascii="Book Antiqua" w:hAnsi="Book Antiqua"/>
          <w:i/>
          <w:sz w:val="24"/>
          <w:szCs w:val="24"/>
        </w:rPr>
        <w:t>J Prev Med Public Health</w:t>
      </w:r>
      <w:r w:rsidRPr="0044555F">
        <w:rPr>
          <w:rFonts w:ascii="Book Antiqua" w:hAnsi="Book Antiqua"/>
          <w:sz w:val="24"/>
          <w:szCs w:val="24"/>
        </w:rPr>
        <w:t xml:space="preserve"> 2012; </w:t>
      </w:r>
      <w:r w:rsidRPr="0044555F">
        <w:rPr>
          <w:rFonts w:ascii="Book Antiqua" w:hAnsi="Book Antiqua"/>
          <w:b/>
          <w:sz w:val="24"/>
          <w:szCs w:val="24"/>
        </w:rPr>
        <w:t>45</w:t>
      </w:r>
      <w:r w:rsidRPr="0044555F">
        <w:rPr>
          <w:rFonts w:ascii="Book Antiqua" w:hAnsi="Book Antiqua"/>
          <w:sz w:val="24"/>
          <w:szCs w:val="24"/>
        </w:rPr>
        <w:t>: 353-363 [PMID: 23230465 DOI: 10.3961/jpmph.2012.45.6.353]</w:t>
      </w:r>
    </w:p>
    <w:p w14:paraId="24C4EAE1" w14:textId="7B7B6B2C"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10 </w:t>
      </w:r>
      <w:r w:rsidRPr="0044555F">
        <w:rPr>
          <w:rFonts w:ascii="Book Antiqua" w:hAnsi="Book Antiqua"/>
          <w:b/>
          <w:sz w:val="24"/>
          <w:szCs w:val="24"/>
        </w:rPr>
        <w:t>C</w:t>
      </w:r>
      <w:r w:rsidR="00427121" w:rsidRPr="0044555F">
        <w:rPr>
          <w:rFonts w:ascii="Book Antiqua" w:hAnsi="Book Antiqua"/>
          <w:b/>
          <w:sz w:val="24"/>
          <w:szCs w:val="24"/>
        </w:rPr>
        <w:t>rikelair</w:t>
      </w:r>
      <w:r w:rsidRPr="0044555F">
        <w:rPr>
          <w:rFonts w:ascii="Book Antiqua" w:hAnsi="Book Antiqua"/>
          <w:b/>
          <w:sz w:val="24"/>
          <w:szCs w:val="24"/>
        </w:rPr>
        <w:t xml:space="preserve"> GF</w:t>
      </w:r>
      <w:r w:rsidRPr="0044555F">
        <w:rPr>
          <w:rFonts w:ascii="Book Antiqua" w:hAnsi="Book Antiqua"/>
          <w:sz w:val="24"/>
          <w:szCs w:val="24"/>
        </w:rPr>
        <w:t>, H</w:t>
      </w:r>
      <w:r w:rsidR="00427121" w:rsidRPr="0044555F">
        <w:rPr>
          <w:rFonts w:ascii="Book Antiqua" w:hAnsi="Book Antiqua"/>
          <w:sz w:val="24"/>
          <w:szCs w:val="24"/>
        </w:rPr>
        <w:t>iratzka</w:t>
      </w:r>
      <w:r w:rsidRPr="0044555F">
        <w:rPr>
          <w:rFonts w:ascii="Book Antiqua" w:hAnsi="Book Antiqua"/>
          <w:sz w:val="24"/>
          <w:szCs w:val="24"/>
        </w:rPr>
        <w:t xml:space="preserve"> T. Intraperitoneal mercury granuloma. </w:t>
      </w:r>
      <w:r w:rsidRPr="0044555F">
        <w:rPr>
          <w:rFonts w:ascii="Book Antiqua" w:hAnsi="Book Antiqua"/>
          <w:i/>
          <w:sz w:val="24"/>
          <w:szCs w:val="24"/>
        </w:rPr>
        <w:t>Ann Surg</w:t>
      </w:r>
      <w:r w:rsidRPr="0044555F">
        <w:rPr>
          <w:rFonts w:ascii="Book Antiqua" w:hAnsi="Book Antiqua"/>
          <w:sz w:val="24"/>
          <w:szCs w:val="24"/>
        </w:rPr>
        <w:t xml:space="preserve"> 1953; </w:t>
      </w:r>
      <w:r w:rsidRPr="0044555F">
        <w:rPr>
          <w:rFonts w:ascii="Book Antiqua" w:hAnsi="Book Antiqua"/>
          <w:b/>
          <w:sz w:val="24"/>
          <w:szCs w:val="24"/>
        </w:rPr>
        <w:t>137</w:t>
      </w:r>
      <w:r w:rsidRPr="0044555F">
        <w:rPr>
          <w:rFonts w:ascii="Book Antiqua" w:hAnsi="Book Antiqua"/>
          <w:sz w:val="24"/>
          <w:szCs w:val="24"/>
        </w:rPr>
        <w:t>: 272-275 [PMID: 13017531 DOI: 10.1097/00000658-195302000-00022]</w:t>
      </w:r>
    </w:p>
    <w:p w14:paraId="317389D6" w14:textId="3F077103"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lastRenderedPageBreak/>
        <w:t xml:space="preserve">11 </w:t>
      </w:r>
      <w:r w:rsidRPr="0044555F">
        <w:rPr>
          <w:rFonts w:ascii="Book Antiqua" w:hAnsi="Book Antiqua"/>
          <w:b/>
          <w:sz w:val="24"/>
          <w:szCs w:val="24"/>
        </w:rPr>
        <w:t>B</w:t>
      </w:r>
      <w:r w:rsidR="00427121" w:rsidRPr="0044555F">
        <w:rPr>
          <w:rFonts w:ascii="Book Antiqua" w:hAnsi="Book Antiqua"/>
          <w:b/>
          <w:sz w:val="24"/>
          <w:szCs w:val="24"/>
        </w:rPr>
        <w:t xml:space="preserve">irnbaum </w:t>
      </w:r>
      <w:r w:rsidRPr="0044555F">
        <w:rPr>
          <w:rFonts w:ascii="Book Antiqua" w:hAnsi="Book Antiqua"/>
          <w:b/>
          <w:sz w:val="24"/>
          <w:szCs w:val="24"/>
        </w:rPr>
        <w:t>W</w:t>
      </w:r>
      <w:r w:rsidRPr="0044555F">
        <w:rPr>
          <w:rFonts w:ascii="Book Antiqua" w:hAnsi="Book Antiqua"/>
          <w:sz w:val="24"/>
          <w:szCs w:val="24"/>
        </w:rPr>
        <w:t xml:space="preserve">. Inflammation of the vermiform appendix by metallic mercury. </w:t>
      </w:r>
      <w:r w:rsidRPr="0044555F">
        <w:rPr>
          <w:rFonts w:ascii="Book Antiqua" w:hAnsi="Book Antiqua"/>
          <w:i/>
          <w:sz w:val="24"/>
          <w:szCs w:val="24"/>
        </w:rPr>
        <w:t>Am J Surg</w:t>
      </w:r>
      <w:r w:rsidRPr="0044555F">
        <w:rPr>
          <w:rFonts w:ascii="Book Antiqua" w:hAnsi="Book Antiqua"/>
          <w:sz w:val="24"/>
          <w:szCs w:val="24"/>
        </w:rPr>
        <w:t xml:space="preserve"> 1947; </w:t>
      </w:r>
      <w:r w:rsidRPr="0044555F">
        <w:rPr>
          <w:rFonts w:ascii="Book Antiqua" w:hAnsi="Book Antiqua"/>
          <w:b/>
          <w:sz w:val="24"/>
          <w:szCs w:val="24"/>
        </w:rPr>
        <w:t>74</w:t>
      </w:r>
      <w:r w:rsidRPr="0044555F">
        <w:rPr>
          <w:rFonts w:ascii="Book Antiqua" w:hAnsi="Book Antiqua"/>
          <w:sz w:val="24"/>
          <w:szCs w:val="24"/>
        </w:rPr>
        <w:t>: 494-496 [PMID: 20266035 DOI: 10.1016/0002-9610(47)90148-7]</w:t>
      </w:r>
    </w:p>
    <w:p w14:paraId="387BB740"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12 </w:t>
      </w:r>
      <w:r w:rsidRPr="0044555F">
        <w:rPr>
          <w:rFonts w:ascii="Book Antiqua" w:hAnsi="Book Antiqua"/>
          <w:b/>
          <w:sz w:val="24"/>
          <w:szCs w:val="24"/>
        </w:rPr>
        <w:t>Bazoukis G</w:t>
      </w:r>
      <w:r w:rsidRPr="0044555F">
        <w:rPr>
          <w:rFonts w:ascii="Book Antiqua" w:hAnsi="Book Antiqua"/>
          <w:sz w:val="24"/>
          <w:szCs w:val="24"/>
        </w:rPr>
        <w:t xml:space="preserve">, Papadatos SS, Michelongona P, Fragkou A, Yalouris A. Assessment and management of elemental mercury poisoning-a case report. </w:t>
      </w:r>
      <w:r w:rsidRPr="0044555F">
        <w:rPr>
          <w:rFonts w:ascii="Book Antiqua" w:hAnsi="Book Antiqua"/>
          <w:i/>
          <w:sz w:val="24"/>
          <w:szCs w:val="24"/>
        </w:rPr>
        <w:t>Clin Case Rep</w:t>
      </w:r>
      <w:r w:rsidRPr="0044555F">
        <w:rPr>
          <w:rFonts w:ascii="Book Antiqua" w:hAnsi="Book Antiqua"/>
          <w:sz w:val="24"/>
          <w:szCs w:val="24"/>
        </w:rPr>
        <w:t xml:space="preserve"> 2017; </w:t>
      </w:r>
      <w:r w:rsidRPr="0044555F">
        <w:rPr>
          <w:rFonts w:ascii="Book Antiqua" w:hAnsi="Book Antiqua"/>
          <w:b/>
          <w:sz w:val="24"/>
          <w:szCs w:val="24"/>
        </w:rPr>
        <w:t>5</w:t>
      </w:r>
      <w:r w:rsidRPr="0044555F">
        <w:rPr>
          <w:rFonts w:ascii="Book Antiqua" w:hAnsi="Book Antiqua"/>
          <w:sz w:val="24"/>
          <w:szCs w:val="24"/>
        </w:rPr>
        <w:t>: 126-129 [PMID: 28174636 DOI: 10.1002/ccr3.811]</w:t>
      </w:r>
    </w:p>
    <w:p w14:paraId="7D31EA4A" w14:textId="77777777" w:rsidR="0044555F" w:rsidRPr="0044555F" w:rsidRDefault="0044555F" w:rsidP="0044555F">
      <w:pPr>
        <w:spacing w:after="0" w:line="360" w:lineRule="auto"/>
        <w:jc w:val="both"/>
        <w:rPr>
          <w:rFonts w:ascii="Book Antiqua" w:hAnsi="Book Antiqua"/>
          <w:sz w:val="24"/>
          <w:szCs w:val="24"/>
        </w:rPr>
      </w:pPr>
      <w:r w:rsidRPr="0044555F">
        <w:rPr>
          <w:rFonts w:ascii="Book Antiqua" w:hAnsi="Book Antiqua"/>
          <w:sz w:val="24"/>
          <w:szCs w:val="24"/>
        </w:rPr>
        <w:t xml:space="preserve">13 </w:t>
      </w:r>
      <w:r w:rsidRPr="0044555F">
        <w:rPr>
          <w:rFonts w:ascii="Book Antiqua" w:hAnsi="Book Antiqua"/>
          <w:b/>
          <w:sz w:val="24"/>
          <w:szCs w:val="24"/>
        </w:rPr>
        <w:t>Rusyniak DE</w:t>
      </w:r>
      <w:r w:rsidRPr="0044555F">
        <w:rPr>
          <w:rFonts w:ascii="Book Antiqua" w:hAnsi="Book Antiqua"/>
          <w:sz w:val="24"/>
          <w:szCs w:val="24"/>
        </w:rPr>
        <w:t xml:space="preserve">, Nanagas KA. Conservative management of elemental mercury retained in the appendix. </w:t>
      </w:r>
      <w:r w:rsidRPr="0044555F">
        <w:rPr>
          <w:rFonts w:ascii="Book Antiqua" w:hAnsi="Book Antiqua"/>
          <w:i/>
          <w:sz w:val="24"/>
          <w:szCs w:val="24"/>
        </w:rPr>
        <w:t>Clin Toxicol</w:t>
      </w:r>
      <w:r w:rsidRPr="00427121">
        <w:rPr>
          <w:rFonts w:ascii="Book Antiqua" w:hAnsi="Book Antiqua"/>
          <w:sz w:val="24"/>
          <w:szCs w:val="24"/>
        </w:rPr>
        <w:t xml:space="preserve"> (Phila) </w:t>
      </w:r>
      <w:r w:rsidRPr="0044555F">
        <w:rPr>
          <w:rFonts w:ascii="Book Antiqua" w:hAnsi="Book Antiqua"/>
          <w:sz w:val="24"/>
          <w:szCs w:val="24"/>
        </w:rPr>
        <w:t xml:space="preserve">2008; </w:t>
      </w:r>
      <w:r w:rsidRPr="0044555F">
        <w:rPr>
          <w:rFonts w:ascii="Book Antiqua" w:hAnsi="Book Antiqua"/>
          <w:b/>
          <w:sz w:val="24"/>
          <w:szCs w:val="24"/>
        </w:rPr>
        <w:t>46</w:t>
      </w:r>
      <w:r w:rsidRPr="0044555F">
        <w:rPr>
          <w:rFonts w:ascii="Book Antiqua" w:hAnsi="Book Antiqua"/>
          <w:sz w:val="24"/>
          <w:szCs w:val="24"/>
        </w:rPr>
        <w:t>: 831-833 [PMID: 18608269 DOI: 10.1080/15563650701846288]</w:t>
      </w:r>
    </w:p>
    <w:p w14:paraId="54933A59" w14:textId="7D558972" w:rsidR="00EB6FF0" w:rsidRPr="0044555F" w:rsidRDefault="00EB6FF0" w:rsidP="0044555F">
      <w:pPr>
        <w:keepNext/>
        <w:keepLines/>
        <w:spacing w:after="0" w:line="360" w:lineRule="auto"/>
        <w:jc w:val="both"/>
        <w:rPr>
          <w:rFonts w:ascii="Book Antiqua" w:hAnsi="Book Antiqua" w:cs="Times New Roman"/>
          <w:sz w:val="24"/>
          <w:szCs w:val="24"/>
          <w:lang w:val="en-US" w:eastAsia="zh-CN"/>
        </w:rPr>
      </w:pPr>
    </w:p>
    <w:p w14:paraId="084FDB01" w14:textId="042FC2C3" w:rsidR="00E9022C" w:rsidRPr="00427121" w:rsidRDefault="00E9022C" w:rsidP="00427121">
      <w:pPr>
        <w:pStyle w:val="PlainText"/>
        <w:spacing w:line="360" w:lineRule="auto"/>
        <w:jc w:val="right"/>
        <w:rPr>
          <w:rFonts w:ascii="Book Antiqua" w:hAnsi="Book Antiqua"/>
          <w:b/>
          <w:sz w:val="24"/>
          <w:szCs w:val="24"/>
        </w:rPr>
      </w:pPr>
      <w:r w:rsidRPr="00427121">
        <w:rPr>
          <w:rFonts w:ascii="Book Antiqua" w:hAnsi="Book Antiqua"/>
          <w:b/>
          <w:sz w:val="24"/>
          <w:szCs w:val="24"/>
        </w:rPr>
        <w:t xml:space="preserve">P-Reviewer: </w:t>
      </w:r>
      <w:proofErr w:type="spellStart"/>
      <w:r w:rsidR="00857453" w:rsidRPr="00427121">
        <w:rPr>
          <w:rFonts w:ascii="Book Antiqua" w:hAnsi="Book Antiqua"/>
          <w:color w:val="000000"/>
          <w:sz w:val="24"/>
          <w:szCs w:val="24"/>
        </w:rPr>
        <w:t>Cerwenka</w:t>
      </w:r>
      <w:proofErr w:type="spellEnd"/>
      <w:r w:rsidR="00857453" w:rsidRPr="00427121">
        <w:rPr>
          <w:rFonts w:ascii="Book Antiqua" w:hAnsi="Book Antiqua"/>
          <w:color w:val="000000"/>
          <w:sz w:val="24"/>
          <w:szCs w:val="24"/>
        </w:rPr>
        <w:t xml:space="preserve"> H, Chiu KW, </w:t>
      </w:r>
      <w:proofErr w:type="spellStart"/>
      <w:r w:rsidR="00857453" w:rsidRPr="00427121">
        <w:rPr>
          <w:rFonts w:ascii="Book Antiqua" w:hAnsi="Book Antiqua"/>
          <w:color w:val="000000"/>
          <w:sz w:val="24"/>
          <w:szCs w:val="24"/>
        </w:rPr>
        <w:t>Contini</w:t>
      </w:r>
      <w:proofErr w:type="spellEnd"/>
      <w:r w:rsidR="00857453" w:rsidRPr="00427121">
        <w:rPr>
          <w:rFonts w:ascii="Book Antiqua" w:hAnsi="Book Antiqua"/>
          <w:color w:val="000000"/>
          <w:sz w:val="24"/>
          <w:szCs w:val="24"/>
        </w:rPr>
        <w:t xml:space="preserve"> S, </w:t>
      </w:r>
      <w:proofErr w:type="spellStart"/>
      <w:r w:rsidR="00857453" w:rsidRPr="00427121">
        <w:rPr>
          <w:rFonts w:ascii="Book Antiqua" w:hAnsi="Book Antiqua"/>
          <w:color w:val="000000"/>
          <w:sz w:val="24"/>
          <w:szCs w:val="24"/>
        </w:rPr>
        <w:t>Imaeda</w:t>
      </w:r>
      <w:proofErr w:type="spellEnd"/>
      <w:r w:rsidR="00857453" w:rsidRPr="00427121">
        <w:rPr>
          <w:rFonts w:ascii="Book Antiqua" w:hAnsi="Book Antiqua"/>
          <w:color w:val="000000"/>
          <w:sz w:val="24"/>
          <w:szCs w:val="24"/>
        </w:rPr>
        <w:t xml:space="preserve"> H, </w:t>
      </w:r>
      <w:proofErr w:type="spellStart"/>
      <w:r w:rsidR="00857453" w:rsidRPr="00427121">
        <w:rPr>
          <w:rFonts w:ascii="Book Antiqua" w:hAnsi="Book Antiqua"/>
          <w:color w:val="000000"/>
          <w:sz w:val="24"/>
          <w:szCs w:val="24"/>
        </w:rPr>
        <w:t>Thomopoulos</w:t>
      </w:r>
      <w:proofErr w:type="spellEnd"/>
      <w:r w:rsidR="00857453" w:rsidRPr="00427121">
        <w:rPr>
          <w:rFonts w:ascii="Book Antiqua" w:hAnsi="Book Antiqua"/>
          <w:color w:val="000000"/>
          <w:sz w:val="24"/>
          <w:szCs w:val="24"/>
        </w:rPr>
        <w:t xml:space="preserve"> K </w:t>
      </w:r>
      <w:r w:rsidRPr="00427121">
        <w:rPr>
          <w:rFonts w:ascii="Book Antiqua" w:hAnsi="Book Antiqua"/>
          <w:b/>
          <w:sz w:val="24"/>
          <w:szCs w:val="24"/>
        </w:rPr>
        <w:t xml:space="preserve">S-Editor: </w:t>
      </w:r>
      <w:r w:rsidRPr="00427121">
        <w:rPr>
          <w:rFonts w:ascii="Book Antiqua" w:hAnsi="Book Antiqua"/>
          <w:sz w:val="24"/>
          <w:szCs w:val="24"/>
        </w:rPr>
        <w:t>Ji FF</w:t>
      </w:r>
      <w:r w:rsidRPr="00427121">
        <w:rPr>
          <w:rFonts w:ascii="Book Antiqua" w:hAnsi="Book Antiqua"/>
          <w:b/>
          <w:sz w:val="24"/>
          <w:szCs w:val="24"/>
        </w:rPr>
        <w:t xml:space="preserve"> L-Editor: E-Editor: </w:t>
      </w:r>
    </w:p>
    <w:p w14:paraId="7A917D84" w14:textId="77777777" w:rsidR="00E9022C" w:rsidRPr="0044555F" w:rsidRDefault="00E9022C" w:rsidP="0044555F">
      <w:pPr>
        <w:pStyle w:val="PlainText"/>
        <w:spacing w:line="360" w:lineRule="auto"/>
        <w:rPr>
          <w:rFonts w:ascii="Book Antiqua" w:hAnsi="Book Antiqua"/>
          <w:b/>
          <w:sz w:val="24"/>
          <w:szCs w:val="24"/>
        </w:rPr>
      </w:pPr>
      <w:r w:rsidRPr="0044555F">
        <w:rPr>
          <w:rFonts w:ascii="Book Antiqua" w:hAnsi="Book Antiqua"/>
          <w:b/>
          <w:sz w:val="24"/>
          <w:szCs w:val="24"/>
        </w:rPr>
        <w:t xml:space="preserve"> </w:t>
      </w:r>
    </w:p>
    <w:p w14:paraId="3A892E16" w14:textId="479AFF6D" w:rsidR="00E9022C" w:rsidRPr="0044555F" w:rsidRDefault="00E9022C" w:rsidP="0044555F">
      <w:pPr>
        <w:snapToGrid w:val="0"/>
        <w:spacing w:after="0" w:line="360" w:lineRule="auto"/>
        <w:jc w:val="both"/>
        <w:rPr>
          <w:rFonts w:ascii="Book Antiqua" w:eastAsia="SimSun" w:hAnsi="Book Antiqua" w:cs="Helvetica"/>
          <w:b/>
          <w:sz w:val="24"/>
          <w:szCs w:val="24"/>
        </w:rPr>
      </w:pPr>
      <w:r w:rsidRPr="0044555F">
        <w:rPr>
          <w:rFonts w:ascii="Book Antiqua" w:eastAsia="SimSun" w:hAnsi="Book Antiqua" w:cs="Helvetica"/>
          <w:b/>
          <w:sz w:val="24"/>
          <w:szCs w:val="24"/>
        </w:rPr>
        <w:t xml:space="preserve">Specialty type: </w:t>
      </w:r>
      <w:r w:rsidR="00857453" w:rsidRPr="0044555F">
        <w:rPr>
          <w:rFonts w:ascii="Book Antiqua" w:eastAsia="Microsoft YaHei" w:hAnsi="Book Antiqua" w:cs="SimSun"/>
          <w:sz w:val="24"/>
          <w:szCs w:val="24"/>
        </w:rPr>
        <w:t>Medicine, research and experimental</w:t>
      </w:r>
    </w:p>
    <w:p w14:paraId="3BB9C2A8" w14:textId="1AA55BA6" w:rsidR="00E9022C" w:rsidRPr="0044555F" w:rsidRDefault="00E9022C" w:rsidP="0044555F">
      <w:pPr>
        <w:snapToGrid w:val="0"/>
        <w:spacing w:after="0" w:line="360" w:lineRule="auto"/>
        <w:jc w:val="both"/>
        <w:rPr>
          <w:rFonts w:ascii="Book Antiqua" w:eastAsia="SimSun" w:hAnsi="Book Antiqua" w:cs="Helvetica"/>
          <w:b/>
          <w:sz w:val="24"/>
          <w:szCs w:val="24"/>
        </w:rPr>
      </w:pPr>
      <w:r w:rsidRPr="0044555F">
        <w:rPr>
          <w:rFonts w:ascii="Book Antiqua" w:eastAsia="SimSun" w:hAnsi="Book Antiqua" w:cs="Helvetica"/>
          <w:b/>
          <w:sz w:val="24"/>
          <w:szCs w:val="24"/>
        </w:rPr>
        <w:t xml:space="preserve">Country of origin: </w:t>
      </w:r>
      <w:r w:rsidR="00857453" w:rsidRPr="0044555F">
        <w:rPr>
          <w:rFonts w:ascii="Book Antiqua" w:eastAsia="SimSun" w:hAnsi="Book Antiqua"/>
          <w:sz w:val="24"/>
          <w:szCs w:val="24"/>
        </w:rPr>
        <w:t>Slovenia</w:t>
      </w:r>
    </w:p>
    <w:p w14:paraId="606D7781" w14:textId="77777777" w:rsidR="00E9022C" w:rsidRPr="0044555F" w:rsidRDefault="00E9022C" w:rsidP="0044555F">
      <w:pPr>
        <w:snapToGrid w:val="0"/>
        <w:spacing w:after="0" w:line="360" w:lineRule="auto"/>
        <w:jc w:val="both"/>
        <w:rPr>
          <w:rFonts w:ascii="Book Antiqua" w:eastAsia="SimSun" w:hAnsi="Book Antiqua" w:cs="Helvetica"/>
          <w:b/>
          <w:sz w:val="24"/>
          <w:szCs w:val="24"/>
        </w:rPr>
      </w:pPr>
      <w:r w:rsidRPr="0044555F">
        <w:rPr>
          <w:rFonts w:ascii="Book Antiqua" w:eastAsia="SimSun" w:hAnsi="Book Antiqua" w:cs="Helvetica"/>
          <w:b/>
          <w:sz w:val="24"/>
          <w:szCs w:val="24"/>
        </w:rPr>
        <w:t>Peer-review report classification</w:t>
      </w:r>
    </w:p>
    <w:p w14:paraId="628E6CD9" w14:textId="71FF94CE" w:rsidR="00E9022C" w:rsidRPr="0044555F" w:rsidRDefault="00E9022C" w:rsidP="0044555F">
      <w:pPr>
        <w:snapToGrid w:val="0"/>
        <w:spacing w:after="0" w:line="360" w:lineRule="auto"/>
        <w:jc w:val="both"/>
        <w:rPr>
          <w:rFonts w:ascii="Book Antiqua" w:eastAsia="SimSun" w:hAnsi="Book Antiqua" w:cs="Helvetica"/>
          <w:sz w:val="24"/>
          <w:szCs w:val="24"/>
          <w:lang w:eastAsia="zh-CN"/>
        </w:rPr>
      </w:pPr>
      <w:r w:rsidRPr="0044555F">
        <w:rPr>
          <w:rFonts w:ascii="Book Antiqua" w:eastAsia="SimSun" w:hAnsi="Book Antiqua" w:cs="Helvetica"/>
          <w:sz w:val="24"/>
          <w:szCs w:val="24"/>
        </w:rPr>
        <w:t xml:space="preserve">Grade A (Excellent): </w:t>
      </w:r>
      <w:r w:rsidR="00857453" w:rsidRPr="0044555F">
        <w:rPr>
          <w:rFonts w:ascii="Book Antiqua" w:eastAsia="SimSun" w:hAnsi="Book Antiqua" w:cs="Helvetica"/>
          <w:sz w:val="24"/>
          <w:szCs w:val="24"/>
          <w:lang w:eastAsia="zh-CN"/>
        </w:rPr>
        <w:t>0</w:t>
      </w:r>
    </w:p>
    <w:p w14:paraId="0CF2AAA2" w14:textId="1B9741EA" w:rsidR="00E9022C" w:rsidRPr="0044555F" w:rsidRDefault="00E9022C" w:rsidP="0044555F">
      <w:pPr>
        <w:snapToGrid w:val="0"/>
        <w:spacing w:after="0" w:line="360" w:lineRule="auto"/>
        <w:jc w:val="both"/>
        <w:rPr>
          <w:rFonts w:ascii="Book Antiqua" w:eastAsia="SimSun" w:hAnsi="Book Antiqua" w:cs="Helvetica"/>
          <w:sz w:val="24"/>
          <w:szCs w:val="24"/>
          <w:lang w:eastAsia="zh-CN"/>
        </w:rPr>
      </w:pPr>
      <w:r w:rsidRPr="0044555F">
        <w:rPr>
          <w:rFonts w:ascii="Book Antiqua" w:eastAsia="SimSun" w:hAnsi="Book Antiqua" w:cs="Helvetica"/>
          <w:sz w:val="24"/>
          <w:szCs w:val="24"/>
        </w:rPr>
        <w:t xml:space="preserve">Grade B (Very good): </w:t>
      </w:r>
      <w:r w:rsidR="00857453" w:rsidRPr="0044555F">
        <w:rPr>
          <w:rFonts w:ascii="Book Antiqua" w:eastAsia="SimSun" w:hAnsi="Book Antiqua" w:cs="Helvetica"/>
          <w:sz w:val="24"/>
          <w:szCs w:val="24"/>
          <w:lang w:eastAsia="zh-CN"/>
        </w:rPr>
        <w:t>0</w:t>
      </w:r>
    </w:p>
    <w:p w14:paraId="5488CE9C" w14:textId="14C88035" w:rsidR="00E9022C" w:rsidRPr="0044555F" w:rsidRDefault="00E9022C" w:rsidP="0044555F">
      <w:pPr>
        <w:snapToGrid w:val="0"/>
        <w:spacing w:after="0" w:line="360" w:lineRule="auto"/>
        <w:jc w:val="both"/>
        <w:rPr>
          <w:rFonts w:ascii="Book Antiqua" w:eastAsia="SimSun" w:hAnsi="Book Antiqua" w:cs="Helvetica"/>
          <w:sz w:val="24"/>
          <w:szCs w:val="24"/>
          <w:lang w:eastAsia="zh-CN"/>
        </w:rPr>
      </w:pPr>
      <w:r w:rsidRPr="0044555F">
        <w:rPr>
          <w:rFonts w:ascii="Book Antiqua" w:eastAsia="SimSun" w:hAnsi="Book Antiqua" w:cs="Helvetica"/>
          <w:sz w:val="24"/>
          <w:szCs w:val="24"/>
        </w:rPr>
        <w:t>Grade C (Good): C</w:t>
      </w:r>
      <w:r w:rsidR="00857453" w:rsidRPr="0044555F">
        <w:rPr>
          <w:rFonts w:ascii="Book Antiqua" w:eastAsia="SimSun" w:hAnsi="Book Antiqua" w:cs="Helvetica"/>
          <w:sz w:val="24"/>
          <w:szCs w:val="24"/>
          <w:lang w:eastAsia="zh-CN"/>
        </w:rPr>
        <w:t>, C, C, C, C</w:t>
      </w:r>
    </w:p>
    <w:p w14:paraId="1F6B14A2" w14:textId="77777777" w:rsidR="00E9022C" w:rsidRPr="0044555F" w:rsidRDefault="00E9022C" w:rsidP="0044555F">
      <w:pPr>
        <w:snapToGrid w:val="0"/>
        <w:spacing w:after="0" w:line="360" w:lineRule="auto"/>
        <w:jc w:val="both"/>
        <w:rPr>
          <w:rFonts w:ascii="Book Antiqua" w:eastAsia="SimSun" w:hAnsi="Book Antiqua" w:cs="Helvetica"/>
          <w:sz w:val="24"/>
          <w:szCs w:val="24"/>
        </w:rPr>
      </w:pPr>
      <w:r w:rsidRPr="0044555F">
        <w:rPr>
          <w:rFonts w:ascii="Book Antiqua" w:eastAsia="SimSun" w:hAnsi="Book Antiqua" w:cs="Helvetica"/>
          <w:sz w:val="24"/>
          <w:szCs w:val="24"/>
        </w:rPr>
        <w:t xml:space="preserve">Grade D (Fair): 0 </w:t>
      </w:r>
    </w:p>
    <w:p w14:paraId="7812E7B4" w14:textId="6A035C26" w:rsidR="00E9022C" w:rsidRPr="0044555F" w:rsidRDefault="00E9022C" w:rsidP="0044555F">
      <w:pPr>
        <w:keepNext/>
        <w:keepLines/>
        <w:spacing w:after="0" w:line="360" w:lineRule="auto"/>
        <w:jc w:val="both"/>
        <w:rPr>
          <w:rFonts w:ascii="Book Antiqua" w:hAnsi="Book Antiqua" w:cs="Times New Roman"/>
          <w:sz w:val="24"/>
          <w:szCs w:val="24"/>
          <w:lang w:val="en-US" w:eastAsia="zh-CN"/>
        </w:rPr>
      </w:pPr>
      <w:r w:rsidRPr="0044555F">
        <w:rPr>
          <w:rFonts w:ascii="Book Antiqua" w:eastAsia="SimSun" w:hAnsi="Book Antiqua" w:cs="Helvetica"/>
          <w:sz w:val="24"/>
          <w:szCs w:val="24"/>
        </w:rPr>
        <w:t>Grade E (Poor): 0</w:t>
      </w:r>
    </w:p>
    <w:p w14:paraId="2F324E63" w14:textId="77777777" w:rsidR="00EB6FF0" w:rsidRPr="00E9022C" w:rsidRDefault="00EB6FF0" w:rsidP="005710FA">
      <w:pPr>
        <w:spacing w:after="0" w:line="360" w:lineRule="auto"/>
        <w:jc w:val="both"/>
        <w:rPr>
          <w:rFonts w:ascii="Book Antiqua" w:hAnsi="Book Antiqua" w:cs="Times New Roman"/>
          <w:sz w:val="24"/>
          <w:szCs w:val="24"/>
          <w:lang w:val="en-US"/>
        </w:rPr>
      </w:pPr>
      <w:r w:rsidRPr="00E9022C">
        <w:rPr>
          <w:rFonts w:ascii="Book Antiqua" w:hAnsi="Book Antiqua" w:cs="Times New Roman"/>
          <w:sz w:val="24"/>
          <w:szCs w:val="24"/>
          <w:lang w:val="en-US"/>
        </w:rPr>
        <w:br w:type="page"/>
      </w:r>
    </w:p>
    <w:p w14:paraId="50C12BC3" w14:textId="77777777" w:rsidR="00857453" w:rsidRDefault="00857453" w:rsidP="00857453">
      <w:pPr>
        <w:spacing w:after="0" w:line="360" w:lineRule="auto"/>
        <w:jc w:val="both"/>
        <w:rPr>
          <w:rFonts w:ascii="Book Antiqua" w:hAnsi="Book Antiqua" w:cs="Times New Roman"/>
          <w:b/>
          <w:sz w:val="24"/>
          <w:szCs w:val="24"/>
          <w:lang w:val="en-US" w:eastAsia="zh-CN"/>
        </w:rPr>
      </w:pPr>
      <w:r w:rsidRPr="00E9022C">
        <w:rPr>
          <w:rFonts w:ascii="Book Antiqua" w:eastAsia="Calibri" w:hAnsi="Book Antiqua" w:cs="Times New Roman"/>
          <w:noProof/>
          <w:sz w:val="24"/>
          <w:szCs w:val="24"/>
          <w:lang w:val="en-US" w:eastAsia="zh-CN"/>
        </w:rPr>
        <w:lastRenderedPageBreak/>
        <w:drawing>
          <wp:inline distT="0" distB="0" distL="0" distR="0" wp14:anchorId="5079FBB0" wp14:editId="72B97B6E">
            <wp:extent cx="2370577" cy="27432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5021"/>
                    <a:stretch/>
                  </pic:blipFill>
                  <pic:spPr bwMode="auto">
                    <a:xfrm>
                      <a:off x="0" y="0"/>
                      <a:ext cx="2383371" cy="2758005"/>
                    </a:xfrm>
                    <a:prstGeom prst="rect">
                      <a:avLst/>
                    </a:prstGeom>
                    <a:noFill/>
                    <a:ln>
                      <a:noFill/>
                    </a:ln>
                    <a:extLst>
                      <a:ext uri="{53640926-AAD7-44D8-BBD7-CCE9431645EC}">
                        <a14:shadowObscured xmlns:a14="http://schemas.microsoft.com/office/drawing/2010/main"/>
                      </a:ext>
                    </a:extLst>
                  </pic:spPr>
                </pic:pic>
              </a:graphicData>
            </a:graphic>
          </wp:inline>
        </w:drawing>
      </w:r>
    </w:p>
    <w:p w14:paraId="1EA1A0B3" w14:textId="1DB8BAF9" w:rsidR="00857453" w:rsidRDefault="00857453" w:rsidP="00857453">
      <w:pPr>
        <w:spacing w:after="0" w:line="360" w:lineRule="auto"/>
        <w:jc w:val="both"/>
        <w:rPr>
          <w:rFonts w:ascii="Book Antiqua" w:hAnsi="Book Antiqua" w:cs="Times New Roman"/>
          <w:b/>
          <w:noProof/>
          <w:sz w:val="24"/>
          <w:szCs w:val="24"/>
          <w:lang w:val="en-US" w:eastAsia="zh-CN"/>
        </w:rPr>
      </w:pPr>
      <w:r w:rsidRPr="00857453">
        <w:rPr>
          <w:rFonts w:ascii="Book Antiqua" w:eastAsia="Calibri" w:hAnsi="Book Antiqua" w:cs="Times New Roman"/>
          <w:b/>
          <w:sz w:val="24"/>
          <w:szCs w:val="24"/>
          <w:lang w:val="en-US"/>
        </w:rPr>
        <w:t xml:space="preserve">Figure 1 </w:t>
      </w:r>
      <w:r w:rsidRPr="00857453">
        <w:rPr>
          <w:rFonts w:ascii="Book Antiqua" w:eastAsia="Calibri" w:hAnsi="Book Antiqua" w:cs="Times New Roman"/>
          <w:b/>
          <w:noProof/>
          <w:sz w:val="24"/>
          <w:szCs w:val="24"/>
          <w:lang w:val="en-US"/>
        </w:rPr>
        <w:t xml:space="preserve">Abdominal X-ray 16 d after the elemental mercury ingestion showing a lot of radiopaque particles along </w:t>
      </w:r>
      <w:r w:rsidRPr="00857453">
        <w:rPr>
          <w:rFonts w:ascii="Book Antiqua" w:eastAsia="Calibri" w:hAnsi="Book Antiqua" w:cs="Times New Roman"/>
          <w:b/>
          <w:sz w:val="24"/>
          <w:szCs w:val="24"/>
          <w:lang w:val="en-US"/>
        </w:rPr>
        <w:t>gastrointestinal</w:t>
      </w:r>
      <w:r w:rsidRPr="00857453">
        <w:rPr>
          <w:rFonts w:ascii="Book Antiqua" w:eastAsia="Calibri" w:hAnsi="Book Antiqua" w:cs="Times New Roman"/>
          <w:b/>
          <w:noProof/>
          <w:sz w:val="24"/>
          <w:szCs w:val="24"/>
          <w:lang w:val="en-US"/>
        </w:rPr>
        <w:t xml:space="preserve"> tract, mostly in colon with obvious sequestration in the appendix. </w:t>
      </w:r>
    </w:p>
    <w:p w14:paraId="38ACD564" w14:textId="77777777" w:rsidR="00857453" w:rsidRPr="00857453" w:rsidRDefault="00857453" w:rsidP="00857453">
      <w:pPr>
        <w:spacing w:after="0" w:line="360" w:lineRule="auto"/>
        <w:jc w:val="both"/>
        <w:rPr>
          <w:rFonts w:ascii="Book Antiqua" w:hAnsi="Book Antiqua" w:cs="Times New Roman"/>
          <w:b/>
          <w:sz w:val="24"/>
          <w:szCs w:val="24"/>
          <w:lang w:val="en-US" w:eastAsia="zh-CN"/>
        </w:rPr>
      </w:pPr>
    </w:p>
    <w:p w14:paraId="7330388E" w14:textId="77777777" w:rsidR="00EB6FF0" w:rsidRPr="00E9022C" w:rsidRDefault="00EB6FF0" w:rsidP="005710FA">
      <w:pPr>
        <w:spacing w:after="0"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noProof/>
          <w:sz w:val="24"/>
          <w:szCs w:val="24"/>
          <w:lang w:val="en-US" w:eastAsia="zh-CN"/>
        </w:rPr>
        <w:drawing>
          <wp:inline distT="0" distB="0" distL="0" distR="0" wp14:anchorId="06D3BB3E" wp14:editId="03C2F4CC">
            <wp:extent cx="2703688" cy="3124200"/>
            <wp:effectExtent l="0" t="0" r="1905" b="0"/>
            <wp:docPr id="1" name="Slika 1" descr="C:\Users\Žan Čebron\OneDrive\Specializacija - kroženje\Abdominalna kirurgija\Zastrupitev z živim srebrom - laparoskopska apendektomija - CASE REPORT\Nova mapa (2)\ABDOMEN_6172352\242546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Žan Čebron\OneDrive\Specializacija - kroženje\Abdominalna kirurgija\Zastrupitev z živim srebrom - laparoskopska apendektomija - CASE REPORT\Nova mapa (2)\ABDOMEN_6172352\24254673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157"/>
                    <a:stretch/>
                  </pic:blipFill>
                  <pic:spPr bwMode="auto">
                    <a:xfrm>
                      <a:off x="0" y="0"/>
                      <a:ext cx="2715046" cy="3137325"/>
                    </a:xfrm>
                    <a:prstGeom prst="rect">
                      <a:avLst/>
                    </a:prstGeom>
                    <a:noFill/>
                    <a:ln>
                      <a:noFill/>
                    </a:ln>
                    <a:extLst>
                      <a:ext uri="{53640926-AAD7-44D8-BBD7-CCE9431645EC}">
                        <a14:shadowObscured xmlns:a14="http://schemas.microsoft.com/office/drawing/2010/main"/>
                      </a:ext>
                    </a:extLst>
                  </pic:spPr>
                </pic:pic>
              </a:graphicData>
            </a:graphic>
          </wp:inline>
        </w:drawing>
      </w:r>
    </w:p>
    <w:p w14:paraId="1BF69F0B" w14:textId="5C3D7196" w:rsidR="00EB6FF0" w:rsidRPr="00857453" w:rsidRDefault="00EB6FF0" w:rsidP="005710FA">
      <w:pPr>
        <w:spacing w:after="0" w:line="360" w:lineRule="auto"/>
        <w:jc w:val="both"/>
        <w:rPr>
          <w:rFonts w:ascii="Book Antiqua" w:eastAsia="Calibri" w:hAnsi="Book Antiqua" w:cs="Times New Roman"/>
          <w:b/>
          <w:i/>
          <w:sz w:val="24"/>
          <w:szCs w:val="24"/>
          <w:lang w:val="en-US"/>
        </w:rPr>
      </w:pPr>
      <w:r w:rsidRPr="00857453">
        <w:rPr>
          <w:rFonts w:ascii="Book Antiqua" w:eastAsia="Calibri" w:hAnsi="Book Antiqua" w:cs="Times New Roman"/>
          <w:b/>
          <w:sz w:val="24"/>
          <w:szCs w:val="24"/>
          <w:lang w:val="en-US"/>
        </w:rPr>
        <w:t xml:space="preserve">Figure 2 X-ray of the abdomen after several enemas showing almost no remnant of elemental mercury in </w:t>
      </w:r>
      <w:r w:rsidR="00857453" w:rsidRPr="00857453">
        <w:rPr>
          <w:rFonts w:ascii="Book Antiqua" w:eastAsia="Calibri" w:hAnsi="Book Antiqua" w:cs="Times New Roman"/>
          <w:b/>
          <w:sz w:val="24"/>
          <w:szCs w:val="24"/>
          <w:lang w:val="en-US"/>
        </w:rPr>
        <w:t>gastrointestinal</w:t>
      </w:r>
      <w:r w:rsidRPr="00857453">
        <w:rPr>
          <w:rFonts w:ascii="Book Antiqua" w:eastAsia="Calibri" w:hAnsi="Book Antiqua" w:cs="Times New Roman"/>
          <w:b/>
          <w:sz w:val="24"/>
          <w:szCs w:val="24"/>
          <w:lang w:val="en-US"/>
        </w:rPr>
        <w:t xml:space="preserve"> tract except sequestration of mercury in the appendix.</w:t>
      </w:r>
      <w:r w:rsidRPr="00857453">
        <w:rPr>
          <w:rFonts w:ascii="Book Antiqua" w:eastAsia="Calibri" w:hAnsi="Book Antiqua" w:cs="Times New Roman"/>
          <w:b/>
          <w:i/>
          <w:sz w:val="24"/>
          <w:szCs w:val="24"/>
          <w:lang w:val="en-US"/>
        </w:rPr>
        <w:br w:type="page"/>
      </w:r>
    </w:p>
    <w:p w14:paraId="75A06568" w14:textId="77777777" w:rsidR="00EB6FF0" w:rsidRPr="00E9022C" w:rsidRDefault="00EB6FF0" w:rsidP="005710FA">
      <w:pPr>
        <w:spacing w:after="0" w:line="360" w:lineRule="auto"/>
        <w:jc w:val="both"/>
        <w:rPr>
          <w:rFonts w:ascii="Book Antiqua" w:eastAsia="Calibri" w:hAnsi="Book Antiqua" w:cs="Times New Roman"/>
          <w:b/>
          <w:i/>
          <w:sz w:val="24"/>
          <w:szCs w:val="24"/>
          <w:lang w:val="en-US"/>
        </w:rPr>
      </w:pP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5559"/>
      </w:tblGrid>
      <w:tr w:rsidR="005710FA" w:rsidRPr="00E9022C" w14:paraId="30DC8BF6" w14:textId="77777777" w:rsidTr="00857453">
        <w:tc>
          <w:tcPr>
            <w:tcW w:w="3595" w:type="dxa"/>
          </w:tcPr>
          <w:p w14:paraId="255F335B" w14:textId="77777777" w:rsidR="00EB6FF0" w:rsidRPr="00E9022C" w:rsidRDefault="00EB6FF0" w:rsidP="005710FA">
            <w:pPr>
              <w:spacing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noProof/>
                <w:sz w:val="24"/>
                <w:szCs w:val="24"/>
                <w:lang w:val="en-US" w:eastAsia="zh-CN"/>
              </w:rPr>
              <w:drawing>
                <wp:inline distT="0" distB="0" distL="0" distR="0" wp14:anchorId="7E688C45" wp14:editId="0BDA3D76">
                  <wp:extent cx="2930207" cy="2197655"/>
                  <wp:effectExtent l="4445" t="0" r="8255" b="8255"/>
                  <wp:docPr id="9" name="Slika 9" descr="C:\Users\Žan Čebron\OneDrive\Specializacija - kroženje\Abdominalna kirurgija\Zastrupitev z živim srebrom - laparoskopska apendektomija - CASE REPORT\Slike\20181108_154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Žan Čebron\OneDrive\Specializacija - kroženje\Abdominalna kirurgija\Zastrupitev z živim srebrom - laparoskopska apendektomija - CASE REPORT\Slike\20181108_1547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938213" cy="2203660"/>
                          </a:xfrm>
                          <a:prstGeom prst="rect">
                            <a:avLst/>
                          </a:prstGeom>
                          <a:noFill/>
                          <a:ln>
                            <a:noFill/>
                          </a:ln>
                        </pic:spPr>
                      </pic:pic>
                    </a:graphicData>
                  </a:graphic>
                </wp:inline>
              </w:drawing>
            </w:r>
          </w:p>
          <w:p w14:paraId="5041E52D" w14:textId="77777777" w:rsidR="00EB6FF0" w:rsidRPr="00E9022C" w:rsidRDefault="00EB6FF0" w:rsidP="005710FA">
            <w:pPr>
              <w:spacing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A</w:t>
            </w:r>
          </w:p>
        </w:tc>
        <w:tc>
          <w:tcPr>
            <w:tcW w:w="5693" w:type="dxa"/>
          </w:tcPr>
          <w:p w14:paraId="0B01D541" w14:textId="77777777" w:rsidR="00EB6FF0" w:rsidRPr="00E9022C" w:rsidRDefault="00EB6FF0" w:rsidP="005710FA">
            <w:pPr>
              <w:spacing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noProof/>
                <w:sz w:val="24"/>
                <w:szCs w:val="24"/>
                <w:lang w:val="en-US" w:eastAsia="zh-CN"/>
              </w:rPr>
              <w:drawing>
                <wp:inline distT="0" distB="0" distL="0" distR="0" wp14:anchorId="4E749E39" wp14:editId="6AE6E00C">
                  <wp:extent cx="3579495" cy="2934654"/>
                  <wp:effectExtent l="0" t="0" r="1905" b="0"/>
                  <wp:docPr id="10" name="Slika 10" descr="C:\Users\Žan Čebron\OneDrive\Specializacija - kroženje\Abdominalna kirurgija\Zastrupitev z živim srebrom - laparoskopska apendektomija - CASE REPORT\Slike\20181108_154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Žan Čebron\OneDrive\Specializacija - kroženje\Abdominalna kirurgija\Zastrupitev z živim srebrom - laparoskopska apendektomija - CASE REPORT\Slike\20181108_15480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377" t="7495"/>
                          <a:stretch/>
                        </pic:blipFill>
                        <pic:spPr bwMode="auto">
                          <a:xfrm>
                            <a:off x="0" y="0"/>
                            <a:ext cx="3581093" cy="2935964"/>
                          </a:xfrm>
                          <a:prstGeom prst="rect">
                            <a:avLst/>
                          </a:prstGeom>
                          <a:noFill/>
                          <a:ln>
                            <a:noFill/>
                          </a:ln>
                          <a:extLst>
                            <a:ext uri="{53640926-AAD7-44D8-BBD7-CCE9431645EC}">
                              <a14:shadowObscured xmlns:a14="http://schemas.microsoft.com/office/drawing/2010/main"/>
                            </a:ext>
                          </a:extLst>
                        </pic:spPr>
                      </pic:pic>
                    </a:graphicData>
                  </a:graphic>
                </wp:inline>
              </w:drawing>
            </w:r>
          </w:p>
          <w:p w14:paraId="605ED349" w14:textId="77777777" w:rsidR="00EB6FF0" w:rsidRPr="00E9022C" w:rsidRDefault="00EB6FF0" w:rsidP="005710FA">
            <w:pPr>
              <w:spacing w:line="360" w:lineRule="auto"/>
              <w:jc w:val="both"/>
              <w:rPr>
                <w:rFonts w:ascii="Book Antiqua" w:eastAsia="Calibri" w:hAnsi="Book Antiqua" w:cs="Times New Roman"/>
                <w:sz w:val="24"/>
                <w:szCs w:val="24"/>
                <w:lang w:val="en-US"/>
              </w:rPr>
            </w:pPr>
            <w:r w:rsidRPr="00E9022C">
              <w:rPr>
                <w:rFonts w:ascii="Book Antiqua" w:eastAsia="Calibri" w:hAnsi="Book Antiqua" w:cs="Times New Roman"/>
                <w:sz w:val="24"/>
                <w:szCs w:val="24"/>
                <w:lang w:val="en-US"/>
              </w:rPr>
              <w:t>B</w:t>
            </w:r>
          </w:p>
        </w:tc>
      </w:tr>
    </w:tbl>
    <w:p w14:paraId="607386CD" w14:textId="25B96D4D" w:rsidR="00EB6FF0" w:rsidRPr="00E9022C" w:rsidRDefault="00857453" w:rsidP="005710FA">
      <w:pPr>
        <w:spacing w:after="0" w:line="360" w:lineRule="auto"/>
        <w:jc w:val="both"/>
        <w:rPr>
          <w:rFonts w:ascii="Book Antiqua" w:hAnsi="Book Antiqua" w:cs="Times New Roman"/>
          <w:sz w:val="24"/>
          <w:szCs w:val="24"/>
          <w:lang w:val="en-US"/>
        </w:rPr>
      </w:pPr>
      <w:r w:rsidRPr="00857453">
        <w:rPr>
          <w:rFonts w:ascii="Book Antiqua" w:eastAsia="Calibri" w:hAnsi="Book Antiqua" w:cs="Times New Roman"/>
          <w:b/>
          <w:sz w:val="24"/>
          <w:szCs w:val="24"/>
          <w:lang w:val="en-US"/>
        </w:rPr>
        <w:t>Figure 3 Specimen of the appendix after laparoscopic appendectomy.</w:t>
      </w:r>
      <w:r w:rsidRPr="00E9022C">
        <w:rPr>
          <w:rFonts w:ascii="Book Antiqua" w:eastAsia="Calibri" w:hAnsi="Book Antiqua" w:cs="Times New Roman"/>
          <w:sz w:val="24"/>
          <w:szCs w:val="24"/>
          <w:lang w:val="en-US"/>
        </w:rPr>
        <w:t xml:space="preserve"> A</w:t>
      </w:r>
      <w:r>
        <w:rPr>
          <w:rFonts w:ascii="Book Antiqua" w:hAnsi="Book Antiqua" w:cs="Times New Roman" w:hint="eastAsia"/>
          <w:sz w:val="24"/>
          <w:szCs w:val="24"/>
          <w:lang w:val="en-US" w:eastAsia="zh-CN"/>
        </w:rPr>
        <w:t>:</w:t>
      </w:r>
      <w:r w:rsidRPr="00E9022C">
        <w:rPr>
          <w:rFonts w:ascii="Book Antiqua" w:eastAsia="Calibri" w:hAnsi="Book Antiqua" w:cs="Times New Roman"/>
          <w:sz w:val="24"/>
          <w:szCs w:val="24"/>
          <w:lang w:val="en-US"/>
        </w:rPr>
        <w:t xml:space="preserve"> Intact specimen</w:t>
      </w:r>
      <w:r>
        <w:rPr>
          <w:rFonts w:ascii="Book Antiqua" w:hAnsi="Book Antiqua" w:cs="Times New Roman" w:hint="eastAsia"/>
          <w:sz w:val="24"/>
          <w:szCs w:val="24"/>
          <w:lang w:val="en-US" w:eastAsia="zh-CN"/>
        </w:rPr>
        <w:t>;</w:t>
      </w:r>
      <w:r w:rsidRPr="00E9022C">
        <w:rPr>
          <w:rFonts w:ascii="Book Antiqua" w:eastAsia="Calibri" w:hAnsi="Book Antiqua" w:cs="Times New Roman"/>
          <w:sz w:val="24"/>
          <w:szCs w:val="24"/>
          <w:lang w:val="en-US"/>
        </w:rPr>
        <w:t xml:space="preserve"> B</w:t>
      </w:r>
      <w:r>
        <w:rPr>
          <w:rFonts w:ascii="Book Antiqua" w:hAnsi="Book Antiqua" w:cs="Times New Roman" w:hint="eastAsia"/>
          <w:sz w:val="24"/>
          <w:szCs w:val="24"/>
          <w:lang w:val="en-US" w:eastAsia="zh-CN"/>
        </w:rPr>
        <w:t xml:space="preserve">: </w:t>
      </w:r>
      <w:r w:rsidRPr="00E9022C">
        <w:rPr>
          <w:rFonts w:ascii="Book Antiqua" w:eastAsia="Calibri" w:hAnsi="Book Antiqua" w:cs="Times New Roman"/>
          <w:sz w:val="24"/>
          <w:szCs w:val="24"/>
          <w:lang w:val="en-US"/>
        </w:rPr>
        <w:t>After the incision elemental mercury showed and spilled out of the lumen of the appendix.</w:t>
      </w:r>
    </w:p>
    <w:sectPr w:rsidR="00EB6FF0" w:rsidRPr="00E9022C" w:rsidSect="00EF659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BB40" w14:textId="77777777" w:rsidR="00111A8E" w:rsidRDefault="00111A8E" w:rsidP="00555A6F">
      <w:pPr>
        <w:spacing w:after="0" w:line="240" w:lineRule="auto"/>
      </w:pPr>
      <w:r>
        <w:separator/>
      </w:r>
    </w:p>
  </w:endnote>
  <w:endnote w:type="continuationSeparator" w:id="0">
    <w:p w14:paraId="77A837BD" w14:textId="77777777" w:rsidR="00111A8E" w:rsidRDefault="00111A8E" w:rsidP="005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075055045"/>
      <w:docPartObj>
        <w:docPartGallery w:val="Page Numbers (Bottom of Page)"/>
        <w:docPartUnique/>
      </w:docPartObj>
    </w:sdtPr>
    <w:sdtEndPr>
      <w:rPr>
        <w:i w:val="0"/>
        <w:sz w:val="22"/>
      </w:rPr>
    </w:sdtEndPr>
    <w:sdtContent>
      <w:p w14:paraId="5A25E1D7" w14:textId="6AC5A44E" w:rsidR="00650FEB" w:rsidRPr="006A3068" w:rsidRDefault="00650FEB">
        <w:pPr>
          <w:pStyle w:val="Footer"/>
          <w:jc w:val="center"/>
          <w:rPr>
            <w:i/>
            <w:sz w:val="18"/>
          </w:rPr>
        </w:pPr>
      </w:p>
      <w:p w14:paraId="7A55EB7D" w14:textId="27A2B121" w:rsidR="00650FEB" w:rsidRDefault="00650FEB">
        <w:pPr>
          <w:pStyle w:val="Footer"/>
          <w:jc w:val="center"/>
        </w:pPr>
        <w:r>
          <w:fldChar w:fldCharType="begin"/>
        </w:r>
        <w:r>
          <w:instrText>PAGE   \* MERGEFORMAT</w:instrText>
        </w:r>
        <w:r>
          <w:fldChar w:fldCharType="separate"/>
        </w:r>
        <w:r w:rsidR="008F2DB5">
          <w:rPr>
            <w:noProof/>
          </w:rPr>
          <w:t>13</w:t>
        </w:r>
        <w:r>
          <w:fldChar w:fldCharType="end"/>
        </w:r>
      </w:p>
    </w:sdtContent>
  </w:sdt>
  <w:p w14:paraId="4D381A50" w14:textId="77777777" w:rsidR="00650FEB" w:rsidRDefault="0065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C4374" w14:textId="77777777" w:rsidR="00111A8E" w:rsidRDefault="00111A8E" w:rsidP="00555A6F">
      <w:pPr>
        <w:spacing w:after="0" w:line="240" w:lineRule="auto"/>
      </w:pPr>
      <w:r>
        <w:separator/>
      </w:r>
    </w:p>
  </w:footnote>
  <w:footnote w:type="continuationSeparator" w:id="0">
    <w:p w14:paraId="671290D6" w14:textId="77777777" w:rsidR="00111A8E" w:rsidRDefault="00111A8E" w:rsidP="00555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F0"/>
    <w:rsid w:val="00001099"/>
    <w:rsid w:val="000B570E"/>
    <w:rsid w:val="000C2D0A"/>
    <w:rsid w:val="000C733E"/>
    <w:rsid w:val="00111A8E"/>
    <w:rsid w:val="001268CC"/>
    <w:rsid w:val="00150459"/>
    <w:rsid w:val="00151B74"/>
    <w:rsid w:val="00175FB9"/>
    <w:rsid w:val="001955ED"/>
    <w:rsid w:val="001B62B0"/>
    <w:rsid w:val="002364F5"/>
    <w:rsid w:val="00271F7E"/>
    <w:rsid w:val="00282181"/>
    <w:rsid w:val="002E2BF5"/>
    <w:rsid w:val="002F798F"/>
    <w:rsid w:val="003A1A45"/>
    <w:rsid w:val="003B584E"/>
    <w:rsid w:val="00427121"/>
    <w:rsid w:val="004321F2"/>
    <w:rsid w:val="00433ADD"/>
    <w:rsid w:val="0044555F"/>
    <w:rsid w:val="00450008"/>
    <w:rsid w:val="00474516"/>
    <w:rsid w:val="004805E8"/>
    <w:rsid w:val="004A2336"/>
    <w:rsid w:val="004F0987"/>
    <w:rsid w:val="00555A6F"/>
    <w:rsid w:val="005710FA"/>
    <w:rsid w:val="005817ED"/>
    <w:rsid w:val="00611D70"/>
    <w:rsid w:val="00650FEB"/>
    <w:rsid w:val="00651B85"/>
    <w:rsid w:val="006726E9"/>
    <w:rsid w:val="006A3068"/>
    <w:rsid w:val="006B2B39"/>
    <w:rsid w:val="00775C39"/>
    <w:rsid w:val="00807B5F"/>
    <w:rsid w:val="00857453"/>
    <w:rsid w:val="00860DDB"/>
    <w:rsid w:val="008A2ADA"/>
    <w:rsid w:val="008C0DDD"/>
    <w:rsid w:val="008E6196"/>
    <w:rsid w:val="008F2DB5"/>
    <w:rsid w:val="00976C1D"/>
    <w:rsid w:val="009A52B2"/>
    <w:rsid w:val="009B6CE8"/>
    <w:rsid w:val="009B736B"/>
    <w:rsid w:val="00A22F22"/>
    <w:rsid w:val="00A5291A"/>
    <w:rsid w:val="00A7759A"/>
    <w:rsid w:val="00A921D5"/>
    <w:rsid w:val="00B11DFE"/>
    <w:rsid w:val="00B47FE0"/>
    <w:rsid w:val="00B52DEC"/>
    <w:rsid w:val="00BC3439"/>
    <w:rsid w:val="00C01B87"/>
    <w:rsid w:val="00C139C2"/>
    <w:rsid w:val="00C6339A"/>
    <w:rsid w:val="00CA6CC9"/>
    <w:rsid w:val="00CB4322"/>
    <w:rsid w:val="00D403D6"/>
    <w:rsid w:val="00D7428D"/>
    <w:rsid w:val="00D74817"/>
    <w:rsid w:val="00D97063"/>
    <w:rsid w:val="00DC354E"/>
    <w:rsid w:val="00E30057"/>
    <w:rsid w:val="00E44CA5"/>
    <w:rsid w:val="00E74798"/>
    <w:rsid w:val="00E9022C"/>
    <w:rsid w:val="00EB6FF0"/>
    <w:rsid w:val="00EF6598"/>
    <w:rsid w:val="00F453FE"/>
    <w:rsid w:val="00FB3DD1"/>
    <w:rsid w:val="00FD2239"/>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E659"/>
  <w15:docId w15:val="{2DB4ED1C-E27C-43E8-B02C-73C9C940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mrea1">
    <w:name w:val="Tabela – mreža1"/>
    <w:basedOn w:val="TableNormal"/>
    <w:next w:val="TableGrid"/>
    <w:uiPriority w:val="39"/>
    <w:rsid w:val="00EB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5A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5A6F"/>
  </w:style>
  <w:style w:type="paragraph" w:styleId="Footer">
    <w:name w:val="footer"/>
    <w:basedOn w:val="Normal"/>
    <w:link w:val="FooterChar"/>
    <w:uiPriority w:val="99"/>
    <w:unhideWhenUsed/>
    <w:rsid w:val="00555A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5A6F"/>
  </w:style>
  <w:style w:type="character" w:styleId="LineNumber">
    <w:name w:val="line number"/>
    <w:basedOn w:val="DefaultParagraphFont"/>
    <w:uiPriority w:val="99"/>
    <w:semiHidden/>
    <w:unhideWhenUsed/>
    <w:rsid w:val="00E74798"/>
  </w:style>
  <w:style w:type="paragraph" w:styleId="BalloonText">
    <w:name w:val="Balloon Text"/>
    <w:basedOn w:val="Normal"/>
    <w:link w:val="BalloonTextChar"/>
    <w:uiPriority w:val="99"/>
    <w:semiHidden/>
    <w:unhideWhenUsed/>
    <w:rsid w:val="004F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87"/>
    <w:rPr>
      <w:rFonts w:ascii="Segoe UI" w:hAnsi="Segoe UI" w:cs="Segoe UI"/>
      <w:sz w:val="18"/>
      <w:szCs w:val="18"/>
    </w:rPr>
  </w:style>
  <w:style w:type="character" w:styleId="CommentReference">
    <w:name w:val="annotation reference"/>
    <w:basedOn w:val="DefaultParagraphFont"/>
    <w:uiPriority w:val="99"/>
    <w:semiHidden/>
    <w:unhideWhenUsed/>
    <w:rsid w:val="00271F7E"/>
    <w:rPr>
      <w:sz w:val="21"/>
      <w:szCs w:val="21"/>
    </w:rPr>
  </w:style>
  <w:style w:type="paragraph" w:styleId="CommentText">
    <w:name w:val="annotation text"/>
    <w:basedOn w:val="Normal"/>
    <w:link w:val="CommentTextChar"/>
    <w:uiPriority w:val="99"/>
    <w:unhideWhenUsed/>
    <w:rsid w:val="00271F7E"/>
  </w:style>
  <w:style w:type="character" w:customStyle="1" w:styleId="CommentTextChar">
    <w:name w:val="Comment Text Char"/>
    <w:basedOn w:val="DefaultParagraphFont"/>
    <w:link w:val="CommentText"/>
    <w:uiPriority w:val="99"/>
    <w:rsid w:val="00271F7E"/>
  </w:style>
  <w:style w:type="paragraph" w:styleId="CommentSubject">
    <w:name w:val="annotation subject"/>
    <w:basedOn w:val="CommentText"/>
    <w:next w:val="CommentText"/>
    <w:link w:val="CommentSubjectChar"/>
    <w:uiPriority w:val="99"/>
    <w:semiHidden/>
    <w:unhideWhenUsed/>
    <w:rsid w:val="00271F7E"/>
    <w:rPr>
      <w:b/>
      <w:bCs/>
    </w:rPr>
  </w:style>
  <w:style w:type="character" w:customStyle="1" w:styleId="CommentSubjectChar">
    <w:name w:val="Comment Subject Char"/>
    <w:basedOn w:val="CommentTextChar"/>
    <w:link w:val="CommentSubject"/>
    <w:uiPriority w:val="99"/>
    <w:semiHidden/>
    <w:rsid w:val="00271F7E"/>
    <w:rPr>
      <w:b/>
      <w:bCs/>
    </w:rPr>
  </w:style>
  <w:style w:type="character" w:styleId="Hyperlink">
    <w:name w:val="Hyperlink"/>
    <w:basedOn w:val="DefaultParagraphFont"/>
    <w:uiPriority w:val="99"/>
    <w:unhideWhenUsed/>
    <w:rsid w:val="00271F7E"/>
    <w:rPr>
      <w:color w:val="0563C1" w:themeColor="hyperlink"/>
      <w:u w:val="single"/>
    </w:rPr>
  </w:style>
  <w:style w:type="character" w:styleId="FollowedHyperlink">
    <w:name w:val="FollowedHyperlink"/>
    <w:basedOn w:val="DefaultParagraphFont"/>
    <w:uiPriority w:val="99"/>
    <w:semiHidden/>
    <w:unhideWhenUsed/>
    <w:rsid w:val="00151B74"/>
    <w:rPr>
      <w:color w:val="954F72" w:themeColor="followedHyperlink"/>
      <w:u w:val="single"/>
    </w:rPr>
  </w:style>
  <w:style w:type="paragraph" w:styleId="PlainText">
    <w:name w:val="Plain Text"/>
    <w:basedOn w:val="Normal"/>
    <w:link w:val="PlainTextChar"/>
    <w:rsid w:val="00E9022C"/>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E9022C"/>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1651">
      <w:bodyDiv w:val="1"/>
      <w:marLeft w:val="0"/>
      <w:marRight w:val="0"/>
      <w:marTop w:val="0"/>
      <w:marBottom w:val="0"/>
      <w:divBdr>
        <w:top w:val="none" w:sz="0" w:space="0" w:color="auto"/>
        <w:left w:val="none" w:sz="0" w:space="0" w:color="auto"/>
        <w:bottom w:val="none" w:sz="0" w:space="0" w:color="auto"/>
        <w:right w:val="none" w:sz="0" w:space="0" w:color="auto"/>
      </w:divBdr>
    </w:div>
    <w:div w:id="1972007257">
      <w:bodyDiv w:val="1"/>
      <w:marLeft w:val="0"/>
      <w:marRight w:val="0"/>
      <w:marTop w:val="0"/>
      <w:marBottom w:val="0"/>
      <w:divBdr>
        <w:top w:val="none" w:sz="0" w:space="0" w:color="auto"/>
        <w:left w:val="none" w:sz="0" w:space="0" w:color="auto"/>
        <w:bottom w:val="none" w:sz="0" w:space="0" w:color="auto"/>
        <w:right w:val="none" w:sz="0" w:space="0" w:color="auto"/>
      </w:divBdr>
    </w:div>
    <w:div w:id="2081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4A0AE5-7F89-4013-B70C-6C1DE1B4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11606</Words>
  <Characters>66159</Characters>
  <Application>Microsoft Office Word</Application>
  <DocSecurity>0</DocSecurity>
  <Lines>551</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 Čebron</dc:creator>
  <cp:keywords/>
  <dc:description/>
  <cp:lastModifiedBy>Lian-Sheng Ma</cp:lastModifiedBy>
  <cp:revision>2</cp:revision>
  <cp:lastPrinted>2019-01-07T15:54:00Z</cp:lastPrinted>
  <dcterms:created xsi:type="dcterms:W3CDTF">2019-02-18T22:01:00Z</dcterms:created>
  <dcterms:modified xsi:type="dcterms:W3CDTF">2019-02-18T22:01:00Z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b4724b4a-4b24-358a-8bfe-5b9057fa11fc</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