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B0265" w14:textId="77777777" w:rsidR="0057635C" w:rsidRPr="00D20711" w:rsidRDefault="0057635C" w:rsidP="004634F7">
      <w:pPr>
        <w:spacing w:line="360" w:lineRule="auto"/>
        <w:rPr>
          <w:rFonts w:ascii="Book Antiqua" w:eastAsia="Calibri" w:hAnsi="Book Antiqua"/>
          <w:b/>
          <w:sz w:val="24"/>
          <w:szCs w:val="24"/>
        </w:rPr>
      </w:pPr>
      <w:bookmarkStart w:id="0" w:name="OLE_LINK28"/>
      <w:bookmarkStart w:id="1" w:name="OLE_LINK27"/>
      <w:bookmarkStart w:id="2" w:name="OLE_LINK20"/>
      <w:bookmarkStart w:id="3" w:name="OLE_LINK19"/>
      <w:bookmarkStart w:id="4" w:name="OLE_LINK18"/>
      <w:r w:rsidRPr="00D20711">
        <w:rPr>
          <w:rFonts w:ascii="Book Antiqua" w:eastAsia="Calibri" w:hAnsi="Book Antiqua"/>
          <w:b/>
          <w:sz w:val="24"/>
          <w:szCs w:val="24"/>
        </w:rPr>
        <w:t xml:space="preserve">Name of Journal: </w:t>
      </w:r>
      <w:r w:rsidRPr="00240243">
        <w:rPr>
          <w:rFonts w:ascii="Book Antiqua" w:eastAsia="Calibri" w:hAnsi="Book Antiqua"/>
          <w:i/>
          <w:sz w:val="24"/>
          <w:szCs w:val="24"/>
        </w:rPr>
        <w:t>World Journal of Clinical Cases</w:t>
      </w:r>
    </w:p>
    <w:p w14:paraId="6B97C6B6" w14:textId="182CE51C" w:rsidR="0057635C" w:rsidRPr="00D20711" w:rsidRDefault="0057635C" w:rsidP="004634F7">
      <w:pPr>
        <w:spacing w:line="360" w:lineRule="auto"/>
        <w:rPr>
          <w:rFonts w:ascii="Book Antiqua" w:eastAsiaTheme="minorEastAsia" w:hAnsi="Book Antiqua"/>
          <w:b/>
          <w:sz w:val="24"/>
          <w:szCs w:val="24"/>
        </w:rPr>
      </w:pPr>
      <w:r w:rsidRPr="00D20711">
        <w:rPr>
          <w:rFonts w:ascii="Book Antiqua" w:eastAsia="Calibri" w:hAnsi="Book Antiqua"/>
          <w:b/>
          <w:sz w:val="24"/>
          <w:szCs w:val="24"/>
        </w:rPr>
        <w:t xml:space="preserve">Manuscript NO: </w:t>
      </w:r>
      <w:r w:rsidRPr="00240243">
        <w:rPr>
          <w:rFonts w:ascii="Book Antiqua" w:eastAsia="Calibri" w:hAnsi="Book Antiqua"/>
          <w:sz w:val="24"/>
          <w:szCs w:val="24"/>
        </w:rPr>
        <w:t>45</w:t>
      </w:r>
      <w:r w:rsidRPr="00240243">
        <w:rPr>
          <w:rFonts w:ascii="Book Antiqua" w:eastAsiaTheme="minorEastAsia" w:hAnsi="Book Antiqua"/>
          <w:sz w:val="24"/>
          <w:szCs w:val="24"/>
        </w:rPr>
        <w:t>618</w:t>
      </w:r>
    </w:p>
    <w:p w14:paraId="38AF3525" w14:textId="77777777" w:rsidR="0057635C" w:rsidRPr="00D20711" w:rsidRDefault="0057635C" w:rsidP="004634F7">
      <w:pPr>
        <w:spacing w:line="360" w:lineRule="auto"/>
        <w:rPr>
          <w:rFonts w:ascii="Book Antiqua" w:eastAsia="Calibri" w:hAnsi="Book Antiqua"/>
          <w:b/>
          <w:sz w:val="24"/>
          <w:szCs w:val="24"/>
        </w:rPr>
      </w:pPr>
      <w:r w:rsidRPr="00D20711">
        <w:rPr>
          <w:rFonts w:ascii="Book Antiqua" w:eastAsia="Calibri" w:hAnsi="Book Antiqua"/>
          <w:b/>
          <w:sz w:val="24"/>
          <w:szCs w:val="24"/>
        </w:rPr>
        <w:t xml:space="preserve">Manuscript Type: </w:t>
      </w:r>
      <w:r w:rsidRPr="00240243">
        <w:rPr>
          <w:rFonts w:ascii="Book Antiqua" w:eastAsia="Calibri" w:hAnsi="Book Antiqua"/>
          <w:sz w:val="24"/>
          <w:szCs w:val="24"/>
        </w:rPr>
        <w:t>CASE REPORT</w:t>
      </w:r>
    </w:p>
    <w:p w14:paraId="113F77CC" w14:textId="77777777" w:rsidR="0057635C" w:rsidRPr="00D20711" w:rsidRDefault="0057635C" w:rsidP="004634F7">
      <w:pPr>
        <w:spacing w:line="360" w:lineRule="auto"/>
        <w:rPr>
          <w:rFonts w:ascii="Book Antiqua" w:hAnsi="Book Antiqua"/>
          <w:b/>
          <w:kern w:val="0"/>
          <w:sz w:val="24"/>
          <w:szCs w:val="24"/>
        </w:rPr>
      </w:pPr>
    </w:p>
    <w:p w14:paraId="3CF16660" w14:textId="313DA4B3" w:rsidR="001B3AE7" w:rsidRPr="00D20711" w:rsidRDefault="0057635C" w:rsidP="004634F7">
      <w:pPr>
        <w:spacing w:line="360" w:lineRule="auto"/>
        <w:rPr>
          <w:rFonts w:ascii="Book Antiqua" w:hAnsi="Book Antiqua"/>
          <w:b/>
          <w:sz w:val="24"/>
          <w:szCs w:val="24"/>
        </w:rPr>
      </w:pPr>
      <w:r w:rsidRPr="00D20711">
        <w:rPr>
          <w:rFonts w:ascii="Book Antiqua" w:hAnsi="Book Antiqua"/>
          <w:b/>
          <w:kern w:val="0"/>
          <w:sz w:val="24"/>
          <w:szCs w:val="24"/>
          <w:lang w:val="en-GB"/>
        </w:rPr>
        <w:t xml:space="preserve">Rare </w:t>
      </w:r>
      <w:r w:rsidR="004E0719" w:rsidRPr="00D20711">
        <w:rPr>
          <w:rFonts w:ascii="Book Antiqua" w:hAnsi="Book Antiqua"/>
          <w:b/>
          <w:kern w:val="0"/>
          <w:sz w:val="24"/>
          <w:szCs w:val="24"/>
          <w:lang w:val="en-GB"/>
        </w:rPr>
        <w:t>empty sella syndrome</w:t>
      </w:r>
      <w:bookmarkEnd w:id="0"/>
      <w:bookmarkEnd w:id="1"/>
      <w:r w:rsidR="004E0719" w:rsidRPr="00D20711">
        <w:rPr>
          <w:rFonts w:ascii="Book Antiqua" w:hAnsi="Book Antiqua"/>
          <w:b/>
          <w:sz w:val="24"/>
          <w:szCs w:val="24"/>
          <w:lang w:val="en-GB"/>
        </w:rPr>
        <w:t xml:space="preserve"> found after postoperative hypotension and respiratory failure: </w:t>
      </w:r>
      <w:r w:rsidRPr="00D20711">
        <w:rPr>
          <w:rFonts w:ascii="Book Antiqua" w:hAnsi="Book Antiqua"/>
          <w:b/>
          <w:sz w:val="24"/>
          <w:szCs w:val="24"/>
        </w:rPr>
        <w:t>A case report</w:t>
      </w:r>
    </w:p>
    <w:p w14:paraId="59EE06CD" w14:textId="77777777" w:rsidR="007924AD" w:rsidRPr="00D20711" w:rsidRDefault="007924AD" w:rsidP="004634F7">
      <w:pPr>
        <w:spacing w:line="360" w:lineRule="auto"/>
        <w:rPr>
          <w:rFonts w:ascii="Book Antiqua" w:hAnsi="Book Antiqua"/>
          <w:b/>
          <w:sz w:val="24"/>
          <w:szCs w:val="24"/>
        </w:rPr>
      </w:pPr>
    </w:p>
    <w:p w14:paraId="5F8509AA" w14:textId="25376A19" w:rsidR="00801FC4" w:rsidRPr="00D20711" w:rsidRDefault="007924AD" w:rsidP="004634F7">
      <w:pPr>
        <w:spacing w:line="360" w:lineRule="auto"/>
        <w:rPr>
          <w:rFonts w:ascii="Book Antiqua" w:hAnsi="Book Antiqua"/>
          <w:kern w:val="0"/>
          <w:sz w:val="24"/>
          <w:szCs w:val="24"/>
          <w:lang w:val="en-GB"/>
        </w:rPr>
      </w:pPr>
      <w:r w:rsidRPr="00D20711">
        <w:rPr>
          <w:rFonts w:ascii="Book Antiqua" w:eastAsiaTheme="minorEastAsia" w:hAnsi="Book Antiqua"/>
          <w:sz w:val="24"/>
          <w:szCs w:val="24"/>
        </w:rPr>
        <w:t xml:space="preserve">Guo P </w:t>
      </w:r>
      <w:r w:rsidRPr="00D20711">
        <w:rPr>
          <w:rFonts w:ascii="Book Antiqua" w:eastAsiaTheme="minorEastAsia" w:hAnsi="Book Antiqua"/>
          <w:i/>
          <w:sz w:val="24"/>
          <w:szCs w:val="24"/>
        </w:rPr>
        <w:t>et al.</w:t>
      </w:r>
      <w:r w:rsidRPr="00D20711">
        <w:rPr>
          <w:rFonts w:ascii="Book Antiqua" w:hAnsi="Book Antiqua"/>
          <w:kern w:val="0"/>
          <w:sz w:val="24"/>
          <w:szCs w:val="24"/>
          <w:lang w:val="en-GB"/>
        </w:rPr>
        <w:t xml:space="preserve"> A case of empty sella syndrome</w:t>
      </w:r>
    </w:p>
    <w:p w14:paraId="1B87D422" w14:textId="77777777" w:rsidR="007924AD" w:rsidRPr="00D20711" w:rsidRDefault="007924AD" w:rsidP="004634F7">
      <w:pPr>
        <w:spacing w:line="360" w:lineRule="auto"/>
        <w:rPr>
          <w:rFonts w:ascii="Book Antiqua" w:hAnsi="Book Antiqua"/>
          <w:b/>
          <w:i/>
          <w:sz w:val="24"/>
          <w:szCs w:val="24"/>
          <w:lang w:val="en-GB"/>
        </w:rPr>
      </w:pPr>
    </w:p>
    <w:p w14:paraId="203C227C" w14:textId="58CE097B" w:rsidR="00801FC4" w:rsidRPr="00D20711" w:rsidRDefault="00801FC4" w:rsidP="004634F7">
      <w:pPr>
        <w:spacing w:line="360" w:lineRule="auto"/>
        <w:rPr>
          <w:rFonts w:ascii="Book Antiqua" w:eastAsiaTheme="minorEastAsia" w:hAnsi="Book Antiqua"/>
          <w:sz w:val="24"/>
          <w:szCs w:val="24"/>
          <w:vertAlign w:val="superscript"/>
        </w:rPr>
      </w:pPr>
      <w:r w:rsidRPr="00D20711">
        <w:rPr>
          <w:rFonts w:ascii="Book Antiqua" w:eastAsiaTheme="minorEastAsia" w:hAnsi="Book Antiqua"/>
          <w:sz w:val="24"/>
          <w:szCs w:val="24"/>
        </w:rPr>
        <w:t>Peng Guo, Zheng-Jun Xu, Chang-En Hu, Yue-Ying Zheng, Dan-Feng</w:t>
      </w:r>
      <w:r w:rsidRPr="00D20711">
        <w:rPr>
          <w:rFonts w:ascii="Book Antiqua" w:eastAsiaTheme="minorEastAsia" w:hAnsi="Book Antiqua"/>
          <w:sz w:val="24"/>
          <w:szCs w:val="24"/>
          <w:vertAlign w:val="superscript"/>
        </w:rPr>
        <w:t xml:space="preserve"> </w:t>
      </w:r>
      <w:r w:rsidRPr="00D20711">
        <w:rPr>
          <w:rFonts w:ascii="Book Antiqua" w:eastAsiaTheme="minorEastAsia" w:hAnsi="Book Antiqua"/>
          <w:sz w:val="24"/>
          <w:szCs w:val="24"/>
        </w:rPr>
        <w:t>Xu</w:t>
      </w:r>
    </w:p>
    <w:p w14:paraId="3CF16662" w14:textId="77777777" w:rsidR="00EE509D" w:rsidRPr="00D20711" w:rsidRDefault="00EE509D" w:rsidP="004634F7">
      <w:pPr>
        <w:spacing w:line="360" w:lineRule="auto"/>
        <w:rPr>
          <w:rFonts w:ascii="Book Antiqua" w:hAnsi="Book Antiqua"/>
          <w:b/>
          <w:sz w:val="24"/>
          <w:szCs w:val="24"/>
          <w:lang w:val="en-GB"/>
        </w:rPr>
      </w:pPr>
    </w:p>
    <w:p w14:paraId="3CF16665" w14:textId="6F226AF4" w:rsidR="00F220E5" w:rsidRPr="00D20711" w:rsidRDefault="0076067E" w:rsidP="004634F7">
      <w:pPr>
        <w:spacing w:line="360" w:lineRule="auto"/>
        <w:rPr>
          <w:rFonts w:ascii="Book Antiqua" w:eastAsiaTheme="minorEastAsia" w:hAnsi="Book Antiqua"/>
          <w:sz w:val="24"/>
          <w:szCs w:val="24"/>
        </w:rPr>
      </w:pPr>
      <w:r w:rsidRPr="00D20711">
        <w:rPr>
          <w:rFonts w:ascii="Book Antiqua" w:eastAsiaTheme="minorEastAsia" w:hAnsi="Book Antiqua"/>
          <w:b/>
          <w:sz w:val="24"/>
          <w:szCs w:val="24"/>
        </w:rPr>
        <w:t>Peng Guo, Zheng-Jun Xu, Chang-En Hu, Dan-Feng</w:t>
      </w:r>
      <w:r w:rsidRPr="00D20711">
        <w:rPr>
          <w:rFonts w:ascii="Book Antiqua" w:eastAsiaTheme="minorEastAsia" w:hAnsi="Book Antiqua"/>
          <w:b/>
          <w:sz w:val="24"/>
          <w:szCs w:val="24"/>
          <w:vertAlign w:val="superscript"/>
        </w:rPr>
        <w:t xml:space="preserve"> </w:t>
      </w:r>
      <w:r w:rsidRPr="00D20711">
        <w:rPr>
          <w:rFonts w:ascii="Book Antiqua" w:eastAsiaTheme="minorEastAsia" w:hAnsi="Book Antiqua"/>
          <w:b/>
          <w:sz w:val="24"/>
          <w:szCs w:val="24"/>
        </w:rPr>
        <w:t>Xu,</w:t>
      </w:r>
      <w:bookmarkStart w:id="5" w:name="OLE_LINK6"/>
      <w:bookmarkStart w:id="6" w:name="OLE_LINK16"/>
      <w:bookmarkStart w:id="7" w:name="OLE_LINK17"/>
      <w:r w:rsidRPr="00D20711">
        <w:rPr>
          <w:rFonts w:ascii="Book Antiqua" w:eastAsiaTheme="minorEastAsia" w:hAnsi="Book Antiqua"/>
          <w:b/>
          <w:sz w:val="24"/>
          <w:szCs w:val="24"/>
          <w:vertAlign w:val="superscript"/>
        </w:rPr>
        <w:t xml:space="preserve"> </w:t>
      </w:r>
      <w:r w:rsidR="00F220E5" w:rsidRPr="00D20711">
        <w:rPr>
          <w:rFonts w:ascii="Book Antiqua" w:eastAsiaTheme="minorEastAsia" w:hAnsi="Book Antiqua"/>
          <w:sz w:val="24"/>
          <w:szCs w:val="24"/>
        </w:rPr>
        <w:t>Department of Anesthesiology, Shao</w:t>
      </w:r>
      <w:r w:rsidR="007924AD" w:rsidRPr="00D20711">
        <w:rPr>
          <w:rFonts w:ascii="Book Antiqua" w:eastAsiaTheme="minorEastAsia" w:hAnsi="Book Antiqua"/>
          <w:sz w:val="24"/>
          <w:szCs w:val="24"/>
        </w:rPr>
        <w:t>xing Central Hospital, Shaoxing</w:t>
      </w:r>
      <w:r w:rsidR="00F220E5" w:rsidRPr="00D20711">
        <w:rPr>
          <w:rFonts w:ascii="Book Antiqua" w:eastAsiaTheme="minorEastAsia" w:hAnsi="Book Antiqua"/>
          <w:sz w:val="24"/>
          <w:szCs w:val="24"/>
        </w:rPr>
        <w:t xml:space="preserve"> 312000, </w:t>
      </w:r>
      <w:r w:rsidR="007924AD" w:rsidRPr="00D20711">
        <w:rPr>
          <w:rFonts w:ascii="Book Antiqua" w:eastAsiaTheme="minorEastAsia" w:hAnsi="Book Antiqua"/>
          <w:sz w:val="24"/>
          <w:szCs w:val="24"/>
        </w:rPr>
        <w:t xml:space="preserve">Zhejiang Province, </w:t>
      </w:r>
      <w:r w:rsidR="00F220E5" w:rsidRPr="00D20711">
        <w:rPr>
          <w:rFonts w:ascii="Book Antiqua" w:eastAsiaTheme="minorEastAsia" w:hAnsi="Book Antiqua"/>
          <w:sz w:val="24"/>
          <w:szCs w:val="24"/>
        </w:rPr>
        <w:t>China</w:t>
      </w:r>
      <w:bookmarkEnd w:id="5"/>
      <w:bookmarkEnd w:id="6"/>
      <w:bookmarkEnd w:id="7"/>
      <w:r w:rsidR="00F220E5" w:rsidRPr="00D20711">
        <w:rPr>
          <w:rFonts w:ascii="Book Antiqua" w:eastAsiaTheme="minorEastAsia" w:hAnsi="Book Antiqua"/>
          <w:sz w:val="24"/>
          <w:szCs w:val="24"/>
        </w:rPr>
        <w:t xml:space="preserve"> </w:t>
      </w:r>
    </w:p>
    <w:p w14:paraId="166E16E4" w14:textId="77777777" w:rsidR="0076067E" w:rsidRPr="00D20711" w:rsidRDefault="0076067E" w:rsidP="004634F7">
      <w:pPr>
        <w:spacing w:line="360" w:lineRule="auto"/>
        <w:rPr>
          <w:rFonts w:ascii="Book Antiqua" w:eastAsiaTheme="minorEastAsia" w:hAnsi="Book Antiqua"/>
          <w:b/>
          <w:sz w:val="24"/>
          <w:szCs w:val="24"/>
          <w:vertAlign w:val="superscript"/>
        </w:rPr>
      </w:pPr>
    </w:p>
    <w:p w14:paraId="3CF16666" w14:textId="34FEA154" w:rsidR="00F220E5" w:rsidRPr="00D20711" w:rsidRDefault="0076067E" w:rsidP="004634F7">
      <w:pPr>
        <w:spacing w:line="360" w:lineRule="auto"/>
        <w:rPr>
          <w:rFonts w:ascii="Book Antiqua" w:eastAsiaTheme="minorEastAsia" w:hAnsi="Book Antiqua"/>
          <w:sz w:val="24"/>
          <w:szCs w:val="24"/>
        </w:rPr>
      </w:pPr>
      <w:r w:rsidRPr="00D20711">
        <w:rPr>
          <w:rFonts w:ascii="Book Antiqua" w:eastAsiaTheme="minorEastAsia" w:hAnsi="Book Antiqua"/>
          <w:b/>
          <w:sz w:val="24"/>
          <w:szCs w:val="24"/>
        </w:rPr>
        <w:t xml:space="preserve">Yue-Ying Zheng, </w:t>
      </w:r>
      <w:r w:rsidR="00F220E5" w:rsidRPr="00D20711">
        <w:rPr>
          <w:rFonts w:ascii="Book Antiqua" w:eastAsiaTheme="minorEastAsia" w:hAnsi="Book Antiqua"/>
          <w:sz w:val="24"/>
          <w:szCs w:val="24"/>
        </w:rPr>
        <w:t xml:space="preserve">Department of Anesthesiology, </w:t>
      </w:r>
      <w:r w:rsidR="007924AD" w:rsidRPr="00D20711">
        <w:rPr>
          <w:rFonts w:ascii="Book Antiqua" w:eastAsiaTheme="minorEastAsia" w:hAnsi="Book Antiqua"/>
          <w:sz w:val="24"/>
          <w:szCs w:val="24"/>
        </w:rPr>
        <w:t>t</w:t>
      </w:r>
      <w:r w:rsidR="00F220E5" w:rsidRPr="00D20711">
        <w:rPr>
          <w:rFonts w:ascii="Book Antiqua" w:eastAsiaTheme="minorEastAsia" w:hAnsi="Book Antiqua"/>
          <w:sz w:val="24"/>
          <w:szCs w:val="24"/>
        </w:rPr>
        <w:t xml:space="preserve">he First Affiliated Hospital of Zhejiang University, </w:t>
      </w:r>
      <w:bookmarkStart w:id="8" w:name="OLE_LINK7"/>
      <w:bookmarkStart w:id="9" w:name="OLE_LINK8"/>
      <w:r w:rsidR="00F220E5" w:rsidRPr="00D20711">
        <w:rPr>
          <w:rFonts w:ascii="Book Antiqua" w:eastAsiaTheme="minorEastAsia" w:hAnsi="Book Antiqua"/>
          <w:sz w:val="24"/>
          <w:szCs w:val="24"/>
        </w:rPr>
        <w:t>Hangzhou</w:t>
      </w:r>
      <w:bookmarkEnd w:id="8"/>
      <w:bookmarkEnd w:id="9"/>
      <w:r w:rsidR="00F220E5" w:rsidRPr="00D20711">
        <w:rPr>
          <w:rFonts w:ascii="Book Antiqua" w:eastAsiaTheme="minorEastAsia" w:hAnsi="Book Antiqua"/>
          <w:sz w:val="24"/>
          <w:szCs w:val="24"/>
        </w:rPr>
        <w:t xml:space="preserve">310000, </w:t>
      </w:r>
      <w:r w:rsidR="007924AD" w:rsidRPr="00D20711">
        <w:rPr>
          <w:rFonts w:ascii="Book Antiqua" w:eastAsiaTheme="minorEastAsia" w:hAnsi="Book Antiqua"/>
          <w:sz w:val="24"/>
          <w:szCs w:val="24"/>
        </w:rPr>
        <w:t xml:space="preserve">Zhejiang Province, </w:t>
      </w:r>
      <w:r w:rsidR="00F220E5" w:rsidRPr="00D20711">
        <w:rPr>
          <w:rFonts w:ascii="Book Antiqua" w:eastAsiaTheme="minorEastAsia" w:hAnsi="Book Antiqua"/>
          <w:sz w:val="24"/>
          <w:szCs w:val="24"/>
        </w:rPr>
        <w:t>China</w:t>
      </w:r>
    </w:p>
    <w:p w14:paraId="3CF16667" w14:textId="77777777" w:rsidR="00E5754C" w:rsidRPr="00D20711" w:rsidRDefault="00E5754C" w:rsidP="004634F7">
      <w:pPr>
        <w:spacing w:line="360" w:lineRule="auto"/>
        <w:rPr>
          <w:rFonts w:ascii="Book Antiqua" w:eastAsiaTheme="minorEastAsia" w:hAnsi="Book Antiqua"/>
          <w:sz w:val="24"/>
          <w:szCs w:val="24"/>
        </w:rPr>
      </w:pPr>
    </w:p>
    <w:p w14:paraId="7D2B9B20" w14:textId="46298458" w:rsidR="0076067E" w:rsidRPr="00D20711" w:rsidRDefault="0076067E" w:rsidP="004634F7">
      <w:pPr>
        <w:spacing w:line="360" w:lineRule="auto"/>
        <w:rPr>
          <w:rFonts w:ascii="Book Antiqua" w:eastAsiaTheme="minorEastAsia" w:hAnsi="Book Antiqua"/>
          <w:sz w:val="24"/>
          <w:szCs w:val="24"/>
          <w:vertAlign w:val="superscript"/>
        </w:rPr>
      </w:pPr>
      <w:r w:rsidRPr="00D20711">
        <w:rPr>
          <w:rFonts w:ascii="Book Antiqua" w:hAnsi="Book Antiqua"/>
          <w:b/>
          <w:sz w:val="24"/>
          <w:szCs w:val="24"/>
        </w:rPr>
        <w:t>ORCID number:</w:t>
      </w:r>
      <w:r w:rsidRPr="00D20711">
        <w:rPr>
          <w:rFonts w:ascii="Book Antiqua" w:eastAsiaTheme="minorEastAsia" w:hAnsi="Book Antiqua"/>
          <w:sz w:val="24"/>
          <w:szCs w:val="24"/>
        </w:rPr>
        <w:t xml:space="preserve"> Peng Guo (</w:t>
      </w:r>
      <w:hyperlink r:id="rId6" w:tgtFrame="_blank" w:history="1">
        <w:r w:rsidRPr="00D20711">
          <w:rPr>
            <w:rStyle w:val="a3"/>
            <w:rFonts w:ascii="Book Antiqua" w:hAnsi="Book Antiqua"/>
            <w:color w:val="auto"/>
            <w:sz w:val="24"/>
            <w:szCs w:val="24"/>
            <w:u w:val="none"/>
          </w:rPr>
          <w:t>0000-0003-2449-5629</w:t>
        </w:r>
      </w:hyperlink>
      <w:r w:rsidRPr="00D20711">
        <w:rPr>
          <w:rFonts w:ascii="Book Antiqua" w:eastAsiaTheme="minorEastAsia" w:hAnsi="Book Antiqua"/>
          <w:sz w:val="24"/>
          <w:szCs w:val="24"/>
        </w:rPr>
        <w:t>); Zheng-Jun Xu (0000-0002-5500-3271); Chang-En Hu (0000-0003-4548-6641); Yue-Ying Zheng (0000-0001-9610-7133); Dan-Feng</w:t>
      </w:r>
      <w:r w:rsidRPr="00D20711">
        <w:rPr>
          <w:rFonts w:ascii="Book Antiqua" w:eastAsiaTheme="minorEastAsia" w:hAnsi="Book Antiqua"/>
          <w:sz w:val="24"/>
          <w:szCs w:val="24"/>
          <w:vertAlign w:val="superscript"/>
        </w:rPr>
        <w:t xml:space="preserve"> </w:t>
      </w:r>
      <w:r w:rsidRPr="00D20711">
        <w:rPr>
          <w:rFonts w:ascii="Book Antiqua" w:eastAsiaTheme="minorEastAsia" w:hAnsi="Book Antiqua"/>
          <w:sz w:val="24"/>
          <w:szCs w:val="24"/>
        </w:rPr>
        <w:t>Xu (0000-0002-4764-5282).</w:t>
      </w:r>
    </w:p>
    <w:p w14:paraId="0D73AEAA" w14:textId="2A00572C" w:rsidR="0076067E" w:rsidRPr="00D20711" w:rsidRDefault="0076067E" w:rsidP="004634F7">
      <w:pPr>
        <w:spacing w:line="360" w:lineRule="auto"/>
        <w:rPr>
          <w:rFonts w:ascii="Book Antiqua" w:eastAsiaTheme="minorEastAsia" w:hAnsi="Book Antiqua"/>
          <w:sz w:val="24"/>
          <w:szCs w:val="24"/>
        </w:rPr>
      </w:pPr>
    </w:p>
    <w:p w14:paraId="268D98E7" w14:textId="68E6AC89" w:rsidR="008E59C3" w:rsidRDefault="00C2396F" w:rsidP="004634F7">
      <w:pPr>
        <w:spacing w:line="360" w:lineRule="auto"/>
        <w:rPr>
          <w:rFonts w:ascii="Book Antiqua" w:hAnsi="Book Antiqua"/>
          <w:sz w:val="24"/>
          <w:szCs w:val="24"/>
        </w:rPr>
      </w:pPr>
      <w:r w:rsidRPr="00D20711">
        <w:rPr>
          <w:rFonts w:ascii="Book Antiqua" w:hAnsi="Book Antiqua"/>
          <w:b/>
          <w:sz w:val="24"/>
          <w:szCs w:val="24"/>
        </w:rPr>
        <w:t>Author contributions:</w:t>
      </w:r>
      <w:r w:rsidRPr="00D20711">
        <w:rPr>
          <w:rFonts w:ascii="Book Antiqua" w:hAnsi="Book Antiqua"/>
          <w:sz w:val="24"/>
          <w:szCs w:val="24"/>
        </w:rPr>
        <w:t xml:space="preserve"> Xu DF and </w:t>
      </w:r>
      <w:r w:rsidRPr="00D20711">
        <w:rPr>
          <w:rFonts w:ascii="Book Antiqua" w:eastAsiaTheme="minorEastAsia" w:hAnsi="Book Antiqua"/>
          <w:sz w:val="24"/>
          <w:szCs w:val="24"/>
        </w:rPr>
        <w:t>Zheng</w:t>
      </w:r>
      <w:r w:rsidRPr="00D20711">
        <w:rPr>
          <w:rFonts w:ascii="Book Antiqua" w:hAnsi="Book Antiqua"/>
          <w:sz w:val="24"/>
          <w:szCs w:val="24"/>
        </w:rPr>
        <w:t xml:space="preserve"> YY designed the report; Xu ZJ and Hu CE</w:t>
      </w:r>
      <w:r w:rsidR="00B73753">
        <w:rPr>
          <w:rFonts w:ascii="Book Antiqua" w:hAnsi="Book Antiqua"/>
          <w:sz w:val="24"/>
          <w:szCs w:val="24"/>
        </w:rPr>
        <w:t xml:space="preserve"> </w:t>
      </w:r>
      <w:r w:rsidRPr="00D20711">
        <w:rPr>
          <w:rFonts w:ascii="Book Antiqua" w:hAnsi="Book Antiqua"/>
          <w:sz w:val="24"/>
          <w:szCs w:val="24"/>
        </w:rPr>
        <w:t>collected the patient</w:t>
      </w:r>
      <w:r w:rsidR="00920FEA">
        <w:rPr>
          <w:rFonts w:ascii="Book Antiqua" w:hAnsi="Book Antiqua"/>
          <w:sz w:val="24"/>
          <w:szCs w:val="24"/>
        </w:rPr>
        <w:t>‘s</w:t>
      </w:r>
      <w:r w:rsidRPr="00D20711">
        <w:rPr>
          <w:rFonts w:ascii="Book Antiqua" w:hAnsi="Book Antiqua"/>
          <w:sz w:val="24"/>
          <w:szCs w:val="24"/>
        </w:rPr>
        <w:t xml:space="preserve"> clinical data; </w:t>
      </w:r>
      <w:r w:rsidRPr="00D20711">
        <w:rPr>
          <w:rFonts w:ascii="Book Antiqua" w:eastAsiaTheme="minorEastAsia" w:hAnsi="Book Antiqua"/>
          <w:sz w:val="24"/>
          <w:szCs w:val="24"/>
        </w:rPr>
        <w:t>Guo</w:t>
      </w:r>
      <w:r w:rsidRPr="00D20711">
        <w:rPr>
          <w:rFonts w:ascii="Book Antiqua" w:hAnsi="Book Antiqua"/>
          <w:sz w:val="24"/>
          <w:szCs w:val="24"/>
        </w:rPr>
        <w:t xml:space="preserve"> P wrote the paper.</w:t>
      </w:r>
    </w:p>
    <w:p w14:paraId="01D4DC91" w14:textId="77777777" w:rsidR="00402552" w:rsidRPr="00920FEA" w:rsidRDefault="00402552" w:rsidP="004634F7">
      <w:pPr>
        <w:spacing w:line="360" w:lineRule="auto"/>
        <w:rPr>
          <w:rFonts w:ascii="Book Antiqua" w:hAnsi="Book Antiqua"/>
          <w:sz w:val="24"/>
          <w:szCs w:val="24"/>
        </w:rPr>
      </w:pPr>
    </w:p>
    <w:p w14:paraId="3CF16674" w14:textId="7475EBC4" w:rsidR="00F220E5" w:rsidRPr="00402552" w:rsidRDefault="00402552" w:rsidP="004634F7">
      <w:pPr>
        <w:spacing w:line="360" w:lineRule="auto"/>
        <w:rPr>
          <w:rFonts w:ascii="Book Antiqua" w:hAnsi="Book Antiqua"/>
          <w:sz w:val="24"/>
          <w:szCs w:val="24"/>
        </w:rPr>
      </w:pPr>
      <w:r w:rsidRPr="00402552">
        <w:rPr>
          <w:rFonts w:ascii="Book Antiqua" w:hAnsi="Book Antiqua" w:hint="eastAsia"/>
          <w:b/>
          <w:sz w:val="24"/>
          <w:szCs w:val="24"/>
        </w:rPr>
        <w:t>S</w:t>
      </w:r>
      <w:r w:rsidRPr="00402552">
        <w:rPr>
          <w:rFonts w:ascii="Book Antiqua" w:hAnsi="Book Antiqua"/>
          <w:b/>
          <w:sz w:val="24"/>
          <w:szCs w:val="24"/>
        </w:rPr>
        <w:t xml:space="preserve">upported by </w:t>
      </w:r>
      <w:r w:rsidRPr="00402552">
        <w:rPr>
          <w:rFonts w:ascii="Book Antiqua" w:hAnsi="Book Antiqua"/>
          <w:sz w:val="24"/>
          <w:szCs w:val="24"/>
        </w:rPr>
        <w:t>the Zhejiang Clinical Funding</w:t>
      </w:r>
      <w:r w:rsidRPr="00402552">
        <w:rPr>
          <w:rFonts w:ascii="Book Antiqua" w:hAnsi="Book Antiqua" w:hint="eastAsia"/>
          <w:sz w:val="24"/>
          <w:szCs w:val="24"/>
        </w:rPr>
        <w:t xml:space="preserve">, </w:t>
      </w:r>
      <w:r w:rsidRPr="00402552">
        <w:rPr>
          <w:rFonts w:ascii="Book Antiqua" w:hAnsi="Book Antiqua"/>
          <w:sz w:val="24"/>
          <w:szCs w:val="24"/>
        </w:rPr>
        <w:t>No</w:t>
      </w:r>
      <w:r w:rsidRPr="00402552">
        <w:rPr>
          <w:rFonts w:ascii="Book Antiqua" w:hAnsi="Book Antiqua" w:hint="eastAsia"/>
          <w:sz w:val="24"/>
          <w:szCs w:val="24"/>
        </w:rPr>
        <w:t>.</w:t>
      </w:r>
      <w:r w:rsidR="00920FEA">
        <w:rPr>
          <w:rFonts w:ascii="Book Antiqua" w:hAnsi="Book Antiqua"/>
          <w:sz w:val="24"/>
          <w:szCs w:val="24"/>
        </w:rPr>
        <w:t xml:space="preserve"> </w:t>
      </w:r>
      <w:bookmarkStart w:id="10" w:name="_GoBack"/>
      <w:bookmarkEnd w:id="10"/>
      <w:r w:rsidRPr="00402552">
        <w:rPr>
          <w:rFonts w:ascii="Book Antiqua" w:hAnsi="Book Antiqua"/>
          <w:sz w:val="24"/>
          <w:szCs w:val="24"/>
        </w:rPr>
        <w:t>2016YC-A86</w:t>
      </w:r>
      <w:r w:rsidRPr="00402552">
        <w:rPr>
          <w:rFonts w:ascii="Book Antiqua" w:hAnsi="Book Antiqua" w:hint="eastAsia"/>
          <w:sz w:val="24"/>
          <w:szCs w:val="24"/>
        </w:rPr>
        <w:t>.</w:t>
      </w:r>
    </w:p>
    <w:p w14:paraId="5E1E4E3D" w14:textId="77777777" w:rsidR="00402552" w:rsidRPr="00402552" w:rsidRDefault="00402552" w:rsidP="004634F7">
      <w:pPr>
        <w:spacing w:line="360" w:lineRule="auto"/>
        <w:rPr>
          <w:rFonts w:ascii="Book Antiqua" w:eastAsiaTheme="minorEastAsia" w:hAnsi="Book Antiqua"/>
          <w:b/>
          <w:sz w:val="24"/>
          <w:szCs w:val="24"/>
        </w:rPr>
      </w:pPr>
    </w:p>
    <w:p w14:paraId="28B7675F" w14:textId="7FC30212" w:rsidR="008E59C3" w:rsidRPr="00D20711" w:rsidRDefault="008E59C3" w:rsidP="004634F7">
      <w:pPr>
        <w:spacing w:line="360" w:lineRule="auto"/>
        <w:rPr>
          <w:rFonts w:ascii="Book Antiqua" w:hAnsi="Book Antiqua"/>
          <w:sz w:val="24"/>
          <w:szCs w:val="24"/>
        </w:rPr>
      </w:pPr>
      <w:r w:rsidRPr="00D20711">
        <w:rPr>
          <w:rFonts w:ascii="Book Antiqua" w:hAnsi="Book Antiqua"/>
          <w:b/>
          <w:sz w:val="24"/>
          <w:szCs w:val="24"/>
        </w:rPr>
        <w:t>Informed consent statement</w:t>
      </w:r>
      <w:r w:rsidRPr="00D20711">
        <w:rPr>
          <w:rFonts w:ascii="Book Antiqua" w:hAnsi="Book Antiqua"/>
          <w:b/>
          <w:iCs/>
          <w:sz w:val="24"/>
          <w:szCs w:val="24"/>
        </w:rPr>
        <w:t>:</w:t>
      </w:r>
      <w:r w:rsidRPr="00D20711">
        <w:rPr>
          <w:rFonts w:ascii="Book Antiqua" w:hAnsi="Book Antiqua"/>
          <w:b/>
          <w:iCs/>
          <w:kern w:val="0"/>
          <w:sz w:val="24"/>
          <w:szCs w:val="24"/>
        </w:rPr>
        <w:t xml:space="preserve"> </w:t>
      </w:r>
      <w:r w:rsidRPr="00D20711">
        <w:rPr>
          <w:rFonts w:ascii="Book Antiqua" w:hAnsi="Book Antiqua"/>
          <w:sz w:val="24"/>
          <w:szCs w:val="24"/>
          <w:lang w:val="en-GB"/>
        </w:rPr>
        <w:t xml:space="preserve">The patient gave informed consent. </w:t>
      </w:r>
      <w:r w:rsidRPr="00D20711">
        <w:rPr>
          <w:rFonts w:ascii="Book Antiqua" w:hAnsi="Book Antiqua"/>
          <w:sz w:val="24"/>
          <w:szCs w:val="24"/>
        </w:rPr>
        <w:t>Consent was obtained from the patient for publication of this report and any accompanying images.</w:t>
      </w:r>
    </w:p>
    <w:p w14:paraId="302CE234" w14:textId="77777777" w:rsidR="008E59C3" w:rsidRPr="00D20711" w:rsidRDefault="008E59C3" w:rsidP="004634F7">
      <w:pPr>
        <w:spacing w:line="360" w:lineRule="auto"/>
        <w:rPr>
          <w:rFonts w:ascii="Book Antiqua" w:hAnsi="Book Antiqua"/>
          <w:b/>
          <w:sz w:val="24"/>
          <w:szCs w:val="24"/>
        </w:rPr>
      </w:pPr>
    </w:p>
    <w:p w14:paraId="1F05810E" w14:textId="7D799A6E"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Conflict-of-interest statement</w:t>
      </w:r>
      <w:r w:rsidRPr="00D20711">
        <w:rPr>
          <w:rFonts w:ascii="Book Antiqua" w:hAnsi="Book Antiqua" w:cs="TimesNewRomanPS-BoldItalicMT"/>
          <w:b/>
          <w:iCs/>
          <w:sz w:val="24"/>
          <w:szCs w:val="24"/>
        </w:rPr>
        <w:t xml:space="preserve">: </w:t>
      </w:r>
      <w:r w:rsidRPr="00D20711">
        <w:rPr>
          <w:rFonts w:ascii="Book Antiqua" w:eastAsiaTheme="minorEastAsia" w:hAnsi="Book Antiqua"/>
          <w:sz w:val="24"/>
          <w:szCs w:val="24"/>
        </w:rPr>
        <w:t>The authors declare that they have no conflicts of interest.</w:t>
      </w:r>
    </w:p>
    <w:p w14:paraId="3134ABE3" w14:textId="77777777" w:rsidR="008E59C3" w:rsidRPr="00D20711" w:rsidRDefault="008E59C3" w:rsidP="004634F7">
      <w:pPr>
        <w:snapToGrid w:val="0"/>
        <w:spacing w:line="360" w:lineRule="auto"/>
        <w:rPr>
          <w:rFonts w:ascii="Book Antiqua" w:hAnsi="Book Antiqua" w:cs="Book Antiqua"/>
          <w:sz w:val="24"/>
          <w:szCs w:val="24"/>
        </w:rPr>
      </w:pPr>
    </w:p>
    <w:p w14:paraId="4CB2E6FA" w14:textId="127B76D6"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CARE Checklist (2016) statement:</w:t>
      </w:r>
      <w:r w:rsidRPr="00D20711">
        <w:rPr>
          <w:rFonts w:ascii="Book Antiqua" w:eastAsiaTheme="minorEastAsia" w:hAnsi="Book Antiqua"/>
          <w:sz w:val="24"/>
          <w:szCs w:val="24"/>
        </w:rPr>
        <w:t xml:space="preserve"> The guidelines of the CARE Checklist (2016) have been adopted.</w:t>
      </w:r>
    </w:p>
    <w:p w14:paraId="0653D18D" w14:textId="77777777" w:rsidR="008E59C3" w:rsidRPr="00D20711" w:rsidRDefault="008E59C3" w:rsidP="004634F7">
      <w:pPr>
        <w:adjustRightInd w:val="0"/>
        <w:snapToGrid w:val="0"/>
        <w:spacing w:line="360" w:lineRule="auto"/>
        <w:rPr>
          <w:rFonts w:ascii="Book Antiqua" w:hAnsi="Book Antiqua"/>
          <w:sz w:val="24"/>
          <w:szCs w:val="24"/>
        </w:rPr>
      </w:pPr>
    </w:p>
    <w:p w14:paraId="589AC1B2" w14:textId="77777777" w:rsidR="008E59C3" w:rsidRPr="00D20711" w:rsidRDefault="008E59C3" w:rsidP="004634F7">
      <w:pPr>
        <w:widowControl/>
        <w:adjustRightInd w:val="0"/>
        <w:snapToGrid w:val="0"/>
        <w:spacing w:line="360" w:lineRule="auto"/>
        <w:rPr>
          <w:rFonts w:ascii="Book Antiqua" w:hAnsi="Book Antiqua"/>
          <w:sz w:val="24"/>
          <w:szCs w:val="24"/>
        </w:rPr>
      </w:pPr>
      <w:r w:rsidRPr="00D20711">
        <w:rPr>
          <w:rFonts w:ascii="Book Antiqua" w:hAnsi="Book Antiqua"/>
          <w:b/>
          <w:kern w:val="0"/>
          <w:sz w:val="24"/>
          <w:szCs w:val="24"/>
        </w:rPr>
        <w:t xml:space="preserve">Open-Access: </w:t>
      </w:r>
      <w:r w:rsidRPr="00D207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20711">
          <w:rPr>
            <w:rStyle w:val="a3"/>
            <w:rFonts w:ascii="Book Antiqua" w:hAnsi="Book Antiqua"/>
            <w:color w:val="auto"/>
            <w:sz w:val="24"/>
            <w:szCs w:val="24"/>
            <w:u w:val="none"/>
          </w:rPr>
          <w:t>http://creativecommons.org/licenses/by-nc/4.0/</w:t>
        </w:r>
      </w:hyperlink>
    </w:p>
    <w:p w14:paraId="3CF16675" w14:textId="77777777" w:rsidR="00F220E5" w:rsidRPr="00D20711" w:rsidRDefault="00F220E5" w:rsidP="004634F7">
      <w:pPr>
        <w:spacing w:line="360" w:lineRule="auto"/>
        <w:rPr>
          <w:rFonts w:ascii="Book Antiqua" w:hAnsi="Book Antiqua"/>
          <w:b/>
          <w:sz w:val="24"/>
          <w:szCs w:val="24"/>
          <w:lang w:val="en-GB"/>
        </w:rPr>
      </w:pPr>
    </w:p>
    <w:p w14:paraId="71912FF2" w14:textId="381BE782" w:rsidR="008E59C3" w:rsidRPr="00D20711" w:rsidRDefault="008E59C3" w:rsidP="004634F7">
      <w:pPr>
        <w:spacing w:line="360" w:lineRule="auto"/>
        <w:rPr>
          <w:rFonts w:ascii="Book Antiqua" w:hAnsi="Book Antiqua" w:cs="宋体"/>
          <w:kern w:val="0"/>
          <w:sz w:val="24"/>
          <w:szCs w:val="24"/>
        </w:rPr>
      </w:pPr>
      <w:r w:rsidRPr="00D20711">
        <w:rPr>
          <w:rFonts w:ascii="Book Antiqua" w:hAnsi="Book Antiqua" w:cs="宋体"/>
          <w:b/>
          <w:kern w:val="0"/>
          <w:sz w:val="24"/>
          <w:szCs w:val="24"/>
        </w:rPr>
        <w:t>Manuscript source:</w:t>
      </w:r>
      <w:r w:rsidRPr="00D20711">
        <w:rPr>
          <w:rFonts w:ascii="Book Antiqua" w:hAnsi="Book Antiqua" w:cs="宋体"/>
          <w:kern w:val="0"/>
          <w:sz w:val="24"/>
          <w:szCs w:val="24"/>
        </w:rPr>
        <w:t> Unsolicited manuscript</w:t>
      </w:r>
    </w:p>
    <w:p w14:paraId="218D35CD" w14:textId="77777777" w:rsidR="008E59C3" w:rsidRPr="00D20711" w:rsidRDefault="008E59C3" w:rsidP="004634F7">
      <w:pPr>
        <w:spacing w:line="360" w:lineRule="auto"/>
        <w:rPr>
          <w:rFonts w:ascii="Book Antiqua" w:hAnsi="Book Antiqua"/>
          <w:b/>
          <w:sz w:val="24"/>
          <w:szCs w:val="24"/>
          <w:lang w:val="en-GB"/>
        </w:rPr>
      </w:pPr>
    </w:p>
    <w:p w14:paraId="2824ED59" w14:textId="773373EE"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 xml:space="preserve">Corresponding author: Dan-Feng Xu, MD, Doctor, </w:t>
      </w:r>
      <w:r w:rsidRPr="00D20711">
        <w:rPr>
          <w:rFonts w:ascii="Book Antiqua" w:hAnsi="Book Antiqua"/>
          <w:sz w:val="24"/>
          <w:szCs w:val="24"/>
        </w:rPr>
        <w:t xml:space="preserve">Department of Anesthesiology, Shaoxing Central Hospital, </w:t>
      </w:r>
      <w:r w:rsidR="00B73753">
        <w:rPr>
          <w:rFonts w:ascii="Book Antiqua" w:hAnsi="Book Antiqua"/>
          <w:sz w:val="24"/>
          <w:szCs w:val="24"/>
        </w:rPr>
        <w:t xml:space="preserve">1 </w:t>
      </w:r>
      <w:r w:rsidRPr="00D20711">
        <w:rPr>
          <w:rFonts w:ascii="Book Antiqua" w:hAnsi="Book Antiqua"/>
          <w:sz w:val="24"/>
          <w:szCs w:val="24"/>
        </w:rPr>
        <w:t>Hua</w:t>
      </w:r>
      <w:r w:rsidR="00B73753">
        <w:rPr>
          <w:rFonts w:ascii="Book Antiqua" w:hAnsi="Book Antiqua"/>
          <w:sz w:val="24"/>
          <w:szCs w:val="24"/>
        </w:rPr>
        <w:t>y</w:t>
      </w:r>
      <w:r w:rsidRPr="00D20711">
        <w:rPr>
          <w:rFonts w:ascii="Book Antiqua" w:hAnsi="Book Antiqua"/>
          <w:sz w:val="24"/>
          <w:szCs w:val="24"/>
        </w:rPr>
        <w:t xml:space="preserve">u Road, Keqiao, Shaoxing 312000, Zhejiang Province, China. </w:t>
      </w:r>
      <w:hyperlink r:id="rId8" w:history="1">
        <w:r w:rsidRPr="00D20711">
          <w:rPr>
            <w:rStyle w:val="a3"/>
            <w:rFonts w:ascii="Book Antiqua" w:hAnsi="Book Antiqua"/>
            <w:color w:val="auto"/>
            <w:sz w:val="24"/>
            <w:szCs w:val="24"/>
            <w:u w:val="none"/>
          </w:rPr>
          <w:t>xdf@zju.edu.cn</w:t>
        </w:r>
      </w:hyperlink>
    </w:p>
    <w:p w14:paraId="2BB2486C" w14:textId="77777777"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 xml:space="preserve">Telephone: </w:t>
      </w:r>
      <w:r w:rsidRPr="00D20711">
        <w:rPr>
          <w:rFonts w:ascii="Book Antiqua" w:hAnsi="Book Antiqua"/>
          <w:sz w:val="24"/>
          <w:szCs w:val="24"/>
        </w:rPr>
        <w:t>+86-575-85580896</w:t>
      </w:r>
    </w:p>
    <w:p w14:paraId="355C11D5" w14:textId="77777777" w:rsidR="008E59C3" w:rsidRPr="00D20711" w:rsidRDefault="008E59C3" w:rsidP="004634F7">
      <w:pPr>
        <w:spacing w:line="360" w:lineRule="auto"/>
        <w:rPr>
          <w:rFonts w:ascii="Book Antiqua" w:hAnsi="Book Antiqua"/>
          <w:b/>
          <w:sz w:val="24"/>
          <w:szCs w:val="24"/>
          <w:lang w:val="en-GB"/>
        </w:rPr>
      </w:pPr>
    </w:p>
    <w:p w14:paraId="70A0EA7C" w14:textId="26B3351F"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Received:</w:t>
      </w:r>
      <w:r w:rsidR="006E1063" w:rsidRPr="00D20711">
        <w:rPr>
          <w:rFonts w:ascii="Book Antiqua" w:hAnsi="Book Antiqua"/>
          <w:b/>
          <w:sz w:val="24"/>
          <w:szCs w:val="24"/>
        </w:rPr>
        <w:t xml:space="preserve"> </w:t>
      </w:r>
      <w:r w:rsidR="006E1063" w:rsidRPr="00D20711">
        <w:rPr>
          <w:rFonts w:ascii="Book Antiqua" w:hAnsi="Book Antiqua"/>
          <w:sz w:val="24"/>
          <w:szCs w:val="24"/>
        </w:rPr>
        <w:t>January 9, 2019</w:t>
      </w:r>
      <w:r w:rsidR="004634F7" w:rsidRPr="00D20711">
        <w:rPr>
          <w:rFonts w:ascii="Book Antiqua" w:hAnsi="Book Antiqua"/>
          <w:sz w:val="24"/>
          <w:szCs w:val="24"/>
        </w:rPr>
        <w:t xml:space="preserve"> </w:t>
      </w:r>
    </w:p>
    <w:p w14:paraId="685086FD" w14:textId="646AE2DC"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Peer-review started:</w:t>
      </w:r>
      <w:r w:rsidR="006E1063" w:rsidRPr="00D20711">
        <w:rPr>
          <w:rFonts w:ascii="Book Antiqua" w:hAnsi="Book Antiqua"/>
          <w:sz w:val="24"/>
          <w:szCs w:val="24"/>
        </w:rPr>
        <w:t xml:space="preserve"> January 10, 2019</w:t>
      </w:r>
    </w:p>
    <w:p w14:paraId="74578022" w14:textId="45E847B1"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First decision:</w:t>
      </w:r>
      <w:r w:rsidR="006E1063" w:rsidRPr="00D20711">
        <w:rPr>
          <w:rFonts w:ascii="Book Antiqua" w:hAnsi="Book Antiqua"/>
          <w:sz w:val="24"/>
          <w:szCs w:val="24"/>
        </w:rPr>
        <w:t xml:space="preserve"> January 19, 2019</w:t>
      </w:r>
    </w:p>
    <w:p w14:paraId="5BDB8B97" w14:textId="3FB7B532"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Revised:</w:t>
      </w:r>
      <w:r w:rsidR="006E1063" w:rsidRPr="00D20711">
        <w:rPr>
          <w:rFonts w:ascii="Book Antiqua" w:hAnsi="Book Antiqua"/>
          <w:sz w:val="24"/>
          <w:szCs w:val="24"/>
        </w:rPr>
        <w:t xml:space="preserve"> February 4, 2019</w:t>
      </w:r>
      <w:r w:rsidR="004634F7" w:rsidRPr="00D20711">
        <w:rPr>
          <w:rFonts w:ascii="Book Antiqua" w:hAnsi="Book Antiqua"/>
          <w:sz w:val="24"/>
          <w:szCs w:val="24"/>
        </w:rPr>
        <w:t xml:space="preserve"> </w:t>
      </w:r>
    </w:p>
    <w:p w14:paraId="108707C9" w14:textId="50C961D8" w:rsidR="008E59C3" w:rsidRPr="00D20711" w:rsidRDefault="008E59C3" w:rsidP="004634F7">
      <w:pPr>
        <w:spacing w:line="360" w:lineRule="auto"/>
        <w:rPr>
          <w:rFonts w:ascii="Book Antiqua" w:hAnsi="Book Antiqua"/>
          <w:b/>
          <w:sz w:val="24"/>
          <w:szCs w:val="24"/>
        </w:rPr>
      </w:pPr>
      <w:r w:rsidRPr="00D20711">
        <w:rPr>
          <w:rFonts w:ascii="Book Antiqua" w:hAnsi="Book Antiqua"/>
          <w:b/>
          <w:sz w:val="24"/>
          <w:szCs w:val="24"/>
        </w:rPr>
        <w:t>Accepted:</w:t>
      </w:r>
      <w:r w:rsidR="00C71D72" w:rsidRPr="00C71D72">
        <w:t xml:space="preserve"> </w:t>
      </w:r>
      <w:r w:rsidR="00C71D72" w:rsidRPr="00C71D72">
        <w:rPr>
          <w:rFonts w:ascii="Book Antiqua" w:hAnsi="Book Antiqua"/>
          <w:sz w:val="24"/>
          <w:szCs w:val="24"/>
        </w:rPr>
        <w:t>February 18, 2019</w:t>
      </w:r>
      <w:r w:rsidR="004634F7" w:rsidRPr="00D20711">
        <w:rPr>
          <w:rFonts w:ascii="Book Antiqua" w:hAnsi="Book Antiqua"/>
          <w:b/>
          <w:sz w:val="24"/>
          <w:szCs w:val="24"/>
        </w:rPr>
        <w:t xml:space="preserve"> </w:t>
      </w:r>
    </w:p>
    <w:p w14:paraId="27425B06" w14:textId="26C9EAC8" w:rsidR="008E59C3" w:rsidRPr="00D20711" w:rsidRDefault="008E59C3" w:rsidP="004634F7">
      <w:pPr>
        <w:spacing w:line="360" w:lineRule="auto"/>
        <w:rPr>
          <w:rFonts w:ascii="Book Antiqua" w:hAnsi="Book Antiqua"/>
          <w:sz w:val="24"/>
          <w:szCs w:val="24"/>
        </w:rPr>
      </w:pPr>
      <w:r w:rsidRPr="00D20711">
        <w:rPr>
          <w:rFonts w:ascii="Book Antiqua" w:hAnsi="Book Antiqua"/>
          <w:b/>
          <w:sz w:val="24"/>
          <w:szCs w:val="24"/>
        </w:rPr>
        <w:t>Article in press:</w:t>
      </w:r>
      <w:r w:rsidR="004634F7" w:rsidRPr="00D20711">
        <w:rPr>
          <w:rFonts w:ascii="Book Antiqua" w:hAnsi="Book Antiqua"/>
          <w:sz w:val="24"/>
          <w:szCs w:val="24"/>
        </w:rPr>
        <w:t xml:space="preserve"> </w:t>
      </w:r>
    </w:p>
    <w:p w14:paraId="47ECF9C4" w14:textId="620D3F2E" w:rsidR="006E1063" w:rsidRPr="00D20711" w:rsidRDefault="008E59C3" w:rsidP="00240243">
      <w:pPr>
        <w:spacing w:line="360" w:lineRule="auto"/>
        <w:rPr>
          <w:rFonts w:ascii="Book Antiqua" w:hAnsi="Book Antiqua"/>
          <w:b/>
          <w:sz w:val="24"/>
          <w:szCs w:val="24"/>
          <w:lang w:val="en-GB"/>
        </w:rPr>
      </w:pPr>
      <w:r w:rsidRPr="00D20711">
        <w:rPr>
          <w:rFonts w:ascii="Book Antiqua" w:hAnsi="Book Antiqua"/>
          <w:b/>
          <w:sz w:val="24"/>
          <w:szCs w:val="24"/>
        </w:rPr>
        <w:t xml:space="preserve">Published online: </w:t>
      </w:r>
      <w:r w:rsidR="006E1063" w:rsidRPr="00D20711">
        <w:rPr>
          <w:rFonts w:ascii="Book Antiqua" w:hAnsi="Book Antiqua"/>
          <w:b/>
          <w:sz w:val="24"/>
          <w:szCs w:val="24"/>
          <w:lang w:val="en-GB"/>
        </w:rPr>
        <w:br w:type="page"/>
      </w:r>
    </w:p>
    <w:p w14:paraId="3CF16676" w14:textId="682754CC" w:rsidR="00BB147F" w:rsidRPr="00D20711" w:rsidRDefault="00281F88" w:rsidP="004634F7">
      <w:pPr>
        <w:spacing w:line="360" w:lineRule="auto"/>
        <w:rPr>
          <w:rFonts w:ascii="Book Antiqua" w:hAnsi="Book Antiqua"/>
          <w:b/>
          <w:sz w:val="24"/>
          <w:szCs w:val="24"/>
          <w:lang w:val="en-GB"/>
        </w:rPr>
      </w:pPr>
      <w:r w:rsidRPr="00D20711">
        <w:rPr>
          <w:rFonts w:ascii="Book Antiqua" w:hAnsi="Book Antiqua"/>
          <w:b/>
          <w:sz w:val="24"/>
          <w:szCs w:val="24"/>
          <w:lang w:val="en-GB"/>
        </w:rPr>
        <w:lastRenderedPageBreak/>
        <w:t>Abstract</w:t>
      </w:r>
    </w:p>
    <w:p w14:paraId="4A6DA995" w14:textId="6B282321" w:rsidR="006E1063" w:rsidRPr="00D20711" w:rsidRDefault="006E1063" w:rsidP="004634F7">
      <w:pPr>
        <w:spacing w:line="360" w:lineRule="auto"/>
        <w:rPr>
          <w:rFonts w:ascii="Book Antiqua" w:hAnsi="Book Antiqua"/>
          <w:b/>
          <w:i/>
          <w:sz w:val="24"/>
          <w:szCs w:val="24"/>
          <w:lang w:val="en-GB"/>
        </w:rPr>
      </w:pPr>
      <w:bookmarkStart w:id="11" w:name="_Hlk536644665"/>
      <w:r w:rsidRPr="00D20711">
        <w:rPr>
          <w:rFonts w:ascii="Book Antiqua" w:hAnsi="Book Antiqua"/>
          <w:b/>
          <w:i/>
          <w:sz w:val="24"/>
          <w:szCs w:val="24"/>
          <w:lang w:val="en-GB"/>
        </w:rPr>
        <w:t>BACKGROUND</w:t>
      </w:r>
    </w:p>
    <w:p w14:paraId="3CF16677" w14:textId="6750C059" w:rsidR="00BB147F" w:rsidRPr="00D20711" w:rsidRDefault="00BB147F" w:rsidP="004634F7">
      <w:pPr>
        <w:spacing w:line="360" w:lineRule="auto"/>
        <w:rPr>
          <w:rFonts w:ascii="Book Antiqua" w:hAnsi="Book Antiqua"/>
          <w:sz w:val="24"/>
          <w:szCs w:val="24"/>
          <w:lang w:val="en-GB"/>
        </w:rPr>
      </w:pPr>
      <w:r w:rsidRPr="00D20711">
        <w:rPr>
          <w:rFonts w:ascii="Book Antiqua" w:hAnsi="Book Antiqua"/>
          <w:sz w:val="24"/>
          <w:szCs w:val="24"/>
          <w:lang w:val="en-GB"/>
        </w:rPr>
        <w:t>Empty sella syndrome is a condition in which the pituitary gland shrinks or flattens. Patients with empty sella syndrome often present with headache, hypertension, obesity, visual disturbances, cerebrospinal fluid (CSF) rhinorrhoea, or endocrine dysfunction. Herein, we report a rare case of empty sella syndrome discovered after the patient experienced postoperative hypotension and respiratory failure.</w:t>
      </w:r>
    </w:p>
    <w:p w14:paraId="270AAD11" w14:textId="77777777" w:rsidR="00115EF5" w:rsidRPr="00D20711" w:rsidRDefault="00115EF5" w:rsidP="004634F7">
      <w:pPr>
        <w:spacing w:line="360" w:lineRule="auto"/>
        <w:rPr>
          <w:rFonts w:ascii="Book Antiqua" w:hAnsi="Book Antiqua"/>
          <w:sz w:val="24"/>
          <w:szCs w:val="24"/>
          <w:lang w:val="en-GB"/>
        </w:rPr>
      </w:pPr>
    </w:p>
    <w:p w14:paraId="46723F8F" w14:textId="575D1693" w:rsidR="00115EF5" w:rsidRPr="00D20711" w:rsidRDefault="00115EF5" w:rsidP="004634F7">
      <w:pPr>
        <w:spacing w:line="360" w:lineRule="auto"/>
        <w:rPr>
          <w:rFonts w:ascii="Book Antiqua" w:hAnsi="Book Antiqua"/>
          <w:b/>
          <w:i/>
          <w:sz w:val="24"/>
          <w:szCs w:val="24"/>
          <w:lang w:val="en-GB"/>
        </w:rPr>
      </w:pPr>
      <w:r w:rsidRPr="00D20711">
        <w:rPr>
          <w:rFonts w:ascii="Book Antiqua" w:hAnsi="Book Antiqua"/>
          <w:b/>
          <w:i/>
          <w:sz w:val="24"/>
          <w:szCs w:val="24"/>
          <w:lang w:val="en-GB"/>
        </w:rPr>
        <w:t>CASE SUMMARY</w:t>
      </w:r>
    </w:p>
    <w:p w14:paraId="3CF16678" w14:textId="7E84FF74" w:rsidR="00E84DA2" w:rsidRPr="00D20711" w:rsidRDefault="00E84DA2"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A 60-year-old man was admitted for further workup of left shoulder pain. He was assessed by the orthopaedics team and booked for internal fixation of the left clavicle. General anaesthesia with a nerve block was administered. His </w:t>
      </w:r>
      <w:r w:rsidR="00B73753">
        <w:rPr>
          <w:rFonts w:ascii="Book Antiqua" w:hAnsi="Book Antiqua"/>
          <w:sz w:val="24"/>
          <w:szCs w:val="24"/>
          <w:lang w:val="en-GB"/>
        </w:rPr>
        <w:t>blood pressure</w:t>
      </w:r>
      <w:r w:rsidR="00B73753" w:rsidRPr="00D20711">
        <w:rPr>
          <w:rFonts w:ascii="Book Antiqua" w:hAnsi="Book Antiqua"/>
          <w:sz w:val="24"/>
          <w:szCs w:val="24"/>
          <w:lang w:val="en-GB"/>
        </w:rPr>
        <w:t xml:space="preserve"> </w:t>
      </w:r>
      <w:r w:rsidRPr="00D20711">
        <w:rPr>
          <w:rFonts w:ascii="Book Antiqua" w:hAnsi="Book Antiqua"/>
          <w:sz w:val="24"/>
          <w:szCs w:val="24"/>
          <w:lang w:val="en-GB"/>
        </w:rPr>
        <w:t xml:space="preserve">continued to decrease post-operation. Endocrine tests were performed, with the results supporting a diagnosis of hypopituitarism with hypocortisolism and hypothyroidism. Brain </w:t>
      </w:r>
      <w:r w:rsidR="00115EF5" w:rsidRPr="00D20711">
        <w:rPr>
          <w:rFonts w:ascii="Book Antiqua" w:hAnsi="Book Antiqua"/>
          <w:sz w:val="24"/>
          <w:szCs w:val="24"/>
          <w:lang w:val="en-GB"/>
        </w:rPr>
        <w:t>magnetic resonance imaging</w:t>
      </w:r>
      <w:r w:rsidRPr="00D20711">
        <w:rPr>
          <w:rFonts w:ascii="Book Antiqua" w:hAnsi="Book Antiqua"/>
          <w:sz w:val="24"/>
          <w:szCs w:val="24"/>
          <w:lang w:val="en-GB"/>
        </w:rPr>
        <w:t xml:space="preserve"> demonstrated that the sella was enlarged and filled with CSF, confirming a diagnosis of empty sella syndrome. The patient was started on </w:t>
      </w:r>
      <w:r w:rsidR="00B73753" w:rsidRPr="00D20711">
        <w:rPr>
          <w:rFonts w:ascii="Book Antiqua" w:hAnsi="Book Antiqua"/>
          <w:sz w:val="24"/>
          <w:szCs w:val="24"/>
          <w:lang w:val="en-GB"/>
        </w:rPr>
        <w:t xml:space="preserve">endocrine </w:t>
      </w:r>
      <w:r w:rsidRPr="00D20711">
        <w:rPr>
          <w:rFonts w:ascii="Book Antiqua" w:hAnsi="Book Antiqua"/>
          <w:sz w:val="24"/>
          <w:szCs w:val="24"/>
          <w:lang w:val="en-GB"/>
        </w:rPr>
        <w:t>replacement therapy</w:t>
      </w:r>
      <w:r w:rsidR="000B1840" w:rsidRPr="00D20711">
        <w:rPr>
          <w:rFonts w:ascii="Book Antiqua" w:hAnsi="Book Antiqua"/>
          <w:sz w:val="24"/>
          <w:szCs w:val="24"/>
          <w:lang w:val="en-GB"/>
        </w:rPr>
        <w:t xml:space="preserve">. </w:t>
      </w:r>
      <w:r w:rsidRPr="00D20711">
        <w:rPr>
          <w:rFonts w:ascii="Book Antiqua" w:hAnsi="Book Antiqua"/>
          <w:sz w:val="24"/>
          <w:szCs w:val="24"/>
          <w:lang w:val="en-GB"/>
        </w:rPr>
        <w:t xml:space="preserve">The patient regained consciousness and spontaneous </w:t>
      </w:r>
      <w:r w:rsidR="000A2989">
        <w:rPr>
          <w:rFonts w:ascii="Book Antiqua" w:hAnsi="Book Antiqua"/>
          <w:sz w:val="24"/>
          <w:szCs w:val="24"/>
          <w:lang w:val="en-GB"/>
        </w:rPr>
        <w:t xml:space="preserve">breath </w:t>
      </w:r>
      <w:r w:rsidR="000B1840" w:rsidRPr="00D20711">
        <w:rPr>
          <w:rFonts w:ascii="Book Antiqua" w:hAnsi="Book Antiqua"/>
          <w:sz w:val="24"/>
          <w:szCs w:val="24"/>
          <w:lang w:val="en-GB"/>
        </w:rPr>
        <w:t>finally</w:t>
      </w:r>
      <w:r w:rsidRPr="00D20711">
        <w:rPr>
          <w:rFonts w:ascii="Book Antiqua" w:hAnsi="Book Antiqua"/>
          <w:sz w:val="24"/>
          <w:szCs w:val="24"/>
          <w:lang w:val="en-GB"/>
        </w:rPr>
        <w:t>.</w:t>
      </w:r>
    </w:p>
    <w:p w14:paraId="2937D979" w14:textId="77777777" w:rsidR="00115EF5" w:rsidRPr="00D20711" w:rsidRDefault="00115EF5" w:rsidP="004634F7">
      <w:pPr>
        <w:spacing w:line="360" w:lineRule="auto"/>
        <w:rPr>
          <w:rFonts w:ascii="Book Antiqua" w:hAnsi="Book Antiqua"/>
          <w:sz w:val="24"/>
          <w:szCs w:val="24"/>
          <w:lang w:val="en-GB"/>
        </w:rPr>
      </w:pPr>
    </w:p>
    <w:p w14:paraId="4169099B" w14:textId="49275C0F" w:rsidR="00115EF5" w:rsidRPr="00D20711" w:rsidRDefault="00115EF5" w:rsidP="004634F7">
      <w:pPr>
        <w:autoSpaceDE w:val="0"/>
        <w:autoSpaceDN w:val="0"/>
        <w:adjustRightInd w:val="0"/>
        <w:spacing w:line="360" w:lineRule="auto"/>
        <w:rPr>
          <w:rFonts w:ascii="Book Antiqua" w:hAnsi="Book Antiqua"/>
          <w:b/>
          <w:i/>
          <w:sz w:val="24"/>
          <w:szCs w:val="24"/>
          <w:lang w:val="en-GB"/>
        </w:rPr>
      </w:pPr>
      <w:r w:rsidRPr="00D20711">
        <w:rPr>
          <w:rFonts w:ascii="Book Antiqua" w:hAnsi="Book Antiqua"/>
          <w:b/>
          <w:i/>
          <w:sz w:val="24"/>
          <w:szCs w:val="24"/>
          <w:lang w:val="en-GB"/>
        </w:rPr>
        <w:t>CONCLUSION</w:t>
      </w:r>
    </w:p>
    <w:p w14:paraId="3CF16679" w14:textId="4F490A10" w:rsidR="00BB147F" w:rsidRPr="00D20711" w:rsidRDefault="00E84DA2" w:rsidP="004634F7">
      <w:pPr>
        <w:autoSpaceDE w:val="0"/>
        <w:autoSpaceDN w:val="0"/>
        <w:adjustRightInd w:val="0"/>
        <w:spacing w:line="360" w:lineRule="auto"/>
        <w:rPr>
          <w:rFonts w:ascii="Book Antiqua" w:hAnsi="Book Antiqua"/>
          <w:sz w:val="24"/>
          <w:szCs w:val="24"/>
          <w:lang w:val="en-GB"/>
        </w:rPr>
      </w:pPr>
      <w:r w:rsidRPr="00D20711">
        <w:rPr>
          <w:rFonts w:ascii="Book Antiqua" w:hAnsi="Book Antiqua"/>
          <w:sz w:val="24"/>
          <w:szCs w:val="24"/>
          <w:lang w:val="en-GB"/>
        </w:rPr>
        <w:t>This case highlights the importance of considering pituitary hormone insufficiency in the context of respiratory and hemodynamic failure during the perioperative period.</w:t>
      </w:r>
    </w:p>
    <w:p w14:paraId="55E92C79" w14:textId="77777777" w:rsidR="00115EF5" w:rsidRPr="00D20711" w:rsidRDefault="00115EF5" w:rsidP="004634F7">
      <w:pPr>
        <w:autoSpaceDE w:val="0"/>
        <w:autoSpaceDN w:val="0"/>
        <w:adjustRightInd w:val="0"/>
        <w:spacing w:line="360" w:lineRule="auto"/>
        <w:rPr>
          <w:rFonts w:ascii="Book Antiqua" w:hAnsi="Book Antiqua"/>
          <w:sz w:val="24"/>
          <w:szCs w:val="24"/>
          <w:lang w:val="en-GB"/>
        </w:rPr>
      </w:pPr>
    </w:p>
    <w:bookmarkEnd w:id="11"/>
    <w:p w14:paraId="3CF1667A" w14:textId="3354E2B5" w:rsidR="00BB147F" w:rsidRPr="00D20711" w:rsidRDefault="00BB147F" w:rsidP="004634F7">
      <w:pPr>
        <w:spacing w:line="360" w:lineRule="auto"/>
        <w:rPr>
          <w:rFonts w:ascii="Book Antiqua" w:hAnsi="Book Antiqua"/>
          <w:sz w:val="24"/>
          <w:szCs w:val="24"/>
          <w:lang w:val="en-GB"/>
        </w:rPr>
      </w:pPr>
      <w:r w:rsidRPr="00D20711">
        <w:rPr>
          <w:rFonts w:ascii="Book Antiqua" w:hAnsi="Book Antiqua"/>
          <w:b/>
          <w:sz w:val="24"/>
          <w:szCs w:val="24"/>
          <w:lang w:val="en-GB"/>
        </w:rPr>
        <w:t>Key</w:t>
      </w:r>
      <w:r w:rsidR="00115EF5" w:rsidRPr="00D20711">
        <w:rPr>
          <w:rFonts w:ascii="Book Antiqua" w:hAnsi="Book Antiqua"/>
          <w:b/>
          <w:sz w:val="24"/>
          <w:szCs w:val="24"/>
          <w:lang w:val="en-GB"/>
        </w:rPr>
        <w:t xml:space="preserve"> </w:t>
      </w:r>
      <w:r w:rsidRPr="00D20711">
        <w:rPr>
          <w:rFonts w:ascii="Book Antiqua" w:hAnsi="Book Antiqua"/>
          <w:b/>
          <w:sz w:val="24"/>
          <w:szCs w:val="24"/>
          <w:lang w:val="en-GB"/>
        </w:rPr>
        <w:t>words:</w:t>
      </w:r>
      <w:r w:rsidRPr="00D20711">
        <w:rPr>
          <w:rFonts w:ascii="Book Antiqua" w:hAnsi="Book Antiqua"/>
          <w:sz w:val="24"/>
          <w:szCs w:val="24"/>
          <w:lang w:val="en-GB"/>
        </w:rPr>
        <w:t xml:space="preserve"> Empty sella</w:t>
      </w:r>
      <w:r w:rsidR="00115EF5" w:rsidRPr="00D20711">
        <w:rPr>
          <w:rFonts w:ascii="Book Antiqua" w:hAnsi="Book Antiqua"/>
          <w:sz w:val="24"/>
          <w:szCs w:val="24"/>
          <w:lang w:val="en-GB"/>
        </w:rPr>
        <w:t>;</w:t>
      </w:r>
      <w:r w:rsidRPr="00D20711">
        <w:rPr>
          <w:rFonts w:ascii="Book Antiqua" w:hAnsi="Book Antiqua"/>
          <w:sz w:val="24"/>
          <w:szCs w:val="24"/>
          <w:lang w:val="en-GB"/>
        </w:rPr>
        <w:t xml:space="preserve"> </w:t>
      </w:r>
      <w:r w:rsidR="00115EF5" w:rsidRPr="00D20711">
        <w:rPr>
          <w:rFonts w:ascii="Book Antiqua" w:hAnsi="Book Antiqua"/>
          <w:sz w:val="24"/>
          <w:szCs w:val="24"/>
          <w:lang w:val="en-GB"/>
        </w:rPr>
        <w:t>Hypotension;</w:t>
      </w:r>
      <w:r w:rsidRPr="00D20711">
        <w:rPr>
          <w:rFonts w:ascii="Book Antiqua" w:hAnsi="Book Antiqua"/>
          <w:sz w:val="24"/>
          <w:szCs w:val="24"/>
          <w:lang w:val="en-GB"/>
        </w:rPr>
        <w:t xml:space="preserve"> </w:t>
      </w:r>
      <w:r w:rsidR="00115EF5" w:rsidRPr="00D20711">
        <w:rPr>
          <w:rFonts w:ascii="Book Antiqua" w:hAnsi="Book Antiqua"/>
          <w:sz w:val="24"/>
          <w:szCs w:val="24"/>
          <w:lang w:val="en-GB"/>
        </w:rPr>
        <w:t xml:space="preserve">Respiratory </w:t>
      </w:r>
      <w:r w:rsidRPr="00D20711">
        <w:rPr>
          <w:rFonts w:ascii="Book Antiqua" w:hAnsi="Book Antiqua"/>
          <w:sz w:val="24"/>
          <w:szCs w:val="24"/>
          <w:lang w:val="en-GB"/>
        </w:rPr>
        <w:t>failure</w:t>
      </w:r>
      <w:r w:rsidR="00115EF5" w:rsidRPr="00D20711">
        <w:rPr>
          <w:rFonts w:ascii="Book Antiqua" w:hAnsi="Book Antiqua"/>
          <w:sz w:val="24"/>
          <w:szCs w:val="24"/>
          <w:lang w:val="en-GB"/>
        </w:rPr>
        <w:t>;</w:t>
      </w:r>
      <w:r w:rsidR="002C6197" w:rsidRPr="00D20711">
        <w:rPr>
          <w:rFonts w:ascii="Book Antiqua" w:hAnsi="Book Antiqua"/>
          <w:sz w:val="24"/>
          <w:szCs w:val="24"/>
          <w:lang w:val="en-GB"/>
        </w:rPr>
        <w:t xml:space="preserve"> </w:t>
      </w:r>
      <w:r w:rsidR="00115EF5" w:rsidRPr="00D20711">
        <w:rPr>
          <w:rFonts w:ascii="Book Antiqua" w:hAnsi="Book Antiqua"/>
          <w:sz w:val="24"/>
          <w:szCs w:val="24"/>
          <w:lang w:val="en-GB"/>
        </w:rPr>
        <w:t xml:space="preserve">Case </w:t>
      </w:r>
      <w:r w:rsidR="002C6197" w:rsidRPr="00D20711">
        <w:rPr>
          <w:rFonts w:ascii="Book Antiqua" w:hAnsi="Book Antiqua"/>
          <w:sz w:val="24"/>
          <w:szCs w:val="24"/>
          <w:lang w:val="en-GB"/>
        </w:rPr>
        <w:t>report</w:t>
      </w:r>
    </w:p>
    <w:p w14:paraId="3CF1667B" w14:textId="77777777" w:rsidR="00BB147F" w:rsidRPr="00D20711" w:rsidRDefault="00BB147F" w:rsidP="004634F7">
      <w:pPr>
        <w:spacing w:line="360" w:lineRule="auto"/>
        <w:rPr>
          <w:rFonts w:ascii="Book Antiqua" w:hAnsi="Book Antiqua"/>
          <w:b/>
          <w:sz w:val="24"/>
          <w:szCs w:val="24"/>
          <w:lang w:val="en-GB"/>
        </w:rPr>
      </w:pPr>
    </w:p>
    <w:p w14:paraId="318FADD9" w14:textId="77777777" w:rsidR="00115EF5" w:rsidRPr="00D20711" w:rsidRDefault="00115EF5" w:rsidP="004634F7">
      <w:pPr>
        <w:spacing w:line="360" w:lineRule="auto"/>
        <w:rPr>
          <w:rFonts w:ascii="Book Antiqua" w:hAnsi="Book Antiqua" w:cs="Arial"/>
          <w:sz w:val="24"/>
          <w:szCs w:val="24"/>
        </w:rPr>
      </w:pPr>
      <w:r w:rsidRPr="00D20711">
        <w:rPr>
          <w:rFonts w:ascii="Book Antiqua" w:hAnsi="Book Antiqua"/>
          <w:b/>
          <w:sz w:val="24"/>
          <w:szCs w:val="24"/>
        </w:rPr>
        <w:t xml:space="preserve">© </w:t>
      </w:r>
      <w:r w:rsidRPr="00D20711">
        <w:rPr>
          <w:rFonts w:ascii="Book Antiqua" w:hAnsi="Book Antiqua" w:cs="Arial"/>
          <w:b/>
          <w:sz w:val="24"/>
          <w:szCs w:val="24"/>
        </w:rPr>
        <w:t>The Author(s) 2019.</w:t>
      </w:r>
      <w:r w:rsidRPr="00D20711">
        <w:rPr>
          <w:rFonts w:ascii="Book Antiqua" w:hAnsi="Book Antiqua" w:cs="Arial"/>
          <w:sz w:val="24"/>
          <w:szCs w:val="24"/>
        </w:rPr>
        <w:t xml:space="preserve"> Published by Baishideng Publishing Group Inc. All rights reserved.</w:t>
      </w:r>
    </w:p>
    <w:p w14:paraId="5A89FBFD" w14:textId="77777777" w:rsidR="00115EF5" w:rsidRPr="00D20711" w:rsidRDefault="00115EF5" w:rsidP="004634F7">
      <w:pPr>
        <w:spacing w:line="360" w:lineRule="auto"/>
        <w:rPr>
          <w:rFonts w:ascii="Book Antiqua" w:hAnsi="Book Antiqua"/>
          <w:b/>
          <w:sz w:val="24"/>
          <w:szCs w:val="24"/>
          <w:lang w:val="en-GB"/>
        </w:rPr>
      </w:pPr>
    </w:p>
    <w:p w14:paraId="596630B5" w14:textId="571D85D2" w:rsidR="00C36560" w:rsidRPr="00D20711" w:rsidRDefault="00EE509D" w:rsidP="004634F7">
      <w:pPr>
        <w:spacing w:line="360" w:lineRule="auto"/>
        <w:rPr>
          <w:rFonts w:ascii="Book Antiqua" w:eastAsia="Arial Unicode MS" w:hAnsi="Book Antiqua" w:cs="Arial Unicode MS"/>
          <w:b/>
          <w:sz w:val="24"/>
          <w:szCs w:val="24"/>
        </w:rPr>
      </w:pPr>
      <w:r w:rsidRPr="00D20711">
        <w:rPr>
          <w:rFonts w:ascii="Book Antiqua" w:eastAsia="Arial Unicode MS" w:hAnsi="Book Antiqua" w:cs="Arial Unicode MS"/>
          <w:b/>
          <w:sz w:val="24"/>
          <w:szCs w:val="24"/>
        </w:rPr>
        <w:t>C</w:t>
      </w:r>
      <w:r w:rsidR="00115EF5" w:rsidRPr="00D20711">
        <w:rPr>
          <w:rFonts w:ascii="Book Antiqua" w:eastAsia="Arial Unicode MS" w:hAnsi="Book Antiqua" w:cs="Arial Unicode MS"/>
          <w:b/>
          <w:sz w:val="24"/>
          <w:szCs w:val="24"/>
        </w:rPr>
        <w:t xml:space="preserve">ore tip: </w:t>
      </w:r>
      <w:r w:rsidR="00C36560" w:rsidRPr="00D20711">
        <w:rPr>
          <w:rFonts w:ascii="Book Antiqua" w:hAnsi="Book Antiqua"/>
          <w:sz w:val="24"/>
          <w:szCs w:val="24"/>
          <w:lang w:val="en-GB"/>
        </w:rPr>
        <w:t xml:space="preserve">A 60-year-old man was admitted for internal fixation of the left clavicle. General anaesthesia with a nerve block was administered. His </w:t>
      </w:r>
      <w:r w:rsidR="007335FC" w:rsidRPr="00D20711">
        <w:rPr>
          <w:rFonts w:ascii="Book Antiqua" w:hAnsi="Book Antiqua"/>
          <w:sz w:val="24"/>
          <w:szCs w:val="24"/>
          <w:lang w:val="en-GB"/>
        </w:rPr>
        <w:t>blood pressure</w:t>
      </w:r>
      <w:r w:rsidR="00C36560" w:rsidRPr="00D20711">
        <w:rPr>
          <w:rFonts w:ascii="Book Antiqua" w:hAnsi="Book Antiqua"/>
          <w:sz w:val="24"/>
          <w:szCs w:val="24"/>
          <w:lang w:val="en-GB"/>
        </w:rPr>
        <w:t xml:space="preserve"> continued to decrease post-operation. Endocrine tests were performed, with the results supporting a diagnosis of hypopituitarism. Brain </w:t>
      </w:r>
      <w:r w:rsidR="00115EF5" w:rsidRPr="00D20711">
        <w:rPr>
          <w:rFonts w:ascii="Book Antiqua" w:hAnsi="Book Antiqua"/>
          <w:sz w:val="24"/>
          <w:szCs w:val="24"/>
          <w:lang w:val="en-GB"/>
        </w:rPr>
        <w:t>magnetic resonance imaging</w:t>
      </w:r>
      <w:r w:rsidR="00C36560" w:rsidRPr="00D20711">
        <w:rPr>
          <w:rFonts w:ascii="Book Antiqua" w:hAnsi="Book Antiqua"/>
          <w:sz w:val="24"/>
          <w:szCs w:val="24"/>
          <w:lang w:val="en-GB"/>
        </w:rPr>
        <w:t xml:space="preserve"> demonstrated that the sella was enlarged and filled with </w:t>
      </w:r>
      <w:r w:rsidR="009E62D6" w:rsidRPr="00D20711">
        <w:rPr>
          <w:rFonts w:ascii="Book Antiqua" w:hAnsi="Book Antiqua"/>
          <w:sz w:val="24"/>
          <w:szCs w:val="24"/>
          <w:lang w:val="en-GB"/>
        </w:rPr>
        <w:t>cerebrospinal fluid</w:t>
      </w:r>
      <w:r w:rsidR="00C36560" w:rsidRPr="00D20711">
        <w:rPr>
          <w:rFonts w:ascii="Book Antiqua" w:hAnsi="Book Antiqua"/>
          <w:sz w:val="24"/>
          <w:szCs w:val="24"/>
          <w:lang w:val="en-GB"/>
        </w:rPr>
        <w:t xml:space="preserve">, confirming a diagnosis of empty sella syndrome. The patient was started on </w:t>
      </w:r>
      <w:r w:rsidR="00B73753" w:rsidRPr="00D20711">
        <w:rPr>
          <w:rFonts w:ascii="Book Antiqua" w:hAnsi="Book Antiqua"/>
          <w:sz w:val="24"/>
          <w:szCs w:val="24"/>
          <w:lang w:val="en-GB"/>
        </w:rPr>
        <w:t xml:space="preserve">endocrine </w:t>
      </w:r>
      <w:r w:rsidR="00C36560" w:rsidRPr="00D20711">
        <w:rPr>
          <w:rFonts w:ascii="Book Antiqua" w:hAnsi="Book Antiqua"/>
          <w:sz w:val="24"/>
          <w:szCs w:val="24"/>
          <w:lang w:val="en-GB"/>
        </w:rPr>
        <w:t>replacement therapy. The patient regained consciousness and spontaneous</w:t>
      </w:r>
      <w:r w:rsidR="000A2989">
        <w:rPr>
          <w:rFonts w:ascii="Book Antiqua" w:hAnsi="Book Antiqua"/>
          <w:sz w:val="24"/>
          <w:szCs w:val="24"/>
          <w:lang w:val="en-GB"/>
        </w:rPr>
        <w:t xml:space="preserve"> breath</w:t>
      </w:r>
      <w:r w:rsidR="00C36560" w:rsidRPr="00D20711">
        <w:rPr>
          <w:rFonts w:ascii="Book Antiqua" w:hAnsi="Book Antiqua"/>
          <w:sz w:val="24"/>
          <w:szCs w:val="24"/>
          <w:lang w:val="en-GB"/>
        </w:rPr>
        <w:t xml:space="preserve"> finally. This case highlights the importance of considering pituitary hormone insufficiency in the context of respiratory and hemodynamic failure during the perioperative period.</w:t>
      </w:r>
    </w:p>
    <w:p w14:paraId="2244FCCD" w14:textId="77777777" w:rsidR="00A366D6" w:rsidRPr="00D20711" w:rsidRDefault="00A366D6" w:rsidP="004634F7">
      <w:pPr>
        <w:spacing w:line="360" w:lineRule="auto"/>
        <w:rPr>
          <w:rFonts w:ascii="Book Antiqua" w:hAnsi="Book Antiqua"/>
          <w:b/>
          <w:i/>
          <w:sz w:val="24"/>
          <w:szCs w:val="24"/>
          <w:lang w:val="en-GB"/>
        </w:rPr>
      </w:pPr>
    </w:p>
    <w:p w14:paraId="3B728622" w14:textId="24E42A77" w:rsidR="00A366D6" w:rsidRPr="00D20711" w:rsidRDefault="00A366D6" w:rsidP="004634F7">
      <w:pPr>
        <w:spacing w:line="360" w:lineRule="auto"/>
        <w:rPr>
          <w:rFonts w:ascii="Book Antiqua" w:hAnsi="Book Antiqua"/>
          <w:sz w:val="24"/>
          <w:szCs w:val="24"/>
        </w:rPr>
      </w:pPr>
      <w:r w:rsidRPr="00D20711">
        <w:rPr>
          <w:rFonts w:ascii="Book Antiqua" w:eastAsiaTheme="minorEastAsia" w:hAnsi="Book Antiqua"/>
          <w:sz w:val="24"/>
          <w:szCs w:val="24"/>
        </w:rPr>
        <w:t>Guo P, Xu ZJ, Hu CE, Zheng YY, Xu DF.</w:t>
      </w:r>
      <w:r w:rsidRPr="00D20711">
        <w:rPr>
          <w:rFonts w:ascii="Book Antiqua" w:hAnsi="Book Antiqua"/>
          <w:kern w:val="0"/>
          <w:sz w:val="24"/>
          <w:szCs w:val="24"/>
          <w:lang w:val="en-GB"/>
        </w:rPr>
        <w:t xml:space="preserve"> Rare empty sella syndrome</w:t>
      </w:r>
      <w:r w:rsidRPr="00D20711">
        <w:rPr>
          <w:rFonts w:ascii="Book Antiqua" w:hAnsi="Book Antiqua"/>
          <w:sz w:val="24"/>
          <w:szCs w:val="24"/>
          <w:lang w:val="en-GB"/>
        </w:rPr>
        <w:t xml:space="preserve"> found after postoperative hypotension and respiratory failure: </w:t>
      </w:r>
      <w:r w:rsidRPr="00D20711">
        <w:rPr>
          <w:rFonts w:ascii="Book Antiqua" w:hAnsi="Book Antiqua"/>
          <w:sz w:val="24"/>
          <w:szCs w:val="24"/>
        </w:rPr>
        <w:t xml:space="preserve">A case report. </w:t>
      </w:r>
      <w:r w:rsidRPr="00D20711">
        <w:rPr>
          <w:rFonts w:ascii="Book Antiqua" w:hAnsi="Book Antiqua"/>
          <w:i/>
          <w:iCs/>
          <w:sz w:val="24"/>
          <w:szCs w:val="24"/>
        </w:rPr>
        <w:t xml:space="preserve">World J Clin Cases </w:t>
      </w:r>
      <w:r w:rsidRPr="00D20711">
        <w:rPr>
          <w:rFonts w:ascii="Book Antiqua" w:hAnsi="Book Antiqua"/>
          <w:iCs/>
          <w:sz w:val="24"/>
          <w:szCs w:val="24"/>
        </w:rPr>
        <w:t>2019; In press</w:t>
      </w:r>
    </w:p>
    <w:bookmarkEnd w:id="2"/>
    <w:bookmarkEnd w:id="3"/>
    <w:bookmarkEnd w:id="4"/>
    <w:p w14:paraId="1DBCC797" w14:textId="77777777" w:rsidR="004634F7" w:rsidRPr="00D20711" w:rsidRDefault="004634F7" w:rsidP="004634F7">
      <w:pPr>
        <w:widowControl/>
        <w:spacing w:line="360" w:lineRule="auto"/>
        <w:rPr>
          <w:rFonts w:ascii="Book Antiqua" w:eastAsiaTheme="minorEastAsia" w:hAnsi="Book Antiqua"/>
          <w:sz w:val="24"/>
          <w:szCs w:val="24"/>
          <w:vertAlign w:val="superscript"/>
        </w:rPr>
      </w:pPr>
      <w:r w:rsidRPr="00D20711">
        <w:rPr>
          <w:rFonts w:ascii="Book Antiqua" w:eastAsiaTheme="minorEastAsia" w:hAnsi="Book Antiqua"/>
          <w:sz w:val="24"/>
          <w:szCs w:val="24"/>
          <w:vertAlign w:val="superscript"/>
        </w:rPr>
        <w:br w:type="page"/>
      </w:r>
    </w:p>
    <w:p w14:paraId="3CF1667F" w14:textId="2B41FE12" w:rsidR="004E0719" w:rsidRPr="00D20711" w:rsidRDefault="004634F7" w:rsidP="004634F7">
      <w:pPr>
        <w:spacing w:line="360" w:lineRule="auto"/>
        <w:rPr>
          <w:rFonts w:ascii="Book Antiqua" w:hAnsi="Book Antiqua"/>
          <w:b/>
          <w:sz w:val="24"/>
          <w:szCs w:val="24"/>
          <w:lang w:val="en-GB"/>
        </w:rPr>
      </w:pPr>
      <w:r w:rsidRPr="00D20711">
        <w:rPr>
          <w:rFonts w:ascii="Book Antiqua" w:hAnsi="Book Antiqua"/>
          <w:b/>
          <w:sz w:val="24"/>
          <w:szCs w:val="24"/>
          <w:lang w:val="en-GB"/>
        </w:rPr>
        <w:lastRenderedPageBreak/>
        <w:t>INTRODUCTION</w:t>
      </w:r>
    </w:p>
    <w:p w14:paraId="3CF16680" w14:textId="7B45B431" w:rsidR="00D80BF1" w:rsidRPr="00D20711" w:rsidRDefault="004E0719"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The pituitary gland is a pea-sized gland located within the sella turcica</w:t>
      </w:r>
      <w:r w:rsidRPr="00D20711">
        <w:rPr>
          <w:rFonts w:ascii="Book Antiqua" w:hAnsi="Book Antiqua"/>
          <w:sz w:val="24"/>
          <w:szCs w:val="24"/>
          <w:vertAlign w:val="superscript"/>
          <w:lang w:val="en-GB"/>
        </w:rPr>
        <w:t>[1,2]</w:t>
      </w:r>
      <w:r w:rsidRPr="00D20711">
        <w:rPr>
          <w:rFonts w:ascii="Book Antiqua" w:hAnsi="Book Antiqua"/>
          <w:sz w:val="24"/>
          <w:szCs w:val="24"/>
          <w:lang w:val="en-GB"/>
        </w:rPr>
        <w:t>. Empty sella syndrome is a condition in which the pituitary gland shrinks or flattens, and thus</w:t>
      </w:r>
      <w:r w:rsidR="0091348B" w:rsidRPr="00D20711">
        <w:rPr>
          <w:rFonts w:ascii="Book Antiqua" w:hAnsi="Book Antiqua"/>
          <w:sz w:val="24"/>
          <w:szCs w:val="24"/>
          <w:lang w:val="en-GB"/>
        </w:rPr>
        <w:t xml:space="preserve"> the pituitary</w:t>
      </w:r>
      <w:r w:rsidRPr="00D20711">
        <w:rPr>
          <w:rFonts w:ascii="Book Antiqua" w:hAnsi="Book Antiqua"/>
          <w:sz w:val="24"/>
          <w:szCs w:val="24"/>
          <w:lang w:val="en-GB"/>
        </w:rPr>
        <w:t xml:space="preserve"> cannot be visualised </w:t>
      </w:r>
      <w:r w:rsidR="00B73753">
        <w:rPr>
          <w:rFonts w:ascii="Book Antiqua" w:hAnsi="Book Antiqua"/>
          <w:sz w:val="24"/>
          <w:szCs w:val="24"/>
          <w:lang w:val="en-GB"/>
        </w:rPr>
        <w:t>by</w:t>
      </w:r>
      <w:r w:rsidR="00B73753" w:rsidRPr="00D20711">
        <w:rPr>
          <w:rFonts w:ascii="Book Antiqua" w:hAnsi="Book Antiqua"/>
          <w:sz w:val="24"/>
          <w:szCs w:val="24"/>
          <w:lang w:val="en-GB"/>
        </w:rPr>
        <w:t xml:space="preserve"> </w:t>
      </w:r>
      <w:r w:rsidRPr="00D20711">
        <w:rPr>
          <w:rFonts w:ascii="Book Antiqua" w:hAnsi="Book Antiqua"/>
          <w:sz w:val="24"/>
          <w:szCs w:val="24"/>
          <w:lang w:val="en-GB"/>
        </w:rPr>
        <w:t>magnetic resonance imaging (MRI). In this condition, the sella turcica also becomes partially or completely filled with cerebrospinal fluid (CSF). Primary empty sella syndrome occurs when there is a defect in the diaphragma sellae accompanied by an increase in CSF pressure</w:t>
      </w:r>
      <w:r w:rsidRPr="00D20711">
        <w:rPr>
          <w:rFonts w:ascii="Book Antiqua" w:hAnsi="Book Antiqua"/>
          <w:sz w:val="24"/>
          <w:szCs w:val="24"/>
          <w:vertAlign w:val="superscript"/>
          <w:lang w:val="en-GB"/>
        </w:rPr>
        <w:t>[3]</w:t>
      </w:r>
      <w:r w:rsidRPr="00D20711">
        <w:rPr>
          <w:rFonts w:ascii="Book Antiqua" w:hAnsi="Book Antiqua"/>
          <w:sz w:val="24"/>
          <w:szCs w:val="24"/>
          <w:lang w:val="en-GB"/>
        </w:rPr>
        <w:t>. Secondary empty sella syndrome occurs when the pituitary gland has been damaged or injured; common causes include malignancy, trans-sphenoidal surgery, radiotherapy, and medications</w:t>
      </w:r>
      <w:r w:rsidRPr="00D20711">
        <w:rPr>
          <w:rFonts w:ascii="Book Antiqua" w:hAnsi="Book Antiqua"/>
          <w:sz w:val="24"/>
          <w:szCs w:val="24"/>
          <w:vertAlign w:val="superscript"/>
          <w:lang w:val="en-GB"/>
        </w:rPr>
        <w:t>[4]</w:t>
      </w:r>
      <w:r w:rsidRPr="00D20711">
        <w:rPr>
          <w:rFonts w:ascii="Book Antiqua" w:hAnsi="Book Antiqua"/>
          <w:sz w:val="24"/>
          <w:szCs w:val="24"/>
          <w:lang w:val="en-GB"/>
        </w:rPr>
        <w:t>. Patients with empty sella syndrome often suffer from headaches, hypertension, obesity, visual disturbances, CSF rhinorrhoea, or endocrine dysfunction. Postoperatively, our patient presented with hypotension and respiratory failure, and was subsequently diagnosed with empty sella syndrome.</w:t>
      </w:r>
    </w:p>
    <w:p w14:paraId="3CF16681" w14:textId="77777777" w:rsidR="00D80BF1" w:rsidRPr="00D20711" w:rsidRDefault="00D80BF1" w:rsidP="004634F7">
      <w:pPr>
        <w:tabs>
          <w:tab w:val="left" w:pos="4790"/>
        </w:tabs>
        <w:spacing w:line="360" w:lineRule="auto"/>
        <w:rPr>
          <w:rFonts w:ascii="Book Antiqua" w:hAnsi="Book Antiqua"/>
          <w:sz w:val="24"/>
          <w:szCs w:val="24"/>
          <w:lang w:val="en-GB"/>
        </w:rPr>
      </w:pPr>
    </w:p>
    <w:p w14:paraId="75A7385E" w14:textId="77777777" w:rsidR="008933EE" w:rsidRPr="00672FF9" w:rsidRDefault="008933EE" w:rsidP="008933EE">
      <w:pPr>
        <w:spacing w:after="12" w:line="360" w:lineRule="auto"/>
        <w:textAlignment w:val="baseline"/>
        <w:rPr>
          <w:rFonts w:ascii="Book Antiqua" w:hAnsi="Book Antiqua"/>
          <w:b/>
          <w:color w:val="000000" w:themeColor="text1"/>
          <w:sz w:val="24"/>
          <w:szCs w:val="24"/>
        </w:rPr>
      </w:pPr>
      <w:r w:rsidRPr="00672FF9">
        <w:rPr>
          <w:rFonts w:ascii="Book Antiqua" w:hAnsi="Book Antiqua"/>
          <w:b/>
          <w:color w:val="000000" w:themeColor="text1"/>
          <w:sz w:val="24"/>
          <w:szCs w:val="24"/>
        </w:rPr>
        <w:t>CASE PRESENTATION</w:t>
      </w:r>
    </w:p>
    <w:p w14:paraId="2CB5D932" w14:textId="77777777" w:rsidR="008933EE" w:rsidRPr="008933EE" w:rsidRDefault="004B3225" w:rsidP="004634F7">
      <w:pPr>
        <w:tabs>
          <w:tab w:val="left" w:pos="4790"/>
        </w:tabs>
        <w:spacing w:line="360" w:lineRule="auto"/>
        <w:rPr>
          <w:rFonts w:ascii="Book Antiqua" w:hAnsi="Book Antiqua"/>
          <w:b/>
          <w:i/>
          <w:sz w:val="24"/>
          <w:szCs w:val="24"/>
          <w:lang w:val="en-GB"/>
        </w:rPr>
      </w:pPr>
      <w:r w:rsidRPr="008933EE">
        <w:rPr>
          <w:rFonts w:ascii="Book Antiqua" w:hAnsi="Book Antiqua"/>
          <w:b/>
          <w:i/>
          <w:sz w:val="24"/>
          <w:szCs w:val="24"/>
          <w:lang w:val="en-GB"/>
        </w:rPr>
        <w:t>Chief complaints</w:t>
      </w:r>
    </w:p>
    <w:p w14:paraId="2400ECDD" w14:textId="3C1EAD51" w:rsidR="004B3225" w:rsidRDefault="004B3225"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Left shoulder pain</w:t>
      </w:r>
      <w:r w:rsidR="000A2989">
        <w:rPr>
          <w:rFonts w:ascii="Book Antiqua" w:hAnsi="Book Antiqua"/>
          <w:sz w:val="24"/>
          <w:szCs w:val="24"/>
          <w:lang w:val="en-GB"/>
        </w:rPr>
        <w:t xml:space="preserve"> and</w:t>
      </w:r>
      <w:r w:rsidR="000A2989" w:rsidRPr="00D20711">
        <w:rPr>
          <w:rFonts w:ascii="Book Antiqua" w:hAnsi="Book Antiqua"/>
          <w:sz w:val="24"/>
          <w:szCs w:val="24"/>
          <w:lang w:val="en-GB"/>
        </w:rPr>
        <w:t xml:space="preserve"> </w:t>
      </w:r>
      <w:r w:rsidR="000A2989">
        <w:rPr>
          <w:rFonts w:ascii="Book Antiqua" w:hAnsi="Book Antiqua"/>
          <w:sz w:val="24"/>
          <w:szCs w:val="24"/>
          <w:lang w:val="en-GB"/>
        </w:rPr>
        <w:t xml:space="preserve">activity </w:t>
      </w:r>
      <w:r w:rsidRPr="00D20711">
        <w:rPr>
          <w:rFonts w:ascii="Book Antiqua" w:hAnsi="Book Antiqua"/>
          <w:sz w:val="24"/>
          <w:szCs w:val="24"/>
          <w:lang w:val="en-GB"/>
        </w:rPr>
        <w:t>restriction for 3 h.</w:t>
      </w:r>
    </w:p>
    <w:p w14:paraId="142A2EDB" w14:textId="77777777" w:rsidR="008933EE" w:rsidRPr="000A2989" w:rsidRDefault="008933EE" w:rsidP="004634F7">
      <w:pPr>
        <w:tabs>
          <w:tab w:val="left" w:pos="4790"/>
        </w:tabs>
        <w:spacing w:line="360" w:lineRule="auto"/>
        <w:rPr>
          <w:rFonts w:ascii="Book Antiqua" w:hAnsi="Book Antiqua"/>
          <w:sz w:val="24"/>
          <w:szCs w:val="24"/>
          <w:lang w:val="en-GB"/>
        </w:rPr>
      </w:pPr>
    </w:p>
    <w:p w14:paraId="4712D41A" w14:textId="77777777" w:rsidR="008933EE" w:rsidRPr="008933EE" w:rsidRDefault="004B3225" w:rsidP="004634F7">
      <w:pPr>
        <w:tabs>
          <w:tab w:val="left" w:pos="4790"/>
        </w:tabs>
        <w:spacing w:line="360" w:lineRule="auto"/>
        <w:rPr>
          <w:rFonts w:ascii="Book Antiqua" w:hAnsi="Book Antiqua"/>
          <w:b/>
          <w:i/>
          <w:sz w:val="24"/>
          <w:szCs w:val="24"/>
          <w:lang w:val="en-GB"/>
        </w:rPr>
      </w:pPr>
      <w:bookmarkStart w:id="12" w:name="OLE_LINK21"/>
      <w:r w:rsidRPr="008933EE">
        <w:rPr>
          <w:rFonts w:ascii="Book Antiqua" w:hAnsi="Book Antiqua"/>
          <w:b/>
          <w:i/>
          <w:sz w:val="24"/>
          <w:szCs w:val="24"/>
          <w:lang w:val="en-GB"/>
        </w:rPr>
        <w:t>History of present illness</w:t>
      </w:r>
    </w:p>
    <w:p w14:paraId="3F65866B" w14:textId="7FEBDD74" w:rsidR="008933EE" w:rsidRDefault="00AC522E" w:rsidP="004634F7">
      <w:pPr>
        <w:tabs>
          <w:tab w:val="left" w:pos="4790"/>
        </w:tabs>
        <w:spacing w:line="360" w:lineRule="auto"/>
        <w:rPr>
          <w:rFonts w:ascii="Book Antiqua" w:hAnsi="Book Antiqua"/>
          <w:sz w:val="24"/>
          <w:szCs w:val="24"/>
          <w:lang w:val="en-GB"/>
        </w:rPr>
      </w:pPr>
      <w:r w:rsidRPr="00D20711">
        <w:rPr>
          <w:rFonts w:ascii="Book Antiqua" w:hAnsi="Book Antiqua"/>
          <w:sz w:val="24"/>
          <w:szCs w:val="24"/>
          <w:lang w:val="en-GB"/>
        </w:rPr>
        <w:t xml:space="preserve">A 60-year-old man was admitted for further workup of left shoulder pain. X-ray demonstrated a left distal clavicle and shoulder blade fracture. He was assessed by the orthopaedics team and booked for internal fixation of the left clavicle. General anaesthesia with a nerve block was administered. Pre-operative vitals included a blood pressure (BP) of 120/63 mmHg, </w:t>
      </w:r>
      <w:r w:rsidR="00B73753">
        <w:rPr>
          <w:rFonts w:ascii="Book Antiqua" w:hAnsi="Book Antiqua"/>
          <w:sz w:val="24"/>
          <w:szCs w:val="24"/>
          <w:lang w:val="en-GB"/>
        </w:rPr>
        <w:t>heart rate</w:t>
      </w:r>
      <w:r w:rsidR="00B73753" w:rsidRPr="00D20711">
        <w:rPr>
          <w:rFonts w:ascii="Book Antiqua" w:hAnsi="Book Antiqua"/>
          <w:sz w:val="24"/>
          <w:szCs w:val="24"/>
          <w:lang w:val="en-GB"/>
        </w:rPr>
        <w:t xml:space="preserve"> </w:t>
      </w:r>
      <w:r w:rsidR="00B73753">
        <w:rPr>
          <w:rFonts w:ascii="Book Antiqua" w:hAnsi="Book Antiqua"/>
          <w:sz w:val="24"/>
          <w:szCs w:val="24"/>
          <w:lang w:val="en-GB"/>
        </w:rPr>
        <w:t>(</w:t>
      </w:r>
      <w:r w:rsidR="00B73753" w:rsidRPr="00D20711">
        <w:rPr>
          <w:rFonts w:ascii="Book Antiqua" w:hAnsi="Book Antiqua"/>
          <w:sz w:val="24"/>
          <w:szCs w:val="24"/>
          <w:lang w:val="en-GB"/>
        </w:rPr>
        <w:t>HR</w:t>
      </w:r>
      <w:r w:rsidR="00B73753">
        <w:rPr>
          <w:rFonts w:ascii="Book Antiqua" w:hAnsi="Book Antiqua"/>
          <w:sz w:val="24"/>
          <w:szCs w:val="24"/>
          <w:lang w:val="en-GB"/>
        </w:rPr>
        <w:t xml:space="preserve">) </w:t>
      </w:r>
      <w:r w:rsidRPr="00D20711">
        <w:rPr>
          <w:rFonts w:ascii="Book Antiqua" w:hAnsi="Book Antiqua"/>
          <w:sz w:val="24"/>
          <w:szCs w:val="24"/>
          <w:lang w:val="en-GB"/>
        </w:rPr>
        <w:t>of 65 bpm, and SpO</w:t>
      </w:r>
      <w:r w:rsidRPr="00D20711">
        <w:rPr>
          <w:rFonts w:ascii="Book Antiqua" w:hAnsi="Book Antiqua"/>
          <w:sz w:val="24"/>
          <w:szCs w:val="24"/>
          <w:vertAlign w:val="subscript"/>
          <w:lang w:val="en-GB"/>
        </w:rPr>
        <w:t xml:space="preserve">2 </w:t>
      </w:r>
      <w:r w:rsidRPr="00D20711">
        <w:rPr>
          <w:rFonts w:ascii="Book Antiqua" w:hAnsi="Book Antiqua"/>
          <w:sz w:val="24"/>
          <w:szCs w:val="24"/>
          <w:lang w:val="en-GB"/>
        </w:rPr>
        <w:t xml:space="preserve">of 95% in room air. After induction, BP and HR decreased to 90/52 mmHg and 50 bpm, respectively. A 6 mg dose of ephedrine was given intravenously. A total of 24 mg ephedrine was given over the whole operation. No further muscle relaxants were required. The surgery was </w:t>
      </w:r>
      <w:r w:rsidRPr="00D20711">
        <w:rPr>
          <w:rFonts w:ascii="Book Antiqua" w:hAnsi="Book Antiqua"/>
          <w:sz w:val="24"/>
          <w:szCs w:val="24"/>
          <w:lang w:val="en-GB"/>
        </w:rPr>
        <w:lastRenderedPageBreak/>
        <w:t>uneventful and lasted for 1 h. Total blood l</w:t>
      </w:r>
      <w:r w:rsidR="008933EE">
        <w:rPr>
          <w:rFonts w:ascii="Book Antiqua" w:hAnsi="Book Antiqua"/>
          <w:sz w:val="24"/>
          <w:szCs w:val="24"/>
          <w:lang w:val="en-GB"/>
        </w:rPr>
        <w:t>oss was 100 mL and a total of 1</w:t>
      </w:r>
      <w:r w:rsidRPr="00D20711">
        <w:rPr>
          <w:rFonts w:ascii="Book Antiqua" w:hAnsi="Book Antiqua"/>
          <w:sz w:val="24"/>
          <w:szCs w:val="24"/>
          <w:lang w:val="en-GB"/>
        </w:rPr>
        <w:t>000 m</w:t>
      </w:r>
      <w:r w:rsidR="008933EE" w:rsidRPr="00D20711">
        <w:rPr>
          <w:rFonts w:ascii="Book Antiqua" w:hAnsi="Book Antiqua"/>
          <w:sz w:val="24"/>
          <w:szCs w:val="24"/>
          <w:lang w:val="en-GB"/>
        </w:rPr>
        <w:t>L</w:t>
      </w:r>
      <w:r w:rsidR="00B73753">
        <w:rPr>
          <w:rFonts w:ascii="Book Antiqua" w:hAnsi="Book Antiqua"/>
          <w:sz w:val="24"/>
          <w:szCs w:val="24"/>
          <w:lang w:val="en-GB"/>
        </w:rPr>
        <w:t xml:space="preserve"> of</w:t>
      </w:r>
      <w:r w:rsidR="008933EE" w:rsidRPr="00D20711">
        <w:rPr>
          <w:rFonts w:ascii="Book Antiqua" w:hAnsi="Book Antiqua"/>
          <w:sz w:val="24"/>
          <w:szCs w:val="24"/>
          <w:lang w:val="en-GB"/>
        </w:rPr>
        <w:t xml:space="preserve"> </w:t>
      </w:r>
      <w:r w:rsidRPr="00D20711">
        <w:rPr>
          <w:rFonts w:ascii="Book Antiqua" w:hAnsi="Book Antiqua"/>
          <w:sz w:val="24"/>
          <w:szCs w:val="24"/>
          <w:lang w:val="en-GB"/>
        </w:rPr>
        <w:t>crystalloid was given. After surgery, he was transferred to the post-anaesthesia care unit to continue machine ventilation. The patient began spontaneously breathing at 40 min postoperatively, at which point the laryngeal mask was removed and an oxygen mask provided. However, SpO</w:t>
      </w:r>
      <w:r w:rsidRPr="008933EE">
        <w:rPr>
          <w:rFonts w:ascii="Book Antiqua" w:hAnsi="Book Antiqua"/>
          <w:sz w:val="24"/>
          <w:szCs w:val="24"/>
          <w:vertAlign w:val="subscript"/>
          <w:lang w:val="en-GB"/>
        </w:rPr>
        <w:t>2</w:t>
      </w:r>
      <w:r w:rsidRPr="00D20711">
        <w:rPr>
          <w:rFonts w:ascii="Book Antiqua" w:hAnsi="Book Antiqua"/>
          <w:sz w:val="24"/>
          <w:szCs w:val="24"/>
          <w:lang w:val="en-GB"/>
        </w:rPr>
        <w:t xml:space="preserve"> remained below 92% without the use of the oxygen mask. The patient was subsequently admitted to the orthopaedics ward. Vitals at that time were BP 115/76 mmHg, HR 72 bpm, SPO</w:t>
      </w:r>
      <w:r w:rsidRPr="00D20711">
        <w:rPr>
          <w:rFonts w:ascii="Book Antiqua" w:hAnsi="Book Antiqua"/>
          <w:sz w:val="24"/>
          <w:szCs w:val="24"/>
          <w:vertAlign w:val="subscript"/>
          <w:lang w:val="en-GB"/>
        </w:rPr>
        <w:t>2</w:t>
      </w:r>
      <w:r w:rsidRPr="00D20711">
        <w:rPr>
          <w:rFonts w:ascii="Book Antiqua" w:hAnsi="Book Antiqua"/>
          <w:sz w:val="24"/>
          <w:szCs w:val="24"/>
          <w:lang w:val="en-GB"/>
        </w:rPr>
        <w:t xml:space="preserve"> 99%, and temperature (T) 37.2</w:t>
      </w:r>
      <w:r w:rsidRPr="00D20711">
        <w:rPr>
          <w:rFonts w:ascii="宋体" w:hAnsi="宋体" w:cs="宋体" w:hint="eastAsia"/>
          <w:sz w:val="24"/>
          <w:szCs w:val="24"/>
          <w:lang w:val="en-GB"/>
        </w:rPr>
        <w:t>℃</w:t>
      </w:r>
      <w:r w:rsidRPr="00D20711">
        <w:rPr>
          <w:rFonts w:ascii="Book Antiqua" w:hAnsi="Book Antiqua"/>
          <w:sz w:val="24"/>
          <w:szCs w:val="24"/>
          <w:lang w:val="en-GB"/>
        </w:rPr>
        <w:t xml:space="preserve">. </w:t>
      </w:r>
    </w:p>
    <w:p w14:paraId="07A1ECC1" w14:textId="7396FF1F" w:rsidR="00AC522E" w:rsidRPr="00D20711" w:rsidRDefault="00AC522E" w:rsidP="008933EE">
      <w:pPr>
        <w:tabs>
          <w:tab w:val="left" w:pos="4790"/>
        </w:tabs>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 xml:space="preserve">Unfortunately, his BP continued to decrease over the next 6 hours, to 80/50 mmHg. The next morning, the patient appeared confused and was not cognisant to person, place, or time. Arterial blood gas indicated respiratory acidosis without any evidence of electrolyte imbalance. Due to increasing respiratory distress, emergent intubation was performed and the patient was transferred to the intensive care unit for machine-assisted ventilation and vasopressor medications. Over the next 2 d, there was minimal improvement in the patient’s condition despite ongoing treatment. </w:t>
      </w:r>
    </w:p>
    <w:p w14:paraId="3CF16686" w14:textId="169BB3F6" w:rsidR="004E0719" w:rsidRDefault="00AC522E" w:rsidP="008933EE">
      <w:pPr>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Careful review of the patient’s history, as provided by his family, revealed that over the last year, he began demonstrating signs of progressive indifference, lack of communication, and lethargy. Further physical examination revealed a diffuse loss of body hair and dry skin. This new information, combined with the current episode of hypotension and respiratory distress, strongly suggested a possible aetiology of hormonal dysfunction. As such, endocrine tests were performed,</w:t>
      </w:r>
      <w:r w:rsidR="004B3225" w:rsidRPr="00D20711">
        <w:rPr>
          <w:rFonts w:ascii="Book Antiqua" w:hAnsi="Book Antiqua"/>
          <w:sz w:val="24"/>
          <w:szCs w:val="24"/>
          <w:lang w:val="en-GB"/>
        </w:rPr>
        <w:t xml:space="preserve"> </w:t>
      </w:r>
      <w:r w:rsidRPr="00D20711">
        <w:rPr>
          <w:rFonts w:ascii="Book Antiqua" w:hAnsi="Book Antiqua"/>
          <w:sz w:val="24"/>
          <w:szCs w:val="24"/>
          <w:lang w:val="en-GB"/>
        </w:rPr>
        <w:t>with the results supporting a diagnosis of hypopituitarism with hypocortisolism and hypothyroidism. Then</w:t>
      </w:r>
      <w:r w:rsidR="000A2989">
        <w:rPr>
          <w:rFonts w:ascii="Book Antiqua" w:hAnsi="Book Antiqua"/>
          <w:sz w:val="24"/>
          <w:szCs w:val="24"/>
          <w:lang w:val="en-GB"/>
        </w:rPr>
        <w:t>,</w:t>
      </w:r>
      <w:r w:rsidRPr="00D20711">
        <w:rPr>
          <w:rFonts w:ascii="Book Antiqua" w:hAnsi="Book Antiqua"/>
          <w:sz w:val="24"/>
          <w:szCs w:val="24"/>
          <w:lang w:val="en-GB"/>
        </w:rPr>
        <w:t xml:space="preserve"> he </w:t>
      </w:r>
      <w:r w:rsidR="000A2989">
        <w:rPr>
          <w:rFonts w:ascii="Book Antiqua" w:hAnsi="Book Antiqua"/>
          <w:sz w:val="24"/>
          <w:szCs w:val="24"/>
          <w:lang w:val="en-GB"/>
        </w:rPr>
        <w:t>underwent</w:t>
      </w:r>
      <w:r w:rsidRPr="00D20711">
        <w:rPr>
          <w:rFonts w:ascii="Book Antiqua" w:hAnsi="Book Antiqua"/>
          <w:sz w:val="24"/>
          <w:szCs w:val="24"/>
          <w:lang w:val="en-GB"/>
        </w:rPr>
        <w:t xml:space="preserve"> brain MRI.</w:t>
      </w:r>
      <w:bookmarkStart w:id="13" w:name="OLE_LINK24"/>
      <w:bookmarkStart w:id="14" w:name="OLE_LINK25"/>
      <w:r w:rsidR="004E0719" w:rsidRPr="00D20711">
        <w:rPr>
          <w:rFonts w:ascii="Book Antiqua" w:hAnsi="Book Antiqua"/>
          <w:sz w:val="24"/>
          <w:szCs w:val="24"/>
          <w:lang w:val="en-GB"/>
        </w:rPr>
        <w:t xml:space="preserve"> </w:t>
      </w:r>
      <w:bookmarkEnd w:id="13"/>
      <w:bookmarkEnd w:id="14"/>
    </w:p>
    <w:p w14:paraId="02C64073" w14:textId="77777777" w:rsidR="008933EE" w:rsidRPr="00D20711" w:rsidRDefault="008933EE" w:rsidP="008933EE">
      <w:pPr>
        <w:spacing w:line="360" w:lineRule="auto"/>
        <w:ind w:firstLineChars="100" w:firstLine="240"/>
        <w:rPr>
          <w:rFonts w:ascii="Book Antiqua" w:hAnsi="Book Antiqua"/>
          <w:sz w:val="24"/>
          <w:szCs w:val="24"/>
          <w:lang w:val="en-GB"/>
        </w:rPr>
      </w:pPr>
    </w:p>
    <w:p w14:paraId="71F10353"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History of past illness</w:t>
      </w:r>
    </w:p>
    <w:p w14:paraId="478A3E18" w14:textId="46197CDD" w:rsidR="004B3225"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He denied any other medical conditions.</w:t>
      </w:r>
    </w:p>
    <w:p w14:paraId="5AD811E9" w14:textId="77777777" w:rsidR="008933EE" w:rsidRPr="00D20711" w:rsidRDefault="008933EE" w:rsidP="004634F7">
      <w:pPr>
        <w:spacing w:line="360" w:lineRule="auto"/>
        <w:rPr>
          <w:rFonts w:ascii="Book Antiqua" w:hAnsi="Book Antiqua"/>
          <w:sz w:val="24"/>
          <w:szCs w:val="24"/>
          <w:lang w:val="en-GB"/>
        </w:rPr>
      </w:pPr>
    </w:p>
    <w:p w14:paraId="119F5D6B"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Personal and family history</w:t>
      </w:r>
    </w:p>
    <w:p w14:paraId="23CE6F8E" w14:textId="6FDFA27E" w:rsidR="004B3225" w:rsidRPr="00D20711"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lastRenderedPageBreak/>
        <w:t>He worked as a manual labourer. He ne</w:t>
      </w:r>
      <w:r w:rsidR="000A2989">
        <w:rPr>
          <w:rFonts w:ascii="Book Antiqua" w:hAnsi="Book Antiqua"/>
          <w:sz w:val="24"/>
          <w:szCs w:val="24"/>
          <w:lang w:val="en-GB"/>
        </w:rPr>
        <w:t>i</w:t>
      </w:r>
      <w:r w:rsidRPr="00D20711">
        <w:rPr>
          <w:rFonts w:ascii="Book Antiqua" w:hAnsi="Book Antiqua"/>
          <w:sz w:val="24"/>
          <w:szCs w:val="24"/>
          <w:lang w:val="en-GB"/>
        </w:rPr>
        <w:t xml:space="preserve">ther smokes nor drinks. </w:t>
      </w:r>
    </w:p>
    <w:p w14:paraId="2545875A" w14:textId="77777777" w:rsidR="008933EE" w:rsidRPr="000A2989" w:rsidRDefault="008933EE" w:rsidP="004634F7">
      <w:pPr>
        <w:spacing w:line="360" w:lineRule="auto"/>
        <w:rPr>
          <w:rFonts w:ascii="Book Antiqua" w:hAnsi="Book Antiqua"/>
          <w:sz w:val="24"/>
          <w:szCs w:val="24"/>
          <w:lang w:val="en-GB"/>
        </w:rPr>
      </w:pPr>
    </w:p>
    <w:p w14:paraId="69A7CB17" w14:textId="77777777" w:rsidR="008933EE" w:rsidRPr="008933EE" w:rsidRDefault="004B3225"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Phys</w:t>
      </w:r>
      <w:r w:rsidR="008933EE" w:rsidRPr="008933EE">
        <w:rPr>
          <w:rFonts w:ascii="Book Antiqua" w:hAnsi="Book Antiqua"/>
          <w:b/>
          <w:i/>
          <w:sz w:val="24"/>
          <w:szCs w:val="24"/>
          <w:lang w:val="en-GB"/>
        </w:rPr>
        <w:t>ical examination upon admission</w:t>
      </w:r>
    </w:p>
    <w:p w14:paraId="0BD3846D" w14:textId="7169AFFC" w:rsidR="004B3225"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The left shoulder joint is tender, the snoring pain is positive, </w:t>
      </w:r>
      <w:r w:rsidR="000A2989">
        <w:rPr>
          <w:rFonts w:ascii="Book Antiqua" w:hAnsi="Book Antiqua"/>
          <w:sz w:val="24"/>
          <w:szCs w:val="24"/>
          <w:lang w:val="en-GB"/>
        </w:rPr>
        <w:t xml:space="preserve">and </w:t>
      </w:r>
      <w:r w:rsidRPr="00D20711">
        <w:rPr>
          <w:rFonts w:ascii="Book Antiqua" w:hAnsi="Book Antiqua"/>
          <w:sz w:val="24"/>
          <w:szCs w:val="24"/>
          <w:lang w:val="en-GB"/>
        </w:rPr>
        <w:t>the activity is limited.</w:t>
      </w:r>
    </w:p>
    <w:p w14:paraId="27833C37" w14:textId="77777777" w:rsidR="008933EE" w:rsidRPr="00D20711" w:rsidRDefault="008933EE" w:rsidP="004634F7">
      <w:pPr>
        <w:spacing w:line="360" w:lineRule="auto"/>
        <w:rPr>
          <w:rFonts w:ascii="Book Antiqua" w:hAnsi="Book Antiqua"/>
          <w:sz w:val="24"/>
          <w:szCs w:val="24"/>
          <w:lang w:val="en-GB"/>
        </w:rPr>
      </w:pPr>
    </w:p>
    <w:p w14:paraId="0669CB70" w14:textId="77777777" w:rsidR="008933EE" w:rsidRPr="008933EE" w:rsidRDefault="004B3225"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Laboratory examinations</w:t>
      </w:r>
    </w:p>
    <w:p w14:paraId="7DB44652" w14:textId="1BDD5E23" w:rsidR="004B3225" w:rsidRDefault="008933EE"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Haemoglobin </w:t>
      </w:r>
      <w:r w:rsidR="004B3225" w:rsidRPr="00D20711">
        <w:rPr>
          <w:rFonts w:ascii="Book Antiqua" w:hAnsi="Book Antiqua"/>
          <w:sz w:val="24"/>
          <w:szCs w:val="24"/>
          <w:lang w:val="en-GB"/>
        </w:rPr>
        <w:t xml:space="preserve">concentration </w:t>
      </w:r>
      <w:r w:rsidR="000A2989">
        <w:rPr>
          <w:rFonts w:ascii="Book Antiqua" w:hAnsi="Book Antiqua"/>
          <w:sz w:val="24"/>
          <w:szCs w:val="24"/>
          <w:lang w:val="en-GB"/>
        </w:rPr>
        <w:t xml:space="preserve">was </w:t>
      </w:r>
      <w:r w:rsidR="004B3225" w:rsidRPr="00D20711">
        <w:rPr>
          <w:rFonts w:ascii="Book Antiqua" w:hAnsi="Book Antiqua"/>
          <w:sz w:val="24"/>
          <w:szCs w:val="24"/>
          <w:lang w:val="en-GB"/>
        </w:rPr>
        <w:t>108 g/d</w:t>
      </w:r>
      <w:r w:rsidRPr="00D20711">
        <w:rPr>
          <w:rFonts w:ascii="Book Antiqua" w:hAnsi="Book Antiqua"/>
          <w:sz w:val="24"/>
          <w:szCs w:val="24"/>
          <w:lang w:val="en-GB"/>
        </w:rPr>
        <w:t>L</w:t>
      </w:r>
      <w:r w:rsidR="004B3225" w:rsidRPr="00D20711">
        <w:rPr>
          <w:rFonts w:ascii="Book Antiqua" w:hAnsi="Book Antiqua"/>
          <w:sz w:val="24"/>
          <w:szCs w:val="24"/>
          <w:lang w:val="en-GB"/>
        </w:rPr>
        <w:t>. The results of endoc</w:t>
      </w:r>
      <w:r>
        <w:rPr>
          <w:rFonts w:ascii="Book Antiqua" w:hAnsi="Book Antiqua"/>
          <w:sz w:val="24"/>
          <w:szCs w:val="24"/>
          <w:lang w:val="en-GB"/>
        </w:rPr>
        <w:t xml:space="preserve">rine tests </w:t>
      </w:r>
      <w:r w:rsidR="000A2989">
        <w:rPr>
          <w:rFonts w:ascii="Book Antiqua" w:hAnsi="Book Antiqua"/>
          <w:sz w:val="24"/>
          <w:szCs w:val="24"/>
          <w:lang w:val="en-GB"/>
        </w:rPr>
        <w:t xml:space="preserve">are </w:t>
      </w:r>
      <w:r>
        <w:rPr>
          <w:rFonts w:ascii="Book Antiqua" w:hAnsi="Book Antiqua"/>
          <w:sz w:val="24"/>
          <w:szCs w:val="24"/>
          <w:lang w:val="en-GB"/>
        </w:rPr>
        <w:t xml:space="preserve">listed in Table </w:t>
      </w:r>
      <w:r w:rsidR="004B3225" w:rsidRPr="00D20711">
        <w:rPr>
          <w:rFonts w:ascii="Book Antiqua" w:hAnsi="Book Antiqua"/>
          <w:sz w:val="24"/>
          <w:szCs w:val="24"/>
          <w:lang w:val="en-GB"/>
        </w:rPr>
        <w:t>1.</w:t>
      </w:r>
    </w:p>
    <w:p w14:paraId="4CE8B287" w14:textId="77777777" w:rsidR="008933EE" w:rsidRPr="00D20711" w:rsidRDefault="008933EE" w:rsidP="004634F7">
      <w:pPr>
        <w:spacing w:line="360" w:lineRule="auto"/>
        <w:rPr>
          <w:rFonts w:ascii="Book Antiqua" w:hAnsi="Book Antiqua"/>
          <w:sz w:val="24"/>
          <w:szCs w:val="24"/>
          <w:lang w:val="en-GB"/>
        </w:rPr>
      </w:pPr>
    </w:p>
    <w:p w14:paraId="73541EA6" w14:textId="77777777" w:rsidR="008933EE" w:rsidRPr="008933EE" w:rsidRDefault="008933EE" w:rsidP="004634F7">
      <w:pPr>
        <w:spacing w:line="360" w:lineRule="auto"/>
        <w:rPr>
          <w:rFonts w:ascii="Book Antiqua" w:hAnsi="Book Antiqua"/>
          <w:b/>
          <w:i/>
          <w:sz w:val="24"/>
          <w:szCs w:val="24"/>
          <w:lang w:val="en-GB"/>
        </w:rPr>
      </w:pPr>
      <w:r w:rsidRPr="008933EE">
        <w:rPr>
          <w:rFonts w:ascii="Book Antiqua" w:hAnsi="Book Antiqua"/>
          <w:b/>
          <w:i/>
          <w:sz w:val="24"/>
          <w:szCs w:val="24"/>
          <w:lang w:val="en-GB"/>
        </w:rPr>
        <w:t>Imaging examinations</w:t>
      </w:r>
    </w:p>
    <w:p w14:paraId="046A690A" w14:textId="5E92733E" w:rsidR="004B3225" w:rsidRPr="00D20711" w:rsidRDefault="004B3225" w:rsidP="004634F7">
      <w:pPr>
        <w:spacing w:line="360" w:lineRule="auto"/>
        <w:rPr>
          <w:rFonts w:ascii="Book Antiqua" w:hAnsi="Book Antiqua"/>
          <w:sz w:val="24"/>
          <w:szCs w:val="24"/>
          <w:lang w:val="en-GB"/>
        </w:rPr>
      </w:pPr>
      <w:r w:rsidRPr="00D20711">
        <w:rPr>
          <w:rFonts w:ascii="Book Antiqua" w:hAnsi="Book Antiqua"/>
          <w:sz w:val="24"/>
          <w:szCs w:val="24"/>
          <w:lang w:val="en-GB"/>
        </w:rPr>
        <w:t xml:space="preserve">X-ray of </w:t>
      </w:r>
      <w:r w:rsidR="000A2989">
        <w:rPr>
          <w:rFonts w:ascii="Book Antiqua" w:hAnsi="Book Antiqua"/>
          <w:sz w:val="24"/>
          <w:szCs w:val="24"/>
          <w:lang w:val="en-GB"/>
        </w:rPr>
        <w:t xml:space="preserve">the </w:t>
      </w:r>
      <w:r w:rsidRPr="00D20711">
        <w:rPr>
          <w:rFonts w:ascii="Book Antiqua" w:hAnsi="Book Antiqua"/>
          <w:sz w:val="24"/>
          <w:szCs w:val="24"/>
          <w:lang w:val="en-GB"/>
        </w:rPr>
        <w:t>shoulder demonstrated a left distal clavicle. Brain computed tomography revealed a low density shadow in the saddle region of the brain. Brain MRI (Fig</w:t>
      </w:r>
      <w:r w:rsidR="008933EE">
        <w:rPr>
          <w:rFonts w:ascii="Book Antiqua" w:hAnsi="Book Antiqua" w:hint="eastAsia"/>
          <w:sz w:val="24"/>
          <w:szCs w:val="24"/>
          <w:lang w:val="en-GB"/>
        </w:rPr>
        <w:t xml:space="preserve">ure </w:t>
      </w:r>
      <w:r w:rsidR="0078005E">
        <w:rPr>
          <w:rFonts w:ascii="Book Antiqua" w:hAnsi="Book Antiqua" w:hint="eastAsia"/>
          <w:sz w:val="24"/>
          <w:szCs w:val="24"/>
          <w:lang w:val="en-GB"/>
        </w:rPr>
        <w:t>1</w:t>
      </w:r>
      <w:r w:rsidRPr="00D20711">
        <w:rPr>
          <w:rFonts w:ascii="Book Antiqua" w:hAnsi="Book Antiqua"/>
          <w:sz w:val="24"/>
          <w:szCs w:val="24"/>
          <w:lang w:val="en-GB"/>
        </w:rPr>
        <w:t>) demonstrated that the sella was enlarged and filled with CSF.</w:t>
      </w:r>
    </w:p>
    <w:bookmarkEnd w:id="12"/>
    <w:p w14:paraId="3CF166B1" w14:textId="10B2B0AD" w:rsidR="00EE509D" w:rsidRPr="00D20711" w:rsidRDefault="00EE509D" w:rsidP="004634F7">
      <w:pPr>
        <w:spacing w:line="360" w:lineRule="auto"/>
        <w:rPr>
          <w:rFonts w:ascii="Book Antiqua" w:hAnsi="Book Antiqua"/>
          <w:sz w:val="24"/>
          <w:szCs w:val="24"/>
          <w:lang w:val="en-GB"/>
        </w:rPr>
      </w:pPr>
    </w:p>
    <w:p w14:paraId="3CF166B2" w14:textId="26C3ED40"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FINAL DIAGNOSIS</w:t>
      </w:r>
    </w:p>
    <w:p w14:paraId="23ADC000" w14:textId="3DDA0898" w:rsidR="00163643" w:rsidRDefault="00607FEE" w:rsidP="004634F7">
      <w:pPr>
        <w:adjustRightInd w:val="0"/>
        <w:snapToGrid w:val="0"/>
        <w:spacing w:line="360" w:lineRule="auto"/>
        <w:rPr>
          <w:rFonts w:ascii="Book Antiqua" w:hAnsi="Book Antiqua"/>
          <w:kern w:val="0"/>
          <w:sz w:val="24"/>
          <w:szCs w:val="24"/>
          <w:lang w:val="en-GB"/>
        </w:rPr>
      </w:pPr>
      <w:r w:rsidRPr="00D20711">
        <w:rPr>
          <w:rFonts w:ascii="Book Antiqua" w:hAnsi="Book Antiqua"/>
          <w:kern w:val="0"/>
          <w:sz w:val="24"/>
          <w:szCs w:val="24"/>
          <w:lang w:val="en-GB"/>
        </w:rPr>
        <w:t>Empty sella syndrome</w:t>
      </w:r>
      <w:r w:rsidR="00947B06" w:rsidRPr="00D20711">
        <w:rPr>
          <w:rFonts w:ascii="Book Antiqua" w:hAnsi="Book Antiqua"/>
          <w:kern w:val="0"/>
          <w:sz w:val="24"/>
          <w:szCs w:val="24"/>
          <w:lang w:val="en-GB"/>
        </w:rPr>
        <w:t>.</w:t>
      </w:r>
    </w:p>
    <w:p w14:paraId="457171BD" w14:textId="77777777" w:rsidR="006525A0" w:rsidRPr="00D20711" w:rsidRDefault="006525A0" w:rsidP="004634F7">
      <w:pPr>
        <w:adjustRightInd w:val="0"/>
        <w:snapToGrid w:val="0"/>
        <w:spacing w:line="360" w:lineRule="auto"/>
        <w:rPr>
          <w:rFonts w:ascii="Book Antiqua" w:hAnsi="Book Antiqua"/>
          <w:sz w:val="24"/>
          <w:szCs w:val="24"/>
        </w:rPr>
      </w:pPr>
    </w:p>
    <w:p w14:paraId="3CF166B3" w14:textId="29B18578"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TREATMENT</w:t>
      </w:r>
    </w:p>
    <w:p w14:paraId="42351803" w14:textId="0CC3E18E" w:rsidR="00607FEE" w:rsidRDefault="00607FEE" w:rsidP="004634F7">
      <w:pPr>
        <w:adjustRightInd w:val="0"/>
        <w:snapToGrid w:val="0"/>
        <w:spacing w:line="360" w:lineRule="auto"/>
        <w:rPr>
          <w:rFonts w:ascii="Book Antiqua" w:hAnsi="Book Antiqua"/>
          <w:sz w:val="24"/>
          <w:szCs w:val="24"/>
          <w:lang w:val="en-GB"/>
        </w:rPr>
      </w:pPr>
      <w:r w:rsidRPr="00D20711">
        <w:rPr>
          <w:rFonts w:ascii="Book Antiqua" w:hAnsi="Book Antiqua"/>
          <w:sz w:val="24"/>
          <w:szCs w:val="24"/>
          <w:lang w:val="en-GB"/>
        </w:rPr>
        <w:t xml:space="preserve">The patient was started on replacement therapy with once-daily intravenous </w:t>
      </w:r>
      <w:r w:rsidRPr="00D20711">
        <w:rPr>
          <w:rFonts w:ascii="Book Antiqua" w:hAnsi="Book Antiqua"/>
          <w:kern w:val="0"/>
          <w:sz w:val="24"/>
          <w:szCs w:val="24"/>
          <w:lang w:val="en-GB"/>
        </w:rPr>
        <w:t>hydrocortisone</w:t>
      </w:r>
      <w:r w:rsidRPr="00D20711">
        <w:rPr>
          <w:rFonts w:ascii="Book Antiqua" w:hAnsi="Book Antiqua"/>
          <w:sz w:val="24"/>
          <w:szCs w:val="24"/>
          <w:lang w:val="en-GB"/>
        </w:rPr>
        <w:t xml:space="preserve"> 100 mg. After 3 d, levothyroxine was added.</w:t>
      </w:r>
      <w:r w:rsidR="00947B06" w:rsidRPr="00D20711">
        <w:rPr>
          <w:rFonts w:ascii="Book Antiqua" w:hAnsi="Book Antiqua"/>
          <w:sz w:val="24"/>
          <w:szCs w:val="24"/>
          <w:lang w:val="en-GB"/>
        </w:rPr>
        <w:t xml:space="preserve"> </w:t>
      </w:r>
    </w:p>
    <w:p w14:paraId="1A5A1427" w14:textId="77777777" w:rsidR="006525A0" w:rsidRPr="00D20711" w:rsidRDefault="006525A0" w:rsidP="004634F7">
      <w:pPr>
        <w:adjustRightInd w:val="0"/>
        <w:snapToGrid w:val="0"/>
        <w:spacing w:line="360" w:lineRule="auto"/>
        <w:rPr>
          <w:rFonts w:ascii="Book Antiqua" w:hAnsi="Book Antiqua"/>
          <w:b/>
          <w:sz w:val="24"/>
          <w:szCs w:val="24"/>
        </w:rPr>
      </w:pPr>
    </w:p>
    <w:p w14:paraId="3CF166B4" w14:textId="04B7424C" w:rsidR="00EE509D" w:rsidRPr="00D20711" w:rsidRDefault="006525A0" w:rsidP="004634F7">
      <w:pPr>
        <w:adjustRightInd w:val="0"/>
        <w:snapToGrid w:val="0"/>
        <w:spacing w:line="360" w:lineRule="auto"/>
        <w:rPr>
          <w:rFonts w:ascii="Book Antiqua" w:hAnsi="Book Antiqua"/>
          <w:b/>
          <w:sz w:val="24"/>
          <w:szCs w:val="24"/>
        </w:rPr>
      </w:pPr>
      <w:r w:rsidRPr="00D20711">
        <w:rPr>
          <w:rFonts w:ascii="Book Antiqua" w:hAnsi="Book Antiqua"/>
          <w:b/>
          <w:sz w:val="24"/>
          <w:szCs w:val="24"/>
        </w:rPr>
        <w:t>OUTCOME AND FOLLOW-UP</w:t>
      </w:r>
    </w:p>
    <w:p w14:paraId="5F827EA4" w14:textId="0577124A" w:rsidR="00D476DE" w:rsidRPr="00D20711" w:rsidRDefault="00947B06" w:rsidP="004634F7">
      <w:pPr>
        <w:adjustRightInd w:val="0"/>
        <w:snapToGrid w:val="0"/>
        <w:spacing w:line="360" w:lineRule="auto"/>
        <w:rPr>
          <w:rFonts w:ascii="Book Antiqua" w:hAnsi="Book Antiqua"/>
          <w:b/>
          <w:sz w:val="24"/>
          <w:szCs w:val="24"/>
        </w:rPr>
      </w:pPr>
      <w:r w:rsidRPr="00D20711">
        <w:rPr>
          <w:rFonts w:ascii="Book Antiqua" w:hAnsi="Book Antiqua"/>
          <w:sz w:val="24"/>
          <w:szCs w:val="24"/>
        </w:rPr>
        <w:t xml:space="preserve">The patient’s consciousness and breathing improved progressively and the endotracheal catheter was removed after 5 d of treatment. </w:t>
      </w:r>
      <w:r w:rsidR="00EB7D73" w:rsidRPr="00D20711">
        <w:rPr>
          <w:rFonts w:ascii="Book Antiqua" w:hAnsi="Book Antiqua"/>
          <w:sz w:val="24"/>
          <w:szCs w:val="24"/>
        </w:rPr>
        <w:t>He continued oral medication after he was discharged and was followed regularly to the department of endocrinology.</w:t>
      </w:r>
    </w:p>
    <w:p w14:paraId="3CF166B5" w14:textId="77777777" w:rsidR="00EE509D" w:rsidRPr="00D20711" w:rsidRDefault="00EE509D" w:rsidP="004634F7">
      <w:pPr>
        <w:spacing w:line="360" w:lineRule="auto"/>
        <w:rPr>
          <w:rFonts w:ascii="Book Antiqua" w:hAnsi="Book Antiqua"/>
          <w:sz w:val="24"/>
          <w:szCs w:val="24"/>
        </w:rPr>
      </w:pPr>
    </w:p>
    <w:p w14:paraId="3CF166B6" w14:textId="26369191" w:rsidR="004E0719" w:rsidRPr="00D20711" w:rsidRDefault="006525A0" w:rsidP="004634F7">
      <w:pPr>
        <w:spacing w:line="360" w:lineRule="auto"/>
        <w:rPr>
          <w:rFonts w:ascii="Book Antiqua" w:hAnsi="Book Antiqua"/>
          <w:b/>
          <w:sz w:val="24"/>
          <w:szCs w:val="24"/>
          <w:lang w:val="en-GB"/>
        </w:rPr>
      </w:pPr>
      <w:r>
        <w:rPr>
          <w:rFonts w:ascii="Book Antiqua" w:hAnsi="Book Antiqua"/>
          <w:b/>
          <w:sz w:val="24"/>
          <w:szCs w:val="24"/>
          <w:lang w:val="en-GB"/>
        </w:rPr>
        <w:t>DISCUSSION</w:t>
      </w:r>
    </w:p>
    <w:p w14:paraId="3CF166B7" w14:textId="16712F92" w:rsidR="004E0719" w:rsidRPr="00D20711" w:rsidRDefault="004E0719" w:rsidP="004634F7">
      <w:pPr>
        <w:spacing w:line="360" w:lineRule="auto"/>
        <w:rPr>
          <w:rFonts w:ascii="Book Antiqua" w:hAnsi="Book Antiqua"/>
          <w:sz w:val="24"/>
          <w:szCs w:val="24"/>
          <w:lang w:val="en-GB"/>
        </w:rPr>
      </w:pPr>
      <w:bookmarkStart w:id="15" w:name="OLE_LINK2"/>
      <w:bookmarkStart w:id="16" w:name="OLE_LINK1"/>
      <w:r w:rsidRPr="00D20711">
        <w:rPr>
          <w:rFonts w:ascii="Book Antiqua" w:hAnsi="Book Antiqua"/>
          <w:sz w:val="24"/>
          <w:szCs w:val="24"/>
          <w:lang w:val="en-GB"/>
        </w:rPr>
        <w:lastRenderedPageBreak/>
        <w:t xml:space="preserve">The pituitary gland is composed of an anterior and posterior lobe. The anterior lobe secretes hormones that regulate target glands, including the gonads, thyroid, and adrenal cortex. These hormones serve to regulate growth, sex organ function, pregnancy and nursing, metabolism, and BP. When all or most of the pituitary gland is destroyed, hypopituitarism occurs and a series of characteristic symptoms will manifest depending on the specific hormone deficiency. Common causes of hypopituitarism in adults include pituitary tumours or surgery, cerebral trauma, radiation, or Sheehan syndrome caused by postpartum ischemia. Clinical outcomes vary with the type and degree of hormone deficiency, and with the rapidity of onset, age, and sex. Pituitary crisis occurs if the hypopituitarism is further exacerbated by fatigue, hunger, cold, anaesthetic sedation, trauma, surgery, or infection. The diagnosis and management of the condition </w:t>
      </w:r>
      <w:r w:rsidR="002704DC">
        <w:rPr>
          <w:rFonts w:ascii="Book Antiqua" w:hAnsi="Book Antiqua"/>
          <w:sz w:val="24"/>
          <w:szCs w:val="24"/>
          <w:lang w:val="en-GB"/>
        </w:rPr>
        <w:t>are</w:t>
      </w:r>
      <w:r w:rsidR="002704DC" w:rsidRPr="00D20711">
        <w:rPr>
          <w:rFonts w:ascii="Book Antiqua" w:hAnsi="Book Antiqua"/>
          <w:sz w:val="24"/>
          <w:szCs w:val="24"/>
          <w:lang w:val="en-GB"/>
        </w:rPr>
        <w:t xml:space="preserve"> </w:t>
      </w:r>
      <w:r w:rsidRPr="00D20711">
        <w:rPr>
          <w:rFonts w:ascii="Book Antiqua" w:hAnsi="Book Antiqua"/>
          <w:sz w:val="24"/>
          <w:szCs w:val="24"/>
          <w:lang w:val="en-GB"/>
        </w:rPr>
        <w:t>based on history, physical examination and, occasionally, laboratory findings.</w:t>
      </w:r>
    </w:p>
    <w:bookmarkEnd w:id="15"/>
    <w:bookmarkEnd w:id="16"/>
    <w:p w14:paraId="3CF166B8" w14:textId="50C2E12D" w:rsidR="004E0719" w:rsidRPr="00D20711" w:rsidRDefault="004E0719" w:rsidP="006525A0">
      <w:pPr>
        <w:spacing w:line="360" w:lineRule="auto"/>
        <w:ind w:firstLineChars="100" w:firstLine="240"/>
        <w:rPr>
          <w:rFonts w:ascii="Book Antiqua" w:hAnsi="Book Antiqua"/>
          <w:sz w:val="24"/>
          <w:szCs w:val="24"/>
          <w:lang w:val="en-GB"/>
        </w:rPr>
      </w:pPr>
      <w:r w:rsidRPr="00D20711">
        <w:rPr>
          <w:rFonts w:ascii="Book Antiqua" w:hAnsi="Book Antiqua"/>
          <w:sz w:val="24"/>
          <w:szCs w:val="24"/>
          <w:lang w:val="en-GB"/>
        </w:rPr>
        <w:t xml:space="preserve">In a study by Ghatnatti </w:t>
      </w:r>
      <w:bookmarkStart w:id="17" w:name="OLE_LINK3"/>
      <w:r w:rsidRPr="006525A0">
        <w:rPr>
          <w:rFonts w:ascii="Book Antiqua" w:hAnsi="Book Antiqua"/>
          <w:i/>
          <w:sz w:val="24"/>
          <w:szCs w:val="24"/>
          <w:lang w:val="en-GB"/>
        </w:rPr>
        <w:t>et al</w:t>
      </w:r>
      <w:bookmarkEnd w:id="17"/>
      <w:r w:rsidRPr="00D20711">
        <w:rPr>
          <w:rFonts w:ascii="Book Antiqua" w:hAnsi="Book Antiqua"/>
          <w:noProof/>
          <w:sz w:val="24"/>
          <w:szCs w:val="24"/>
          <w:vertAlign w:val="superscript"/>
          <w:lang w:val="en-GB"/>
        </w:rPr>
        <w:t>[5]</w:t>
      </w:r>
      <w:r w:rsidRPr="00D20711">
        <w:rPr>
          <w:rFonts w:ascii="Book Antiqua" w:hAnsi="Book Antiqua"/>
          <w:sz w:val="24"/>
          <w:szCs w:val="24"/>
          <w:lang w:val="en-GB"/>
        </w:rPr>
        <w:t>, hyperprolactinemia was found to be the most common end</w:t>
      </w:r>
      <w:r w:rsidR="006525A0">
        <w:rPr>
          <w:rFonts w:ascii="Book Antiqua" w:hAnsi="Book Antiqua"/>
          <w:sz w:val="24"/>
          <w:szCs w:val="24"/>
          <w:lang w:val="en-GB"/>
        </w:rPr>
        <w:t xml:space="preserve">ocrine abnormality. Thwin </w:t>
      </w:r>
      <w:r w:rsidR="006525A0" w:rsidRPr="006525A0">
        <w:rPr>
          <w:rFonts w:ascii="Book Antiqua" w:hAnsi="Book Antiqua"/>
          <w:i/>
          <w:sz w:val="24"/>
          <w:szCs w:val="24"/>
          <w:lang w:val="en-GB"/>
        </w:rPr>
        <w:t>et al</w:t>
      </w:r>
      <w:r w:rsidRPr="00D20711">
        <w:rPr>
          <w:rFonts w:ascii="Book Antiqua" w:hAnsi="Book Antiqua"/>
          <w:noProof/>
          <w:sz w:val="24"/>
          <w:szCs w:val="24"/>
          <w:vertAlign w:val="superscript"/>
          <w:lang w:val="en-GB"/>
        </w:rPr>
        <w:t>[6]</w:t>
      </w:r>
      <w:r w:rsidRPr="00D20711">
        <w:rPr>
          <w:rFonts w:ascii="Book Antiqua" w:hAnsi="Book Antiqua"/>
          <w:sz w:val="24"/>
          <w:szCs w:val="24"/>
          <w:lang w:val="en-GB"/>
        </w:rPr>
        <w:t xml:space="preserve"> reported a patient who initially developed meningeal irritation with long-term galactorrhoea. Based on elevated serum prolactin and MRI</w:t>
      </w:r>
      <w:r w:rsidR="002704DC">
        <w:rPr>
          <w:rFonts w:ascii="Book Antiqua" w:hAnsi="Book Antiqua"/>
          <w:sz w:val="24"/>
          <w:szCs w:val="24"/>
          <w:lang w:val="en-GB"/>
        </w:rPr>
        <w:t xml:space="preserve"> findings</w:t>
      </w:r>
      <w:r w:rsidRPr="00D20711">
        <w:rPr>
          <w:rFonts w:ascii="Book Antiqua" w:hAnsi="Book Antiqua"/>
          <w:sz w:val="24"/>
          <w:szCs w:val="24"/>
          <w:lang w:val="en-GB"/>
        </w:rPr>
        <w:t>, the patient was subsequently diagnosed with em</w:t>
      </w:r>
      <w:r w:rsidR="006525A0">
        <w:rPr>
          <w:rFonts w:ascii="Book Antiqua" w:hAnsi="Book Antiqua"/>
          <w:sz w:val="24"/>
          <w:szCs w:val="24"/>
          <w:lang w:val="en-GB"/>
        </w:rPr>
        <w:t xml:space="preserve">pty sella syndrome. Taieb </w:t>
      </w:r>
      <w:r w:rsidR="006525A0" w:rsidRPr="006525A0">
        <w:rPr>
          <w:rFonts w:ascii="Book Antiqua" w:hAnsi="Book Antiqua"/>
          <w:i/>
          <w:sz w:val="24"/>
          <w:szCs w:val="24"/>
          <w:lang w:val="en-GB"/>
        </w:rPr>
        <w:t>et al</w:t>
      </w:r>
      <w:r w:rsidRPr="00D20711">
        <w:rPr>
          <w:rFonts w:ascii="Book Antiqua" w:hAnsi="Book Antiqua"/>
          <w:noProof/>
          <w:sz w:val="24"/>
          <w:szCs w:val="24"/>
          <w:vertAlign w:val="superscript"/>
          <w:lang w:val="en-GB"/>
        </w:rPr>
        <w:t>[7]</w:t>
      </w:r>
      <w:r w:rsidRPr="00D20711">
        <w:rPr>
          <w:rFonts w:ascii="Book Antiqua" w:hAnsi="Book Antiqua"/>
          <w:sz w:val="24"/>
          <w:szCs w:val="24"/>
          <w:lang w:val="en-GB"/>
        </w:rPr>
        <w:t xml:space="preserve"> described</w:t>
      </w:r>
      <w:r w:rsidR="002704DC">
        <w:rPr>
          <w:rFonts w:ascii="Book Antiqua" w:hAnsi="Book Antiqua"/>
          <w:sz w:val="24"/>
          <w:szCs w:val="24"/>
          <w:lang w:val="en-GB"/>
        </w:rPr>
        <w:t xml:space="preserve"> </w:t>
      </w:r>
      <w:r w:rsidRPr="00D20711">
        <w:rPr>
          <w:rFonts w:ascii="Book Antiqua" w:hAnsi="Book Antiqua"/>
          <w:sz w:val="24"/>
          <w:szCs w:val="24"/>
          <w:lang w:val="en-GB"/>
        </w:rPr>
        <w:t xml:space="preserve">a 47-year-old woman with bilateral galactorrhoea and spaniomenorrhea since the age of 31 years. Investigation revealed an elevated serum prolactin level of 635 mIU/L and an empty sella turcica on MRI. </w:t>
      </w:r>
    </w:p>
    <w:p w14:paraId="3CF166B9" w14:textId="5F456538" w:rsidR="004E0719" w:rsidRPr="00D20711" w:rsidRDefault="006525A0" w:rsidP="006525A0">
      <w:pPr>
        <w:spacing w:line="360" w:lineRule="auto"/>
        <w:ind w:firstLineChars="100" w:firstLine="240"/>
        <w:rPr>
          <w:rFonts w:ascii="Book Antiqua" w:hAnsi="Book Antiqua"/>
          <w:sz w:val="24"/>
          <w:szCs w:val="24"/>
          <w:lang w:val="en-GB"/>
        </w:rPr>
      </w:pPr>
      <w:r>
        <w:rPr>
          <w:rFonts w:ascii="Book Antiqua" w:hAnsi="Book Antiqua"/>
          <w:sz w:val="24"/>
          <w:szCs w:val="24"/>
          <w:lang w:val="en-GB"/>
        </w:rPr>
        <w:t xml:space="preserve">Aijazi </w:t>
      </w:r>
      <w:r w:rsidRPr="006525A0">
        <w:rPr>
          <w:rFonts w:ascii="Book Antiqua" w:hAnsi="Book Antiqua"/>
          <w:i/>
          <w:sz w:val="24"/>
          <w:szCs w:val="24"/>
          <w:lang w:val="en-GB"/>
        </w:rPr>
        <w:t>et al</w:t>
      </w:r>
      <w:r w:rsidR="004E0719" w:rsidRPr="00D20711">
        <w:rPr>
          <w:rFonts w:ascii="Book Antiqua" w:hAnsi="Book Antiqua"/>
          <w:noProof/>
          <w:sz w:val="24"/>
          <w:szCs w:val="24"/>
          <w:vertAlign w:val="superscript"/>
          <w:lang w:val="en-GB"/>
        </w:rPr>
        <w:t>[8]</w:t>
      </w:r>
      <w:r w:rsidR="004E0719" w:rsidRPr="00D20711">
        <w:rPr>
          <w:rFonts w:ascii="Book Antiqua" w:hAnsi="Book Antiqua"/>
          <w:sz w:val="24"/>
          <w:szCs w:val="24"/>
          <w:lang w:val="en-GB"/>
        </w:rPr>
        <w:t xml:space="preserve"> reported a 41-year man with a history of osteogenesis imperfecta, who presented with vomiting, decreased oral intake, and confusion. In treating his hyponatremia, the treatment team was prompted to look for other pituitary hormone deficiencies. Various hormonal defects were found, and the patient was subsequently diagnosed with primary empty sella syndrome.</w:t>
      </w:r>
      <w:r>
        <w:rPr>
          <w:rFonts w:ascii="Book Antiqua" w:hAnsi="Book Antiqua"/>
          <w:sz w:val="24"/>
          <w:szCs w:val="24"/>
          <w:lang w:val="en-GB"/>
        </w:rPr>
        <w:t xml:space="preserve"> Yang </w:t>
      </w:r>
      <w:r w:rsidRPr="006525A0">
        <w:rPr>
          <w:rFonts w:ascii="Book Antiqua" w:hAnsi="Book Antiqua"/>
          <w:i/>
          <w:sz w:val="24"/>
          <w:szCs w:val="24"/>
          <w:lang w:val="en-GB"/>
        </w:rPr>
        <w:t>et al</w:t>
      </w:r>
      <w:r w:rsidR="004E0719" w:rsidRPr="00D20711">
        <w:rPr>
          <w:rFonts w:ascii="Book Antiqua" w:hAnsi="Book Antiqua"/>
          <w:noProof/>
          <w:sz w:val="24"/>
          <w:szCs w:val="24"/>
          <w:vertAlign w:val="superscript"/>
          <w:lang w:val="en-GB"/>
        </w:rPr>
        <w:t>[9]</w:t>
      </w:r>
      <w:r w:rsidR="004E0719" w:rsidRPr="00D20711">
        <w:rPr>
          <w:rFonts w:ascii="Book Antiqua" w:hAnsi="Book Antiqua"/>
          <w:sz w:val="24"/>
          <w:szCs w:val="24"/>
          <w:lang w:val="en-GB"/>
        </w:rPr>
        <w:t xml:space="preserve"> described</w:t>
      </w:r>
      <w:r w:rsidR="002704DC">
        <w:rPr>
          <w:rFonts w:ascii="Book Antiqua" w:hAnsi="Book Antiqua"/>
          <w:sz w:val="24"/>
          <w:szCs w:val="24"/>
          <w:lang w:val="en-GB"/>
        </w:rPr>
        <w:t xml:space="preserve"> </w:t>
      </w:r>
      <w:r w:rsidR="004E0719" w:rsidRPr="00D20711">
        <w:rPr>
          <w:rFonts w:ascii="Book Antiqua" w:hAnsi="Book Antiqua"/>
          <w:sz w:val="24"/>
          <w:szCs w:val="24"/>
          <w:lang w:val="en-GB"/>
        </w:rPr>
        <w:t xml:space="preserve">a 69-year-old woman with hyponatremia, who presented with manic symptoms </w:t>
      </w:r>
      <w:bookmarkStart w:id="18" w:name="OLE_LINK9"/>
      <w:bookmarkStart w:id="19" w:name="OLE_LINK10"/>
      <w:r w:rsidR="004E0719" w:rsidRPr="00D20711">
        <w:rPr>
          <w:rFonts w:ascii="Book Antiqua" w:hAnsi="Book Antiqua"/>
          <w:sz w:val="24"/>
          <w:szCs w:val="24"/>
          <w:lang w:val="en-GB"/>
        </w:rPr>
        <w:t>that resolved after plasma sodium was normalised.</w:t>
      </w:r>
    </w:p>
    <w:p w14:paraId="3CF166BA" w14:textId="00D5642B" w:rsidR="004E0719" w:rsidRPr="00D20711" w:rsidRDefault="006525A0" w:rsidP="006525A0">
      <w:pPr>
        <w:spacing w:line="360" w:lineRule="auto"/>
        <w:ind w:firstLineChars="100" w:firstLine="240"/>
        <w:rPr>
          <w:rFonts w:ascii="Book Antiqua" w:hAnsi="Book Antiqua"/>
          <w:sz w:val="24"/>
          <w:szCs w:val="24"/>
          <w:lang w:val="en-GB"/>
        </w:rPr>
      </w:pPr>
      <w:r>
        <w:rPr>
          <w:rFonts w:ascii="Book Antiqua" w:hAnsi="Book Antiqua"/>
          <w:sz w:val="24"/>
          <w:szCs w:val="24"/>
          <w:lang w:val="en-GB"/>
        </w:rPr>
        <w:t>Xu</w:t>
      </w:r>
      <w:r w:rsidRPr="006525A0">
        <w:rPr>
          <w:rFonts w:ascii="Book Antiqua" w:hAnsi="Book Antiqua"/>
          <w:i/>
          <w:sz w:val="24"/>
          <w:szCs w:val="24"/>
          <w:lang w:val="en-GB"/>
        </w:rPr>
        <w:t xml:space="preserve"> et al</w:t>
      </w:r>
      <w:r w:rsidR="004E0719" w:rsidRPr="00D20711">
        <w:rPr>
          <w:rFonts w:ascii="Book Antiqua" w:hAnsi="Book Antiqua"/>
          <w:noProof/>
          <w:sz w:val="24"/>
          <w:szCs w:val="24"/>
          <w:vertAlign w:val="superscript"/>
          <w:lang w:val="en-GB"/>
        </w:rPr>
        <w:t>[10]</w:t>
      </w:r>
      <w:r w:rsidR="004E0719" w:rsidRPr="00D20711">
        <w:rPr>
          <w:rFonts w:ascii="Book Antiqua" w:hAnsi="Book Antiqua"/>
          <w:sz w:val="24"/>
          <w:szCs w:val="24"/>
          <w:lang w:val="en-GB"/>
        </w:rPr>
        <w:t xml:space="preserve"> reported a 41-year-old man with persistent epiphyses and severe </w:t>
      </w:r>
      <w:r w:rsidR="004E0719" w:rsidRPr="00D20711">
        <w:rPr>
          <w:rFonts w:ascii="Book Antiqua" w:hAnsi="Book Antiqua"/>
          <w:sz w:val="24"/>
          <w:szCs w:val="24"/>
          <w:lang w:val="en-GB"/>
        </w:rPr>
        <w:lastRenderedPageBreak/>
        <w:t>osteoporosis. He initially presented with high levels of serum phosphorus and prolactin, and low levels of free triiodothyronine, free thyroxine, and testosterone. Imaging of the brain revealed an empty sella.</w:t>
      </w:r>
    </w:p>
    <w:bookmarkEnd w:id="18"/>
    <w:bookmarkEnd w:id="19"/>
    <w:p w14:paraId="3CF166BB" w14:textId="1A16FB40" w:rsidR="004E0719" w:rsidRPr="00D20711" w:rsidRDefault="006525A0" w:rsidP="006525A0">
      <w:pPr>
        <w:spacing w:line="360" w:lineRule="auto"/>
        <w:ind w:firstLineChars="100" w:firstLine="240"/>
        <w:rPr>
          <w:rFonts w:ascii="Book Antiqua" w:hAnsi="Book Antiqua"/>
          <w:sz w:val="24"/>
          <w:szCs w:val="24"/>
          <w:lang w:val="en-GB"/>
        </w:rPr>
      </w:pPr>
      <w:r>
        <w:rPr>
          <w:rFonts w:ascii="Book Antiqua" w:hAnsi="Book Antiqua"/>
          <w:sz w:val="24"/>
          <w:szCs w:val="24"/>
          <w:lang w:val="en-GB"/>
        </w:rPr>
        <w:t>Dange</w:t>
      </w:r>
      <w:r w:rsidRPr="006525A0">
        <w:rPr>
          <w:rFonts w:ascii="Book Antiqua" w:hAnsi="Book Antiqua"/>
          <w:i/>
          <w:sz w:val="24"/>
          <w:szCs w:val="24"/>
          <w:lang w:val="en-GB"/>
        </w:rPr>
        <w:t xml:space="preserve"> et al</w:t>
      </w:r>
      <w:r w:rsidR="004E0719" w:rsidRPr="00D20711">
        <w:rPr>
          <w:rFonts w:ascii="Book Antiqua" w:hAnsi="Book Antiqua"/>
          <w:noProof/>
          <w:sz w:val="24"/>
          <w:szCs w:val="24"/>
          <w:vertAlign w:val="superscript"/>
          <w:lang w:val="en-GB"/>
        </w:rPr>
        <w:t>[11]</w:t>
      </w:r>
      <w:r w:rsidR="004E0719" w:rsidRPr="00D20711">
        <w:rPr>
          <w:rFonts w:ascii="Book Antiqua" w:hAnsi="Book Antiqua"/>
          <w:sz w:val="24"/>
          <w:szCs w:val="24"/>
          <w:lang w:val="en-GB"/>
        </w:rPr>
        <w:t xml:space="preserve"> reported a 16-year-old girl with a history of stunted growth and primary amenorrhea, presenting with headache and vomiting. Endocrine testing showed reduced levels of growth hormone, luteinising hormone, and follicular stimulating hormone. MRI of the brain showed an empty sella.</w:t>
      </w:r>
    </w:p>
    <w:p w14:paraId="3CF166BC" w14:textId="157070EF" w:rsidR="004E0719" w:rsidRPr="00D20711" w:rsidRDefault="004E0719" w:rsidP="006525A0">
      <w:pPr>
        <w:spacing w:line="360" w:lineRule="auto"/>
        <w:ind w:firstLineChars="100" w:firstLine="240"/>
        <w:rPr>
          <w:rFonts w:ascii="Book Antiqua" w:hAnsi="Book Antiqua"/>
          <w:sz w:val="24"/>
          <w:szCs w:val="24"/>
          <w:lang w:val="en-GB"/>
        </w:rPr>
      </w:pPr>
      <w:r w:rsidRPr="00D20711">
        <w:rPr>
          <w:rFonts w:ascii="Book Antiqua" w:hAnsi="Book Antiqua"/>
          <w:kern w:val="0"/>
          <w:sz w:val="24"/>
          <w:szCs w:val="24"/>
          <w:lang w:val="en-GB"/>
        </w:rPr>
        <w:t>T</w:t>
      </w:r>
      <w:r w:rsidRPr="00D20711">
        <w:rPr>
          <w:rFonts w:ascii="Book Antiqua" w:hAnsi="Book Antiqua"/>
          <w:sz w:val="24"/>
          <w:szCs w:val="24"/>
          <w:lang w:val="en-GB"/>
        </w:rPr>
        <w:t>he most common cause for postoperative respiratory and hemodynamic failure is the residual effect of anaesthesia</w:t>
      </w:r>
      <w:r w:rsidRPr="00D20711">
        <w:rPr>
          <w:rFonts w:ascii="Book Antiqua" w:hAnsi="Book Antiqua"/>
          <w:sz w:val="24"/>
          <w:szCs w:val="24"/>
          <w:vertAlign w:val="superscript"/>
          <w:lang w:val="en-GB"/>
        </w:rPr>
        <w:t>[12]</w:t>
      </w:r>
      <w:r w:rsidRPr="00D20711">
        <w:rPr>
          <w:rFonts w:ascii="Book Antiqua" w:hAnsi="Book Antiqua"/>
          <w:sz w:val="24"/>
          <w:szCs w:val="24"/>
          <w:lang w:val="en-GB"/>
        </w:rPr>
        <w:t>. Our patient was administered both general and regional anaesthesia. All anaesthetic types had a short duration of action, except the small dose of sufentanyl given at time of induction. Marked dysfunctions in SpO</w:t>
      </w:r>
      <w:r w:rsidRPr="00D20711">
        <w:rPr>
          <w:rFonts w:ascii="Book Antiqua" w:hAnsi="Book Antiqua"/>
          <w:sz w:val="24"/>
          <w:szCs w:val="24"/>
          <w:vertAlign w:val="subscript"/>
          <w:lang w:val="en-GB"/>
        </w:rPr>
        <w:t>2</w:t>
      </w:r>
      <w:r w:rsidRPr="00D20711">
        <w:rPr>
          <w:rFonts w:ascii="Book Antiqua" w:hAnsi="Book Antiqua"/>
          <w:sz w:val="24"/>
          <w:szCs w:val="24"/>
          <w:lang w:val="en-GB"/>
        </w:rPr>
        <w:t xml:space="preserve">, BP, and consciousness emerged in the immediate postoperative period. After careful review of the patient’s history and further physical examination, it was felt that the respiratory distress and impaired consciousness could be secondary to hormonal dysfunction. This hypothesis was supported by further endocrine testing and MRI, with a subsequent diagnosis of empty sella syndrome causing the hypopituitarism with typical hypocortisolism and hypothyroidism. Effective treatment was achieved through hormone replacement therapy. </w:t>
      </w:r>
    </w:p>
    <w:p w14:paraId="3CF166BD" w14:textId="77777777" w:rsidR="004E0719" w:rsidRPr="00D20711" w:rsidRDefault="004E0719" w:rsidP="004634F7">
      <w:pPr>
        <w:autoSpaceDE w:val="0"/>
        <w:autoSpaceDN w:val="0"/>
        <w:adjustRightInd w:val="0"/>
        <w:spacing w:line="360" w:lineRule="auto"/>
        <w:rPr>
          <w:rFonts w:ascii="Book Antiqua" w:hAnsi="Book Antiqua"/>
          <w:sz w:val="24"/>
          <w:szCs w:val="24"/>
          <w:lang w:val="en-GB"/>
        </w:rPr>
      </w:pPr>
    </w:p>
    <w:p w14:paraId="3CF166BE" w14:textId="7CA58310" w:rsidR="004E0719" w:rsidRPr="00D20711" w:rsidRDefault="006525A0" w:rsidP="004634F7">
      <w:pPr>
        <w:autoSpaceDE w:val="0"/>
        <w:autoSpaceDN w:val="0"/>
        <w:adjustRightInd w:val="0"/>
        <w:spacing w:line="360" w:lineRule="auto"/>
        <w:rPr>
          <w:rFonts w:ascii="Book Antiqua" w:hAnsi="Book Antiqua"/>
          <w:b/>
          <w:sz w:val="24"/>
          <w:szCs w:val="24"/>
          <w:lang w:val="en-GB"/>
        </w:rPr>
      </w:pPr>
      <w:r w:rsidRPr="00D20711">
        <w:rPr>
          <w:rFonts w:ascii="Book Antiqua" w:hAnsi="Book Antiqua"/>
          <w:b/>
          <w:sz w:val="24"/>
          <w:szCs w:val="24"/>
          <w:lang w:val="en-GB"/>
        </w:rPr>
        <w:t>CONCLUSION</w:t>
      </w:r>
    </w:p>
    <w:p w14:paraId="3CF166BF" w14:textId="15A933DB" w:rsidR="004E0719" w:rsidRPr="00D20711" w:rsidRDefault="004E0719" w:rsidP="004634F7">
      <w:pPr>
        <w:autoSpaceDE w:val="0"/>
        <w:autoSpaceDN w:val="0"/>
        <w:adjustRightInd w:val="0"/>
        <w:spacing w:line="360" w:lineRule="auto"/>
        <w:rPr>
          <w:rFonts w:ascii="Book Antiqua" w:hAnsi="Book Antiqua"/>
          <w:sz w:val="24"/>
          <w:szCs w:val="24"/>
          <w:lang w:val="en-GB"/>
        </w:rPr>
      </w:pPr>
      <w:r w:rsidRPr="00D20711">
        <w:rPr>
          <w:rFonts w:ascii="Book Antiqua" w:hAnsi="Book Antiqua"/>
          <w:sz w:val="24"/>
          <w:szCs w:val="24"/>
          <w:lang w:val="en-GB"/>
        </w:rPr>
        <w:t xml:space="preserve">We report a case of empty sella syndrome discovered in the workup of postoperative hypotension and respiratory failure. We believe that the patient’s pituitary crisis was induced by surgery. </w:t>
      </w:r>
      <w:bookmarkStart w:id="20" w:name="OLE_LINK29"/>
      <w:bookmarkStart w:id="21" w:name="OLE_LINK30"/>
      <w:r w:rsidRPr="00D20711">
        <w:rPr>
          <w:rFonts w:ascii="Book Antiqua" w:hAnsi="Book Antiqua"/>
          <w:sz w:val="24"/>
          <w:szCs w:val="24"/>
          <w:lang w:val="en-GB"/>
        </w:rPr>
        <w:t>This case highlights the importance of considering pituitary hormone insufficiency in the context of respiratory and hemodynamic failure during the perioperative period.</w:t>
      </w:r>
      <w:bookmarkEnd w:id="20"/>
      <w:bookmarkEnd w:id="21"/>
      <w:r w:rsidR="00052286" w:rsidRPr="00D20711">
        <w:rPr>
          <w:rFonts w:ascii="Book Antiqua" w:hAnsi="Book Antiqua"/>
          <w:sz w:val="24"/>
          <w:szCs w:val="24"/>
          <w:lang w:val="en-GB"/>
        </w:rPr>
        <w:t xml:space="preserve"> </w:t>
      </w:r>
      <w:bookmarkStart w:id="22" w:name="_Hlk185985"/>
      <w:r w:rsidR="00052286" w:rsidRPr="00D20711">
        <w:rPr>
          <w:rFonts w:ascii="Book Antiqua" w:hAnsi="Book Antiqua"/>
          <w:sz w:val="24"/>
          <w:szCs w:val="24"/>
        </w:rPr>
        <w:t xml:space="preserve">We recommend that in the preoperative examination, a thyroid function </w:t>
      </w:r>
      <w:r w:rsidR="00D06685">
        <w:rPr>
          <w:rFonts w:ascii="Book Antiqua" w:hAnsi="Book Antiqua"/>
          <w:sz w:val="24"/>
          <w:szCs w:val="24"/>
        </w:rPr>
        <w:t xml:space="preserve">test </w:t>
      </w:r>
      <w:r w:rsidR="00052286" w:rsidRPr="00D20711">
        <w:rPr>
          <w:rFonts w:ascii="Book Antiqua" w:hAnsi="Book Antiqua"/>
          <w:sz w:val="24"/>
          <w:szCs w:val="24"/>
        </w:rPr>
        <w:t>can be added. If there is any abnormality, the examination can be further improved to exclude related diseases.</w:t>
      </w:r>
      <w:bookmarkEnd w:id="22"/>
    </w:p>
    <w:p w14:paraId="4D1F5082" w14:textId="77777777" w:rsidR="006525A0" w:rsidRDefault="006525A0">
      <w:pPr>
        <w:widowControl/>
        <w:jc w:val="left"/>
        <w:rPr>
          <w:rFonts w:ascii="Book Antiqua" w:eastAsiaTheme="minorEastAsia" w:hAnsi="Book Antiqua"/>
          <w:sz w:val="24"/>
          <w:szCs w:val="24"/>
          <w:lang w:val="en-GB"/>
        </w:rPr>
      </w:pPr>
      <w:bookmarkStart w:id="23" w:name="_ENREF_14"/>
      <w:r>
        <w:rPr>
          <w:rFonts w:ascii="Book Antiqua" w:eastAsiaTheme="minorEastAsia" w:hAnsi="Book Antiqua"/>
          <w:sz w:val="24"/>
          <w:szCs w:val="24"/>
          <w:lang w:val="en-GB"/>
        </w:rPr>
        <w:br w:type="page"/>
      </w:r>
    </w:p>
    <w:p w14:paraId="3CF166CF" w14:textId="2FD4676F" w:rsidR="0078005E" w:rsidRPr="00377DC0" w:rsidRDefault="00EE509D" w:rsidP="00377DC0">
      <w:pPr>
        <w:spacing w:line="360" w:lineRule="auto"/>
        <w:rPr>
          <w:rFonts w:ascii="Book Antiqua" w:hAnsi="Book Antiqua"/>
          <w:b/>
          <w:sz w:val="24"/>
          <w:szCs w:val="24"/>
        </w:rPr>
      </w:pPr>
      <w:r w:rsidRPr="00377DC0">
        <w:rPr>
          <w:rFonts w:ascii="Book Antiqua" w:hAnsi="Book Antiqua"/>
          <w:b/>
          <w:sz w:val="24"/>
          <w:szCs w:val="24"/>
        </w:rPr>
        <w:lastRenderedPageBreak/>
        <w:t>REFERENCES</w:t>
      </w:r>
      <w:bookmarkEnd w:id="23"/>
    </w:p>
    <w:p w14:paraId="7BF783C8" w14:textId="6743F110"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 </w:t>
      </w:r>
      <w:r w:rsidRPr="00377DC0">
        <w:rPr>
          <w:rFonts w:ascii="Book Antiqua" w:hAnsi="Book Antiqua"/>
          <w:b/>
          <w:sz w:val="24"/>
          <w:szCs w:val="24"/>
        </w:rPr>
        <w:t>McLachlan MSF</w:t>
      </w:r>
      <w:r w:rsidRPr="00377DC0">
        <w:rPr>
          <w:rFonts w:ascii="Book Antiqua" w:hAnsi="Book Antiqua"/>
          <w:sz w:val="24"/>
          <w:szCs w:val="24"/>
        </w:rPr>
        <w:t xml:space="preserve">, Williams ED, Doyle FH. Applied anatomy of the pituitary gland and fossa: a radiological and histopathological study based on 50 necropsies. </w:t>
      </w:r>
      <w:r w:rsidRPr="00377DC0">
        <w:rPr>
          <w:rFonts w:ascii="Book Antiqua" w:hAnsi="Book Antiqua"/>
          <w:i/>
          <w:sz w:val="24"/>
          <w:szCs w:val="24"/>
        </w:rPr>
        <w:t>Br J Radiol</w:t>
      </w:r>
      <w:r w:rsidRPr="00377DC0">
        <w:rPr>
          <w:rFonts w:ascii="Book Antiqua" w:hAnsi="Book Antiqua"/>
          <w:sz w:val="24"/>
          <w:szCs w:val="24"/>
        </w:rPr>
        <w:t xml:space="preserve"> 1968; </w:t>
      </w:r>
      <w:r w:rsidRPr="00377DC0">
        <w:rPr>
          <w:rFonts w:ascii="Book Antiqua" w:hAnsi="Book Antiqua"/>
          <w:b/>
          <w:sz w:val="24"/>
          <w:szCs w:val="24"/>
        </w:rPr>
        <w:t>41</w:t>
      </w:r>
      <w:r w:rsidRPr="00377DC0">
        <w:rPr>
          <w:rFonts w:ascii="Book Antiqua" w:hAnsi="Book Antiqua"/>
          <w:sz w:val="24"/>
          <w:szCs w:val="24"/>
        </w:rPr>
        <w:t>: 782-788 [DOI: 10.1259/0007-1285-41-490-782]</w:t>
      </w:r>
    </w:p>
    <w:p w14:paraId="61879148"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2 </w:t>
      </w:r>
      <w:r w:rsidRPr="00377DC0">
        <w:rPr>
          <w:rFonts w:ascii="Book Antiqua" w:hAnsi="Book Antiqua"/>
          <w:b/>
          <w:sz w:val="24"/>
          <w:szCs w:val="24"/>
        </w:rPr>
        <w:t>Bergland RM</w:t>
      </w:r>
      <w:r w:rsidRPr="00377DC0">
        <w:rPr>
          <w:rFonts w:ascii="Book Antiqua" w:hAnsi="Book Antiqua"/>
          <w:sz w:val="24"/>
          <w:szCs w:val="24"/>
        </w:rPr>
        <w:t xml:space="preserve">, Ray BS, Torack RM. Anatomical variations in the pituitary gland and adjacent structures in 225 human autopsy cases. </w:t>
      </w:r>
      <w:r w:rsidRPr="00377DC0">
        <w:rPr>
          <w:rFonts w:ascii="Book Antiqua" w:hAnsi="Book Antiqua"/>
          <w:i/>
          <w:sz w:val="24"/>
          <w:szCs w:val="24"/>
        </w:rPr>
        <w:t>J Neurosurg</w:t>
      </w:r>
      <w:r w:rsidRPr="00377DC0">
        <w:rPr>
          <w:rFonts w:ascii="Book Antiqua" w:hAnsi="Book Antiqua"/>
          <w:sz w:val="24"/>
          <w:szCs w:val="24"/>
        </w:rPr>
        <w:t xml:space="preserve"> 1968; </w:t>
      </w:r>
      <w:r w:rsidRPr="00377DC0">
        <w:rPr>
          <w:rFonts w:ascii="Book Antiqua" w:hAnsi="Book Antiqua"/>
          <w:b/>
          <w:sz w:val="24"/>
          <w:szCs w:val="24"/>
        </w:rPr>
        <w:t>28</w:t>
      </w:r>
      <w:r w:rsidRPr="00377DC0">
        <w:rPr>
          <w:rFonts w:ascii="Book Antiqua" w:hAnsi="Book Antiqua"/>
          <w:sz w:val="24"/>
          <w:szCs w:val="24"/>
        </w:rPr>
        <w:t>: 93-99 [PMID: 5638016 DOI: 10.3171/jns.1968.28.2.0093]</w:t>
      </w:r>
    </w:p>
    <w:p w14:paraId="28DD5A4A"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3 </w:t>
      </w:r>
      <w:r w:rsidRPr="00377DC0">
        <w:rPr>
          <w:rFonts w:ascii="Book Antiqua" w:hAnsi="Book Antiqua"/>
          <w:b/>
          <w:sz w:val="24"/>
          <w:szCs w:val="24"/>
        </w:rPr>
        <w:t>Maira G</w:t>
      </w:r>
      <w:r w:rsidRPr="00377DC0">
        <w:rPr>
          <w:rFonts w:ascii="Book Antiqua" w:hAnsi="Book Antiqua"/>
          <w:sz w:val="24"/>
          <w:szCs w:val="24"/>
        </w:rPr>
        <w:t xml:space="preserve">, Anile C, Mangiola A. Primary empty sella syndrome in a series of 142 patients. </w:t>
      </w:r>
      <w:r w:rsidRPr="00377DC0">
        <w:rPr>
          <w:rFonts w:ascii="Book Antiqua" w:hAnsi="Book Antiqua"/>
          <w:i/>
          <w:sz w:val="24"/>
          <w:szCs w:val="24"/>
        </w:rPr>
        <w:t>J Neurosurg</w:t>
      </w:r>
      <w:r w:rsidRPr="00377DC0">
        <w:rPr>
          <w:rFonts w:ascii="Book Antiqua" w:hAnsi="Book Antiqua"/>
          <w:sz w:val="24"/>
          <w:szCs w:val="24"/>
        </w:rPr>
        <w:t xml:space="preserve"> 2005; </w:t>
      </w:r>
      <w:r w:rsidRPr="00377DC0">
        <w:rPr>
          <w:rFonts w:ascii="Book Antiqua" w:hAnsi="Book Antiqua"/>
          <w:b/>
          <w:sz w:val="24"/>
          <w:szCs w:val="24"/>
        </w:rPr>
        <w:t>103</w:t>
      </w:r>
      <w:r w:rsidRPr="00377DC0">
        <w:rPr>
          <w:rFonts w:ascii="Book Antiqua" w:hAnsi="Book Antiqua"/>
          <w:sz w:val="24"/>
          <w:szCs w:val="24"/>
        </w:rPr>
        <w:t>: 831-836 [PMID: 16304986 DOI: 10.3171/jns.2005.103.5.0831]</w:t>
      </w:r>
    </w:p>
    <w:p w14:paraId="4EDD8846"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4 </w:t>
      </w:r>
      <w:r w:rsidRPr="00377DC0">
        <w:rPr>
          <w:rFonts w:ascii="Book Antiqua" w:hAnsi="Book Antiqua"/>
          <w:b/>
          <w:sz w:val="24"/>
          <w:szCs w:val="24"/>
        </w:rPr>
        <w:t>Kim JH</w:t>
      </w:r>
      <w:r w:rsidRPr="00377DC0">
        <w:rPr>
          <w:rFonts w:ascii="Book Antiqua" w:hAnsi="Book Antiqua"/>
          <w:sz w:val="24"/>
          <w:szCs w:val="24"/>
        </w:rPr>
        <w:t xml:space="preserve">, Ko JH, Kim HW, Ha HG, Jung CK. Analysis of empty sella secondary to the brain tumors. </w:t>
      </w:r>
      <w:r w:rsidRPr="00377DC0">
        <w:rPr>
          <w:rFonts w:ascii="Book Antiqua" w:hAnsi="Book Antiqua"/>
          <w:i/>
          <w:sz w:val="24"/>
          <w:szCs w:val="24"/>
        </w:rPr>
        <w:t>J Korean Neurosurg Soc</w:t>
      </w:r>
      <w:r w:rsidRPr="00377DC0">
        <w:rPr>
          <w:rFonts w:ascii="Book Antiqua" w:hAnsi="Book Antiqua"/>
          <w:sz w:val="24"/>
          <w:szCs w:val="24"/>
        </w:rPr>
        <w:t xml:space="preserve"> 2009; </w:t>
      </w:r>
      <w:r w:rsidRPr="00377DC0">
        <w:rPr>
          <w:rFonts w:ascii="Book Antiqua" w:hAnsi="Book Antiqua"/>
          <w:b/>
          <w:sz w:val="24"/>
          <w:szCs w:val="24"/>
        </w:rPr>
        <w:t>46</w:t>
      </w:r>
      <w:r w:rsidRPr="00377DC0">
        <w:rPr>
          <w:rFonts w:ascii="Book Antiqua" w:hAnsi="Book Antiqua"/>
          <w:sz w:val="24"/>
          <w:szCs w:val="24"/>
        </w:rPr>
        <w:t>: 355-359 [PMID: 19893726 DOI: 10.3340/jkns.2009.46.4.355]</w:t>
      </w:r>
    </w:p>
    <w:p w14:paraId="23C1B288"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5 </w:t>
      </w:r>
      <w:r w:rsidRPr="00377DC0">
        <w:rPr>
          <w:rFonts w:ascii="Book Antiqua" w:hAnsi="Book Antiqua"/>
          <w:b/>
          <w:sz w:val="24"/>
          <w:szCs w:val="24"/>
        </w:rPr>
        <w:t>Ghatnatti V</w:t>
      </w:r>
      <w:r w:rsidRPr="00377DC0">
        <w:rPr>
          <w:rFonts w:ascii="Book Antiqua" w:hAnsi="Book Antiqua"/>
          <w:sz w:val="24"/>
          <w:szCs w:val="24"/>
        </w:rPr>
        <w:t xml:space="preserve">, Sarma D, Saikia U. Empty sella syndrome - beyond being an incidental finding. </w:t>
      </w:r>
      <w:r w:rsidRPr="00377DC0">
        <w:rPr>
          <w:rFonts w:ascii="Book Antiqua" w:hAnsi="Book Antiqua"/>
          <w:i/>
          <w:sz w:val="24"/>
          <w:szCs w:val="24"/>
        </w:rPr>
        <w:t>Indian J Endocrinol Metab</w:t>
      </w:r>
      <w:r w:rsidRPr="00377DC0">
        <w:rPr>
          <w:rFonts w:ascii="Book Antiqua" w:hAnsi="Book Antiqua"/>
          <w:sz w:val="24"/>
          <w:szCs w:val="24"/>
        </w:rPr>
        <w:t xml:space="preserve"> 2012; </w:t>
      </w:r>
      <w:r w:rsidRPr="00377DC0">
        <w:rPr>
          <w:rFonts w:ascii="Book Antiqua" w:hAnsi="Book Antiqua"/>
          <w:b/>
          <w:sz w:val="24"/>
          <w:szCs w:val="24"/>
        </w:rPr>
        <w:t>16</w:t>
      </w:r>
      <w:r w:rsidRPr="00377DC0">
        <w:rPr>
          <w:rFonts w:ascii="Book Antiqua" w:hAnsi="Book Antiqua"/>
          <w:sz w:val="24"/>
          <w:szCs w:val="24"/>
        </w:rPr>
        <w:t>: S321-S323 [PMID: 23565413 DOI: 10.4103/2230-8210.104075]</w:t>
      </w:r>
    </w:p>
    <w:p w14:paraId="58EAE1B9"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6 </w:t>
      </w:r>
      <w:r w:rsidRPr="00377DC0">
        <w:rPr>
          <w:rFonts w:ascii="Book Antiqua" w:hAnsi="Book Antiqua"/>
          <w:b/>
          <w:sz w:val="24"/>
          <w:szCs w:val="24"/>
        </w:rPr>
        <w:t>Thwin M</w:t>
      </w:r>
      <w:r w:rsidRPr="00377DC0">
        <w:rPr>
          <w:rFonts w:ascii="Book Antiqua" w:hAnsi="Book Antiqua"/>
          <w:sz w:val="24"/>
          <w:szCs w:val="24"/>
        </w:rPr>
        <w:t xml:space="preserve">, Brophy BP. Hyperprolactinaemia and the empty sella. </w:t>
      </w:r>
      <w:r w:rsidRPr="00377DC0">
        <w:rPr>
          <w:rFonts w:ascii="Book Antiqua" w:hAnsi="Book Antiqua"/>
          <w:i/>
          <w:sz w:val="24"/>
          <w:szCs w:val="24"/>
        </w:rPr>
        <w:t>J Clin Neurosci</w:t>
      </w:r>
      <w:r w:rsidRPr="00377DC0">
        <w:rPr>
          <w:rFonts w:ascii="Book Antiqua" w:hAnsi="Book Antiqua"/>
          <w:sz w:val="24"/>
          <w:szCs w:val="24"/>
        </w:rPr>
        <w:t xml:space="preserve"> 2012; </w:t>
      </w:r>
      <w:r w:rsidRPr="00377DC0">
        <w:rPr>
          <w:rFonts w:ascii="Book Antiqua" w:hAnsi="Book Antiqua"/>
          <w:b/>
          <w:sz w:val="24"/>
          <w:szCs w:val="24"/>
        </w:rPr>
        <w:t>19</w:t>
      </w:r>
      <w:r w:rsidRPr="00377DC0">
        <w:rPr>
          <w:rFonts w:ascii="Book Antiqua" w:hAnsi="Book Antiqua"/>
          <w:sz w:val="24"/>
          <w:szCs w:val="24"/>
        </w:rPr>
        <w:t>: 605-606 [PMID: 22245276 DOI: 10.1016/j.jocn.2011.06.025]</w:t>
      </w:r>
    </w:p>
    <w:p w14:paraId="45E259A3"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7 </w:t>
      </w:r>
      <w:r w:rsidRPr="00377DC0">
        <w:rPr>
          <w:rFonts w:ascii="Book Antiqua" w:hAnsi="Book Antiqua"/>
          <w:b/>
          <w:sz w:val="24"/>
          <w:szCs w:val="24"/>
        </w:rPr>
        <w:t>Taieb A</w:t>
      </w:r>
      <w:r w:rsidRPr="00377DC0">
        <w:rPr>
          <w:rFonts w:ascii="Book Antiqua" w:hAnsi="Book Antiqua"/>
          <w:sz w:val="24"/>
          <w:szCs w:val="24"/>
        </w:rPr>
        <w:t xml:space="preserve">, Maha KN, El Abed YH, Beizig AM, Chadli MC, Ach K. Macroprolactinemia and Empty Sella Syndrome. </w:t>
      </w:r>
      <w:r w:rsidRPr="00377DC0">
        <w:rPr>
          <w:rFonts w:ascii="Book Antiqua" w:hAnsi="Book Antiqua"/>
          <w:i/>
          <w:sz w:val="24"/>
          <w:szCs w:val="24"/>
        </w:rPr>
        <w:t>Pan Afr Med J</w:t>
      </w:r>
      <w:r w:rsidRPr="00377DC0">
        <w:rPr>
          <w:rFonts w:ascii="Book Antiqua" w:hAnsi="Book Antiqua"/>
          <w:sz w:val="24"/>
          <w:szCs w:val="24"/>
        </w:rPr>
        <w:t xml:space="preserve"> 2017; </w:t>
      </w:r>
      <w:r w:rsidRPr="00377DC0">
        <w:rPr>
          <w:rFonts w:ascii="Book Antiqua" w:hAnsi="Book Antiqua"/>
          <w:b/>
          <w:sz w:val="24"/>
          <w:szCs w:val="24"/>
        </w:rPr>
        <w:t>27</w:t>
      </w:r>
      <w:r w:rsidRPr="00377DC0">
        <w:rPr>
          <w:rFonts w:ascii="Book Antiqua" w:hAnsi="Book Antiqua"/>
          <w:sz w:val="24"/>
          <w:szCs w:val="24"/>
        </w:rPr>
        <w:t>: 278 [PMID: 29187947 DOI: 10.11604/pamj.2017.27.278.11361]</w:t>
      </w:r>
    </w:p>
    <w:p w14:paraId="17959D7B"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8 </w:t>
      </w:r>
      <w:r w:rsidRPr="00377DC0">
        <w:rPr>
          <w:rFonts w:ascii="Book Antiqua" w:hAnsi="Book Antiqua"/>
          <w:b/>
          <w:sz w:val="24"/>
          <w:szCs w:val="24"/>
        </w:rPr>
        <w:t>Aijazi I</w:t>
      </w:r>
      <w:r w:rsidRPr="00377DC0">
        <w:rPr>
          <w:rFonts w:ascii="Book Antiqua" w:hAnsi="Book Antiqua"/>
          <w:sz w:val="24"/>
          <w:szCs w:val="24"/>
        </w:rPr>
        <w:t xml:space="preserve">, Abdullah Al Shama FM, Adam Mukhtar SH. Primary Empty Sella Syndrome Presenting With Severe Hyponatremia And Minimal Salt Wasting. </w:t>
      </w:r>
      <w:r w:rsidRPr="00377DC0">
        <w:rPr>
          <w:rFonts w:ascii="Book Antiqua" w:hAnsi="Book Antiqua"/>
          <w:i/>
          <w:sz w:val="24"/>
          <w:szCs w:val="24"/>
        </w:rPr>
        <w:t>J Ayub Med Coll Abbottabad</w:t>
      </w:r>
      <w:r w:rsidRPr="00377DC0">
        <w:rPr>
          <w:rFonts w:ascii="Book Antiqua" w:hAnsi="Book Antiqua"/>
          <w:sz w:val="24"/>
          <w:szCs w:val="24"/>
        </w:rPr>
        <w:t xml:space="preserve"> 2016; </w:t>
      </w:r>
      <w:r w:rsidRPr="00377DC0">
        <w:rPr>
          <w:rFonts w:ascii="Book Antiqua" w:hAnsi="Book Antiqua"/>
          <w:b/>
          <w:sz w:val="24"/>
          <w:szCs w:val="24"/>
        </w:rPr>
        <w:t>28</w:t>
      </w:r>
      <w:r w:rsidRPr="00377DC0">
        <w:rPr>
          <w:rFonts w:ascii="Book Antiqua" w:hAnsi="Book Antiqua"/>
          <w:sz w:val="24"/>
          <w:szCs w:val="24"/>
        </w:rPr>
        <w:t>: 605-608 [PMID: 28712246]</w:t>
      </w:r>
    </w:p>
    <w:p w14:paraId="61C7344D"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9 </w:t>
      </w:r>
      <w:r w:rsidRPr="00377DC0">
        <w:rPr>
          <w:rFonts w:ascii="Book Antiqua" w:hAnsi="Book Antiqua"/>
          <w:b/>
          <w:sz w:val="24"/>
          <w:szCs w:val="24"/>
        </w:rPr>
        <w:t>Yang CH</w:t>
      </w:r>
      <w:r w:rsidRPr="00377DC0">
        <w:rPr>
          <w:rFonts w:ascii="Book Antiqua" w:hAnsi="Book Antiqua"/>
          <w:sz w:val="24"/>
          <w:szCs w:val="24"/>
        </w:rPr>
        <w:t xml:space="preserve">, Lin YC, Chou PH, Chen HC, Chan CH. A Case Report of Late Onset Mania Caused by Hyponatremia in a Patient With Empty Sella Syndrome. </w:t>
      </w:r>
      <w:r w:rsidRPr="00377DC0">
        <w:rPr>
          <w:rFonts w:ascii="Book Antiqua" w:hAnsi="Book Antiqua"/>
          <w:i/>
          <w:sz w:val="24"/>
          <w:szCs w:val="24"/>
        </w:rPr>
        <w:t xml:space="preserve">Medicine </w:t>
      </w:r>
      <w:r w:rsidRPr="00377DC0">
        <w:rPr>
          <w:rFonts w:ascii="Book Antiqua" w:hAnsi="Book Antiqua"/>
          <w:sz w:val="24"/>
          <w:szCs w:val="24"/>
        </w:rPr>
        <w:t xml:space="preserve">(Baltimore) 2016; </w:t>
      </w:r>
      <w:r w:rsidRPr="00377DC0">
        <w:rPr>
          <w:rFonts w:ascii="Book Antiqua" w:hAnsi="Book Antiqua"/>
          <w:b/>
          <w:sz w:val="24"/>
          <w:szCs w:val="24"/>
        </w:rPr>
        <w:t>95</w:t>
      </w:r>
      <w:r w:rsidRPr="00377DC0">
        <w:rPr>
          <w:rFonts w:ascii="Book Antiqua" w:hAnsi="Book Antiqua"/>
          <w:sz w:val="24"/>
          <w:szCs w:val="24"/>
        </w:rPr>
        <w:t>: e2629 [PMID: 26871784 DOI: 10.1097/MD.0000000000002629]</w:t>
      </w:r>
    </w:p>
    <w:p w14:paraId="322E45CA"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10 </w:t>
      </w:r>
      <w:r w:rsidRPr="00377DC0">
        <w:rPr>
          <w:rFonts w:ascii="Book Antiqua" w:hAnsi="Book Antiqua"/>
          <w:b/>
          <w:sz w:val="24"/>
          <w:szCs w:val="24"/>
        </w:rPr>
        <w:t>Xu P</w:t>
      </w:r>
      <w:r w:rsidRPr="00377DC0">
        <w:rPr>
          <w:rFonts w:ascii="Book Antiqua" w:hAnsi="Book Antiqua"/>
          <w:sz w:val="24"/>
          <w:szCs w:val="24"/>
        </w:rPr>
        <w:t xml:space="preserve">, He H, Chen Y, Wang C, Zhu Y, Ye X. Osteoporotic fractures and persistent non-fusion of the hand epiphyses caused by empty sella syndrome </w:t>
      </w:r>
      <w:r w:rsidRPr="00377DC0">
        <w:rPr>
          <w:rFonts w:ascii="Book Antiqua" w:hAnsi="Book Antiqua"/>
          <w:sz w:val="24"/>
          <w:szCs w:val="24"/>
        </w:rPr>
        <w:lastRenderedPageBreak/>
        <w:t xml:space="preserve">in an adult: a case report. </w:t>
      </w:r>
      <w:r w:rsidRPr="00377DC0">
        <w:rPr>
          <w:rFonts w:ascii="Book Antiqua" w:hAnsi="Book Antiqua"/>
          <w:i/>
          <w:sz w:val="24"/>
          <w:szCs w:val="24"/>
        </w:rPr>
        <w:t>J Int Med Res</w:t>
      </w:r>
      <w:r w:rsidRPr="00377DC0">
        <w:rPr>
          <w:rFonts w:ascii="Book Antiqua" w:hAnsi="Book Antiqua"/>
          <w:sz w:val="24"/>
          <w:szCs w:val="24"/>
        </w:rPr>
        <w:t xml:space="preserve"> 2013; </w:t>
      </w:r>
      <w:r w:rsidRPr="00377DC0">
        <w:rPr>
          <w:rFonts w:ascii="Book Antiqua" w:hAnsi="Book Antiqua"/>
          <w:b/>
          <w:sz w:val="24"/>
          <w:szCs w:val="24"/>
        </w:rPr>
        <w:t>41</w:t>
      </w:r>
      <w:r w:rsidRPr="00377DC0">
        <w:rPr>
          <w:rFonts w:ascii="Book Antiqua" w:hAnsi="Book Antiqua"/>
          <w:sz w:val="24"/>
          <w:szCs w:val="24"/>
        </w:rPr>
        <w:t>: 1768-1772 [PMID: 24029021 DOI: 10.1177/0300060513490609]</w:t>
      </w:r>
    </w:p>
    <w:p w14:paraId="34382BBA"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11 </w:t>
      </w:r>
      <w:r w:rsidRPr="00377DC0">
        <w:rPr>
          <w:rFonts w:ascii="Book Antiqua" w:hAnsi="Book Antiqua"/>
          <w:b/>
          <w:sz w:val="24"/>
          <w:szCs w:val="24"/>
        </w:rPr>
        <w:t>Dange N</w:t>
      </w:r>
      <w:r w:rsidRPr="00377DC0">
        <w:rPr>
          <w:rFonts w:ascii="Book Antiqua" w:hAnsi="Book Antiqua"/>
          <w:sz w:val="24"/>
          <w:szCs w:val="24"/>
        </w:rPr>
        <w:t xml:space="preserve">, Redhu R, Kawale J, Mahore A. Primary amenorrhea due to empty sella: an underestimated entity. </w:t>
      </w:r>
      <w:r w:rsidRPr="00377DC0">
        <w:rPr>
          <w:rFonts w:ascii="Book Antiqua" w:hAnsi="Book Antiqua"/>
          <w:i/>
          <w:sz w:val="24"/>
          <w:szCs w:val="24"/>
        </w:rPr>
        <w:t>Turk Neurosurg</w:t>
      </w:r>
      <w:r w:rsidRPr="00377DC0">
        <w:rPr>
          <w:rFonts w:ascii="Book Antiqua" w:hAnsi="Book Antiqua"/>
          <w:sz w:val="24"/>
          <w:szCs w:val="24"/>
        </w:rPr>
        <w:t xml:space="preserve"> 2012; </w:t>
      </w:r>
      <w:r w:rsidRPr="00377DC0">
        <w:rPr>
          <w:rFonts w:ascii="Book Antiqua" w:hAnsi="Book Antiqua"/>
          <w:b/>
          <w:sz w:val="24"/>
          <w:szCs w:val="24"/>
        </w:rPr>
        <w:t>22</w:t>
      </w:r>
      <w:r w:rsidRPr="00377DC0">
        <w:rPr>
          <w:rFonts w:ascii="Book Antiqua" w:hAnsi="Book Antiqua"/>
          <w:sz w:val="24"/>
          <w:szCs w:val="24"/>
        </w:rPr>
        <w:t>: 499-501 [PMID: 22843475 DOI: 10.5137/1019-5149.JTN.3901-10.0]</w:t>
      </w:r>
    </w:p>
    <w:p w14:paraId="69F25423" w14:textId="77777777" w:rsidR="00377DC0" w:rsidRPr="00377DC0" w:rsidRDefault="00377DC0" w:rsidP="00377DC0">
      <w:pPr>
        <w:spacing w:line="360" w:lineRule="auto"/>
        <w:rPr>
          <w:rFonts w:ascii="Book Antiqua" w:hAnsi="Book Antiqua"/>
          <w:sz w:val="24"/>
          <w:szCs w:val="24"/>
        </w:rPr>
      </w:pPr>
      <w:r w:rsidRPr="00377DC0">
        <w:rPr>
          <w:rFonts w:ascii="Book Antiqua" w:hAnsi="Book Antiqua"/>
          <w:sz w:val="24"/>
          <w:szCs w:val="24"/>
        </w:rPr>
        <w:t xml:space="preserve">12 </w:t>
      </w:r>
      <w:r w:rsidRPr="00377DC0">
        <w:rPr>
          <w:rFonts w:ascii="Book Antiqua" w:hAnsi="Book Antiqua"/>
          <w:b/>
          <w:sz w:val="24"/>
          <w:szCs w:val="24"/>
        </w:rPr>
        <w:t>Frost EA</w:t>
      </w:r>
      <w:r w:rsidRPr="00377DC0">
        <w:rPr>
          <w:rFonts w:ascii="Book Antiqua" w:hAnsi="Book Antiqua"/>
          <w:sz w:val="24"/>
          <w:szCs w:val="24"/>
        </w:rPr>
        <w:t xml:space="preserve">. Differential diagnosis of delayed awakening from general anesthesia: a review. </w:t>
      </w:r>
      <w:r w:rsidRPr="00377DC0">
        <w:rPr>
          <w:rFonts w:ascii="Book Antiqua" w:hAnsi="Book Antiqua"/>
          <w:i/>
          <w:sz w:val="24"/>
          <w:szCs w:val="24"/>
        </w:rPr>
        <w:t>Middle East J Anaesthesiol</w:t>
      </w:r>
      <w:r w:rsidRPr="00377DC0">
        <w:rPr>
          <w:rFonts w:ascii="Book Antiqua" w:hAnsi="Book Antiqua"/>
          <w:sz w:val="24"/>
          <w:szCs w:val="24"/>
        </w:rPr>
        <w:t xml:space="preserve"> 2014; </w:t>
      </w:r>
      <w:r w:rsidRPr="00377DC0">
        <w:rPr>
          <w:rFonts w:ascii="Book Antiqua" w:hAnsi="Book Antiqua"/>
          <w:b/>
          <w:sz w:val="24"/>
          <w:szCs w:val="24"/>
        </w:rPr>
        <w:t>22</w:t>
      </w:r>
      <w:r w:rsidRPr="00377DC0">
        <w:rPr>
          <w:rFonts w:ascii="Book Antiqua" w:hAnsi="Book Antiqua"/>
          <w:sz w:val="24"/>
          <w:szCs w:val="24"/>
        </w:rPr>
        <w:t>: 537-548 [PMID: 25668997]</w:t>
      </w:r>
    </w:p>
    <w:p w14:paraId="6942CEA1" w14:textId="77777777" w:rsidR="006525A0" w:rsidRPr="00377DC0" w:rsidRDefault="006525A0" w:rsidP="00377DC0">
      <w:pPr>
        <w:spacing w:line="360" w:lineRule="auto"/>
        <w:rPr>
          <w:rFonts w:ascii="Book Antiqua" w:hAnsi="Book Antiqua"/>
          <w:b/>
          <w:sz w:val="24"/>
          <w:szCs w:val="24"/>
        </w:rPr>
      </w:pPr>
    </w:p>
    <w:p w14:paraId="22B46412" w14:textId="2BFC4D32" w:rsidR="006525A0" w:rsidRPr="00377DC0" w:rsidRDefault="006525A0" w:rsidP="00377DC0">
      <w:pPr>
        <w:pStyle w:val="ac"/>
        <w:spacing w:line="360" w:lineRule="auto"/>
        <w:jc w:val="right"/>
        <w:rPr>
          <w:rFonts w:ascii="Book Antiqua" w:hAnsi="Book Antiqua"/>
          <w:b/>
          <w:sz w:val="24"/>
          <w:szCs w:val="24"/>
        </w:rPr>
      </w:pPr>
      <w:r w:rsidRPr="00377DC0">
        <w:rPr>
          <w:rFonts w:ascii="Book Antiqua" w:hAnsi="Book Antiqua"/>
          <w:b/>
          <w:sz w:val="24"/>
          <w:szCs w:val="24"/>
        </w:rPr>
        <w:t xml:space="preserve">P-Reviewer: </w:t>
      </w:r>
      <w:r w:rsidR="003B20EF" w:rsidRPr="00377DC0">
        <w:rPr>
          <w:rFonts w:ascii="Book Antiqua" w:hAnsi="Book Antiqua"/>
          <w:color w:val="000000"/>
          <w:sz w:val="24"/>
          <w:szCs w:val="24"/>
        </w:rPr>
        <w:t xml:space="preserve">Caceres-Loriga FM, Omboni S </w:t>
      </w:r>
      <w:r w:rsidRPr="00377DC0">
        <w:rPr>
          <w:rFonts w:ascii="Book Antiqua" w:hAnsi="Book Antiqua"/>
          <w:b/>
          <w:sz w:val="24"/>
          <w:szCs w:val="24"/>
        </w:rPr>
        <w:t xml:space="preserve">S-Editor: </w:t>
      </w:r>
      <w:r w:rsidRPr="00377DC0">
        <w:rPr>
          <w:rFonts w:ascii="Book Antiqua" w:hAnsi="Book Antiqua"/>
          <w:sz w:val="24"/>
          <w:szCs w:val="24"/>
        </w:rPr>
        <w:t>Ji FF</w:t>
      </w:r>
      <w:r w:rsidRPr="00377DC0">
        <w:rPr>
          <w:rFonts w:ascii="Book Antiqua" w:hAnsi="Book Antiqua"/>
          <w:b/>
          <w:sz w:val="24"/>
          <w:szCs w:val="24"/>
        </w:rPr>
        <w:t xml:space="preserve"> L-Editor: </w:t>
      </w:r>
      <w:r w:rsidR="00D06685" w:rsidRPr="00E523C1">
        <w:rPr>
          <w:rFonts w:ascii="Book Antiqua" w:hAnsi="Book Antiqua"/>
          <w:sz w:val="24"/>
          <w:szCs w:val="24"/>
        </w:rPr>
        <w:t>Wang TQ</w:t>
      </w:r>
      <w:r w:rsidR="00D06685">
        <w:rPr>
          <w:rFonts w:ascii="Book Antiqua" w:hAnsi="Book Antiqua"/>
          <w:b/>
          <w:sz w:val="24"/>
          <w:szCs w:val="24"/>
        </w:rPr>
        <w:t xml:space="preserve"> </w:t>
      </w:r>
      <w:r w:rsidRPr="00377DC0">
        <w:rPr>
          <w:rFonts w:ascii="Book Antiqua" w:hAnsi="Book Antiqua"/>
          <w:b/>
          <w:sz w:val="24"/>
          <w:szCs w:val="24"/>
        </w:rPr>
        <w:t xml:space="preserve">E-Editor: </w:t>
      </w:r>
    </w:p>
    <w:p w14:paraId="7D6FD4C3" w14:textId="77777777" w:rsidR="006525A0" w:rsidRPr="00377DC0" w:rsidRDefault="006525A0" w:rsidP="00377DC0">
      <w:pPr>
        <w:pStyle w:val="ac"/>
        <w:spacing w:line="360" w:lineRule="auto"/>
        <w:rPr>
          <w:rFonts w:ascii="Book Antiqua" w:hAnsi="Book Antiqua"/>
          <w:b/>
          <w:sz w:val="24"/>
          <w:szCs w:val="24"/>
        </w:rPr>
      </w:pPr>
      <w:r w:rsidRPr="00377DC0">
        <w:rPr>
          <w:rFonts w:ascii="Book Antiqua" w:hAnsi="Book Antiqua"/>
          <w:b/>
          <w:sz w:val="24"/>
          <w:szCs w:val="24"/>
        </w:rPr>
        <w:t xml:space="preserve"> </w:t>
      </w:r>
    </w:p>
    <w:p w14:paraId="46422EF5" w14:textId="2A2B0C92"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 xml:space="preserve">Specialty type: </w:t>
      </w:r>
      <w:r w:rsidR="003B20EF" w:rsidRPr="00377DC0">
        <w:rPr>
          <w:rFonts w:ascii="Book Antiqua" w:eastAsia="微软雅黑" w:hAnsi="Book Antiqua" w:cs="宋体"/>
          <w:kern w:val="0"/>
          <w:sz w:val="24"/>
          <w:szCs w:val="24"/>
        </w:rPr>
        <w:t>Medicine, research and experimental</w:t>
      </w:r>
    </w:p>
    <w:p w14:paraId="7410390E" w14:textId="3722CAFD"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 xml:space="preserve">Country of origin: </w:t>
      </w:r>
      <w:r w:rsidR="003B20EF" w:rsidRPr="00377DC0">
        <w:rPr>
          <w:rFonts w:ascii="Book Antiqua" w:hAnsi="Book Antiqua"/>
          <w:kern w:val="0"/>
          <w:sz w:val="24"/>
          <w:szCs w:val="24"/>
        </w:rPr>
        <w:t>China</w:t>
      </w:r>
    </w:p>
    <w:p w14:paraId="2D69B5F0" w14:textId="77777777" w:rsidR="006525A0" w:rsidRPr="00377DC0" w:rsidRDefault="006525A0" w:rsidP="00377DC0">
      <w:pPr>
        <w:widowControl/>
        <w:snapToGrid w:val="0"/>
        <w:spacing w:line="360" w:lineRule="auto"/>
        <w:rPr>
          <w:rFonts w:ascii="Book Antiqua" w:hAnsi="Book Antiqua" w:cs="Helvetica"/>
          <w:b/>
          <w:kern w:val="0"/>
          <w:sz w:val="24"/>
          <w:szCs w:val="24"/>
        </w:rPr>
      </w:pPr>
      <w:r w:rsidRPr="00377DC0">
        <w:rPr>
          <w:rFonts w:ascii="Book Antiqua" w:hAnsi="Book Antiqua" w:cs="Helvetica"/>
          <w:b/>
          <w:kern w:val="0"/>
          <w:sz w:val="24"/>
          <w:szCs w:val="24"/>
        </w:rPr>
        <w:t>Peer-review report classification</w:t>
      </w:r>
    </w:p>
    <w:p w14:paraId="4B7588BC" w14:textId="344430D4"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A (Excellent): </w:t>
      </w:r>
      <w:r w:rsidR="003B20EF" w:rsidRPr="00377DC0">
        <w:rPr>
          <w:rFonts w:ascii="Book Antiqua" w:hAnsi="Book Antiqua" w:cs="Helvetica"/>
          <w:kern w:val="0"/>
          <w:sz w:val="24"/>
          <w:szCs w:val="24"/>
        </w:rPr>
        <w:t>0</w:t>
      </w:r>
    </w:p>
    <w:p w14:paraId="770B7840" w14:textId="4AA59B2C"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B (Very good): </w:t>
      </w:r>
      <w:r w:rsidR="003B20EF" w:rsidRPr="00377DC0">
        <w:rPr>
          <w:rFonts w:ascii="Book Antiqua" w:hAnsi="Book Antiqua" w:cs="Helvetica"/>
          <w:kern w:val="0"/>
          <w:sz w:val="24"/>
          <w:szCs w:val="24"/>
        </w:rPr>
        <w:t>0</w:t>
      </w:r>
    </w:p>
    <w:p w14:paraId="0E1114EE" w14:textId="4E3EB176"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Grade C (Good): C</w:t>
      </w:r>
      <w:r w:rsidR="003B20EF" w:rsidRPr="00377DC0">
        <w:rPr>
          <w:rFonts w:ascii="Book Antiqua" w:hAnsi="Book Antiqua" w:cs="Helvetica"/>
          <w:kern w:val="0"/>
          <w:sz w:val="24"/>
          <w:szCs w:val="24"/>
        </w:rPr>
        <w:t>, C</w:t>
      </w:r>
    </w:p>
    <w:p w14:paraId="405CB4AB" w14:textId="77777777" w:rsidR="006525A0" w:rsidRPr="00377DC0" w:rsidRDefault="006525A0" w:rsidP="00377DC0">
      <w:pPr>
        <w:widowControl/>
        <w:snapToGrid w:val="0"/>
        <w:spacing w:line="360" w:lineRule="auto"/>
        <w:rPr>
          <w:rFonts w:ascii="Book Antiqua" w:hAnsi="Book Antiqua" w:cs="Helvetica"/>
          <w:kern w:val="0"/>
          <w:sz w:val="24"/>
          <w:szCs w:val="24"/>
        </w:rPr>
      </w:pPr>
      <w:r w:rsidRPr="00377DC0">
        <w:rPr>
          <w:rFonts w:ascii="Book Antiqua" w:hAnsi="Book Antiqua" w:cs="Helvetica"/>
          <w:kern w:val="0"/>
          <w:sz w:val="24"/>
          <w:szCs w:val="24"/>
        </w:rPr>
        <w:t xml:space="preserve">Grade D (Fair): 0 </w:t>
      </w:r>
    </w:p>
    <w:p w14:paraId="42FDEE86" w14:textId="3F8BE587" w:rsidR="006525A0" w:rsidRPr="00377DC0" w:rsidRDefault="006525A0" w:rsidP="00377DC0">
      <w:pPr>
        <w:spacing w:line="360" w:lineRule="auto"/>
        <w:rPr>
          <w:rFonts w:ascii="Book Antiqua" w:hAnsi="Book Antiqua"/>
          <w:sz w:val="24"/>
          <w:szCs w:val="24"/>
        </w:rPr>
      </w:pPr>
      <w:r w:rsidRPr="00377DC0">
        <w:rPr>
          <w:rFonts w:ascii="Book Antiqua" w:hAnsi="Book Antiqua" w:cs="Helvetica"/>
          <w:kern w:val="0"/>
          <w:sz w:val="24"/>
          <w:szCs w:val="24"/>
        </w:rPr>
        <w:t>Grade E (Poor): 0</w:t>
      </w:r>
    </w:p>
    <w:p w14:paraId="4009F885" w14:textId="77777777" w:rsidR="0078005E" w:rsidRDefault="0078005E">
      <w:pPr>
        <w:widowControl/>
        <w:jc w:val="left"/>
        <w:rPr>
          <w:rFonts w:ascii="Book Antiqua" w:hAnsi="Book Antiqua"/>
          <w:sz w:val="24"/>
          <w:szCs w:val="24"/>
        </w:rPr>
      </w:pPr>
      <w:r>
        <w:rPr>
          <w:rFonts w:ascii="Book Antiqua" w:hAnsi="Book Antiqua"/>
          <w:sz w:val="24"/>
          <w:szCs w:val="24"/>
        </w:rPr>
        <w:br w:type="page"/>
      </w:r>
    </w:p>
    <w:p w14:paraId="598FE76C" w14:textId="77777777" w:rsidR="0078005E" w:rsidRPr="008933EE" w:rsidRDefault="0078005E" w:rsidP="0078005E">
      <w:pPr>
        <w:spacing w:line="360" w:lineRule="auto"/>
        <w:rPr>
          <w:rFonts w:ascii="Book Antiqua" w:hAnsi="Book Antiqua"/>
          <w:b/>
          <w:sz w:val="24"/>
          <w:szCs w:val="24"/>
        </w:rPr>
      </w:pPr>
      <w:r w:rsidRPr="008933EE">
        <w:rPr>
          <w:rFonts w:ascii="Book Antiqua" w:hAnsi="Book Antiqua"/>
          <w:b/>
          <w:kern w:val="0"/>
          <w:sz w:val="24"/>
          <w:szCs w:val="24"/>
        </w:rPr>
        <w:lastRenderedPageBreak/>
        <w:t>Table</w:t>
      </w:r>
      <w:r w:rsidRPr="008933EE">
        <w:rPr>
          <w:rFonts w:ascii="Book Antiqua" w:hAnsi="Book Antiqua" w:hint="eastAsia"/>
          <w:b/>
          <w:kern w:val="0"/>
          <w:sz w:val="24"/>
          <w:szCs w:val="24"/>
        </w:rPr>
        <w:t xml:space="preserve"> </w:t>
      </w:r>
      <w:r w:rsidRPr="008933EE">
        <w:rPr>
          <w:rFonts w:ascii="Book Antiqua" w:hAnsi="Book Antiqua"/>
          <w:b/>
          <w:kern w:val="0"/>
          <w:sz w:val="24"/>
          <w:szCs w:val="24"/>
        </w:rPr>
        <w:t>1 Laboratory investigations</w:t>
      </w:r>
    </w:p>
    <w:tbl>
      <w:tblPr>
        <w:tblStyle w:val="a6"/>
        <w:tblW w:w="72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462"/>
        <w:gridCol w:w="2694"/>
      </w:tblGrid>
      <w:tr w:rsidR="0078005E" w:rsidRPr="00D20711" w14:paraId="7DEC0DA5" w14:textId="77777777" w:rsidTr="00EB0920">
        <w:tc>
          <w:tcPr>
            <w:tcW w:w="2074" w:type="dxa"/>
            <w:tcBorders>
              <w:top w:val="single" w:sz="4" w:space="0" w:color="auto"/>
              <w:bottom w:val="single" w:sz="4" w:space="0" w:color="auto"/>
            </w:tcBorders>
          </w:tcPr>
          <w:p w14:paraId="00AE03AA" w14:textId="77777777" w:rsidR="0078005E" w:rsidRPr="003B20EF" w:rsidRDefault="0078005E" w:rsidP="00EB0920">
            <w:pPr>
              <w:spacing w:line="360" w:lineRule="auto"/>
              <w:rPr>
                <w:rFonts w:ascii="Book Antiqua" w:hAnsi="Book Antiqua"/>
                <w:b/>
                <w:sz w:val="24"/>
                <w:szCs w:val="24"/>
              </w:rPr>
            </w:pPr>
            <w:r w:rsidRPr="003B20EF">
              <w:rPr>
                <w:rFonts w:ascii="Book Antiqua" w:hAnsi="Book Antiqua"/>
                <w:b/>
                <w:sz w:val="24"/>
                <w:szCs w:val="24"/>
              </w:rPr>
              <w:t>Analyte</w:t>
            </w:r>
          </w:p>
        </w:tc>
        <w:tc>
          <w:tcPr>
            <w:tcW w:w="2462" w:type="dxa"/>
            <w:tcBorders>
              <w:top w:val="single" w:sz="4" w:space="0" w:color="auto"/>
              <w:bottom w:val="single" w:sz="4" w:space="0" w:color="auto"/>
            </w:tcBorders>
          </w:tcPr>
          <w:p w14:paraId="2ECF33AD" w14:textId="77777777" w:rsidR="0078005E" w:rsidRPr="003B20EF" w:rsidRDefault="0078005E" w:rsidP="00EB0920">
            <w:pPr>
              <w:spacing w:line="360" w:lineRule="auto"/>
              <w:rPr>
                <w:rFonts w:ascii="Book Antiqua" w:hAnsi="Book Antiqua"/>
                <w:b/>
                <w:sz w:val="24"/>
                <w:szCs w:val="24"/>
              </w:rPr>
            </w:pPr>
            <w:r w:rsidRPr="003B20EF">
              <w:rPr>
                <w:rFonts w:ascii="Book Antiqua" w:hAnsi="Book Antiqua"/>
                <w:b/>
                <w:sz w:val="24"/>
                <w:szCs w:val="24"/>
              </w:rPr>
              <w:t>Measured value</w:t>
            </w:r>
          </w:p>
        </w:tc>
        <w:tc>
          <w:tcPr>
            <w:tcW w:w="2694" w:type="dxa"/>
            <w:tcBorders>
              <w:top w:val="single" w:sz="4" w:space="0" w:color="auto"/>
              <w:bottom w:val="single" w:sz="4" w:space="0" w:color="auto"/>
            </w:tcBorders>
          </w:tcPr>
          <w:p w14:paraId="5DFE400D" w14:textId="77777777" w:rsidR="0078005E" w:rsidRPr="003B20EF" w:rsidRDefault="0078005E" w:rsidP="00EB0920">
            <w:pPr>
              <w:spacing w:line="360" w:lineRule="auto"/>
              <w:rPr>
                <w:rFonts w:ascii="Book Antiqua" w:hAnsi="Book Antiqua"/>
                <w:b/>
                <w:sz w:val="24"/>
                <w:szCs w:val="24"/>
              </w:rPr>
            </w:pPr>
            <w:r w:rsidRPr="003B20EF">
              <w:rPr>
                <w:rFonts w:ascii="Book Antiqua" w:hAnsi="Book Antiqua"/>
                <w:b/>
                <w:sz w:val="24"/>
                <w:szCs w:val="24"/>
              </w:rPr>
              <w:t>Normal value</w:t>
            </w:r>
          </w:p>
        </w:tc>
      </w:tr>
      <w:tr w:rsidR="0078005E" w:rsidRPr="00D20711" w14:paraId="3C1B5ECB" w14:textId="77777777" w:rsidTr="00EB0920">
        <w:tc>
          <w:tcPr>
            <w:tcW w:w="2074" w:type="dxa"/>
            <w:tcBorders>
              <w:top w:val="single" w:sz="4" w:space="0" w:color="auto"/>
            </w:tcBorders>
          </w:tcPr>
          <w:p w14:paraId="63D47012"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Na</w:t>
            </w:r>
            <w:r w:rsidRPr="00D20711">
              <w:rPr>
                <w:rFonts w:ascii="Book Antiqua" w:hAnsi="Book Antiqua"/>
                <w:sz w:val="24"/>
                <w:szCs w:val="24"/>
                <w:vertAlign w:val="superscript"/>
              </w:rPr>
              <w:t>+</w:t>
            </w:r>
          </w:p>
        </w:tc>
        <w:tc>
          <w:tcPr>
            <w:tcW w:w="2462" w:type="dxa"/>
            <w:tcBorders>
              <w:top w:val="single" w:sz="4" w:space="0" w:color="auto"/>
            </w:tcBorders>
          </w:tcPr>
          <w:p w14:paraId="67DC499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132</w:t>
            </w:r>
            <w:r>
              <w:rPr>
                <w:rFonts w:ascii="Book Antiqua" w:hAnsi="Book Antiqua" w:hint="eastAsia"/>
                <w:sz w:val="24"/>
                <w:szCs w:val="24"/>
              </w:rPr>
              <w:t xml:space="preserve"> </w:t>
            </w:r>
            <w:r w:rsidRPr="00D20711">
              <w:rPr>
                <w:rFonts w:ascii="Book Antiqua" w:hAnsi="Book Antiqua"/>
                <w:sz w:val="24"/>
                <w:szCs w:val="24"/>
              </w:rPr>
              <w:t xml:space="preserve">mmol/L </w:t>
            </w:r>
          </w:p>
        </w:tc>
        <w:tc>
          <w:tcPr>
            <w:tcW w:w="2694" w:type="dxa"/>
            <w:tcBorders>
              <w:top w:val="single" w:sz="4" w:space="0" w:color="auto"/>
            </w:tcBorders>
          </w:tcPr>
          <w:p w14:paraId="08FF102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137-148</w:t>
            </w:r>
            <w:r>
              <w:rPr>
                <w:rFonts w:ascii="Book Antiqua" w:hAnsi="Book Antiqua" w:hint="eastAsia"/>
                <w:sz w:val="24"/>
                <w:szCs w:val="24"/>
              </w:rPr>
              <w:t xml:space="preserve"> </w:t>
            </w:r>
            <w:r w:rsidRPr="00D20711">
              <w:rPr>
                <w:rFonts w:ascii="Book Antiqua" w:hAnsi="Book Antiqua"/>
                <w:sz w:val="24"/>
                <w:szCs w:val="24"/>
              </w:rPr>
              <w:t>mmol/L</w:t>
            </w:r>
          </w:p>
        </w:tc>
      </w:tr>
      <w:tr w:rsidR="0078005E" w:rsidRPr="00D20711" w14:paraId="0A0CE45F" w14:textId="77777777" w:rsidTr="00EB0920">
        <w:tc>
          <w:tcPr>
            <w:tcW w:w="2074" w:type="dxa"/>
          </w:tcPr>
          <w:p w14:paraId="0110553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Ca</w:t>
            </w:r>
            <w:r w:rsidRPr="00D20711">
              <w:rPr>
                <w:rFonts w:ascii="Book Antiqua" w:hAnsi="Book Antiqua"/>
                <w:sz w:val="24"/>
                <w:szCs w:val="24"/>
                <w:vertAlign w:val="superscript"/>
              </w:rPr>
              <w:t>2+</w:t>
            </w:r>
          </w:p>
        </w:tc>
        <w:tc>
          <w:tcPr>
            <w:tcW w:w="2462" w:type="dxa"/>
          </w:tcPr>
          <w:p w14:paraId="6AA0B1D5" w14:textId="77777777" w:rsidR="0078005E" w:rsidRPr="00930BD6" w:rsidRDefault="0078005E" w:rsidP="00EB0920">
            <w:pPr>
              <w:spacing w:line="360" w:lineRule="auto"/>
              <w:rPr>
                <w:rFonts w:ascii="Book Antiqua" w:hAnsi="Book Antiqua"/>
                <w:b/>
                <w:sz w:val="24"/>
                <w:szCs w:val="24"/>
              </w:rPr>
            </w:pPr>
            <w:r w:rsidRPr="00D20711">
              <w:rPr>
                <w:rFonts w:ascii="Book Antiqua" w:hAnsi="Book Antiqua"/>
                <w:sz w:val="24"/>
                <w:szCs w:val="24"/>
              </w:rPr>
              <w:t>2.17</w:t>
            </w:r>
            <w:r>
              <w:rPr>
                <w:rFonts w:ascii="Book Antiqua" w:hAnsi="Book Antiqua" w:hint="eastAsia"/>
                <w:sz w:val="24"/>
                <w:szCs w:val="24"/>
              </w:rPr>
              <w:t xml:space="preserve"> </w:t>
            </w:r>
            <w:r w:rsidRPr="00D20711">
              <w:rPr>
                <w:rFonts w:ascii="Book Antiqua" w:hAnsi="Book Antiqua"/>
                <w:sz w:val="24"/>
                <w:szCs w:val="24"/>
              </w:rPr>
              <w:t>mmol/L</w:t>
            </w:r>
          </w:p>
        </w:tc>
        <w:tc>
          <w:tcPr>
            <w:tcW w:w="2694" w:type="dxa"/>
          </w:tcPr>
          <w:p w14:paraId="31D3165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2-2.52</w:t>
            </w:r>
            <w:r>
              <w:rPr>
                <w:rFonts w:ascii="Book Antiqua" w:hAnsi="Book Antiqua" w:hint="eastAsia"/>
                <w:sz w:val="24"/>
                <w:szCs w:val="24"/>
              </w:rPr>
              <w:t xml:space="preserve"> </w:t>
            </w:r>
            <w:r w:rsidRPr="00D20711">
              <w:rPr>
                <w:rFonts w:ascii="Book Antiqua" w:hAnsi="Book Antiqua"/>
                <w:sz w:val="24"/>
                <w:szCs w:val="24"/>
              </w:rPr>
              <w:t>mmol/L</w:t>
            </w:r>
          </w:p>
        </w:tc>
      </w:tr>
      <w:tr w:rsidR="0078005E" w:rsidRPr="00D20711" w14:paraId="1D4E0A3D" w14:textId="77777777" w:rsidTr="00EB0920">
        <w:tc>
          <w:tcPr>
            <w:tcW w:w="2074" w:type="dxa"/>
          </w:tcPr>
          <w:p w14:paraId="2BA1BF0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TSH</w:t>
            </w:r>
          </w:p>
        </w:tc>
        <w:tc>
          <w:tcPr>
            <w:tcW w:w="2462" w:type="dxa"/>
          </w:tcPr>
          <w:p w14:paraId="772ADB1D"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2.4 μIU/mL</w:t>
            </w:r>
          </w:p>
        </w:tc>
        <w:tc>
          <w:tcPr>
            <w:tcW w:w="2694" w:type="dxa"/>
          </w:tcPr>
          <w:p w14:paraId="4224EABC"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0.27-4.2</w:t>
            </w:r>
            <w:r>
              <w:rPr>
                <w:rFonts w:ascii="Book Antiqua" w:hAnsi="Book Antiqua" w:hint="eastAsia"/>
                <w:sz w:val="24"/>
                <w:szCs w:val="24"/>
              </w:rPr>
              <w:t xml:space="preserve"> </w:t>
            </w:r>
            <w:r w:rsidRPr="00D20711">
              <w:rPr>
                <w:rFonts w:ascii="Book Antiqua" w:hAnsi="Book Antiqua"/>
                <w:sz w:val="24"/>
                <w:szCs w:val="24"/>
              </w:rPr>
              <w:t>μIU/mL</w:t>
            </w:r>
          </w:p>
        </w:tc>
      </w:tr>
      <w:tr w:rsidR="0078005E" w:rsidRPr="00D20711" w14:paraId="09C6969C" w14:textId="77777777" w:rsidTr="00EB0920">
        <w:tc>
          <w:tcPr>
            <w:tcW w:w="2074" w:type="dxa"/>
          </w:tcPr>
          <w:p w14:paraId="55EB74C4"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FT4</w:t>
            </w:r>
          </w:p>
        </w:tc>
        <w:tc>
          <w:tcPr>
            <w:tcW w:w="2462" w:type="dxa"/>
          </w:tcPr>
          <w:p w14:paraId="44EB5C4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0.24 ng/dL </w:t>
            </w:r>
          </w:p>
        </w:tc>
        <w:tc>
          <w:tcPr>
            <w:tcW w:w="2694" w:type="dxa"/>
          </w:tcPr>
          <w:p w14:paraId="144081F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0.93-1.7 ng/dL</w:t>
            </w:r>
          </w:p>
        </w:tc>
      </w:tr>
      <w:tr w:rsidR="0078005E" w:rsidRPr="00D20711" w14:paraId="6E4F8CC6" w14:textId="77777777" w:rsidTr="00EB0920">
        <w:tc>
          <w:tcPr>
            <w:tcW w:w="2074" w:type="dxa"/>
          </w:tcPr>
          <w:p w14:paraId="228C82CA"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FT3</w:t>
            </w:r>
          </w:p>
        </w:tc>
        <w:tc>
          <w:tcPr>
            <w:tcW w:w="2462" w:type="dxa"/>
          </w:tcPr>
          <w:p w14:paraId="038247FE"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0.93 pg/dL </w:t>
            </w:r>
          </w:p>
        </w:tc>
        <w:tc>
          <w:tcPr>
            <w:tcW w:w="2694" w:type="dxa"/>
          </w:tcPr>
          <w:p w14:paraId="38108F2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2.0-4.4 pg/dL</w:t>
            </w:r>
          </w:p>
        </w:tc>
      </w:tr>
      <w:tr w:rsidR="0078005E" w:rsidRPr="00D20711" w14:paraId="7A941EF0" w14:textId="77777777" w:rsidTr="00EB0920">
        <w:tc>
          <w:tcPr>
            <w:tcW w:w="2074" w:type="dxa"/>
          </w:tcPr>
          <w:p w14:paraId="7CD87313"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Cortisol (8:00 am)</w:t>
            </w:r>
          </w:p>
        </w:tc>
        <w:tc>
          <w:tcPr>
            <w:tcW w:w="2462" w:type="dxa"/>
          </w:tcPr>
          <w:p w14:paraId="16C39684"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13.73</w:t>
            </w:r>
            <w:r>
              <w:rPr>
                <w:rFonts w:ascii="Book Antiqua" w:hAnsi="Book Antiqua" w:hint="eastAsia"/>
                <w:sz w:val="24"/>
                <w:szCs w:val="24"/>
              </w:rPr>
              <w:t xml:space="preserve"> </w:t>
            </w:r>
            <w:r w:rsidRPr="00D20711">
              <w:rPr>
                <w:rFonts w:ascii="Book Antiqua" w:hAnsi="Book Antiqua"/>
                <w:sz w:val="24"/>
                <w:szCs w:val="24"/>
              </w:rPr>
              <w:t xml:space="preserve">μg/L </w:t>
            </w:r>
          </w:p>
        </w:tc>
        <w:tc>
          <w:tcPr>
            <w:tcW w:w="2694" w:type="dxa"/>
          </w:tcPr>
          <w:p w14:paraId="68720E1B"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52.7-224.5</w:t>
            </w:r>
            <w:r>
              <w:rPr>
                <w:rFonts w:ascii="Book Antiqua" w:hAnsi="Book Antiqua" w:hint="eastAsia"/>
                <w:sz w:val="24"/>
                <w:szCs w:val="24"/>
              </w:rPr>
              <w:t xml:space="preserve"> </w:t>
            </w:r>
            <w:r w:rsidRPr="00D20711">
              <w:rPr>
                <w:rFonts w:ascii="Book Antiqua" w:hAnsi="Book Antiqua"/>
                <w:sz w:val="24"/>
                <w:szCs w:val="24"/>
              </w:rPr>
              <w:t>μg/L</w:t>
            </w:r>
          </w:p>
        </w:tc>
      </w:tr>
      <w:tr w:rsidR="0078005E" w:rsidRPr="00D20711" w14:paraId="355733E9" w14:textId="77777777" w:rsidTr="00EB0920">
        <w:tc>
          <w:tcPr>
            <w:tcW w:w="2074" w:type="dxa"/>
          </w:tcPr>
          <w:p w14:paraId="1F73C411"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9:00</w:t>
            </w:r>
          </w:p>
        </w:tc>
        <w:tc>
          <w:tcPr>
            <w:tcW w:w="2462" w:type="dxa"/>
          </w:tcPr>
          <w:p w14:paraId="373582CA"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10.5</w:t>
            </w:r>
            <w:r>
              <w:rPr>
                <w:rFonts w:ascii="Book Antiqua" w:hAnsi="Book Antiqua" w:hint="eastAsia"/>
                <w:sz w:val="24"/>
                <w:szCs w:val="24"/>
              </w:rPr>
              <w:t xml:space="preserve"> </w:t>
            </w:r>
            <w:r w:rsidRPr="00D20711">
              <w:rPr>
                <w:rFonts w:ascii="Book Antiqua" w:hAnsi="Book Antiqua"/>
                <w:sz w:val="24"/>
                <w:szCs w:val="24"/>
              </w:rPr>
              <w:t>ng/L</w:t>
            </w:r>
          </w:p>
        </w:tc>
        <w:tc>
          <w:tcPr>
            <w:tcW w:w="2694" w:type="dxa"/>
          </w:tcPr>
          <w:p w14:paraId="1AE74538"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7.5-63.3</w:t>
            </w:r>
            <w:r>
              <w:rPr>
                <w:rFonts w:ascii="Book Antiqua" w:hAnsi="Book Antiqua" w:hint="eastAsia"/>
                <w:sz w:val="24"/>
                <w:szCs w:val="24"/>
              </w:rPr>
              <w:t xml:space="preserve"> </w:t>
            </w:r>
            <w:r w:rsidRPr="00D20711">
              <w:rPr>
                <w:rFonts w:ascii="Book Antiqua" w:hAnsi="Book Antiqua"/>
                <w:sz w:val="24"/>
                <w:szCs w:val="24"/>
              </w:rPr>
              <w:t>pg/L</w:t>
            </w:r>
          </w:p>
        </w:tc>
      </w:tr>
      <w:tr w:rsidR="0078005E" w:rsidRPr="00D20711" w14:paraId="462882A0" w14:textId="77777777" w:rsidTr="00EB0920">
        <w:tc>
          <w:tcPr>
            <w:tcW w:w="2074" w:type="dxa"/>
          </w:tcPr>
          <w:p w14:paraId="6D6F3ED1"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16:00</w:t>
            </w:r>
          </w:p>
        </w:tc>
        <w:tc>
          <w:tcPr>
            <w:tcW w:w="2462" w:type="dxa"/>
          </w:tcPr>
          <w:p w14:paraId="5FC9DB93"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3.43</w:t>
            </w:r>
            <w:r>
              <w:rPr>
                <w:rFonts w:ascii="Book Antiqua" w:hAnsi="Book Antiqua" w:hint="eastAsia"/>
                <w:sz w:val="24"/>
                <w:szCs w:val="24"/>
              </w:rPr>
              <w:t xml:space="preserve"> </w:t>
            </w:r>
            <w:r w:rsidRPr="00D20711">
              <w:rPr>
                <w:rFonts w:ascii="Book Antiqua" w:hAnsi="Book Antiqua"/>
                <w:sz w:val="24"/>
                <w:szCs w:val="24"/>
              </w:rPr>
              <w:t>ng/L</w:t>
            </w:r>
          </w:p>
        </w:tc>
        <w:tc>
          <w:tcPr>
            <w:tcW w:w="2694" w:type="dxa"/>
          </w:tcPr>
          <w:p w14:paraId="5DF975C9" w14:textId="17370BED"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&lt;46</w:t>
            </w:r>
            <w:r>
              <w:rPr>
                <w:rFonts w:ascii="Book Antiqua" w:hAnsi="Book Antiqua" w:hint="eastAsia"/>
                <w:sz w:val="24"/>
                <w:szCs w:val="24"/>
              </w:rPr>
              <w:t xml:space="preserve"> </w:t>
            </w:r>
            <w:r w:rsidRPr="00D20711">
              <w:rPr>
                <w:rFonts w:ascii="Book Antiqua" w:hAnsi="Book Antiqua"/>
                <w:sz w:val="24"/>
                <w:szCs w:val="24"/>
              </w:rPr>
              <w:t>ng/L</w:t>
            </w:r>
          </w:p>
        </w:tc>
      </w:tr>
      <w:tr w:rsidR="0078005E" w:rsidRPr="00D20711" w14:paraId="0169BD8F" w14:textId="77777777" w:rsidTr="00EB0920">
        <w:tc>
          <w:tcPr>
            <w:tcW w:w="2074" w:type="dxa"/>
          </w:tcPr>
          <w:p w14:paraId="1B280F77"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ACTH 24:00</w:t>
            </w:r>
          </w:p>
        </w:tc>
        <w:tc>
          <w:tcPr>
            <w:tcW w:w="2462" w:type="dxa"/>
          </w:tcPr>
          <w:p w14:paraId="6AE60BD0" w14:textId="35D13723"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&lt;1</w:t>
            </w:r>
            <w:r>
              <w:rPr>
                <w:rFonts w:ascii="Book Antiqua" w:hAnsi="Book Antiqua" w:hint="eastAsia"/>
                <w:sz w:val="24"/>
                <w:szCs w:val="24"/>
              </w:rPr>
              <w:t xml:space="preserve"> </w:t>
            </w:r>
            <w:r w:rsidRPr="00D20711">
              <w:rPr>
                <w:rFonts w:ascii="Book Antiqua" w:hAnsi="Book Antiqua"/>
                <w:sz w:val="24"/>
                <w:szCs w:val="24"/>
              </w:rPr>
              <w:t>ng/L</w:t>
            </w:r>
          </w:p>
        </w:tc>
        <w:tc>
          <w:tcPr>
            <w:tcW w:w="2694" w:type="dxa"/>
          </w:tcPr>
          <w:p w14:paraId="166024A0" w14:textId="363D061B"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&lt;46</w:t>
            </w:r>
            <w:r>
              <w:rPr>
                <w:rFonts w:ascii="Book Antiqua" w:hAnsi="Book Antiqua" w:hint="eastAsia"/>
                <w:sz w:val="24"/>
                <w:szCs w:val="24"/>
              </w:rPr>
              <w:t xml:space="preserve"> </w:t>
            </w:r>
            <w:r w:rsidRPr="00D20711">
              <w:rPr>
                <w:rFonts w:ascii="Book Antiqua" w:hAnsi="Book Antiqua"/>
                <w:sz w:val="24"/>
                <w:szCs w:val="24"/>
              </w:rPr>
              <w:t>ng/L</w:t>
            </w:r>
          </w:p>
        </w:tc>
      </w:tr>
      <w:tr w:rsidR="0078005E" w:rsidRPr="00D20711" w14:paraId="609AB1B6" w14:textId="77777777" w:rsidTr="00EB0920">
        <w:tc>
          <w:tcPr>
            <w:tcW w:w="2074" w:type="dxa"/>
          </w:tcPr>
          <w:p w14:paraId="5099C99A" w14:textId="5E20076F" w:rsidR="0078005E" w:rsidRPr="00D20711" w:rsidRDefault="00D06685" w:rsidP="00EB0920">
            <w:pPr>
              <w:spacing w:line="360" w:lineRule="auto"/>
              <w:rPr>
                <w:rFonts w:ascii="Book Antiqua" w:hAnsi="Book Antiqua"/>
                <w:sz w:val="24"/>
                <w:szCs w:val="24"/>
              </w:rPr>
            </w:pPr>
            <w:r>
              <w:rPr>
                <w:rFonts w:ascii="Book Antiqua" w:hAnsi="Book Antiqua"/>
                <w:sz w:val="24"/>
                <w:szCs w:val="24"/>
              </w:rPr>
              <w:t>T</w:t>
            </w:r>
            <w:r w:rsidRPr="00D20711">
              <w:rPr>
                <w:rFonts w:ascii="Book Antiqua" w:hAnsi="Book Antiqua"/>
                <w:sz w:val="24"/>
                <w:szCs w:val="24"/>
              </w:rPr>
              <w:t>estosterone</w:t>
            </w:r>
          </w:p>
        </w:tc>
        <w:tc>
          <w:tcPr>
            <w:tcW w:w="2462" w:type="dxa"/>
          </w:tcPr>
          <w:p w14:paraId="36D7EAB2"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 xml:space="preserve">0.03 ng/mL </w:t>
            </w:r>
          </w:p>
        </w:tc>
        <w:tc>
          <w:tcPr>
            <w:tcW w:w="2694" w:type="dxa"/>
          </w:tcPr>
          <w:p w14:paraId="14537420"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2.8-8.0 ng/mL</w:t>
            </w:r>
          </w:p>
        </w:tc>
      </w:tr>
      <w:tr w:rsidR="0078005E" w:rsidRPr="00D20711" w14:paraId="22F6F9E1" w14:textId="77777777" w:rsidTr="00EB0920">
        <w:tc>
          <w:tcPr>
            <w:tcW w:w="2074" w:type="dxa"/>
          </w:tcPr>
          <w:p w14:paraId="29A074E6" w14:textId="0DCA0E0F" w:rsidR="0078005E" w:rsidRPr="00D20711" w:rsidRDefault="0078005E">
            <w:pPr>
              <w:spacing w:line="360" w:lineRule="auto"/>
              <w:rPr>
                <w:rFonts w:ascii="Book Antiqua" w:hAnsi="Book Antiqua"/>
                <w:sz w:val="24"/>
                <w:szCs w:val="24"/>
              </w:rPr>
            </w:pPr>
            <w:r w:rsidRPr="00D20711">
              <w:rPr>
                <w:rFonts w:ascii="Book Antiqua" w:hAnsi="Book Antiqua" w:cs="Arial"/>
                <w:sz w:val="24"/>
                <w:szCs w:val="24"/>
              </w:rPr>
              <w:t xml:space="preserve">Growth </w:t>
            </w:r>
            <w:r w:rsidR="00D06685">
              <w:rPr>
                <w:rFonts w:ascii="Book Antiqua" w:hAnsi="Book Antiqua" w:cs="Arial"/>
                <w:sz w:val="24"/>
                <w:szCs w:val="24"/>
              </w:rPr>
              <w:t>h</w:t>
            </w:r>
            <w:r w:rsidR="00D06685" w:rsidRPr="00D20711">
              <w:rPr>
                <w:rFonts w:ascii="Book Antiqua" w:hAnsi="Book Antiqua" w:cs="Arial"/>
                <w:sz w:val="24"/>
                <w:szCs w:val="24"/>
              </w:rPr>
              <w:t>ormone</w:t>
            </w:r>
          </w:p>
        </w:tc>
        <w:tc>
          <w:tcPr>
            <w:tcW w:w="2462" w:type="dxa"/>
          </w:tcPr>
          <w:p w14:paraId="0BB176F9" w14:textId="77777777"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0.10</w:t>
            </w:r>
          </w:p>
        </w:tc>
        <w:tc>
          <w:tcPr>
            <w:tcW w:w="2694" w:type="dxa"/>
          </w:tcPr>
          <w:p w14:paraId="322DD2A6" w14:textId="1B8A1C09" w:rsidR="0078005E" w:rsidRPr="00D20711" w:rsidRDefault="0078005E" w:rsidP="00EB0920">
            <w:pPr>
              <w:spacing w:line="360" w:lineRule="auto"/>
              <w:rPr>
                <w:rFonts w:ascii="Book Antiqua" w:hAnsi="Book Antiqua"/>
                <w:sz w:val="24"/>
                <w:szCs w:val="24"/>
              </w:rPr>
            </w:pPr>
            <w:r w:rsidRPr="00D20711">
              <w:rPr>
                <w:rFonts w:ascii="Book Antiqua" w:hAnsi="Book Antiqua"/>
                <w:sz w:val="24"/>
                <w:szCs w:val="24"/>
              </w:rPr>
              <w:t>&lt;3.0</w:t>
            </w:r>
          </w:p>
        </w:tc>
      </w:tr>
    </w:tbl>
    <w:p w14:paraId="77DD02D4" w14:textId="1C623CCB" w:rsidR="0078005E" w:rsidRDefault="0078005E" w:rsidP="0078005E">
      <w:pPr>
        <w:spacing w:line="360" w:lineRule="auto"/>
        <w:rPr>
          <w:rFonts w:ascii="Book Antiqua" w:hAnsi="Book Antiqua"/>
          <w:sz w:val="24"/>
          <w:szCs w:val="24"/>
          <w:lang w:val="en-GB"/>
        </w:rPr>
      </w:pPr>
      <w:r w:rsidRPr="00D20711">
        <w:rPr>
          <w:rFonts w:ascii="Book Antiqua" w:hAnsi="Book Antiqua"/>
          <w:sz w:val="24"/>
          <w:szCs w:val="24"/>
          <w:lang w:val="en-GB"/>
        </w:rPr>
        <w:t>The results supporting a diagnosis of hypopituitarism with hypocortisolism and hypothyroidism.</w:t>
      </w:r>
      <w:r>
        <w:rPr>
          <w:rFonts w:ascii="Book Antiqua" w:hAnsi="Book Antiqua"/>
          <w:sz w:val="24"/>
          <w:szCs w:val="24"/>
          <w:lang w:val="en-GB"/>
        </w:rPr>
        <w:t xml:space="preserve"> </w:t>
      </w:r>
      <w:r w:rsidRPr="00D20711">
        <w:rPr>
          <w:rFonts w:ascii="Book Antiqua" w:hAnsi="Book Antiqua"/>
          <w:sz w:val="24"/>
          <w:szCs w:val="24"/>
          <w:lang w:val="en-GB"/>
        </w:rPr>
        <w:t xml:space="preserve">TSH: Thyroid stimulating hormone; FT3: Free triiodothyronine 3; FT4: Free triiodothyronine 4; ACTH: Adrenocorticotropic </w:t>
      </w:r>
      <w:r w:rsidR="00D06685">
        <w:rPr>
          <w:rFonts w:ascii="Book Antiqua" w:hAnsi="Book Antiqua"/>
          <w:sz w:val="24"/>
          <w:szCs w:val="24"/>
          <w:lang w:val="en-GB"/>
        </w:rPr>
        <w:t>h</w:t>
      </w:r>
      <w:r w:rsidR="00D06685" w:rsidRPr="00D20711">
        <w:rPr>
          <w:rFonts w:ascii="Book Antiqua" w:hAnsi="Book Antiqua"/>
          <w:sz w:val="24"/>
          <w:szCs w:val="24"/>
          <w:lang w:val="en-GB"/>
        </w:rPr>
        <w:t>ormone</w:t>
      </w:r>
      <w:r w:rsidRPr="00D20711">
        <w:rPr>
          <w:rFonts w:ascii="Book Antiqua" w:hAnsi="Book Antiqua"/>
          <w:sz w:val="24"/>
          <w:szCs w:val="24"/>
          <w:lang w:val="en-GB"/>
        </w:rPr>
        <w:t>.</w:t>
      </w:r>
    </w:p>
    <w:p w14:paraId="5F5F14E7" w14:textId="5DB1B816" w:rsidR="00D06685" w:rsidRDefault="00D06685">
      <w:pPr>
        <w:widowControl/>
        <w:jc w:val="left"/>
        <w:rPr>
          <w:rFonts w:ascii="Book Antiqua" w:hAnsi="Book Antiqua"/>
          <w:sz w:val="24"/>
          <w:szCs w:val="24"/>
          <w:lang w:val="en-GB"/>
        </w:rPr>
      </w:pPr>
      <w:r>
        <w:rPr>
          <w:rFonts w:ascii="Book Antiqua" w:hAnsi="Book Antiqua"/>
          <w:sz w:val="24"/>
          <w:szCs w:val="24"/>
          <w:lang w:val="en-GB"/>
        </w:rPr>
        <w:br w:type="page"/>
      </w:r>
    </w:p>
    <w:p w14:paraId="05EFF97D" w14:textId="77777777" w:rsidR="00D06685" w:rsidRPr="00D20711" w:rsidRDefault="00D06685" w:rsidP="0078005E">
      <w:pPr>
        <w:spacing w:line="360" w:lineRule="auto"/>
        <w:rPr>
          <w:rFonts w:ascii="Book Antiqua" w:hAnsi="Book Antiqua"/>
          <w:sz w:val="24"/>
          <w:szCs w:val="24"/>
          <w:lang w:val="en-GB"/>
        </w:rPr>
      </w:pPr>
    </w:p>
    <w:p w14:paraId="74C273E7" w14:textId="77777777" w:rsidR="0078005E" w:rsidRPr="00D20711" w:rsidRDefault="0078005E" w:rsidP="0078005E">
      <w:pPr>
        <w:spacing w:line="360" w:lineRule="auto"/>
        <w:rPr>
          <w:rFonts w:ascii="Book Antiqua" w:hAnsi="Book Antiqua"/>
          <w:sz w:val="24"/>
          <w:szCs w:val="24"/>
          <w:lang w:val="en-GB"/>
        </w:rPr>
      </w:pPr>
      <w:r w:rsidRPr="00D20711">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1A8508F3" wp14:editId="7CB51496">
                <wp:simplePos x="0" y="0"/>
                <wp:positionH relativeFrom="column">
                  <wp:posOffset>3411109</wp:posOffset>
                </wp:positionH>
                <wp:positionV relativeFrom="paragraph">
                  <wp:posOffset>1475823</wp:posOffset>
                </wp:positionV>
                <wp:extent cx="413385" cy="233045"/>
                <wp:effectExtent l="0" t="19050" r="43815" b="33655"/>
                <wp:wrapNone/>
                <wp:docPr id="6" name="箭头: 右 6"/>
                <wp:cNvGraphicFramePr/>
                <a:graphic xmlns:a="http://schemas.openxmlformats.org/drawingml/2006/main">
                  <a:graphicData uri="http://schemas.microsoft.com/office/word/2010/wordprocessingShape">
                    <wps:wsp>
                      <wps:cNvSpPr/>
                      <wps:spPr>
                        <a:xfrm>
                          <a:off x="0" y="0"/>
                          <a:ext cx="413385" cy="233045"/>
                        </a:xfrm>
                        <a:prstGeom prst="rightArrow">
                          <a:avLst>
                            <a:gd name="adj1" fmla="val 4317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1077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6" o:spid="_x0000_s1026" type="#_x0000_t13" style="position:absolute;margin-left:268.6pt;margin-top:116.2pt;width:32.55pt;height:1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" adj="15512,6137" fillcolor="#5b9bd5 [3204]" strokecolor="#1f4d78 [1604]" strokeweight="1pt"/>
            </w:pict>
          </mc:Fallback>
        </mc:AlternateContent>
      </w:r>
      <w:r w:rsidRPr="00D20711">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9E3B52E" wp14:editId="3FAA74C3">
                <wp:simplePos x="0" y="0"/>
                <wp:positionH relativeFrom="column">
                  <wp:posOffset>948193</wp:posOffset>
                </wp:positionH>
                <wp:positionV relativeFrom="paragraph">
                  <wp:posOffset>1468672</wp:posOffset>
                </wp:positionV>
                <wp:extent cx="413385" cy="233045"/>
                <wp:effectExtent l="0" t="19050" r="43815" b="33655"/>
                <wp:wrapNone/>
                <wp:docPr id="5" name="箭头: 右 5"/>
                <wp:cNvGraphicFramePr/>
                <a:graphic xmlns:a="http://schemas.openxmlformats.org/drawingml/2006/main">
                  <a:graphicData uri="http://schemas.microsoft.com/office/word/2010/wordprocessingShape">
                    <wps:wsp>
                      <wps:cNvSpPr/>
                      <wps:spPr>
                        <a:xfrm>
                          <a:off x="0" y="0"/>
                          <a:ext cx="413385" cy="233045"/>
                        </a:xfrm>
                        <a:prstGeom prst="rightArrow">
                          <a:avLst>
                            <a:gd name="adj1" fmla="val 4317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58BB9" id="箭头: 右 5" o:spid="_x0000_s1026" type="#_x0000_t13" style="position:absolute;margin-left:74.65pt;margin-top:115.65pt;width:32.5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" adj="15512,6137" fillcolor="#5b9bd5 [3204]" strokecolor="#1f4d78 [1604]" strokeweight="1pt"/>
            </w:pict>
          </mc:Fallback>
        </mc:AlternateContent>
      </w:r>
      <w:r w:rsidRPr="00D20711">
        <w:rPr>
          <w:rFonts w:ascii="Book Antiqua" w:hAnsi="Book Antiqua"/>
          <w:noProof/>
          <w:sz w:val="24"/>
          <w:szCs w:val="24"/>
        </w:rPr>
        <w:drawing>
          <wp:inline distT="0" distB="0" distL="0" distR="0" wp14:anchorId="094E2885" wp14:editId="16753B54">
            <wp:extent cx="2443426" cy="24434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90968_1964326_00301_00005_15_W198L113.JPG"/>
                    <pic:cNvPicPr/>
                  </pic:nvPicPr>
                  <pic:blipFill>
                    <a:blip r:embed="rId9">
                      <a:extLst>
                        <a:ext uri="{28A0092B-C50C-407E-A947-70E740481C1C}">
                          <a14:useLocalDpi xmlns:a14="http://schemas.microsoft.com/office/drawing/2010/main" val="0"/>
                        </a:ext>
                      </a:extLst>
                    </a:blip>
                    <a:stretch>
                      <a:fillRect/>
                    </a:stretch>
                  </pic:blipFill>
                  <pic:spPr>
                    <a:xfrm>
                      <a:off x="0" y="0"/>
                      <a:ext cx="2491066" cy="2491066"/>
                    </a:xfrm>
                    <a:prstGeom prst="rect">
                      <a:avLst/>
                    </a:prstGeom>
                  </pic:spPr>
                </pic:pic>
              </a:graphicData>
            </a:graphic>
          </wp:inline>
        </w:drawing>
      </w:r>
      <w:r w:rsidRPr="00D20711">
        <w:rPr>
          <w:rFonts w:ascii="Book Antiqua" w:hAnsi="Book Antiqua"/>
          <w:noProof/>
          <w:sz w:val="24"/>
          <w:szCs w:val="24"/>
        </w:rPr>
        <w:drawing>
          <wp:inline distT="0" distB="0" distL="0" distR="0" wp14:anchorId="2A71C428" wp14:editId="697F06AC">
            <wp:extent cx="2438650" cy="24386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90968_1964326_00401_00005_26_W256L147.JPG"/>
                    <pic:cNvPicPr/>
                  </pic:nvPicPr>
                  <pic:blipFill>
                    <a:blip r:embed="rId10">
                      <a:extLst>
                        <a:ext uri="{28A0092B-C50C-407E-A947-70E740481C1C}">
                          <a14:useLocalDpi xmlns:a14="http://schemas.microsoft.com/office/drawing/2010/main" val="0"/>
                        </a:ext>
                      </a:extLst>
                    </a:blip>
                    <a:stretch>
                      <a:fillRect/>
                    </a:stretch>
                  </pic:blipFill>
                  <pic:spPr>
                    <a:xfrm>
                      <a:off x="0" y="0"/>
                      <a:ext cx="2475836" cy="2475832"/>
                    </a:xfrm>
                    <a:prstGeom prst="rect">
                      <a:avLst/>
                    </a:prstGeom>
                  </pic:spPr>
                </pic:pic>
              </a:graphicData>
            </a:graphic>
          </wp:inline>
        </w:drawing>
      </w:r>
    </w:p>
    <w:p w14:paraId="62E54C8B" w14:textId="77777777" w:rsidR="0078005E" w:rsidRPr="00D20711" w:rsidRDefault="0078005E" w:rsidP="0078005E">
      <w:pPr>
        <w:spacing w:line="360" w:lineRule="auto"/>
        <w:rPr>
          <w:rFonts w:ascii="Book Antiqua" w:hAnsi="Book Antiqua"/>
          <w:sz w:val="24"/>
          <w:szCs w:val="24"/>
          <w:lang w:val="en-GB"/>
        </w:rPr>
      </w:pPr>
      <w:r w:rsidRPr="00D20711">
        <w:rPr>
          <w:rFonts w:ascii="Book Antiqua" w:hAnsi="Book Antiqua"/>
          <w:sz w:val="24"/>
          <w:szCs w:val="24"/>
          <w:lang w:val="en-GB"/>
        </w:rPr>
        <w:t xml:space="preserve">A        </w:t>
      </w:r>
      <w:r>
        <w:rPr>
          <w:rFonts w:ascii="Book Antiqua" w:hAnsi="Book Antiqua" w:hint="eastAsia"/>
          <w:sz w:val="24"/>
          <w:szCs w:val="24"/>
          <w:lang w:val="en-GB"/>
        </w:rPr>
        <w:t xml:space="preserve">                      </w:t>
      </w:r>
      <w:r w:rsidRPr="00D20711">
        <w:rPr>
          <w:rFonts w:ascii="Book Antiqua" w:hAnsi="Book Antiqua"/>
          <w:sz w:val="24"/>
          <w:szCs w:val="24"/>
          <w:lang w:val="en-GB"/>
        </w:rPr>
        <w:t>B</w:t>
      </w:r>
    </w:p>
    <w:p w14:paraId="11B6526E" w14:textId="6242ED8D" w:rsidR="0078005E" w:rsidRPr="00D20711" w:rsidRDefault="0078005E" w:rsidP="0078005E">
      <w:pPr>
        <w:spacing w:line="360" w:lineRule="auto"/>
        <w:rPr>
          <w:rFonts w:ascii="Book Antiqua" w:hAnsi="Book Antiqua"/>
          <w:sz w:val="24"/>
          <w:szCs w:val="24"/>
          <w:lang w:val="en-GB"/>
        </w:rPr>
      </w:pPr>
      <w:r w:rsidRPr="0078005E">
        <w:rPr>
          <w:rFonts w:ascii="Book Antiqua" w:hAnsi="Book Antiqua"/>
          <w:b/>
          <w:sz w:val="24"/>
          <w:szCs w:val="24"/>
          <w:lang w:val="en-GB"/>
        </w:rPr>
        <w:t>Fig</w:t>
      </w:r>
      <w:r w:rsidRPr="0078005E">
        <w:rPr>
          <w:rFonts w:ascii="Book Antiqua" w:hAnsi="Book Antiqua" w:hint="eastAsia"/>
          <w:b/>
          <w:sz w:val="24"/>
          <w:szCs w:val="24"/>
          <w:lang w:val="en-GB"/>
        </w:rPr>
        <w:t xml:space="preserve">ure </w:t>
      </w:r>
      <w:r>
        <w:rPr>
          <w:rFonts w:ascii="Book Antiqua" w:hAnsi="Book Antiqua" w:hint="eastAsia"/>
          <w:b/>
          <w:sz w:val="24"/>
          <w:szCs w:val="24"/>
          <w:lang w:val="en-GB"/>
        </w:rPr>
        <w:t>1</w:t>
      </w:r>
      <w:r w:rsidRPr="0078005E">
        <w:rPr>
          <w:rFonts w:ascii="Book Antiqua" w:hAnsi="Book Antiqua"/>
          <w:b/>
          <w:sz w:val="24"/>
          <w:szCs w:val="24"/>
          <w:lang w:val="en-GB"/>
        </w:rPr>
        <w:t xml:space="preserve"> Saggital view of T1 </w:t>
      </w:r>
      <w:r w:rsidRPr="0078005E">
        <w:rPr>
          <w:rFonts w:ascii="Book Antiqua" w:hAnsi="Book Antiqua" w:hint="eastAsia"/>
          <w:b/>
          <w:sz w:val="24"/>
          <w:szCs w:val="24"/>
          <w:lang w:val="en-GB"/>
        </w:rPr>
        <w:t xml:space="preserve">and T2 </w:t>
      </w:r>
      <w:r w:rsidRPr="0078005E">
        <w:rPr>
          <w:rFonts w:ascii="Book Antiqua" w:hAnsi="Book Antiqua"/>
          <w:b/>
          <w:sz w:val="24"/>
          <w:szCs w:val="24"/>
          <w:lang w:val="en-GB"/>
        </w:rPr>
        <w:t>weighted magnetic resonance image</w:t>
      </w:r>
      <w:r w:rsidR="00D06685">
        <w:rPr>
          <w:rFonts w:ascii="Book Antiqua" w:hAnsi="Book Antiqua"/>
          <w:b/>
          <w:sz w:val="24"/>
          <w:szCs w:val="24"/>
          <w:lang w:val="en-GB"/>
        </w:rPr>
        <w:t>s</w:t>
      </w:r>
      <w:r w:rsidRPr="0078005E">
        <w:rPr>
          <w:rFonts w:ascii="Book Antiqua" w:hAnsi="Book Antiqua" w:hint="eastAsia"/>
          <w:b/>
          <w:sz w:val="24"/>
          <w:szCs w:val="24"/>
          <w:lang w:val="en-GB"/>
        </w:rPr>
        <w:t>.</w:t>
      </w:r>
      <w:r w:rsidRPr="0078005E">
        <w:rPr>
          <w:rFonts w:ascii="Book Antiqua" w:hAnsi="Book Antiqua"/>
          <w:b/>
          <w:sz w:val="24"/>
          <w:szCs w:val="24"/>
          <w:lang w:val="en-GB"/>
        </w:rPr>
        <w:t xml:space="preserve"> </w:t>
      </w:r>
      <w:r>
        <w:rPr>
          <w:rFonts w:ascii="Book Antiqua" w:hAnsi="Book Antiqua"/>
          <w:sz w:val="24"/>
          <w:szCs w:val="24"/>
          <w:lang w:val="en-GB"/>
        </w:rPr>
        <w:t>A</w:t>
      </w:r>
      <w:r>
        <w:rPr>
          <w:rFonts w:ascii="Book Antiqua" w:hAnsi="Book Antiqua" w:hint="eastAsia"/>
          <w:sz w:val="24"/>
          <w:szCs w:val="24"/>
          <w:lang w:val="en-GB"/>
        </w:rPr>
        <w:t xml:space="preserve">: </w:t>
      </w:r>
      <w:r w:rsidRPr="00D20711">
        <w:rPr>
          <w:rFonts w:ascii="Book Antiqua" w:hAnsi="Book Antiqua"/>
          <w:sz w:val="24"/>
          <w:szCs w:val="24"/>
          <w:lang w:val="en-GB"/>
        </w:rPr>
        <w:t xml:space="preserve">Saggital view of T1 weighted magnetic resonance </w:t>
      </w:r>
      <w:r>
        <w:rPr>
          <w:rFonts w:ascii="Book Antiqua" w:hAnsi="Book Antiqua" w:hint="eastAsia"/>
          <w:sz w:val="24"/>
          <w:szCs w:val="24"/>
          <w:lang w:val="en-GB"/>
        </w:rPr>
        <w:t>(</w:t>
      </w:r>
      <w:r w:rsidRPr="00D20711">
        <w:rPr>
          <w:rFonts w:ascii="Book Antiqua" w:hAnsi="Book Antiqua"/>
          <w:sz w:val="24"/>
          <w:szCs w:val="24"/>
          <w:lang w:val="en-GB"/>
        </w:rPr>
        <w:t>MR</w:t>
      </w:r>
      <w:r>
        <w:rPr>
          <w:rFonts w:ascii="Book Antiqua" w:hAnsi="Book Antiqua" w:hint="eastAsia"/>
          <w:sz w:val="24"/>
          <w:szCs w:val="24"/>
          <w:lang w:val="en-GB"/>
        </w:rPr>
        <w:t>)</w:t>
      </w:r>
      <w:r w:rsidRPr="00D20711">
        <w:rPr>
          <w:rFonts w:ascii="Book Antiqua" w:hAnsi="Book Antiqua"/>
          <w:sz w:val="24"/>
          <w:szCs w:val="24"/>
          <w:lang w:val="en-GB"/>
        </w:rPr>
        <w:t xml:space="preserve"> image</w:t>
      </w:r>
      <w:r>
        <w:rPr>
          <w:rFonts w:ascii="Book Antiqua" w:hAnsi="Book Antiqua" w:hint="eastAsia"/>
          <w:sz w:val="24"/>
          <w:szCs w:val="24"/>
          <w:lang w:val="en-GB"/>
        </w:rPr>
        <w:t>;</w:t>
      </w:r>
      <w:r w:rsidRPr="00D20711">
        <w:rPr>
          <w:rFonts w:ascii="Book Antiqua" w:hAnsi="Book Antiqua"/>
          <w:sz w:val="24"/>
          <w:szCs w:val="24"/>
          <w:lang w:val="en-GB"/>
        </w:rPr>
        <w:t xml:space="preserve"> B</w:t>
      </w:r>
      <w:r>
        <w:rPr>
          <w:rFonts w:ascii="Book Antiqua" w:hAnsi="Book Antiqua" w:hint="eastAsia"/>
          <w:sz w:val="24"/>
          <w:szCs w:val="24"/>
          <w:lang w:val="en-GB"/>
        </w:rPr>
        <w:t xml:space="preserve">: </w:t>
      </w:r>
      <w:r w:rsidRPr="00D20711">
        <w:rPr>
          <w:rFonts w:ascii="Book Antiqua" w:hAnsi="Book Antiqua"/>
          <w:sz w:val="24"/>
          <w:szCs w:val="24"/>
          <w:lang w:val="en-GB"/>
        </w:rPr>
        <w:t>Saggital view of T2 weighted MR image. Arrow showing empty sella turcica filled with cerebrospinal fluid.</w:t>
      </w:r>
    </w:p>
    <w:p w14:paraId="263D3D61" w14:textId="77777777" w:rsidR="00E90274" w:rsidRPr="00D20711" w:rsidRDefault="00E90274" w:rsidP="004634F7">
      <w:pPr>
        <w:spacing w:line="360" w:lineRule="auto"/>
        <w:rPr>
          <w:rFonts w:ascii="Book Antiqua" w:hAnsi="Book Antiqua"/>
          <w:sz w:val="24"/>
          <w:szCs w:val="24"/>
        </w:rPr>
      </w:pPr>
    </w:p>
    <w:sectPr w:rsidR="00E90274" w:rsidRPr="00D20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AA23" w14:textId="77777777" w:rsidR="005229AF" w:rsidRDefault="005229AF" w:rsidP="00BB147F">
      <w:r>
        <w:separator/>
      </w:r>
    </w:p>
  </w:endnote>
  <w:endnote w:type="continuationSeparator" w:id="0">
    <w:p w14:paraId="1A397082" w14:textId="77777777" w:rsidR="005229AF" w:rsidRDefault="005229AF" w:rsidP="00B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43F2" w14:textId="77777777" w:rsidR="005229AF" w:rsidRDefault="005229AF" w:rsidP="00BB147F">
      <w:r>
        <w:separator/>
      </w:r>
    </w:p>
  </w:footnote>
  <w:footnote w:type="continuationSeparator" w:id="0">
    <w:p w14:paraId="3D5E8CC7" w14:textId="77777777" w:rsidR="005229AF" w:rsidRDefault="005229AF" w:rsidP="00BB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0719"/>
    <w:rsid w:val="000457E3"/>
    <w:rsid w:val="00052286"/>
    <w:rsid w:val="0007307A"/>
    <w:rsid w:val="000A2989"/>
    <w:rsid w:val="000B1840"/>
    <w:rsid w:val="000B79DE"/>
    <w:rsid w:val="000E6D6F"/>
    <w:rsid w:val="00115EF5"/>
    <w:rsid w:val="00163643"/>
    <w:rsid w:val="00185ADC"/>
    <w:rsid w:val="001B3AE7"/>
    <w:rsid w:val="001F5517"/>
    <w:rsid w:val="00200545"/>
    <w:rsid w:val="00206B9C"/>
    <w:rsid w:val="00240243"/>
    <w:rsid w:val="00267B55"/>
    <w:rsid w:val="002704DC"/>
    <w:rsid w:val="00280B70"/>
    <w:rsid w:val="00281F88"/>
    <w:rsid w:val="00294926"/>
    <w:rsid w:val="002C6197"/>
    <w:rsid w:val="00366DA1"/>
    <w:rsid w:val="00377DC0"/>
    <w:rsid w:val="00387330"/>
    <w:rsid w:val="003A220C"/>
    <w:rsid w:val="003B20EF"/>
    <w:rsid w:val="003C75B7"/>
    <w:rsid w:val="003D1BE3"/>
    <w:rsid w:val="003D1F95"/>
    <w:rsid w:val="003F676C"/>
    <w:rsid w:val="00400EAD"/>
    <w:rsid w:val="00402552"/>
    <w:rsid w:val="00426DFD"/>
    <w:rsid w:val="00436B42"/>
    <w:rsid w:val="004603D2"/>
    <w:rsid w:val="004634F7"/>
    <w:rsid w:val="004642B1"/>
    <w:rsid w:val="00466EA0"/>
    <w:rsid w:val="004874EC"/>
    <w:rsid w:val="00496F0A"/>
    <w:rsid w:val="004A4AF6"/>
    <w:rsid w:val="004B29A7"/>
    <w:rsid w:val="004B2F4B"/>
    <w:rsid w:val="004B3225"/>
    <w:rsid w:val="004E0719"/>
    <w:rsid w:val="004E22ED"/>
    <w:rsid w:val="00507B03"/>
    <w:rsid w:val="005229AF"/>
    <w:rsid w:val="00532A60"/>
    <w:rsid w:val="005528D1"/>
    <w:rsid w:val="005579EB"/>
    <w:rsid w:val="005655EE"/>
    <w:rsid w:val="0057344B"/>
    <w:rsid w:val="0057635C"/>
    <w:rsid w:val="00576D54"/>
    <w:rsid w:val="0058513C"/>
    <w:rsid w:val="005931CD"/>
    <w:rsid w:val="005977B7"/>
    <w:rsid w:val="00597F39"/>
    <w:rsid w:val="005C6EAF"/>
    <w:rsid w:val="005D5028"/>
    <w:rsid w:val="005E45ED"/>
    <w:rsid w:val="00607FEE"/>
    <w:rsid w:val="00617BF5"/>
    <w:rsid w:val="00634069"/>
    <w:rsid w:val="006525A0"/>
    <w:rsid w:val="006E1063"/>
    <w:rsid w:val="007335FC"/>
    <w:rsid w:val="00746BE6"/>
    <w:rsid w:val="00751B03"/>
    <w:rsid w:val="00753116"/>
    <w:rsid w:val="0076067E"/>
    <w:rsid w:val="0076656C"/>
    <w:rsid w:val="0078005E"/>
    <w:rsid w:val="007924AD"/>
    <w:rsid w:val="007D6B60"/>
    <w:rsid w:val="00801FC4"/>
    <w:rsid w:val="008032AF"/>
    <w:rsid w:val="00825F59"/>
    <w:rsid w:val="00842B17"/>
    <w:rsid w:val="00854BB1"/>
    <w:rsid w:val="008933EE"/>
    <w:rsid w:val="008A093E"/>
    <w:rsid w:val="008E59C3"/>
    <w:rsid w:val="0091348B"/>
    <w:rsid w:val="00920FEA"/>
    <w:rsid w:val="00930BD6"/>
    <w:rsid w:val="00936D22"/>
    <w:rsid w:val="00947B06"/>
    <w:rsid w:val="00974B22"/>
    <w:rsid w:val="009E2CFB"/>
    <w:rsid w:val="009E62D6"/>
    <w:rsid w:val="00A0642F"/>
    <w:rsid w:val="00A105A8"/>
    <w:rsid w:val="00A366D6"/>
    <w:rsid w:val="00A42954"/>
    <w:rsid w:val="00A62B07"/>
    <w:rsid w:val="00A66C11"/>
    <w:rsid w:val="00A751BE"/>
    <w:rsid w:val="00A82AFA"/>
    <w:rsid w:val="00AC522E"/>
    <w:rsid w:val="00AC52C9"/>
    <w:rsid w:val="00B4758A"/>
    <w:rsid w:val="00B57902"/>
    <w:rsid w:val="00B63374"/>
    <w:rsid w:val="00B73753"/>
    <w:rsid w:val="00BA1D2B"/>
    <w:rsid w:val="00BA3AC7"/>
    <w:rsid w:val="00BB147F"/>
    <w:rsid w:val="00BC7824"/>
    <w:rsid w:val="00BE5173"/>
    <w:rsid w:val="00BF06C3"/>
    <w:rsid w:val="00C12E65"/>
    <w:rsid w:val="00C14E9C"/>
    <w:rsid w:val="00C214EB"/>
    <w:rsid w:val="00C2396F"/>
    <w:rsid w:val="00C23CBD"/>
    <w:rsid w:val="00C30415"/>
    <w:rsid w:val="00C36560"/>
    <w:rsid w:val="00C71D72"/>
    <w:rsid w:val="00C84A18"/>
    <w:rsid w:val="00CB5EAE"/>
    <w:rsid w:val="00CD0724"/>
    <w:rsid w:val="00CD5CD8"/>
    <w:rsid w:val="00D06685"/>
    <w:rsid w:val="00D20711"/>
    <w:rsid w:val="00D476DE"/>
    <w:rsid w:val="00D558A7"/>
    <w:rsid w:val="00D80BF1"/>
    <w:rsid w:val="00DB021F"/>
    <w:rsid w:val="00DE408C"/>
    <w:rsid w:val="00E129A9"/>
    <w:rsid w:val="00E4030D"/>
    <w:rsid w:val="00E523C1"/>
    <w:rsid w:val="00E5754C"/>
    <w:rsid w:val="00E825B0"/>
    <w:rsid w:val="00E84DA2"/>
    <w:rsid w:val="00E90274"/>
    <w:rsid w:val="00EB6620"/>
    <w:rsid w:val="00EB7D73"/>
    <w:rsid w:val="00ED731B"/>
    <w:rsid w:val="00EE509D"/>
    <w:rsid w:val="00F220E5"/>
    <w:rsid w:val="00F33A97"/>
    <w:rsid w:val="00F527DC"/>
    <w:rsid w:val="00F8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6660"/>
  <w15:docId w15:val="{29886BB7-D9B1-460E-9585-AA5130D3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7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qFormat/>
    <w:rsid w:val="004E0719"/>
    <w:pPr>
      <w:suppressAutoHyphens/>
      <w:kinsoku w:val="0"/>
      <w:overflowPunct w:val="0"/>
    </w:pPr>
    <w:rPr>
      <w:rFonts w:cs="Calibri"/>
      <w:sz w:val="20"/>
    </w:rPr>
  </w:style>
  <w:style w:type="character" w:customStyle="1" w:styleId="EndNoteBibliographyChar">
    <w:name w:val="EndNote Bibliography Char"/>
    <w:basedOn w:val="a0"/>
    <w:link w:val="EndNoteBibliography"/>
    <w:rsid w:val="004E0719"/>
    <w:rPr>
      <w:rFonts w:ascii="Calibri" w:eastAsia="宋体" w:hAnsi="Calibri" w:cs="Calibri"/>
      <w:sz w:val="20"/>
    </w:rPr>
  </w:style>
  <w:style w:type="paragraph" w:customStyle="1" w:styleId="EndNoteBibliographyTitle">
    <w:name w:val="EndNote Bibliography Title"/>
    <w:basedOn w:val="a"/>
    <w:link w:val="EndNoteBibliographyTitle0"/>
    <w:rsid w:val="004E0719"/>
    <w:pPr>
      <w:jc w:val="center"/>
    </w:pPr>
    <w:rPr>
      <w:rFonts w:cs="Calibri"/>
      <w:noProof/>
      <w:sz w:val="20"/>
    </w:rPr>
  </w:style>
  <w:style w:type="character" w:customStyle="1" w:styleId="EndNoteBibliographyTitle0">
    <w:name w:val="EndNote Bibliography Title 字符"/>
    <w:basedOn w:val="a0"/>
    <w:link w:val="EndNoteBibliographyTitle"/>
    <w:rsid w:val="004E0719"/>
    <w:rPr>
      <w:rFonts w:ascii="Calibri" w:eastAsia="宋体" w:hAnsi="Calibri" w:cs="Calibri"/>
      <w:noProof/>
      <w:sz w:val="20"/>
    </w:rPr>
  </w:style>
  <w:style w:type="character" w:styleId="a3">
    <w:name w:val="Hyperlink"/>
    <w:basedOn w:val="a0"/>
    <w:uiPriority w:val="99"/>
    <w:unhideWhenUsed/>
    <w:rsid w:val="004E0719"/>
    <w:rPr>
      <w:color w:val="0563C1" w:themeColor="hyperlink"/>
      <w:u w:val="single"/>
    </w:rPr>
  </w:style>
  <w:style w:type="paragraph" w:styleId="a4">
    <w:name w:val="header"/>
    <w:basedOn w:val="a"/>
    <w:link w:val="Char"/>
    <w:uiPriority w:val="99"/>
    <w:unhideWhenUsed/>
    <w:rsid w:val="00BB1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147F"/>
    <w:rPr>
      <w:rFonts w:ascii="Calibri" w:eastAsia="宋体" w:hAnsi="Calibri" w:cs="Times New Roman"/>
      <w:sz w:val="18"/>
      <w:szCs w:val="18"/>
    </w:rPr>
  </w:style>
  <w:style w:type="paragraph" w:styleId="a5">
    <w:name w:val="footer"/>
    <w:basedOn w:val="a"/>
    <w:link w:val="Char0"/>
    <w:uiPriority w:val="99"/>
    <w:unhideWhenUsed/>
    <w:rsid w:val="00BB147F"/>
    <w:pPr>
      <w:tabs>
        <w:tab w:val="center" w:pos="4153"/>
        <w:tab w:val="right" w:pos="8306"/>
      </w:tabs>
      <w:snapToGrid w:val="0"/>
      <w:jc w:val="left"/>
    </w:pPr>
    <w:rPr>
      <w:sz w:val="18"/>
      <w:szCs w:val="18"/>
    </w:rPr>
  </w:style>
  <w:style w:type="character" w:customStyle="1" w:styleId="Char0">
    <w:name w:val="页脚 Char"/>
    <w:basedOn w:val="a0"/>
    <w:link w:val="a5"/>
    <w:uiPriority w:val="99"/>
    <w:rsid w:val="00BB147F"/>
    <w:rPr>
      <w:rFonts w:ascii="Calibri" w:eastAsia="宋体" w:hAnsi="Calibri" w:cs="Times New Roman"/>
      <w:sz w:val="18"/>
      <w:szCs w:val="18"/>
    </w:rPr>
  </w:style>
  <w:style w:type="table" w:styleId="a6">
    <w:name w:val="Table Grid"/>
    <w:basedOn w:val="a1"/>
    <w:uiPriority w:val="39"/>
    <w:rsid w:val="00E5754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E509D"/>
    <w:rPr>
      <w:sz w:val="21"/>
      <w:szCs w:val="21"/>
    </w:rPr>
  </w:style>
  <w:style w:type="paragraph" w:styleId="a8">
    <w:name w:val="annotation text"/>
    <w:basedOn w:val="a"/>
    <w:link w:val="Char1"/>
    <w:uiPriority w:val="99"/>
    <w:unhideWhenUsed/>
    <w:rsid w:val="00EE509D"/>
    <w:pPr>
      <w:widowControl/>
      <w:spacing w:after="200" w:line="276" w:lineRule="auto"/>
      <w:jc w:val="left"/>
    </w:pPr>
    <w:rPr>
      <w:rFonts w:asciiTheme="minorHAnsi" w:eastAsiaTheme="minorEastAsia" w:hAnsiTheme="minorHAnsi" w:cstheme="minorBidi"/>
      <w:kern w:val="0"/>
      <w:sz w:val="22"/>
    </w:rPr>
  </w:style>
  <w:style w:type="character" w:customStyle="1" w:styleId="Char1">
    <w:name w:val="批注文字 Char"/>
    <w:basedOn w:val="a0"/>
    <w:link w:val="a8"/>
    <w:uiPriority w:val="99"/>
    <w:rsid w:val="00EE509D"/>
    <w:rPr>
      <w:kern w:val="0"/>
      <w:sz w:val="22"/>
    </w:rPr>
  </w:style>
  <w:style w:type="paragraph" w:styleId="a9">
    <w:name w:val="Balloon Text"/>
    <w:basedOn w:val="a"/>
    <w:link w:val="Char2"/>
    <w:uiPriority w:val="99"/>
    <w:semiHidden/>
    <w:unhideWhenUsed/>
    <w:rsid w:val="00EE509D"/>
    <w:rPr>
      <w:sz w:val="18"/>
      <w:szCs w:val="18"/>
    </w:rPr>
  </w:style>
  <w:style w:type="character" w:customStyle="1" w:styleId="Char2">
    <w:name w:val="批注框文本 Char"/>
    <w:basedOn w:val="a0"/>
    <w:link w:val="a9"/>
    <w:uiPriority w:val="99"/>
    <w:semiHidden/>
    <w:rsid w:val="00EE509D"/>
    <w:rPr>
      <w:rFonts w:ascii="Calibri" w:eastAsia="宋体" w:hAnsi="Calibri" w:cs="Times New Roman"/>
      <w:sz w:val="18"/>
      <w:szCs w:val="18"/>
    </w:rPr>
  </w:style>
  <w:style w:type="paragraph" w:styleId="aa">
    <w:name w:val="annotation subject"/>
    <w:basedOn w:val="a8"/>
    <w:next w:val="a8"/>
    <w:link w:val="Char3"/>
    <w:uiPriority w:val="99"/>
    <w:semiHidden/>
    <w:unhideWhenUsed/>
    <w:rsid w:val="00EE509D"/>
    <w:pPr>
      <w:widowControl w:val="0"/>
      <w:spacing w:after="0" w:line="240" w:lineRule="auto"/>
    </w:pPr>
    <w:rPr>
      <w:rFonts w:ascii="Calibri" w:eastAsia="宋体" w:hAnsi="Calibri" w:cs="Times New Roman"/>
      <w:b/>
      <w:bCs/>
      <w:kern w:val="2"/>
      <w:sz w:val="21"/>
    </w:rPr>
  </w:style>
  <w:style w:type="character" w:customStyle="1" w:styleId="Char3">
    <w:name w:val="批注主题 Char"/>
    <w:basedOn w:val="Char1"/>
    <w:link w:val="aa"/>
    <w:uiPriority w:val="99"/>
    <w:semiHidden/>
    <w:rsid w:val="00EE509D"/>
    <w:rPr>
      <w:rFonts w:ascii="Calibri" w:eastAsia="宋体" w:hAnsi="Calibri" w:cs="Times New Roman"/>
      <w:b/>
      <w:bCs/>
      <w:kern w:val="0"/>
      <w:sz w:val="22"/>
    </w:rPr>
  </w:style>
  <w:style w:type="paragraph" w:styleId="ab">
    <w:name w:val="Revision"/>
    <w:hidden/>
    <w:uiPriority w:val="99"/>
    <w:semiHidden/>
    <w:rsid w:val="00466EA0"/>
    <w:rPr>
      <w:rFonts w:ascii="Calibri" w:eastAsia="宋体" w:hAnsi="Calibri" w:cs="Times New Roman"/>
    </w:rPr>
  </w:style>
  <w:style w:type="paragraph" w:styleId="ac">
    <w:name w:val="Plain Text"/>
    <w:basedOn w:val="a"/>
    <w:link w:val="Char4"/>
    <w:rsid w:val="006525A0"/>
    <w:rPr>
      <w:rFonts w:ascii="宋体" w:hAnsi="Courier New" w:cs="Courier New"/>
      <w:szCs w:val="21"/>
    </w:rPr>
  </w:style>
  <w:style w:type="character" w:customStyle="1" w:styleId="Char4">
    <w:name w:val="纯文本 Char"/>
    <w:basedOn w:val="a0"/>
    <w:link w:val="ac"/>
    <w:rsid w:val="006525A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5240">
      <w:bodyDiv w:val="1"/>
      <w:marLeft w:val="0"/>
      <w:marRight w:val="0"/>
      <w:marTop w:val="0"/>
      <w:marBottom w:val="0"/>
      <w:divBdr>
        <w:top w:val="none" w:sz="0" w:space="0" w:color="auto"/>
        <w:left w:val="none" w:sz="0" w:space="0" w:color="auto"/>
        <w:bottom w:val="none" w:sz="0" w:space="0" w:color="auto"/>
        <w:right w:val="none" w:sz="0" w:space="0" w:color="auto"/>
      </w:divBdr>
    </w:div>
    <w:div w:id="18351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df@zju.edu.cn" TargetMode="Externa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3-2449-562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maple</dc:creator>
  <cp:keywords/>
  <dc:description/>
  <cp:lastModifiedBy>Wang Tianqi</cp:lastModifiedBy>
  <cp:revision>3</cp:revision>
  <dcterms:created xsi:type="dcterms:W3CDTF">2019-02-23T08:46:00Z</dcterms:created>
  <dcterms:modified xsi:type="dcterms:W3CDTF">2019-02-23T08:50:00Z</dcterms:modified>
</cp:coreProperties>
</file>