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E16813" w14:textId="751463FB" w:rsidR="00221D7B" w:rsidRPr="00113F82" w:rsidRDefault="00221D7B" w:rsidP="00E107FC">
      <w:pPr>
        <w:spacing w:line="360" w:lineRule="auto"/>
        <w:jc w:val="both"/>
        <w:rPr>
          <w:rFonts w:ascii="Book Antiqua" w:hAnsi="Book Antiqua"/>
          <w:b/>
          <w:sz w:val="24"/>
          <w:szCs w:val="24"/>
        </w:rPr>
      </w:pPr>
      <w:r w:rsidRPr="00113F82">
        <w:rPr>
          <w:rFonts w:ascii="Book Antiqua" w:hAnsi="Book Antiqua"/>
          <w:b/>
          <w:sz w:val="24"/>
          <w:szCs w:val="24"/>
        </w:rPr>
        <w:t xml:space="preserve">Name of Journal: </w:t>
      </w:r>
      <w:r w:rsidRPr="00113F82">
        <w:rPr>
          <w:rFonts w:ascii="Book Antiqua" w:hAnsi="Book Antiqua"/>
          <w:i/>
          <w:sz w:val="24"/>
          <w:szCs w:val="24"/>
        </w:rPr>
        <w:t>World Journal of Gastrointestinal Oncology</w:t>
      </w:r>
    </w:p>
    <w:p w14:paraId="26626204" w14:textId="7E876247" w:rsidR="00221D7B" w:rsidRPr="00113F82" w:rsidRDefault="00221D7B" w:rsidP="00E107FC">
      <w:pPr>
        <w:spacing w:line="360" w:lineRule="auto"/>
        <w:jc w:val="both"/>
        <w:rPr>
          <w:rFonts w:ascii="Book Antiqua" w:hAnsi="Book Antiqua"/>
          <w:b/>
          <w:sz w:val="24"/>
          <w:szCs w:val="24"/>
          <w:lang w:eastAsia="zh-CN"/>
        </w:rPr>
      </w:pPr>
      <w:r w:rsidRPr="00113F82">
        <w:rPr>
          <w:rFonts w:ascii="Book Antiqua" w:hAnsi="Book Antiqua"/>
          <w:b/>
          <w:sz w:val="24"/>
          <w:szCs w:val="24"/>
        </w:rPr>
        <w:t xml:space="preserve">Manuscript NO: </w:t>
      </w:r>
      <w:r w:rsidRPr="00113F82">
        <w:rPr>
          <w:rFonts w:ascii="Book Antiqua" w:hAnsi="Book Antiqua"/>
          <w:sz w:val="24"/>
          <w:szCs w:val="24"/>
          <w:lang w:eastAsia="zh-CN"/>
        </w:rPr>
        <w:t>45727</w:t>
      </w:r>
    </w:p>
    <w:p w14:paraId="50C2B222" w14:textId="5838AE66" w:rsidR="00221D7B" w:rsidRPr="00113F82" w:rsidRDefault="00221D7B" w:rsidP="00E107FC">
      <w:pPr>
        <w:spacing w:line="360" w:lineRule="auto"/>
        <w:jc w:val="both"/>
        <w:rPr>
          <w:rFonts w:ascii="Book Antiqua" w:eastAsia="Book Antiqua" w:hAnsi="Book Antiqua" w:cs="Book Antiqua"/>
          <w:b/>
          <w:bCs/>
          <w:sz w:val="24"/>
          <w:szCs w:val="24"/>
          <w:lang w:eastAsia="zh-CN"/>
        </w:rPr>
      </w:pPr>
      <w:r w:rsidRPr="00113F82">
        <w:rPr>
          <w:rFonts w:ascii="Book Antiqua" w:hAnsi="Book Antiqua"/>
          <w:b/>
          <w:sz w:val="24"/>
          <w:szCs w:val="24"/>
        </w:rPr>
        <w:t xml:space="preserve">Manuscript Type: </w:t>
      </w:r>
      <w:r w:rsidRPr="00113F82">
        <w:rPr>
          <w:rFonts w:ascii="Book Antiqua" w:hAnsi="Book Antiqua"/>
          <w:sz w:val="24"/>
          <w:szCs w:val="24"/>
        </w:rPr>
        <w:t>ORIGINAL ARTICLE</w:t>
      </w:r>
    </w:p>
    <w:p w14:paraId="7597EE7D" w14:textId="77777777" w:rsidR="00C66EDA" w:rsidRPr="00113F82" w:rsidRDefault="00C66EDA" w:rsidP="00E107FC">
      <w:pPr>
        <w:spacing w:line="360" w:lineRule="auto"/>
        <w:jc w:val="both"/>
        <w:rPr>
          <w:rFonts w:ascii="Book Antiqua" w:hAnsi="Book Antiqua" w:cs="Book Antiqua"/>
          <w:sz w:val="24"/>
          <w:szCs w:val="24"/>
          <w:lang w:eastAsia="zh-CN"/>
        </w:rPr>
      </w:pPr>
    </w:p>
    <w:p w14:paraId="2A4C9031" w14:textId="24C75812" w:rsidR="00221D7B" w:rsidRPr="00113F82" w:rsidRDefault="00221D7B" w:rsidP="00E107FC">
      <w:pPr>
        <w:spacing w:line="360" w:lineRule="auto"/>
        <w:jc w:val="both"/>
        <w:rPr>
          <w:rFonts w:ascii="Book Antiqua" w:hAnsi="Book Antiqua" w:cs="Book Antiqua"/>
          <w:b/>
          <w:i/>
          <w:sz w:val="24"/>
          <w:szCs w:val="24"/>
          <w:lang w:eastAsia="zh-CN"/>
        </w:rPr>
      </w:pPr>
      <w:r w:rsidRPr="00113F82">
        <w:rPr>
          <w:rFonts w:ascii="Book Antiqua" w:hAnsi="Book Antiqua" w:cs="Book Antiqua"/>
          <w:b/>
          <w:i/>
          <w:sz w:val="24"/>
          <w:szCs w:val="24"/>
          <w:lang w:eastAsia="zh-CN"/>
        </w:rPr>
        <w:t>Retrospective Cohort Study</w:t>
      </w:r>
    </w:p>
    <w:p w14:paraId="60A522B3" w14:textId="0781DFFB" w:rsidR="00C66EDA" w:rsidRPr="00113F82" w:rsidRDefault="00C66EDA" w:rsidP="00E107FC">
      <w:pPr>
        <w:pStyle w:val="1"/>
        <w:spacing w:line="360" w:lineRule="auto"/>
        <w:ind w:left="0"/>
        <w:jc w:val="both"/>
        <w:rPr>
          <w:rFonts w:cs="宋体"/>
          <w:b w:val="0"/>
          <w:bCs w:val="0"/>
        </w:rPr>
      </w:pPr>
      <w:r w:rsidRPr="00113F82">
        <w:t>Iodine-125 implantation with transjugular intrahepatic portosystemic shunt for main portal vein tumor thrombus</w:t>
      </w:r>
      <w:r w:rsidR="00E107FC" w:rsidRPr="00113F82">
        <w:t xml:space="preserve"> </w:t>
      </w:r>
    </w:p>
    <w:p w14:paraId="3A311F72" w14:textId="77777777" w:rsidR="00C66EDA" w:rsidRPr="00113F82" w:rsidRDefault="00C66EDA" w:rsidP="00E107FC">
      <w:pPr>
        <w:spacing w:line="360" w:lineRule="auto"/>
        <w:jc w:val="both"/>
        <w:rPr>
          <w:rFonts w:ascii="Book Antiqua" w:hAnsi="Book Antiqua" w:cs="Book Antiqua"/>
          <w:sz w:val="24"/>
          <w:szCs w:val="24"/>
          <w:lang w:eastAsia="zh-CN"/>
        </w:rPr>
      </w:pPr>
    </w:p>
    <w:p w14:paraId="099019E8" w14:textId="253ABDA7" w:rsidR="00C66EDA" w:rsidRPr="00113F82" w:rsidRDefault="00E0314F" w:rsidP="00E107FC">
      <w:pPr>
        <w:spacing w:line="360" w:lineRule="auto"/>
        <w:jc w:val="both"/>
        <w:rPr>
          <w:rFonts w:ascii="Book Antiqua" w:eastAsia="Arial Unicode MS" w:hAnsi="Book Antiqua" w:cs="Arial Unicode MS"/>
          <w:sz w:val="24"/>
          <w:szCs w:val="24"/>
          <w:lang w:val="en"/>
        </w:rPr>
      </w:pPr>
      <w:r w:rsidRPr="00113F82">
        <w:rPr>
          <w:rFonts w:ascii="Book Antiqua" w:hAnsi="Book Antiqua"/>
          <w:sz w:val="24"/>
          <w:szCs w:val="24"/>
        </w:rPr>
        <w:t>Zhang</w:t>
      </w:r>
      <w:r w:rsidRPr="00113F82">
        <w:rPr>
          <w:rFonts w:ascii="Book Antiqua" w:hAnsi="Book Antiqua"/>
          <w:sz w:val="24"/>
          <w:szCs w:val="24"/>
          <w:lang w:eastAsia="zh-CN"/>
        </w:rPr>
        <w:t xml:space="preserve"> Y </w:t>
      </w:r>
      <w:r w:rsidRPr="00113F82">
        <w:rPr>
          <w:rFonts w:ascii="Book Antiqua" w:hAnsi="Book Antiqua"/>
          <w:i/>
          <w:sz w:val="24"/>
          <w:szCs w:val="24"/>
          <w:lang w:eastAsia="zh-CN"/>
        </w:rPr>
        <w:t>et al.</w:t>
      </w:r>
      <w:r w:rsidR="00C66EDA" w:rsidRPr="00113F82">
        <w:rPr>
          <w:rFonts w:ascii="Book Antiqua" w:hAnsi="Book Antiqua"/>
          <w:sz w:val="24"/>
          <w:szCs w:val="24"/>
        </w:rPr>
        <w:t xml:space="preserve"> I-125 implantation and TIPS for MPVTT</w:t>
      </w:r>
    </w:p>
    <w:p w14:paraId="11409072" w14:textId="77777777" w:rsidR="00C66EDA" w:rsidRPr="00113F82" w:rsidRDefault="00C66EDA" w:rsidP="00E107FC">
      <w:pPr>
        <w:spacing w:line="360" w:lineRule="auto"/>
        <w:jc w:val="both"/>
        <w:rPr>
          <w:rFonts w:ascii="Book Antiqua" w:hAnsi="Book Antiqua" w:cs="Book Antiqua"/>
          <w:sz w:val="24"/>
          <w:szCs w:val="24"/>
          <w:lang w:eastAsia="zh-CN"/>
        </w:rPr>
      </w:pPr>
    </w:p>
    <w:p w14:paraId="74F22CF8" w14:textId="009DCCA5" w:rsidR="00C66EDA" w:rsidRPr="00113F82" w:rsidRDefault="00C66EDA" w:rsidP="00E107FC">
      <w:pPr>
        <w:pStyle w:val="1"/>
        <w:spacing w:line="360" w:lineRule="auto"/>
        <w:ind w:left="0"/>
        <w:jc w:val="both"/>
        <w:rPr>
          <w:rFonts w:cs="宋体"/>
          <w:b w:val="0"/>
          <w:bCs w:val="0"/>
        </w:rPr>
      </w:pPr>
      <w:r w:rsidRPr="00113F82">
        <w:rPr>
          <w:b w:val="0"/>
        </w:rPr>
        <w:t>Yue Zhang, Yi-</w:t>
      </w:r>
      <w:r w:rsidR="00221D7B" w:rsidRPr="00113F82">
        <w:rPr>
          <w:b w:val="0"/>
        </w:rPr>
        <w:t xml:space="preserve">Fan </w:t>
      </w:r>
      <w:r w:rsidRPr="00113F82">
        <w:rPr>
          <w:b w:val="0"/>
        </w:rPr>
        <w:t xml:space="preserve">Wu, </w:t>
      </w:r>
      <w:r w:rsidRPr="00113F82">
        <w:rPr>
          <w:rFonts w:cs="Times New Roman"/>
          <w:b w:val="0"/>
        </w:rPr>
        <w:t>Zhen-</w:t>
      </w:r>
      <w:r w:rsidR="00221D7B" w:rsidRPr="00113F82">
        <w:rPr>
          <w:rFonts w:cs="Times New Roman"/>
          <w:b w:val="0"/>
        </w:rPr>
        <w:t xml:space="preserve">Dong </w:t>
      </w:r>
      <w:r w:rsidRPr="00113F82">
        <w:rPr>
          <w:rFonts w:cs="Times New Roman"/>
          <w:b w:val="0"/>
        </w:rPr>
        <w:t xml:space="preserve">Yue, </w:t>
      </w:r>
      <w:r w:rsidR="00221D7B" w:rsidRPr="00113F82">
        <w:rPr>
          <w:rFonts w:cs="Times New Roman"/>
          <w:b w:val="0"/>
        </w:rPr>
        <w:t>Hong-Wei</w:t>
      </w:r>
      <w:r w:rsidRPr="00113F82">
        <w:rPr>
          <w:rFonts w:cs="Times New Roman"/>
          <w:b w:val="0"/>
        </w:rPr>
        <w:t xml:space="preserve"> Zhao, Lei Wang, Zhen-</w:t>
      </w:r>
      <w:r w:rsidR="00221D7B" w:rsidRPr="00113F82">
        <w:rPr>
          <w:rFonts w:cs="Times New Roman"/>
          <w:b w:val="0"/>
        </w:rPr>
        <w:t xml:space="preserve">Hua </w:t>
      </w:r>
      <w:r w:rsidRPr="00113F82">
        <w:rPr>
          <w:rFonts w:cs="Times New Roman"/>
          <w:b w:val="0"/>
        </w:rPr>
        <w:t>Fan, Fu-</w:t>
      </w:r>
      <w:r w:rsidR="00221D7B" w:rsidRPr="00113F82">
        <w:rPr>
          <w:rFonts w:cs="Times New Roman"/>
          <w:b w:val="0"/>
        </w:rPr>
        <w:t xml:space="preserve">Liang </w:t>
      </w:r>
      <w:r w:rsidRPr="00113F82">
        <w:rPr>
          <w:rFonts w:cs="Times New Roman"/>
          <w:b w:val="0"/>
        </w:rPr>
        <w:t>He, Tao Wang,</w:t>
      </w:r>
      <w:r w:rsidRPr="00113F82">
        <w:rPr>
          <w:b w:val="0"/>
        </w:rPr>
        <w:t xml:space="preserve"> </w:t>
      </w:r>
      <w:r w:rsidRPr="00113F82">
        <w:rPr>
          <w:rFonts w:cs="Times New Roman"/>
          <w:b w:val="0"/>
        </w:rPr>
        <w:t>Fu-</w:t>
      </w:r>
      <w:r w:rsidR="00221D7B" w:rsidRPr="00113F82">
        <w:rPr>
          <w:rFonts w:cs="Times New Roman"/>
          <w:b w:val="0"/>
        </w:rPr>
        <w:t xml:space="preserve">Quan </w:t>
      </w:r>
      <w:r w:rsidRPr="00113F82">
        <w:rPr>
          <w:rFonts w:cs="Times New Roman"/>
          <w:b w:val="0"/>
        </w:rPr>
        <w:t>Liu</w:t>
      </w:r>
    </w:p>
    <w:p w14:paraId="09B411D8" w14:textId="77777777" w:rsidR="00C66EDA" w:rsidRPr="00113F82" w:rsidRDefault="00C66EDA" w:rsidP="00E107FC">
      <w:pPr>
        <w:spacing w:line="360" w:lineRule="auto"/>
        <w:jc w:val="both"/>
        <w:rPr>
          <w:rFonts w:ascii="Book Antiqua" w:eastAsia="Book Antiqua" w:hAnsi="Book Antiqua" w:cs="Book Antiqua"/>
          <w:b/>
          <w:bCs/>
          <w:sz w:val="24"/>
          <w:szCs w:val="24"/>
        </w:rPr>
      </w:pPr>
    </w:p>
    <w:p w14:paraId="5C1D46BC" w14:textId="09A67013" w:rsidR="00C66EDA" w:rsidRPr="00113F82" w:rsidRDefault="00C66EDA" w:rsidP="00E107FC">
      <w:pPr>
        <w:spacing w:line="360" w:lineRule="auto"/>
        <w:jc w:val="both"/>
        <w:rPr>
          <w:rFonts w:ascii="Book Antiqua" w:eastAsia="Book Antiqua" w:hAnsi="Book Antiqua" w:cs="Book Antiqua"/>
          <w:sz w:val="24"/>
          <w:szCs w:val="24"/>
        </w:rPr>
      </w:pPr>
      <w:r w:rsidRPr="00113F82">
        <w:rPr>
          <w:rFonts w:ascii="Book Antiqua" w:hAnsi="Book Antiqua"/>
          <w:b/>
          <w:sz w:val="24"/>
          <w:szCs w:val="24"/>
        </w:rPr>
        <w:t xml:space="preserve">Yue Zhang, </w:t>
      </w:r>
      <w:bookmarkStart w:id="0" w:name="_Hlk530859852"/>
      <w:r w:rsidRPr="00113F82">
        <w:rPr>
          <w:rFonts w:ascii="Book Antiqua" w:hAnsi="Book Antiqua"/>
          <w:b/>
          <w:sz w:val="24"/>
          <w:szCs w:val="24"/>
        </w:rPr>
        <w:t>Fu-</w:t>
      </w:r>
      <w:r w:rsidR="00E0314F" w:rsidRPr="00113F82">
        <w:rPr>
          <w:rFonts w:ascii="Book Antiqua" w:hAnsi="Book Antiqua"/>
          <w:b/>
          <w:sz w:val="24"/>
          <w:szCs w:val="24"/>
        </w:rPr>
        <w:t xml:space="preserve">Quan </w:t>
      </w:r>
      <w:r w:rsidRPr="00113F82">
        <w:rPr>
          <w:rFonts w:ascii="Book Antiqua" w:hAnsi="Book Antiqua"/>
          <w:b/>
          <w:sz w:val="24"/>
          <w:szCs w:val="24"/>
        </w:rPr>
        <w:t>Liu</w:t>
      </w:r>
      <w:bookmarkEnd w:id="0"/>
      <w:r w:rsidRPr="00113F82">
        <w:rPr>
          <w:rFonts w:ascii="Book Antiqua" w:hAnsi="Book Antiqua"/>
          <w:b/>
          <w:sz w:val="24"/>
          <w:szCs w:val="24"/>
        </w:rPr>
        <w:t xml:space="preserve">, </w:t>
      </w:r>
      <w:bookmarkStart w:id="1" w:name="_Hlk530780621"/>
      <w:r w:rsidRPr="00113F82">
        <w:rPr>
          <w:rFonts w:ascii="Book Antiqua" w:hAnsi="Book Antiqua"/>
          <w:sz w:val="24"/>
          <w:szCs w:val="24"/>
        </w:rPr>
        <w:t xml:space="preserve">Department of Interventional Therapy, </w:t>
      </w:r>
      <w:r w:rsidRPr="00113F82">
        <w:rPr>
          <w:rFonts w:ascii="Book Antiqua" w:hAnsi="Book Antiqua" w:cs="Times New Roman"/>
          <w:sz w:val="24"/>
          <w:szCs w:val="24"/>
        </w:rPr>
        <w:t>Peking</w:t>
      </w:r>
      <w:r w:rsidRPr="00113F82">
        <w:rPr>
          <w:rFonts w:ascii="Book Antiqua" w:hAnsi="Book Antiqua"/>
          <w:sz w:val="24"/>
          <w:szCs w:val="24"/>
        </w:rPr>
        <w:t xml:space="preserve"> University Ninth School of Clinical Medicine, Beijing Shijitan Hospital and Capital </w:t>
      </w:r>
      <w:r w:rsidR="0014540B" w:rsidRPr="00113F82">
        <w:rPr>
          <w:rFonts w:ascii="Book Antiqua" w:hAnsi="Book Antiqua"/>
          <w:sz w:val="24"/>
          <w:szCs w:val="24"/>
        </w:rPr>
        <w:t xml:space="preserve">Medical </w:t>
      </w:r>
      <w:r w:rsidR="00E0314F" w:rsidRPr="00113F82">
        <w:rPr>
          <w:rFonts w:ascii="Book Antiqua" w:hAnsi="Book Antiqua"/>
          <w:sz w:val="24"/>
          <w:szCs w:val="24"/>
        </w:rPr>
        <w:t>University</w:t>
      </w:r>
      <w:r w:rsidRPr="00113F82">
        <w:rPr>
          <w:rFonts w:ascii="Book Antiqua" w:hAnsi="Book Antiqua"/>
          <w:sz w:val="24"/>
          <w:szCs w:val="24"/>
        </w:rPr>
        <w:t>, Beijing 100038, China</w:t>
      </w:r>
    </w:p>
    <w:bookmarkEnd w:id="1"/>
    <w:p w14:paraId="6A2F8E22" w14:textId="77777777" w:rsidR="00C66EDA" w:rsidRPr="00113F82" w:rsidRDefault="00C66EDA" w:rsidP="00E107FC">
      <w:pPr>
        <w:spacing w:line="360" w:lineRule="auto"/>
        <w:jc w:val="both"/>
        <w:rPr>
          <w:rFonts w:ascii="Book Antiqua" w:eastAsia="Book Antiqua" w:hAnsi="Book Antiqua" w:cs="Book Antiqua"/>
          <w:sz w:val="24"/>
          <w:szCs w:val="24"/>
        </w:rPr>
      </w:pPr>
    </w:p>
    <w:p w14:paraId="3D6CA783" w14:textId="230C7621" w:rsidR="00C66EDA" w:rsidRPr="00113F82" w:rsidRDefault="00C66EDA" w:rsidP="00E107FC">
      <w:pPr>
        <w:spacing w:line="360" w:lineRule="auto"/>
        <w:jc w:val="both"/>
        <w:rPr>
          <w:rFonts w:ascii="Book Antiqua" w:eastAsia="Book Antiqua" w:hAnsi="Book Antiqua" w:cs="Book Antiqua"/>
          <w:sz w:val="24"/>
          <w:szCs w:val="24"/>
        </w:rPr>
      </w:pPr>
      <w:bookmarkStart w:id="2" w:name="_Hlk530779684"/>
      <w:r w:rsidRPr="00113F82">
        <w:rPr>
          <w:rFonts w:ascii="Book Antiqua" w:hAnsi="Book Antiqua"/>
          <w:b/>
          <w:sz w:val="24"/>
          <w:szCs w:val="24"/>
        </w:rPr>
        <w:t>Yi-</w:t>
      </w:r>
      <w:r w:rsidR="00E0314F" w:rsidRPr="00113F82">
        <w:rPr>
          <w:rFonts w:ascii="Book Antiqua" w:hAnsi="Book Antiqua"/>
          <w:b/>
          <w:sz w:val="24"/>
          <w:szCs w:val="24"/>
        </w:rPr>
        <w:t xml:space="preserve">Fan </w:t>
      </w:r>
      <w:r w:rsidRPr="00113F82">
        <w:rPr>
          <w:rFonts w:ascii="Book Antiqua" w:hAnsi="Book Antiqua"/>
          <w:b/>
          <w:sz w:val="24"/>
          <w:szCs w:val="24"/>
        </w:rPr>
        <w:t>Wu, Zhen-</w:t>
      </w:r>
      <w:r w:rsidR="00E0314F" w:rsidRPr="00113F82">
        <w:rPr>
          <w:rFonts w:ascii="Book Antiqua" w:hAnsi="Book Antiqua"/>
          <w:b/>
          <w:sz w:val="24"/>
          <w:szCs w:val="24"/>
        </w:rPr>
        <w:t xml:space="preserve">Dong </w:t>
      </w:r>
      <w:r w:rsidRPr="00113F82">
        <w:rPr>
          <w:rFonts w:ascii="Book Antiqua" w:hAnsi="Book Antiqua"/>
          <w:b/>
          <w:sz w:val="24"/>
          <w:szCs w:val="24"/>
        </w:rPr>
        <w:t xml:space="preserve">Yue, </w:t>
      </w:r>
      <w:r w:rsidR="00E0314F" w:rsidRPr="00113F82">
        <w:rPr>
          <w:rFonts w:ascii="Book Antiqua" w:hAnsi="Book Antiqua"/>
          <w:b/>
          <w:sz w:val="24"/>
          <w:szCs w:val="24"/>
        </w:rPr>
        <w:t>Hong-Wei</w:t>
      </w:r>
      <w:r w:rsidRPr="00113F82">
        <w:rPr>
          <w:rFonts w:ascii="Book Antiqua" w:hAnsi="Book Antiqua"/>
          <w:b/>
          <w:sz w:val="24"/>
          <w:szCs w:val="24"/>
        </w:rPr>
        <w:t xml:space="preserve"> Zhao, Lei Wang, Zhen-</w:t>
      </w:r>
      <w:r w:rsidR="00E0314F" w:rsidRPr="00113F82">
        <w:rPr>
          <w:rFonts w:ascii="Book Antiqua" w:hAnsi="Book Antiqua"/>
          <w:b/>
          <w:sz w:val="24"/>
          <w:szCs w:val="24"/>
        </w:rPr>
        <w:t xml:space="preserve">Hua </w:t>
      </w:r>
      <w:r w:rsidR="00811B8F" w:rsidRPr="00113F82">
        <w:rPr>
          <w:rFonts w:ascii="Book Antiqua" w:hAnsi="Book Antiqua"/>
          <w:b/>
          <w:sz w:val="24"/>
          <w:szCs w:val="24"/>
        </w:rPr>
        <w:t xml:space="preserve">Fan, </w:t>
      </w:r>
      <w:r w:rsidRPr="00113F82">
        <w:rPr>
          <w:rFonts w:ascii="Book Antiqua" w:hAnsi="Book Antiqua"/>
          <w:b/>
          <w:sz w:val="24"/>
          <w:szCs w:val="24"/>
        </w:rPr>
        <w:t>Fu-</w:t>
      </w:r>
      <w:r w:rsidR="00E0314F" w:rsidRPr="00113F82">
        <w:rPr>
          <w:rFonts w:ascii="Book Antiqua" w:hAnsi="Book Antiqua"/>
          <w:b/>
          <w:sz w:val="24"/>
          <w:szCs w:val="24"/>
        </w:rPr>
        <w:t xml:space="preserve">Liang </w:t>
      </w:r>
      <w:r w:rsidRPr="00113F82">
        <w:rPr>
          <w:rFonts w:ascii="Book Antiqua" w:hAnsi="Book Antiqua"/>
          <w:b/>
          <w:sz w:val="24"/>
          <w:szCs w:val="24"/>
        </w:rPr>
        <w:t>He</w:t>
      </w:r>
      <w:bookmarkEnd w:id="2"/>
      <w:r w:rsidRPr="00113F82">
        <w:rPr>
          <w:rFonts w:ascii="Book Antiqua" w:hAnsi="Book Antiqua"/>
          <w:b/>
          <w:sz w:val="24"/>
          <w:szCs w:val="24"/>
        </w:rPr>
        <w:t xml:space="preserve">, </w:t>
      </w:r>
      <w:r w:rsidRPr="00113F82">
        <w:rPr>
          <w:rFonts w:ascii="Book Antiqua" w:hAnsi="Book Antiqua"/>
          <w:sz w:val="24"/>
          <w:szCs w:val="24"/>
        </w:rPr>
        <w:t xml:space="preserve">Department of Interventional Therapy, Beijing Shijitan Hospital and Capital </w:t>
      </w:r>
      <w:r w:rsidR="0014540B" w:rsidRPr="00113F82">
        <w:rPr>
          <w:rFonts w:ascii="Book Antiqua" w:hAnsi="Book Antiqua"/>
          <w:sz w:val="24"/>
          <w:szCs w:val="24"/>
        </w:rPr>
        <w:t>Medical University</w:t>
      </w:r>
      <w:r w:rsidRPr="00113F82">
        <w:rPr>
          <w:rFonts w:ascii="Book Antiqua" w:hAnsi="Book Antiqua"/>
          <w:sz w:val="24"/>
          <w:szCs w:val="24"/>
        </w:rPr>
        <w:t>, Beijing 100038, China</w:t>
      </w:r>
    </w:p>
    <w:p w14:paraId="0C631B6B" w14:textId="77777777" w:rsidR="00C66EDA" w:rsidRPr="00113F82" w:rsidRDefault="00C66EDA" w:rsidP="00E107FC">
      <w:pPr>
        <w:spacing w:line="360" w:lineRule="auto"/>
        <w:jc w:val="both"/>
        <w:rPr>
          <w:rFonts w:ascii="Book Antiqua" w:eastAsia="Book Antiqua" w:hAnsi="Book Antiqua" w:cs="Book Antiqua"/>
          <w:sz w:val="24"/>
          <w:szCs w:val="24"/>
        </w:rPr>
      </w:pPr>
    </w:p>
    <w:p w14:paraId="42B82D28" w14:textId="4371BE65" w:rsidR="00811B8F" w:rsidRPr="00113F82" w:rsidRDefault="00C66EDA" w:rsidP="00E107FC">
      <w:pPr>
        <w:pStyle w:val="a3"/>
        <w:spacing w:line="360" w:lineRule="auto"/>
        <w:ind w:left="0"/>
        <w:jc w:val="both"/>
        <w:rPr>
          <w:rFonts w:eastAsiaTheme="minorEastAsia"/>
          <w:lang w:eastAsia="zh-CN"/>
        </w:rPr>
      </w:pPr>
      <w:r w:rsidRPr="00113F82">
        <w:rPr>
          <w:b/>
        </w:rPr>
        <w:t>Tao Wang,</w:t>
      </w:r>
      <w:r w:rsidRPr="00113F82">
        <w:t xml:space="preserve"> Department of Interventional Therapy, The affiliated Yantai Yuhuangding Hospital of Qingdao University, No.20 Yuhuangding East Road, Yantai</w:t>
      </w:r>
      <w:r w:rsidR="0014540B" w:rsidRPr="00113F82">
        <w:rPr>
          <w:rFonts w:eastAsiaTheme="minorEastAsia"/>
          <w:lang w:eastAsia="zh-CN"/>
        </w:rPr>
        <w:t xml:space="preserve"> </w:t>
      </w:r>
      <w:r w:rsidR="0014540B" w:rsidRPr="00113F82">
        <w:t>264000</w:t>
      </w:r>
      <w:r w:rsidRPr="00113F82">
        <w:t>, Shandong</w:t>
      </w:r>
      <w:r w:rsidR="0014540B" w:rsidRPr="00113F82">
        <w:rPr>
          <w:rFonts w:eastAsiaTheme="minorEastAsia"/>
          <w:lang w:eastAsia="zh-CN"/>
        </w:rPr>
        <w:t xml:space="preserve"> Province</w:t>
      </w:r>
      <w:r w:rsidR="0014540B" w:rsidRPr="00113F82">
        <w:t>, China</w:t>
      </w:r>
    </w:p>
    <w:p w14:paraId="42B02150" w14:textId="77777777" w:rsidR="00C66EDA" w:rsidRPr="00113F82" w:rsidRDefault="00C66EDA" w:rsidP="00E107FC">
      <w:pPr>
        <w:spacing w:line="360" w:lineRule="auto"/>
        <w:jc w:val="both"/>
        <w:rPr>
          <w:rFonts w:ascii="Book Antiqua" w:eastAsia="Book Antiqua" w:hAnsi="Book Antiqua" w:cs="Book Antiqua"/>
          <w:sz w:val="24"/>
          <w:szCs w:val="24"/>
        </w:rPr>
      </w:pPr>
    </w:p>
    <w:p w14:paraId="79FADDF0" w14:textId="6AE9182E" w:rsidR="00C66EDA" w:rsidRPr="00113F82" w:rsidRDefault="00811B8F" w:rsidP="00E107FC">
      <w:pPr>
        <w:pStyle w:val="a3"/>
        <w:spacing w:line="360" w:lineRule="auto"/>
        <w:ind w:left="0"/>
        <w:jc w:val="both"/>
      </w:pPr>
      <w:r w:rsidRPr="00113F82">
        <w:rPr>
          <w:b/>
        </w:rPr>
        <w:t>ORCID number:</w:t>
      </w:r>
      <w:r w:rsidRPr="00113F82">
        <w:rPr>
          <w:rFonts w:eastAsiaTheme="minorEastAsia"/>
          <w:b/>
          <w:lang w:eastAsia="zh-CN"/>
        </w:rPr>
        <w:t xml:space="preserve"> </w:t>
      </w:r>
      <w:r w:rsidR="00C66EDA" w:rsidRPr="00113F82">
        <w:t>Yue Zhang (0000-0001-6295-369X); Yi-</w:t>
      </w:r>
      <w:r w:rsidRPr="00113F82">
        <w:t xml:space="preserve">Fan </w:t>
      </w:r>
      <w:r w:rsidR="00C66EDA" w:rsidRPr="00113F82">
        <w:t>Wu (0000-0003-2709-2729); Zhen-</w:t>
      </w:r>
      <w:r w:rsidRPr="00113F82">
        <w:t xml:space="preserve">Dong </w:t>
      </w:r>
      <w:r w:rsidR="00C66EDA" w:rsidRPr="00113F82">
        <w:t xml:space="preserve">Yue (0000-0001-5403-8336); </w:t>
      </w:r>
      <w:r w:rsidRPr="00113F82">
        <w:t>Hong-Wei</w:t>
      </w:r>
      <w:r w:rsidR="00C66EDA" w:rsidRPr="00113F82">
        <w:t xml:space="preserve"> Zhao (0000-0001-5657-1839); Lei Wang (0000-0003-4080-1630); Zhen-</w:t>
      </w:r>
      <w:r w:rsidRPr="00113F82">
        <w:t xml:space="preserve">Hua </w:t>
      </w:r>
      <w:r w:rsidR="00C66EDA" w:rsidRPr="00113F82">
        <w:t>Fan (0000-0001-5417-1997); Fu-</w:t>
      </w:r>
      <w:r w:rsidRPr="00113F82">
        <w:t xml:space="preserve">Liang </w:t>
      </w:r>
      <w:r w:rsidR="00C66EDA" w:rsidRPr="00113F82">
        <w:t>He (0000-0003-1643-1465); Tao Wang (0000-0002-2714-9804); Fu-</w:t>
      </w:r>
      <w:r w:rsidRPr="00113F82">
        <w:t xml:space="preserve">Quan </w:t>
      </w:r>
      <w:r w:rsidR="00C66EDA" w:rsidRPr="00113F82">
        <w:t>Liu (0000-0003-1972-7712).</w:t>
      </w:r>
    </w:p>
    <w:p w14:paraId="5E44C944" w14:textId="77777777" w:rsidR="00811B8F" w:rsidRPr="00113F82" w:rsidRDefault="00811B8F" w:rsidP="00E107FC">
      <w:pPr>
        <w:pStyle w:val="a3"/>
        <w:spacing w:line="360" w:lineRule="auto"/>
        <w:ind w:left="0"/>
        <w:jc w:val="both"/>
        <w:rPr>
          <w:rFonts w:eastAsiaTheme="minorEastAsia"/>
          <w:b/>
          <w:lang w:eastAsia="zh-CN"/>
        </w:rPr>
      </w:pPr>
    </w:p>
    <w:p w14:paraId="1F6AE599" w14:textId="2CB0B506" w:rsidR="00C66EDA" w:rsidRPr="00113F82" w:rsidRDefault="00811B8F" w:rsidP="00E107FC">
      <w:pPr>
        <w:pStyle w:val="a3"/>
        <w:spacing w:line="360" w:lineRule="auto"/>
        <w:ind w:left="0"/>
        <w:jc w:val="both"/>
      </w:pPr>
      <w:r w:rsidRPr="00113F82">
        <w:rPr>
          <w:b/>
        </w:rPr>
        <w:lastRenderedPageBreak/>
        <w:t>Author contributions:</w:t>
      </w:r>
      <w:r w:rsidR="00C66EDA" w:rsidRPr="00113F82">
        <w:rPr>
          <w:b/>
          <w:spacing w:val="30"/>
        </w:rPr>
        <w:t xml:space="preserve"> </w:t>
      </w:r>
      <w:r w:rsidR="00C66EDA" w:rsidRPr="00113F82">
        <w:t>Liu</w:t>
      </w:r>
      <w:r w:rsidR="00C66EDA" w:rsidRPr="00113F82">
        <w:rPr>
          <w:spacing w:val="24"/>
        </w:rPr>
        <w:t xml:space="preserve"> </w:t>
      </w:r>
      <w:r w:rsidRPr="00113F82">
        <w:rPr>
          <w:rFonts w:eastAsiaTheme="minorEastAsia"/>
          <w:spacing w:val="24"/>
          <w:lang w:eastAsia="zh-CN"/>
        </w:rPr>
        <w:t xml:space="preserve">FQ </w:t>
      </w:r>
      <w:r w:rsidR="00C66EDA" w:rsidRPr="00113F82">
        <w:t>designed</w:t>
      </w:r>
      <w:r w:rsidR="00C66EDA" w:rsidRPr="00113F82">
        <w:rPr>
          <w:spacing w:val="26"/>
        </w:rPr>
        <w:t xml:space="preserve"> </w:t>
      </w:r>
      <w:r w:rsidR="00C66EDA" w:rsidRPr="00113F82">
        <w:t>the research;</w:t>
      </w:r>
      <w:r w:rsidR="00C66EDA" w:rsidRPr="00113F82">
        <w:rPr>
          <w:spacing w:val="46"/>
        </w:rPr>
        <w:t xml:space="preserve"> </w:t>
      </w:r>
      <w:r w:rsidR="00C66EDA" w:rsidRPr="00113F82">
        <w:t>Wu</w:t>
      </w:r>
      <w:r w:rsidRPr="00113F82">
        <w:rPr>
          <w:rFonts w:eastAsiaTheme="minorEastAsia"/>
          <w:lang w:eastAsia="zh-CN"/>
        </w:rPr>
        <w:t xml:space="preserve"> YF</w:t>
      </w:r>
      <w:r w:rsidR="00C66EDA" w:rsidRPr="00113F82">
        <w:t>, Yue</w:t>
      </w:r>
      <w:r w:rsidRPr="00113F82">
        <w:rPr>
          <w:rFonts w:eastAsiaTheme="minorEastAsia"/>
          <w:lang w:eastAsia="zh-CN"/>
        </w:rPr>
        <w:t xml:space="preserve"> ZD</w:t>
      </w:r>
      <w:r w:rsidR="00C66EDA" w:rsidRPr="00113F82">
        <w:t>, Zhao</w:t>
      </w:r>
      <w:r w:rsidRPr="00113F82">
        <w:rPr>
          <w:rFonts w:eastAsiaTheme="minorEastAsia"/>
          <w:lang w:eastAsia="zh-CN"/>
        </w:rPr>
        <w:t xml:space="preserve"> HW</w:t>
      </w:r>
      <w:r w:rsidR="00C66EDA" w:rsidRPr="00113F82">
        <w:t>, Wang</w:t>
      </w:r>
      <w:r w:rsidRPr="00113F82">
        <w:rPr>
          <w:rFonts w:eastAsiaTheme="minorEastAsia"/>
          <w:lang w:eastAsia="zh-CN"/>
        </w:rPr>
        <w:t xml:space="preserve"> L</w:t>
      </w:r>
      <w:r w:rsidR="00C66EDA" w:rsidRPr="00113F82">
        <w:t xml:space="preserve">, Fan </w:t>
      </w:r>
      <w:r w:rsidRPr="00113F82">
        <w:rPr>
          <w:rFonts w:eastAsiaTheme="minorEastAsia"/>
          <w:lang w:eastAsia="zh-CN"/>
        </w:rPr>
        <w:t xml:space="preserve">ZH </w:t>
      </w:r>
      <w:r w:rsidR="00C66EDA" w:rsidRPr="00113F82">
        <w:t>and He</w:t>
      </w:r>
      <w:r w:rsidR="00C66EDA" w:rsidRPr="00113F82">
        <w:rPr>
          <w:spacing w:val="47"/>
        </w:rPr>
        <w:t xml:space="preserve"> </w:t>
      </w:r>
      <w:r w:rsidRPr="00113F82">
        <w:rPr>
          <w:rFonts w:eastAsiaTheme="minorEastAsia"/>
          <w:spacing w:val="47"/>
          <w:lang w:eastAsia="zh-CN"/>
        </w:rPr>
        <w:t xml:space="preserve">FL </w:t>
      </w:r>
      <w:r w:rsidR="00C66EDA" w:rsidRPr="00113F82">
        <w:t>performed</w:t>
      </w:r>
      <w:r w:rsidR="00C66EDA" w:rsidRPr="00113F82">
        <w:rPr>
          <w:spacing w:val="45"/>
        </w:rPr>
        <w:t xml:space="preserve"> </w:t>
      </w:r>
      <w:r w:rsidR="00C66EDA" w:rsidRPr="00113F82">
        <w:t xml:space="preserve">the research; Zhang </w:t>
      </w:r>
      <w:r w:rsidRPr="00113F82">
        <w:rPr>
          <w:rFonts w:eastAsiaTheme="minorEastAsia"/>
          <w:lang w:eastAsia="zh-CN"/>
        </w:rPr>
        <w:t xml:space="preserve">Y </w:t>
      </w:r>
      <w:r w:rsidR="00C66EDA" w:rsidRPr="00113F82">
        <w:t>analyzed the</w:t>
      </w:r>
      <w:r w:rsidR="00C66EDA" w:rsidRPr="00113F82">
        <w:rPr>
          <w:spacing w:val="56"/>
        </w:rPr>
        <w:t xml:space="preserve"> </w:t>
      </w:r>
      <w:r w:rsidR="00C66EDA" w:rsidRPr="00113F82">
        <w:t>data and wrote the paper</w:t>
      </w:r>
      <w:r w:rsidRPr="00113F82">
        <w:rPr>
          <w:rFonts w:eastAsiaTheme="minorEastAsia"/>
          <w:lang w:eastAsia="zh-CN"/>
        </w:rPr>
        <w:t xml:space="preserve">; </w:t>
      </w:r>
      <w:r w:rsidR="00C66EDA" w:rsidRPr="00113F82">
        <w:t>Wu</w:t>
      </w:r>
      <w:r w:rsidRPr="00113F82">
        <w:rPr>
          <w:rFonts w:eastAsiaTheme="minorEastAsia"/>
          <w:lang w:eastAsia="zh-CN"/>
        </w:rPr>
        <w:t xml:space="preserve"> YF and</w:t>
      </w:r>
      <w:r w:rsidR="00C66EDA" w:rsidRPr="00113F82">
        <w:rPr>
          <w:spacing w:val="23"/>
        </w:rPr>
        <w:t xml:space="preserve"> </w:t>
      </w:r>
      <w:r w:rsidR="00C66EDA" w:rsidRPr="00113F82">
        <w:t xml:space="preserve">Liu </w:t>
      </w:r>
      <w:r w:rsidRPr="00113F82">
        <w:rPr>
          <w:rFonts w:eastAsiaTheme="minorEastAsia"/>
          <w:lang w:eastAsia="zh-CN"/>
        </w:rPr>
        <w:t xml:space="preserve">FQ </w:t>
      </w:r>
      <w:r w:rsidR="00C66EDA" w:rsidRPr="00113F82">
        <w:t>critically revised the manuscript for important intellectual</w:t>
      </w:r>
      <w:r w:rsidR="00C66EDA" w:rsidRPr="00113F82">
        <w:rPr>
          <w:spacing w:val="-13"/>
        </w:rPr>
        <w:t xml:space="preserve"> </w:t>
      </w:r>
      <w:r w:rsidR="00C66EDA" w:rsidRPr="00113F82">
        <w:t xml:space="preserve">content. </w:t>
      </w:r>
    </w:p>
    <w:p w14:paraId="62F6D248" w14:textId="77777777" w:rsidR="00C66EDA" w:rsidRPr="00113F82" w:rsidRDefault="00C66EDA" w:rsidP="00E107FC">
      <w:pPr>
        <w:spacing w:line="360" w:lineRule="auto"/>
        <w:jc w:val="both"/>
        <w:rPr>
          <w:rFonts w:ascii="Book Antiqua" w:eastAsia="Book Antiqua" w:hAnsi="Book Antiqua" w:cs="Book Antiqua"/>
          <w:sz w:val="24"/>
          <w:szCs w:val="24"/>
        </w:rPr>
      </w:pPr>
    </w:p>
    <w:p w14:paraId="11B8CB54" w14:textId="0814C9EE" w:rsidR="00C66EDA" w:rsidRPr="00113F82" w:rsidRDefault="00811B8F" w:rsidP="00E107FC">
      <w:pPr>
        <w:pStyle w:val="a3"/>
        <w:spacing w:line="360" w:lineRule="auto"/>
        <w:ind w:left="0"/>
        <w:jc w:val="both"/>
        <w:rPr>
          <w:rFonts w:eastAsiaTheme="minorEastAsia"/>
          <w:lang w:eastAsia="zh-CN"/>
        </w:rPr>
      </w:pPr>
      <w:r w:rsidRPr="00113F82">
        <w:rPr>
          <w:b/>
        </w:rPr>
        <w:t>Supported by</w:t>
      </w:r>
      <w:r w:rsidRPr="00113F82">
        <w:rPr>
          <w:rFonts w:eastAsiaTheme="minorEastAsia"/>
          <w:b/>
          <w:lang w:eastAsia="zh-CN"/>
        </w:rPr>
        <w:t xml:space="preserve"> </w:t>
      </w:r>
      <w:r w:rsidR="00C66EDA" w:rsidRPr="00113F82">
        <w:t xml:space="preserve">the Beijing Municipal Science and Technology Commission project, the </w:t>
      </w:r>
      <w:r w:rsidRPr="00113F82">
        <w:t xml:space="preserve">Capital </w:t>
      </w:r>
      <w:r w:rsidR="00C66EDA" w:rsidRPr="00113F82">
        <w:t xml:space="preserve">of the </w:t>
      </w:r>
      <w:r w:rsidRPr="00113F82">
        <w:t>Public Health Cultivation</w:t>
      </w:r>
      <w:r w:rsidR="00C66EDA" w:rsidRPr="00113F82">
        <w:t xml:space="preserve"> - </w:t>
      </w:r>
      <w:r w:rsidRPr="00113F82">
        <w:t>Transcatheter Implantation</w:t>
      </w:r>
      <w:r w:rsidR="00C66EDA" w:rsidRPr="00113F82">
        <w:t xml:space="preserve"> combined with TACE/TAE in the treatment of portal vein tumor thrombus in clinical research, No. Z171100000417031</w:t>
      </w:r>
      <w:r w:rsidRPr="00113F82">
        <w:rPr>
          <w:rFonts w:eastAsiaTheme="minorEastAsia"/>
          <w:lang w:eastAsia="zh-CN"/>
        </w:rPr>
        <w:t>.</w:t>
      </w:r>
    </w:p>
    <w:p w14:paraId="07848B25" w14:textId="77777777" w:rsidR="00811B8F" w:rsidRPr="00113F82" w:rsidRDefault="00811B8F" w:rsidP="00E107FC">
      <w:pPr>
        <w:pStyle w:val="a3"/>
        <w:spacing w:line="360" w:lineRule="auto"/>
        <w:ind w:left="0"/>
        <w:jc w:val="both"/>
        <w:rPr>
          <w:rFonts w:eastAsiaTheme="minorEastAsia"/>
          <w:b/>
          <w:lang w:eastAsia="zh-CN"/>
        </w:rPr>
      </w:pPr>
    </w:p>
    <w:p w14:paraId="17740B25" w14:textId="77777777" w:rsidR="00067B0F" w:rsidRPr="00113F82" w:rsidRDefault="00067B0F" w:rsidP="00E107FC">
      <w:pPr>
        <w:pStyle w:val="a3"/>
        <w:spacing w:line="360" w:lineRule="auto"/>
        <w:ind w:left="0"/>
        <w:jc w:val="both"/>
      </w:pPr>
      <w:r w:rsidRPr="00113F82">
        <w:rPr>
          <w:b/>
        </w:rPr>
        <w:t>Institutional review board statement</w:t>
      </w:r>
      <w:r w:rsidRPr="00113F82">
        <w:rPr>
          <w:b/>
          <w:iCs/>
        </w:rPr>
        <w:t xml:space="preserve">: </w:t>
      </w:r>
      <w:r w:rsidRPr="00113F82">
        <w:t>All patients involved in this study gave their informed consent. Institutional review board approval of our hospital was obtained for this study.</w:t>
      </w:r>
    </w:p>
    <w:p w14:paraId="393EFE86" w14:textId="77777777" w:rsidR="00067B0F" w:rsidRPr="00113F82" w:rsidRDefault="00067B0F" w:rsidP="00E107FC">
      <w:pPr>
        <w:spacing w:line="360" w:lineRule="auto"/>
        <w:jc w:val="both"/>
        <w:rPr>
          <w:rFonts w:ascii="Book Antiqua" w:hAnsi="Book Antiqua"/>
          <w:b/>
          <w:sz w:val="24"/>
          <w:szCs w:val="24"/>
        </w:rPr>
      </w:pPr>
    </w:p>
    <w:p w14:paraId="05B10C06" w14:textId="77777777" w:rsidR="00067B0F" w:rsidRPr="00113F82" w:rsidRDefault="00067B0F" w:rsidP="00E107FC">
      <w:pPr>
        <w:pStyle w:val="a3"/>
        <w:spacing w:line="360" w:lineRule="auto"/>
        <w:ind w:left="0"/>
        <w:jc w:val="both"/>
        <w:rPr>
          <w:b/>
        </w:rPr>
      </w:pPr>
      <w:r w:rsidRPr="00113F82">
        <w:rPr>
          <w:b/>
        </w:rPr>
        <w:t>Informed consent statement</w:t>
      </w:r>
      <w:r w:rsidRPr="00113F82">
        <w:rPr>
          <w:b/>
          <w:iCs/>
        </w:rPr>
        <w:t xml:space="preserve">: </w:t>
      </w:r>
      <w:r w:rsidRPr="00113F82">
        <w:t>Written informed consent was obtained from all subjects (patients) in this study.</w:t>
      </w:r>
    </w:p>
    <w:p w14:paraId="40B72695" w14:textId="77777777" w:rsidR="00067B0F" w:rsidRPr="00113F82" w:rsidRDefault="00067B0F" w:rsidP="00E107FC">
      <w:pPr>
        <w:spacing w:line="360" w:lineRule="auto"/>
        <w:jc w:val="both"/>
        <w:rPr>
          <w:rFonts w:ascii="Book Antiqua" w:hAnsi="Book Antiqua"/>
          <w:b/>
          <w:sz w:val="24"/>
          <w:szCs w:val="24"/>
        </w:rPr>
      </w:pPr>
    </w:p>
    <w:p w14:paraId="4D4FFC0B" w14:textId="7B4BB782" w:rsidR="00067B0F" w:rsidRPr="00113F82" w:rsidRDefault="00067B0F" w:rsidP="00E107FC">
      <w:pPr>
        <w:pStyle w:val="a3"/>
        <w:spacing w:line="360" w:lineRule="auto"/>
        <w:ind w:left="0"/>
        <w:jc w:val="both"/>
        <w:rPr>
          <w:rFonts w:eastAsiaTheme="minorEastAsia"/>
          <w:lang w:eastAsia="zh-CN"/>
        </w:rPr>
      </w:pPr>
      <w:r w:rsidRPr="00113F82">
        <w:rPr>
          <w:b/>
        </w:rPr>
        <w:t>Conflict-of-interest statement</w:t>
      </w:r>
      <w:r w:rsidRPr="00113F82">
        <w:rPr>
          <w:rFonts w:cs="TimesNewRomanPS-BoldItalicMT"/>
          <w:b/>
          <w:iCs/>
        </w:rPr>
        <w:t xml:space="preserve">: </w:t>
      </w:r>
      <w:r w:rsidRPr="00113F82">
        <w:t>The authors of this manuscript declare no relationships with any companies, whose products or services may be related to the subject matter of the article.</w:t>
      </w:r>
    </w:p>
    <w:p w14:paraId="10850AA4" w14:textId="77777777" w:rsidR="00067B0F" w:rsidRPr="00113F82" w:rsidRDefault="00067B0F" w:rsidP="00E107FC">
      <w:pPr>
        <w:snapToGrid w:val="0"/>
        <w:spacing w:line="360" w:lineRule="auto"/>
        <w:jc w:val="both"/>
        <w:rPr>
          <w:rFonts w:ascii="Book Antiqua" w:hAnsi="Book Antiqua" w:cs="Book Antiqua"/>
          <w:sz w:val="24"/>
          <w:szCs w:val="24"/>
        </w:rPr>
      </w:pPr>
    </w:p>
    <w:p w14:paraId="43866131" w14:textId="4F54CDD1" w:rsidR="00067B0F" w:rsidRPr="00113F82" w:rsidRDefault="00067B0F" w:rsidP="00E107FC">
      <w:pPr>
        <w:pStyle w:val="a3"/>
        <w:spacing w:line="360" w:lineRule="auto"/>
        <w:ind w:left="0"/>
        <w:jc w:val="both"/>
        <w:rPr>
          <w:rFonts w:eastAsiaTheme="minorEastAsia"/>
          <w:lang w:eastAsia="zh-CN"/>
        </w:rPr>
      </w:pPr>
      <w:r w:rsidRPr="00113F82">
        <w:rPr>
          <w:b/>
        </w:rPr>
        <w:t xml:space="preserve">STROBE statement: </w:t>
      </w:r>
      <w:r w:rsidRPr="00113F82">
        <w:t>The STROBE Statement ha</w:t>
      </w:r>
      <w:r w:rsidR="00F91C4A" w:rsidRPr="00113F82">
        <w:rPr>
          <w:rFonts w:eastAsiaTheme="minorEastAsia"/>
          <w:lang w:eastAsia="zh-CN"/>
        </w:rPr>
        <w:t>s</w:t>
      </w:r>
      <w:r w:rsidRPr="00113F82">
        <w:t xml:space="preserve"> been adopted.</w:t>
      </w:r>
    </w:p>
    <w:p w14:paraId="264B37A6" w14:textId="77777777" w:rsidR="00067B0F" w:rsidRPr="00113F82" w:rsidRDefault="00067B0F" w:rsidP="00E107FC">
      <w:pPr>
        <w:adjustRightInd w:val="0"/>
        <w:snapToGrid w:val="0"/>
        <w:spacing w:line="360" w:lineRule="auto"/>
        <w:jc w:val="both"/>
        <w:rPr>
          <w:rFonts w:ascii="Book Antiqua" w:hAnsi="Book Antiqua"/>
          <w:sz w:val="24"/>
          <w:szCs w:val="24"/>
        </w:rPr>
      </w:pPr>
    </w:p>
    <w:p w14:paraId="2EA2A389" w14:textId="1525F3D0" w:rsidR="00067B0F" w:rsidRPr="00113F82" w:rsidRDefault="00067B0F" w:rsidP="00E107FC">
      <w:pPr>
        <w:widowControl/>
        <w:adjustRightInd w:val="0"/>
        <w:snapToGrid w:val="0"/>
        <w:spacing w:line="360" w:lineRule="auto"/>
        <w:jc w:val="both"/>
        <w:rPr>
          <w:rFonts w:ascii="Book Antiqua" w:hAnsi="Book Antiqua"/>
          <w:sz w:val="24"/>
          <w:szCs w:val="24"/>
        </w:rPr>
      </w:pPr>
      <w:r w:rsidRPr="00113F82">
        <w:rPr>
          <w:rFonts w:ascii="Book Antiqua" w:hAnsi="Book Antiqua"/>
          <w:b/>
          <w:sz w:val="24"/>
          <w:szCs w:val="24"/>
        </w:rPr>
        <w:t xml:space="preserve">Open-Access: </w:t>
      </w:r>
      <w:r w:rsidRPr="00113F82">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17B2088" w14:textId="77777777" w:rsidR="00811B8F" w:rsidRPr="00113F82" w:rsidRDefault="00811B8F" w:rsidP="00E107FC">
      <w:pPr>
        <w:pStyle w:val="a3"/>
        <w:spacing w:line="360" w:lineRule="auto"/>
        <w:ind w:left="0"/>
        <w:jc w:val="both"/>
        <w:rPr>
          <w:rFonts w:eastAsiaTheme="minorEastAsia"/>
          <w:lang w:eastAsia="zh-CN"/>
        </w:rPr>
      </w:pPr>
    </w:p>
    <w:p w14:paraId="59DC3A78" w14:textId="2793372F" w:rsidR="00067B0F" w:rsidRPr="00113F82" w:rsidRDefault="00067B0F" w:rsidP="00E107FC">
      <w:pPr>
        <w:pStyle w:val="a3"/>
        <w:spacing w:line="360" w:lineRule="auto"/>
        <w:ind w:left="0"/>
        <w:jc w:val="both"/>
        <w:rPr>
          <w:rFonts w:eastAsia="宋体" w:cs="宋体"/>
          <w:lang w:eastAsia="zh-CN"/>
        </w:rPr>
      </w:pPr>
      <w:r w:rsidRPr="00113F82">
        <w:rPr>
          <w:rFonts w:eastAsia="宋体" w:cs="宋体"/>
          <w:b/>
        </w:rPr>
        <w:lastRenderedPageBreak/>
        <w:t>Manuscript source:</w:t>
      </w:r>
      <w:r w:rsidRPr="00113F82">
        <w:rPr>
          <w:rFonts w:eastAsia="宋体" w:cs="宋体"/>
        </w:rPr>
        <w:t> Unsolicited manuscript</w:t>
      </w:r>
    </w:p>
    <w:p w14:paraId="55B8DBDE" w14:textId="77777777" w:rsidR="00067B0F" w:rsidRPr="00113F82" w:rsidRDefault="00067B0F" w:rsidP="00E107FC">
      <w:pPr>
        <w:pStyle w:val="a3"/>
        <w:spacing w:line="360" w:lineRule="auto"/>
        <w:ind w:left="0"/>
        <w:jc w:val="both"/>
        <w:rPr>
          <w:rFonts w:eastAsiaTheme="minorEastAsia"/>
          <w:lang w:eastAsia="zh-CN"/>
        </w:rPr>
      </w:pPr>
    </w:p>
    <w:p w14:paraId="7A6C36F2" w14:textId="0647865B" w:rsidR="00811B8F" w:rsidRPr="00113F82" w:rsidRDefault="00811B8F" w:rsidP="00E107FC">
      <w:pPr>
        <w:pStyle w:val="a3"/>
        <w:spacing w:line="360" w:lineRule="auto"/>
        <w:ind w:left="0"/>
        <w:jc w:val="both"/>
        <w:rPr>
          <w:rFonts w:eastAsiaTheme="minorEastAsia"/>
          <w:b/>
          <w:lang w:eastAsia="zh-CN"/>
        </w:rPr>
      </w:pPr>
      <w:r w:rsidRPr="00113F82">
        <w:rPr>
          <w:b/>
        </w:rPr>
        <w:t>Corresponding author:</w:t>
      </w:r>
      <w:r w:rsidR="00C66EDA" w:rsidRPr="00113F82">
        <w:rPr>
          <w:b/>
        </w:rPr>
        <w:t xml:space="preserve"> </w:t>
      </w:r>
      <w:r w:rsidRPr="00113F82">
        <w:rPr>
          <w:b/>
        </w:rPr>
        <w:t>Fu-Quan Liu, BCPS, MD,</w:t>
      </w:r>
      <w:r w:rsidR="00F85591" w:rsidRPr="00113F82">
        <w:t xml:space="preserve"> </w:t>
      </w:r>
      <w:r w:rsidRPr="00113F82">
        <w:rPr>
          <w:b/>
        </w:rPr>
        <w:t xml:space="preserve">Professor, </w:t>
      </w:r>
      <w:r w:rsidRPr="00113F82">
        <w:t>Department of Interventional Therapy, Peking University Ninth School of Clinical Medicine, Beijing Shijitan Hospital and Capital Medical University, No. 10 Tie Yi Road, Yangfangdian, Haidian District, Beijing 100010, China. lfuquan@aliyun.com</w:t>
      </w:r>
    </w:p>
    <w:p w14:paraId="2E93A9C3" w14:textId="48C58DC8" w:rsidR="00811B8F" w:rsidRPr="00113F82" w:rsidRDefault="00811B8F" w:rsidP="00E107FC">
      <w:pPr>
        <w:spacing w:line="360" w:lineRule="auto"/>
        <w:jc w:val="both"/>
        <w:rPr>
          <w:rFonts w:ascii="Book Antiqua" w:hAnsi="Book Antiqua"/>
          <w:b/>
          <w:sz w:val="24"/>
          <w:szCs w:val="24"/>
        </w:rPr>
      </w:pPr>
      <w:r w:rsidRPr="00113F82">
        <w:rPr>
          <w:rFonts w:ascii="Book Antiqua" w:hAnsi="Book Antiqua"/>
          <w:b/>
          <w:sz w:val="24"/>
          <w:szCs w:val="24"/>
        </w:rPr>
        <w:t xml:space="preserve">Telephone: </w:t>
      </w:r>
      <w:r w:rsidRPr="00113F82">
        <w:rPr>
          <w:rFonts w:ascii="Book Antiqua" w:hAnsi="Book Antiqua"/>
          <w:sz w:val="24"/>
          <w:szCs w:val="24"/>
        </w:rPr>
        <w:t>+86-13701179758</w:t>
      </w:r>
    </w:p>
    <w:p w14:paraId="664CD17B" w14:textId="77777777" w:rsidR="001A2DB4" w:rsidRPr="00113F82" w:rsidRDefault="001A2DB4" w:rsidP="00E107FC">
      <w:pPr>
        <w:spacing w:line="360" w:lineRule="auto"/>
        <w:jc w:val="both"/>
        <w:rPr>
          <w:rFonts w:ascii="Book Antiqua" w:hAnsi="Book Antiqua" w:cs="Book Antiqua"/>
          <w:sz w:val="24"/>
          <w:szCs w:val="24"/>
          <w:lang w:eastAsia="zh-CN"/>
        </w:rPr>
      </w:pPr>
    </w:p>
    <w:p w14:paraId="4F28BFE3" w14:textId="1DB9F71E" w:rsidR="00067B0F" w:rsidRPr="00113F82" w:rsidRDefault="00067B0F" w:rsidP="00E107FC">
      <w:pPr>
        <w:spacing w:line="360" w:lineRule="auto"/>
        <w:jc w:val="both"/>
        <w:rPr>
          <w:rFonts w:ascii="Book Antiqua" w:hAnsi="Book Antiqua"/>
          <w:b/>
          <w:sz w:val="24"/>
          <w:szCs w:val="24"/>
        </w:rPr>
      </w:pPr>
      <w:r w:rsidRPr="00113F82">
        <w:rPr>
          <w:rFonts w:ascii="Book Antiqua" w:hAnsi="Book Antiqua"/>
          <w:b/>
          <w:sz w:val="24"/>
          <w:szCs w:val="24"/>
        </w:rPr>
        <w:t xml:space="preserve">Received: </w:t>
      </w:r>
      <w:r w:rsidR="00E107FC" w:rsidRPr="00113F82">
        <w:rPr>
          <w:rFonts w:ascii="Book Antiqua" w:hAnsi="Book Antiqua"/>
          <w:sz w:val="24"/>
          <w:szCs w:val="24"/>
          <w:lang w:eastAsia="zh-CN"/>
        </w:rPr>
        <w:t>January 13, 2019</w:t>
      </w:r>
      <w:r w:rsidR="00E107FC" w:rsidRPr="00113F82">
        <w:rPr>
          <w:rFonts w:ascii="Book Antiqua" w:hAnsi="Book Antiqua"/>
          <w:sz w:val="24"/>
          <w:szCs w:val="24"/>
        </w:rPr>
        <w:t xml:space="preserve"> </w:t>
      </w:r>
    </w:p>
    <w:p w14:paraId="69563B62" w14:textId="6C82A6BF" w:rsidR="00067B0F" w:rsidRPr="00113F82" w:rsidRDefault="00067B0F" w:rsidP="00E107FC">
      <w:pPr>
        <w:spacing w:line="360" w:lineRule="auto"/>
        <w:jc w:val="both"/>
        <w:rPr>
          <w:rFonts w:ascii="Book Antiqua" w:hAnsi="Book Antiqua"/>
          <w:b/>
          <w:sz w:val="24"/>
          <w:szCs w:val="24"/>
        </w:rPr>
      </w:pPr>
      <w:r w:rsidRPr="00113F82">
        <w:rPr>
          <w:rFonts w:ascii="Book Antiqua" w:hAnsi="Book Antiqua"/>
          <w:b/>
          <w:sz w:val="24"/>
          <w:szCs w:val="24"/>
        </w:rPr>
        <w:t>Peer-review started:</w:t>
      </w:r>
      <w:r w:rsidR="00E107FC" w:rsidRPr="00113F82">
        <w:rPr>
          <w:rFonts w:ascii="Book Antiqua" w:hAnsi="Book Antiqua"/>
          <w:sz w:val="24"/>
          <w:szCs w:val="24"/>
          <w:lang w:eastAsia="zh-CN"/>
        </w:rPr>
        <w:t xml:space="preserve"> January 14, 2019</w:t>
      </w:r>
      <w:r w:rsidR="00E107FC" w:rsidRPr="00113F82">
        <w:rPr>
          <w:rFonts w:ascii="Book Antiqua" w:hAnsi="Book Antiqua"/>
          <w:sz w:val="24"/>
          <w:szCs w:val="24"/>
        </w:rPr>
        <w:t xml:space="preserve"> </w:t>
      </w:r>
    </w:p>
    <w:p w14:paraId="2C31093A" w14:textId="269FF24F" w:rsidR="00067B0F" w:rsidRPr="00113F82" w:rsidRDefault="00067B0F" w:rsidP="00E107FC">
      <w:pPr>
        <w:spacing w:line="360" w:lineRule="auto"/>
        <w:jc w:val="both"/>
        <w:rPr>
          <w:rFonts w:ascii="Book Antiqua" w:hAnsi="Book Antiqua"/>
          <w:b/>
          <w:sz w:val="24"/>
          <w:szCs w:val="24"/>
        </w:rPr>
      </w:pPr>
      <w:r w:rsidRPr="00113F82">
        <w:rPr>
          <w:rFonts w:ascii="Book Antiqua" w:hAnsi="Book Antiqua"/>
          <w:b/>
          <w:sz w:val="24"/>
          <w:szCs w:val="24"/>
        </w:rPr>
        <w:t>First decision:</w:t>
      </w:r>
      <w:r w:rsidR="00E107FC" w:rsidRPr="00113F82">
        <w:rPr>
          <w:rFonts w:ascii="Book Antiqua" w:hAnsi="Book Antiqua"/>
          <w:sz w:val="24"/>
          <w:szCs w:val="24"/>
          <w:lang w:eastAsia="zh-CN"/>
        </w:rPr>
        <w:t xml:space="preserve"> January 26, 2019</w:t>
      </w:r>
      <w:r w:rsidR="00E107FC" w:rsidRPr="00113F82">
        <w:rPr>
          <w:rFonts w:ascii="Book Antiqua" w:hAnsi="Book Antiqua"/>
          <w:sz w:val="24"/>
          <w:szCs w:val="24"/>
        </w:rPr>
        <w:t xml:space="preserve"> </w:t>
      </w:r>
    </w:p>
    <w:p w14:paraId="703BBBC0" w14:textId="552BA4A3" w:rsidR="00067B0F" w:rsidRPr="00113F82" w:rsidRDefault="00067B0F" w:rsidP="00E107FC">
      <w:pPr>
        <w:spacing w:line="360" w:lineRule="auto"/>
        <w:jc w:val="both"/>
        <w:rPr>
          <w:rFonts w:ascii="Book Antiqua" w:hAnsi="Book Antiqua"/>
          <w:b/>
          <w:sz w:val="24"/>
          <w:szCs w:val="24"/>
        </w:rPr>
      </w:pPr>
      <w:r w:rsidRPr="00113F82">
        <w:rPr>
          <w:rFonts w:ascii="Book Antiqua" w:hAnsi="Book Antiqua"/>
          <w:b/>
          <w:sz w:val="24"/>
          <w:szCs w:val="24"/>
        </w:rPr>
        <w:t xml:space="preserve">Revised: </w:t>
      </w:r>
      <w:r w:rsidR="00E107FC" w:rsidRPr="00113F82">
        <w:rPr>
          <w:rFonts w:ascii="Book Antiqua" w:hAnsi="Book Antiqua"/>
          <w:sz w:val="24"/>
          <w:szCs w:val="24"/>
          <w:lang w:eastAsia="zh-CN"/>
        </w:rPr>
        <w:t>February 11, 2019</w:t>
      </w:r>
      <w:r w:rsidR="00E107FC" w:rsidRPr="00113F82">
        <w:rPr>
          <w:rFonts w:ascii="Book Antiqua" w:hAnsi="Book Antiqua"/>
          <w:sz w:val="24"/>
          <w:szCs w:val="24"/>
        </w:rPr>
        <w:t xml:space="preserve"> </w:t>
      </w:r>
    </w:p>
    <w:p w14:paraId="3E9EB21B" w14:textId="36C6ED57" w:rsidR="00067B0F" w:rsidRPr="00113F82" w:rsidRDefault="00067B0F" w:rsidP="00E107FC">
      <w:pPr>
        <w:spacing w:line="360" w:lineRule="auto"/>
        <w:jc w:val="both"/>
        <w:rPr>
          <w:rFonts w:ascii="Book Antiqua" w:hAnsi="Book Antiqua"/>
          <w:b/>
          <w:sz w:val="24"/>
          <w:szCs w:val="24"/>
        </w:rPr>
      </w:pPr>
      <w:r w:rsidRPr="00113F82">
        <w:rPr>
          <w:rFonts w:ascii="Book Antiqua" w:hAnsi="Book Antiqua"/>
          <w:b/>
          <w:sz w:val="24"/>
          <w:szCs w:val="24"/>
        </w:rPr>
        <w:t>Accepted:</w:t>
      </w:r>
      <w:r w:rsidR="00E107FC" w:rsidRPr="00113F82">
        <w:rPr>
          <w:rFonts w:ascii="Book Antiqua" w:hAnsi="Book Antiqua"/>
          <w:b/>
          <w:sz w:val="24"/>
          <w:szCs w:val="24"/>
        </w:rPr>
        <w:t xml:space="preserve"> </w:t>
      </w:r>
      <w:r w:rsidR="00F85591" w:rsidRPr="00113F82">
        <w:rPr>
          <w:rFonts w:ascii="Book Antiqua" w:hAnsi="Book Antiqua"/>
          <w:sz w:val="24"/>
          <w:szCs w:val="24"/>
        </w:rPr>
        <w:t>March 12, 2019</w:t>
      </w:r>
    </w:p>
    <w:p w14:paraId="69238B4D" w14:textId="3A598231" w:rsidR="00067B0F" w:rsidRPr="00113F82" w:rsidRDefault="00067B0F" w:rsidP="00E107FC">
      <w:pPr>
        <w:spacing w:line="360" w:lineRule="auto"/>
        <w:jc w:val="both"/>
        <w:rPr>
          <w:rFonts w:ascii="Book Antiqua" w:hAnsi="Book Antiqua"/>
          <w:sz w:val="24"/>
          <w:szCs w:val="24"/>
        </w:rPr>
      </w:pPr>
      <w:r w:rsidRPr="00113F82">
        <w:rPr>
          <w:rFonts w:ascii="Book Antiqua" w:hAnsi="Book Antiqua"/>
          <w:b/>
          <w:sz w:val="24"/>
          <w:szCs w:val="24"/>
        </w:rPr>
        <w:t>Article in press:</w:t>
      </w:r>
      <w:r w:rsidR="00E107FC" w:rsidRPr="00113F82">
        <w:rPr>
          <w:rFonts w:ascii="Book Antiqua" w:hAnsi="Book Antiqua"/>
          <w:sz w:val="24"/>
          <w:szCs w:val="24"/>
        </w:rPr>
        <w:t xml:space="preserve"> </w:t>
      </w:r>
      <w:r w:rsidR="0030502E" w:rsidRPr="00113F82">
        <w:rPr>
          <w:rFonts w:ascii="Book Antiqua" w:hAnsi="Book Antiqua"/>
          <w:sz w:val="24"/>
          <w:szCs w:val="24"/>
        </w:rPr>
        <w:t>March 12, 2019</w:t>
      </w:r>
    </w:p>
    <w:p w14:paraId="13A3EC7B" w14:textId="6A8E781E" w:rsidR="00067B0F" w:rsidRPr="00113F82" w:rsidRDefault="00067B0F" w:rsidP="00E107FC">
      <w:pPr>
        <w:spacing w:line="360" w:lineRule="auto"/>
        <w:jc w:val="both"/>
        <w:rPr>
          <w:rFonts w:ascii="Book Antiqua" w:hAnsi="Book Antiqua"/>
          <w:b/>
          <w:sz w:val="24"/>
          <w:szCs w:val="24"/>
        </w:rPr>
      </w:pPr>
      <w:r w:rsidRPr="00113F82">
        <w:rPr>
          <w:rFonts w:ascii="Book Antiqua" w:hAnsi="Book Antiqua"/>
          <w:b/>
          <w:sz w:val="24"/>
          <w:szCs w:val="24"/>
        </w:rPr>
        <w:t xml:space="preserve">Published online: </w:t>
      </w:r>
      <w:r w:rsidR="0030502E" w:rsidRPr="00113F82">
        <w:rPr>
          <w:rFonts w:ascii="Book Antiqua" w:hAnsi="Book Antiqua"/>
          <w:sz w:val="24"/>
          <w:szCs w:val="24"/>
        </w:rPr>
        <w:t>April 15, 2019</w:t>
      </w:r>
    </w:p>
    <w:p w14:paraId="00445E61" w14:textId="77777777" w:rsidR="00811B8F" w:rsidRPr="00113F82" w:rsidRDefault="00811B8F" w:rsidP="00E107FC">
      <w:pPr>
        <w:spacing w:line="360" w:lineRule="auto"/>
        <w:jc w:val="both"/>
        <w:rPr>
          <w:rFonts w:ascii="Book Antiqua" w:hAnsi="Book Antiqua" w:cs="Book Antiqua"/>
          <w:sz w:val="24"/>
          <w:szCs w:val="24"/>
          <w:lang w:eastAsia="zh-CN"/>
        </w:rPr>
      </w:pPr>
    </w:p>
    <w:p w14:paraId="2FD7ACAA" w14:textId="77777777" w:rsidR="00067B0F" w:rsidRPr="00113F82" w:rsidRDefault="00067B0F" w:rsidP="00E107FC">
      <w:pPr>
        <w:spacing w:line="360" w:lineRule="auto"/>
        <w:jc w:val="both"/>
        <w:rPr>
          <w:rFonts w:ascii="Book Antiqua" w:hAnsi="Book Antiqua" w:cs="Book Antiqua"/>
          <w:sz w:val="24"/>
          <w:szCs w:val="24"/>
          <w:lang w:eastAsia="zh-CN"/>
        </w:rPr>
        <w:sectPr w:rsidR="00067B0F" w:rsidRPr="00113F82" w:rsidSect="00085515">
          <w:footerReference w:type="default" r:id="rId9"/>
          <w:pgSz w:w="11910" w:h="16840"/>
          <w:pgMar w:top="1418" w:right="1418" w:bottom="1418" w:left="1418" w:header="0" w:footer="1084" w:gutter="0"/>
          <w:cols w:space="720"/>
        </w:sectPr>
      </w:pPr>
    </w:p>
    <w:p w14:paraId="2C0D4B55" w14:textId="77777777" w:rsidR="001314BE" w:rsidRPr="00113F82" w:rsidRDefault="002D2919" w:rsidP="00E107FC">
      <w:pPr>
        <w:pStyle w:val="1"/>
        <w:spacing w:line="360" w:lineRule="auto"/>
        <w:ind w:left="0"/>
        <w:jc w:val="both"/>
        <w:rPr>
          <w:b w:val="0"/>
          <w:bCs w:val="0"/>
        </w:rPr>
      </w:pPr>
      <w:r w:rsidRPr="00113F82">
        <w:lastRenderedPageBreak/>
        <w:t>Abstract</w:t>
      </w:r>
    </w:p>
    <w:p w14:paraId="150FB8B9" w14:textId="77777777" w:rsidR="001314BE" w:rsidRPr="00113F82" w:rsidRDefault="002D2919" w:rsidP="00E107FC">
      <w:pPr>
        <w:pStyle w:val="2"/>
        <w:spacing w:line="360" w:lineRule="auto"/>
        <w:ind w:left="0"/>
        <w:jc w:val="both"/>
        <w:rPr>
          <w:b w:val="0"/>
          <w:bCs w:val="0"/>
          <w:i w:val="0"/>
        </w:rPr>
      </w:pPr>
      <w:r w:rsidRPr="00113F82">
        <w:t>BACKGROUND</w:t>
      </w:r>
    </w:p>
    <w:p w14:paraId="172E5791" w14:textId="657DAE91" w:rsidR="007415A5" w:rsidRPr="00113F82" w:rsidRDefault="00085515" w:rsidP="00E107FC">
      <w:pPr>
        <w:pStyle w:val="a3"/>
        <w:spacing w:line="360" w:lineRule="auto"/>
        <w:ind w:left="0"/>
        <w:jc w:val="both"/>
      </w:pPr>
      <w:r w:rsidRPr="00113F82">
        <w:t>M</w:t>
      </w:r>
      <w:r w:rsidR="0009078D" w:rsidRPr="00113F82">
        <w:t>ain portal vein tumor thrombus</w:t>
      </w:r>
      <w:r w:rsidR="0021236C" w:rsidRPr="00113F82">
        <w:t xml:space="preserve"> (</w:t>
      </w:r>
      <w:r w:rsidR="00E12C47" w:rsidRPr="00113F82">
        <w:t>M</w:t>
      </w:r>
      <w:r w:rsidR="0021236C" w:rsidRPr="00113F82">
        <w:t>PVTT)</w:t>
      </w:r>
      <w:r w:rsidR="00655963" w:rsidRPr="00113F82">
        <w:t>, which has a high incidence,</w:t>
      </w:r>
      <w:r w:rsidR="0009078D" w:rsidRPr="00113F82">
        <w:t xml:space="preserve"> is the major complication of terminal </w:t>
      </w:r>
      <w:r w:rsidR="003B72AE" w:rsidRPr="00113F82">
        <w:t xml:space="preserve">liver </w:t>
      </w:r>
      <w:r w:rsidR="0009078D" w:rsidRPr="00113F82">
        <w:t>cancer</w:t>
      </w:r>
      <w:r w:rsidR="003B72AE" w:rsidRPr="00113F82">
        <w:t xml:space="preserve">. </w:t>
      </w:r>
      <w:r w:rsidR="00B23B2D" w:rsidRPr="00113F82">
        <w:t>T</w:t>
      </w:r>
      <w:r w:rsidR="003B72AE" w:rsidRPr="00113F82">
        <w:t>he</w:t>
      </w:r>
      <w:r w:rsidR="00C529D3" w:rsidRPr="00113F82">
        <w:t xml:space="preserve"> occurrence of MPVTT </w:t>
      </w:r>
      <w:r w:rsidRPr="00113F82">
        <w:t xml:space="preserve">is </w:t>
      </w:r>
      <w:r w:rsidR="00C529D3" w:rsidRPr="00113F82">
        <w:t xml:space="preserve">always </w:t>
      </w:r>
      <w:r w:rsidRPr="00113F82">
        <w:t xml:space="preserve">a </w:t>
      </w:r>
      <w:r w:rsidR="00C529D3" w:rsidRPr="00113F82">
        <w:t xml:space="preserve">negative prognostic factor for patients with </w:t>
      </w:r>
      <w:r w:rsidR="00644450" w:rsidRPr="00113F82">
        <w:t>hepatocellular carcinoma</w:t>
      </w:r>
      <w:r w:rsidR="00A37B45" w:rsidRPr="00113F82">
        <w:t xml:space="preserve"> </w:t>
      </w:r>
      <w:r w:rsidR="00644450" w:rsidRPr="00113F82">
        <w:t>(</w:t>
      </w:r>
      <w:r w:rsidR="00C529D3" w:rsidRPr="00113F82">
        <w:t>HCC</w:t>
      </w:r>
      <w:r w:rsidR="00644450" w:rsidRPr="00113F82">
        <w:t>)</w:t>
      </w:r>
      <w:r w:rsidR="00C529D3" w:rsidRPr="00113F82">
        <w:t>.</w:t>
      </w:r>
      <w:r w:rsidR="0009078D" w:rsidRPr="00113F82">
        <w:t xml:space="preserve"> </w:t>
      </w:r>
      <w:r w:rsidR="007415A5" w:rsidRPr="00113F82">
        <w:t xml:space="preserve">Therefore, </w:t>
      </w:r>
      <w:r w:rsidR="00B23B2D" w:rsidRPr="00113F82">
        <w:t xml:space="preserve">attention should be paid to the treatment of </w:t>
      </w:r>
      <w:r w:rsidRPr="00113F82">
        <w:t>M</w:t>
      </w:r>
      <w:r w:rsidR="007415A5" w:rsidRPr="00113F82">
        <w:t xml:space="preserve">PVTT and </w:t>
      </w:r>
      <w:r w:rsidRPr="00113F82">
        <w:t xml:space="preserve">its </w:t>
      </w:r>
      <w:r w:rsidR="007415A5" w:rsidRPr="00113F82">
        <w:t>complications.</w:t>
      </w:r>
    </w:p>
    <w:p w14:paraId="67E21EA7" w14:textId="77777777" w:rsidR="00A37B45" w:rsidRPr="00113F82" w:rsidRDefault="00A37B45" w:rsidP="00E107FC">
      <w:pPr>
        <w:pStyle w:val="a3"/>
        <w:spacing w:line="360" w:lineRule="auto"/>
        <w:ind w:left="0"/>
        <w:jc w:val="both"/>
      </w:pPr>
    </w:p>
    <w:p w14:paraId="68BEE9B9" w14:textId="77777777" w:rsidR="001314BE" w:rsidRPr="00113F82" w:rsidRDefault="002D2919" w:rsidP="00E107FC">
      <w:pPr>
        <w:spacing w:line="360" w:lineRule="auto"/>
        <w:jc w:val="both"/>
        <w:rPr>
          <w:rFonts w:ascii="Book Antiqua" w:eastAsia="Book Antiqua" w:hAnsi="Book Antiqua" w:cs="Book Antiqua"/>
          <w:sz w:val="24"/>
          <w:szCs w:val="24"/>
        </w:rPr>
      </w:pPr>
      <w:r w:rsidRPr="00113F82">
        <w:rPr>
          <w:rFonts w:ascii="Book Antiqua" w:hAnsi="Book Antiqua"/>
          <w:b/>
          <w:i/>
          <w:sz w:val="24"/>
          <w:szCs w:val="24"/>
        </w:rPr>
        <w:t>AIM</w:t>
      </w:r>
    </w:p>
    <w:p w14:paraId="7F193E1D" w14:textId="4AAE41F2" w:rsidR="001314BE" w:rsidRPr="00113F82" w:rsidRDefault="00304626" w:rsidP="00E107FC">
      <w:pPr>
        <w:pStyle w:val="a3"/>
        <w:spacing w:line="360" w:lineRule="auto"/>
        <w:ind w:left="0"/>
        <w:jc w:val="both"/>
      </w:pPr>
      <w:r w:rsidRPr="00113F82">
        <w:t>T</w:t>
      </w:r>
      <w:r w:rsidR="00213935" w:rsidRPr="00113F82">
        <w:t xml:space="preserve">o evaluate the </w:t>
      </w:r>
      <w:r w:rsidR="00085515" w:rsidRPr="00113F82">
        <w:t xml:space="preserve">efficacy </w:t>
      </w:r>
      <w:r w:rsidR="00213935" w:rsidRPr="00113F82">
        <w:t xml:space="preserve">of </w:t>
      </w:r>
      <w:r w:rsidR="00E107FC" w:rsidRPr="00113F82">
        <w:t>transarterial chemoembolization/transarterial embolization (TACE/TAE)</w:t>
      </w:r>
      <w:r w:rsidR="00213935" w:rsidRPr="00113F82">
        <w:t>+</w:t>
      </w:r>
      <w:r w:rsidR="003474D9" w:rsidRPr="00113F82">
        <w:rPr>
          <w:vertAlign w:val="superscript"/>
        </w:rPr>
        <w:t>125</w:t>
      </w:r>
      <w:r w:rsidR="00213935" w:rsidRPr="00113F82">
        <w:t xml:space="preserve">I </w:t>
      </w:r>
      <w:r w:rsidR="00B93066" w:rsidRPr="00113F82">
        <w:t xml:space="preserve">seeds </w:t>
      </w:r>
      <w:r w:rsidR="00213935" w:rsidRPr="00113F82">
        <w:t xml:space="preserve">implantation with transjugular intrahepatic portosystemic shunt (TIPS) in treating </w:t>
      </w:r>
      <w:r w:rsidR="00E12C47" w:rsidRPr="00113F82">
        <w:t>M</w:t>
      </w:r>
      <w:r w:rsidRPr="00113F82">
        <w:t>PVTT</w:t>
      </w:r>
      <w:r w:rsidR="00213935" w:rsidRPr="00113F82">
        <w:t xml:space="preserve"> and </w:t>
      </w:r>
      <w:r w:rsidR="00085515" w:rsidRPr="00113F82">
        <w:t xml:space="preserve">its </w:t>
      </w:r>
      <w:r w:rsidR="00213935" w:rsidRPr="00113F82">
        <w:t>complications.</w:t>
      </w:r>
    </w:p>
    <w:p w14:paraId="0670CB8F" w14:textId="77777777" w:rsidR="00A37B45" w:rsidRPr="00113F82" w:rsidRDefault="00A37B45" w:rsidP="00E107FC">
      <w:pPr>
        <w:pStyle w:val="a3"/>
        <w:spacing w:line="360" w:lineRule="auto"/>
        <w:ind w:left="0"/>
        <w:jc w:val="both"/>
      </w:pPr>
    </w:p>
    <w:p w14:paraId="303DEB84" w14:textId="77777777" w:rsidR="001314BE" w:rsidRPr="00113F82" w:rsidRDefault="002D2919" w:rsidP="00E107FC">
      <w:pPr>
        <w:pStyle w:val="2"/>
        <w:spacing w:line="360" w:lineRule="auto"/>
        <w:ind w:left="0"/>
        <w:jc w:val="both"/>
        <w:rPr>
          <w:b w:val="0"/>
          <w:bCs w:val="0"/>
          <w:i w:val="0"/>
        </w:rPr>
      </w:pPr>
      <w:r w:rsidRPr="00113F82">
        <w:t>METHODS</w:t>
      </w:r>
    </w:p>
    <w:p w14:paraId="5280F421" w14:textId="78F375FB" w:rsidR="001314BE" w:rsidRPr="00113F82" w:rsidRDefault="003B549C" w:rsidP="00E107FC">
      <w:pPr>
        <w:pStyle w:val="a3"/>
        <w:spacing w:line="360" w:lineRule="auto"/>
        <w:ind w:left="0"/>
        <w:jc w:val="both"/>
      </w:pPr>
      <w:r w:rsidRPr="00113F82">
        <w:t xml:space="preserve">From January 2007 to March 2015, </w:t>
      </w:r>
      <w:r w:rsidR="00213935" w:rsidRPr="00113F82">
        <w:t xml:space="preserve">85 </w:t>
      </w:r>
      <w:r w:rsidRPr="00113F82">
        <w:t xml:space="preserve">consecutive </w:t>
      </w:r>
      <w:r w:rsidR="00213935" w:rsidRPr="00113F82">
        <w:t xml:space="preserve">patients with </w:t>
      </w:r>
      <w:r w:rsidR="00085515" w:rsidRPr="00113F82">
        <w:t>MPVTT</w:t>
      </w:r>
      <w:r w:rsidR="00213935" w:rsidRPr="00113F82">
        <w:t xml:space="preserve"> were </w:t>
      </w:r>
      <w:r w:rsidR="00085515" w:rsidRPr="00113F82">
        <w:t>non</w:t>
      </w:r>
      <w:r w:rsidR="00213935" w:rsidRPr="00113F82">
        <w:t xml:space="preserve">randomly assigned to undergo treatment with </w:t>
      </w:r>
      <w:r w:rsidR="00E107FC" w:rsidRPr="00113F82">
        <w:t>TACE/TAE</w:t>
      </w:r>
      <w:r w:rsidR="00085515" w:rsidRPr="00113F82">
        <w:t xml:space="preserve"> </w:t>
      </w:r>
      <w:r w:rsidR="00213935" w:rsidRPr="00113F82">
        <w:t>+</w:t>
      </w:r>
      <w:r w:rsidRPr="00113F82">
        <w:t xml:space="preserve"> </w:t>
      </w:r>
      <w:r w:rsidR="00213935" w:rsidRPr="00113F82">
        <w:t xml:space="preserve">TIPS and </w:t>
      </w:r>
      <w:r w:rsidR="00213935" w:rsidRPr="00113F82">
        <w:rPr>
          <w:vertAlign w:val="superscript"/>
        </w:rPr>
        <w:t>125</w:t>
      </w:r>
      <w:r w:rsidR="00213935" w:rsidRPr="00113F82">
        <w:t>I implantation</w:t>
      </w:r>
      <w:r w:rsidR="00085515" w:rsidRPr="00113F82">
        <w:t xml:space="preserve"> </w:t>
      </w:r>
      <w:r w:rsidR="00213935" w:rsidRPr="00113F82">
        <w:t>(TIPS-</w:t>
      </w:r>
      <w:r w:rsidR="00213935" w:rsidRPr="00113F82">
        <w:rPr>
          <w:vertAlign w:val="superscript"/>
        </w:rPr>
        <w:t>125</w:t>
      </w:r>
      <w:r w:rsidR="00213935" w:rsidRPr="00113F82">
        <w:t>I group) or TACE/TAE</w:t>
      </w:r>
      <w:r w:rsidR="00E107FC" w:rsidRPr="00113F82">
        <w:rPr>
          <w:rFonts w:eastAsiaTheme="minorEastAsia"/>
          <w:lang w:eastAsia="zh-CN"/>
        </w:rPr>
        <w:t xml:space="preserve"> </w:t>
      </w:r>
      <w:r w:rsidR="00213935" w:rsidRPr="00113F82">
        <w:t>+</w:t>
      </w:r>
      <w:r w:rsidR="00E107FC" w:rsidRPr="00113F82">
        <w:rPr>
          <w:rFonts w:eastAsiaTheme="minorEastAsia"/>
          <w:lang w:eastAsia="zh-CN"/>
        </w:rPr>
        <w:t xml:space="preserve"> </w:t>
      </w:r>
      <w:r w:rsidR="00213935" w:rsidRPr="00113F82">
        <w:t>TIPS only</w:t>
      </w:r>
      <w:r w:rsidR="00085515" w:rsidRPr="00113F82">
        <w:t xml:space="preserve"> </w:t>
      </w:r>
      <w:r w:rsidR="00213935" w:rsidRPr="00113F82">
        <w:t>(TIPS only group)</w:t>
      </w:r>
      <w:r w:rsidR="00A37B45" w:rsidRPr="00113F82">
        <w:t xml:space="preserve"> </w:t>
      </w:r>
      <w:r w:rsidRPr="00113F82">
        <w:t xml:space="preserve">in Beijing </w:t>
      </w:r>
      <w:r w:rsidR="00085515" w:rsidRPr="00113F82">
        <w:t>Shijitan Hospital</w:t>
      </w:r>
      <w:r w:rsidRPr="00113F82">
        <w:t>, and all clinical data were collected.</w:t>
      </w:r>
      <w:r w:rsidR="00213935" w:rsidRPr="00113F82">
        <w:t xml:space="preserve"> </w:t>
      </w:r>
      <w:r w:rsidRPr="00113F82">
        <w:t>During 24 mo follow-up</w:t>
      </w:r>
      <w:r w:rsidR="00A37B45" w:rsidRPr="00113F82">
        <w:t>, the i</w:t>
      </w:r>
      <w:r w:rsidR="00213935" w:rsidRPr="00113F82">
        <w:t xml:space="preserve">ncidence of overall survival, stent stenosis and symptom recurrence </w:t>
      </w:r>
      <w:r w:rsidR="00085515" w:rsidRPr="00113F82">
        <w:t xml:space="preserve">was </w:t>
      </w:r>
      <w:r w:rsidR="0078064B" w:rsidRPr="00113F82">
        <w:t>analyze</w:t>
      </w:r>
      <w:r w:rsidR="00085515" w:rsidRPr="00113F82">
        <w:t>d</w:t>
      </w:r>
      <w:r w:rsidR="0078064B" w:rsidRPr="00113F82">
        <w:t xml:space="preserve"> to evaluate the </w:t>
      </w:r>
      <w:r w:rsidR="00085515" w:rsidRPr="00113F82">
        <w:t xml:space="preserve">efficacy </w:t>
      </w:r>
      <w:r w:rsidR="0078064B" w:rsidRPr="00113F82">
        <w:t>of TIPS-</w:t>
      </w:r>
      <w:r w:rsidR="0078064B" w:rsidRPr="00113F82">
        <w:rPr>
          <w:vertAlign w:val="superscript"/>
        </w:rPr>
        <w:t>125</w:t>
      </w:r>
      <w:r w:rsidR="0078064B" w:rsidRPr="00113F82">
        <w:t>I</w:t>
      </w:r>
      <w:r w:rsidR="00213935" w:rsidRPr="00113F82">
        <w:t>.</w:t>
      </w:r>
    </w:p>
    <w:p w14:paraId="38227346" w14:textId="77777777" w:rsidR="001314BE" w:rsidRPr="00113F82" w:rsidRDefault="001314BE" w:rsidP="00E107FC">
      <w:pPr>
        <w:spacing w:line="360" w:lineRule="auto"/>
        <w:jc w:val="both"/>
        <w:rPr>
          <w:rFonts w:ascii="Book Antiqua" w:eastAsia="Book Antiqua" w:hAnsi="Book Antiqua" w:cs="Book Antiqua"/>
          <w:sz w:val="24"/>
          <w:szCs w:val="24"/>
        </w:rPr>
      </w:pPr>
    </w:p>
    <w:p w14:paraId="1CAD23BE" w14:textId="77777777" w:rsidR="001314BE" w:rsidRPr="00113F82" w:rsidRDefault="002D2919" w:rsidP="00E107FC">
      <w:pPr>
        <w:pStyle w:val="2"/>
        <w:spacing w:line="360" w:lineRule="auto"/>
        <w:ind w:left="0"/>
        <w:jc w:val="both"/>
        <w:rPr>
          <w:b w:val="0"/>
          <w:bCs w:val="0"/>
          <w:i w:val="0"/>
        </w:rPr>
      </w:pPr>
      <w:r w:rsidRPr="00113F82">
        <w:t>RESULTS</w:t>
      </w:r>
    </w:p>
    <w:p w14:paraId="3940E54C" w14:textId="3057FD36" w:rsidR="0061183E" w:rsidRPr="00113F82" w:rsidRDefault="00213935" w:rsidP="00E107FC">
      <w:pPr>
        <w:pStyle w:val="a3"/>
        <w:spacing w:line="360" w:lineRule="auto"/>
        <w:ind w:left="0"/>
        <w:jc w:val="both"/>
      </w:pPr>
      <w:bookmarkStart w:id="3" w:name="_Hlk530938860"/>
      <w:r w:rsidRPr="00113F82">
        <w:t>During 24 mo follow-up</w:t>
      </w:r>
      <w:bookmarkEnd w:id="3"/>
      <w:r w:rsidRPr="00113F82">
        <w:t xml:space="preserve"> of all patients, we collected data </w:t>
      </w:r>
      <w:r w:rsidR="00B23B2D" w:rsidRPr="00113F82">
        <w:t>at 6, 12 and 24 mo</w:t>
      </w:r>
      <w:r w:rsidRPr="00113F82">
        <w:t>. The rates of survival were 80%</w:t>
      </w:r>
      <w:r w:rsidR="00B23B2D" w:rsidRPr="00113F82">
        <w:rPr>
          <w:rFonts w:eastAsia="宋体" w:cs="宋体"/>
          <w:lang w:eastAsia="zh-CN"/>
        </w:rPr>
        <w:t>,</w:t>
      </w:r>
      <w:r w:rsidR="00085515" w:rsidRPr="00113F82">
        <w:rPr>
          <w:rFonts w:eastAsia="宋体" w:cs="宋体"/>
          <w:lang w:eastAsia="zh-CN"/>
        </w:rPr>
        <w:t xml:space="preserve"> </w:t>
      </w:r>
      <w:r w:rsidRPr="00113F82">
        <w:t>45%</w:t>
      </w:r>
      <w:r w:rsidR="00B23B2D" w:rsidRPr="00113F82">
        <w:rPr>
          <w:rFonts w:eastAsia="宋体" w:cs="宋体"/>
          <w:lang w:eastAsia="zh-CN"/>
        </w:rPr>
        <w:t xml:space="preserve">, </w:t>
      </w:r>
      <w:r w:rsidR="00B23B2D" w:rsidRPr="00113F82">
        <w:rPr>
          <w:rFonts w:eastAsia="宋体" w:cs="宋体"/>
        </w:rPr>
        <w:t>and</w:t>
      </w:r>
      <w:r w:rsidR="00B23B2D" w:rsidRPr="00113F82">
        <w:t xml:space="preserve"> </w:t>
      </w:r>
      <w:r w:rsidRPr="00113F82">
        <w:t>20%</w:t>
      </w:r>
      <w:r w:rsidR="00B23B2D" w:rsidRPr="00113F82">
        <w:t xml:space="preserve">, respectively, </w:t>
      </w:r>
      <w:r w:rsidRPr="00113F82">
        <w:t xml:space="preserve">in </w:t>
      </w:r>
      <w:r w:rsidR="00085515" w:rsidRPr="00113F82">
        <w:t xml:space="preserve">the </w:t>
      </w:r>
      <w:r w:rsidRPr="00113F82">
        <w:t>TIPS-</w:t>
      </w:r>
      <w:r w:rsidRPr="00113F82">
        <w:rPr>
          <w:vertAlign w:val="superscript"/>
        </w:rPr>
        <w:t>125</w:t>
      </w:r>
      <w:r w:rsidRPr="00113F82">
        <w:t>I group</w:t>
      </w:r>
      <w:r w:rsidR="00B23B2D" w:rsidRPr="00113F82">
        <w:t xml:space="preserve">, whereas those in the TIPS only group were </w:t>
      </w:r>
      <w:r w:rsidRPr="00113F82">
        <w:t>64.4%</w:t>
      </w:r>
      <w:r w:rsidR="00B23B2D" w:rsidRPr="00113F82">
        <w:rPr>
          <w:rFonts w:eastAsia="宋体" w:cs="宋体"/>
          <w:lang w:eastAsia="zh-CN"/>
        </w:rPr>
        <w:t>,</w:t>
      </w:r>
      <w:r w:rsidR="00085515" w:rsidRPr="00113F82">
        <w:rPr>
          <w:rFonts w:eastAsia="宋体" w:cs="宋体"/>
          <w:lang w:eastAsia="zh-CN"/>
        </w:rPr>
        <w:t xml:space="preserve"> </w:t>
      </w:r>
      <w:r w:rsidRPr="00113F82">
        <w:t>24.4%</w:t>
      </w:r>
      <w:r w:rsidR="00B23B2D" w:rsidRPr="00113F82">
        <w:t>,</w:t>
      </w:r>
      <w:r w:rsidR="00E12C47" w:rsidRPr="00113F82">
        <w:t xml:space="preserve"> </w:t>
      </w:r>
      <w:r w:rsidR="00B23B2D" w:rsidRPr="00113F82">
        <w:t xml:space="preserve">and </w:t>
      </w:r>
      <w:r w:rsidRPr="00113F82">
        <w:t>4.4%</w:t>
      </w:r>
      <w:r w:rsidR="00B23B2D" w:rsidRPr="00113F82">
        <w:t>, respectively</w:t>
      </w:r>
      <w:r w:rsidR="00B23B2D" w:rsidRPr="00113F82" w:rsidDel="00B23B2D">
        <w:t xml:space="preserve"> </w:t>
      </w:r>
      <w:r w:rsidR="0061183E" w:rsidRPr="00113F82">
        <w:t>(</w:t>
      </w:r>
      <w:r w:rsidR="0061183E" w:rsidRPr="00113F82">
        <w:rPr>
          <w:i/>
        </w:rPr>
        <w:t>P</w:t>
      </w:r>
      <w:r w:rsidR="00085515" w:rsidRPr="00113F82">
        <w:rPr>
          <w:rFonts w:eastAsia="宋体" w:cs="宋体"/>
        </w:rPr>
        <w:t xml:space="preserve"> &lt; </w:t>
      </w:r>
      <w:r w:rsidR="0061183E" w:rsidRPr="00113F82">
        <w:t>0.05)</w:t>
      </w:r>
      <w:r w:rsidRPr="00113F82">
        <w:t xml:space="preserve">. The rates of symptom recurrence </w:t>
      </w:r>
      <w:r w:rsidR="00B23B2D" w:rsidRPr="00113F82">
        <w:t>were 7.5%</w:t>
      </w:r>
      <w:r w:rsidR="00B23B2D" w:rsidRPr="00113F82">
        <w:rPr>
          <w:rFonts w:eastAsia="宋体" w:cs="宋体"/>
          <w:lang w:eastAsia="zh-CN"/>
        </w:rPr>
        <w:t>,</w:t>
      </w:r>
      <w:r w:rsidR="00085515" w:rsidRPr="00113F82">
        <w:rPr>
          <w:rFonts w:eastAsia="宋体" w:cs="宋体"/>
          <w:lang w:eastAsia="zh-CN"/>
        </w:rPr>
        <w:t xml:space="preserve"> </w:t>
      </w:r>
      <w:r w:rsidR="00B23B2D" w:rsidRPr="00113F82">
        <w:t>22.5%,</w:t>
      </w:r>
      <w:r w:rsidR="00E12C47" w:rsidRPr="00113F82">
        <w:t xml:space="preserve"> </w:t>
      </w:r>
      <w:r w:rsidR="00B23B2D" w:rsidRPr="00113F82">
        <w:t xml:space="preserve">and 35%, respectively, </w:t>
      </w:r>
      <w:r w:rsidRPr="00113F82">
        <w:t xml:space="preserve">in </w:t>
      </w:r>
      <w:r w:rsidR="00085515" w:rsidRPr="00113F82">
        <w:t xml:space="preserve">the </w:t>
      </w:r>
      <w:r w:rsidRPr="00113F82">
        <w:t>TIPS-</w:t>
      </w:r>
      <w:r w:rsidRPr="00113F82">
        <w:rPr>
          <w:vertAlign w:val="superscript"/>
        </w:rPr>
        <w:t>125</w:t>
      </w:r>
      <w:r w:rsidRPr="00113F82">
        <w:t>I group</w:t>
      </w:r>
      <w:r w:rsidR="00B23B2D" w:rsidRPr="00113F82">
        <w:t>,</w:t>
      </w:r>
      <w:r w:rsidRPr="00113F82">
        <w:t xml:space="preserve"> </w:t>
      </w:r>
      <w:r w:rsidR="00B23B2D" w:rsidRPr="00113F82">
        <w:t>whereas those in the TIPS only group were</w:t>
      </w:r>
      <w:r w:rsidRPr="00113F82">
        <w:t xml:space="preserve"> 31.1%</w:t>
      </w:r>
      <w:r w:rsidR="00B23B2D" w:rsidRPr="00113F82">
        <w:rPr>
          <w:rFonts w:eastAsia="宋体" w:cs="宋体"/>
          <w:lang w:eastAsia="zh-CN"/>
        </w:rPr>
        <w:t>,</w:t>
      </w:r>
      <w:r w:rsidR="00085515" w:rsidRPr="00113F82">
        <w:rPr>
          <w:rFonts w:eastAsia="宋体" w:cs="宋体"/>
          <w:lang w:eastAsia="zh-CN"/>
        </w:rPr>
        <w:t xml:space="preserve"> </w:t>
      </w:r>
      <w:r w:rsidRPr="00113F82">
        <w:t>62.2%</w:t>
      </w:r>
      <w:r w:rsidR="00B23B2D" w:rsidRPr="00113F82">
        <w:t>,</w:t>
      </w:r>
      <w:r w:rsidR="00E12C47" w:rsidRPr="00113F82">
        <w:t xml:space="preserve"> </w:t>
      </w:r>
      <w:r w:rsidR="00B23B2D" w:rsidRPr="00113F82">
        <w:t xml:space="preserve">and </w:t>
      </w:r>
      <w:r w:rsidRPr="00113F82">
        <w:t xml:space="preserve">82.2% </w:t>
      </w:r>
      <w:r w:rsidR="0061183E" w:rsidRPr="00113F82">
        <w:t>(</w:t>
      </w:r>
      <w:r w:rsidR="0061183E" w:rsidRPr="00113F82">
        <w:rPr>
          <w:i/>
        </w:rPr>
        <w:t>P</w:t>
      </w:r>
      <w:r w:rsidR="00085515" w:rsidRPr="00113F82">
        <w:rPr>
          <w:rFonts w:eastAsia="宋体" w:cs="宋体"/>
        </w:rPr>
        <w:t xml:space="preserve"> &lt; </w:t>
      </w:r>
      <w:r w:rsidR="0061183E" w:rsidRPr="00113F82">
        <w:t>0.05)</w:t>
      </w:r>
      <w:r w:rsidRPr="00113F82">
        <w:t>. The rates of stent restenosis were 12.5%</w:t>
      </w:r>
      <w:r w:rsidR="00B23B2D" w:rsidRPr="00113F82">
        <w:rPr>
          <w:rFonts w:eastAsia="宋体" w:cs="宋体"/>
          <w:lang w:eastAsia="zh-CN"/>
        </w:rPr>
        <w:t>,</w:t>
      </w:r>
      <w:r w:rsidR="00085515" w:rsidRPr="00113F82">
        <w:rPr>
          <w:rFonts w:eastAsia="宋体" w:cs="宋体"/>
          <w:lang w:eastAsia="zh-CN"/>
        </w:rPr>
        <w:t xml:space="preserve"> </w:t>
      </w:r>
      <w:r w:rsidRPr="00113F82">
        <w:t>27.5%</w:t>
      </w:r>
      <w:r w:rsidR="00B23B2D" w:rsidRPr="00113F82">
        <w:t>,</w:t>
      </w:r>
      <w:r w:rsidR="00E12C47" w:rsidRPr="00113F82">
        <w:t xml:space="preserve"> </w:t>
      </w:r>
      <w:r w:rsidR="00B23B2D" w:rsidRPr="00113F82">
        <w:t xml:space="preserve">and </w:t>
      </w:r>
      <w:r w:rsidRPr="00113F82">
        <w:t>42.5%</w:t>
      </w:r>
      <w:r w:rsidR="00B23B2D" w:rsidRPr="00113F82">
        <w:t>, respectively,</w:t>
      </w:r>
      <w:r w:rsidRPr="00113F82">
        <w:t xml:space="preserve"> in </w:t>
      </w:r>
      <w:r w:rsidR="00085515" w:rsidRPr="00113F82">
        <w:t xml:space="preserve">the </w:t>
      </w:r>
      <w:r w:rsidRPr="00113F82">
        <w:t>TIPS-</w:t>
      </w:r>
      <w:r w:rsidRPr="00113F82">
        <w:rPr>
          <w:vertAlign w:val="superscript"/>
        </w:rPr>
        <w:t>125</w:t>
      </w:r>
      <w:r w:rsidRPr="00113F82">
        <w:t>I group</w:t>
      </w:r>
      <w:r w:rsidR="00B23B2D" w:rsidRPr="00113F82">
        <w:t xml:space="preserve">, </w:t>
      </w:r>
      <w:r w:rsidR="00CC6022" w:rsidRPr="00113F82">
        <w:rPr>
          <w:rFonts w:eastAsiaTheme="minorEastAsia"/>
          <w:lang w:eastAsia="zh-CN"/>
        </w:rPr>
        <w:t>and</w:t>
      </w:r>
      <w:r w:rsidR="00B23B2D" w:rsidRPr="00113F82">
        <w:t xml:space="preserve"> </w:t>
      </w:r>
      <w:r w:rsidRPr="00113F82">
        <w:t>42.2%</w:t>
      </w:r>
      <w:r w:rsidR="00B23B2D" w:rsidRPr="00113F82">
        <w:rPr>
          <w:rFonts w:eastAsia="宋体" w:cs="宋体"/>
          <w:lang w:eastAsia="zh-CN"/>
        </w:rPr>
        <w:t>,</w:t>
      </w:r>
      <w:r w:rsidR="00085515" w:rsidRPr="00113F82">
        <w:rPr>
          <w:rFonts w:eastAsia="宋体" w:cs="宋体"/>
          <w:lang w:eastAsia="zh-CN"/>
        </w:rPr>
        <w:t xml:space="preserve"> </w:t>
      </w:r>
      <w:r w:rsidRPr="00113F82">
        <w:t>68.9%</w:t>
      </w:r>
      <w:r w:rsidR="00B23B2D" w:rsidRPr="00113F82">
        <w:t>,</w:t>
      </w:r>
      <w:r w:rsidR="00E12C47" w:rsidRPr="00113F82">
        <w:t xml:space="preserve"> </w:t>
      </w:r>
      <w:r w:rsidR="00B23B2D" w:rsidRPr="00113F82">
        <w:t xml:space="preserve">and </w:t>
      </w:r>
      <w:r w:rsidRPr="00113F82">
        <w:t>84.4%</w:t>
      </w:r>
      <w:r w:rsidR="00B23B2D" w:rsidRPr="00113F82">
        <w:t>, respectively</w:t>
      </w:r>
      <w:r w:rsidR="00CC6022" w:rsidRPr="00113F82">
        <w:rPr>
          <w:rFonts w:eastAsiaTheme="minorEastAsia"/>
          <w:lang w:eastAsia="zh-CN"/>
        </w:rPr>
        <w:t>,</w:t>
      </w:r>
      <w:r w:rsidR="00CC6022" w:rsidRPr="00113F82">
        <w:t xml:space="preserve"> in the TIPS only group</w:t>
      </w:r>
      <w:r w:rsidR="00085515" w:rsidRPr="00113F82">
        <w:t xml:space="preserve"> </w:t>
      </w:r>
      <w:r w:rsidR="0061183E" w:rsidRPr="00113F82">
        <w:t>(</w:t>
      </w:r>
      <w:r w:rsidR="0061183E" w:rsidRPr="00113F82">
        <w:rPr>
          <w:i/>
        </w:rPr>
        <w:t>P</w:t>
      </w:r>
      <w:r w:rsidR="00085515" w:rsidRPr="00113F82">
        <w:rPr>
          <w:rFonts w:eastAsia="宋体" w:cs="宋体"/>
        </w:rPr>
        <w:t xml:space="preserve"> &lt; </w:t>
      </w:r>
      <w:r w:rsidR="0061183E" w:rsidRPr="00113F82">
        <w:t>0.05)</w:t>
      </w:r>
      <w:r w:rsidRPr="00113F82">
        <w:t>.</w:t>
      </w:r>
      <w:r w:rsidR="0061183E" w:rsidRPr="00113F82">
        <w:t xml:space="preserve"> TIPS-</w:t>
      </w:r>
      <w:r w:rsidR="0061183E" w:rsidRPr="00113F82">
        <w:rPr>
          <w:vertAlign w:val="superscript"/>
        </w:rPr>
        <w:t>125</w:t>
      </w:r>
      <w:r w:rsidR="0061183E" w:rsidRPr="00113F82">
        <w:t xml:space="preserve">I </w:t>
      </w:r>
      <w:r w:rsidR="00085515" w:rsidRPr="00113F82">
        <w:t>was found to be</w:t>
      </w:r>
      <w:r w:rsidR="0061183E" w:rsidRPr="00113F82">
        <w:t xml:space="preserve"> significantly favorable in treating </w:t>
      </w:r>
      <w:r w:rsidR="00E12C47" w:rsidRPr="00113F82">
        <w:t>MPVTT</w:t>
      </w:r>
      <w:r w:rsidR="0061183E" w:rsidRPr="00113F82">
        <w:t xml:space="preserve"> </w:t>
      </w:r>
      <w:r w:rsidR="00085515" w:rsidRPr="00113F82">
        <w:t>and its complications</w:t>
      </w:r>
      <w:r w:rsidR="00085515" w:rsidRPr="00113F82" w:rsidDel="00085515">
        <w:t xml:space="preserve"> </w:t>
      </w:r>
      <w:r w:rsidR="00085515" w:rsidRPr="00113F82">
        <w:t xml:space="preserve">in patients with </w:t>
      </w:r>
      <w:r w:rsidR="00085515" w:rsidRPr="00113F82">
        <w:lastRenderedPageBreak/>
        <w:t>HCC</w:t>
      </w:r>
      <w:r w:rsidR="0061183E" w:rsidRPr="00113F82">
        <w:t>.</w:t>
      </w:r>
    </w:p>
    <w:p w14:paraId="09A97412" w14:textId="77777777" w:rsidR="001314BE" w:rsidRPr="00113F82" w:rsidRDefault="001314BE" w:rsidP="00E107FC">
      <w:pPr>
        <w:spacing w:line="360" w:lineRule="auto"/>
        <w:jc w:val="both"/>
        <w:rPr>
          <w:rFonts w:ascii="Book Antiqua" w:eastAsia="Book Antiqua" w:hAnsi="Book Antiqua" w:cs="Book Antiqua"/>
          <w:sz w:val="24"/>
          <w:szCs w:val="24"/>
        </w:rPr>
      </w:pPr>
    </w:p>
    <w:p w14:paraId="44D699C0" w14:textId="77777777" w:rsidR="001314BE" w:rsidRPr="00113F82" w:rsidRDefault="002D2919" w:rsidP="00E107FC">
      <w:pPr>
        <w:pStyle w:val="2"/>
        <w:spacing w:line="360" w:lineRule="auto"/>
        <w:ind w:left="0"/>
        <w:jc w:val="both"/>
        <w:rPr>
          <w:b w:val="0"/>
          <w:bCs w:val="0"/>
          <w:i w:val="0"/>
        </w:rPr>
      </w:pPr>
      <w:r w:rsidRPr="00113F82">
        <w:t>CONCLUSION</w:t>
      </w:r>
    </w:p>
    <w:p w14:paraId="77D531F7" w14:textId="778F83DB" w:rsidR="001314BE" w:rsidRPr="00113F82" w:rsidRDefault="00213935" w:rsidP="00E107FC">
      <w:pPr>
        <w:pStyle w:val="a3"/>
        <w:spacing w:line="360" w:lineRule="auto"/>
        <w:ind w:left="0"/>
        <w:jc w:val="both"/>
      </w:pPr>
      <w:r w:rsidRPr="00113F82">
        <w:t>TACE/TAE+</w:t>
      </w:r>
      <w:r w:rsidRPr="00113F82">
        <w:rPr>
          <w:vertAlign w:val="superscript"/>
        </w:rPr>
        <w:t>125</w:t>
      </w:r>
      <w:r w:rsidRPr="00113F82">
        <w:t xml:space="preserve">I combined with TIPS is effective in treating </w:t>
      </w:r>
      <w:r w:rsidR="00AB7EF5" w:rsidRPr="00113F82">
        <w:t>MPVTT</w:t>
      </w:r>
      <w:r w:rsidRPr="00113F82">
        <w:t xml:space="preserve"> and </w:t>
      </w:r>
      <w:r w:rsidR="00CD50A2" w:rsidRPr="00113F82">
        <w:t xml:space="preserve">its </w:t>
      </w:r>
      <w:r w:rsidRPr="00113F82">
        <w:t>complications, improving quality of life of patients and reducing mortality.</w:t>
      </w:r>
    </w:p>
    <w:p w14:paraId="639A6AC8" w14:textId="77777777" w:rsidR="001D189D" w:rsidRPr="00113F82" w:rsidRDefault="001D189D" w:rsidP="00E107FC">
      <w:pPr>
        <w:spacing w:line="360" w:lineRule="auto"/>
        <w:jc w:val="both"/>
        <w:rPr>
          <w:rFonts w:ascii="Book Antiqua" w:hAnsi="Book Antiqua"/>
          <w:b/>
          <w:sz w:val="24"/>
          <w:szCs w:val="24"/>
          <w:lang w:eastAsia="zh-CN"/>
        </w:rPr>
      </w:pPr>
    </w:p>
    <w:p w14:paraId="502A40BC" w14:textId="69C83AEC" w:rsidR="001314BE" w:rsidRPr="00113F82" w:rsidRDefault="002D2919" w:rsidP="00E107FC">
      <w:pPr>
        <w:spacing w:line="360" w:lineRule="auto"/>
        <w:jc w:val="both"/>
        <w:rPr>
          <w:rFonts w:ascii="Book Antiqua" w:eastAsia="Book Antiqua" w:hAnsi="Book Antiqua" w:cs="Book Antiqua"/>
          <w:sz w:val="24"/>
          <w:szCs w:val="24"/>
        </w:rPr>
      </w:pPr>
      <w:r w:rsidRPr="00113F82">
        <w:rPr>
          <w:rFonts w:ascii="Book Antiqua" w:hAnsi="Book Antiqua"/>
          <w:b/>
          <w:sz w:val="24"/>
          <w:szCs w:val="24"/>
        </w:rPr>
        <w:t>Key words</w:t>
      </w:r>
      <w:r w:rsidRPr="00113F82">
        <w:rPr>
          <w:rFonts w:ascii="Book Antiqua" w:hAnsi="Book Antiqua"/>
          <w:sz w:val="24"/>
          <w:szCs w:val="24"/>
        </w:rPr>
        <w:t xml:space="preserve">: </w:t>
      </w:r>
      <w:r w:rsidR="003B7C80" w:rsidRPr="00113F82">
        <w:rPr>
          <w:rFonts w:ascii="Book Antiqua" w:hAnsi="Book Antiqua"/>
          <w:sz w:val="24"/>
          <w:szCs w:val="24"/>
        </w:rPr>
        <w:t>Iodine-125; Transjugular intrahepatic portosystemic shunt; Main portal vein tumor thrombus; Metastasis; Portal hypertension</w:t>
      </w:r>
    </w:p>
    <w:p w14:paraId="477C48B9" w14:textId="77777777" w:rsidR="00CD50A2" w:rsidRPr="00113F82" w:rsidRDefault="00CD50A2" w:rsidP="00E107FC">
      <w:pPr>
        <w:pStyle w:val="1"/>
        <w:spacing w:line="360" w:lineRule="auto"/>
        <w:ind w:left="0"/>
        <w:jc w:val="both"/>
        <w:rPr>
          <w:rFonts w:eastAsiaTheme="minorEastAsia"/>
          <w:lang w:eastAsia="zh-CN"/>
        </w:rPr>
      </w:pPr>
    </w:p>
    <w:p w14:paraId="1B6D115A" w14:textId="77777777" w:rsidR="00E107FC" w:rsidRPr="00113F82" w:rsidRDefault="00E107FC" w:rsidP="00E107FC">
      <w:pPr>
        <w:spacing w:line="360" w:lineRule="auto"/>
        <w:jc w:val="both"/>
        <w:rPr>
          <w:rFonts w:ascii="Book Antiqua" w:hAnsi="Book Antiqua" w:cs="Arial"/>
          <w:sz w:val="24"/>
          <w:szCs w:val="24"/>
        </w:rPr>
      </w:pPr>
      <w:r w:rsidRPr="00113F82">
        <w:rPr>
          <w:rFonts w:ascii="Book Antiqua" w:hAnsi="Book Antiqua"/>
          <w:b/>
          <w:sz w:val="24"/>
          <w:szCs w:val="24"/>
        </w:rPr>
        <w:t xml:space="preserve">© </w:t>
      </w:r>
      <w:r w:rsidRPr="00113F82">
        <w:rPr>
          <w:rFonts w:ascii="Book Antiqua" w:hAnsi="Book Antiqua" w:cs="Arial"/>
          <w:b/>
          <w:sz w:val="24"/>
          <w:szCs w:val="24"/>
        </w:rPr>
        <w:t>The Author(s) 2019.</w:t>
      </w:r>
      <w:r w:rsidRPr="00113F82">
        <w:rPr>
          <w:rFonts w:ascii="Book Antiqua" w:hAnsi="Book Antiqua" w:cs="Arial"/>
          <w:sz w:val="24"/>
          <w:szCs w:val="24"/>
        </w:rPr>
        <w:t xml:space="preserve"> Published by Baishideng Publishing Group Inc. All rights reserved.</w:t>
      </w:r>
    </w:p>
    <w:p w14:paraId="2F020CB4" w14:textId="77777777" w:rsidR="00E107FC" w:rsidRPr="00113F82" w:rsidRDefault="00E107FC" w:rsidP="00E107FC">
      <w:pPr>
        <w:pStyle w:val="1"/>
        <w:spacing w:line="360" w:lineRule="auto"/>
        <w:ind w:left="0"/>
        <w:jc w:val="both"/>
        <w:rPr>
          <w:rFonts w:eastAsiaTheme="minorEastAsia"/>
          <w:lang w:eastAsia="zh-CN"/>
        </w:rPr>
      </w:pPr>
    </w:p>
    <w:p w14:paraId="15AE2257" w14:textId="14DA932B" w:rsidR="001314BE" w:rsidRPr="00113F82" w:rsidRDefault="002D2919" w:rsidP="00E107FC">
      <w:pPr>
        <w:pStyle w:val="a3"/>
        <w:spacing w:line="360" w:lineRule="auto"/>
        <w:ind w:left="0"/>
        <w:jc w:val="both"/>
        <w:rPr>
          <w:rFonts w:eastAsiaTheme="minorEastAsia"/>
          <w:bCs/>
          <w:lang w:eastAsia="zh-CN"/>
        </w:rPr>
      </w:pPr>
      <w:r w:rsidRPr="00113F82">
        <w:rPr>
          <w:b/>
        </w:rPr>
        <w:t>Core</w:t>
      </w:r>
      <w:r w:rsidRPr="00113F82">
        <w:rPr>
          <w:b/>
          <w:spacing w:val="-5"/>
        </w:rPr>
        <w:t xml:space="preserve"> </w:t>
      </w:r>
      <w:r w:rsidRPr="00113F82">
        <w:rPr>
          <w:b/>
        </w:rPr>
        <w:t>tip</w:t>
      </w:r>
      <w:r w:rsidR="00E107FC" w:rsidRPr="00113F82">
        <w:rPr>
          <w:rFonts w:eastAsiaTheme="minorEastAsia"/>
          <w:b/>
          <w:lang w:eastAsia="zh-CN"/>
        </w:rPr>
        <w:t>:</w:t>
      </w:r>
      <w:r w:rsidR="00FF4DDC" w:rsidRPr="00113F82">
        <w:rPr>
          <w:rFonts w:eastAsiaTheme="minorEastAsia"/>
          <w:bCs/>
          <w:lang w:eastAsia="zh-CN"/>
        </w:rPr>
        <w:t xml:space="preserve"> </w:t>
      </w:r>
      <w:r w:rsidR="003474D9" w:rsidRPr="00113F82">
        <w:rPr>
          <w:rFonts w:cs="Book Antiqua"/>
          <w:vertAlign w:val="superscript"/>
        </w:rPr>
        <w:t>125</w:t>
      </w:r>
      <w:r w:rsidR="003474D9" w:rsidRPr="00113F82">
        <w:rPr>
          <w:rFonts w:cs="Book Antiqua"/>
        </w:rPr>
        <w:t xml:space="preserve">I implantation combined with </w:t>
      </w:r>
      <w:r w:rsidR="00CD50A2" w:rsidRPr="00113F82">
        <w:rPr>
          <w:rFonts w:cs="Book Antiqua"/>
        </w:rPr>
        <w:t>transjugular intrahepatic portosystemic shunt (</w:t>
      </w:r>
      <w:r w:rsidR="003474D9" w:rsidRPr="00113F82">
        <w:rPr>
          <w:rFonts w:cs="Book Antiqua"/>
        </w:rPr>
        <w:t>TIPS</w:t>
      </w:r>
      <w:r w:rsidR="00CD50A2" w:rsidRPr="00113F82">
        <w:rPr>
          <w:rFonts w:cs="Book Antiqua"/>
        </w:rPr>
        <w:t>)</w:t>
      </w:r>
      <w:r w:rsidR="003474D9" w:rsidRPr="00113F82">
        <w:rPr>
          <w:rFonts w:cs="Book Antiqua"/>
        </w:rPr>
        <w:t xml:space="preserve"> </w:t>
      </w:r>
      <w:r w:rsidR="00CD50A2" w:rsidRPr="00113F82">
        <w:rPr>
          <w:rFonts w:cs="Book Antiqua"/>
        </w:rPr>
        <w:t xml:space="preserve">was used </w:t>
      </w:r>
      <w:r w:rsidR="003474D9" w:rsidRPr="00113F82">
        <w:rPr>
          <w:rFonts w:cs="Book Antiqua"/>
        </w:rPr>
        <w:t>to treat patients with liver cancer and main portal vein tumor thrombus.</w:t>
      </w:r>
      <w:r w:rsidR="00CD50A2" w:rsidRPr="00113F82">
        <w:rPr>
          <w:rFonts w:cs="Book Antiqua"/>
        </w:rPr>
        <w:t xml:space="preserve"> </w:t>
      </w:r>
      <w:bookmarkStart w:id="4" w:name="OLE_LINK11"/>
      <w:r w:rsidR="00BA6375" w:rsidRPr="00113F82">
        <w:rPr>
          <w:rFonts w:cs="Times New Roman"/>
        </w:rPr>
        <w:t xml:space="preserve">This was a </w:t>
      </w:r>
      <w:bookmarkEnd w:id="4"/>
      <w:r w:rsidR="00BA6375" w:rsidRPr="00113F82">
        <w:rPr>
          <w:rFonts w:cs="Book Antiqua"/>
        </w:rPr>
        <w:t>c</w:t>
      </w:r>
      <w:r w:rsidR="003474D9" w:rsidRPr="00113F82">
        <w:rPr>
          <w:rFonts w:cs="Book Antiqua"/>
        </w:rPr>
        <w:t xml:space="preserve">ontrolled study </w:t>
      </w:r>
      <w:r w:rsidR="00BA6375" w:rsidRPr="00113F82">
        <w:rPr>
          <w:rFonts w:cs="Book Antiqua"/>
        </w:rPr>
        <w:t xml:space="preserve">to assess </w:t>
      </w:r>
      <w:r w:rsidR="003474D9" w:rsidRPr="00113F82">
        <w:rPr>
          <w:rFonts w:cs="Book Antiqua"/>
        </w:rPr>
        <w:t xml:space="preserve">the efficacy of </w:t>
      </w:r>
      <w:r w:rsidR="003474D9" w:rsidRPr="00113F82">
        <w:rPr>
          <w:rFonts w:cs="Book Antiqua"/>
          <w:vertAlign w:val="superscript"/>
        </w:rPr>
        <w:t>125</w:t>
      </w:r>
      <w:r w:rsidR="003474D9" w:rsidRPr="00113F82">
        <w:rPr>
          <w:rFonts w:cs="Book Antiqua"/>
        </w:rPr>
        <w:t>I implantation combined with TIPS.</w:t>
      </w:r>
      <w:r w:rsidR="00CD50A2" w:rsidRPr="00113F82">
        <w:rPr>
          <w:rFonts w:cs="Book Antiqua"/>
        </w:rPr>
        <w:t xml:space="preserve"> Transarterial chemoembolization</w:t>
      </w:r>
      <w:r w:rsidR="0059054F" w:rsidRPr="00113F82">
        <w:rPr>
          <w:rFonts w:cs="Book Antiqua"/>
        </w:rPr>
        <w:t>/</w:t>
      </w:r>
      <w:r w:rsidR="00CD50A2" w:rsidRPr="00113F82">
        <w:rPr>
          <w:rFonts w:cs="Book Antiqua"/>
        </w:rPr>
        <w:t xml:space="preserve">transarterial embolization </w:t>
      </w:r>
      <w:r w:rsidR="00BA6375" w:rsidRPr="00113F82">
        <w:rPr>
          <w:rFonts w:cs="Book Antiqua"/>
        </w:rPr>
        <w:t xml:space="preserve">plus </w:t>
      </w:r>
      <w:r w:rsidR="0059054F" w:rsidRPr="00113F82">
        <w:rPr>
          <w:rFonts w:cs="Book Antiqua"/>
          <w:vertAlign w:val="superscript"/>
        </w:rPr>
        <w:t>125</w:t>
      </w:r>
      <w:r w:rsidR="0059054F" w:rsidRPr="00113F82">
        <w:rPr>
          <w:rFonts w:cs="Book Antiqua"/>
        </w:rPr>
        <w:t xml:space="preserve">I combined with TIPS </w:t>
      </w:r>
      <w:r w:rsidR="00CD50A2" w:rsidRPr="00113F82">
        <w:rPr>
          <w:rFonts w:cs="Book Antiqua"/>
        </w:rPr>
        <w:t xml:space="preserve">was </w:t>
      </w:r>
      <w:r w:rsidR="0059054F" w:rsidRPr="00113F82">
        <w:rPr>
          <w:rFonts w:cs="Book Antiqua"/>
        </w:rPr>
        <w:t xml:space="preserve">effective in treating portal vein trunk tumor </w:t>
      </w:r>
      <w:r w:rsidR="00CD50A2" w:rsidRPr="00113F82">
        <w:rPr>
          <w:rFonts w:cs="Book Antiqua"/>
        </w:rPr>
        <w:t xml:space="preserve">thrombus </w:t>
      </w:r>
      <w:r w:rsidR="0059054F" w:rsidRPr="00113F82">
        <w:rPr>
          <w:rFonts w:cs="Book Antiqua"/>
        </w:rPr>
        <w:t xml:space="preserve">and </w:t>
      </w:r>
      <w:r w:rsidR="00CD50A2" w:rsidRPr="00113F82">
        <w:rPr>
          <w:rFonts w:cs="Book Antiqua"/>
        </w:rPr>
        <w:t xml:space="preserve">its </w:t>
      </w:r>
      <w:r w:rsidR="0059054F" w:rsidRPr="00113F82">
        <w:rPr>
          <w:rFonts w:cs="Book Antiqua"/>
        </w:rPr>
        <w:t>complications, improving quality of life of patients, and reducing mortality.</w:t>
      </w:r>
      <w:r w:rsidR="00CD50A2" w:rsidRPr="00113F82">
        <w:rPr>
          <w:rFonts w:cs="Book Antiqua"/>
        </w:rPr>
        <w:t xml:space="preserve"> </w:t>
      </w:r>
    </w:p>
    <w:p w14:paraId="4B5001AF" w14:textId="77777777" w:rsidR="00E107FC" w:rsidRPr="00113F82" w:rsidRDefault="00E107FC" w:rsidP="00E107FC">
      <w:pPr>
        <w:spacing w:line="360" w:lineRule="auto"/>
        <w:jc w:val="both"/>
        <w:rPr>
          <w:rFonts w:ascii="Book Antiqua" w:hAnsi="Book Antiqua" w:cs="Book Antiqua"/>
          <w:sz w:val="24"/>
          <w:szCs w:val="24"/>
          <w:lang w:eastAsia="zh-CN"/>
        </w:rPr>
      </w:pPr>
    </w:p>
    <w:p w14:paraId="42047972" w14:textId="5652AF8D" w:rsidR="0030502E" w:rsidRPr="00113F82" w:rsidRDefault="0030502E" w:rsidP="0030502E">
      <w:pPr>
        <w:pStyle w:val="1"/>
        <w:spacing w:line="360" w:lineRule="auto"/>
        <w:jc w:val="both"/>
        <w:rPr>
          <w:rFonts w:eastAsiaTheme="minorEastAsia" w:cs="Times New Roman"/>
          <w:b w:val="0"/>
          <w:lang w:eastAsia="zh-CN"/>
        </w:rPr>
      </w:pPr>
      <w:r w:rsidRPr="00113F82">
        <w:t xml:space="preserve">Citation: </w:t>
      </w:r>
      <w:r w:rsidR="00E107FC" w:rsidRPr="00113F82">
        <w:rPr>
          <w:b w:val="0"/>
        </w:rPr>
        <w:t>Zhang</w:t>
      </w:r>
      <w:r w:rsidR="00E107FC" w:rsidRPr="00113F82">
        <w:rPr>
          <w:rFonts w:eastAsiaTheme="minorEastAsia"/>
          <w:b w:val="0"/>
          <w:lang w:eastAsia="zh-CN"/>
        </w:rPr>
        <w:t xml:space="preserve"> Y</w:t>
      </w:r>
      <w:r w:rsidR="00E107FC" w:rsidRPr="00113F82">
        <w:rPr>
          <w:b w:val="0"/>
        </w:rPr>
        <w:t>, Wu</w:t>
      </w:r>
      <w:r w:rsidR="00E107FC" w:rsidRPr="00113F82">
        <w:rPr>
          <w:rFonts w:eastAsiaTheme="minorEastAsia"/>
          <w:b w:val="0"/>
          <w:lang w:eastAsia="zh-CN"/>
        </w:rPr>
        <w:t xml:space="preserve"> YF</w:t>
      </w:r>
      <w:r w:rsidR="00E107FC" w:rsidRPr="00113F82">
        <w:rPr>
          <w:b w:val="0"/>
        </w:rPr>
        <w:t xml:space="preserve">, </w:t>
      </w:r>
      <w:r w:rsidR="00E107FC" w:rsidRPr="00113F82">
        <w:rPr>
          <w:rFonts w:cs="Times New Roman"/>
          <w:b w:val="0"/>
        </w:rPr>
        <w:t>Yue</w:t>
      </w:r>
      <w:r w:rsidR="00E107FC" w:rsidRPr="00113F82">
        <w:rPr>
          <w:rFonts w:eastAsiaTheme="minorEastAsia" w:cs="Times New Roman"/>
          <w:b w:val="0"/>
          <w:lang w:eastAsia="zh-CN"/>
        </w:rPr>
        <w:t xml:space="preserve"> ZD</w:t>
      </w:r>
      <w:r w:rsidR="00E107FC" w:rsidRPr="00113F82">
        <w:rPr>
          <w:rFonts w:cs="Times New Roman"/>
          <w:b w:val="0"/>
        </w:rPr>
        <w:t>, Zhao</w:t>
      </w:r>
      <w:r w:rsidR="00E107FC" w:rsidRPr="00113F82">
        <w:rPr>
          <w:rFonts w:eastAsiaTheme="minorEastAsia" w:cs="Times New Roman"/>
          <w:b w:val="0"/>
          <w:lang w:eastAsia="zh-CN"/>
        </w:rPr>
        <w:t xml:space="preserve"> HW</w:t>
      </w:r>
      <w:r w:rsidR="00E107FC" w:rsidRPr="00113F82">
        <w:rPr>
          <w:rFonts w:cs="Times New Roman"/>
          <w:b w:val="0"/>
        </w:rPr>
        <w:t>, Wang</w:t>
      </w:r>
      <w:r w:rsidR="00E107FC" w:rsidRPr="00113F82">
        <w:rPr>
          <w:rFonts w:eastAsiaTheme="minorEastAsia" w:cs="Times New Roman"/>
          <w:b w:val="0"/>
          <w:lang w:eastAsia="zh-CN"/>
        </w:rPr>
        <w:t xml:space="preserve"> L</w:t>
      </w:r>
      <w:r w:rsidR="00E107FC" w:rsidRPr="00113F82">
        <w:rPr>
          <w:rFonts w:cs="Times New Roman"/>
          <w:b w:val="0"/>
        </w:rPr>
        <w:t>, Fan</w:t>
      </w:r>
      <w:r w:rsidR="00E107FC" w:rsidRPr="00113F82">
        <w:rPr>
          <w:rFonts w:eastAsiaTheme="minorEastAsia" w:cs="Times New Roman"/>
          <w:b w:val="0"/>
          <w:lang w:eastAsia="zh-CN"/>
        </w:rPr>
        <w:t xml:space="preserve"> ZH</w:t>
      </w:r>
      <w:r w:rsidR="00E107FC" w:rsidRPr="00113F82">
        <w:rPr>
          <w:rFonts w:cs="Times New Roman"/>
          <w:b w:val="0"/>
        </w:rPr>
        <w:t>, He</w:t>
      </w:r>
      <w:r w:rsidR="00E107FC" w:rsidRPr="00113F82">
        <w:rPr>
          <w:rFonts w:eastAsiaTheme="minorEastAsia" w:cs="Times New Roman"/>
          <w:b w:val="0"/>
          <w:lang w:eastAsia="zh-CN"/>
        </w:rPr>
        <w:t xml:space="preserve"> FL</w:t>
      </w:r>
      <w:r w:rsidR="00E107FC" w:rsidRPr="00113F82">
        <w:rPr>
          <w:rFonts w:cs="Times New Roman"/>
          <w:b w:val="0"/>
        </w:rPr>
        <w:t>, Wang</w:t>
      </w:r>
      <w:r w:rsidR="00E107FC" w:rsidRPr="00113F82">
        <w:rPr>
          <w:rFonts w:eastAsiaTheme="minorEastAsia" w:cs="Times New Roman"/>
          <w:b w:val="0"/>
          <w:lang w:eastAsia="zh-CN"/>
        </w:rPr>
        <w:t xml:space="preserve"> T</w:t>
      </w:r>
      <w:r w:rsidR="00E107FC" w:rsidRPr="00113F82">
        <w:rPr>
          <w:rFonts w:cs="Times New Roman"/>
          <w:b w:val="0"/>
        </w:rPr>
        <w:t>,</w:t>
      </w:r>
      <w:r w:rsidR="00E107FC" w:rsidRPr="00113F82">
        <w:rPr>
          <w:b w:val="0"/>
        </w:rPr>
        <w:t xml:space="preserve"> </w:t>
      </w:r>
      <w:r w:rsidR="00E107FC" w:rsidRPr="00113F82">
        <w:rPr>
          <w:rFonts w:cs="Times New Roman"/>
          <w:b w:val="0"/>
        </w:rPr>
        <w:t>Liu</w:t>
      </w:r>
      <w:r w:rsidR="00E107FC" w:rsidRPr="00113F82">
        <w:rPr>
          <w:rFonts w:eastAsiaTheme="minorEastAsia" w:cs="Times New Roman"/>
          <w:b w:val="0"/>
          <w:lang w:eastAsia="zh-CN"/>
        </w:rPr>
        <w:t xml:space="preserve"> FQ.</w:t>
      </w:r>
      <w:r w:rsidR="00E107FC" w:rsidRPr="00113F82">
        <w:rPr>
          <w:rFonts w:eastAsiaTheme="minorEastAsia" w:cs="宋体"/>
          <w:b w:val="0"/>
          <w:bCs w:val="0"/>
          <w:lang w:eastAsia="zh-CN"/>
        </w:rPr>
        <w:t xml:space="preserve"> </w:t>
      </w:r>
      <w:r w:rsidR="00E107FC" w:rsidRPr="00113F82">
        <w:rPr>
          <w:b w:val="0"/>
        </w:rPr>
        <w:t xml:space="preserve">Iodine-125 implantation with transjugular intrahepatic portosystemic </w:t>
      </w:r>
      <w:r w:rsidR="00E107FC" w:rsidRPr="00113F82">
        <w:rPr>
          <w:rFonts w:eastAsiaTheme="minorEastAsia" w:cs="Times New Roman"/>
          <w:b w:val="0"/>
          <w:lang w:eastAsia="zh-CN"/>
        </w:rPr>
        <w:t xml:space="preserve">shunt for main portal vein tumor thrombus. </w:t>
      </w:r>
      <w:r w:rsidR="00E107FC" w:rsidRPr="00113F82">
        <w:rPr>
          <w:rFonts w:eastAsiaTheme="minorEastAsia" w:cs="Times New Roman"/>
          <w:b w:val="0"/>
          <w:i/>
          <w:lang w:eastAsia="zh-CN"/>
        </w:rPr>
        <w:t>World J Gastrointest Oncol</w:t>
      </w:r>
      <w:r w:rsidR="00E107FC" w:rsidRPr="00113F82">
        <w:rPr>
          <w:rFonts w:eastAsiaTheme="minorEastAsia" w:cs="Times New Roman"/>
          <w:b w:val="0"/>
          <w:lang w:eastAsia="zh-CN"/>
        </w:rPr>
        <w:t xml:space="preserve"> </w:t>
      </w:r>
      <w:r w:rsidRPr="00113F82">
        <w:rPr>
          <w:rFonts w:eastAsiaTheme="minorEastAsia" w:cs="Times New Roman"/>
          <w:b w:val="0"/>
          <w:lang w:eastAsia="zh-CN"/>
        </w:rPr>
        <w:t xml:space="preserve">2019; 11(4): </w:t>
      </w:r>
      <w:r w:rsidRPr="00113F82">
        <w:rPr>
          <w:rFonts w:eastAsiaTheme="minorEastAsia" w:cs="Times New Roman" w:hint="eastAsia"/>
          <w:b w:val="0"/>
          <w:lang w:eastAsia="zh-CN"/>
        </w:rPr>
        <w:t>310-321</w:t>
      </w:r>
    </w:p>
    <w:p w14:paraId="40B3E18E" w14:textId="77777777" w:rsidR="0030502E" w:rsidRPr="00113F82" w:rsidRDefault="0030502E" w:rsidP="0030502E">
      <w:pPr>
        <w:pStyle w:val="1"/>
        <w:spacing w:line="360" w:lineRule="auto"/>
        <w:jc w:val="both"/>
        <w:rPr>
          <w:rFonts w:eastAsiaTheme="minorEastAsia" w:cs="Times New Roman"/>
          <w:b w:val="0"/>
          <w:lang w:eastAsia="zh-CN"/>
        </w:rPr>
      </w:pPr>
      <w:r w:rsidRPr="00113F82">
        <w:rPr>
          <w:rFonts w:eastAsiaTheme="minorEastAsia" w:cs="Times New Roman"/>
          <w:lang w:eastAsia="zh-CN"/>
        </w:rPr>
        <w:t xml:space="preserve">URL: </w:t>
      </w:r>
      <w:r w:rsidRPr="00113F82">
        <w:rPr>
          <w:rFonts w:eastAsiaTheme="minorEastAsia" w:cs="Times New Roman"/>
          <w:b w:val="0"/>
          <w:lang w:eastAsia="zh-CN"/>
        </w:rPr>
        <w:t xml:space="preserve">https://www.wjgnet.com/1948-5204/full/v11/i4/310.htm  </w:t>
      </w:r>
    </w:p>
    <w:p w14:paraId="0390DB4F" w14:textId="4FE0E7F1" w:rsidR="00B00A16" w:rsidRPr="00113F82" w:rsidRDefault="0030502E" w:rsidP="0030502E">
      <w:pPr>
        <w:pStyle w:val="1"/>
        <w:spacing w:line="360" w:lineRule="auto"/>
        <w:jc w:val="both"/>
        <w:rPr>
          <w:rFonts w:eastAsiaTheme="minorEastAsia" w:cs="Times New Roman" w:hint="eastAsia"/>
          <w:b w:val="0"/>
          <w:lang w:eastAsia="zh-CN"/>
        </w:rPr>
      </w:pPr>
      <w:r w:rsidRPr="00113F82">
        <w:rPr>
          <w:rFonts w:eastAsiaTheme="minorEastAsia" w:cs="Times New Roman"/>
          <w:lang w:eastAsia="zh-CN"/>
        </w:rPr>
        <w:t xml:space="preserve">DOI: </w:t>
      </w:r>
      <w:r w:rsidRPr="00113F82">
        <w:rPr>
          <w:rFonts w:eastAsiaTheme="minorEastAsia" w:cs="Times New Roman"/>
          <w:b w:val="0"/>
          <w:lang w:eastAsia="zh-CN"/>
        </w:rPr>
        <w:t>https://dx.doi.org/10.4251/wjgo.v11.i4.310</w:t>
      </w:r>
    </w:p>
    <w:p w14:paraId="022EDCD9" w14:textId="77777777" w:rsidR="0030502E" w:rsidRPr="00113F82" w:rsidRDefault="0030502E" w:rsidP="0030502E">
      <w:pPr>
        <w:pStyle w:val="1"/>
        <w:spacing w:line="360" w:lineRule="auto"/>
        <w:jc w:val="both"/>
        <w:rPr>
          <w:rFonts w:eastAsiaTheme="minorEastAsia" w:cs="Times New Roman"/>
          <w:b w:val="0"/>
          <w:lang w:eastAsia="zh-CN"/>
        </w:rPr>
        <w:sectPr w:rsidR="0030502E" w:rsidRPr="00113F82">
          <w:pgSz w:w="11910" w:h="16840"/>
          <w:pgMar w:top="1580" w:right="1580" w:bottom="1280" w:left="1600" w:header="0" w:footer="1084" w:gutter="0"/>
          <w:cols w:space="720"/>
        </w:sectPr>
      </w:pPr>
    </w:p>
    <w:p w14:paraId="3A9A77A9" w14:textId="77777777" w:rsidR="001314BE" w:rsidRPr="00113F82" w:rsidRDefault="002D2919" w:rsidP="00E107FC">
      <w:pPr>
        <w:pStyle w:val="1"/>
        <w:spacing w:line="360" w:lineRule="auto"/>
        <w:ind w:left="0"/>
        <w:jc w:val="both"/>
        <w:rPr>
          <w:b w:val="0"/>
          <w:bCs w:val="0"/>
        </w:rPr>
      </w:pPr>
      <w:r w:rsidRPr="00113F82">
        <w:lastRenderedPageBreak/>
        <w:t>INTRODUCTION</w:t>
      </w:r>
    </w:p>
    <w:p w14:paraId="52ED62D6" w14:textId="31EA3410" w:rsidR="00610ED1" w:rsidRPr="00113F82" w:rsidRDefault="00610ED1" w:rsidP="00E107FC">
      <w:pPr>
        <w:pStyle w:val="a3"/>
        <w:spacing w:line="360" w:lineRule="auto"/>
        <w:ind w:left="0"/>
        <w:jc w:val="both"/>
      </w:pPr>
      <w:bookmarkStart w:id="5" w:name="_Hlk535012732"/>
      <w:r w:rsidRPr="00113F82">
        <w:t>The main portal vein tumor thrombus (MPVTT), which is the major complication of terminal hepatocellular carcinoma (HCC), is mainly caused by metastasis of tumor cells from the liver to the portal vein, seriously affecting the prognosis of liver cancer</w:t>
      </w:r>
      <w:bookmarkEnd w:id="5"/>
      <w:r w:rsidR="00F91C4A" w:rsidRPr="00113F82">
        <w:rPr>
          <w:vertAlign w:val="superscript"/>
        </w:rPr>
        <w:t>[1,</w:t>
      </w:r>
      <w:r w:rsidR="00AC6E92" w:rsidRPr="00113F82">
        <w:rPr>
          <w:vertAlign w:val="superscript"/>
        </w:rPr>
        <w:t>2]</w:t>
      </w:r>
      <w:r w:rsidR="003474D9" w:rsidRPr="00113F82">
        <w:t xml:space="preserve">. </w:t>
      </w:r>
      <w:bookmarkStart w:id="6" w:name="_Hlk535012742"/>
      <w:r w:rsidRPr="00113F82">
        <w:t xml:space="preserve">The survival rate of </w:t>
      </w:r>
      <w:r w:rsidR="00BA6375" w:rsidRPr="00113F82">
        <w:t xml:space="preserve">a </w:t>
      </w:r>
      <w:r w:rsidRPr="00113F82">
        <w:t>patient with liver cancer is 38% and 24% at 3 and 4 years, respectively</w:t>
      </w:r>
      <w:bookmarkEnd w:id="6"/>
      <w:r w:rsidR="00AC6E92" w:rsidRPr="00113F82">
        <w:rPr>
          <w:vertAlign w:val="superscript"/>
        </w:rPr>
        <w:t>[3]</w:t>
      </w:r>
      <w:r w:rsidR="003474D9" w:rsidRPr="00113F82">
        <w:t xml:space="preserve">. </w:t>
      </w:r>
      <w:bookmarkStart w:id="7" w:name="_Hlk535012752"/>
      <w:bookmarkStart w:id="8" w:name="OLE_LINK29"/>
      <w:r w:rsidRPr="00113F82">
        <w:t xml:space="preserve">The incidence of </w:t>
      </w:r>
      <w:r w:rsidR="00195271" w:rsidRPr="00113F82">
        <w:t>PVTT</w:t>
      </w:r>
      <w:r w:rsidRPr="00113F82">
        <w:t xml:space="preserve"> caused by liver cancer is high</w:t>
      </w:r>
      <w:bookmarkEnd w:id="7"/>
      <w:bookmarkEnd w:id="8"/>
      <w:r w:rsidR="00AC6E92" w:rsidRPr="00113F82">
        <w:rPr>
          <w:vertAlign w:val="superscript"/>
        </w:rPr>
        <w:t>[4]</w:t>
      </w:r>
      <w:r w:rsidR="003474D9" w:rsidRPr="00113F82">
        <w:t xml:space="preserve">. </w:t>
      </w:r>
      <w:bookmarkStart w:id="9" w:name="_Hlk535012763"/>
      <w:r w:rsidR="00195271" w:rsidRPr="00113F82">
        <w:t>PVTT</w:t>
      </w:r>
      <w:r w:rsidRPr="00113F82">
        <w:t xml:space="preserve"> is classiﬁed into the following ﬁve grades: Vp0, no tumor thrombus in the </w:t>
      </w:r>
      <w:r w:rsidR="00195271" w:rsidRPr="00113F82">
        <w:t>PV</w:t>
      </w:r>
      <w:r w:rsidRPr="00113F82">
        <w:t xml:space="preserve">; Vp1, presence of a tumor thrombus distal to, but not in the second-order branches of the </w:t>
      </w:r>
      <w:r w:rsidR="00195271" w:rsidRPr="00113F82">
        <w:t>PV</w:t>
      </w:r>
      <w:r w:rsidRPr="00113F82">
        <w:t xml:space="preserve">; Vp2, presence of a tumor thrombus in the second-order branches of the </w:t>
      </w:r>
      <w:r w:rsidR="00195271" w:rsidRPr="00113F82">
        <w:t>PV</w:t>
      </w:r>
      <w:r w:rsidRPr="00113F82">
        <w:t xml:space="preserve">; Vp3, presence of a tumor thrombus in the ﬁrst-order branches of the </w:t>
      </w:r>
      <w:r w:rsidR="00195271" w:rsidRPr="00113F82">
        <w:t>PV</w:t>
      </w:r>
      <w:r w:rsidRPr="00113F82">
        <w:t xml:space="preserve">; and Vp4, presence of a tumor thrombus in the main trunk of the </w:t>
      </w:r>
      <w:r w:rsidR="00195271" w:rsidRPr="00113F82">
        <w:t>PV</w:t>
      </w:r>
      <w:r w:rsidRPr="00113F82">
        <w:t xml:space="preserve"> or a branch contralateral to the primarily involved lobe</w:t>
      </w:r>
      <w:r w:rsidR="00BA6375" w:rsidRPr="00113F82">
        <w:t xml:space="preserve"> </w:t>
      </w:r>
      <w:r w:rsidRPr="00113F82">
        <w:t>(or both)</w:t>
      </w:r>
      <w:bookmarkEnd w:id="9"/>
      <w:r w:rsidR="00F91C4A" w:rsidRPr="00113F82">
        <w:rPr>
          <w:vertAlign w:val="superscript"/>
        </w:rPr>
        <w:t>[5,</w:t>
      </w:r>
      <w:r w:rsidR="002022F0" w:rsidRPr="00113F82">
        <w:rPr>
          <w:vertAlign w:val="superscript"/>
        </w:rPr>
        <w:t>6]</w:t>
      </w:r>
      <w:r w:rsidR="003474D9" w:rsidRPr="00113F82">
        <w:t xml:space="preserve">. </w:t>
      </w:r>
      <w:bookmarkStart w:id="10" w:name="_Hlk535012778"/>
      <w:r w:rsidRPr="00113F82">
        <w:t xml:space="preserve">Methods to treat </w:t>
      </w:r>
      <w:r w:rsidR="00195271" w:rsidRPr="00113F82">
        <w:t>PVTT</w:t>
      </w:r>
      <w:r w:rsidRPr="00113F82">
        <w:t xml:space="preserve"> are surgery, chemotherapy, </w:t>
      </w:r>
      <w:bookmarkStart w:id="11" w:name="_Hlk534987031"/>
      <w:r w:rsidRPr="00113F82">
        <w:t xml:space="preserve">transarterial chemoembolization/transarterial embolization </w:t>
      </w:r>
      <w:bookmarkEnd w:id="11"/>
      <w:r w:rsidRPr="00113F82">
        <w:t xml:space="preserve">(TACE/TAE), radiofrequency ablation, interventional therapy, </w:t>
      </w:r>
      <w:r w:rsidR="00195271" w:rsidRPr="00113F82">
        <w:t xml:space="preserve">and </w:t>
      </w:r>
      <w:bookmarkEnd w:id="10"/>
      <w:r w:rsidR="00F91C4A" w:rsidRPr="00113F82">
        <w:t>RT</w:t>
      </w:r>
      <w:r w:rsidR="002022F0" w:rsidRPr="00113F82">
        <w:rPr>
          <w:vertAlign w:val="superscript"/>
        </w:rPr>
        <w:t>[7-10]</w:t>
      </w:r>
      <w:r w:rsidR="003474D9" w:rsidRPr="00113F82">
        <w:t xml:space="preserve">. </w:t>
      </w:r>
      <w:bookmarkStart w:id="12" w:name="_Hlk535012791"/>
      <w:r w:rsidRPr="00113F82">
        <w:t>Liver transplantation is another curative treatment for end-stage liver disease</w:t>
      </w:r>
      <w:r w:rsidR="00C430F2" w:rsidRPr="00113F82">
        <w:t>; however</w:t>
      </w:r>
      <w:r w:rsidRPr="00113F82">
        <w:t>, it</w:t>
      </w:r>
      <w:r w:rsidR="00C430F2" w:rsidRPr="00113F82">
        <w:t>s application is</w:t>
      </w:r>
      <w:r w:rsidRPr="00113F82">
        <w:t xml:space="preserve"> limited </w:t>
      </w:r>
      <w:r w:rsidR="00C430F2" w:rsidRPr="00113F82">
        <w:t>by</w:t>
      </w:r>
      <w:r w:rsidRPr="00113F82">
        <w:t xml:space="preserve"> </w:t>
      </w:r>
      <w:r w:rsidR="00C430F2" w:rsidRPr="00113F82">
        <w:t xml:space="preserve">a </w:t>
      </w:r>
      <w:r w:rsidRPr="00113F82">
        <w:t>shortage</w:t>
      </w:r>
      <w:r w:rsidR="00C430F2" w:rsidRPr="00113F82">
        <w:t xml:space="preserve"> of donors and</w:t>
      </w:r>
      <w:r w:rsidRPr="00113F82">
        <w:t xml:space="preserve"> patient refusal. </w:t>
      </w:r>
      <w:r w:rsidR="00195271" w:rsidRPr="00113F82">
        <w:t>T</w:t>
      </w:r>
      <w:r w:rsidRPr="00113F82">
        <w:t>reatment for MPVTT is the most difficult. Portal hypertension, which is caused by MPVTT, can lead to many complications, such as ascites and hemorrhage of the digestive tract. Transjugular intrahepatic portosystemic shunt (TIPS) has been widely performed for the treatment of portal hypertension, because it is minimally invasive and is reported to be effective</w:t>
      </w:r>
      <w:bookmarkEnd w:id="12"/>
      <w:r w:rsidR="00F91C4A" w:rsidRPr="00113F82">
        <w:rPr>
          <w:vertAlign w:val="superscript"/>
        </w:rPr>
        <w:t>[11,</w:t>
      </w:r>
      <w:r w:rsidR="003720F6" w:rsidRPr="00113F82">
        <w:rPr>
          <w:vertAlign w:val="superscript"/>
        </w:rPr>
        <w:t>12]</w:t>
      </w:r>
      <w:r w:rsidR="00531F0B" w:rsidRPr="00113F82">
        <w:t>.</w:t>
      </w:r>
      <w:r w:rsidR="003474D9" w:rsidRPr="00113F82">
        <w:t xml:space="preserve"> </w:t>
      </w:r>
      <w:bookmarkStart w:id="13" w:name="_Hlk535012810"/>
      <w:r w:rsidRPr="00113F82">
        <w:t>However, the survival rate of TIPS is less favorable because it cannot control progress</w:t>
      </w:r>
      <w:r w:rsidR="00195271" w:rsidRPr="00113F82">
        <w:t>ion</w:t>
      </w:r>
      <w:r w:rsidRPr="00113F82">
        <w:t xml:space="preserve"> of HCC.</w:t>
      </w:r>
    </w:p>
    <w:p w14:paraId="2525E7DC" w14:textId="6B0DC590" w:rsidR="00610ED1" w:rsidRPr="00113F82" w:rsidRDefault="00610ED1" w:rsidP="00F91C4A">
      <w:pPr>
        <w:pStyle w:val="a3"/>
        <w:spacing w:line="360" w:lineRule="auto"/>
        <w:ind w:left="0" w:firstLineChars="100" w:firstLine="240"/>
        <w:jc w:val="both"/>
      </w:pPr>
      <w:r w:rsidRPr="00113F82">
        <w:t xml:space="preserve">In the past </w:t>
      </w:r>
      <w:r w:rsidR="00BA6375" w:rsidRPr="00113F82">
        <w:t xml:space="preserve">few </w:t>
      </w:r>
      <w:r w:rsidRPr="00113F82">
        <w:t xml:space="preserve">years, the application of low-energy radionuclides, such as </w:t>
      </w:r>
      <w:r w:rsidRPr="00113F82">
        <w:rPr>
          <w:vertAlign w:val="superscript"/>
        </w:rPr>
        <w:t>125</w:t>
      </w:r>
      <w:r w:rsidRPr="00113F82">
        <w:t xml:space="preserve">I, </w:t>
      </w:r>
      <w:r w:rsidR="00EF168C" w:rsidRPr="00113F82">
        <w:t>ha</w:t>
      </w:r>
      <w:r w:rsidR="00EF168C" w:rsidRPr="00113F82">
        <w:rPr>
          <w:rFonts w:eastAsiaTheme="minorEastAsia"/>
          <w:lang w:eastAsia="zh-CN"/>
        </w:rPr>
        <w:t>s</w:t>
      </w:r>
      <w:r w:rsidR="00EF168C" w:rsidRPr="00113F82">
        <w:t xml:space="preserve"> </w:t>
      </w:r>
      <w:r w:rsidRPr="00113F82">
        <w:t>extended the indication</w:t>
      </w:r>
      <w:r w:rsidR="00195271" w:rsidRPr="00113F82">
        <w:t>s</w:t>
      </w:r>
      <w:r w:rsidRPr="00113F82">
        <w:t xml:space="preserve"> of brachytherapy. Some studies have reported treatment of HCC with </w:t>
      </w:r>
      <w:r w:rsidRPr="00113F82">
        <w:rPr>
          <w:vertAlign w:val="superscript"/>
        </w:rPr>
        <w:t>125</w:t>
      </w:r>
      <w:r w:rsidRPr="00113F82">
        <w:t xml:space="preserve">I implantation. </w:t>
      </w:r>
      <w:r w:rsidRPr="00113F82">
        <w:rPr>
          <w:vertAlign w:val="superscript"/>
        </w:rPr>
        <w:t>125</w:t>
      </w:r>
      <w:r w:rsidRPr="00113F82">
        <w:t xml:space="preserve">I, which can reduce the volume of </w:t>
      </w:r>
      <w:r w:rsidR="00195271" w:rsidRPr="00113F82">
        <w:t>PVTT</w:t>
      </w:r>
      <w:r w:rsidRPr="00113F82">
        <w:t>, has received widespread attention</w:t>
      </w:r>
      <w:bookmarkEnd w:id="13"/>
      <w:r w:rsidR="00531F0B" w:rsidRPr="00113F82">
        <w:rPr>
          <w:vertAlign w:val="superscript"/>
        </w:rPr>
        <w:t>[13]</w:t>
      </w:r>
      <w:r w:rsidR="003474D9" w:rsidRPr="00113F82">
        <w:t xml:space="preserve">. </w:t>
      </w:r>
      <w:bookmarkStart w:id="14" w:name="_Hlk535012820"/>
      <w:r w:rsidRPr="00113F82">
        <w:t xml:space="preserve">However, the patients </w:t>
      </w:r>
      <w:r w:rsidR="00195271" w:rsidRPr="00113F82">
        <w:t>had</w:t>
      </w:r>
      <w:r w:rsidRPr="00113F82">
        <w:t xml:space="preserve"> class A or B liver function</w:t>
      </w:r>
      <w:r w:rsidR="00195271" w:rsidRPr="00113F82">
        <w:t>;</w:t>
      </w:r>
      <w:r w:rsidRPr="00113F82">
        <w:t xml:space="preserve"> the first-grade branch of </w:t>
      </w:r>
      <w:r w:rsidR="00195271" w:rsidRPr="00113F82">
        <w:t>the PV</w:t>
      </w:r>
      <w:r w:rsidRPr="00113F82">
        <w:t xml:space="preserve"> was unobstructed</w:t>
      </w:r>
      <w:r w:rsidR="00195271" w:rsidRPr="00113F82">
        <w:t xml:space="preserve">; </w:t>
      </w:r>
      <w:r w:rsidRPr="00113F82">
        <w:t xml:space="preserve">and the patients had no intractable ascites. In addition, </w:t>
      </w:r>
      <w:r w:rsidRPr="00113F82">
        <w:rPr>
          <w:vertAlign w:val="superscript"/>
        </w:rPr>
        <w:t>125</w:t>
      </w:r>
      <w:r w:rsidRPr="00113F82">
        <w:t xml:space="preserve">I was implanted </w:t>
      </w:r>
      <w:r w:rsidR="00A01105" w:rsidRPr="00113F82">
        <w:t>as</w:t>
      </w:r>
      <w:r w:rsidRPr="00113F82">
        <w:t xml:space="preserve"> particle strand</w:t>
      </w:r>
      <w:r w:rsidR="00A01105" w:rsidRPr="00113F82">
        <w:t>s</w:t>
      </w:r>
      <w:r w:rsidRPr="00113F82">
        <w:t xml:space="preserve">, which </w:t>
      </w:r>
      <w:r w:rsidR="00195271" w:rsidRPr="00113F82">
        <w:t xml:space="preserve">limited </w:t>
      </w:r>
      <w:r w:rsidRPr="00113F82">
        <w:t xml:space="preserve">the number of </w:t>
      </w:r>
      <w:r w:rsidR="006B75E6" w:rsidRPr="00113F82">
        <w:t xml:space="preserve">particles </w:t>
      </w:r>
      <w:r w:rsidRPr="00113F82">
        <w:t xml:space="preserve">implanted and the position of </w:t>
      </w:r>
      <w:r w:rsidRPr="00113F82">
        <w:rPr>
          <w:vertAlign w:val="superscript"/>
        </w:rPr>
        <w:t>125</w:t>
      </w:r>
      <w:r w:rsidRPr="00113F82">
        <w:t xml:space="preserve">I </w:t>
      </w:r>
      <w:r w:rsidR="00195271" w:rsidRPr="00113F82">
        <w:t xml:space="preserve">could not </w:t>
      </w:r>
      <w:r w:rsidRPr="00113F82">
        <w:t xml:space="preserve">be adjusted. No study has investigated the clinical effect of </w:t>
      </w:r>
      <w:r w:rsidRPr="00113F82">
        <w:rPr>
          <w:vertAlign w:val="superscript"/>
        </w:rPr>
        <w:t>125</w:t>
      </w:r>
      <w:r w:rsidRPr="00113F82">
        <w:t xml:space="preserve">I </w:t>
      </w:r>
      <w:r w:rsidRPr="00113F82">
        <w:lastRenderedPageBreak/>
        <w:t xml:space="preserve">combined with TIPS, in which </w:t>
      </w:r>
      <w:r w:rsidRPr="00113F82">
        <w:rPr>
          <w:vertAlign w:val="superscript"/>
        </w:rPr>
        <w:t>125</w:t>
      </w:r>
      <w:r w:rsidRPr="00113F82">
        <w:t xml:space="preserve">I </w:t>
      </w:r>
      <w:r w:rsidR="00195271" w:rsidRPr="00113F82">
        <w:t xml:space="preserve">is </w:t>
      </w:r>
      <w:r w:rsidRPr="00113F82">
        <w:t xml:space="preserve">placed between the </w:t>
      </w:r>
      <w:r w:rsidR="00195271" w:rsidRPr="00113F82">
        <w:t>TT</w:t>
      </w:r>
      <w:r w:rsidRPr="00113F82">
        <w:t xml:space="preserve"> and stents. Thus, we aimed to compare the clinical </w:t>
      </w:r>
      <w:r w:rsidR="00195271" w:rsidRPr="00113F82">
        <w:t xml:space="preserve">efficacy </w:t>
      </w:r>
      <w:r w:rsidR="006B75E6" w:rsidRPr="00113F82">
        <w:t xml:space="preserve">of </w:t>
      </w:r>
      <w:r w:rsidRPr="00113F82">
        <w:t>TACE/TAE+</w:t>
      </w:r>
      <w:r w:rsidRPr="00113F82">
        <w:rPr>
          <w:vertAlign w:val="superscript"/>
        </w:rPr>
        <w:t>125</w:t>
      </w:r>
      <w:r w:rsidRPr="00113F82">
        <w:t>I combined with TIPS and TACE/TAE</w:t>
      </w:r>
      <w:r w:rsidR="00F91C4A" w:rsidRPr="00113F82">
        <w:rPr>
          <w:rFonts w:eastAsiaTheme="minorEastAsia"/>
          <w:lang w:eastAsia="zh-CN"/>
        </w:rPr>
        <w:t xml:space="preserve"> </w:t>
      </w:r>
      <w:r w:rsidRPr="00113F82">
        <w:t>+</w:t>
      </w:r>
      <w:r w:rsidR="00F91C4A" w:rsidRPr="00113F82">
        <w:rPr>
          <w:rFonts w:eastAsiaTheme="minorEastAsia"/>
          <w:lang w:eastAsia="zh-CN"/>
        </w:rPr>
        <w:t xml:space="preserve"> </w:t>
      </w:r>
      <w:r w:rsidRPr="00113F82">
        <w:t>TIPS only in the treatment of liver cancer patients with MPVTT and portal hypertension.</w:t>
      </w:r>
      <w:bookmarkEnd w:id="14"/>
    </w:p>
    <w:p w14:paraId="0B66FB80" w14:textId="77777777" w:rsidR="006B75E6" w:rsidRPr="00113F82" w:rsidRDefault="006B75E6" w:rsidP="00E107FC">
      <w:pPr>
        <w:pStyle w:val="1"/>
        <w:spacing w:line="360" w:lineRule="auto"/>
        <w:ind w:left="0"/>
        <w:jc w:val="both"/>
      </w:pPr>
    </w:p>
    <w:p w14:paraId="21FD1D2E" w14:textId="7FD3112A" w:rsidR="001314BE" w:rsidRPr="00113F82" w:rsidRDefault="002D2919" w:rsidP="00E107FC">
      <w:pPr>
        <w:pStyle w:val="1"/>
        <w:spacing w:line="360" w:lineRule="auto"/>
        <w:ind w:left="0"/>
        <w:jc w:val="both"/>
        <w:rPr>
          <w:b w:val="0"/>
          <w:bCs w:val="0"/>
        </w:rPr>
      </w:pPr>
      <w:r w:rsidRPr="00113F82">
        <w:t>MATERIALS AND</w:t>
      </w:r>
      <w:r w:rsidRPr="00113F82">
        <w:rPr>
          <w:spacing w:val="-5"/>
        </w:rPr>
        <w:t xml:space="preserve"> </w:t>
      </w:r>
      <w:r w:rsidRPr="00113F82">
        <w:t>METHODS</w:t>
      </w:r>
    </w:p>
    <w:p w14:paraId="06553B31" w14:textId="0DD4342E" w:rsidR="00CE6888" w:rsidRPr="00113F82" w:rsidRDefault="00CE6888" w:rsidP="00E107FC">
      <w:pPr>
        <w:pStyle w:val="2"/>
        <w:spacing w:line="360" w:lineRule="auto"/>
        <w:ind w:left="0"/>
        <w:jc w:val="both"/>
        <w:rPr>
          <w:b w:val="0"/>
          <w:bCs w:val="0"/>
          <w:i w:val="0"/>
        </w:rPr>
      </w:pPr>
      <w:r w:rsidRPr="00113F82">
        <w:t xml:space="preserve">Study </w:t>
      </w:r>
      <w:r w:rsidR="00195271" w:rsidRPr="00113F82">
        <w:t xml:space="preserve">design </w:t>
      </w:r>
    </w:p>
    <w:p w14:paraId="3D1C13A8" w14:textId="27C5C631" w:rsidR="005F7DB6" w:rsidRPr="00113F82" w:rsidRDefault="00CE6888" w:rsidP="00E107FC">
      <w:pPr>
        <w:pStyle w:val="2"/>
        <w:spacing w:line="360" w:lineRule="auto"/>
        <w:ind w:left="0"/>
        <w:jc w:val="both"/>
        <w:rPr>
          <w:rFonts w:eastAsiaTheme="minorEastAsia"/>
          <w:b w:val="0"/>
          <w:i w:val="0"/>
          <w:lang w:eastAsia="zh-CN"/>
        </w:rPr>
      </w:pPr>
      <w:bookmarkStart w:id="15" w:name="_Hlk535012894"/>
      <w:r w:rsidRPr="00113F82">
        <w:rPr>
          <w:b w:val="0"/>
          <w:i w:val="0"/>
        </w:rPr>
        <w:t>This study was a nonrandomized controlled trial.</w:t>
      </w:r>
      <w:bookmarkEnd w:id="15"/>
    </w:p>
    <w:p w14:paraId="609D6C37" w14:textId="77777777" w:rsidR="005F7DB6" w:rsidRPr="00113F82" w:rsidRDefault="005F7DB6" w:rsidP="00E107FC">
      <w:pPr>
        <w:pStyle w:val="2"/>
        <w:spacing w:line="360" w:lineRule="auto"/>
        <w:ind w:left="0"/>
        <w:jc w:val="both"/>
        <w:rPr>
          <w:rFonts w:eastAsiaTheme="minorEastAsia"/>
          <w:lang w:eastAsia="zh-CN"/>
        </w:rPr>
      </w:pPr>
    </w:p>
    <w:p w14:paraId="546D939F" w14:textId="4DCA2FED" w:rsidR="00CE6888" w:rsidRPr="00113F82" w:rsidRDefault="005F7DB6" w:rsidP="00E107FC">
      <w:pPr>
        <w:pStyle w:val="2"/>
        <w:spacing w:line="360" w:lineRule="auto"/>
        <w:ind w:left="0"/>
        <w:jc w:val="both"/>
      </w:pPr>
      <w:r w:rsidRPr="00113F82">
        <w:t>In</w:t>
      </w:r>
      <w:r w:rsidRPr="00113F82">
        <w:rPr>
          <w:rFonts w:eastAsiaTheme="minorEastAsia"/>
          <w:lang w:eastAsia="zh-CN"/>
        </w:rPr>
        <w:t>clusion c</w:t>
      </w:r>
      <w:r w:rsidR="00CE6888" w:rsidRPr="00113F82">
        <w:t>riteria</w:t>
      </w:r>
    </w:p>
    <w:p w14:paraId="0AC517E7" w14:textId="5B01A276" w:rsidR="00CE6888" w:rsidRPr="00113F82" w:rsidRDefault="00CE6888" w:rsidP="00E107FC">
      <w:pPr>
        <w:pStyle w:val="a3"/>
        <w:spacing w:line="360" w:lineRule="auto"/>
        <w:ind w:left="0"/>
        <w:jc w:val="both"/>
      </w:pPr>
      <w:bookmarkStart w:id="16" w:name="_Hlk535012905"/>
      <w:r w:rsidRPr="00113F82">
        <w:t xml:space="preserve">The inclusion criteria were as follows: </w:t>
      </w:r>
      <w:r w:rsidR="00195271" w:rsidRPr="00113F82">
        <w:t>(</w:t>
      </w:r>
      <w:r w:rsidRPr="00113F82">
        <w:t>1) age 18</w:t>
      </w:r>
      <w:r w:rsidR="00195271" w:rsidRPr="00113F82">
        <w:t>–</w:t>
      </w:r>
      <w:r w:rsidRPr="00113F82">
        <w:t xml:space="preserve">70 years; </w:t>
      </w:r>
      <w:r w:rsidR="00195271" w:rsidRPr="00113F82">
        <w:t>(</w:t>
      </w:r>
      <w:r w:rsidRPr="00113F82">
        <w:t xml:space="preserve">2) </w:t>
      </w:r>
      <w:r w:rsidR="006B75E6" w:rsidRPr="00113F82">
        <w:t xml:space="preserve">presence of </w:t>
      </w:r>
      <w:r w:rsidRPr="00113F82">
        <w:t>HCC with MPV</w:t>
      </w:r>
      <w:r w:rsidR="00195271" w:rsidRPr="00113F82">
        <w:t>TT</w:t>
      </w:r>
      <w:r w:rsidRPr="00113F82">
        <w:t xml:space="preserve">; </w:t>
      </w:r>
      <w:r w:rsidR="00195271" w:rsidRPr="00113F82">
        <w:t>(</w:t>
      </w:r>
      <w:r w:rsidRPr="00113F82">
        <w:t xml:space="preserve">3) clear </w:t>
      </w:r>
      <w:r w:rsidR="006B75E6" w:rsidRPr="00113F82">
        <w:t xml:space="preserve">indications for </w:t>
      </w:r>
      <w:r w:rsidRPr="00113F82">
        <w:t xml:space="preserve">TIPS treatment, such as gastrointestinal bleeding and ascites, in liver cancer patients with portal hypertension; </w:t>
      </w:r>
      <w:r w:rsidR="008B3DDD" w:rsidRPr="00113F82">
        <w:t xml:space="preserve">and </w:t>
      </w:r>
      <w:r w:rsidR="00195271" w:rsidRPr="00113F82">
        <w:t>(</w:t>
      </w:r>
      <w:r w:rsidRPr="00113F82">
        <w:t>4)</w:t>
      </w:r>
      <w:r w:rsidRPr="00113F82" w:rsidDel="001459D4">
        <w:t xml:space="preserve"> </w:t>
      </w:r>
      <w:r w:rsidRPr="00113F82">
        <w:t xml:space="preserve">clear </w:t>
      </w:r>
      <w:r w:rsidR="006B75E6" w:rsidRPr="00113F82">
        <w:t xml:space="preserve">indications for </w:t>
      </w:r>
      <w:r w:rsidRPr="00113F82">
        <w:t xml:space="preserve">TACE or TAE treatment. The exclusion criteria were as follows: </w:t>
      </w:r>
      <w:r w:rsidR="00195271" w:rsidRPr="00113F82">
        <w:t>(</w:t>
      </w:r>
      <w:r w:rsidRPr="00113F82">
        <w:t>1) suspected benign thrombosis</w:t>
      </w:r>
      <w:r w:rsidR="00195271" w:rsidRPr="00113F82">
        <w:t>;</w:t>
      </w:r>
      <w:r w:rsidRPr="00113F82">
        <w:t xml:space="preserve"> </w:t>
      </w:r>
      <w:r w:rsidR="00195271" w:rsidRPr="00113F82">
        <w:t>(</w:t>
      </w:r>
      <w:r w:rsidRPr="00113F82">
        <w:t xml:space="preserve">2) active infection or serious disorders of the heart, lung, kidney, brain, and other vital organs; </w:t>
      </w:r>
      <w:r w:rsidR="00195271" w:rsidRPr="00113F82">
        <w:t>(</w:t>
      </w:r>
      <w:r w:rsidRPr="00113F82">
        <w:t xml:space="preserve">3) pregnant or lactating women; </w:t>
      </w:r>
      <w:r w:rsidR="00195271" w:rsidRPr="00113F82">
        <w:t>(</w:t>
      </w:r>
      <w:r w:rsidRPr="00113F82">
        <w:t xml:space="preserve">4) estimated lifetime </w:t>
      </w:r>
      <w:r w:rsidR="00195271" w:rsidRPr="00113F82">
        <w:t>&lt;</w:t>
      </w:r>
      <w:r w:rsidRPr="00113F82">
        <w:t xml:space="preserve"> 3 mo; and </w:t>
      </w:r>
      <w:r w:rsidR="00195271" w:rsidRPr="00113F82">
        <w:t>(</w:t>
      </w:r>
      <w:r w:rsidRPr="00113F82">
        <w:t>5) patients who could not cooperate during the treatment and observation period.</w:t>
      </w:r>
    </w:p>
    <w:p w14:paraId="1A5F1F86" w14:textId="77777777" w:rsidR="00195271" w:rsidRPr="00113F82" w:rsidRDefault="00195271" w:rsidP="00E107FC">
      <w:pPr>
        <w:pStyle w:val="2"/>
        <w:spacing w:line="360" w:lineRule="auto"/>
        <w:ind w:left="0"/>
        <w:jc w:val="both"/>
      </w:pPr>
    </w:p>
    <w:p w14:paraId="4632A3ED" w14:textId="77777777" w:rsidR="00CE6888" w:rsidRPr="00113F82" w:rsidRDefault="00CE6888" w:rsidP="00E107FC">
      <w:pPr>
        <w:pStyle w:val="2"/>
        <w:spacing w:line="360" w:lineRule="auto"/>
        <w:ind w:left="0"/>
        <w:jc w:val="both"/>
        <w:rPr>
          <w:b w:val="0"/>
          <w:bCs w:val="0"/>
          <w:i w:val="0"/>
        </w:rPr>
      </w:pPr>
      <w:r w:rsidRPr="00113F82">
        <w:t>Patients</w:t>
      </w:r>
    </w:p>
    <w:p w14:paraId="1FC79EFB" w14:textId="6DEE3143" w:rsidR="00CE6888" w:rsidRPr="00113F82" w:rsidRDefault="00CE6888" w:rsidP="00E107FC">
      <w:pPr>
        <w:pStyle w:val="a3"/>
        <w:spacing w:line="360" w:lineRule="auto"/>
        <w:ind w:left="0"/>
        <w:jc w:val="both"/>
      </w:pPr>
      <w:bookmarkStart w:id="17" w:name="_Hlk535012923"/>
      <w:r w:rsidRPr="00113F82">
        <w:t>Eighty-five patients with MPV</w:t>
      </w:r>
      <w:r w:rsidR="00195271" w:rsidRPr="00113F82">
        <w:t>TT</w:t>
      </w:r>
      <w:r w:rsidRPr="00113F82">
        <w:t xml:space="preserve"> were </w:t>
      </w:r>
      <w:r w:rsidR="008B3DDD" w:rsidRPr="00113F82">
        <w:t>non</w:t>
      </w:r>
      <w:r w:rsidRPr="00113F82">
        <w:t xml:space="preserve">randomly assigned to undergo treatment </w:t>
      </w:r>
      <w:r w:rsidR="00195271" w:rsidRPr="00113F82">
        <w:t xml:space="preserve">with </w:t>
      </w:r>
      <w:r w:rsidRPr="00113F82">
        <w:t xml:space="preserve">TIPS and catheter </w:t>
      </w:r>
      <w:r w:rsidRPr="00113F82">
        <w:rPr>
          <w:vertAlign w:val="superscript"/>
        </w:rPr>
        <w:t>125</w:t>
      </w:r>
      <w:r w:rsidRPr="00113F82">
        <w:t>I seed implantation (TIPS-</w:t>
      </w:r>
      <w:r w:rsidRPr="00113F82">
        <w:rPr>
          <w:vertAlign w:val="superscript"/>
        </w:rPr>
        <w:t>125</w:t>
      </w:r>
      <w:r w:rsidRPr="00113F82">
        <w:t xml:space="preserve">I group) or TIPS only (TIPS only group) </w:t>
      </w:r>
      <w:r w:rsidR="00195271" w:rsidRPr="00113F82">
        <w:t xml:space="preserve">between </w:t>
      </w:r>
      <w:r w:rsidRPr="00113F82">
        <w:t xml:space="preserve">January 2007 </w:t>
      </w:r>
      <w:r w:rsidR="00195271" w:rsidRPr="00113F82">
        <w:t xml:space="preserve">and </w:t>
      </w:r>
      <w:r w:rsidRPr="00113F82">
        <w:t>March 2015. HCC was confirmed according to the criteria of the American Association for the Study of Liver Diseases</w:t>
      </w:r>
      <w:bookmarkStart w:id="18" w:name="_Hlk535012939"/>
      <w:bookmarkEnd w:id="17"/>
      <w:r w:rsidRPr="00113F82">
        <w:rPr>
          <w:vertAlign w:val="superscript"/>
        </w:rPr>
        <w:t>[14]</w:t>
      </w:r>
      <w:r w:rsidRPr="00113F82">
        <w:t>.</w:t>
      </w:r>
      <w:r w:rsidR="008B3DDD" w:rsidRPr="00113F82">
        <w:t xml:space="preserve"> </w:t>
      </w:r>
      <w:r w:rsidRPr="00113F82">
        <w:t xml:space="preserve">PVTT was diagnosed </w:t>
      </w:r>
      <w:r w:rsidR="00195271" w:rsidRPr="00113F82">
        <w:t xml:space="preserve">by </w:t>
      </w:r>
      <w:r w:rsidRPr="00113F82">
        <w:t xml:space="preserve">consensus by re-evaluation of all available </w:t>
      </w:r>
      <w:r w:rsidRPr="00113F82">
        <w:rPr>
          <w:rFonts w:cs="Book Antiqua"/>
        </w:rPr>
        <w:t>computed tomography (CT) or magnetic resonance imaging (MRI)</w:t>
      </w:r>
      <w:r w:rsidRPr="00113F82">
        <w:t xml:space="preserve"> </w:t>
      </w:r>
      <w:r w:rsidR="001854E7" w:rsidRPr="00113F82">
        <w:rPr>
          <w:rFonts w:eastAsiaTheme="minorEastAsia"/>
          <w:lang w:eastAsia="zh-CN"/>
        </w:rPr>
        <w:t>findings</w:t>
      </w:r>
      <w:r w:rsidR="001854E7" w:rsidRPr="00113F82">
        <w:t xml:space="preserve"> </w:t>
      </w:r>
      <w:r w:rsidRPr="00113F82">
        <w:t>by two board-certified radiologists experienced in abdominal oncologic</w:t>
      </w:r>
      <w:r w:rsidR="00195271" w:rsidRPr="00113F82">
        <w:t>al</w:t>
      </w:r>
      <w:r w:rsidRPr="00113F82">
        <w:t xml:space="preserve"> imaging. Biopsies of the confirmed </w:t>
      </w:r>
      <w:r w:rsidR="00195271" w:rsidRPr="00113F82">
        <w:t>PVT</w:t>
      </w:r>
      <w:r w:rsidRPr="00113F82">
        <w:t xml:space="preserve"> were performed </w:t>
      </w:r>
      <w:r w:rsidR="00195271" w:rsidRPr="00113F82">
        <w:t xml:space="preserve">in </w:t>
      </w:r>
      <w:r w:rsidRPr="00113F82">
        <w:t xml:space="preserve">31 patients </w:t>
      </w:r>
      <w:r w:rsidR="0075665A" w:rsidRPr="00113F82">
        <w:t xml:space="preserve">who were strongly </w:t>
      </w:r>
      <w:r w:rsidRPr="00113F82">
        <w:t>susp</w:t>
      </w:r>
      <w:r w:rsidR="0075665A" w:rsidRPr="00113F82">
        <w:t>ected to have PVTT</w:t>
      </w:r>
      <w:r w:rsidRPr="00113F82">
        <w:t xml:space="preserve"> but </w:t>
      </w:r>
      <w:r w:rsidR="0075665A" w:rsidRPr="00113F82">
        <w:t xml:space="preserve">did </w:t>
      </w:r>
      <w:r w:rsidRPr="00113F82">
        <w:t xml:space="preserve">not </w:t>
      </w:r>
      <w:r w:rsidR="0075665A" w:rsidRPr="00113F82">
        <w:t xml:space="preserve">have </w:t>
      </w:r>
      <w:r w:rsidRPr="00113F82">
        <w:t>enough imaging evidence</w:t>
      </w:r>
      <w:bookmarkEnd w:id="18"/>
      <w:r w:rsidRPr="00113F82">
        <w:rPr>
          <w:vertAlign w:val="superscript"/>
        </w:rPr>
        <w:t>[15]</w:t>
      </w:r>
      <w:r w:rsidRPr="00113F82">
        <w:t>.</w:t>
      </w:r>
    </w:p>
    <w:p w14:paraId="482ABB88" w14:textId="125DFD37" w:rsidR="00CE6888" w:rsidRPr="00113F82" w:rsidRDefault="00195271" w:rsidP="00F91C4A">
      <w:pPr>
        <w:pStyle w:val="a3"/>
        <w:spacing w:line="360" w:lineRule="auto"/>
        <w:ind w:left="0" w:firstLineChars="100" w:firstLine="240"/>
        <w:jc w:val="both"/>
      </w:pPr>
      <w:bookmarkStart w:id="19" w:name="_Hlk535012949"/>
      <w:r w:rsidRPr="00113F82">
        <w:t>T</w:t>
      </w:r>
      <w:r w:rsidR="00CE6888" w:rsidRPr="00113F82">
        <w:t xml:space="preserve">here were 24 cases of </w:t>
      </w:r>
      <w:r w:rsidR="008B3DDD" w:rsidRPr="00113F82">
        <w:t xml:space="preserve">hepatitis </w:t>
      </w:r>
      <w:r w:rsidR="00CE6888" w:rsidRPr="00113F82">
        <w:t xml:space="preserve">B cirrhosis, 13 </w:t>
      </w:r>
      <w:r w:rsidR="008B3DDD" w:rsidRPr="00113F82">
        <w:t xml:space="preserve">hepatitis </w:t>
      </w:r>
      <w:r w:rsidR="00CE6888" w:rsidRPr="00113F82">
        <w:t xml:space="preserve">C cirrhosis, 15 alcoholic cirrhosis, 10 primary biliary cirrhosis, </w:t>
      </w:r>
      <w:r w:rsidRPr="00113F82">
        <w:t xml:space="preserve">eight </w:t>
      </w:r>
      <w:r w:rsidR="00CE6888" w:rsidRPr="00113F82">
        <w:t xml:space="preserve">autoimmune liver cirrhosis, and 15 </w:t>
      </w:r>
      <w:r w:rsidR="00CE6888" w:rsidRPr="00113F82">
        <w:lastRenderedPageBreak/>
        <w:t xml:space="preserve">other causes. According to the preoperative Child–Pugh classification, there were 16 cases of class A, 36 class B, and 33 class C. </w:t>
      </w:r>
      <w:r w:rsidRPr="00113F82">
        <w:t>T</w:t>
      </w:r>
      <w:r w:rsidR="00CE6888" w:rsidRPr="00113F82">
        <w:t>here were 61 patients with hemorrhage of the digestive tract, 11 with chest and abdominal dropsy, and 13 with both (Table 1). The flow chart is shown in Fig</w:t>
      </w:r>
      <w:r w:rsidRPr="00113F82">
        <w:t>ure</w:t>
      </w:r>
      <w:r w:rsidR="00CE6888" w:rsidRPr="00113F82">
        <w:t xml:space="preserve"> 1.</w:t>
      </w:r>
    </w:p>
    <w:bookmarkEnd w:id="19"/>
    <w:p w14:paraId="0DC7ABF8" w14:textId="77777777" w:rsidR="00195271" w:rsidRPr="00113F82" w:rsidRDefault="00195271" w:rsidP="00E107FC">
      <w:pPr>
        <w:pStyle w:val="2"/>
        <w:spacing w:line="360" w:lineRule="auto"/>
        <w:ind w:left="0"/>
        <w:jc w:val="both"/>
      </w:pPr>
    </w:p>
    <w:p w14:paraId="1D309F76" w14:textId="77777777" w:rsidR="00CE6888" w:rsidRPr="00113F82" w:rsidRDefault="00CE6888" w:rsidP="00E107FC">
      <w:pPr>
        <w:pStyle w:val="2"/>
        <w:spacing w:line="360" w:lineRule="auto"/>
        <w:ind w:left="0"/>
        <w:jc w:val="both"/>
        <w:rPr>
          <w:bCs w:val="0"/>
        </w:rPr>
      </w:pPr>
      <w:bookmarkStart w:id="20" w:name="_Hlk535012986"/>
      <w:r w:rsidRPr="00113F82">
        <w:t>Preoperative preparation</w:t>
      </w:r>
    </w:p>
    <w:p w14:paraId="6D623214" w14:textId="06413D68" w:rsidR="00CE6888" w:rsidRPr="00113F82" w:rsidRDefault="00CE6888" w:rsidP="00E107FC">
      <w:pPr>
        <w:pStyle w:val="a3"/>
        <w:spacing w:line="360" w:lineRule="auto"/>
        <w:ind w:left="0"/>
        <w:jc w:val="both"/>
        <w:rPr>
          <w:rFonts w:cs="Book Antiqua"/>
        </w:rPr>
      </w:pPr>
      <w:r w:rsidRPr="00113F82">
        <w:rPr>
          <w:rFonts w:cs="Book Antiqua"/>
        </w:rPr>
        <w:t>Before TIPS, liver function test</w:t>
      </w:r>
      <w:r w:rsidR="00195271" w:rsidRPr="00113F82">
        <w:rPr>
          <w:rFonts w:cs="Book Antiqua"/>
        </w:rPr>
        <w:t>s</w:t>
      </w:r>
      <w:r w:rsidRPr="00113F82">
        <w:rPr>
          <w:rFonts w:cs="Book Antiqua"/>
        </w:rPr>
        <w:t>, blood coagulation test</w:t>
      </w:r>
      <w:r w:rsidR="00195271" w:rsidRPr="00113F82">
        <w:rPr>
          <w:rFonts w:cs="Book Antiqua"/>
        </w:rPr>
        <w:t>s</w:t>
      </w:r>
      <w:r w:rsidRPr="00113F82">
        <w:rPr>
          <w:rFonts w:cs="Book Antiqua"/>
        </w:rPr>
        <w:t xml:space="preserve">, routine blood tests, </w:t>
      </w:r>
      <w:r w:rsidR="00195271" w:rsidRPr="00113F82">
        <w:rPr>
          <w:rFonts w:cs="Book Antiqua"/>
        </w:rPr>
        <w:t>electrocardiography</w:t>
      </w:r>
      <w:r w:rsidRPr="00113F82">
        <w:rPr>
          <w:rFonts w:cs="Book Antiqua"/>
        </w:rPr>
        <w:t xml:space="preserve">, CT and/or MRI, color Doppler ultrasonography, and esophageal radiography were performed. </w:t>
      </w:r>
      <w:r w:rsidR="00195271" w:rsidRPr="00113F82">
        <w:rPr>
          <w:rFonts w:cs="Book Antiqua"/>
        </w:rPr>
        <w:t>G</w:t>
      </w:r>
      <w:r w:rsidRPr="00113F82">
        <w:rPr>
          <w:rFonts w:cs="Book Antiqua"/>
        </w:rPr>
        <w:t>astroscopy was also performed</w:t>
      </w:r>
      <w:r w:rsidR="00195271" w:rsidRPr="00113F82">
        <w:rPr>
          <w:rFonts w:cs="Book Antiqua"/>
        </w:rPr>
        <w:t xml:space="preserve"> if necessary</w:t>
      </w:r>
      <w:r w:rsidRPr="00113F82">
        <w:rPr>
          <w:rFonts w:cs="Book Antiqua"/>
        </w:rPr>
        <w:t xml:space="preserve">. Before TIPS, patients’ coagulation function was corrected to a normal range. The TIPS-related concerns were explained to the patients and their family members </w:t>
      </w:r>
      <w:r w:rsidR="008B3DDD" w:rsidRPr="00113F82">
        <w:rPr>
          <w:rFonts w:cs="Book Antiqua"/>
        </w:rPr>
        <w:t xml:space="preserve">who </w:t>
      </w:r>
      <w:r w:rsidRPr="00113F82">
        <w:rPr>
          <w:rFonts w:cs="Book Antiqua"/>
        </w:rPr>
        <w:t xml:space="preserve">were later asked </w:t>
      </w:r>
      <w:r w:rsidR="0075665A" w:rsidRPr="00113F82">
        <w:rPr>
          <w:rFonts w:cs="Book Antiqua"/>
        </w:rPr>
        <w:t xml:space="preserve">to </w:t>
      </w:r>
      <w:r w:rsidRPr="00113F82">
        <w:rPr>
          <w:rFonts w:cs="Book Antiqua"/>
        </w:rPr>
        <w:t>sign the informed consent. This study was approved by the Institutional Review Board of Beijing Shijitan Hospital and conducted in accordance with all current ethical guidelines.</w:t>
      </w:r>
    </w:p>
    <w:p w14:paraId="3C24D9BF" w14:textId="77777777" w:rsidR="00195271" w:rsidRPr="00113F82" w:rsidRDefault="00195271" w:rsidP="00E107FC">
      <w:pPr>
        <w:pStyle w:val="2"/>
        <w:spacing w:line="360" w:lineRule="auto"/>
        <w:ind w:left="0"/>
        <w:jc w:val="both"/>
        <w:rPr>
          <w:b w:val="0"/>
          <w:i w:val="0"/>
        </w:rPr>
      </w:pPr>
    </w:p>
    <w:p w14:paraId="6B281CA7" w14:textId="77777777" w:rsidR="00CE6888" w:rsidRPr="00113F82" w:rsidRDefault="00CE6888" w:rsidP="00E107FC">
      <w:pPr>
        <w:pStyle w:val="2"/>
        <w:spacing w:line="360" w:lineRule="auto"/>
        <w:ind w:left="0"/>
        <w:jc w:val="both"/>
      </w:pPr>
      <w:r w:rsidRPr="00113F82">
        <w:t>TIPS</w:t>
      </w:r>
    </w:p>
    <w:p w14:paraId="7CE02860" w14:textId="72068387" w:rsidR="00CE6888" w:rsidRPr="00113F82" w:rsidRDefault="00CE6888" w:rsidP="00E107FC">
      <w:pPr>
        <w:pStyle w:val="a3"/>
        <w:spacing w:line="360" w:lineRule="auto"/>
        <w:ind w:left="0"/>
        <w:jc w:val="both"/>
        <w:rPr>
          <w:rFonts w:cs="Book Antiqua"/>
        </w:rPr>
      </w:pPr>
      <w:r w:rsidRPr="00113F82">
        <w:rPr>
          <w:rFonts w:cs="Book Antiqua"/>
          <w:b/>
        </w:rPr>
        <w:t xml:space="preserve">First </w:t>
      </w:r>
      <w:r w:rsidR="00A551C0" w:rsidRPr="00113F82">
        <w:rPr>
          <w:rFonts w:cs="Book Antiqua"/>
          <w:b/>
        </w:rPr>
        <w:t>approach</w:t>
      </w:r>
      <w:r w:rsidRPr="00113F82">
        <w:rPr>
          <w:rFonts w:cs="Book Antiqua"/>
          <w:b/>
        </w:rPr>
        <w:t>:</w:t>
      </w:r>
      <w:r w:rsidRPr="00113F82">
        <w:rPr>
          <w:rFonts w:cs="Book Antiqua"/>
        </w:rPr>
        <w:t xml:space="preserve"> </w:t>
      </w:r>
      <w:r w:rsidR="00F91C4A" w:rsidRPr="00113F82">
        <w:rPr>
          <w:rFonts w:eastAsiaTheme="minorEastAsia" w:cs="Book Antiqua"/>
          <w:lang w:eastAsia="zh-CN"/>
        </w:rPr>
        <w:t>P</w:t>
      </w:r>
      <w:r w:rsidR="00F91C4A" w:rsidRPr="00113F82">
        <w:rPr>
          <w:rFonts w:cs="Book Antiqua"/>
        </w:rPr>
        <w:t xml:space="preserve">reoperative </w:t>
      </w:r>
      <w:r w:rsidR="00E40F48" w:rsidRPr="00113F82">
        <w:rPr>
          <w:rFonts w:cs="Book Antiqua"/>
        </w:rPr>
        <w:t xml:space="preserve">imaging </w:t>
      </w:r>
      <w:r w:rsidRPr="00113F82">
        <w:rPr>
          <w:rFonts w:cs="Book Antiqua"/>
        </w:rPr>
        <w:t xml:space="preserve">showed that intrahepatic </w:t>
      </w:r>
      <w:r w:rsidR="00195271" w:rsidRPr="00113F82">
        <w:rPr>
          <w:rFonts w:cs="Book Antiqua"/>
        </w:rPr>
        <w:t>PV</w:t>
      </w:r>
      <w:r w:rsidRPr="00113F82">
        <w:rPr>
          <w:rFonts w:cs="Book Antiqua"/>
        </w:rPr>
        <w:t xml:space="preserve"> flow was completely or partially opened, and </w:t>
      </w:r>
      <w:r w:rsidR="00195271" w:rsidRPr="00113F82">
        <w:rPr>
          <w:rFonts w:cs="Book Antiqua"/>
        </w:rPr>
        <w:t>TT</w:t>
      </w:r>
      <w:r w:rsidRPr="00113F82">
        <w:rPr>
          <w:rFonts w:cs="Book Antiqua"/>
        </w:rPr>
        <w:t xml:space="preserve"> did not completely block the blood vessels. Extrahepatic portal vein (MPV) </w:t>
      </w:r>
      <w:r w:rsidR="00195271" w:rsidRPr="00113F82">
        <w:rPr>
          <w:rFonts w:cs="Book Antiqua"/>
        </w:rPr>
        <w:t xml:space="preserve">was </w:t>
      </w:r>
      <w:r w:rsidRPr="00113F82">
        <w:rPr>
          <w:rFonts w:cs="Book Antiqua"/>
        </w:rPr>
        <w:t xml:space="preserve">more serious. </w:t>
      </w:r>
      <w:r w:rsidR="001D189D" w:rsidRPr="00113F82">
        <w:rPr>
          <w:rFonts w:cs="Book Antiqua"/>
        </w:rPr>
        <w:t>TIPS was performed</w:t>
      </w:r>
      <w:r w:rsidR="001D189D" w:rsidRPr="00113F82" w:rsidDel="001D189D">
        <w:rPr>
          <w:rFonts w:cs="Book Antiqua"/>
        </w:rPr>
        <w:t xml:space="preserve"> </w:t>
      </w:r>
      <w:r w:rsidR="00CC6022" w:rsidRPr="00113F82">
        <w:rPr>
          <w:rFonts w:eastAsiaTheme="minorEastAsia" w:cs="Book Antiqua"/>
          <w:lang w:eastAsia="zh-CN"/>
        </w:rPr>
        <w:t>following</w:t>
      </w:r>
      <w:r w:rsidR="00D02B75" w:rsidRPr="00113F82">
        <w:rPr>
          <w:rFonts w:eastAsiaTheme="minorEastAsia" w:cs="Book Antiqua"/>
          <w:lang w:eastAsia="zh-CN"/>
        </w:rPr>
        <w:t xml:space="preserve"> </w:t>
      </w:r>
      <w:r w:rsidRPr="00113F82">
        <w:rPr>
          <w:rFonts w:cs="Book Antiqua"/>
        </w:rPr>
        <w:t xml:space="preserve">femoral artery puncture and artery intubation of the superior mesenteric or splenic artery through femoral artery </w:t>
      </w:r>
      <w:r w:rsidR="001D189D" w:rsidRPr="00113F82">
        <w:rPr>
          <w:rFonts w:eastAsiaTheme="minorEastAsia" w:cs="Book Antiqua"/>
          <w:lang w:eastAsia="zh-CN"/>
        </w:rPr>
        <w:t>and</w:t>
      </w:r>
      <w:r w:rsidRPr="00113F82">
        <w:rPr>
          <w:rFonts w:cs="Book Antiqua"/>
        </w:rPr>
        <w:t xml:space="preserve"> contrast material</w:t>
      </w:r>
      <w:r w:rsidR="001D189D" w:rsidRPr="00113F82">
        <w:rPr>
          <w:rFonts w:eastAsiaTheme="minorEastAsia" w:cs="Book Antiqua"/>
          <w:lang w:eastAsia="zh-CN"/>
        </w:rPr>
        <w:t xml:space="preserve"> injection </w:t>
      </w:r>
      <w:r w:rsidRPr="00113F82">
        <w:rPr>
          <w:rFonts w:cs="Book Antiqua"/>
        </w:rPr>
        <w:t xml:space="preserve">through a catheter to locate the </w:t>
      </w:r>
      <w:r w:rsidR="00195271" w:rsidRPr="00113F82">
        <w:rPr>
          <w:rFonts w:cs="Book Antiqua"/>
        </w:rPr>
        <w:t>PV</w:t>
      </w:r>
      <w:r w:rsidRPr="00113F82">
        <w:rPr>
          <w:rFonts w:cs="Book Antiqua"/>
        </w:rPr>
        <w:t xml:space="preserve">. Second </w:t>
      </w:r>
      <w:r w:rsidR="00A551C0" w:rsidRPr="00113F82">
        <w:rPr>
          <w:rFonts w:cs="Book Antiqua"/>
        </w:rPr>
        <w:t>approach</w:t>
      </w:r>
      <w:r w:rsidRPr="00113F82">
        <w:rPr>
          <w:rFonts w:cs="Book Antiqua"/>
        </w:rPr>
        <w:t xml:space="preserve">: </w:t>
      </w:r>
      <w:r w:rsidR="00E40F48" w:rsidRPr="00113F82">
        <w:rPr>
          <w:rFonts w:eastAsiaTheme="minorEastAsia" w:cs="Book Antiqua"/>
          <w:lang w:eastAsia="zh-CN"/>
        </w:rPr>
        <w:t>p</w:t>
      </w:r>
      <w:r w:rsidR="00E40F48" w:rsidRPr="00113F82">
        <w:rPr>
          <w:rFonts w:cs="Book Antiqua"/>
        </w:rPr>
        <w:t xml:space="preserve">reoperative </w:t>
      </w:r>
      <w:r w:rsidRPr="00113F82">
        <w:rPr>
          <w:rFonts w:cs="Book Antiqua"/>
        </w:rPr>
        <w:t xml:space="preserve">imaging showed that intrahepatic </w:t>
      </w:r>
      <w:r w:rsidR="00195271" w:rsidRPr="00113F82">
        <w:rPr>
          <w:rFonts w:cs="Book Antiqua"/>
        </w:rPr>
        <w:t>PV</w:t>
      </w:r>
      <w:r w:rsidRPr="00113F82">
        <w:rPr>
          <w:rFonts w:cs="Book Antiqua"/>
        </w:rPr>
        <w:t xml:space="preserve"> flow was blocked completely. </w:t>
      </w:r>
      <w:r w:rsidR="00D02B75" w:rsidRPr="00113F82">
        <w:rPr>
          <w:rFonts w:cs="Book Antiqua"/>
        </w:rPr>
        <w:t>TIPS was conducted</w:t>
      </w:r>
      <w:r w:rsidR="00D02B75" w:rsidRPr="00113F82" w:rsidDel="00195271">
        <w:rPr>
          <w:rFonts w:cs="Book Antiqua"/>
        </w:rPr>
        <w:t xml:space="preserve"> </w:t>
      </w:r>
      <w:r w:rsidR="00E40F48" w:rsidRPr="00113F82">
        <w:rPr>
          <w:rFonts w:eastAsiaTheme="minorEastAsia" w:cs="Book Antiqua"/>
          <w:lang w:eastAsia="zh-CN"/>
        </w:rPr>
        <w:t xml:space="preserve">after </w:t>
      </w:r>
      <w:r w:rsidRPr="00113F82">
        <w:rPr>
          <w:rFonts w:cs="Book Antiqua"/>
        </w:rPr>
        <w:t xml:space="preserve">percutaneous transhepatic portal puncture was performed directly, and a catheter was placed in the </w:t>
      </w:r>
      <w:r w:rsidR="00195271" w:rsidRPr="00113F82">
        <w:rPr>
          <w:rFonts w:cs="Book Antiqua"/>
        </w:rPr>
        <w:t>PV</w:t>
      </w:r>
      <w:r w:rsidRPr="00113F82">
        <w:rPr>
          <w:rFonts w:cs="Book Antiqua"/>
        </w:rPr>
        <w:t xml:space="preserve"> as a mark</w:t>
      </w:r>
      <w:r w:rsidR="00195271" w:rsidRPr="00113F82">
        <w:rPr>
          <w:rFonts w:cs="Book Antiqua"/>
        </w:rPr>
        <w:t>er</w:t>
      </w:r>
      <w:r w:rsidRPr="00113F82">
        <w:rPr>
          <w:rFonts w:cs="Book Antiqua"/>
        </w:rPr>
        <w:t>.</w:t>
      </w:r>
    </w:p>
    <w:p w14:paraId="3E79F8DD" w14:textId="143C0E50" w:rsidR="00CE6888" w:rsidRPr="00113F82" w:rsidRDefault="00CE6888" w:rsidP="00F91C4A">
      <w:pPr>
        <w:pStyle w:val="a3"/>
        <w:spacing w:line="360" w:lineRule="auto"/>
        <w:ind w:left="0" w:firstLineChars="100" w:firstLine="240"/>
        <w:jc w:val="both"/>
        <w:rPr>
          <w:rFonts w:cs="Book Antiqua"/>
        </w:rPr>
      </w:pPr>
      <w:r w:rsidRPr="00113F82">
        <w:rPr>
          <w:rFonts w:cs="Book Antiqua"/>
        </w:rPr>
        <w:t>Patients were assigned nonrandomly to undergo TIPS with covered stents (Fluency</w:t>
      </w:r>
      <w:r w:rsidR="000208D6" w:rsidRPr="00113F82">
        <w:rPr>
          <w:rFonts w:cs="Book Antiqua"/>
        </w:rPr>
        <w:t xml:space="preserve">; </w:t>
      </w:r>
      <w:r w:rsidRPr="00113F82">
        <w:rPr>
          <w:rFonts w:cs="Book Antiqua"/>
        </w:rPr>
        <w:t>Bard, Tempe</w:t>
      </w:r>
      <w:r w:rsidR="000208D6" w:rsidRPr="00113F82">
        <w:rPr>
          <w:rFonts w:cs="Book Antiqua"/>
        </w:rPr>
        <w:t>, AZ, U</w:t>
      </w:r>
      <w:r w:rsidR="00F91C4A" w:rsidRPr="00113F82">
        <w:rPr>
          <w:rFonts w:eastAsiaTheme="minorEastAsia" w:cs="Book Antiqua"/>
          <w:lang w:eastAsia="zh-CN"/>
        </w:rPr>
        <w:t xml:space="preserve">nited </w:t>
      </w:r>
      <w:r w:rsidR="000208D6" w:rsidRPr="00113F82">
        <w:rPr>
          <w:rFonts w:cs="Book Antiqua"/>
        </w:rPr>
        <w:t>S</w:t>
      </w:r>
      <w:r w:rsidR="00F91C4A" w:rsidRPr="00113F82">
        <w:rPr>
          <w:rFonts w:eastAsiaTheme="minorEastAsia" w:cs="Book Antiqua"/>
          <w:lang w:eastAsia="zh-CN"/>
        </w:rPr>
        <w:t>tates</w:t>
      </w:r>
      <w:r w:rsidRPr="00113F82">
        <w:rPr>
          <w:rFonts w:cs="Book Antiqua"/>
        </w:rPr>
        <w:t xml:space="preserve">), </w:t>
      </w:r>
      <w:r w:rsidR="00144A82" w:rsidRPr="00113F82">
        <w:rPr>
          <w:rFonts w:eastAsiaTheme="minorEastAsia" w:cs="Book Antiqua"/>
          <w:lang w:eastAsia="zh-CN"/>
        </w:rPr>
        <w:t>under</w:t>
      </w:r>
      <w:r w:rsidR="00144A82" w:rsidRPr="00113F82">
        <w:rPr>
          <w:rFonts w:cs="Book Antiqua"/>
        </w:rPr>
        <w:t xml:space="preserve"> </w:t>
      </w:r>
      <w:r w:rsidRPr="00113F82">
        <w:rPr>
          <w:rFonts w:cs="Book Antiqua"/>
        </w:rPr>
        <w:t xml:space="preserve">local anesthesia at the puncture site. A needle was passed from the right jugular vein to the inferior vena cava (IVC) or hepatic vein followed by a guidewire, and then the needle was passed to the </w:t>
      </w:r>
      <w:r w:rsidR="000208D6" w:rsidRPr="00113F82">
        <w:rPr>
          <w:rFonts w:cs="Book Antiqua"/>
        </w:rPr>
        <w:t>PV</w:t>
      </w:r>
      <w:r w:rsidRPr="00113F82">
        <w:t xml:space="preserve"> </w:t>
      </w:r>
      <w:r w:rsidR="0059054F" w:rsidRPr="00113F82">
        <w:t xml:space="preserve">to </w:t>
      </w:r>
      <w:r w:rsidRPr="00113F82">
        <w:t xml:space="preserve">measure the free </w:t>
      </w:r>
      <w:r w:rsidR="000208D6" w:rsidRPr="00113F82">
        <w:rPr>
          <w:rFonts w:cs="Book Antiqua"/>
        </w:rPr>
        <w:t>PV</w:t>
      </w:r>
      <w:r w:rsidRPr="00113F82">
        <w:t xml:space="preserve"> pressure </w:t>
      </w:r>
      <w:r w:rsidRPr="00113F82">
        <w:rPr>
          <w:rFonts w:cs="Book Antiqua"/>
        </w:rPr>
        <w:t xml:space="preserve">(PVP). The difference between </w:t>
      </w:r>
      <w:r w:rsidR="000208D6" w:rsidRPr="00113F82">
        <w:rPr>
          <w:rFonts w:cs="Book Antiqua"/>
        </w:rPr>
        <w:t>PVP</w:t>
      </w:r>
      <w:r w:rsidRPr="00113F82">
        <w:rPr>
          <w:rFonts w:cs="Book Antiqua"/>
        </w:rPr>
        <w:t xml:space="preserve"> and the </w:t>
      </w:r>
      <w:r w:rsidR="000208D6" w:rsidRPr="00113F82">
        <w:rPr>
          <w:rFonts w:cs="Book Antiqua"/>
        </w:rPr>
        <w:t>IVC</w:t>
      </w:r>
      <w:r w:rsidRPr="00113F82">
        <w:rPr>
          <w:rFonts w:cs="Book Antiqua"/>
        </w:rPr>
        <w:t xml:space="preserve"> </w:t>
      </w:r>
      <w:r w:rsidR="0059054F" w:rsidRPr="00113F82">
        <w:rPr>
          <w:rFonts w:cs="Book Antiqua"/>
        </w:rPr>
        <w:t xml:space="preserve">pressure </w:t>
      </w:r>
      <w:r w:rsidRPr="00113F82">
        <w:t>represented the portosystemic gradient (</w:t>
      </w:r>
      <w:r w:rsidR="000208D6" w:rsidRPr="00113F82">
        <w:t>PSG</w:t>
      </w:r>
      <w:r w:rsidRPr="00113F82">
        <w:t xml:space="preserve">). </w:t>
      </w:r>
      <w:r w:rsidRPr="00113F82">
        <w:rPr>
          <w:rFonts w:cs="Book Antiqua"/>
        </w:rPr>
        <w:t xml:space="preserve">The puncture set </w:t>
      </w:r>
      <w:r w:rsidRPr="00113F82">
        <w:rPr>
          <w:rFonts w:cs="Book Antiqua"/>
        </w:rPr>
        <w:lastRenderedPageBreak/>
        <w:t>(RUPS-100</w:t>
      </w:r>
      <w:r w:rsidR="00EF18CF" w:rsidRPr="00113F82">
        <w:rPr>
          <w:rFonts w:cs="Book Antiqua"/>
        </w:rPr>
        <w:t>;</w:t>
      </w:r>
      <w:r w:rsidR="008529B5" w:rsidRPr="00113F82">
        <w:rPr>
          <w:rFonts w:cs="Book Antiqua"/>
        </w:rPr>
        <w:t xml:space="preserve"> </w:t>
      </w:r>
      <w:r w:rsidR="008529B5" w:rsidRPr="00113F82">
        <w:t xml:space="preserve">Cook, Ind, </w:t>
      </w:r>
      <w:r w:rsidR="00F91C4A" w:rsidRPr="00113F82">
        <w:rPr>
          <w:rFonts w:cs="Book Antiqua"/>
        </w:rPr>
        <w:t>U</w:t>
      </w:r>
      <w:r w:rsidR="00F91C4A" w:rsidRPr="00113F82">
        <w:rPr>
          <w:rFonts w:eastAsiaTheme="minorEastAsia" w:cs="Book Antiqua"/>
          <w:lang w:eastAsia="zh-CN"/>
        </w:rPr>
        <w:t xml:space="preserve">nited </w:t>
      </w:r>
      <w:r w:rsidR="00F91C4A" w:rsidRPr="00113F82">
        <w:rPr>
          <w:rFonts w:cs="Book Antiqua"/>
        </w:rPr>
        <w:t>S</w:t>
      </w:r>
      <w:r w:rsidR="00F91C4A" w:rsidRPr="00113F82">
        <w:rPr>
          <w:rFonts w:eastAsiaTheme="minorEastAsia" w:cs="Book Antiqua"/>
          <w:lang w:eastAsia="zh-CN"/>
        </w:rPr>
        <w:t>tates</w:t>
      </w:r>
      <w:r w:rsidRPr="00113F82">
        <w:rPr>
          <w:rFonts w:cs="Book Antiqua"/>
        </w:rPr>
        <w:t xml:space="preserve">) was placed in the </w:t>
      </w:r>
      <w:r w:rsidR="000208D6" w:rsidRPr="00113F82">
        <w:rPr>
          <w:rFonts w:cs="Book Antiqua"/>
        </w:rPr>
        <w:t>PV</w:t>
      </w:r>
      <w:r w:rsidRPr="00113F82">
        <w:rPr>
          <w:rFonts w:cs="Book Antiqua"/>
        </w:rPr>
        <w:t>. Two guide wires were placed in the splenic vein or superior mesenteric vein</w:t>
      </w:r>
      <w:r w:rsidR="00EC2AEE" w:rsidRPr="00113F82">
        <w:rPr>
          <w:rFonts w:cs="Book Antiqua"/>
        </w:rPr>
        <w:t>,</w:t>
      </w:r>
      <w:r w:rsidRPr="00113F82">
        <w:rPr>
          <w:rFonts w:cs="Book Antiqua"/>
        </w:rPr>
        <w:t xml:space="preserve"> through the RUPS-100. The guide wire was placed, RUPS-100 was pulled out, </w:t>
      </w:r>
      <w:r w:rsidR="000208D6" w:rsidRPr="00113F82">
        <w:rPr>
          <w:rFonts w:cs="Book Antiqua"/>
        </w:rPr>
        <w:t xml:space="preserve">a </w:t>
      </w:r>
      <w:r w:rsidRPr="00113F82">
        <w:rPr>
          <w:rFonts w:cs="Book Antiqua"/>
        </w:rPr>
        <w:t>4</w:t>
      </w:r>
      <w:r w:rsidR="000208D6" w:rsidRPr="00113F82">
        <w:rPr>
          <w:rFonts w:cs="Book Antiqua"/>
        </w:rPr>
        <w:t xml:space="preserve"> </w:t>
      </w:r>
      <w:r w:rsidRPr="00113F82">
        <w:rPr>
          <w:rFonts w:cs="Book Antiqua"/>
        </w:rPr>
        <w:t xml:space="preserve">F catheter was inserted into the distal vessel of the </w:t>
      </w:r>
      <w:r w:rsidR="000208D6" w:rsidRPr="00113F82">
        <w:rPr>
          <w:rFonts w:cs="Book Antiqua"/>
        </w:rPr>
        <w:t>TT</w:t>
      </w:r>
      <w:r w:rsidRPr="00113F82">
        <w:rPr>
          <w:rFonts w:cs="Book Antiqua"/>
        </w:rPr>
        <w:t xml:space="preserve"> through one guide wire, and the RUPS-100 suit was reinserted into the </w:t>
      </w:r>
      <w:r w:rsidR="000208D6" w:rsidRPr="00113F82">
        <w:rPr>
          <w:rFonts w:cs="Book Antiqua"/>
        </w:rPr>
        <w:t xml:space="preserve">PV </w:t>
      </w:r>
      <w:r w:rsidRPr="00113F82">
        <w:rPr>
          <w:rFonts w:cs="Book Antiqua"/>
        </w:rPr>
        <w:t xml:space="preserve">via another guide wire. Next, a pigtail catheter was advanced through the RUPS-100 to the distal end of the splenic vein or superior mesenteric vein to measure </w:t>
      </w:r>
      <w:r w:rsidR="000208D6" w:rsidRPr="00113F82">
        <w:rPr>
          <w:rFonts w:cs="Book Antiqua"/>
        </w:rPr>
        <w:t>PVP</w:t>
      </w:r>
      <w:r w:rsidRPr="00113F82">
        <w:rPr>
          <w:rFonts w:cs="Book Antiqua"/>
        </w:rPr>
        <w:t xml:space="preserve"> and radiography was conducted. </w:t>
      </w:r>
      <w:r w:rsidR="000208D6" w:rsidRPr="00113F82">
        <w:rPr>
          <w:rFonts w:cs="Book Antiqua"/>
        </w:rPr>
        <w:t>The</w:t>
      </w:r>
      <w:r w:rsidRPr="00113F82">
        <w:rPr>
          <w:rFonts w:cs="Book Antiqua"/>
        </w:rPr>
        <w:t xml:space="preserve"> varicose veins were embolized with coils. An 8-mm balloon was used in every patient to dilate the liver parenchyma. Both 8-mm and 10-mm covered stents were implanted. The 10-mm stent was implanted at the distal end of the </w:t>
      </w:r>
      <w:r w:rsidR="000208D6" w:rsidRPr="00113F82">
        <w:rPr>
          <w:rFonts w:cs="Book Antiqua"/>
        </w:rPr>
        <w:t>TT</w:t>
      </w:r>
      <w:r w:rsidRPr="00113F82">
        <w:rPr>
          <w:rFonts w:cs="Book Antiqua"/>
        </w:rPr>
        <w:t xml:space="preserve">, covering the </w:t>
      </w:r>
      <w:r w:rsidR="000208D6" w:rsidRPr="00113F82">
        <w:rPr>
          <w:rFonts w:cs="Book Antiqua"/>
        </w:rPr>
        <w:t>TT</w:t>
      </w:r>
      <w:r w:rsidRPr="00113F82">
        <w:rPr>
          <w:rFonts w:cs="Book Antiqua"/>
        </w:rPr>
        <w:t xml:space="preserve">, whereas the 8-mm stent was implanted in the hepatic parenchyma and at the proximal end of the </w:t>
      </w:r>
      <w:r w:rsidR="000208D6" w:rsidRPr="00113F82">
        <w:rPr>
          <w:rFonts w:cs="Book Antiqua"/>
        </w:rPr>
        <w:t>TT</w:t>
      </w:r>
      <w:r w:rsidRPr="00113F82">
        <w:rPr>
          <w:rFonts w:cs="Book Antiqua"/>
        </w:rPr>
        <w:t xml:space="preserve">. Measurement of </w:t>
      </w:r>
      <w:r w:rsidR="000208D6" w:rsidRPr="00113F82">
        <w:rPr>
          <w:rFonts w:cs="Book Antiqua"/>
        </w:rPr>
        <w:t>PVP</w:t>
      </w:r>
      <w:r w:rsidRPr="00113F82">
        <w:rPr>
          <w:rFonts w:cs="Book Antiqua"/>
        </w:rPr>
        <w:t xml:space="preserve"> before and after placement of TIPS </w:t>
      </w:r>
      <w:r w:rsidR="000208D6" w:rsidRPr="00113F82">
        <w:rPr>
          <w:rFonts w:cs="Book Antiqua"/>
        </w:rPr>
        <w:t xml:space="preserve">allowed </w:t>
      </w:r>
      <w:r w:rsidRPr="00113F82">
        <w:rPr>
          <w:rFonts w:cs="Book Antiqua"/>
        </w:rPr>
        <w:t xml:space="preserve">assessment of the success of the procedure. If combined with percutaneous liver puncture, after TIPS, the </w:t>
      </w:r>
      <w:r w:rsidR="000208D6" w:rsidRPr="00113F82">
        <w:rPr>
          <w:rFonts w:cs="Book Antiqua"/>
        </w:rPr>
        <w:t>PV</w:t>
      </w:r>
      <w:r w:rsidRPr="00113F82">
        <w:rPr>
          <w:rFonts w:cs="Book Antiqua"/>
        </w:rPr>
        <w:t xml:space="preserve"> catheter was pulled out, and the hepatic puncture passage was strictly blocked during the pullout to avoid intraperitoneal or thoracic hemorrhage.</w:t>
      </w:r>
    </w:p>
    <w:p w14:paraId="22F6A6E6" w14:textId="77777777" w:rsidR="000208D6" w:rsidRPr="00113F82" w:rsidRDefault="000208D6" w:rsidP="00E107FC">
      <w:pPr>
        <w:pStyle w:val="2"/>
        <w:spacing w:line="360" w:lineRule="auto"/>
        <w:ind w:left="0"/>
        <w:jc w:val="both"/>
        <w:rPr>
          <w:b w:val="0"/>
          <w:i w:val="0"/>
          <w:vertAlign w:val="superscript"/>
        </w:rPr>
      </w:pPr>
    </w:p>
    <w:p w14:paraId="684D1837" w14:textId="3F861E8F" w:rsidR="00CE6888" w:rsidRPr="00113F82" w:rsidRDefault="00CE6888" w:rsidP="00E107FC">
      <w:pPr>
        <w:pStyle w:val="2"/>
        <w:spacing w:line="360" w:lineRule="auto"/>
        <w:ind w:left="0"/>
        <w:jc w:val="both"/>
      </w:pPr>
      <w:r w:rsidRPr="00113F82">
        <w:rPr>
          <w:vertAlign w:val="superscript"/>
        </w:rPr>
        <w:t>125</w:t>
      </w:r>
      <w:r w:rsidRPr="00113F82">
        <w:t>I implantation</w:t>
      </w:r>
    </w:p>
    <w:p w14:paraId="4CD28231" w14:textId="5EFDBED2" w:rsidR="00CE6888" w:rsidRPr="00113F82" w:rsidRDefault="00CE6888" w:rsidP="00E107FC">
      <w:pPr>
        <w:pStyle w:val="a3"/>
        <w:spacing w:line="360" w:lineRule="auto"/>
        <w:ind w:left="0"/>
        <w:jc w:val="both"/>
        <w:rPr>
          <w:rFonts w:cs="Book Antiqua"/>
        </w:rPr>
      </w:pPr>
      <w:r w:rsidRPr="00113F82">
        <w:rPr>
          <w:rFonts w:cs="Book Antiqua"/>
        </w:rPr>
        <w:t>In the TIPS-</w:t>
      </w:r>
      <w:r w:rsidRPr="00113F82">
        <w:rPr>
          <w:rFonts w:cs="Book Antiqua"/>
          <w:vertAlign w:val="superscript"/>
        </w:rPr>
        <w:t>125</w:t>
      </w:r>
      <w:r w:rsidRPr="00113F82">
        <w:rPr>
          <w:rFonts w:cs="Book Antiqua"/>
        </w:rPr>
        <w:t>I group, the patients underwent TIPS similar to th</w:t>
      </w:r>
      <w:r w:rsidR="00083961" w:rsidRPr="00113F82">
        <w:rPr>
          <w:rFonts w:cs="Book Antiqua"/>
        </w:rPr>
        <w:t>os</w:t>
      </w:r>
      <w:r w:rsidRPr="00113F82">
        <w:rPr>
          <w:rFonts w:cs="Book Antiqua"/>
        </w:rPr>
        <w:t xml:space="preserve">e in the TIPS only group. After the shunt was successfully established, the catheter between the stent and </w:t>
      </w:r>
      <w:r w:rsidR="00083961" w:rsidRPr="00113F82">
        <w:rPr>
          <w:rFonts w:cs="Book Antiqua"/>
        </w:rPr>
        <w:t>TT</w:t>
      </w:r>
      <w:r w:rsidRPr="00113F82">
        <w:rPr>
          <w:rFonts w:cs="Book Antiqua"/>
        </w:rPr>
        <w:t xml:space="preserve"> was linked to the particle release gun. The catheter was slowly retreated, </w:t>
      </w:r>
      <w:r w:rsidR="00083961" w:rsidRPr="00113F82">
        <w:rPr>
          <w:rFonts w:cs="Book Antiqua"/>
        </w:rPr>
        <w:t xml:space="preserve">and </w:t>
      </w:r>
      <w:r w:rsidRPr="00113F82">
        <w:rPr>
          <w:rFonts w:cs="Book Antiqua"/>
        </w:rPr>
        <w:t>at the same time</w:t>
      </w:r>
      <w:r w:rsidR="00083961" w:rsidRPr="00113F82">
        <w:rPr>
          <w:rFonts w:cs="Book Antiqua"/>
        </w:rPr>
        <w:t>,</w:t>
      </w:r>
      <w:r w:rsidRPr="00113F82">
        <w:rPr>
          <w:rFonts w:cs="Book Antiqua"/>
        </w:rPr>
        <w:t xml:space="preserve"> the </w:t>
      </w:r>
      <w:r w:rsidRPr="00113F82">
        <w:rPr>
          <w:rFonts w:cs="Book Antiqua"/>
          <w:vertAlign w:val="superscript"/>
        </w:rPr>
        <w:t>125</w:t>
      </w:r>
      <w:r w:rsidRPr="00113F82">
        <w:rPr>
          <w:rFonts w:cs="Book Antiqua"/>
        </w:rPr>
        <w:t>I radioactive particles (Tong Fu</w:t>
      </w:r>
      <w:r w:rsidR="00606CED" w:rsidRPr="00113F82">
        <w:rPr>
          <w:rFonts w:cs="Book Antiqua"/>
        </w:rPr>
        <w:t>,</w:t>
      </w:r>
      <w:r w:rsidRPr="00113F82">
        <w:rPr>
          <w:rFonts w:cs="Book Antiqua"/>
        </w:rPr>
        <w:t xml:space="preserve"> Inc</w:t>
      </w:r>
      <w:r w:rsidR="00F91C4A" w:rsidRPr="00113F82">
        <w:rPr>
          <w:rFonts w:eastAsiaTheme="minorEastAsia" w:cs="Book Antiqua"/>
          <w:lang w:eastAsia="zh-CN"/>
        </w:rPr>
        <w:t>.</w:t>
      </w:r>
      <w:r w:rsidR="00606CED" w:rsidRPr="00113F82">
        <w:rPr>
          <w:rFonts w:eastAsiaTheme="minorEastAsia" w:cs="Book Antiqua"/>
          <w:lang w:eastAsia="zh-CN"/>
        </w:rPr>
        <w:t xml:space="preserve">, </w:t>
      </w:r>
      <w:r w:rsidR="00AB23B0" w:rsidRPr="00113F82">
        <w:rPr>
          <w:rFonts w:eastAsiaTheme="minorEastAsia" w:cs="Book Antiqua"/>
          <w:lang w:eastAsia="zh-CN"/>
        </w:rPr>
        <w:t>China</w:t>
      </w:r>
      <w:r w:rsidRPr="00113F82">
        <w:rPr>
          <w:rFonts w:cs="Book Antiqua"/>
        </w:rPr>
        <w:t xml:space="preserve">) were released through the catheter up to the proximal end of the portal vein trunk and </w:t>
      </w:r>
      <w:r w:rsidR="00083961" w:rsidRPr="00113F82">
        <w:rPr>
          <w:rFonts w:cs="Book Antiqua"/>
        </w:rPr>
        <w:t>TT</w:t>
      </w:r>
      <w:r w:rsidRPr="00113F82">
        <w:rPr>
          <w:rFonts w:cs="Book Antiqua"/>
        </w:rPr>
        <w:t xml:space="preserve">. The radioactive particles were arranged as neatly as possible in all </w:t>
      </w:r>
      <w:r w:rsidR="00083961" w:rsidRPr="00113F82">
        <w:rPr>
          <w:rFonts w:cs="Book Antiqua"/>
        </w:rPr>
        <w:t>TTs</w:t>
      </w:r>
      <w:r w:rsidRPr="00113F82">
        <w:rPr>
          <w:rFonts w:cs="Book Antiqua"/>
        </w:rPr>
        <w:t xml:space="preserve">. After implantation, </w:t>
      </w:r>
      <w:r w:rsidR="00083961" w:rsidRPr="00113F82">
        <w:rPr>
          <w:rFonts w:cs="Book Antiqua"/>
        </w:rPr>
        <w:t>PVP</w:t>
      </w:r>
      <w:r w:rsidRPr="00113F82">
        <w:rPr>
          <w:rFonts w:cs="Book Antiqua"/>
        </w:rPr>
        <w:t xml:space="preserve"> was measured and portography was performed again. </w:t>
      </w:r>
      <w:r w:rsidRPr="00113F82">
        <w:rPr>
          <w:rFonts w:cs="Book Antiqua"/>
          <w:vertAlign w:val="superscript"/>
        </w:rPr>
        <w:t>125</w:t>
      </w:r>
      <w:r w:rsidRPr="00113F82">
        <w:rPr>
          <w:rFonts w:cs="Book Antiqua"/>
        </w:rPr>
        <w:t>I emit</w:t>
      </w:r>
      <w:r w:rsidR="00083961" w:rsidRPr="00113F82">
        <w:rPr>
          <w:rFonts w:cs="Book Antiqua"/>
        </w:rPr>
        <w:t>ted</w:t>
      </w:r>
      <w:r w:rsidRPr="00113F82">
        <w:rPr>
          <w:rFonts w:cs="Book Antiqua"/>
        </w:rPr>
        <w:t xml:space="preserve"> characteristic electrons and photons through the recession of </w:t>
      </w:r>
      <w:r w:rsidR="00083961" w:rsidRPr="00113F82">
        <w:rPr>
          <w:rFonts w:cs="Book Antiqua"/>
        </w:rPr>
        <w:t xml:space="preserve">the </w:t>
      </w:r>
      <w:r w:rsidRPr="00113F82">
        <w:rPr>
          <w:rFonts w:cs="Book Antiqua"/>
        </w:rPr>
        <w:t xml:space="preserve">electron capture surface. The electrons were absorbed by the titanium alloy wall of the sealed seeds of </w:t>
      </w:r>
      <w:r w:rsidRPr="00113F82">
        <w:rPr>
          <w:rFonts w:cs="Book Antiqua"/>
          <w:vertAlign w:val="superscript"/>
        </w:rPr>
        <w:t>125</w:t>
      </w:r>
      <w:r w:rsidRPr="00113F82">
        <w:rPr>
          <w:rFonts w:cs="Book Antiqua"/>
        </w:rPr>
        <w:t>I. The photons mainly emit</w:t>
      </w:r>
      <w:r w:rsidR="00083961" w:rsidRPr="00113F82">
        <w:rPr>
          <w:rFonts w:cs="Book Antiqua"/>
        </w:rPr>
        <w:t>ted</w:t>
      </w:r>
      <w:r w:rsidRPr="00113F82">
        <w:rPr>
          <w:rFonts w:cs="Book Antiqua"/>
        </w:rPr>
        <w:t xml:space="preserve"> </w:t>
      </w:r>
      <w:r w:rsidR="00083961" w:rsidRPr="00113F82">
        <w:rPr>
          <w:rFonts w:cs="Book Antiqua"/>
        </w:rPr>
        <w:t xml:space="preserve">X </w:t>
      </w:r>
      <w:r w:rsidRPr="00113F82">
        <w:rPr>
          <w:rFonts w:cs="Book Antiqua"/>
        </w:rPr>
        <w:t xml:space="preserve">rays of 27.4 and 31.4 </w:t>
      </w:r>
      <w:r w:rsidR="00083961" w:rsidRPr="00113F82">
        <w:rPr>
          <w:rFonts w:cs="Book Antiqua"/>
        </w:rPr>
        <w:t xml:space="preserve">keV </w:t>
      </w:r>
      <w:r w:rsidRPr="00113F82">
        <w:rPr>
          <w:rFonts w:cs="Book Antiqua"/>
        </w:rPr>
        <w:t xml:space="preserve">as well as </w:t>
      </w:r>
      <w:r w:rsidRPr="00113F82">
        <w:rPr>
          <w:rFonts w:cs="Times New Roman"/>
        </w:rPr>
        <w:t>γ</w:t>
      </w:r>
      <w:r w:rsidR="00083961" w:rsidRPr="00113F82">
        <w:rPr>
          <w:rFonts w:cs="Book Antiqua"/>
        </w:rPr>
        <w:t xml:space="preserve"> </w:t>
      </w:r>
      <w:r w:rsidRPr="00113F82">
        <w:rPr>
          <w:rFonts w:cs="Book Antiqua"/>
        </w:rPr>
        <w:t>rays of 35.5 KeV.</w:t>
      </w:r>
      <w:r w:rsidR="00083961" w:rsidRPr="00113F82">
        <w:rPr>
          <w:rFonts w:cs="Book Antiqua"/>
        </w:rPr>
        <w:t xml:space="preserve"> P</w:t>
      </w:r>
      <w:r w:rsidRPr="00113F82">
        <w:rPr>
          <w:rFonts w:cs="Book Antiqua"/>
        </w:rPr>
        <w:t xml:space="preserve">ictures taken </w:t>
      </w:r>
      <w:r w:rsidR="00083961" w:rsidRPr="00113F82">
        <w:rPr>
          <w:rFonts w:cs="Book Antiqua"/>
        </w:rPr>
        <w:t xml:space="preserve">during </w:t>
      </w:r>
      <w:r w:rsidRPr="00113F82">
        <w:rPr>
          <w:rFonts w:cs="Book Antiqua"/>
        </w:rPr>
        <w:t>the operation are shown in Fig</w:t>
      </w:r>
      <w:r w:rsidR="00083961" w:rsidRPr="00113F82">
        <w:rPr>
          <w:rFonts w:cs="Book Antiqua"/>
        </w:rPr>
        <w:t>ure</w:t>
      </w:r>
      <w:r w:rsidRPr="00113F82">
        <w:rPr>
          <w:rFonts w:cs="Book Antiqua"/>
        </w:rPr>
        <w:t xml:space="preserve"> 2.</w:t>
      </w:r>
    </w:p>
    <w:p w14:paraId="2FB621FD" w14:textId="77777777" w:rsidR="00083961" w:rsidRPr="00113F82" w:rsidRDefault="00083961" w:rsidP="00E107FC">
      <w:pPr>
        <w:pStyle w:val="a3"/>
        <w:spacing w:line="360" w:lineRule="auto"/>
        <w:ind w:left="0"/>
        <w:jc w:val="both"/>
        <w:rPr>
          <w:rFonts w:cs="Book Antiqua"/>
        </w:rPr>
      </w:pPr>
    </w:p>
    <w:p w14:paraId="42D96233" w14:textId="77777777" w:rsidR="00CE6888" w:rsidRPr="00113F82" w:rsidRDefault="00CE6888" w:rsidP="00E107FC">
      <w:pPr>
        <w:pStyle w:val="2"/>
        <w:spacing w:line="360" w:lineRule="auto"/>
        <w:ind w:left="0"/>
        <w:jc w:val="both"/>
      </w:pPr>
      <w:r w:rsidRPr="00113F82">
        <w:lastRenderedPageBreak/>
        <w:t>TACE/TAE</w:t>
      </w:r>
      <w:r w:rsidRPr="00113F82">
        <w:rPr>
          <w:spacing w:val="-6"/>
        </w:rPr>
        <w:t xml:space="preserve"> </w:t>
      </w:r>
      <w:r w:rsidRPr="00113F82">
        <w:t>procedure</w:t>
      </w:r>
    </w:p>
    <w:p w14:paraId="2899148C" w14:textId="5D25960F" w:rsidR="00CE6888" w:rsidRPr="00113F82" w:rsidRDefault="00CE6888" w:rsidP="00E107FC">
      <w:pPr>
        <w:pStyle w:val="a3"/>
        <w:spacing w:line="360" w:lineRule="auto"/>
        <w:ind w:left="0"/>
        <w:jc w:val="both"/>
        <w:rPr>
          <w:rFonts w:cs="Book Antiqua"/>
        </w:rPr>
      </w:pPr>
      <w:r w:rsidRPr="00113F82">
        <w:rPr>
          <w:rFonts w:cs="Book Antiqua"/>
        </w:rPr>
        <w:t xml:space="preserve">Before or after TIPS, class A </w:t>
      </w:r>
      <w:r w:rsidR="00083961" w:rsidRPr="00113F82">
        <w:rPr>
          <w:rFonts w:cs="Book Antiqua"/>
        </w:rPr>
        <w:t xml:space="preserve">liver function </w:t>
      </w:r>
      <w:r w:rsidRPr="00113F82">
        <w:rPr>
          <w:rFonts w:cs="Book Antiqua"/>
        </w:rPr>
        <w:t xml:space="preserve">patients were treated with TACE depending on the lesion size and its blood supply. The embolization agent </w:t>
      </w:r>
      <w:r w:rsidR="00EF3A8F" w:rsidRPr="00113F82">
        <w:rPr>
          <w:rFonts w:eastAsiaTheme="minorEastAsia" w:cs="Book Antiqua"/>
          <w:lang w:eastAsia="zh-CN"/>
        </w:rPr>
        <w:t xml:space="preserve">of </w:t>
      </w:r>
      <w:r w:rsidRPr="00113F82">
        <w:rPr>
          <w:rFonts w:cs="Book Antiqua"/>
        </w:rPr>
        <w:t>iodinated oil</w:t>
      </w:r>
      <w:r w:rsidR="00956CDE" w:rsidRPr="00113F82">
        <w:rPr>
          <w:rFonts w:eastAsiaTheme="minorEastAsia" w:cs="Book Antiqua"/>
          <w:lang w:eastAsia="zh-CN"/>
        </w:rPr>
        <w:t xml:space="preserve"> </w:t>
      </w:r>
      <w:r w:rsidR="00EF3A8F" w:rsidRPr="00113F82">
        <w:rPr>
          <w:rFonts w:eastAsiaTheme="minorEastAsia" w:cs="Book Antiqua"/>
          <w:lang w:eastAsia="zh-CN"/>
        </w:rPr>
        <w:t>(</w:t>
      </w:r>
      <w:r w:rsidR="00EF3A8F" w:rsidRPr="00113F82">
        <w:rPr>
          <w:rFonts w:cs="Book Antiqua"/>
        </w:rPr>
        <w:t>3–30 mL</w:t>
      </w:r>
      <w:r w:rsidR="00EF3A8F" w:rsidRPr="00113F82">
        <w:rPr>
          <w:rFonts w:eastAsiaTheme="minorEastAsia" w:cs="Book Antiqua"/>
          <w:lang w:eastAsia="zh-CN"/>
        </w:rPr>
        <w:t xml:space="preserve">) </w:t>
      </w:r>
      <w:r w:rsidR="00956CDE" w:rsidRPr="00113F82">
        <w:rPr>
          <w:rFonts w:eastAsiaTheme="minorEastAsia" w:cs="Book Antiqua"/>
          <w:lang w:eastAsia="zh-CN"/>
        </w:rPr>
        <w:t>was used</w:t>
      </w:r>
      <w:r w:rsidRPr="00113F82">
        <w:rPr>
          <w:rFonts w:cs="Book Antiqua"/>
        </w:rPr>
        <w:t>. The chemotherapeutic</w:t>
      </w:r>
      <w:r w:rsidR="00083961" w:rsidRPr="00113F82">
        <w:rPr>
          <w:rFonts w:cs="Book Antiqua"/>
        </w:rPr>
        <w:t xml:space="preserve"> agent</w:t>
      </w:r>
      <w:r w:rsidRPr="00113F82">
        <w:rPr>
          <w:rFonts w:cs="Book Antiqua"/>
        </w:rPr>
        <w:t xml:space="preserve">s used </w:t>
      </w:r>
      <w:r w:rsidR="00EF3A8F" w:rsidRPr="00113F82">
        <w:rPr>
          <w:rFonts w:eastAsiaTheme="minorEastAsia" w:cs="Book Antiqua"/>
          <w:lang w:eastAsia="zh-CN"/>
        </w:rPr>
        <w:t xml:space="preserve">included </w:t>
      </w:r>
      <w:r w:rsidRPr="00113F82">
        <w:rPr>
          <w:rFonts w:cs="Book Antiqua"/>
        </w:rPr>
        <w:t xml:space="preserve">pirarubicin </w:t>
      </w:r>
      <w:r w:rsidR="00EF3A8F" w:rsidRPr="00113F82">
        <w:rPr>
          <w:rFonts w:eastAsiaTheme="minorEastAsia" w:cs="Book Antiqua"/>
          <w:lang w:eastAsia="zh-CN"/>
        </w:rPr>
        <w:t>(</w:t>
      </w:r>
      <w:r w:rsidRPr="00113F82">
        <w:rPr>
          <w:rFonts w:cs="Book Antiqua"/>
        </w:rPr>
        <w:t>10</w:t>
      </w:r>
      <w:r w:rsidR="00083961" w:rsidRPr="00113F82">
        <w:rPr>
          <w:rFonts w:cs="Book Antiqua"/>
        </w:rPr>
        <w:t>–</w:t>
      </w:r>
      <w:r w:rsidRPr="00113F82">
        <w:rPr>
          <w:rFonts w:cs="Book Antiqua"/>
        </w:rPr>
        <w:t>20 mg</w:t>
      </w:r>
      <w:r w:rsidR="00EF3A8F" w:rsidRPr="00113F82">
        <w:rPr>
          <w:rFonts w:eastAsiaTheme="minorEastAsia" w:cs="Book Antiqua"/>
          <w:lang w:eastAsia="zh-CN"/>
        </w:rPr>
        <w:t>)</w:t>
      </w:r>
      <w:r w:rsidRPr="00113F82">
        <w:rPr>
          <w:rFonts w:cs="Book Antiqua"/>
        </w:rPr>
        <w:t xml:space="preserve"> and hydroxycamptothecine </w:t>
      </w:r>
      <w:r w:rsidR="00EF3A8F" w:rsidRPr="00113F82">
        <w:rPr>
          <w:rFonts w:eastAsiaTheme="minorEastAsia" w:cs="Book Antiqua"/>
          <w:lang w:eastAsia="zh-CN"/>
        </w:rPr>
        <w:t>(</w:t>
      </w:r>
      <w:r w:rsidRPr="00113F82">
        <w:rPr>
          <w:rFonts w:cs="Book Antiqua"/>
        </w:rPr>
        <w:t>5</w:t>
      </w:r>
      <w:r w:rsidR="00083961" w:rsidRPr="00113F82">
        <w:rPr>
          <w:rFonts w:cs="Book Antiqua"/>
        </w:rPr>
        <w:t>–</w:t>
      </w:r>
      <w:r w:rsidRPr="00113F82">
        <w:rPr>
          <w:rFonts w:cs="Book Antiqua"/>
        </w:rPr>
        <w:t>15 mg</w:t>
      </w:r>
      <w:r w:rsidR="00EF3A8F" w:rsidRPr="00113F82">
        <w:rPr>
          <w:rFonts w:eastAsiaTheme="minorEastAsia" w:cs="Book Antiqua"/>
          <w:lang w:eastAsia="zh-CN"/>
        </w:rPr>
        <w:t>)</w:t>
      </w:r>
      <w:r w:rsidRPr="00113F82">
        <w:rPr>
          <w:rFonts w:cs="Book Antiqua"/>
        </w:rPr>
        <w:t xml:space="preserve">. Before or after TIPS, </w:t>
      </w:r>
      <w:r w:rsidR="00083961" w:rsidRPr="00113F82">
        <w:rPr>
          <w:rFonts w:cs="Book Antiqua"/>
        </w:rPr>
        <w:t xml:space="preserve">patients with </w:t>
      </w:r>
      <w:r w:rsidRPr="00113F82">
        <w:rPr>
          <w:rFonts w:cs="Book Antiqua"/>
        </w:rPr>
        <w:t xml:space="preserve">class B or C </w:t>
      </w:r>
      <w:r w:rsidR="00083961" w:rsidRPr="00113F82">
        <w:rPr>
          <w:rFonts w:cs="Book Antiqua"/>
        </w:rPr>
        <w:t xml:space="preserve">liver function </w:t>
      </w:r>
      <w:r w:rsidRPr="00113F82">
        <w:rPr>
          <w:rFonts w:cs="Book Antiqua"/>
        </w:rPr>
        <w:t xml:space="preserve">were treated with TAE to reduce liver </w:t>
      </w:r>
      <w:r w:rsidR="00083961" w:rsidRPr="00113F82">
        <w:rPr>
          <w:rFonts w:cs="Book Antiqua"/>
        </w:rPr>
        <w:t>dys</w:t>
      </w:r>
      <w:r w:rsidRPr="00113F82">
        <w:rPr>
          <w:rFonts w:cs="Book Antiqua"/>
        </w:rPr>
        <w:t xml:space="preserve">function. The embolization agent </w:t>
      </w:r>
      <w:r w:rsidR="00EF3A8F" w:rsidRPr="00113F82">
        <w:rPr>
          <w:rFonts w:eastAsiaTheme="minorEastAsia" w:cs="Book Antiqua"/>
          <w:lang w:eastAsia="zh-CN"/>
        </w:rPr>
        <w:t xml:space="preserve">of </w:t>
      </w:r>
      <w:r w:rsidR="00EF3A8F" w:rsidRPr="00113F82">
        <w:rPr>
          <w:rFonts w:cs="Book Antiqua"/>
        </w:rPr>
        <w:t xml:space="preserve">iodinated oil </w:t>
      </w:r>
      <w:r w:rsidR="00EF3A8F" w:rsidRPr="00113F82">
        <w:rPr>
          <w:rFonts w:eastAsiaTheme="minorEastAsia" w:cs="Book Antiqua"/>
          <w:lang w:eastAsia="zh-CN"/>
        </w:rPr>
        <w:t>(</w:t>
      </w:r>
      <w:r w:rsidRPr="00113F82">
        <w:rPr>
          <w:rFonts w:cs="Book Antiqua"/>
        </w:rPr>
        <w:t>5</w:t>
      </w:r>
      <w:r w:rsidR="00083961" w:rsidRPr="00113F82">
        <w:rPr>
          <w:rFonts w:cs="Book Antiqua"/>
        </w:rPr>
        <w:t>–</w:t>
      </w:r>
      <w:r w:rsidRPr="00113F82">
        <w:rPr>
          <w:rFonts w:cs="Book Antiqua"/>
        </w:rPr>
        <w:t xml:space="preserve">25 </w:t>
      </w:r>
      <w:r w:rsidR="00083961" w:rsidRPr="00113F82">
        <w:rPr>
          <w:rFonts w:cs="Book Antiqua"/>
        </w:rPr>
        <w:t>mL</w:t>
      </w:r>
      <w:r w:rsidR="00EF3A8F" w:rsidRPr="00113F82">
        <w:rPr>
          <w:rFonts w:eastAsiaTheme="minorEastAsia" w:cs="Book Antiqua"/>
          <w:lang w:eastAsia="zh-CN"/>
        </w:rPr>
        <w:t>) was used</w:t>
      </w:r>
      <w:r w:rsidRPr="00113F82">
        <w:rPr>
          <w:rFonts w:cs="Book Antiqua"/>
        </w:rPr>
        <w:t xml:space="preserve">. </w:t>
      </w:r>
    </w:p>
    <w:p w14:paraId="4920FC41" w14:textId="3B4AB67D" w:rsidR="00CE6888" w:rsidRPr="00113F82" w:rsidRDefault="00CE6888" w:rsidP="00F91C4A">
      <w:pPr>
        <w:pStyle w:val="a3"/>
        <w:spacing w:line="360" w:lineRule="auto"/>
        <w:ind w:left="0" w:firstLineChars="100" w:firstLine="240"/>
        <w:jc w:val="both"/>
        <w:rPr>
          <w:rFonts w:cs="Book Antiqua"/>
        </w:rPr>
      </w:pPr>
      <w:r w:rsidRPr="00113F82">
        <w:rPr>
          <w:rFonts w:cs="Book Antiqua"/>
        </w:rPr>
        <w:t xml:space="preserve">A needle was passed from the right or left femoral artery to the hepatic artery, and hepatic arteriography was performed. Then, a catheter was placed </w:t>
      </w:r>
      <w:r w:rsidR="00083961" w:rsidRPr="00113F82">
        <w:rPr>
          <w:rFonts w:cs="Book Antiqua"/>
        </w:rPr>
        <w:t xml:space="preserve">in </w:t>
      </w:r>
      <w:r w:rsidRPr="00113F82">
        <w:rPr>
          <w:rFonts w:cs="Book Antiqua"/>
        </w:rPr>
        <w:t>the artery directly supplying blood to the cancerous lesion, as closely to the focus as possible, and the embolization and infusion of chemotherapeutic drugs were performed. The interval and number of treatments depended on the size of tumor lesion, artery status, and liver function. Treatment was usually done once every 1–6 mo. In the TIPS-</w:t>
      </w:r>
      <w:r w:rsidRPr="00113F82">
        <w:rPr>
          <w:rFonts w:cs="Book Antiqua"/>
          <w:vertAlign w:val="superscript"/>
        </w:rPr>
        <w:t>125</w:t>
      </w:r>
      <w:r w:rsidRPr="00113F82">
        <w:rPr>
          <w:rFonts w:cs="Book Antiqua"/>
        </w:rPr>
        <w:t xml:space="preserve">I group, </w:t>
      </w:r>
      <w:r w:rsidR="00083961" w:rsidRPr="00113F82">
        <w:rPr>
          <w:rFonts w:cs="Book Antiqua"/>
        </w:rPr>
        <w:t xml:space="preserve">six </w:t>
      </w:r>
      <w:r w:rsidRPr="00113F82">
        <w:rPr>
          <w:rFonts w:cs="Book Antiqua"/>
        </w:rPr>
        <w:t>and 34 patients were treated with TACE and TAE, respectively, whereas 10 and 35 patients were treated with TACE and TAE, respectively, in the TIPS only group, showing no significant difference (</w:t>
      </w:r>
      <w:r w:rsidRPr="00113F82">
        <w:rPr>
          <w:rFonts w:cs="Book Antiqua"/>
          <w:i/>
        </w:rPr>
        <w:t>P</w:t>
      </w:r>
      <w:r w:rsidR="00083961" w:rsidRPr="00113F82">
        <w:rPr>
          <w:rFonts w:cs="Book Antiqua"/>
        </w:rPr>
        <w:t xml:space="preserve"> </w:t>
      </w:r>
      <w:r w:rsidRPr="00113F82">
        <w:rPr>
          <w:rFonts w:cs="Book Antiqua"/>
        </w:rPr>
        <w:t>=</w:t>
      </w:r>
      <w:r w:rsidR="00083961" w:rsidRPr="00113F82">
        <w:rPr>
          <w:rFonts w:cs="Book Antiqua"/>
        </w:rPr>
        <w:t xml:space="preserve"> </w:t>
      </w:r>
      <w:r w:rsidRPr="00113F82">
        <w:rPr>
          <w:rFonts w:cs="Book Antiqua"/>
        </w:rPr>
        <w:t>0.395).</w:t>
      </w:r>
      <w:r w:rsidR="00F91C4A" w:rsidRPr="00113F82">
        <w:rPr>
          <w:rFonts w:eastAsiaTheme="minorEastAsia" w:cs="Book Antiqua"/>
          <w:lang w:eastAsia="zh-CN"/>
        </w:rPr>
        <w:t xml:space="preserve"> </w:t>
      </w:r>
      <w:r w:rsidR="00083961" w:rsidRPr="00113F82">
        <w:rPr>
          <w:rFonts w:cs="Book Antiqua"/>
        </w:rPr>
        <w:t>For r</w:t>
      </w:r>
      <w:r w:rsidRPr="00113F82">
        <w:rPr>
          <w:rFonts w:cs="Book Antiqua"/>
        </w:rPr>
        <w:t>adiofrequency ablation</w:t>
      </w:r>
      <w:r w:rsidR="00083961" w:rsidRPr="00113F82">
        <w:rPr>
          <w:rFonts w:cs="Book Antiqua"/>
        </w:rPr>
        <w:t xml:space="preserve">, </w:t>
      </w:r>
      <w:r w:rsidRPr="00113F82">
        <w:rPr>
          <w:rFonts w:cs="Book Antiqua"/>
        </w:rPr>
        <w:t xml:space="preserve">patients whose lesion was </w:t>
      </w:r>
      <w:r w:rsidR="00083961" w:rsidRPr="00113F82">
        <w:rPr>
          <w:rFonts w:cs="Book Antiqua"/>
        </w:rPr>
        <w:t xml:space="preserve">≤ </w:t>
      </w:r>
      <w:r w:rsidRPr="00113F82">
        <w:rPr>
          <w:rFonts w:cs="Book Antiqua"/>
        </w:rPr>
        <w:t xml:space="preserve">5 cm and had </w:t>
      </w:r>
      <w:r w:rsidR="00083961" w:rsidRPr="00113F82">
        <w:rPr>
          <w:rFonts w:cs="Book Antiqua"/>
        </w:rPr>
        <w:t xml:space="preserve">a </w:t>
      </w:r>
      <w:r w:rsidRPr="00113F82">
        <w:rPr>
          <w:rFonts w:cs="Book Antiqua"/>
        </w:rPr>
        <w:t xml:space="preserve">rich blood supply required TACE or TAE first and radiofrequency ablation after 3–5 d. Patients whose lesions were </w:t>
      </w:r>
      <w:r w:rsidR="00083961" w:rsidRPr="00113F82">
        <w:rPr>
          <w:rFonts w:cs="Book Antiqua"/>
        </w:rPr>
        <w:t>&gt;</w:t>
      </w:r>
      <w:r w:rsidRPr="00113F82">
        <w:rPr>
          <w:rFonts w:cs="Book Antiqua"/>
        </w:rPr>
        <w:t xml:space="preserve"> 5 cm required TACE or TAE once or several times initially, and then radiofrequency ablation, when the imaging showed that the lesions had no blood supply from the hepatic artery, or the catheter could not enter into the artery of the lesions. Finally, all patients underwent radiofrequency ablation an average of 1.64 times.</w:t>
      </w:r>
    </w:p>
    <w:p w14:paraId="3DFF8DE7" w14:textId="77777777" w:rsidR="00083961" w:rsidRPr="00113F82" w:rsidRDefault="00083961" w:rsidP="00E107FC">
      <w:pPr>
        <w:pStyle w:val="2"/>
        <w:spacing w:line="360" w:lineRule="auto"/>
        <w:ind w:left="0"/>
        <w:jc w:val="both"/>
      </w:pPr>
    </w:p>
    <w:p w14:paraId="117A2B19" w14:textId="77777777" w:rsidR="00CE6888" w:rsidRPr="00113F82" w:rsidRDefault="00CE6888" w:rsidP="00E107FC">
      <w:pPr>
        <w:pStyle w:val="2"/>
        <w:spacing w:line="360" w:lineRule="auto"/>
        <w:ind w:left="0"/>
        <w:jc w:val="both"/>
      </w:pPr>
      <w:r w:rsidRPr="00113F82">
        <w:t>Postoperative routine observation and treatment</w:t>
      </w:r>
    </w:p>
    <w:p w14:paraId="628137CC" w14:textId="145489CC" w:rsidR="00CE6888" w:rsidRPr="00113F82" w:rsidRDefault="00083961" w:rsidP="00E107FC">
      <w:pPr>
        <w:pStyle w:val="a3"/>
        <w:spacing w:line="360" w:lineRule="auto"/>
        <w:ind w:left="0"/>
        <w:jc w:val="both"/>
        <w:rPr>
          <w:rFonts w:cs="Book Antiqua"/>
        </w:rPr>
      </w:pPr>
      <w:r w:rsidRPr="00113F82">
        <w:rPr>
          <w:rFonts w:cs="Book Antiqua"/>
        </w:rPr>
        <w:t>Postoperative treatment consisted of</w:t>
      </w:r>
      <w:r w:rsidR="00CE6888" w:rsidRPr="00113F82">
        <w:rPr>
          <w:rFonts w:cs="Book Antiqua"/>
        </w:rPr>
        <w:t xml:space="preserve"> </w:t>
      </w:r>
      <w:r w:rsidRPr="00113F82">
        <w:rPr>
          <w:rFonts w:cs="Book Antiqua"/>
        </w:rPr>
        <w:t xml:space="preserve">sorafenib </w:t>
      </w:r>
      <w:r w:rsidR="00CE6888" w:rsidRPr="00113F82">
        <w:rPr>
          <w:rFonts w:cs="Book Antiqua"/>
        </w:rPr>
        <w:t>(Nexavar; Bayer, Leverkusen, Germany)</w:t>
      </w:r>
      <w:r w:rsidRPr="00113F82">
        <w:rPr>
          <w:rFonts w:cs="Book Antiqua"/>
        </w:rPr>
        <w:t>;</w:t>
      </w:r>
      <w:r w:rsidR="00CE6888" w:rsidRPr="00113F82">
        <w:rPr>
          <w:rFonts w:cs="Book Antiqua"/>
        </w:rPr>
        <w:t xml:space="preserve"> at least </w:t>
      </w:r>
      <w:r w:rsidR="00CE6888" w:rsidRPr="00113F82">
        <w:t xml:space="preserve">400 mg/d </w:t>
      </w:r>
      <w:r w:rsidR="00CE6888" w:rsidRPr="00113F82">
        <w:rPr>
          <w:rFonts w:cs="Book Antiqua"/>
        </w:rPr>
        <w:t>was recommended for</w:t>
      </w:r>
      <w:r w:rsidR="00CE6888" w:rsidRPr="00113F82">
        <w:t xml:space="preserve"> ≥</w:t>
      </w:r>
      <w:r w:rsidRPr="00113F82">
        <w:t xml:space="preserve"> </w:t>
      </w:r>
      <w:r w:rsidR="00CE6888" w:rsidRPr="00113F82">
        <w:t>20 of the last 28 d</w:t>
      </w:r>
      <w:r w:rsidR="00CE6888" w:rsidRPr="00113F82">
        <w:rPr>
          <w:rFonts w:cs="Book Antiqua"/>
        </w:rPr>
        <w:t xml:space="preserve"> after the first TACE procedure</w:t>
      </w:r>
      <w:bookmarkEnd w:id="20"/>
      <w:r w:rsidR="00CE6888" w:rsidRPr="00113F82">
        <w:rPr>
          <w:vertAlign w:val="superscript"/>
        </w:rPr>
        <w:t>[16]</w:t>
      </w:r>
      <w:r w:rsidR="00CE6888" w:rsidRPr="00113F82">
        <w:rPr>
          <w:rFonts w:cs="Book Antiqua"/>
        </w:rPr>
        <w:t xml:space="preserve">. Low molecular weight heparin (5000 IU, twice </w:t>
      </w:r>
      <w:r w:rsidRPr="00113F82">
        <w:rPr>
          <w:rFonts w:cs="Book Antiqua"/>
        </w:rPr>
        <w:t>daily</w:t>
      </w:r>
      <w:r w:rsidR="00CE6888" w:rsidRPr="00113F82">
        <w:rPr>
          <w:rFonts w:cs="Book Antiqua"/>
        </w:rPr>
        <w:t>) was subcutaneously injected for 5 d, and then warfarin was administered for 1 year. Intravenous injection of branched</w:t>
      </w:r>
      <w:r w:rsidRPr="00113F82">
        <w:rPr>
          <w:rFonts w:cs="Book Antiqua"/>
        </w:rPr>
        <w:t>-</w:t>
      </w:r>
      <w:r w:rsidR="00CE6888" w:rsidRPr="00113F82">
        <w:rPr>
          <w:rFonts w:cs="Book Antiqua"/>
        </w:rPr>
        <w:t>chain amino acid</w:t>
      </w:r>
      <w:r w:rsidRPr="00113F82">
        <w:rPr>
          <w:rFonts w:cs="Book Antiqua"/>
        </w:rPr>
        <w:t>s</w:t>
      </w:r>
      <w:r w:rsidR="00CE6888" w:rsidRPr="00113F82">
        <w:rPr>
          <w:rFonts w:cs="Book Antiqua"/>
        </w:rPr>
        <w:t xml:space="preserve"> and oral lactulose were also </w:t>
      </w:r>
      <w:r w:rsidR="00EF3A8F" w:rsidRPr="00113F82">
        <w:rPr>
          <w:rFonts w:eastAsiaTheme="minorEastAsia" w:cs="Book Antiqua"/>
          <w:lang w:eastAsia="zh-CN"/>
        </w:rPr>
        <w:t>administered</w:t>
      </w:r>
      <w:r w:rsidR="00CE6888" w:rsidRPr="00113F82">
        <w:rPr>
          <w:rFonts w:cs="Book Antiqua"/>
        </w:rPr>
        <w:t xml:space="preserve"> to prevent hepatic encephalopathy (HE).</w:t>
      </w:r>
      <w:r w:rsidR="0085177E" w:rsidRPr="00113F82">
        <w:rPr>
          <w:rFonts w:cs="Book Antiqua"/>
        </w:rPr>
        <w:t xml:space="preserve"> </w:t>
      </w:r>
      <w:r w:rsidR="00CE6888" w:rsidRPr="00113F82">
        <w:rPr>
          <w:rFonts w:cs="Book Antiqua"/>
        </w:rPr>
        <w:t xml:space="preserve">Coagulation function </w:t>
      </w:r>
      <w:r w:rsidR="00CE6888" w:rsidRPr="00113F82">
        <w:rPr>
          <w:rFonts w:cs="Book Antiqua"/>
        </w:rPr>
        <w:lastRenderedPageBreak/>
        <w:t xml:space="preserve">of each patient was examined every 15 d to ensure </w:t>
      </w:r>
      <w:r w:rsidR="00EF3A8F" w:rsidRPr="00113F82">
        <w:rPr>
          <w:rFonts w:eastAsiaTheme="minorEastAsia" w:cs="Book Antiqua"/>
          <w:lang w:eastAsia="zh-CN"/>
        </w:rPr>
        <w:t xml:space="preserve">that </w:t>
      </w:r>
      <w:r w:rsidR="00CE6888" w:rsidRPr="00113F82">
        <w:rPr>
          <w:rFonts w:cs="Book Antiqua"/>
        </w:rPr>
        <w:t xml:space="preserve">the </w:t>
      </w:r>
      <w:r w:rsidR="0085177E" w:rsidRPr="00113F82">
        <w:rPr>
          <w:rFonts w:cs="Book Antiqua"/>
        </w:rPr>
        <w:t xml:space="preserve">International Normalized Ratio </w:t>
      </w:r>
      <w:r w:rsidR="00CE6888" w:rsidRPr="00113F82">
        <w:rPr>
          <w:rFonts w:cs="Book Antiqua"/>
        </w:rPr>
        <w:t xml:space="preserve">ranged from 2 to 3. Complications, including abdominal cavity hemorrhage, HE, and hepatic failure, were monitored postoperatively. </w:t>
      </w:r>
    </w:p>
    <w:bookmarkEnd w:id="16"/>
    <w:p w14:paraId="124D6103" w14:textId="77777777" w:rsidR="005F7DB6" w:rsidRPr="00113F82" w:rsidRDefault="005F7DB6" w:rsidP="00E107FC">
      <w:pPr>
        <w:pStyle w:val="2"/>
        <w:spacing w:line="360" w:lineRule="auto"/>
        <w:ind w:left="0"/>
        <w:jc w:val="both"/>
        <w:rPr>
          <w:rFonts w:eastAsiaTheme="minorEastAsia"/>
          <w:lang w:eastAsia="zh-CN"/>
        </w:rPr>
      </w:pPr>
    </w:p>
    <w:p w14:paraId="1246818D" w14:textId="77777777" w:rsidR="00CE6888" w:rsidRPr="00113F82" w:rsidRDefault="00CE6888" w:rsidP="00E107FC">
      <w:pPr>
        <w:pStyle w:val="2"/>
        <w:spacing w:line="360" w:lineRule="auto"/>
        <w:ind w:left="0"/>
        <w:jc w:val="both"/>
      </w:pPr>
      <w:r w:rsidRPr="00113F82">
        <w:t>Follow-up</w:t>
      </w:r>
    </w:p>
    <w:p w14:paraId="57FB631A" w14:textId="17759CD5" w:rsidR="0085177E" w:rsidRPr="00113F82" w:rsidRDefault="00CE6888" w:rsidP="00E107FC">
      <w:pPr>
        <w:pStyle w:val="a3"/>
        <w:spacing w:line="360" w:lineRule="auto"/>
        <w:ind w:left="0"/>
        <w:jc w:val="both"/>
        <w:rPr>
          <w:rFonts w:cs="Book Antiqua"/>
        </w:rPr>
      </w:pPr>
      <w:r w:rsidRPr="00113F82">
        <w:rPr>
          <w:rFonts w:cs="Book Antiqua"/>
        </w:rPr>
        <w:t xml:space="preserve">Scheduled follow-up </w:t>
      </w:r>
      <w:r w:rsidR="0085177E" w:rsidRPr="00113F82">
        <w:rPr>
          <w:rFonts w:cs="Book Antiqua"/>
        </w:rPr>
        <w:t xml:space="preserve">was </w:t>
      </w:r>
      <w:r w:rsidRPr="00113F82">
        <w:rPr>
          <w:rFonts w:cs="Book Antiqua"/>
        </w:rPr>
        <w:t>performed at 6, 12 and 24 mo postoperatively. The record</w:t>
      </w:r>
      <w:r w:rsidR="0085177E" w:rsidRPr="00113F82">
        <w:rPr>
          <w:rFonts w:cs="Book Antiqua"/>
        </w:rPr>
        <w:t>ed</w:t>
      </w:r>
      <w:r w:rsidRPr="00113F82">
        <w:rPr>
          <w:rFonts w:cs="Book Antiqua"/>
        </w:rPr>
        <w:t xml:space="preserve"> information included clinical manifestations, physical examination, shunt patency evaluation (through ultrasound and endoscopy), and laboratory test</w:t>
      </w:r>
      <w:r w:rsidR="0085177E" w:rsidRPr="00113F82">
        <w:rPr>
          <w:rFonts w:cs="Book Antiqua"/>
        </w:rPr>
        <w:t>s</w:t>
      </w:r>
      <w:r w:rsidRPr="00113F82">
        <w:rPr>
          <w:rFonts w:cs="Book Antiqua"/>
        </w:rPr>
        <w:t>. A telephone follow-up was performed to record the patient’s condition and details of relevant clinical events.</w:t>
      </w:r>
    </w:p>
    <w:p w14:paraId="35E4BC0A" w14:textId="6215C891" w:rsidR="00CE6888" w:rsidRPr="00113F82" w:rsidRDefault="00CE6888" w:rsidP="00E107FC">
      <w:pPr>
        <w:pStyle w:val="a3"/>
        <w:spacing w:line="360" w:lineRule="auto"/>
        <w:ind w:left="0"/>
        <w:jc w:val="both"/>
        <w:rPr>
          <w:rFonts w:cs="Book Antiqua"/>
        </w:rPr>
      </w:pPr>
      <w:r w:rsidRPr="00113F82">
        <w:rPr>
          <w:rFonts w:cs="Book Antiqua"/>
        </w:rPr>
        <w:t xml:space="preserve"> </w:t>
      </w:r>
    </w:p>
    <w:p w14:paraId="230E9FDB" w14:textId="77777777" w:rsidR="00CE6888" w:rsidRPr="00113F82" w:rsidRDefault="00CE6888" w:rsidP="00E107FC">
      <w:pPr>
        <w:pStyle w:val="2"/>
        <w:spacing w:line="360" w:lineRule="auto"/>
        <w:ind w:left="0"/>
        <w:jc w:val="both"/>
      </w:pPr>
      <w:r w:rsidRPr="00113F82">
        <w:t>Statistical analysis</w:t>
      </w:r>
    </w:p>
    <w:p w14:paraId="03174E55" w14:textId="402C40D0" w:rsidR="00CE6888" w:rsidRPr="00113F82" w:rsidRDefault="00CE6888" w:rsidP="00E107FC">
      <w:pPr>
        <w:pStyle w:val="a3"/>
        <w:spacing w:line="360" w:lineRule="auto"/>
        <w:ind w:left="0"/>
        <w:jc w:val="both"/>
        <w:rPr>
          <w:rFonts w:cs="Book Antiqua"/>
        </w:rPr>
      </w:pPr>
      <w:r w:rsidRPr="00113F82">
        <w:rPr>
          <w:rFonts w:cs="Book Antiqua"/>
        </w:rPr>
        <w:t>Continuous variables are presented as the means</w:t>
      </w:r>
      <w:r w:rsidR="00B62B22" w:rsidRPr="00113F82">
        <w:rPr>
          <w:rFonts w:cs="Book Antiqua"/>
        </w:rPr>
        <w:t xml:space="preserve"> ± </w:t>
      </w:r>
      <w:r w:rsidRPr="00113F82">
        <w:rPr>
          <w:rFonts w:cs="Book Antiqua"/>
        </w:rPr>
        <w:t xml:space="preserve">medians and were compared by independent sample </w:t>
      </w:r>
      <w:r w:rsidRPr="00113F82">
        <w:rPr>
          <w:rFonts w:cs="Book Antiqua"/>
          <w:i/>
        </w:rPr>
        <w:t>t</w:t>
      </w:r>
      <w:r w:rsidRPr="00113F82">
        <w:rPr>
          <w:rFonts w:cs="Book Antiqua"/>
        </w:rPr>
        <w:t xml:space="preserve"> test or paired-sample </w:t>
      </w:r>
      <w:r w:rsidRPr="00113F82">
        <w:rPr>
          <w:rFonts w:cs="Book Antiqua"/>
          <w:i/>
        </w:rPr>
        <w:t>t</w:t>
      </w:r>
      <w:r w:rsidRPr="00113F82">
        <w:rPr>
          <w:rFonts w:cs="Book Antiqua"/>
        </w:rPr>
        <w:t xml:space="preserve"> test accordingly. Categorical and ordinal variables are presented as frequencies or percentages and were compared using </w:t>
      </w:r>
      <w:r w:rsidRPr="00113F82">
        <w:rPr>
          <w:rFonts w:cs="Book Antiqua"/>
          <w:i/>
        </w:rPr>
        <w:sym w:font="Symbol" w:char="F063"/>
      </w:r>
      <w:r w:rsidR="0085177E" w:rsidRPr="00113F82">
        <w:rPr>
          <w:rFonts w:cs="Book Antiqua"/>
          <w:vertAlign w:val="superscript"/>
        </w:rPr>
        <w:t>2</w:t>
      </w:r>
      <w:r w:rsidRPr="00113F82">
        <w:rPr>
          <w:rFonts w:cs="Book Antiqua"/>
        </w:rPr>
        <w:t xml:space="preserve"> test. Time-to-event outcomes were evaluated with Kaplan</w:t>
      </w:r>
      <w:r w:rsidR="0085177E" w:rsidRPr="00113F82">
        <w:rPr>
          <w:rFonts w:cs="Book Antiqua"/>
        </w:rPr>
        <w:t>–</w:t>
      </w:r>
      <w:r w:rsidRPr="00113F82">
        <w:rPr>
          <w:rFonts w:cs="Book Antiqua"/>
        </w:rPr>
        <w:t xml:space="preserve">Meier curves and log-rank test. Cox regression model was used to identify independent predictors. Unbalanced factors between groups were treated as covariates. Statistical analyses were performed using IBM SPSS version 22.0 (IBM, Chicago, IL, </w:t>
      </w:r>
      <w:r w:rsidR="00F91C4A" w:rsidRPr="00113F82">
        <w:rPr>
          <w:rFonts w:cs="Book Antiqua"/>
        </w:rPr>
        <w:t>U</w:t>
      </w:r>
      <w:r w:rsidR="00F91C4A" w:rsidRPr="00113F82">
        <w:rPr>
          <w:rFonts w:eastAsiaTheme="minorEastAsia" w:cs="Book Antiqua"/>
          <w:lang w:eastAsia="zh-CN"/>
        </w:rPr>
        <w:t xml:space="preserve">nited </w:t>
      </w:r>
      <w:r w:rsidR="00F91C4A" w:rsidRPr="00113F82">
        <w:rPr>
          <w:rFonts w:cs="Book Antiqua"/>
        </w:rPr>
        <w:t>S</w:t>
      </w:r>
      <w:r w:rsidR="00F91C4A" w:rsidRPr="00113F82">
        <w:rPr>
          <w:rFonts w:eastAsiaTheme="minorEastAsia" w:cs="Book Antiqua"/>
          <w:lang w:eastAsia="zh-CN"/>
        </w:rPr>
        <w:t>tates</w:t>
      </w:r>
      <w:r w:rsidRPr="00113F82">
        <w:rPr>
          <w:rFonts w:cs="Book Antiqua"/>
        </w:rPr>
        <w:t xml:space="preserve">) and GraphPad Prism version 7.0 (La Jolla, CA, </w:t>
      </w:r>
      <w:r w:rsidR="00F91C4A" w:rsidRPr="00113F82">
        <w:rPr>
          <w:rFonts w:cs="Book Antiqua"/>
        </w:rPr>
        <w:t>U</w:t>
      </w:r>
      <w:r w:rsidR="00F91C4A" w:rsidRPr="00113F82">
        <w:rPr>
          <w:rFonts w:eastAsiaTheme="minorEastAsia" w:cs="Book Antiqua"/>
          <w:lang w:eastAsia="zh-CN"/>
        </w:rPr>
        <w:t xml:space="preserve">nited </w:t>
      </w:r>
      <w:r w:rsidR="00F91C4A" w:rsidRPr="00113F82">
        <w:rPr>
          <w:rFonts w:cs="Book Antiqua"/>
        </w:rPr>
        <w:t>S</w:t>
      </w:r>
      <w:r w:rsidR="00F91C4A" w:rsidRPr="00113F82">
        <w:rPr>
          <w:rFonts w:eastAsiaTheme="minorEastAsia" w:cs="Book Antiqua"/>
          <w:lang w:eastAsia="zh-CN"/>
        </w:rPr>
        <w:t>tates</w:t>
      </w:r>
      <w:r w:rsidRPr="00113F82">
        <w:rPr>
          <w:rFonts w:cs="Book Antiqua"/>
        </w:rPr>
        <w:t>)</w:t>
      </w:r>
      <w:r w:rsidR="002059B4" w:rsidRPr="00113F82">
        <w:rPr>
          <w:rFonts w:cs="Book Antiqua"/>
        </w:rPr>
        <w:t>.</w:t>
      </w:r>
      <w:r w:rsidRPr="00113F82">
        <w:rPr>
          <w:rFonts w:cs="Book Antiqua"/>
        </w:rPr>
        <w:t xml:space="preserve"> Follow-up investigators and statisticians had access to all the data and can vouch for the integrity of data analyses.</w:t>
      </w:r>
    </w:p>
    <w:p w14:paraId="12A6FA1E" w14:textId="2EA4A604" w:rsidR="0085177E" w:rsidRPr="00113F82" w:rsidRDefault="0085177E" w:rsidP="00E107FC">
      <w:pPr>
        <w:pStyle w:val="a3"/>
        <w:spacing w:line="360" w:lineRule="auto"/>
        <w:ind w:left="0"/>
        <w:jc w:val="both"/>
        <w:rPr>
          <w:rFonts w:cs="Book Antiqua"/>
          <w:i/>
          <w:position w:val="6"/>
        </w:rPr>
      </w:pPr>
    </w:p>
    <w:p w14:paraId="3024C814" w14:textId="77777777" w:rsidR="00CE6888" w:rsidRPr="00113F82" w:rsidRDefault="00CE6888" w:rsidP="00E107FC">
      <w:pPr>
        <w:pStyle w:val="1"/>
        <w:spacing w:line="360" w:lineRule="auto"/>
        <w:ind w:left="0"/>
        <w:jc w:val="both"/>
        <w:rPr>
          <w:b w:val="0"/>
          <w:bCs w:val="0"/>
        </w:rPr>
      </w:pPr>
      <w:r w:rsidRPr="00113F82">
        <w:t>RESULTS</w:t>
      </w:r>
    </w:p>
    <w:p w14:paraId="0E1C7FC3" w14:textId="77777777" w:rsidR="00CE6888" w:rsidRPr="00113F82" w:rsidRDefault="00CE6888" w:rsidP="00E107FC">
      <w:pPr>
        <w:pStyle w:val="2"/>
        <w:spacing w:line="360" w:lineRule="auto"/>
        <w:ind w:left="0"/>
        <w:jc w:val="both"/>
        <w:rPr>
          <w:rFonts w:eastAsiaTheme="minorEastAsia"/>
          <w:lang w:eastAsia="zh-CN"/>
        </w:rPr>
      </w:pPr>
      <w:r w:rsidRPr="00113F82">
        <w:rPr>
          <w:rFonts w:eastAsiaTheme="minorEastAsia"/>
          <w:lang w:eastAsia="zh-CN"/>
        </w:rPr>
        <w:t>Baseline characteristics of patients</w:t>
      </w:r>
    </w:p>
    <w:p w14:paraId="765E13CF" w14:textId="227791BB" w:rsidR="00CE6888" w:rsidRPr="00113F82" w:rsidRDefault="00CE6888" w:rsidP="00E107FC">
      <w:pPr>
        <w:pStyle w:val="a3"/>
        <w:spacing w:line="360" w:lineRule="auto"/>
        <w:ind w:left="0"/>
        <w:jc w:val="both"/>
      </w:pPr>
      <w:r w:rsidRPr="00113F82">
        <w:t>Eighty-five consecutive patients with MPVTT were divided into the TIPS-</w:t>
      </w:r>
      <w:r w:rsidRPr="00113F82">
        <w:rPr>
          <w:vertAlign w:val="superscript"/>
        </w:rPr>
        <w:t>125</w:t>
      </w:r>
      <w:r w:rsidRPr="00113F82">
        <w:t xml:space="preserve">I and TIPS only groups in Beijing Shijitan </w:t>
      </w:r>
      <w:r w:rsidR="00BE51BE" w:rsidRPr="00113F82">
        <w:t>Hospital</w:t>
      </w:r>
      <w:r w:rsidRPr="00113F82">
        <w:t xml:space="preserve">. </w:t>
      </w:r>
      <w:r w:rsidR="00133CE2" w:rsidRPr="00113F82">
        <w:rPr>
          <w:rFonts w:eastAsiaTheme="minorEastAsia"/>
          <w:lang w:eastAsia="zh-CN"/>
        </w:rPr>
        <w:t>A</w:t>
      </w:r>
      <w:r w:rsidRPr="00113F82">
        <w:t xml:space="preserve">ll patients were followed up </w:t>
      </w:r>
      <w:r w:rsidR="00133CE2" w:rsidRPr="00113F82">
        <w:rPr>
          <w:rFonts w:eastAsiaTheme="minorEastAsia"/>
          <w:lang w:eastAsia="zh-CN"/>
        </w:rPr>
        <w:t xml:space="preserve">for 24 mo </w:t>
      </w:r>
      <w:r w:rsidRPr="00113F82">
        <w:t>without any dropout. The baseline characteristics are presented in Table 1.</w:t>
      </w:r>
    </w:p>
    <w:p w14:paraId="5A1AD4BF" w14:textId="77777777" w:rsidR="00BE51BE" w:rsidRPr="00113F82" w:rsidRDefault="00BE51BE" w:rsidP="00E107FC">
      <w:pPr>
        <w:pStyle w:val="2"/>
        <w:spacing w:line="360" w:lineRule="auto"/>
        <w:ind w:left="0"/>
        <w:jc w:val="both"/>
      </w:pPr>
    </w:p>
    <w:p w14:paraId="122AE057" w14:textId="1F8A0D93" w:rsidR="00CE6888" w:rsidRPr="00113F82" w:rsidRDefault="00CE6888" w:rsidP="00E107FC">
      <w:pPr>
        <w:pStyle w:val="2"/>
        <w:spacing w:line="360" w:lineRule="auto"/>
        <w:ind w:left="0"/>
        <w:jc w:val="both"/>
      </w:pPr>
      <w:r w:rsidRPr="00113F82">
        <w:t xml:space="preserve">Change </w:t>
      </w:r>
      <w:r w:rsidR="00BE51BE" w:rsidRPr="00113F82">
        <w:t>in PSG</w:t>
      </w:r>
      <w:r w:rsidRPr="00113F82">
        <w:t xml:space="preserve"> before and after TIPS </w:t>
      </w:r>
    </w:p>
    <w:p w14:paraId="11ED3210" w14:textId="108D349D" w:rsidR="00CE6888" w:rsidRPr="00113F82" w:rsidRDefault="00CE6888" w:rsidP="00E107FC">
      <w:pPr>
        <w:pStyle w:val="a3"/>
        <w:spacing w:line="360" w:lineRule="auto"/>
        <w:ind w:left="0"/>
        <w:jc w:val="both"/>
      </w:pPr>
      <w:r w:rsidRPr="00113F82">
        <w:t xml:space="preserve">The </w:t>
      </w:r>
      <w:r w:rsidR="00BE51BE" w:rsidRPr="00113F82">
        <w:t xml:space="preserve">PSG </w:t>
      </w:r>
      <w:r w:rsidRPr="00113F82">
        <w:t>in the TIPS-</w:t>
      </w:r>
      <w:r w:rsidRPr="00113F82">
        <w:rPr>
          <w:vertAlign w:val="superscript"/>
        </w:rPr>
        <w:t>125</w:t>
      </w:r>
      <w:r w:rsidRPr="00113F82">
        <w:t>I group decreased from 26.96</w:t>
      </w:r>
      <w:r w:rsidR="00B62B22" w:rsidRPr="00113F82">
        <w:t xml:space="preserve"> ± </w:t>
      </w:r>
      <w:r w:rsidRPr="00113F82">
        <w:t>5.73 to 13.1</w:t>
      </w:r>
      <w:r w:rsidR="00B62B22" w:rsidRPr="00113F82">
        <w:t xml:space="preserve"> ± </w:t>
      </w:r>
      <w:r w:rsidRPr="00113F82">
        <w:t>5.9 mmHg (</w:t>
      </w:r>
      <w:r w:rsidRPr="00113F82">
        <w:rPr>
          <w:i/>
        </w:rPr>
        <w:t>t</w:t>
      </w:r>
      <w:r w:rsidR="00BE51BE" w:rsidRPr="00113F82">
        <w:rPr>
          <w:i/>
        </w:rPr>
        <w:t xml:space="preserve"> </w:t>
      </w:r>
      <w:r w:rsidRPr="00113F82">
        <w:lastRenderedPageBreak/>
        <w:t>=</w:t>
      </w:r>
      <w:r w:rsidR="00BE51BE" w:rsidRPr="00113F82">
        <w:t xml:space="preserve"> </w:t>
      </w:r>
      <w:r w:rsidRPr="00113F82">
        <w:t xml:space="preserve">20.88, </w:t>
      </w:r>
      <w:r w:rsidRPr="00113F82">
        <w:rPr>
          <w:i/>
        </w:rPr>
        <w:t>P</w:t>
      </w:r>
      <w:r w:rsidR="00BE51BE" w:rsidRPr="00113F82">
        <w:t xml:space="preserve"> </w:t>
      </w:r>
      <w:r w:rsidRPr="00113F82">
        <w:t>&lt;</w:t>
      </w:r>
      <w:r w:rsidR="00BE51BE" w:rsidRPr="00113F82">
        <w:t xml:space="preserve"> </w:t>
      </w:r>
      <w:r w:rsidRPr="00113F82">
        <w:t>0.05) after TIPS. In the TIPS only group, it decreased from 26.12</w:t>
      </w:r>
      <w:r w:rsidR="00B62B22" w:rsidRPr="00113F82">
        <w:t xml:space="preserve"> ± </w:t>
      </w:r>
      <w:r w:rsidRPr="00113F82">
        <w:t>5 to 12.6</w:t>
      </w:r>
      <w:r w:rsidR="00B62B22" w:rsidRPr="00113F82">
        <w:t xml:space="preserve"> ± </w:t>
      </w:r>
      <w:r w:rsidRPr="00113F82">
        <w:t>5.4 mmHg (</w:t>
      </w:r>
      <w:r w:rsidRPr="00113F82">
        <w:rPr>
          <w:i/>
        </w:rPr>
        <w:t>t</w:t>
      </w:r>
      <w:r w:rsidR="00BE51BE" w:rsidRPr="00113F82">
        <w:rPr>
          <w:i/>
        </w:rPr>
        <w:t xml:space="preserve"> </w:t>
      </w:r>
      <w:r w:rsidRPr="00113F82">
        <w:t>=</w:t>
      </w:r>
      <w:r w:rsidR="00BE51BE" w:rsidRPr="00113F82">
        <w:t xml:space="preserve"> </w:t>
      </w:r>
      <w:r w:rsidRPr="00113F82">
        <w:t xml:space="preserve">22.94, </w:t>
      </w:r>
      <w:r w:rsidRPr="00113F82">
        <w:rPr>
          <w:i/>
        </w:rPr>
        <w:t>P</w:t>
      </w:r>
      <w:r w:rsidR="00BE51BE" w:rsidRPr="00113F82">
        <w:t xml:space="preserve"> </w:t>
      </w:r>
      <w:r w:rsidRPr="00113F82">
        <w:t>&lt;</w:t>
      </w:r>
      <w:r w:rsidR="00BE51BE" w:rsidRPr="00113F82">
        <w:t xml:space="preserve"> </w:t>
      </w:r>
      <w:r w:rsidRPr="00113F82">
        <w:t xml:space="preserve">0.05). The </w:t>
      </w:r>
      <w:r w:rsidR="00BE51BE" w:rsidRPr="00113F82">
        <w:t xml:space="preserve">PSG </w:t>
      </w:r>
      <w:r w:rsidRPr="00113F82">
        <w:t xml:space="preserve">before and after TIPS was significantly different </w:t>
      </w:r>
      <w:r w:rsidR="00BE51BE" w:rsidRPr="00113F82">
        <w:t xml:space="preserve">between </w:t>
      </w:r>
      <w:r w:rsidRPr="00113F82">
        <w:t xml:space="preserve">the two groups (Table 2). </w:t>
      </w:r>
      <w:r w:rsidR="00BE51BE" w:rsidRPr="00113F82">
        <w:t>Preoperative PSG</w:t>
      </w:r>
      <w:r w:rsidRPr="00113F82">
        <w:t xml:space="preserve"> </w:t>
      </w:r>
      <w:r w:rsidR="00BE51BE" w:rsidRPr="00113F82">
        <w:t>did not differ significantly</w:t>
      </w:r>
      <w:r w:rsidRPr="00113F82">
        <w:t xml:space="preserve"> between the two groups (</w:t>
      </w:r>
      <w:r w:rsidRPr="00113F82">
        <w:rPr>
          <w:i/>
        </w:rPr>
        <w:t>t</w:t>
      </w:r>
      <w:r w:rsidR="00BE51BE" w:rsidRPr="00113F82">
        <w:rPr>
          <w:i/>
        </w:rPr>
        <w:t xml:space="preserve"> </w:t>
      </w:r>
      <w:r w:rsidRPr="00113F82">
        <w:t>=</w:t>
      </w:r>
      <w:r w:rsidR="00BE51BE" w:rsidRPr="00113F82">
        <w:t xml:space="preserve"> </w:t>
      </w:r>
      <w:r w:rsidRPr="00113F82">
        <w:t xml:space="preserve">1.103, </w:t>
      </w:r>
      <w:r w:rsidRPr="00113F82">
        <w:rPr>
          <w:i/>
        </w:rPr>
        <w:t>P</w:t>
      </w:r>
      <w:r w:rsidR="00BE51BE" w:rsidRPr="00113F82">
        <w:t xml:space="preserve"> </w:t>
      </w:r>
      <w:r w:rsidRPr="00113F82">
        <w:t>=</w:t>
      </w:r>
      <w:r w:rsidR="00BE51BE" w:rsidRPr="00113F82">
        <w:t xml:space="preserve"> </w:t>
      </w:r>
      <w:r w:rsidRPr="00113F82">
        <w:t xml:space="preserve">0.273). </w:t>
      </w:r>
      <w:r w:rsidR="00BE51BE" w:rsidRPr="00113F82">
        <w:t>A</w:t>
      </w:r>
      <w:r w:rsidRPr="00113F82">
        <w:t>fter the operation</w:t>
      </w:r>
      <w:r w:rsidR="00BE51BE" w:rsidRPr="00113F82">
        <w:t>,</w:t>
      </w:r>
      <w:r w:rsidRPr="00113F82">
        <w:t xml:space="preserve"> </w:t>
      </w:r>
      <w:r w:rsidR="00BE51BE" w:rsidRPr="00113F82">
        <w:t>PSG still did</w:t>
      </w:r>
      <w:r w:rsidRPr="00113F82">
        <w:t xml:space="preserve"> not </w:t>
      </w:r>
      <w:r w:rsidR="00BE51BE" w:rsidRPr="00113F82">
        <w:t xml:space="preserve">differ </w:t>
      </w:r>
      <w:r w:rsidRPr="00113F82">
        <w:t xml:space="preserve">significantly </w:t>
      </w:r>
      <w:r w:rsidR="00BE51BE" w:rsidRPr="00113F82">
        <w:t xml:space="preserve">between the groups </w:t>
      </w:r>
      <w:r w:rsidRPr="00113F82">
        <w:t>(</w:t>
      </w:r>
      <w:r w:rsidRPr="00113F82">
        <w:rPr>
          <w:i/>
        </w:rPr>
        <w:t>t</w:t>
      </w:r>
      <w:r w:rsidR="00BE51BE" w:rsidRPr="00113F82">
        <w:rPr>
          <w:i/>
        </w:rPr>
        <w:t xml:space="preserve"> </w:t>
      </w:r>
      <w:r w:rsidRPr="00113F82">
        <w:t>=</w:t>
      </w:r>
      <w:r w:rsidR="00BE51BE" w:rsidRPr="00113F82">
        <w:t xml:space="preserve"> </w:t>
      </w:r>
      <w:r w:rsidRPr="00113F82">
        <w:t xml:space="preserve">0.625, </w:t>
      </w:r>
      <w:r w:rsidRPr="00113F82">
        <w:rPr>
          <w:i/>
        </w:rPr>
        <w:t>P</w:t>
      </w:r>
      <w:r w:rsidR="00BE51BE" w:rsidRPr="00113F82">
        <w:t xml:space="preserve"> </w:t>
      </w:r>
      <w:r w:rsidRPr="00113F82">
        <w:t>=</w:t>
      </w:r>
      <w:r w:rsidR="00BE51BE" w:rsidRPr="00113F82">
        <w:t xml:space="preserve"> </w:t>
      </w:r>
      <w:r w:rsidRPr="00113F82">
        <w:t>0.534) (Fig</w:t>
      </w:r>
      <w:r w:rsidR="00BE51BE" w:rsidRPr="00113F82">
        <w:t>ure</w:t>
      </w:r>
      <w:r w:rsidRPr="00113F82">
        <w:t xml:space="preserve"> 3). </w:t>
      </w:r>
    </w:p>
    <w:p w14:paraId="0444F728" w14:textId="77777777" w:rsidR="00BE51BE" w:rsidRPr="00113F82" w:rsidRDefault="00BE51BE" w:rsidP="00E107FC">
      <w:pPr>
        <w:pStyle w:val="2"/>
        <w:spacing w:line="360" w:lineRule="auto"/>
        <w:ind w:left="0"/>
        <w:jc w:val="both"/>
      </w:pPr>
    </w:p>
    <w:p w14:paraId="53A65C17" w14:textId="77777777" w:rsidR="00CE6888" w:rsidRPr="00113F82" w:rsidRDefault="00CE6888" w:rsidP="00E107FC">
      <w:pPr>
        <w:pStyle w:val="2"/>
        <w:spacing w:line="360" w:lineRule="auto"/>
        <w:ind w:left="0"/>
        <w:jc w:val="both"/>
      </w:pPr>
      <w:r w:rsidRPr="00113F82">
        <w:t>Time-to-event outcomes</w:t>
      </w:r>
    </w:p>
    <w:p w14:paraId="3027B4C0" w14:textId="7875E7CD" w:rsidR="00CE6888" w:rsidRPr="00113F82" w:rsidRDefault="00CE6888" w:rsidP="00E107FC">
      <w:pPr>
        <w:pStyle w:val="a3"/>
        <w:spacing w:line="360" w:lineRule="auto"/>
        <w:ind w:left="0"/>
        <w:jc w:val="both"/>
      </w:pPr>
      <w:r w:rsidRPr="00113F82">
        <w:t>The rates of symptom recurrence at 6, 12 and 24 mo were 7.5%,</w:t>
      </w:r>
      <w:r w:rsidRPr="00113F82">
        <w:rPr>
          <w:rFonts w:eastAsia="宋体" w:cs="宋体"/>
        </w:rPr>
        <w:t xml:space="preserve"> </w:t>
      </w:r>
      <w:r w:rsidRPr="00113F82">
        <w:t>22.5%</w:t>
      </w:r>
      <w:r w:rsidRPr="00113F82">
        <w:rPr>
          <w:rFonts w:eastAsia="宋体" w:cs="宋体"/>
        </w:rPr>
        <w:t xml:space="preserve"> and </w:t>
      </w:r>
      <w:r w:rsidRPr="00113F82">
        <w:t>35%, respectively, in the TIPS-</w:t>
      </w:r>
      <w:r w:rsidRPr="00113F82">
        <w:rPr>
          <w:vertAlign w:val="superscript"/>
        </w:rPr>
        <w:t>125</w:t>
      </w:r>
      <w:r w:rsidRPr="00113F82">
        <w:t>I group, whereas those in the TIPS only group were 31.1%</w:t>
      </w:r>
      <w:r w:rsidRPr="00113F82">
        <w:rPr>
          <w:rFonts w:eastAsia="宋体" w:cs="宋体"/>
        </w:rPr>
        <w:t xml:space="preserve">, </w:t>
      </w:r>
      <w:r w:rsidRPr="00113F82">
        <w:t>62.2%</w:t>
      </w:r>
      <w:r w:rsidRPr="00113F82">
        <w:rPr>
          <w:rFonts w:eastAsia="宋体" w:cs="宋体"/>
        </w:rPr>
        <w:t xml:space="preserve"> and </w:t>
      </w:r>
      <w:r w:rsidRPr="00113F82">
        <w:t xml:space="preserve">82.2%, respectively, </w:t>
      </w:r>
      <w:r w:rsidR="00BE51BE" w:rsidRPr="00113F82">
        <w:t xml:space="preserve">which were </w:t>
      </w:r>
      <w:r w:rsidRPr="00113F82">
        <w:t>significant</w:t>
      </w:r>
      <w:r w:rsidR="000F209A" w:rsidRPr="00113F82">
        <w:rPr>
          <w:rFonts w:eastAsiaTheme="minorEastAsia"/>
          <w:lang w:eastAsia="zh-CN"/>
        </w:rPr>
        <w:t>ly</w:t>
      </w:r>
      <w:r w:rsidRPr="00113F82">
        <w:t xml:space="preserve"> </w:t>
      </w:r>
      <w:r w:rsidR="000F209A" w:rsidRPr="00113F82">
        <w:t>differen</w:t>
      </w:r>
      <w:r w:rsidR="000F209A" w:rsidRPr="00113F82">
        <w:rPr>
          <w:rFonts w:eastAsiaTheme="minorEastAsia"/>
          <w:lang w:eastAsia="zh-CN"/>
        </w:rPr>
        <w:t>t</w:t>
      </w:r>
      <w:r w:rsidR="000F209A" w:rsidRPr="00113F82">
        <w:t xml:space="preserve"> </w:t>
      </w:r>
      <w:r w:rsidR="00BE51BE" w:rsidRPr="00113F82">
        <w:t>[</w:t>
      </w:r>
      <w:r w:rsidRPr="00113F82">
        <w:t xml:space="preserve">log rank </w:t>
      </w:r>
      <w:r w:rsidRPr="00113F82">
        <w:rPr>
          <w:i/>
        </w:rPr>
        <w:t>P</w:t>
      </w:r>
      <w:r w:rsidR="00BE51BE" w:rsidRPr="00113F82">
        <w:rPr>
          <w:rFonts w:eastAsia="宋体" w:cs="宋体"/>
        </w:rPr>
        <w:t xml:space="preserve"> &lt; </w:t>
      </w:r>
      <w:r w:rsidRPr="00113F82">
        <w:t xml:space="preserve">0.05, </w:t>
      </w:r>
      <w:r w:rsidR="00BE51BE" w:rsidRPr="00113F82">
        <w:t>hazard ratio (</w:t>
      </w:r>
      <w:r w:rsidRPr="00113F82">
        <w:t>HR</w:t>
      </w:r>
      <w:r w:rsidR="00BE51BE" w:rsidRPr="00113F82">
        <w:t>)</w:t>
      </w:r>
      <w:r w:rsidRPr="00113F82">
        <w:t xml:space="preserve">: 0.227, 95% </w:t>
      </w:r>
      <w:r w:rsidR="00BE51BE" w:rsidRPr="00113F82">
        <w:t>confidence interval (</w:t>
      </w:r>
      <w:r w:rsidRPr="00113F82">
        <w:t>CI</w:t>
      </w:r>
      <w:r w:rsidR="00BE51BE" w:rsidRPr="00113F82">
        <w:t>)</w:t>
      </w:r>
      <w:r w:rsidRPr="00113F82">
        <w:t>: 0.129</w:t>
      </w:r>
      <w:r w:rsidR="00BE51BE" w:rsidRPr="00113F82">
        <w:t>–</w:t>
      </w:r>
      <w:r w:rsidRPr="00113F82">
        <w:t>0.401, Fig</w:t>
      </w:r>
      <w:r w:rsidR="00BE51BE" w:rsidRPr="00113F82">
        <w:t>ure</w:t>
      </w:r>
      <w:r w:rsidRPr="00113F82">
        <w:t xml:space="preserve"> 4A</w:t>
      </w:r>
      <w:r w:rsidR="00BE51BE" w:rsidRPr="00113F82">
        <w:t xml:space="preserve">] </w:t>
      </w:r>
      <w:r w:rsidRPr="00113F82">
        <w:t>(Table 3). The rates of stent restenosis at 6, 12 and 24 mo were 12.5%,</w:t>
      </w:r>
      <w:r w:rsidRPr="00113F82">
        <w:rPr>
          <w:rFonts w:eastAsia="宋体" w:cs="宋体"/>
        </w:rPr>
        <w:t xml:space="preserve"> </w:t>
      </w:r>
      <w:r w:rsidRPr="00113F82">
        <w:t>27.5%</w:t>
      </w:r>
      <w:r w:rsidRPr="00113F82">
        <w:rPr>
          <w:rFonts w:eastAsia="宋体" w:cs="宋体"/>
        </w:rPr>
        <w:t xml:space="preserve"> and </w:t>
      </w:r>
      <w:r w:rsidRPr="00113F82">
        <w:t>42.5%, respectively, in the TIPS-</w:t>
      </w:r>
      <w:r w:rsidRPr="00113F82">
        <w:rPr>
          <w:vertAlign w:val="superscript"/>
        </w:rPr>
        <w:t>125</w:t>
      </w:r>
      <w:r w:rsidRPr="00113F82">
        <w:t>I group, whereas those in the TIPS only group were 42.2%</w:t>
      </w:r>
      <w:r w:rsidRPr="00113F82">
        <w:rPr>
          <w:rFonts w:eastAsia="宋体" w:cs="宋体"/>
        </w:rPr>
        <w:t xml:space="preserve">, </w:t>
      </w:r>
      <w:r w:rsidRPr="00113F82">
        <w:t>68.9% and 84.4%, respectively, with significant difference</w:t>
      </w:r>
      <w:r w:rsidR="00BE51BE" w:rsidRPr="00113F82">
        <w:t>s</w:t>
      </w:r>
      <w:r w:rsidRPr="00113F82">
        <w:t xml:space="preserve"> (log rank </w:t>
      </w:r>
      <w:r w:rsidRPr="00113F82">
        <w:rPr>
          <w:i/>
        </w:rPr>
        <w:t>P</w:t>
      </w:r>
      <w:r w:rsidR="00BE51BE" w:rsidRPr="00113F82">
        <w:rPr>
          <w:rFonts w:eastAsia="宋体" w:cs="宋体"/>
        </w:rPr>
        <w:t xml:space="preserve"> &lt; </w:t>
      </w:r>
      <w:r w:rsidR="00F91C4A" w:rsidRPr="00113F82">
        <w:t>0.05, HR: 0.313, 95%</w:t>
      </w:r>
      <w:r w:rsidRPr="00113F82">
        <w:t>CI: 0.182</w:t>
      </w:r>
      <w:r w:rsidR="00BE51BE" w:rsidRPr="00113F82">
        <w:t>–</w:t>
      </w:r>
      <w:r w:rsidRPr="00113F82">
        <w:t>0.536, Fig</w:t>
      </w:r>
      <w:r w:rsidR="00BE51BE" w:rsidRPr="00113F82">
        <w:t>ure</w:t>
      </w:r>
      <w:r w:rsidRPr="00113F82">
        <w:t xml:space="preserve"> 4B) (Table 3). </w:t>
      </w:r>
      <w:r w:rsidR="00BE51BE" w:rsidRPr="00113F82">
        <w:t>M</w:t>
      </w:r>
      <w:r w:rsidRPr="00113F82">
        <w:t>edian overall survival (OS) was 11.75 mo in the TIPS-</w:t>
      </w:r>
      <w:r w:rsidRPr="00113F82">
        <w:rPr>
          <w:vertAlign w:val="superscript"/>
        </w:rPr>
        <w:t>125</w:t>
      </w:r>
      <w:r w:rsidRPr="00113F82">
        <w:t>I group and 7.70 mo in the TIPS only group (</w:t>
      </w:r>
      <w:r w:rsidRPr="00113F82">
        <w:rPr>
          <w:i/>
        </w:rPr>
        <w:t>P</w:t>
      </w:r>
      <w:r w:rsidR="00BE51BE" w:rsidRPr="00113F82">
        <w:t xml:space="preserve"> </w:t>
      </w:r>
      <w:r w:rsidRPr="00113F82">
        <w:t>=</w:t>
      </w:r>
      <w:r w:rsidR="00BE51BE" w:rsidRPr="00113F82">
        <w:t xml:space="preserve"> </w:t>
      </w:r>
      <w:r w:rsidRPr="00113F82">
        <w:t>0.009). The rates of survival at 6, 12 and 24 mo were 80%,</w:t>
      </w:r>
      <w:r w:rsidRPr="00113F82">
        <w:rPr>
          <w:rFonts w:eastAsia="宋体" w:cs="宋体"/>
        </w:rPr>
        <w:t xml:space="preserve"> </w:t>
      </w:r>
      <w:r w:rsidRPr="00113F82">
        <w:t>45%</w:t>
      </w:r>
      <w:r w:rsidRPr="00113F82">
        <w:rPr>
          <w:rFonts w:eastAsia="宋体" w:cs="宋体"/>
        </w:rPr>
        <w:t xml:space="preserve"> and </w:t>
      </w:r>
      <w:r w:rsidRPr="00113F82">
        <w:t>20%, respectively, in the TIPS-</w:t>
      </w:r>
      <w:r w:rsidRPr="00113F82">
        <w:rPr>
          <w:vertAlign w:val="superscript"/>
        </w:rPr>
        <w:t>125</w:t>
      </w:r>
      <w:r w:rsidRPr="00113F82">
        <w:t>I group, whereas those in the TIPS only group were 64.4%</w:t>
      </w:r>
      <w:r w:rsidRPr="00113F82">
        <w:rPr>
          <w:rFonts w:eastAsia="宋体" w:cs="宋体"/>
        </w:rPr>
        <w:t xml:space="preserve">, </w:t>
      </w:r>
      <w:r w:rsidRPr="00113F82">
        <w:t>24.4%</w:t>
      </w:r>
      <w:r w:rsidRPr="00113F82">
        <w:rPr>
          <w:rFonts w:eastAsia="宋体" w:cs="宋体"/>
        </w:rPr>
        <w:t xml:space="preserve"> and </w:t>
      </w:r>
      <w:r w:rsidRPr="00113F82">
        <w:t>4.4%, respectively, with significant difference</w:t>
      </w:r>
      <w:r w:rsidR="00BE51BE" w:rsidRPr="00113F82">
        <w:t>s</w:t>
      </w:r>
      <w:r w:rsidRPr="00113F82">
        <w:t xml:space="preserve"> (log rank </w:t>
      </w:r>
      <w:r w:rsidRPr="00113F82">
        <w:rPr>
          <w:i/>
        </w:rPr>
        <w:t>P</w:t>
      </w:r>
      <w:r w:rsidR="00BE51BE" w:rsidRPr="00113F82">
        <w:rPr>
          <w:rFonts w:eastAsia="宋体" w:cs="宋体"/>
        </w:rPr>
        <w:t xml:space="preserve"> &lt; </w:t>
      </w:r>
      <w:r w:rsidR="00F91C4A" w:rsidRPr="00113F82">
        <w:t>0.05, HR: 0.527, 95%</w:t>
      </w:r>
      <w:r w:rsidRPr="00113F82">
        <w:t>CI: 0.332</w:t>
      </w:r>
      <w:r w:rsidR="00BE51BE" w:rsidRPr="00113F82">
        <w:t>–</w:t>
      </w:r>
      <w:r w:rsidRPr="00113F82">
        <w:t>0.834, Fig</w:t>
      </w:r>
      <w:r w:rsidR="00BE51BE" w:rsidRPr="00113F82">
        <w:t>ure</w:t>
      </w:r>
      <w:r w:rsidRPr="00113F82">
        <w:t xml:space="preserve"> 4C) (Table 3). The survival rates also differed significantly depending on the Child</w:t>
      </w:r>
      <w:r w:rsidR="00BE51BE" w:rsidRPr="00113F82">
        <w:t>–</w:t>
      </w:r>
      <w:r w:rsidRPr="00113F82">
        <w:t xml:space="preserve">Pugh classification (log rank </w:t>
      </w:r>
      <w:r w:rsidRPr="00113F82">
        <w:rPr>
          <w:i/>
        </w:rPr>
        <w:t>P</w:t>
      </w:r>
      <w:r w:rsidR="00BE51BE" w:rsidRPr="00113F82">
        <w:t xml:space="preserve"> </w:t>
      </w:r>
      <w:r w:rsidRPr="00113F82">
        <w:t>&lt;</w:t>
      </w:r>
      <w:r w:rsidR="00BE51BE" w:rsidRPr="00113F82">
        <w:t xml:space="preserve"> </w:t>
      </w:r>
      <w:r w:rsidRPr="00113F82">
        <w:t>0.001, Fig</w:t>
      </w:r>
      <w:r w:rsidR="00BE51BE" w:rsidRPr="00113F82">
        <w:t>ure</w:t>
      </w:r>
      <w:r w:rsidRPr="00113F82">
        <w:t xml:space="preserve"> 4D). </w:t>
      </w:r>
    </w:p>
    <w:p w14:paraId="382363AC" w14:textId="77777777" w:rsidR="00BE51BE" w:rsidRPr="00113F82" w:rsidRDefault="00BE51BE" w:rsidP="00E107FC">
      <w:pPr>
        <w:pStyle w:val="2"/>
        <w:spacing w:line="360" w:lineRule="auto"/>
        <w:ind w:left="0"/>
        <w:jc w:val="both"/>
      </w:pPr>
    </w:p>
    <w:p w14:paraId="7E4DEDC8" w14:textId="3348CCAB" w:rsidR="00CE6888" w:rsidRPr="00113F82" w:rsidRDefault="002059B4" w:rsidP="00E107FC">
      <w:pPr>
        <w:pStyle w:val="2"/>
        <w:spacing w:line="360" w:lineRule="auto"/>
        <w:ind w:left="0"/>
        <w:jc w:val="both"/>
      </w:pPr>
      <w:r w:rsidRPr="00113F82">
        <w:t xml:space="preserve">Cox </w:t>
      </w:r>
      <w:r w:rsidR="00CE6888" w:rsidRPr="00113F82">
        <w:t xml:space="preserve">regression </w:t>
      </w:r>
    </w:p>
    <w:p w14:paraId="0EA80F2A" w14:textId="71AC67A0" w:rsidR="007E716F" w:rsidRPr="00113F82" w:rsidRDefault="00CE6888" w:rsidP="00E107FC">
      <w:pPr>
        <w:pStyle w:val="a3"/>
        <w:spacing w:line="360" w:lineRule="auto"/>
        <w:ind w:left="0"/>
        <w:jc w:val="both"/>
      </w:pPr>
      <w:r w:rsidRPr="00113F82">
        <w:t>Cox regression identified that etiology of liver cancer, clinical symptoms, albumin, aspartate aminotransferase, Na</w:t>
      </w:r>
      <w:r w:rsidRPr="00113F82">
        <w:rPr>
          <w:vertAlign w:val="superscript"/>
        </w:rPr>
        <w:t>+</w:t>
      </w:r>
      <w:r w:rsidRPr="00113F82">
        <w:t>, and K</w:t>
      </w:r>
      <w:r w:rsidRPr="00113F82">
        <w:rPr>
          <w:vertAlign w:val="superscript"/>
        </w:rPr>
        <w:t>+</w:t>
      </w:r>
      <w:r w:rsidRPr="00113F82">
        <w:t xml:space="preserve"> had no significant effect on the survival rate. The treatment was the significant factor affecting survival rate (</w:t>
      </w:r>
      <w:r w:rsidRPr="00113F82">
        <w:rPr>
          <w:i/>
        </w:rPr>
        <w:t>P</w:t>
      </w:r>
      <w:r w:rsidR="00BE51BE" w:rsidRPr="00113F82">
        <w:t xml:space="preserve"> </w:t>
      </w:r>
      <w:r w:rsidRPr="00113F82">
        <w:t>&lt;</w:t>
      </w:r>
      <w:r w:rsidR="00BE51BE" w:rsidRPr="00113F82">
        <w:t xml:space="preserve"> </w:t>
      </w:r>
      <w:r w:rsidR="00F91C4A" w:rsidRPr="00113F82">
        <w:t>0.001 HR: 4.178, 95%</w:t>
      </w:r>
      <w:r w:rsidRPr="00113F82">
        <w:t>CI:</w:t>
      </w:r>
      <w:r w:rsidR="002059B4" w:rsidRPr="00113F82">
        <w:t xml:space="preserve"> </w:t>
      </w:r>
      <w:r w:rsidRPr="00113F82">
        <w:t>2.340</w:t>
      </w:r>
      <w:r w:rsidR="00BE51BE" w:rsidRPr="00113F82">
        <w:t>–</w:t>
      </w:r>
      <w:r w:rsidRPr="00113F82">
        <w:t>7.459). Child</w:t>
      </w:r>
      <w:r w:rsidR="00BE51BE" w:rsidRPr="00113F82">
        <w:t>–</w:t>
      </w:r>
      <w:r w:rsidRPr="00113F82">
        <w:t>P</w:t>
      </w:r>
      <w:r w:rsidRPr="00113F82">
        <w:rPr>
          <w:rFonts w:eastAsiaTheme="minorEastAsia"/>
          <w:lang w:eastAsia="zh-CN"/>
        </w:rPr>
        <w:t xml:space="preserve">ugh classification, Model for </w:t>
      </w:r>
      <w:r w:rsidR="001C56C8" w:rsidRPr="00113F82">
        <w:rPr>
          <w:rFonts w:eastAsiaTheme="minorEastAsia"/>
          <w:lang w:eastAsia="zh-CN"/>
        </w:rPr>
        <w:t>End</w:t>
      </w:r>
      <w:r w:rsidRPr="00113F82">
        <w:rPr>
          <w:rFonts w:eastAsiaTheme="minorEastAsia"/>
          <w:lang w:eastAsia="zh-CN"/>
        </w:rPr>
        <w:t>-</w:t>
      </w:r>
      <w:r w:rsidR="001C56C8" w:rsidRPr="00113F82">
        <w:rPr>
          <w:rFonts w:eastAsiaTheme="minorEastAsia"/>
          <w:lang w:eastAsia="zh-CN"/>
        </w:rPr>
        <w:t xml:space="preserve">Stage Liver Disease </w:t>
      </w:r>
      <w:r w:rsidRPr="00113F82">
        <w:rPr>
          <w:rFonts w:eastAsiaTheme="minorEastAsia"/>
          <w:lang w:eastAsia="zh-CN"/>
        </w:rPr>
        <w:t xml:space="preserve">score, and </w:t>
      </w:r>
      <w:r w:rsidR="00BE51BE" w:rsidRPr="00113F82">
        <w:rPr>
          <w:rFonts w:eastAsiaTheme="minorEastAsia"/>
          <w:lang w:eastAsia="zh-CN"/>
        </w:rPr>
        <w:t>direct bilirubin</w:t>
      </w:r>
      <w:r w:rsidRPr="00113F82" w:rsidDel="00C62338">
        <w:rPr>
          <w:rFonts w:eastAsiaTheme="minorEastAsia"/>
          <w:lang w:eastAsia="zh-CN"/>
        </w:rPr>
        <w:t xml:space="preserve"> </w:t>
      </w:r>
      <w:r w:rsidRPr="00113F82">
        <w:t xml:space="preserve">were also independent </w:t>
      </w:r>
      <w:r w:rsidR="00805FAB" w:rsidRPr="00113F82">
        <w:t xml:space="preserve">prognostic </w:t>
      </w:r>
      <w:r w:rsidRPr="00113F82">
        <w:t>factor</w:t>
      </w:r>
      <w:r w:rsidR="002059B4" w:rsidRPr="00113F82">
        <w:t>s</w:t>
      </w:r>
      <w:r w:rsidRPr="00113F82">
        <w:t xml:space="preserve"> for survival (Table 4). The OS is shown in Fig</w:t>
      </w:r>
      <w:r w:rsidR="00805FAB" w:rsidRPr="00113F82">
        <w:t>ure</w:t>
      </w:r>
      <w:r w:rsidRPr="00113F82">
        <w:t xml:space="preserve"> 5.</w:t>
      </w:r>
    </w:p>
    <w:p w14:paraId="00C2AF20" w14:textId="77777777" w:rsidR="00805FAB" w:rsidRPr="00113F82" w:rsidRDefault="00805FAB" w:rsidP="00E107FC">
      <w:pPr>
        <w:pStyle w:val="1"/>
        <w:spacing w:line="360" w:lineRule="auto"/>
        <w:ind w:left="0"/>
        <w:jc w:val="both"/>
      </w:pPr>
    </w:p>
    <w:p w14:paraId="605A7B53" w14:textId="70C4050D" w:rsidR="007E716F" w:rsidRPr="00113F82" w:rsidRDefault="00805FAB" w:rsidP="00E107FC">
      <w:pPr>
        <w:pStyle w:val="1"/>
        <w:spacing w:line="360" w:lineRule="auto"/>
        <w:ind w:left="0"/>
        <w:jc w:val="both"/>
      </w:pPr>
      <w:r w:rsidRPr="00113F82">
        <w:t>DISCUSSION</w:t>
      </w:r>
    </w:p>
    <w:p w14:paraId="6D48977C" w14:textId="7395EE69" w:rsidR="004B46FF" w:rsidRPr="00113F82" w:rsidRDefault="004B46FF" w:rsidP="00E107FC">
      <w:pPr>
        <w:pStyle w:val="a3"/>
        <w:spacing w:line="360" w:lineRule="auto"/>
        <w:ind w:left="0"/>
        <w:jc w:val="both"/>
      </w:pPr>
      <w:bookmarkStart w:id="21" w:name="_Hlk535013158"/>
      <w:bookmarkStart w:id="22" w:name="_Hlk530839645"/>
      <w:r w:rsidRPr="00113F82">
        <w:t xml:space="preserve">For patients with MPVTT, the ideal operation should improve survival rate, reduce </w:t>
      </w:r>
      <w:r w:rsidR="002E3555" w:rsidRPr="00113F82">
        <w:t>PVP</w:t>
      </w:r>
      <w:r w:rsidRPr="00113F82">
        <w:t xml:space="preserve">, and avoid ascites and gastrointestinal bleeding. TIPS can achieve these, in addition to improving the survival rate of patients. </w:t>
      </w:r>
      <w:bookmarkStart w:id="23" w:name="_Hlk535013198"/>
      <w:bookmarkEnd w:id="21"/>
      <w:r w:rsidRPr="00113F82">
        <w:rPr>
          <w:vertAlign w:val="superscript"/>
        </w:rPr>
        <w:t>125</w:t>
      </w:r>
      <w:r w:rsidRPr="00113F82">
        <w:t>I has a good therapeutic effect and can improve the survival rate of patients</w:t>
      </w:r>
      <w:r w:rsidR="00F91C4A" w:rsidRPr="00113F82">
        <w:rPr>
          <w:vertAlign w:val="superscript"/>
        </w:rPr>
        <w:t>[17,</w:t>
      </w:r>
      <w:r w:rsidR="00095276" w:rsidRPr="00113F82">
        <w:rPr>
          <w:vertAlign w:val="superscript"/>
        </w:rPr>
        <w:t>18]</w:t>
      </w:r>
      <w:r w:rsidRPr="00113F82">
        <w:t xml:space="preserve">. However, </w:t>
      </w:r>
      <w:r w:rsidRPr="00113F82">
        <w:rPr>
          <w:vertAlign w:val="superscript"/>
        </w:rPr>
        <w:t>125</w:t>
      </w:r>
      <w:r w:rsidRPr="00113F82">
        <w:t>I implantation documented in the literature was combined with percutaneous liver puncture or TACE in the form of particle strand</w:t>
      </w:r>
      <w:r w:rsidR="002E3555" w:rsidRPr="00113F82">
        <w:t>s</w:t>
      </w:r>
      <w:r w:rsidRPr="00113F82">
        <w:t xml:space="preserve">, which had some disadvantages, such as limited number of particles being implanted. Moreover, the position of </w:t>
      </w:r>
      <w:r w:rsidRPr="00113F82">
        <w:rPr>
          <w:vertAlign w:val="superscript"/>
        </w:rPr>
        <w:t>125</w:t>
      </w:r>
      <w:r w:rsidRPr="00113F82">
        <w:t xml:space="preserve">I cannot be adjusted in these procedures. </w:t>
      </w:r>
      <w:r w:rsidRPr="00113F82">
        <w:rPr>
          <w:vertAlign w:val="superscript"/>
        </w:rPr>
        <w:t>125</w:t>
      </w:r>
      <w:r w:rsidRPr="00113F82">
        <w:t xml:space="preserve">I combined with TIPS can fix the particles between the stent and the </w:t>
      </w:r>
      <w:r w:rsidR="002E3555" w:rsidRPr="00113F82">
        <w:t>TT</w:t>
      </w:r>
      <w:r w:rsidRPr="00113F82">
        <w:t xml:space="preserve"> without the need for particle strand</w:t>
      </w:r>
      <w:r w:rsidR="002E3555" w:rsidRPr="00113F82">
        <w:t>s</w:t>
      </w:r>
      <w:r w:rsidRPr="00113F82">
        <w:t xml:space="preserve">. This approach allows for easier adjustment of the position of </w:t>
      </w:r>
      <w:r w:rsidRPr="00113F82">
        <w:rPr>
          <w:vertAlign w:val="superscript"/>
        </w:rPr>
        <w:t>125</w:t>
      </w:r>
      <w:r w:rsidRPr="00113F82">
        <w:t xml:space="preserve">I and the amount of </w:t>
      </w:r>
      <w:r w:rsidRPr="00113F82">
        <w:rPr>
          <w:vertAlign w:val="superscript"/>
        </w:rPr>
        <w:t>125</w:t>
      </w:r>
      <w:r w:rsidRPr="00113F82">
        <w:t xml:space="preserve">I being implanted. However, there </w:t>
      </w:r>
      <w:r w:rsidR="002E3555" w:rsidRPr="00113F82">
        <w:t xml:space="preserve">has been </w:t>
      </w:r>
      <w:r w:rsidRPr="00113F82">
        <w:t xml:space="preserve">no research on </w:t>
      </w:r>
      <w:r w:rsidRPr="00113F82">
        <w:rPr>
          <w:vertAlign w:val="superscript"/>
        </w:rPr>
        <w:t>125</w:t>
      </w:r>
      <w:r w:rsidRPr="00113F82">
        <w:t xml:space="preserve">I combined with TIPS for the treatment of </w:t>
      </w:r>
      <w:r w:rsidR="002E3555" w:rsidRPr="00113F82">
        <w:t>PVTT</w:t>
      </w:r>
      <w:r w:rsidRPr="00113F82">
        <w:t xml:space="preserve">. Thus, we investigated the efficacy of TIPS combined with </w:t>
      </w:r>
      <w:r w:rsidRPr="00113F82">
        <w:rPr>
          <w:vertAlign w:val="superscript"/>
        </w:rPr>
        <w:t>125</w:t>
      </w:r>
      <w:r w:rsidRPr="00113F82">
        <w:t xml:space="preserve">I in the treatment of </w:t>
      </w:r>
      <w:r w:rsidR="002E3555" w:rsidRPr="00113F82">
        <w:t>PVTT</w:t>
      </w:r>
      <w:r w:rsidRPr="00113F82">
        <w:t xml:space="preserve">. Overall, our study revealed the following outcomes: </w:t>
      </w:r>
      <w:r w:rsidR="002E3555" w:rsidRPr="00113F82">
        <w:t>(</w:t>
      </w:r>
      <w:r w:rsidRPr="00113F82">
        <w:t xml:space="preserve">1) </w:t>
      </w:r>
      <w:r w:rsidRPr="00113F82">
        <w:rPr>
          <w:vertAlign w:val="superscript"/>
        </w:rPr>
        <w:t>125</w:t>
      </w:r>
      <w:r w:rsidRPr="00113F82">
        <w:t xml:space="preserve">I combined with TIPS in the treatment of </w:t>
      </w:r>
      <w:r w:rsidR="002E3555" w:rsidRPr="00113F82">
        <w:t>PVTT</w:t>
      </w:r>
      <w:r w:rsidRPr="00113F82">
        <w:t xml:space="preserve"> can significantly improve patients’ survival rate and reduce stent restenosis and symptom recurrence; </w:t>
      </w:r>
      <w:r w:rsidR="00F91C4A" w:rsidRPr="00113F82">
        <w:rPr>
          <w:rFonts w:eastAsiaTheme="minorEastAsia"/>
          <w:lang w:eastAsia="zh-CN"/>
        </w:rPr>
        <w:t xml:space="preserve">and </w:t>
      </w:r>
      <w:r w:rsidR="002E3555" w:rsidRPr="00113F82">
        <w:t>(</w:t>
      </w:r>
      <w:r w:rsidRPr="00113F82">
        <w:t xml:space="preserve">2) TIPS can reduce </w:t>
      </w:r>
      <w:r w:rsidR="002E3555" w:rsidRPr="00113F82">
        <w:t>PVP</w:t>
      </w:r>
      <w:r w:rsidRPr="00113F82">
        <w:t xml:space="preserve"> and relieve clinical symptoms; and </w:t>
      </w:r>
      <w:r w:rsidR="002E3555" w:rsidRPr="00113F82">
        <w:t>(</w:t>
      </w:r>
      <w:r w:rsidRPr="00113F82">
        <w:t xml:space="preserve">3) TIPS combined with </w:t>
      </w:r>
      <w:r w:rsidRPr="00113F82">
        <w:rPr>
          <w:vertAlign w:val="superscript"/>
        </w:rPr>
        <w:t>125</w:t>
      </w:r>
      <w:r w:rsidRPr="00113F82">
        <w:t xml:space="preserve">I is safe and feasible. </w:t>
      </w:r>
    </w:p>
    <w:p w14:paraId="14E86E3B" w14:textId="7165E681" w:rsidR="004B46FF" w:rsidRPr="00113F82" w:rsidRDefault="004B46FF" w:rsidP="00F91C4A">
      <w:pPr>
        <w:pStyle w:val="a3"/>
        <w:spacing w:line="360" w:lineRule="auto"/>
        <w:ind w:left="0" w:firstLineChars="100" w:firstLine="240"/>
        <w:jc w:val="both"/>
      </w:pPr>
      <w:r w:rsidRPr="00113F82">
        <w:t xml:space="preserve">TIPS can effectively reduce </w:t>
      </w:r>
      <w:r w:rsidR="002E3555" w:rsidRPr="00113F82">
        <w:t>PVP</w:t>
      </w:r>
      <w:r w:rsidRPr="00113F82">
        <w:t xml:space="preserve"> and prevent the occurrence of portal hypertension and its complications. It can improve patients’ quality of life and give them the opportunity to be treated for their primary lesion</w:t>
      </w:r>
      <w:bookmarkEnd w:id="23"/>
      <w:r w:rsidR="00F91C4A" w:rsidRPr="00113F82">
        <w:rPr>
          <w:vertAlign w:val="superscript"/>
        </w:rPr>
        <w:t>[12,</w:t>
      </w:r>
      <w:r w:rsidR="00CE6888" w:rsidRPr="00113F82">
        <w:rPr>
          <w:vertAlign w:val="superscript"/>
        </w:rPr>
        <w:t>19-21]</w:t>
      </w:r>
      <w:r w:rsidR="007E716F" w:rsidRPr="00113F82">
        <w:t xml:space="preserve">. </w:t>
      </w:r>
      <w:bookmarkStart w:id="24" w:name="_Hlk535013244"/>
      <w:r w:rsidRPr="00113F82">
        <w:t xml:space="preserve">However, it is unable to control the development of </w:t>
      </w:r>
      <w:r w:rsidR="002E3555" w:rsidRPr="00113F82">
        <w:t>TT</w:t>
      </w:r>
      <w:r w:rsidRPr="00113F82">
        <w:t xml:space="preserve">. Bettinger </w:t>
      </w:r>
      <w:r w:rsidRPr="00113F82">
        <w:rPr>
          <w:i/>
        </w:rPr>
        <w:t>et al</w:t>
      </w:r>
      <w:r w:rsidR="00BE5B3C" w:rsidRPr="00113F82">
        <w:rPr>
          <w:vertAlign w:val="superscript"/>
        </w:rPr>
        <w:t>[21]</w:t>
      </w:r>
      <w:r w:rsidRPr="00113F82">
        <w:t xml:space="preserve"> studied a group of 40 HCC patients treated with TIPS, showed tha</w:t>
      </w:r>
      <w:r w:rsidR="001909AF" w:rsidRPr="00113F82">
        <w:t>t</w:t>
      </w:r>
      <w:bookmarkEnd w:id="24"/>
      <w:r w:rsidR="001909AF" w:rsidRPr="00113F82">
        <w:t xml:space="preserve"> </w:t>
      </w:r>
      <w:r w:rsidRPr="00113F82">
        <w:t>TIPS implantation is an effective and safe treatment for portal hypertension in these patients</w:t>
      </w:r>
      <w:r w:rsidR="002E3555" w:rsidRPr="00113F82">
        <w:t>,</w:t>
      </w:r>
      <w:r w:rsidRPr="00113F82">
        <w:t xml:space="preserve"> without significant impairment in liver function. Nevertheless, patients with PVT had a median OS of 5.2 (4.3–6.0) mo, whereas that in patients without PVT was 17 (3.2–18.7) mo.</w:t>
      </w:r>
    </w:p>
    <w:p w14:paraId="33D97C6A" w14:textId="45DAAF81" w:rsidR="004B46FF" w:rsidRPr="00113F82" w:rsidRDefault="004B46FF" w:rsidP="00F91C4A">
      <w:pPr>
        <w:pStyle w:val="a3"/>
        <w:spacing w:line="360" w:lineRule="auto"/>
        <w:ind w:left="0" w:firstLineChars="100" w:firstLine="240"/>
        <w:jc w:val="both"/>
      </w:pPr>
      <w:r w:rsidRPr="00113F82">
        <w:t xml:space="preserve">Recently, the application of </w:t>
      </w:r>
      <w:r w:rsidRPr="00113F82">
        <w:rPr>
          <w:vertAlign w:val="superscript"/>
        </w:rPr>
        <w:t>125</w:t>
      </w:r>
      <w:r w:rsidRPr="00113F82">
        <w:t xml:space="preserve">I in treating </w:t>
      </w:r>
      <w:r w:rsidR="002E3555" w:rsidRPr="00113F82">
        <w:t>PVTT</w:t>
      </w:r>
      <w:r w:rsidRPr="00113F82">
        <w:t xml:space="preserve"> has shown a curative effect</w:t>
      </w:r>
      <w:r w:rsidR="00F91C4A" w:rsidRPr="00113F82">
        <w:rPr>
          <w:vertAlign w:val="superscript"/>
        </w:rPr>
        <w:t>[18,</w:t>
      </w:r>
      <w:r w:rsidR="00CE6888" w:rsidRPr="00113F82">
        <w:rPr>
          <w:vertAlign w:val="superscript"/>
        </w:rPr>
        <w:t>22-24]</w:t>
      </w:r>
      <w:r w:rsidR="007E716F" w:rsidRPr="00113F82">
        <w:t xml:space="preserve">. </w:t>
      </w:r>
      <w:r w:rsidRPr="00113F82">
        <w:t>A retrospective matched cohort study</w:t>
      </w:r>
      <w:r w:rsidRPr="00113F82">
        <w:rPr>
          <w:vertAlign w:val="superscript"/>
        </w:rPr>
        <w:t>[2]</w:t>
      </w:r>
      <w:r w:rsidRPr="00113F82">
        <w:t xml:space="preserve"> has suggested that TACE combined with </w:t>
      </w:r>
      <w:r w:rsidRPr="00113F82">
        <w:rPr>
          <w:vertAlign w:val="superscript"/>
        </w:rPr>
        <w:t>125</w:t>
      </w:r>
      <w:r w:rsidRPr="00113F82">
        <w:t xml:space="preserve">I seed implantation may be a good choice for selected </w:t>
      </w:r>
      <w:r w:rsidR="002E3555" w:rsidRPr="00113F82">
        <w:t xml:space="preserve">hepatitis B </w:t>
      </w:r>
      <w:r w:rsidRPr="00113F82">
        <w:t xml:space="preserve">HCC patients with PVTT. </w:t>
      </w:r>
      <w:r w:rsidR="00F07DB6" w:rsidRPr="00113F82">
        <w:t>Lin</w:t>
      </w:r>
      <w:r w:rsidR="007E1CD3" w:rsidRPr="00113F82">
        <w:t xml:space="preserve"> </w:t>
      </w:r>
      <w:r w:rsidR="007E1CD3" w:rsidRPr="00113F82">
        <w:rPr>
          <w:i/>
        </w:rPr>
        <w:t>et al</w:t>
      </w:r>
      <w:r w:rsidR="00CE6888" w:rsidRPr="00113F82">
        <w:rPr>
          <w:vertAlign w:val="superscript"/>
        </w:rPr>
        <w:t>[18]</w:t>
      </w:r>
      <w:r w:rsidR="00F07DB6" w:rsidRPr="00113F82">
        <w:t xml:space="preserve"> </w:t>
      </w:r>
      <w:r w:rsidRPr="00113F82">
        <w:t xml:space="preserve">found the median OS in HCC patients </w:t>
      </w:r>
      <w:r w:rsidRPr="00113F82">
        <w:lastRenderedPageBreak/>
        <w:t>with PVTT</w:t>
      </w:r>
      <w:r w:rsidR="00B0440C" w:rsidRPr="00113F82">
        <w:t>,</w:t>
      </w:r>
      <w:r w:rsidRPr="00113F82">
        <w:t xml:space="preserve"> treated with </w:t>
      </w:r>
      <w:r w:rsidRPr="00113F82">
        <w:rPr>
          <w:vertAlign w:val="superscript"/>
        </w:rPr>
        <w:t>125</w:t>
      </w:r>
      <w:r w:rsidRPr="00113F82">
        <w:t>I brachytherapy was 7 mo in the MPV group, which was lower than that in other groups, such as the right or left portal vein group and segmental branches of portal vein group.</w:t>
      </w:r>
      <w:r w:rsidR="00E107FC" w:rsidRPr="00113F82">
        <w:t xml:space="preserve"> </w:t>
      </w:r>
      <w:r w:rsidRPr="00113F82">
        <w:t xml:space="preserve">Luo </w:t>
      </w:r>
      <w:r w:rsidRPr="00113F82">
        <w:rPr>
          <w:i/>
        </w:rPr>
        <w:t>et al</w:t>
      </w:r>
      <w:r w:rsidR="002022F0" w:rsidRPr="00113F82">
        <w:rPr>
          <w:vertAlign w:val="superscript"/>
        </w:rPr>
        <w:t>[8]</w:t>
      </w:r>
      <w:r w:rsidRPr="00113F82">
        <w:t xml:space="preserve"> compared the therapeutic effect between the group treated with </w:t>
      </w:r>
      <w:r w:rsidRPr="00113F82">
        <w:rPr>
          <w:vertAlign w:val="superscript"/>
        </w:rPr>
        <w:t>125</w:t>
      </w:r>
      <w:r w:rsidRPr="00113F82">
        <w:t>I + TACE +</w:t>
      </w:r>
      <w:r w:rsidR="002E3555" w:rsidRPr="00113F82">
        <w:t xml:space="preserve"> </w:t>
      </w:r>
      <w:r w:rsidRPr="00113F82">
        <w:t>stent implantation (group A) and the group treated with stent implantation +</w:t>
      </w:r>
      <w:r w:rsidR="002E3555" w:rsidRPr="00113F82">
        <w:t xml:space="preserve"> </w:t>
      </w:r>
      <w:r w:rsidRPr="00113F82">
        <w:t>TACE (group B). The median survival time was 9.3</w:t>
      </w:r>
      <w:r w:rsidR="00B62B22" w:rsidRPr="00113F82">
        <w:t xml:space="preserve"> ± </w:t>
      </w:r>
      <w:r w:rsidRPr="00113F82">
        <w:t>0.</w:t>
      </w:r>
      <w:r w:rsidR="00F91C4A" w:rsidRPr="00113F82">
        <w:t>9 mo (95%</w:t>
      </w:r>
      <w:r w:rsidRPr="00113F82">
        <w:t>CI</w:t>
      </w:r>
      <w:r w:rsidR="002059B4" w:rsidRPr="00113F82">
        <w:t>:</w:t>
      </w:r>
      <w:r w:rsidRPr="00113F82">
        <w:t xml:space="preserve"> 7.6</w:t>
      </w:r>
      <w:r w:rsidR="002E3555" w:rsidRPr="00113F82">
        <w:t>–</w:t>
      </w:r>
      <w:r w:rsidRPr="00113F82">
        <w:t>11.0 mo) in group A and 4.9</w:t>
      </w:r>
      <w:r w:rsidR="00B62B22" w:rsidRPr="00113F82">
        <w:t xml:space="preserve"> ± </w:t>
      </w:r>
      <w:r w:rsidR="00F91C4A" w:rsidRPr="00113F82">
        <w:t>0.5 mo (95%</w:t>
      </w:r>
      <w:r w:rsidRPr="00113F82">
        <w:t>CI</w:t>
      </w:r>
      <w:r w:rsidR="002059B4" w:rsidRPr="00113F82">
        <w:t>:</w:t>
      </w:r>
      <w:r w:rsidRPr="00113F82">
        <w:t xml:space="preserve"> 4.0</w:t>
      </w:r>
      <w:r w:rsidR="002E3555" w:rsidRPr="00113F82">
        <w:t>–</w:t>
      </w:r>
      <w:r w:rsidRPr="00113F82">
        <w:t xml:space="preserve">5.8 mo) in group B. Median </w:t>
      </w:r>
      <w:r w:rsidR="003E35E6" w:rsidRPr="00113F82">
        <w:t xml:space="preserve">progression-free survival time </w:t>
      </w:r>
      <w:r w:rsidRPr="00113F82">
        <w:t>in groups A and B was 1.8</w:t>
      </w:r>
      <w:r w:rsidR="00B62B22" w:rsidRPr="00113F82">
        <w:t xml:space="preserve"> ± </w:t>
      </w:r>
      <w:r w:rsidR="00F91C4A" w:rsidRPr="00113F82">
        <w:t>0.1 mo (95%</w:t>
      </w:r>
      <w:r w:rsidRPr="00113F82">
        <w:t>CI</w:t>
      </w:r>
      <w:r w:rsidR="002059B4" w:rsidRPr="00113F82">
        <w:t>:</w:t>
      </w:r>
      <w:r w:rsidRPr="00113F82">
        <w:t xml:space="preserve"> 1.6</w:t>
      </w:r>
      <w:r w:rsidR="002E3555" w:rsidRPr="00113F82">
        <w:t>–</w:t>
      </w:r>
      <w:r w:rsidRPr="00113F82">
        <w:t>2.0 mo) and 1.5</w:t>
      </w:r>
      <w:r w:rsidR="00B62B22" w:rsidRPr="00113F82">
        <w:t xml:space="preserve"> ± </w:t>
      </w:r>
      <w:r w:rsidR="00F91C4A" w:rsidRPr="00113F82">
        <w:t>0.1 mo (95%</w:t>
      </w:r>
      <w:r w:rsidRPr="00113F82">
        <w:t>CI</w:t>
      </w:r>
      <w:r w:rsidR="002059B4" w:rsidRPr="00113F82">
        <w:t>:</w:t>
      </w:r>
      <w:r w:rsidRPr="00113F82">
        <w:t xml:space="preserve"> 1.3</w:t>
      </w:r>
      <w:r w:rsidR="002E3555" w:rsidRPr="00113F82">
        <w:t>–</w:t>
      </w:r>
      <w:r w:rsidRPr="00113F82">
        <w:t>1.7 mo), respectively (</w:t>
      </w:r>
      <w:r w:rsidR="002E3555" w:rsidRPr="00113F82">
        <w:rPr>
          <w:i/>
        </w:rPr>
        <w:t xml:space="preserve">P </w:t>
      </w:r>
      <w:r w:rsidRPr="00113F82">
        <w:t>&lt;</w:t>
      </w:r>
      <w:r w:rsidR="002E3555" w:rsidRPr="00113F82">
        <w:t xml:space="preserve"> </w:t>
      </w:r>
      <w:r w:rsidRPr="00113F82">
        <w:t>0.001). Median stent patency period was 9.2</w:t>
      </w:r>
      <w:r w:rsidR="00B62B22" w:rsidRPr="00113F82">
        <w:t xml:space="preserve"> ± </w:t>
      </w:r>
      <w:r w:rsidR="00F91C4A" w:rsidRPr="00113F82">
        <w:t>1.1 mo (95%</w:t>
      </w:r>
      <w:r w:rsidRPr="00113F82">
        <w:t>CI</w:t>
      </w:r>
      <w:r w:rsidR="002059B4" w:rsidRPr="00113F82">
        <w:t>:</w:t>
      </w:r>
      <w:r w:rsidRPr="00113F82">
        <w:t xml:space="preserve"> 7.0</w:t>
      </w:r>
      <w:r w:rsidR="002E3555" w:rsidRPr="00113F82">
        <w:t>–</w:t>
      </w:r>
      <w:r w:rsidRPr="00113F82">
        <w:t>11.4 mo) in group A and 4.8</w:t>
      </w:r>
      <w:r w:rsidR="00B62B22" w:rsidRPr="00113F82">
        <w:t xml:space="preserve"> ± </w:t>
      </w:r>
      <w:r w:rsidR="00F91C4A" w:rsidRPr="00113F82">
        <w:t>0.5 mo (95%</w:t>
      </w:r>
      <w:r w:rsidRPr="00113F82">
        <w:t>CI</w:t>
      </w:r>
      <w:r w:rsidR="002059B4" w:rsidRPr="00113F82">
        <w:t>:</w:t>
      </w:r>
      <w:r w:rsidRPr="00113F82">
        <w:t xml:space="preserve"> 3.9</w:t>
      </w:r>
      <w:r w:rsidR="002E3555" w:rsidRPr="00113F82">
        <w:t>–</w:t>
      </w:r>
      <w:r w:rsidRPr="00113F82">
        <w:t>5.7 mo) in group B (</w:t>
      </w:r>
      <w:r w:rsidR="002E3555" w:rsidRPr="00113F82">
        <w:rPr>
          <w:i/>
        </w:rPr>
        <w:t xml:space="preserve">P </w:t>
      </w:r>
      <w:r w:rsidRPr="00113F82">
        <w:t>&lt;</w:t>
      </w:r>
      <w:r w:rsidR="002E3555" w:rsidRPr="00113F82">
        <w:t xml:space="preserve"> </w:t>
      </w:r>
      <w:r w:rsidRPr="00113F82">
        <w:t>0.001).</w:t>
      </w:r>
    </w:p>
    <w:p w14:paraId="73FA5E01" w14:textId="4A2D4700" w:rsidR="003D5423" w:rsidRPr="00113F82" w:rsidRDefault="00ED1EE3" w:rsidP="00F91C4A">
      <w:pPr>
        <w:pStyle w:val="a3"/>
        <w:spacing w:line="360" w:lineRule="auto"/>
        <w:ind w:left="0" w:firstLineChars="100" w:firstLine="240"/>
        <w:jc w:val="both"/>
      </w:pPr>
      <w:bookmarkStart w:id="25" w:name="OLE_LINK3"/>
      <w:r w:rsidRPr="00113F82">
        <w:t>Radiotherapy</w:t>
      </w:r>
      <w:r w:rsidR="00244F18" w:rsidRPr="00113F82">
        <w:t xml:space="preserve"> </w:t>
      </w:r>
      <w:r w:rsidRPr="00113F82">
        <w:t>(RT)</w:t>
      </w:r>
      <w:r w:rsidR="00A03272" w:rsidRPr="00113F82">
        <w:t>,</w:t>
      </w:r>
      <w:r w:rsidRPr="00113F82">
        <w:t xml:space="preserve"> </w:t>
      </w:r>
      <w:r w:rsidR="00A03272" w:rsidRPr="00113F82">
        <w:t xml:space="preserve">which is recommended for patients with HCC and PVTT, can </w:t>
      </w:r>
      <w:r w:rsidRPr="00113F82">
        <w:t>provid</w:t>
      </w:r>
      <w:r w:rsidR="00A03272" w:rsidRPr="00113F82">
        <w:t>e</w:t>
      </w:r>
      <w:r w:rsidRPr="00113F82">
        <w:t xml:space="preserve"> better PVTT control and OS</w:t>
      </w:r>
      <w:r w:rsidR="004C685E" w:rsidRPr="00113F82">
        <w:t xml:space="preserve">. </w:t>
      </w:r>
      <w:r w:rsidR="002E4708" w:rsidRPr="00113F82">
        <w:t xml:space="preserve">Li </w:t>
      </w:r>
      <w:r w:rsidR="002E4708" w:rsidRPr="00113F82">
        <w:rPr>
          <w:i/>
        </w:rPr>
        <w:t>et al</w:t>
      </w:r>
      <w:r w:rsidR="002E4708" w:rsidRPr="00113F82">
        <w:rPr>
          <w:rFonts w:eastAsiaTheme="minorEastAsia" w:hint="eastAsia"/>
          <w:vertAlign w:val="superscript"/>
          <w:lang w:eastAsia="zh-CN"/>
        </w:rPr>
        <w:t xml:space="preserve">[25] </w:t>
      </w:r>
      <w:r w:rsidR="002E4708" w:rsidRPr="00113F82">
        <w:rPr>
          <w:rFonts w:eastAsiaTheme="minorEastAsia" w:hint="eastAsia"/>
          <w:lang w:eastAsia="zh-CN"/>
        </w:rPr>
        <w:t xml:space="preserve">and </w:t>
      </w:r>
      <w:r w:rsidR="004C685E" w:rsidRPr="00113F82">
        <w:t xml:space="preserve">Im </w:t>
      </w:r>
      <w:r w:rsidR="004C685E" w:rsidRPr="00113F82">
        <w:rPr>
          <w:i/>
        </w:rPr>
        <w:t>et al</w:t>
      </w:r>
      <w:r w:rsidR="002E4708" w:rsidRPr="00113F82">
        <w:rPr>
          <w:noProof/>
          <w:vertAlign w:val="superscript"/>
        </w:rPr>
        <w:t>[</w:t>
      </w:r>
      <w:r w:rsidR="009E34EA" w:rsidRPr="00113F82">
        <w:rPr>
          <w:noProof/>
          <w:vertAlign w:val="superscript"/>
        </w:rPr>
        <w:t>26]</w:t>
      </w:r>
      <w:r w:rsidR="00A03272" w:rsidRPr="00113F82">
        <w:t xml:space="preserve"> showed </w:t>
      </w:r>
      <w:r w:rsidR="009E34EA" w:rsidRPr="00113F82">
        <w:t xml:space="preserve">that </w:t>
      </w:r>
      <w:r w:rsidR="00A03272" w:rsidRPr="00113F82">
        <w:t>high dose</w:t>
      </w:r>
      <w:r w:rsidR="009E34EA" w:rsidRPr="00113F82">
        <w:t xml:space="preserve"> </w:t>
      </w:r>
      <w:r w:rsidR="00A03272" w:rsidRPr="00113F82">
        <w:t xml:space="preserve">RT combined with other treatments provides a significantly better survival outcome than monotherapy for unresectable HCC patients with PVTT, like TACE, especially for patients with PVTT involving main trunk. </w:t>
      </w:r>
      <w:bookmarkEnd w:id="25"/>
      <w:r w:rsidR="00145103" w:rsidRPr="00113F82">
        <w:t xml:space="preserve">The defect of </w:t>
      </w:r>
      <w:r w:rsidR="00F91C4A" w:rsidRPr="00113F82">
        <w:t>RT</w:t>
      </w:r>
      <w:r w:rsidR="00145103" w:rsidRPr="00113F82">
        <w:t xml:space="preserve"> with high irradiation dose is the occurrence of adverse reactions, such as gastrointestinal reactions, bone marrow depression and liver function damage. </w:t>
      </w:r>
      <w:r w:rsidR="004B46FF" w:rsidRPr="00113F82">
        <w:rPr>
          <w:vertAlign w:val="superscript"/>
        </w:rPr>
        <w:t>125</w:t>
      </w:r>
      <w:r w:rsidR="004B46FF" w:rsidRPr="00113F82">
        <w:t xml:space="preserve">I seeding can release continuous low doses of </w:t>
      </w:r>
      <w:r w:rsidR="002E3555" w:rsidRPr="00113F82">
        <w:t>X</w:t>
      </w:r>
      <w:r w:rsidR="004B46FF" w:rsidRPr="00113F82">
        <w:t xml:space="preserve"> and </w:t>
      </w:r>
      <w:r w:rsidR="004B46FF" w:rsidRPr="00113F82">
        <w:rPr>
          <w:rFonts w:cs="Times New Roman"/>
        </w:rPr>
        <w:t>γ</w:t>
      </w:r>
      <w:r w:rsidR="002E3555" w:rsidRPr="00113F82">
        <w:t xml:space="preserve"> </w:t>
      </w:r>
      <w:r w:rsidR="004B46FF" w:rsidRPr="00113F82">
        <w:t>rays that can damage the DNA in the nuclei of the tumor cells.</w:t>
      </w:r>
      <w:r w:rsidR="00AA76B3" w:rsidRPr="00113F82">
        <w:t xml:space="preserve"> </w:t>
      </w:r>
      <w:r w:rsidR="004B46FF" w:rsidRPr="00113F82">
        <w:t xml:space="preserve">In our research, the uniformly distributed </w:t>
      </w:r>
      <w:r w:rsidR="004B46FF" w:rsidRPr="00113F82">
        <w:rPr>
          <w:vertAlign w:val="superscript"/>
        </w:rPr>
        <w:t>125</w:t>
      </w:r>
      <w:r w:rsidR="004B46FF" w:rsidRPr="00113F82">
        <w:t xml:space="preserve">I seeds, which have a half-life of 59.6 d and a radiation diameter of 1.7 cm, were positioned close to the </w:t>
      </w:r>
      <w:r w:rsidR="002E3555" w:rsidRPr="00113F82">
        <w:t>TT</w:t>
      </w:r>
      <w:r w:rsidR="004B46FF" w:rsidRPr="00113F82">
        <w:t xml:space="preserve"> and fixed by TIPS stent</w:t>
      </w:r>
      <w:r w:rsidR="009E34EA" w:rsidRPr="00113F82">
        <w:rPr>
          <w:noProof/>
          <w:vertAlign w:val="superscript"/>
        </w:rPr>
        <w:t>[27]</w:t>
      </w:r>
      <w:r w:rsidR="00FA5B27" w:rsidRPr="00113F82">
        <w:t xml:space="preserve">. </w:t>
      </w:r>
      <w:r w:rsidR="004B46FF" w:rsidRPr="00113F82">
        <w:t xml:space="preserve">The close contact with MPVTT makes it possible to deliver </w:t>
      </w:r>
      <w:r w:rsidR="004B46FF" w:rsidRPr="00113F82">
        <w:rPr>
          <w:rFonts w:cs="Times New Roman"/>
        </w:rPr>
        <w:t>γ</w:t>
      </w:r>
      <w:r w:rsidR="004B46FF" w:rsidRPr="00113F82">
        <w:t xml:space="preserve">-ray irradiation to the </w:t>
      </w:r>
      <w:r w:rsidR="002E3555" w:rsidRPr="00113F82">
        <w:t xml:space="preserve">TT </w:t>
      </w:r>
      <w:r w:rsidR="004B46FF" w:rsidRPr="00113F82">
        <w:t xml:space="preserve">continuously, which greatly inhibits tumor cell growth by inducing apoptosis and shrinking the MPVTT. Therefore, TIPS combined with </w:t>
      </w:r>
      <w:r w:rsidR="004B46FF" w:rsidRPr="00113F82">
        <w:rPr>
          <w:vertAlign w:val="superscript"/>
        </w:rPr>
        <w:t>125</w:t>
      </w:r>
      <w:r w:rsidR="004B46FF" w:rsidRPr="00113F82">
        <w:t>I</w:t>
      </w:r>
      <w:r w:rsidR="004B46FF" w:rsidRPr="00113F82">
        <w:rPr>
          <w:vertAlign w:val="superscript"/>
        </w:rPr>
        <w:t xml:space="preserve"> </w:t>
      </w:r>
      <w:r w:rsidR="004B46FF" w:rsidRPr="00113F82">
        <w:t xml:space="preserve">can avoid injury of the surrounding normal tissue with low radiation dose accumulation in the </w:t>
      </w:r>
      <w:r w:rsidR="002E3555" w:rsidRPr="00113F82">
        <w:t>TT</w:t>
      </w:r>
      <w:r w:rsidR="004B46FF" w:rsidRPr="00113F82">
        <w:t xml:space="preserve">, and then can effectively restore the blood flow of the obstructed MPV. </w:t>
      </w:r>
      <w:r w:rsidR="003D5423" w:rsidRPr="00113F82">
        <w:t xml:space="preserve">Certainly, there are also potential risks as migration of the </w:t>
      </w:r>
      <w:r w:rsidR="003D5423" w:rsidRPr="00113F82">
        <w:rPr>
          <w:vertAlign w:val="superscript"/>
        </w:rPr>
        <w:t>125</w:t>
      </w:r>
      <w:r w:rsidR="003D5423" w:rsidRPr="00113F82">
        <w:t>I seeds and heterogeneity of the radiation area.</w:t>
      </w:r>
    </w:p>
    <w:p w14:paraId="53142E31" w14:textId="70B353F1" w:rsidR="003D5423" w:rsidRPr="00113F82" w:rsidRDefault="004B46FF" w:rsidP="00F91C4A">
      <w:pPr>
        <w:pStyle w:val="a3"/>
        <w:spacing w:line="360" w:lineRule="auto"/>
        <w:ind w:left="0" w:firstLineChars="100" w:firstLine="240"/>
        <w:jc w:val="both"/>
      </w:pPr>
      <w:r w:rsidRPr="00113F82">
        <w:t xml:space="preserve">Although </w:t>
      </w:r>
      <w:r w:rsidR="00E64A61" w:rsidRPr="00113F82">
        <w:t xml:space="preserve">a </w:t>
      </w:r>
      <w:r w:rsidRPr="00113F82">
        <w:t>sufficient amount of radiation</w:t>
      </w:r>
      <w:r w:rsidR="00CE6888" w:rsidRPr="00113F82">
        <w:rPr>
          <w:vertAlign w:val="superscript"/>
        </w:rPr>
        <w:t>[17]</w:t>
      </w:r>
      <w:r w:rsidRPr="00113F82">
        <w:t xml:space="preserve"> can reduce the degree of impairment to the surrounding normal tissue and improve the therapeutic effect </w:t>
      </w:r>
      <w:r w:rsidRPr="00113F82">
        <w:lastRenderedPageBreak/>
        <w:t xml:space="preserve">on the PVTT, the cases reported in the literature had strict controls. For example, the first-grade branch of the </w:t>
      </w:r>
      <w:r w:rsidR="002E3555" w:rsidRPr="00113F82">
        <w:t>PV</w:t>
      </w:r>
      <w:r w:rsidRPr="00113F82">
        <w:t xml:space="preserve"> was unobstructed, and the patients had no intractable ascites. At the same time, the patients must be categorized as class A or class B according to the Child–Pugh classification. The number of implanted particles was fixed. The patients included in our study had different characteristics compared with those reported in the literature. In our study, the clinical symptoms were worse. There were </w:t>
      </w:r>
      <w:r w:rsidR="00F416E2" w:rsidRPr="00113F82">
        <w:t xml:space="preserve">16 </w:t>
      </w:r>
      <w:r w:rsidRPr="00113F82">
        <w:t>patients categorized as class C</w:t>
      </w:r>
      <w:r w:rsidR="002E3555" w:rsidRPr="00113F82">
        <w:t xml:space="preserve"> liver function</w:t>
      </w:r>
      <w:r w:rsidRPr="00113F82">
        <w:t>, with hemorrhage of the digestive tract</w:t>
      </w:r>
      <w:r w:rsidR="002E3555" w:rsidRPr="00113F82">
        <w:t xml:space="preserve"> and </w:t>
      </w:r>
      <w:r w:rsidRPr="00113F82">
        <w:t xml:space="preserve">chest and abdominal dropsy, and obstructed first-grade branch. Thus, our results were able to demonstrate that </w:t>
      </w:r>
      <w:r w:rsidRPr="00113F82">
        <w:rPr>
          <w:vertAlign w:val="superscript"/>
        </w:rPr>
        <w:t>125</w:t>
      </w:r>
      <w:r w:rsidRPr="00113F82">
        <w:t xml:space="preserve">I combined with TIPS can improve patients’ survival rate, reduce stent stenosis rate, and reduce symptom recurrence rate. </w:t>
      </w:r>
    </w:p>
    <w:p w14:paraId="2C4AFBFD" w14:textId="69CF5C48" w:rsidR="004B46FF" w:rsidRPr="00113F82" w:rsidRDefault="004B46FF" w:rsidP="004C685E">
      <w:pPr>
        <w:pStyle w:val="a3"/>
        <w:spacing w:line="360" w:lineRule="auto"/>
        <w:ind w:left="0" w:firstLineChars="100" w:firstLine="240"/>
        <w:jc w:val="both"/>
      </w:pPr>
      <w:r w:rsidRPr="00113F82">
        <w:t xml:space="preserve">Our study </w:t>
      </w:r>
      <w:r w:rsidR="002E3555" w:rsidRPr="00113F82">
        <w:t xml:space="preserve">had </w:t>
      </w:r>
      <w:r w:rsidRPr="00113F82">
        <w:t xml:space="preserve">several limitations. First, the radiation dose </w:t>
      </w:r>
      <w:r w:rsidR="002E3555" w:rsidRPr="00113F82">
        <w:t xml:space="preserve">was </w:t>
      </w:r>
      <w:r w:rsidRPr="00113F82">
        <w:t xml:space="preserve">not uniformly distributed. Second, the number of enrolled patients </w:t>
      </w:r>
      <w:r w:rsidR="002E3555" w:rsidRPr="00113F82">
        <w:t xml:space="preserve">was </w:t>
      </w:r>
      <w:r w:rsidRPr="00113F82">
        <w:t>small, and it may have influence</w:t>
      </w:r>
      <w:r w:rsidR="002E3555" w:rsidRPr="00113F82">
        <w:t>d</w:t>
      </w:r>
      <w:r w:rsidRPr="00113F82">
        <w:t xml:space="preserve"> the </w:t>
      </w:r>
      <w:r w:rsidR="002E3555" w:rsidRPr="00113F82">
        <w:t xml:space="preserve">accuracy </w:t>
      </w:r>
      <w:r w:rsidRPr="00113F82">
        <w:t>of the result</w:t>
      </w:r>
      <w:r w:rsidR="002E3555" w:rsidRPr="00113F82">
        <w:t>s</w:t>
      </w:r>
      <w:r w:rsidRPr="00113F82">
        <w:t>. Finally, we did not analyze the particle removal rate.</w:t>
      </w:r>
      <w:r w:rsidR="006313BD" w:rsidRPr="00113F82">
        <w:t xml:space="preserve"> Therefore, the results should be interpreted with caution, and large randomized clinical trials are </w:t>
      </w:r>
      <w:r w:rsidR="002E3555" w:rsidRPr="00113F82">
        <w:t>warranted</w:t>
      </w:r>
      <w:r w:rsidR="006313BD" w:rsidRPr="00113F82">
        <w:t>.</w:t>
      </w:r>
    </w:p>
    <w:p w14:paraId="67C9D153" w14:textId="39FEEB9B" w:rsidR="004B46FF" w:rsidRPr="00113F82" w:rsidRDefault="007661B4" w:rsidP="004C685E">
      <w:pPr>
        <w:pStyle w:val="a3"/>
        <w:spacing w:line="360" w:lineRule="auto"/>
        <w:ind w:left="0" w:firstLineChars="100" w:firstLine="240"/>
        <w:jc w:val="both"/>
      </w:pPr>
      <w:r w:rsidRPr="00113F82">
        <w:rPr>
          <w:rFonts w:eastAsiaTheme="minorEastAsia"/>
          <w:lang w:eastAsia="zh-CN"/>
        </w:rPr>
        <w:t xml:space="preserve">In conclusion, </w:t>
      </w:r>
      <w:r w:rsidR="004B46FF" w:rsidRPr="00113F82">
        <w:t>TACE/TAE+</w:t>
      </w:r>
      <w:r w:rsidR="004B46FF" w:rsidRPr="00113F82">
        <w:rPr>
          <w:vertAlign w:val="superscript"/>
        </w:rPr>
        <w:t>125</w:t>
      </w:r>
      <w:r w:rsidR="004B46FF" w:rsidRPr="00113F82">
        <w:t>I combined with TIPS is effective in treating MPVTT</w:t>
      </w:r>
      <w:r w:rsidR="004B46FF" w:rsidRPr="00113F82" w:rsidDel="007E564F">
        <w:t xml:space="preserve"> </w:t>
      </w:r>
      <w:r w:rsidR="004B46FF" w:rsidRPr="00113F82">
        <w:t xml:space="preserve">and its complications, in improving the quality of life of patients, and in reducing the mortality rate. </w:t>
      </w:r>
    </w:p>
    <w:bookmarkEnd w:id="22"/>
    <w:p w14:paraId="2B629B58" w14:textId="77777777" w:rsidR="00B00A16" w:rsidRPr="00113F82" w:rsidRDefault="00B00A16" w:rsidP="00E107FC">
      <w:pPr>
        <w:pStyle w:val="a3"/>
        <w:spacing w:line="360" w:lineRule="auto"/>
        <w:ind w:left="0"/>
        <w:jc w:val="both"/>
        <w:rPr>
          <w:rFonts w:eastAsiaTheme="minorEastAsia"/>
          <w:lang w:eastAsia="zh-CN"/>
        </w:rPr>
      </w:pPr>
    </w:p>
    <w:p w14:paraId="5A5E4F6A" w14:textId="25CDC258" w:rsidR="00B00A16" w:rsidRPr="00113F82" w:rsidRDefault="00B00A16" w:rsidP="00E107FC">
      <w:pPr>
        <w:spacing w:line="360" w:lineRule="auto"/>
        <w:jc w:val="both"/>
        <w:rPr>
          <w:rFonts w:ascii="Book Antiqua" w:hAnsi="Book Antiqua" w:cs="Segoe UI"/>
          <w:b/>
          <w:sz w:val="24"/>
          <w:szCs w:val="24"/>
          <w:lang w:eastAsia="zh-CN"/>
        </w:rPr>
      </w:pPr>
      <w:r w:rsidRPr="00113F82">
        <w:rPr>
          <w:rFonts w:ascii="Book Antiqua" w:hAnsi="Book Antiqua" w:cs="Segoe UI"/>
          <w:b/>
          <w:sz w:val="24"/>
          <w:szCs w:val="24"/>
        </w:rPr>
        <w:t>ARTICLE HIGHLIGHTS</w:t>
      </w:r>
    </w:p>
    <w:p w14:paraId="3F6187BA" w14:textId="7EE700FB" w:rsidR="008B0AFC" w:rsidRPr="00113F82" w:rsidRDefault="008B0AFC" w:rsidP="008B0AFC">
      <w:pPr>
        <w:adjustRightInd w:val="0"/>
        <w:snapToGrid w:val="0"/>
        <w:spacing w:line="360" w:lineRule="auto"/>
        <w:jc w:val="both"/>
        <w:rPr>
          <w:rFonts w:ascii="Book Antiqua" w:hAnsi="Book Antiqua"/>
          <w:b/>
          <w:i/>
          <w:color w:val="000000"/>
          <w:sz w:val="24"/>
          <w:szCs w:val="24"/>
          <w:lang w:eastAsia="zh-CN"/>
        </w:rPr>
      </w:pPr>
      <w:r w:rsidRPr="00113F82">
        <w:rPr>
          <w:rFonts w:ascii="Book Antiqua" w:hAnsi="Book Antiqua"/>
          <w:b/>
          <w:i/>
          <w:color w:val="000000"/>
          <w:sz w:val="24"/>
          <w:szCs w:val="24"/>
        </w:rPr>
        <w:t>Research background</w:t>
      </w:r>
    </w:p>
    <w:p w14:paraId="018AC9A2" w14:textId="4ADB13DC" w:rsidR="008B0AFC" w:rsidRPr="00113F82" w:rsidRDefault="003E35E6" w:rsidP="00E107FC">
      <w:pPr>
        <w:pStyle w:val="a3"/>
        <w:spacing w:line="360" w:lineRule="auto"/>
        <w:ind w:left="0"/>
        <w:jc w:val="both"/>
        <w:rPr>
          <w:rFonts w:eastAsiaTheme="minorEastAsia"/>
          <w:lang w:eastAsia="zh-CN"/>
        </w:rPr>
      </w:pPr>
      <w:r w:rsidRPr="00113F82">
        <w:t>The main portal vein tumor thrombus (MPVTT), which is the major complication of terminal hepatocellular carcinoma (HCC) and cause</w:t>
      </w:r>
      <w:r w:rsidR="00990AE9" w:rsidRPr="00113F82">
        <w:t>s</w:t>
      </w:r>
      <w:r w:rsidRPr="00113F82">
        <w:t xml:space="preserve"> portal hypertension, seriously affect</w:t>
      </w:r>
      <w:r w:rsidR="00990AE9" w:rsidRPr="00113F82">
        <w:t>s</w:t>
      </w:r>
      <w:r w:rsidRPr="00113F82">
        <w:t xml:space="preserve"> the prognosis of liver cancer. MPVTT cause</w:t>
      </w:r>
      <w:r w:rsidR="00990AE9" w:rsidRPr="00113F82">
        <w:t>s</w:t>
      </w:r>
      <w:r w:rsidRPr="00113F82">
        <w:t xml:space="preserve"> portal hypertension, which lead</w:t>
      </w:r>
      <w:r w:rsidR="00990AE9" w:rsidRPr="00113F82">
        <w:t>s</w:t>
      </w:r>
      <w:r w:rsidRPr="00113F82">
        <w:t xml:space="preserve"> to many complications, such as ascites and hemorrhage of the digestive tract. </w:t>
      </w:r>
    </w:p>
    <w:p w14:paraId="77092C14" w14:textId="77777777" w:rsidR="008B0AFC" w:rsidRPr="00113F82" w:rsidRDefault="008B0AFC" w:rsidP="00E107FC">
      <w:pPr>
        <w:pStyle w:val="a3"/>
        <w:spacing w:line="360" w:lineRule="auto"/>
        <w:ind w:left="0"/>
        <w:jc w:val="both"/>
        <w:rPr>
          <w:rFonts w:eastAsiaTheme="minorEastAsia"/>
          <w:lang w:eastAsia="zh-CN"/>
        </w:rPr>
      </w:pPr>
    </w:p>
    <w:p w14:paraId="19C736C2" w14:textId="35ECF912" w:rsidR="008B0AFC" w:rsidRPr="00113F82" w:rsidRDefault="008B0AFC" w:rsidP="008B0AFC">
      <w:pPr>
        <w:adjustRightInd w:val="0"/>
        <w:snapToGrid w:val="0"/>
        <w:spacing w:line="360" w:lineRule="auto"/>
        <w:jc w:val="both"/>
        <w:rPr>
          <w:rFonts w:ascii="Book Antiqua" w:hAnsi="Book Antiqua"/>
          <w:b/>
          <w:i/>
          <w:color w:val="000000"/>
          <w:sz w:val="24"/>
          <w:szCs w:val="24"/>
          <w:lang w:eastAsia="zh-CN"/>
        </w:rPr>
      </w:pPr>
      <w:r w:rsidRPr="00113F82">
        <w:rPr>
          <w:rFonts w:ascii="Book Antiqua" w:hAnsi="Book Antiqua"/>
          <w:b/>
          <w:i/>
          <w:color w:val="000000"/>
          <w:sz w:val="24"/>
          <w:szCs w:val="24"/>
        </w:rPr>
        <w:t>Research motivation</w:t>
      </w:r>
    </w:p>
    <w:p w14:paraId="0A8C7005" w14:textId="77777777" w:rsidR="008B0AFC" w:rsidRPr="00113F82" w:rsidRDefault="003E35E6" w:rsidP="00E107FC">
      <w:pPr>
        <w:pStyle w:val="a3"/>
        <w:spacing w:line="360" w:lineRule="auto"/>
        <w:ind w:left="0"/>
        <w:jc w:val="both"/>
        <w:rPr>
          <w:rFonts w:eastAsiaTheme="minorEastAsia"/>
          <w:lang w:eastAsia="zh-CN"/>
        </w:rPr>
      </w:pPr>
      <w:r w:rsidRPr="00113F82">
        <w:t xml:space="preserve">For patients with MPVTT, the ideal </w:t>
      </w:r>
      <w:r w:rsidR="00184FF2" w:rsidRPr="00113F82">
        <w:rPr>
          <w:rFonts w:eastAsiaTheme="minorEastAsia"/>
          <w:lang w:eastAsia="zh-CN"/>
        </w:rPr>
        <w:t>treatment</w:t>
      </w:r>
      <w:r w:rsidR="00184FF2" w:rsidRPr="00113F82">
        <w:t xml:space="preserve"> </w:t>
      </w:r>
      <w:r w:rsidRPr="00113F82">
        <w:t xml:space="preserve">should improve survival rate, reduce portal vein pressure, and avoid ascites and gastrointestinal bleeding, and </w:t>
      </w:r>
      <w:r w:rsidRPr="00113F82">
        <w:lastRenderedPageBreak/>
        <w:t xml:space="preserve">the main objectives are to eliminate </w:t>
      </w:r>
      <w:r w:rsidR="00990AE9" w:rsidRPr="00113F82">
        <w:t xml:space="preserve">TT </w:t>
      </w:r>
      <w:r w:rsidRPr="00113F82">
        <w:t xml:space="preserve">and recanalization of </w:t>
      </w:r>
      <w:r w:rsidR="00990AE9" w:rsidRPr="00113F82">
        <w:t>the PV</w:t>
      </w:r>
      <w:r w:rsidRPr="00113F82">
        <w:t xml:space="preserve">. </w:t>
      </w:r>
    </w:p>
    <w:p w14:paraId="752EC3D9" w14:textId="77777777" w:rsidR="008B0AFC" w:rsidRPr="00113F82" w:rsidRDefault="008B0AFC" w:rsidP="00E107FC">
      <w:pPr>
        <w:pStyle w:val="a3"/>
        <w:spacing w:line="360" w:lineRule="auto"/>
        <w:ind w:left="0"/>
        <w:jc w:val="both"/>
        <w:rPr>
          <w:rFonts w:eastAsiaTheme="minorEastAsia"/>
          <w:lang w:eastAsia="zh-CN"/>
        </w:rPr>
      </w:pPr>
    </w:p>
    <w:p w14:paraId="504B3976" w14:textId="1A2C4810" w:rsidR="008B0AFC" w:rsidRPr="00113F82" w:rsidRDefault="008B0AFC" w:rsidP="008B0AFC">
      <w:pPr>
        <w:adjustRightInd w:val="0"/>
        <w:snapToGrid w:val="0"/>
        <w:spacing w:line="360" w:lineRule="auto"/>
        <w:jc w:val="both"/>
        <w:rPr>
          <w:rFonts w:ascii="Book Antiqua" w:hAnsi="Book Antiqua"/>
          <w:b/>
          <w:i/>
          <w:color w:val="000000"/>
          <w:sz w:val="24"/>
          <w:szCs w:val="24"/>
          <w:lang w:eastAsia="zh-CN"/>
        </w:rPr>
      </w:pPr>
      <w:r w:rsidRPr="00113F82">
        <w:rPr>
          <w:rFonts w:ascii="Book Antiqua" w:hAnsi="Book Antiqua"/>
          <w:b/>
          <w:i/>
          <w:color w:val="000000"/>
          <w:sz w:val="24"/>
          <w:szCs w:val="24"/>
        </w:rPr>
        <w:t xml:space="preserve">Research objectives </w:t>
      </w:r>
    </w:p>
    <w:p w14:paraId="1E1C4003" w14:textId="77777777" w:rsidR="008B0AFC" w:rsidRPr="00113F82" w:rsidRDefault="003E35E6" w:rsidP="00E107FC">
      <w:pPr>
        <w:pStyle w:val="a3"/>
        <w:spacing w:line="360" w:lineRule="auto"/>
        <w:ind w:left="0"/>
        <w:jc w:val="both"/>
        <w:rPr>
          <w:rFonts w:eastAsiaTheme="minorEastAsia"/>
          <w:lang w:eastAsia="zh-CN"/>
        </w:rPr>
      </w:pPr>
      <w:r w:rsidRPr="00113F82">
        <w:t xml:space="preserve">Transjugular intrahepatic portosystemic shunt (TIPS) has been widely performed for the treatment of portal hypertension because it is minimally invasive and is reported to be effective. </w:t>
      </w:r>
    </w:p>
    <w:p w14:paraId="26E6A1B4" w14:textId="77777777" w:rsidR="008B0AFC" w:rsidRPr="00113F82" w:rsidRDefault="008B0AFC" w:rsidP="00E107FC">
      <w:pPr>
        <w:pStyle w:val="a3"/>
        <w:spacing w:line="360" w:lineRule="auto"/>
        <w:ind w:left="0"/>
        <w:jc w:val="both"/>
        <w:rPr>
          <w:rFonts w:eastAsiaTheme="minorEastAsia"/>
          <w:lang w:eastAsia="zh-CN"/>
        </w:rPr>
      </w:pPr>
    </w:p>
    <w:p w14:paraId="2FD55D76" w14:textId="006D1E4A" w:rsidR="008B0AFC" w:rsidRPr="00113F82" w:rsidRDefault="008B0AFC" w:rsidP="008B0AFC">
      <w:pPr>
        <w:adjustRightInd w:val="0"/>
        <w:snapToGrid w:val="0"/>
        <w:spacing w:line="360" w:lineRule="auto"/>
        <w:jc w:val="both"/>
        <w:rPr>
          <w:rFonts w:ascii="Book Antiqua" w:hAnsi="Book Antiqua"/>
          <w:b/>
          <w:i/>
          <w:color w:val="000000"/>
          <w:sz w:val="24"/>
          <w:szCs w:val="24"/>
          <w:lang w:eastAsia="zh-CN"/>
        </w:rPr>
      </w:pPr>
      <w:r w:rsidRPr="00113F82">
        <w:rPr>
          <w:rFonts w:ascii="Book Antiqua" w:hAnsi="Book Antiqua"/>
          <w:b/>
          <w:i/>
          <w:color w:val="000000"/>
          <w:sz w:val="24"/>
          <w:szCs w:val="24"/>
        </w:rPr>
        <w:t>Research methods</w:t>
      </w:r>
    </w:p>
    <w:p w14:paraId="5074BD3E" w14:textId="752FB4DA" w:rsidR="008B0AFC" w:rsidRPr="00113F82" w:rsidRDefault="00990AE9" w:rsidP="00E107FC">
      <w:pPr>
        <w:pStyle w:val="a3"/>
        <w:spacing w:line="360" w:lineRule="auto"/>
        <w:ind w:left="0"/>
        <w:jc w:val="both"/>
        <w:rPr>
          <w:rFonts w:eastAsiaTheme="minorEastAsia"/>
          <w:lang w:eastAsia="zh-CN"/>
        </w:rPr>
      </w:pPr>
      <w:r w:rsidRPr="00113F82">
        <w:t>S</w:t>
      </w:r>
      <w:r w:rsidR="003E35E6" w:rsidRPr="00113F82">
        <w:t xml:space="preserve">ome studies have reported that treatment of HCC with </w:t>
      </w:r>
      <w:r w:rsidR="003E35E6" w:rsidRPr="00113F82">
        <w:rPr>
          <w:vertAlign w:val="superscript"/>
        </w:rPr>
        <w:t>125</w:t>
      </w:r>
      <w:r w:rsidR="003E35E6" w:rsidRPr="00113F82">
        <w:t xml:space="preserve">I implantation can reduce the volume of </w:t>
      </w:r>
      <w:r w:rsidRPr="00113F82">
        <w:t>PVTT</w:t>
      </w:r>
      <w:r w:rsidR="003E35E6" w:rsidRPr="00113F82">
        <w:t xml:space="preserve">, which can improve the survival rate of patients. Thus, data analysis was adopted to analyze </w:t>
      </w:r>
      <w:r w:rsidRPr="00113F82">
        <w:t xml:space="preserve">patient outcome </w:t>
      </w:r>
      <w:r w:rsidR="003E35E6" w:rsidRPr="00113F82">
        <w:t xml:space="preserve">in two groups with different treatments (plus or non-plus </w:t>
      </w:r>
      <w:r w:rsidR="003E35E6" w:rsidRPr="00113F82">
        <w:rPr>
          <w:vertAlign w:val="superscript"/>
        </w:rPr>
        <w:t>125</w:t>
      </w:r>
      <w:r w:rsidR="003E35E6" w:rsidRPr="00113F82">
        <w:t xml:space="preserve">I implantation). However, </w:t>
      </w:r>
      <w:r w:rsidR="003E35E6" w:rsidRPr="00113F82">
        <w:rPr>
          <w:vertAlign w:val="superscript"/>
        </w:rPr>
        <w:t>125</w:t>
      </w:r>
      <w:r w:rsidR="003E35E6" w:rsidRPr="00113F82">
        <w:t xml:space="preserve">I implantation documented in the literature was in the form of particle strands, which cannot be adjusted in position and implanted </w:t>
      </w:r>
      <w:r w:rsidRPr="00113F82">
        <w:t xml:space="preserve">in </w:t>
      </w:r>
      <w:r w:rsidR="003E35E6" w:rsidRPr="00113F82">
        <w:t>limited number</w:t>
      </w:r>
      <w:r w:rsidRPr="00113F82">
        <w:t>s</w:t>
      </w:r>
      <w:r w:rsidR="003E35E6" w:rsidRPr="00113F82">
        <w:t xml:space="preserve">. </w:t>
      </w:r>
    </w:p>
    <w:p w14:paraId="555505A5" w14:textId="77777777" w:rsidR="008B0AFC" w:rsidRPr="00113F82" w:rsidRDefault="008B0AFC" w:rsidP="008B0AFC">
      <w:pPr>
        <w:adjustRightInd w:val="0"/>
        <w:snapToGrid w:val="0"/>
        <w:spacing w:line="360" w:lineRule="auto"/>
        <w:jc w:val="both"/>
        <w:rPr>
          <w:rFonts w:ascii="Book Antiqua" w:hAnsi="Book Antiqua"/>
          <w:b/>
          <w:i/>
          <w:color w:val="000000"/>
          <w:sz w:val="24"/>
          <w:szCs w:val="24"/>
          <w:lang w:eastAsia="zh-CN"/>
        </w:rPr>
      </w:pPr>
    </w:p>
    <w:p w14:paraId="1C279E02" w14:textId="39C67B1C" w:rsidR="008B0AFC" w:rsidRPr="00113F82" w:rsidRDefault="008B0AFC" w:rsidP="008B0AFC">
      <w:pPr>
        <w:adjustRightInd w:val="0"/>
        <w:snapToGrid w:val="0"/>
        <w:spacing w:line="360" w:lineRule="auto"/>
        <w:jc w:val="both"/>
        <w:rPr>
          <w:rFonts w:ascii="Book Antiqua" w:hAnsi="Book Antiqua"/>
          <w:b/>
          <w:i/>
          <w:color w:val="000000"/>
          <w:sz w:val="24"/>
          <w:szCs w:val="24"/>
          <w:lang w:eastAsia="zh-CN"/>
        </w:rPr>
      </w:pPr>
      <w:r w:rsidRPr="00113F82">
        <w:rPr>
          <w:rFonts w:ascii="Book Antiqua" w:hAnsi="Book Antiqua"/>
          <w:b/>
          <w:i/>
          <w:color w:val="000000"/>
          <w:sz w:val="24"/>
          <w:szCs w:val="24"/>
        </w:rPr>
        <w:t>Research results</w:t>
      </w:r>
    </w:p>
    <w:p w14:paraId="36E573D7" w14:textId="77777777" w:rsidR="008B0AFC" w:rsidRPr="00113F82" w:rsidRDefault="003E35E6" w:rsidP="00E107FC">
      <w:pPr>
        <w:pStyle w:val="a3"/>
        <w:spacing w:line="360" w:lineRule="auto"/>
        <w:ind w:left="0"/>
        <w:jc w:val="both"/>
        <w:rPr>
          <w:rFonts w:eastAsiaTheme="minorEastAsia"/>
          <w:lang w:eastAsia="zh-CN"/>
        </w:rPr>
      </w:pPr>
      <w:r w:rsidRPr="00113F82">
        <w:rPr>
          <w:vertAlign w:val="superscript"/>
        </w:rPr>
        <w:t>125</w:t>
      </w:r>
      <w:r w:rsidRPr="00113F82">
        <w:t xml:space="preserve">I combined with TIPS can fix the particles between the stent and the </w:t>
      </w:r>
      <w:r w:rsidR="00990AE9" w:rsidRPr="00113F82">
        <w:t xml:space="preserve">TT </w:t>
      </w:r>
      <w:r w:rsidRPr="00113F82">
        <w:t>without the need for particle strand</w:t>
      </w:r>
      <w:r w:rsidR="00990AE9" w:rsidRPr="00113F82">
        <w:t>s</w:t>
      </w:r>
      <w:r w:rsidRPr="00113F82">
        <w:t xml:space="preserve">. </w:t>
      </w:r>
    </w:p>
    <w:p w14:paraId="774177CD" w14:textId="77777777" w:rsidR="008B0AFC" w:rsidRPr="00113F82" w:rsidRDefault="008B0AFC" w:rsidP="00E107FC">
      <w:pPr>
        <w:pStyle w:val="a3"/>
        <w:spacing w:line="360" w:lineRule="auto"/>
        <w:ind w:left="0"/>
        <w:jc w:val="both"/>
        <w:rPr>
          <w:rFonts w:eastAsiaTheme="minorEastAsia"/>
          <w:lang w:eastAsia="zh-CN"/>
        </w:rPr>
      </w:pPr>
    </w:p>
    <w:p w14:paraId="22309953" w14:textId="1213C1F1" w:rsidR="008B0AFC" w:rsidRPr="00113F82" w:rsidRDefault="008B0AFC" w:rsidP="008B0AFC">
      <w:pPr>
        <w:adjustRightInd w:val="0"/>
        <w:snapToGrid w:val="0"/>
        <w:spacing w:line="360" w:lineRule="auto"/>
        <w:jc w:val="both"/>
        <w:rPr>
          <w:rFonts w:ascii="Book Antiqua" w:hAnsi="Book Antiqua"/>
          <w:b/>
          <w:i/>
          <w:color w:val="000000"/>
          <w:sz w:val="24"/>
          <w:szCs w:val="24"/>
          <w:lang w:eastAsia="zh-CN"/>
        </w:rPr>
      </w:pPr>
      <w:r w:rsidRPr="00113F82">
        <w:rPr>
          <w:rFonts w:ascii="Book Antiqua" w:hAnsi="Book Antiqua"/>
          <w:b/>
          <w:i/>
          <w:color w:val="000000"/>
          <w:sz w:val="24"/>
          <w:szCs w:val="24"/>
        </w:rPr>
        <w:t>Research conclusions</w:t>
      </w:r>
    </w:p>
    <w:p w14:paraId="3710CE17" w14:textId="1B99D307" w:rsidR="003E35E6" w:rsidRPr="00113F82" w:rsidRDefault="003E35E6" w:rsidP="00E107FC">
      <w:pPr>
        <w:pStyle w:val="a3"/>
        <w:spacing w:line="360" w:lineRule="auto"/>
        <w:ind w:left="0"/>
        <w:jc w:val="both"/>
      </w:pPr>
      <w:r w:rsidRPr="00113F82">
        <w:t xml:space="preserve">This approach allows for easier adjustment of the position of </w:t>
      </w:r>
      <w:r w:rsidRPr="00113F82">
        <w:rPr>
          <w:vertAlign w:val="superscript"/>
        </w:rPr>
        <w:t>125</w:t>
      </w:r>
      <w:r w:rsidRPr="00113F82">
        <w:t xml:space="preserve">I and the amount of </w:t>
      </w:r>
      <w:r w:rsidRPr="00113F82">
        <w:rPr>
          <w:vertAlign w:val="superscript"/>
        </w:rPr>
        <w:t>125</w:t>
      </w:r>
      <w:r w:rsidRPr="00113F82">
        <w:t xml:space="preserve">I being implanted. It can significantly enhance the survival rate of patients. TIPS combined with </w:t>
      </w:r>
      <w:r w:rsidRPr="00113F82">
        <w:rPr>
          <w:vertAlign w:val="superscript"/>
        </w:rPr>
        <w:t>125</w:t>
      </w:r>
      <w:r w:rsidRPr="00113F82">
        <w:t xml:space="preserve">I can also reduce stent restenosis rate and symptom recurrence rate, </w:t>
      </w:r>
      <w:r w:rsidR="00990AE9" w:rsidRPr="00113F82">
        <w:t xml:space="preserve">and it </w:t>
      </w:r>
      <w:r w:rsidRPr="00113F82">
        <w:t xml:space="preserve">is safe and feasible. However, the radiation dose is not uniformly distributed and </w:t>
      </w:r>
      <w:r w:rsidR="00990AE9" w:rsidRPr="00113F82">
        <w:t xml:space="preserve">particle </w:t>
      </w:r>
      <w:r w:rsidRPr="00113F82">
        <w:t>fixation needs to be strengthened.</w:t>
      </w:r>
    </w:p>
    <w:p w14:paraId="259DDF85" w14:textId="77777777" w:rsidR="008B0AFC" w:rsidRPr="00113F82" w:rsidRDefault="008B0AFC" w:rsidP="00E107FC">
      <w:pPr>
        <w:pStyle w:val="a3"/>
        <w:spacing w:line="360" w:lineRule="auto"/>
        <w:ind w:left="0"/>
        <w:jc w:val="both"/>
        <w:rPr>
          <w:rFonts w:eastAsiaTheme="minorEastAsia"/>
          <w:lang w:eastAsia="zh-CN"/>
        </w:rPr>
      </w:pPr>
    </w:p>
    <w:p w14:paraId="1B040448" w14:textId="468465F5" w:rsidR="008B0AFC" w:rsidRPr="00113F82" w:rsidRDefault="008B0AFC" w:rsidP="008B0AFC">
      <w:pPr>
        <w:adjustRightInd w:val="0"/>
        <w:snapToGrid w:val="0"/>
        <w:spacing w:line="360" w:lineRule="auto"/>
        <w:jc w:val="both"/>
        <w:rPr>
          <w:rFonts w:ascii="Book Antiqua" w:hAnsi="Book Antiqua"/>
          <w:b/>
          <w:i/>
          <w:color w:val="000000"/>
          <w:sz w:val="24"/>
          <w:szCs w:val="24"/>
          <w:lang w:eastAsia="zh-CN"/>
        </w:rPr>
      </w:pPr>
      <w:r w:rsidRPr="00113F82">
        <w:rPr>
          <w:rFonts w:ascii="Book Antiqua" w:hAnsi="Book Antiqua"/>
          <w:b/>
          <w:i/>
          <w:color w:val="000000"/>
          <w:sz w:val="24"/>
          <w:szCs w:val="24"/>
        </w:rPr>
        <w:t>Research perspectives</w:t>
      </w:r>
    </w:p>
    <w:p w14:paraId="1ABF148F" w14:textId="4ADB887D" w:rsidR="003E35E6" w:rsidRPr="00113F82" w:rsidRDefault="00990AE9" w:rsidP="00E107FC">
      <w:pPr>
        <w:pStyle w:val="a3"/>
        <w:spacing w:line="360" w:lineRule="auto"/>
        <w:ind w:left="0"/>
        <w:jc w:val="both"/>
      </w:pPr>
      <w:r w:rsidRPr="00113F82">
        <w:t>In the present study, we used</w:t>
      </w:r>
      <w:r w:rsidR="003E35E6" w:rsidRPr="00113F82">
        <w:t xml:space="preserve"> </w:t>
      </w:r>
      <w:r w:rsidR="003E35E6" w:rsidRPr="00113F82">
        <w:rPr>
          <w:vertAlign w:val="superscript"/>
        </w:rPr>
        <w:t>125</w:t>
      </w:r>
      <w:r w:rsidR="003E35E6" w:rsidRPr="00113F82">
        <w:t xml:space="preserve">I combined with TIPS for the treatment of </w:t>
      </w:r>
      <w:r w:rsidRPr="00113F82">
        <w:t>MPVTT</w:t>
      </w:r>
      <w:r w:rsidR="003E35E6" w:rsidRPr="00113F82">
        <w:t xml:space="preserve"> and fix</w:t>
      </w:r>
      <w:r w:rsidRPr="00113F82">
        <w:t>ed</w:t>
      </w:r>
      <w:r w:rsidR="003E35E6" w:rsidRPr="00113F82">
        <w:t xml:space="preserve"> the </w:t>
      </w:r>
      <w:r w:rsidRPr="00113F82">
        <w:rPr>
          <w:vertAlign w:val="superscript"/>
        </w:rPr>
        <w:t>125</w:t>
      </w:r>
      <w:r w:rsidRPr="00113F82">
        <w:t xml:space="preserve">I </w:t>
      </w:r>
      <w:r w:rsidR="003E35E6" w:rsidRPr="00113F82">
        <w:t xml:space="preserve">particles between the stent and </w:t>
      </w:r>
      <w:r w:rsidRPr="00113F82">
        <w:t>TT,</w:t>
      </w:r>
      <w:r w:rsidR="003E35E6" w:rsidRPr="00113F82">
        <w:t xml:space="preserve"> without the need for particle strand</w:t>
      </w:r>
      <w:r w:rsidRPr="00113F82">
        <w:t>s</w:t>
      </w:r>
      <w:r w:rsidR="003E35E6" w:rsidRPr="00113F82">
        <w:t xml:space="preserve">. This approach allows for easier adjustment of the position of </w:t>
      </w:r>
      <w:r w:rsidR="003E35E6" w:rsidRPr="00113F82">
        <w:rPr>
          <w:vertAlign w:val="superscript"/>
        </w:rPr>
        <w:t>125</w:t>
      </w:r>
      <w:r w:rsidR="003E35E6" w:rsidRPr="00113F82">
        <w:t xml:space="preserve">I and the amount being implanted. The direction of future research </w:t>
      </w:r>
      <w:r w:rsidRPr="00113F82">
        <w:t xml:space="preserve">should aim to </w:t>
      </w:r>
      <w:r w:rsidR="003E35E6" w:rsidRPr="00113F82">
        <w:lastRenderedPageBreak/>
        <w:t xml:space="preserve">find new methods </w:t>
      </w:r>
      <w:r w:rsidRPr="00113F82">
        <w:t xml:space="preserve">that </w:t>
      </w:r>
      <w:r w:rsidR="003E35E6" w:rsidRPr="00113F82">
        <w:t>are minimally invasive and more effective.</w:t>
      </w:r>
    </w:p>
    <w:p w14:paraId="19F33711" w14:textId="77777777" w:rsidR="00E64A61" w:rsidRPr="00113F82" w:rsidRDefault="00E64A61" w:rsidP="00E107FC">
      <w:pPr>
        <w:spacing w:line="360" w:lineRule="auto"/>
        <w:jc w:val="both"/>
        <w:rPr>
          <w:rFonts w:ascii="Book Antiqua" w:hAnsi="Book Antiqua"/>
          <w:b/>
          <w:sz w:val="24"/>
          <w:szCs w:val="24"/>
        </w:rPr>
      </w:pPr>
    </w:p>
    <w:p w14:paraId="159FB762" w14:textId="77777777" w:rsidR="000124B2" w:rsidRPr="00113F82" w:rsidRDefault="000124B2">
      <w:pPr>
        <w:rPr>
          <w:rFonts w:ascii="Book Antiqua" w:eastAsia="Book Antiqua" w:hAnsi="Book Antiqua"/>
          <w:b/>
          <w:bCs/>
          <w:sz w:val="24"/>
          <w:szCs w:val="24"/>
        </w:rPr>
      </w:pPr>
      <w:r w:rsidRPr="00113F82">
        <w:rPr>
          <w:rFonts w:ascii="Book Antiqua" w:hAnsi="Book Antiqua"/>
          <w:sz w:val="24"/>
          <w:szCs w:val="24"/>
        </w:rPr>
        <w:br w:type="page"/>
      </w:r>
    </w:p>
    <w:p w14:paraId="25D41C92" w14:textId="682A5E29" w:rsidR="000124B2" w:rsidRPr="00113F82" w:rsidRDefault="002D2919" w:rsidP="006E0BA3">
      <w:pPr>
        <w:pStyle w:val="1"/>
        <w:spacing w:line="360" w:lineRule="auto"/>
        <w:ind w:left="0"/>
        <w:jc w:val="both"/>
        <w:rPr>
          <w:rFonts w:eastAsiaTheme="minorEastAsia"/>
          <w:lang w:eastAsia="zh-CN"/>
        </w:rPr>
      </w:pPr>
      <w:r w:rsidRPr="00113F82">
        <w:lastRenderedPageBreak/>
        <w:t>REFERENCES</w:t>
      </w:r>
    </w:p>
    <w:p w14:paraId="288DC152" w14:textId="77777777" w:rsidR="006E0BA3" w:rsidRPr="00113F82" w:rsidRDefault="006E0BA3" w:rsidP="006E0BA3">
      <w:pPr>
        <w:spacing w:line="360" w:lineRule="auto"/>
        <w:jc w:val="both"/>
        <w:rPr>
          <w:rFonts w:ascii="Book Antiqua" w:hAnsi="Book Antiqua"/>
          <w:sz w:val="24"/>
          <w:szCs w:val="24"/>
        </w:rPr>
      </w:pPr>
      <w:r w:rsidRPr="00113F82">
        <w:rPr>
          <w:rFonts w:ascii="Book Antiqua" w:hAnsi="Book Antiqua"/>
          <w:sz w:val="24"/>
          <w:szCs w:val="24"/>
        </w:rPr>
        <w:t xml:space="preserve">1 </w:t>
      </w:r>
      <w:r w:rsidRPr="00113F82">
        <w:rPr>
          <w:rFonts w:ascii="Book Antiqua" w:hAnsi="Book Antiqua"/>
          <w:b/>
          <w:sz w:val="24"/>
          <w:szCs w:val="24"/>
        </w:rPr>
        <w:t>Cabibbo G</w:t>
      </w:r>
      <w:r w:rsidRPr="00113F82">
        <w:rPr>
          <w:rFonts w:ascii="Book Antiqua" w:hAnsi="Book Antiqua"/>
          <w:sz w:val="24"/>
          <w:szCs w:val="24"/>
        </w:rPr>
        <w:t xml:space="preserve">, Enea M, Attanasio M, Bruix J, Craxì A, Cammà C. A meta-analysis of survival rates of untreated patients in randomized clinical trials of hepatocellular carcinoma. </w:t>
      </w:r>
      <w:r w:rsidRPr="00113F82">
        <w:rPr>
          <w:rFonts w:ascii="Book Antiqua" w:hAnsi="Book Antiqua"/>
          <w:i/>
          <w:sz w:val="24"/>
          <w:szCs w:val="24"/>
        </w:rPr>
        <w:t>Hepatology</w:t>
      </w:r>
      <w:r w:rsidRPr="00113F82">
        <w:rPr>
          <w:rFonts w:ascii="Book Antiqua" w:hAnsi="Book Antiqua"/>
          <w:sz w:val="24"/>
          <w:szCs w:val="24"/>
        </w:rPr>
        <w:t xml:space="preserve"> 2010; </w:t>
      </w:r>
      <w:r w:rsidRPr="00113F82">
        <w:rPr>
          <w:rFonts w:ascii="Book Antiqua" w:hAnsi="Book Antiqua"/>
          <w:b/>
          <w:sz w:val="24"/>
          <w:szCs w:val="24"/>
        </w:rPr>
        <w:t>51</w:t>
      </w:r>
      <w:r w:rsidRPr="00113F82">
        <w:rPr>
          <w:rFonts w:ascii="Book Antiqua" w:hAnsi="Book Antiqua"/>
          <w:sz w:val="24"/>
          <w:szCs w:val="24"/>
        </w:rPr>
        <w:t>: 1274-1283 [PMID: 20112254 DOI: 10.1002/hep.23485]</w:t>
      </w:r>
    </w:p>
    <w:p w14:paraId="613E25A7" w14:textId="77777777" w:rsidR="006E0BA3" w:rsidRPr="00113F82" w:rsidRDefault="006E0BA3" w:rsidP="006E0BA3">
      <w:pPr>
        <w:spacing w:line="360" w:lineRule="auto"/>
        <w:jc w:val="both"/>
        <w:rPr>
          <w:rFonts w:ascii="Book Antiqua" w:hAnsi="Book Antiqua"/>
          <w:sz w:val="24"/>
          <w:szCs w:val="24"/>
        </w:rPr>
      </w:pPr>
      <w:r w:rsidRPr="00113F82">
        <w:rPr>
          <w:rFonts w:ascii="Book Antiqua" w:hAnsi="Book Antiqua"/>
          <w:sz w:val="24"/>
          <w:szCs w:val="24"/>
        </w:rPr>
        <w:t xml:space="preserve">2 </w:t>
      </w:r>
      <w:r w:rsidRPr="00113F82">
        <w:rPr>
          <w:rFonts w:ascii="Book Antiqua" w:hAnsi="Book Antiqua"/>
          <w:b/>
          <w:sz w:val="24"/>
          <w:szCs w:val="24"/>
        </w:rPr>
        <w:t>Huang M</w:t>
      </w:r>
      <w:r w:rsidRPr="00113F82">
        <w:rPr>
          <w:rFonts w:ascii="Book Antiqua" w:hAnsi="Book Antiqua"/>
          <w:sz w:val="24"/>
          <w:szCs w:val="24"/>
        </w:rPr>
        <w:t xml:space="preserve">, Lin Q, Wang H, Chen J, Bai M, Wang L, Zhu K, Jiang Z, Guan S, Li Z, Qian J, Li M, Pang P, Shan H. Survival benefit of chemoembolization plus Iodine125 seed implantation in unresectable hepatitis B-related hepatocellular carcinoma with PVTT: a retrospective matched cohort study. </w:t>
      </w:r>
      <w:r w:rsidRPr="00113F82">
        <w:rPr>
          <w:rFonts w:ascii="Book Antiqua" w:hAnsi="Book Antiqua"/>
          <w:i/>
          <w:sz w:val="24"/>
          <w:szCs w:val="24"/>
        </w:rPr>
        <w:t>Eur Radiol</w:t>
      </w:r>
      <w:r w:rsidRPr="00113F82">
        <w:rPr>
          <w:rFonts w:ascii="Book Antiqua" w:hAnsi="Book Antiqua"/>
          <w:sz w:val="24"/>
          <w:szCs w:val="24"/>
        </w:rPr>
        <w:t xml:space="preserve"> 2016; </w:t>
      </w:r>
      <w:r w:rsidRPr="00113F82">
        <w:rPr>
          <w:rFonts w:ascii="Book Antiqua" w:hAnsi="Book Antiqua"/>
          <w:b/>
          <w:sz w:val="24"/>
          <w:szCs w:val="24"/>
        </w:rPr>
        <w:t>26</w:t>
      </w:r>
      <w:r w:rsidRPr="00113F82">
        <w:rPr>
          <w:rFonts w:ascii="Book Antiqua" w:hAnsi="Book Antiqua"/>
          <w:sz w:val="24"/>
          <w:szCs w:val="24"/>
        </w:rPr>
        <w:t>: 3428-3436 [PMID: 26792430 DOI: 10.1007/s00330-015-4198-x]</w:t>
      </w:r>
    </w:p>
    <w:p w14:paraId="283760B8" w14:textId="77777777" w:rsidR="006E0BA3" w:rsidRPr="00113F82" w:rsidRDefault="006E0BA3" w:rsidP="006E0BA3">
      <w:pPr>
        <w:spacing w:line="360" w:lineRule="auto"/>
        <w:jc w:val="both"/>
        <w:rPr>
          <w:rFonts w:ascii="Book Antiqua" w:hAnsi="Book Antiqua"/>
          <w:sz w:val="24"/>
          <w:szCs w:val="24"/>
        </w:rPr>
      </w:pPr>
      <w:r w:rsidRPr="00113F82">
        <w:rPr>
          <w:rFonts w:ascii="Book Antiqua" w:hAnsi="Book Antiqua"/>
          <w:sz w:val="24"/>
          <w:szCs w:val="24"/>
        </w:rPr>
        <w:t xml:space="preserve">3 </w:t>
      </w:r>
      <w:r w:rsidRPr="00113F82">
        <w:rPr>
          <w:rFonts w:ascii="Book Antiqua" w:hAnsi="Book Antiqua"/>
          <w:b/>
          <w:sz w:val="24"/>
          <w:szCs w:val="24"/>
        </w:rPr>
        <w:t>Villa E</w:t>
      </w:r>
      <w:r w:rsidRPr="00113F82">
        <w:rPr>
          <w:rFonts w:ascii="Book Antiqua" w:hAnsi="Book Antiqua"/>
          <w:sz w:val="24"/>
          <w:szCs w:val="24"/>
        </w:rPr>
        <w:t xml:space="preserve">, Moles A, Ferretti I, Buttafoco P, Grottola A, Del Buono M, De Santis M, Manenti F. Natural history of inoperable hepatocellular carcinoma: estrogen receptors' status in the tumor is the strongest prognostic factor for survival. </w:t>
      </w:r>
      <w:r w:rsidRPr="00113F82">
        <w:rPr>
          <w:rFonts w:ascii="Book Antiqua" w:hAnsi="Book Antiqua"/>
          <w:i/>
          <w:sz w:val="24"/>
          <w:szCs w:val="24"/>
        </w:rPr>
        <w:t>Hepatology</w:t>
      </w:r>
      <w:r w:rsidRPr="00113F82">
        <w:rPr>
          <w:rFonts w:ascii="Book Antiqua" w:hAnsi="Book Antiqua"/>
          <w:sz w:val="24"/>
          <w:szCs w:val="24"/>
        </w:rPr>
        <w:t xml:space="preserve"> 2000; </w:t>
      </w:r>
      <w:r w:rsidRPr="00113F82">
        <w:rPr>
          <w:rFonts w:ascii="Book Antiqua" w:hAnsi="Book Antiqua"/>
          <w:b/>
          <w:sz w:val="24"/>
          <w:szCs w:val="24"/>
        </w:rPr>
        <w:t>32</w:t>
      </w:r>
      <w:r w:rsidRPr="00113F82">
        <w:rPr>
          <w:rFonts w:ascii="Book Antiqua" w:hAnsi="Book Antiqua"/>
          <w:sz w:val="24"/>
          <w:szCs w:val="24"/>
        </w:rPr>
        <w:t>: 233-238 [PMID: 10915729 DOI: 10.1053/jhep.2000.9603]</w:t>
      </w:r>
    </w:p>
    <w:p w14:paraId="6F863FA5" w14:textId="77777777" w:rsidR="006E0BA3" w:rsidRPr="00113F82" w:rsidRDefault="006E0BA3" w:rsidP="006E0BA3">
      <w:pPr>
        <w:spacing w:line="360" w:lineRule="auto"/>
        <w:jc w:val="both"/>
        <w:rPr>
          <w:rFonts w:ascii="Book Antiqua" w:hAnsi="Book Antiqua"/>
          <w:sz w:val="24"/>
          <w:szCs w:val="24"/>
        </w:rPr>
      </w:pPr>
      <w:r w:rsidRPr="00113F82">
        <w:rPr>
          <w:rFonts w:ascii="Book Antiqua" w:hAnsi="Book Antiqua"/>
          <w:sz w:val="24"/>
          <w:szCs w:val="24"/>
        </w:rPr>
        <w:t xml:space="preserve">4 </w:t>
      </w:r>
      <w:r w:rsidRPr="00113F82">
        <w:rPr>
          <w:rFonts w:ascii="Book Antiqua" w:hAnsi="Book Antiqua"/>
          <w:b/>
          <w:sz w:val="24"/>
          <w:szCs w:val="24"/>
        </w:rPr>
        <w:t>Izumi R</w:t>
      </w:r>
      <w:r w:rsidRPr="00113F82">
        <w:rPr>
          <w:rFonts w:ascii="Book Antiqua" w:hAnsi="Book Antiqua"/>
          <w:sz w:val="24"/>
          <w:szCs w:val="24"/>
        </w:rPr>
        <w:t xml:space="preserve">, Shimizu K, Ii T, Yagi M, Matsui O, Nonomura A, Miyazaki I. Prognostic factors of hepatocellular carcinoma in patients undergoing hepatic resection. </w:t>
      </w:r>
      <w:r w:rsidRPr="00113F82">
        <w:rPr>
          <w:rFonts w:ascii="Book Antiqua" w:hAnsi="Book Antiqua"/>
          <w:i/>
          <w:sz w:val="24"/>
          <w:szCs w:val="24"/>
        </w:rPr>
        <w:t>Gastroenterology</w:t>
      </w:r>
      <w:r w:rsidRPr="00113F82">
        <w:rPr>
          <w:rFonts w:ascii="Book Antiqua" w:hAnsi="Book Antiqua"/>
          <w:sz w:val="24"/>
          <w:szCs w:val="24"/>
        </w:rPr>
        <w:t xml:space="preserve"> 1994; </w:t>
      </w:r>
      <w:r w:rsidRPr="00113F82">
        <w:rPr>
          <w:rFonts w:ascii="Book Antiqua" w:hAnsi="Book Antiqua"/>
          <w:b/>
          <w:sz w:val="24"/>
          <w:szCs w:val="24"/>
        </w:rPr>
        <w:t>106</w:t>
      </w:r>
      <w:r w:rsidRPr="00113F82">
        <w:rPr>
          <w:rFonts w:ascii="Book Antiqua" w:hAnsi="Book Antiqua"/>
          <w:sz w:val="24"/>
          <w:szCs w:val="24"/>
        </w:rPr>
        <w:t>: 720-727 [PMID: 8119543 DOI: 10.1016/0016-5085(94)90707-2]</w:t>
      </w:r>
    </w:p>
    <w:p w14:paraId="0C447DC1" w14:textId="77777777" w:rsidR="006E0BA3" w:rsidRPr="00113F82" w:rsidRDefault="006E0BA3" w:rsidP="006E0BA3">
      <w:pPr>
        <w:spacing w:line="360" w:lineRule="auto"/>
        <w:jc w:val="both"/>
        <w:rPr>
          <w:rFonts w:ascii="Book Antiqua" w:hAnsi="Book Antiqua"/>
          <w:sz w:val="24"/>
          <w:szCs w:val="24"/>
        </w:rPr>
      </w:pPr>
      <w:r w:rsidRPr="00113F82">
        <w:rPr>
          <w:rFonts w:ascii="Book Antiqua" w:hAnsi="Book Antiqua"/>
          <w:sz w:val="24"/>
          <w:szCs w:val="24"/>
        </w:rPr>
        <w:t xml:space="preserve">5 </w:t>
      </w:r>
      <w:r w:rsidRPr="00113F82">
        <w:rPr>
          <w:rFonts w:ascii="Book Antiqua" w:hAnsi="Book Antiqua"/>
          <w:b/>
          <w:sz w:val="24"/>
          <w:szCs w:val="24"/>
        </w:rPr>
        <w:t>Katagiri S</w:t>
      </w:r>
      <w:r w:rsidRPr="00113F82">
        <w:rPr>
          <w:rFonts w:ascii="Book Antiqua" w:hAnsi="Book Antiqua"/>
          <w:sz w:val="24"/>
          <w:szCs w:val="24"/>
        </w:rPr>
        <w:t xml:space="preserve">, Yamamoto M. Multidisciplinary treatments for hepatocellular carcinoma with major portal vein tumor thrombus. </w:t>
      </w:r>
      <w:r w:rsidRPr="00113F82">
        <w:rPr>
          <w:rFonts w:ascii="Book Antiqua" w:hAnsi="Book Antiqua"/>
          <w:i/>
          <w:sz w:val="24"/>
          <w:szCs w:val="24"/>
        </w:rPr>
        <w:t>Surg Today</w:t>
      </w:r>
      <w:r w:rsidRPr="00113F82">
        <w:rPr>
          <w:rFonts w:ascii="Book Antiqua" w:hAnsi="Book Antiqua"/>
          <w:sz w:val="24"/>
          <w:szCs w:val="24"/>
        </w:rPr>
        <w:t xml:space="preserve"> 2014; </w:t>
      </w:r>
      <w:r w:rsidRPr="00113F82">
        <w:rPr>
          <w:rFonts w:ascii="Book Antiqua" w:hAnsi="Book Antiqua"/>
          <w:b/>
          <w:sz w:val="24"/>
          <w:szCs w:val="24"/>
        </w:rPr>
        <w:t>44</w:t>
      </w:r>
      <w:r w:rsidRPr="00113F82">
        <w:rPr>
          <w:rFonts w:ascii="Book Antiqua" w:hAnsi="Book Antiqua"/>
          <w:sz w:val="24"/>
          <w:szCs w:val="24"/>
        </w:rPr>
        <w:t>: 219-226 [PMID: 23591833 DOI: 10.1007/s00595-013-0585-6]</w:t>
      </w:r>
    </w:p>
    <w:p w14:paraId="3A98FC4D" w14:textId="77777777" w:rsidR="006E0BA3" w:rsidRPr="00113F82" w:rsidRDefault="006E0BA3" w:rsidP="006E0BA3">
      <w:pPr>
        <w:spacing w:line="360" w:lineRule="auto"/>
        <w:jc w:val="both"/>
        <w:rPr>
          <w:rFonts w:ascii="Book Antiqua" w:hAnsi="Book Antiqua"/>
          <w:sz w:val="24"/>
          <w:szCs w:val="24"/>
        </w:rPr>
      </w:pPr>
      <w:r w:rsidRPr="00113F82">
        <w:rPr>
          <w:rFonts w:ascii="Book Antiqua" w:hAnsi="Book Antiqua"/>
          <w:sz w:val="24"/>
          <w:szCs w:val="24"/>
        </w:rPr>
        <w:t xml:space="preserve">6 </w:t>
      </w:r>
      <w:r w:rsidRPr="00113F82">
        <w:rPr>
          <w:rFonts w:ascii="Book Antiqua" w:hAnsi="Book Antiqua"/>
          <w:b/>
          <w:sz w:val="24"/>
          <w:szCs w:val="24"/>
        </w:rPr>
        <w:t>Yamamoto Y</w:t>
      </w:r>
      <w:r w:rsidRPr="00113F82">
        <w:rPr>
          <w:rFonts w:ascii="Book Antiqua" w:hAnsi="Book Antiqua"/>
          <w:sz w:val="24"/>
          <w:szCs w:val="24"/>
        </w:rPr>
        <w:t xml:space="preserve">, Ikoma H, Morimura R, Shoda K, Konishi H, Murayama Y, Komatsu S, Shiozaki A, Kuriu Y, Kubota T, Nakanishi M, Ichikawa D, Fujiwara H, Okamoto K, Sakakura C, Ochiai T, Otsuji E. Post-hepatectomy survival in advanced hepatocellular carcinoma with portal vein tumor thrombosis. </w:t>
      </w:r>
      <w:r w:rsidRPr="00113F82">
        <w:rPr>
          <w:rFonts w:ascii="Book Antiqua" w:hAnsi="Book Antiqua"/>
          <w:i/>
          <w:sz w:val="24"/>
          <w:szCs w:val="24"/>
        </w:rPr>
        <w:t>World J Gastroenterol</w:t>
      </w:r>
      <w:r w:rsidRPr="00113F82">
        <w:rPr>
          <w:rFonts w:ascii="Book Antiqua" w:hAnsi="Book Antiqua"/>
          <w:sz w:val="24"/>
          <w:szCs w:val="24"/>
        </w:rPr>
        <w:t xml:space="preserve"> 2015; </w:t>
      </w:r>
      <w:r w:rsidRPr="00113F82">
        <w:rPr>
          <w:rFonts w:ascii="Book Antiqua" w:hAnsi="Book Antiqua"/>
          <w:b/>
          <w:sz w:val="24"/>
          <w:szCs w:val="24"/>
        </w:rPr>
        <w:t>21</w:t>
      </w:r>
      <w:r w:rsidRPr="00113F82">
        <w:rPr>
          <w:rFonts w:ascii="Book Antiqua" w:hAnsi="Book Antiqua"/>
          <w:sz w:val="24"/>
          <w:szCs w:val="24"/>
        </w:rPr>
        <w:t>: 246-253 [PMID: 25574098 DOI: 10.3748/wjg.v21.i1.246]</w:t>
      </w:r>
    </w:p>
    <w:p w14:paraId="1A13EFBD" w14:textId="77777777" w:rsidR="006E0BA3" w:rsidRPr="00113F82" w:rsidRDefault="006E0BA3" w:rsidP="006E0BA3">
      <w:pPr>
        <w:spacing w:line="360" w:lineRule="auto"/>
        <w:jc w:val="both"/>
        <w:rPr>
          <w:rFonts w:ascii="Book Antiqua" w:hAnsi="Book Antiqua"/>
          <w:sz w:val="24"/>
          <w:szCs w:val="24"/>
        </w:rPr>
      </w:pPr>
      <w:r w:rsidRPr="00113F82">
        <w:rPr>
          <w:rFonts w:ascii="Book Antiqua" w:hAnsi="Book Antiqua"/>
          <w:sz w:val="24"/>
          <w:szCs w:val="24"/>
        </w:rPr>
        <w:t xml:space="preserve">7 </w:t>
      </w:r>
      <w:r w:rsidRPr="00113F82">
        <w:rPr>
          <w:rFonts w:ascii="Book Antiqua" w:hAnsi="Book Antiqua"/>
          <w:b/>
          <w:sz w:val="24"/>
          <w:szCs w:val="24"/>
        </w:rPr>
        <w:t>Samuel D</w:t>
      </w:r>
      <w:r w:rsidRPr="00113F82">
        <w:rPr>
          <w:rFonts w:ascii="Book Antiqua" w:hAnsi="Book Antiqua"/>
          <w:sz w:val="24"/>
          <w:szCs w:val="24"/>
        </w:rPr>
        <w:t xml:space="preserve">, Colombo M, El-Serag H, Sobesky R, Heaton N. Toward optimizing the indications for orthotopic liver transplantation in hepatocellular carcinoma. </w:t>
      </w:r>
      <w:r w:rsidRPr="00113F82">
        <w:rPr>
          <w:rFonts w:ascii="Book Antiqua" w:hAnsi="Book Antiqua"/>
          <w:i/>
          <w:sz w:val="24"/>
          <w:szCs w:val="24"/>
        </w:rPr>
        <w:t>Liver Transpl</w:t>
      </w:r>
      <w:r w:rsidRPr="00113F82">
        <w:rPr>
          <w:rFonts w:ascii="Book Antiqua" w:hAnsi="Book Antiqua"/>
          <w:sz w:val="24"/>
          <w:szCs w:val="24"/>
        </w:rPr>
        <w:t xml:space="preserve"> 2011; </w:t>
      </w:r>
      <w:r w:rsidRPr="00113F82">
        <w:rPr>
          <w:rFonts w:ascii="Book Antiqua" w:hAnsi="Book Antiqua"/>
          <w:b/>
          <w:sz w:val="24"/>
          <w:szCs w:val="24"/>
        </w:rPr>
        <w:t xml:space="preserve">17 </w:t>
      </w:r>
      <w:r w:rsidRPr="00113F82">
        <w:rPr>
          <w:rFonts w:ascii="Book Antiqua" w:hAnsi="Book Antiqua"/>
          <w:sz w:val="24"/>
          <w:szCs w:val="24"/>
        </w:rPr>
        <w:t>Suppl 2: S6-13 [PMID: 21858912 DOI: 10.1002/lt.22423]</w:t>
      </w:r>
    </w:p>
    <w:p w14:paraId="09E0F05E" w14:textId="77777777" w:rsidR="006E0BA3" w:rsidRPr="00113F82" w:rsidRDefault="006E0BA3" w:rsidP="006E0BA3">
      <w:pPr>
        <w:spacing w:line="360" w:lineRule="auto"/>
        <w:jc w:val="both"/>
        <w:rPr>
          <w:rFonts w:ascii="Book Antiqua" w:hAnsi="Book Antiqua"/>
          <w:sz w:val="24"/>
          <w:szCs w:val="24"/>
        </w:rPr>
      </w:pPr>
      <w:r w:rsidRPr="00113F82">
        <w:rPr>
          <w:rFonts w:ascii="Book Antiqua" w:hAnsi="Book Antiqua"/>
          <w:sz w:val="24"/>
          <w:szCs w:val="24"/>
        </w:rPr>
        <w:t xml:space="preserve">8 </w:t>
      </w:r>
      <w:r w:rsidRPr="00113F82">
        <w:rPr>
          <w:rFonts w:ascii="Book Antiqua" w:hAnsi="Book Antiqua"/>
          <w:b/>
          <w:sz w:val="24"/>
          <w:szCs w:val="24"/>
        </w:rPr>
        <w:t>Luo JJ</w:t>
      </w:r>
      <w:r w:rsidRPr="00113F82">
        <w:rPr>
          <w:rFonts w:ascii="Book Antiqua" w:hAnsi="Book Antiqua"/>
          <w:sz w:val="24"/>
          <w:szCs w:val="24"/>
        </w:rPr>
        <w:t xml:space="preserve">, Zhang ZH, Liu QX, Zhang W, Wang JH, Yan ZP. Endovascular brachytherapy combined with stent placement and TACE for treatment of HCC </w:t>
      </w:r>
      <w:r w:rsidRPr="00113F82">
        <w:rPr>
          <w:rFonts w:ascii="Book Antiqua" w:hAnsi="Book Antiqua"/>
          <w:sz w:val="24"/>
          <w:szCs w:val="24"/>
        </w:rPr>
        <w:lastRenderedPageBreak/>
        <w:t xml:space="preserve">with main portal vein tumor thrombus. </w:t>
      </w:r>
      <w:r w:rsidRPr="00113F82">
        <w:rPr>
          <w:rFonts w:ascii="Book Antiqua" w:hAnsi="Book Antiqua"/>
          <w:i/>
          <w:sz w:val="24"/>
          <w:szCs w:val="24"/>
        </w:rPr>
        <w:t>Hepatol Int</w:t>
      </w:r>
      <w:r w:rsidRPr="00113F82">
        <w:rPr>
          <w:rFonts w:ascii="Book Antiqua" w:hAnsi="Book Antiqua"/>
          <w:sz w:val="24"/>
          <w:szCs w:val="24"/>
        </w:rPr>
        <w:t xml:space="preserve"> 2016; </w:t>
      </w:r>
      <w:r w:rsidRPr="00113F82">
        <w:rPr>
          <w:rFonts w:ascii="Book Antiqua" w:hAnsi="Book Antiqua"/>
          <w:b/>
          <w:sz w:val="24"/>
          <w:szCs w:val="24"/>
        </w:rPr>
        <w:t>10</w:t>
      </w:r>
      <w:r w:rsidRPr="00113F82">
        <w:rPr>
          <w:rFonts w:ascii="Book Antiqua" w:hAnsi="Book Antiqua"/>
          <w:sz w:val="24"/>
          <w:szCs w:val="24"/>
        </w:rPr>
        <w:t>: 185-195 [PMID: 26341514 DOI: 10.1007/s12072-015-9663-8]</w:t>
      </w:r>
    </w:p>
    <w:p w14:paraId="1571FD4C" w14:textId="5CC2D1B6" w:rsidR="006E0BA3" w:rsidRPr="00113F82" w:rsidRDefault="006E0BA3" w:rsidP="006E0BA3">
      <w:pPr>
        <w:spacing w:line="360" w:lineRule="auto"/>
        <w:jc w:val="both"/>
        <w:rPr>
          <w:rFonts w:ascii="Book Antiqua" w:hAnsi="Book Antiqua"/>
          <w:sz w:val="24"/>
          <w:szCs w:val="24"/>
        </w:rPr>
      </w:pPr>
      <w:r w:rsidRPr="00113F82">
        <w:rPr>
          <w:rFonts w:ascii="Book Antiqua" w:hAnsi="Book Antiqua"/>
          <w:sz w:val="24"/>
          <w:szCs w:val="24"/>
        </w:rPr>
        <w:t xml:space="preserve">9 </w:t>
      </w:r>
      <w:r w:rsidRPr="00113F82">
        <w:rPr>
          <w:rFonts w:ascii="Book Antiqua" w:hAnsi="Book Antiqua"/>
          <w:b/>
          <w:sz w:val="24"/>
          <w:szCs w:val="24"/>
        </w:rPr>
        <w:t>Zhang YW</w:t>
      </w:r>
      <w:r w:rsidRPr="00113F82">
        <w:rPr>
          <w:rFonts w:ascii="Book Antiqua" w:hAnsi="Book Antiqua"/>
          <w:sz w:val="24"/>
          <w:szCs w:val="24"/>
        </w:rPr>
        <w:t>,</w:t>
      </w:r>
      <w:r w:rsidR="00144F5C" w:rsidRPr="00113F82">
        <w:rPr>
          <w:rFonts w:ascii="Book Antiqua" w:hAnsi="Book Antiqua"/>
          <w:sz w:val="24"/>
          <w:szCs w:val="24"/>
        </w:rPr>
        <w:t xml:space="preserve"> </w:t>
      </w:r>
      <w:r w:rsidRPr="00113F82">
        <w:rPr>
          <w:rFonts w:ascii="Book Antiqua" w:hAnsi="Book Antiqua"/>
          <w:sz w:val="24"/>
          <w:szCs w:val="24"/>
        </w:rPr>
        <w:t xml:space="preserve">Naren TG, Gao F. Color Doppler guided percutaneous oily chemoembolization for the treatment of portal vein tumor thrombus in HCC patients. </w:t>
      </w:r>
      <w:r w:rsidRPr="00113F82">
        <w:rPr>
          <w:rFonts w:ascii="Book Antiqua" w:hAnsi="Book Antiqua"/>
          <w:i/>
          <w:sz w:val="24"/>
          <w:szCs w:val="24"/>
        </w:rPr>
        <w:t>Zhongguo Jieru Yingxiang Yu Zhiliaoxue Zazhi</w:t>
      </w:r>
      <w:r w:rsidRPr="00113F82">
        <w:rPr>
          <w:rFonts w:ascii="Book Antiqua" w:hAnsi="Book Antiqua"/>
          <w:sz w:val="24"/>
          <w:szCs w:val="24"/>
        </w:rPr>
        <w:t xml:space="preserve"> 2009; </w:t>
      </w:r>
      <w:r w:rsidRPr="00113F82">
        <w:rPr>
          <w:rFonts w:ascii="Book Antiqua" w:hAnsi="Book Antiqua"/>
          <w:b/>
          <w:sz w:val="24"/>
          <w:szCs w:val="24"/>
        </w:rPr>
        <w:t>2</w:t>
      </w:r>
      <w:r w:rsidRPr="00113F82">
        <w:rPr>
          <w:rFonts w:ascii="Book Antiqua" w:hAnsi="Book Antiqua"/>
          <w:sz w:val="24"/>
          <w:szCs w:val="24"/>
        </w:rPr>
        <w:t xml:space="preserve"> [DOI: 10.13929/j.1672-8475.2009.02.020]</w:t>
      </w:r>
    </w:p>
    <w:p w14:paraId="510F1A76" w14:textId="77777777" w:rsidR="006E0BA3" w:rsidRPr="00113F82" w:rsidRDefault="006E0BA3" w:rsidP="006E0BA3">
      <w:pPr>
        <w:spacing w:line="360" w:lineRule="auto"/>
        <w:jc w:val="both"/>
        <w:rPr>
          <w:rFonts w:ascii="Book Antiqua" w:hAnsi="Book Antiqua"/>
          <w:sz w:val="24"/>
          <w:szCs w:val="24"/>
        </w:rPr>
      </w:pPr>
      <w:r w:rsidRPr="00113F82">
        <w:rPr>
          <w:rFonts w:ascii="Book Antiqua" w:hAnsi="Book Antiqua"/>
          <w:sz w:val="24"/>
          <w:szCs w:val="24"/>
        </w:rPr>
        <w:t xml:space="preserve">10 </w:t>
      </w:r>
      <w:r w:rsidRPr="00113F82">
        <w:rPr>
          <w:rFonts w:ascii="Book Antiqua" w:hAnsi="Book Antiqua"/>
          <w:b/>
          <w:sz w:val="24"/>
          <w:szCs w:val="24"/>
        </w:rPr>
        <w:t>Peng B</w:t>
      </w:r>
      <w:r w:rsidRPr="00113F82">
        <w:rPr>
          <w:rFonts w:ascii="Book Antiqua" w:hAnsi="Book Antiqua"/>
          <w:sz w:val="24"/>
          <w:szCs w:val="24"/>
        </w:rPr>
        <w:t xml:space="preserve">, Liang L, He Q, Zhou F, Luo S. Surgical treatment for hepatocellular carcinoma with portal vein tumor thrombus. </w:t>
      </w:r>
      <w:r w:rsidRPr="00113F82">
        <w:rPr>
          <w:rFonts w:ascii="Book Antiqua" w:hAnsi="Book Antiqua"/>
          <w:i/>
          <w:sz w:val="24"/>
          <w:szCs w:val="24"/>
        </w:rPr>
        <w:t>Hepatogastroenterology</w:t>
      </w:r>
      <w:r w:rsidRPr="00113F82">
        <w:rPr>
          <w:rFonts w:ascii="Book Antiqua" w:hAnsi="Book Antiqua"/>
          <w:sz w:val="24"/>
          <w:szCs w:val="24"/>
        </w:rPr>
        <w:t xml:space="preserve"> 2006; </w:t>
      </w:r>
      <w:r w:rsidRPr="00113F82">
        <w:rPr>
          <w:rFonts w:ascii="Book Antiqua" w:hAnsi="Book Antiqua"/>
          <w:b/>
          <w:sz w:val="24"/>
          <w:szCs w:val="24"/>
        </w:rPr>
        <w:t>53</w:t>
      </w:r>
      <w:r w:rsidRPr="00113F82">
        <w:rPr>
          <w:rFonts w:ascii="Book Antiqua" w:hAnsi="Book Antiqua"/>
          <w:sz w:val="24"/>
          <w:szCs w:val="24"/>
        </w:rPr>
        <w:t>: 415-419 [PMID: 16795984 DOI: 10.1136/gut.2005.089136]</w:t>
      </w:r>
    </w:p>
    <w:p w14:paraId="4B76F024" w14:textId="77777777" w:rsidR="006E0BA3" w:rsidRPr="00113F82" w:rsidRDefault="006E0BA3" w:rsidP="006E0BA3">
      <w:pPr>
        <w:spacing w:line="360" w:lineRule="auto"/>
        <w:jc w:val="both"/>
        <w:rPr>
          <w:rFonts w:ascii="Book Antiqua" w:hAnsi="Book Antiqua"/>
          <w:sz w:val="24"/>
          <w:szCs w:val="24"/>
        </w:rPr>
      </w:pPr>
      <w:r w:rsidRPr="00113F82">
        <w:rPr>
          <w:rFonts w:ascii="Book Antiqua" w:hAnsi="Book Antiqua"/>
          <w:sz w:val="24"/>
          <w:szCs w:val="24"/>
        </w:rPr>
        <w:t xml:space="preserve">11 </w:t>
      </w:r>
      <w:r w:rsidRPr="00113F82">
        <w:rPr>
          <w:rFonts w:ascii="Book Antiqua" w:hAnsi="Book Antiqua"/>
          <w:b/>
          <w:sz w:val="24"/>
          <w:szCs w:val="24"/>
        </w:rPr>
        <w:t>Liu L</w:t>
      </w:r>
      <w:r w:rsidRPr="00113F82">
        <w:rPr>
          <w:rFonts w:ascii="Book Antiqua" w:hAnsi="Book Antiqua"/>
          <w:sz w:val="24"/>
          <w:szCs w:val="24"/>
        </w:rPr>
        <w:t xml:space="preserve">, Zhao Y, Qi X, Cai G, He C, Guo W, Yin Z, Chen H, Chen X, Fan D, Han G. Transjugular intrahepatic portosystemic shunt for symptomatic portal hypertension in hepatocellular carcinoma with portal vein tumor thrombosis. </w:t>
      </w:r>
      <w:r w:rsidRPr="00113F82">
        <w:rPr>
          <w:rFonts w:ascii="Book Antiqua" w:hAnsi="Book Antiqua"/>
          <w:i/>
          <w:sz w:val="24"/>
          <w:szCs w:val="24"/>
        </w:rPr>
        <w:t>Hepatol Res</w:t>
      </w:r>
      <w:r w:rsidRPr="00113F82">
        <w:rPr>
          <w:rFonts w:ascii="Book Antiqua" w:hAnsi="Book Antiqua"/>
          <w:sz w:val="24"/>
          <w:szCs w:val="24"/>
        </w:rPr>
        <w:t xml:space="preserve"> 2014; </w:t>
      </w:r>
      <w:r w:rsidRPr="00113F82">
        <w:rPr>
          <w:rFonts w:ascii="Book Antiqua" w:hAnsi="Book Antiqua"/>
          <w:b/>
          <w:sz w:val="24"/>
          <w:szCs w:val="24"/>
        </w:rPr>
        <w:t>44</w:t>
      </w:r>
      <w:r w:rsidRPr="00113F82">
        <w:rPr>
          <w:rFonts w:ascii="Book Antiqua" w:hAnsi="Book Antiqua"/>
          <w:sz w:val="24"/>
          <w:szCs w:val="24"/>
        </w:rPr>
        <w:t>: 621-630 [PMID: 23679937 DOI: 10.1111/hepr.12162]</w:t>
      </w:r>
    </w:p>
    <w:p w14:paraId="2CE775AA" w14:textId="77777777" w:rsidR="006E0BA3" w:rsidRPr="00113F82" w:rsidRDefault="006E0BA3" w:rsidP="006E0BA3">
      <w:pPr>
        <w:spacing w:line="360" w:lineRule="auto"/>
        <w:jc w:val="both"/>
        <w:rPr>
          <w:rFonts w:ascii="Book Antiqua" w:hAnsi="Book Antiqua"/>
          <w:sz w:val="24"/>
          <w:szCs w:val="24"/>
        </w:rPr>
      </w:pPr>
      <w:r w:rsidRPr="00113F82">
        <w:rPr>
          <w:rFonts w:ascii="Book Antiqua" w:hAnsi="Book Antiqua"/>
          <w:sz w:val="24"/>
          <w:szCs w:val="24"/>
        </w:rPr>
        <w:t xml:space="preserve">12 </w:t>
      </w:r>
      <w:r w:rsidRPr="00113F82">
        <w:rPr>
          <w:rFonts w:ascii="Book Antiqua" w:hAnsi="Book Antiqua"/>
          <w:b/>
          <w:sz w:val="24"/>
          <w:szCs w:val="24"/>
        </w:rPr>
        <w:t>Qiu B</w:t>
      </w:r>
      <w:r w:rsidRPr="00113F82">
        <w:rPr>
          <w:rFonts w:ascii="Book Antiqua" w:hAnsi="Book Antiqua"/>
          <w:sz w:val="24"/>
          <w:szCs w:val="24"/>
        </w:rPr>
        <w:t xml:space="preserve">, Li K, Dong X, Liu FQ. Transjugular Intrahepatic Portosystemic Shunt for Portal Hypertension in Hepatocellular Carcinoma with Portal Vein Tumor Thrombus. </w:t>
      </w:r>
      <w:r w:rsidRPr="00113F82">
        <w:rPr>
          <w:rFonts w:ascii="Book Antiqua" w:hAnsi="Book Antiqua"/>
          <w:i/>
          <w:sz w:val="24"/>
          <w:szCs w:val="24"/>
        </w:rPr>
        <w:t>Cardiovasc Intervent Radiol</w:t>
      </w:r>
      <w:r w:rsidRPr="00113F82">
        <w:rPr>
          <w:rFonts w:ascii="Book Antiqua" w:hAnsi="Book Antiqua"/>
          <w:sz w:val="24"/>
          <w:szCs w:val="24"/>
        </w:rPr>
        <w:t xml:space="preserve"> 2017; </w:t>
      </w:r>
      <w:r w:rsidRPr="00113F82">
        <w:rPr>
          <w:rFonts w:ascii="Book Antiqua" w:hAnsi="Book Antiqua"/>
          <w:b/>
          <w:sz w:val="24"/>
          <w:szCs w:val="24"/>
        </w:rPr>
        <w:t>40</w:t>
      </w:r>
      <w:r w:rsidRPr="00113F82">
        <w:rPr>
          <w:rFonts w:ascii="Book Antiqua" w:hAnsi="Book Antiqua"/>
          <w:sz w:val="24"/>
          <w:szCs w:val="24"/>
        </w:rPr>
        <w:t>: 1372-1382 [PMID: 28488102 DOI: 10.1007/s00270-017-1655-8]</w:t>
      </w:r>
    </w:p>
    <w:p w14:paraId="4699B367" w14:textId="77777777" w:rsidR="006E0BA3" w:rsidRPr="00113F82" w:rsidRDefault="006E0BA3" w:rsidP="006E0BA3">
      <w:pPr>
        <w:spacing w:line="360" w:lineRule="auto"/>
        <w:jc w:val="both"/>
        <w:rPr>
          <w:rFonts w:ascii="Book Antiqua" w:hAnsi="Book Antiqua"/>
          <w:sz w:val="24"/>
          <w:szCs w:val="24"/>
        </w:rPr>
      </w:pPr>
      <w:r w:rsidRPr="00113F82">
        <w:rPr>
          <w:rFonts w:ascii="Book Antiqua" w:hAnsi="Book Antiqua"/>
          <w:sz w:val="24"/>
          <w:szCs w:val="24"/>
        </w:rPr>
        <w:t xml:space="preserve">13 </w:t>
      </w:r>
      <w:r w:rsidRPr="00113F82">
        <w:rPr>
          <w:rFonts w:ascii="Book Antiqua" w:hAnsi="Book Antiqua"/>
          <w:b/>
          <w:sz w:val="24"/>
          <w:szCs w:val="24"/>
        </w:rPr>
        <w:t>Yang M</w:t>
      </w:r>
      <w:r w:rsidRPr="00113F82">
        <w:rPr>
          <w:rFonts w:ascii="Book Antiqua" w:hAnsi="Book Antiqua"/>
          <w:sz w:val="24"/>
          <w:szCs w:val="24"/>
        </w:rPr>
        <w:t xml:space="preserve">, Fang Z, Yan Z, Luo J, Liu L, Zhang W, Wu L, Ma J, Yang Q, Liu Q. Transarterial chemoembolisation (TACE) combined with endovascular implantation of an iodine-125 seed strand for the treatment of hepatocellular carcinoma with portal vein tumour thrombosis versus TACE alone: a two-arm, randomised clinical trial. </w:t>
      </w:r>
      <w:r w:rsidRPr="00113F82">
        <w:rPr>
          <w:rFonts w:ascii="Book Antiqua" w:hAnsi="Book Antiqua"/>
          <w:i/>
          <w:sz w:val="24"/>
          <w:szCs w:val="24"/>
        </w:rPr>
        <w:t>J Cancer Res Clin Oncol</w:t>
      </w:r>
      <w:r w:rsidRPr="00113F82">
        <w:rPr>
          <w:rFonts w:ascii="Book Antiqua" w:hAnsi="Book Antiqua"/>
          <w:sz w:val="24"/>
          <w:szCs w:val="24"/>
        </w:rPr>
        <w:t xml:space="preserve"> 2014; </w:t>
      </w:r>
      <w:r w:rsidRPr="00113F82">
        <w:rPr>
          <w:rFonts w:ascii="Book Antiqua" w:hAnsi="Book Antiqua"/>
          <w:b/>
          <w:sz w:val="24"/>
          <w:szCs w:val="24"/>
        </w:rPr>
        <w:t>140</w:t>
      </w:r>
      <w:r w:rsidRPr="00113F82">
        <w:rPr>
          <w:rFonts w:ascii="Book Antiqua" w:hAnsi="Book Antiqua"/>
          <w:sz w:val="24"/>
          <w:szCs w:val="24"/>
        </w:rPr>
        <w:t>: 211-219 [PMID: 24374800 DOI: 10.1007/s00432-013-1568-0]</w:t>
      </w:r>
    </w:p>
    <w:p w14:paraId="11845C8C" w14:textId="77777777" w:rsidR="006E0BA3" w:rsidRPr="00113F82" w:rsidRDefault="006E0BA3" w:rsidP="006E0BA3">
      <w:pPr>
        <w:spacing w:line="360" w:lineRule="auto"/>
        <w:jc w:val="both"/>
        <w:rPr>
          <w:rFonts w:ascii="Book Antiqua" w:hAnsi="Book Antiqua"/>
          <w:sz w:val="24"/>
          <w:szCs w:val="24"/>
        </w:rPr>
      </w:pPr>
      <w:r w:rsidRPr="00113F82">
        <w:rPr>
          <w:rFonts w:ascii="Book Antiqua" w:hAnsi="Book Antiqua"/>
          <w:sz w:val="24"/>
          <w:szCs w:val="24"/>
        </w:rPr>
        <w:t xml:space="preserve">14 </w:t>
      </w:r>
      <w:r w:rsidRPr="00113F82">
        <w:rPr>
          <w:rFonts w:ascii="Book Antiqua" w:hAnsi="Book Antiqua"/>
          <w:b/>
          <w:sz w:val="24"/>
          <w:szCs w:val="24"/>
        </w:rPr>
        <w:t>Bruix J</w:t>
      </w:r>
      <w:r w:rsidRPr="00113F82">
        <w:rPr>
          <w:rFonts w:ascii="Book Antiqua" w:hAnsi="Book Antiqua"/>
          <w:sz w:val="24"/>
          <w:szCs w:val="24"/>
        </w:rPr>
        <w:t xml:space="preserve">, Sherman M; American Association for the Study of Liver Diseases. Management of hepatocellular carcinoma: an update. </w:t>
      </w:r>
      <w:r w:rsidRPr="00113F82">
        <w:rPr>
          <w:rFonts w:ascii="Book Antiqua" w:hAnsi="Book Antiqua"/>
          <w:i/>
          <w:sz w:val="24"/>
          <w:szCs w:val="24"/>
        </w:rPr>
        <w:t>Hepatology</w:t>
      </w:r>
      <w:r w:rsidRPr="00113F82">
        <w:rPr>
          <w:rFonts w:ascii="Book Antiqua" w:hAnsi="Book Antiqua"/>
          <w:sz w:val="24"/>
          <w:szCs w:val="24"/>
        </w:rPr>
        <w:t xml:space="preserve"> 2011; </w:t>
      </w:r>
      <w:r w:rsidRPr="00113F82">
        <w:rPr>
          <w:rFonts w:ascii="Book Antiqua" w:hAnsi="Book Antiqua"/>
          <w:b/>
          <w:sz w:val="24"/>
          <w:szCs w:val="24"/>
        </w:rPr>
        <w:t>53</w:t>
      </w:r>
      <w:r w:rsidRPr="00113F82">
        <w:rPr>
          <w:rFonts w:ascii="Book Antiqua" w:hAnsi="Book Antiqua"/>
          <w:sz w:val="24"/>
          <w:szCs w:val="24"/>
        </w:rPr>
        <w:t>: 1020-1022 [PMID: 21374666 DOI: 10.1002/hep.24199]</w:t>
      </w:r>
    </w:p>
    <w:p w14:paraId="1DDF3071" w14:textId="77777777" w:rsidR="006E0BA3" w:rsidRPr="00113F82" w:rsidRDefault="006E0BA3" w:rsidP="006E0BA3">
      <w:pPr>
        <w:spacing w:line="360" w:lineRule="auto"/>
        <w:jc w:val="both"/>
        <w:rPr>
          <w:rFonts w:ascii="Book Antiqua" w:hAnsi="Book Antiqua"/>
          <w:sz w:val="24"/>
          <w:szCs w:val="24"/>
        </w:rPr>
      </w:pPr>
      <w:r w:rsidRPr="00113F82">
        <w:rPr>
          <w:rFonts w:ascii="Book Antiqua" w:hAnsi="Book Antiqua"/>
          <w:sz w:val="24"/>
          <w:szCs w:val="24"/>
        </w:rPr>
        <w:t xml:space="preserve">15 </w:t>
      </w:r>
      <w:r w:rsidRPr="00113F82">
        <w:rPr>
          <w:rFonts w:ascii="Book Antiqua" w:hAnsi="Book Antiqua"/>
          <w:b/>
          <w:sz w:val="24"/>
          <w:szCs w:val="24"/>
        </w:rPr>
        <w:t>Tarantino L</w:t>
      </w:r>
      <w:r w:rsidRPr="00113F82">
        <w:rPr>
          <w:rFonts w:ascii="Book Antiqua" w:hAnsi="Book Antiqua"/>
          <w:sz w:val="24"/>
          <w:szCs w:val="24"/>
        </w:rPr>
        <w:t xml:space="preserve">, Francica G, Sordelli I, Esposito F, Giorgio A, Sorrentino P, de Stefano G, Di Sarno A, Ferraioli G, Sperlongano P. Diagnosis of benign and malignant portal vein thrombosis in cirrhotic patients with hepatocellular carcinoma: color Doppler US, contrast-enhanced US, and fine-needle biopsy. </w:t>
      </w:r>
      <w:r w:rsidRPr="00113F82">
        <w:rPr>
          <w:rFonts w:ascii="Book Antiqua" w:hAnsi="Book Antiqua"/>
          <w:i/>
          <w:sz w:val="24"/>
          <w:szCs w:val="24"/>
        </w:rPr>
        <w:t>Abdom Imaging</w:t>
      </w:r>
      <w:r w:rsidRPr="00113F82">
        <w:rPr>
          <w:rFonts w:ascii="Book Antiqua" w:hAnsi="Book Antiqua"/>
          <w:sz w:val="24"/>
          <w:szCs w:val="24"/>
        </w:rPr>
        <w:t xml:space="preserve"> 2006; </w:t>
      </w:r>
      <w:r w:rsidRPr="00113F82">
        <w:rPr>
          <w:rFonts w:ascii="Book Antiqua" w:hAnsi="Book Antiqua"/>
          <w:b/>
          <w:sz w:val="24"/>
          <w:szCs w:val="24"/>
        </w:rPr>
        <w:t>31</w:t>
      </w:r>
      <w:r w:rsidRPr="00113F82">
        <w:rPr>
          <w:rFonts w:ascii="Book Antiqua" w:hAnsi="Book Antiqua"/>
          <w:sz w:val="24"/>
          <w:szCs w:val="24"/>
        </w:rPr>
        <w:t>: 537-544 [PMID: 16865315 DOI: 10.1007/s00261-005-0150-x]</w:t>
      </w:r>
    </w:p>
    <w:p w14:paraId="165220C4" w14:textId="77777777" w:rsidR="006E0BA3" w:rsidRPr="00113F82" w:rsidRDefault="006E0BA3" w:rsidP="006E0BA3">
      <w:pPr>
        <w:spacing w:line="360" w:lineRule="auto"/>
        <w:jc w:val="both"/>
        <w:rPr>
          <w:rFonts w:ascii="Book Antiqua" w:hAnsi="Book Antiqua"/>
          <w:sz w:val="24"/>
          <w:szCs w:val="24"/>
        </w:rPr>
      </w:pPr>
      <w:r w:rsidRPr="00113F82">
        <w:rPr>
          <w:rFonts w:ascii="Book Antiqua" w:hAnsi="Book Antiqua"/>
          <w:sz w:val="24"/>
          <w:szCs w:val="24"/>
        </w:rPr>
        <w:lastRenderedPageBreak/>
        <w:t xml:space="preserve">16 </w:t>
      </w:r>
      <w:r w:rsidRPr="00113F82">
        <w:rPr>
          <w:rFonts w:ascii="Book Antiqua" w:hAnsi="Book Antiqua"/>
          <w:b/>
          <w:sz w:val="24"/>
          <w:szCs w:val="24"/>
        </w:rPr>
        <w:t>Bruix J</w:t>
      </w:r>
      <w:r w:rsidRPr="00113F82">
        <w:rPr>
          <w:rFonts w:ascii="Book Antiqua" w:hAnsi="Book Antiqua"/>
          <w:sz w:val="24"/>
          <w:szCs w:val="24"/>
        </w:rPr>
        <w:t xml:space="preserve">, Qin S, Merle P, Granito A, Huang YH, Bodoky G, Pracht M, Yokosuka O, Rosmorduc O, Breder V, Gerolami R, Masi G, Ross PJ, Song T, Bronowicki JP, Ollivier-Hourmand I, Kudo M, Cheng AL, Llovet JM, Finn RS, LeBerre MA, Baumhauer A, Meinhardt G, Han G; RESORCE Investigators. Regorafenib for patients with hepatocellular carcinoma who progressed on sorafenib treatment (RESORCE): a randomised, double-blind, placebo-controlled, phase 3 trial. </w:t>
      </w:r>
      <w:r w:rsidRPr="00113F82">
        <w:rPr>
          <w:rFonts w:ascii="Book Antiqua" w:hAnsi="Book Antiqua"/>
          <w:i/>
          <w:sz w:val="24"/>
          <w:szCs w:val="24"/>
        </w:rPr>
        <w:t>Lancet</w:t>
      </w:r>
      <w:r w:rsidRPr="00113F82">
        <w:rPr>
          <w:rFonts w:ascii="Book Antiqua" w:hAnsi="Book Antiqua"/>
          <w:sz w:val="24"/>
          <w:szCs w:val="24"/>
        </w:rPr>
        <w:t xml:space="preserve"> 2017; </w:t>
      </w:r>
      <w:r w:rsidRPr="00113F82">
        <w:rPr>
          <w:rFonts w:ascii="Book Antiqua" w:hAnsi="Book Antiqua"/>
          <w:b/>
          <w:sz w:val="24"/>
          <w:szCs w:val="24"/>
        </w:rPr>
        <w:t>389</w:t>
      </w:r>
      <w:r w:rsidRPr="00113F82">
        <w:rPr>
          <w:rFonts w:ascii="Book Antiqua" w:hAnsi="Book Antiqua"/>
          <w:sz w:val="24"/>
          <w:szCs w:val="24"/>
        </w:rPr>
        <w:t>: 56-66 [PMID: 27932229 DOI: 10.1016/S0140-6736(16)32453-9]</w:t>
      </w:r>
    </w:p>
    <w:p w14:paraId="67BFBE24" w14:textId="77777777" w:rsidR="006E0BA3" w:rsidRPr="00113F82" w:rsidRDefault="006E0BA3" w:rsidP="006E0BA3">
      <w:pPr>
        <w:spacing w:line="360" w:lineRule="auto"/>
        <w:jc w:val="both"/>
        <w:rPr>
          <w:rFonts w:ascii="Book Antiqua" w:hAnsi="Book Antiqua"/>
          <w:sz w:val="24"/>
          <w:szCs w:val="24"/>
        </w:rPr>
      </w:pPr>
      <w:r w:rsidRPr="00113F82">
        <w:rPr>
          <w:rFonts w:ascii="Book Antiqua" w:hAnsi="Book Antiqua"/>
          <w:sz w:val="24"/>
          <w:szCs w:val="24"/>
        </w:rPr>
        <w:t xml:space="preserve">17 </w:t>
      </w:r>
      <w:r w:rsidRPr="00113F82">
        <w:rPr>
          <w:rFonts w:ascii="Book Antiqua" w:hAnsi="Book Antiqua"/>
          <w:b/>
          <w:sz w:val="24"/>
          <w:szCs w:val="24"/>
        </w:rPr>
        <w:t>Sun JH</w:t>
      </w:r>
      <w:r w:rsidRPr="00113F82">
        <w:rPr>
          <w:rFonts w:ascii="Book Antiqua" w:hAnsi="Book Antiqua"/>
          <w:sz w:val="24"/>
          <w:szCs w:val="24"/>
        </w:rPr>
        <w:t xml:space="preserve">, Zhou T, Zhu T, Zhang Y, Nie C, Ai J, Zhou G, Zhang A, Dong MJ, Wang WL, Zheng SS. Portal Vein Stenting Combined with Iodine-125 Seeds Endovascular Implantation Followed by Transcatheter Arterial Chemoembolization for Treatment of Hepatocellular Carcinoma Patients with Portal Vein Tumor Thrombus. </w:t>
      </w:r>
      <w:r w:rsidRPr="00113F82">
        <w:rPr>
          <w:rFonts w:ascii="Book Antiqua" w:hAnsi="Book Antiqua"/>
          <w:i/>
          <w:sz w:val="24"/>
          <w:szCs w:val="24"/>
        </w:rPr>
        <w:t>Biomed Res Int</w:t>
      </w:r>
      <w:r w:rsidRPr="00113F82">
        <w:rPr>
          <w:rFonts w:ascii="Book Antiqua" w:hAnsi="Book Antiqua"/>
          <w:sz w:val="24"/>
          <w:szCs w:val="24"/>
        </w:rPr>
        <w:t xml:space="preserve"> 2016; </w:t>
      </w:r>
      <w:r w:rsidRPr="00113F82">
        <w:rPr>
          <w:rFonts w:ascii="Book Antiqua" w:hAnsi="Book Antiqua"/>
          <w:b/>
          <w:sz w:val="24"/>
          <w:szCs w:val="24"/>
        </w:rPr>
        <w:t>2016</w:t>
      </w:r>
      <w:r w:rsidRPr="00113F82">
        <w:rPr>
          <w:rFonts w:ascii="Book Antiqua" w:hAnsi="Book Antiqua"/>
          <w:sz w:val="24"/>
          <w:szCs w:val="24"/>
        </w:rPr>
        <w:t>: 3048261 [PMID: 27999793 DOI: 10.1155/2016/3048261]</w:t>
      </w:r>
    </w:p>
    <w:p w14:paraId="41EE5B19" w14:textId="1AE6C9D5" w:rsidR="006E0BA3" w:rsidRPr="00113F82" w:rsidRDefault="006E0BA3" w:rsidP="006E0BA3">
      <w:pPr>
        <w:spacing w:line="360" w:lineRule="auto"/>
        <w:jc w:val="both"/>
        <w:rPr>
          <w:rFonts w:ascii="Book Antiqua" w:hAnsi="Book Antiqua"/>
          <w:sz w:val="24"/>
          <w:szCs w:val="24"/>
        </w:rPr>
      </w:pPr>
      <w:r w:rsidRPr="00113F82">
        <w:rPr>
          <w:rFonts w:ascii="Book Antiqua" w:hAnsi="Book Antiqua"/>
          <w:sz w:val="24"/>
          <w:szCs w:val="24"/>
        </w:rPr>
        <w:t xml:space="preserve">18 </w:t>
      </w:r>
      <w:r w:rsidRPr="00113F82">
        <w:rPr>
          <w:rFonts w:ascii="Book Antiqua" w:hAnsi="Book Antiqua"/>
          <w:b/>
          <w:sz w:val="24"/>
          <w:szCs w:val="24"/>
        </w:rPr>
        <w:t>Lin J</w:t>
      </w:r>
      <w:r w:rsidRPr="00113F82">
        <w:rPr>
          <w:rFonts w:ascii="Book Antiqua" w:hAnsi="Book Antiqua"/>
          <w:sz w:val="24"/>
          <w:szCs w:val="24"/>
        </w:rPr>
        <w:t xml:space="preserve">, Jiang H, Yang W, Jiang N, Zheng Q, Huang N, Wang X, Li A, Huang J. Predictive factors of benefit from iodine-125 brachytherapy for hepatocellular carcinoma with portal vein tumor thrombosis. </w:t>
      </w:r>
      <w:r w:rsidRPr="00113F82">
        <w:rPr>
          <w:rFonts w:ascii="Book Antiqua" w:hAnsi="Book Antiqua"/>
          <w:i/>
          <w:sz w:val="24"/>
          <w:szCs w:val="24"/>
        </w:rPr>
        <w:t>Brachytherapy</w:t>
      </w:r>
      <w:r w:rsidRPr="00113F82">
        <w:rPr>
          <w:rFonts w:ascii="Book Antiqua" w:hAnsi="Book Antiqua"/>
          <w:sz w:val="24"/>
          <w:szCs w:val="24"/>
        </w:rPr>
        <w:t xml:space="preserve"> 2018; </w:t>
      </w:r>
      <w:r w:rsidR="00144F5C" w:rsidRPr="00113F82">
        <w:rPr>
          <w:rFonts w:ascii="Book Antiqua" w:hAnsi="Book Antiqua"/>
          <w:b/>
          <w:sz w:val="24"/>
          <w:szCs w:val="24"/>
        </w:rPr>
        <w:t>pii</w:t>
      </w:r>
      <w:r w:rsidR="00144F5C" w:rsidRPr="00113F82">
        <w:rPr>
          <w:rFonts w:ascii="Book Antiqua" w:hAnsi="Book Antiqua"/>
          <w:sz w:val="24"/>
          <w:szCs w:val="24"/>
        </w:rPr>
        <w:t xml:space="preserve">: S1538-4721(18)30424-0 </w:t>
      </w:r>
      <w:r w:rsidRPr="00113F82">
        <w:rPr>
          <w:rFonts w:ascii="Book Antiqua" w:hAnsi="Book Antiqua"/>
          <w:sz w:val="24"/>
          <w:szCs w:val="24"/>
        </w:rPr>
        <w:t>[PMID: 30467014 DOI: 10.1016/j.brachy.2018.10.002]</w:t>
      </w:r>
    </w:p>
    <w:p w14:paraId="702996C3" w14:textId="77777777" w:rsidR="006E0BA3" w:rsidRPr="00113F82" w:rsidRDefault="006E0BA3" w:rsidP="006E0BA3">
      <w:pPr>
        <w:spacing w:line="360" w:lineRule="auto"/>
        <w:jc w:val="both"/>
        <w:rPr>
          <w:rFonts w:ascii="Book Antiqua" w:hAnsi="Book Antiqua"/>
          <w:sz w:val="24"/>
          <w:szCs w:val="24"/>
        </w:rPr>
      </w:pPr>
      <w:r w:rsidRPr="00113F82">
        <w:rPr>
          <w:rFonts w:ascii="Book Antiqua" w:hAnsi="Book Antiqua"/>
          <w:sz w:val="24"/>
          <w:szCs w:val="24"/>
        </w:rPr>
        <w:t xml:space="preserve">19 </w:t>
      </w:r>
      <w:r w:rsidRPr="00113F82">
        <w:rPr>
          <w:rFonts w:ascii="Book Antiqua" w:hAnsi="Book Antiqua"/>
          <w:b/>
          <w:sz w:val="24"/>
          <w:szCs w:val="24"/>
        </w:rPr>
        <w:t>Han G</w:t>
      </w:r>
      <w:r w:rsidRPr="00113F82">
        <w:rPr>
          <w:rFonts w:ascii="Book Antiqua" w:hAnsi="Book Antiqua"/>
          <w:sz w:val="24"/>
          <w:szCs w:val="24"/>
        </w:rPr>
        <w:t xml:space="preserve">, Qi X, He C, Yin Z, Wang J, Xia J, Yang Z, Bai M, Meng X, Niu J, Wu K, Fan D. Transjugular intrahepatic portosystemic shunt for portal vein thrombosis with symptomatic portal hypertension in liver cirrhosis. </w:t>
      </w:r>
      <w:r w:rsidRPr="00113F82">
        <w:rPr>
          <w:rFonts w:ascii="Book Antiqua" w:hAnsi="Book Antiqua"/>
          <w:i/>
          <w:sz w:val="24"/>
          <w:szCs w:val="24"/>
        </w:rPr>
        <w:t>J Hepatol</w:t>
      </w:r>
      <w:r w:rsidRPr="00113F82">
        <w:rPr>
          <w:rFonts w:ascii="Book Antiqua" w:hAnsi="Book Antiqua"/>
          <w:sz w:val="24"/>
          <w:szCs w:val="24"/>
        </w:rPr>
        <w:t xml:space="preserve"> 2011; </w:t>
      </w:r>
      <w:r w:rsidRPr="00113F82">
        <w:rPr>
          <w:rFonts w:ascii="Book Antiqua" w:hAnsi="Book Antiqua"/>
          <w:b/>
          <w:sz w:val="24"/>
          <w:szCs w:val="24"/>
        </w:rPr>
        <w:t>54</w:t>
      </w:r>
      <w:r w:rsidRPr="00113F82">
        <w:rPr>
          <w:rFonts w:ascii="Book Antiqua" w:hAnsi="Book Antiqua"/>
          <w:sz w:val="24"/>
          <w:szCs w:val="24"/>
        </w:rPr>
        <w:t>: 78-88 [PMID: 20932597 DOI: 10.1016/j.jhep.2010.06.029]</w:t>
      </w:r>
    </w:p>
    <w:p w14:paraId="06899807" w14:textId="77777777" w:rsidR="006E0BA3" w:rsidRPr="00113F82" w:rsidRDefault="006E0BA3" w:rsidP="006E0BA3">
      <w:pPr>
        <w:spacing w:line="360" w:lineRule="auto"/>
        <w:jc w:val="both"/>
        <w:rPr>
          <w:rFonts w:ascii="Book Antiqua" w:hAnsi="Book Antiqua"/>
          <w:sz w:val="24"/>
          <w:szCs w:val="24"/>
        </w:rPr>
      </w:pPr>
      <w:r w:rsidRPr="00113F82">
        <w:rPr>
          <w:rFonts w:ascii="Book Antiqua" w:hAnsi="Book Antiqua"/>
          <w:sz w:val="24"/>
          <w:szCs w:val="24"/>
        </w:rPr>
        <w:t xml:space="preserve">20 </w:t>
      </w:r>
      <w:r w:rsidRPr="00113F82">
        <w:rPr>
          <w:rFonts w:ascii="Book Antiqua" w:hAnsi="Book Antiqua"/>
          <w:b/>
          <w:sz w:val="24"/>
          <w:szCs w:val="24"/>
        </w:rPr>
        <w:t>Boyer TD</w:t>
      </w:r>
      <w:r w:rsidRPr="00113F82">
        <w:rPr>
          <w:rFonts w:ascii="Book Antiqua" w:hAnsi="Book Antiqua"/>
          <w:sz w:val="24"/>
          <w:szCs w:val="24"/>
        </w:rPr>
        <w:t xml:space="preserve">, Haskal ZJ. American Association for the Study of Liver Diseases Practice Guidelines: the role of transjugular intrahepatic portosystemic shunt creation in the management of portal hypertension. </w:t>
      </w:r>
      <w:r w:rsidRPr="00113F82">
        <w:rPr>
          <w:rFonts w:ascii="Book Antiqua" w:hAnsi="Book Antiqua"/>
          <w:i/>
          <w:sz w:val="24"/>
          <w:szCs w:val="24"/>
        </w:rPr>
        <w:t>J Vasc Interv Radiol</w:t>
      </w:r>
      <w:r w:rsidRPr="00113F82">
        <w:rPr>
          <w:rFonts w:ascii="Book Antiqua" w:hAnsi="Book Antiqua"/>
          <w:sz w:val="24"/>
          <w:szCs w:val="24"/>
        </w:rPr>
        <w:t xml:space="preserve"> 2005; </w:t>
      </w:r>
      <w:r w:rsidRPr="00113F82">
        <w:rPr>
          <w:rFonts w:ascii="Book Antiqua" w:hAnsi="Book Antiqua"/>
          <w:b/>
          <w:sz w:val="24"/>
          <w:szCs w:val="24"/>
        </w:rPr>
        <w:t>16</w:t>
      </w:r>
      <w:r w:rsidRPr="00113F82">
        <w:rPr>
          <w:rFonts w:ascii="Book Antiqua" w:hAnsi="Book Antiqua"/>
          <w:sz w:val="24"/>
          <w:szCs w:val="24"/>
        </w:rPr>
        <w:t>: 615-629 [PMID: 15872315 DOI: 10.1097/01.RVI.0000157297.91510.21]</w:t>
      </w:r>
    </w:p>
    <w:p w14:paraId="6799E848" w14:textId="77777777" w:rsidR="006E0BA3" w:rsidRPr="00113F82" w:rsidRDefault="006E0BA3" w:rsidP="006E0BA3">
      <w:pPr>
        <w:spacing w:line="360" w:lineRule="auto"/>
        <w:jc w:val="both"/>
        <w:rPr>
          <w:rFonts w:ascii="Book Antiqua" w:hAnsi="Book Antiqua"/>
          <w:sz w:val="24"/>
          <w:szCs w:val="24"/>
        </w:rPr>
      </w:pPr>
      <w:r w:rsidRPr="00113F82">
        <w:rPr>
          <w:rFonts w:ascii="Book Antiqua" w:hAnsi="Book Antiqua"/>
          <w:sz w:val="24"/>
          <w:szCs w:val="24"/>
        </w:rPr>
        <w:t xml:space="preserve">21 </w:t>
      </w:r>
      <w:r w:rsidRPr="00113F82">
        <w:rPr>
          <w:rFonts w:ascii="Book Antiqua" w:hAnsi="Book Antiqua"/>
          <w:b/>
          <w:sz w:val="24"/>
          <w:szCs w:val="24"/>
        </w:rPr>
        <w:t>Bettinger D</w:t>
      </w:r>
      <w:r w:rsidRPr="00113F82">
        <w:rPr>
          <w:rFonts w:ascii="Book Antiqua" w:hAnsi="Book Antiqua"/>
          <w:sz w:val="24"/>
          <w:szCs w:val="24"/>
        </w:rPr>
        <w:t xml:space="preserve">, Knüppel E, Euringer W, Spangenberg HC, Rössle M, Thimme R, Schultheiß M. Efficacy and safety of transjugular intrahepatic portosystemic shunt (TIPSS) in 40 patients with hepatocellular carcinoma. </w:t>
      </w:r>
      <w:r w:rsidRPr="00113F82">
        <w:rPr>
          <w:rFonts w:ascii="Book Antiqua" w:hAnsi="Book Antiqua"/>
          <w:i/>
          <w:sz w:val="24"/>
          <w:szCs w:val="24"/>
        </w:rPr>
        <w:t>Aliment Pharmacol Ther</w:t>
      </w:r>
      <w:r w:rsidRPr="00113F82">
        <w:rPr>
          <w:rFonts w:ascii="Book Antiqua" w:hAnsi="Book Antiqua"/>
          <w:sz w:val="24"/>
          <w:szCs w:val="24"/>
        </w:rPr>
        <w:t xml:space="preserve"> 2015; </w:t>
      </w:r>
      <w:r w:rsidRPr="00113F82">
        <w:rPr>
          <w:rFonts w:ascii="Book Antiqua" w:hAnsi="Book Antiqua"/>
          <w:b/>
          <w:sz w:val="24"/>
          <w:szCs w:val="24"/>
        </w:rPr>
        <w:t>41</w:t>
      </w:r>
      <w:r w:rsidRPr="00113F82">
        <w:rPr>
          <w:rFonts w:ascii="Book Antiqua" w:hAnsi="Book Antiqua"/>
          <w:sz w:val="24"/>
          <w:szCs w:val="24"/>
        </w:rPr>
        <w:t>: 126-136 [PMID: 25329493 DOI: 10.1111/apt.12994]</w:t>
      </w:r>
    </w:p>
    <w:p w14:paraId="167104A6" w14:textId="77777777" w:rsidR="006E0BA3" w:rsidRPr="00113F82" w:rsidRDefault="006E0BA3" w:rsidP="006E0BA3">
      <w:pPr>
        <w:spacing w:line="360" w:lineRule="auto"/>
        <w:jc w:val="both"/>
        <w:rPr>
          <w:rFonts w:ascii="Book Antiqua" w:hAnsi="Book Antiqua"/>
          <w:sz w:val="24"/>
          <w:szCs w:val="24"/>
        </w:rPr>
      </w:pPr>
      <w:r w:rsidRPr="00113F82">
        <w:rPr>
          <w:rFonts w:ascii="Book Antiqua" w:hAnsi="Book Antiqua"/>
          <w:sz w:val="24"/>
          <w:szCs w:val="24"/>
        </w:rPr>
        <w:t xml:space="preserve">22 </w:t>
      </w:r>
      <w:r w:rsidRPr="00113F82">
        <w:rPr>
          <w:rFonts w:ascii="Book Antiqua" w:hAnsi="Book Antiqua"/>
          <w:b/>
          <w:sz w:val="24"/>
          <w:szCs w:val="24"/>
        </w:rPr>
        <w:t>Zhang ZH</w:t>
      </w:r>
      <w:r w:rsidRPr="00113F82">
        <w:rPr>
          <w:rFonts w:ascii="Book Antiqua" w:hAnsi="Book Antiqua"/>
          <w:sz w:val="24"/>
          <w:szCs w:val="24"/>
        </w:rPr>
        <w:t xml:space="preserve">, Liu QX, Zhang W, Ma JQ, Wang JH, Luo JJ, Liu LX, Yan ZP. Combined endovascular brachytherapy, sorafenib, and transarterial </w:t>
      </w:r>
      <w:r w:rsidRPr="00113F82">
        <w:rPr>
          <w:rFonts w:ascii="Book Antiqua" w:hAnsi="Book Antiqua"/>
          <w:sz w:val="24"/>
          <w:szCs w:val="24"/>
        </w:rPr>
        <w:lastRenderedPageBreak/>
        <w:t xml:space="preserve">chemobolization therapy for hepatocellular carcinoma patients with portal vein tumor thrombus. </w:t>
      </w:r>
      <w:r w:rsidRPr="00113F82">
        <w:rPr>
          <w:rFonts w:ascii="Book Antiqua" w:hAnsi="Book Antiqua"/>
          <w:i/>
          <w:sz w:val="24"/>
          <w:szCs w:val="24"/>
        </w:rPr>
        <w:t>World J Gastroenterol</w:t>
      </w:r>
      <w:r w:rsidRPr="00113F82">
        <w:rPr>
          <w:rFonts w:ascii="Book Antiqua" w:hAnsi="Book Antiqua"/>
          <w:sz w:val="24"/>
          <w:szCs w:val="24"/>
        </w:rPr>
        <w:t xml:space="preserve"> 2017; </w:t>
      </w:r>
      <w:r w:rsidRPr="00113F82">
        <w:rPr>
          <w:rFonts w:ascii="Book Antiqua" w:hAnsi="Book Antiqua"/>
          <w:b/>
          <w:sz w:val="24"/>
          <w:szCs w:val="24"/>
        </w:rPr>
        <w:t>23</w:t>
      </w:r>
      <w:r w:rsidRPr="00113F82">
        <w:rPr>
          <w:rFonts w:ascii="Book Antiqua" w:hAnsi="Book Antiqua"/>
          <w:sz w:val="24"/>
          <w:szCs w:val="24"/>
        </w:rPr>
        <w:t>: 7735-7745 [PMID: 29209114 DOI: 10.3748/wjg.v23.i43.7735]</w:t>
      </w:r>
    </w:p>
    <w:p w14:paraId="08CC1CC4" w14:textId="77777777" w:rsidR="006E0BA3" w:rsidRPr="00113F82" w:rsidRDefault="006E0BA3" w:rsidP="006E0BA3">
      <w:pPr>
        <w:spacing w:line="360" w:lineRule="auto"/>
        <w:jc w:val="both"/>
        <w:rPr>
          <w:rFonts w:ascii="Book Antiqua" w:hAnsi="Book Antiqua"/>
          <w:sz w:val="24"/>
          <w:szCs w:val="24"/>
        </w:rPr>
      </w:pPr>
      <w:r w:rsidRPr="00113F82">
        <w:rPr>
          <w:rFonts w:ascii="Book Antiqua" w:hAnsi="Book Antiqua"/>
          <w:sz w:val="24"/>
          <w:szCs w:val="24"/>
        </w:rPr>
        <w:t xml:space="preserve">23 </w:t>
      </w:r>
      <w:r w:rsidRPr="00113F82">
        <w:rPr>
          <w:rFonts w:ascii="Book Antiqua" w:hAnsi="Book Antiqua"/>
          <w:b/>
          <w:sz w:val="24"/>
          <w:szCs w:val="24"/>
        </w:rPr>
        <w:t>Wu YF</w:t>
      </w:r>
      <w:r w:rsidRPr="00113F82">
        <w:rPr>
          <w:rFonts w:ascii="Book Antiqua" w:hAnsi="Book Antiqua"/>
          <w:sz w:val="24"/>
          <w:szCs w:val="24"/>
        </w:rPr>
        <w:t xml:space="preserve">, Wang T, Yue ZD, Zhao HW, Wang L, Fan ZH, He FL, Liu FQ. Stents combined with iodine-125 implantation to treat main portal vein tumor thrombus. </w:t>
      </w:r>
      <w:r w:rsidRPr="00113F82">
        <w:rPr>
          <w:rFonts w:ascii="Book Antiqua" w:hAnsi="Book Antiqua"/>
          <w:i/>
          <w:sz w:val="24"/>
          <w:szCs w:val="24"/>
        </w:rPr>
        <w:t>World J Gastrointest Oncol</w:t>
      </w:r>
      <w:r w:rsidRPr="00113F82">
        <w:rPr>
          <w:rFonts w:ascii="Book Antiqua" w:hAnsi="Book Antiqua"/>
          <w:sz w:val="24"/>
          <w:szCs w:val="24"/>
        </w:rPr>
        <w:t xml:space="preserve"> 2018; </w:t>
      </w:r>
      <w:r w:rsidRPr="00113F82">
        <w:rPr>
          <w:rFonts w:ascii="Book Antiqua" w:hAnsi="Book Antiqua"/>
          <w:b/>
          <w:sz w:val="24"/>
          <w:szCs w:val="24"/>
        </w:rPr>
        <w:t>10</w:t>
      </w:r>
      <w:r w:rsidRPr="00113F82">
        <w:rPr>
          <w:rFonts w:ascii="Book Antiqua" w:hAnsi="Book Antiqua"/>
          <w:sz w:val="24"/>
          <w:szCs w:val="24"/>
        </w:rPr>
        <w:t>: 496-504 [PMID: 30595803 DOI: 10.4251/wjgo.v10.i12.496]</w:t>
      </w:r>
    </w:p>
    <w:p w14:paraId="1978311F" w14:textId="77777777" w:rsidR="006E0BA3" w:rsidRPr="00113F82" w:rsidRDefault="006E0BA3" w:rsidP="006E0BA3">
      <w:pPr>
        <w:spacing w:line="360" w:lineRule="auto"/>
        <w:jc w:val="both"/>
        <w:rPr>
          <w:rFonts w:ascii="Book Antiqua" w:hAnsi="Book Antiqua"/>
          <w:sz w:val="24"/>
          <w:szCs w:val="24"/>
        </w:rPr>
      </w:pPr>
      <w:r w:rsidRPr="00113F82">
        <w:rPr>
          <w:rFonts w:ascii="Book Antiqua" w:hAnsi="Book Antiqua"/>
          <w:sz w:val="24"/>
          <w:szCs w:val="24"/>
        </w:rPr>
        <w:t xml:space="preserve">24 </w:t>
      </w:r>
      <w:r w:rsidRPr="00113F82">
        <w:rPr>
          <w:rFonts w:ascii="Book Antiqua" w:hAnsi="Book Antiqua"/>
          <w:b/>
          <w:sz w:val="24"/>
          <w:szCs w:val="24"/>
        </w:rPr>
        <w:t>Zhang ZH</w:t>
      </w:r>
      <w:r w:rsidRPr="00113F82">
        <w:rPr>
          <w:rFonts w:ascii="Book Antiqua" w:hAnsi="Book Antiqua"/>
          <w:sz w:val="24"/>
          <w:szCs w:val="24"/>
        </w:rPr>
        <w:t xml:space="preserve">, Zhang W, Gu JY, Liu QX, Ma JQ, Liu LX, Wang JH, Luo JJ, Yan ZP. Treatment of Hepatocellular Carcinoma with Tumor Thrombus with the Use of Iodine-125 Seed Strand Implantation and Transarterial Chemoembolization: A Propensity-Score Analysis. </w:t>
      </w:r>
      <w:r w:rsidRPr="00113F82">
        <w:rPr>
          <w:rFonts w:ascii="Book Antiqua" w:hAnsi="Book Antiqua"/>
          <w:i/>
          <w:sz w:val="24"/>
          <w:szCs w:val="24"/>
        </w:rPr>
        <w:t>J Vasc Interv Radiol</w:t>
      </w:r>
      <w:r w:rsidRPr="00113F82">
        <w:rPr>
          <w:rFonts w:ascii="Book Antiqua" w:hAnsi="Book Antiqua"/>
          <w:sz w:val="24"/>
          <w:szCs w:val="24"/>
        </w:rPr>
        <w:t xml:space="preserve"> 2018; </w:t>
      </w:r>
      <w:r w:rsidRPr="00113F82">
        <w:rPr>
          <w:rFonts w:ascii="Book Antiqua" w:hAnsi="Book Antiqua"/>
          <w:b/>
          <w:sz w:val="24"/>
          <w:szCs w:val="24"/>
        </w:rPr>
        <w:t>29</w:t>
      </w:r>
      <w:r w:rsidRPr="00113F82">
        <w:rPr>
          <w:rFonts w:ascii="Book Antiqua" w:hAnsi="Book Antiqua"/>
          <w:sz w:val="24"/>
          <w:szCs w:val="24"/>
        </w:rPr>
        <w:t>: 1085-1093 [PMID: 29754851 DOI: 10.1016/j.jvir.2018.02.013]</w:t>
      </w:r>
    </w:p>
    <w:p w14:paraId="3301224B" w14:textId="77777777" w:rsidR="006E0BA3" w:rsidRPr="00113F82" w:rsidRDefault="006E0BA3" w:rsidP="006E0BA3">
      <w:pPr>
        <w:spacing w:line="360" w:lineRule="auto"/>
        <w:jc w:val="both"/>
        <w:rPr>
          <w:rFonts w:ascii="Book Antiqua" w:hAnsi="Book Antiqua"/>
          <w:sz w:val="24"/>
          <w:szCs w:val="24"/>
        </w:rPr>
      </w:pPr>
      <w:r w:rsidRPr="00113F82">
        <w:rPr>
          <w:rFonts w:ascii="Book Antiqua" w:hAnsi="Book Antiqua"/>
          <w:sz w:val="24"/>
          <w:szCs w:val="24"/>
        </w:rPr>
        <w:t xml:space="preserve">25 </w:t>
      </w:r>
      <w:r w:rsidRPr="00113F82">
        <w:rPr>
          <w:rFonts w:ascii="Book Antiqua" w:hAnsi="Book Antiqua"/>
          <w:b/>
          <w:sz w:val="24"/>
          <w:szCs w:val="24"/>
        </w:rPr>
        <w:t>Li XL</w:t>
      </w:r>
      <w:r w:rsidRPr="00113F82">
        <w:rPr>
          <w:rFonts w:ascii="Book Antiqua" w:hAnsi="Book Antiqua"/>
          <w:sz w:val="24"/>
          <w:szCs w:val="24"/>
        </w:rPr>
        <w:t xml:space="preserve">, Guo WX, Hong XD, Yang L, Wang K, Shi J, Li N, Wu MC, Cheng SQ. Efficacy of the treatment of transarterial chemoembolization combined with radiotherapy for hepatocellular carcinoma with portal vein tumor thrombus: A propensity score analysis. </w:t>
      </w:r>
      <w:r w:rsidRPr="00113F82">
        <w:rPr>
          <w:rFonts w:ascii="Book Antiqua" w:hAnsi="Book Antiqua"/>
          <w:i/>
          <w:sz w:val="24"/>
          <w:szCs w:val="24"/>
        </w:rPr>
        <w:t>Hepatol Res</w:t>
      </w:r>
      <w:r w:rsidRPr="00113F82">
        <w:rPr>
          <w:rFonts w:ascii="Book Antiqua" w:hAnsi="Book Antiqua"/>
          <w:sz w:val="24"/>
          <w:szCs w:val="24"/>
        </w:rPr>
        <w:t xml:space="preserve"> 2016; </w:t>
      </w:r>
      <w:r w:rsidRPr="00113F82">
        <w:rPr>
          <w:rFonts w:ascii="Book Antiqua" w:hAnsi="Book Antiqua"/>
          <w:b/>
          <w:sz w:val="24"/>
          <w:szCs w:val="24"/>
        </w:rPr>
        <w:t>46</w:t>
      </w:r>
      <w:r w:rsidRPr="00113F82">
        <w:rPr>
          <w:rFonts w:ascii="Book Antiqua" w:hAnsi="Book Antiqua"/>
          <w:sz w:val="24"/>
          <w:szCs w:val="24"/>
        </w:rPr>
        <w:t>: 1088-1098 [PMID: 26783741 DOI: 10.1111/hepr.12657]</w:t>
      </w:r>
    </w:p>
    <w:p w14:paraId="4D8D5B48" w14:textId="77777777" w:rsidR="006E0BA3" w:rsidRPr="00113F82" w:rsidRDefault="006E0BA3" w:rsidP="006E0BA3">
      <w:pPr>
        <w:spacing w:line="360" w:lineRule="auto"/>
        <w:jc w:val="both"/>
        <w:rPr>
          <w:rFonts w:ascii="Book Antiqua" w:hAnsi="Book Antiqua"/>
          <w:sz w:val="24"/>
          <w:szCs w:val="24"/>
        </w:rPr>
      </w:pPr>
      <w:r w:rsidRPr="00113F82">
        <w:rPr>
          <w:rFonts w:ascii="Book Antiqua" w:hAnsi="Book Antiqua"/>
          <w:sz w:val="24"/>
          <w:szCs w:val="24"/>
        </w:rPr>
        <w:t xml:space="preserve">26 </w:t>
      </w:r>
      <w:r w:rsidRPr="00113F82">
        <w:rPr>
          <w:rFonts w:ascii="Book Antiqua" w:hAnsi="Book Antiqua"/>
          <w:b/>
          <w:sz w:val="24"/>
          <w:szCs w:val="24"/>
        </w:rPr>
        <w:t>Im JH</w:t>
      </w:r>
      <w:r w:rsidRPr="00113F82">
        <w:rPr>
          <w:rFonts w:ascii="Book Antiqua" w:hAnsi="Book Antiqua"/>
          <w:sz w:val="24"/>
          <w:szCs w:val="24"/>
        </w:rPr>
        <w:t xml:space="preserve">, Yoon SM, Park HC, Kim JH, Yu JI, Kim TH, Kim JW, Nam TK, Kim K, Jang HS, Kim JH, Kim MS, Yoon WS, Jung I, Seong J. Radiotherapeutic strategies for hepatocellular carcinoma with portal vein tumour thrombosis in a hepatitis B endemic area. </w:t>
      </w:r>
      <w:r w:rsidRPr="00113F82">
        <w:rPr>
          <w:rFonts w:ascii="Book Antiqua" w:hAnsi="Book Antiqua"/>
          <w:i/>
          <w:sz w:val="24"/>
          <w:szCs w:val="24"/>
        </w:rPr>
        <w:t>Liver Int</w:t>
      </w:r>
      <w:r w:rsidRPr="00113F82">
        <w:rPr>
          <w:rFonts w:ascii="Book Antiqua" w:hAnsi="Book Antiqua"/>
          <w:sz w:val="24"/>
          <w:szCs w:val="24"/>
        </w:rPr>
        <w:t xml:space="preserve"> 2017; </w:t>
      </w:r>
      <w:r w:rsidRPr="00113F82">
        <w:rPr>
          <w:rFonts w:ascii="Book Antiqua" w:hAnsi="Book Antiqua"/>
          <w:b/>
          <w:sz w:val="24"/>
          <w:szCs w:val="24"/>
        </w:rPr>
        <w:t>37</w:t>
      </w:r>
      <w:r w:rsidRPr="00113F82">
        <w:rPr>
          <w:rFonts w:ascii="Book Antiqua" w:hAnsi="Book Antiqua"/>
          <w:sz w:val="24"/>
          <w:szCs w:val="24"/>
        </w:rPr>
        <w:t>: 90-100 [PMID: 27317941 DOI: 10.1111/liv.13191]</w:t>
      </w:r>
    </w:p>
    <w:p w14:paraId="42F3B04C" w14:textId="77777777" w:rsidR="006E0BA3" w:rsidRPr="00113F82" w:rsidRDefault="006E0BA3" w:rsidP="006E0BA3">
      <w:pPr>
        <w:spacing w:line="360" w:lineRule="auto"/>
        <w:jc w:val="both"/>
        <w:rPr>
          <w:rFonts w:ascii="Book Antiqua" w:hAnsi="Book Antiqua"/>
          <w:sz w:val="24"/>
          <w:szCs w:val="24"/>
        </w:rPr>
      </w:pPr>
      <w:r w:rsidRPr="00113F82">
        <w:rPr>
          <w:rFonts w:ascii="Book Antiqua" w:hAnsi="Book Antiqua"/>
          <w:sz w:val="24"/>
          <w:szCs w:val="24"/>
        </w:rPr>
        <w:t xml:space="preserve">27 </w:t>
      </w:r>
      <w:r w:rsidRPr="00113F82">
        <w:rPr>
          <w:rFonts w:ascii="Book Antiqua" w:hAnsi="Book Antiqua"/>
          <w:b/>
          <w:sz w:val="24"/>
          <w:szCs w:val="24"/>
        </w:rPr>
        <w:t>Chuan-Xing L</w:t>
      </w:r>
      <w:r w:rsidRPr="00113F82">
        <w:rPr>
          <w:rFonts w:ascii="Book Antiqua" w:hAnsi="Book Antiqua"/>
          <w:sz w:val="24"/>
          <w:szCs w:val="24"/>
        </w:rPr>
        <w:t xml:space="preserve">, Xu H, Bao-Shan H, Yong L, Pei-Jian S, Xian-Yi Y, Xiao-Ning L, Li-Gong L. Efficacy of therapy for hepatocellular carcinoma with portal vein tumor thrombus: chemoembolization and stent combined with iodine-125 seed. </w:t>
      </w:r>
      <w:r w:rsidRPr="00113F82">
        <w:rPr>
          <w:rFonts w:ascii="Book Antiqua" w:hAnsi="Book Antiqua"/>
          <w:i/>
          <w:sz w:val="24"/>
          <w:szCs w:val="24"/>
        </w:rPr>
        <w:t>Cancer Biol Ther</w:t>
      </w:r>
      <w:r w:rsidRPr="00113F82">
        <w:rPr>
          <w:rFonts w:ascii="Book Antiqua" w:hAnsi="Book Antiqua"/>
          <w:sz w:val="24"/>
          <w:szCs w:val="24"/>
        </w:rPr>
        <w:t xml:space="preserve"> 2011; </w:t>
      </w:r>
      <w:r w:rsidRPr="00113F82">
        <w:rPr>
          <w:rFonts w:ascii="Book Antiqua" w:hAnsi="Book Antiqua"/>
          <w:b/>
          <w:sz w:val="24"/>
          <w:szCs w:val="24"/>
        </w:rPr>
        <w:t>12</w:t>
      </w:r>
      <w:r w:rsidRPr="00113F82">
        <w:rPr>
          <w:rFonts w:ascii="Book Antiqua" w:hAnsi="Book Antiqua"/>
          <w:sz w:val="24"/>
          <w:szCs w:val="24"/>
        </w:rPr>
        <w:t>: 865-871 [PMID: 22037354 DOI: 10.4161/cbt.12.10.17676]</w:t>
      </w:r>
    </w:p>
    <w:p w14:paraId="4C4DD398" w14:textId="77777777" w:rsidR="000124B2" w:rsidRPr="00113F82" w:rsidRDefault="000124B2" w:rsidP="006E0BA3">
      <w:pPr>
        <w:pStyle w:val="1"/>
        <w:spacing w:line="360" w:lineRule="auto"/>
        <w:ind w:left="0"/>
        <w:jc w:val="both"/>
        <w:rPr>
          <w:rFonts w:eastAsiaTheme="minorEastAsia"/>
          <w:b w:val="0"/>
          <w:lang w:eastAsia="zh-CN"/>
        </w:rPr>
      </w:pPr>
    </w:p>
    <w:p w14:paraId="59FBF9E0" w14:textId="6798DBEC" w:rsidR="000124B2" w:rsidRPr="00113F82" w:rsidRDefault="000124B2" w:rsidP="00113F82">
      <w:pPr>
        <w:pStyle w:val="ae"/>
        <w:wordWrap w:val="0"/>
        <w:spacing w:line="360" w:lineRule="auto"/>
        <w:jc w:val="right"/>
        <w:rPr>
          <w:rFonts w:ascii="Book Antiqua" w:hAnsi="Book Antiqua"/>
          <w:sz w:val="24"/>
          <w:szCs w:val="24"/>
        </w:rPr>
      </w:pPr>
      <w:r w:rsidRPr="00113F82">
        <w:rPr>
          <w:rFonts w:ascii="Book Antiqua" w:hAnsi="Book Antiqua"/>
          <w:b/>
          <w:sz w:val="24"/>
          <w:szCs w:val="24"/>
        </w:rPr>
        <w:t xml:space="preserve">P-Reviewer: </w:t>
      </w:r>
      <w:r w:rsidR="00A03004" w:rsidRPr="00113F82">
        <w:rPr>
          <w:rFonts w:ascii="Book Antiqua" w:hAnsi="Book Antiqua"/>
          <w:color w:val="000000"/>
          <w:sz w:val="24"/>
          <w:szCs w:val="24"/>
        </w:rPr>
        <w:t xml:space="preserve">Ashley S, Klaiber U, Wang XS </w:t>
      </w:r>
      <w:r w:rsidRPr="00113F82">
        <w:rPr>
          <w:rFonts w:ascii="Book Antiqua" w:hAnsi="Book Antiqua"/>
          <w:b/>
          <w:sz w:val="24"/>
          <w:szCs w:val="24"/>
        </w:rPr>
        <w:t xml:space="preserve">S-Editor: </w:t>
      </w:r>
      <w:r w:rsidRPr="00113F82">
        <w:rPr>
          <w:rFonts w:ascii="Book Antiqua" w:hAnsi="Book Antiqua"/>
          <w:sz w:val="24"/>
          <w:szCs w:val="24"/>
        </w:rPr>
        <w:t>Ji FF</w:t>
      </w:r>
      <w:r w:rsidRPr="00113F82">
        <w:rPr>
          <w:rFonts w:ascii="Book Antiqua" w:hAnsi="Book Antiqua"/>
          <w:b/>
          <w:sz w:val="24"/>
          <w:szCs w:val="24"/>
        </w:rPr>
        <w:t xml:space="preserve"> L-Editor: </w:t>
      </w:r>
      <w:r w:rsidR="00113F82">
        <w:rPr>
          <w:rFonts w:ascii="Book Antiqua" w:hAnsi="Book Antiqua" w:hint="eastAsia"/>
          <w:sz w:val="24"/>
          <w:szCs w:val="24"/>
        </w:rPr>
        <w:t xml:space="preserve">A </w:t>
      </w:r>
      <w:r w:rsidRPr="00113F82">
        <w:rPr>
          <w:rFonts w:ascii="Book Antiqua" w:hAnsi="Book Antiqua"/>
          <w:b/>
          <w:sz w:val="24"/>
          <w:szCs w:val="24"/>
        </w:rPr>
        <w:t xml:space="preserve">E-Editor: </w:t>
      </w:r>
      <w:r w:rsidR="00113F82">
        <w:rPr>
          <w:rFonts w:ascii="Book Antiqua" w:hAnsi="Book Antiqua" w:hint="eastAsia"/>
          <w:sz w:val="24"/>
          <w:szCs w:val="24"/>
        </w:rPr>
        <w:t>Wu YXJ</w:t>
      </w:r>
      <w:bookmarkStart w:id="26" w:name="_GoBack"/>
      <w:bookmarkEnd w:id="26"/>
    </w:p>
    <w:p w14:paraId="32ADF6B2" w14:textId="77777777" w:rsidR="000124B2" w:rsidRPr="00113F82" w:rsidRDefault="000124B2" w:rsidP="006E0BA3">
      <w:pPr>
        <w:pStyle w:val="ae"/>
        <w:spacing w:line="360" w:lineRule="auto"/>
        <w:rPr>
          <w:rFonts w:ascii="Book Antiqua" w:hAnsi="Book Antiqua"/>
          <w:b/>
          <w:sz w:val="24"/>
          <w:szCs w:val="24"/>
        </w:rPr>
      </w:pPr>
      <w:r w:rsidRPr="00113F82">
        <w:rPr>
          <w:rFonts w:ascii="Book Antiqua" w:hAnsi="Book Antiqua"/>
          <w:b/>
          <w:sz w:val="24"/>
          <w:szCs w:val="24"/>
        </w:rPr>
        <w:t xml:space="preserve"> </w:t>
      </w:r>
    </w:p>
    <w:p w14:paraId="56DDC8DA" w14:textId="2F820AF4" w:rsidR="000124B2" w:rsidRPr="00113F82" w:rsidRDefault="000124B2" w:rsidP="006E0BA3">
      <w:pPr>
        <w:widowControl/>
        <w:snapToGrid w:val="0"/>
        <w:spacing w:line="360" w:lineRule="auto"/>
        <w:jc w:val="both"/>
        <w:rPr>
          <w:rFonts w:ascii="Book Antiqua" w:eastAsia="宋体" w:hAnsi="Book Antiqua" w:cs="Helvetica"/>
          <w:b/>
          <w:sz w:val="24"/>
          <w:szCs w:val="24"/>
        </w:rPr>
      </w:pPr>
      <w:r w:rsidRPr="00113F82">
        <w:rPr>
          <w:rFonts w:ascii="Book Antiqua" w:eastAsia="宋体" w:hAnsi="Book Antiqua" w:cs="Helvetica"/>
          <w:b/>
          <w:sz w:val="24"/>
          <w:szCs w:val="24"/>
        </w:rPr>
        <w:t xml:space="preserve">Specialty type: </w:t>
      </w:r>
      <w:r w:rsidR="00A03004" w:rsidRPr="00113F82">
        <w:rPr>
          <w:rFonts w:ascii="Book Antiqua" w:eastAsia="宋体" w:hAnsi="Book Antiqua" w:cs="Helvetica"/>
          <w:sz w:val="24"/>
          <w:szCs w:val="24"/>
        </w:rPr>
        <w:t>Oncology</w:t>
      </w:r>
    </w:p>
    <w:p w14:paraId="156F4A42" w14:textId="73AC86ED" w:rsidR="000124B2" w:rsidRPr="00113F82" w:rsidRDefault="000124B2" w:rsidP="006E0BA3">
      <w:pPr>
        <w:widowControl/>
        <w:snapToGrid w:val="0"/>
        <w:spacing w:line="360" w:lineRule="auto"/>
        <w:jc w:val="both"/>
        <w:rPr>
          <w:rFonts w:ascii="Book Antiqua" w:eastAsia="宋体" w:hAnsi="Book Antiqua" w:cs="Helvetica"/>
          <w:b/>
          <w:sz w:val="24"/>
          <w:szCs w:val="24"/>
        </w:rPr>
      </w:pPr>
      <w:r w:rsidRPr="00113F82">
        <w:rPr>
          <w:rFonts w:ascii="Book Antiqua" w:eastAsia="宋体" w:hAnsi="Book Antiqua" w:cs="Helvetica"/>
          <w:b/>
          <w:sz w:val="24"/>
          <w:szCs w:val="24"/>
        </w:rPr>
        <w:t xml:space="preserve">Country of origin: </w:t>
      </w:r>
      <w:r w:rsidR="00A03004" w:rsidRPr="00113F82">
        <w:rPr>
          <w:rFonts w:ascii="Book Antiqua" w:eastAsia="宋体" w:hAnsi="Book Antiqua"/>
          <w:sz w:val="24"/>
          <w:szCs w:val="24"/>
        </w:rPr>
        <w:t>China</w:t>
      </w:r>
    </w:p>
    <w:p w14:paraId="69809181" w14:textId="77777777" w:rsidR="000124B2" w:rsidRPr="00113F82" w:rsidRDefault="000124B2" w:rsidP="006E0BA3">
      <w:pPr>
        <w:widowControl/>
        <w:snapToGrid w:val="0"/>
        <w:spacing w:line="360" w:lineRule="auto"/>
        <w:jc w:val="both"/>
        <w:rPr>
          <w:rFonts w:ascii="Book Antiqua" w:eastAsia="宋体" w:hAnsi="Book Antiqua" w:cs="Helvetica"/>
          <w:b/>
          <w:sz w:val="24"/>
          <w:szCs w:val="24"/>
        </w:rPr>
      </w:pPr>
      <w:r w:rsidRPr="00113F82">
        <w:rPr>
          <w:rFonts w:ascii="Book Antiqua" w:eastAsia="宋体" w:hAnsi="Book Antiqua" w:cs="Helvetica"/>
          <w:b/>
          <w:sz w:val="24"/>
          <w:szCs w:val="24"/>
        </w:rPr>
        <w:lastRenderedPageBreak/>
        <w:t>Peer-review report classification</w:t>
      </w:r>
    </w:p>
    <w:p w14:paraId="045ADF4E" w14:textId="5649D89E" w:rsidR="000124B2" w:rsidRPr="00113F82" w:rsidRDefault="000124B2" w:rsidP="006E0BA3">
      <w:pPr>
        <w:widowControl/>
        <w:snapToGrid w:val="0"/>
        <w:spacing w:line="360" w:lineRule="auto"/>
        <w:jc w:val="both"/>
        <w:rPr>
          <w:rFonts w:ascii="Book Antiqua" w:eastAsia="宋体" w:hAnsi="Book Antiqua" w:cs="Helvetica"/>
          <w:sz w:val="24"/>
          <w:szCs w:val="24"/>
          <w:lang w:eastAsia="zh-CN"/>
        </w:rPr>
      </w:pPr>
      <w:r w:rsidRPr="00113F82">
        <w:rPr>
          <w:rFonts w:ascii="Book Antiqua" w:eastAsia="宋体" w:hAnsi="Book Antiqua" w:cs="Helvetica"/>
          <w:sz w:val="24"/>
          <w:szCs w:val="24"/>
        </w:rPr>
        <w:t xml:space="preserve">Grade A (Excellent): </w:t>
      </w:r>
      <w:r w:rsidR="00A03004" w:rsidRPr="00113F82">
        <w:rPr>
          <w:rFonts w:ascii="Book Antiqua" w:eastAsia="宋体" w:hAnsi="Book Antiqua" w:cs="Helvetica"/>
          <w:sz w:val="24"/>
          <w:szCs w:val="24"/>
          <w:lang w:eastAsia="zh-CN"/>
        </w:rPr>
        <w:t>0</w:t>
      </w:r>
    </w:p>
    <w:p w14:paraId="2D3553DB" w14:textId="6A08150A" w:rsidR="000124B2" w:rsidRPr="00113F82" w:rsidRDefault="000124B2" w:rsidP="006E0BA3">
      <w:pPr>
        <w:widowControl/>
        <w:snapToGrid w:val="0"/>
        <w:spacing w:line="360" w:lineRule="auto"/>
        <w:jc w:val="both"/>
        <w:rPr>
          <w:rFonts w:ascii="Book Antiqua" w:eastAsia="宋体" w:hAnsi="Book Antiqua" w:cs="Helvetica"/>
          <w:sz w:val="24"/>
          <w:szCs w:val="24"/>
          <w:lang w:eastAsia="zh-CN"/>
        </w:rPr>
      </w:pPr>
      <w:r w:rsidRPr="00113F82">
        <w:rPr>
          <w:rFonts w:ascii="Book Antiqua" w:eastAsia="宋体" w:hAnsi="Book Antiqua" w:cs="Helvetica"/>
          <w:sz w:val="24"/>
          <w:szCs w:val="24"/>
        </w:rPr>
        <w:t>Grade B (Very good): B</w:t>
      </w:r>
      <w:r w:rsidR="00A03004" w:rsidRPr="00113F82">
        <w:rPr>
          <w:rFonts w:ascii="Book Antiqua" w:eastAsia="宋体" w:hAnsi="Book Antiqua" w:cs="Helvetica"/>
          <w:sz w:val="24"/>
          <w:szCs w:val="24"/>
          <w:lang w:eastAsia="zh-CN"/>
        </w:rPr>
        <w:t>, B</w:t>
      </w:r>
    </w:p>
    <w:p w14:paraId="71DECBF3" w14:textId="77777777" w:rsidR="000124B2" w:rsidRPr="00113F82" w:rsidRDefault="000124B2" w:rsidP="006E0BA3">
      <w:pPr>
        <w:widowControl/>
        <w:snapToGrid w:val="0"/>
        <w:spacing w:line="360" w:lineRule="auto"/>
        <w:jc w:val="both"/>
        <w:rPr>
          <w:rFonts w:ascii="Book Antiqua" w:eastAsia="宋体" w:hAnsi="Book Antiqua" w:cs="Helvetica"/>
          <w:sz w:val="24"/>
          <w:szCs w:val="24"/>
        </w:rPr>
      </w:pPr>
      <w:r w:rsidRPr="00113F82">
        <w:rPr>
          <w:rFonts w:ascii="Book Antiqua" w:eastAsia="宋体" w:hAnsi="Book Antiqua" w:cs="Helvetica"/>
          <w:sz w:val="24"/>
          <w:szCs w:val="24"/>
        </w:rPr>
        <w:t>Grade C (Good): C</w:t>
      </w:r>
    </w:p>
    <w:p w14:paraId="0B432FDA" w14:textId="77777777" w:rsidR="000124B2" w:rsidRPr="00113F82" w:rsidRDefault="000124B2" w:rsidP="006E0BA3">
      <w:pPr>
        <w:widowControl/>
        <w:snapToGrid w:val="0"/>
        <w:spacing w:line="360" w:lineRule="auto"/>
        <w:jc w:val="both"/>
        <w:rPr>
          <w:rFonts w:ascii="Book Antiqua" w:eastAsia="宋体" w:hAnsi="Book Antiqua" w:cs="Helvetica"/>
          <w:sz w:val="24"/>
          <w:szCs w:val="24"/>
        </w:rPr>
      </w:pPr>
      <w:r w:rsidRPr="00113F82">
        <w:rPr>
          <w:rFonts w:ascii="Book Antiqua" w:eastAsia="宋体" w:hAnsi="Book Antiqua" w:cs="Helvetica"/>
          <w:sz w:val="24"/>
          <w:szCs w:val="24"/>
        </w:rPr>
        <w:t xml:space="preserve">Grade D (Fair): 0 </w:t>
      </w:r>
    </w:p>
    <w:p w14:paraId="60BB4B0E" w14:textId="2B8F7A5D" w:rsidR="000124B2" w:rsidRPr="00113F82" w:rsidRDefault="000124B2" w:rsidP="006E0BA3">
      <w:pPr>
        <w:pStyle w:val="1"/>
        <w:spacing w:line="360" w:lineRule="auto"/>
        <w:ind w:left="0"/>
        <w:jc w:val="both"/>
        <w:rPr>
          <w:rFonts w:eastAsiaTheme="minorEastAsia"/>
          <w:b w:val="0"/>
          <w:lang w:eastAsia="zh-CN"/>
        </w:rPr>
      </w:pPr>
      <w:r w:rsidRPr="00113F82">
        <w:rPr>
          <w:rFonts w:eastAsia="宋体" w:cs="Helvetica"/>
          <w:b w:val="0"/>
        </w:rPr>
        <w:t>Grade E (Poor): 0</w:t>
      </w:r>
    </w:p>
    <w:p w14:paraId="79E6DC40" w14:textId="534ACA90" w:rsidR="001314BE" w:rsidRPr="00113F82" w:rsidRDefault="001314BE" w:rsidP="00E107FC">
      <w:pPr>
        <w:spacing w:line="360" w:lineRule="auto"/>
        <w:jc w:val="both"/>
        <w:rPr>
          <w:rFonts w:ascii="Book Antiqua" w:hAnsi="Book Antiqua"/>
          <w:sz w:val="24"/>
          <w:szCs w:val="24"/>
          <w:lang w:eastAsia="zh-CN"/>
        </w:rPr>
        <w:sectPr w:rsidR="001314BE" w:rsidRPr="00113F82">
          <w:footerReference w:type="default" r:id="rId10"/>
          <w:pgSz w:w="11910" w:h="16840"/>
          <w:pgMar w:top="1580" w:right="1580" w:bottom="1280" w:left="1600" w:header="0" w:footer="1084" w:gutter="0"/>
          <w:cols w:space="720"/>
        </w:sectPr>
      </w:pPr>
    </w:p>
    <w:p w14:paraId="33DCD053" w14:textId="77777777" w:rsidR="00A03004" w:rsidRPr="00113F82" w:rsidRDefault="00134EE9" w:rsidP="00E107FC">
      <w:pPr>
        <w:spacing w:line="360" w:lineRule="auto"/>
        <w:jc w:val="both"/>
        <w:rPr>
          <w:rFonts w:ascii="Book Antiqua" w:eastAsia="宋体" w:hAnsi="Book Antiqua" w:cs="Times New Roman"/>
          <w:b/>
          <w:bCs/>
          <w:sz w:val="24"/>
          <w:szCs w:val="24"/>
          <w:lang w:eastAsia="zh-CN"/>
        </w:rPr>
      </w:pPr>
      <w:r w:rsidRPr="00113F82">
        <w:rPr>
          <w:rFonts w:ascii="Book Antiqua" w:hAnsi="Book Antiqua"/>
          <w:noProof/>
          <w:sz w:val="24"/>
          <w:szCs w:val="24"/>
          <w:lang w:eastAsia="zh-CN"/>
        </w:rPr>
        <w:lastRenderedPageBreak/>
        <w:drawing>
          <wp:inline distT="0" distB="0" distL="0" distR="0" wp14:anchorId="63789868" wp14:editId="247BC093">
            <wp:extent cx="3721100" cy="25177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1100" cy="2517775"/>
                    </a:xfrm>
                    <a:prstGeom prst="rect">
                      <a:avLst/>
                    </a:prstGeom>
                    <a:noFill/>
                    <a:ln>
                      <a:noFill/>
                    </a:ln>
                  </pic:spPr>
                </pic:pic>
              </a:graphicData>
            </a:graphic>
          </wp:inline>
        </w:drawing>
      </w:r>
    </w:p>
    <w:p w14:paraId="22DCCECD" w14:textId="50F159B3" w:rsidR="00A03004" w:rsidRPr="00113F82" w:rsidRDefault="00A03004" w:rsidP="00A03004">
      <w:pPr>
        <w:pStyle w:val="a3"/>
        <w:spacing w:line="360" w:lineRule="auto"/>
        <w:ind w:left="0"/>
        <w:jc w:val="both"/>
        <w:rPr>
          <w:rFonts w:eastAsiaTheme="minorEastAsia"/>
          <w:b/>
          <w:lang w:eastAsia="zh-CN"/>
        </w:rPr>
      </w:pPr>
      <w:r w:rsidRPr="00113F82">
        <w:rPr>
          <w:b/>
        </w:rPr>
        <w:t>Fig</w:t>
      </w:r>
      <w:r w:rsidRPr="00113F82">
        <w:rPr>
          <w:rFonts w:eastAsiaTheme="minorEastAsia"/>
          <w:b/>
          <w:lang w:eastAsia="zh-CN"/>
        </w:rPr>
        <w:t>ure</w:t>
      </w:r>
      <w:r w:rsidRPr="00113F82">
        <w:rPr>
          <w:b/>
        </w:rPr>
        <w:t xml:space="preserve"> 1 Study design and flow chart.</w:t>
      </w:r>
    </w:p>
    <w:p w14:paraId="7BBC0D85" w14:textId="02A5347B" w:rsidR="00A03004" w:rsidRPr="00113F82" w:rsidRDefault="00A03004">
      <w:pPr>
        <w:rPr>
          <w:rFonts w:ascii="Book Antiqua" w:hAnsi="Book Antiqua"/>
          <w:b/>
          <w:sz w:val="24"/>
          <w:szCs w:val="24"/>
          <w:lang w:eastAsia="zh-CN"/>
        </w:rPr>
      </w:pPr>
      <w:r w:rsidRPr="00113F82">
        <w:rPr>
          <w:rFonts w:ascii="Book Antiqua" w:hAnsi="Book Antiqua"/>
          <w:b/>
          <w:sz w:val="24"/>
          <w:szCs w:val="24"/>
          <w:lang w:eastAsia="zh-CN"/>
        </w:rPr>
        <w:br w:type="page"/>
      </w:r>
    </w:p>
    <w:p w14:paraId="16DAFA66" w14:textId="77777777" w:rsidR="00134EE9" w:rsidRPr="00113F82" w:rsidRDefault="00134EE9" w:rsidP="00E107FC">
      <w:pPr>
        <w:spacing w:line="360" w:lineRule="auto"/>
        <w:jc w:val="both"/>
        <w:rPr>
          <w:rFonts w:ascii="Book Antiqua" w:hAnsi="Book Antiqua"/>
          <w:noProof/>
          <w:sz w:val="24"/>
          <w:szCs w:val="24"/>
          <w:lang w:eastAsia="zh-CN"/>
        </w:rPr>
      </w:pPr>
    </w:p>
    <w:p w14:paraId="0110FF47" w14:textId="77777777" w:rsidR="00A03004" w:rsidRPr="00113F82" w:rsidRDefault="00134EE9" w:rsidP="00E107FC">
      <w:pPr>
        <w:spacing w:line="360" w:lineRule="auto"/>
        <w:jc w:val="both"/>
        <w:rPr>
          <w:rFonts w:ascii="Book Antiqua" w:eastAsia="宋体" w:hAnsi="Book Antiqua" w:cs="Times New Roman"/>
          <w:b/>
          <w:bCs/>
          <w:sz w:val="24"/>
          <w:szCs w:val="24"/>
          <w:lang w:eastAsia="zh-CN"/>
        </w:rPr>
      </w:pPr>
      <w:r w:rsidRPr="00113F82">
        <w:rPr>
          <w:rFonts w:ascii="Book Antiqua" w:hAnsi="Book Antiqua"/>
          <w:noProof/>
          <w:sz w:val="24"/>
          <w:szCs w:val="24"/>
          <w:lang w:eastAsia="zh-CN"/>
        </w:rPr>
        <w:drawing>
          <wp:inline distT="0" distB="0" distL="0" distR="0" wp14:anchorId="3A97855E" wp14:editId="61E4494E">
            <wp:extent cx="2049876" cy="22163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458" t="28621" r="12611"/>
                    <a:stretch/>
                  </pic:blipFill>
                  <pic:spPr bwMode="auto">
                    <a:xfrm>
                      <a:off x="0" y="0"/>
                      <a:ext cx="2069127" cy="2237174"/>
                    </a:xfrm>
                    <a:prstGeom prst="rect">
                      <a:avLst/>
                    </a:prstGeom>
                    <a:noFill/>
                    <a:ln>
                      <a:noFill/>
                    </a:ln>
                    <a:extLst>
                      <a:ext uri="{53640926-AAD7-44D8-BBD7-CCE9431645EC}">
                        <a14:shadowObscured xmlns:a14="http://schemas.microsoft.com/office/drawing/2010/main"/>
                      </a:ext>
                    </a:extLst>
                  </pic:spPr>
                </pic:pic>
              </a:graphicData>
            </a:graphic>
          </wp:inline>
        </w:drawing>
      </w:r>
      <w:r w:rsidRPr="00113F82">
        <w:rPr>
          <w:rFonts w:ascii="Book Antiqua" w:eastAsia="宋体" w:hAnsi="Book Antiqua" w:cs="Times New Roman"/>
          <w:b/>
          <w:bCs/>
          <w:sz w:val="24"/>
          <w:szCs w:val="24"/>
        </w:rPr>
        <w:t xml:space="preserve"> </w:t>
      </w:r>
      <w:r w:rsidRPr="00113F82">
        <w:rPr>
          <w:rFonts w:ascii="Book Antiqua" w:hAnsi="Book Antiqua"/>
          <w:noProof/>
          <w:sz w:val="24"/>
          <w:szCs w:val="24"/>
          <w:lang w:eastAsia="zh-CN"/>
        </w:rPr>
        <w:drawing>
          <wp:inline distT="0" distB="0" distL="0" distR="0" wp14:anchorId="0DDD0D3B" wp14:editId="74514661">
            <wp:extent cx="1979270" cy="221190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310" t="35617" r="7852"/>
                    <a:stretch/>
                  </pic:blipFill>
                  <pic:spPr bwMode="auto">
                    <a:xfrm>
                      <a:off x="0" y="0"/>
                      <a:ext cx="1986379" cy="2219851"/>
                    </a:xfrm>
                    <a:prstGeom prst="rect">
                      <a:avLst/>
                    </a:prstGeom>
                    <a:noFill/>
                    <a:ln>
                      <a:noFill/>
                    </a:ln>
                    <a:extLst>
                      <a:ext uri="{53640926-AAD7-44D8-BBD7-CCE9431645EC}">
                        <a14:shadowObscured xmlns:a14="http://schemas.microsoft.com/office/drawing/2010/main"/>
                      </a:ext>
                    </a:extLst>
                  </pic:spPr>
                </pic:pic>
              </a:graphicData>
            </a:graphic>
          </wp:inline>
        </w:drawing>
      </w:r>
    </w:p>
    <w:p w14:paraId="3FC0CE3C" w14:textId="605C4975" w:rsidR="00A03004" w:rsidRPr="00113F82" w:rsidRDefault="00A03004" w:rsidP="00A03004">
      <w:pPr>
        <w:pStyle w:val="a3"/>
        <w:spacing w:line="360" w:lineRule="auto"/>
        <w:ind w:left="0"/>
        <w:jc w:val="both"/>
        <w:rPr>
          <w:b/>
        </w:rPr>
      </w:pPr>
      <w:r w:rsidRPr="00113F82">
        <w:rPr>
          <w:b/>
        </w:rPr>
        <w:t>Fig</w:t>
      </w:r>
      <w:r w:rsidRPr="00113F82">
        <w:rPr>
          <w:rFonts w:eastAsiaTheme="minorEastAsia"/>
          <w:b/>
          <w:lang w:eastAsia="zh-CN"/>
        </w:rPr>
        <w:t>ure</w:t>
      </w:r>
      <w:r w:rsidRPr="00113F82">
        <w:rPr>
          <w:b/>
        </w:rPr>
        <w:t xml:space="preserve"> 2 The two pictures in the process of the operation. </w:t>
      </w:r>
      <w:r w:rsidRPr="00113F82">
        <w:t xml:space="preserve">This patient was with primary liver cancer and main portal vein tumor thrombus. The left picture showed the portal vein was blocked completely (the white arrow) by the tumor thrombus before the </w:t>
      </w:r>
      <w:r w:rsidR="00B62B22" w:rsidRPr="00113F82">
        <w:t>transjugular intrahepatic portosystemic shunt</w:t>
      </w:r>
      <w:r w:rsidRPr="00113F82">
        <w:t xml:space="preserve">. The right picture showed the stent which was placed in the portal vein (the white arrow) and the </w:t>
      </w:r>
      <w:r w:rsidRPr="00113F82">
        <w:rPr>
          <w:vertAlign w:val="superscript"/>
        </w:rPr>
        <w:t>125</w:t>
      </w:r>
      <w:r w:rsidRPr="00113F82">
        <w:t>I which was placed between the stent and the tumor thrombus (the black arrow).</w:t>
      </w:r>
    </w:p>
    <w:p w14:paraId="62B4AADD" w14:textId="1C0D89D2" w:rsidR="00B62B22" w:rsidRPr="00113F82" w:rsidRDefault="00B62B22">
      <w:pPr>
        <w:rPr>
          <w:rFonts w:ascii="Book Antiqua" w:hAnsi="Book Antiqua"/>
          <w:b/>
          <w:sz w:val="24"/>
          <w:szCs w:val="24"/>
          <w:lang w:eastAsia="zh-CN"/>
        </w:rPr>
      </w:pPr>
      <w:r w:rsidRPr="00113F82">
        <w:rPr>
          <w:rFonts w:ascii="Book Antiqua" w:hAnsi="Book Antiqua"/>
          <w:b/>
          <w:sz w:val="24"/>
          <w:szCs w:val="24"/>
          <w:lang w:eastAsia="zh-CN"/>
        </w:rPr>
        <w:br w:type="page"/>
      </w:r>
    </w:p>
    <w:p w14:paraId="4E6D0239" w14:textId="77777777" w:rsidR="00A03004" w:rsidRPr="00113F82" w:rsidRDefault="00A03004" w:rsidP="00E107FC">
      <w:pPr>
        <w:pStyle w:val="a3"/>
        <w:spacing w:line="360" w:lineRule="auto"/>
        <w:ind w:left="0"/>
        <w:jc w:val="both"/>
        <w:rPr>
          <w:rFonts w:eastAsiaTheme="minorEastAsia"/>
          <w:b/>
          <w:lang w:eastAsia="zh-CN"/>
        </w:rPr>
      </w:pPr>
    </w:p>
    <w:p w14:paraId="72B46C09" w14:textId="6B9BFFE3" w:rsidR="00134EE9" w:rsidRPr="00113F82" w:rsidRDefault="00134EE9" w:rsidP="00E107FC">
      <w:pPr>
        <w:spacing w:line="360" w:lineRule="auto"/>
        <w:jc w:val="both"/>
        <w:rPr>
          <w:rFonts w:ascii="Book Antiqua" w:eastAsia="宋体" w:hAnsi="Book Antiqua" w:cs="Times New Roman"/>
          <w:b/>
          <w:bCs/>
          <w:sz w:val="24"/>
          <w:szCs w:val="24"/>
          <w:lang w:eastAsia="zh-CN"/>
        </w:rPr>
      </w:pPr>
      <w:r w:rsidRPr="00113F82">
        <w:rPr>
          <w:rFonts w:ascii="Book Antiqua" w:hAnsi="Book Antiqua" w:cs="Times New Roman"/>
          <w:noProof/>
          <w:w w:val="110"/>
          <w:sz w:val="24"/>
          <w:szCs w:val="24"/>
          <w:lang w:eastAsia="zh-CN"/>
        </w:rPr>
        <w:drawing>
          <wp:inline distT="0" distB="0" distL="114300" distR="114300" wp14:anchorId="6D05EF0C" wp14:editId="17B08A49">
            <wp:extent cx="1791970" cy="1291590"/>
            <wp:effectExtent l="0" t="0" r="17780" b="3810"/>
            <wp:docPr id="9" name="图片 9"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 3"/>
                    <pic:cNvPicPr>
                      <a:picLocks noChangeAspect="1"/>
                    </pic:cNvPicPr>
                  </pic:nvPicPr>
                  <pic:blipFill>
                    <a:blip r:embed="rId14" cstate="print"/>
                    <a:stretch>
                      <a:fillRect/>
                    </a:stretch>
                  </pic:blipFill>
                  <pic:spPr>
                    <a:xfrm>
                      <a:off x="0" y="0"/>
                      <a:ext cx="1791970" cy="1291590"/>
                    </a:xfrm>
                    <a:prstGeom prst="rect">
                      <a:avLst/>
                    </a:prstGeom>
                  </pic:spPr>
                </pic:pic>
              </a:graphicData>
            </a:graphic>
          </wp:inline>
        </w:drawing>
      </w:r>
    </w:p>
    <w:p w14:paraId="46FB22BE" w14:textId="05D39E9E" w:rsidR="00B62B22" w:rsidRPr="00113F82" w:rsidRDefault="00B62B22" w:rsidP="00B62B22">
      <w:pPr>
        <w:pStyle w:val="a3"/>
        <w:spacing w:line="360" w:lineRule="auto"/>
        <w:ind w:left="0"/>
        <w:jc w:val="both"/>
        <w:rPr>
          <w:rFonts w:eastAsiaTheme="minorEastAsia"/>
          <w:b/>
          <w:lang w:eastAsia="zh-CN"/>
        </w:rPr>
      </w:pPr>
      <w:r w:rsidRPr="00113F82">
        <w:rPr>
          <w:b/>
        </w:rPr>
        <w:t>Fig</w:t>
      </w:r>
      <w:r w:rsidRPr="00113F82">
        <w:rPr>
          <w:rFonts w:eastAsiaTheme="minorEastAsia"/>
          <w:b/>
          <w:lang w:eastAsia="zh-CN"/>
        </w:rPr>
        <w:t>ure</w:t>
      </w:r>
      <w:r w:rsidRPr="00113F82">
        <w:rPr>
          <w:b/>
        </w:rPr>
        <w:t xml:space="preserve"> 3 Heat map.</w:t>
      </w:r>
      <w:r w:rsidRPr="00113F82">
        <w:rPr>
          <w:rFonts w:eastAsiaTheme="minorEastAsia"/>
          <w:b/>
          <w:lang w:eastAsia="zh-CN"/>
        </w:rPr>
        <w:t xml:space="preserve"> </w:t>
      </w:r>
      <w:r w:rsidRPr="00113F82">
        <w:t xml:space="preserve">Comparison of portosystemic pressure gradient </w:t>
      </w:r>
      <w:r w:rsidRPr="00113F82">
        <w:rPr>
          <w:rFonts w:eastAsiaTheme="minorEastAsia"/>
          <w:lang w:eastAsia="zh-CN"/>
        </w:rPr>
        <w:t>(</w:t>
      </w:r>
      <w:r w:rsidRPr="00113F82">
        <w:t>PPG</w:t>
      </w:r>
      <w:r w:rsidRPr="00113F82">
        <w:rPr>
          <w:rFonts w:eastAsiaTheme="minorEastAsia"/>
          <w:lang w:eastAsia="zh-CN"/>
        </w:rPr>
        <w:t>)</w:t>
      </w:r>
      <w:r w:rsidRPr="00113F82">
        <w:t xml:space="preserve"> measurements before and after operation between the transjugular intrahepatic portosystemic shunt </w:t>
      </w:r>
      <w:r w:rsidRPr="00113F82">
        <w:rPr>
          <w:rFonts w:eastAsiaTheme="minorEastAsia"/>
          <w:lang w:eastAsia="zh-CN"/>
        </w:rPr>
        <w:t>(</w:t>
      </w:r>
      <w:r w:rsidRPr="00113F82">
        <w:t>TIPS</w:t>
      </w:r>
      <w:r w:rsidRPr="00113F82">
        <w:rPr>
          <w:rFonts w:eastAsiaTheme="minorEastAsia"/>
          <w:lang w:eastAsia="zh-CN"/>
        </w:rPr>
        <w:t>)</w:t>
      </w:r>
      <w:r w:rsidRPr="00113F82">
        <w:t>-</w:t>
      </w:r>
      <w:r w:rsidRPr="00113F82">
        <w:rPr>
          <w:vertAlign w:val="superscript"/>
        </w:rPr>
        <w:t>125</w:t>
      </w:r>
      <w:r w:rsidRPr="00113F82">
        <w:t>I group and TIPS only group. Student’s t test was used to compare PPG, PPG at each time point were non-difference between groups. TIPS</w:t>
      </w:r>
      <w:r w:rsidRPr="00113F82">
        <w:rPr>
          <w:rFonts w:eastAsiaTheme="minorEastAsia"/>
          <w:lang w:eastAsia="zh-CN"/>
        </w:rPr>
        <w:t>:</w:t>
      </w:r>
      <w:r w:rsidRPr="00113F82">
        <w:t xml:space="preserve"> Transjugular intrahepatic portosystemic shunt</w:t>
      </w:r>
      <w:r w:rsidRPr="00113F82">
        <w:rPr>
          <w:rFonts w:eastAsiaTheme="minorEastAsia"/>
          <w:lang w:eastAsia="zh-CN"/>
        </w:rPr>
        <w:t>.</w:t>
      </w:r>
    </w:p>
    <w:p w14:paraId="5AB4A950" w14:textId="08F1AB5B" w:rsidR="00B62B22" w:rsidRPr="00113F82" w:rsidRDefault="00B62B22">
      <w:pPr>
        <w:rPr>
          <w:rFonts w:ascii="Book Antiqua" w:hAnsi="Book Antiqua" w:cs="Times New Roman"/>
          <w:w w:val="110"/>
          <w:sz w:val="24"/>
          <w:szCs w:val="24"/>
          <w:lang w:eastAsia="zh-CN"/>
        </w:rPr>
      </w:pPr>
      <w:r w:rsidRPr="00113F82">
        <w:rPr>
          <w:rFonts w:ascii="Book Antiqua" w:hAnsi="Book Antiqua" w:cs="Times New Roman"/>
          <w:w w:val="110"/>
          <w:sz w:val="24"/>
          <w:szCs w:val="24"/>
          <w:lang w:eastAsia="zh-CN"/>
        </w:rPr>
        <w:br w:type="page"/>
      </w:r>
    </w:p>
    <w:p w14:paraId="3A477AA1" w14:textId="2B5F5884" w:rsidR="00B62B22" w:rsidRPr="00113F82" w:rsidRDefault="00B62B22" w:rsidP="00E107FC">
      <w:pPr>
        <w:spacing w:line="360" w:lineRule="auto"/>
        <w:jc w:val="both"/>
        <w:rPr>
          <w:rFonts w:ascii="Book Antiqua" w:hAnsi="Book Antiqua" w:cs="Times New Roman"/>
          <w:w w:val="110"/>
          <w:sz w:val="24"/>
          <w:szCs w:val="24"/>
          <w:lang w:eastAsia="zh-CN"/>
        </w:rPr>
      </w:pPr>
      <w:r w:rsidRPr="00113F82">
        <w:rPr>
          <w:rFonts w:ascii="Book Antiqua" w:hAnsi="Book Antiqua" w:cs="Times New Roman"/>
          <w:w w:val="110"/>
          <w:sz w:val="24"/>
          <w:szCs w:val="24"/>
          <w:lang w:eastAsia="zh-CN"/>
        </w:rPr>
        <w:lastRenderedPageBreak/>
        <w:t xml:space="preserve">A                              </w:t>
      </w:r>
      <w:r w:rsidR="000B1EBF" w:rsidRPr="00113F82">
        <w:rPr>
          <w:rFonts w:ascii="Book Antiqua" w:hAnsi="Book Antiqua" w:cs="Times New Roman" w:hint="eastAsia"/>
          <w:w w:val="110"/>
          <w:sz w:val="24"/>
          <w:szCs w:val="24"/>
          <w:lang w:eastAsia="zh-CN"/>
        </w:rPr>
        <w:t xml:space="preserve">                              </w:t>
      </w:r>
      <w:r w:rsidRPr="00113F82">
        <w:rPr>
          <w:rFonts w:ascii="Book Antiqua" w:hAnsi="Book Antiqua" w:cs="Times New Roman"/>
          <w:w w:val="110"/>
          <w:sz w:val="24"/>
          <w:szCs w:val="24"/>
          <w:lang w:eastAsia="zh-CN"/>
        </w:rPr>
        <w:t>B</w:t>
      </w:r>
    </w:p>
    <w:p w14:paraId="64F09728" w14:textId="77777777" w:rsidR="00134EE9" w:rsidRPr="00113F82" w:rsidRDefault="00134EE9" w:rsidP="00E107FC">
      <w:pPr>
        <w:spacing w:line="360" w:lineRule="auto"/>
        <w:jc w:val="both"/>
        <w:rPr>
          <w:rFonts w:ascii="Book Antiqua" w:hAnsi="Book Antiqua" w:cs="Times New Roman"/>
          <w:w w:val="110"/>
          <w:sz w:val="24"/>
          <w:szCs w:val="24"/>
          <w:lang w:eastAsia="zh-CN"/>
        </w:rPr>
      </w:pPr>
      <w:r w:rsidRPr="00113F82">
        <w:rPr>
          <w:rFonts w:ascii="Book Antiqua" w:hAnsi="Book Antiqua" w:cs="Times New Roman"/>
          <w:noProof/>
          <w:w w:val="110"/>
          <w:sz w:val="24"/>
          <w:szCs w:val="24"/>
          <w:lang w:eastAsia="zh-CN"/>
        </w:rPr>
        <w:drawing>
          <wp:inline distT="0" distB="0" distL="0" distR="0" wp14:anchorId="6AB5CDC9" wp14:editId="5BA48BDB">
            <wp:extent cx="2632204" cy="164101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9825" cy="1664473"/>
                    </a:xfrm>
                    <a:prstGeom prst="rect">
                      <a:avLst/>
                    </a:prstGeom>
                    <a:noFill/>
                    <a:ln>
                      <a:noFill/>
                    </a:ln>
                  </pic:spPr>
                </pic:pic>
              </a:graphicData>
            </a:graphic>
          </wp:inline>
        </w:drawing>
      </w:r>
      <w:r w:rsidRPr="00113F82">
        <w:rPr>
          <w:rFonts w:ascii="Book Antiqua" w:hAnsi="Book Antiqua" w:cs="Times New Roman"/>
          <w:w w:val="110"/>
          <w:sz w:val="24"/>
          <w:szCs w:val="24"/>
        </w:rPr>
        <w:t xml:space="preserve"> </w:t>
      </w:r>
      <w:r w:rsidRPr="00113F82">
        <w:rPr>
          <w:rFonts w:ascii="Book Antiqua" w:hAnsi="Book Antiqua" w:cs="Times New Roman"/>
          <w:noProof/>
          <w:w w:val="110"/>
          <w:sz w:val="24"/>
          <w:szCs w:val="24"/>
          <w:lang w:eastAsia="zh-CN"/>
        </w:rPr>
        <w:drawing>
          <wp:inline distT="0" distB="0" distL="0" distR="0" wp14:anchorId="529649B8" wp14:editId="6A96E6AB">
            <wp:extent cx="2690345" cy="163663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7145" cy="1646856"/>
                    </a:xfrm>
                    <a:prstGeom prst="rect">
                      <a:avLst/>
                    </a:prstGeom>
                    <a:noFill/>
                    <a:ln>
                      <a:noFill/>
                    </a:ln>
                  </pic:spPr>
                </pic:pic>
              </a:graphicData>
            </a:graphic>
          </wp:inline>
        </w:drawing>
      </w:r>
      <w:r w:rsidRPr="00113F82">
        <w:rPr>
          <w:rFonts w:ascii="Book Antiqua" w:hAnsi="Book Antiqua" w:cs="Times New Roman"/>
          <w:w w:val="110"/>
          <w:sz w:val="24"/>
          <w:szCs w:val="24"/>
        </w:rPr>
        <w:t xml:space="preserve"> </w:t>
      </w:r>
    </w:p>
    <w:p w14:paraId="633851A5" w14:textId="03D3948D" w:rsidR="00B62B22" w:rsidRPr="00113F82" w:rsidRDefault="00B62B22" w:rsidP="00E107FC">
      <w:pPr>
        <w:spacing w:line="360" w:lineRule="auto"/>
        <w:jc w:val="both"/>
        <w:rPr>
          <w:rFonts w:ascii="Book Antiqua" w:hAnsi="Book Antiqua" w:cs="Times New Roman"/>
          <w:w w:val="110"/>
          <w:sz w:val="24"/>
          <w:szCs w:val="24"/>
          <w:lang w:eastAsia="zh-CN"/>
        </w:rPr>
      </w:pPr>
      <w:r w:rsidRPr="00113F82">
        <w:rPr>
          <w:rFonts w:ascii="Book Antiqua" w:hAnsi="Book Antiqua" w:cs="Times New Roman"/>
          <w:w w:val="110"/>
          <w:sz w:val="24"/>
          <w:szCs w:val="24"/>
          <w:lang w:eastAsia="zh-CN"/>
        </w:rPr>
        <w:t xml:space="preserve">C                            </w:t>
      </w:r>
      <w:r w:rsidR="000B1EBF" w:rsidRPr="00113F82">
        <w:rPr>
          <w:rFonts w:ascii="Book Antiqua" w:hAnsi="Book Antiqua" w:cs="Times New Roman" w:hint="eastAsia"/>
          <w:w w:val="110"/>
          <w:sz w:val="24"/>
          <w:szCs w:val="24"/>
          <w:lang w:eastAsia="zh-CN"/>
        </w:rPr>
        <w:t xml:space="preserve">                             </w:t>
      </w:r>
      <w:r w:rsidRPr="00113F82">
        <w:rPr>
          <w:rFonts w:ascii="Book Antiqua" w:hAnsi="Book Antiqua" w:cs="Times New Roman"/>
          <w:w w:val="110"/>
          <w:sz w:val="24"/>
          <w:szCs w:val="24"/>
          <w:lang w:eastAsia="zh-CN"/>
        </w:rPr>
        <w:t xml:space="preserve">  D</w:t>
      </w:r>
    </w:p>
    <w:p w14:paraId="4A3F08D3" w14:textId="5D6F556C" w:rsidR="00134EE9" w:rsidRPr="00113F82" w:rsidRDefault="00134EE9" w:rsidP="00E107FC">
      <w:pPr>
        <w:spacing w:line="360" w:lineRule="auto"/>
        <w:jc w:val="both"/>
        <w:rPr>
          <w:rFonts w:ascii="Book Antiqua" w:hAnsi="Book Antiqua"/>
          <w:sz w:val="24"/>
          <w:szCs w:val="24"/>
        </w:rPr>
      </w:pPr>
      <w:r w:rsidRPr="00113F82">
        <w:rPr>
          <w:rFonts w:ascii="Book Antiqua" w:hAnsi="Book Antiqua"/>
          <w:noProof/>
          <w:sz w:val="24"/>
          <w:szCs w:val="24"/>
          <w:lang w:eastAsia="zh-CN"/>
        </w:rPr>
        <w:drawing>
          <wp:inline distT="0" distB="0" distL="0" distR="0" wp14:anchorId="3A1C0B42" wp14:editId="60E8B459">
            <wp:extent cx="2603138" cy="1821243"/>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9162" cy="1846446"/>
                    </a:xfrm>
                    <a:prstGeom prst="rect">
                      <a:avLst/>
                    </a:prstGeom>
                    <a:noFill/>
                    <a:ln>
                      <a:noFill/>
                    </a:ln>
                  </pic:spPr>
                </pic:pic>
              </a:graphicData>
            </a:graphic>
          </wp:inline>
        </w:drawing>
      </w:r>
      <w:r w:rsidRPr="00113F82">
        <w:rPr>
          <w:rFonts w:ascii="Book Antiqua" w:hAnsi="Book Antiqua"/>
          <w:noProof/>
          <w:sz w:val="24"/>
          <w:szCs w:val="24"/>
        </w:rPr>
        <w:t xml:space="preserve"> </w:t>
      </w:r>
      <w:r w:rsidRPr="00113F82">
        <w:rPr>
          <w:rFonts w:ascii="Book Antiqua" w:hAnsi="Book Antiqua"/>
          <w:noProof/>
          <w:sz w:val="24"/>
          <w:szCs w:val="24"/>
          <w:lang w:eastAsia="zh-CN"/>
        </w:rPr>
        <w:drawing>
          <wp:inline distT="0" distB="0" distL="0" distR="0" wp14:anchorId="5A5B9E36" wp14:editId="07D15C55">
            <wp:extent cx="2595810" cy="18180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8065" cy="1833647"/>
                    </a:xfrm>
                    <a:prstGeom prst="rect">
                      <a:avLst/>
                    </a:prstGeom>
                    <a:noFill/>
                    <a:ln>
                      <a:noFill/>
                    </a:ln>
                  </pic:spPr>
                </pic:pic>
              </a:graphicData>
            </a:graphic>
          </wp:inline>
        </w:drawing>
      </w:r>
    </w:p>
    <w:p w14:paraId="331C3D7B" w14:textId="12D68B1D" w:rsidR="00B62B22" w:rsidRPr="00113F82" w:rsidRDefault="00B62B22" w:rsidP="00B62B22">
      <w:pPr>
        <w:pStyle w:val="a3"/>
        <w:spacing w:line="360" w:lineRule="auto"/>
        <w:ind w:left="0"/>
        <w:jc w:val="both"/>
        <w:rPr>
          <w:rFonts w:eastAsiaTheme="minorEastAsia"/>
          <w:b/>
          <w:lang w:eastAsia="zh-CN"/>
        </w:rPr>
      </w:pPr>
      <w:r w:rsidRPr="00113F82">
        <w:rPr>
          <w:b/>
        </w:rPr>
        <w:t>Fig</w:t>
      </w:r>
      <w:r w:rsidRPr="00113F82">
        <w:rPr>
          <w:rFonts w:eastAsiaTheme="minorEastAsia"/>
          <w:b/>
          <w:lang w:eastAsia="zh-CN"/>
        </w:rPr>
        <w:t>ure</w:t>
      </w:r>
      <w:r w:rsidRPr="00113F82">
        <w:rPr>
          <w:b/>
        </w:rPr>
        <w:t xml:space="preserve"> 4 Kaplan-Meier curve</w:t>
      </w:r>
      <w:r w:rsidR="00597E10" w:rsidRPr="00113F82">
        <w:rPr>
          <w:rFonts w:eastAsiaTheme="minorEastAsia" w:hint="eastAsia"/>
          <w:b/>
          <w:lang w:eastAsia="zh-CN"/>
        </w:rPr>
        <w:t>s</w:t>
      </w:r>
      <w:r w:rsidRPr="00113F82">
        <w:rPr>
          <w:b/>
        </w:rPr>
        <w:t xml:space="preserve"> of post-operation symptom recurrence, stent stenosis and survival. </w:t>
      </w:r>
      <w:r w:rsidRPr="00113F82">
        <w:t>A: Rate of symptom recurrence; B: Rate of stent stenosis; C: Survival rate on treatment</w:t>
      </w:r>
      <w:r w:rsidRPr="00113F82">
        <w:rPr>
          <w:rFonts w:eastAsiaTheme="minorEastAsia"/>
          <w:lang w:eastAsia="zh-CN"/>
        </w:rPr>
        <w:t>;</w:t>
      </w:r>
      <w:r w:rsidRPr="00113F82">
        <w:t xml:space="preserve"> D: Survival rate on Child-Pugh classification</w:t>
      </w:r>
      <w:r w:rsidRPr="00113F82">
        <w:rPr>
          <w:rFonts w:eastAsiaTheme="minorEastAsia"/>
          <w:lang w:eastAsia="zh-CN"/>
        </w:rPr>
        <w:t>.</w:t>
      </w:r>
      <w:r w:rsidRPr="00113F82">
        <w:t xml:space="preserve"> TIPS</w:t>
      </w:r>
      <w:r w:rsidRPr="00113F82">
        <w:rPr>
          <w:rFonts w:eastAsiaTheme="minorEastAsia"/>
          <w:lang w:eastAsia="zh-CN"/>
        </w:rPr>
        <w:t>:</w:t>
      </w:r>
      <w:r w:rsidRPr="00113F82">
        <w:t xml:space="preserve"> Transjugular intrahepatic portosystemic shunt</w:t>
      </w:r>
      <w:r w:rsidRPr="00113F82">
        <w:rPr>
          <w:rFonts w:eastAsiaTheme="minorEastAsia"/>
          <w:lang w:eastAsia="zh-CN"/>
        </w:rPr>
        <w:t>.</w:t>
      </w:r>
    </w:p>
    <w:p w14:paraId="054E97A5" w14:textId="3EB3A72E" w:rsidR="00B62B22" w:rsidRPr="00113F82" w:rsidRDefault="00B62B22">
      <w:pPr>
        <w:rPr>
          <w:rFonts w:ascii="Book Antiqua" w:hAnsi="Book Antiqua"/>
          <w:sz w:val="24"/>
          <w:szCs w:val="24"/>
          <w:lang w:eastAsia="zh-CN"/>
        </w:rPr>
      </w:pPr>
      <w:r w:rsidRPr="00113F82">
        <w:rPr>
          <w:rFonts w:ascii="Book Antiqua" w:hAnsi="Book Antiqua"/>
          <w:sz w:val="24"/>
          <w:szCs w:val="24"/>
          <w:lang w:eastAsia="zh-CN"/>
        </w:rPr>
        <w:br w:type="page"/>
      </w:r>
    </w:p>
    <w:p w14:paraId="0D216BBA" w14:textId="77777777" w:rsidR="00B62B22" w:rsidRPr="00113F82" w:rsidRDefault="00B62B22" w:rsidP="00E107FC">
      <w:pPr>
        <w:spacing w:line="360" w:lineRule="auto"/>
        <w:jc w:val="both"/>
        <w:rPr>
          <w:rFonts w:ascii="Book Antiqua" w:hAnsi="Book Antiqua"/>
          <w:sz w:val="24"/>
          <w:szCs w:val="24"/>
          <w:lang w:eastAsia="zh-CN"/>
        </w:rPr>
      </w:pPr>
    </w:p>
    <w:p w14:paraId="068BF1B7" w14:textId="77777777" w:rsidR="00134EE9" w:rsidRPr="00113F82" w:rsidRDefault="00134EE9" w:rsidP="00E107FC">
      <w:pPr>
        <w:spacing w:line="360" w:lineRule="auto"/>
        <w:jc w:val="both"/>
        <w:rPr>
          <w:rFonts w:ascii="Book Antiqua" w:eastAsia="Book Antiqua" w:hAnsi="Book Antiqua"/>
          <w:sz w:val="24"/>
          <w:szCs w:val="24"/>
        </w:rPr>
      </w:pPr>
      <w:r w:rsidRPr="00113F82">
        <w:rPr>
          <w:rFonts w:ascii="Book Antiqua" w:eastAsia="Book Antiqua" w:hAnsi="Book Antiqua"/>
          <w:noProof/>
          <w:sz w:val="24"/>
          <w:szCs w:val="24"/>
          <w:lang w:eastAsia="zh-CN"/>
        </w:rPr>
        <w:drawing>
          <wp:inline distT="0" distB="0" distL="0" distR="0" wp14:anchorId="05CFCCC6" wp14:editId="0FEF7BA2">
            <wp:extent cx="3140710" cy="30453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20968" b="8944"/>
                    <a:stretch/>
                  </pic:blipFill>
                  <pic:spPr bwMode="auto">
                    <a:xfrm>
                      <a:off x="0" y="0"/>
                      <a:ext cx="3154132" cy="3058364"/>
                    </a:xfrm>
                    <a:prstGeom prst="rect">
                      <a:avLst/>
                    </a:prstGeom>
                    <a:ln>
                      <a:noFill/>
                    </a:ln>
                    <a:extLst>
                      <a:ext uri="{53640926-AAD7-44D8-BBD7-CCE9431645EC}">
                        <a14:shadowObscured xmlns:a14="http://schemas.microsoft.com/office/drawing/2010/main"/>
                      </a:ext>
                    </a:extLst>
                  </pic:spPr>
                </pic:pic>
              </a:graphicData>
            </a:graphic>
          </wp:inline>
        </w:drawing>
      </w:r>
    </w:p>
    <w:p w14:paraId="41C4BD11" w14:textId="5E1181D8" w:rsidR="00134EE9" w:rsidRPr="00113F82" w:rsidRDefault="00A03004" w:rsidP="00E107FC">
      <w:pPr>
        <w:spacing w:line="360" w:lineRule="auto"/>
        <w:jc w:val="both"/>
        <w:rPr>
          <w:rFonts w:ascii="Book Antiqua" w:eastAsia="Book Antiqua" w:hAnsi="Book Antiqua"/>
          <w:b/>
          <w:sz w:val="24"/>
          <w:szCs w:val="24"/>
        </w:rPr>
      </w:pPr>
      <w:r w:rsidRPr="00113F82">
        <w:rPr>
          <w:rFonts w:ascii="Book Antiqua" w:hAnsi="Book Antiqua"/>
          <w:b/>
          <w:sz w:val="24"/>
          <w:szCs w:val="24"/>
        </w:rPr>
        <w:t>Fig</w:t>
      </w:r>
      <w:r w:rsidRPr="00113F82">
        <w:rPr>
          <w:rFonts w:ascii="Book Antiqua" w:hAnsi="Book Antiqua"/>
          <w:b/>
          <w:sz w:val="24"/>
          <w:szCs w:val="24"/>
          <w:lang w:eastAsia="zh-CN"/>
        </w:rPr>
        <w:t>ure</w:t>
      </w:r>
      <w:r w:rsidR="00134EE9" w:rsidRPr="00113F82">
        <w:rPr>
          <w:rFonts w:ascii="Book Antiqua" w:eastAsia="宋体" w:hAnsi="Book Antiqua" w:cs="Times New Roman"/>
          <w:b/>
          <w:bCs/>
          <w:sz w:val="24"/>
          <w:szCs w:val="24"/>
        </w:rPr>
        <w:t xml:space="preserve"> 5</w:t>
      </w:r>
      <w:r w:rsidR="00134EE9" w:rsidRPr="00113F82">
        <w:rPr>
          <w:rFonts w:ascii="Book Antiqua" w:eastAsia="Book Antiqua" w:hAnsi="Book Antiqua"/>
          <w:b/>
          <w:sz w:val="24"/>
          <w:szCs w:val="24"/>
        </w:rPr>
        <w:t xml:space="preserve"> </w:t>
      </w:r>
      <w:r w:rsidR="00134EE9" w:rsidRPr="00113F82">
        <w:rPr>
          <w:rFonts w:ascii="Book Antiqua" w:eastAsia="Book Antiqua" w:hAnsi="Book Antiqua"/>
          <w:b/>
          <w:i/>
          <w:sz w:val="24"/>
          <w:szCs w:val="24"/>
        </w:rPr>
        <w:t>COX</w:t>
      </w:r>
      <w:r w:rsidR="00134EE9" w:rsidRPr="00113F82">
        <w:rPr>
          <w:rFonts w:ascii="Book Antiqua" w:eastAsia="Book Antiqua" w:hAnsi="Book Antiqua"/>
          <w:b/>
          <w:sz w:val="24"/>
          <w:szCs w:val="24"/>
        </w:rPr>
        <w:t xml:space="preserve"> plots of overall survival in </w:t>
      </w:r>
      <w:r w:rsidR="00B62B22" w:rsidRPr="00113F82">
        <w:rPr>
          <w:rFonts w:ascii="Book Antiqua" w:eastAsia="Book Antiqua" w:hAnsi="Book Antiqua"/>
          <w:b/>
          <w:sz w:val="24"/>
          <w:szCs w:val="24"/>
        </w:rPr>
        <w:t>epatocellular carcinoma</w:t>
      </w:r>
      <w:r w:rsidR="00134EE9" w:rsidRPr="00113F82">
        <w:rPr>
          <w:rFonts w:ascii="Book Antiqua" w:eastAsia="Book Antiqua" w:hAnsi="Book Antiqua"/>
          <w:b/>
          <w:sz w:val="24"/>
          <w:szCs w:val="24"/>
        </w:rPr>
        <w:t xml:space="preserve"> patients with </w:t>
      </w:r>
      <w:r w:rsidR="00B62B22" w:rsidRPr="00113F82">
        <w:rPr>
          <w:rFonts w:ascii="Book Antiqua" w:eastAsia="Book Antiqua" w:hAnsi="Book Antiqua"/>
          <w:b/>
          <w:sz w:val="24"/>
          <w:szCs w:val="24"/>
        </w:rPr>
        <w:t>main portal vein tumor thrombosis</w:t>
      </w:r>
      <w:r w:rsidR="00134EE9" w:rsidRPr="00113F82">
        <w:rPr>
          <w:rFonts w:ascii="Book Antiqua" w:eastAsia="Book Antiqua" w:hAnsi="Book Antiqua"/>
          <w:b/>
          <w:sz w:val="24"/>
          <w:szCs w:val="24"/>
        </w:rPr>
        <w:t xml:space="preserve">. </w:t>
      </w:r>
      <w:r w:rsidR="00B62B22" w:rsidRPr="00113F82">
        <w:rPr>
          <w:rFonts w:ascii="Book Antiqua" w:hAnsi="Book Antiqua"/>
          <w:sz w:val="24"/>
          <w:szCs w:val="24"/>
        </w:rPr>
        <w:t>TIPS</w:t>
      </w:r>
      <w:r w:rsidR="00B62B22" w:rsidRPr="00113F82">
        <w:rPr>
          <w:rFonts w:ascii="Book Antiqua" w:hAnsi="Book Antiqua"/>
          <w:sz w:val="24"/>
          <w:szCs w:val="24"/>
          <w:lang w:eastAsia="zh-CN"/>
        </w:rPr>
        <w:t>:</w:t>
      </w:r>
      <w:r w:rsidR="00B62B22" w:rsidRPr="00113F82">
        <w:rPr>
          <w:rFonts w:ascii="Book Antiqua" w:hAnsi="Book Antiqua"/>
          <w:sz w:val="24"/>
          <w:szCs w:val="24"/>
        </w:rPr>
        <w:t xml:space="preserve"> Transjugular intrahepatic portosystemic shunt</w:t>
      </w:r>
      <w:r w:rsidR="00B62B22" w:rsidRPr="00113F82">
        <w:rPr>
          <w:rFonts w:ascii="Book Antiqua" w:hAnsi="Book Antiqua"/>
          <w:sz w:val="24"/>
          <w:szCs w:val="24"/>
          <w:lang w:eastAsia="zh-CN"/>
        </w:rPr>
        <w:t>.</w:t>
      </w:r>
    </w:p>
    <w:p w14:paraId="1DDF28BB" w14:textId="77777777" w:rsidR="00134EE9" w:rsidRPr="00113F82" w:rsidRDefault="00134EE9" w:rsidP="00E107FC">
      <w:pPr>
        <w:spacing w:line="360" w:lineRule="auto"/>
        <w:jc w:val="both"/>
        <w:rPr>
          <w:rFonts w:ascii="Book Antiqua" w:eastAsia="Book Antiqua" w:hAnsi="Book Antiqua"/>
          <w:sz w:val="24"/>
          <w:szCs w:val="24"/>
        </w:rPr>
        <w:sectPr w:rsidR="00134EE9" w:rsidRPr="00113F82">
          <w:footerReference w:type="default" r:id="rId20"/>
          <w:pgSz w:w="11910" w:h="16840"/>
          <w:pgMar w:top="1580" w:right="1560" w:bottom="1260" w:left="1600" w:header="0" w:footer="1064" w:gutter="0"/>
          <w:pgNumType w:start="21"/>
          <w:cols w:space="720"/>
        </w:sectPr>
      </w:pPr>
    </w:p>
    <w:p w14:paraId="152A5FFC" w14:textId="0D3BDF04" w:rsidR="00134EE9" w:rsidRPr="00113F82" w:rsidRDefault="00B62B22" w:rsidP="00E107FC">
      <w:pPr>
        <w:pStyle w:val="1"/>
        <w:spacing w:line="360" w:lineRule="auto"/>
        <w:ind w:left="0"/>
        <w:jc w:val="both"/>
      </w:pPr>
      <w:r w:rsidRPr="00113F82">
        <w:lastRenderedPageBreak/>
        <w:t>Table 1</w:t>
      </w:r>
      <w:r w:rsidR="00134EE9" w:rsidRPr="00113F82">
        <w:t xml:space="preserve"> Baseline characteristics on patients </w:t>
      </w:r>
    </w:p>
    <w:tbl>
      <w:tblPr>
        <w:tblStyle w:val="a8"/>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1972"/>
        <w:gridCol w:w="2139"/>
        <w:gridCol w:w="992"/>
      </w:tblGrid>
      <w:tr w:rsidR="00F91C4A" w:rsidRPr="00113F82" w14:paraId="47128AB8" w14:textId="77777777" w:rsidTr="00F91C4A">
        <w:trPr>
          <w:trHeight w:val="57"/>
        </w:trPr>
        <w:tc>
          <w:tcPr>
            <w:tcW w:w="2660" w:type="dxa"/>
            <w:tcBorders>
              <w:top w:val="single" w:sz="4" w:space="0" w:color="auto"/>
              <w:bottom w:val="single" w:sz="4" w:space="0" w:color="auto"/>
            </w:tcBorders>
            <w:vAlign w:val="center"/>
          </w:tcPr>
          <w:p w14:paraId="15B0F60E"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p>
        </w:tc>
        <w:tc>
          <w:tcPr>
            <w:tcW w:w="1972" w:type="dxa"/>
            <w:tcBorders>
              <w:top w:val="single" w:sz="4" w:space="0" w:color="auto"/>
              <w:bottom w:val="single" w:sz="4" w:space="0" w:color="auto"/>
            </w:tcBorders>
            <w:vAlign w:val="center"/>
          </w:tcPr>
          <w:p w14:paraId="40DC30B5"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113F82">
              <w:rPr>
                <w:rFonts w:ascii="Book Antiqua" w:eastAsiaTheme="minorEastAsia" w:hAnsi="Book Antiqua" w:cstheme="minorBidi"/>
                <w:b/>
                <w:sz w:val="24"/>
                <w:szCs w:val="24"/>
                <w:lang w:eastAsia="en-US"/>
              </w:rPr>
              <w:t>TIPS-</w:t>
            </w:r>
            <w:r w:rsidRPr="00113F82">
              <w:rPr>
                <w:rFonts w:ascii="Book Antiqua" w:eastAsiaTheme="minorEastAsia" w:hAnsi="Book Antiqua" w:cstheme="minorBidi"/>
                <w:b/>
                <w:sz w:val="24"/>
                <w:szCs w:val="24"/>
                <w:vertAlign w:val="superscript"/>
                <w:lang w:eastAsia="en-US"/>
              </w:rPr>
              <w:t>125</w:t>
            </w:r>
            <w:r w:rsidRPr="00113F82">
              <w:rPr>
                <w:rFonts w:ascii="Book Antiqua" w:eastAsiaTheme="minorEastAsia" w:hAnsi="Book Antiqua" w:cstheme="minorBidi"/>
                <w:b/>
                <w:sz w:val="24"/>
                <w:szCs w:val="24"/>
                <w:lang w:eastAsia="en-US"/>
              </w:rPr>
              <w:t>Igroup</w:t>
            </w:r>
          </w:p>
          <w:p w14:paraId="5A455D61" w14:textId="64564813" w:rsidR="00134EE9" w:rsidRPr="00113F82"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113F82">
              <w:rPr>
                <w:rFonts w:ascii="Book Antiqua" w:eastAsiaTheme="minorEastAsia" w:hAnsi="Book Antiqua" w:cstheme="minorBidi"/>
                <w:b/>
                <w:sz w:val="24"/>
                <w:szCs w:val="24"/>
                <w:lang w:eastAsia="en-US"/>
              </w:rPr>
              <w:t>(</w:t>
            </w:r>
            <w:r w:rsidRPr="00113F82">
              <w:rPr>
                <w:rFonts w:ascii="Book Antiqua" w:eastAsiaTheme="minorEastAsia" w:hAnsi="Book Antiqua" w:cstheme="minorBidi"/>
                <w:b/>
                <w:i/>
                <w:sz w:val="24"/>
                <w:szCs w:val="24"/>
                <w:lang w:eastAsia="en-US"/>
              </w:rPr>
              <w:t>n</w:t>
            </w:r>
            <w:r w:rsidR="00B62B22" w:rsidRPr="00113F82">
              <w:rPr>
                <w:rFonts w:ascii="Book Antiqua" w:eastAsiaTheme="minorEastAsia" w:hAnsi="Book Antiqua" w:cstheme="minorBidi"/>
                <w:b/>
                <w:i/>
                <w:sz w:val="24"/>
                <w:szCs w:val="24"/>
              </w:rPr>
              <w:t xml:space="preserve"> </w:t>
            </w:r>
            <w:r w:rsidRPr="00113F82">
              <w:rPr>
                <w:rFonts w:ascii="Book Antiqua" w:eastAsiaTheme="minorEastAsia" w:hAnsi="Book Antiqua" w:cstheme="minorBidi"/>
                <w:b/>
                <w:sz w:val="24"/>
                <w:szCs w:val="24"/>
                <w:lang w:eastAsia="en-US"/>
              </w:rPr>
              <w:t>=</w:t>
            </w:r>
            <w:r w:rsidR="00B62B22" w:rsidRPr="00113F82">
              <w:rPr>
                <w:rFonts w:ascii="Book Antiqua" w:eastAsiaTheme="minorEastAsia" w:hAnsi="Book Antiqua" w:cstheme="minorBidi"/>
                <w:b/>
                <w:sz w:val="24"/>
                <w:szCs w:val="24"/>
              </w:rPr>
              <w:t xml:space="preserve"> </w:t>
            </w:r>
            <w:r w:rsidRPr="00113F82">
              <w:rPr>
                <w:rFonts w:ascii="Book Antiqua" w:eastAsiaTheme="minorEastAsia" w:hAnsi="Book Antiqua" w:cstheme="minorBidi"/>
                <w:b/>
                <w:sz w:val="24"/>
                <w:szCs w:val="24"/>
                <w:lang w:eastAsia="en-US"/>
              </w:rPr>
              <w:t>40)</w:t>
            </w:r>
          </w:p>
        </w:tc>
        <w:tc>
          <w:tcPr>
            <w:tcW w:w="2139" w:type="dxa"/>
            <w:tcBorders>
              <w:top w:val="single" w:sz="4" w:space="0" w:color="auto"/>
              <w:bottom w:val="single" w:sz="4" w:space="0" w:color="auto"/>
            </w:tcBorders>
            <w:vAlign w:val="center"/>
          </w:tcPr>
          <w:p w14:paraId="321C32F9"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113F82">
              <w:rPr>
                <w:rFonts w:ascii="Book Antiqua" w:eastAsiaTheme="minorEastAsia" w:hAnsi="Book Antiqua" w:cstheme="minorBidi"/>
                <w:b/>
                <w:sz w:val="24"/>
                <w:szCs w:val="24"/>
                <w:lang w:eastAsia="en-US"/>
              </w:rPr>
              <w:t>TIPS only group</w:t>
            </w:r>
          </w:p>
          <w:p w14:paraId="7EDC4109" w14:textId="189AAA2A" w:rsidR="00134EE9" w:rsidRPr="00113F82"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113F82">
              <w:rPr>
                <w:rFonts w:ascii="Book Antiqua" w:eastAsiaTheme="minorEastAsia" w:hAnsi="Book Antiqua" w:cstheme="minorBidi"/>
                <w:b/>
                <w:sz w:val="24"/>
                <w:szCs w:val="24"/>
                <w:lang w:eastAsia="en-US"/>
              </w:rPr>
              <w:t>(</w:t>
            </w:r>
            <w:r w:rsidR="00B62B22" w:rsidRPr="00113F82">
              <w:rPr>
                <w:rFonts w:ascii="Book Antiqua" w:eastAsiaTheme="minorEastAsia" w:hAnsi="Book Antiqua" w:cstheme="minorBidi"/>
                <w:b/>
                <w:i/>
                <w:sz w:val="24"/>
                <w:szCs w:val="24"/>
                <w:lang w:eastAsia="en-US"/>
              </w:rPr>
              <w:t>n</w:t>
            </w:r>
            <w:r w:rsidR="00B62B22" w:rsidRPr="00113F82">
              <w:rPr>
                <w:rFonts w:ascii="Book Antiqua" w:eastAsiaTheme="minorEastAsia" w:hAnsi="Book Antiqua" w:cstheme="minorBidi"/>
                <w:b/>
                <w:i/>
                <w:sz w:val="24"/>
                <w:szCs w:val="24"/>
              </w:rPr>
              <w:t xml:space="preserve"> </w:t>
            </w:r>
            <w:r w:rsidR="00B62B22" w:rsidRPr="00113F82">
              <w:rPr>
                <w:rFonts w:ascii="Book Antiqua" w:eastAsiaTheme="minorEastAsia" w:hAnsi="Book Antiqua" w:cstheme="minorBidi"/>
                <w:b/>
                <w:sz w:val="24"/>
                <w:szCs w:val="24"/>
                <w:lang w:eastAsia="en-US"/>
              </w:rPr>
              <w:t>=</w:t>
            </w:r>
            <w:r w:rsidR="00B62B22" w:rsidRPr="00113F82">
              <w:rPr>
                <w:rFonts w:ascii="Book Antiqua" w:eastAsiaTheme="minorEastAsia" w:hAnsi="Book Antiqua" w:cstheme="minorBidi"/>
                <w:b/>
                <w:sz w:val="24"/>
                <w:szCs w:val="24"/>
              </w:rPr>
              <w:t xml:space="preserve"> </w:t>
            </w:r>
            <w:r w:rsidRPr="00113F82">
              <w:rPr>
                <w:rFonts w:ascii="Book Antiqua" w:eastAsiaTheme="minorEastAsia" w:hAnsi="Book Antiqua" w:cstheme="minorBidi"/>
                <w:b/>
                <w:sz w:val="24"/>
                <w:szCs w:val="24"/>
                <w:lang w:eastAsia="en-US"/>
              </w:rPr>
              <w:t>45)</w:t>
            </w:r>
          </w:p>
        </w:tc>
        <w:tc>
          <w:tcPr>
            <w:tcW w:w="992" w:type="dxa"/>
            <w:tcBorders>
              <w:top w:val="single" w:sz="4" w:space="0" w:color="auto"/>
              <w:bottom w:val="single" w:sz="4" w:space="0" w:color="auto"/>
            </w:tcBorders>
            <w:vAlign w:val="center"/>
          </w:tcPr>
          <w:p w14:paraId="62B7FA84"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113F82">
              <w:rPr>
                <w:rFonts w:ascii="Book Antiqua" w:eastAsiaTheme="minorEastAsia" w:hAnsi="Book Antiqua" w:cstheme="minorBidi"/>
                <w:b/>
                <w:i/>
                <w:sz w:val="24"/>
                <w:szCs w:val="24"/>
                <w:lang w:eastAsia="en-US"/>
              </w:rPr>
              <w:t>P</w:t>
            </w:r>
            <w:r w:rsidRPr="00113F82">
              <w:rPr>
                <w:rFonts w:ascii="Book Antiqua" w:eastAsiaTheme="minorEastAsia" w:hAnsi="Book Antiqua" w:cstheme="minorBidi"/>
                <w:b/>
                <w:sz w:val="24"/>
                <w:szCs w:val="24"/>
                <w:lang w:eastAsia="en-US"/>
              </w:rPr>
              <w:t xml:space="preserve"> value</w:t>
            </w:r>
          </w:p>
        </w:tc>
      </w:tr>
      <w:tr w:rsidR="00F91C4A" w:rsidRPr="00113F82" w14:paraId="7FB5F50C" w14:textId="77777777" w:rsidTr="00F91C4A">
        <w:trPr>
          <w:trHeight w:val="57"/>
        </w:trPr>
        <w:tc>
          <w:tcPr>
            <w:tcW w:w="2660" w:type="dxa"/>
            <w:tcBorders>
              <w:top w:val="single" w:sz="4" w:space="0" w:color="auto"/>
            </w:tcBorders>
            <w:vAlign w:val="center"/>
          </w:tcPr>
          <w:p w14:paraId="2D609CD8"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Gender</w:t>
            </w:r>
          </w:p>
        </w:tc>
        <w:tc>
          <w:tcPr>
            <w:tcW w:w="1972" w:type="dxa"/>
            <w:tcBorders>
              <w:top w:val="single" w:sz="4" w:space="0" w:color="auto"/>
            </w:tcBorders>
            <w:vAlign w:val="center"/>
          </w:tcPr>
          <w:p w14:paraId="6E6DE8CD"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c>
          <w:tcPr>
            <w:tcW w:w="2139" w:type="dxa"/>
            <w:tcBorders>
              <w:top w:val="single" w:sz="4" w:space="0" w:color="auto"/>
            </w:tcBorders>
            <w:vAlign w:val="center"/>
          </w:tcPr>
          <w:p w14:paraId="0988F49D"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c>
          <w:tcPr>
            <w:tcW w:w="992" w:type="dxa"/>
            <w:tcBorders>
              <w:top w:val="single" w:sz="4" w:space="0" w:color="auto"/>
            </w:tcBorders>
            <w:vAlign w:val="center"/>
          </w:tcPr>
          <w:p w14:paraId="661CF37D"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0.961</w:t>
            </w:r>
          </w:p>
        </w:tc>
      </w:tr>
      <w:tr w:rsidR="00F91C4A" w:rsidRPr="00113F82" w14:paraId="3CEECAD0" w14:textId="77777777" w:rsidTr="00F91C4A">
        <w:trPr>
          <w:trHeight w:val="57"/>
        </w:trPr>
        <w:tc>
          <w:tcPr>
            <w:tcW w:w="2660" w:type="dxa"/>
            <w:vAlign w:val="center"/>
          </w:tcPr>
          <w:p w14:paraId="0286CA1E" w14:textId="28EACAFA" w:rsidR="00134EE9" w:rsidRPr="00113F82" w:rsidRDefault="00B62B22"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Male</w:t>
            </w:r>
          </w:p>
        </w:tc>
        <w:tc>
          <w:tcPr>
            <w:tcW w:w="1972" w:type="dxa"/>
            <w:vAlign w:val="center"/>
          </w:tcPr>
          <w:p w14:paraId="0804A503"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27</w:t>
            </w:r>
          </w:p>
        </w:tc>
        <w:tc>
          <w:tcPr>
            <w:tcW w:w="2139" w:type="dxa"/>
            <w:vAlign w:val="center"/>
          </w:tcPr>
          <w:p w14:paraId="353B1BD7"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30</w:t>
            </w:r>
          </w:p>
        </w:tc>
        <w:tc>
          <w:tcPr>
            <w:tcW w:w="992" w:type="dxa"/>
            <w:vAlign w:val="center"/>
          </w:tcPr>
          <w:p w14:paraId="37A7D6F8"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F91C4A" w:rsidRPr="00113F82" w14:paraId="1C488FFF" w14:textId="77777777" w:rsidTr="00F91C4A">
        <w:trPr>
          <w:trHeight w:val="57"/>
        </w:trPr>
        <w:tc>
          <w:tcPr>
            <w:tcW w:w="2660" w:type="dxa"/>
            <w:vAlign w:val="center"/>
          </w:tcPr>
          <w:p w14:paraId="2FE76023" w14:textId="1CEB2711" w:rsidR="00134EE9" w:rsidRPr="00113F82" w:rsidRDefault="00B62B22"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Female</w:t>
            </w:r>
          </w:p>
        </w:tc>
        <w:tc>
          <w:tcPr>
            <w:tcW w:w="1972" w:type="dxa"/>
            <w:vAlign w:val="center"/>
          </w:tcPr>
          <w:p w14:paraId="5A5FD8A2"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13</w:t>
            </w:r>
          </w:p>
        </w:tc>
        <w:tc>
          <w:tcPr>
            <w:tcW w:w="2139" w:type="dxa"/>
            <w:vAlign w:val="center"/>
          </w:tcPr>
          <w:p w14:paraId="2A06A85A"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15</w:t>
            </w:r>
          </w:p>
        </w:tc>
        <w:tc>
          <w:tcPr>
            <w:tcW w:w="992" w:type="dxa"/>
            <w:vAlign w:val="center"/>
          </w:tcPr>
          <w:p w14:paraId="5C7554F1"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F91C4A" w:rsidRPr="00113F82" w14:paraId="4EE58001" w14:textId="77777777" w:rsidTr="00F91C4A">
        <w:trPr>
          <w:trHeight w:val="57"/>
        </w:trPr>
        <w:tc>
          <w:tcPr>
            <w:tcW w:w="2660" w:type="dxa"/>
            <w:vAlign w:val="center"/>
          </w:tcPr>
          <w:p w14:paraId="26C8F970"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Average age</w:t>
            </w:r>
          </w:p>
        </w:tc>
        <w:tc>
          <w:tcPr>
            <w:tcW w:w="1972" w:type="dxa"/>
            <w:vAlign w:val="center"/>
          </w:tcPr>
          <w:p w14:paraId="07160253" w14:textId="7D3C6BEA"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51</w:t>
            </w:r>
            <w:r w:rsidR="00B62B22" w:rsidRPr="00113F82">
              <w:rPr>
                <w:rFonts w:ascii="Book Antiqua" w:eastAsiaTheme="minorEastAsia" w:hAnsi="Book Antiqua" w:cstheme="minorBidi"/>
                <w:sz w:val="24"/>
                <w:szCs w:val="24"/>
              </w:rPr>
              <w:t xml:space="preserve"> </w:t>
            </w:r>
            <w:r w:rsidR="00B62B22" w:rsidRPr="00113F82">
              <w:rPr>
                <w:rFonts w:ascii="Book Antiqua" w:eastAsiaTheme="minorEastAsia" w:hAnsi="Book Antiqua" w:cstheme="minorBidi"/>
                <w:sz w:val="24"/>
                <w:szCs w:val="24"/>
                <w:lang w:eastAsia="en-US"/>
              </w:rPr>
              <w:t xml:space="preserve">± </w:t>
            </w:r>
            <w:r w:rsidRPr="00113F82">
              <w:rPr>
                <w:rFonts w:ascii="Book Antiqua" w:eastAsiaTheme="minorEastAsia" w:hAnsi="Book Antiqua" w:cstheme="minorBidi"/>
                <w:sz w:val="24"/>
                <w:szCs w:val="24"/>
                <w:lang w:eastAsia="en-US"/>
              </w:rPr>
              <w:t>4.3</w:t>
            </w:r>
          </w:p>
        </w:tc>
        <w:tc>
          <w:tcPr>
            <w:tcW w:w="2139" w:type="dxa"/>
            <w:vAlign w:val="center"/>
          </w:tcPr>
          <w:p w14:paraId="7263EC50" w14:textId="4F4BB3E4"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49</w:t>
            </w:r>
            <w:r w:rsidR="00B62B22" w:rsidRPr="00113F82">
              <w:rPr>
                <w:rFonts w:ascii="Book Antiqua" w:eastAsiaTheme="minorEastAsia" w:hAnsi="Book Antiqua" w:cstheme="minorBidi"/>
                <w:sz w:val="24"/>
                <w:szCs w:val="24"/>
              </w:rPr>
              <w:t xml:space="preserve"> </w:t>
            </w:r>
            <w:r w:rsidR="00B62B22" w:rsidRPr="00113F82">
              <w:rPr>
                <w:rFonts w:ascii="Book Antiqua" w:eastAsiaTheme="minorEastAsia" w:hAnsi="Book Antiqua" w:cstheme="minorBidi"/>
                <w:sz w:val="24"/>
                <w:szCs w:val="24"/>
                <w:lang w:eastAsia="en-US"/>
              </w:rPr>
              <w:t xml:space="preserve">± </w:t>
            </w:r>
            <w:r w:rsidRPr="00113F82">
              <w:rPr>
                <w:rFonts w:ascii="Book Antiqua" w:eastAsiaTheme="minorEastAsia" w:hAnsi="Book Antiqua" w:cstheme="minorBidi"/>
                <w:sz w:val="24"/>
                <w:szCs w:val="24"/>
                <w:lang w:eastAsia="en-US"/>
              </w:rPr>
              <w:t>6.9</w:t>
            </w:r>
          </w:p>
        </w:tc>
        <w:tc>
          <w:tcPr>
            <w:tcW w:w="992" w:type="dxa"/>
            <w:vAlign w:val="center"/>
          </w:tcPr>
          <w:p w14:paraId="7E6DA1CF"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0.311</w:t>
            </w:r>
          </w:p>
        </w:tc>
      </w:tr>
      <w:tr w:rsidR="00F91C4A" w:rsidRPr="00113F82" w14:paraId="3673CCBA" w14:textId="77777777" w:rsidTr="00F91C4A">
        <w:trPr>
          <w:trHeight w:val="57"/>
        </w:trPr>
        <w:tc>
          <w:tcPr>
            <w:tcW w:w="2660" w:type="dxa"/>
            <w:vAlign w:val="center"/>
          </w:tcPr>
          <w:p w14:paraId="556C7F4D"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Etiology</w:t>
            </w:r>
          </w:p>
        </w:tc>
        <w:tc>
          <w:tcPr>
            <w:tcW w:w="1972" w:type="dxa"/>
            <w:vAlign w:val="center"/>
          </w:tcPr>
          <w:p w14:paraId="3E5C9E1D"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c>
          <w:tcPr>
            <w:tcW w:w="2139" w:type="dxa"/>
            <w:vAlign w:val="center"/>
          </w:tcPr>
          <w:p w14:paraId="022AA305"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c>
          <w:tcPr>
            <w:tcW w:w="992" w:type="dxa"/>
            <w:vAlign w:val="center"/>
          </w:tcPr>
          <w:p w14:paraId="38BC9A2F"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0.923</w:t>
            </w:r>
          </w:p>
        </w:tc>
      </w:tr>
      <w:tr w:rsidR="00F91C4A" w:rsidRPr="00113F82" w14:paraId="520B5E97" w14:textId="77777777" w:rsidTr="00F91C4A">
        <w:trPr>
          <w:trHeight w:val="57"/>
        </w:trPr>
        <w:tc>
          <w:tcPr>
            <w:tcW w:w="2660" w:type="dxa"/>
            <w:vAlign w:val="center"/>
          </w:tcPr>
          <w:p w14:paraId="1381C946"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Hepatitis B or C</w:t>
            </w:r>
          </w:p>
        </w:tc>
        <w:tc>
          <w:tcPr>
            <w:tcW w:w="1972" w:type="dxa"/>
            <w:vAlign w:val="center"/>
          </w:tcPr>
          <w:p w14:paraId="751343C4"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24</w:t>
            </w:r>
          </w:p>
        </w:tc>
        <w:tc>
          <w:tcPr>
            <w:tcW w:w="2139" w:type="dxa"/>
            <w:vAlign w:val="center"/>
          </w:tcPr>
          <w:p w14:paraId="7F1B9F06"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28</w:t>
            </w:r>
          </w:p>
        </w:tc>
        <w:tc>
          <w:tcPr>
            <w:tcW w:w="992" w:type="dxa"/>
            <w:vAlign w:val="center"/>
          </w:tcPr>
          <w:p w14:paraId="61B0ADE0"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F91C4A" w:rsidRPr="00113F82" w14:paraId="78E07EFD" w14:textId="77777777" w:rsidTr="00F91C4A">
        <w:trPr>
          <w:trHeight w:val="57"/>
        </w:trPr>
        <w:tc>
          <w:tcPr>
            <w:tcW w:w="2660" w:type="dxa"/>
            <w:vAlign w:val="center"/>
          </w:tcPr>
          <w:p w14:paraId="19389622"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Alcoholic</w:t>
            </w:r>
          </w:p>
        </w:tc>
        <w:tc>
          <w:tcPr>
            <w:tcW w:w="1972" w:type="dxa"/>
            <w:vAlign w:val="center"/>
          </w:tcPr>
          <w:p w14:paraId="2AE45093"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8</w:t>
            </w:r>
          </w:p>
        </w:tc>
        <w:tc>
          <w:tcPr>
            <w:tcW w:w="2139" w:type="dxa"/>
            <w:vAlign w:val="center"/>
          </w:tcPr>
          <w:p w14:paraId="13F3D00D"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7</w:t>
            </w:r>
          </w:p>
        </w:tc>
        <w:tc>
          <w:tcPr>
            <w:tcW w:w="992" w:type="dxa"/>
            <w:vAlign w:val="center"/>
          </w:tcPr>
          <w:p w14:paraId="0B81427D"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F91C4A" w:rsidRPr="00113F82" w14:paraId="70912CC2" w14:textId="77777777" w:rsidTr="00F91C4A">
        <w:trPr>
          <w:trHeight w:val="57"/>
        </w:trPr>
        <w:tc>
          <w:tcPr>
            <w:tcW w:w="2660" w:type="dxa"/>
            <w:vAlign w:val="center"/>
          </w:tcPr>
          <w:p w14:paraId="577497FC"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Cholestasis</w:t>
            </w:r>
          </w:p>
        </w:tc>
        <w:tc>
          <w:tcPr>
            <w:tcW w:w="1972" w:type="dxa"/>
            <w:vAlign w:val="center"/>
          </w:tcPr>
          <w:p w14:paraId="2EF783ED"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4</w:t>
            </w:r>
          </w:p>
        </w:tc>
        <w:tc>
          <w:tcPr>
            <w:tcW w:w="2139" w:type="dxa"/>
            <w:vAlign w:val="center"/>
          </w:tcPr>
          <w:p w14:paraId="688CEBB8"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6</w:t>
            </w:r>
          </w:p>
        </w:tc>
        <w:tc>
          <w:tcPr>
            <w:tcW w:w="992" w:type="dxa"/>
            <w:vAlign w:val="center"/>
          </w:tcPr>
          <w:p w14:paraId="013BDCC5"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F91C4A" w:rsidRPr="00113F82" w14:paraId="43C2CEFB" w14:textId="77777777" w:rsidTr="00F91C4A">
        <w:trPr>
          <w:trHeight w:val="57"/>
        </w:trPr>
        <w:tc>
          <w:tcPr>
            <w:tcW w:w="2660" w:type="dxa"/>
            <w:vAlign w:val="center"/>
          </w:tcPr>
          <w:p w14:paraId="0C6EFB5A"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Other</w:t>
            </w:r>
          </w:p>
        </w:tc>
        <w:tc>
          <w:tcPr>
            <w:tcW w:w="1972" w:type="dxa"/>
            <w:vAlign w:val="center"/>
          </w:tcPr>
          <w:p w14:paraId="18AD67DE"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4</w:t>
            </w:r>
          </w:p>
        </w:tc>
        <w:tc>
          <w:tcPr>
            <w:tcW w:w="2139" w:type="dxa"/>
            <w:vAlign w:val="center"/>
          </w:tcPr>
          <w:p w14:paraId="4F765DA7"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4</w:t>
            </w:r>
          </w:p>
        </w:tc>
        <w:tc>
          <w:tcPr>
            <w:tcW w:w="992" w:type="dxa"/>
            <w:vAlign w:val="center"/>
          </w:tcPr>
          <w:p w14:paraId="0AF3BDBE"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F91C4A" w:rsidRPr="00113F82" w14:paraId="2FC4DFA5" w14:textId="77777777" w:rsidTr="00F91C4A">
        <w:trPr>
          <w:trHeight w:val="57"/>
        </w:trPr>
        <w:tc>
          <w:tcPr>
            <w:tcW w:w="2660" w:type="dxa"/>
            <w:vAlign w:val="center"/>
          </w:tcPr>
          <w:p w14:paraId="238B4C6D"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Child-Push classification</w:t>
            </w:r>
          </w:p>
        </w:tc>
        <w:tc>
          <w:tcPr>
            <w:tcW w:w="1972" w:type="dxa"/>
            <w:vAlign w:val="center"/>
          </w:tcPr>
          <w:p w14:paraId="31FFB1E3"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c>
          <w:tcPr>
            <w:tcW w:w="2139" w:type="dxa"/>
            <w:vAlign w:val="center"/>
          </w:tcPr>
          <w:p w14:paraId="39582576"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c>
          <w:tcPr>
            <w:tcW w:w="992" w:type="dxa"/>
            <w:vAlign w:val="center"/>
          </w:tcPr>
          <w:p w14:paraId="05A1EB19"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0.384</w:t>
            </w:r>
          </w:p>
        </w:tc>
      </w:tr>
      <w:tr w:rsidR="00F91C4A" w:rsidRPr="00113F82" w14:paraId="09C21CCE" w14:textId="77777777" w:rsidTr="00F91C4A">
        <w:trPr>
          <w:trHeight w:val="57"/>
        </w:trPr>
        <w:tc>
          <w:tcPr>
            <w:tcW w:w="2660" w:type="dxa"/>
            <w:vAlign w:val="center"/>
          </w:tcPr>
          <w:p w14:paraId="2EC4944F"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A</w:t>
            </w:r>
          </w:p>
        </w:tc>
        <w:tc>
          <w:tcPr>
            <w:tcW w:w="1972" w:type="dxa"/>
            <w:vAlign w:val="center"/>
          </w:tcPr>
          <w:p w14:paraId="467A6C99"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6</w:t>
            </w:r>
          </w:p>
        </w:tc>
        <w:tc>
          <w:tcPr>
            <w:tcW w:w="2139" w:type="dxa"/>
            <w:vAlign w:val="center"/>
          </w:tcPr>
          <w:p w14:paraId="61A4F183"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10</w:t>
            </w:r>
          </w:p>
        </w:tc>
        <w:tc>
          <w:tcPr>
            <w:tcW w:w="992" w:type="dxa"/>
            <w:vAlign w:val="center"/>
          </w:tcPr>
          <w:p w14:paraId="0FD216D2"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F91C4A" w:rsidRPr="00113F82" w14:paraId="36E558A5" w14:textId="77777777" w:rsidTr="00F91C4A">
        <w:trPr>
          <w:trHeight w:val="57"/>
        </w:trPr>
        <w:tc>
          <w:tcPr>
            <w:tcW w:w="2660" w:type="dxa"/>
            <w:vAlign w:val="center"/>
          </w:tcPr>
          <w:p w14:paraId="76D7CC3F"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B</w:t>
            </w:r>
          </w:p>
        </w:tc>
        <w:tc>
          <w:tcPr>
            <w:tcW w:w="1972" w:type="dxa"/>
            <w:vAlign w:val="center"/>
          </w:tcPr>
          <w:p w14:paraId="4FC37CAE"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20</w:t>
            </w:r>
          </w:p>
        </w:tc>
        <w:tc>
          <w:tcPr>
            <w:tcW w:w="2139" w:type="dxa"/>
            <w:vAlign w:val="center"/>
          </w:tcPr>
          <w:p w14:paraId="1992F95A"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16</w:t>
            </w:r>
          </w:p>
        </w:tc>
        <w:tc>
          <w:tcPr>
            <w:tcW w:w="992" w:type="dxa"/>
            <w:vAlign w:val="center"/>
          </w:tcPr>
          <w:p w14:paraId="3674B8E1"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F91C4A" w:rsidRPr="00113F82" w14:paraId="1598522B" w14:textId="77777777" w:rsidTr="00F91C4A">
        <w:trPr>
          <w:trHeight w:val="57"/>
        </w:trPr>
        <w:tc>
          <w:tcPr>
            <w:tcW w:w="2660" w:type="dxa"/>
            <w:vAlign w:val="center"/>
          </w:tcPr>
          <w:p w14:paraId="178681AB"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C</w:t>
            </w:r>
          </w:p>
        </w:tc>
        <w:tc>
          <w:tcPr>
            <w:tcW w:w="1972" w:type="dxa"/>
            <w:vAlign w:val="center"/>
          </w:tcPr>
          <w:p w14:paraId="1E293ACA"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14</w:t>
            </w:r>
          </w:p>
        </w:tc>
        <w:tc>
          <w:tcPr>
            <w:tcW w:w="2139" w:type="dxa"/>
            <w:vAlign w:val="center"/>
          </w:tcPr>
          <w:p w14:paraId="2EC11DAB"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19</w:t>
            </w:r>
          </w:p>
        </w:tc>
        <w:tc>
          <w:tcPr>
            <w:tcW w:w="992" w:type="dxa"/>
            <w:vAlign w:val="center"/>
          </w:tcPr>
          <w:p w14:paraId="419BEB22"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F91C4A" w:rsidRPr="00113F82" w14:paraId="047E8128" w14:textId="77777777" w:rsidTr="00F91C4A">
        <w:trPr>
          <w:trHeight w:val="57"/>
        </w:trPr>
        <w:tc>
          <w:tcPr>
            <w:tcW w:w="2660" w:type="dxa"/>
            <w:vAlign w:val="center"/>
          </w:tcPr>
          <w:p w14:paraId="0F94F4CB" w14:textId="18647C6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Albumin</w:t>
            </w:r>
            <w:r w:rsidR="00B62B22" w:rsidRPr="00113F82">
              <w:rPr>
                <w:rFonts w:ascii="Book Antiqua" w:eastAsiaTheme="minorEastAsia" w:hAnsi="Book Antiqua" w:cstheme="minorBidi"/>
                <w:sz w:val="24"/>
                <w:szCs w:val="24"/>
              </w:rPr>
              <w:t xml:space="preserve"> </w:t>
            </w:r>
            <w:r w:rsidRPr="00113F82">
              <w:rPr>
                <w:rFonts w:ascii="Book Antiqua" w:eastAsiaTheme="minorEastAsia" w:hAnsi="Book Antiqua" w:cstheme="minorBidi"/>
                <w:sz w:val="24"/>
                <w:szCs w:val="24"/>
                <w:lang w:eastAsia="en-US"/>
              </w:rPr>
              <w:t>(g/L)</w:t>
            </w:r>
          </w:p>
        </w:tc>
        <w:tc>
          <w:tcPr>
            <w:tcW w:w="1972" w:type="dxa"/>
            <w:vAlign w:val="center"/>
          </w:tcPr>
          <w:p w14:paraId="607FD9EC" w14:textId="4F0D4F08"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30</w:t>
            </w:r>
            <w:r w:rsidR="00B62B22" w:rsidRPr="00113F82">
              <w:rPr>
                <w:rFonts w:ascii="Book Antiqua" w:eastAsiaTheme="minorEastAsia" w:hAnsi="Book Antiqua" w:cstheme="minorBidi"/>
                <w:sz w:val="24"/>
                <w:szCs w:val="24"/>
                <w:lang w:eastAsia="en-US"/>
              </w:rPr>
              <w:t xml:space="preserve"> ± </w:t>
            </w:r>
            <w:r w:rsidRPr="00113F82">
              <w:rPr>
                <w:rFonts w:ascii="Book Antiqua" w:eastAsiaTheme="minorEastAsia" w:hAnsi="Book Antiqua" w:cstheme="minorBidi"/>
                <w:sz w:val="24"/>
                <w:szCs w:val="24"/>
                <w:lang w:eastAsia="en-US"/>
              </w:rPr>
              <w:t>11</w:t>
            </w:r>
          </w:p>
        </w:tc>
        <w:tc>
          <w:tcPr>
            <w:tcW w:w="2139" w:type="dxa"/>
            <w:vAlign w:val="center"/>
          </w:tcPr>
          <w:p w14:paraId="23D82C32" w14:textId="5D5B76D4"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32</w:t>
            </w:r>
            <w:r w:rsidR="00B62B22" w:rsidRPr="00113F82">
              <w:rPr>
                <w:rFonts w:ascii="Book Antiqua" w:eastAsiaTheme="minorEastAsia" w:hAnsi="Book Antiqua" w:cstheme="minorBidi"/>
                <w:sz w:val="24"/>
                <w:szCs w:val="24"/>
                <w:lang w:eastAsia="en-US"/>
              </w:rPr>
              <w:t xml:space="preserve"> ± </w:t>
            </w:r>
            <w:r w:rsidRPr="00113F82">
              <w:rPr>
                <w:rFonts w:ascii="Book Antiqua" w:eastAsiaTheme="minorEastAsia" w:hAnsi="Book Antiqua" w:cstheme="minorBidi"/>
                <w:sz w:val="24"/>
                <w:szCs w:val="24"/>
                <w:lang w:eastAsia="en-US"/>
              </w:rPr>
              <w:t>11</w:t>
            </w:r>
          </w:p>
        </w:tc>
        <w:tc>
          <w:tcPr>
            <w:tcW w:w="992" w:type="dxa"/>
            <w:vAlign w:val="center"/>
          </w:tcPr>
          <w:p w14:paraId="37243E80"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0.915</w:t>
            </w:r>
          </w:p>
        </w:tc>
      </w:tr>
      <w:tr w:rsidR="00F91C4A" w:rsidRPr="00113F82" w14:paraId="06E1A018" w14:textId="77777777" w:rsidTr="00F91C4A">
        <w:trPr>
          <w:trHeight w:val="57"/>
        </w:trPr>
        <w:tc>
          <w:tcPr>
            <w:tcW w:w="2660" w:type="dxa"/>
            <w:vAlign w:val="center"/>
          </w:tcPr>
          <w:p w14:paraId="042D880B"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Direct bilirubin (umol/L)</w:t>
            </w:r>
          </w:p>
        </w:tc>
        <w:tc>
          <w:tcPr>
            <w:tcW w:w="1972" w:type="dxa"/>
            <w:vAlign w:val="center"/>
          </w:tcPr>
          <w:p w14:paraId="61C8BD6D" w14:textId="7ADB002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23.1</w:t>
            </w:r>
            <w:r w:rsidR="00B62B22" w:rsidRPr="00113F82">
              <w:rPr>
                <w:rFonts w:ascii="Book Antiqua" w:eastAsiaTheme="minorEastAsia" w:hAnsi="Book Antiqua" w:cstheme="minorBidi"/>
                <w:sz w:val="24"/>
                <w:szCs w:val="24"/>
                <w:lang w:eastAsia="en-US"/>
              </w:rPr>
              <w:t xml:space="preserve"> ± </w:t>
            </w:r>
            <w:r w:rsidRPr="00113F82">
              <w:rPr>
                <w:rFonts w:ascii="Book Antiqua" w:eastAsiaTheme="minorEastAsia" w:hAnsi="Book Antiqua" w:cstheme="minorBidi"/>
                <w:sz w:val="24"/>
                <w:szCs w:val="24"/>
                <w:lang w:eastAsia="en-US"/>
              </w:rPr>
              <w:t>16.9</w:t>
            </w:r>
          </w:p>
        </w:tc>
        <w:tc>
          <w:tcPr>
            <w:tcW w:w="2139" w:type="dxa"/>
            <w:vAlign w:val="center"/>
          </w:tcPr>
          <w:p w14:paraId="6D17D79C" w14:textId="614FCDC2"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21</w:t>
            </w:r>
            <w:r w:rsidR="00B62B22" w:rsidRPr="00113F82">
              <w:rPr>
                <w:rFonts w:ascii="Book Antiqua" w:eastAsiaTheme="minorEastAsia" w:hAnsi="Book Antiqua" w:cstheme="minorBidi"/>
                <w:sz w:val="24"/>
                <w:szCs w:val="24"/>
                <w:lang w:eastAsia="en-US"/>
              </w:rPr>
              <w:t xml:space="preserve"> ± </w:t>
            </w:r>
            <w:r w:rsidRPr="00113F82">
              <w:rPr>
                <w:rFonts w:ascii="Book Antiqua" w:eastAsiaTheme="minorEastAsia" w:hAnsi="Book Antiqua" w:cstheme="minorBidi"/>
                <w:sz w:val="24"/>
                <w:szCs w:val="24"/>
                <w:lang w:eastAsia="en-US"/>
              </w:rPr>
              <w:t>15</w:t>
            </w:r>
          </w:p>
        </w:tc>
        <w:tc>
          <w:tcPr>
            <w:tcW w:w="992" w:type="dxa"/>
            <w:vAlign w:val="center"/>
          </w:tcPr>
          <w:p w14:paraId="46B773C8"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0.43</w:t>
            </w:r>
          </w:p>
        </w:tc>
      </w:tr>
      <w:tr w:rsidR="00F91C4A" w:rsidRPr="00113F82" w14:paraId="5F695358" w14:textId="77777777" w:rsidTr="00F91C4A">
        <w:trPr>
          <w:trHeight w:val="57"/>
        </w:trPr>
        <w:tc>
          <w:tcPr>
            <w:tcW w:w="2660" w:type="dxa"/>
            <w:vAlign w:val="center"/>
          </w:tcPr>
          <w:p w14:paraId="18C7636E"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Alanine aminotransferase (U/L)</w:t>
            </w:r>
          </w:p>
        </w:tc>
        <w:tc>
          <w:tcPr>
            <w:tcW w:w="1972" w:type="dxa"/>
            <w:vAlign w:val="center"/>
          </w:tcPr>
          <w:p w14:paraId="343E3AF8" w14:textId="79A9EB95"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49</w:t>
            </w:r>
            <w:r w:rsidR="00B62B22" w:rsidRPr="00113F82">
              <w:rPr>
                <w:rFonts w:ascii="Book Antiqua" w:eastAsiaTheme="minorEastAsia" w:hAnsi="Book Antiqua" w:cstheme="minorBidi"/>
                <w:sz w:val="24"/>
                <w:szCs w:val="24"/>
                <w:lang w:eastAsia="en-US"/>
              </w:rPr>
              <w:t xml:space="preserve"> ± </w:t>
            </w:r>
            <w:r w:rsidRPr="00113F82">
              <w:rPr>
                <w:rFonts w:ascii="Book Antiqua" w:eastAsiaTheme="minorEastAsia" w:hAnsi="Book Antiqua" w:cstheme="minorBidi"/>
                <w:sz w:val="24"/>
                <w:szCs w:val="24"/>
                <w:lang w:eastAsia="en-US"/>
              </w:rPr>
              <w:t>36</w:t>
            </w:r>
          </w:p>
        </w:tc>
        <w:tc>
          <w:tcPr>
            <w:tcW w:w="2139" w:type="dxa"/>
            <w:vAlign w:val="center"/>
          </w:tcPr>
          <w:p w14:paraId="526904EC" w14:textId="031EB7E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53</w:t>
            </w:r>
            <w:r w:rsidR="00B62B22" w:rsidRPr="00113F82">
              <w:rPr>
                <w:rFonts w:ascii="Book Antiqua" w:eastAsiaTheme="minorEastAsia" w:hAnsi="Book Antiqua" w:cstheme="minorBidi"/>
                <w:sz w:val="24"/>
                <w:szCs w:val="24"/>
                <w:lang w:eastAsia="en-US"/>
              </w:rPr>
              <w:t xml:space="preserve"> ± </w:t>
            </w:r>
            <w:r w:rsidRPr="00113F82">
              <w:rPr>
                <w:rFonts w:ascii="Book Antiqua" w:eastAsiaTheme="minorEastAsia" w:hAnsi="Book Antiqua" w:cstheme="minorBidi"/>
                <w:sz w:val="24"/>
                <w:szCs w:val="24"/>
                <w:lang w:eastAsia="en-US"/>
              </w:rPr>
              <w:t>41</w:t>
            </w:r>
          </w:p>
        </w:tc>
        <w:tc>
          <w:tcPr>
            <w:tcW w:w="992" w:type="dxa"/>
            <w:vAlign w:val="center"/>
          </w:tcPr>
          <w:p w14:paraId="21EEC0DB"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0.756</w:t>
            </w:r>
          </w:p>
        </w:tc>
      </w:tr>
      <w:tr w:rsidR="00F91C4A" w:rsidRPr="00113F82" w14:paraId="39F04557" w14:textId="77777777" w:rsidTr="00F91C4A">
        <w:trPr>
          <w:trHeight w:val="57"/>
        </w:trPr>
        <w:tc>
          <w:tcPr>
            <w:tcW w:w="2660" w:type="dxa"/>
            <w:vAlign w:val="center"/>
          </w:tcPr>
          <w:p w14:paraId="66AF433D"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Aspartate aminotransferase (U/L)</w:t>
            </w:r>
          </w:p>
        </w:tc>
        <w:tc>
          <w:tcPr>
            <w:tcW w:w="1972" w:type="dxa"/>
            <w:vAlign w:val="center"/>
          </w:tcPr>
          <w:p w14:paraId="6CB3670E" w14:textId="2B90A499"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42.5</w:t>
            </w:r>
            <w:r w:rsidR="00B62B22" w:rsidRPr="00113F82">
              <w:rPr>
                <w:rFonts w:ascii="Book Antiqua" w:eastAsiaTheme="minorEastAsia" w:hAnsi="Book Antiqua" w:cstheme="minorBidi"/>
                <w:sz w:val="24"/>
                <w:szCs w:val="24"/>
                <w:lang w:eastAsia="en-US"/>
              </w:rPr>
              <w:t xml:space="preserve"> ± </w:t>
            </w:r>
            <w:r w:rsidRPr="00113F82">
              <w:rPr>
                <w:rFonts w:ascii="Book Antiqua" w:eastAsiaTheme="minorEastAsia" w:hAnsi="Book Antiqua" w:cstheme="minorBidi"/>
                <w:sz w:val="24"/>
                <w:szCs w:val="24"/>
                <w:lang w:eastAsia="en-US"/>
              </w:rPr>
              <w:t>26.5</w:t>
            </w:r>
          </w:p>
        </w:tc>
        <w:tc>
          <w:tcPr>
            <w:tcW w:w="2139" w:type="dxa"/>
            <w:vAlign w:val="center"/>
          </w:tcPr>
          <w:p w14:paraId="39857381" w14:textId="1F371C53"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50.5</w:t>
            </w:r>
            <w:r w:rsidR="00B62B22" w:rsidRPr="00113F82">
              <w:rPr>
                <w:rFonts w:ascii="Book Antiqua" w:eastAsiaTheme="minorEastAsia" w:hAnsi="Book Antiqua" w:cstheme="minorBidi"/>
                <w:sz w:val="24"/>
                <w:szCs w:val="24"/>
                <w:lang w:eastAsia="en-US"/>
              </w:rPr>
              <w:t xml:space="preserve"> ± </w:t>
            </w:r>
            <w:r w:rsidRPr="00113F82">
              <w:rPr>
                <w:rFonts w:ascii="Book Antiqua" w:eastAsiaTheme="minorEastAsia" w:hAnsi="Book Antiqua" w:cstheme="minorBidi"/>
                <w:sz w:val="24"/>
                <w:szCs w:val="24"/>
                <w:lang w:eastAsia="en-US"/>
              </w:rPr>
              <w:t>37.5</w:t>
            </w:r>
          </w:p>
        </w:tc>
        <w:tc>
          <w:tcPr>
            <w:tcW w:w="992" w:type="dxa"/>
            <w:vAlign w:val="center"/>
          </w:tcPr>
          <w:p w14:paraId="4FACF999"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0.318</w:t>
            </w:r>
          </w:p>
        </w:tc>
      </w:tr>
      <w:tr w:rsidR="00F91C4A" w:rsidRPr="00113F82" w14:paraId="12144EDC" w14:textId="77777777" w:rsidTr="00F91C4A">
        <w:trPr>
          <w:trHeight w:val="57"/>
        </w:trPr>
        <w:tc>
          <w:tcPr>
            <w:tcW w:w="2660" w:type="dxa"/>
            <w:vAlign w:val="center"/>
          </w:tcPr>
          <w:p w14:paraId="51A0DD84"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Na</w:t>
            </w:r>
            <w:r w:rsidRPr="00113F82">
              <w:rPr>
                <w:rFonts w:ascii="Book Antiqua" w:eastAsiaTheme="minorEastAsia" w:hAnsi="Book Antiqua" w:cstheme="minorBidi"/>
                <w:sz w:val="24"/>
                <w:szCs w:val="24"/>
                <w:vertAlign w:val="superscript"/>
                <w:lang w:eastAsia="en-US"/>
              </w:rPr>
              <w:t>+</w:t>
            </w:r>
          </w:p>
        </w:tc>
        <w:tc>
          <w:tcPr>
            <w:tcW w:w="1972" w:type="dxa"/>
            <w:vAlign w:val="center"/>
          </w:tcPr>
          <w:p w14:paraId="235EF2A9" w14:textId="4624513E"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135.5</w:t>
            </w:r>
            <w:r w:rsidR="00B62B22" w:rsidRPr="00113F82">
              <w:rPr>
                <w:rFonts w:ascii="Book Antiqua" w:eastAsiaTheme="minorEastAsia" w:hAnsi="Book Antiqua" w:cstheme="minorBidi"/>
                <w:sz w:val="24"/>
                <w:szCs w:val="24"/>
                <w:lang w:eastAsia="en-US"/>
              </w:rPr>
              <w:t xml:space="preserve"> ± </w:t>
            </w:r>
            <w:r w:rsidRPr="00113F82">
              <w:rPr>
                <w:rFonts w:ascii="Book Antiqua" w:eastAsiaTheme="minorEastAsia" w:hAnsi="Book Antiqua" w:cstheme="minorBidi"/>
                <w:sz w:val="24"/>
                <w:szCs w:val="24"/>
                <w:lang w:eastAsia="en-US"/>
              </w:rPr>
              <w:t>15.5</w:t>
            </w:r>
          </w:p>
        </w:tc>
        <w:tc>
          <w:tcPr>
            <w:tcW w:w="2139" w:type="dxa"/>
            <w:vAlign w:val="center"/>
          </w:tcPr>
          <w:p w14:paraId="0C9011D8" w14:textId="0F5DD0F9"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138.5</w:t>
            </w:r>
            <w:r w:rsidR="00B62B22" w:rsidRPr="00113F82">
              <w:rPr>
                <w:rFonts w:ascii="Book Antiqua" w:eastAsiaTheme="minorEastAsia" w:hAnsi="Book Antiqua" w:cstheme="minorBidi"/>
                <w:sz w:val="24"/>
                <w:szCs w:val="24"/>
                <w:lang w:eastAsia="en-US"/>
              </w:rPr>
              <w:t xml:space="preserve"> ± </w:t>
            </w:r>
            <w:r w:rsidRPr="00113F82">
              <w:rPr>
                <w:rFonts w:ascii="Book Antiqua" w:eastAsiaTheme="minorEastAsia" w:hAnsi="Book Antiqua" w:cstheme="minorBidi"/>
                <w:sz w:val="24"/>
                <w:szCs w:val="24"/>
                <w:lang w:eastAsia="en-US"/>
              </w:rPr>
              <w:t>16.5</w:t>
            </w:r>
          </w:p>
        </w:tc>
        <w:tc>
          <w:tcPr>
            <w:tcW w:w="992" w:type="dxa"/>
            <w:vAlign w:val="center"/>
          </w:tcPr>
          <w:p w14:paraId="0E0933C9"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0.384</w:t>
            </w:r>
          </w:p>
        </w:tc>
      </w:tr>
      <w:tr w:rsidR="00F91C4A" w:rsidRPr="00113F82" w14:paraId="7684F6F0" w14:textId="77777777" w:rsidTr="00F91C4A">
        <w:trPr>
          <w:trHeight w:val="57"/>
        </w:trPr>
        <w:tc>
          <w:tcPr>
            <w:tcW w:w="2660" w:type="dxa"/>
            <w:vAlign w:val="center"/>
          </w:tcPr>
          <w:p w14:paraId="3022012D"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K</w:t>
            </w:r>
            <w:r w:rsidRPr="00113F82">
              <w:rPr>
                <w:rFonts w:ascii="Book Antiqua" w:eastAsiaTheme="minorEastAsia" w:hAnsi="Book Antiqua" w:cstheme="minorBidi"/>
                <w:sz w:val="24"/>
                <w:szCs w:val="24"/>
                <w:vertAlign w:val="superscript"/>
                <w:lang w:eastAsia="en-US"/>
              </w:rPr>
              <w:t>+</w:t>
            </w:r>
          </w:p>
        </w:tc>
        <w:tc>
          <w:tcPr>
            <w:tcW w:w="1972" w:type="dxa"/>
            <w:vAlign w:val="center"/>
          </w:tcPr>
          <w:p w14:paraId="2393D81E" w14:textId="6EE5E863"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3.73</w:t>
            </w:r>
            <w:r w:rsidR="00B62B22" w:rsidRPr="00113F82">
              <w:rPr>
                <w:rFonts w:ascii="Book Antiqua" w:eastAsiaTheme="minorEastAsia" w:hAnsi="Book Antiqua" w:cstheme="minorBidi"/>
                <w:sz w:val="24"/>
                <w:szCs w:val="24"/>
                <w:lang w:eastAsia="en-US"/>
              </w:rPr>
              <w:t xml:space="preserve"> ± </w:t>
            </w:r>
            <w:r w:rsidRPr="00113F82">
              <w:rPr>
                <w:rFonts w:ascii="Book Antiqua" w:eastAsiaTheme="minorEastAsia" w:hAnsi="Book Antiqua" w:cstheme="minorBidi"/>
                <w:sz w:val="24"/>
                <w:szCs w:val="24"/>
                <w:lang w:eastAsia="en-US"/>
              </w:rPr>
              <w:t>1.27</w:t>
            </w:r>
          </w:p>
        </w:tc>
        <w:tc>
          <w:tcPr>
            <w:tcW w:w="2139" w:type="dxa"/>
            <w:vAlign w:val="center"/>
          </w:tcPr>
          <w:p w14:paraId="79D6B649" w14:textId="79CE0B3F"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3.49</w:t>
            </w:r>
            <w:r w:rsidR="00B62B22" w:rsidRPr="00113F82">
              <w:rPr>
                <w:rFonts w:ascii="Book Antiqua" w:eastAsiaTheme="minorEastAsia" w:hAnsi="Book Antiqua" w:cstheme="minorBidi"/>
                <w:sz w:val="24"/>
                <w:szCs w:val="24"/>
                <w:lang w:eastAsia="en-US"/>
              </w:rPr>
              <w:t xml:space="preserve"> ± </w:t>
            </w:r>
            <w:r w:rsidRPr="00113F82">
              <w:rPr>
                <w:rFonts w:ascii="Book Antiqua" w:eastAsiaTheme="minorEastAsia" w:hAnsi="Book Antiqua" w:cstheme="minorBidi"/>
                <w:sz w:val="24"/>
                <w:szCs w:val="24"/>
                <w:lang w:eastAsia="en-US"/>
              </w:rPr>
              <w:t>1.31</w:t>
            </w:r>
          </w:p>
        </w:tc>
        <w:tc>
          <w:tcPr>
            <w:tcW w:w="992" w:type="dxa"/>
            <w:vAlign w:val="center"/>
          </w:tcPr>
          <w:p w14:paraId="3D1C01FC"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0.609</w:t>
            </w:r>
          </w:p>
        </w:tc>
      </w:tr>
      <w:tr w:rsidR="00F91C4A" w:rsidRPr="00113F82" w14:paraId="0E4830C8" w14:textId="77777777" w:rsidTr="00F91C4A">
        <w:trPr>
          <w:trHeight w:val="57"/>
        </w:trPr>
        <w:tc>
          <w:tcPr>
            <w:tcW w:w="2660" w:type="dxa"/>
            <w:vAlign w:val="center"/>
          </w:tcPr>
          <w:p w14:paraId="66023F95"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MELD score</w:t>
            </w:r>
          </w:p>
        </w:tc>
        <w:tc>
          <w:tcPr>
            <w:tcW w:w="1972" w:type="dxa"/>
            <w:vAlign w:val="center"/>
          </w:tcPr>
          <w:p w14:paraId="7F4E34A1" w14:textId="3EB1BF35"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11.96</w:t>
            </w:r>
            <w:r w:rsidR="00B62B22" w:rsidRPr="00113F82">
              <w:rPr>
                <w:rFonts w:ascii="Book Antiqua" w:eastAsiaTheme="minorEastAsia" w:hAnsi="Book Antiqua" w:cstheme="minorBidi"/>
                <w:sz w:val="24"/>
                <w:szCs w:val="24"/>
                <w:lang w:eastAsia="en-US"/>
              </w:rPr>
              <w:t xml:space="preserve"> ± </w:t>
            </w:r>
            <w:r w:rsidRPr="00113F82">
              <w:rPr>
                <w:rFonts w:ascii="Book Antiqua" w:eastAsiaTheme="minorEastAsia" w:hAnsi="Book Antiqua" w:cstheme="minorBidi"/>
                <w:sz w:val="24"/>
                <w:szCs w:val="24"/>
                <w:lang w:eastAsia="en-US"/>
              </w:rPr>
              <w:t>1.68</w:t>
            </w:r>
          </w:p>
        </w:tc>
        <w:tc>
          <w:tcPr>
            <w:tcW w:w="2139" w:type="dxa"/>
            <w:vAlign w:val="center"/>
          </w:tcPr>
          <w:p w14:paraId="76460E34" w14:textId="7A91B490"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12.77</w:t>
            </w:r>
            <w:r w:rsidR="00B62B22" w:rsidRPr="00113F82">
              <w:rPr>
                <w:rFonts w:ascii="Book Antiqua" w:eastAsiaTheme="minorEastAsia" w:hAnsi="Book Antiqua" w:cstheme="minorBidi"/>
                <w:sz w:val="24"/>
                <w:szCs w:val="24"/>
                <w:lang w:eastAsia="en-US"/>
              </w:rPr>
              <w:t xml:space="preserve"> ± </w:t>
            </w:r>
            <w:r w:rsidRPr="00113F82">
              <w:rPr>
                <w:rFonts w:ascii="Book Antiqua" w:eastAsiaTheme="minorEastAsia" w:hAnsi="Book Antiqua" w:cstheme="minorBidi"/>
                <w:sz w:val="24"/>
                <w:szCs w:val="24"/>
                <w:lang w:eastAsia="en-US"/>
              </w:rPr>
              <w:t>2.49</w:t>
            </w:r>
          </w:p>
        </w:tc>
        <w:tc>
          <w:tcPr>
            <w:tcW w:w="992" w:type="dxa"/>
            <w:vAlign w:val="center"/>
          </w:tcPr>
          <w:p w14:paraId="789BDBB2"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0.187</w:t>
            </w:r>
          </w:p>
        </w:tc>
      </w:tr>
      <w:tr w:rsidR="00F91C4A" w:rsidRPr="00113F82" w14:paraId="600B0B0A" w14:textId="77777777" w:rsidTr="00F91C4A">
        <w:trPr>
          <w:trHeight w:val="57"/>
        </w:trPr>
        <w:tc>
          <w:tcPr>
            <w:tcW w:w="2660" w:type="dxa"/>
            <w:vAlign w:val="center"/>
          </w:tcPr>
          <w:p w14:paraId="0284188A"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Clinical symptoms</w:t>
            </w:r>
          </w:p>
        </w:tc>
        <w:tc>
          <w:tcPr>
            <w:tcW w:w="1972" w:type="dxa"/>
            <w:vAlign w:val="center"/>
          </w:tcPr>
          <w:p w14:paraId="20AE1C3C"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c>
          <w:tcPr>
            <w:tcW w:w="2139" w:type="dxa"/>
            <w:vAlign w:val="center"/>
          </w:tcPr>
          <w:p w14:paraId="527DE2D2"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c>
          <w:tcPr>
            <w:tcW w:w="992" w:type="dxa"/>
            <w:vAlign w:val="center"/>
          </w:tcPr>
          <w:p w14:paraId="42736589"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0.486</w:t>
            </w:r>
          </w:p>
        </w:tc>
      </w:tr>
      <w:tr w:rsidR="00F91C4A" w:rsidRPr="00113F82" w14:paraId="1AF659E1" w14:textId="77777777" w:rsidTr="00F91C4A">
        <w:trPr>
          <w:trHeight w:val="57"/>
        </w:trPr>
        <w:tc>
          <w:tcPr>
            <w:tcW w:w="2660" w:type="dxa"/>
            <w:vAlign w:val="center"/>
          </w:tcPr>
          <w:p w14:paraId="22B36968"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 xml:space="preserve">Hemorrhage </w:t>
            </w:r>
          </w:p>
        </w:tc>
        <w:tc>
          <w:tcPr>
            <w:tcW w:w="1972" w:type="dxa"/>
            <w:vAlign w:val="center"/>
          </w:tcPr>
          <w:p w14:paraId="57DF8E66"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29</w:t>
            </w:r>
          </w:p>
        </w:tc>
        <w:tc>
          <w:tcPr>
            <w:tcW w:w="2139" w:type="dxa"/>
            <w:vAlign w:val="center"/>
          </w:tcPr>
          <w:p w14:paraId="3666D42B"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32</w:t>
            </w:r>
          </w:p>
        </w:tc>
        <w:tc>
          <w:tcPr>
            <w:tcW w:w="992" w:type="dxa"/>
            <w:vAlign w:val="center"/>
          </w:tcPr>
          <w:p w14:paraId="21E64BCA"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F91C4A" w:rsidRPr="00113F82" w14:paraId="4B7C4D3E" w14:textId="77777777" w:rsidTr="00F91C4A">
        <w:trPr>
          <w:trHeight w:val="57"/>
        </w:trPr>
        <w:tc>
          <w:tcPr>
            <w:tcW w:w="2660" w:type="dxa"/>
            <w:vAlign w:val="center"/>
          </w:tcPr>
          <w:p w14:paraId="77E2C9E0"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lastRenderedPageBreak/>
              <w:t>Chest and/or abdominal dropsy</w:t>
            </w:r>
          </w:p>
        </w:tc>
        <w:tc>
          <w:tcPr>
            <w:tcW w:w="1972" w:type="dxa"/>
            <w:vAlign w:val="center"/>
          </w:tcPr>
          <w:p w14:paraId="52679EF8"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6</w:t>
            </w:r>
          </w:p>
        </w:tc>
        <w:tc>
          <w:tcPr>
            <w:tcW w:w="2139" w:type="dxa"/>
            <w:vAlign w:val="center"/>
          </w:tcPr>
          <w:p w14:paraId="6C4A6F07"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5</w:t>
            </w:r>
          </w:p>
        </w:tc>
        <w:tc>
          <w:tcPr>
            <w:tcW w:w="992" w:type="dxa"/>
            <w:vAlign w:val="center"/>
          </w:tcPr>
          <w:p w14:paraId="7E923EB3"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F91C4A" w:rsidRPr="00113F82" w14:paraId="555FBEBF" w14:textId="77777777" w:rsidTr="00F91C4A">
        <w:trPr>
          <w:trHeight w:val="57"/>
        </w:trPr>
        <w:tc>
          <w:tcPr>
            <w:tcW w:w="2660" w:type="dxa"/>
            <w:vAlign w:val="center"/>
          </w:tcPr>
          <w:p w14:paraId="7AAC12DF"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rPr>
            </w:pPr>
            <w:r w:rsidRPr="00113F82">
              <w:rPr>
                <w:rFonts w:ascii="Book Antiqua" w:eastAsiaTheme="minorEastAsia" w:hAnsi="Book Antiqua" w:cstheme="minorBidi"/>
                <w:sz w:val="24"/>
                <w:szCs w:val="24"/>
              </w:rPr>
              <w:t xml:space="preserve">Both </w:t>
            </w:r>
          </w:p>
        </w:tc>
        <w:tc>
          <w:tcPr>
            <w:tcW w:w="1972" w:type="dxa"/>
            <w:vAlign w:val="center"/>
          </w:tcPr>
          <w:p w14:paraId="365CDC90"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5</w:t>
            </w:r>
          </w:p>
        </w:tc>
        <w:tc>
          <w:tcPr>
            <w:tcW w:w="2139" w:type="dxa"/>
            <w:vAlign w:val="center"/>
          </w:tcPr>
          <w:p w14:paraId="23865B5A"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8</w:t>
            </w:r>
          </w:p>
        </w:tc>
        <w:tc>
          <w:tcPr>
            <w:tcW w:w="992" w:type="dxa"/>
            <w:vAlign w:val="center"/>
          </w:tcPr>
          <w:p w14:paraId="746B59C5"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F91C4A" w:rsidRPr="00113F82" w14:paraId="43E341BE" w14:textId="77777777" w:rsidTr="00F91C4A">
        <w:trPr>
          <w:trHeight w:val="57"/>
        </w:trPr>
        <w:tc>
          <w:tcPr>
            <w:tcW w:w="2660" w:type="dxa"/>
            <w:vAlign w:val="center"/>
          </w:tcPr>
          <w:p w14:paraId="552579AE"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First-grade branch of portal vein</w:t>
            </w:r>
          </w:p>
        </w:tc>
        <w:tc>
          <w:tcPr>
            <w:tcW w:w="1972" w:type="dxa"/>
            <w:vAlign w:val="center"/>
          </w:tcPr>
          <w:p w14:paraId="19B9EF51"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c>
          <w:tcPr>
            <w:tcW w:w="2139" w:type="dxa"/>
            <w:vAlign w:val="center"/>
          </w:tcPr>
          <w:p w14:paraId="0D1EA782"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c>
          <w:tcPr>
            <w:tcW w:w="992" w:type="dxa"/>
            <w:vAlign w:val="center"/>
          </w:tcPr>
          <w:p w14:paraId="6C0CD8BA"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0.571</w:t>
            </w:r>
          </w:p>
        </w:tc>
      </w:tr>
      <w:tr w:rsidR="00F91C4A" w:rsidRPr="00113F82" w14:paraId="7D35875A" w14:textId="77777777" w:rsidTr="00F91C4A">
        <w:trPr>
          <w:trHeight w:val="57"/>
        </w:trPr>
        <w:tc>
          <w:tcPr>
            <w:tcW w:w="2660" w:type="dxa"/>
            <w:vAlign w:val="center"/>
          </w:tcPr>
          <w:p w14:paraId="005DFEB4"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Unobstructed</w:t>
            </w:r>
          </w:p>
        </w:tc>
        <w:tc>
          <w:tcPr>
            <w:tcW w:w="1972" w:type="dxa"/>
            <w:vAlign w:val="center"/>
          </w:tcPr>
          <w:p w14:paraId="3100E95A"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18</w:t>
            </w:r>
          </w:p>
        </w:tc>
        <w:tc>
          <w:tcPr>
            <w:tcW w:w="2139" w:type="dxa"/>
            <w:vAlign w:val="center"/>
          </w:tcPr>
          <w:p w14:paraId="0B04F0C0"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22</w:t>
            </w:r>
          </w:p>
        </w:tc>
        <w:tc>
          <w:tcPr>
            <w:tcW w:w="992" w:type="dxa"/>
            <w:vAlign w:val="center"/>
          </w:tcPr>
          <w:p w14:paraId="5794A973"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134EE9" w:rsidRPr="00113F82" w14:paraId="173CAF1E" w14:textId="77777777" w:rsidTr="00F91C4A">
        <w:trPr>
          <w:trHeight w:val="57"/>
        </w:trPr>
        <w:tc>
          <w:tcPr>
            <w:tcW w:w="2660" w:type="dxa"/>
            <w:vAlign w:val="center"/>
          </w:tcPr>
          <w:p w14:paraId="09967B17"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Obstructed</w:t>
            </w:r>
          </w:p>
        </w:tc>
        <w:tc>
          <w:tcPr>
            <w:tcW w:w="1972" w:type="dxa"/>
            <w:vAlign w:val="center"/>
          </w:tcPr>
          <w:p w14:paraId="6CFCCA57"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22</w:t>
            </w:r>
          </w:p>
        </w:tc>
        <w:tc>
          <w:tcPr>
            <w:tcW w:w="2139" w:type="dxa"/>
            <w:vAlign w:val="center"/>
          </w:tcPr>
          <w:p w14:paraId="38EB5328"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23</w:t>
            </w:r>
          </w:p>
        </w:tc>
        <w:tc>
          <w:tcPr>
            <w:tcW w:w="992" w:type="dxa"/>
            <w:vAlign w:val="center"/>
          </w:tcPr>
          <w:p w14:paraId="36E20092"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r>
    </w:tbl>
    <w:p w14:paraId="0E16CFB8" w14:textId="77777777" w:rsidR="00134EE9" w:rsidRPr="00113F82" w:rsidRDefault="00134EE9" w:rsidP="00E107FC">
      <w:pPr>
        <w:spacing w:line="360" w:lineRule="auto"/>
        <w:jc w:val="both"/>
        <w:rPr>
          <w:rFonts w:ascii="Book Antiqua" w:hAnsi="Book Antiqua"/>
          <w:sz w:val="24"/>
          <w:szCs w:val="24"/>
          <w:lang w:eastAsia="zh-CN"/>
        </w:rPr>
      </w:pPr>
    </w:p>
    <w:p w14:paraId="3824E2E5" w14:textId="4AA2717E" w:rsidR="00B62B22" w:rsidRPr="00113F82" w:rsidRDefault="00B62B22" w:rsidP="00B62B22">
      <w:pPr>
        <w:spacing w:line="360" w:lineRule="auto"/>
        <w:jc w:val="both"/>
        <w:rPr>
          <w:rFonts w:ascii="Book Antiqua" w:eastAsia="Book Antiqua" w:hAnsi="Book Antiqua"/>
          <w:b/>
          <w:sz w:val="24"/>
          <w:szCs w:val="24"/>
        </w:rPr>
      </w:pPr>
      <w:r w:rsidRPr="00113F82">
        <w:rPr>
          <w:rFonts w:ascii="Book Antiqua" w:hAnsi="Book Antiqua"/>
          <w:sz w:val="24"/>
          <w:szCs w:val="24"/>
        </w:rPr>
        <w:t>TIPS</w:t>
      </w:r>
      <w:r w:rsidRPr="00113F82">
        <w:rPr>
          <w:rFonts w:ascii="Book Antiqua" w:hAnsi="Book Antiqua"/>
          <w:sz w:val="24"/>
          <w:szCs w:val="24"/>
          <w:lang w:eastAsia="zh-CN"/>
        </w:rPr>
        <w:t>:</w:t>
      </w:r>
      <w:r w:rsidRPr="00113F82">
        <w:rPr>
          <w:rFonts w:ascii="Book Antiqua" w:hAnsi="Book Antiqua"/>
          <w:sz w:val="24"/>
          <w:szCs w:val="24"/>
        </w:rPr>
        <w:t xml:space="preserve"> Transjugular intrahepatic portosystemic shunt</w:t>
      </w:r>
      <w:r w:rsidRPr="00113F82">
        <w:rPr>
          <w:rFonts w:ascii="Book Antiqua" w:hAnsi="Book Antiqua"/>
          <w:sz w:val="24"/>
          <w:szCs w:val="24"/>
          <w:lang w:eastAsia="zh-CN"/>
        </w:rPr>
        <w:t xml:space="preserve">; </w:t>
      </w:r>
      <w:r w:rsidRPr="00113F82">
        <w:rPr>
          <w:rFonts w:ascii="Book Antiqua" w:eastAsia="Book Antiqua" w:hAnsi="Book Antiqua" w:cs="Book Antiqua"/>
          <w:sz w:val="24"/>
          <w:szCs w:val="24"/>
        </w:rPr>
        <w:t>MELD score:</w:t>
      </w:r>
      <w:r w:rsidRPr="00113F82">
        <w:rPr>
          <w:rFonts w:ascii="Book Antiqua" w:hAnsi="Book Antiqua"/>
          <w:sz w:val="24"/>
          <w:szCs w:val="24"/>
        </w:rPr>
        <w:t xml:space="preserve"> </w:t>
      </w:r>
      <w:r w:rsidRPr="00113F82">
        <w:rPr>
          <w:rFonts w:ascii="Book Antiqua" w:eastAsia="Book Antiqua" w:hAnsi="Book Antiqua" w:cs="Book Antiqua"/>
          <w:sz w:val="24"/>
          <w:szCs w:val="24"/>
        </w:rPr>
        <w:t>Model for end-stage liver disease score</w:t>
      </w:r>
      <w:r w:rsidRPr="00113F82">
        <w:rPr>
          <w:rFonts w:ascii="Book Antiqua" w:hAnsi="Book Antiqua" w:cs="Book Antiqua"/>
          <w:sz w:val="24"/>
          <w:szCs w:val="24"/>
          <w:lang w:eastAsia="zh-CN"/>
        </w:rPr>
        <w:t>.</w:t>
      </w:r>
    </w:p>
    <w:p w14:paraId="0375E8EA" w14:textId="77777777" w:rsidR="00B62B22" w:rsidRPr="00113F82" w:rsidRDefault="00B62B22">
      <w:pPr>
        <w:rPr>
          <w:rFonts w:ascii="Book Antiqua" w:hAnsi="Book Antiqua"/>
          <w:sz w:val="24"/>
          <w:szCs w:val="24"/>
          <w:lang w:eastAsia="zh-CN"/>
        </w:rPr>
      </w:pPr>
      <w:r w:rsidRPr="00113F82">
        <w:rPr>
          <w:rFonts w:ascii="Book Antiqua" w:hAnsi="Book Antiqua"/>
          <w:b/>
          <w:bCs/>
          <w:sz w:val="24"/>
          <w:szCs w:val="24"/>
          <w:lang w:eastAsia="zh-CN"/>
        </w:rPr>
        <w:br w:type="page"/>
      </w:r>
    </w:p>
    <w:p w14:paraId="1C2B73B4" w14:textId="7BFEA8E5" w:rsidR="00134EE9" w:rsidRPr="00113F82" w:rsidRDefault="00B62B22" w:rsidP="00E107FC">
      <w:pPr>
        <w:pStyle w:val="1"/>
        <w:spacing w:line="360" w:lineRule="auto"/>
        <w:ind w:left="0"/>
        <w:jc w:val="both"/>
      </w:pPr>
      <w:r w:rsidRPr="00113F82">
        <w:lastRenderedPageBreak/>
        <w:t>Table 2</w:t>
      </w:r>
      <w:r w:rsidR="00134EE9" w:rsidRPr="00113F82">
        <w:t xml:space="preserve"> The </w:t>
      </w:r>
      <w:r w:rsidRPr="00113F82">
        <w:t>portosystemic pressure gradient</w:t>
      </w:r>
      <w:r w:rsidR="00134EE9" w:rsidRPr="00113F82">
        <w:t xml:space="preserve"> before and after </w:t>
      </w:r>
      <w:r w:rsidR="00A03004" w:rsidRPr="00113F82">
        <w:t>transjugular intrahepatic portosystemic shunt</w:t>
      </w:r>
      <w:r w:rsidR="00134EE9" w:rsidRPr="00113F82">
        <w:t xml:space="preserve"> was significantly different in the two groups</w:t>
      </w:r>
    </w:p>
    <w:tbl>
      <w:tblPr>
        <w:tblStyle w:val="a8"/>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0"/>
        <w:gridCol w:w="1053"/>
        <w:gridCol w:w="992"/>
        <w:gridCol w:w="567"/>
        <w:gridCol w:w="567"/>
        <w:gridCol w:w="567"/>
        <w:gridCol w:w="851"/>
        <w:gridCol w:w="992"/>
        <w:gridCol w:w="992"/>
        <w:gridCol w:w="901"/>
      </w:tblGrid>
      <w:tr w:rsidR="00F91C4A" w:rsidRPr="00113F82" w14:paraId="738B6E24" w14:textId="77777777" w:rsidTr="00F91C4A">
        <w:tc>
          <w:tcPr>
            <w:tcW w:w="1040" w:type="dxa"/>
            <w:tcBorders>
              <w:top w:val="single" w:sz="4" w:space="0" w:color="auto"/>
              <w:bottom w:val="single" w:sz="4" w:space="0" w:color="auto"/>
            </w:tcBorders>
          </w:tcPr>
          <w:p w14:paraId="4A027A29"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p>
        </w:tc>
        <w:tc>
          <w:tcPr>
            <w:tcW w:w="1053" w:type="dxa"/>
            <w:tcBorders>
              <w:top w:val="single" w:sz="4" w:space="0" w:color="auto"/>
              <w:bottom w:val="single" w:sz="4" w:space="0" w:color="auto"/>
            </w:tcBorders>
          </w:tcPr>
          <w:p w14:paraId="5C155275"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113F82">
              <w:rPr>
                <w:rFonts w:ascii="Book Antiqua" w:eastAsiaTheme="minorEastAsia" w:hAnsi="Book Antiqua" w:cstheme="minorBidi"/>
                <w:b/>
                <w:sz w:val="24"/>
                <w:szCs w:val="24"/>
                <w:lang w:eastAsia="en-US"/>
              </w:rPr>
              <w:t>PPG before TIPS (mmHg)</w:t>
            </w:r>
          </w:p>
        </w:tc>
        <w:tc>
          <w:tcPr>
            <w:tcW w:w="992" w:type="dxa"/>
            <w:tcBorders>
              <w:top w:val="single" w:sz="4" w:space="0" w:color="auto"/>
              <w:bottom w:val="single" w:sz="4" w:space="0" w:color="auto"/>
            </w:tcBorders>
          </w:tcPr>
          <w:p w14:paraId="39092AFF"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113F82">
              <w:rPr>
                <w:rFonts w:ascii="Book Antiqua" w:eastAsiaTheme="minorEastAsia" w:hAnsi="Book Antiqua" w:cstheme="minorBidi"/>
                <w:b/>
                <w:sz w:val="24"/>
                <w:szCs w:val="24"/>
                <w:lang w:eastAsia="en-US"/>
              </w:rPr>
              <w:t>PPG after TIPS (mmHg)</w:t>
            </w:r>
          </w:p>
        </w:tc>
        <w:tc>
          <w:tcPr>
            <w:tcW w:w="567" w:type="dxa"/>
            <w:tcBorders>
              <w:top w:val="single" w:sz="4" w:space="0" w:color="auto"/>
              <w:bottom w:val="single" w:sz="4" w:space="0" w:color="auto"/>
            </w:tcBorders>
          </w:tcPr>
          <w:p w14:paraId="2FC33FF8"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113F82">
              <w:rPr>
                <w:rFonts w:ascii="Book Antiqua" w:eastAsiaTheme="minorEastAsia" w:hAnsi="Book Antiqua" w:cstheme="minorBidi"/>
                <w:b/>
                <w:sz w:val="24"/>
                <w:szCs w:val="24"/>
                <w:lang w:eastAsia="en-US"/>
              </w:rPr>
              <w:t>Number</w:t>
            </w:r>
          </w:p>
        </w:tc>
        <w:tc>
          <w:tcPr>
            <w:tcW w:w="567" w:type="dxa"/>
            <w:tcBorders>
              <w:top w:val="single" w:sz="4" w:space="0" w:color="auto"/>
              <w:bottom w:val="single" w:sz="4" w:space="0" w:color="auto"/>
            </w:tcBorders>
          </w:tcPr>
          <w:p w14:paraId="7079E3EF"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113F82">
              <w:rPr>
                <w:rFonts w:ascii="Book Antiqua" w:eastAsiaTheme="minorEastAsia" w:hAnsi="Book Antiqua" w:cstheme="minorBidi"/>
                <w:b/>
                <w:sz w:val="24"/>
                <w:szCs w:val="24"/>
                <w:lang w:eastAsia="en-US"/>
              </w:rPr>
              <w:t>t</w:t>
            </w:r>
          </w:p>
        </w:tc>
        <w:tc>
          <w:tcPr>
            <w:tcW w:w="567" w:type="dxa"/>
            <w:tcBorders>
              <w:top w:val="single" w:sz="4" w:space="0" w:color="auto"/>
              <w:bottom w:val="single" w:sz="4" w:space="0" w:color="auto"/>
            </w:tcBorders>
          </w:tcPr>
          <w:p w14:paraId="0F2A35AC"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113F82">
              <w:rPr>
                <w:rFonts w:ascii="Book Antiqua" w:eastAsiaTheme="minorEastAsia" w:hAnsi="Book Antiqua" w:cstheme="minorBidi"/>
                <w:b/>
                <w:sz w:val="24"/>
                <w:szCs w:val="24"/>
                <w:lang w:eastAsia="en-US"/>
              </w:rPr>
              <w:t>df</w:t>
            </w:r>
          </w:p>
        </w:tc>
        <w:tc>
          <w:tcPr>
            <w:tcW w:w="851" w:type="dxa"/>
            <w:tcBorders>
              <w:top w:val="single" w:sz="4" w:space="0" w:color="auto"/>
              <w:bottom w:val="single" w:sz="4" w:space="0" w:color="auto"/>
            </w:tcBorders>
          </w:tcPr>
          <w:p w14:paraId="6159C60C"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113F82">
              <w:rPr>
                <w:rFonts w:ascii="Book Antiqua" w:eastAsiaTheme="minorEastAsia" w:hAnsi="Book Antiqua" w:cstheme="minorBidi"/>
                <w:b/>
                <w:i/>
                <w:sz w:val="24"/>
                <w:szCs w:val="24"/>
                <w:lang w:eastAsia="en-US"/>
              </w:rPr>
              <w:t>P</w:t>
            </w:r>
            <w:r w:rsidRPr="00113F82">
              <w:rPr>
                <w:rFonts w:ascii="Book Antiqua" w:eastAsiaTheme="minorEastAsia" w:hAnsi="Book Antiqua" w:cstheme="minorBidi"/>
                <w:b/>
                <w:sz w:val="24"/>
                <w:szCs w:val="24"/>
                <w:lang w:eastAsia="en-US"/>
              </w:rPr>
              <w:t xml:space="preserve"> value</w:t>
            </w:r>
          </w:p>
        </w:tc>
        <w:tc>
          <w:tcPr>
            <w:tcW w:w="992" w:type="dxa"/>
            <w:tcBorders>
              <w:top w:val="single" w:sz="4" w:space="0" w:color="auto"/>
              <w:bottom w:val="single" w:sz="4" w:space="0" w:color="auto"/>
            </w:tcBorders>
          </w:tcPr>
          <w:p w14:paraId="4C0FADE6"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113F82">
              <w:rPr>
                <w:rFonts w:ascii="Book Antiqua" w:eastAsiaTheme="minorEastAsia" w:hAnsi="Book Antiqua" w:cstheme="minorBidi"/>
                <w:b/>
                <w:sz w:val="24"/>
                <w:szCs w:val="24"/>
                <w:lang w:eastAsia="en-US"/>
              </w:rPr>
              <w:t>SD of difference</w:t>
            </w:r>
          </w:p>
        </w:tc>
        <w:tc>
          <w:tcPr>
            <w:tcW w:w="992" w:type="dxa"/>
            <w:tcBorders>
              <w:top w:val="single" w:sz="4" w:space="0" w:color="auto"/>
              <w:bottom w:val="single" w:sz="4" w:space="0" w:color="auto"/>
            </w:tcBorders>
          </w:tcPr>
          <w:p w14:paraId="108F2DD8"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113F82">
              <w:rPr>
                <w:rFonts w:ascii="Book Antiqua" w:eastAsiaTheme="minorEastAsia" w:hAnsi="Book Antiqua" w:cstheme="minorBidi"/>
                <w:b/>
                <w:sz w:val="24"/>
                <w:szCs w:val="24"/>
                <w:lang w:eastAsia="en-US"/>
              </w:rPr>
              <w:t>SEM of difference</w:t>
            </w:r>
          </w:p>
        </w:tc>
        <w:tc>
          <w:tcPr>
            <w:tcW w:w="901" w:type="dxa"/>
            <w:tcBorders>
              <w:top w:val="single" w:sz="4" w:space="0" w:color="auto"/>
              <w:bottom w:val="single" w:sz="4" w:space="0" w:color="auto"/>
            </w:tcBorders>
          </w:tcPr>
          <w:p w14:paraId="5FDE706A"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113F82">
              <w:rPr>
                <w:rFonts w:ascii="Book Antiqua" w:eastAsiaTheme="minorEastAsia" w:hAnsi="Book Antiqua" w:cstheme="minorBidi"/>
                <w:b/>
                <w:sz w:val="24"/>
                <w:szCs w:val="24"/>
                <w:lang w:eastAsia="en-US"/>
              </w:rPr>
              <w:t>R squared</w:t>
            </w:r>
          </w:p>
        </w:tc>
      </w:tr>
      <w:tr w:rsidR="00F91C4A" w:rsidRPr="00113F82" w14:paraId="1D45BFC8" w14:textId="77777777" w:rsidTr="00F91C4A">
        <w:tc>
          <w:tcPr>
            <w:tcW w:w="1040" w:type="dxa"/>
            <w:tcBorders>
              <w:top w:val="single" w:sz="4" w:space="0" w:color="auto"/>
            </w:tcBorders>
          </w:tcPr>
          <w:p w14:paraId="470D60E6"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TIPS-</w:t>
            </w:r>
            <w:r w:rsidRPr="00113F82">
              <w:rPr>
                <w:rFonts w:ascii="Book Antiqua" w:eastAsiaTheme="minorEastAsia" w:hAnsi="Book Antiqua" w:cstheme="minorBidi"/>
                <w:sz w:val="24"/>
                <w:szCs w:val="24"/>
                <w:vertAlign w:val="superscript"/>
                <w:lang w:eastAsia="en-US"/>
              </w:rPr>
              <w:t>125</w:t>
            </w:r>
            <w:r w:rsidRPr="00113F82">
              <w:rPr>
                <w:rFonts w:ascii="Book Antiqua" w:eastAsiaTheme="minorEastAsia" w:hAnsi="Book Antiqua" w:cstheme="minorBidi"/>
                <w:sz w:val="24"/>
                <w:szCs w:val="24"/>
                <w:lang w:eastAsia="en-US"/>
              </w:rPr>
              <w:t>I group</w:t>
            </w:r>
          </w:p>
        </w:tc>
        <w:tc>
          <w:tcPr>
            <w:tcW w:w="1053" w:type="dxa"/>
            <w:tcBorders>
              <w:top w:val="single" w:sz="4" w:space="0" w:color="auto"/>
            </w:tcBorders>
          </w:tcPr>
          <w:p w14:paraId="674B4147" w14:textId="317D0283"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26.96</w:t>
            </w:r>
            <w:r w:rsidR="00B62B22" w:rsidRPr="00113F82">
              <w:rPr>
                <w:rFonts w:ascii="Book Antiqua" w:eastAsiaTheme="minorEastAsia" w:hAnsi="Book Antiqua" w:cstheme="minorBidi"/>
                <w:sz w:val="24"/>
                <w:szCs w:val="24"/>
                <w:lang w:eastAsia="en-US"/>
              </w:rPr>
              <w:t xml:space="preserve"> ± </w:t>
            </w:r>
            <w:r w:rsidRPr="00113F82">
              <w:rPr>
                <w:rFonts w:ascii="Book Antiqua" w:eastAsiaTheme="minorEastAsia" w:hAnsi="Book Antiqua" w:cstheme="minorBidi"/>
                <w:sz w:val="24"/>
                <w:szCs w:val="24"/>
                <w:lang w:eastAsia="en-US"/>
              </w:rPr>
              <w:t>5.73</w:t>
            </w:r>
          </w:p>
        </w:tc>
        <w:tc>
          <w:tcPr>
            <w:tcW w:w="992" w:type="dxa"/>
            <w:tcBorders>
              <w:top w:val="single" w:sz="4" w:space="0" w:color="auto"/>
            </w:tcBorders>
          </w:tcPr>
          <w:p w14:paraId="4D1425F2" w14:textId="6C92E5B5"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13.1</w:t>
            </w:r>
            <w:r w:rsidR="00B62B22" w:rsidRPr="00113F82">
              <w:rPr>
                <w:rFonts w:ascii="Book Antiqua" w:eastAsiaTheme="minorEastAsia" w:hAnsi="Book Antiqua" w:cstheme="minorBidi"/>
                <w:sz w:val="24"/>
                <w:szCs w:val="24"/>
                <w:lang w:eastAsia="en-US"/>
              </w:rPr>
              <w:t xml:space="preserve"> ± </w:t>
            </w:r>
            <w:r w:rsidRPr="00113F82">
              <w:rPr>
                <w:rFonts w:ascii="Book Antiqua" w:eastAsiaTheme="minorEastAsia" w:hAnsi="Book Antiqua" w:cstheme="minorBidi"/>
                <w:sz w:val="24"/>
                <w:szCs w:val="24"/>
                <w:lang w:eastAsia="en-US"/>
              </w:rPr>
              <w:t>5.9</w:t>
            </w:r>
          </w:p>
        </w:tc>
        <w:tc>
          <w:tcPr>
            <w:tcW w:w="567" w:type="dxa"/>
            <w:tcBorders>
              <w:top w:val="single" w:sz="4" w:space="0" w:color="auto"/>
            </w:tcBorders>
          </w:tcPr>
          <w:p w14:paraId="190096FF"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40</w:t>
            </w:r>
          </w:p>
        </w:tc>
        <w:tc>
          <w:tcPr>
            <w:tcW w:w="567" w:type="dxa"/>
            <w:tcBorders>
              <w:top w:val="single" w:sz="4" w:space="0" w:color="auto"/>
            </w:tcBorders>
          </w:tcPr>
          <w:p w14:paraId="46AD858F"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20.88</w:t>
            </w:r>
          </w:p>
        </w:tc>
        <w:tc>
          <w:tcPr>
            <w:tcW w:w="567" w:type="dxa"/>
            <w:tcBorders>
              <w:top w:val="single" w:sz="4" w:space="0" w:color="auto"/>
            </w:tcBorders>
          </w:tcPr>
          <w:p w14:paraId="09E99F63"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39</w:t>
            </w:r>
          </w:p>
        </w:tc>
        <w:tc>
          <w:tcPr>
            <w:tcW w:w="851" w:type="dxa"/>
            <w:tcBorders>
              <w:top w:val="single" w:sz="4" w:space="0" w:color="auto"/>
            </w:tcBorders>
          </w:tcPr>
          <w:p w14:paraId="629443AC" w14:textId="344CA076" w:rsidR="00134EE9" w:rsidRPr="00113F82" w:rsidRDefault="00B62B22"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rPr>
              <w:t xml:space="preserve">&lt; </w:t>
            </w:r>
            <w:r w:rsidR="00134EE9" w:rsidRPr="00113F82">
              <w:rPr>
                <w:rFonts w:ascii="Book Antiqua" w:eastAsiaTheme="minorEastAsia" w:hAnsi="Book Antiqua" w:cstheme="minorBidi"/>
                <w:sz w:val="24"/>
                <w:szCs w:val="24"/>
                <w:lang w:eastAsia="en-US"/>
              </w:rPr>
              <w:t>0.0001</w:t>
            </w:r>
          </w:p>
        </w:tc>
        <w:tc>
          <w:tcPr>
            <w:tcW w:w="992" w:type="dxa"/>
            <w:tcBorders>
              <w:top w:val="single" w:sz="4" w:space="0" w:color="auto"/>
            </w:tcBorders>
          </w:tcPr>
          <w:p w14:paraId="6CF50BDA"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4.367</w:t>
            </w:r>
          </w:p>
        </w:tc>
        <w:tc>
          <w:tcPr>
            <w:tcW w:w="992" w:type="dxa"/>
            <w:tcBorders>
              <w:top w:val="single" w:sz="4" w:space="0" w:color="auto"/>
            </w:tcBorders>
          </w:tcPr>
          <w:p w14:paraId="0FD49964"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0.6905</w:t>
            </w:r>
          </w:p>
        </w:tc>
        <w:tc>
          <w:tcPr>
            <w:tcW w:w="901" w:type="dxa"/>
            <w:tcBorders>
              <w:top w:val="single" w:sz="4" w:space="0" w:color="auto"/>
            </w:tcBorders>
          </w:tcPr>
          <w:p w14:paraId="6A0D5A15"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0.9179</w:t>
            </w:r>
          </w:p>
        </w:tc>
      </w:tr>
      <w:tr w:rsidR="00134EE9" w:rsidRPr="00113F82" w14:paraId="0A614D4C" w14:textId="77777777" w:rsidTr="00F91C4A">
        <w:tc>
          <w:tcPr>
            <w:tcW w:w="1040" w:type="dxa"/>
          </w:tcPr>
          <w:p w14:paraId="17DB2191"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TIPS only group</w:t>
            </w:r>
          </w:p>
        </w:tc>
        <w:tc>
          <w:tcPr>
            <w:tcW w:w="1053" w:type="dxa"/>
          </w:tcPr>
          <w:p w14:paraId="4CA37D35" w14:textId="7855D4E3"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26.12</w:t>
            </w:r>
            <w:r w:rsidR="00B62B22" w:rsidRPr="00113F82">
              <w:rPr>
                <w:rFonts w:ascii="Book Antiqua" w:eastAsiaTheme="minorEastAsia" w:hAnsi="Book Antiqua" w:cstheme="minorBidi"/>
                <w:sz w:val="24"/>
                <w:szCs w:val="24"/>
                <w:lang w:eastAsia="en-US"/>
              </w:rPr>
              <w:t xml:space="preserve"> ± </w:t>
            </w:r>
            <w:r w:rsidRPr="00113F82">
              <w:rPr>
                <w:rFonts w:ascii="Book Antiqua" w:eastAsiaTheme="minorEastAsia" w:hAnsi="Book Antiqua" w:cstheme="minorBidi"/>
                <w:sz w:val="24"/>
                <w:szCs w:val="24"/>
                <w:lang w:eastAsia="en-US"/>
              </w:rPr>
              <w:t>5</w:t>
            </w:r>
          </w:p>
        </w:tc>
        <w:tc>
          <w:tcPr>
            <w:tcW w:w="992" w:type="dxa"/>
          </w:tcPr>
          <w:p w14:paraId="370749AC" w14:textId="78C91050"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12.6</w:t>
            </w:r>
            <w:r w:rsidR="00B62B22" w:rsidRPr="00113F82">
              <w:rPr>
                <w:rFonts w:ascii="Book Antiqua" w:eastAsiaTheme="minorEastAsia" w:hAnsi="Book Antiqua" w:cstheme="minorBidi"/>
                <w:sz w:val="24"/>
                <w:szCs w:val="24"/>
                <w:lang w:eastAsia="en-US"/>
              </w:rPr>
              <w:t xml:space="preserve"> ± </w:t>
            </w:r>
            <w:r w:rsidRPr="00113F82">
              <w:rPr>
                <w:rFonts w:ascii="Book Antiqua" w:eastAsiaTheme="minorEastAsia" w:hAnsi="Book Antiqua" w:cstheme="minorBidi"/>
                <w:sz w:val="24"/>
                <w:szCs w:val="24"/>
                <w:lang w:eastAsia="en-US"/>
              </w:rPr>
              <w:t>5.4</w:t>
            </w:r>
          </w:p>
        </w:tc>
        <w:tc>
          <w:tcPr>
            <w:tcW w:w="567" w:type="dxa"/>
          </w:tcPr>
          <w:p w14:paraId="2DA22925"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45</w:t>
            </w:r>
          </w:p>
        </w:tc>
        <w:tc>
          <w:tcPr>
            <w:tcW w:w="567" w:type="dxa"/>
          </w:tcPr>
          <w:p w14:paraId="41114C3B"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22.94</w:t>
            </w:r>
          </w:p>
        </w:tc>
        <w:tc>
          <w:tcPr>
            <w:tcW w:w="567" w:type="dxa"/>
          </w:tcPr>
          <w:p w14:paraId="4FA63A77"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44</w:t>
            </w:r>
          </w:p>
        </w:tc>
        <w:tc>
          <w:tcPr>
            <w:tcW w:w="851" w:type="dxa"/>
          </w:tcPr>
          <w:p w14:paraId="371DC890"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0.0002</w:t>
            </w:r>
          </w:p>
        </w:tc>
        <w:tc>
          <w:tcPr>
            <w:tcW w:w="992" w:type="dxa"/>
          </w:tcPr>
          <w:p w14:paraId="0CA41448"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4.089</w:t>
            </w:r>
          </w:p>
        </w:tc>
        <w:tc>
          <w:tcPr>
            <w:tcW w:w="992" w:type="dxa"/>
          </w:tcPr>
          <w:p w14:paraId="0DAACB14"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0.6096</w:t>
            </w:r>
          </w:p>
        </w:tc>
        <w:tc>
          <w:tcPr>
            <w:tcW w:w="901" w:type="dxa"/>
          </w:tcPr>
          <w:p w14:paraId="6C3D653A"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0.9228</w:t>
            </w:r>
          </w:p>
        </w:tc>
      </w:tr>
    </w:tbl>
    <w:p w14:paraId="74AAD24E" w14:textId="77777777" w:rsidR="00B62B22" w:rsidRPr="00113F82" w:rsidRDefault="00B62B22" w:rsidP="00E107FC">
      <w:pPr>
        <w:spacing w:line="360" w:lineRule="auto"/>
        <w:jc w:val="both"/>
        <w:rPr>
          <w:rFonts w:ascii="Book Antiqua" w:hAnsi="Book Antiqua"/>
          <w:sz w:val="24"/>
          <w:szCs w:val="24"/>
          <w:lang w:eastAsia="zh-CN"/>
        </w:rPr>
      </w:pPr>
    </w:p>
    <w:p w14:paraId="51DF0D63" w14:textId="0BF943CD" w:rsidR="00134EE9" w:rsidRPr="00113F82" w:rsidRDefault="00B62B22" w:rsidP="00E107FC">
      <w:pPr>
        <w:spacing w:line="360" w:lineRule="auto"/>
        <w:jc w:val="both"/>
        <w:rPr>
          <w:rFonts w:ascii="Book Antiqua" w:hAnsi="Book Antiqua"/>
          <w:sz w:val="24"/>
          <w:szCs w:val="24"/>
          <w:lang w:eastAsia="zh-CN"/>
        </w:rPr>
      </w:pPr>
      <w:r w:rsidRPr="00113F82">
        <w:rPr>
          <w:rFonts w:ascii="Book Antiqua" w:hAnsi="Book Antiqua"/>
          <w:sz w:val="24"/>
          <w:szCs w:val="24"/>
        </w:rPr>
        <w:t>TIPS</w:t>
      </w:r>
      <w:r w:rsidRPr="00113F82">
        <w:rPr>
          <w:rFonts w:ascii="Book Antiqua" w:hAnsi="Book Antiqua"/>
          <w:sz w:val="24"/>
          <w:szCs w:val="24"/>
          <w:lang w:eastAsia="zh-CN"/>
        </w:rPr>
        <w:t>:</w:t>
      </w:r>
      <w:r w:rsidRPr="00113F82">
        <w:rPr>
          <w:rFonts w:ascii="Book Antiqua" w:hAnsi="Book Antiqua"/>
          <w:sz w:val="24"/>
          <w:szCs w:val="24"/>
        </w:rPr>
        <w:t xml:space="preserve"> Transjugular intrahepatic portosystemic shunt</w:t>
      </w:r>
      <w:r w:rsidRPr="00113F82">
        <w:rPr>
          <w:rFonts w:ascii="Book Antiqua" w:hAnsi="Book Antiqua"/>
          <w:sz w:val="24"/>
          <w:szCs w:val="24"/>
          <w:lang w:eastAsia="zh-CN"/>
        </w:rPr>
        <w:t>;</w:t>
      </w:r>
      <w:r w:rsidRPr="00113F82">
        <w:rPr>
          <w:rFonts w:ascii="Book Antiqua" w:hAnsi="Book Antiqua"/>
          <w:sz w:val="24"/>
          <w:szCs w:val="24"/>
        </w:rPr>
        <w:t xml:space="preserve"> PPG</w:t>
      </w:r>
      <w:r w:rsidRPr="00113F82">
        <w:rPr>
          <w:rFonts w:ascii="Book Antiqua" w:hAnsi="Book Antiqua"/>
          <w:sz w:val="24"/>
          <w:szCs w:val="24"/>
          <w:lang w:eastAsia="zh-CN"/>
        </w:rPr>
        <w:t>:</w:t>
      </w:r>
      <w:r w:rsidRPr="00113F82">
        <w:rPr>
          <w:rFonts w:ascii="Book Antiqua" w:hAnsi="Book Antiqua"/>
          <w:sz w:val="24"/>
          <w:szCs w:val="24"/>
        </w:rPr>
        <w:t xml:space="preserve"> Portosystemic pressure gradient</w:t>
      </w:r>
      <w:r w:rsidRPr="00113F82">
        <w:rPr>
          <w:rFonts w:ascii="Book Antiqua" w:hAnsi="Book Antiqua"/>
          <w:sz w:val="24"/>
          <w:szCs w:val="24"/>
          <w:lang w:eastAsia="zh-CN"/>
        </w:rPr>
        <w:t>.</w:t>
      </w:r>
    </w:p>
    <w:p w14:paraId="3EC785CF" w14:textId="77777777" w:rsidR="00B62B22" w:rsidRPr="00113F82" w:rsidRDefault="00B62B22" w:rsidP="00E107FC">
      <w:pPr>
        <w:spacing w:line="360" w:lineRule="auto"/>
        <w:jc w:val="both"/>
        <w:rPr>
          <w:rFonts w:ascii="Book Antiqua" w:hAnsi="Book Antiqua"/>
          <w:sz w:val="24"/>
          <w:szCs w:val="24"/>
        </w:rPr>
      </w:pPr>
    </w:p>
    <w:p w14:paraId="143C810B" w14:textId="77777777" w:rsidR="00754442" w:rsidRPr="00113F82" w:rsidRDefault="00754442">
      <w:pPr>
        <w:rPr>
          <w:rFonts w:ascii="Book Antiqua" w:eastAsia="Book Antiqua" w:hAnsi="Book Antiqua"/>
          <w:b/>
          <w:bCs/>
          <w:sz w:val="24"/>
          <w:szCs w:val="24"/>
        </w:rPr>
      </w:pPr>
      <w:r w:rsidRPr="00113F82">
        <w:rPr>
          <w:rFonts w:ascii="Book Antiqua" w:hAnsi="Book Antiqua"/>
          <w:sz w:val="24"/>
          <w:szCs w:val="24"/>
        </w:rPr>
        <w:br w:type="page"/>
      </w:r>
    </w:p>
    <w:p w14:paraId="75117251" w14:textId="512F076B" w:rsidR="00134EE9" w:rsidRPr="00113F82" w:rsidRDefault="00134EE9" w:rsidP="00E107FC">
      <w:pPr>
        <w:pStyle w:val="1"/>
        <w:spacing w:line="360" w:lineRule="auto"/>
        <w:ind w:left="0"/>
        <w:jc w:val="both"/>
      </w:pPr>
      <w:r w:rsidRPr="00113F82">
        <w:lastRenderedPageBreak/>
        <w:t>Table 3 The rates of symptom recurrence, stent restenosis and survival during follow-up</w:t>
      </w:r>
    </w:p>
    <w:tbl>
      <w:tblPr>
        <w:tblStyle w:val="a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1843"/>
        <w:gridCol w:w="1888"/>
        <w:gridCol w:w="2131"/>
      </w:tblGrid>
      <w:tr w:rsidR="00F91C4A" w:rsidRPr="00113F82" w14:paraId="7F7CC508" w14:textId="77777777" w:rsidTr="00F91C4A">
        <w:tc>
          <w:tcPr>
            <w:tcW w:w="2660" w:type="dxa"/>
            <w:tcBorders>
              <w:top w:val="single" w:sz="4" w:space="0" w:color="auto"/>
              <w:bottom w:val="single" w:sz="4" w:space="0" w:color="auto"/>
            </w:tcBorders>
          </w:tcPr>
          <w:p w14:paraId="395B8816"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p>
        </w:tc>
        <w:tc>
          <w:tcPr>
            <w:tcW w:w="1843" w:type="dxa"/>
            <w:tcBorders>
              <w:top w:val="single" w:sz="4" w:space="0" w:color="auto"/>
              <w:bottom w:val="single" w:sz="4" w:space="0" w:color="auto"/>
            </w:tcBorders>
          </w:tcPr>
          <w:p w14:paraId="078074CF"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113F82">
              <w:rPr>
                <w:rFonts w:ascii="Book Antiqua" w:eastAsiaTheme="minorEastAsia" w:hAnsi="Book Antiqua" w:cstheme="minorBidi"/>
                <w:b/>
                <w:sz w:val="24"/>
                <w:szCs w:val="24"/>
                <w:lang w:eastAsia="en-US"/>
              </w:rPr>
              <w:t>TIPS-</w:t>
            </w:r>
            <w:r w:rsidRPr="00113F82">
              <w:rPr>
                <w:rFonts w:ascii="Book Antiqua" w:eastAsiaTheme="minorEastAsia" w:hAnsi="Book Antiqua" w:cstheme="minorBidi"/>
                <w:b/>
                <w:sz w:val="24"/>
                <w:szCs w:val="24"/>
                <w:vertAlign w:val="superscript"/>
                <w:lang w:eastAsia="en-US"/>
              </w:rPr>
              <w:t>125</w:t>
            </w:r>
            <w:r w:rsidRPr="00113F82">
              <w:rPr>
                <w:rFonts w:ascii="Book Antiqua" w:eastAsiaTheme="minorEastAsia" w:hAnsi="Book Antiqua" w:cstheme="minorBidi"/>
                <w:b/>
                <w:sz w:val="24"/>
                <w:szCs w:val="24"/>
                <w:lang w:eastAsia="en-US"/>
              </w:rPr>
              <w:t>I group</w:t>
            </w:r>
          </w:p>
        </w:tc>
        <w:tc>
          <w:tcPr>
            <w:tcW w:w="1888" w:type="dxa"/>
            <w:tcBorders>
              <w:top w:val="single" w:sz="4" w:space="0" w:color="auto"/>
              <w:bottom w:val="single" w:sz="4" w:space="0" w:color="auto"/>
            </w:tcBorders>
          </w:tcPr>
          <w:p w14:paraId="660DE13E"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113F82">
              <w:rPr>
                <w:rFonts w:ascii="Book Antiqua" w:eastAsiaTheme="minorEastAsia" w:hAnsi="Book Antiqua" w:cstheme="minorBidi"/>
                <w:b/>
                <w:sz w:val="24"/>
                <w:szCs w:val="24"/>
                <w:lang w:eastAsia="en-US"/>
              </w:rPr>
              <w:t>TIPS only group</w:t>
            </w:r>
          </w:p>
        </w:tc>
        <w:tc>
          <w:tcPr>
            <w:tcW w:w="2131" w:type="dxa"/>
            <w:tcBorders>
              <w:top w:val="single" w:sz="4" w:space="0" w:color="auto"/>
              <w:bottom w:val="single" w:sz="4" w:space="0" w:color="auto"/>
            </w:tcBorders>
          </w:tcPr>
          <w:p w14:paraId="3D8702A2"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113F82">
              <w:rPr>
                <w:rFonts w:ascii="Book Antiqua" w:eastAsiaTheme="minorEastAsia" w:hAnsi="Book Antiqua" w:cstheme="minorBidi"/>
                <w:b/>
                <w:i/>
                <w:sz w:val="24"/>
                <w:szCs w:val="24"/>
                <w:lang w:eastAsia="en-US"/>
              </w:rPr>
              <w:t>P</w:t>
            </w:r>
            <w:r w:rsidRPr="00113F82">
              <w:rPr>
                <w:rFonts w:ascii="Book Antiqua" w:eastAsiaTheme="minorEastAsia" w:hAnsi="Book Antiqua" w:cstheme="minorBidi"/>
                <w:b/>
                <w:sz w:val="24"/>
                <w:szCs w:val="24"/>
                <w:lang w:eastAsia="en-US"/>
              </w:rPr>
              <w:t xml:space="preserve"> value</w:t>
            </w:r>
          </w:p>
        </w:tc>
      </w:tr>
      <w:tr w:rsidR="00F91C4A" w:rsidRPr="00113F82" w14:paraId="5FFB9900" w14:textId="77777777" w:rsidTr="00F91C4A">
        <w:tc>
          <w:tcPr>
            <w:tcW w:w="2660" w:type="dxa"/>
            <w:tcBorders>
              <w:top w:val="single" w:sz="4" w:space="0" w:color="auto"/>
            </w:tcBorders>
          </w:tcPr>
          <w:p w14:paraId="709FCF58"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Rate of stent stenosis</w:t>
            </w:r>
          </w:p>
        </w:tc>
        <w:tc>
          <w:tcPr>
            <w:tcW w:w="1843" w:type="dxa"/>
            <w:tcBorders>
              <w:top w:val="single" w:sz="4" w:space="0" w:color="auto"/>
            </w:tcBorders>
          </w:tcPr>
          <w:p w14:paraId="3DE26485"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c>
          <w:tcPr>
            <w:tcW w:w="1888" w:type="dxa"/>
            <w:tcBorders>
              <w:top w:val="single" w:sz="4" w:space="0" w:color="auto"/>
            </w:tcBorders>
          </w:tcPr>
          <w:p w14:paraId="31371E68"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c>
          <w:tcPr>
            <w:tcW w:w="2131" w:type="dxa"/>
            <w:tcBorders>
              <w:top w:val="single" w:sz="4" w:space="0" w:color="auto"/>
            </w:tcBorders>
          </w:tcPr>
          <w:p w14:paraId="2A963853" w14:textId="6206C690" w:rsidR="00134EE9" w:rsidRPr="00113F82"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rPr>
              <w:t xml:space="preserve">&lt; </w:t>
            </w:r>
            <w:r w:rsidR="00134EE9" w:rsidRPr="00113F82">
              <w:rPr>
                <w:rFonts w:ascii="Book Antiqua" w:eastAsiaTheme="minorEastAsia" w:hAnsi="Book Antiqua" w:cstheme="minorBidi"/>
                <w:sz w:val="24"/>
                <w:szCs w:val="24"/>
                <w:lang w:eastAsia="en-US"/>
              </w:rPr>
              <w:t>0.05</w:t>
            </w:r>
          </w:p>
        </w:tc>
      </w:tr>
      <w:tr w:rsidR="00F91C4A" w:rsidRPr="00113F82" w14:paraId="2CFC1862" w14:textId="77777777" w:rsidTr="00F91C4A">
        <w:tc>
          <w:tcPr>
            <w:tcW w:w="2660" w:type="dxa"/>
          </w:tcPr>
          <w:p w14:paraId="52296E77" w14:textId="14AEC95B" w:rsidR="00134EE9" w:rsidRPr="00113F82" w:rsidRDefault="00134EE9" w:rsidP="00754442">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6 mo</w:t>
            </w:r>
          </w:p>
        </w:tc>
        <w:tc>
          <w:tcPr>
            <w:tcW w:w="1843" w:type="dxa"/>
          </w:tcPr>
          <w:p w14:paraId="1A7FA06D"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12.5</w:t>
            </w:r>
          </w:p>
        </w:tc>
        <w:tc>
          <w:tcPr>
            <w:tcW w:w="1888" w:type="dxa"/>
          </w:tcPr>
          <w:p w14:paraId="2D3A3D3B"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42.2</w:t>
            </w:r>
          </w:p>
        </w:tc>
        <w:tc>
          <w:tcPr>
            <w:tcW w:w="2131" w:type="dxa"/>
          </w:tcPr>
          <w:p w14:paraId="2E4BCCC9"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F91C4A" w:rsidRPr="00113F82" w14:paraId="765B1D47" w14:textId="77777777" w:rsidTr="00F91C4A">
        <w:tc>
          <w:tcPr>
            <w:tcW w:w="2660" w:type="dxa"/>
          </w:tcPr>
          <w:p w14:paraId="5E402784" w14:textId="106F6CFF" w:rsidR="00134EE9" w:rsidRPr="00113F82" w:rsidRDefault="00134EE9" w:rsidP="00754442">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12 mo</w:t>
            </w:r>
          </w:p>
        </w:tc>
        <w:tc>
          <w:tcPr>
            <w:tcW w:w="1843" w:type="dxa"/>
          </w:tcPr>
          <w:p w14:paraId="5E38CA78"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27.5</w:t>
            </w:r>
          </w:p>
        </w:tc>
        <w:tc>
          <w:tcPr>
            <w:tcW w:w="1888" w:type="dxa"/>
          </w:tcPr>
          <w:p w14:paraId="43BC3D6D"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68.9</w:t>
            </w:r>
          </w:p>
        </w:tc>
        <w:tc>
          <w:tcPr>
            <w:tcW w:w="2131" w:type="dxa"/>
          </w:tcPr>
          <w:p w14:paraId="278D64A7"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F91C4A" w:rsidRPr="00113F82" w14:paraId="70E2045B" w14:textId="77777777" w:rsidTr="00F91C4A">
        <w:tc>
          <w:tcPr>
            <w:tcW w:w="2660" w:type="dxa"/>
          </w:tcPr>
          <w:p w14:paraId="207F18FE" w14:textId="1DB52A50" w:rsidR="00134EE9" w:rsidRPr="00113F82" w:rsidRDefault="00134EE9" w:rsidP="00754442">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24 mo</w:t>
            </w:r>
          </w:p>
        </w:tc>
        <w:tc>
          <w:tcPr>
            <w:tcW w:w="1843" w:type="dxa"/>
          </w:tcPr>
          <w:p w14:paraId="46EE86D7"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42.5</w:t>
            </w:r>
          </w:p>
        </w:tc>
        <w:tc>
          <w:tcPr>
            <w:tcW w:w="1888" w:type="dxa"/>
          </w:tcPr>
          <w:p w14:paraId="47B7B348"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84.4</w:t>
            </w:r>
          </w:p>
        </w:tc>
        <w:tc>
          <w:tcPr>
            <w:tcW w:w="2131" w:type="dxa"/>
          </w:tcPr>
          <w:p w14:paraId="6D65AE71"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F91C4A" w:rsidRPr="00113F82" w14:paraId="2131C275" w14:textId="77777777" w:rsidTr="00F91C4A">
        <w:tc>
          <w:tcPr>
            <w:tcW w:w="2660" w:type="dxa"/>
          </w:tcPr>
          <w:p w14:paraId="29CE1910"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Rate of symptom recurrence</w:t>
            </w:r>
          </w:p>
        </w:tc>
        <w:tc>
          <w:tcPr>
            <w:tcW w:w="1843" w:type="dxa"/>
          </w:tcPr>
          <w:p w14:paraId="62A433FB"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c>
          <w:tcPr>
            <w:tcW w:w="1888" w:type="dxa"/>
          </w:tcPr>
          <w:p w14:paraId="506B14BA"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c>
          <w:tcPr>
            <w:tcW w:w="2131" w:type="dxa"/>
          </w:tcPr>
          <w:p w14:paraId="3706F6AB" w14:textId="54A19712" w:rsidR="00134EE9" w:rsidRPr="00113F82"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rPr>
              <w:t xml:space="preserve">&lt; </w:t>
            </w:r>
            <w:r w:rsidR="00134EE9" w:rsidRPr="00113F82">
              <w:rPr>
                <w:rFonts w:ascii="Book Antiqua" w:eastAsiaTheme="minorEastAsia" w:hAnsi="Book Antiqua" w:cstheme="minorBidi"/>
                <w:sz w:val="24"/>
                <w:szCs w:val="24"/>
                <w:lang w:eastAsia="en-US"/>
              </w:rPr>
              <w:t>0.05</w:t>
            </w:r>
          </w:p>
        </w:tc>
      </w:tr>
      <w:tr w:rsidR="00754442" w:rsidRPr="00113F82" w14:paraId="47A89776" w14:textId="77777777" w:rsidTr="00F91C4A">
        <w:tc>
          <w:tcPr>
            <w:tcW w:w="2660" w:type="dxa"/>
          </w:tcPr>
          <w:p w14:paraId="0CFDCF29" w14:textId="7894ED46" w:rsidR="00754442" w:rsidRPr="00113F82"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6 mo</w:t>
            </w:r>
          </w:p>
        </w:tc>
        <w:tc>
          <w:tcPr>
            <w:tcW w:w="1843" w:type="dxa"/>
          </w:tcPr>
          <w:p w14:paraId="00010468" w14:textId="77777777" w:rsidR="00754442" w:rsidRPr="00113F82"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7.5</w:t>
            </w:r>
          </w:p>
        </w:tc>
        <w:tc>
          <w:tcPr>
            <w:tcW w:w="1888" w:type="dxa"/>
          </w:tcPr>
          <w:p w14:paraId="4212B936" w14:textId="77777777" w:rsidR="00754442" w:rsidRPr="00113F82"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31.1</w:t>
            </w:r>
          </w:p>
        </w:tc>
        <w:tc>
          <w:tcPr>
            <w:tcW w:w="2131" w:type="dxa"/>
          </w:tcPr>
          <w:p w14:paraId="635825A2" w14:textId="77777777" w:rsidR="00754442" w:rsidRPr="00113F82"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754442" w:rsidRPr="00113F82" w14:paraId="3D78F1AA" w14:textId="77777777" w:rsidTr="00F91C4A">
        <w:tc>
          <w:tcPr>
            <w:tcW w:w="2660" w:type="dxa"/>
          </w:tcPr>
          <w:p w14:paraId="29C75B04" w14:textId="6025CD90" w:rsidR="00754442" w:rsidRPr="00113F82"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12 mo</w:t>
            </w:r>
          </w:p>
        </w:tc>
        <w:tc>
          <w:tcPr>
            <w:tcW w:w="1843" w:type="dxa"/>
          </w:tcPr>
          <w:p w14:paraId="5FFB776D" w14:textId="77777777" w:rsidR="00754442" w:rsidRPr="00113F82"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22.5</w:t>
            </w:r>
          </w:p>
        </w:tc>
        <w:tc>
          <w:tcPr>
            <w:tcW w:w="1888" w:type="dxa"/>
          </w:tcPr>
          <w:p w14:paraId="4D217BAB" w14:textId="77777777" w:rsidR="00754442" w:rsidRPr="00113F82"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62.2</w:t>
            </w:r>
          </w:p>
        </w:tc>
        <w:tc>
          <w:tcPr>
            <w:tcW w:w="2131" w:type="dxa"/>
          </w:tcPr>
          <w:p w14:paraId="18923E9E" w14:textId="77777777" w:rsidR="00754442" w:rsidRPr="00113F82"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754442" w:rsidRPr="00113F82" w14:paraId="159BD4E9" w14:textId="77777777" w:rsidTr="00F91C4A">
        <w:tc>
          <w:tcPr>
            <w:tcW w:w="2660" w:type="dxa"/>
          </w:tcPr>
          <w:p w14:paraId="63DBDE6C" w14:textId="6E091CA7" w:rsidR="00754442" w:rsidRPr="00113F82"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24 mo</w:t>
            </w:r>
          </w:p>
        </w:tc>
        <w:tc>
          <w:tcPr>
            <w:tcW w:w="1843" w:type="dxa"/>
          </w:tcPr>
          <w:p w14:paraId="04F0C302" w14:textId="77777777" w:rsidR="00754442" w:rsidRPr="00113F82"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35</w:t>
            </w:r>
          </w:p>
        </w:tc>
        <w:tc>
          <w:tcPr>
            <w:tcW w:w="1888" w:type="dxa"/>
          </w:tcPr>
          <w:p w14:paraId="2375DB2D" w14:textId="77777777" w:rsidR="00754442" w:rsidRPr="00113F82"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82.2</w:t>
            </w:r>
          </w:p>
        </w:tc>
        <w:tc>
          <w:tcPr>
            <w:tcW w:w="2131" w:type="dxa"/>
          </w:tcPr>
          <w:p w14:paraId="7B6610B4" w14:textId="77777777" w:rsidR="00754442" w:rsidRPr="00113F82"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F91C4A" w:rsidRPr="00113F82" w14:paraId="25845C56" w14:textId="77777777" w:rsidTr="00F91C4A">
        <w:tc>
          <w:tcPr>
            <w:tcW w:w="2660" w:type="dxa"/>
          </w:tcPr>
          <w:p w14:paraId="1643AA84"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Survival rate</w:t>
            </w:r>
          </w:p>
        </w:tc>
        <w:tc>
          <w:tcPr>
            <w:tcW w:w="1843" w:type="dxa"/>
          </w:tcPr>
          <w:p w14:paraId="3CF14273"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c>
          <w:tcPr>
            <w:tcW w:w="1888" w:type="dxa"/>
          </w:tcPr>
          <w:p w14:paraId="0E8F0DF9"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c>
          <w:tcPr>
            <w:tcW w:w="2131" w:type="dxa"/>
          </w:tcPr>
          <w:p w14:paraId="2117B4EB" w14:textId="28E92EA2" w:rsidR="00134EE9" w:rsidRPr="00113F82"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rPr>
              <w:t xml:space="preserve">&lt; </w:t>
            </w:r>
            <w:r w:rsidR="00134EE9" w:rsidRPr="00113F82">
              <w:rPr>
                <w:rFonts w:ascii="Book Antiqua" w:eastAsiaTheme="minorEastAsia" w:hAnsi="Book Antiqua" w:cstheme="minorBidi"/>
                <w:sz w:val="24"/>
                <w:szCs w:val="24"/>
                <w:lang w:eastAsia="en-US"/>
              </w:rPr>
              <w:t>0.05</w:t>
            </w:r>
          </w:p>
        </w:tc>
      </w:tr>
      <w:tr w:rsidR="00754442" w:rsidRPr="00113F82" w14:paraId="5B255B0F" w14:textId="77777777" w:rsidTr="00F91C4A">
        <w:tc>
          <w:tcPr>
            <w:tcW w:w="2660" w:type="dxa"/>
          </w:tcPr>
          <w:p w14:paraId="61D71539" w14:textId="7FBECD6D" w:rsidR="00754442" w:rsidRPr="00113F82"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6 mo</w:t>
            </w:r>
          </w:p>
        </w:tc>
        <w:tc>
          <w:tcPr>
            <w:tcW w:w="1843" w:type="dxa"/>
          </w:tcPr>
          <w:p w14:paraId="13561E93" w14:textId="77777777" w:rsidR="00754442" w:rsidRPr="00113F82"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80</w:t>
            </w:r>
          </w:p>
        </w:tc>
        <w:tc>
          <w:tcPr>
            <w:tcW w:w="1888" w:type="dxa"/>
          </w:tcPr>
          <w:p w14:paraId="69DFB256" w14:textId="77777777" w:rsidR="00754442" w:rsidRPr="00113F82"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64.4</w:t>
            </w:r>
          </w:p>
        </w:tc>
        <w:tc>
          <w:tcPr>
            <w:tcW w:w="2131" w:type="dxa"/>
          </w:tcPr>
          <w:p w14:paraId="45C96B47" w14:textId="77777777" w:rsidR="00754442" w:rsidRPr="00113F82"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754442" w:rsidRPr="00113F82" w14:paraId="56B23218" w14:textId="77777777" w:rsidTr="00F91C4A">
        <w:tc>
          <w:tcPr>
            <w:tcW w:w="2660" w:type="dxa"/>
          </w:tcPr>
          <w:p w14:paraId="4323273D" w14:textId="6A4EFA9A" w:rsidR="00754442" w:rsidRPr="00113F82"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12 mo</w:t>
            </w:r>
          </w:p>
        </w:tc>
        <w:tc>
          <w:tcPr>
            <w:tcW w:w="1843" w:type="dxa"/>
          </w:tcPr>
          <w:p w14:paraId="36A5325E" w14:textId="77777777" w:rsidR="00754442" w:rsidRPr="00113F82"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45</w:t>
            </w:r>
          </w:p>
        </w:tc>
        <w:tc>
          <w:tcPr>
            <w:tcW w:w="1888" w:type="dxa"/>
          </w:tcPr>
          <w:p w14:paraId="7A8A0681" w14:textId="77777777" w:rsidR="00754442" w:rsidRPr="00113F82"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24.4</w:t>
            </w:r>
          </w:p>
        </w:tc>
        <w:tc>
          <w:tcPr>
            <w:tcW w:w="2131" w:type="dxa"/>
          </w:tcPr>
          <w:p w14:paraId="1C287236" w14:textId="77777777" w:rsidR="00754442" w:rsidRPr="00113F82"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754442" w:rsidRPr="00113F82" w14:paraId="5DAA47F7" w14:textId="77777777" w:rsidTr="00F91C4A">
        <w:tc>
          <w:tcPr>
            <w:tcW w:w="2660" w:type="dxa"/>
          </w:tcPr>
          <w:p w14:paraId="0D38B091" w14:textId="1975EE22" w:rsidR="00754442" w:rsidRPr="00113F82"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24 mo</w:t>
            </w:r>
          </w:p>
        </w:tc>
        <w:tc>
          <w:tcPr>
            <w:tcW w:w="1843" w:type="dxa"/>
          </w:tcPr>
          <w:p w14:paraId="52DA6917" w14:textId="77777777" w:rsidR="00754442" w:rsidRPr="00113F82"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20</w:t>
            </w:r>
          </w:p>
        </w:tc>
        <w:tc>
          <w:tcPr>
            <w:tcW w:w="1888" w:type="dxa"/>
          </w:tcPr>
          <w:p w14:paraId="1FFE7CF6" w14:textId="77777777" w:rsidR="00754442" w:rsidRPr="00113F82"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113F82">
              <w:rPr>
                <w:rFonts w:ascii="Book Antiqua" w:eastAsiaTheme="minorEastAsia" w:hAnsi="Book Antiqua" w:cstheme="minorBidi"/>
                <w:sz w:val="24"/>
                <w:szCs w:val="24"/>
                <w:lang w:eastAsia="en-US"/>
              </w:rPr>
              <w:t>4.4</w:t>
            </w:r>
          </w:p>
        </w:tc>
        <w:tc>
          <w:tcPr>
            <w:tcW w:w="2131" w:type="dxa"/>
          </w:tcPr>
          <w:p w14:paraId="010CA889" w14:textId="77777777" w:rsidR="00754442" w:rsidRPr="00113F82"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p>
        </w:tc>
      </w:tr>
    </w:tbl>
    <w:p w14:paraId="6897B169" w14:textId="77777777" w:rsidR="00134EE9" w:rsidRPr="00113F82" w:rsidRDefault="00134EE9" w:rsidP="00E107FC">
      <w:pPr>
        <w:spacing w:line="360" w:lineRule="auto"/>
        <w:jc w:val="both"/>
        <w:rPr>
          <w:rFonts w:ascii="Book Antiqua" w:eastAsia="Book Antiqua" w:hAnsi="Book Antiqua"/>
          <w:bCs/>
          <w:sz w:val="24"/>
          <w:szCs w:val="24"/>
        </w:rPr>
      </w:pPr>
    </w:p>
    <w:p w14:paraId="03B330E4" w14:textId="77777777" w:rsidR="00754442" w:rsidRPr="00113F82" w:rsidRDefault="00754442" w:rsidP="00E107FC">
      <w:pPr>
        <w:pStyle w:val="1"/>
        <w:spacing w:line="360" w:lineRule="auto"/>
        <w:ind w:left="0"/>
        <w:jc w:val="both"/>
        <w:rPr>
          <w:rFonts w:eastAsiaTheme="minorEastAsia"/>
          <w:b w:val="0"/>
          <w:lang w:eastAsia="zh-CN"/>
        </w:rPr>
      </w:pPr>
      <w:r w:rsidRPr="00113F82">
        <w:rPr>
          <w:b w:val="0"/>
        </w:rPr>
        <w:t>TIPS</w:t>
      </w:r>
      <w:r w:rsidRPr="00113F82">
        <w:rPr>
          <w:rFonts w:eastAsiaTheme="minorEastAsia"/>
          <w:b w:val="0"/>
          <w:lang w:eastAsia="zh-CN"/>
        </w:rPr>
        <w:t>:</w:t>
      </w:r>
      <w:r w:rsidRPr="00113F82">
        <w:rPr>
          <w:b w:val="0"/>
        </w:rPr>
        <w:t xml:space="preserve"> Transjugular intrahepatic portosystemic shunt</w:t>
      </w:r>
      <w:r w:rsidRPr="00113F82">
        <w:rPr>
          <w:rFonts w:eastAsiaTheme="minorEastAsia"/>
          <w:b w:val="0"/>
          <w:lang w:eastAsia="zh-CN"/>
        </w:rPr>
        <w:t>.</w:t>
      </w:r>
    </w:p>
    <w:p w14:paraId="65E9572F" w14:textId="77777777" w:rsidR="00754442" w:rsidRPr="00113F82" w:rsidRDefault="00754442">
      <w:pPr>
        <w:rPr>
          <w:rFonts w:ascii="Book Antiqua" w:hAnsi="Book Antiqua"/>
          <w:b/>
          <w:bCs/>
          <w:sz w:val="24"/>
          <w:szCs w:val="24"/>
          <w:lang w:eastAsia="zh-CN"/>
        </w:rPr>
      </w:pPr>
      <w:r w:rsidRPr="00113F82">
        <w:rPr>
          <w:rFonts w:ascii="Book Antiqua" w:hAnsi="Book Antiqua"/>
          <w:sz w:val="24"/>
          <w:szCs w:val="24"/>
          <w:lang w:eastAsia="zh-CN"/>
        </w:rPr>
        <w:br w:type="page"/>
      </w:r>
    </w:p>
    <w:p w14:paraId="61764CD1" w14:textId="6FD5534B" w:rsidR="00134EE9" w:rsidRPr="00113F82" w:rsidRDefault="00134EE9" w:rsidP="00E107FC">
      <w:pPr>
        <w:pStyle w:val="1"/>
        <w:spacing w:line="360" w:lineRule="auto"/>
        <w:ind w:left="0"/>
        <w:jc w:val="both"/>
      </w:pPr>
      <w:r w:rsidRPr="00113F82">
        <w:lastRenderedPageBreak/>
        <w:t xml:space="preserve">Table 4 The multivariate analysis of survival </w:t>
      </w:r>
    </w:p>
    <w:tbl>
      <w:tblPr>
        <w:tblStyle w:val="a8"/>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4"/>
        <w:gridCol w:w="922"/>
        <w:gridCol w:w="1560"/>
        <w:gridCol w:w="1010"/>
        <w:gridCol w:w="1033"/>
        <w:gridCol w:w="1519"/>
        <w:gridCol w:w="1089"/>
      </w:tblGrid>
      <w:tr w:rsidR="00F91C4A" w:rsidRPr="00113F82" w14:paraId="0821AD6B" w14:textId="77777777" w:rsidTr="0010552B">
        <w:tc>
          <w:tcPr>
            <w:tcW w:w="1764" w:type="dxa"/>
            <w:tcBorders>
              <w:top w:val="single" w:sz="4" w:space="0" w:color="auto"/>
              <w:left w:val="nil"/>
              <w:bottom w:val="nil"/>
              <w:right w:val="nil"/>
            </w:tcBorders>
            <w:vAlign w:val="center"/>
          </w:tcPr>
          <w:p w14:paraId="126DD7A7"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p>
        </w:tc>
        <w:tc>
          <w:tcPr>
            <w:tcW w:w="3492" w:type="dxa"/>
            <w:gridSpan w:val="3"/>
            <w:tcBorders>
              <w:top w:val="single" w:sz="4" w:space="0" w:color="auto"/>
              <w:left w:val="nil"/>
              <w:bottom w:val="nil"/>
              <w:right w:val="nil"/>
            </w:tcBorders>
            <w:vAlign w:val="center"/>
          </w:tcPr>
          <w:p w14:paraId="1AF6E076" w14:textId="77777777" w:rsidR="00134EE9" w:rsidRPr="00113F82" w:rsidRDefault="00134EE9" w:rsidP="00E107FC">
            <w:pPr>
              <w:pStyle w:val="TableParagraph"/>
              <w:spacing w:line="360" w:lineRule="auto"/>
              <w:jc w:val="both"/>
              <w:rPr>
                <w:rFonts w:ascii="Book Antiqua" w:eastAsiaTheme="minorEastAsia" w:hAnsi="Book Antiqua" w:cstheme="minorBidi"/>
                <w:b/>
                <w:sz w:val="24"/>
                <w:szCs w:val="24"/>
                <w:lang w:eastAsia="en-US"/>
              </w:rPr>
            </w:pPr>
            <w:r w:rsidRPr="00113F82">
              <w:rPr>
                <w:rFonts w:ascii="Book Antiqua" w:eastAsiaTheme="minorEastAsia" w:hAnsi="Book Antiqua" w:cstheme="minorBidi"/>
                <w:b/>
                <w:sz w:val="24"/>
                <w:szCs w:val="24"/>
                <w:lang w:eastAsia="en-US"/>
              </w:rPr>
              <w:t>Univariate analysis</w:t>
            </w:r>
          </w:p>
        </w:tc>
        <w:tc>
          <w:tcPr>
            <w:tcW w:w="3641" w:type="dxa"/>
            <w:gridSpan w:val="3"/>
            <w:tcBorders>
              <w:top w:val="single" w:sz="4" w:space="0" w:color="auto"/>
              <w:left w:val="nil"/>
              <w:bottom w:val="nil"/>
              <w:right w:val="nil"/>
            </w:tcBorders>
            <w:vAlign w:val="center"/>
          </w:tcPr>
          <w:p w14:paraId="0C0DCA97"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113F82">
              <w:rPr>
                <w:rFonts w:ascii="Book Antiqua" w:eastAsiaTheme="minorEastAsia" w:hAnsi="Book Antiqua" w:cstheme="minorBidi"/>
                <w:b/>
                <w:sz w:val="24"/>
                <w:szCs w:val="24"/>
                <w:lang w:eastAsia="en-US"/>
              </w:rPr>
              <w:t>Multivariate analysis</w:t>
            </w:r>
          </w:p>
        </w:tc>
      </w:tr>
      <w:tr w:rsidR="00F91C4A" w:rsidRPr="00113F82" w14:paraId="58746CF1" w14:textId="77777777" w:rsidTr="0010552B">
        <w:tc>
          <w:tcPr>
            <w:tcW w:w="1764" w:type="dxa"/>
            <w:tcBorders>
              <w:top w:val="nil"/>
              <w:left w:val="nil"/>
              <w:bottom w:val="single" w:sz="4" w:space="0" w:color="auto"/>
              <w:right w:val="nil"/>
            </w:tcBorders>
            <w:vAlign w:val="center"/>
          </w:tcPr>
          <w:p w14:paraId="0F069BF2" w14:textId="77777777" w:rsidR="00134EE9" w:rsidRPr="00113F82" w:rsidRDefault="00134EE9" w:rsidP="00E107FC">
            <w:pPr>
              <w:pStyle w:val="TableParagraph"/>
              <w:spacing w:line="360" w:lineRule="auto"/>
              <w:jc w:val="both"/>
              <w:rPr>
                <w:rFonts w:ascii="Book Antiqua" w:hAnsi="Book Antiqua"/>
                <w:b/>
                <w:sz w:val="24"/>
                <w:szCs w:val="24"/>
              </w:rPr>
            </w:pPr>
          </w:p>
        </w:tc>
        <w:tc>
          <w:tcPr>
            <w:tcW w:w="922" w:type="dxa"/>
            <w:tcBorders>
              <w:top w:val="nil"/>
              <w:left w:val="nil"/>
              <w:bottom w:val="single" w:sz="4" w:space="0" w:color="auto"/>
              <w:right w:val="nil"/>
            </w:tcBorders>
            <w:vAlign w:val="center"/>
          </w:tcPr>
          <w:p w14:paraId="0B993DA0" w14:textId="77777777" w:rsidR="00134EE9" w:rsidRPr="00113F82" w:rsidRDefault="00134EE9" w:rsidP="00E107FC">
            <w:pPr>
              <w:pStyle w:val="TableParagraph"/>
              <w:spacing w:line="360" w:lineRule="auto"/>
              <w:jc w:val="both"/>
              <w:rPr>
                <w:rFonts w:ascii="Book Antiqua" w:hAnsi="Book Antiqua"/>
                <w:b/>
                <w:sz w:val="24"/>
                <w:szCs w:val="24"/>
              </w:rPr>
            </w:pPr>
            <w:r w:rsidRPr="00113F82">
              <w:rPr>
                <w:rFonts w:ascii="Book Antiqua" w:eastAsiaTheme="minorEastAsia" w:hAnsi="Book Antiqua" w:cstheme="minorBidi"/>
                <w:b/>
                <w:sz w:val="24"/>
                <w:szCs w:val="24"/>
                <w:lang w:eastAsia="en-US"/>
              </w:rPr>
              <w:t>HR</w:t>
            </w:r>
          </w:p>
        </w:tc>
        <w:tc>
          <w:tcPr>
            <w:tcW w:w="1560" w:type="dxa"/>
            <w:tcBorders>
              <w:top w:val="nil"/>
              <w:left w:val="nil"/>
              <w:bottom w:val="single" w:sz="4" w:space="0" w:color="auto"/>
              <w:right w:val="nil"/>
            </w:tcBorders>
            <w:vAlign w:val="center"/>
          </w:tcPr>
          <w:p w14:paraId="10DDEB22" w14:textId="77777777" w:rsidR="00134EE9" w:rsidRPr="00113F82" w:rsidRDefault="00134EE9" w:rsidP="00E107FC">
            <w:pPr>
              <w:pStyle w:val="TableParagraph"/>
              <w:spacing w:line="360" w:lineRule="auto"/>
              <w:jc w:val="both"/>
              <w:rPr>
                <w:rFonts w:ascii="Book Antiqua" w:hAnsi="Book Antiqua"/>
                <w:b/>
                <w:sz w:val="24"/>
                <w:szCs w:val="24"/>
              </w:rPr>
            </w:pPr>
            <w:r w:rsidRPr="00113F82">
              <w:rPr>
                <w:rFonts w:ascii="Book Antiqua" w:eastAsiaTheme="minorEastAsia" w:hAnsi="Book Antiqua" w:cstheme="minorBidi"/>
                <w:b/>
                <w:sz w:val="24"/>
                <w:szCs w:val="24"/>
                <w:lang w:eastAsia="en-US"/>
              </w:rPr>
              <w:t>95%CI</w:t>
            </w:r>
          </w:p>
        </w:tc>
        <w:tc>
          <w:tcPr>
            <w:tcW w:w="1010" w:type="dxa"/>
            <w:tcBorders>
              <w:top w:val="nil"/>
              <w:left w:val="nil"/>
              <w:bottom w:val="single" w:sz="4" w:space="0" w:color="auto"/>
              <w:right w:val="nil"/>
            </w:tcBorders>
            <w:vAlign w:val="center"/>
          </w:tcPr>
          <w:p w14:paraId="2C92402F" w14:textId="77777777" w:rsidR="00134EE9" w:rsidRPr="00113F82" w:rsidRDefault="00134EE9" w:rsidP="00E107FC">
            <w:pPr>
              <w:pStyle w:val="TableParagraph"/>
              <w:spacing w:line="360" w:lineRule="auto"/>
              <w:jc w:val="both"/>
              <w:rPr>
                <w:rFonts w:ascii="Book Antiqua" w:hAnsi="Book Antiqua"/>
                <w:b/>
                <w:sz w:val="24"/>
                <w:szCs w:val="24"/>
              </w:rPr>
            </w:pPr>
            <w:r w:rsidRPr="00113F82">
              <w:rPr>
                <w:rFonts w:ascii="Book Antiqua" w:eastAsiaTheme="minorEastAsia" w:hAnsi="Book Antiqua" w:cstheme="minorBidi"/>
                <w:b/>
                <w:i/>
                <w:sz w:val="24"/>
                <w:szCs w:val="24"/>
                <w:lang w:eastAsia="en-US"/>
              </w:rPr>
              <w:t>P</w:t>
            </w:r>
            <w:r w:rsidRPr="00113F82">
              <w:rPr>
                <w:rFonts w:ascii="Book Antiqua" w:eastAsiaTheme="minorEastAsia" w:hAnsi="Book Antiqua" w:cstheme="minorBidi"/>
                <w:b/>
                <w:sz w:val="24"/>
                <w:szCs w:val="24"/>
                <w:lang w:eastAsia="en-US"/>
              </w:rPr>
              <w:t xml:space="preserve"> value</w:t>
            </w:r>
          </w:p>
        </w:tc>
        <w:tc>
          <w:tcPr>
            <w:tcW w:w="1033" w:type="dxa"/>
            <w:tcBorders>
              <w:top w:val="nil"/>
              <w:left w:val="nil"/>
              <w:bottom w:val="single" w:sz="4" w:space="0" w:color="auto"/>
              <w:right w:val="nil"/>
            </w:tcBorders>
            <w:vAlign w:val="center"/>
          </w:tcPr>
          <w:p w14:paraId="01B513D5" w14:textId="77777777" w:rsidR="00134EE9" w:rsidRPr="00113F82" w:rsidRDefault="00134EE9" w:rsidP="00E107FC">
            <w:pPr>
              <w:pStyle w:val="TableParagraph"/>
              <w:spacing w:line="360" w:lineRule="auto"/>
              <w:jc w:val="both"/>
              <w:rPr>
                <w:rFonts w:ascii="Book Antiqua" w:hAnsi="Book Antiqua"/>
                <w:b/>
                <w:sz w:val="24"/>
                <w:szCs w:val="24"/>
              </w:rPr>
            </w:pPr>
            <w:r w:rsidRPr="00113F82">
              <w:rPr>
                <w:rFonts w:ascii="Book Antiqua" w:eastAsiaTheme="minorEastAsia" w:hAnsi="Book Antiqua" w:cstheme="minorBidi"/>
                <w:b/>
                <w:sz w:val="24"/>
                <w:szCs w:val="24"/>
                <w:lang w:eastAsia="en-US"/>
              </w:rPr>
              <w:t>HR</w:t>
            </w:r>
          </w:p>
        </w:tc>
        <w:tc>
          <w:tcPr>
            <w:tcW w:w="1519" w:type="dxa"/>
            <w:tcBorders>
              <w:top w:val="nil"/>
              <w:left w:val="nil"/>
              <w:bottom w:val="single" w:sz="4" w:space="0" w:color="auto"/>
              <w:right w:val="nil"/>
            </w:tcBorders>
            <w:vAlign w:val="center"/>
          </w:tcPr>
          <w:p w14:paraId="1AC6942B" w14:textId="77777777" w:rsidR="00134EE9" w:rsidRPr="00113F82" w:rsidRDefault="00134EE9" w:rsidP="00E107FC">
            <w:pPr>
              <w:pStyle w:val="TableParagraph"/>
              <w:spacing w:line="360" w:lineRule="auto"/>
              <w:jc w:val="both"/>
              <w:rPr>
                <w:rFonts w:ascii="Book Antiqua" w:hAnsi="Book Antiqua"/>
                <w:b/>
                <w:sz w:val="24"/>
                <w:szCs w:val="24"/>
              </w:rPr>
            </w:pPr>
            <w:r w:rsidRPr="00113F82">
              <w:rPr>
                <w:rFonts w:ascii="Book Antiqua" w:eastAsiaTheme="minorEastAsia" w:hAnsi="Book Antiqua" w:cstheme="minorBidi"/>
                <w:b/>
                <w:sz w:val="24"/>
                <w:szCs w:val="24"/>
                <w:lang w:eastAsia="en-US"/>
              </w:rPr>
              <w:t>95%CI</w:t>
            </w:r>
          </w:p>
        </w:tc>
        <w:tc>
          <w:tcPr>
            <w:tcW w:w="1089" w:type="dxa"/>
            <w:tcBorders>
              <w:top w:val="nil"/>
              <w:left w:val="nil"/>
              <w:bottom w:val="single" w:sz="4" w:space="0" w:color="auto"/>
              <w:right w:val="nil"/>
            </w:tcBorders>
            <w:vAlign w:val="center"/>
          </w:tcPr>
          <w:p w14:paraId="4F2EFB88" w14:textId="77777777" w:rsidR="00134EE9" w:rsidRPr="00113F82" w:rsidRDefault="00134EE9" w:rsidP="00E107FC">
            <w:pPr>
              <w:pStyle w:val="TableParagraph"/>
              <w:spacing w:line="360" w:lineRule="auto"/>
              <w:jc w:val="both"/>
              <w:rPr>
                <w:rFonts w:ascii="Book Antiqua" w:hAnsi="Book Antiqua"/>
                <w:b/>
                <w:sz w:val="24"/>
                <w:szCs w:val="24"/>
              </w:rPr>
            </w:pPr>
            <w:r w:rsidRPr="00113F82">
              <w:rPr>
                <w:rFonts w:ascii="Book Antiqua" w:eastAsiaTheme="minorEastAsia" w:hAnsi="Book Antiqua" w:cstheme="minorBidi"/>
                <w:b/>
                <w:i/>
                <w:sz w:val="24"/>
                <w:szCs w:val="24"/>
                <w:lang w:eastAsia="en-US"/>
              </w:rPr>
              <w:t>P</w:t>
            </w:r>
            <w:r w:rsidRPr="00113F82">
              <w:rPr>
                <w:rFonts w:ascii="Book Antiqua" w:eastAsiaTheme="minorEastAsia" w:hAnsi="Book Antiqua" w:cstheme="minorBidi"/>
                <w:b/>
                <w:sz w:val="24"/>
                <w:szCs w:val="24"/>
                <w:lang w:eastAsia="en-US"/>
              </w:rPr>
              <w:t xml:space="preserve"> value</w:t>
            </w:r>
          </w:p>
        </w:tc>
      </w:tr>
      <w:tr w:rsidR="00F91C4A" w:rsidRPr="00113F82" w14:paraId="7BAD79C5" w14:textId="77777777" w:rsidTr="0010552B">
        <w:tc>
          <w:tcPr>
            <w:tcW w:w="1764" w:type="dxa"/>
            <w:tcBorders>
              <w:top w:val="single" w:sz="4" w:space="0" w:color="auto"/>
              <w:bottom w:val="nil"/>
            </w:tcBorders>
            <w:vAlign w:val="center"/>
          </w:tcPr>
          <w:p w14:paraId="05843FE8"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b/>
                <w:sz w:val="24"/>
                <w:szCs w:val="24"/>
              </w:rPr>
            </w:pPr>
            <w:r w:rsidRPr="00113F82">
              <w:rPr>
                <w:rFonts w:ascii="Book Antiqua" w:eastAsiaTheme="minorEastAsia" w:hAnsi="Book Antiqua" w:cstheme="minorBidi"/>
                <w:b/>
                <w:sz w:val="24"/>
                <w:szCs w:val="24"/>
              </w:rPr>
              <w:t>Group</w:t>
            </w:r>
          </w:p>
        </w:tc>
        <w:tc>
          <w:tcPr>
            <w:tcW w:w="922" w:type="dxa"/>
            <w:tcBorders>
              <w:top w:val="single" w:sz="4" w:space="0" w:color="auto"/>
              <w:bottom w:val="nil"/>
            </w:tcBorders>
            <w:vAlign w:val="center"/>
          </w:tcPr>
          <w:p w14:paraId="3D945F67" w14:textId="77777777" w:rsidR="00134EE9" w:rsidRPr="00113F82" w:rsidRDefault="00134EE9" w:rsidP="00E107FC">
            <w:pPr>
              <w:pStyle w:val="TableParagraph"/>
              <w:spacing w:line="360" w:lineRule="auto"/>
              <w:jc w:val="both"/>
              <w:rPr>
                <w:rFonts w:ascii="Book Antiqua" w:hAnsi="Book Antiqua"/>
                <w:sz w:val="24"/>
                <w:szCs w:val="24"/>
              </w:rPr>
            </w:pPr>
            <w:r w:rsidRPr="00113F82">
              <w:rPr>
                <w:rFonts w:ascii="Book Antiqua" w:hAnsi="Book Antiqua"/>
                <w:sz w:val="24"/>
                <w:szCs w:val="24"/>
              </w:rPr>
              <w:t>1.943</w:t>
            </w:r>
          </w:p>
        </w:tc>
        <w:tc>
          <w:tcPr>
            <w:tcW w:w="1560" w:type="dxa"/>
            <w:tcBorders>
              <w:top w:val="single" w:sz="4" w:space="0" w:color="auto"/>
              <w:bottom w:val="nil"/>
            </w:tcBorders>
            <w:vAlign w:val="center"/>
          </w:tcPr>
          <w:p w14:paraId="001CCE22" w14:textId="77777777" w:rsidR="00134EE9" w:rsidRPr="00113F82" w:rsidRDefault="00134EE9" w:rsidP="00E107FC">
            <w:pPr>
              <w:pStyle w:val="TableParagraph"/>
              <w:spacing w:line="360" w:lineRule="auto"/>
              <w:jc w:val="both"/>
              <w:rPr>
                <w:rFonts w:ascii="Book Antiqua" w:hAnsi="Book Antiqua"/>
                <w:sz w:val="24"/>
                <w:szCs w:val="24"/>
              </w:rPr>
            </w:pPr>
            <w:r w:rsidRPr="00113F82">
              <w:rPr>
                <w:rFonts w:ascii="Book Antiqua" w:hAnsi="Book Antiqua"/>
                <w:sz w:val="24"/>
                <w:szCs w:val="24"/>
              </w:rPr>
              <w:t>1.219-3.097</w:t>
            </w:r>
          </w:p>
        </w:tc>
        <w:tc>
          <w:tcPr>
            <w:tcW w:w="1010" w:type="dxa"/>
            <w:tcBorders>
              <w:top w:val="single" w:sz="4" w:space="0" w:color="auto"/>
              <w:bottom w:val="nil"/>
              <w:right w:val="single" w:sz="4" w:space="0" w:color="auto"/>
            </w:tcBorders>
            <w:vAlign w:val="center"/>
          </w:tcPr>
          <w:p w14:paraId="6C1CAE6A" w14:textId="77777777" w:rsidR="00134EE9" w:rsidRPr="00113F82" w:rsidRDefault="00134EE9" w:rsidP="00E107FC">
            <w:pPr>
              <w:pStyle w:val="TableParagraph"/>
              <w:spacing w:line="360" w:lineRule="auto"/>
              <w:jc w:val="both"/>
              <w:rPr>
                <w:rFonts w:ascii="Book Antiqua" w:hAnsi="Book Antiqua"/>
                <w:sz w:val="24"/>
                <w:szCs w:val="24"/>
              </w:rPr>
            </w:pPr>
            <w:r w:rsidRPr="00113F82">
              <w:rPr>
                <w:rFonts w:ascii="Book Antiqua" w:hAnsi="Book Antiqua"/>
                <w:sz w:val="24"/>
                <w:szCs w:val="24"/>
              </w:rPr>
              <w:t>0.005</w:t>
            </w:r>
          </w:p>
        </w:tc>
        <w:tc>
          <w:tcPr>
            <w:tcW w:w="1033" w:type="dxa"/>
            <w:tcBorders>
              <w:top w:val="single" w:sz="4" w:space="0" w:color="auto"/>
              <w:left w:val="single" w:sz="4" w:space="0" w:color="auto"/>
              <w:bottom w:val="nil"/>
            </w:tcBorders>
            <w:vAlign w:val="center"/>
          </w:tcPr>
          <w:p w14:paraId="235BFDF7" w14:textId="77777777" w:rsidR="00134EE9" w:rsidRPr="00113F82" w:rsidRDefault="00134EE9" w:rsidP="00E107FC">
            <w:pPr>
              <w:pStyle w:val="TableParagraph"/>
              <w:spacing w:line="360" w:lineRule="auto"/>
              <w:jc w:val="both"/>
              <w:rPr>
                <w:rFonts w:ascii="Book Antiqua" w:hAnsi="Book Antiqua"/>
                <w:sz w:val="24"/>
                <w:szCs w:val="24"/>
              </w:rPr>
            </w:pPr>
            <w:r w:rsidRPr="00113F82">
              <w:rPr>
                <w:rFonts w:ascii="Book Antiqua" w:hAnsi="Book Antiqua"/>
                <w:sz w:val="24"/>
                <w:szCs w:val="24"/>
              </w:rPr>
              <w:t>2.631</w:t>
            </w:r>
          </w:p>
        </w:tc>
        <w:tc>
          <w:tcPr>
            <w:tcW w:w="1519" w:type="dxa"/>
            <w:tcBorders>
              <w:top w:val="single" w:sz="4" w:space="0" w:color="auto"/>
              <w:bottom w:val="nil"/>
            </w:tcBorders>
            <w:vAlign w:val="center"/>
          </w:tcPr>
          <w:p w14:paraId="1B2AAC59" w14:textId="77777777" w:rsidR="00134EE9" w:rsidRPr="00113F82" w:rsidRDefault="00134EE9" w:rsidP="00E107FC">
            <w:pPr>
              <w:pStyle w:val="TableParagraph"/>
              <w:spacing w:line="360" w:lineRule="auto"/>
              <w:jc w:val="both"/>
              <w:rPr>
                <w:rFonts w:ascii="Book Antiqua" w:hAnsi="Book Antiqua"/>
                <w:sz w:val="24"/>
                <w:szCs w:val="24"/>
              </w:rPr>
            </w:pPr>
            <w:r w:rsidRPr="00113F82">
              <w:rPr>
                <w:rFonts w:ascii="Book Antiqua" w:hAnsi="Book Antiqua"/>
                <w:sz w:val="24"/>
                <w:szCs w:val="24"/>
              </w:rPr>
              <w:t>1.603-4.318</w:t>
            </w:r>
          </w:p>
        </w:tc>
        <w:tc>
          <w:tcPr>
            <w:tcW w:w="1089" w:type="dxa"/>
            <w:tcBorders>
              <w:top w:val="single" w:sz="4" w:space="0" w:color="auto"/>
              <w:bottom w:val="nil"/>
            </w:tcBorders>
            <w:vAlign w:val="center"/>
          </w:tcPr>
          <w:p w14:paraId="4F228DF9" w14:textId="469995C7" w:rsidR="00134EE9" w:rsidRPr="00113F82" w:rsidRDefault="00134EE9" w:rsidP="00E107FC">
            <w:pPr>
              <w:pStyle w:val="TableParagraph"/>
              <w:spacing w:line="360" w:lineRule="auto"/>
              <w:jc w:val="both"/>
              <w:rPr>
                <w:rFonts w:ascii="Book Antiqua" w:hAnsi="Book Antiqua"/>
                <w:sz w:val="24"/>
                <w:szCs w:val="24"/>
              </w:rPr>
            </w:pPr>
            <w:r w:rsidRPr="00113F82">
              <w:rPr>
                <w:rFonts w:ascii="Book Antiqua" w:hAnsi="Book Antiqua"/>
                <w:sz w:val="24"/>
                <w:szCs w:val="24"/>
              </w:rPr>
              <w:t>&lt;</w:t>
            </w:r>
            <w:r w:rsidR="00686D4C" w:rsidRPr="00113F82">
              <w:rPr>
                <w:rFonts w:ascii="Book Antiqua" w:hAnsi="Book Antiqua"/>
                <w:sz w:val="24"/>
                <w:szCs w:val="24"/>
              </w:rPr>
              <w:t xml:space="preserve"> </w:t>
            </w:r>
            <w:r w:rsidRPr="00113F82">
              <w:rPr>
                <w:rFonts w:ascii="Book Antiqua" w:hAnsi="Book Antiqua"/>
                <w:sz w:val="24"/>
                <w:szCs w:val="24"/>
              </w:rPr>
              <w:t>0.001</w:t>
            </w:r>
          </w:p>
        </w:tc>
      </w:tr>
      <w:tr w:rsidR="00F91C4A" w:rsidRPr="00113F82" w14:paraId="419D7315" w14:textId="77777777" w:rsidTr="00F91C4A">
        <w:tc>
          <w:tcPr>
            <w:tcW w:w="1764" w:type="dxa"/>
            <w:tcBorders>
              <w:top w:val="nil"/>
              <w:bottom w:val="nil"/>
              <w:right w:val="nil"/>
            </w:tcBorders>
            <w:vAlign w:val="center"/>
          </w:tcPr>
          <w:p w14:paraId="4925857C" w14:textId="77777777" w:rsidR="00134EE9" w:rsidRPr="00113F82" w:rsidRDefault="00134EE9" w:rsidP="00E107FC">
            <w:pPr>
              <w:pStyle w:val="TableParagraph"/>
              <w:spacing w:line="360" w:lineRule="auto"/>
              <w:jc w:val="both"/>
              <w:rPr>
                <w:rFonts w:ascii="Book Antiqua" w:hAnsi="Book Antiqua"/>
                <w:b/>
                <w:sz w:val="24"/>
                <w:szCs w:val="24"/>
              </w:rPr>
            </w:pPr>
            <w:r w:rsidRPr="00113F82">
              <w:rPr>
                <w:rFonts w:ascii="Book Antiqua" w:eastAsiaTheme="minorEastAsia" w:hAnsi="Book Antiqua" w:cstheme="minorBidi"/>
                <w:b/>
                <w:sz w:val="24"/>
                <w:szCs w:val="24"/>
              </w:rPr>
              <w:t>MELD score</w:t>
            </w:r>
          </w:p>
        </w:tc>
        <w:tc>
          <w:tcPr>
            <w:tcW w:w="922" w:type="dxa"/>
            <w:tcBorders>
              <w:top w:val="nil"/>
              <w:left w:val="nil"/>
              <w:bottom w:val="nil"/>
              <w:right w:val="nil"/>
            </w:tcBorders>
            <w:vAlign w:val="center"/>
          </w:tcPr>
          <w:p w14:paraId="3F7EB6E5" w14:textId="77777777" w:rsidR="00134EE9" w:rsidRPr="00113F82" w:rsidRDefault="00134EE9" w:rsidP="00E107FC">
            <w:pPr>
              <w:pStyle w:val="TableParagraph"/>
              <w:spacing w:line="360" w:lineRule="auto"/>
              <w:jc w:val="both"/>
              <w:rPr>
                <w:rFonts w:ascii="Book Antiqua" w:hAnsi="Book Antiqua"/>
                <w:sz w:val="24"/>
                <w:szCs w:val="24"/>
              </w:rPr>
            </w:pPr>
            <w:r w:rsidRPr="00113F82">
              <w:rPr>
                <w:rFonts w:ascii="Book Antiqua" w:hAnsi="Book Antiqua"/>
                <w:sz w:val="24"/>
                <w:szCs w:val="24"/>
              </w:rPr>
              <w:t>1.042</w:t>
            </w:r>
          </w:p>
        </w:tc>
        <w:tc>
          <w:tcPr>
            <w:tcW w:w="1560" w:type="dxa"/>
            <w:tcBorders>
              <w:top w:val="nil"/>
              <w:left w:val="nil"/>
              <w:bottom w:val="nil"/>
              <w:right w:val="nil"/>
            </w:tcBorders>
            <w:vAlign w:val="center"/>
          </w:tcPr>
          <w:p w14:paraId="7B3B48A7" w14:textId="77777777" w:rsidR="00134EE9" w:rsidRPr="00113F82" w:rsidRDefault="00134EE9" w:rsidP="00E107FC">
            <w:pPr>
              <w:pStyle w:val="TableParagraph"/>
              <w:spacing w:line="360" w:lineRule="auto"/>
              <w:jc w:val="both"/>
              <w:rPr>
                <w:rFonts w:ascii="Book Antiqua" w:hAnsi="Book Antiqua"/>
                <w:sz w:val="24"/>
                <w:szCs w:val="24"/>
              </w:rPr>
            </w:pPr>
            <w:r w:rsidRPr="00113F82">
              <w:rPr>
                <w:rFonts w:ascii="Book Antiqua" w:hAnsi="Book Antiqua"/>
                <w:sz w:val="24"/>
                <w:szCs w:val="24"/>
              </w:rPr>
              <w:t>0.849-1.279</w:t>
            </w:r>
          </w:p>
        </w:tc>
        <w:tc>
          <w:tcPr>
            <w:tcW w:w="1010" w:type="dxa"/>
            <w:tcBorders>
              <w:top w:val="nil"/>
              <w:left w:val="nil"/>
              <w:bottom w:val="nil"/>
              <w:right w:val="single" w:sz="4" w:space="0" w:color="auto"/>
            </w:tcBorders>
            <w:vAlign w:val="center"/>
          </w:tcPr>
          <w:p w14:paraId="2C5F2A3A" w14:textId="77777777" w:rsidR="00134EE9" w:rsidRPr="00113F82" w:rsidRDefault="00134EE9" w:rsidP="00E107FC">
            <w:pPr>
              <w:pStyle w:val="TableParagraph"/>
              <w:spacing w:line="360" w:lineRule="auto"/>
              <w:jc w:val="both"/>
              <w:rPr>
                <w:rFonts w:ascii="Book Antiqua" w:hAnsi="Book Antiqua"/>
                <w:sz w:val="24"/>
                <w:szCs w:val="24"/>
              </w:rPr>
            </w:pPr>
            <w:r w:rsidRPr="00113F82">
              <w:rPr>
                <w:rFonts w:ascii="Book Antiqua" w:hAnsi="Book Antiqua"/>
                <w:sz w:val="24"/>
                <w:szCs w:val="24"/>
              </w:rPr>
              <w:t>0.692</w:t>
            </w:r>
          </w:p>
        </w:tc>
        <w:tc>
          <w:tcPr>
            <w:tcW w:w="1033" w:type="dxa"/>
            <w:tcBorders>
              <w:top w:val="nil"/>
              <w:left w:val="single" w:sz="4" w:space="0" w:color="auto"/>
              <w:bottom w:val="nil"/>
              <w:right w:val="nil"/>
            </w:tcBorders>
            <w:vAlign w:val="center"/>
          </w:tcPr>
          <w:p w14:paraId="59E3BAC7" w14:textId="77777777" w:rsidR="00134EE9" w:rsidRPr="00113F82" w:rsidRDefault="00134EE9" w:rsidP="00E107FC">
            <w:pPr>
              <w:pStyle w:val="TableParagraph"/>
              <w:spacing w:line="360" w:lineRule="auto"/>
              <w:jc w:val="both"/>
              <w:rPr>
                <w:rFonts w:ascii="Book Antiqua" w:hAnsi="Book Antiqua"/>
                <w:sz w:val="24"/>
                <w:szCs w:val="24"/>
              </w:rPr>
            </w:pPr>
            <w:r w:rsidRPr="00113F82">
              <w:rPr>
                <w:rFonts w:ascii="Book Antiqua" w:hAnsi="Book Antiqua"/>
                <w:sz w:val="24"/>
                <w:szCs w:val="24"/>
              </w:rPr>
              <w:t>1.697</w:t>
            </w:r>
          </w:p>
        </w:tc>
        <w:tc>
          <w:tcPr>
            <w:tcW w:w="1519" w:type="dxa"/>
            <w:tcBorders>
              <w:top w:val="nil"/>
              <w:left w:val="nil"/>
              <w:bottom w:val="nil"/>
              <w:right w:val="nil"/>
            </w:tcBorders>
            <w:vAlign w:val="center"/>
          </w:tcPr>
          <w:p w14:paraId="1081379E" w14:textId="77777777" w:rsidR="00134EE9" w:rsidRPr="00113F82" w:rsidRDefault="00134EE9" w:rsidP="00E107FC">
            <w:pPr>
              <w:pStyle w:val="TableParagraph"/>
              <w:spacing w:line="360" w:lineRule="auto"/>
              <w:jc w:val="both"/>
              <w:rPr>
                <w:rFonts w:ascii="Book Antiqua" w:hAnsi="Book Antiqua"/>
                <w:sz w:val="24"/>
                <w:szCs w:val="24"/>
              </w:rPr>
            </w:pPr>
            <w:r w:rsidRPr="00113F82">
              <w:rPr>
                <w:rFonts w:ascii="Book Antiqua" w:hAnsi="Book Antiqua"/>
                <w:sz w:val="24"/>
                <w:szCs w:val="24"/>
              </w:rPr>
              <w:t>1.261-2.282</w:t>
            </w:r>
          </w:p>
        </w:tc>
        <w:tc>
          <w:tcPr>
            <w:tcW w:w="1089" w:type="dxa"/>
            <w:tcBorders>
              <w:top w:val="nil"/>
              <w:left w:val="nil"/>
              <w:bottom w:val="nil"/>
            </w:tcBorders>
            <w:vAlign w:val="center"/>
          </w:tcPr>
          <w:p w14:paraId="483F5B46" w14:textId="0D13CB30" w:rsidR="00134EE9" w:rsidRPr="00113F82" w:rsidRDefault="00134EE9" w:rsidP="00E107FC">
            <w:pPr>
              <w:pStyle w:val="TableParagraph"/>
              <w:spacing w:line="360" w:lineRule="auto"/>
              <w:jc w:val="both"/>
              <w:rPr>
                <w:rFonts w:ascii="Book Antiqua" w:hAnsi="Book Antiqua"/>
                <w:sz w:val="24"/>
                <w:szCs w:val="24"/>
              </w:rPr>
            </w:pPr>
            <w:r w:rsidRPr="00113F82">
              <w:rPr>
                <w:rFonts w:ascii="Book Antiqua" w:hAnsi="Book Antiqua"/>
                <w:sz w:val="24"/>
                <w:szCs w:val="24"/>
              </w:rPr>
              <w:t>&lt;</w:t>
            </w:r>
            <w:r w:rsidR="00686D4C" w:rsidRPr="00113F82">
              <w:rPr>
                <w:rFonts w:ascii="Book Antiqua" w:hAnsi="Book Antiqua"/>
                <w:sz w:val="24"/>
                <w:szCs w:val="24"/>
              </w:rPr>
              <w:t xml:space="preserve"> </w:t>
            </w:r>
            <w:r w:rsidRPr="00113F82">
              <w:rPr>
                <w:rFonts w:ascii="Book Antiqua" w:hAnsi="Book Antiqua"/>
                <w:sz w:val="24"/>
                <w:szCs w:val="24"/>
              </w:rPr>
              <w:t>0.001</w:t>
            </w:r>
          </w:p>
        </w:tc>
      </w:tr>
      <w:tr w:rsidR="00F91C4A" w:rsidRPr="00113F82" w14:paraId="2F5CCD40" w14:textId="77777777" w:rsidTr="00F91C4A">
        <w:tc>
          <w:tcPr>
            <w:tcW w:w="1764" w:type="dxa"/>
            <w:tcBorders>
              <w:top w:val="nil"/>
              <w:bottom w:val="nil"/>
              <w:right w:val="nil"/>
            </w:tcBorders>
            <w:vAlign w:val="center"/>
          </w:tcPr>
          <w:p w14:paraId="5054C09F" w14:textId="77777777" w:rsidR="00134EE9" w:rsidRPr="00113F82" w:rsidRDefault="00134EE9" w:rsidP="00E107FC">
            <w:pPr>
              <w:pStyle w:val="TableParagraph"/>
              <w:spacing w:line="360" w:lineRule="auto"/>
              <w:jc w:val="both"/>
              <w:rPr>
                <w:rFonts w:ascii="Book Antiqua" w:hAnsi="Book Antiqua"/>
                <w:b/>
                <w:sz w:val="24"/>
                <w:szCs w:val="24"/>
              </w:rPr>
            </w:pPr>
            <w:r w:rsidRPr="00113F82">
              <w:rPr>
                <w:rFonts w:ascii="Book Antiqua" w:eastAsiaTheme="minorEastAsia" w:hAnsi="Book Antiqua" w:cstheme="minorBidi"/>
                <w:b/>
                <w:sz w:val="24"/>
                <w:szCs w:val="24"/>
              </w:rPr>
              <w:t>DBIL</w:t>
            </w:r>
          </w:p>
        </w:tc>
        <w:tc>
          <w:tcPr>
            <w:tcW w:w="922" w:type="dxa"/>
            <w:tcBorders>
              <w:top w:val="nil"/>
              <w:left w:val="nil"/>
              <w:bottom w:val="nil"/>
              <w:right w:val="nil"/>
            </w:tcBorders>
            <w:vAlign w:val="center"/>
          </w:tcPr>
          <w:p w14:paraId="5E6E855A" w14:textId="77777777" w:rsidR="00134EE9" w:rsidRPr="00113F82" w:rsidRDefault="00134EE9" w:rsidP="00E107FC">
            <w:pPr>
              <w:pStyle w:val="TableParagraph"/>
              <w:spacing w:line="360" w:lineRule="auto"/>
              <w:jc w:val="both"/>
              <w:rPr>
                <w:rFonts w:ascii="Book Antiqua" w:hAnsi="Book Antiqua"/>
                <w:sz w:val="24"/>
                <w:szCs w:val="24"/>
              </w:rPr>
            </w:pPr>
            <w:r w:rsidRPr="00113F82">
              <w:rPr>
                <w:rFonts w:ascii="Book Antiqua" w:hAnsi="Book Antiqua"/>
                <w:sz w:val="24"/>
                <w:szCs w:val="24"/>
              </w:rPr>
              <w:t>0.988</w:t>
            </w:r>
          </w:p>
        </w:tc>
        <w:tc>
          <w:tcPr>
            <w:tcW w:w="1560" w:type="dxa"/>
            <w:tcBorders>
              <w:top w:val="nil"/>
              <w:left w:val="nil"/>
              <w:bottom w:val="nil"/>
              <w:right w:val="nil"/>
            </w:tcBorders>
            <w:vAlign w:val="center"/>
          </w:tcPr>
          <w:p w14:paraId="50FEB59F" w14:textId="77777777" w:rsidR="00134EE9" w:rsidRPr="00113F82" w:rsidRDefault="00134EE9" w:rsidP="00E107FC">
            <w:pPr>
              <w:pStyle w:val="TableParagraph"/>
              <w:spacing w:line="360" w:lineRule="auto"/>
              <w:jc w:val="both"/>
              <w:rPr>
                <w:rFonts w:ascii="Book Antiqua" w:hAnsi="Book Antiqua"/>
                <w:sz w:val="24"/>
                <w:szCs w:val="24"/>
              </w:rPr>
            </w:pPr>
            <w:r w:rsidRPr="00113F82">
              <w:rPr>
                <w:rFonts w:ascii="Book Antiqua" w:hAnsi="Book Antiqua"/>
                <w:sz w:val="24"/>
                <w:szCs w:val="24"/>
              </w:rPr>
              <w:t>0.965-1.012</w:t>
            </w:r>
          </w:p>
        </w:tc>
        <w:tc>
          <w:tcPr>
            <w:tcW w:w="1010" w:type="dxa"/>
            <w:tcBorders>
              <w:top w:val="nil"/>
              <w:left w:val="nil"/>
              <w:bottom w:val="nil"/>
              <w:right w:val="single" w:sz="4" w:space="0" w:color="auto"/>
            </w:tcBorders>
            <w:vAlign w:val="center"/>
          </w:tcPr>
          <w:p w14:paraId="568A6C21" w14:textId="77777777" w:rsidR="00134EE9" w:rsidRPr="00113F82" w:rsidRDefault="00134EE9" w:rsidP="00E107FC">
            <w:pPr>
              <w:pStyle w:val="TableParagraph"/>
              <w:spacing w:line="360" w:lineRule="auto"/>
              <w:jc w:val="both"/>
              <w:rPr>
                <w:rFonts w:ascii="Book Antiqua" w:hAnsi="Book Antiqua"/>
                <w:sz w:val="24"/>
                <w:szCs w:val="24"/>
              </w:rPr>
            </w:pPr>
            <w:r w:rsidRPr="00113F82">
              <w:rPr>
                <w:rFonts w:ascii="Book Antiqua" w:hAnsi="Book Antiqua"/>
                <w:sz w:val="24"/>
                <w:szCs w:val="24"/>
              </w:rPr>
              <w:t>0.338</w:t>
            </w:r>
          </w:p>
        </w:tc>
        <w:tc>
          <w:tcPr>
            <w:tcW w:w="1033" w:type="dxa"/>
            <w:tcBorders>
              <w:top w:val="nil"/>
              <w:left w:val="single" w:sz="4" w:space="0" w:color="auto"/>
              <w:bottom w:val="nil"/>
              <w:right w:val="nil"/>
            </w:tcBorders>
            <w:vAlign w:val="center"/>
          </w:tcPr>
          <w:p w14:paraId="1762FFE3" w14:textId="77777777" w:rsidR="00134EE9" w:rsidRPr="00113F82" w:rsidRDefault="00134EE9" w:rsidP="00E107FC">
            <w:pPr>
              <w:pStyle w:val="TableParagraph"/>
              <w:spacing w:line="360" w:lineRule="auto"/>
              <w:jc w:val="both"/>
              <w:rPr>
                <w:rFonts w:ascii="Book Antiqua" w:hAnsi="Book Antiqua"/>
                <w:sz w:val="24"/>
                <w:szCs w:val="24"/>
              </w:rPr>
            </w:pPr>
          </w:p>
        </w:tc>
        <w:tc>
          <w:tcPr>
            <w:tcW w:w="1519" w:type="dxa"/>
            <w:tcBorders>
              <w:top w:val="nil"/>
              <w:left w:val="nil"/>
              <w:bottom w:val="nil"/>
              <w:right w:val="nil"/>
            </w:tcBorders>
            <w:vAlign w:val="center"/>
          </w:tcPr>
          <w:p w14:paraId="4BFF6F65" w14:textId="77777777" w:rsidR="00134EE9" w:rsidRPr="00113F82" w:rsidRDefault="00134EE9" w:rsidP="00E107FC">
            <w:pPr>
              <w:pStyle w:val="TableParagraph"/>
              <w:spacing w:line="360" w:lineRule="auto"/>
              <w:jc w:val="both"/>
              <w:rPr>
                <w:rFonts w:ascii="Book Antiqua" w:hAnsi="Book Antiqua"/>
                <w:sz w:val="24"/>
                <w:szCs w:val="24"/>
              </w:rPr>
            </w:pPr>
          </w:p>
        </w:tc>
        <w:tc>
          <w:tcPr>
            <w:tcW w:w="1089" w:type="dxa"/>
            <w:tcBorders>
              <w:top w:val="nil"/>
              <w:left w:val="nil"/>
              <w:bottom w:val="nil"/>
            </w:tcBorders>
            <w:vAlign w:val="center"/>
          </w:tcPr>
          <w:p w14:paraId="21615DEB" w14:textId="77777777" w:rsidR="00134EE9" w:rsidRPr="00113F82" w:rsidRDefault="00134EE9" w:rsidP="00E107FC">
            <w:pPr>
              <w:pStyle w:val="TableParagraph"/>
              <w:spacing w:line="360" w:lineRule="auto"/>
              <w:jc w:val="both"/>
              <w:rPr>
                <w:rFonts w:ascii="Book Antiqua" w:hAnsi="Book Antiqua"/>
                <w:sz w:val="24"/>
                <w:szCs w:val="24"/>
              </w:rPr>
            </w:pPr>
            <w:r w:rsidRPr="00113F82">
              <w:rPr>
                <w:rFonts w:ascii="Book Antiqua" w:hAnsi="Book Antiqua"/>
                <w:sz w:val="24"/>
                <w:szCs w:val="24"/>
              </w:rPr>
              <w:t>0.161</w:t>
            </w:r>
          </w:p>
        </w:tc>
      </w:tr>
      <w:tr w:rsidR="00F91C4A" w:rsidRPr="00113F82" w14:paraId="0624F43B" w14:textId="77777777" w:rsidTr="00F91C4A">
        <w:tc>
          <w:tcPr>
            <w:tcW w:w="1764" w:type="dxa"/>
            <w:tcBorders>
              <w:top w:val="nil"/>
              <w:bottom w:val="nil"/>
              <w:right w:val="nil"/>
            </w:tcBorders>
            <w:vAlign w:val="center"/>
          </w:tcPr>
          <w:p w14:paraId="163AD1AA" w14:textId="77777777" w:rsidR="00134EE9" w:rsidRPr="00113F82" w:rsidRDefault="00134EE9" w:rsidP="00E107FC">
            <w:pPr>
              <w:pStyle w:val="TableParagraph"/>
              <w:spacing w:line="360" w:lineRule="auto"/>
              <w:jc w:val="both"/>
              <w:rPr>
                <w:rFonts w:ascii="Book Antiqua" w:hAnsi="Book Antiqua"/>
                <w:b/>
                <w:sz w:val="24"/>
                <w:szCs w:val="24"/>
              </w:rPr>
            </w:pPr>
            <w:r w:rsidRPr="00113F82">
              <w:rPr>
                <w:rFonts w:ascii="Book Antiqua" w:hAnsi="Book Antiqua"/>
                <w:b/>
                <w:sz w:val="24"/>
                <w:szCs w:val="24"/>
              </w:rPr>
              <w:t>ALT</w:t>
            </w:r>
          </w:p>
        </w:tc>
        <w:tc>
          <w:tcPr>
            <w:tcW w:w="922" w:type="dxa"/>
            <w:tcBorders>
              <w:top w:val="nil"/>
              <w:left w:val="nil"/>
              <w:bottom w:val="nil"/>
              <w:right w:val="nil"/>
            </w:tcBorders>
            <w:vAlign w:val="center"/>
          </w:tcPr>
          <w:p w14:paraId="698A302F" w14:textId="77777777" w:rsidR="00134EE9" w:rsidRPr="00113F82" w:rsidRDefault="00134EE9" w:rsidP="00E107FC">
            <w:pPr>
              <w:pStyle w:val="TableParagraph"/>
              <w:spacing w:line="360" w:lineRule="auto"/>
              <w:jc w:val="both"/>
              <w:rPr>
                <w:rFonts w:ascii="Book Antiqua" w:hAnsi="Book Antiqua"/>
                <w:sz w:val="24"/>
                <w:szCs w:val="24"/>
              </w:rPr>
            </w:pPr>
            <w:r w:rsidRPr="00113F82">
              <w:rPr>
                <w:rFonts w:ascii="Book Antiqua" w:hAnsi="Book Antiqua"/>
                <w:sz w:val="24"/>
                <w:szCs w:val="24"/>
              </w:rPr>
              <w:t>0.991</w:t>
            </w:r>
          </w:p>
        </w:tc>
        <w:tc>
          <w:tcPr>
            <w:tcW w:w="1560" w:type="dxa"/>
            <w:tcBorders>
              <w:top w:val="nil"/>
              <w:left w:val="nil"/>
              <w:bottom w:val="nil"/>
              <w:right w:val="nil"/>
            </w:tcBorders>
            <w:vAlign w:val="center"/>
          </w:tcPr>
          <w:p w14:paraId="75677B93" w14:textId="77777777" w:rsidR="00134EE9" w:rsidRPr="00113F82" w:rsidRDefault="00134EE9" w:rsidP="00E107FC">
            <w:pPr>
              <w:pStyle w:val="TableParagraph"/>
              <w:spacing w:line="360" w:lineRule="auto"/>
              <w:jc w:val="both"/>
              <w:rPr>
                <w:rFonts w:ascii="Book Antiqua" w:hAnsi="Book Antiqua"/>
                <w:sz w:val="24"/>
                <w:szCs w:val="24"/>
              </w:rPr>
            </w:pPr>
            <w:r w:rsidRPr="00113F82">
              <w:rPr>
                <w:rFonts w:ascii="Book Antiqua" w:hAnsi="Book Antiqua"/>
                <w:sz w:val="24"/>
                <w:szCs w:val="24"/>
              </w:rPr>
              <w:t>0.979-1.003</w:t>
            </w:r>
          </w:p>
        </w:tc>
        <w:tc>
          <w:tcPr>
            <w:tcW w:w="1010" w:type="dxa"/>
            <w:tcBorders>
              <w:top w:val="nil"/>
              <w:left w:val="nil"/>
              <w:bottom w:val="nil"/>
              <w:right w:val="single" w:sz="4" w:space="0" w:color="auto"/>
            </w:tcBorders>
            <w:vAlign w:val="center"/>
          </w:tcPr>
          <w:p w14:paraId="1DFCA3F3" w14:textId="77777777" w:rsidR="00134EE9" w:rsidRPr="00113F82" w:rsidRDefault="00134EE9" w:rsidP="00E107FC">
            <w:pPr>
              <w:pStyle w:val="TableParagraph"/>
              <w:spacing w:line="360" w:lineRule="auto"/>
              <w:jc w:val="both"/>
              <w:rPr>
                <w:rFonts w:ascii="Book Antiqua" w:hAnsi="Book Antiqua"/>
                <w:sz w:val="24"/>
                <w:szCs w:val="24"/>
              </w:rPr>
            </w:pPr>
            <w:r w:rsidRPr="00113F82">
              <w:rPr>
                <w:rFonts w:ascii="Book Antiqua" w:hAnsi="Book Antiqua"/>
                <w:sz w:val="24"/>
                <w:szCs w:val="24"/>
              </w:rPr>
              <w:t>0.150</w:t>
            </w:r>
          </w:p>
        </w:tc>
        <w:tc>
          <w:tcPr>
            <w:tcW w:w="1033" w:type="dxa"/>
            <w:tcBorders>
              <w:top w:val="nil"/>
              <w:left w:val="single" w:sz="4" w:space="0" w:color="auto"/>
              <w:bottom w:val="nil"/>
              <w:right w:val="nil"/>
            </w:tcBorders>
            <w:vAlign w:val="center"/>
          </w:tcPr>
          <w:p w14:paraId="002A6A56" w14:textId="77777777" w:rsidR="00134EE9" w:rsidRPr="00113F82" w:rsidRDefault="00134EE9" w:rsidP="00E107FC">
            <w:pPr>
              <w:pStyle w:val="TableParagraph"/>
              <w:spacing w:line="360" w:lineRule="auto"/>
              <w:jc w:val="both"/>
              <w:rPr>
                <w:rFonts w:ascii="Book Antiqua" w:hAnsi="Book Antiqua"/>
                <w:sz w:val="24"/>
                <w:szCs w:val="24"/>
              </w:rPr>
            </w:pPr>
          </w:p>
        </w:tc>
        <w:tc>
          <w:tcPr>
            <w:tcW w:w="1519" w:type="dxa"/>
            <w:tcBorders>
              <w:top w:val="nil"/>
              <w:left w:val="nil"/>
              <w:bottom w:val="nil"/>
              <w:right w:val="nil"/>
            </w:tcBorders>
            <w:vAlign w:val="center"/>
          </w:tcPr>
          <w:p w14:paraId="763E1C89" w14:textId="77777777" w:rsidR="00134EE9" w:rsidRPr="00113F82" w:rsidRDefault="00134EE9" w:rsidP="00E107FC">
            <w:pPr>
              <w:pStyle w:val="TableParagraph"/>
              <w:spacing w:line="360" w:lineRule="auto"/>
              <w:jc w:val="both"/>
              <w:rPr>
                <w:rFonts w:ascii="Book Antiqua" w:hAnsi="Book Antiqua"/>
                <w:sz w:val="24"/>
                <w:szCs w:val="24"/>
              </w:rPr>
            </w:pPr>
          </w:p>
        </w:tc>
        <w:tc>
          <w:tcPr>
            <w:tcW w:w="1089" w:type="dxa"/>
            <w:tcBorders>
              <w:top w:val="nil"/>
              <w:left w:val="nil"/>
              <w:bottom w:val="nil"/>
            </w:tcBorders>
            <w:vAlign w:val="center"/>
          </w:tcPr>
          <w:p w14:paraId="47D9B5EC" w14:textId="77777777" w:rsidR="00134EE9" w:rsidRPr="00113F82" w:rsidRDefault="00134EE9" w:rsidP="00E107FC">
            <w:pPr>
              <w:pStyle w:val="TableParagraph"/>
              <w:spacing w:line="360" w:lineRule="auto"/>
              <w:jc w:val="both"/>
              <w:rPr>
                <w:rFonts w:ascii="Book Antiqua" w:hAnsi="Book Antiqua"/>
                <w:sz w:val="24"/>
                <w:szCs w:val="24"/>
              </w:rPr>
            </w:pPr>
            <w:r w:rsidRPr="00113F82">
              <w:rPr>
                <w:rFonts w:ascii="Book Antiqua" w:hAnsi="Book Antiqua"/>
                <w:sz w:val="24"/>
                <w:szCs w:val="24"/>
              </w:rPr>
              <w:t>0.078</w:t>
            </w:r>
          </w:p>
        </w:tc>
      </w:tr>
      <w:tr w:rsidR="00F91C4A" w:rsidRPr="00113F82" w14:paraId="3016109A" w14:textId="77777777" w:rsidTr="00F91C4A">
        <w:tc>
          <w:tcPr>
            <w:tcW w:w="1764" w:type="dxa"/>
            <w:tcBorders>
              <w:top w:val="nil"/>
              <w:bottom w:val="nil"/>
              <w:right w:val="nil"/>
            </w:tcBorders>
            <w:vAlign w:val="center"/>
          </w:tcPr>
          <w:p w14:paraId="52BA3893" w14:textId="77777777" w:rsidR="00134EE9" w:rsidRPr="00113F82"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113F82">
              <w:rPr>
                <w:rFonts w:ascii="Book Antiqua" w:eastAsiaTheme="minorEastAsia" w:hAnsi="Book Antiqua" w:cstheme="minorBidi"/>
                <w:b/>
                <w:sz w:val="24"/>
                <w:szCs w:val="24"/>
              </w:rPr>
              <w:t xml:space="preserve">Child-Pugh </w:t>
            </w:r>
            <w:r w:rsidRPr="00113F82">
              <w:rPr>
                <w:rFonts w:ascii="Book Antiqua" w:eastAsiaTheme="minorEastAsia" w:hAnsi="Book Antiqua" w:cstheme="minorBidi"/>
                <w:b/>
                <w:sz w:val="24"/>
                <w:szCs w:val="24"/>
                <w:lang w:eastAsia="en-US"/>
              </w:rPr>
              <w:t>classification</w:t>
            </w:r>
          </w:p>
        </w:tc>
        <w:tc>
          <w:tcPr>
            <w:tcW w:w="922" w:type="dxa"/>
            <w:tcBorders>
              <w:top w:val="nil"/>
              <w:left w:val="nil"/>
              <w:bottom w:val="nil"/>
              <w:right w:val="nil"/>
            </w:tcBorders>
            <w:vAlign w:val="center"/>
          </w:tcPr>
          <w:p w14:paraId="4D1941A2" w14:textId="77777777" w:rsidR="00134EE9" w:rsidRPr="00113F82" w:rsidRDefault="00134EE9" w:rsidP="00E107FC">
            <w:pPr>
              <w:pStyle w:val="TableParagraph"/>
              <w:spacing w:line="360" w:lineRule="auto"/>
              <w:jc w:val="both"/>
              <w:rPr>
                <w:rFonts w:ascii="Book Antiqua" w:hAnsi="Book Antiqua"/>
                <w:sz w:val="24"/>
                <w:szCs w:val="24"/>
              </w:rPr>
            </w:pPr>
          </w:p>
        </w:tc>
        <w:tc>
          <w:tcPr>
            <w:tcW w:w="1560" w:type="dxa"/>
            <w:tcBorders>
              <w:top w:val="nil"/>
              <w:left w:val="nil"/>
              <w:bottom w:val="nil"/>
              <w:right w:val="nil"/>
            </w:tcBorders>
            <w:vAlign w:val="center"/>
          </w:tcPr>
          <w:p w14:paraId="5CF7C2B6" w14:textId="77777777" w:rsidR="00134EE9" w:rsidRPr="00113F82" w:rsidRDefault="00134EE9" w:rsidP="00E107FC">
            <w:pPr>
              <w:pStyle w:val="TableParagraph"/>
              <w:spacing w:line="360" w:lineRule="auto"/>
              <w:jc w:val="both"/>
              <w:rPr>
                <w:rFonts w:ascii="Book Antiqua" w:hAnsi="Book Antiqua"/>
                <w:sz w:val="24"/>
                <w:szCs w:val="24"/>
              </w:rPr>
            </w:pPr>
          </w:p>
        </w:tc>
        <w:tc>
          <w:tcPr>
            <w:tcW w:w="1010" w:type="dxa"/>
            <w:tcBorders>
              <w:top w:val="nil"/>
              <w:left w:val="nil"/>
              <w:bottom w:val="nil"/>
              <w:right w:val="single" w:sz="4" w:space="0" w:color="auto"/>
            </w:tcBorders>
            <w:vAlign w:val="center"/>
          </w:tcPr>
          <w:p w14:paraId="27F5984F" w14:textId="3C09F56A" w:rsidR="00134EE9" w:rsidRPr="00113F82" w:rsidRDefault="00134EE9" w:rsidP="00E107FC">
            <w:pPr>
              <w:pStyle w:val="TableParagraph"/>
              <w:spacing w:line="360" w:lineRule="auto"/>
              <w:jc w:val="both"/>
              <w:rPr>
                <w:rFonts w:ascii="Book Antiqua" w:hAnsi="Book Antiqua"/>
                <w:sz w:val="24"/>
                <w:szCs w:val="24"/>
              </w:rPr>
            </w:pPr>
            <w:r w:rsidRPr="00113F82">
              <w:rPr>
                <w:rFonts w:ascii="Book Antiqua" w:hAnsi="Book Antiqua"/>
                <w:sz w:val="24"/>
                <w:szCs w:val="24"/>
              </w:rPr>
              <w:t>&lt;</w:t>
            </w:r>
            <w:r w:rsidR="00686D4C" w:rsidRPr="00113F82">
              <w:rPr>
                <w:rFonts w:ascii="Book Antiqua" w:hAnsi="Book Antiqua"/>
                <w:sz w:val="24"/>
                <w:szCs w:val="24"/>
              </w:rPr>
              <w:t xml:space="preserve"> </w:t>
            </w:r>
            <w:r w:rsidRPr="00113F82">
              <w:rPr>
                <w:rFonts w:ascii="Book Antiqua" w:hAnsi="Book Antiqua"/>
                <w:sz w:val="24"/>
                <w:szCs w:val="24"/>
              </w:rPr>
              <w:t>0.001</w:t>
            </w:r>
          </w:p>
        </w:tc>
        <w:tc>
          <w:tcPr>
            <w:tcW w:w="1033" w:type="dxa"/>
            <w:tcBorders>
              <w:top w:val="nil"/>
              <w:left w:val="single" w:sz="4" w:space="0" w:color="auto"/>
              <w:bottom w:val="nil"/>
              <w:right w:val="nil"/>
            </w:tcBorders>
            <w:vAlign w:val="center"/>
          </w:tcPr>
          <w:p w14:paraId="13E0E086" w14:textId="77777777" w:rsidR="00134EE9" w:rsidRPr="00113F82" w:rsidRDefault="00134EE9" w:rsidP="00E107FC">
            <w:pPr>
              <w:pStyle w:val="TableParagraph"/>
              <w:spacing w:line="360" w:lineRule="auto"/>
              <w:jc w:val="both"/>
              <w:rPr>
                <w:rFonts w:ascii="Book Antiqua" w:hAnsi="Book Antiqua"/>
                <w:sz w:val="24"/>
                <w:szCs w:val="24"/>
              </w:rPr>
            </w:pPr>
          </w:p>
        </w:tc>
        <w:tc>
          <w:tcPr>
            <w:tcW w:w="1519" w:type="dxa"/>
            <w:tcBorders>
              <w:top w:val="nil"/>
              <w:left w:val="nil"/>
              <w:bottom w:val="nil"/>
              <w:right w:val="nil"/>
            </w:tcBorders>
            <w:vAlign w:val="center"/>
          </w:tcPr>
          <w:p w14:paraId="351235A5" w14:textId="77777777" w:rsidR="00134EE9" w:rsidRPr="00113F82" w:rsidRDefault="00134EE9" w:rsidP="00E107FC">
            <w:pPr>
              <w:pStyle w:val="TableParagraph"/>
              <w:spacing w:line="360" w:lineRule="auto"/>
              <w:jc w:val="both"/>
              <w:rPr>
                <w:rFonts w:ascii="Book Antiqua" w:hAnsi="Book Antiqua"/>
                <w:sz w:val="24"/>
                <w:szCs w:val="24"/>
              </w:rPr>
            </w:pPr>
          </w:p>
        </w:tc>
        <w:tc>
          <w:tcPr>
            <w:tcW w:w="1089" w:type="dxa"/>
            <w:tcBorders>
              <w:top w:val="nil"/>
              <w:left w:val="nil"/>
              <w:bottom w:val="nil"/>
            </w:tcBorders>
            <w:vAlign w:val="center"/>
          </w:tcPr>
          <w:p w14:paraId="16A0C0ED" w14:textId="4B66A663" w:rsidR="00134EE9" w:rsidRPr="00113F82" w:rsidRDefault="00134EE9" w:rsidP="00E107FC">
            <w:pPr>
              <w:pStyle w:val="TableParagraph"/>
              <w:spacing w:line="360" w:lineRule="auto"/>
              <w:jc w:val="both"/>
              <w:rPr>
                <w:rFonts w:ascii="Book Antiqua" w:hAnsi="Book Antiqua"/>
                <w:sz w:val="24"/>
                <w:szCs w:val="24"/>
              </w:rPr>
            </w:pPr>
            <w:r w:rsidRPr="00113F82">
              <w:rPr>
                <w:rFonts w:ascii="Book Antiqua" w:hAnsi="Book Antiqua"/>
                <w:sz w:val="24"/>
                <w:szCs w:val="24"/>
              </w:rPr>
              <w:t>&lt;</w:t>
            </w:r>
            <w:r w:rsidR="00686D4C" w:rsidRPr="00113F82">
              <w:rPr>
                <w:rFonts w:ascii="Book Antiqua" w:hAnsi="Book Antiqua"/>
                <w:sz w:val="24"/>
                <w:szCs w:val="24"/>
              </w:rPr>
              <w:t xml:space="preserve"> </w:t>
            </w:r>
            <w:r w:rsidRPr="00113F82">
              <w:rPr>
                <w:rFonts w:ascii="Book Antiqua" w:hAnsi="Book Antiqua"/>
                <w:sz w:val="24"/>
                <w:szCs w:val="24"/>
              </w:rPr>
              <w:t>0.001</w:t>
            </w:r>
          </w:p>
        </w:tc>
      </w:tr>
      <w:tr w:rsidR="00F91C4A" w:rsidRPr="00113F82" w14:paraId="5D0E5059" w14:textId="77777777" w:rsidTr="00F91C4A">
        <w:tc>
          <w:tcPr>
            <w:tcW w:w="1764" w:type="dxa"/>
            <w:tcBorders>
              <w:top w:val="nil"/>
            </w:tcBorders>
            <w:vAlign w:val="center"/>
          </w:tcPr>
          <w:p w14:paraId="5987A8E1" w14:textId="77777777" w:rsidR="00134EE9" w:rsidRPr="00113F82" w:rsidRDefault="00134EE9" w:rsidP="00E107FC">
            <w:pPr>
              <w:pStyle w:val="TableParagraph"/>
              <w:spacing w:line="360" w:lineRule="auto"/>
              <w:jc w:val="both"/>
              <w:rPr>
                <w:rFonts w:ascii="Book Antiqua" w:hAnsi="Book Antiqua"/>
                <w:b/>
                <w:sz w:val="24"/>
                <w:szCs w:val="24"/>
              </w:rPr>
            </w:pPr>
            <w:r w:rsidRPr="00113F82">
              <w:rPr>
                <w:rFonts w:ascii="Book Antiqua" w:hAnsi="Book Antiqua"/>
                <w:b/>
                <w:sz w:val="24"/>
                <w:szCs w:val="24"/>
              </w:rPr>
              <w:t>B/A</w:t>
            </w:r>
          </w:p>
        </w:tc>
        <w:tc>
          <w:tcPr>
            <w:tcW w:w="922" w:type="dxa"/>
            <w:tcBorders>
              <w:top w:val="nil"/>
            </w:tcBorders>
            <w:vAlign w:val="center"/>
          </w:tcPr>
          <w:p w14:paraId="44669DC6" w14:textId="77777777" w:rsidR="00134EE9" w:rsidRPr="00113F82" w:rsidRDefault="00134EE9" w:rsidP="00E107FC">
            <w:pPr>
              <w:pStyle w:val="TableParagraph"/>
              <w:spacing w:line="360" w:lineRule="auto"/>
              <w:jc w:val="both"/>
              <w:rPr>
                <w:rFonts w:ascii="Book Antiqua" w:hAnsi="Book Antiqua"/>
                <w:sz w:val="24"/>
                <w:szCs w:val="24"/>
              </w:rPr>
            </w:pPr>
            <w:r w:rsidRPr="00113F82">
              <w:rPr>
                <w:rFonts w:ascii="Book Antiqua" w:hAnsi="Book Antiqua"/>
                <w:sz w:val="24"/>
                <w:szCs w:val="24"/>
              </w:rPr>
              <w:t>1.546</w:t>
            </w:r>
          </w:p>
        </w:tc>
        <w:tc>
          <w:tcPr>
            <w:tcW w:w="1560" w:type="dxa"/>
            <w:tcBorders>
              <w:top w:val="nil"/>
            </w:tcBorders>
            <w:vAlign w:val="center"/>
          </w:tcPr>
          <w:p w14:paraId="2FBF8D32" w14:textId="77777777" w:rsidR="00134EE9" w:rsidRPr="00113F82" w:rsidRDefault="00134EE9" w:rsidP="00E107FC">
            <w:pPr>
              <w:pStyle w:val="TableParagraph"/>
              <w:spacing w:line="360" w:lineRule="auto"/>
              <w:jc w:val="both"/>
              <w:rPr>
                <w:rFonts w:ascii="Book Antiqua" w:hAnsi="Book Antiqua"/>
                <w:sz w:val="24"/>
                <w:szCs w:val="24"/>
              </w:rPr>
            </w:pPr>
            <w:r w:rsidRPr="00113F82">
              <w:rPr>
                <w:rFonts w:ascii="Book Antiqua" w:hAnsi="Book Antiqua"/>
                <w:sz w:val="24"/>
                <w:szCs w:val="24"/>
              </w:rPr>
              <w:t>0.793-3.016</w:t>
            </w:r>
          </w:p>
        </w:tc>
        <w:tc>
          <w:tcPr>
            <w:tcW w:w="1010" w:type="dxa"/>
            <w:tcBorders>
              <w:top w:val="nil"/>
              <w:bottom w:val="nil"/>
              <w:right w:val="single" w:sz="4" w:space="0" w:color="auto"/>
            </w:tcBorders>
            <w:vAlign w:val="center"/>
          </w:tcPr>
          <w:p w14:paraId="62988FF4" w14:textId="77777777" w:rsidR="00134EE9" w:rsidRPr="00113F82" w:rsidRDefault="00134EE9" w:rsidP="00E107FC">
            <w:pPr>
              <w:pStyle w:val="TableParagraph"/>
              <w:spacing w:line="360" w:lineRule="auto"/>
              <w:jc w:val="both"/>
              <w:rPr>
                <w:rFonts w:ascii="Book Antiqua" w:hAnsi="Book Antiqua"/>
                <w:sz w:val="24"/>
                <w:szCs w:val="24"/>
              </w:rPr>
            </w:pPr>
            <w:r w:rsidRPr="00113F82">
              <w:rPr>
                <w:rFonts w:ascii="Book Antiqua" w:hAnsi="Book Antiqua"/>
                <w:sz w:val="24"/>
                <w:szCs w:val="24"/>
              </w:rPr>
              <w:t>0.201</w:t>
            </w:r>
          </w:p>
        </w:tc>
        <w:tc>
          <w:tcPr>
            <w:tcW w:w="1033" w:type="dxa"/>
            <w:tcBorders>
              <w:top w:val="nil"/>
              <w:left w:val="single" w:sz="4" w:space="0" w:color="auto"/>
            </w:tcBorders>
            <w:vAlign w:val="center"/>
          </w:tcPr>
          <w:p w14:paraId="11D766D9" w14:textId="77777777" w:rsidR="00134EE9" w:rsidRPr="00113F82" w:rsidRDefault="00134EE9" w:rsidP="00E107FC">
            <w:pPr>
              <w:pStyle w:val="TableParagraph"/>
              <w:spacing w:line="360" w:lineRule="auto"/>
              <w:jc w:val="both"/>
              <w:rPr>
                <w:rFonts w:ascii="Book Antiqua" w:hAnsi="Book Antiqua"/>
                <w:sz w:val="24"/>
                <w:szCs w:val="24"/>
              </w:rPr>
            </w:pPr>
            <w:r w:rsidRPr="00113F82">
              <w:rPr>
                <w:rFonts w:ascii="Book Antiqua" w:hAnsi="Book Antiqua"/>
                <w:sz w:val="24"/>
                <w:szCs w:val="24"/>
              </w:rPr>
              <w:t>3.783</w:t>
            </w:r>
          </w:p>
        </w:tc>
        <w:tc>
          <w:tcPr>
            <w:tcW w:w="1519" w:type="dxa"/>
            <w:tcBorders>
              <w:top w:val="nil"/>
            </w:tcBorders>
            <w:vAlign w:val="center"/>
          </w:tcPr>
          <w:p w14:paraId="0F915931" w14:textId="77777777" w:rsidR="00134EE9" w:rsidRPr="00113F82" w:rsidRDefault="00134EE9" w:rsidP="00E107FC">
            <w:pPr>
              <w:pStyle w:val="TableParagraph"/>
              <w:spacing w:line="360" w:lineRule="auto"/>
              <w:jc w:val="both"/>
              <w:rPr>
                <w:rFonts w:ascii="Book Antiqua" w:hAnsi="Book Antiqua"/>
                <w:sz w:val="24"/>
                <w:szCs w:val="24"/>
              </w:rPr>
            </w:pPr>
            <w:r w:rsidRPr="00113F82">
              <w:rPr>
                <w:rFonts w:ascii="Book Antiqua" w:hAnsi="Book Antiqua"/>
                <w:sz w:val="24"/>
                <w:szCs w:val="24"/>
              </w:rPr>
              <w:t>1.718-8.329</w:t>
            </w:r>
          </w:p>
        </w:tc>
        <w:tc>
          <w:tcPr>
            <w:tcW w:w="1089" w:type="dxa"/>
            <w:tcBorders>
              <w:top w:val="nil"/>
            </w:tcBorders>
            <w:vAlign w:val="center"/>
          </w:tcPr>
          <w:p w14:paraId="561775C8" w14:textId="77777777" w:rsidR="00134EE9" w:rsidRPr="00113F82" w:rsidRDefault="00134EE9" w:rsidP="00E107FC">
            <w:pPr>
              <w:pStyle w:val="TableParagraph"/>
              <w:spacing w:line="360" w:lineRule="auto"/>
              <w:jc w:val="both"/>
              <w:rPr>
                <w:rFonts w:ascii="Book Antiqua" w:hAnsi="Book Antiqua"/>
                <w:sz w:val="24"/>
                <w:szCs w:val="24"/>
              </w:rPr>
            </w:pPr>
          </w:p>
        </w:tc>
      </w:tr>
      <w:tr w:rsidR="00134EE9" w:rsidRPr="00113F82" w14:paraId="7369BBC9" w14:textId="77777777" w:rsidTr="00F91C4A">
        <w:tc>
          <w:tcPr>
            <w:tcW w:w="1764" w:type="dxa"/>
            <w:vAlign w:val="center"/>
          </w:tcPr>
          <w:p w14:paraId="092D463E" w14:textId="77777777" w:rsidR="00134EE9" w:rsidRPr="00113F82" w:rsidRDefault="00134EE9" w:rsidP="00E107FC">
            <w:pPr>
              <w:pStyle w:val="TableParagraph"/>
              <w:spacing w:line="360" w:lineRule="auto"/>
              <w:jc w:val="both"/>
              <w:rPr>
                <w:rFonts w:ascii="Book Antiqua" w:hAnsi="Book Antiqua"/>
                <w:b/>
                <w:sz w:val="24"/>
                <w:szCs w:val="24"/>
              </w:rPr>
            </w:pPr>
            <w:r w:rsidRPr="00113F82">
              <w:rPr>
                <w:rFonts w:ascii="Book Antiqua" w:hAnsi="Book Antiqua"/>
                <w:b/>
                <w:sz w:val="24"/>
                <w:szCs w:val="24"/>
              </w:rPr>
              <w:t>C/A</w:t>
            </w:r>
          </w:p>
        </w:tc>
        <w:tc>
          <w:tcPr>
            <w:tcW w:w="922" w:type="dxa"/>
            <w:vAlign w:val="center"/>
          </w:tcPr>
          <w:p w14:paraId="28EC7F2F" w14:textId="77777777" w:rsidR="00134EE9" w:rsidRPr="00113F82" w:rsidRDefault="00134EE9" w:rsidP="00E107FC">
            <w:pPr>
              <w:pStyle w:val="TableParagraph"/>
              <w:spacing w:line="360" w:lineRule="auto"/>
              <w:jc w:val="both"/>
              <w:rPr>
                <w:rFonts w:ascii="Book Antiqua" w:hAnsi="Book Antiqua"/>
                <w:sz w:val="24"/>
                <w:szCs w:val="24"/>
              </w:rPr>
            </w:pPr>
            <w:r w:rsidRPr="00113F82">
              <w:rPr>
                <w:rFonts w:ascii="Book Antiqua" w:hAnsi="Book Antiqua"/>
                <w:sz w:val="24"/>
                <w:szCs w:val="24"/>
              </w:rPr>
              <w:t>3.493</w:t>
            </w:r>
          </w:p>
        </w:tc>
        <w:tc>
          <w:tcPr>
            <w:tcW w:w="1560" w:type="dxa"/>
            <w:vAlign w:val="center"/>
          </w:tcPr>
          <w:p w14:paraId="13D7EC91" w14:textId="77777777" w:rsidR="00134EE9" w:rsidRPr="00113F82" w:rsidRDefault="00134EE9" w:rsidP="00E107FC">
            <w:pPr>
              <w:pStyle w:val="TableParagraph"/>
              <w:spacing w:line="360" w:lineRule="auto"/>
              <w:jc w:val="both"/>
              <w:rPr>
                <w:rFonts w:ascii="Book Antiqua" w:hAnsi="Book Antiqua"/>
                <w:sz w:val="24"/>
                <w:szCs w:val="24"/>
              </w:rPr>
            </w:pPr>
            <w:r w:rsidRPr="00113F82">
              <w:rPr>
                <w:rFonts w:ascii="Book Antiqua" w:hAnsi="Book Antiqua"/>
                <w:sz w:val="24"/>
                <w:szCs w:val="24"/>
              </w:rPr>
              <w:t>1.764-6.918</w:t>
            </w:r>
          </w:p>
        </w:tc>
        <w:tc>
          <w:tcPr>
            <w:tcW w:w="1010" w:type="dxa"/>
            <w:tcBorders>
              <w:top w:val="nil"/>
              <w:right w:val="single" w:sz="4" w:space="0" w:color="auto"/>
            </w:tcBorders>
            <w:vAlign w:val="center"/>
          </w:tcPr>
          <w:p w14:paraId="5D9B3CE2" w14:textId="6518A7FE" w:rsidR="00134EE9" w:rsidRPr="00113F82" w:rsidRDefault="00134EE9" w:rsidP="00E107FC">
            <w:pPr>
              <w:pStyle w:val="TableParagraph"/>
              <w:spacing w:line="360" w:lineRule="auto"/>
              <w:jc w:val="both"/>
              <w:rPr>
                <w:rFonts w:ascii="Book Antiqua" w:hAnsi="Book Antiqua"/>
                <w:sz w:val="24"/>
                <w:szCs w:val="24"/>
              </w:rPr>
            </w:pPr>
            <w:r w:rsidRPr="00113F82">
              <w:rPr>
                <w:rFonts w:ascii="Book Antiqua" w:hAnsi="Book Antiqua"/>
                <w:sz w:val="24"/>
                <w:szCs w:val="24"/>
              </w:rPr>
              <w:t>&lt;</w:t>
            </w:r>
            <w:r w:rsidR="00686D4C" w:rsidRPr="00113F82">
              <w:rPr>
                <w:rFonts w:ascii="Book Antiqua" w:hAnsi="Book Antiqua"/>
                <w:sz w:val="24"/>
                <w:szCs w:val="24"/>
              </w:rPr>
              <w:t xml:space="preserve"> </w:t>
            </w:r>
            <w:r w:rsidRPr="00113F82">
              <w:rPr>
                <w:rFonts w:ascii="Book Antiqua" w:hAnsi="Book Antiqua"/>
                <w:sz w:val="24"/>
                <w:szCs w:val="24"/>
              </w:rPr>
              <w:t>0.001</w:t>
            </w:r>
          </w:p>
        </w:tc>
        <w:tc>
          <w:tcPr>
            <w:tcW w:w="1033" w:type="dxa"/>
            <w:tcBorders>
              <w:left w:val="single" w:sz="4" w:space="0" w:color="auto"/>
            </w:tcBorders>
            <w:vAlign w:val="center"/>
          </w:tcPr>
          <w:p w14:paraId="277B8B83" w14:textId="77777777" w:rsidR="00134EE9" w:rsidRPr="00113F82" w:rsidRDefault="00134EE9" w:rsidP="00E107FC">
            <w:pPr>
              <w:pStyle w:val="TableParagraph"/>
              <w:spacing w:line="360" w:lineRule="auto"/>
              <w:jc w:val="both"/>
              <w:rPr>
                <w:rFonts w:ascii="Book Antiqua" w:hAnsi="Book Antiqua"/>
                <w:sz w:val="24"/>
                <w:szCs w:val="24"/>
              </w:rPr>
            </w:pPr>
            <w:r w:rsidRPr="00113F82">
              <w:rPr>
                <w:rFonts w:ascii="Book Antiqua" w:hAnsi="Book Antiqua"/>
                <w:sz w:val="24"/>
                <w:szCs w:val="24"/>
              </w:rPr>
              <w:t>13.87</w:t>
            </w:r>
          </w:p>
        </w:tc>
        <w:tc>
          <w:tcPr>
            <w:tcW w:w="1519" w:type="dxa"/>
            <w:vAlign w:val="center"/>
          </w:tcPr>
          <w:p w14:paraId="49A3D929" w14:textId="77777777" w:rsidR="00134EE9" w:rsidRPr="00113F82" w:rsidRDefault="00134EE9" w:rsidP="00E107FC">
            <w:pPr>
              <w:pStyle w:val="TableParagraph"/>
              <w:spacing w:line="360" w:lineRule="auto"/>
              <w:jc w:val="both"/>
              <w:rPr>
                <w:rFonts w:ascii="Book Antiqua" w:hAnsi="Book Antiqua"/>
                <w:sz w:val="24"/>
                <w:szCs w:val="24"/>
              </w:rPr>
            </w:pPr>
            <w:r w:rsidRPr="00113F82">
              <w:rPr>
                <w:rFonts w:ascii="Book Antiqua" w:hAnsi="Book Antiqua"/>
                <w:sz w:val="24"/>
                <w:szCs w:val="24"/>
              </w:rPr>
              <w:t>5.192-37.07</w:t>
            </w:r>
          </w:p>
        </w:tc>
        <w:tc>
          <w:tcPr>
            <w:tcW w:w="1089" w:type="dxa"/>
            <w:vAlign w:val="center"/>
          </w:tcPr>
          <w:p w14:paraId="2DCED90E" w14:textId="77777777" w:rsidR="00134EE9" w:rsidRPr="00113F82" w:rsidRDefault="00134EE9" w:rsidP="00E107FC">
            <w:pPr>
              <w:pStyle w:val="TableParagraph"/>
              <w:spacing w:line="360" w:lineRule="auto"/>
              <w:jc w:val="both"/>
              <w:rPr>
                <w:rFonts w:ascii="Book Antiqua" w:hAnsi="Book Antiqua"/>
                <w:sz w:val="24"/>
                <w:szCs w:val="24"/>
              </w:rPr>
            </w:pPr>
          </w:p>
        </w:tc>
      </w:tr>
    </w:tbl>
    <w:p w14:paraId="3A55F5B9" w14:textId="77777777" w:rsidR="00134EE9" w:rsidRPr="00113F82" w:rsidRDefault="00134EE9" w:rsidP="00E107FC">
      <w:pPr>
        <w:spacing w:line="360" w:lineRule="auto"/>
        <w:jc w:val="both"/>
        <w:rPr>
          <w:rFonts w:ascii="Book Antiqua" w:eastAsia="Book Antiqua" w:hAnsi="Book Antiqua" w:cs="Book Antiqua"/>
          <w:sz w:val="24"/>
          <w:szCs w:val="24"/>
        </w:rPr>
      </w:pPr>
    </w:p>
    <w:p w14:paraId="0EC07CAC" w14:textId="51F62010" w:rsidR="00134EE9" w:rsidRPr="00686D4C" w:rsidRDefault="00134EE9" w:rsidP="00E107FC">
      <w:pPr>
        <w:spacing w:line="360" w:lineRule="auto"/>
        <w:jc w:val="both"/>
        <w:rPr>
          <w:rFonts w:ascii="Book Antiqua" w:hAnsi="Book Antiqua" w:cs="Book Antiqua"/>
          <w:sz w:val="24"/>
          <w:szCs w:val="24"/>
          <w:lang w:eastAsia="zh-CN"/>
        </w:rPr>
      </w:pPr>
      <w:r w:rsidRPr="00113F82">
        <w:rPr>
          <w:rFonts w:ascii="Book Antiqua" w:eastAsia="Book Antiqua" w:hAnsi="Book Antiqua" w:cs="Book Antiqua"/>
          <w:sz w:val="24"/>
          <w:szCs w:val="24"/>
        </w:rPr>
        <w:t>MELD score:</w:t>
      </w:r>
      <w:r w:rsidRPr="00113F82">
        <w:rPr>
          <w:rFonts w:ascii="Book Antiqua" w:hAnsi="Book Antiqua"/>
          <w:sz w:val="24"/>
          <w:szCs w:val="24"/>
        </w:rPr>
        <w:t xml:space="preserve"> </w:t>
      </w:r>
      <w:r w:rsidRPr="00113F82">
        <w:rPr>
          <w:rFonts w:ascii="Book Antiqua" w:eastAsia="Book Antiqua" w:hAnsi="Book Antiqua" w:cs="Book Antiqua"/>
          <w:sz w:val="24"/>
          <w:szCs w:val="24"/>
        </w:rPr>
        <w:t>Model for end-stage liver disease score</w:t>
      </w:r>
      <w:r w:rsidRPr="00113F82">
        <w:rPr>
          <w:rFonts w:ascii="Book Antiqua" w:hAnsi="Book Antiqua" w:cs="Book Antiqua"/>
          <w:sz w:val="24"/>
          <w:szCs w:val="24"/>
          <w:lang w:eastAsia="zh-CN"/>
        </w:rPr>
        <w:t>;</w:t>
      </w:r>
      <w:r w:rsidRPr="00113F82">
        <w:rPr>
          <w:rFonts w:ascii="Book Antiqua" w:eastAsia="Book Antiqua" w:hAnsi="Book Antiqua" w:cs="Book Antiqua"/>
          <w:sz w:val="24"/>
          <w:szCs w:val="24"/>
        </w:rPr>
        <w:t xml:space="preserve"> DBIL: </w:t>
      </w:r>
      <w:r w:rsidR="00686D4C" w:rsidRPr="00113F82">
        <w:rPr>
          <w:rFonts w:ascii="Book Antiqua" w:eastAsia="Book Antiqua" w:hAnsi="Book Antiqua" w:cs="Book Antiqua"/>
          <w:sz w:val="24"/>
          <w:szCs w:val="24"/>
        </w:rPr>
        <w:t xml:space="preserve">Direct </w:t>
      </w:r>
      <w:r w:rsidRPr="00113F82">
        <w:rPr>
          <w:rFonts w:ascii="Book Antiqua" w:eastAsia="Book Antiqua" w:hAnsi="Book Antiqua" w:cs="Book Antiqua"/>
          <w:sz w:val="24"/>
          <w:szCs w:val="24"/>
        </w:rPr>
        <w:t>bilirubin; ALT:</w:t>
      </w:r>
      <w:r w:rsidRPr="00113F82">
        <w:rPr>
          <w:rFonts w:ascii="Book Antiqua" w:hAnsi="Book Antiqua"/>
          <w:sz w:val="24"/>
          <w:szCs w:val="24"/>
        </w:rPr>
        <w:t xml:space="preserve"> </w:t>
      </w:r>
      <w:r w:rsidR="00686D4C" w:rsidRPr="00113F82">
        <w:rPr>
          <w:rFonts w:ascii="Book Antiqua" w:eastAsia="Book Antiqua" w:hAnsi="Book Antiqua" w:cs="Book Antiqua"/>
          <w:sz w:val="24"/>
          <w:szCs w:val="24"/>
        </w:rPr>
        <w:t xml:space="preserve">Alanine </w:t>
      </w:r>
      <w:r w:rsidRPr="00113F82">
        <w:rPr>
          <w:rFonts w:ascii="Book Antiqua" w:eastAsia="Book Antiqua" w:hAnsi="Book Antiqua" w:cs="Book Antiqua"/>
          <w:sz w:val="24"/>
          <w:szCs w:val="24"/>
        </w:rPr>
        <w:t>aminotransferase</w:t>
      </w:r>
      <w:r w:rsidR="00686D4C" w:rsidRPr="00113F82">
        <w:rPr>
          <w:rFonts w:ascii="Book Antiqua" w:hAnsi="Book Antiqua" w:cs="Book Antiqua"/>
          <w:sz w:val="24"/>
          <w:szCs w:val="24"/>
          <w:lang w:eastAsia="zh-CN"/>
        </w:rPr>
        <w:t>.</w:t>
      </w:r>
    </w:p>
    <w:p w14:paraId="097B8A62" w14:textId="77777777" w:rsidR="00134EE9" w:rsidRPr="00686D4C" w:rsidRDefault="00134EE9" w:rsidP="00E107FC">
      <w:pPr>
        <w:spacing w:line="360" w:lineRule="auto"/>
        <w:jc w:val="both"/>
        <w:rPr>
          <w:rFonts w:ascii="Book Antiqua" w:eastAsia="Book Antiqua" w:hAnsi="Book Antiqua" w:cs="Book Antiqua"/>
          <w:sz w:val="24"/>
          <w:szCs w:val="24"/>
        </w:rPr>
      </w:pPr>
    </w:p>
    <w:p w14:paraId="181CD5B3" w14:textId="644A0A91" w:rsidR="001314BE" w:rsidRPr="00686D4C" w:rsidRDefault="001314BE" w:rsidP="00E107FC">
      <w:pPr>
        <w:pStyle w:val="a3"/>
        <w:spacing w:line="360" w:lineRule="auto"/>
        <w:ind w:left="0"/>
        <w:jc w:val="both"/>
        <w:rPr>
          <w:rFonts w:eastAsiaTheme="minorEastAsia"/>
          <w:lang w:eastAsia="zh-CN"/>
        </w:rPr>
      </w:pPr>
    </w:p>
    <w:sectPr w:rsidR="001314BE" w:rsidRPr="00686D4C">
      <w:footerReference w:type="default" r:id="rId21"/>
      <w:pgSz w:w="11910" w:h="16840"/>
      <w:pgMar w:top="1580" w:right="1580" w:bottom="1260" w:left="1480" w:header="0" w:footer="10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568BA9" w14:textId="77777777" w:rsidR="004E4C6B" w:rsidRDefault="004E4C6B">
      <w:r>
        <w:separator/>
      </w:r>
    </w:p>
  </w:endnote>
  <w:endnote w:type="continuationSeparator" w:id="0">
    <w:p w14:paraId="2C4EACD6" w14:textId="77777777" w:rsidR="004E4C6B" w:rsidRDefault="004E4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TimesNewRomanPS-BoldItalicMT">
    <w:altName w:val="Arial Unicode MS"/>
    <w:charset w:val="00"/>
    <w:family w:val="roman"/>
    <w:pitch w:val="variable"/>
    <w:sig w:usb0="E0000AFF" w:usb1="00007843" w:usb2="00000001" w:usb3="00000000" w:csb0="000001B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02FF" w:usb1="4000E47F" w:usb2="00000029"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9FD17" w14:textId="3C22591F" w:rsidR="001103FA" w:rsidRPr="001D2F7E" w:rsidRDefault="001103FA">
    <w:pPr>
      <w:spacing w:line="14" w:lineRule="auto"/>
      <w:rPr>
        <w:sz w:val="20"/>
        <w:szCs w:val="20"/>
      </w:rPr>
    </w:pPr>
    <w:r>
      <w:rPr>
        <w:noProof/>
        <w:lang w:eastAsia="zh-CN"/>
      </w:rPr>
      <mc:AlternateContent>
        <mc:Choice Requires="wps">
          <w:drawing>
            <wp:anchor distT="0" distB="0" distL="114300" distR="114300" simplePos="0" relativeHeight="251656192" behindDoc="1" locked="0" layoutInCell="1" allowOverlap="1" wp14:anchorId="5F7BFECD" wp14:editId="119FD7B1">
              <wp:simplePos x="0" y="0"/>
              <wp:positionH relativeFrom="page">
                <wp:posOffset>3719830</wp:posOffset>
              </wp:positionH>
              <wp:positionV relativeFrom="page">
                <wp:posOffset>9864090</wp:posOffset>
              </wp:positionV>
              <wp:extent cx="121920" cy="165735"/>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EA29F" w14:textId="3E72C1FA" w:rsidR="001103FA" w:rsidRDefault="001103FA">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113F82">
                            <w:rPr>
                              <w:rFonts w:ascii="Calibri"/>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92.9pt;margin-top:776.7pt;width:9.6pt;height:13.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PRxrQIAAKg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" filled="f" stroked="f">
              <v:textbox inset="0,0,0,0">
                <w:txbxContent>
                  <w:p w14:paraId="315EA29F" w14:textId="3E72C1FA" w:rsidR="001103FA" w:rsidRDefault="001103FA">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113F82">
                      <w:rPr>
                        <w:rFonts w:ascii="Calibri"/>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81D6F" w14:textId="2BBF5876" w:rsidR="001103FA" w:rsidRPr="001D2F7E" w:rsidRDefault="001103FA">
    <w:pPr>
      <w:spacing w:line="14" w:lineRule="auto"/>
      <w:rPr>
        <w:sz w:val="20"/>
        <w:szCs w:val="20"/>
      </w:rPr>
    </w:pPr>
    <w:r>
      <w:rPr>
        <w:noProof/>
        <w:lang w:eastAsia="zh-CN"/>
      </w:rPr>
      <mc:AlternateContent>
        <mc:Choice Requires="wps">
          <w:drawing>
            <wp:anchor distT="0" distB="0" distL="114300" distR="114300" simplePos="0" relativeHeight="251657216" behindDoc="1" locked="0" layoutInCell="1" allowOverlap="1" wp14:anchorId="7736FE32" wp14:editId="3D66CC7B">
              <wp:simplePos x="0" y="0"/>
              <wp:positionH relativeFrom="page">
                <wp:posOffset>3697605</wp:posOffset>
              </wp:positionH>
              <wp:positionV relativeFrom="page">
                <wp:posOffset>9864090</wp:posOffset>
              </wp:positionV>
              <wp:extent cx="168910" cy="165735"/>
              <wp:effectExtent l="1905" t="0" r="63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00843" w14:textId="77777777" w:rsidR="001103FA" w:rsidRDefault="001103FA">
                          <w:pPr>
                            <w:spacing w:line="245" w:lineRule="exact"/>
                            <w:ind w:left="20"/>
                            <w:rPr>
                              <w:rFonts w:ascii="Calibri" w:eastAsia="Calibri" w:hAnsi="Calibri" w:cs="Calibri"/>
                            </w:rPr>
                          </w:pPr>
                          <w:r>
                            <w:rPr>
                              <w:rFonts w:ascii="Calibri"/>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91.15pt;margin-top:776.7pt;width:13.3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gcrgIAAK8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" filled="f" stroked="f">
              <v:textbox inset="0,0,0,0">
                <w:txbxContent>
                  <w:p w14:paraId="58A00843" w14:textId="77777777" w:rsidR="001103FA" w:rsidRDefault="001103FA">
                    <w:pPr>
                      <w:spacing w:line="245" w:lineRule="exact"/>
                      <w:ind w:left="20"/>
                      <w:rPr>
                        <w:rFonts w:ascii="Calibri" w:eastAsia="Calibri" w:hAnsi="Calibri" w:cs="Calibri"/>
                      </w:rPr>
                    </w:pPr>
                    <w:r>
                      <w:rPr>
                        <w:rFonts w:ascii="Calibri"/>
                      </w:rPr>
                      <w:t>20</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B82E1" w14:textId="2D791899" w:rsidR="001103FA" w:rsidRDefault="001103FA">
    <w:pPr>
      <w:spacing w:line="14" w:lineRule="auto"/>
      <w:rPr>
        <w:sz w:val="20"/>
        <w:szCs w:val="20"/>
      </w:rPr>
    </w:pPr>
    <w:r>
      <w:rPr>
        <w:noProof/>
        <w:lang w:eastAsia="zh-CN"/>
      </w:rPr>
      <mc:AlternateContent>
        <mc:Choice Requires="wps">
          <w:drawing>
            <wp:anchor distT="0" distB="0" distL="114300" distR="114300" simplePos="0" relativeHeight="251660288" behindDoc="1" locked="0" layoutInCell="1" allowOverlap="1" wp14:anchorId="4CDC4B94" wp14:editId="72BBE625">
              <wp:simplePos x="0" y="0"/>
              <wp:positionH relativeFrom="page">
                <wp:posOffset>3684905</wp:posOffset>
              </wp:positionH>
              <wp:positionV relativeFrom="page">
                <wp:posOffset>9864090</wp:posOffset>
              </wp:positionV>
              <wp:extent cx="194310" cy="165735"/>
              <wp:effectExtent l="0" t="0" r="0" b="0"/>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C3C1E" w14:textId="77777777" w:rsidR="001103FA" w:rsidRDefault="001103FA">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113F82">
                            <w:rPr>
                              <w:rFonts w:ascii="Calibri"/>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8" o:spid="_x0000_s1028" type="#_x0000_t202" style="position:absolute;margin-left:290.15pt;margin-top:776.7pt;width:15.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" filled="f" stroked="f">
              <v:textbox inset="0,0,0,0">
                <w:txbxContent>
                  <w:p w14:paraId="3A4C3C1E" w14:textId="77777777" w:rsidR="001103FA" w:rsidRDefault="001103FA">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113F82">
                      <w:rPr>
                        <w:rFonts w:ascii="Calibri"/>
                        <w:noProof/>
                      </w:rPr>
                      <w:t>21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CFC79" w14:textId="57BA8316" w:rsidR="001103FA" w:rsidRPr="001D2F7E" w:rsidRDefault="001103FA">
    <w:pPr>
      <w:spacing w:line="14" w:lineRule="auto"/>
      <w:rPr>
        <w:sz w:val="20"/>
        <w:szCs w:val="20"/>
      </w:rPr>
    </w:pPr>
    <w:r>
      <w:rPr>
        <w:noProof/>
        <w:lang w:eastAsia="zh-CN"/>
      </w:rPr>
      <mc:AlternateContent>
        <mc:Choice Requires="wps">
          <w:drawing>
            <wp:anchor distT="0" distB="0" distL="114300" distR="114300" simplePos="0" relativeHeight="251658240" behindDoc="1" locked="0" layoutInCell="1" allowOverlap="1" wp14:anchorId="13C2C079" wp14:editId="0B946A31">
              <wp:simplePos x="0" y="0"/>
              <wp:positionH relativeFrom="page">
                <wp:posOffset>3684905</wp:posOffset>
              </wp:positionH>
              <wp:positionV relativeFrom="page">
                <wp:posOffset>9864090</wp:posOffset>
              </wp:positionV>
              <wp:extent cx="194310"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8EB46" w14:textId="07749EB3" w:rsidR="001103FA" w:rsidRDefault="001103FA">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113F82">
                            <w:rPr>
                              <w:rFonts w:ascii="Calibri"/>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290.15pt;margin-top:776.7pt;width:15.3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" filled="f" stroked="f">
              <v:textbox inset="0,0,0,0">
                <w:txbxContent>
                  <w:p w14:paraId="0C68EB46" w14:textId="07749EB3" w:rsidR="001103FA" w:rsidRDefault="001103FA">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113F82">
                      <w:rPr>
                        <w:rFonts w:ascii="Calibri"/>
                        <w:noProof/>
                      </w:rPr>
                      <w:t>30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740659" w14:textId="77777777" w:rsidR="004E4C6B" w:rsidRDefault="004E4C6B">
      <w:r>
        <w:separator/>
      </w:r>
    </w:p>
  </w:footnote>
  <w:footnote w:type="continuationSeparator" w:id="0">
    <w:p w14:paraId="244B40F9" w14:textId="77777777" w:rsidR="004E4C6B" w:rsidRDefault="004E4C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61A37B3"/>
    <w:multiLevelType w:val="singleLevel"/>
    <w:tmpl w:val="F61A37B3"/>
    <w:lvl w:ilvl="0">
      <w:start w:val="5"/>
      <w:numFmt w:val="upperLetter"/>
      <w:suff w:val="nothing"/>
      <w:lvlText w:val="%1-"/>
      <w:lvlJc w:val="left"/>
    </w:lvl>
  </w:abstractNum>
  <w:abstractNum w:abstractNumId="1">
    <w:nsid w:val="237C0583"/>
    <w:multiLevelType w:val="hybridMultilevel"/>
    <w:tmpl w:val="41B051AC"/>
    <w:lvl w:ilvl="0" w:tplc="A76457C6">
      <w:start w:val="1"/>
      <w:numFmt w:val="decimal"/>
      <w:lvlText w:val="%1"/>
      <w:lvlJc w:val="left"/>
      <w:pPr>
        <w:ind w:left="180" w:hanging="180"/>
        <w:jc w:val="right"/>
      </w:pPr>
      <w:rPr>
        <w:rFonts w:ascii="Book Antiqua" w:eastAsia="Book Antiqua" w:hAnsi="Book Antiqua" w:hint="default"/>
        <w:w w:val="100"/>
        <w:sz w:val="24"/>
        <w:szCs w:val="24"/>
      </w:rPr>
    </w:lvl>
    <w:lvl w:ilvl="1" w:tplc="D43A5006">
      <w:start w:val="1"/>
      <w:numFmt w:val="bullet"/>
      <w:lvlText w:val="•"/>
      <w:lvlJc w:val="left"/>
      <w:pPr>
        <w:ind w:left="1040" w:hanging="180"/>
      </w:pPr>
      <w:rPr>
        <w:rFonts w:hint="default"/>
      </w:rPr>
    </w:lvl>
    <w:lvl w:ilvl="2" w:tplc="7034E78E">
      <w:start w:val="1"/>
      <w:numFmt w:val="bullet"/>
      <w:lvlText w:val="•"/>
      <w:lvlJc w:val="left"/>
      <w:pPr>
        <w:ind w:left="1903" w:hanging="180"/>
      </w:pPr>
      <w:rPr>
        <w:rFonts w:hint="default"/>
      </w:rPr>
    </w:lvl>
    <w:lvl w:ilvl="3" w:tplc="EBA4A0CA">
      <w:start w:val="1"/>
      <w:numFmt w:val="bullet"/>
      <w:lvlText w:val="•"/>
      <w:lvlJc w:val="left"/>
      <w:pPr>
        <w:ind w:left="2765" w:hanging="180"/>
      </w:pPr>
      <w:rPr>
        <w:rFonts w:hint="default"/>
      </w:rPr>
    </w:lvl>
    <w:lvl w:ilvl="4" w:tplc="CD885FEE">
      <w:start w:val="1"/>
      <w:numFmt w:val="bullet"/>
      <w:lvlText w:val="•"/>
      <w:lvlJc w:val="left"/>
      <w:pPr>
        <w:ind w:left="3628" w:hanging="180"/>
      </w:pPr>
      <w:rPr>
        <w:rFonts w:hint="default"/>
      </w:rPr>
    </w:lvl>
    <w:lvl w:ilvl="5" w:tplc="919A55B2">
      <w:start w:val="1"/>
      <w:numFmt w:val="bullet"/>
      <w:lvlText w:val="•"/>
      <w:lvlJc w:val="left"/>
      <w:pPr>
        <w:ind w:left="4491" w:hanging="180"/>
      </w:pPr>
      <w:rPr>
        <w:rFonts w:hint="default"/>
      </w:rPr>
    </w:lvl>
    <w:lvl w:ilvl="6" w:tplc="E5C4293E">
      <w:start w:val="1"/>
      <w:numFmt w:val="bullet"/>
      <w:lvlText w:val="•"/>
      <w:lvlJc w:val="left"/>
      <w:pPr>
        <w:ind w:left="5353" w:hanging="180"/>
      </w:pPr>
      <w:rPr>
        <w:rFonts w:hint="default"/>
      </w:rPr>
    </w:lvl>
    <w:lvl w:ilvl="7" w:tplc="A742FF2A">
      <w:start w:val="1"/>
      <w:numFmt w:val="bullet"/>
      <w:lvlText w:val="•"/>
      <w:lvlJc w:val="left"/>
      <w:pPr>
        <w:ind w:left="6216" w:hanging="180"/>
      </w:pPr>
      <w:rPr>
        <w:rFonts w:hint="default"/>
      </w:rPr>
    </w:lvl>
    <w:lvl w:ilvl="8" w:tplc="A844BB28">
      <w:start w:val="1"/>
      <w:numFmt w:val="bullet"/>
      <w:lvlText w:val="•"/>
      <w:lvlJc w:val="left"/>
      <w:pPr>
        <w:ind w:left="7079" w:hanging="180"/>
      </w:pPr>
      <w:rPr>
        <w:rFonts w:hint="default"/>
      </w:rPr>
    </w:lvl>
  </w:abstractNum>
  <w:abstractNum w:abstractNumId="2">
    <w:nsid w:val="24B329F0"/>
    <w:multiLevelType w:val="hybridMultilevel"/>
    <w:tmpl w:val="38A452A4"/>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3">
    <w:nsid w:val="5E384BC7"/>
    <w:multiLevelType w:val="hybridMultilevel"/>
    <w:tmpl w:val="BC7EB93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DateAndTime/>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svstt957vt2ehe5wvc52xpv0s2wratppw2z&quot;&gt;78mm支架引用&lt;record-ids&gt;&lt;item&gt;49&lt;/item&gt;&lt;item&gt;50&lt;/item&gt;&lt;item&gt;56&lt;/item&gt;&lt;item&gt;57&lt;/item&gt;&lt;item&gt;58&lt;/item&gt;&lt;item&gt;61&lt;/item&gt;&lt;item&gt;62&lt;/item&gt;&lt;item&gt;63&lt;/item&gt;&lt;item&gt;64&lt;/item&gt;&lt;item&gt;66&lt;/item&gt;&lt;item&gt;67&lt;/item&gt;&lt;item&gt;68&lt;/item&gt;&lt;item&gt;69&lt;/item&gt;&lt;item&gt;72&lt;/item&gt;&lt;item&gt;75&lt;/item&gt;&lt;item&gt;76&lt;/item&gt;&lt;/record-ids&gt;&lt;/item&gt;&lt;/Libraries&gt;"/>
  </w:docVars>
  <w:rsids>
    <w:rsidRoot w:val="001314BE"/>
    <w:rsid w:val="00003AAC"/>
    <w:rsid w:val="00011131"/>
    <w:rsid w:val="000124B2"/>
    <w:rsid w:val="000208D6"/>
    <w:rsid w:val="00030A5D"/>
    <w:rsid w:val="00044CBF"/>
    <w:rsid w:val="000454E7"/>
    <w:rsid w:val="000459F0"/>
    <w:rsid w:val="0004757A"/>
    <w:rsid w:val="00051B24"/>
    <w:rsid w:val="00067B0F"/>
    <w:rsid w:val="0007408A"/>
    <w:rsid w:val="00082545"/>
    <w:rsid w:val="00083961"/>
    <w:rsid w:val="00085515"/>
    <w:rsid w:val="0009078D"/>
    <w:rsid w:val="00092A6A"/>
    <w:rsid w:val="00095276"/>
    <w:rsid w:val="000B1EBF"/>
    <w:rsid w:val="000B3DBF"/>
    <w:rsid w:val="000C3A31"/>
    <w:rsid w:val="000C7C87"/>
    <w:rsid w:val="000D3814"/>
    <w:rsid w:val="000F209A"/>
    <w:rsid w:val="0010552B"/>
    <w:rsid w:val="001103FA"/>
    <w:rsid w:val="00113F82"/>
    <w:rsid w:val="001143FE"/>
    <w:rsid w:val="00114C18"/>
    <w:rsid w:val="00130C01"/>
    <w:rsid w:val="00130F57"/>
    <w:rsid w:val="001314BE"/>
    <w:rsid w:val="00133CE2"/>
    <w:rsid w:val="00134EE9"/>
    <w:rsid w:val="0013620A"/>
    <w:rsid w:val="00143AFB"/>
    <w:rsid w:val="00144A82"/>
    <w:rsid w:val="00144F5C"/>
    <w:rsid w:val="00145103"/>
    <w:rsid w:val="0014540B"/>
    <w:rsid w:val="001459D4"/>
    <w:rsid w:val="00152C0E"/>
    <w:rsid w:val="00160371"/>
    <w:rsid w:val="00160C5C"/>
    <w:rsid w:val="00170D9F"/>
    <w:rsid w:val="00172637"/>
    <w:rsid w:val="00184366"/>
    <w:rsid w:val="00184FF2"/>
    <w:rsid w:val="001854E7"/>
    <w:rsid w:val="001909AF"/>
    <w:rsid w:val="001918ED"/>
    <w:rsid w:val="00195271"/>
    <w:rsid w:val="001A2DB4"/>
    <w:rsid w:val="001A390F"/>
    <w:rsid w:val="001A4DD0"/>
    <w:rsid w:val="001B0E79"/>
    <w:rsid w:val="001B22A9"/>
    <w:rsid w:val="001C1681"/>
    <w:rsid w:val="001C56C8"/>
    <w:rsid w:val="001C710B"/>
    <w:rsid w:val="001D021E"/>
    <w:rsid w:val="001D189D"/>
    <w:rsid w:val="001D28EE"/>
    <w:rsid w:val="001D2E60"/>
    <w:rsid w:val="001D2F7E"/>
    <w:rsid w:val="001F0A86"/>
    <w:rsid w:val="001F1BC8"/>
    <w:rsid w:val="001F5B96"/>
    <w:rsid w:val="002022F0"/>
    <w:rsid w:val="002059B4"/>
    <w:rsid w:val="00210DC6"/>
    <w:rsid w:val="0021236C"/>
    <w:rsid w:val="00213935"/>
    <w:rsid w:val="00221D7B"/>
    <w:rsid w:val="002220D1"/>
    <w:rsid w:val="00240F04"/>
    <w:rsid w:val="00244F18"/>
    <w:rsid w:val="002505A3"/>
    <w:rsid w:val="00250DFC"/>
    <w:rsid w:val="00250F21"/>
    <w:rsid w:val="00253FC3"/>
    <w:rsid w:val="002632C2"/>
    <w:rsid w:val="0027224C"/>
    <w:rsid w:val="00273586"/>
    <w:rsid w:val="00284496"/>
    <w:rsid w:val="0028633F"/>
    <w:rsid w:val="002A0C40"/>
    <w:rsid w:val="002A38D1"/>
    <w:rsid w:val="002A3F58"/>
    <w:rsid w:val="002B6606"/>
    <w:rsid w:val="002B6FBC"/>
    <w:rsid w:val="002C1189"/>
    <w:rsid w:val="002C79DE"/>
    <w:rsid w:val="002D2919"/>
    <w:rsid w:val="002E3477"/>
    <w:rsid w:val="002E3555"/>
    <w:rsid w:val="002E4708"/>
    <w:rsid w:val="002F08C6"/>
    <w:rsid w:val="00304626"/>
    <w:rsid w:val="0030502E"/>
    <w:rsid w:val="00327BB7"/>
    <w:rsid w:val="003300B4"/>
    <w:rsid w:val="00330C87"/>
    <w:rsid w:val="003315D9"/>
    <w:rsid w:val="00332435"/>
    <w:rsid w:val="00333A91"/>
    <w:rsid w:val="00334A6A"/>
    <w:rsid w:val="00336127"/>
    <w:rsid w:val="00341A40"/>
    <w:rsid w:val="003474D9"/>
    <w:rsid w:val="00353013"/>
    <w:rsid w:val="00357B3B"/>
    <w:rsid w:val="003632F2"/>
    <w:rsid w:val="003720F6"/>
    <w:rsid w:val="00373FCE"/>
    <w:rsid w:val="00374931"/>
    <w:rsid w:val="003863D4"/>
    <w:rsid w:val="00396929"/>
    <w:rsid w:val="003A4BD2"/>
    <w:rsid w:val="003B549C"/>
    <w:rsid w:val="003B72AE"/>
    <w:rsid w:val="003B7C80"/>
    <w:rsid w:val="003C1104"/>
    <w:rsid w:val="003D0EFE"/>
    <w:rsid w:val="003D5423"/>
    <w:rsid w:val="003D6394"/>
    <w:rsid w:val="003E35E6"/>
    <w:rsid w:val="00400ADE"/>
    <w:rsid w:val="00400FA5"/>
    <w:rsid w:val="00404BA7"/>
    <w:rsid w:val="00414D40"/>
    <w:rsid w:val="00420DB8"/>
    <w:rsid w:val="004218E7"/>
    <w:rsid w:val="00424EA6"/>
    <w:rsid w:val="00431F40"/>
    <w:rsid w:val="00432768"/>
    <w:rsid w:val="004547E8"/>
    <w:rsid w:val="00461F19"/>
    <w:rsid w:val="004A5157"/>
    <w:rsid w:val="004B0F5F"/>
    <w:rsid w:val="004B46FF"/>
    <w:rsid w:val="004B76DF"/>
    <w:rsid w:val="004C3A52"/>
    <w:rsid w:val="004C6185"/>
    <w:rsid w:val="004C685E"/>
    <w:rsid w:val="004D2E39"/>
    <w:rsid w:val="004E4C6B"/>
    <w:rsid w:val="004F18E9"/>
    <w:rsid w:val="00504BA6"/>
    <w:rsid w:val="00507E66"/>
    <w:rsid w:val="005119BA"/>
    <w:rsid w:val="00517DBE"/>
    <w:rsid w:val="00520508"/>
    <w:rsid w:val="0052125E"/>
    <w:rsid w:val="00526E9C"/>
    <w:rsid w:val="00531F0B"/>
    <w:rsid w:val="00541276"/>
    <w:rsid w:val="005455B5"/>
    <w:rsid w:val="00551D86"/>
    <w:rsid w:val="00553BE2"/>
    <w:rsid w:val="005617F7"/>
    <w:rsid w:val="0056584C"/>
    <w:rsid w:val="00573090"/>
    <w:rsid w:val="0057557F"/>
    <w:rsid w:val="00576095"/>
    <w:rsid w:val="00583D61"/>
    <w:rsid w:val="0059054F"/>
    <w:rsid w:val="00597E10"/>
    <w:rsid w:val="005B33D9"/>
    <w:rsid w:val="005B3C3B"/>
    <w:rsid w:val="005B4D75"/>
    <w:rsid w:val="005E3107"/>
    <w:rsid w:val="005E7951"/>
    <w:rsid w:val="005F05FD"/>
    <w:rsid w:val="005F112B"/>
    <w:rsid w:val="005F7DB6"/>
    <w:rsid w:val="00604E33"/>
    <w:rsid w:val="00606CED"/>
    <w:rsid w:val="00610ED1"/>
    <w:rsid w:val="0061183E"/>
    <w:rsid w:val="006313BD"/>
    <w:rsid w:val="00642C16"/>
    <w:rsid w:val="00644450"/>
    <w:rsid w:val="00645DB0"/>
    <w:rsid w:val="00650AAC"/>
    <w:rsid w:val="00651E87"/>
    <w:rsid w:val="006534C9"/>
    <w:rsid w:val="00655963"/>
    <w:rsid w:val="006574EA"/>
    <w:rsid w:val="00686D4C"/>
    <w:rsid w:val="00687021"/>
    <w:rsid w:val="00693F8D"/>
    <w:rsid w:val="006A59A8"/>
    <w:rsid w:val="006A5E1E"/>
    <w:rsid w:val="006B6E98"/>
    <w:rsid w:val="006B75E6"/>
    <w:rsid w:val="006C6B0C"/>
    <w:rsid w:val="006D6D8B"/>
    <w:rsid w:val="006E0BA3"/>
    <w:rsid w:val="006F048F"/>
    <w:rsid w:val="006F6BFD"/>
    <w:rsid w:val="007030B2"/>
    <w:rsid w:val="0070522E"/>
    <w:rsid w:val="00705D03"/>
    <w:rsid w:val="00710EC1"/>
    <w:rsid w:val="00723F66"/>
    <w:rsid w:val="00735D5E"/>
    <w:rsid w:val="007415A5"/>
    <w:rsid w:val="0074595E"/>
    <w:rsid w:val="00754442"/>
    <w:rsid w:val="007548F0"/>
    <w:rsid w:val="0075665A"/>
    <w:rsid w:val="007566F1"/>
    <w:rsid w:val="007641A4"/>
    <w:rsid w:val="007661B4"/>
    <w:rsid w:val="00770022"/>
    <w:rsid w:val="0078064B"/>
    <w:rsid w:val="0078779E"/>
    <w:rsid w:val="007978D5"/>
    <w:rsid w:val="007A05AD"/>
    <w:rsid w:val="007B24C3"/>
    <w:rsid w:val="007B329B"/>
    <w:rsid w:val="007B5F31"/>
    <w:rsid w:val="007C248C"/>
    <w:rsid w:val="007C304B"/>
    <w:rsid w:val="007C3C18"/>
    <w:rsid w:val="007C526E"/>
    <w:rsid w:val="007C6AD1"/>
    <w:rsid w:val="007D7651"/>
    <w:rsid w:val="007E1CD3"/>
    <w:rsid w:val="007E716F"/>
    <w:rsid w:val="007F776D"/>
    <w:rsid w:val="00805FAB"/>
    <w:rsid w:val="00811B8F"/>
    <w:rsid w:val="00820028"/>
    <w:rsid w:val="00823D04"/>
    <w:rsid w:val="00824437"/>
    <w:rsid w:val="0085177E"/>
    <w:rsid w:val="008529B5"/>
    <w:rsid w:val="00862DB2"/>
    <w:rsid w:val="00871AB8"/>
    <w:rsid w:val="00872F38"/>
    <w:rsid w:val="00882E05"/>
    <w:rsid w:val="00891EAB"/>
    <w:rsid w:val="008A41B8"/>
    <w:rsid w:val="008B0AFC"/>
    <w:rsid w:val="008B3DDD"/>
    <w:rsid w:val="008B485F"/>
    <w:rsid w:val="008C4944"/>
    <w:rsid w:val="008F4938"/>
    <w:rsid w:val="008F731A"/>
    <w:rsid w:val="0091473F"/>
    <w:rsid w:val="009345B1"/>
    <w:rsid w:val="009364BF"/>
    <w:rsid w:val="00936A9B"/>
    <w:rsid w:val="009444FE"/>
    <w:rsid w:val="009466AD"/>
    <w:rsid w:val="00956CDE"/>
    <w:rsid w:val="00970B13"/>
    <w:rsid w:val="00981139"/>
    <w:rsid w:val="00990AE9"/>
    <w:rsid w:val="00991D68"/>
    <w:rsid w:val="009A1885"/>
    <w:rsid w:val="009A1B14"/>
    <w:rsid w:val="009A3763"/>
    <w:rsid w:val="009A3BB1"/>
    <w:rsid w:val="009A3C14"/>
    <w:rsid w:val="009A60B9"/>
    <w:rsid w:val="009D1457"/>
    <w:rsid w:val="009D6AE2"/>
    <w:rsid w:val="009E34EA"/>
    <w:rsid w:val="009F7727"/>
    <w:rsid w:val="00A01105"/>
    <w:rsid w:val="00A017D3"/>
    <w:rsid w:val="00A02D07"/>
    <w:rsid w:val="00A03004"/>
    <w:rsid w:val="00A03272"/>
    <w:rsid w:val="00A30BA0"/>
    <w:rsid w:val="00A350D1"/>
    <w:rsid w:val="00A36804"/>
    <w:rsid w:val="00A37B45"/>
    <w:rsid w:val="00A417DF"/>
    <w:rsid w:val="00A42260"/>
    <w:rsid w:val="00A551C0"/>
    <w:rsid w:val="00A73171"/>
    <w:rsid w:val="00A94AD2"/>
    <w:rsid w:val="00A97A33"/>
    <w:rsid w:val="00AA58C4"/>
    <w:rsid w:val="00AA76B3"/>
    <w:rsid w:val="00AB23B0"/>
    <w:rsid w:val="00AB5F1B"/>
    <w:rsid w:val="00AB7EF5"/>
    <w:rsid w:val="00AC30FE"/>
    <w:rsid w:val="00AC6E92"/>
    <w:rsid w:val="00AD0539"/>
    <w:rsid w:val="00AF03E9"/>
    <w:rsid w:val="00AF4C60"/>
    <w:rsid w:val="00AF5F22"/>
    <w:rsid w:val="00B00A16"/>
    <w:rsid w:val="00B025B8"/>
    <w:rsid w:val="00B0440C"/>
    <w:rsid w:val="00B13D6B"/>
    <w:rsid w:val="00B160C4"/>
    <w:rsid w:val="00B1798A"/>
    <w:rsid w:val="00B22C36"/>
    <w:rsid w:val="00B23B2D"/>
    <w:rsid w:val="00B31A99"/>
    <w:rsid w:val="00B3366F"/>
    <w:rsid w:val="00B3657D"/>
    <w:rsid w:val="00B5546C"/>
    <w:rsid w:val="00B62B22"/>
    <w:rsid w:val="00B6527B"/>
    <w:rsid w:val="00B67716"/>
    <w:rsid w:val="00B70071"/>
    <w:rsid w:val="00B75B8D"/>
    <w:rsid w:val="00B81E56"/>
    <w:rsid w:val="00B86FD2"/>
    <w:rsid w:val="00B93066"/>
    <w:rsid w:val="00B95515"/>
    <w:rsid w:val="00BA6375"/>
    <w:rsid w:val="00BC2273"/>
    <w:rsid w:val="00BD39CF"/>
    <w:rsid w:val="00BD458D"/>
    <w:rsid w:val="00BE51BE"/>
    <w:rsid w:val="00BE5B3C"/>
    <w:rsid w:val="00BF0781"/>
    <w:rsid w:val="00BF41A6"/>
    <w:rsid w:val="00C10591"/>
    <w:rsid w:val="00C1709F"/>
    <w:rsid w:val="00C30E19"/>
    <w:rsid w:val="00C32CB3"/>
    <w:rsid w:val="00C430F2"/>
    <w:rsid w:val="00C447DC"/>
    <w:rsid w:val="00C45611"/>
    <w:rsid w:val="00C529D3"/>
    <w:rsid w:val="00C62CD9"/>
    <w:rsid w:val="00C66EDA"/>
    <w:rsid w:val="00C72611"/>
    <w:rsid w:val="00C72E45"/>
    <w:rsid w:val="00C746B5"/>
    <w:rsid w:val="00C90EE1"/>
    <w:rsid w:val="00C91F1F"/>
    <w:rsid w:val="00CA43F7"/>
    <w:rsid w:val="00CA5F11"/>
    <w:rsid w:val="00CB3438"/>
    <w:rsid w:val="00CC2F8B"/>
    <w:rsid w:val="00CC6022"/>
    <w:rsid w:val="00CD0023"/>
    <w:rsid w:val="00CD2CBF"/>
    <w:rsid w:val="00CD50A2"/>
    <w:rsid w:val="00CD50F6"/>
    <w:rsid w:val="00CE6888"/>
    <w:rsid w:val="00CF31D6"/>
    <w:rsid w:val="00CF3729"/>
    <w:rsid w:val="00D02B75"/>
    <w:rsid w:val="00D135A5"/>
    <w:rsid w:val="00D15EDE"/>
    <w:rsid w:val="00D2312A"/>
    <w:rsid w:val="00D30235"/>
    <w:rsid w:val="00D45426"/>
    <w:rsid w:val="00D469AF"/>
    <w:rsid w:val="00D66559"/>
    <w:rsid w:val="00D717A6"/>
    <w:rsid w:val="00D826D9"/>
    <w:rsid w:val="00D82959"/>
    <w:rsid w:val="00DA015C"/>
    <w:rsid w:val="00DA7F42"/>
    <w:rsid w:val="00DB1813"/>
    <w:rsid w:val="00DC7B3F"/>
    <w:rsid w:val="00DF774D"/>
    <w:rsid w:val="00E005E5"/>
    <w:rsid w:val="00E0314F"/>
    <w:rsid w:val="00E07928"/>
    <w:rsid w:val="00E107FC"/>
    <w:rsid w:val="00E12C47"/>
    <w:rsid w:val="00E130E2"/>
    <w:rsid w:val="00E1394B"/>
    <w:rsid w:val="00E15A53"/>
    <w:rsid w:val="00E16799"/>
    <w:rsid w:val="00E24BB0"/>
    <w:rsid w:val="00E26A1C"/>
    <w:rsid w:val="00E27B1B"/>
    <w:rsid w:val="00E359C6"/>
    <w:rsid w:val="00E36C89"/>
    <w:rsid w:val="00E40F48"/>
    <w:rsid w:val="00E42910"/>
    <w:rsid w:val="00E64A61"/>
    <w:rsid w:val="00E73EF9"/>
    <w:rsid w:val="00E755F0"/>
    <w:rsid w:val="00E75E03"/>
    <w:rsid w:val="00E82F48"/>
    <w:rsid w:val="00E8605C"/>
    <w:rsid w:val="00E934CD"/>
    <w:rsid w:val="00E939C0"/>
    <w:rsid w:val="00EA1797"/>
    <w:rsid w:val="00EA2630"/>
    <w:rsid w:val="00EA4EEB"/>
    <w:rsid w:val="00EA69BB"/>
    <w:rsid w:val="00EA7B81"/>
    <w:rsid w:val="00EC2AEE"/>
    <w:rsid w:val="00EC4D43"/>
    <w:rsid w:val="00ED1EE3"/>
    <w:rsid w:val="00EE18D7"/>
    <w:rsid w:val="00EF168C"/>
    <w:rsid w:val="00EF18CF"/>
    <w:rsid w:val="00EF22E4"/>
    <w:rsid w:val="00EF3A8F"/>
    <w:rsid w:val="00EF649F"/>
    <w:rsid w:val="00EF77CF"/>
    <w:rsid w:val="00F0038F"/>
    <w:rsid w:val="00F05E36"/>
    <w:rsid w:val="00F07DB6"/>
    <w:rsid w:val="00F416E2"/>
    <w:rsid w:val="00F50C79"/>
    <w:rsid w:val="00F53294"/>
    <w:rsid w:val="00F70A9F"/>
    <w:rsid w:val="00F718CB"/>
    <w:rsid w:val="00F72D07"/>
    <w:rsid w:val="00F741C1"/>
    <w:rsid w:val="00F85264"/>
    <w:rsid w:val="00F85591"/>
    <w:rsid w:val="00F91C4A"/>
    <w:rsid w:val="00FA13B1"/>
    <w:rsid w:val="00FA5B27"/>
    <w:rsid w:val="00FB54D9"/>
    <w:rsid w:val="00FB5AF2"/>
    <w:rsid w:val="00FB5FCD"/>
    <w:rsid w:val="00FC47E1"/>
    <w:rsid w:val="00FD695A"/>
    <w:rsid w:val="00FD7C9E"/>
    <w:rsid w:val="00FD7D01"/>
    <w:rsid w:val="00FE6362"/>
    <w:rsid w:val="00FF4D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76E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pPr>
      <w:ind w:left="102"/>
      <w:outlineLvl w:val="0"/>
    </w:pPr>
    <w:rPr>
      <w:rFonts w:ascii="Book Antiqua" w:eastAsia="Book Antiqua" w:hAnsi="Book Antiqua"/>
      <w:b/>
      <w:bCs/>
      <w:sz w:val="24"/>
      <w:szCs w:val="24"/>
    </w:rPr>
  </w:style>
  <w:style w:type="paragraph" w:styleId="2">
    <w:name w:val="heading 2"/>
    <w:basedOn w:val="a"/>
    <w:uiPriority w:val="9"/>
    <w:unhideWhenUsed/>
    <w:qFormat/>
    <w:pPr>
      <w:ind w:left="102"/>
      <w:outlineLvl w:val="1"/>
    </w:pPr>
    <w:rPr>
      <w:rFonts w:ascii="Book Antiqua" w:eastAsia="Book Antiqua" w:hAnsi="Book Antiqua"/>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3">
    <w:name w:val="Body Text"/>
    <w:basedOn w:val="a"/>
    <w:link w:val="Char"/>
    <w:uiPriority w:val="1"/>
    <w:qFormat/>
    <w:pPr>
      <w:ind w:left="102"/>
    </w:pPr>
    <w:rPr>
      <w:rFonts w:ascii="Book Antiqua" w:eastAsia="Book Antiqua" w:hAnsi="Book Antiqua"/>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character" w:styleId="a5">
    <w:name w:val="Hyperlink"/>
    <w:basedOn w:val="a0"/>
    <w:uiPriority w:val="99"/>
    <w:unhideWhenUsed/>
    <w:rsid w:val="00D469AF"/>
    <w:rPr>
      <w:color w:val="0000FF"/>
      <w:u w:val="single"/>
    </w:rPr>
  </w:style>
  <w:style w:type="paragraph" w:customStyle="1" w:styleId="Default">
    <w:name w:val="Default"/>
    <w:qFormat/>
    <w:rsid w:val="001A2DB4"/>
    <w:pPr>
      <w:autoSpaceDE w:val="0"/>
      <w:autoSpaceDN w:val="0"/>
      <w:adjustRightInd w:val="0"/>
    </w:pPr>
    <w:rPr>
      <w:rFonts w:ascii="Times New Roman" w:eastAsia="宋体" w:hAnsi="Times New Roman" w:cs="Times New Roman"/>
      <w:color w:val="000000"/>
      <w:sz w:val="24"/>
      <w:szCs w:val="24"/>
      <w:lang w:eastAsia="zh-CN"/>
    </w:rPr>
  </w:style>
  <w:style w:type="character" w:customStyle="1" w:styleId="10">
    <w:name w:val="未处理的提及1"/>
    <w:basedOn w:val="a0"/>
    <w:uiPriority w:val="99"/>
    <w:semiHidden/>
    <w:unhideWhenUsed/>
    <w:rsid w:val="001A2DB4"/>
    <w:rPr>
      <w:color w:val="605E5C"/>
      <w:shd w:val="clear" w:color="auto" w:fill="E1DFDD"/>
    </w:rPr>
  </w:style>
  <w:style w:type="paragraph" w:customStyle="1" w:styleId="EndNoteBibliographyTitle">
    <w:name w:val="EndNote Bibliography Title"/>
    <w:basedOn w:val="a"/>
    <w:link w:val="EndNoteBibliographyTitle0"/>
    <w:rsid w:val="00871AB8"/>
    <w:pPr>
      <w:jc w:val="center"/>
    </w:pPr>
    <w:rPr>
      <w:rFonts w:ascii="Book Antiqua" w:hAnsi="Book Antiqua"/>
      <w:noProof/>
      <w:sz w:val="24"/>
    </w:rPr>
  </w:style>
  <w:style w:type="character" w:customStyle="1" w:styleId="Char">
    <w:name w:val="正文文本 Char"/>
    <w:basedOn w:val="a0"/>
    <w:link w:val="a3"/>
    <w:uiPriority w:val="1"/>
    <w:rsid w:val="00871AB8"/>
    <w:rPr>
      <w:rFonts w:ascii="Book Antiqua" w:eastAsia="Book Antiqua" w:hAnsi="Book Antiqua"/>
      <w:sz w:val="24"/>
      <w:szCs w:val="24"/>
    </w:rPr>
  </w:style>
  <w:style w:type="character" w:customStyle="1" w:styleId="EndNoteBibliographyTitle0">
    <w:name w:val="EndNote Bibliography Title 字符"/>
    <w:basedOn w:val="Char"/>
    <w:link w:val="EndNoteBibliographyTitle"/>
    <w:rsid w:val="00871AB8"/>
    <w:rPr>
      <w:rFonts w:ascii="Book Antiqua" w:eastAsia="Book Antiqua" w:hAnsi="Book Antiqua"/>
      <w:noProof/>
      <w:sz w:val="24"/>
      <w:szCs w:val="24"/>
    </w:rPr>
  </w:style>
  <w:style w:type="paragraph" w:customStyle="1" w:styleId="EndNoteBibliography">
    <w:name w:val="EndNote Bibliography"/>
    <w:basedOn w:val="a"/>
    <w:link w:val="EndNoteBibliography0"/>
    <w:rsid w:val="00871AB8"/>
    <w:pPr>
      <w:jc w:val="both"/>
    </w:pPr>
    <w:rPr>
      <w:rFonts w:ascii="Book Antiqua" w:hAnsi="Book Antiqua"/>
      <w:noProof/>
      <w:sz w:val="24"/>
    </w:rPr>
  </w:style>
  <w:style w:type="character" w:customStyle="1" w:styleId="EndNoteBibliography0">
    <w:name w:val="EndNote Bibliography 字符"/>
    <w:basedOn w:val="Char"/>
    <w:link w:val="EndNoteBibliography"/>
    <w:rsid w:val="00871AB8"/>
    <w:rPr>
      <w:rFonts w:ascii="Book Antiqua" w:eastAsia="Book Antiqua" w:hAnsi="Book Antiqua"/>
      <w:noProof/>
      <w:sz w:val="24"/>
      <w:szCs w:val="24"/>
    </w:rPr>
  </w:style>
  <w:style w:type="paragraph" w:styleId="a6">
    <w:name w:val="header"/>
    <w:basedOn w:val="a"/>
    <w:link w:val="Char0"/>
    <w:uiPriority w:val="99"/>
    <w:unhideWhenUsed/>
    <w:rsid w:val="00C746B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C746B5"/>
    <w:rPr>
      <w:sz w:val="18"/>
      <w:szCs w:val="18"/>
    </w:rPr>
  </w:style>
  <w:style w:type="paragraph" w:styleId="a7">
    <w:name w:val="footer"/>
    <w:basedOn w:val="a"/>
    <w:link w:val="Char1"/>
    <w:uiPriority w:val="99"/>
    <w:unhideWhenUsed/>
    <w:rsid w:val="00C746B5"/>
    <w:pPr>
      <w:tabs>
        <w:tab w:val="center" w:pos="4153"/>
        <w:tab w:val="right" w:pos="8306"/>
      </w:tabs>
      <w:snapToGrid w:val="0"/>
    </w:pPr>
    <w:rPr>
      <w:sz w:val="18"/>
      <w:szCs w:val="18"/>
    </w:rPr>
  </w:style>
  <w:style w:type="character" w:customStyle="1" w:styleId="Char1">
    <w:name w:val="页脚 Char"/>
    <w:basedOn w:val="a0"/>
    <w:link w:val="a7"/>
    <w:uiPriority w:val="99"/>
    <w:rsid w:val="00C746B5"/>
    <w:rPr>
      <w:sz w:val="18"/>
      <w:szCs w:val="18"/>
    </w:rPr>
  </w:style>
  <w:style w:type="table" w:styleId="a8">
    <w:name w:val="Table Grid"/>
    <w:basedOn w:val="a1"/>
    <w:rsid w:val="00CF3729"/>
    <w:pPr>
      <w:widowControl/>
    </w:pPr>
    <w:rPr>
      <w:rFonts w:ascii="Times New Roman" w:eastAsia="宋体" w:hAnsi="Times New Roman"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2"/>
    <w:uiPriority w:val="99"/>
    <w:semiHidden/>
    <w:unhideWhenUsed/>
    <w:rsid w:val="00BC2273"/>
    <w:rPr>
      <w:sz w:val="18"/>
      <w:szCs w:val="18"/>
    </w:rPr>
  </w:style>
  <w:style w:type="character" w:customStyle="1" w:styleId="Char2">
    <w:name w:val="批注框文本 Char"/>
    <w:basedOn w:val="a0"/>
    <w:link w:val="a9"/>
    <w:uiPriority w:val="99"/>
    <w:semiHidden/>
    <w:rsid w:val="00BC2273"/>
    <w:rPr>
      <w:sz w:val="18"/>
      <w:szCs w:val="18"/>
    </w:rPr>
  </w:style>
  <w:style w:type="paragraph" w:styleId="aa">
    <w:name w:val="Revision"/>
    <w:hidden/>
    <w:uiPriority w:val="99"/>
    <w:semiHidden/>
    <w:rsid w:val="00B1798A"/>
    <w:pPr>
      <w:widowControl/>
    </w:pPr>
  </w:style>
  <w:style w:type="character" w:styleId="ab">
    <w:name w:val="annotation reference"/>
    <w:basedOn w:val="a0"/>
    <w:uiPriority w:val="99"/>
    <w:semiHidden/>
    <w:unhideWhenUsed/>
    <w:rsid w:val="00CE6888"/>
    <w:rPr>
      <w:sz w:val="16"/>
      <w:szCs w:val="16"/>
    </w:rPr>
  </w:style>
  <w:style w:type="paragraph" w:styleId="ac">
    <w:name w:val="annotation text"/>
    <w:basedOn w:val="a"/>
    <w:link w:val="Char3"/>
    <w:uiPriority w:val="99"/>
    <w:unhideWhenUsed/>
    <w:rsid w:val="00CE6888"/>
    <w:rPr>
      <w:sz w:val="20"/>
      <w:szCs w:val="20"/>
    </w:rPr>
  </w:style>
  <w:style w:type="character" w:customStyle="1" w:styleId="Char3">
    <w:name w:val="批注文字 Char"/>
    <w:basedOn w:val="a0"/>
    <w:link w:val="ac"/>
    <w:uiPriority w:val="99"/>
    <w:rsid w:val="00CE6888"/>
    <w:rPr>
      <w:sz w:val="20"/>
      <w:szCs w:val="20"/>
    </w:rPr>
  </w:style>
  <w:style w:type="paragraph" w:styleId="ad">
    <w:name w:val="annotation subject"/>
    <w:basedOn w:val="ac"/>
    <w:next w:val="ac"/>
    <w:link w:val="Char4"/>
    <w:uiPriority w:val="99"/>
    <w:semiHidden/>
    <w:unhideWhenUsed/>
    <w:rsid w:val="00B00A16"/>
    <w:rPr>
      <w:b/>
      <w:bCs/>
      <w:sz w:val="22"/>
      <w:szCs w:val="22"/>
    </w:rPr>
  </w:style>
  <w:style w:type="character" w:customStyle="1" w:styleId="Char4">
    <w:name w:val="批注主题 Char"/>
    <w:basedOn w:val="Char3"/>
    <w:link w:val="ad"/>
    <w:uiPriority w:val="99"/>
    <w:semiHidden/>
    <w:rsid w:val="00B00A16"/>
    <w:rPr>
      <w:b/>
      <w:bCs/>
      <w:sz w:val="20"/>
      <w:szCs w:val="20"/>
    </w:rPr>
  </w:style>
  <w:style w:type="character" w:customStyle="1" w:styleId="highlight">
    <w:name w:val="highlight"/>
    <w:basedOn w:val="a0"/>
    <w:rsid w:val="00A03272"/>
  </w:style>
  <w:style w:type="character" w:customStyle="1" w:styleId="1Char">
    <w:name w:val="标题 1 Char"/>
    <w:basedOn w:val="a0"/>
    <w:link w:val="1"/>
    <w:uiPriority w:val="9"/>
    <w:rsid w:val="00134EE9"/>
    <w:rPr>
      <w:rFonts w:ascii="Book Antiqua" w:eastAsia="Book Antiqua" w:hAnsi="Book Antiqua"/>
      <w:b/>
      <w:bCs/>
      <w:sz w:val="24"/>
      <w:szCs w:val="24"/>
    </w:rPr>
  </w:style>
  <w:style w:type="paragraph" w:styleId="ae">
    <w:name w:val="Plain Text"/>
    <w:basedOn w:val="a"/>
    <w:link w:val="Char5"/>
    <w:semiHidden/>
    <w:unhideWhenUsed/>
    <w:rsid w:val="000124B2"/>
    <w:pPr>
      <w:jc w:val="both"/>
    </w:pPr>
    <w:rPr>
      <w:rFonts w:ascii="宋体" w:eastAsia="宋体" w:hAnsi="Courier New" w:cs="Courier New"/>
      <w:kern w:val="2"/>
      <w:sz w:val="21"/>
      <w:szCs w:val="21"/>
      <w:lang w:eastAsia="zh-CN"/>
    </w:rPr>
  </w:style>
  <w:style w:type="character" w:customStyle="1" w:styleId="Char5">
    <w:name w:val="纯文本 Char"/>
    <w:basedOn w:val="a0"/>
    <w:link w:val="ae"/>
    <w:semiHidden/>
    <w:rsid w:val="000124B2"/>
    <w:rPr>
      <w:rFonts w:ascii="宋体" w:eastAsia="宋体" w:hAnsi="Courier New" w:cs="Courier New"/>
      <w:kern w:val="2"/>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pPr>
      <w:ind w:left="102"/>
      <w:outlineLvl w:val="0"/>
    </w:pPr>
    <w:rPr>
      <w:rFonts w:ascii="Book Antiqua" w:eastAsia="Book Antiqua" w:hAnsi="Book Antiqua"/>
      <w:b/>
      <w:bCs/>
      <w:sz w:val="24"/>
      <w:szCs w:val="24"/>
    </w:rPr>
  </w:style>
  <w:style w:type="paragraph" w:styleId="2">
    <w:name w:val="heading 2"/>
    <w:basedOn w:val="a"/>
    <w:uiPriority w:val="9"/>
    <w:unhideWhenUsed/>
    <w:qFormat/>
    <w:pPr>
      <w:ind w:left="102"/>
      <w:outlineLvl w:val="1"/>
    </w:pPr>
    <w:rPr>
      <w:rFonts w:ascii="Book Antiqua" w:eastAsia="Book Antiqua" w:hAnsi="Book Antiqua"/>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3">
    <w:name w:val="Body Text"/>
    <w:basedOn w:val="a"/>
    <w:link w:val="Char"/>
    <w:uiPriority w:val="1"/>
    <w:qFormat/>
    <w:pPr>
      <w:ind w:left="102"/>
    </w:pPr>
    <w:rPr>
      <w:rFonts w:ascii="Book Antiqua" w:eastAsia="Book Antiqua" w:hAnsi="Book Antiqua"/>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character" w:styleId="a5">
    <w:name w:val="Hyperlink"/>
    <w:basedOn w:val="a0"/>
    <w:uiPriority w:val="99"/>
    <w:unhideWhenUsed/>
    <w:rsid w:val="00D469AF"/>
    <w:rPr>
      <w:color w:val="0000FF"/>
      <w:u w:val="single"/>
    </w:rPr>
  </w:style>
  <w:style w:type="paragraph" w:customStyle="1" w:styleId="Default">
    <w:name w:val="Default"/>
    <w:qFormat/>
    <w:rsid w:val="001A2DB4"/>
    <w:pPr>
      <w:autoSpaceDE w:val="0"/>
      <w:autoSpaceDN w:val="0"/>
      <w:adjustRightInd w:val="0"/>
    </w:pPr>
    <w:rPr>
      <w:rFonts w:ascii="Times New Roman" w:eastAsia="宋体" w:hAnsi="Times New Roman" w:cs="Times New Roman"/>
      <w:color w:val="000000"/>
      <w:sz w:val="24"/>
      <w:szCs w:val="24"/>
      <w:lang w:eastAsia="zh-CN"/>
    </w:rPr>
  </w:style>
  <w:style w:type="character" w:customStyle="1" w:styleId="10">
    <w:name w:val="未处理的提及1"/>
    <w:basedOn w:val="a0"/>
    <w:uiPriority w:val="99"/>
    <w:semiHidden/>
    <w:unhideWhenUsed/>
    <w:rsid w:val="001A2DB4"/>
    <w:rPr>
      <w:color w:val="605E5C"/>
      <w:shd w:val="clear" w:color="auto" w:fill="E1DFDD"/>
    </w:rPr>
  </w:style>
  <w:style w:type="paragraph" w:customStyle="1" w:styleId="EndNoteBibliographyTitle">
    <w:name w:val="EndNote Bibliography Title"/>
    <w:basedOn w:val="a"/>
    <w:link w:val="EndNoteBibliographyTitle0"/>
    <w:rsid w:val="00871AB8"/>
    <w:pPr>
      <w:jc w:val="center"/>
    </w:pPr>
    <w:rPr>
      <w:rFonts w:ascii="Book Antiqua" w:hAnsi="Book Antiqua"/>
      <w:noProof/>
      <w:sz w:val="24"/>
    </w:rPr>
  </w:style>
  <w:style w:type="character" w:customStyle="1" w:styleId="Char">
    <w:name w:val="正文文本 Char"/>
    <w:basedOn w:val="a0"/>
    <w:link w:val="a3"/>
    <w:uiPriority w:val="1"/>
    <w:rsid w:val="00871AB8"/>
    <w:rPr>
      <w:rFonts w:ascii="Book Antiqua" w:eastAsia="Book Antiqua" w:hAnsi="Book Antiqua"/>
      <w:sz w:val="24"/>
      <w:szCs w:val="24"/>
    </w:rPr>
  </w:style>
  <w:style w:type="character" w:customStyle="1" w:styleId="EndNoteBibliographyTitle0">
    <w:name w:val="EndNote Bibliography Title 字符"/>
    <w:basedOn w:val="Char"/>
    <w:link w:val="EndNoteBibliographyTitle"/>
    <w:rsid w:val="00871AB8"/>
    <w:rPr>
      <w:rFonts w:ascii="Book Antiqua" w:eastAsia="Book Antiqua" w:hAnsi="Book Antiqua"/>
      <w:noProof/>
      <w:sz w:val="24"/>
      <w:szCs w:val="24"/>
    </w:rPr>
  </w:style>
  <w:style w:type="paragraph" w:customStyle="1" w:styleId="EndNoteBibliography">
    <w:name w:val="EndNote Bibliography"/>
    <w:basedOn w:val="a"/>
    <w:link w:val="EndNoteBibliography0"/>
    <w:rsid w:val="00871AB8"/>
    <w:pPr>
      <w:jc w:val="both"/>
    </w:pPr>
    <w:rPr>
      <w:rFonts w:ascii="Book Antiqua" w:hAnsi="Book Antiqua"/>
      <w:noProof/>
      <w:sz w:val="24"/>
    </w:rPr>
  </w:style>
  <w:style w:type="character" w:customStyle="1" w:styleId="EndNoteBibliography0">
    <w:name w:val="EndNote Bibliography 字符"/>
    <w:basedOn w:val="Char"/>
    <w:link w:val="EndNoteBibliography"/>
    <w:rsid w:val="00871AB8"/>
    <w:rPr>
      <w:rFonts w:ascii="Book Antiqua" w:eastAsia="Book Antiqua" w:hAnsi="Book Antiqua"/>
      <w:noProof/>
      <w:sz w:val="24"/>
      <w:szCs w:val="24"/>
    </w:rPr>
  </w:style>
  <w:style w:type="paragraph" w:styleId="a6">
    <w:name w:val="header"/>
    <w:basedOn w:val="a"/>
    <w:link w:val="Char0"/>
    <w:uiPriority w:val="99"/>
    <w:unhideWhenUsed/>
    <w:rsid w:val="00C746B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C746B5"/>
    <w:rPr>
      <w:sz w:val="18"/>
      <w:szCs w:val="18"/>
    </w:rPr>
  </w:style>
  <w:style w:type="paragraph" w:styleId="a7">
    <w:name w:val="footer"/>
    <w:basedOn w:val="a"/>
    <w:link w:val="Char1"/>
    <w:uiPriority w:val="99"/>
    <w:unhideWhenUsed/>
    <w:rsid w:val="00C746B5"/>
    <w:pPr>
      <w:tabs>
        <w:tab w:val="center" w:pos="4153"/>
        <w:tab w:val="right" w:pos="8306"/>
      </w:tabs>
      <w:snapToGrid w:val="0"/>
    </w:pPr>
    <w:rPr>
      <w:sz w:val="18"/>
      <w:szCs w:val="18"/>
    </w:rPr>
  </w:style>
  <w:style w:type="character" w:customStyle="1" w:styleId="Char1">
    <w:name w:val="页脚 Char"/>
    <w:basedOn w:val="a0"/>
    <w:link w:val="a7"/>
    <w:uiPriority w:val="99"/>
    <w:rsid w:val="00C746B5"/>
    <w:rPr>
      <w:sz w:val="18"/>
      <w:szCs w:val="18"/>
    </w:rPr>
  </w:style>
  <w:style w:type="table" w:styleId="a8">
    <w:name w:val="Table Grid"/>
    <w:basedOn w:val="a1"/>
    <w:rsid w:val="00CF3729"/>
    <w:pPr>
      <w:widowControl/>
    </w:pPr>
    <w:rPr>
      <w:rFonts w:ascii="Times New Roman" w:eastAsia="宋体" w:hAnsi="Times New Roman"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2"/>
    <w:uiPriority w:val="99"/>
    <w:semiHidden/>
    <w:unhideWhenUsed/>
    <w:rsid w:val="00BC2273"/>
    <w:rPr>
      <w:sz w:val="18"/>
      <w:szCs w:val="18"/>
    </w:rPr>
  </w:style>
  <w:style w:type="character" w:customStyle="1" w:styleId="Char2">
    <w:name w:val="批注框文本 Char"/>
    <w:basedOn w:val="a0"/>
    <w:link w:val="a9"/>
    <w:uiPriority w:val="99"/>
    <w:semiHidden/>
    <w:rsid w:val="00BC2273"/>
    <w:rPr>
      <w:sz w:val="18"/>
      <w:szCs w:val="18"/>
    </w:rPr>
  </w:style>
  <w:style w:type="paragraph" w:styleId="aa">
    <w:name w:val="Revision"/>
    <w:hidden/>
    <w:uiPriority w:val="99"/>
    <w:semiHidden/>
    <w:rsid w:val="00B1798A"/>
    <w:pPr>
      <w:widowControl/>
    </w:pPr>
  </w:style>
  <w:style w:type="character" w:styleId="ab">
    <w:name w:val="annotation reference"/>
    <w:basedOn w:val="a0"/>
    <w:uiPriority w:val="99"/>
    <w:semiHidden/>
    <w:unhideWhenUsed/>
    <w:rsid w:val="00CE6888"/>
    <w:rPr>
      <w:sz w:val="16"/>
      <w:szCs w:val="16"/>
    </w:rPr>
  </w:style>
  <w:style w:type="paragraph" w:styleId="ac">
    <w:name w:val="annotation text"/>
    <w:basedOn w:val="a"/>
    <w:link w:val="Char3"/>
    <w:uiPriority w:val="99"/>
    <w:unhideWhenUsed/>
    <w:rsid w:val="00CE6888"/>
    <w:rPr>
      <w:sz w:val="20"/>
      <w:szCs w:val="20"/>
    </w:rPr>
  </w:style>
  <w:style w:type="character" w:customStyle="1" w:styleId="Char3">
    <w:name w:val="批注文字 Char"/>
    <w:basedOn w:val="a0"/>
    <w:link w:val="ac"/>
    <w:uiPriority w:val="99"/>
    <w:rsid w:val="00CE6888"/>
    <w:rPr>
      <w:sz w:val="20"/>
      <w:szCs w:val="20"/>
    </w:rPr>
  </w:style>
  <w:style w:type="paragraph" w:styleId="ad">
    <w:name w:val="annotation subject"/>
    <w:basedOn w:val="ac"/>
    <w:next w:val="ac"/>
    <w:link w:val="Char4"/>
    <w:uiPriority w:val="99"/>
    <w:semiHidden/>
    <w:unhideWhenUsed/>
    <w:rsid w:val="00B00A16"/>
    <w:rPr>
      <w:b/>
      <w:bCs/>
      <w:sz w:val="22"/>
      <w:szCs w:val="22"/>
    </w:rPr>
  </w:style>
  <w:style w:type="character" w:customStyle="1" w:styleId="Char4">
    <w:name w:val="批注主题 Char"/>
    <w:basedOn w:val="Char3"/>
    <w:link w:val="ad"/>
    <w:uiPriority w:val="99"/>
    <w:semiHidden/>
    <w:rsid w:val="00B00A16"/>
    <w:rPr>
      <w:b/>
      <w:bCs/>
      <w:sz w:val="20"/>
      <w:szCs w:val="20"/>
    </w:rPr>
  </w:style>
  <w:style w:type="character" w:customStyle="1" w:styleId="highlight">
    <w:name w:val="highlight"/>
    <w:basedOn w:val="a0"/>
    <w:rsid w:val="00A03272"/>
  </w:style>
  <w:style w:type="character" w:customStyle="1" w:styleId="1Char">
    <w:name w:val="标题 1 Char"/>
    <w:basedOn w:val="a0"/>
    <w:link w:val="1"/>
    <w:uiPriority w:val="9"/>
    <w:rsid w:val="00134EE9"/>
    <w:rPr>
      <w:rFonts w:ascii="Book Antiqua" w:eastAsia="Book Antiqua" w:hAnsi="Book Antiqua"/>
      <w:b/>
      <w:bCs/>
      <w:sz w:val="24"/>
      <w:szCs w:val="24"/>
    </w:rPr>
  </w:style>
  <w:style w:type="paragraph" w:styleId="ae">
    <w:name w:val="Plain Text"/>
    <w:basedOn w:val="a"/>
    <w:link w:val="Char5"/>
    <w:semiHidden/>
    <w:unhideWhenUsed/>
    <w:rsid w:val="000124B2"/>
    <w:pPr>
      <w:jc w:val="both"/>
    </w:pPr>
    <w:rPr>
      <w:rFonts w:ascii="宋体" w:eastAsia="宋体" w:hAnsi="Courier New" w:cs="Courier New"/>
      <w:kern w:val="2"/>
      <w:sz w:val="21"/>
      <w:szCs w:val="21"/>
      <w:lang w:eastAsia="zh-CN"/>
    </w:rPr>
  </w:style>
  <w:style w:type="character" w:customStyle="1" w:styleId="Char5">
    <w:name w:val="纯文本 Char"/>
    <w:basedOn w:val="a0"/>
    <w:link w:val="ae"/>
    <w:semiHidden/>
    <w:rsid w:val="000124B2"/>
    <w:rPr>
      <w:rFonts w:ascii="宋体" w:eastAsia="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6993">
      <w:bodyDiv w:val="1"/>
      <w:marLeft w:val="0"/>
      <w:marRight w:val="0"/>
      <w:marTop w:val="0"/>
      <w:marBottom w:val="0"/>
      <w:divBdr>
        <w:top w:val="none" w:sz="0" w:space="0" w:color="auto"/>
        <w:left w:val="none" w:sz="0" w:space="0" w:color="auto"/>
        <w:bottom w:val="none" w:sz="0" w:space="0" w:color="auto"/>
        <w:right w:val="none" w:sz="0" w:space="0" w:color="auto"/>
      </w:divBdr>
    </w:div>
    <w:div w:id="40525191">
      <w:bodyDiv w:val="1"/>
      <w:marLeft w:val="0"/>
      <w:marRight w:val="0"/>
      <w:marTop w:val="0"/>
      <w:marBottom w:val="0"/>
      <w:divBdr>
        <w:top w:val="none" w:sz="0" w:space="0" w:color="auto"/>
        <w:left w:val="none" w:sz="0" w:space="0" w:color="auto"/>
        <w:bottom w:val="none" w:sz="0" w:space="0" w:color="auto"/>
        <w:right w:val="none" w:sz="0" w:space="0" w:color="auto"/>
      </w:divBdr>
    </w:div>
    <w:div w:id="130562533">
      <w:bodyDiv w:val="1"/>
      <w:marLeft w:val="0"/>
      <w:marRight w:val="0"/>
      <w:marTop w:val="0"/>
      <w:marBottom w:val="0"/>
      <w:divBdr>
        <w:top w:val="none" w:sz="0" w:space="0" w:color="auto"/>
        <w:left w:val="none" w:sz="0" w:space="0" w:color="auto"/>
        <w:bottom w:val="none" w:sz="0" w:space="0" w:color="auto"/>
        <w:right w:val="none" w:sz="0" w:space="0" w:color="auto"/>
      </w:divBdr>
    </w:div>
    <w:div w:id="137650133">
      <w:bodyDiv w:val="1"/>
      <w:marLeft w:val="0"/>
      <w:marRight w:val="0"/>
      <w:marTop w:val="0"/>
      <w:marBottom w:val="0"/>
      <w:divBdr>
        <w:top w:val="none" w:sz="0" w:space="0" w:color="auto"/>
        <w:left w:val="none" w:sz="0" w:space="0" w:color="auto"/>
        <w:bottom w:val="none" w:sz="0" w:space="0" w:color="auto"/>
        <w:right w:val="none" w:sz="0" w:space="0" w:color="auto"/>
      </w:divBdr>
    </w:div>
    <w:div w:id="303586514">
      <w:bodyDiv w:val="1"/>
      <w:marLeft w:val="0"/>
      <w:marRight w:val="0"/>
      <w:marTop w:val="0"/>
      <w:marBottom w:val="0"/>
      <w:divBdr>
        <w:top w:val="none" w:sz="0" w:space="0" w:color="auto"/>
        <w:left w:val="none" w:sz="0" w:space="0" w:color="auto"/>
        <w:bottom w:val="none" w:sz="0" w:space="0" w:color="auto"/>
        <w:right w:val="none" w:sz="0" w:space="0" w:color="auto"/>
      </w:divBdr>
    </w:div>
    <w:div w:id="409080960">
      <w:bodyDiv w:val="1"/>
      <w:marLeft w:val="0"/>
      <w:marRight w:val="0"/>
      <w:marTop w:val="0"/>
      <w:marBottom w:val="0"/>
      <w:divBdr>
        <w:top w:val="none" w:sz="0" w:space="0" w:color="auto"/>
        <w:left w:val="none" w:sz="0" w:space="0" w:color="auto"/>
        <w:bottom w:val="none" w:sz="0" w:space="0" w:color="auto"/>
        <w:right w:val="none" w:sz="0" w:space="0" w:color="auto"/>
      </w:divBdr>
    </w:div>
    <w:div w:id="644509113">
      <w:bodyDiv w:val="1"/>
      <w:marLeft w:val="0"/>
      <w:marRight w:val="0"/>
      <w:marTop w:val="0"/>
      <w:marBottom w:val="0"/>
      <w:divBdr>
        <w:top w:val="none" w:sz="0" w:space="0" w:color="auto"/>
        <w:left w:val="none" w:sz="0" w:space="0" w:color="auto"/>
        <w:bottom w:val="none" w:sz="0" w:space="0" w:color="auto"/>
        <w:right w:val="none" w:sz="0" w:space="0" w:color="auto"/>
      </w:divBdr>
    </w:div>
    <w:div w:id="668216988">
      <w:bodyDiv w:val="1"/>
      <w:marLeft w:val="0"/>
      <w:marRight w:val="0"/>
      <w:marTop w:val="0"/>
      <w:marBottom w:val="0"/>
      <w:divBdr>
        <w:top w:val="none" w:sz="0" w:space="0" w:color="auto"/>
        <w:left w:val="none" w:sz="0" w:space="0" w:color="auto"/>
        <w:bottom w:val="none" w:sz="0" w:space="0" w:color="auto"/>
        <w:right w:val="none" w:sz="0" w:space="0" w:color="auto"/>
      </w:divBdr>
    </w:div>
    <w:div w:id="1241520012">
      <w:bodyDiv w:val="1"/>
      <w:marLeft w:val="0"/>
      <w:marRight w:val="0"/>
      <w:marTop w:val="0"/>
      <w:marBottom w:val="0"/>
      <w:divBdr>
        <w:top w:val="none" w:sz="0" w:space="0" w:color="auto"/>
        <w:left w:val="none" w:sz="0" w:space="0" w:color="auto"/>
        <w:bottom w:val="none" w:sz="0" w:space="0" w:color="auto"/>
        <w:right w:val="none" w:sz="0" w:space="0" w:color="auto"/>
      </w:divBdr>
    </w:div>
    <w:div w:id="1299650773">
      <w:bodyDiv w:val="1"/>
      <w:marLeft w:val="0"/>
      <w:marRight w:val="0"/>
      <w:marTop w:val="0"/>
      <w:marBottom w:val="0"/>
      <w:divBdr>
        <w:top w:val="none" w:sz="0" w:space="0" w:color="auto"/>
        <w:left w:val="none" w:sz="0" w:space="0" w:color="auto"/>
        <w:bottom w:val="none" w:sz="0" w:space="0" w:color="auto"/>
        <w:right w:val="none" w:sz="0" w:space="0" w:color="auto"/>
      </w:divBdr>
    </w:div>
    <w:div w:id="1706324518">
      <w:bodyDiv w:val="1"/>
      <w:marLeft w:val="0"/>
      <w:marRight w:val="0"/>
      <w:marTop w:val="0"/>
      <w:marBottom w:val="0"/>
      <w:divBdr>
        <w:top w:val="none" w:sz="0" w:space="0" w:color="auto"/>
        <w:left w:val="none" w:sz="0" w:space="0" w:color="auto"/>
        <w:bottom w:val="none" w:sz="0" w:space="0" w:color="auto"/>
        <w:right w:val="none" w:sz="0" w:space="0" w:color="auto"/>
      </w:divBdr>
    </w:div>
    <w:div w:id="20580483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tif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5" Type="http://schemas.openxmlformats.org/officeDocument/2006/relationships/image" Target="media/image5.tiff"/><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738C0-88DA-4086-8A57-E1ACA76C1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6209</Words>
  <Characters>35392</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Cathel Kerr</dc:creator>
  <cp:lastModifiedBy>ma</cp:lastModifiedBy>
  <cp:revision>8</cp:revision>
  <dcterms:created xsi:type="dcterms:W3CDTF">2019-03-12T18:17:00Z</dcterms:created>
  <dcterms:modified xsi:type="dcterms:W3CDTF">2019-04-15T09:19:00Z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2018-11-12T00:00:00Z</vt:filetime>
  </property>
  <property fmtid="{D5CDD505-2E9C-101B-9397-08002B2CF9AE}" pid="3" name="Creator">
    <vt:lpwstr>Microsoft® Word 2010</vt:lpwstr>
  </property>
  <property fmtid="{D5CDD505-2E9C-101B-9397-08002B2CF9AE}" pid="4" name="LastSaved">
    <vt:filetime>2018-11-23T00:00:00Z</vt:filetime>
  </property>
</Properties>
</file>