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11E49" w14:textId="77777777" w:rsidR="005F4A40" w:rsidRPr="00C042FF" w:rsidRDefault="005F4A40" w:rsidP="003E14C8">
      <w:pPr>
        <w:spacing w:line="360" w:lineRule="auto"/>
        <w:jc w:val="both"/>
        <w:rPr>
          <w:rFonts w:ascii="Book Antiqua" w:eastAsia="Book Antiqua" w:hAnsi="Book Antiqua" w:cs="Book Antiqua"/>
          <w:b/>
          <w:lang w:val="en-US"/>
        </w:rPr>
      </w:pPr>
      <w:r w:rsidRPr="00C042FF">
        <w:rPr>
          <w:rFonts w:ascii="Book Antiqua" w:eastAsia="Book Antiqua" w:hAnsi="Book Antiqua" w:cs="Book Antiqua"/>
          <w:b/>
          <w:lang w:val="en-US"/>
        </w:rPr>
        <w:t xml:space="preserve">Name of Journal: </w:t>
      </w:r>
      <w:r w:rsidRPr="00B742F9">
        <w:rPr>
          <w:rFonts w:ascii="Book Antiqua" w:eastAsia="Book Antiqua" w:hAnsi="Book Antiqua" w:cs="Book Antiqua"/>
          <w:i/>
          <w:lang w:val="en-US"/>
        </w:rPr>
        <w:t>World Journal of Gastrointestinal Endoscopy</w:t>
      </w:r>
    </w:p>
    <w:p w14:paraId="21D3C198" w14:textId="0CAF964C" w:rsidR="005F4A40" w:rsidRPr="00C042FF" w:rsidRDefault="005F4A40" w:rsidP="003E14C8">
      <w:pPr>
        <w:adjustRightInd w:val="0"/>
        <w:snapToGrid w:val="0"/>
        <w:spacing w:line="360" w:lineRule="auto"/>
        <w:jc w:val="both"/>
        <w:rPr>
          <w:rFonts w:ascii="Book Antiqua" w:hAnsi="Book Antiqua" w:cs="Arial"/>
          <w:b/>
          <w:lang w:val="en" w:eastAsia="zh-C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C042FF">
        <w:rPr>
          <w:rFonts w:ascii="Book Antiqua" w:hAnsi="Book Antiqua" w:cs="Arial"/>
          <w:b/>
          <w:lang w:val="en"/>
        </w:rPr>
        <w:t>Manuscript NO:</w:t>
      </w:r>
      <w:bookmarkEnd w:id="0"/>
      <w:bookmarkEnd w:id="1"/>
      <w:r w:rsidRPr="00C042FF">
        <w:rPr>
          <w:rFonts w:ascii="Book Antiqua" w:hAnsi="Book Antiqua" w:cs="Arial"/>
          <w:b/>
          <w:lang w:val="en"/>
        </w:rPr>
        <w:t xml:space="preserve"> </w:t>
      </w:r>
      <w:bookmarkEnd w:id="2"/>
      <w:bookmarkEnd w:id="3"/>
      <w:bookmarkEnd w:id="4"/>
      <w:bookmarkEnd w:id="5"/>
      <w:bookmarkEnd w:id="6"/>
      <w:r w:rsidR="00570C38" w:rsidRPr="00B742F9">
        <w:rPr>
          <w:rFonts w:ascii="Book Antiqua" w:eastAsia="Times New Roman" w:hAnsi="Book Antiqua" w:cs="SimSun"/>
          <w:lang w:val="en-US"/>
        </w:rPr>
        <w:t>45774</w:t>
      </w:r>
    </w:p>
    <w:p w14:paraId="53B6AD59" w14:textId="1EB7F392" w:rsidR="005F4A40" w:rsidRPr="00C042FF" w:rsidRDefault="005F4A40" w:rsidP="003E14C8">
      <w:pPr>
        <w:adjustRightInd w:val="0"/>
        <w:snapToGrid w:val="0"/>
        <w:spacing w:line="360" w:lineRule="auto"/>
        <w:jc w:val="both"/>
        <w:rPr>
          <w:rFonts w:ascii="Book Antiqua" w:hAnsi="Book Antiqua" w:cs="Arial"/>
          <w:b/>
          <w:lang w:val="en-US" w:eastAsia="zh-CN"/>
        </w:rPr>
      </w:pPr>
      <w:r w:rsidRPr="00C042FF">
        <w:rPr>
          <w:rFonts w:ascii="Book Antiqua" w:eastAsia="Book Antiqua" w:hAnsi="Book Antiqua" w:cs="Book Antiqua"/>
          <w:b/>
          <w:lang w:val="en-US"/>
        </w:rPr>
        <w:t xml:space="preserve">Manuscript Type: </w:t>
      </w:r>
      <w:r w:rsidRPr="00B742F9">
        <w:rPr>
          <w:rFonts w:ascii="Book Antiqua" w:eastAsia="Book Antiqua" w:hAnsi="Book Antiqua" w:cs="Book Antiqua"/>
          <w:lang w:val="en-US"/>
        </w:rPr>
        <w:t>REVIEW</w:t>
      </w:r>
    </w:p>
    <w:p w14:paraId="222513F6" w14:textId="30E0B78F" w:rsidR="005F4A40" w:rsidRPr="00C042FF" w:rsidRDefault="005F4A40" w:rsidP="003E14C8">
      <w:pPr>
        <w:spacing w:line="360" w:lineRule="auto"/>
        <w:jc w:val="both"/>
        <w:rPr>
          <w:rFonts w:ascii="Book Antiqua" w:hAnsi="Book Antiqua" w:cs="Book Antiqua"/>
          <w:b/>
          <w:lang w:val="en-US" w:eastAsia="zh-CN"/>
        </w:rPr>
      </w:pPr>
      <w:r w:rsidRPr="00C042FF">
        <w:rPr>
          <w:rFonts w:ascii="Book Antiqua" w:eastAsia="Book Antiqua" w:hAnsi="Book Antiqua" w:cs="Book Antiqua"/>
          <w:lang w:val="en-US"/>
        </w:rPr>
        <w:br/>
      </w:r>
      <w:r w:rsidRPr="00C042FF">
        <w:rPr>
          <w:rFonts w:ascii="Book Antiqua" w:eastAsia="Book Antiqua" w:hAnsi="Book Antiqua" w:cs="Book Antiqua"/>
          <w:b/>
          <w:lang w:val="en-US"/>
        </w:rPr>
        <w:t xml:space="preserve">Acute abdominal obstruction: </w:t>
      </w:r>
      <w:r w:rsidR="00CF4994" w:rsidRPr="00C042FF">
        <w:rPr>
          <w:rFonts w:ascii="Book Antiqua" w:eastAsia="Book Antiqua" w:hAnsi="Book Antiqua" w:cs="Book Antiqua"/>
          <w:b/>
          <w:lang w:val="en-US"/>
        </w:rPr>
        <w:t xml:space="preserve">Colon </w:t>
      </w:r>
      <w:r w:rsidRPr="00C042FF">
        <w:rPr>
          <w:rFonts w:ascii="Book Antiqua" w:eastAsia="Book Antiqua" w:hAnsi="Book Antiqua" w:cs="Book Antiqua"/>
          <w:b/>
          <w:lang w:val="en-US"/>
        </w:rPr>
        <w:t>stent or emergency surgery? An evidence-based review</w:t>
      </w:r>
    </w:p>
    <w:p w14:paraId="037B9C0A" w14:textId="77777777" w:rsidR="005F4A40" w:rsidRPr="00C042FF" w:rsidRDefault="005F4A40" w:rsidP="003E14C8">
      <w:pPr>
        <w:spacing w:line="360" w:lineRule="auto"/>
        <w:jc w:val="both"/>
        <w:rPr>
          <w:rFonts w:ascii="Book Antiqua" w:hAnsi="Book Antiqua" w:cs="Book Antiqua"/>
          <w:lang w:val="en-US" w:eastAsia="zh-CN"/>
        </w:rPr>
      </w:pPr>
    </w:p>
    <w:p w14:paraId="381DCCAD" w14:textId="2015354B" w:rsidR="005F4A40" w:rsidRPr="00C042FF" w:rsidRDefault="005F4A40" w:rsidP="003E14C8">
      <w:pPr>
        <w:spacing w:line="360" w:lineRule="auto"/>
        <w:jc w:val="both"/>
        <w:rPr>
          <w:rFonts w:ascii="Book Antiqua" w:hAnsi="Book Antiqua" w:cs="Book Antiqua"/>
          <w:lang w:val="en-US" w:eastAsia="zh-CN"/>
        </w:rPr>
      </w:pPr>
      <w:r w:rsidRPr="00C042FF">
        <w:rPr>
          <w:rFonts w:ascii="Book Antiqua" w:eastAsia="Book Antiqua" w:hAnsi="Book Antiqua" w:cs="Book Antiqua"/>
          <w:lang w:val="en-US"/>
        </w:rPr>
        <w:t>Ribeiro IB</w:t>
      </w:r>
      <w:r w:rsidRPr="00C042FF">
        <w:rPr>
          <w:rFonts w:ascii="Book Antiqua" w:hAnsi="Book Antiqua" w:cs="Book Antiqua"/>
          <w:lang w:val="en-US" w:eastAsia="zh-CN"/>
        </w:rPr>
        <w:t xml:space="preserve"> </w:t>
      </w:r>
      <w:r w:rsidRPr="00C042FF">
        <w:rPr>
          <w:rFonts w:ascii="Book Antiqua" w:hAnsi="Book Antiqua" w:cs="Book Antiqua"/>
          <w:i/>
          <w:lang w:val="en-US" w:eastAsia="zh-CN"/>
        </w:rPr>
        <w:t>et al</w:t>
      </w:r>
      <w:r w:rsidR="00A64321" w:rsidRPr="00C042FF">
        <w:rPr>
          <w:rFonts w:ascii="Book Antiqua" w:hAnsi="Book Antiqua" w:cs="Book Antiqua"/>
          <w:i/>
          <w:lang w:val="en-US" w:eastAsia="zh-CN"/>
        </w:rPr>
        <w:t>.</w:t>
      </w:r>
      <w:r w:rsidRPr="00C042FF">
        <w:rPr>
          <w:rFonts w:ascii="Book Antiqua" w:hAnsi="Book Antiqua" w:cs="Book Antiqua"/>
          <w:lang w:val="en-US" w:eastAsia="zh-CN"/>
        </w:rPr>
        <w:t xml:space="preserve"> Acute abdominal obstruction: An evidence-based review</w:t>
      </w:r>
    </w:p>
    <w:p w14:paraId="6A41E6A8" w14:textId="77777777" w:rsidR="005F4A40" w:rsidRPr="00C042FF" w:rsidRDefault="005F4A40" w:rsidP="003E14C8">
      <w:pPr>
        <w:spacing w:line="360" w:lineRule="auto"/>
        <w:jc w:val="both"/>
        <w:rPr>
          <w:rFonts w:ascii="Book Antiqua" w:hAnsi="Book Antiqua" w:cs="Book Antiqua"/>
          <w:lang w:val="en-US" w:eastAsia="zh-CN"/>
        </w:rPr>
      </w:pPr>
    </w:p>
    <w:p w14:paraId="4DCF6544" w14:textId="5D04D1BA" w:rsidR="005F4A40" w:rsidRPr="00C042FF" w:rsidRDefault="005F4A40" w:rsidP="003E14C8">
      <w:pPr>
        <w:spacing w:line="360" w:lineRule="auto"/>
        <w:jc w:val="both"/>
        <w:rPr>
          <w:rFonts w:ascii="Book Antiqua" w:eastAsia="Book Antiqua" w:hAnsi="Book Antiqua" w:cs="Book Antiqua"/>
        </w:rPr>
      </w:pPr>
      <w:r w:rsidRPr="00C042FF">
        <w:rPr>
          <w:rFonts w:ascii="Book Antiqua" w:eastAsia="Book Antiqua" w:hAnsi="Book Antiqua" w:cs="Book Antiqua"/>
        </w:rPr>
        <w:t>Igor Braga Ribeiro</w:t>
      </w:r>
      <w:r w:rsidR="00CF4994" w:rsidRPr="00C042FF">
        <w:rPr>
          <w:rFonts w:ascii="Book Antiqua" w:hAnsi="Book Antiqua" w:cs="Book Antiqua"/>
          <w:lang w:eastAsia="zh-CN"/>
        </w:rPr>
        <w:t>,</w:t>
      </w:r>
      <w:r w:rsidRPr="00C042FF">
        <w:rPr>
          <w:rFonts w:ascii="Book Antiqua" w:eastAsia="Book Antiqua" w:hAnsi="Book Antiqua" w:cs="Book Antiqua"/>
        </w:rPr>
        <w:t xml:space="preserve"> Diogo Turiani Hourneaux de Moura</w:t>
      </w:r>
      <w:r w:rsidR="00CF4994" w:rsidRPr="00C042FF">
        <w:rPr>
          <w:rFonts w:ascii="Book Antiqua" w:hAnsi="Book Antiqua" w:cs="Book Antiqua"/>
          <w:lang w:eastAsia="zh-CN"/>
        </w:rPr>
        <w:t>,</w:t>
      </w:r>
      <w:r w:rsidRPr="00C042FF">
        <w:rPr>
          <w:rFonts w:ascii="Book Antiqua" w:eastAsia="Book Antiqua" w:hAnsi="Book Antiqua" w:cs="Book Antiqua"/>
        </w:rPr>
        <w:t xml:space="preserve"> Christopher C Thompson</w:t>
      </w:r>
      <w:r w:rsidR="00CF4994" w:rsidRPr="00C042FF">
        <w:rPr>
          <w:rFonts w:ascii="Book Antiqua" w:hAnsi="Book Antiqua" w:cs="Book Antiqua"/>
          <w:lang w:eastAsia="zh-CN"/>
        </w:rPr>
        <w:t>,</w:t>
      </w:r>
      <w:r w:rsidRPr="00C042FF">
        <w:rPr>
          <w:rFonts w:ascii="Book Antiqua" w:eastAsia="Book Antiqua" w:hAnsi="Book Antiqua" w:cs="Book Antiqua"/>
        </w:rPr>
        <w:t xml:space="preserve"> Eduardo Guimarães Hourneaux de Moura</w:t>
      </w:r>
    </w:p>
    <w:p w14:paraId="1C152AD9" w14:textId="77777777" w:rsidR="005F4A40" w:rsidRPr="00C042FF" w:rsidRDefault="005F4A40" w:rsidP="003E14C8">
      <w:pPr>
        <w:spacing w:line="360" w:lineRule="auto"/>
        <w:jc w:val="both"/>
        <w:rPr>
          <w:rFonts w:ascii="Book Antiqua" w:hAnsi="Book Antiqua" w:cs="Book Antiqua"/>
          <w:lang w:eastAsia="zh-CN"/>
        </w:rPr>
      </w:pPr>
    </w:p>
    <w:p w14:paraId="286CC3F0" w14:textId="36C2892A" w:rsidR="005F4A40" w:rsidRPr="00C042FF" w:rsidRDefault="005F4A40" w:rsidP="003E14C8">
      <w:pPr>
        <w:spacing w:line="360" w:lineRule="auto"/>
        <w:jc w:val="both"/>
        <w:rPr>
          <w:rFonts w:ascii="Book Antiqua" w:hAnsi="Book Antiqua" w:cs="Book Antiqua"/>
          <w:lang w:eastAsia="zh-CN"/>
        </w:rPr>
      </w:pPr>
      <w:r w:rsidRPr="00C042FF">
        <w:rPr>
          <w:rFonts w:ascii="Book Antiqua" w:eastAsia="Book Antiqua" w:hAnsi="Book Antiqua" w:cs="Book Antiqua"/>
          <w:b/>
        </w:rPr>
        <w:t>Igor Braga Ribeiro</w:t>
      </w:r>
      <w:r w:rsidR="008F4782" w:rsidRPr="00C042FF">
        <w:rPr>
          <w:rFonts w:ascii="Book Antiqua" w:hAnsi="Book Antiqua" w:cs="Book Antiqua"/>
          <w:b/>
          <w:lang w:eastAsia="zh-CN"/>
        </w:rPr>
        <w:t>,</w:t>
      </w:r>
      <w:r w:rsidRPr="00C042FF">
        <w:rPr>
          <w:rFonts w:ascii="Book Antiqua" w:eastAsia="Book Antiqua" w:hAnsi="Book Antiqua" w:cs="Book Antiqua"/>
          <w:b/>
        </w:rPr>
        <w:t xml:space="preserve"> Diogo Turiani Hourneaux de Moura</w:t>
      </w:r>
      <w:r w:rsidR="008F4782" w:rsidRPr="00C042FF">
        <w:rPr>
          <w:rFonts w:ascii="Book Antiqua" w:hAnsi="Book Antiqua" w:cs="Book Antiqua"/>
          <w:b/>
          <w:lang w:eastAsia="zh-CN"/>
        </w:rPr>
        <w:t>,</w:t>
      </w:r>
      <w:r w:rsidRPr="00C042FF">
        <w:rPr>
          <w:rFonts w:ascii="Book Antiqua" w:eastAsia="Book Antiqua" w:hAnsi="Book Antiqua" w:cs="Book Antiqua"/>
          <w:b/>
        </w:rPr>
        <w:t xml:space="preserve"> Eduardo Guimarães Hourneaux de Moura</w:t>
      </w:r>
      <w:r w:rsidRPr="00C042FF">
        <w:rPr>
          <w:rFonts w:ascii="Book Antiqua" w:hAnsi="Book Antiqua" w:cs="Book Antiqua"/>
          <w:b/>
          <w:lang w:eastAsia="zh-CN"/>
        </w:rPr>
        <w:t xml:space="preserve">, </w:t>
      </w:r>
      <w:r w:rsidR="00E96D2C" w:rsidRPr="00C042FF">
        <w:rPr>
          <w:rFonts w:ascii="Book Antiqua" w:hAnsi="Book Antiqua" w:cs="Book Antiqua"/>
          <w:lang w:eastAsia="zh-CN"/>
        </w:rPr>
        <w:t xml:space="preserve">Gastrointestinal Endoscopy Unit, </w:t>
      </w:r>
      <w:r w:rsidRPr="00C042FF">
        <w:rPr>
          <w:rFonts w:ascii="Book Antiqua" w:eastAsia="Book Antiqua" w:hAnsi="Book Antiqua" w:cs="Book Antiqua"/>
        </w:rPr>
        <w:t>Department of Endoscopy of Clinics Hospital of São Paulo University, São Paulo 05403-00</w:t>
      </w:r>
      <w:r w:rsidR="00E96D2C" w:rsidRPr="00C042FF">
        <w:rPr>
          <w:rFonts w:ascii="Book Antiqua" w:hAnsi="Book Antiqua" w:cs="Book Antiqua"/>
          <w:lang w:eastAsia="zh-CN"/>
        </w:rPr>
        <w:t>0</w:t>
      </w:r>
      <w:r w:rsidRPr="00C042FF">
        <w:rPr>
          <w:rFonts w:ascii="Book Antiqua" w:eastAsia="Book Antiqua" w:hAnsi="Book Antiqua" w:cs="Book Antiqua"/>
        </w:rPr>
        <w:t>, Brazil</w:t>
      </w:r>
    </w:p>
    <w:p w14:paraId="6FA586AE" w14:textId="77777777" w:rsidR="005F4A40" w:rsidRPr="00C042FF" w:rsidRDefault="005F4A40" w:rsidP="003E14C8">
      <w:pPr>
        <w:spacing w:line="360" w:lineRule="auto"/>
        <w:jc w:val="both"/>
        <w:rPr>
          <w:rFonts w:ascii="Book Antiqua" w:hAnsi="Book Antiqua" w:cs="Book Antiqua"/>
          <w:b/>
          <w:lang w:eastAsia="zh-CN"/>
        </w:rPr>
      </w:pPr>
    </w:p>
    <w:p w14:paraId="5A41583E" w14:textId="160C09CC" w:rsidR="0095555C" w:rsidRPr="00C042FF" w:rsidRDefault="005F4A40" w:rsidP="003E14C8">
      <w:pPr>
        <w:spacing w:line="360" w:lineRule="auto"/>
        <w:contextualSpacing/>
        <w:jc w:val="both"/>
        <w:rPr>
          <w:rFonts w:ascii="Book Antiqua" w:hAnsi="Book Antiqua" w:cs="Book Antiqua"/>
          <w:lang w:val="en-US" w:eastAsia="zh-CN"/>
        </w:rPr>
      </w:pPr>
      <w:proofErr w:type="spellStart"/>
      <w:r w:rsidRPr="00C042FF">
        <w:rPr>
          <w:rFonts w:ascii="Book Antiqua" w:eastAsia="Book Antiqua" w:hAnsi="Book Antiqua" w:cs="Book Antiqua"/>
          <w:b/>
          <w:lang w:val="en-US"/>
        </w:rPr>
        <w:t>Diogo</w:t>
      </w:r>
      <w:proofErr w:type="spellEnd"/>
      <w:r w:rsidRPr="00C042FF">
        <w:rPr>
          <w:rFonts w:ascii="Book Antiqua" w:eastAsia="Book Antiqua" w:hAnsi="Book Antiqua" w:cs="Book Antiqua"/>
          <w:b/>
          <w:lang w:val="en-US"/>
        </w:rPr>
        <w:t xml:space="preserve"> </w:t>
      </w:r>
      <w:proofErr w:type="spellStart"/>
      <w:r w:rsidRPr="00C042FF">
        <w:rPr>
          <w:rFonts w:ascii="Book Antiqua" w:eastAsia="Book Antiqua" w:hAnsi="Book Antiqua" w:cs="Book Antiqua"/>
          <w:b/>
          <w:lang w:val="en-US"/>
        </w:rPr>
        <w:t>Turiani</w:t>
      </w:r>
      <w:proofErr w:type="spellEnd"/>
      <w:r w:rsidRPr="00C042FF">
        <w:rPr>
          <w:rFonts w:ascii="Book Antiqua" w:eastAsia="Book Antiqua" w:hAnsi="Book Antiqua" w:cs="Book Antiqua"/>
          <w:b/>
          <w:lang w:val="en-US"/>
        </w:rPr>
        <w:t xml:space="preserve"> </w:t>
      </w:r>
      <w:proofErr w:type="spellStart"/>
      <w:r w:rsidRPr="00C042FF">
        <w:rPr>
          <w:rFonts w:ascii="Book Antiqua" w:eastAsia="Book Antiqua" w:hAnsi="Book Antiqua" w:cs="Book Antiqua"/>
          <w:b/>
          <w:lang w:val="en-US"/>
        </w:rPr>
        <w:t>Hourneaux</w:t>
      </w:r>
      <w:proofErr w:type="spellEnd"/>
      <w:r w:rsidRPr="00C042FF">
        <w:rPr>
          <w:rFonts w:ascii="Book Antiqua" w:eastAsia="Book Antiqua" w:hAnsi="Book Antiqua" w:cs="Book Antiqua"/>
          <w:b/>
          <w:lang w:val="en-US"/>
        </w:rPr>
        <w:t xml:space="preserve"> de Moura</w:t>
      </w:r>
      <w:r w:rsidR="008F4782" w:rsidRPr="00C042FF">
        <w:rPr>
          <w:rFonts w:ascii="Book Antiqua" w:hAnsi="Book Antiqua" w:cs="Book Antiqua"/>
          <w:b/>
          <w:lang w:val="en-US" w:eastAsia="zh-CN"/>
        </w:rPr>
        <w:t>,</w:t>
      </w:r>
      <w:r w:rsidR="008F4782" w:rsidRPr="00C042FF">
        <w:rPr>
          <w:rFonts w:ascii="Book Antiqua" w:eastAsia="Book Antiqua" w:hAnsi="Book Antiqua" w:cs="Book Antiqua"/>
          <w:b/>
          <w:lang w:val="en-US"/>
        </w:rPr>
        <w:t xml:space="preserve"> Christopher C</w:t>
      </w:r>
      <w:r w:rsidRPr="00C042FF">
        <w:rPr>
          <w:rFonts w:ascii="Book Antiqua" w:eastAsia="Book Antiqua" w:hAnsi="Book Antiqua" w:cs="Book Antiqua"/>
          <w:b/>
          <w:lang w:val="en-US"/>
        </w:rPr>
        <w:t xml:space="preserve"> </w:t>
      </w:r>
      <w:r w:rsidR="00E722A8" w:rsidRPr="00C042FF">
        <w:rPr>
          <w:rFonts w:ascii="Book Antiqua" w:eastAsia="Book Antiqua" w:hAnsi="Book Antiqua" w:cs="Book Antiqua"/>
          <w:b/>
          <w:lang w:val="en-US"/>
        </w:rPr>
        <w:t>Thompson,</w:t>
      </w:r>
      <w:r w:rsidRPr="00C042FF">
        <w:rPr>
          <w:rFonts w:ascii="Book Antiqua" w:eastAsia="Book Antiqua" w:hAnsi="Book Antiqua" w:cs="Book Antiqua"/>
          <w:lang w:val="en-US"/>
        </w:rPr>
        <w:t xml:space="preserve"> </w:t>
      </w:r>
      <w:r w:rsidR="0095555C" w:rsidRPr="00C042FF">
        <w:rPr>
          <w:rFonts w:ascii="Book Antiqua" w:eastAsia="Book Antiqua" w:hAnsi="Book Antiqua" w:cs="Book Antiqua"/>
          <w:lang w:val="en-US"/>
        </w:rPr>
        <w:t>Division of Gastroenterology, Hepatology and Endoscopy</w:t>
      </w:r>
      <w:r w:rsidR="008F4782" w:rsidRPr="00C042FF">
        <w:rPr>
          <w:rFonts w:ascii="Book Antiqua" w:hAnsi="Book Antiqua" w:cs="Book Antiqua"/>
          <w:lang w:val="en-US" w:eastAsia="zh-CN"/>
        </w:rPr>
        <w:t>,</w:t>
      </w:r>
      <w:r w:rsidR="0095555C" w:rsidRPr="00C042FF">
        <w:rPr>
          <w:rFonts w:ascii="Book Antiqua" w:eastAsia="Book Antiqua" w:hAnsi="Book Antiqua" w:cs="Book Antiqua"/>
          <w:lang w:val="en-US"/>
        </w:rPr>
        <w:t xml:space="preserve"> Brigham and Women’s Hospital</w:t>
      </w:r>
      <w:r w:rsidR="008F4782" w:rsidRPr="00C042FF">
        <w:rPr>
          <w:rFonts w:ascii="Book Antiqua" w:hAnsi="Book Antiqua" w:cs="Book Antiqua"/>
          <w:lang w:val="en-US" w:eastAsia="zh-CN"/>
        </w:rPr>
        <w:t>,</w:t>
      </w:r>
      <w:r w:rsidR="0095555C" w:rsidRPr="00C042FF">
        <w:rPr>
          <w:rFonts w:ascii="Book Antiqua" w:eastAsia="Book Antiqua" w:hAnsi="Book Antiqua" w:cs="Book Antiqua"/>
          <w:lang w:val="en-US"/>
        </w:rPr>
        <w:t xml:space="preserve"> Harvard Medical School, </w:t>
      </w:r>
      <w:r w:rsidR="008F4782" w:rsidRPr="00C042FF">
        <w:rPr>
          <w:rFonts w:ascii="Book Antiqua" w:hAnsi="Book Antiqua"/>
        </w:rPr>
        <w:t>Boston</w:t>
      </w:r>
      <w:r w:rsidR="008F4782" w:rsidRPr="00C042FF">
        <w:rPr>
          <w:rFonts w:ascii="Book Antiqua" w:hAnsi="Book Antiqua"/>
          <w:lang w:eastAsia="zh-CN"/>
        </w:rPr>
        <w:t>,</w:t>
      </w:r>
      <w:r w:rsidR="008F4782" w:rsidRPr="00C042FF">
        <w:rPr>
          <w:rFonts w:ascii="Book Antiqua" w:hAnsi="Book Antiqua"/>
        </w:rPr>
        <w:t xml:space="preserve"> </w:t>
      </w:r>
      <w:r w:rsidR="0095555C" w:rsidRPr="00C042FF">
        <w:rPr>
          <w:rFonts w:ascii="Book Antiqua" w:eastAsia="Book Antiqua" w:hAnsi="Book Antiqua" w:cs="Book Antiqua"/>
          <w:lang w:val="en-US"/>
        </w:rPr>
        <w:t>MA</w:t>
      </w:r>
      <w:r w:rsidR="008F4782" w:rsidRPr="00C042FF">
        <w:rPr>
          <w:rFonts w:ascii="Book Antiqua" w:hAnsi="Book Antiqua" w:cs="Book Antiqua"/>
          <w:lang w:val="en-US" w:eastAsia="zh-CN"/>
        </w:rPr>
        <w:t xml:space="preserve"> </w:t>
      </w:r>
      <w:r w:rsidR="008F4782" w:rsidRPr="00C042FF">
        <w:rPr>
          <w:rFonts w:ascii="Book Antiqua" w:hAnsi="Book Antiqua"/>
        </w:rPr>
        <w:t>02115</w:t>
      </w:r>
      <w:r w:rsidR="008F4782" w:rsidRPr="00C042FF">
        <w:rPr>
          <w:rFonts w:ascii="Book Antiqua" w:hAnsi="Book Antiqua"/>
          <w:lang w:eastAsia="zh-CN"/>
        </w:rPr>
        <w:t xml:space="preserve">, </w:t>
      </w:r>
      <w:r w:rsidR="0095555C" w:rsidRPr="00C042FF">
        <w:rPr>
          <w:rFonts w:ascii="Book Antiqua" w:eastAsia="Book Antiqua" w:hAnsi="Book Antiqua" w:cs="Book Antiqua"/>
          <w:lang w:val="en-US"/>
        </w:rPr>
        <w:t>U</w:t>
      </w:r>
      <w:r w:rsidR="008F4782" w:rsidRPr="00C042FF">
        <w:rPr>
          <w:rFonts w:ascii="Book Antiqua" w:hAnsi="Book Antiqua" w:cs="Book Antiqua"/>
          <w:lang w:val="en-US" w:eastAsia="zh-CN"/>
        </w:rPr>
        <w:t xml:space="preserve">nited </w:t>
      </w:r>
      <w:r w:rsidR="0095555C" w:rsidRPr="00C042FF">
        <w:rPr>
          <w:rFonts w:ascii="Book Antiqua" w:eastAsia="Book Antiqua" w:hAnsi="Book Antiqua" w:cs="Book Antiqua"/>
          <w:lang w:val="en-US"/>
        </w:rPr>
        <w:t>S</w:t>
      </w:r>
      <w:r w:rsidR="008F4782" w:rsidRPr="00C042FF">
        <w:rPr>
          <w:rFonts w:ascii="Book Antiqua" w:hAnsi="Book Antiqua" w:cs="Book Antiqua"/>
          <w:lang w:val="en-US" w:eastAsia="zh-CN"/>
        </w:rPr>
        <w:t>tates</w:t>
      </w:r>
    </w:p>
    <w:p w14:paraId="1BC5941A" w14:textId="241BD183" w:rsidR="005F4A40" w:rsidRPr="00C042FF" w:rsidRDefault="005F4A40" w:rsidP="003E14C8">
      <w:pPr>
        <w:spacing w:line="360" w:lineRule="auto"/>
        <w:contextualSpacing/>
        <w:jc w:val="both"/>
        <w:rPr>
          <w:rFonts w:ascii="Book Antiqua" w:eastAsia="Book Antiqua" w:hAnsi="Book Antiqua" w:cs="Book Antiqua"/>
          <w:b/>
          <w:lang w:val="en-US"/>
        </w:rPr>
      </w:pPr>
    </w:p>
    <w:p w14:paraId="05CF7161" w14:textId="3E851E4D" w:rsidR="005F4A40" w:rsidRPr="00C042FF" w:rsidRDefault="00B51E6A" w:rsidP="003E14C8">
      <w:pPr>
        <w:spacing w:line="360" w:lineRule="auto"/>
        <w:jc w:val="both"/>
        <w:rPr>
          <w:rFonts w:ascii="Book Antiqua" w:hAnsi="Book Antiqua" w:cs="Book Antiqua"/>
          <w:lang w:eastAsia="zh-CN"/>
        </w:rPr>
      </w:pPr>
      <w:r w:rsidRPr="00C042FF">
        <w:rPr>
          <w:rFonts w:ascii="Book Antiqua" w:hAnsi="Book Antiqua"/>
          <w:b/>
        </w:rPr>
        <w:t>ORCID number:</w:t>
      </w:r>
      <w:r w:rsidR="005F4A40" w:rsidRPr="00C042FF">
        <w:rPr>
          <w:rFonts w:ascii="Book Antiqua" w:hAnsi="Book Antiqua" w:cs="Times New Roman"/>
        </w:rPr>
        <w:t xml:space="preserve"> </w:t>
      </w:r>
      <w:r w:rsidR="005F4A40" w:rsidRPr="00C042FF">
        <w:rPr>
          <w:rFonts w:ascii="Book Antiqua" w:eastAsia="Book Antiqua" w:hAnsi="Book Antiqua" w:cs="Book Antiqua"/>
        </w:rPr>
        <w:t>Igor Braga Ribeiro (0000-0003-1844-8973); Diogo Turiani Hourneaux de Moura (0000-0002-7446-0355);</w:t>
      </w:r>
      <w:r w:rsidRPr="00C042FF">
        <w:rPr>
          <w:rFonts w:ascii="Book Antiqua" w:eastAsia="Book Antiqua" w:hAnsi="Book Antiqua" w:cs="Book Antiqua"/>
        </w:rPr>
        <w:t xml:space="preserve"> Christopher C</w:t>
      </w:r>
      <w:r w:rsidR="005F4A40" w:rsidRPr="00C042FF">
        <w:rPr>
          <w:rFonts w:ascii="Book Antiqua" w:eastAsia="Book Antiqua" w:hAnsi="Book Antiqua" w:cs="Book Antiqua"/>
        </w:rPr>
        <w:t xml:space="preserve"> Thompson (</w:t>
      </w:r>
      <w:r w:rsidR="00232DD0" w:rsidRPr="00C042FF">
        <w:rPr>
          <w:rFonts w:ascii="Book Antiqua" w:eastAsia="Times New Roman" w:hAnsi="Book Antiqua" w:cs="Arial"/>
        </w:rPr>
        <w:t>0000-0002-6105-5270</w:t>
      </w:r>
      <w:r w:rsidR="005F4A40" w:rsidRPr="00C042FF">
        <w:rPr>
          <w:rFonts w:ascii="Book Antiqua" w:eastAsia="Book Antiqua" w:hAnsi="Book Antiqua" w:cs="Book Antiqua"/>
        </w:rPr>
        <w:t>); Eduardo Guimarães Hourneaux de Moura (0000-0002-8023-3722)</w:t>
      </w:r>
      <w:r w:rsidR="005F4A40" w:rsidRPr="00C042FF">
        <w:rPr>
          <w:rFonts w:ascii="Book Antiqua" w:hAnsi="Book Antiqua" w:cs="Book Antiqua"/>
          <w:lang w:eastAsia="zh-CN"/>
        </w:rPr>
        <w:t>.</w:t>
      </w:r>
    </w:p>
    <w:p w14:paraId="773F45D0" w14:textId="77777777" w:rsidR="001D568A" w:rsidRPr="00C042FF" w:rsidRDefault="001D568A" w:rsidP="003E14C8">
      <w:pPr>
        <w:spacing w:line="360" w:lineRule="auto"/>
        <w:jc w:val="both"/>
        <w:rPr>
          <w:rFonts w:ascii="Book Antiqua" w:hAnsi="Book Antiqua" w:cs="Book Antiqua"/>
          <w:lang w:eastAsia="zh-CN"/>
        </w:rPr>
      </w:pPr>
    </w:p>
    <w:p w14:paraId="36A8728C" w14:textId="4655ADE1" w:rsidR="001D568A" w:rsidRPr="00C042FF" w:rsidRDefault="00B51E6A" w:rsidP="003E14C8">
      <w:pPr>
        <w:spacing w:line="360" w:lineRule="auto"/>
        <w:jc w:val="both"/>
        <w:rPr>
          <w:rFonts w:ascii="Book Antiqua" w:eastAsia="Book Antiqua" w:hAnsi="Book Antiqua" w:cs="Book Antiqua"/>
          <w:lang w:val="en-US"/>
        </w:rPr>
      </w:pPr>
      <w:r w:rsidRPr="00C042FF">
        <w:rPr>
          <w:rFonts w:ascii="Book Antiqua" w:hAnsi="Book Antiqua"/>
          <w:b/>
        </w:rPr>
        <w:t>Author contributions:</w:t>
      </w:r>
      <w:r w:rsidRPr="00C042FF">
        <w:rPr>
          <w:rFonts w:ascii="Book Antiqua" w:hAnsi="Book Antiqua"/>
        </w:rPr>
        <w:t xml:space="preserve"> </w:t>
      </w:r>
      <w:r w:rsidR="001D568A" w:rsidRPr="00C042FF">
        <w:rPr>
          <w:rFonts w:ascii="Book Antiqua" w:hAnsi="Book Antiqua" w:cs="Times New Roman"/>
          <w:lang w:val="en-US"/>
        </w:rPr>
        <w:t>Ribeiro</w:t>
      </w:r>
      <w:r w:rsidR="001D568A" w:rsidRPr="00C042FF">
        <w:rPr>
          <w:rFonts w:ascii="Book Antiqua" w:eastAsia="Book Antiqua" w:hAnsi="Book Antiqua" w:cs="Book Antiqua"/>
          <w:lang w:val="en-US"/>
        </w:rPr>
        <w:t xml:space="preserve"> IB </w:t>
      </w:r>
      <w:r w:rsidRPr="00C042FF">
        <w:rPr>
          <w:rFonts w:ascii="Book Antiqua" w:hAnsi="Book Antiqua" w:cs="Book Antiqua"/>
          <w:lang w:val="en-US" w:eastAsia="zh-CN"/>
        </w:rPr>
        <w:t>contributed to</w:t>
      </w:r>
      <w:r w:rsidRPr="00C042FF">
        <w:rPr>
          <w:rFonts w:ascii="Book Antiqua" w:eastAsia="Book Antiqua" w:hAnsi="Book Antiqua" w:cs="Book Antiqua"/>
          <w:lang w:val="en-US"/>
        </w:rPr>
        <w:t xml:space="preserve"> </w:t>
      </w:r>
      <w:r w:rsidR="001D568A" w:rsidRPr="00C042FF">
        <w:rPr>
          <w:rFonts w:ascii="Book Antiqua" w:eastAsia="Book Antiqua" w:hAnsi="Book Antiqua" w:cs="Book Antiqua"/>
          <w:lang w:val="en-US"/>
        </w:rPr>
        <w:t xml:space="preserve">acquisition of data, analysis, interpretation of data, drafting the article, revising the article, final approval; </w:t>
      </w:r>
      <w:r w:rsidR="001D568A" w:rsidRPr="00C042FF">
        <w:rPr>
          <w:rFonts w:ascii="Book Antiqua" w:hAnsi="Book Antiqua" w:cs="Book Antiqua"/>
          <w:lang w:val="en-US" w:eastAsia="zh-CN"/>
        </w:rPr>
        <w:t xml:space="preserve">de </w:t>
      </w:r>
      <w:r w:rsidR="001D568A" w:rsidRPr="00C042FF">
        <w:rPr>
          <w:rFonts w:ascii="Book Antiqua" w:eastAsia="Book Antiqua" w:hAnsi="Book Antiqua" w:cs="Book Antiqua"/>
          <w:lang w:val="en-US"/>
        </w:rPr>
        <w:t>Moura DTH and Ribeiro</w:t>
      </w:r>
      <w:r w:rsidR="001D568A" w:rsidRPr="00C042FF">
        <w:rPr>
          <w:rFonts w:ascii="Book Antiqua" w:hAnsi="Book Antiqua" w:cs="Book Antiqua"/>
          <w:lang w:val="en-US" w:eastAsia="zh-CN"/>
        </w:rPr>
        <w:t xml:space="preserve"> </w:t>
      </w:r>
      <w:r w:rsidRPr="00C042FF">
        <w:rPr>
          <w:rFonts w:ascii="Book Antiqua" w:eastAsia="Book Antiqua" w:hAnsi="Book Antiqua" w:cs="Book Antiqua"/>
          <w:lang w:val="en-US"/>
        </w:rPr>
        <w:t>IB</w:t>
      </w:r>
      <w:r w:rsidR="001D568A" w:rsidRPr="00C042FF">
        <w:rPr>
          <w:rFonts w:ascii="Book Antiqua" w:eastAsia="Book Antiqua" w:hAnsi="Book Antiqua" w:cs="Book Antiqua"/>
          <w:lang w:val="en-US"/>
        </w:rPr>
        <w:t xml:space="preserve"> </w:t>
      </w:r>
      <w:r w:rsidRPr="00C042FF">
        <w:rPr>
          <w:rFonts w:ascii="Book Antiqua" w:hAnsi="Book Antiqua" w:cs="Book Antiqua"/>
          <w:lang w:val="en-US" w:eastAsia="zh-CN"/>
        </w:rPr>
        <w:t xml:space="preserve">contributed to </w:t>
      </w:r>
      <w:r w:rsidR="001D568A" w:rsidRPr="00C042FF">
        <w:rPr>
          <w:rFonts w:ascii="Book Antiqua" w:eastAsia="Book Antiqua" w:hAnsi="Book Antiqua" w:cs="Book Antiqua"/>
          <w:lang w:val="en-US"/>
        </w:rPr>
        <w:t>analysis and interpretation of data, revising the article; Thompson CC acquisitio</w:t>
      </w:r>
      <w:r w:rsidR="0058236F" w:rsidRPr="00C042FF">
        <w:rPr>
          <w:rFonts w:ascii="Book Antiqua" w:eastAsia="Book Antiqua" w:hAnsi="Book Antiqua" w:cs="Book Antiqua"/>
          <w:lang w:val="en-US"/>
        </w:rPr>
        <w:t>n of data, drafting the article</w:t>
      </w:r>
      <w:r w:rsidR="001D568A" w:rsidRPr="00C042FF">
        <w:rPr>
          <w:rFonts w:ascii="Book Antiqua" w:eastAsia="Book Antiqua" w:hAnsi="Book Antiqua" w:cs="Book Antiqua"/>
          <w:lang w:val="en-US"/>
        </w:rPr>
        <w:t>, revising the article</w:t>
      </w:r>
      <w:r w:rsidR="00C042FF" w:rsidRPr="00C042FF">
        <w:rPr>
          <w:rFonts w:ascii="Book Antiqua" w:hAnsi="Book Antiqua" w:cs="Book Antiqua" w:hint="eastAsia"/>
          <w:lang w:val="en-US" w:eastAsia="zh-CN"/>
        </w:rPr>
        <w:t>;</w:t>
      </w:r>
      <w:r w:rsidR="001D568A" w:rsidRPr="00C042FF">
        <w:rPr>
          <w:rFonts w:ascii="Book Antiqua" w:eastAsia="Book Antiqua" w:hAnsi="Book Antiqua" w:cs="Book Antiqua"/>
          <w:lang w:val="en-US"/>
        </w:rPr>
        <w:t xml:space="preserve"> Thompson CC revising the article and the English; </w:t>
      </w:r>
      <w:r w:rsidR="001D568A" w:rsidRPr="00C042FF">
        <w:rPr>
          <w:rFonts w:ascii="Book Antiqua" w:hAnsi="Book Antiqua" w:cs="Book Antiqua"/>
          <w:lang w:val="en-US" w:eastAsia="zh-CN"/>
        </w:rPr>
        <w:t xml:space="preserve">de </w:t>
      </w:r>
      <w:r w:rsidR="001D568A" w:rsidRPr="00C042FF">
        <w:rPr>
          <w:rFonts w:ascii="Book Antiqua" w:eastAsia="Book Antiqua" w:hAnsi="Book Antiqua" w:cs="Book Antiqua"/>
          <w:lang w:val="en-US"/>
        </w:rPr>
        <w:t xml:space="preserve">Moura </w:t>
      </w:r>
      <w:r w:rsidR="001D568A" w:rsidRPr="00C042FF">
        <w:rPr>
          <w:rFonts w:ascii="Book Antiqua" w:eastAsia="Book Antiqua" w:hAnsi="Book Antiqua" w:cs="Book Antiqua"/>
          <w:lang w:val="en-US"/>
        </w:rPr>
        <w:lastRenderedPageBreak/>
        <w:t>EGH</w:t>
      </w:r>
      <w:r w:rsidRPr="00C042FF">
        <w:rPr>
          <w:rFonts w:ascii="Book Antiqua" w:hAnsi="Book Antiqua" w:cs="Book Antiqua"/>
          <w:lang w:val="en-US" w:eastAsia="zh-CN"/>
        </w:rPr>
        <w:t xml:space="preserve"> contributed to</w:t>
      </w:r>
      <w:r w:rsidR="001D568A" w:rsidRPr="00C042FF">
        <w:rPr>
          <w:rFonts w:ascii="Book Antiqua" w:eastAsia="Book Antiqua" w:hAnsi="Book Antiqua" w:cs="Book Antiqua"/>
          <w:lang w:val="en-US"/>
        </w:rPr>
        <w:t xml:space="preserve"> conception and design of the study, critical revision, final approval.</w:t>
      </w:r>
    </w:p>
    <w:p w14:paraId="1F49ED14" w14:textId="77777777" w:rsidR="001D568A" w:rsidRPr="00C042FF" w:rsidRDefault="001D568A"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lang w:eastAsia="zh-CN"/>
        </w:rPr>
      </w:pPr>
    </w:p>
    <w:p w14:paraId="0C82B7EF" w14:textId="63DD2D23" w:rsidR="00E91416" w:rsidRPr="00C042FF" w:rsidRDefault="00E91416" w:rsidP="003E14C8">
      <w:pPr>
        <w:autoSpaceDE w:val="0"/>
        <w:autoSpaceDN w:val="0"/>
        <w:adjustRightInd w:val="0"/>
        <w:spacing w:line="360" w:lineRule="auto"/>
        <w:jc w:val="both"/>
        <w:rPr>
          <w:rFonts w:ascii="Book Antiqua" w:hAnsi="Book Antiqua"/>
          <w:lang w:val="en-US"/>
        </w:rPr>
      </w:pPr>
      <w:r w:rsidRPr="00C042FF">
        <w:rPr>
          <w:rFonts w:ascii="Book Antiqua" w:hAnsi="Book Antiqua"/>
          <w:b/>
          <w:lang w:val="en-US" w:eastAsia="zh-CN"/>
        </w:rPr>
        <w:t>Supported</w:t>
      </w:r>
      <w:r w:rsidRPr="00C042FF">
        <w:rPr>
          <w:rFonts w:ascii="Book Antiqua" w:hAnsi="Book Antiqua"/>
          <w:lang w:val="en-US"/>
        </w:rPr>
        <w:t xml:space="preserve"> </w:t>
      </w:r>
      <w:r w:rsidRPr="00C042FF">
        <w:rPr>
          <w:rFonts w:ascii="Book Antiqua" w:hAnsi="Book Antiqua"/>
          <w:b/>
          <w:lang w:val="en-US"/>
        </w:rPr>
        <w:t>by</w:t>
      </w:r>
      <w:r w:rsidRPr="00C042FF">
        <w:rPr>
          <w:rFonts w:ascii="Book Antiqua" w:hAnsi="Book Antiqua"/>
          <w:lang w:val="en-US"/>
        </w:rPr>
        <w:t xml:space="preserve"> the Research Ethics Committee of the University of São Paulo</w:t>
      </w:r>
      <w:r w:rsidRPr="00C042FF">
        <w:rPr>
          <w:rFonts w:ascii="Book Antiqua" w:hAnsi="Book Antiqua"/>
          <w:lang w:val="en-US" w:eastAsia="zh-CN"/>
        </w:rPr>
        <w:t xml:space="preserve"> </w:t>
      </w:r>
      <w:r w:rsidRPr="00C042FF">
        <w:rPr>
          <w:rFonts w:ascii="Book Antiqua" w:hAnsi="Book Antiqua"/>
          <w:lang w:val="en-US"/>
        </w:rPr>
        <w:t xml:space="preserve">School of Medicine Hospital das </w:t>
      </w:r>
      <w:proofErr w:type="spellStart"/>
      <w:r w:rsidRPr="00C042FF">
        <w:rPr>
          <w:rFonts w:ascii="Book Antiqua" w:hAnsi="Book Antiqua"/>
          <w:lang w:val="en-US"/>
        </w:rPr>
        <w:t>Clínicas</w:t>
      </w:r>
      <w:proofErr w:type="spellEnd"/>
      <w:r w:rsidRPr="00C042FF">
        <w:rPr>
          <w:rFonts w:ascii="Book Antiqua" w:hAnsi="Book Antiqua"/>
          <w:lang w:val="en-US"/>
        </w:rPr>
        <w:t>.</w:t>
      </w:r>
    </w:p>
    <w:p w14:paraId="20E857F3" w14:textId="77777777" w:rsidR="00E91416" w:rsidRPr="00C042FF" w:rsidRDefault="00E91416"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lang w:eastAsia="zh-CN"/>
        </w:rPr>
      </w:pPr>
    </w:p>
    <w:p w14:paraId="6CD2EC86" w14:textId="77777777" w:rsidR="00E96D2C" w:rsidRPr="00C042FF" w:rsidRDefault="00E96D2C" w:rsidP="003E14C8">
      <w:pPr>
        <w:spacing w:line="360" w:lineRule="auto"/>
        <w:jc w:val="both"/>
        <w:rPr>
          <w:rFonts w:ascii="Book Antiqua" w:eastAsia="Book Antiqua" w:hAnsi="Book Antiqua" w:cs="Book Antiqua"/>
          <w:lang w:val="en-US" w:eastAsia="zh-CN"/>
        </w:rPr>
      </w:pPr>
      <w:r w:rsidRPr="00C042FF">
        <w:rPr>
          <w:rFonts w:ascii="Book Antiqua" w:hAnsi="Book Antiqua"/>
          <w:b/>
        </w:rPr>
        <w:t>Conflict-of-interest statement</w:t>
      </w:r>
      <w:r w:rsidRPr="00C042FF">
        <w:rPr>
          <w:rFonts w:ascii="Book Antiqua" w:hAnsi="Book Antiqua" w:cs="TimesNewRomanPS-BoldItalicMT"/>
          <w:b/>
          <w:iCs/>
        </w:rPr>
        <w:t xml:space="preserve">: </w:t>
      </w:r>
      <w:r w:rsidRPr="00C042FF">
        <w:rPr>
          <w:rFonts w:ascii="Book Antiqua" w:hAnsi="Book Antiqua"/>
          <w:lang w:val="en-US"/>
        </w:rPr>
        <w:t>Thompson C is a consultant to Boston Scientific and Olympus</w:t>
      </w:r>
      <w:r w:rsidRPr="00C042FF">
        <w:rPr>
          <w:rFonts w:ascii="Book Antiqua" w:hAnsi="Book Antiqua"/>
          <w:lang w:val="en-US" w:eastAsia="zh-CN"/>
        </w:rPr>
        <w:t>;</w:t>
      </w:r>
      <w:r w:rsidRPr="00C042FF">
        <w:rPr>
          <w:rFonts w:ascii="Book Antiqua" w:hAnsi="Book Antiqua" w:cs="Book Antiqua"/>
          <w:lang w:val="en-US" w:eastAsia="zh-CN"/>
        </w:rPr>
        <w:t xml:space="preserve"> de </w:t>
      </w:r>
      <w:r w:rsidRPr="00C042FF">
        <w:rPr>
          <w:rFonts w:ascii="Book Antiqua" w:eastAsia="Book Antiqua" w:hAnsi="Book Antiqua" w:cs="Book Antiqua"/>
          <w:lang w:val="en-US"/>
        </w:rPr>
        <w:t>Moura EGH</w:t>
      </w:r>
      <w:r w:rsidRPr="00C042FF">
        <w:rPr>
          <w:rFonts w:ascii="Book Antiqua" w:hAnsi="Book Antiqua"/>
          <w:lang w:val="en-US"/>
        </w:rPr>
        <w:t xml:space="preserve"> is a consultant to Boston Scientific</w:t>
      </w:r>
      <w:r w:rsidRPr="00C042FF">
        <w:rPr>
          <w:rFonts w:ascii="Book Antiqua" w:hAnsi="Book Antiqua"/>
          <w:lang w:val="en-US" w:eastAsia="zh-CN"/>
        </w:rPr>
        <w:t>;</w:t>
      </w:r>
      <w:r w:rsidRPr="00C042FF">
        <w:rPr>
          <w:rFonts w:ascii="Book Antiqua" w:hAnsi="Book Antiqua"/>
          <w:lang w:val="en-US"/>
        </w:rPr>
        <w:t xml:space="preserve"> all other authors declare that they have no conflict of interest.</w:t>
      </w:r>
    </w:p>
    <w:p w14:paraId="59C31587" w14:textId="77777777" w:rsidR="00E96D2C" w:rsidRPr="00C042FF" w:rsidRDefault="00E96D2C" w:rsidP="003E14C8">
      <w:pPr>
        <w:adjustRightInd w:val="0"/>
        <w:snapToGrid w:val="0"/>
        <w:spacing w:line="360" w:lineRule="auto"/>
        <w:jc w:val="both"/>
        <w:rPr>
          <w:rFonts w:ascii="Book Antiqua" w:hAnsi="Book Antiqua"/>
          <w:lang w:eastAsia="zh-CN"/>
        </w:rPr>
      </w:pPr>
    </w:p>
    <w:p w14:paraId="2C1DC325" w14:textId="77777777" w:rsidR="00E96D2C" w:rsidRPr="00C042FF" w:rsidRDefault="00E96D2C" w:rsidP="003E14C8">
      <w:pPr>
        <w:adjustRightInd w:val="0"/>
        <w:snapToGrid w:val="0"/>
        <w:spacing w:line="360" w:lineRule="auto"/>
        <w:jc w:val="both"/>
        <w:rPr>
          <w:rFonts w:ascii="Book Antiqua" w:hAnsi="Book Antiqua"/>
        </w:rPr>
      </w:pPr>
      <w:r w:rsidRPr="00C042FF">
        <w:rPr>
          <w:rFonts w:ascii="Book Antiqua" w:hAnsi="Book Antiqua"/>
          <w:b/>
        </w:rPr>
        <w:t xml:space="preserve">Open-Access: </w:t>
      </w:r>
      <w:r w:rsidRPr="00C042F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042FF">
        <w:fldChar w:fldCharType="begin"/>
      </w:r>
      <w:r w:rsidRPr="00C042FF">
        <w:rPr>
          <w:rFonts w:ascii="Book Antiqua" w:hAnsi="Book Antiqua"/>
        </w:rPr>
        <w:instrText xml:space="preserve"> HYPERLINK "http://creativecommons.org/licenses/by-nc/4.0/" </w:instrText>
      </w:r>
      <w:r w:rsidRPr="00C042FF">
        <w:fldChar w:fldCharType="separate"/>
      </w:r>
      <w:r w:rsidRPr="00C042FF">
        <w:rPr>
          <w:rStyle w:val="Hyperlink"/>
          <w:rFonts w:ascii="Book Antiqua" w:hAnsi="Book Antiqua"/>
          <w:color w:val="auto"/>
          <w:u w:val="none"/>
        </w:rPr>
        <w:t>http://creativecommons.org/licenses/by-nc/4.0/</w:t>
      </w:r>
      <w:r w:rsidRPr="00C042FF">
        <w:rPr>
          <w:rStyle w:val="Hyperlink"/>
          <w:rFonts w:ascii="Book Antiqua" w:hAnsi="Book Antiqua"/>
          <w:color w:val="auto"/>
          <w:u w:val="none"/>
        </w:rPr>
        <w:fldChar w:fldCharType="end"/>
      </w:r>
    </w:p>
    <w:p w14:paraId="30A56832" w14:textId="77777777" w:rsidR="001D568A" w:rsidRPr="00C042FF" w:rsidRDefault="001D568A" w:rsidP="003E14C8">
      <w:pPr>
        <w:spacing w:line="360" w:lineRule="auto"/>
        <w:jc w:val="both"/>
        <w:rPr>
          <w:rFonts w:ascii="Book Antiqua" w:hAnsi="Book Antiqua" w:cs="Book Antiqua"/>
          <w:lang w:eastAsia="zh-CN"/>
        </w:rPr>
      </w:pPr>
    </w:p>
    <w:p w14:paraId="1C4A4821" w14:textId="68BDCF43" w:rsidR="00E96D2C" w:rsidRPr="00C042FF" w:rsidRDefault="00E96D2C" w:rsidP="003E14C8">
      <w:pPr>
        <w:spacing w:line="360" w:lineRule="auto"/>
        <w:jc w:val="both"/>
        <w:rPr>
          <w:rFonts w:ascii="Book Antiqua" w:hAnsi="Book Antiqua" w:cs="SimSun"/>
          <w:lang w:eastAsia="zh-CN"/>
        </w:rPr>
      </w:pPr>
      <w:r w:rsidRPr="00C042FF">
        <w:rPr>
          <w:rFonts w:ascii="Book Antiqua" w:hAnsi="Book Antiqua" w:cs="SimSun"/>
          <w:b/>
        </w:rPr>
        <w:t>Manuscript source:</w:t>
      </w:r>
      <w:r w:rsidRPr="00C042FF">
        <w:rPr>
          <w:rFonts w:ascii="Book Antiqua" w:hAnsi="Book Antiqua" w:cs="SimSun"/>
        </w:rPr>
        <w:t> Unsolicited manuscript</w:t>
      </w:r>
    </w:p>
    <w:p w14:paraId="54C51CCC" w14:textId="77777777" w:rsidR="00E96D2C" w:rsidRPr="00C042FF" w:rsidRDefault="00E96D2C" w:rsidP="003E14C8">
      <w:pPr>
        <w:spacing w:line="360" w:lineRule="auto"/>
        <w:jc w:val="both"/>
        <w:rPr>
          <w:rFonts w:ascii="Book Antiqua" w:hAnsi="Book Antiqua" w:cs="Book Antiqua"/>
          <w:lang w:eastAsia="zh-CN"/>
        </w:rPr>
      </w:pPr>
    </w:p>
    <w:p w14:paraId="6014F197" w14:textId="2E214C98" w:rsidR="00E96D2C" w:rsidRPr="00C042FF" w:rsidRDefault="001851EA" w:rsidP="003E14C8">
      <w:pPr>
        <w:spacing w:line="360" w:lineRule="auto"/>
        <w:jc w:val="both"/>
        <w:rPr>
          <w:rFonts w:ascii="Book Antiqua" w:hAnsi="Book Antiqua"/>
          <w:b/>
          <w:lang w:eastAsia="zh-CN"/>
        </w:rPr>
      </w:pPr>
      <w:r w:rsidRPr="00C042FF">
        <w:rPr>
          <w:rFonts w:ascii="Book Antiqua" w:hAnsi="Book Antiqua"/>
          <w:b/>
        </w:rPr>
        <w:t>Corresponding author:</w:t>
      </w:r>
      <w:r w:rsidR="001D568A" w:rsidRPr="00C042FF">
        <w:rPr>
          <w:rFonts w:ascii="Book Antiqua" w:hAnsi="Book Antiqua"/>
          <w:b/>
          <w:lang w:eastAsia="zh-CN"/>
        </w:rPr>
        <w:t xml:space="preserve"> </w:t>
      </w:r>
      <w:r w:rsidR="00E96D2C" w:rsidRPr="00C042FF">
        <w:rPr>
          <w:rFonts w:ascii="Book Antiqua" w:hAnsi="Book Antiqua"/>
          <w:b/>
          <w:lang w:eastAsia="zh-CN"/>
        </w:rPr>
        <w:t xml:space="preserve">Igor Braga Ribeiro, MD, Academic Fellow, Surgeon, </w:t>
      </w:r>
      <w:r w:rsidR="00E96D2C" w:rsidRPr="00C042FF">
        <w:rPr>
          <w:rFonts w:ascii="Book Antiqua" w:hAnsi="Book Antiqua"/>
          <w:lang w:eastAsia="zh-CN"/>
        </w:rPr>
        <w:t xml:space="preserve">Gastrointestinal Endoscopy Unit, Department of Endoscopy of Clinics Hospital of São Paulo University, Av. Dr. Enéas de Carvalho Aguiar, 255, Instituto Central, Prédio dos Ambulatórios, Pinheiros, São Paulo 05403-000, Brazil. </w:t>
      </w:r>
      <w:r w:rsidR="00E96D2C" w:rsidRPr="00C042FF">
        <w:rPr>
          <w:rFonts w:ascii="Book Antiqua" w:hAnsi="Book Antiqua"/>
          <w:lang w:eastAsia="zh-CN"/>
        </w:rPr>
        <w:fldChar w:fldCharType="begin"/>
      </w:r>
      <w:r w:rsidR="00E96D2C" w:rsidRPr="00C042FF">
        <w:rPr>
          <w:rFonts w:ascii="Book Antiqua" w:hAnsi="Book Antiqua"/>
          <w:lang w:eastAsia="zh-CN"/>
        </w:rPr>
        <w:instrText xml:space="preserve"> HYPERLINK "mailto:igorbraga1@gmail.com" </w:instrText>
      </w:r>
      <w:r w:rsidR="00E96D2C" w:rsidRPr="00C042FF">
        <w:rPr>
          <w:rFonts w:ascii="Book Antiqua" w:hAnsi="Book Antiqua"/>
          <w:lang w:eastAsia="zh-CN"/>
        </w:rPr>
        <w:fldChar w:fldCharType="separate"/>
      </w:r>
      <w:r w:rsidR="00E96D2C" w:rsidRPr="00C042FF">
        <w:rPr>
          <w:rStyle w:val="Hyperlink"/>
          <w:rFonts w:ascii="Book Antiqua" w:hAnsi="Book Antiqua"/>
          <w:color w:val="auto"/>
          <w:u w:val="none"/>
          <w:lang w:eastAsia="zh-CN"/>
        </w:rPr>
        <w:t>igorbraga1@gmail.com</w:t>
      </w:r>
      <w:r w:rsidR="00E96D2C" w:rsidRPr="00C042FF">
        <w:rPr>
          <w:rFonts w:ascii="Book Antiqua" w:hAnsi="Book Antiqua"/>
          <w:lang w:eastAsia="zh-CN"/>
        </w:rPr>
        <w:fldChar w:fldCharType="end"/>
      </w:r>
    </w:p>
    <w:p w14:paraId="5F1BED0A" w14:textId="08E10386" w:rsidR="001D568A" w:rsidRPr="00C042FF" w:rsidRDefault="001D568A" w:rsidP="003E14C8">
      <w:pPr>
        <w:spacing w:line="360" w:lineRule="auto"/>
        <w:jc w:val="both"/>
        <w:rPr>
          <w:rFonts w:ascii="Book Antiqua" w:hAnsi="Book Antiqua" w:cs="Book Antiqua"/>
          <w:lang w:val="en-US" w:eastAsia="zh-CN"/>
        </w:rPr>
      </w:pPr>
      <w:r w:rsidRPr="00C042FF">
        <w:rPr>
          <w:rFonts w:ascii="Book Antiqua" w:eastAsia="Book Antiqua" w:hAnsi="Book Antiqua" w:cs="Book Antiqua"/>
          <w:b/>
          <w:lang w:val="en-US"/>
        </w:rPr>
        <w:t>Telephone</w:t>
      </w:r>
      <w:r w:rsidR="00E96D2C" w:rsidRPr="00C042FF">
        <w:rPr>
          <w:rFonts w:ascii="Book Antiqua" w:eastAsia="Book Antiqua" w:hAnsi="Book Antiqua" w:cs="Book Antiqua"/>
          <w:lang w:val="en-US"/>
        </w:rPr>
        <w:t>: +55</w:t>
      </w:r>
      <w:r w:rsidRPr="00C042FF">
        <w:rPr>
          <w:rFonts w:ascii="Book Antiqua" w:eastAsia="Book Antiqua" w:hAnsi="Book Antiqua" w:cs="Book Antiqua"/>
          <w:lang w:val="en-US"/>
        </w:rPr>
        <w:t>-92-981377788</w:t>
      </w:r>
    </w:p>
    <w:p w14:paraId="59EFCEE4" w14:textId="77777777" w:rsidR="00327A23" w:rsidRPr="00C042FF" w:rsidRDefault="00327A23"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rPr>
      </w:pPr>
    </w:p>
    <w:p w14:paraId="38FCDDCB" w14:textId="3C53B6FD" w:rsidR="00E96D2C" w:rsidRPr="00C042FF" w:rsidRDefault="00E96D2C" w:rsidP="003E14C8">
      <w:pPr>
        <w:spacing w:line="360" w:lineRule="auto"/>
        <w:jc w:val="both"/>
        <w:rPr>
          <w:rFonts w:ascii="Book Antiqua" w:hAnsi="Book Antiqua"/>
          <w:b/>
        </w:rPr>
      </w:pPr>
      <w:r w:rsidRPr="00C042FF">
        <w:rPr>
          <w:rFonts w:ascii="Book Antiqua" w:hAnsi="Book Antiqua"/>
          <w:b/>
        </w:rPr>
        <w:t xml:space="preserve">Received: </w:t>
      </w:r>
      <w:r w:rsidR="00E80F86" w:rsidRPr="00C042FF">
        <w:rPr>
          <w:rFonts w:ascii="Book Antiqua" w:hAnsi="Book Antiqua"/>
          <w:lang w:eastAsia="zh-CN"/>
        </w:rPr>
        <w:t>January 16, 2019</w:t>
      </w:r>
      <w:r w:rsidR="00E51E26" w:rsidRPr="00C042FF">
        <w:rPr>
          <w:rFonts w:ascii="Book Antiqua" w:hAnsi="Book Antiqua"/>
        </w:rPr>
        <w:t xml:space="preserve"> </w:t>
      </w:r>
    </w:p>
    <w:p w14:paraId="57D58A2A" w14:textId="7A091B67" w:rsidR="00E96D2C" w:rsidRPr="00C042FF" w:rsidRDefault="00E96D2C" w:rsidP="003E14C8">
      <w:pPr>
        <w:spacing w:line="360" w:lineRule="auto"/>
        <w:jc w:val="both"/>
        <w:rPr>
          <w:rFonts w:ascii="Book Antiqua" w:hAnsi="Book Antiqua"/>
          <w:b/>
        </w:rPr>
      </w:pPr>
      <w:r w:rsidRPr="00C042FF">
        <w:rPr>
          <w:rFonts w:ascii="Book Antiqua" w:hAnsi="Book Antiqua"/>
          <w:b/>
        </w:rPr>
        <w:t>Peer-review started:</w:t>
      </w:r>
      <w:r w:rsidR="00E80F86" w:rsidRPr="00C042FF">
        <w:rPr>
          <w:rFonts w:ascii="Book Antiqua" w:hAnsi="Book Antiqua"/>
          <w:lang w:eastAsia="zh-CN"/>
        </w:rPr>
        <w:t xml:space="preserve"> January 17, 2019</w:t>
      </w:r>
      <w:r w:rsidR="00E51E26" w:rsidRPr="00C042FF">
        <w:rPr>
          <w:rFonts w:ascii="Book Antiqua" w:hAnsi="Book Antiqua"/>
        </w:rPr>
        <w:t xml:space="preserve"> </w:t>
      </w:r>
    </w:p>
    <w:p w14:paraId="362249CC" w14:textId="5AD1B979" w:rsidR="00E96D2C" w:rsidRPr="00C042FF" w:rsidRDefault="00E96D2C" w:rsidP="003E14C8">
      <w:pPr>
        <w:spacing w:line="360" w:lineRule="auto"/>
        <w:jc w:val="both"/>
        <w:rPr>
          <w:rFonts w:ascii="Book Antiqua" w:hAnsi="Book Antiqua"/>
          <w:b/>
        </w:rPr>
      </w:pPr>
      <w:r w:rsidRPr="00C042FF">
        <w:rPr>
          <w:rFonts w:ascii="Book Antiqua" w:hAnsi="Book Antiqua"/>
          <w:b/>
        </w:rPr>
        <w:t>First decision:</w:t>
      </w:r>
      <w:r w:rsidR="00E80F86" w:rsidRPr="00C042FF">
        <w:rPr>
          <w:rFonts w:ascii="Book Antiqua" w:hAnsi="Book Antiqua"/>
          <w:lang w:eastAsia="zh-CN"/>
        </w:rPr>
        <w:t xml:space="preserve"> January 26, 2019</w:t>
      </w:r>
      <w:r w:rsidR="00E51E26" w:rsidRPr="00C042FF">
        <w:rPr>
          <w:rFonts w:ascii="Book Antiqua" w:hAnsi="Book Antiqua"/>
        </w:rPr>
        <w:t xml:space="preserve"> </w:t>
      </w:r>
    </w:p>
    <w:p w14:paraId="5C75D719" w14:textId="690A4FAD" w:rsidR="00E96D2C" w:rsidRPr="00C042FF" w:rsidRDefault="00E96D2C" w:rsidP="003E14C8">
      <w:pPr>
        <w:spacing w:line="360" w:lineRule="auto"/>
        <w:jc w:val="both"/>
        <w:rPr>
          <w:rFonts w:ascii="Book Antiqua" w:hAnsi="Book Antiqua"/>
          <w:b/>
        </w:rPr>
      </w:pPr>
      <w:r w:rsidRPr="00C042FF">
        <w:rPr>
          <w:rFonts w:ascii="Book Antiqua" w:hAnsi="Book Antiqua"/>
          <w:b/>
        </w:rPr>
        <w:t>Revised:</w:t>
      </w:r>
      <w:r w:rsidR="00E51E26" w:rsidRPr="00C042FF">
        <w:rPr>
          <w:rFonts w:ascii="Book Antiqua" w:hAnsi="Book Antiqua"/>
          <w:b/>
        </w:rPr>
        <w:t xml:space="preserve"> </w:t>
      </w:r>
      <w:r w:rsidR="00E80F86" w:rsidRPr="00C042FF">
        <w:rPr>
          <w:rFonts w:ascii="Book Antiqua" w:hAnsi="Book Antiqua"/>
          <w:lang w:eastAsia="zh-CN"/>
        </w:rPr>
        <w:t>January 29, 2019</w:t>
      </w:r>
      <w:r w:rsidR="00E51E26" w:rsidRPr="00C042FF">
        <w:rPr>
          <w:rFonts w:ascii="Book Antiqua" w:hAnsi="Book Antiqua"/>
        </w:rPr>
        <w:t xml:space="preserve"> </w:t>
      </w:r>
    </w:p>
    <w:p w14:paraId="2FC9B891" w14:textId="13AFCAD5" w:rsidR="00E96D2C" w:rsidRPr="00C042FF" w:rsidRDefault="00E96D2C" w:rsidP="003E14C8">
      <w:pPr>
        <w:spacing w:line="360" w:lineRule="auto"/>
        <w:jc w:val="both"/>
        <w:rPr>
          <w:rFonts w:ascii="Book Antiqua" w:hAnsi="Book Antiqua"/>
          <w:b/>
        </w:rPr>
      </w:pPr>
      <w:r w:rsidRPr="00C042FF">
        <w:rPr>
          <w:rFonts w:ascii="Book Antiqua" w:hAnsi="Book Antiqua"/>
          <w:b/>
        </w:rPr>
        <w:lastRenderedPageBreak/>
        <w:t>Accepted:</w:t>
      </w:r>
      <w:r w:rsidR="000C44CE" w:rsidRPr="000C44CE">
        <w:t xml:space="preserve"> </w:t>
      </w:r>
      <w:r w:rsidR="000C44CE" w:rsidRPr="000C44CE">
        <w:rPr>
          <w:rFonts w:ascii="Book Antiqua" w:hAnsi="Book Antiqua"/>
        </w:rPr>
        <w:t>February 13, 2019</w:t>
      </w:r>
      <w:r w:rsidR="00E51E26" w:rsidRPr="00C042FF">
        <w:rPr>
          <w:rFonts w:ascii="Book Antiqua" w:hAnsi="Book Antiqua"/>
          <w:b/>
        </w:rPr>
        <w:t xml:space="preserve"> </w:t>
      </w:r>
    </w:p>
    <w:p w14:paraId="68BA6E63" w14:textId="2BCC2841" w:rsidR="00E96D2C" w:rsidRPr="00C042FF" w:rsidRDefault="00E96D2C" w:rsidP="003E14C8">
      <w:pPr>
        <w:spacing w:line="360" w:lineRule="auto"/>
        <w:jc w:val="both"/>
        <w:rPr>
          <w:rFonts w:ascii="Book Antiqua" w:hAnsi="Book Antiqua"/>
        </w:rPr>
      </w:pPr>
      <w:r w:rsidRPr="00C042FF">
        <w:rPr>
          <w:rFonts w:ascii="Book Antiqua" w:hAnsi="Book Antiqua"/>
          <w:b/>
        </w:rPr>
        <w:t>Article in press:</w:t>
      </w:r>
      <w:r w:rsidR="00E51E26" w:rsidRPr="00C042FF">
        <w:rPr>
          <w:rFonts w:ascii="Book Antiqua" w:hAnsi="Book Antiqua"/>
        </w:rPr>
        <w:t xml:space="preserve"> </w:t>
      </w:r>
    </w:p>
    <w:p w14:paraId="5329B264" w14:textId="77777777" w:rsidR="00E96D2C" w:rsidRPr="00C042FF" w:rsidRDefault="00E96D2C" w:rsidP="003E14C8">
      <w:pPr>
        <w:spacing w:line="360" w:lineRule="auto"/>
        <w:jc w:val="both"/>
        <w:rPr>
          <w:rFonts w:ascii="Book Antiqua" w:hAnsi="Book Antiqua"/>
          <w:b/>
        </w:rPr>
      </w:pPr>
      <w:r w:rsidRPr="00C042FF">
        <w:rPr>
          <w:rFonts w:ascii="Book Antiqua" w:hAnsi="Book Antiqua"/>
          <w:b/>
        </w:rPr>
        <w:t xml:space="preserve">Published online: </w:t>
      </w:r>
    </w:p>
    <w:p w14:paraId="4AF1DDBA" w14:textId="77777777" w:rsidR="00E80F86" w:rsidRPr="00C042FF" w:rsidRDefault="00E80F86" w:rsidP="003E14C8">
      <w:pPr>
        <w:spacing w:line="360" w:lineRule="auto"/>
        <w:jc w:val="both"/>
        <w:rPr>
          <w:rFonts w:ascii="Book Antiqua" w:eastAsia="Arial Unicode MS" w:hAnsi="Book Antiqua" w:cs="Arial"/>
          <w:b/>
          <w:bCs/>
          <w:bdr w:val="nil"/>
          <w:lang w:val="en-US" w:eastAsia="pt-BR"/>
        </w:rPr>
      </w:pPr>
      <w:r w:rsidRPr="00C042FF">
        <w:rPr>
          <w:rFonts w:ascii="Book Antiqua" w:hAnsi="Book Antiqua" w:cs="Arial"/>
          <w:b/>
          <w:bCs/>
        </w:rPr>
        <w:br w:type="page"/>
      </w:r>
    </w:p>
    <w:p w14:paraId="123456D7" w14:textId="77777777" w:rsidR="001E7246" w:rsidRDefault="0054149D" w:rsidP="001E7246">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eastAsia="zh-CN"/>
        </w:rPr>
      </w:pPr>
      <w:r w:rsidRPr="00C042FF">
        <w:rPr>
          <w:rFonts w:ascii="Book Antiqua" w:hAnsi="Book Antiqua" w:cs="Arial"/>
          <w:b/>
          <w:bCs/>
          <w:color w:val="auto"/>
          <w:sz w:val="24"/>
          <w:szCs w:val="24"/>
        </w:rPr>
        <w:lastRenderedPageBreak/>
        <w:t>Abstract</w:t>
      </w:r>
    </w:p>
    <w:p w14:paraId="277C9AC6" w14:textId="7CF42768" w:rsidR="00E02ABA" w:rsidRPr="001E7246" w:rsidRDefault="00964C69" w:rsidP="001E7246">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bCs/>
          <w:noProof/>
          <w:color w:val="auto"/>
          <w:sz w:val="24"/>
          <w:szCs w:val="24"/>
        </w:rPr>
      </w:pPr>
      <w:r w:rsidRPr="00C042FF">
        <w:rPr>
          <w:rFonts w:ascii="Book Antiqua" w:hAnsi="Book Antiqua" w:cs="Calibri"/>
          <w:bCs/>
          <w:color w:val="auto"/>
          <w:sz w:val="24"/>
          <w:szCs w:val="24"/>
        </w:rPr>
        <w:t xml:space="preserve">According to the American Cancer Society and Colorectal Cancer Statistics 2017, </w:t>
      </w:r>
      <w:r w:rsidR="00C042FF" w:rsidRPr="00C042FF">
        <w:rPr>
          <w:rFonts w:ascii="Book Antiqua" w:hAnsi="Book Antiqua" w:cs="Calibri"/>
          <w:bCs/>
          <w:color w:val="auto"/>
          <w:sz w:val="24"/>
          <w:szCs w:val="24"/>
        </w:rPr>
        <w:t>c</w:t>
      </w:r>
      <w:r w:rsidRPr="00C042FF">
        <w:rPr>
          <w:rFonts w:ascii="Book Antiqua" w:hAnsi="Book Antiqua" w:cs="Calibri"/>
          <w:bCs/>
          <w:color w:val="auto"/>
          <w:sz w:val="24"/>
          <w:szCs w:val="24"/>
        </w:rPr>
        <w:t>olorectal cancer (CRC) is one of the most common malignancies in the United States and the second leading cause of cancer death in the world in 2018. Previous studies demonstrated that 8</w:t>
      </w:r>
      <w:r w:rsidR="008072DB" w:rsidRPr="00C042FF">
        <w:rPr>
          <w:rFonts w:ascii="Book Antiqua" w:eastAsia="SimSun" w:hAnsi="Book Antiqua" w:cs="Calibri"/>
          <w:bCs/>
          <w:color w:val="auto"/>
          <w:sz w:val="24"/>
          <w:szCs w:val="24"/>
          <w:lang w:eastAsia="zh-CN"/>
        </w:rPr>
        <w:t>%</w:t>
      </w:r>
      <w:r w:rsidRPr="00C042FF">
        <w:rPr>
          <w:rFonts w:ascii="Book Antiqua" w:hAnsi="Book Antiqua" w:cs="Calibri"/>
          <w:bCs/>
          <w:color w:val="auto"/>
          <w:sz w:val="24"/>
          <w:szCs w:val="24"/>
        </w:rPr>
        <w:t xml:space="preserve">-29% of patients with primary CRC present malignant colonic obstruction (MCO). In the past, </w:t>
      </w:r>
      <w:r w:rsidR="00AC7A99" w:rsidRPr="00C042FF">
        <w:rPr>
          <w:rFonts w:ascii="Book Antiqua" w:hAnsi="Book Antiqua" w:cs="Calibri"/>
          <w:bCs/>
          <w:color w:val="auto"/>
          <w:sz w:val="24"/>
          <w:szCs w:val="24"/>
        </w:rPr>
        <w:t xml:space="preserve">emergency surgery </w:t>
      </w:r>
      <w:r w:rsidRPr="00C042FF">
        <w:rPr>
          <w:rFonts w:ascii="Book Antiqua" w:hAnsi="Book Antiqua" w:cs="Calibri"/>
          <w:bCs/>
          <w:color w:val="auto"/>
          <w:sz w:val="24"/>
          <w:szCs w:val="24"/>
        </w:rPr>
        <w:t xml:space="preserve">has been the primary treatment for MCO, although morbidity and surgical mortality rates are higher in these settings </w:t>
      </w:r>
      <w:r w:rsidR="00E02ABA" w:rsidRPr="00C042FF">
        <w:rPr>
          <w:rFonts w:ascii="Book Antiqua" w:eastAsiaTheme="minorHAnsi" w:hAnsi="Book Antiqua" w:cs="Calibri"/>
          <w:color w:val="auto"/>
          <w:sz w:val="24"/>
          <w:szCs w:val="24"/>
        </w:rPr>
        <w:t>than in elective procedures. In the 199</w:t>
      </w:r>
      <w:r w:rsidR="008072DB" w:rsidRPr="00C042FF">
        <w:rPr>
          <w:rFonts w:ascii="Book Antiqua" w:eastAsiaTheme="minorHAnsi" w:hAnsi="Book Antiqua" w:cs="Calibri"/>
          <w:color w:val="auto"/>
          <w:sz w:val="24"/>
          <w:szCs w:val="24"/>
        </w:rPr>
        <w:t>0s, self-expanding metal stents</w:t>
      </w:r>
      <w:r w:rsidR="00E02ABA" w:rsidRPr="00C042FF">
        <w:rPr>
          <w:rFonts w:ascii="Book Antiqua" w:eastAsiaTheme="minorHAnsi" w:hAnsi="Book Antiqua" w:cs="Calibri"/>
          <w:color w:val="auto"/>
          <w:sz w:val="24"/>
          <w:szCs w:val="24"/>
        </w:rPr>
        <w:t xml:space="preserve"> appeared and was a watershed in the treatment of patients in gastrointestinal surgical emergencies.</w:t>
      </w:r>
      <w:r w:rsidR="00E02ABA" w:rsidRPr="00C042FF">
        <w:rPr>
          <w:rFonts w:ascii="Book Antiqua" w:eastAsiaTheme="minorHAnsi" w:hAnsi="Book Antiqua" w:cs="Calibri"/>
          <w:color w:val="auto"/>
          <w:sz w:val="24"/>
          <w:szCs w:val="24"/>
          <w:vertAlign w:val="superscript"/>
        </w:rPr>
        <w:t xml:space="preserve"> </w:t>
      </w:r>
      <w:r w:rsidR="00E02ABA" w:rsidRPr="00C042FF">
        <w:rPr>
          <w:rFonts w:ascii="Book Antiqua" w:eastAsiaTheme="minorHAnsi" w:hAnsi="Book Antiqua" w:cs="Calibri"/>
          <w:color w:val="auto"/>
          <w:sz w:val="24"/>
          <w:szCs w:val="24"/>
        </w:rPr>
        <w:t>The studies led to high expectations because the use of stents could prevent surgical intervention, such as colostomy, leading to lower morbidity and mortality, possibly resulting in higher quality of life. This review was designed to provide present evidence of the indication, technique, outcomes, benefits, and risks of these treatments in acute MCO through the analysis of previously published studies and current guidelines.</w:t>
      </w:r>
    </w:p>
    <w:p w14:paraId="225EBCC5" w14:textId="77777777" w:rsidR="00E02ABA" w:rsidRPr="00C042FF" w:rsidRDefault="00E02ABA" w:rsidP="003E14C8">
      <w:pPr>
        <w:spacing w:line="360" w:lineRule="auto"/>
        <w:jc w:val="both"/>
        <w:rPr>
          <w:rFonts w:ascii="Book Antiqua" w:hAnsi="Book Antiqua"/>
          <w:lang w:val="en-US"/>
        </w:rPr>
      </w:pPr>
    </w:p>
    <w:p w14:paraId="12B596E9" w14:textId="1167B87E" w:rsidR="005931EB" w:rsidRPr="00C042FF" w:rsidRDefault="005931EB" w:rsidP="003E14C8">
      <w:pPr>
        <w:spacing w:line="360" w:lineRule="auto"/>
        <w:jc w:val="both"/>
        <w:rPr>
          <w:rFonts w:ascii="Book Antiqua" w:hAnsi="Book Antiqua"/>
          <w:lang w:val="en-US"/>
        </w:rPr>
      </w:pPr>
      <w:r w:rsidRPr="00C042FF">
        <w:rPr>
          <w:rFonts w:ascii="Book Antiqua" w:hAnsi="Book Antiqua"/>
          <w:b/>
          <w:lang w:val="en-US"/>
        </w:rPr>
        <w:t>Key words:</w:t>
      </w:r>
      <w:r w:rsidRPr="00C042FF">
        <w:rPr>
          <w:rFonts w:ascii="Book Antiqua" w:hAnsi="Book Antiqua"/>
          <w:lang w:val="en-US"/>
        </w:rPr>
        <w:t xml:space="preserve"> </w:t>
      </w:r>
      <w:r w:rsidR="00327A23" w:rsidRPr="00C042FF">
        <w:rPr>
          <w:rFonts w:ascii="Book Antiqua" w:hAnsi="Book Antiqua"/>
          <w:lang w:val="en-US"/>
        </w:rPr>
        <w:t xml:space="preserve">Colorectal </w:t>
      </w:r>
      <w:r w:rsidR="008072DB" w:rsidRPr="00C042FF">
        <w:rPr>
          <w:rFonts w:ascii="Book Antiqua" w:hAnsi="Book Antiqua"/>
          <w:lang w:val="en-US"/>
        </w:rPr>
        <w:t>c</w:t>
      </w:r>
      <w:r w:rsidR="00327A23" w:rsidRPr="00C042FF">
        <w:rPr>
          <w:rFonts w:ascii="Book Antiqua" w:hAnsi="Book Antiqua"/>
          <w:lang w:val="en-US"/>
        </w:rPr>
        <w:t>ancer; Endoscopy; Stent; Surgery</w:t>
      </w:r>
      <w:r w:rsidRPr="00C042FF">
        <w:rPr>
          <w:rFonts w:ascii="Book Antiqua" w:hAnsi="Book Antiqua"/>
          <w:lang w:val="en-US"/>
        </w:rPr>
        <w:t xml:space="preserve">; Palliative </w:t>
      </w:r>
    </w:p>
    <w:p w14:paraId="07EF68F3" w14:textId="77777777" w:rsidR="000F279A" w:rsidRPr="00C042FF" w:rsidRDefault="000F279A" w:rsidP="003E14C8">
      <w:pPr>
        <w:spacing w:line="360" w:lineRule="auto"/>
        <w:jc w:val="both"/>
        <w:rPr>
          <w:rFonts w:ascii="Book Antiqua" w:hAnsi="Book Antiqua"/>
          <w:lang w:val="en-US" w:eastAsia="zh-CN"/>
        </w:rPr>
      </w:pPr>
    </w:p>
    <w:p w14:paraId="6926E6D3" w14:textId="77777777" w:rsidR="00BB6F21" w:rsidRDefault="008072DB" w:rsidP="00BB6F21">
      <w:pPr>
        <w:spacing w:line="360" w:lineRule="auto"/>
        <w:jc w:val="both"/>
        <w:rPr>
          <w:rFonts w:ascii="Book Antiqua" w:hAnsi="Book Antiqua" w:cs="Arial"/>
          <w:lang w:eastAsia="zh-CN"/>
        </w:rPr>
      </w:pPr>
      <w:r w:rsidRPr="00C042FF">
        <w:rPr>
          <w:rFonts w:ascii="Book Antiqua" w:hAnsi="Book Antiqua"/>
          <w:b/>
        </w:rPr>
        <w:t xml:space="preserve">© </w:t>
      </w:r>
      <w:r w:rsidRPr="00C042FF">
        <w:rPr>
          <w:rFonts w:ascii="Book Antiqua" w:hAnsi="Book Antiqua" w:cs="Arial"/>
          <w:b/>
        </w:rPr>
        <w:t>The Author(s) 2019.</w:t>
      </w:r>
      <w:r w:rsidRPr="00C042FF">
        <w:rPr>
          <w:rFonts w:ascii="Book Antiqua" w:hAnsi="Book Antiqua" w:cs="Arial"/>
        </w:rPr>
        <w:t xml:space="preserve"> Published by Baishideng Publishing Group Inc. All rights reserved.</w:t>
      </w:r>
    </w:p>
    <w:p w14:paraId="792D1660" w14:textId="77777777" w:rsidR="00BB6F21" w:rsidRDefault="00BB6F21" w:rsidP="00BB6F21">
      <w:pPr>
        <w:spacing w:line="360" w:lineRule="auto"/>
        <w:jc w:val="both"/>
        <w:rPr>
          <w:rFonts w:ascii="Book Antiqua" w:hAnsi="Book Antiqua" w:cs="Arial"/>
          <w:lang w:eastAsia="zh-CN"/>
        </w:rPr>
      </w:pPr>
    </w:p>
    <w:p w14:paraId="02401F08" w14:textId="14721F72" w:rsidR="00E722A8" w:rsidRPr="00BB6F21" w:rsidRDefault="00B87A52" w:rsidP="00BB6F21">
      <w:pPr>
        <w:spacing w:line="360" w:lineRule="auto"/>
        <w:jc w:val="both"/>
        <w:rPr>
          <w:rFonts w:ascii="Book Antiqua" w:hAnsi="Book Antiqua" w:cs="Arial"/>
        </w:rPr>
      </w:pPr>
      <w:r w:rsidRPr="00C042FF">
        <w:rPr>
          <w:rFonts w:ascii="Book Antiqua" w:hAnsi="Book Antiqua" w:cs="Times New Roman"/>
          <w:b/>
          <w:lang w:val="en-US"/>
        </w:rPr>
        <w:t xml:space="preserve">Core tip: </w:t>
      </w:r>
      <w:r w:rsidR="00E722A8" w:rsidRPr="00C042FF">
        <w:rPr>
          <w:rFonts w:ascii="Book Antiqua" w:eastAsiaTheme="minorHAnsi" w:hAnsi="Book Antiqua" w:cs="Calibri"/>
          <w:lang w:val="en-US"/>
        </w:rPr>
        <w:t xml:space="preserve">This review was designed to provide present evidence of the indication, technique, outcomes, benefits, and risks of </w:t>
      </w:r>
      <w:r w:rsidR="00DF4A69" w:rsidRPr="00C042FF">
        <w:rPr>
          <w:rFonts w:ascii="Book Antiqua" w:eastAsiaTheme="minorHAnsi" w:hAnsi="Book Antiqua" w:cs="Calibri"/>
          <w:lang w:val="en-US"/>
        </w:rPr>
        <w:t>colon stenting and emergency surgery</w:t>
      </w:r>
      <w:r w:rsidR="00E722A8" w:rsidRPr="00C042FF">
        <w:rPr>
          <w:rFonts w:ascii="Book Antiqua" w:eastAsiaTheme="minorHAnsi" w:hAnsi="Book Antiqua" w:cs="Calibri"/>
          <w:lang w:val="en-US"/>
        </w:rPr>
        <w:t xml:space="preserve"> in acute </w:t>
      </w:r>
      <w:r w:rsidR="00E722A8" w:rsidRPr="00C042FF">
        <w:rPr>
          <w:rFonts w:ascii="Book Antiqua" w:hAnsi="Book Antiqua" w:cs="Calibri"/>
          <w:bCs/>
          <w:lang w:val="en-US"/>
        </w:rPr>
        <w:t>malignant colonic obstruction</w:t>
      </w:r>
      <w:r w:rsidR="00E722A8" w:rsidRPr="00C042FF">
        <w:rPr>
          <w:rFonts w:ascii="Book Antiqua" w:eastAsiaTheme="minorHAnsi" w:hAnsi="Book Antiqua" w:cs="Calibri"/>
          <w:lang w:val="en-US"/>
        </w:rPr>
        <w:t xml:space="preserve"> through the analysis of previously published studies with 1A evidence and current guidelines.</w:t>
      </w:r>
    </w:p>
    <w:p w14:paraId="7C3C5B9E" w14:textId="77777777" w:rsidR="008072DB" w:rsidRPr="00C042FF" w:rsidRDefault="008072DB" w:rsidP="003E14C8">
      <w:pPr>
        <w:spacing w:line="360" w:lineRule="auto"/>
        <w:jc w:val="both"/>
        <w:rPr>
          <w:rFonts w:ascii="Book Antiqua" w:hAnsi="Book Antiqua" w:cs="Book Antiqua"/>
          <w:lang w:val="en-US" w:eastAsia="zh-CN"/>
        </w:rPr>
      </w:pPr>
    </w:p>
    <w:p w14:paraId="72A34E7D" w14:textId="68C01EFD" w:rsidR="008072DB" w:rsidRPr="00C042FF" w:rsidRDefault="008072DB" w:rsidP="003E14C8">
      <w:pPr>
        <w:spacing w:line="360" w:lineRule="auto"/>
        <w:jc w:val="both"/>
        <w:rPr>
          <w:rFonts w:ascii="Book Antiqua" w:hAnsi="Book Antiqua" w:cs="Book Antiqua"/>
          <w:lang w:val="en-US" w:eastAsia="zh-CN"/>
        </w:rPr>
      </w:pPr>
      <w:r w:rsidRPr="00C042FF">
        <w:rPr>
          <w:rFonts w:ascii="Book Antiqua" w:eastAsia="Book Antiqua" w:hAnsi="Book Antiqua" w:cs="Book Antiqua"/>
        </w:rPr>
        <w:t>Ribeiro</w:t>
      </w:r>
      <w:r w:rsidRPr="00C042FF">
        <w:rPr>
          <w:rFonts w:ascii="Book Antiqua" w:hAnsi="Book Antiqua" w:cs="Book Antiqua"/>
          <w:lang w:eastAsia="zh-CN"/>
        </w:rPr>
        <w:t xml:space="preserve"> IB,</w:t>
      </w:r>
      <w:r w:rsidRPr="00C042FF">
        <w:rPr>
          <w:rFonts w:ascii="Book Antiqua" w:eastAsia="Book Antiqua" w:hAnsi="Book Antiqua" w:cs="Book Antiqua"/>
        </w:rPr>
        <w:t xml:space="preserve"> de Moura</w:t>
      </w:r>
      <w:r w:rsidRPr="00C042FF">
        <w:rPr>
          <w:rFonts w:ascii="Book Antiqua" w:hAnsi="Book Antiqua" w:cs="Book Antiqua"/>
          <w:lang w:eastAsia="zh-CN"/>
        </w:rPr>
        <w:t xml:space="preserve"> DTH,</w:t>
      </w:r>
      <w:r w:rsidRPr="00C042FF">
        <w:rPr>
          <w:rFonts w:ascii="Book Antiqua" w:eastAsia="Book Antiqua" w:hAnsi="Book Antiqua" w:cs="Book Antiqua"/>
        </w:rPr>
        <w:t xml:space="preserve"> Thompson</w:t>
      </w:r>
      <w:r w:rsidRPr="00C042FF">
        <w:rPr>
          <w:rFonts w:ascii="Book Antiqua" w:hAnsi="Book Antiqua" w:cs="Book Antiqua"/>
          <w:lang w:eastAsia="zh-CN"/>
        </w:rPr>
        <w:t xml:space="preserve"> CC,</w:t>
      </w:r>
      <w:r w:rsidRPr="00C042FF">
        <w:rPr>
          <w:rFonts w:ascii="Book Antiqua" w:eastAsia="Book Antiqua" w:hAnsi="Book Antiqua" w:cs="Book Antiqua"/>
        </w:rPr>
        <w:t xml:space="preserve"> de Moura</w:t>
      </w:r>
      <w:r w:rsidRPr="00C042FF">
        <w:rPr>
          <w:rFonts w:ascii="Book Antiqua" w:hAnsi="Book Antiqua" w:cs="Book Antiqua"/>
          <w:lang w:eastAsia="zh-CN"/>
        </w:rPr>
        <w:t xml:space="preserve"> EGH.</w:t>
      </w:r>
      <w:r w:rsidRPr="00C042FF">
        <w:rPr>
          <w:rFonts w:ascii="Book Antiqua" w:eastAsia="Book Antiqua" w:hAnsi="Book Antiqua" w:cs="Book Antiqua"/>
          <w:lang w:val="en-US"/>
        </w:rPr>
        <w:t xml:space="preserve"> Acute abdominal obstruction: Colon stent or emergency surgery? An evidence-based review</w:t>
      </w:r>
      <w:r w:rsidRPr="00C042FF">
        <w:rPr>
          <w:rFonts w:ascii="Book Antiqua" w:hAnsi="Book Antiqua" w:cs="Book Antiqua"/>
          <w:lang w:val="en-US" w:eastAsia="zh-CN"/>
        </w:rPr>
        <w:t xml:space="preserve">. </w:t>
      </w:r>
      <w:r w:rsidRPr="00C042FF">
        <w:rPr>
          <w:rFonts w:ascii="Book Antiqua" w:hAnsi="Book Antiqua"/>
          <w:i/>
          <w:iCs/>
        </w:rPr>
        <w:t>World J Gastrointest Endosc</w:t>
      </w:r>
      <w:r w:rsidRPr="00C042FF">
        <w:rPr>
          <w:rFonts w:ascii="Book Antiqua" w:hAnsi="Book Antiqua"/>
          <w:i/>
          <w:iCs/>
          <w:lang w:eastAsia="zh-CN"/>
        </w:rPr>
        <w:t xml:space="preserve"> </w:t>
      </w:r>
      <w:r w:rsidRPr="00C042FF">
        <w:rPr>
          <w:rFonts w:ascii="Book Antiqua" w:hAnsi="Book Antiqua"/>
          <w:iCs/>
          <w:lang w:eastAsia="zh-CN"/>
        </w:rPr>
        <w:t>2019; In press</w:t>
      </w:r>
    </w:p>
    <w:p w14:paraId="30DCD4C6" w14:textId="77777777" w:rsidR="0046748A" w:rsidRDefault="0046748A" w:rsidP="0046748A">
      <w:pPr>
        <w:spacing w:line="360" w:lineRule="auto"/>
        <w:jc w:val="both"/>
        <w:rPr>
          <w:rFonts w:ascii="Book Antiqua" w:hAnsi="Book Antiqua"/>
          <w:lang w:val="en-US" w:eastAsia="zh-CN"/>
        </w:rPr>
      </w:pPr>
    </w:p>
    <w:p w14:paraId="4130472E" w14:textId="72D49D65" w:rsidR="001312C9" w:rsidRPr="0046748A" w:rsidRDefault="00913896" w:rsidP="0046748A">
      <w:pPr>
        <w:spacing w:line="360" w:lineRule="auto"/>
        <w:jc w:val="both"/>
        <w:rPr>
          <w:rFonts w:ascii="Book Antiqua" w:hAnsi="Book Antiqua"/>
          <w:b/>
          <w:lang w:val="en-US"/>
        </w:rPr>
      </w:pPr>
      <w:r w:rsidRPr="0046748A">
        <w:rPr>
          <w:rFonts w:ascii="Book Antiqua" w:hAnsi="Book Antiqua"/>
          <w:b/>
          <w:lang w:val="en-US"/>
        </w:rPr>
        <w:lastRenderedPageBreak/>
        <w:t>INTRODUCTION AND BACKGROUND</w:t>
      </w:r>
    </w:p>
    <w:p w14:paraId="6B843814" w14:textId="2E0718AE" w:rsidR="006D1EEE" w:rsidRPr="00C042FF" w:rsidRDefault="00964C69" w:rsidP="003E14C8">
      <w:pPr>
        <w:spacing w:line="360" w:lineRule="auto"/>
        <w:jc w:val="both"/>
        <w:rPr>
          <w:rFonts w:ascii="Book Antiqua" w:hAnsi="Book Antiqua"/>
          <w:noProof/>
          <w:lang w:val="en-US"/>
        </w:rPr>
      </w:pPr>
      <w:r w:rsidRPr="00C042FF">
        <w:rPr>
          <w:rFonts w:ascii="Book Antiqua" w:hAnsi="Book Antiqua"/>
          <w:lang w:val="en-US"/>
        </w:rPr>
        <w:t>According to the American Cancer Society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{"citationItems":[{"id":"ITEM-1","itemData":{"DOI":"10.1016/S0140-6736(13)61649-9","ISBN":"1474-547X (Electronic)\\n0140-6736 (Linking)","ISSN":"1474547X","PMID":"24225001","abstract":"More than 1.2 million patients are diagnosed with colorectal cancer every year, and more than 600 000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countries.","author":[{"dropping-particle":"","family":"American Cancer Society","given":"","non-dropping-particle":"","parse-names":false,"suffix":""}],"container-title":"American Cancer Society","id":"ITEM-1","issued":{"date-parts":[["2017"]]},"title":"Colorectal Cancer Facts&amp;Figures 2017-2019","type":"article-journal"},"uris":["http://www.mendeley.com/documents/?uuid=27e946a9-a749-423c-8266-b3fbf6c44eb8"]}],"mendeley":{"formattedCitation":"&lt;sup&gt;[1]&lt;/sup&gt;","plainTextFormattedCitation":"[1]","previouslyFormattedCitation":"(1)"},"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[1]</w:t>
      </w:r>
      <w:r w:rsidR="001D2AD8" w:rsidRPr="00C042FF">
        <w:rPr>
          <w:rStyle w:val="FootnoteReference"/>
          <w:rFonts w:ascii="Book Antiqua" w:hAnsi="Book Antiqua"/>
          <w:lang w:val="en-US"/>
        </w:rPr>
        <w:fldChar w:fldCharType="end"/>
      </w:r>
      <w:r w:rsidRPr="00C042FF">
        <w:rPr>
          <w:rFonts w:ascii="Book Antiqua" w:hAnsi="Book Antiqua"/>
          <w:lang w:val="en-US"/>
        </w:rPr>
        <w:t xml:space="preserve"> and Colorectal Cancer Statistics 2017</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{"citationItems":[{"id":"ITEM-1","itemData":{"DOI":"10.3322/caac.21395","ISSN":"1542-4863","PMID":"28248415","abstract":"Colorectal cancer (CRC) is one of the most common malignancies in the United States. Every 3 years, the American Cancer Society provides an update of CRC incidence, survival, and mortality rates and trends. Incidence data through 2013 were provided by the Surveillance, Epidemiology, and End Results program, the National Program of Cancer Registries, and the North American Association of Central Cancer Registries. Mortality data through 2014 were provided by the National Center for Health Statistics. CRC incidence rates are highest in Alaska Natives and blacks and lowest in Asian/Pacific Islanders, and they are 30% to 40% higher in men than in women. Recent temporal patterns are generally similar by race and sex, but differ by age. Between 2000 and 2013, incidence rates in adults aged ≥50 years declined by 32%, with the drop largest for distal tumors in people aged ≥65 years (incidence rate ratio [IRR], 0.50; 95% confidence interval [95% CI], 0.48-0.52) and smallest for rectal tumors in ages 50 to 64 years (male IRR, 0.91; 95% CI, 0.85-0.96; female IRR, 1.00; 95% CI, 0.93-1.08). Overall CRC incidence in individuals ages ≥50 years declined from 2009 to 2013 in every state except Arkansas, with the decrease exceeding 5% annually in 7 states; however, rectal tumor incidence in those ages 50 to 64 years was stable in most states. Among adults aged &lt;50 years, CRC incidence rates increased by 22% from 2000 to 2013, driven solely by tumors in the distal colon (IRR, 1.24; 95% CI, 1.13-1.35) and rectum (IRR, 1.22; 95% CI, 1.13-1.31). Similar to incidence patterns, CRC death rates decreased by 34% among individuals aged ≥50 years during 2000 through 2014, but increased by 13% in those aged &lt;50 years. Progress against CRC can be accelerated by increasing initiation of screening at age 50 years (average risk) or earlier (eg, family history of CRC/advanced adenomas) and eliminating disparities in high-quality treatment. In addition, research is needed to elucidate causes for increasing CRC in young adults. CA Cancer J Clin 2017. © 2017 American Cancer Society. CA Cancer J Clin 2017;67:177-193. © 2017 American Cancer Society.","author":[{"dropping-particle":"","family":"Siegel","given":"Rebecca L","non-dropping-particle":"","parse-names":false,"suffix":""},{"dropping-particle":"","family":"Miller","given":"Kimberly D","non-dropping-particle":"","parse-names":false,"suffix":""},{"dropping-particle":"","family":"Fedewa","given":"Stacey A","non-dropping-particle":"","parse-names":false,"suffix":""},{"dropping-particle":"","family":"Ahnen","given":"Dennis J","non-dropping-particle":"","parse-names":false,"suffix":""},{"dropping-particle":"","family":"Meester","given":"Reinier G S","non-dropping-particle":"","parse-names":false,"suffix":""},{"dropping-particle":"","family":"Barzi","given":"Afsaneh","non-dropping-particle":"","parse-names":false,"suffix":""},{"dropping-particle":"","family":"Jemal","given":"Ahmedin","non-dropping-particle":"","parse-names":false,"suffix":""}],"container-title":"CA: a cancer journal for clinicians","id":"ITEM-1","issue":"3","issued":{"date-parts":[["2017"]]},"page":"177-193","title":"Colorectal cancer statistics, 2017.","type":"article-journal","volume":"67"},"uris":["http://www.mendeley.com/documents/?uuid=8a190aba-c531-4ef4-828c-10b0f5c94e6d"]}],"mendeley":{"formattedCitation":"&lt;sup&gt;[2]&lt;/sup&gt;","plainTextFormattedCitation":"[2]","previouslyFormattedCitation":"(2)"},"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[2]</w:t>
      </w:r>
      <w:r w:rsidR="001D2AD8" w:rsidRPr="00C042FF">
        <w:rPr>
          <w:rStyle w:val="FootnoteReference"/>
          <w:rFonts w:ascii="Book Antiqua" w:hAnsi="Book Antiqua"/>
          <w:lang w:val="en-US"/>
        </w:rPr>
        <w:fldChar w:fldCharType="end"/>
      </w:r>
      <w:r w:rsidRPr="00C042FF">
        <w:rPr>
          <w:rFonts w:ascii="Book Antiqua" w:hAnsi="Book Antiqua"/>
          <w:lang w:val="en-US"/>
        </w:rPr>
        <w:t xml:space="preserve">, </w:t>
      </w:r>
      <w:r w:rsidR="00AC7A99" w:rsidRPr="00C042FF">
        <w:rPr>
          <w:rFonts w:ascii="Book Antiqua" w:hAnsi="Book Antiqua"/>
          <w:lang w:val="en-US"/>
        </w:rPr>
        <w:t>c</w:t>
      </w:r>
      <w:r w:rsidRPr="00C042FF">
        <w:rPr>
          <w:rFonts w:ascii="Book Antiqua" w:hAnsi="Book Antiqua"/>
          <w:lang w:val="en-US"/>
        </w:rPr>
        <w:t xml:space="preserve">olorectal cancer (CRC) is one of the most common malignancies in the United States and the second leading cause of cancer death in the world in 2018. </w:t>
      </w:r>
      <w:r w:rsidR="000575D2" w:rsidRPr="00C042FF">
        <w:rPr>
          <w:rFonts w:ascii="Book Antiqua" w:hAnsi="Book Antiqua"/>
          <w:lang w:val="en-US"/>
        </w:rPr>
        <w:t>Acute abdomen obstructive (AAO) due to CRC occurs in 8%</w:t>
      </w:r>
      <w:r w:rsidR="00AC7A99">
        <w:rPr>
          <w:rFonts w:ascii="Book Antiqua" w:hAnsi="Book Antiqua" w:hint="eastAsia"/>
          <w:lang w:val="en-US" w:eastAsia="zh-CN"/>
        </w:rPr>
        <w:t>-</w:t>
      </w:r>
      <w:r w:rsidR="000575D2" w:rsidRPr="00C042FF">
        <w:rPr>
          <w:rFonts w:ascii="Book Antiqua" w:hAnsi="Book Antiqua"/>
          <w:lang w:val="en-US"/>
        </w:rPr>
        <w:t>29% of patients and is a gastrointestinal</w:t>
      </w:r>
      <w:r w:rsidR="00550401" w:rsidRPr="00C042FF">
        <w:rPr>
          <w:rFonts w:ascii="Book Antiqua" w:hAnsi="Book Antiqua"/>
          <w:lang w:val="en-US"/>
        </w:rPr>
        <w:t xml:space="preserve"> (GI)</w:t>
      </w:r>
      <w:r w:rsidR="000575D2" w:rsidRPr="00C042FF">
        <w:rPr>
          <w:rFonts w:ascii="Book Antiqua" w:hAnsi="Book Antiqua"/>
          <w:lang w:val="en-US"/>
        </w:rPr>
        <w:t xml:space="preserve"> emergency requiring urgent decompression considering the risk of necrosis and perforation as a result of</w:t>
      </w:r>
      <w:r w:rsidR="00550401" w:rsidRPr="00C042FF">
        <w:rPr>
          <w:rFonts w:ascii="Book Antiqua" w:hAnsi="Book Antiqua"/>
          <w:lang w:val="en-US"/>
        </w:rPr>
        <w:t xml:space="preserve"> massive distension of the loop. Bacterial translocation and</w:t>
      </w:r>
      <w:r w:rsidR="000575D2" w:rsidRPr="00C042FF">
        <w:rPr>
          <w:rFonts w:ascii="Book Antiqua" w:hAnsi="Book Antiqua"/>
          <w:lang w:val="en-US"/>
        </w:rPr>
        <w:t xml:space="preserve"> imbalance of int</w:t>
      </w:r>
      <w:r w:rsidR="00550401" w:rsidRPr="00C042FF">
        <w:rPr>
          <w:rFonts w:ascii="Book Antiqua" w:hAnsi="Book Antiqua"/>
          <w:lang w:val="en-US"/>
        </w:rPr>
        <w:t>racorporal electrolytes also contribute to the high morta</w:t>
      </w:r>
      <w:r w:rsidR="000575D2" w:rsidRPr="00C042FF">
        <w:rPr>
          <w:rFonts w:ascii="Book Antiqua" w:hAnsi="Book Antiqua"/>
          <w:lang w:val="en-US"/>
        </w:rPr>
        <w:t>lity</w:t>
      </w:r>
      <w:r w:rsidR="00550401" w:rsidRPr="00C042FF">
        <w:rPr>
          <w:rFonts w:ascii="Book Antiqua" w:hAnsi="Book Antiqua"/>
          <w:lang w:val="en-US"/>
        </w:rPr>
        <w:t xml:space="preserve"> rate</w:t>
      </w:r>
      <w:r w:rsidR="00AC7A99" w:rsidRPr="00C042FF">
        <w:rPr>
          <w:rStyle w:val="FootnoteReference"/>
          <w:rFonts w:ascii="Book Antiqua" w:hAnsi="Book Antiqua"/>
          <w:noProof/>
          <w:lang w:val="en-US"/>
        </w:rPr>
        <w:fldChar w:fldCharType="begin" w:fldLock="1"/>
      </w:r>
      <w:r w:rsidR="00AC7A99" w:rsidRPr="00C042FF">
        <w:rPr>
          <w:rFonts w:ascii="Book Antiqua" w:hAnsi="Book Antiqua"/>
          <w:noProof/>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DOI":"10.1038/s41395-018-0180-y","ISSN":"0002-9270","PMID":"30008472","author":[{"dropping-particle":"","family":"Goldenberg","given":"Benjamin A.","non-dropping-particle":"","parse-names":false,"suffix":""},{"dropping-particle":"","family":"Holliday","given":"Emma B.","non-dropping-particle":"","parse-names":false,"suffix":""},{"dropping-particle":"","family":"Helewa","given":"Ramzi M.","non-dropping-particle":"","parse-names":false,"suffix":""},{"dropping-particle":"","family":"Singh","given":"Harminder","non-dropping-particle":"","parse-names":false,"suffix":""}],"container-title":"The American Journal of Gastroenterology","id":"ITEM-2","issue":"November 2017","issued":{"date-parts":[["2018"]]},"page":"1-9","publisher":"Springer US","title":"Rectal Cancer in 2018: A Primer for the Gastroenterologist","type":"article-journal"},"uris":["http://www.mendeley.com/documents/?uuid=a2e3a657-008b-491e-8b5d-adb67a94e14d"]},{"id":"ITEM-3","itemData":{"DOI":"10.1001/jama.2018.5817","ISSN":"0098-7484","author":[{"dropping-particle":"","family":"Sanoff","given":"Hanna K","non-dropping-particle":"","parse-names":false,"suffix":""}],"container-title":"JAMA","id":"ITEM-3","issue":"20","issued":{"date-parts":[["2018","5","22"]]},"page":"2083","title":"Best Evidence Supports Annual Surveillance for Resected Colorectal Cancer","type":"article-journal","volume":"319"},"uris":["http://www.mendeley.com/documents/?uuid=94c2f38f-a9da-4788-8ab2-743602f631d9"]}],"mendeley":{"formattedCitation":"&lt;sup&gt;[3–5]&lt;/sup&gt;","plainTextFormattedCitation":"[3–5]","previouslyFormattedCitation":"(3–5)"},"properties":{"noteIndex":0},"schema":"https://github.com/citation-style-language/schema/raw/master/csl-citation.json"}</w:instrText>
      </w:r>
      <w:r w:rsidR="00AC7A99" w:rsidRPr="00C042FF">
        <w:rPr>
          <w:rStyle w:val="FootnoteReference"/>
          <w:rFonts w:ascii="Book Antiqua" w:hAnsi="Book Antiqua"/>
          <w:noProof/>
          <w:lang w:val="en-US"/>
        </w:rPr>
        <w:fldChar w:fldCharType="separate"/>
      </w:r>
      <w:r w:rsidR="00AC7A99" w:rsidRPr="00C042FF">
        <w:rPr>
          <w:rFonts w:ascii="Book Antiqua" w:hAnsi="Book Antiqua"/>
          <w:bCs/>
          <w:noProof/>
          <w:vertAlign w:val="superscript"/>
          <w:lang w:val="en-US"/>
        </w:rPr>
        <w:t>[3–5]</w:t>
      </w:r>
      <w:r w:rsidR="00AC7A99" w:rsidRPr="00C042FF">
        <w:rPr>
          <w:rStyle w:val="FootnoteReference"/>
          <w:rFonts w:ascii="Book Antiqua" w:hAnsi="Book Antiqua"/>
          <w:noProof/>
          <w:lang w:val="en-US"/>
        </w:rPr>
        <w:fldChar w:fldCharType="end"/>
      </w:r>
      <w:r w:rsidR="000575D2" w:rsidRPr="00C042FF">
        <w:rPr>
          <w:rFonts w:ascii="Book Antiqua" w:hAnsi="Book Antiqua"/>
          <w:lang w:val="en-US"/>
        </w:rPr>
        <w:t>.</w:t>
      </w:r>
      <w:r w:rsidR="00AC7A99" w:rsidRPr="00C042FF">
        <w:rPr>
          <w:rFonts w:ascii="Book Antiqua" w:hAnsi="Book Antiqua"/>
          <w:noProof/>
          <w:lang w:val="en-US"/>
        </w:rPr>
        <w:t xml:space="preserve"> </w:t>
      </w:r>
    </w:p>
    <w:p w14:paraId="4A684735" w14:textId="70213EA1" w:rsidR="006D1EEE" w:rsidRPr="00C042FF" w:rsidRDefault="000575D2" w:rsidP="00AC7A99">
      <w:pPr>
        <w:spacing w:line="360" w:lineRule="auto"/>
        <w:ind w:firstLineChars="100" w:firstLine="240"/>
        <w:jc w:val="both"/>
        <w:rPr>
          <w:rFonts w:ascii="Book Antiqua" w:hAnsi="Book Antiqua"/>
          <w:noProof/>
          <w:lang w:val="en-US"/>
        </w:rPr>
      </w:pPr>
      <w:r w:rsidRPr="00C042FF">
        <w:rPr>
          <w:rFonts w:ascii="Book Antiqua" w:hAnsi="Book Antiqua"/>
          <w:noProof/>
          <w:lang w:val="en-US"/>
        </w:rPr>
        <w:t>In the 1990s, self-expanding metal stents (SEMS) appeared, which were a watershed in the treatment of patients in</w:t>
      </w:r>
      <w:r w:rsidR="00550401" w:rsidRPr="00C042FF">
        <w:rPr>
          <w:rFonts w:ascii="Book Antiqua" w:hAnsi="Book Antiqua"/>
          <w:noProof/>
          <w:lang w:val="en-US"/>
        </w:rPr>
        <w:t xml:space="preserve"> GI</w:t>
      </w:r>
      <w:r w:rsidRPr="00C042FF">
        <w:rPr>
          <w:rFonts w:ascii="Book Antiqua" w:hAnsi="Book Antiqua"/>
          <w:noProof/>
          <w:lang w:val="en-US"/>
        </w:rPr>
        <w:t xml:space="preserve"> surgical emergencies</w:t>
      </w:r>
      <w:r w:rsidR="001D2AD8" w:rsidRPr="00C042FF">
        <w:rPr>
          <w:rStyle w:val="FootnoteReference"/>
          <w:rFonts w:ascii="Book Antiqua" w:hAnsi="Book Antiqua"/>
          <w:noProof/>
          <w:lang w:val="en-US"/>
        </w:rPr>
        <w:fldChar w:fldCharType="begin" w:fldLock="1"/>
      </w:r>
      <w:r w:rsidR="008201F7" w:rsidRPr="00C042FF">
        <w:rPr>
          <w:rFonts w:ascii="Book Antiqua" w:hAnsi="Book Antiqua"/>
          <w:noProof/>
          <w:lang w:val="en-US"/>
        </w:rPr>
        <w:instrText>ADDIN CSL_CITATION {"citationItems":[{"id":"ITEM-1","itemData":{"DOI":"10.1016/j.gie.2017.05.032","ISSN":"1097-6779","PMID":"28579348","abstract":"BACKGROUND AND AIMS Self-expandable metal stents are used increasingly in the treatment of obstructing colorectal cancer (CRC). Although endoscopic colon stenting is widely accepted in palliation, disagreement exists about its role in a curative setting. This study aims to describe long-term survival data in a large patient group treated with colon stenting as a bridge to surgery for CRC. METHODS This prospective study included 97 patients who presented in a Belgian hospital between 1998 and 2013 with obstructing, although potentially curable, CRC. All patients underwent endoscopic stenting as a bridge to surgery. Procedure-related adverse events and long-term follow-up data were retrospectively collected and compared with the CRC mortality in Belgium in the same time span. RESULTS Overall survival in this observational cohort did not differ significantly from survival in all Belgian patients with CRC in the same period (P = .14). One-year, 5-year, and 10-year survival rates were similar in both groups (95.9% vs 79.0%; 54.7% vs 51.2%; 41.0% vs 35.6%, respectively). The technical success rate was 94.8%. Seventy-three patients did not experience any adverse event. Stent migration occurred in 9 patients, whereas micro-perforations and macro-perforations were observed in 14 patients, without influence on survival. Incidence rates of peritoneal metastases did not differ between patients with and without any type of perforation (22.2% vs 15.2%, respectively; P = .47). The type of stent influenced the overall adverse event risk, mainly driven by a significant increase in stent migration in case of Wallstent enteral (Boston Scientific Corporation, Natick, Mass). CONCLUSIONS Colon stenting before surgery is effective and did not worsen the survival outcome in patients with obstructing CRC who were treated with curative intent, which affirms the role for stenting as a bridge to surgery.","author":[{"dropping-particle":"","family":"Verstockt","given":"Bram","non-dropping-particle":"","parse-names":false,"suffix":""},{"dropping-particle":"","family":"Driessche","given":"Annelien","non-dropping-particle":"Van","parse-names":false,"suffix":""},{"dropping-particle":"","family":"Man","given":"Marc","non-dropping-particle":"De","parse-names":false,"suffix":""},{"dropping-particle":"","family":"Spek","given":"Pieter","non-dropping-particle":"van der","parse-names":false,"suffix":""},{"dropping-particle":"","family":"Hendrickx","given":"Koen","non-dropping-particle":"","parse-names":false,"suffix":""},{"dropping-particle":"","family":"Casneuf","given":"Veerle","non-dropping-particle":"","parse-names":false,"suffix":""},{"dropping-particle":"","family":"Dobbels","given":"Pieter","non-dropping-particle":"","parse-names":false,"suffix":""},{"dropping-particle":"","family":"Molhem","given":"Yves","non-dropping-particle":"Van","parse-names":false,"suffix":""},{"dropping-particle":"","family":"Vandervoort","given":"Jo","non-dropping-particle":"","parse-names":false,"suffix":""}],"container-title":"Gastrointestinal Endoscopy","id":"ITEM-1","issue":"3","issued":{"date-parts":[["2018","3"]]},"page":"705-713.e2","publisher":"American Society for Gastrointestinal Endoscopy","title":"Ten-year survival after endoscopic stent placement as a bridge to surgery in obstructing colon cancer","type":"article-journal","volume":"87"},"uris":["http://www.mendeley.com/documents/?uuid=3e5aefab-b58a-40b9-b28d-774fa4772f1f"]},{"id":"ITEM-2","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surgery","id":"ITEM-2","issue":"9","issued":{"date-parts":[["2002"]]},"page":"1096-1102","title":"Systematic review of the efficacy and safety of colorectal stents.","type":"article","volume":"89"},"uris":["http://www.mendeley.com/documents/?uuid=e19bf905-59ac-43a5-94f0-1c5dce3bf5ad"]},{"id":"ITEM-3","itemData":{"DOI":"10.1590/S0004-2803.201800000-13","ISSN":"1678-4219","PMID":"29561980","abstract":"BACKGROUND Although the incidence of leaks after Roux-en-Y gastric bypass (RYGB) significantly decreased over time, their detection still remains challenging. OBJECTIVE This study aimed to determine the usefulness of drain amylase levels to detect leaks after RYGB. METHODS This is a population-based study which enrolled 170 individuals who underwent RYGB. Drain amylase levels were determined on the first and fourth postoperative days. Two thresholds were evaluated: three times higher than the serum levels (parameter I) and higher than 250 IU/L (parameter II). The main outcomes evaluated were perioperative morbidity, the occurrence of leaks, 30-day readmissions and reoperations, hospital stay, and mortality. RESULTS Considering the parameter I, high drain amylase levels were significantly associated with leaks (12.5% vs 0; P&lt;0.00001). Considering the parameter II, high drain amylase levels were significantly associated with longer hospital stay (8±5.7 vs 4.5±1.3 days; P=0.00032), 30-day reoperations (50% vs 3%; P=0.000285), and leaks (50% vs 0; P&lt;0.00001). The parameter I presented a sensitivity of 100% and specificity of 95.9%, whereas the parameter II presented a sensitivity of 100% and a specificity of 99.4%. CONCLUSION The determination of drain amylase levels after RYGB was a significant indicator of leaks, hospital stay, and 30-day reoperations. This finding reinforces the importance of abdominal drainage in the RYGB within this context.","author":[{"dropping-particle":"","family":"Ribeiro","given":"Igor Braga","non-dropping-particle":"","parse-names":false,"suffix":""},{"dropping-particle":"","family":"Gestic","given":"Martinho Antonio","non-dropping-particle":"","parse-names":false,"suffix":""},{"dropping-particle":"","family":"Utrini","given":"Murillo Pimentel","non-dropping-particle":"","parse-names":false,"suffix":""},{"dropping-particle":"","family":"Chaim","given":"Felipe David Mendonça Mendonca","non-dropping-particle":"","parse-names":false,"suffix":""},{"dropping-particle":"","family":"Chaim","given":"Elinton Adami","non-dropping-particle":"","parse-names":false,"suffix":""},{"dropping-particle":"","family":"Cazzo","given":"Everton","non-dropping-particle":"","parse-names":false,"suffix":""}],"container-title":"Arquivos de gastroenterologia","id":"ITEM-3","issue":"1","issued":{"date-parts":[["2018"]]},"page":"66-72","title":"Drain amylase levels may indicate gastrojejunostomy leaks after Roux-en-Y Gastric Bypass","type":"article-journal","volume":"55"},"uris":["http://www.mendeley.com/documents/?uuid=31df20a6-7ed6-4458-a91c-3e94634d9c0d"]},{"id":"ITEM-4","itemData":{"DOI":"10.1016/j.gie.2018.02.006","ISSN":"00165107","author":[{"dropping-particle":"","family":"Lee","given":"Yoo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Endoscopy","id":"ITEM-4","issue":"6","issued":{"date-parts":[["2018","6"]]},"page":"1548-1557.e1","title":"Clinical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[6–9]&lt;/sup&gt;","plainTextFormattedCitation":"[6–9]","previouslyFormattedCitation":"(6–9)"},"properties":{"noteIndex":0},"schema":"https://github.com/citation-style-language/schema/raw/master/csl-citation.json"}</w:instrText>
      </w:r>
      <w:r w:rsidR="001D2AD8" w:rsidRPr="00C042FF">
        <w:rPr>
          <w:rStyle w:val="FootnoteReference"/>
          <w:rFonts w:ascii="Book Antiqua" w:hAnsi="Book Antiqua"/>
          <w:noProof/>
          <w:lang w:val="en-US"/>
        </w:rPr>
        <w:fldChar w:fldCharType="separate"/>
      </w:r>
      <w:r w:rsidR="008201F7" w:rsidRPr="00C042FF">
        <w:rPr>
          <w:rFonts w:ascii="Book Antiqua" w:hAnsi="Book Antiqua"/>
          <w:bCs/>
          <w:noProof/>
          <w:vertAlign w:val="superscript"/>
          <w:lang w:val="en-US"/>
        </w:rPr>
        <w:t>[6–9]</w:t>
      </w:r>
      <w:r w:rsidR="001D2AD8" w:rsidRPr="00C042FF">
        <w:rPr>
          <w:rStyle w:val="FootnoteReference"/>
          <w:rFonts w:ascii="Book Antiqua" w:hAnsi="Book Antiqua"/>
          <w:noProof/>
          <w:lang w:val="en-US"/>
        </w:rPr>
        <w:fldChar w:fldCharType="end"/>
      </w:r>
      <w:r w:rsidR="006D1EEE" w:rsidRPr="00C042FF">
        <w:rPr>
          <w:rFonts w:ascii="Book Antiqua" w:hAnsi="Book Antiqua"/>
          <w:noProof/>
          <w:lang w:val="en-US"/>
        </w:rPr>
        <w:t xml:space="preserve">. </w:t>
      </w:r>
      <w:r w:rsidR="00BB5786" w:rsidRPr="00C042FF">
        <w:rPr>
          <w:rFonts w:ascii="Book Antiqua" w:hAnsi="Book Antiqua"/>
          <w:noProof/>
          <w:lang w:val="en-US"/>
        </w:rPr>
        <w:t xml:space="preserve">The initial studies had encouraging results since the use of the stent could remove the patient from a surgical emergency, improve their performance status, reducing not only morbidity </w:t>
      </w:r>
      <w:r w:rsidR="00DF4A69" w:rsidRPr="00C042FF">
        <w:rPr>
          <w:rFonts w:ascii="Book Antiqua" w:hAnsi="Book Antiqua"/>
          <w:noProof/>
          <w:lang w:val="en-US"/>
        </w:rPr>
        <w:t>but</w:t>
      </w:r>
      <w:r w:rsidR="00BB5786" w:rsidRPr="00C042FF">
        <w:rPr>
          <w:rFonts w:ascii="Book Antiqua" w:hAnsi="Book Antiqua"/>
          <w:noProof/>
          <w:lang w:val="en-US"/>
        </w:rPr>
        <w:t xml:space="preserve"> mortality and preventing a colostomy giving them a better quality of life (QOL)</w:t>
      </w:r>
      <w:r w:rsidR="001D2AD8" w:rsidRPr="00C042FF">
        <w:rPr>
          <w:rStyle w:val="FootnoteReference"/>
          <w:rFonts w:ascii="Book Antiqua" w:hAnsi="Book Antiqua"/>
          <w:noProof/>
          <w:lang w:val="en-US"/>
        </w:rPr>
        <w:fldChar w:fldCharType="begin" w:fldLock="1"/>
      </w:r>
      <w:r w:rsidR="008201F7" w:rsidRPr="00C042FF">
        <w:rPr>
          <w:rFonts w:ascii="Book Antiqua" w:hAnsi="Book Antiqua"/>
          <w:noProof/>
          <w:lang w:val="en-US"/>
        </w:rPr>
        <w:instrText>ADDIN CSL_CITATION {"citationItems":[{"id":"ITEM-1","itemData":{"DOI":"10.1007/s00464-017-5763-y","ISSN":"14322218","abstract":"© 2017 Springer Science+Business Media, LLC Great debate exists in the initial acute management of large bowel obstruction from obstructing left colon carcinoma. While endoscopic stenting is well established as the first approach in the setting of palliative care of patients with advanced metastatic disease as well as a bridge to elective surgery in elderly patients who have an increased risk of postoperative mortality (age  &gt; 70 years and/or ASA status ≥3), controversies exist regarding oncological safety and long-term outcomes of endoscopic colonic stenting in younger patients and ESGE Guidelines do not recommend SEMS placement in patients  &lt; 70 and fit for curative surgery. Particularly, the Consensus Panelists currently state that SEMS placement as a bridge to surgery is not recommended as the standard treatment because (1) it does not reduce the postoperative mortality in the general population, (2) SEMS may be associated with an increased risk of tumor recurrence, and (3) acute resection is feasible in young and fit patients, with an acceptable postoperative mortality rate. A 32-year-old lady was admitted with complete LBO from obstructing sigmoid carcinoma. Initial i.v. CE-CT scan detected a large bowel partial obstruction with fecal impaction in the entire colon until sigmoid with some mildly dilated SB loops. The presence of a thickened area in the colonic wall could not be assessed because the patient was young and thin and in such patients the CT appearance of bowel wall cannot be clearly appreciated. She was initially managed with laxatives and gastrografin. The patient’s obstruction did not improve and abdominal distension worsened with nausea and colicky pain. Urgent endoscopy detected a friable mass, consistent with completely obstructing carcinoma of the mid sigmoid. Biopsies were taken and distal ink marking was made. Whole-body urgent CT scan with i.v. contrast was performed in order to obtain full preoperative staging and to rule out distant metastases. CT scan and the previously given oral gastrografin confirmed complete large bowel obstruction with a tight stricture in the sigmoid. Cecum was markedly distended.","author":[{"dropping-particle":"","family":"Saverio","given":"Salomone","non-dropping-particle":"Di","parse-names":false,"suffix":""},{"dropping-particle":"","family":"Birindelli","given":"Arianna","non-dropping-particle":"","parse-names":false,"suffix":""},{"dropping-particle":"","family":"Segalini","given":"Edoardo","non-dropping-particle":"","parse-names":false,"suffix":""},{"dropping-particle":"","family":"Novello","given":"Matteo","non-dropping-particle":"","parse-names":false,"suffix":""},{"dropping-particle":"","family":"Larocca","given":"Anna","non-dropping-particle":"","parse-names":false,"suffix":""},{"dropping-particle":"","family":"Ferrara","given":"Francesco","non-dropping-particle":"","parse-names":false,"suffix":""},{"dropping-particle":"","family":"Binda","given":"Gian Andrea","non-dropping-particle":"","parse-names":false,"suffix":""},{"dropping-particle":"","family":"Bassi","given":"Marco","non-dropping-particle":"","parse-names":false,"suffix":""}],"container-title":"Surgical Endoscopy and Other Interventional Techniques","id":"ITEM-1","issue":"4","issued":{"date-parts":[["2018"]]},"page":"2151-2155","publisher":"Springer US","title":"“To stent or not to stent?”: immediate emergency surgery with laparoscopic radical colectomy with CME and primary anastomosis is feasible for obstructing left colon carcinoma","type":"article-journal","volume":"32"},"uris":["http://www.mendeley.com/documents/?uuid=469e1236-440e-49d4-b781-a9d18bf42dfe"]},{"id":"ITEM-2","itemData":{"DOI":"10.1097/DCR.0000000000001078","ISBN":"0000000000","ISSN":"1530-0358","PMID":"29944576","author":[{"dropping-particle":"","family":"Wrenn","given":"Sean M.","non-dropping-particle":"","parse-names":false,"suffix":""},{"dropping-particle":"","family":"Cepeda-Benito","given":"Antonio","non-dropping-particle":"","parse-names":false,"suffix":""},{"dropping-particle":"","family":"Ramos-Valadez","given":"Diego I.","non-dropping-particle":"","parse-names":false,"suffix":""},{"dropping-particle":"","family":"Cataldo","given":"Peter A.","non-dropping-particle":"","parse-names":false,"suffix":""}],"container-title":"Diseases of the Colon &amp; Rectum","id":"ITEM-2","issued":{"date-parts":[["2018"]]},"page":"1","title":"Patient Perceptions and Quality of Life After Colon and Rectal Surgery","type":"article-journal","volume":"8"},"uris":["http://www.mendeley.com/documents/?uuid=e677c30c-2b91-41c1-a764-1c183fb4e7df"]},{"id":"ITEM-3","itemData":{"DOI":"10.1097/DCR.0000000000000431","ISBN":"1530-0358 (Electronic)\r0012-3706 (Linking)","ISSN":"0012-3706","PMID":"26252845","abstract":"BACKGROUND Surgery remains the dominant treatment for large-bowel obstruction, with emerging data on self-expanding metallic stents. OBJECTIVE The aim of this study was to assess whether stent insertion improves quality of life and survival in comparison with surgical decompression. DESIGN This study reports on a randomized control trial (registry number ACTRN012606000199516). SETTING This study was conducted at Royal Prince Alfred Hospital, Sydney, and Western Hospital, Melbourne. PATIENTS AND INTERVENTION Patients with malignant incurable large-bowel obstruction were randomly assigned to surgical decompression or stent insertion. MAIN OUTCOME MEASURES The primary end point was differences in EuroQOL EQ-5D quality of life. Secondary end points included overall survival, 30-day mortality, stoma rates, postoperative recovery, complications, and readmissions. RESULTS Fifty-two patients of 58 needed to reach the calculated sample size were evaluated. Stent insertion was successful in 19 of 26 (73%) patients. The remaining 7 patients required a stoma compared with 24 of 26 (92%) surgery group patients (p &lt; 0.001). There were no stent-related perforations or deaths. The surgery group had significantly reduced quality of life compared with the stent group from baseline to 1 and 2 weeks (p = 0.001 and p = 0.012), and from baseline to 12 months (p = 0.01) in favor of the stent group, whereas both reported reduced quality of life. The stent group had an 8% 30-day mortality compared with 15% for the surgery group (p = 0.668). Median survival was 5.2 and 5.5 months for the groups (p = 0.613). The stent group had significantly reduced procedure time (p = 0.014), postprocedure stay (p = 0.027), days nothing by mouth (p = 0.002), and days before free access to solids (p = 0.022). LIMITATIONS This study was limited by the lack of an EQ-5D Australian-based population set. CONCLUSIONS Stent use in patients with incurable large-bowel obstruction has a number of advantages with faster return to diet, decreased stoma rates, reduced postprocedure stay, and some quality-of-life benefits.","author":[{"dropping-particle":"","family":"Young","given":"Christopher J.","non-dropping-particle":"","parse-names":false,"suffix":""},{"dropping-particle":"","family":"De-loyde","given":"Katie J.","non-dropping-particle":"","parse-names":false,"suffix":""},{"dropping-particle":"","family":"Young","given":"Jane M.","non-dropping-particle":"","parse-names":false,"suffix":""},{"dropping-particle":"","family":"Solomon","given":"Michael J.","non-dropping-particle":"","parse-names":false,"suffix":""},{"dropping-particle":"","family":"Chew","given":"Emily H.","non-dropping-particle":"","parse-names":false,"suffix":""},{"dropping-particle":"","family":"Byrne","given":"Chris M.","non-dropping-particle":"","parse-names":false,"suffix":""},{"dropping-particle":"","family":"Salkeld","given":"Glenn","non-dropping-particle":"","parse-names":false,"suffix":""},{"dropping-particle":"","family":"Faragher","given":"Ian G.","non-dropping-particle":"","parse-names":false,"suffix":""}],"container-title":"Diseases of the Colon &amp; Rectum","id":"ITEM-3","issue":"9","issued":{"date-parts":[["2015"]]},"page":"838-849","title":"Improving Quality of Life for People with Incurable Large-Bowel Obstruction","type":"article-journal","volume":"58"},"uris":["http://www.mendeley.com/documents/?uuid=d0798730-da86-47f8-9860-9734d516a3d6"]},{"id":"ITEM-4","itemData":{"DOI":"10.21873/anticanres.12411","ISSN":"02507005","author":[{"dropping-particle":"","family":"First","given":"Kyoto","non-dropping-particle":"","parse-names":false,"suffix":""},{"dropping-particle":"","family":"Cross","given":"Red","non-dropping-particle":"","parse-names":false,"suffix":""}],"container-title":"Anticancer Research","id":"ITEM-4","issue":"3","issued":{"date-parts":[["2018"]]},"page":"1749-1753","title":"Self-expandable Metallic Stents Contribute to Reducing Perioperative Complications in Colorectal Cancer Patients with Acute Obstruction","type":"article-journal","volume":"38"},"uris":["http://www.mendeley.com/documents/?uuid=cdb068dd-97db-43e6-b3f5-e82fb6afb1d3"]}],"mendeley":{"formattedCitation":"&lt;sup&gt;[10–13]&lt;/sup&gt;","plainTextFormattedCitation":"[10–13]","previouslyFormattedCitation":"(10–13)"},"properties":{"noteIndex":0},"schema":"https://github.com/citation-style-language/schema/raw/master/csl-citation.json"}</w:instrText>
      </w:r>
      <w:r w:rsidR="001D2AD8" w:rsidRPr="00C042FF">
        <w:rPr>
          <w:rStyle w:val="FootnoteReference"/>
          <w:rFonts w:ascii="Book Antiqua" w:hAnsi="Book Antiqua"/>
          <w:noProof/>
          <w:lang w:val="en-US"/>
        </w:rPr>
        <w:fldChar w:fldCharType="separate"/>
      </w:r>
      <w:r w:rsidR="008201F7" w:rsidRPr="00C042FF">
        <w:rPr>
          <w:rFonts w:ascii="Book Antiqua" w:hAnsi="Book Antiqua"/>
          <w:bCs/>
          <w:noProof/>
          <w:vertAlign w:val="superscript"/>
          <w:lang w:val="en-US"/>
        </w:rPr>
        <w:t>[10–13]</w:t>
      </w:r>
      <w:r w:rsidR="001D2AD8" w:rsidRPr="00C042FF">
        <w:rPr>
          <w:rStyle w:val="FootnoteReference"/>
          <w:rFonts w:ascii="Book Antiqua" w:hAnsi="Book Antiqua"/>
          <w:noProof/>
          <w:lang w:val="en-US"/>
        </w:rPr>
        <w:fldChar w:fldCharType="end"/>
      </w:r>
      <w:r w:rsidRPr="00C042FF">
        <w:rPr>
          <w:rFonts w:ascii="Book Antiqua" w:hAnsi="Book Antiqua"/>
          <w:noProof/>
          <w:lang w:val="en-US"/>
        </w:rPr>
        <w:t>.</w:t>
      </w:r>
      <w:r w:rsidR="00233FC7" w:rsidRPr="00C042FF">
        <w:rPr>
          <w:rFonts w:ascii="Book Antiqua" w:hAnsi="Book Antiqua"/>
          <w:noProof/>
          <w:lang w:val="en-US"/>
        </w:rPr>
        <w:t xml:space="preserve"> </w:t>
      </w:r>
      <w:r w:rsidRPr="00C042FF">
        <w:rPr>
          <w:rFonts w:ascii="Book Antiqua" w:hAnsi="Book Antiqua"/>
          <w:noProof/>
          <w:lang w:val="en-US"/>
        </w:rPr>
        <w:t>Pa</w:t>
      </w:r>
      <w:r w:rsidR="00550401" w:rsidRPr="00C042FF">
        <w:rPr>
          <w:rFonts w:ascii="Book Antiqua" w:hAnsi="Book Antiqua"/>
          <w:noProof/>
          <w:lang w:val="en-US"/>
        </w:rPr>
        <w:t>lliative patients were major</w:t>
      </w:r>
      <w:r w:rsidRPr="00C042FF">
        <w:rPr>
          <w:rFonts w:ascii="Book Antiqua" w:hAnsi="Book Antiqua"/>
          <w:noProof/>
          <w:lang w:val="en-US"/>
        </w:rPr>
        <w:t xml:space="preserve"> bene</w:t>
      </w:r>
      <w:r w:rsidR="00550401" w:rsidRPr="00C042FF">
        <w:rPr>
          <w:rFonts w:ascii="Book Antiqua" w:hAnsi="Book Antiqua"/>
          <w:noProof/>
          <w:lang w:val="en-US"/>
        </w:rPr>
        <w:t>ficiaries of this development since they often can</w:t>
      </w:r>
      <w:r w:rsidRPr="00C042FF">
        <w:rPr>
          <w:rFonts w:ascii="Book Antiqua" w:hAnsi="Book Antiqua"/>
          <w:noProof/>
          <w:lang w:val="en-US"/>
        </w:rPr>
        <w:t xml:space="preserve"> not </w:t>
      </w:r>
      <w:r w:rsidR="00550401" w:rsidRPr="00C042FF">
        <w:rPr>
          <w:rFonts w:ascii="Book Antiqua" w:hAnsi="Book Antiqua"/>
          <w:noProof/>
          <w:lang w:val="en-US"/>
        </w:rPr>
        <w:t>tolerate more invasive</w:t>
      </w:r>
      <w:r w:rsidRPr="00C042FF">
        <w:rPr>
          <w:rFonts w:ascii="Book Antiqua" w:hAnsi="Book Antiqua"/>
          <w:noProof/>
          <w:lang w:val="en-US"/>
        </w:rPr>
        <w:t xml:space="preserve"> surgical procedure</w:t>
      </w:r>
      <w:r w:rsidR="00550401" w:rsidRPr="00C042FF">
        <w:rPr>
          <w:rFonts w:ascii="Book Antiqua" w:hAnsi="Book Antiqua"/>
          <w:noProof/>
          <w:lang w:val="en-US"/>
        </w:rPr>
        <w:t>s,</w:t>
      </w:r>
      <w:r w:rsidRPr="00C042FF">
        <w:rPr>
          <w:rFonts w:ascii="Book Antiqua" w:hAnsi="Book Antiqua"/>
          <w:noProof/>
          <w:lang w:val="en-US"/>
        </w:rPr>
        <w:t xml:space="preserve"> and up to 94% of emergency surgeries </w:t>
      </w:r>
      <w:r w:rsidR="00550401" w:rsidRPr="00C042FF">
        <w:rPr>
          <w:rFonts w:ascii="Book Antiqua" w:hAnsi="Book Antiqua"/>
          <w:noProof/>
          <w:lang w:val="en-US"/>
        </w:rPr>
        <w:t>can be avoided with this strategy</w:t>
      </w:r>
      <w:r w:rsidR="001D2AD8" w:rsidRPr="00C042FF">
        <w:rPr>
          <w:rStyle w:val="FootnoteReference"/>
          <w:rFonts w:ascii="Book Antiqua" w:hAnsi="Book Antiqua"/>
          <w:noProof/>
        </w:rPr>
        <w:fldChar w:fldCharType="begin" w:fldLock="1"/>
      </w:r>
      <w:r w:rsidR="008201F7" w:rsidRPr="00C042FF">
        <w:rPr>
          <w:rFonts w:ascii="Book Antiqua" w:hAnsi="Book Antiqua"/>
          <w:noProof/>
          <w:lang w:val="en-US"/>
        </w:rPr>
        <w:instrText>ADDIN CSL_CITATION {"citationItems":[{"id":"ITEM-1","itemData":{"DOI":"10.1007/s00464-005-0644-1","ISBN":"1432-2218 (Electronic)\\n0930-2794 (Linking)","ISSN":"09302794","PMID":"17160651","abstract":"BACKGROUND: Colonic stents potentially offer effective palliation for those with bowel obstruction attributable to incurable malignancy, and a \"bridge to surgery\" for those in whom emergency surgery would necessitate a stoma. The current study compared the outcomes of stents and open surgery in the management of malignant large bowel obstruction. METHODS: A literature search of the Medline, Ovid, Embase and Cochrane databases was performed to identify comparative studies reporting outcomes on colonic stenting and surgery for large bowel obstruction. Random effects meta-analytical techniques were applied to identify differences in outcomes between the two groups. Sensitivity analysis of high quality studies, those reporting on more than 35 patients, those solely concerning colorectal cancer and studies performing intention to treat analysis was undertaken to evaluate the study heterogeneity. RESULTS: A total of 10 studies satisfied the criteria for inclusion, with outcomes reported for 451 patients. Stent insertion was attempted for 244 patients (54.1%), and proved successful for 226 (92.6%). The length of hospital stay was shorter by 7.72 days in the stent group (p &lt; 0.001), which also had lower mortality (p = 0.03) and fewer medical complications (p &lt; 0.001). Stoma formation at any point during management was significantly lower than in the stent group (odds ratio, 0.02; p &lt; 0.001), and \"bridging to surgery\" did not adversely influence survival. CONCLUSIONS: Colonic stenting offers effective palliation for malignant bowel obstruction, with short lengths of hospital stay and a low rate for stoma formation, but data on quality of life and economic evaluation are limited. There is no evidence of differences in long-term survival between those who have stents followed by subsequent resection and those undergoing emergency bowel resection.","author":[{"dropping-particle":"","family":"Tilney","given":"H. S.","non-dropping-particle":"","parse-names":false,"suffix":""},{"dropping-particle":"","family":"Lovegrove","given":"R. E.","non-dropping-particle":"","parse-names":false,"suffix":""},{"dropping-particle":"","family":"Purkayastha","given":"S.","non-dropping-particle":"","parse-names":false,"suffix":""},{"dropping-particle":"","family":"Sains","given":"P. S.","non-dropping-particle":"","parse-names":false,"suffix":""},{"dropping-particle":"","family":"Weston-Petrides","given":"G. K.","non-dropping-particle":"","parse-names":false,"suffix":""},{"dropping-particle":"","family":"Darzi","given":"A. W.","non-dropping-particle":"","parse-names":false,"suffix":""},{"dropping-particle":"","family":"Tekkis","given":"P. P.","non-dropping-particle":"","parse-names":false,"suffix":""},{"dropping-particle":"","family":"Heriot","given":"A. G.","non-dropping-particle":"","parse-names":false,"suffix":""}],"container-title":"Surgical Endoscopy and Other Interventional Techniques","id":"ITEM-1","issue":"2","issued":{"date-parts":[["2007"]]},"page":"225-233","title":"Comparison of colonic stenting and open surgery for malignant large bowel obstruction","type":"article-journal","volume":"21"},"uris":["http://www.mendeley.com/documents/?uuid=1fce1caa-1b02-42ab-a156-0ae537b12f2d"]}],"mendeley":{"formattedCitation":"&lt;sup&gt;[14]&lt;/sup&gt;","plainTextFormattedCitation":"[14]","previouslyFormattedCitation":"(14)"},"properties":{"noteIndex":0},"schema":"https://github.com/citation-style-language/schema/raw/master/csl-citation.json"}</w:instrText>
      </w:r>
      <w:r w:rsidR="001D2AD8" w:rsidRPr="00C042FF">
        <w:rPr>
          <w:rStyle w:val="FootnoteReference"/>
          <w:rFonts w:ascii="Book Antiqua" w:hAnsi="Book Antiqua"/>
          <w:noProof/>
        </w:rPr>
        <w:fldChar w:fldCharType="separate"/>
      </w:r>
      <w:r w:rsidR="008201F7" w:rsidRPr="00C042FF">
        <w:rPr>
          <w:rFonts w:ascii="Book Antiqua" w:hAnsi="Book Antiqua"/>
          <w:bCs/>
          <w:noProof/>
          <w:vertAlign w:val="superscript"/>
          <w:lang w:val="en-US"/>
        </w:rPr>
        <w:t>[14]</w:t>
      </w:r>
      <w:r w:rsidR="001D2AD8" w:rsidRPr="00C042FF">
        <w:rPr>
          <w:rStyle w:val="FootnoteReference"/>
          <w:rFonts w:ascii="Book Antiqua" w:hAnsi="Book Antiqua"/>
          <w:noProof/>
        </w:rPr>
        <w:fldChar w:fldCharType="end"/>
      </w:r>
      <w:r w:rsidR="00BB5786" w:rsidRPr="00C042FF">
        <w:rPr>
          <w:rFonts w:ascii="Book Antiqua" w:hAnsi="Book Antiqua"/>
          <w:noProof/>
          <w:lang w:val="en-US"/>
        </w:rPr>
        <w:t>.</w:t>
      </w:r>
    </w:p>
    <w:p w14:paraId="3EEF1F29" w14:textId="3CE17FED" w:rsidR="00FD6CC0" w:rsidRPr="00C042FF" w:rsidRDefault="00530483" w:rsidP="00AC7A99">
      <w:pPr>
        <w:spacing w:line="360" w:lineRule="auto"/>
        <w:ind w:firstLineChars="100" w:firstLine="240"/>
        <w:jc w:val="both"/>
        <w:rPr>
          <w:rFonts w:ascii="Book Antiqua" w:hAnsi="Book Antiqua"/>
          <w:noProof/>
          <w:lang w:val="en-US"/>
        </w:rPr>
      </w:pPr>
      <w:r w:rsidRPr="00C042FF">
        <w:rPr>
          <w:rFonts w:ascii="Book Antiqua" w:hAnsi="Book Antiqua"/>
          <w:noProof/>
          <w:lang w:val="en-US"/>
        </w:rPr>
        <w:t>For patients presenting with acute left-sided colonic obstruction secondary to an operable malignancy, SEMS placement allows colonic decompression, preoperative bowel preparation, and preoperative colonoscopy to assess for synchronous cancers. Patients ma</w:t>
      </w:r>
      <w:r w:rsidR="00923B22" w:rsidRPr="00C042FF">
        <w:rPr>
          <w:rFonts w:ascii="Book Antiqua" w:hAnsi="Book Antiqua"/>
          <w:noProof/>
          <w:lang w:val="en-US"/>
        </w:rPr>
        <w:t>y then undergo a one</w:t>
      </w:r>
      <w:r w:rsidRPr="00C042FF">
        <w:rPr>
          <w:rFonts w:ascii="Book Antiqua" w:hAnsi="Book Antiqua"/>
          <w:noProof/>
          <w:lang w:val="en-US"/>
        </w:rPr>
        <w:t>-stage surgical procedure, possibly laparoscopica</w:t>
      </w:r>
      <w:r w:rsidR="00923B22" w:rsidRPr="00C042FF">
        <w:rPr>
          <w:rFonts w:ascii="Book Antiqua" w:hAnsi="Book Antiqua"/>
          <w:noProof/>
          <w:lang w:val="en-US"/>
        </w:rPr>
        <w:t>lly, with a primary anastomosis</w:t>
      </w:r>
      <w:r w:rsidR="00AC7A99" w:rsidRPr="00C042FF">
        <w:rPr>
          <w:rStyle w:val="FootnoteReference"/>
          <w:rFonts w:ascii="Book Antiqua" w:hAnsi="Book Antiqua"/>
          <w:noProof/>
          <w:lang w:val="en-US"/>
        </w:rPr>
        <w:fldChar w:fldCharType="begin" w:fldLock="1"/>
      </w:r>
      <w:r w:rsidR="00AC7A99" w:rsidRPr="00C042FF">
        <w:rPr>
          <w:rFonts w:ascii="Book Antiqua" w:hAnsi="Book Antiqua"/>
          <w:noProof/>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trials","type":"article-journal","volume":"86"},"uris":["http://www.mendeley.com/documents/?uuid=1dca8810-0905-4235-93dc-0309442462d9"]},{"id":"ITEM-2","itemData":{"DOI":"10.1016/j.gie.2017.05.032","ISSN":"1097-6779","PMID":"28579348","abstract":"BACKGROUND AND AIMS Self-expandable metal stents are used increasingly in the treatment of obstructing colorectal cancer (CRC). Although endoscopic colon stenting is widely accepted in palliation, disagreement exists about its role in a curative setting. This study aims to describe long-term survival data in a large patient group treated with colon stenting as a bridge to surgery for CRC. METHODS This prospective study included 97 patients who presented in a Belgian hospital between 1998 and 2013 with obstructing, although potentially curable, CRC. All patients underwent endoscopic stenting as a bridge to surgery. Procedure-related adverse events and long-term follow-up data were retrospectively collected and compared with the CRC mortality in Belgium in the same time span. RESULTS Overall survival in this observational cohort did not differ significantly from survival in all Belgian patients with CRC in the same period (P = .14). One-year, 5-year, and 10-year survival rates were similar in both groups (95.9% vs 79.0%; 54.7% vs 51.2%; 41.0% vs 35.6%, respectively). The technical success rate was 94.8%. Seventy-three patients did not experience any adverse event. Stent migration occurred in 9 patients, whereas micro-perforations and macro-perforations were observed in 14 patients, without influence on survival. Incidence rates of peritoneal metastases did not differ between patients with and without any type of perforation (22.2% vs 15.2%, respectively; P = .47). The type of stent influenced the overall adverse event risk, mainly driven by a significant increase in stent migration in case of Wallstent enteral (Boston Scientific Corporation, Natick, Mass). CONCLUSIONS Colon stenting before surgery is effective and did not worsen the survival outcome in patients with obstructing CRC who were treated with curative intent, which affirms the role for stenting as a bridge to surgery.","author":[{"dropping-particle":"","family":"Verstockt","given":"Bram","non-dropping-particle":"","parse-names":false,"suffix":""},{"dropping-particle":"","family":"Driessche","given":"Annelien","non-dropping-particle":"Van","parse-names":false,"suffix":""},{"dropping-particle":"","family":"Man","given":"Marc","non-dropping-particle":"De","parse-names":false,"suffix":""},{"dropping-particle":"","family":"Spek","given":"Pieter","non-dropping-particle":"van der","parse-names":false,"suffix":""},{"dropping-particle":"","family":"Hendrickx","given":"Koen","non-dropping-particle":"","parse-names":false,"suffix":""},{"dropping-particle":"","family":"Casneuf","given":"Veerle","non-dropping-particle":"","parse-names":false,"suffix":""},{"dropping-particle":"","family":"Dobbels","given":"Pieter","non-dropping-particle":"","parse-names":false,"suffix":""},{"dropping-particle":"","family":"Molhem","given":"Yves","non-dropping-particle":"Van","parse-names":false,"suffix":""},{"dropping-particle":"","family":"Vandervoort","given":"Jo","non-dropping-particle":"","parse-names":false,"suffix":""}],"container-title":"Gastrointestinal Endoscopy","id":"ITEM-2","issue":"3","issued":{"date-parts":[["2018","3"]]},"page":"705-713.e2","publisher":"American Society for Gastrointestinal Endoscopy","title":"Ten-year survival after endoscopic stent placement as a bridge to surgery in obstructing colon cancer","type":"article-journal","volume":"87"},"uris":["http://www.mendeley.com/documents/?uuid=3e5aefab-b58a-40b9-b28d-774fa4772f1f"]}],"mendeley":{"formattedCitation":"&lt;sup&gt;[6,15]&lt;/sup&gt;","plainTextFormattedCitation":"[6,15]","previouslyFormattedCitation":"(6,15)"},"properties":{"noteIndex":0},"schema":"https://github.com/citation-style-language/schema/raw/master/csl-citation.json"}</w:instrText>
      </w:r>
      <w:r w:rsidR="00AC7A99" w:rsidRPr="00C042FF">
        <w:rPr>
          <w:rStyle w:val="FootnoteReference"/>
          <w:rFonts w:ascii="Book Antiqua" w:hAnsi="Book Antiqua"/>
          <w:noProof/>
          <w:lang w:val="en-US"/>
        </w:rPr>
        <w:fldChar w:fldCharType="separate"/>
      </w:r>
      <w:r w:rsidR="00AC7A99" w:rsidRPr="00C042FF">
        <w:rPr>
          <w:rFonts w:ascii="Book Antiqua" w:hAnsi="Book Antiqua"/>
          <w:bCs/>
          <w:noProof/>
          <w:vertAlign w:val="superscript"/>
          <w:lang w:val="en-US"/>
        </w:rPr>
        <w:t>[6,15]</w:t>
      </w:r>
      <w:r w:rsidR="00AC7A99" w:rsidRPr="00C042FF">
        <w:rPr>
          <w:rStyle w:val="FootnoteReference"/>
          <w:rFonts w:ascii="Book Antiqua" w:hAnsi="Book Antiqua"/>
          <w:noProof/>
          <w:lang w:val="en-US"/>
        </w:rPr>
        <w:fldChar w:fldCharType="end"/>
      </w:r>
      <w:r w:rsidR="000E2310" w:rsidRPr="00C042FF">
        <w:rPr>
          <w:rFonts w:ascii="Book Antiqua" w:hAnsi="Book Antiqua"/>
          <w:noProof/>
          <w:lang w:val="en-US"/>
        </w:rPr>
        <w:t>.</w:t>
      </w:r>
      <w:r w:rsidR="00AC7A99" w:rsidRPr="00C042FF">
        <w:rPr>
          <w:rFonts w:ascii="Book Antiqua" w:hAnsi="Book Antiqua"/>
          <w:noProof/>
          <w:lang w:val="en-US"/>
        </w:rPr>
        <w:t xml:space="preserve"> </w:t>
      </w:r>
    </w:p>
    <w:p w14:paraId="6B32CF8F" w14:textId="32B684FB" w:rsidR="006D1EEE" w:rsidRPr="00C042FF" w:rsidRDefault="00A224E1" w:rsidP="00AC7A99">
      <w:pPr>
        <w:spacing w:line="360" w:lineRule="auto"/>
        <w:ind w:firstLineChars="100" w:firstLine="240"/>
        <w:jc w:val="both"/>
        <w:rPr>
          <w:rFonts w:ascii="Book Antiqua" w:hAnsi="Book Antiqua"/>
          <w:noProof/>
          <w:lang w:val="en-US"/>
        </w:rPr>
      </w:pPr>
      <w:r w:rsidRPr="00C042FF">
        <w:rPr>
          <w:rFonts w:ascii="Book Antiqua" w:hAnsi="Book Antiqua"/>
          <w:noProof/>
          <w:lang w:val="en-US"/>
        </w:rPr>
        <w:t xml:space="preserve">In the past, </w:t>
      </w:r>
      <w:r w:rsidR="00AC7A99" w:rsidRPr="00C042FF">
        <w:rPr>
          <w:rFonts w:ascii="Book Antiqua" w:hAnsi="Book Antiqua"/>
          <w:noProof/>
          <w:lang w:val="en-US"/>
        </w:rPr>
        <w:t>emergency surgery</w:t>
      </w:r>
      <w:r w:rsidRPr="00C042FF">
        <w:rPr>
          <w:rFonts w:ascii="Book Antiqua" w:hAnsi="Book Antiqua"/>
          <w:noProof/>
          <w:lang w:val="en-US"/>
        </w:rPr>
        <w:t xml:space="preserve"> (ES) has been the primary treatment for AAO, although morbidity and surgical mortality rates are higher in these settings than in elective procedures</w:t>
      </w:r>
      <w:r w:rsidR="001D2AD8" w:rsidRPr="00C042FF">
        <w:rPr>
          <w:rStyle w:val="FootnoteReference"/>
          <w:rFonts w:ascii="Book Antiqua" w:hAnsi="Book Antiqua"/>
          <w:noProof/>
          <w:lang w:val="en-US"/>
        </w:rPr>
        <w:fldChar w:fldCharType="begin" w:fldLock="1"/>
      </w:r>
      <w:r w:rsidR="008201F7" w:rsidRPr="00C042FF">
        <w:rPr>
          <w:rFonts w:ascii="Book Antiqua" w:hAnsi="Book Antiqua"/>
          <w:noProof/>
          <w:lang w:val="en-US"/>
        </w:rPr>
        <w:instrText>ADDIN CSL_CITATION {"citationItems":[{"id":"ITEM-1","itemData":{"DOI":"10.1007/s10350-004-0688-7","ISSN":"00123706","PMID":"15622582","abstract":"PURPOSE: The aims of this study were to assess the prognostic value for mortality of several factors in patients with colonic obstruction and to study the differences between proximal and distal obstruction.\\n\\nMETHODS: Two-hundred and thirty-four consecutive patients who underwent emergency surgery for colonic obstruction were studied. Patients with an obstructive lesion distal to the splenic flexure were assessed as having a distal colonic obstruction. Resection and primary anastomosis was the operation of choice in selected patients. Alternative procedures were Hartmann's procedure in high-risk patients, subtotal colectomy in cases of associated proximal colonic damage, and colostomy or intestinal bypass in the presence of irresectable lesions. Obstruction was considered proximal when the tumor was situated at the splenic flexure or proximally and a right or extended right colectomy was performed. A range of factors were investigated to estimate the probability of death: gender, age, American Society of Anesthesiologists score, nature of obstruction (benign vs. malign), location of the lesion (proximal vs. distal), associated proximal colonic damage and/or peritonitis, preoperative transfusion, preoperative renal failure, and laboratory data (hematocrit &lt; or = 30 percent, hemoglobin &lt; or = 10 g/dl, and leukocyte count &gt;15,000/mm3). Univariate and multivariate forward steptwise logistic regression analysis was used to study the prognostic value of each significant variable in terms of mortality.\\n\\nRESULTS: One or more complications were detected in 109 patients (46.5 percent). Death occurred in 44 patients (18.8 percent). No differences were observed between proximal and distal obstruction. Age (&gt;70 years), American Society of Anesthesiologists III-IV score, preoperative renal failure, and the presence of proximal colon damage with or without peritonitis were significantly associated with postoperative mortality in the univariate analysis. Only American Society of Anesthesiologists score, presence of proximal colon damage, and preoperative renal failure were significant predictors of outcome in multivariate logistic regression.\\n\\nCONCLUSION: Large bowel obstruction still has a high of mortality rate. An accurate preoperative evaluation of severity factors might allow stratification of patients in terms of their mortality risk and help in the decision-making process for treatment. Such an evaluation would also enable better comparison between studies…","author":[{"dropping-particle":"","family":"Biondo","given":"Sebastiano","non-dropping-particle":"","parse-names":false,"suffix":""},{"dropping-particle":"","family":"Parés","given":"David","non-dropping-particle":"","parse-names":false,"suffix":""},{"dropping-particle":"","family":"Frago","given":"Ricardo","non-dropping-particle":"","parse-names":false,"suffix":""},{"dropping-particle":"","family":"Martí-Ragué","given":"Joan","non-dropping-particle":"","parse-names":false,"suffix":""},{"dropping-particle":"","family":"Kreisler","given":"Esther","non-dropping-particle":"","parse-names":false,"suffix":""},{"dropping-particle":"","family":"Oca","given":"Javier","non-dropping-particle":"De","parse-names":false,"suffix":""},{"dropping-particle":"","family":"Jaurrieta","given":"Eduardo","non-dropping-particle":"","parse-names":false,"suffix":""}],"container-title":"Diseases of the Colon and Rectum","id":"ITEM-1","issue":"11","issued":{"date-parts":[["2004"]]},"page":"1889-1897","title":"Large bowel obstruction: Predictive factors for postoperative mortality","type":"article-journal","volume":"47"},"uris":["http://www.mendeley.com/documents/?uuid=3e89ab56-727f-4e1f-ba58-116172ec54af"]}],"mendeley":{"formattedCitation":"&lt;sup&gt;[16]&lt;/sup&gt;","plainTextFormattedCitation":"[16]","previouslyFormattedCitation":"(16)"},"properties":{"noteIndex":0},"schema":"https://github.com/citation-style-language/schema/raw/master/csl-citation.json"}</w:instrText>
      </w:r>
      <w:r w:rsidR="001D2AD8" w:rsidRPr="00C042FF">
        <w:rPr>
          <w:rStyle w:val="FootnoteReference"/>
          <w:rFonts w:ascii="Book Antiqua" w:hAnsi="Book Antiqua"/>
          <w:noProof/>
          <w:lang w:val="en-US"/>
        </w:rPr>
        <w:fldChar w:fldCharType="separate"/>
      </w:r>
      <w:r w:rsidR="008201F7" w:rsidRPr="00C042FF">
        <w:rPr>
          <w:rFonts w:ascii="Book Antiqua" w:hAnsi="Book Antiqua"/>
          <w:bCs/>
          <w:noProof/>
          <w:vertAlign w:val="superscript"/>
          <w:lang w:val="en-US"/>
        </w:rPr>
        <w:t>[16]</w:t>
      </w:r>
      <w:r w:rsidR="001D2AD8" w:rsidRPr="00C042FF">
        <w:rPr>
          <w:rStyle w:val="FootnoteReference"/>
          <w:rFonts w:ascii="Book Antiqua" w:hAnsi="Book Antiqua"/>
          <w:noProof/>
          <w:lang w:val="en-US"/>
        </w:rPr>
        <w:fldChar w:fldCharType="end"/>
      </w:r>
      <w:r w:rsidR="000575D2" w:rsidRPr="00C042FF">
        <w:rPr>
          <w:rFonts w:ascii="Book Antiqua" w:hAnsi="Book Antiqua"/>
          <w:noProof/>
          <w:lang w:val="en-US"/>
        </w:rPr>
        <w:t>.</w:t>
      </w:r>
      <w:r w:rsidR="007D04A2" w:rsidRPr="00C042FF">
        <w:rPr>
          <w:rFonts w:ascii="Book Antiqua" w:hAnsi="Book Antiqua"/>
          <w:noProof/>
          <w:lang w:val="en-US"/>
        </w:rPr>
        <w:t xml:space="preserve"> </w:t>
      </w:r>
      <w:r w:rsidRPr="00C042FF">
        <w:rPr>
          <w:rFonts w:ascii="Book Antiqua" w:hAnsi="Book Antiqua"/>
          <w:noProof/>
          <w:lang w:val="en-US"/>
        </w:rPr>
        <w:t>ES</w:t>
      </w:r>
      <w:r w:rsidR="007D04A2" w:rsidRPr="00C042FF">
        <w:rPr>
          <w:rFonts w:ascii="Book Antiqua" w:hAnsi="Book Antiqua"/>
          <w:noProof/>
          <w:lang w:val="en-US"/>
        </w:rPr>
        <w:t xml:space="preserve"> in th</w:t>
      </w:r>
      <w:r w:rsidR="00550401" w:rsidRPr="00C042FF">
        <w:rPr>
          <w:rFonts w:ascii="Book Antiqua" w:hAnsi="Book Antiqua"/>
          <w:noProof/>
          <w:lang w:val="en-US"/>
        </w:rPr>
        <w:t xml:space="preserve">is setting is associated with a </w:t>
      </w:r>
      <w:r w:rsidR="00097C6C" w:rsidRPr="00C042FF">
        <w:rPr>
          <w:rFonts w:ascii="Book Antiqua" w:hAnsi="Book Antiqua"/>
          <w:noProof/>
          <w:lang w:val="en-US"/>
        </w:rPr>
        <w:t xml:space="preserve">morbidity </w:t>
      </w:r>
      <w:r w:rsidR="00550401" w:rsidRPr="00C042FF">
        <w:rPr>
          <w:rFonts w:ascii="Book Antiqua" w:hAnsi="Book Antiqua"/>
          <w:noProof/>
          <w:lang w:val="en-US"/>
        </w:rPr>
        <w:t xml:space="preserve">rate </w:t>
      </w:r>
      <w:r w:rsidR="00097C6C" w:rsidRPr="00C042FF">
        <w:rPr>
          <w:rFonts w:ascii="Book Antiqua" w:hAnsi="Book Antiqua"/>
          <w:noProof/>
          <w:lang w:val="en-US"/>
        </w:rPr>
        <w:t>of 32</w:t>
      </w:r>
      <w:r w:rsidR="00AC7A99">
        <w:rPr>
          <w:rFonts w:ascii="Book Antiqua" w:hAnsi="Book Antiqua" w:hint="eastAsia"/>
          <w:noProof/>
          <w:lang w:val="en-US" w:eastAsia="zh-CN"/>
        </w:rPr>
        <w:t>%</w:t>
      </w:r>
      <w:r w:rsidR="00097C6C" w:rsidRPr="00C042FF">
        <w:rPr>
          <w:rFonts w:ascii="Book Antiqua" w:hAnsi="Book Antiqua"/>
          <w:noProof/>
          <w:lang w:val="en-US"/>
        </w:rPr>
        <w:t>–64%</w:t>
      </w:r>
      <w:r w:rsidR="001D2AD8" w:rsidRPr="00C042FF">
        <w:rPr>
          <w:rStyle w:val="FootnoteReference"/>
          <w:rFonts w:ascii="Book Antiqua" w:hAnsi="Book Antiqua"/>
          <w:noProof/>
          <w:lang w:val="en-US"/>
        </w:rPr>
        <w:fldChar w:fldCharType="begin" w:fldLock="1"/>
      </w:r>
      <w:r w:rsidR="008201F7" w:rsidRPr="00C042FF">
        <w:rPr>
          <w:rFonts w:ascii="Book Antiqua" w:hAnsi="Book Antiqua"/>
          <w:noProof/>
          <w:lang w:val="en-US"/>
        </w:rPr>
        <w:instrText>ADDIN CSL_CITATION {"citationItems":[{"id":"ITEM-1","itemData":{"DOI":"10.1007/s10350-004-6492-6","ISSN":"00123706","PMID":"12544518","abstract":"PURPOSE Emergency surgery for colon cancer is widely thought to be associated with increased likelihood of surgical morbidity and mortality; however, other coexistent factors such as advanced disease, the age of the patient, and medical comorbid conditions may also influence these outcomes. The primary purpose of this study was to identify the relative risk for surgical morbidity and/or mortality conferred by emergency surgery compared with elective surgery for patients with colon cancer. METHODS An Institutional Review Board-approved, case-control study was performed. During the period from January 1, 1995, to June 30, 2001, a total of 184 primary surgeries for colon cancer were performed. Emergency indications for surgery were defined as peritonitis, intra-abdominal abscess, or complete bowel obstruction at presentation (defined as emesis, distention on examination, and confirmatory plain radiograph films). By this definition, 29 patients (15.7 percent) met the criteria for inclusion. These patients were age and stage matched with 29 patients derived from the remaining 155 patients. Information was collected on surgical morbidity and mortality, length of stay, and survival. RESULTS Age, medical comorbidities, and stage of disease were well matched between groups. The indications for the 29 emergency surgeries were as follows: 6 for peritonitis, 2 for abscesses, and 21 for complete obstructions. Nine patients did not have their primary tumor removed. Sixteen patients underwent resection and anastomosis; the remaining four patients underwent a Hartmann's procedure. Overall surgical morbidity (64 vs. 24 percent; odds ratio, 5.1; 95 percent confidence interval, 1.7-16) and mortality (34 vs. 7 percent; odds ratio, 7.1; 95 percent confidence interval, 1.4-36.2) were significantly higher for patients undergoing emergency surgery. Among patients surviving surgery, there was no difference in overall survival between patients undergoing emergency compared with elective operation. CONCLUSIONS Emergency surgery has a strong negative influence (beyond that which is expected based on stage of disease) on immediate surgical morbidity and mortality. The similarity between the two groups in overall survival for patients surviving the perioperative period suggests that the negative impact of emergency surgery is confined to the immediate postoperative period.","author":[{"dropping-particle":"","family":"Smothers","given":"Lane","non-dropping-particle":"","parse-names":false,"suffix":""},{"dropping-particle":"","family":"Hynan","given":"Linda","non-dropping-particle":"","parse-names":false,"suffix":""},{"dropping-particle":"","family":"Fleming","given":"Jason","non-dropping-particle":"","parse-names":false,"suffix":""},{"dropping-particle":"","family":"Turnage","given":"Richard","non-dropping-particle":"","parse-names":false,"suffix":""},{"dropping-particle":"","family":"Simmang","given":"Clifford","non-dropping-particle":"","parse-names":false,"suffix":""},{"dropping-particle":"","family":"Anthony","given":"Thomas","non-dropping-particle":"","parse-names":false,"suffix":""}],"container-title":"Diseases of the Colon and Rectum","id":"ITEM-1","issue":"1","issued":{"date-parts":[["2003"]]},"page":"24-30","title":"Emergency surgery for colon carcinoma","type":"article-journal","volume":"46"},"uris":["http://www.mendeley.com/documents/?uuid=790431b5-0efa-45da-b4be-b027abac79d2"]}],"mendeley":{"formattedCitation":"&lt;sup&gt;[17]&lt;/sup&gt;","plainTextFormattedCitation":"[17]","previouslyFormattedCitation":"(17)"},"properties":{"noteIndex":0},"schema":"https://github.com/citation-style-language/schema/raw/master/csl-citation.json"}</w:instrText>
      </w:r>
      <w:r w:rsidR="001D2AD8" w:rsidRPr="00C042FF">
        <w:rPr>
          <w:rStyle w:val="FootnoteReference"/>
          <w:rFonts w:ascii="Book Antiqua" w:hAnsi="Book Antiqua"/>
          <w:noProof/>
          <w:lang w:val="en-US"/>
        </w:rPr>
        <w:fldChar w:fldCharType="separate"/>
      </w:r>
      <w:r w:rsidR="008201F7" w:rsidRPr="00C042FF">
        <w:rPr>
          <w:rFonts w:ascii="Book Antiqua" w:hAnsi="Book Antiqua"/>
          <w:bCs/>
          <w:noProof/>
          <w:vertAlign w:val="superscript"/>
          <w:lang w:val="en-US"/>
        </w:rPr>
        <w:t>[17]</w:t>
      </w:r>
      <w:r w:rsidR="001D2AD8" w:rsidRPr="00C042FF">
        <w:rPr>
          <w:rStyle w:val="FootnoteReference"/>
          <w:rFonts w:ascii="Book Antiqua" w:hAnsi="Book Antiqua"/>
          <w:noProof/>
          <w:lang w:val="en-US"/>
        </w:rPr>
        <w:fldChar w:fldCharType="end"/>
      </w:r>
      <w:r w:rsidR="00550401" w:rsidRPr="00C042FF">
        <w:rPr>
          <w:rFonts w:ascii="Book Antiqua" w:hAnsi="Book Antiqua"/>
          <w:noProof/>
          <w:lang w:val="en-US"/>
        </w:rPr>
        <w:t xml:space="preserve"> and mortality rate of 15</w:t>
      </w:r>
      <w:r w:rsidR="00AC7A99">
        <w:rPr>
          <w:rFonts w:ascii="Book Antiqua" w:hAnsi="Book Antiqua" w:hint="eastAsia"/>
          <w:noProof/>
          <w:lang w:val="en-US" w:eastAsia="zh-CN"/>
        </w:rPr>
        <w:t>%</w:t>
      </w:r>
      <w:r w:rsidR="00550401" w:rsidRPr="00C042FF">
        <w:rPr>
          <w:rFonts w:ascii="Book Antiqua" w:hAnsi="Book Antiqua"/>
          <w:noProof/>
          <w:lang w:val="en-US"/>
        </w:rPr>
        <w:t>–34%</w:t>
      </w:r>
      <w:r w:rsidR="0095361D" w:rsidRPr="00C042FF">
        <w:rPr>
          <w:rFonts w:ascii="Book Antiqua" w:hAnsi="Book Antiqua"/>
          <w:noProof/>
          <w:lang w:val="en-US"/>
        </w:rPr>
        <w:t>.</w:t>
      </w:r>
      <w:r w:rsidR="005E1B17" w:rsidRPr="00C042FF">
        <w:rPr>
          <w:rFonts w:ascii="Book Antiqua" w:hAnsi="Book Antiqua"/>
          <w:noProof/>
          <w:lang w:val="en-US"/>
        </w:rPr>
        <w:t xml:space="preserve"> </w:t>
      </w:r>
    </w:p>
    <w:p w14:paraId="3370762F" w14:textId="1F0C837F" w:rsidR="00935EAF" w:rsidRPr="00C042FF" w:rsidRDefault="00CB456E" w:rsidP="00AC7A99">
      <w:pPr>
        <w:spacing w:line="360" w:lineRule="auto"/>
        <w:ind w:firstLineChars="100" w:firstLine="240"/>
        <w:jc w:val="both"/>
        <w:rPr>
          <w:rFonts w:ascii="Book Antiqua" w:eastAsia="Arial" w:hAnsi="Book Antiqua" w:cs="Arial"/>
          <w:bCs/>
          <w:noProof/>
          <w:lang w:val="en-US"/>
        </w:rPr>
      </w:pPr>
      <w:r w:rsidRPr="00C042FF">
        <w:rPr>
          <w:rFonts w:ascii="Book Antiqua" w:eastAsia="Arial" w:hAnsi="Book Antiqua" w:cs="Arial"/>
          <w:bCs/>
          <w:noProof/>
          <w:lang w:val="en-US"/>
        </w:rPr>
        <w:t>There are currently</w:t>
      </w:r>
      <w:r w:rsidR="000575D2" w:rsidRPr="00C042FF">
        <w:rPr>
          <w:rFonts w:ascii="Book Antiqua" w:eastAsia="Arial" w:hAnsi="Book Antiqua" w:cs="Arial"/>
          <w:bCs/>
          <w:noProof/>
          <w:lang w:val="en-US"/>
        </w:rPr>
        <w:t xml:space="preserve"> 13 randomized controlled trials</w:t>
      </w:r>
      <w:r w:rsidR="007D04A2" w:rsidRPr="00C042FF">
        <w:rPr>
          <w:rFonts w:ascii="Book Antiqua" w:eastAsia="Arial" w:hAnsi="Book Antiqua" w:cs="Arial"/>
          <w:bCs/>
          <w:noProof/>
          <w:lang w:val="en-US"/>
        </w:rPr>
        <w:t xml:space="preserve"> (RCTs)</w:t>
      </w:r>
      <w:r w:rsidR="001D2AD8" w:rsidRPr="00C042FF">
        <w:rPr>
          <w:rStyle w:val="FootnoteReference"/>
          <w:rFonts w:ascii="Book Antiqua" w:eastAsia="Arial" w:hAnsi="Book Antiqua" w:cs="Arial"/>
          <w:bCs/>
          <w:noProof/>
          <w:lang w:val="en-US"/>
        </w:rPr>
        <w:fldChar w:fldCharType="begin" w:fldLock="1"/>
      </w:r>
      <w:r w:rsidR="008201F7" w:rsidRPr="00C042FF">
        <w:rPr>
          <w:rFonts w:ascii="Book Antiqua" w:eastAsia="Arial" w:hAnsi="Book Antiqua" w:cs="Arial"/>
          <w:bCs/>
          <w:noProof/>
          <w:lang w:val="en-US"/>
        </w:rPr>
        <w:instrText>ADDIN CSL_CITATION {"citationItems":[{"id":"ITEM-1","itemData":{"DOI":"10.1007/s00464-016-5362-3","ISSN":"1432-2218 (Electronic)","PMID":"27924392","abstract":"BACKGROUND: The aim of colonic stenting with self-expandable metallic stents in neoplastic colon obstruction is to avoid emergency surgery and thus potentially reduce morbidity, mortality, and need for a stoma. Concern has been raised, however, about the effect of colonic stenting on short-term complications and long-term survival. We compared morbidity rates after colonic stenting as a bridge to surgery (SBTS) versus emergency surgery (ES) in the management of left-sided malignant large-bowel obstruction. METHODS: This multicentre randomised controlled trial was designed with the endorsement of the European Association for Endoscopic Surgery. The study population was consecutive patients with acute, symptomatic malignant left-sided large-bowel obstruction localised between the splenic flexure and 15 cm from the anal margin. The primary outcome was overall morbidity within 60 days after surgery. RESULTS: Between March 2008 and November 2015, 144 patients were randomly assigned to undergo either SBTS or ES; 29/144 (13.9%) were excluded post-randomisation mainly because of wrong diagnosis at computed tomography examination. The remaining 115 patients (SBTS n = 56, ES n = 59) were deemed eligible for analysis. The complications rate within 60 days was 51.8% in the SBTS group and 57.6% in the ES group (p = 0.529). Although long-term follow-up is still ongoing, no statistically significant difference in 3-year overall survival (p = 0.998) and progression-free survival rates between the groups has been observed (p = 0.893). Eleven patients in the SBTS group and 23 in the ES group received a stoma (p = 0.031), with a reversal rate of 30% so far. CONCLUSIONS: Our findings indicate that the two treatment strategies are equivalent. No difference in oncologic outcome was found at a median follow-up of 36 months. The significantly lower stoma rate noted in the SBTS group argues in favour of the SBTS procedure when performed in expert hands.","author":[{"dropping-particle":"","family":"Arezzo","given":"Alberto","non-dropping-particle":"","parse-names":false,"suffix":""},{"dropping-particle":"","family":"Balague","given":"Carmen","non-dropping-particle":"","parse-names":false,"suffix":""},{"dropping-particle":"","family":"Targarona","given":"Eduardo","non-dropping-particle":"","parse-names":false,"suffix":""},{"dropping-particle":"","family":"Borghi","given":"Felice","non-dropping-particle":"","parse-names":false,"suffix":""},{"dropping-particle":"","family":"Giraudo","given":"Giorgio","non-dropping-particle":"","parse-names":false,"suffix":""},{"dropping-particle":"","family":"Ghezzo","given":"Luigi","non-dropping-particle":"","parse-names":false,"suffix":""},{"dropping-particle":"","family":"Arroyo","given":"Antonio","non-dropping-particle":"","parse-names":false,"suffix":""},{"dropping-particle":"","family":"Sola-Vera","given":"Javier","non-dropping-particle":"","parse-names":false,"suffix":""},{"dropping-particle":"","family":"Paolis","given":"Paolo","non-dropping-particle":"De","parse-names":false,"suffix":""},{"dropping-particle":"","family":"Bossotti","given":"Maurizio","non-dropping-particle":"","parse-names":false,"suffix":""},{"dropping-particle":"","family":"Bannone","given":"Elisa","non-dropping-particle":"","parse-names":false,"suffix":""},{"dropping-particle":"","family":"Forcignano","given":"Edoardo","non-dropping-particle":"","parse-names":false,"suffix":""},{"dropping-particle":"","family":"Bonino","given":"Marco Augusto","non-dropping-particle":"","parse-names":false,"suffix":""},{"dropping-particle":"","family":"Passera","given":"Roberto","non-dropping-particle":"","parse-names":false,"suffix":""},{"dropping-particle":"","family":"Morino","given":"Mario","non-dropping-particle":"","parse-names":false,"suffix":""}],"container-title":"Surgical endoscopy","id":"ITEM-1","issue":"8","issued":{"date-parts":[["2017","8"]]},"language":"eng","page":"3297-3305","publisher-place":"Germany","title":"Colonic stenting as a bridge to surgery versus emergency surgery for malignant colonic obstruction: results of a multicentre randomised controlled trial (ESCO trial).","type":"article-journal","volume":"31"},"uris":["http://www.mendeley.com/documents/?uuid=01708166-a580-4e36-87bd-90795e5da7ef"]},{"id":"ITEM-2","itemData":{"DOI":"10.1186/s12957-016-0994-2","ISSN":"1477-7819 (Electronic)","PMID":"27577887","abstract":"BACKGROUND: Emergency surgery for colon cancer, as a result of obstruction, has been vitiated by a high frequency of complications and poor survival. The concept of \"bridge to surgery\" includes either placement of self-expanding metallic stents (SEMS) or diverting stoma of an obstructing tumour and subsequent planned resection. The aim of this study was to compare acute resection with stoma or stent and later resection regarding surgical and oncological outcomes and total hospital stay. METHODS: This is a retrospective cohort study. All 2424 patients diagnosed with colorectal cancer during 1997-2013 were reviewed. All whom underwent acute surgery with curative intention for left-sided malignant obstruction were included in the study. RESULTS: One hundred patients fulfilled the inclusion criteria. Among them, 57 patients were treated with acute resection and 43 with planned resection after either acute diverting colostomy (n = 23) or stent placement (n = 20). The number of harvested lymph nodes in the resected specimen was higher in the planned resection group compared with acute resection group (21 vs. 8.7; p = 0.001). Fewer patients were treated with adjuvant chemotherapy in the acute resection group than in the stoma group (14 % (8/57 patients) vs. 43 %, (10/23 patients; p = 0.024)). Patients operated with acute resection had a higher 30-day mortality rate and were more frequently left with a permanent stoma. CONCLUSIONS: Decompression of emergency obstructive left colon cancer with stent or stoma and subsequent curative resection appears safer and results in a higher yield of lymph node harvest, and fewer patients are left with a permanent stoma.","author":[{"dropping-particle":"","family":"Oistamo","given":"Emma","non-dropping-particle":"","parse-names":false,"suffix":""},{"dropping-particle":"","family":"Hjern","given":"Fredrik","non-dropping-particle":"","parse-names":false,"suffix":""},{"dropping-particle":"","family":"Blomqvist","given":"Lennart","non-dropping-particle":"","parse-names":false,"suffix":""},{"dropping-particle":"","family":"Falken","given":"Ylva","non-dropping-particle":"","parse-names":false,"suffix":""},{"dropping-particle":"","family":"Pekkari","given":"Klas","non-dropping-particle":"","parse-names":false,"suffix":""},{"dropping-particle":"","family":"Abraham-Nordling","given":"Mirna","non-dropping-particle":"","parse-names":false,"suffix":""}],"container-title":"World journal of surgical oncology","id":"ITEM-2","issue":"1","issued":{"date-parts":[["2016","8"]]},"language":"eng","page":"232","publisher-place":"England","title":"Emergency management with resection versus proximal stoma or stent treatment and  planned resection in malignant left-sided colon obstruction.","type":"article-journal","volume":"14"},"uris":["http://www.mendeley.com/documents/?uuid=507dccac-dc91-4e5e-b9e3-dfd3fba003f4"]},{"id":"ITEM-3","itemData":{"DOI":"10.1002/bjs.9645","ISSN":"1365-2168 (Electronic)","PMID":"25298250","abstract":"BACKGROUND: The Stent-In 2 trial randomized patients with malignant colonic obstruction to emergency surgery or stent placement as a bridge to elective surgery. The aim of this study was to compare the oncological outcomes. METHODS: Disease recurrence, and disease-free, disease-specific and overall survival were evaluated, including a subgroup analysis of patients with a stent- or guidewire-related perforation. RESULTS: Of 98 patients included in the original Stent-In 2 trial, patients with benign (16) or incurable (23) disease were excluded from this study, along with a patient who had withdrawn from the trial. Of the remaining 58 patients, 32 were randomized to emergency surgery (31 resection, 1 stoma only) and 26 to stenting. Unsuccessful stenting required emergency surgery in six patients owing to wire or stent perforation. Locoregional or distant disease recurrence developed in nine of 32 patients in the emergency surgery group and 13 of 26 in the stent group. Disease-free survival was worse in the subgroup with stent- or guidewire-related perforation. Five of six patients in this subgroup developed a recurrence, compared with nine of 32 in the emergency surgery group and eight of 20 who had unperforated stenting. CONCLUSION: Stent placement for malignant colonic obstruction was associated with a risk of recurrence in this trial, but the numbers are small. There is not enough evidence to refute the approach strongly. REGISTRATION NUMBER: ISRCTN46462267 ( http://www.controlled-trials.com).","author":[{"dropping-particle":"","family":"Sloothaak","given":"D A M","non-dropping-particle":"","parse-names":false,"suffix":""},{"dropping-particle":"","family":"Berg","given":"M W","non-dropping-particle":"van den","parse-names":false,"suffix":""},{"dropping-particle":"","family":"Dijkgraaf","given":"M G W","non-dropping-particle":"","parse-names":false,"suffix":""},{"dropping-particle":"","family":"Fockens","given":"P","non-dropping-particle":"","parse-names":false,"suffix":""},{"dropping-particle":"","family":"Tanis","given":"P J","non-dropping-particle":"","parse-names":false,"suffix":""},{"dropping-particle":"","family":"Hooft","given":"J E","non-dropping-particle":"van","parse-names":false,"suffix":""},{"dropping-particle":"","family":"Bemelman","given":"W A","non-dropping-particle":"","parse-names":false,"suffix":""}],"container-title":"The British journal of surgery","id":"ITEM-3","issue":"13","issued":{"date-parts":[["2014","12"]]},"language":"eng","page":"1751-1757","publisher-place":"England","title":"Oncological outcome of malignant colonic obstruction in the Dutch Stent-In 2 trial.","type":"article-journal","volume":"101"},"uris":["http://www.mendeley.com/documents/?uuid=d45490ee-d787-4c69-b0e0-0adf2fea6b5a"]},{"id":"ITEM-4","itemData":{"DOI":"10.1002/bjs.9521","ISSN":"1365-2168 (Electronic)","PMID":"24740753","abstract":"BACKGROUND: Endoscopic self-expanding metal stent (SEMS) placement as a bridge to surgery is an option for acute malignant colonic obstruction. There is ongoing debate regarding the superiority and oncological safety of SEMS placement compared with emergency surgery. This retrospective study aimed to compare outcomes of these treatment approaches. METHODS: Patients were identified from cohorts treated between 2005 and 2012 in two teaching hospitals, of which one used emergency surgery only in patients with large bowel obstruction, whereas the other attempted SEMS placement. Only patients treated with curative intent were included. RESULTS: The study included 59 patients in whom SEMS placement was attempted and 51 who underwent surgery alone. The successful primary anastomosis rate was higher in the SEMS group than in the surgery-alone group among patients with left-sided obstruction (30 of 43 versus 10 of 34 respectively; P = 0.001), whereas stoma formation was less common (11 of 43 versus 23 of 34; P &lt; 0.001). Such differences were not apparent in patients with right-sided obstruction. Secondary stoma rates were comparable between treatment approaches (left-sided: 11 of 43 versus 13 of 34, P = 0.322; right-sided: 1 of 16 versus 1 of 17, P = 1.000). There were no significant differences in morbidity, mortality, recurrence or survival. CONCLUSION: Endoscopic SEMS placement increased the primary anastomosis rate in patients with left-sided large bowel obstruction.","author":[{"dropping-particle":"","family":"Berg","given":"M W","non-dropping-particle":"van den","parse-names":false,"suffix":""},{"dropping-particle":"","family":"Sloothaak","given":"D A M","non-dropping-particle":"","parse-names":false,"suffix":""},{"dropping-particle":"","family":"Dijkgraaf","given":"M G W","non-dropping-particle":"","parse-names":false,"suffix":""},{"dropping-particle":"","family":"Zaag","given":"E S","non-dropping-particle":"van der","parse-names":false,"suffix":""},{"dropping-particle":"","family":"Bemelman","given":"W A","non-dropping-particle":"","parse-names":false,"suffix":""},{"dropping-particle":"","family":"Tanis","given":"P J","non-dropping-particle":"","parse-names":false,"suffix":""},{"dropping-particle":"","family":"Bosker","given":"R J I","non-dropping-particle":"","parse-names":false,"suffix":""},{"dropping-particle":"","family":"Fockens","given":"P","non-dropping-particle":"","parse-names":false,"suffix":""},{"dropping-particle":"","family":"Borg","given":"F","non-dropping-particle":"ter","parse-names":false,"suffix":""},{"dropping-particle":"","family":"Hooft","given":"J E","non-dropping-particle":"van","parse-names":false,"suffix":""}],"container-title":"The British journal of surgery","id":"ITEM-4","issue":"7","issued":{"date-parts":[["2014","6"]]},"language":"eng","page":"867-873","publisher-place":"England","title":"Bridge-to-surgery stent placement versus emergency surgery for acute malignant colonic obstruction.","type":"article-journal","volume":"101"},"uris":["http://www.mendeley.com/documents/?uuid=5c44568e-a366-47ec-a32b-95b96c6f8256"]},{"id":"ITEM-5","itemData":{"DOI":"10.1007/s11605-013-2152-2","ISSN":"1873-4626 (Electronic)","PMID":"23358847","abstract":"BACKGROUND: Traditionally, left-sided acute bowel obstruction is treated by a staged procedure because immediate resection and anastomosis in a massive distended and unprepared colon carries a high complication rate. Total abdominal colectomy is a one-stage procedure that will remove synchronous proximal neoplasms, reduce the risk of subsequent metachronous tumor, and avoid stoma. Colorectal stents are being used for palliation and as a bridge to surgery in obstructing colorectal carcinoma, making elective surgery straightforward, enabling easily mobilization and resection of the colon with a possible trend toward reduction in postoperative complication rates compared to emergency surgery. The purpose of this work was to compare the procedures of endoscopic stenting followed by elective colectomy versus total abdominal colectomy and ileorectal anastomosis in the management of acute obstructed carcinoma of the left colon as regards feasibility, safety, and clinical outcomes METHODS: From January 2009 through May 2012, 60 patients were randomized to either emergency stenting followed by elective resection (ESER group) or total abdominal colectomy and ileorectal anastomosis (TACIR group). RESULTS: Twenty nine patients (96.7 %) had successful stenting and underwent elective surgery 7-10 days later (ESER group). Postoperative complications were encountered in four patients in the ESER group compared to 15 patients in the TACIR group (p = 0.012). Anastomotic leakage was encountered in one patient (3.3 %) in the TACIR group. There were no operative mortalities in the present study. Within the first three postoperative months, the TACIR group patients had significantly more frequent bowel motions per day compared to the ESER group patients although (p = 0.013). In both study groups, the follow-up duration ranged from 6 to 40 months with a median of 18 months. Recurrent disease was encountered in five patients (17.2 %) in the ESER group compared to four patients (13.3 %) in the TACIR group (p = 0.228). CONCLUSION: Both techniques are feasible, safe, and produce comparable oncological outcomes. However, endoscopic stenting followed by elective resection was associated with significantly less postoperative complications and bowel motions per day.","author":[{"dropping-particle":"","family":"Ghazal","given":"Abdel-Hamid A","non-dropping-particle":"","parse-names":false,"suffix":""},{"dropping-particle":"","family":"El-Shazly","given":"Walid G","non-dropping-particle":"","parse-names":false,"suffix":""},{"dropping-particle":"","family":"Bessa","given":"Samer S","non-dropping-particle":"","parse-names":false,"suffix":""},{"dropping-particle":"","family":"El-Riwini","given":"Mohamed T","non-dropping-particle":"","parse-names":false,"suffix":""},{"dropping-particle":"","family":"Hussein","given":"Ahmed M","non-dropping-particle":"","parse-names":false,"suffix":""}],"container-title":"Journal of gastrointestinal surgery : official journal of the Society for Surgery of the Alimentary Tract","id":"ITEM-5","issue":"6","issued":{"date-parts":[["2013","6"]]},"language":"eng","page":"1123-1129","publisher-place":"United States","title":"Colonic endolumenal stenting devices and elective surgery versus emergency subtotal/total colectomy in the management of malignant obstructed left colon carcinoma.","type":"article-journal","volume":"17"},"uris":["http://www.mendeley.com/documents/?uuid=8d0d1b70-2bbf-4965-b08d-02e5937fc0c1"]},{"id":"ITEM-6","itemData":{"DOI":"10.1007/s00464-012-2300-x","ISSN":"1432-2218 (Electronic)","PMID":"22609981","abstract":"BACKGROUND: Newly developed uncovered stents are designed to have varied radial force and high conformability to improve clinical outcome and safety. This study aimed to determine and compare the clinical outcome and safety of the Taewoong D-type uncovered stent and the Boston Scientific Wallfex stent. METHODS: Patients with acute malignant colonic obstruction were treated with a colonic stent. For the purpose of palliation, patients were randomly allocated. For the purpose of bridging, the type of stent was determined by the discretion of the individual doctors. Technical and clinical success and complication occurrence were measured as primary outcomes. RESULTS: From 12 university hospitals, 123 patients with malignant colonic obstruction were enrolled. Of these 123 patients, 58 were treated with colonic stents for palliative purposes. The technical and clinical success rate was 100 % for both stents in the palliative group. Perforation occurred for one patient (3.6 %) in the Wallflex stent group (n = 28) on day 5 and for no patients in the D-type stent group (n = 30). Two cases of migration occurred: one with the Wallflex stent and one with the D-type stent. Stent restenosis occurred for one patient with the Wallflex stent. Preoperative bridging stents were placed in 65 patients. The median time to surgery was 10 days. The technical success rate was 93.4 %, and clinical success was achieved for 86.2 % of the patients. Perforation occurred for five patients: four with the Wallflex stent and one with the D-type stent. The efficacy and safety of the two stents did not differ statistically. CONCLUSIONS: The D-type colonic uncovered stent and the Wallflex colonic uncovered stent are effective and safe for both palliative and preoperative bridging therapy used to treat acute malignant colonic obstruction.","author":[{"dropping-particle":"","family":"Cheung","given":"Dae Young","non-dropping-particle":"","parse-names":false,"suffix":""},{"dropping-particle":"","family":"Kim","given":"Jin Yong","non-dropping-particle":"","parse-names":false,"suffix":""},{"dropping-particle":"","family":"Hong","given":"Sung Pil","non-dropping-particle":"","parse-names":false,"suffix":""},{"dropping-particle":"","family":"Jung","given":"Min Kyu","non-dropping-particle":"","parse-names":false,"suffix":""},{"dropping-particle":"","family":"Ye","given":"Byong Duk","non-dropping-particle":"","parse-names":false,"suffix":""},{"dropping-particle":"","family":"Kim","given":"Sang Gyun","non-dropping-particle":"","parse-names":false,"suffix":""},{"dropping-particle":"","family":"Kim","given":"Jin Hong","non-dropping-particle":"","parse-names":false,"suffix":""},{"dropping-particle":"","family":"Lee","given":"Kang Moon","non-dropping-particle":"","parse-names":false,"suffix":""},{"dropping-particle":"","family":"Kim","given":"Kyung Ho","non-dropping-particle":"","parse-names":false,"suffix":""},{"dropping-particle":"","family":"Baik","given":"Gwang Ho","non-dropping-particle":"","parse-names":false,"suffix":""},{"dropping-particle":"","family":"Kim","given":"Ho Gak","non-dropping-particle":"","parse-names":false,"suffix":""},{"dropping-particle":"","family":"Eun","given":"Chang Soo","non-dropping-particle":"","parse-names":false,"suffix":""},{"dropping-particle":"Il","family":"Kim","given":"Tae","non-dropping-particle":"","parse-names":false,"suffix":""},{"dropping-particle":"","family":"Kim","given":"Sang Woo","non-dropping-particle":"","parse-names":false,"suffix":""},{"dropping-particle":"","family":"Kim","given":"Chang Duck","non-dropping-particle":"","parse-names":false,"suffix":""},{"dropping-particle":"","family":"Yang","given":"Chang Heon","non-dropping-particle":"","parse-names":false,"suffix":""}],"container-title":"Surgical endoscopy","id":"ITEM-6","issue":"11","issued":{"date-parts":[["2012","11"]]},"language":"eng","page":"3106-3113","publisher-place":"Germany","title":"Outcome and safety of self-expandable metallic stents for malignant colon obstruction: a Korean multicenter randomized prospective study.","type":"article-journal","volume":"26"},"uris":["http://www.mendeley.com/documents/?uuid=e701eeb3-f07a-4dc6-96c8-9a48adb3db22"]},{"id":"ITEM-7","itemData":{"DOI":"10.1007/s00384-011-1331-4","ISSN":"1432-1262 (Electronic)","PMID":"22033810","abstract":"PURPOSE: This study aims to evaluate the role of colonic stenting as a bridge to  surgery in acutely obstructed left-sided colon cancer. METHODS: Patients with acute left-sided malignant colonic obstruction with no evidence of peritonitis were recruited. After informed consent, patients were randomized to colonic stenting followed by elective surgery or immediate emergency surgery. Patients who had successful colonic stenting underwent elective surgery 1 to 2 weeks later, while the other group had emergency surgery. Patients in whom stenting was unsuccessful also underwent emergency surgery. RESULTS: Twenty patients were randomized to stenting and 19 to emergency surgery. Fourteen patients (70%) had successful stenting and underwent elective surgery at a median of 10 days later; the rest underwent emergency surgery. Technical stent failure occurred in five patients (25%). One patient failed to decompress after successful stent deployment. All patients underwent definitive colonic resection with primary anastomosis. Two of 20 patients in the stenting group required defunctioning stomas compared to 6 of 19 in emergency surgery group, p = 0.127. Overall complication rate was 35% versus 58% (p = 0.152) and mortality was 0% versus 16% (p = 0.106) in the stenting group and emergency surgery group, respectively. Postoperatively, the stenting group was discharged from hospital earlier (median of 6 versus 8 days, p = 0.028) than the emergency surgery group. CONCLUSION: Colonic stenting followed by interval elective surgery may be safer, with a trend towards lower morbidity and mortality when compared with the current practice of emergency surgery for left-sided malignant colonic obstruction.","author":[{"dropping-particle":"","family":"Ho","given":"Kok-Sun","non-dropping-particle":"","parse-names":false,"suffix":""},{"dropping-particle":"","family":"Quah","given":"Hak-Mien","non-dropping-particle":"","parse-names":false,"suffix":""},{"dropping-particle":"","family":"Lim","given":"Jit-Fong","non-dropping-particle":"","parse-names":false,"suffix":""},{"dropping-particle":"","family":"Tang","given":"Choong-Leong","non-dropping-particle":"","parse-names":false,"suffix":""},{"dropping-particle":"","family":"Eu","given":"Kong-Weng","non-dropping-particle":"","parse-names":false,"suffix":""}],"container-title":"International journal of colorectal disease","id":"ITEM-7","issue":"3","issued":{"date-parts":[["2012","3"]]},"language":"eng","page":"355-362","publisher-place":"Germany","title":"Endoscopic stenting and elective surgery versus emergency surgery for left-sided  malignant colonic obstruction: a prospective randomized trial.","type":"article-journal","volume":"27"},"uris":["http://www.mendeley.com/documents/?uuid=2e8c3b15-e9ec-45c2-95ed-b141ee4f271b"]},{"id":"ITEM-8","itemData":{"DOI":"10.1007/s00268-011-1139-y","ISSN":"1432-2323 (Electronic)","PMID":"21559998","abstract":"BACKGROUND: The main aim of this study was to compare short-term results and long-term outcomes of patients who underwent intraoperative colonic lavage (IOCL) with primary anastomosis with those who had stent placement prior to scheduled surgery for obstructive left-sided colonic cancer (OLCC). METHODS: We conducted a prospective, controlled, randomized study of patients diagnosed with OLCC. Patients were divided into two groups: stent and deferred surgery (group 1) and emergency IOCL (group 2). Demographic variables, risk prediction models, postoperative morbidity and mortality, staging, complications due to stent placement, surgical time, clinical follow-up, health costs, and follow-up of survival were recorded. RESULTS: Twenty-eight patients (15 group 1 and 13 group 1) were enrolled. The study was suspended upon detecting excess morbidity in group 2. The two groups were homogeneous in clinical and demographic terms. Overall morbidity in group 1 was 2/15 (13.3%) compared with 7/13 (53.8%) in group 2 (p = 0.042). None of the 15 patients in group 1 presented anastomotic dehiscence compared with 4/13 (30.7%) in group 2 (p = 0.035). Surgical site infection was detected in 2 (13.3%) patients in group 1 and in 6 (46.1%) in group 2 (p = 0.096). Postoperative stay was 8 days (IQR 3, group 1) and 10 days (IQR 10, group 2) (p = 0.05). The mean follow-up period was 37.6 months (SD = 16.08) with no differences in survival between the groups. CONCLUSION: In our setting, the use of a stent and scheduled surgery is safer than IOCL and is associated with lower morbidity, shorter hospital stay, and equally good long-term survival.","author":[{"dropping-particle":"","family":"Alcantara","given":"M","non-dropping-particle":"","parse-names":false,"suffix":""},{"dropping-particle":"","family":"Serra-Aracil","given":"X","non-dropping-particle":"","parse-names":false,"suffix":""},{"dropping-particle":"","family":"Falco","given":"J","non-dropping-particle":"","parse-names":false,"suffix":""},{"dropping-particle":"","family":"Mora","given":"L","non-dropping-particle":"","parse-names":false,"suffix":""},{"dropping-particle":"","family":"Bombardo","given":"J","non-dropping-particle":"","parse-names":false,"suffix":""},{"dropping-particle":"","family":"Navarro","given":"S","non-dropping-particle":"","parse-names":false,"suffix":""}],"container-title":"World journal of surgery","id":"ITEM-8","issue":"8","issued":{"date-parts":[["2011","8"]]},"language":"eng","page":"1904-1910","publisher-place":"United States","title":"Prospective, controlled, randomized study of intraoperative colonic lavage versus stent placement in obstructive left-sided colonic cancer.","type":"article-journal","volume":"35"},"uris":["http://www.mendeley.com/documents/?uuid=c9036cd3-e9f1-4409-a378-bb72ca86bec3"]},{"id":"ITEM-9","itemData":{"DOI":"10.1007/s00464-010-1471-6","ISSN":"1432-2218 (Electronic)","PMID":"21170659","abstract":"BACKGROUND: Surgical management of left colonic cancer presenting as an acute obstruction remains controversial and still is associated with high mortality and morbidity rates. Recently, self-expandable metallic stents (SEMS) have been used as a bridge to surgery in an attempt to decompress the colon and then allow elective one-stage surgical resection without stoma placement. This study aimed to compare the outcomes of emergency surgery alone with emergency placement of colonic SEMS as a bridge to surgery in terms of efficiency and reduction of the stoma placement rate. METHODS: A multicenter prospective, randomized, controlled trial was conducted according to the consolidated standards of reporting trials (CONSORT) Statement criteria. Patients eligible for the study were randomized to either emergency surgery or emergency SEMS as a bridge to surgery. The primary outcome was the need for a stoma (temporary or permanent) for any reason. The secondary end points were mortality, morbidity, and length of hospital stay. RESULTS: Nine centers participated in the trial. Among the 70 patients eligible for the study, 60 were randomized and included for the final analysis, 30 patients in each group. Seven patients were randomized but did not fulfill the entry requirements, whereas three further eligible patients were not randomized for various reasons. Concerning the primary outcome, 17 patients in the surgery group sustained a stoma placement versus 13 patients in the SEMS group (p=0.30). No statistically significant difference was noted concerning the secondary outcomes. A total of 16 attempts at SEMS placement (53.3%) were technical failures. Two colonic perforations directly related to the stent placement procedure occurred among the 30 randomized patients and 1 perforation occurred among the nonrandomized patients, leading to premature closure of inclusions in the study before the expected number of 80 patients was reached. CONCLUSION: This randomized trial failed to demonstrate that emergency preoperative SEMS for patients presenting with acute left-sided malignant colonic obstruction could significantly decrease the need for stoma placement.","author":[{"dropping-particle":"","family":"Pirlet","given":"Isabelle A","non-dropping-particle":"","parse-names":false,"suffix":""},{"dropping-particle":"","family":"Slim","given":"Karem","non-dropping-particle":"","parse-names":false,"suffix":""},{"dropping-particle":"","family":"Kwiatkowski","given":"Fabrice","non-dropping-particle":"","parse-names":false,"suffix":""},{"dropping-particle":"","family":"Michot","given":"Francis","non-dropping-particle":"","parse-names":false,"suffix":""},{"dropping-particle":"","family":"Millat","given":"Bertrand L","non-dropping-particle":"","parse-names":false,"suffix":""}],"container-title":"Surgical endoscopy","id":"ITEM-9","issue":"6","issued":{"date-parts":[["2011","6"]]},"language":"eng","page":"1814-1821","publisher-place":"Germany","title":"Emergency preoperative stenting versus surgery for acute left-sided malignant colonic obstruction: a multicenter randomized controlled trial.","type":"article-journal","volume":"25"},"uris":["http://www.mendeley.com/documents/?uuid=9f9eb6f4-1d10-4cdc-9cb6-b3b7b85c96af"]},{"id":"ITEM-10","itemData":{"DOI":"10.1016/S1470-2045(11)70035-3","ISSN":"1474-5488 (Electronic)","PMID":"21398178","abstract":"BACKGROUND: Colonic stenting as a bridge to elective surgery is an alternative for emergency surgery in patients with acute malignant colonic obstruction, but its benefits are uncertain. We aimed to establish whether colonic stenting has better health outcomes than does emergency surgery. METHODS: Patients with acute obstructive left-sided colorectal cancer were enrolled from 25 hospitals in the Netherlands and randomly assigned (1:1 ratio) to receive colonic stenting as a bridge to elective surgery or emergency surgery. The randomisation sequence was computer generated with permuted blocks and was stratified by centre; treatment allocation was concealed by use of a web-based application. Investigators and patients were unmasked to treatment assignment. The primary outcome was mean global health status during a 6-month follow-up, which was assessed with the QL2 subscale of the European Organisation for Research and Treatment of Cancer quality-of-life questionnaire (EORTC QLQ-C30). Analysis was by intention to treat. This study is registered, number ISRCTN46462267. FINDINGS: Between March 9, 2007, and Aug 27, 2009, 98 patients were assigned to receive colonic stenting (n=47 patients) or emergency surgery (n=51). Two successive interim analyses showed increased 30-day morbidity in the colonic stenting group, with an absolute risk increase of 0.19 (95% CI -0.06 to 0.41) in analysis of the first 60 patients (14 of 28 patients receiving colonic stenting vs 10 of 32 receiving emergency surgery), and an absolute risk increase of 0.19 (-0.01 to 0.37) in analysis of the first 90 patients (23 of 47 patients vs 13 of 43). In accordance with the advice of the data safety monitoring committee, the study was suspended on Sept 18, 2009, and ended on March 12, 2010. At the final analysis of 98 patients, mean global health status during follow-up was 63.0 (SD 23.8) in the colonic stenting group and 61.4 (SD 21.9) in the emergency surgery group; after adjustment for baseline values, mean global health status did not differ between treatment groups (-4.7, 95% CI -14.8 to 5.5, p=0.36). No difference was recorded between treatment groups in 30-day mortality (absolute risk difference -0.01, 95% CI -0.14 to 0.12, p=0.89), overall mortality (-0.02, -0.17 to 0.14, p=0.84), morbidity (-0.08, -0.27 to 0.11, p=0.43), and stoma rates at latest follow-up (0.09, -0.10 to 0.27, p=0.35). However, the emergency surgery group had an increased stoma rate directly after initial interventio…","author":[{"dropping-particle":"","family":"Hooft","given":"Jeanin E","non-dropping-particle":"van","parse-names":false,"suffix":""},{"dropping-particle":"","family":"Bemelman","given":"Willem A","non-dropping-particle":"","parse-names":false,"suffix":""},{"dropping-particle":"","family":"Oldenburg","given":"Bas","non-dropping-particle":"","parse-names":false,"suffix":""},{"dropping-particle":"","family":"Marinelli","given":"Andreas W","non-dropping-particle":"","parse-names":false,"suffix":""},{"dropping-particle":"","family":"Lutke Holzik","given":"Martijn F","non-dropping-particle":"","parse-names":false,"suffix":""},{"dropping-particle":"","family":"Grubben","given":"Marina J","non-dropping-particle":"","parse-names":false,"suffix":""},{"dropping-particle":"","family":"Sprangers","given":"Mirjam A","non-dropping-particle":"","parse-names":false,"suffix":""},{"dropping-particle":"","family":"Dijkgraaf","given":"Marcel G","non-dropping-particle":"","parse-names":false,"suffix":""},{"dropping-particle":"","family":"Fockens","given":"Paul","non-dropping-particle":"","parse-names":false,"suffix":""}],"container-title":"The Lancet. Oncology","id":"ITEM-10","issue":"4","issued":{"date-parts":[["2011","4"]]},"language":"eng","page":"344-352","publisher-place":"England","title":"Colonic stenting versus emergency surgery for acute left-sided malignant colonic  obstruction: a multicentre randomised trial.","type":"article-journal","volume":"12"},"uris":["http://www.mendeley.com/documents/?uuid=e0de8fb6-d851-4e3d-90f1-b37221e4fe6c"]},{"id":"ITEM-11","itemData":{"ISSN":"1671-0274 (Print)","PMID":"21271379","abstract":"OBJECTIVE: To study the efficacy of stenting followed by laparoscopic surgery in  the treatment of obstructing left-sided colon cancer. METHODS: Forty-nine patients with obstructing left-sided colon cancer were prospectively randomized into two groups. Twenty patients received emergent open surgery, while 15 underwent laparoscopic surgery 3 days after placement of the self-expanding metal stent (SEMS) and 14 of them received laparoscopic surgery 10 days after placement of SEMS. Outcomes evaluated included 1-stage operation rate, conversion rate, operative time, length of hospital stay, blood loss, postoperative pain score and use of analgesics, rates of permanent stoma, and postoperative complications. RESULTS: Compared with emergent open surgery, patients undergoing laparoscopic surgery had significantly less blood loss(P=0.000), lower permanent stoma rate (P=0.024), less pain(P=0.000), and lower incidence of postoperative complications. Laparoscopic surgery was associated with a significantly higher rate of 1-stage operation(P=0.004). Compared with patients undergoing laparoscopic surgery 3 days after SEMS placement, patients who underwent laparoscopic surgery 10 days after SEMS placement had a significantly higher 1-stage operation rate(P=0.001) and a lower conversion rate(P=0.046). CONCLUSIONS: Self-expanding metal stenting is a safe and effective bridge to laparoscopic surgery in patients with obstructing left-sided colon cancer. Laparoscopic surgery 10 days after SEMS placement may be more appropriate.","author":[{"dropping-particle":"","family":"Cui","given":"Jian","non-dropping-particle":"","parse-names":false,"suffix":""},{"dropping-particle":"","family":"Zhang","given":"Jian-Li","non-dropping-particle":"","parse-names":false,"suffix":""},{"dropping-particle":"","family":"Wang","given":"Song","non-dropping-particle":"","parse-names":false,"suffix":""},{"dropping-particle":"","family":"Sun","given":"Zhen-Qing","non-dropping-particle":"","parse-names":false,"suffix":""},{"dropping-particle":"","family":"Jiang","given":"Xiu-Li","non-dropping-particle":"","parse-names":false,"suffix":""}],"container-title":"Zhonghua wei chang wai ke za zhi = Chinese journal of gastrointestinal surgery","id":"ITEM-11","issue":"1","issued":{"date-parts":[["2011","1"]]},"language":"chi","page":"40-43","publisher-place":"China","title":"[A preliminary study of stenting followed by laparoscopic surgery for obstructing left-sided colon cancer].","type":"article-journal","volume":"14"},"uris":["http://www.mendeley.com/documents/?uuid=65fb82a6-a71c-48b5-81b5-35648c418fcb"]},{"id":"ITEM-12","itemData":{"DOI":"10.1007/s00268-009-0007-5","ISSN":"1432-2323 (Electronic)","PMID":"19363580","abstract":"BACKGROUND: Self-expanding metallic stents (SEMS) have been used as a bridge to surgery in patients with obstruction by colorectal cancer, but the oncologic safety of this technique has not yet been established. The aim of the present study was to compare the outcomes of bridge to surgery after SEMS insertion and nonobstructing elective surgery. METHODS: Between October 1999 and July 2007, 35 patients who had left-sided colon malignancy obstruction and underwent surgical resection after SEMS insertion (group A) were matched to 350 patients who underwent elective surgery for nonobstructing left-sided colon cancer based on stage II, III, and IV malignancies according to the 2001 American Joint Committee on Cancer (group B). Group B was randomly extracted from the colorectal database of our institute. The two groups were compared for clinicopathologic variables, complications, and survival rate. RESULTS: There were no significant differences in clinicopathologic variables between group A and group B. However, the stoma formation rate was statistically different between the two groups (p = 0.003). Self-expanding metallic stent insertion had an adverse effect on the 5-year overall survival rate (A vs. B, 38.4% vs. 65.6%, respectively; p = 0.025) and the 5-year disease-free survival rate (A vs. B, 48.3% vs. 75.5%, respectively; p = 0.024). CONCLUSIONS: These data show that insertion of SEMS as a bridge to surgery in the management of left-sided colon cancer obstruction is possibly associated with adverse oncologic outcomes compared with nonobstructing elective surgery, but it is unclear what magnitude of this effect is related to the underlying obstruction rather than to the SEMS.","author":[{"dropping-particle":"","family":"Kim","given":"Jin Soo","non-dropping-particle":"","parse-names":false,"suffix":""},{"dropping-particle":"","family":"Hur","given":"Hyuk","non-dropping-particle":"","parse-names":false,"suffix":""},{"dropping-particle":"","family":"Min","given":"Byung Soh","non-dropping-particle":"","parse-names":false,"suffix":""},{"dropping-particle":"","family":"Sohn","given":"Seung Kook","non-dropping-particle":"","parse-names":false,"suffix":""},{"dropping-particle":"","family":"Cho","given":"Chang Hwan","non-dropping-particle":"","parse-names":false,"suffix":""},{"dropping-particle":"","family":"Kim","given":"Nam Kyu","non-dropping-particle":"","parse-names":false,"suffix":""}],"container-title":"World journal of surgery","id":"ITEM-12","issue":"6","issued":{"date-parts":[["2009","6"]]},"language":"eng","page":"1281-1286","publisher-place":"United States","title":"Oncologic outcomes of self-expanding metallic stent insertion as a bridge to surgery in the management of left-sided colon cancer obstruction: comparison with nonobstructing elective surgery.","type":"article-journal","volume":"33"},"uris":["http://www.mendeley.com/documents/?uuid=b9e999a0-f55d-43de-93ae-8682c325d716"]},{"id":"ITEM-13","itemData":{"DOI":"10.1007/s10350-004-6190-4","ISBN":"0012-3706 (Print)\\r0012-3706 (Linking)","ISSN":"0012-3706 (Print)","PMID":"12068202","abstract":"PURPOSE: At present there are not enough studies that demonstrate the usefulness of self-expandable stents in patients with left-sided malignant colon and rectal obstruction. We evaluated primary anastomosis and morbidity rates obtained with this method in comparison with the results of the emergency surgical treatment.\\n\\nMETHODS: From February 1994 to November 1999, 72 consecutive patients with left-sided malignant colorectal obstruction were enrolled. Forty-three patients were assigned to the study group (preoperative stent and elective surgical treatment or palliative stent, depending on the assessment of the stage of the tumor) and 29 to the control group (emergency surgical treatment). The resection was not indicated in 18 cases in the study group (after preoperative staging in 17 and intraoperative staging in 1) and in 3 cases in the control group.\\n\\nRESULTS: In the study group, the obstruction was relieved in 41 cases (95 percent) after the stent placement. Of 26 patients who underwent surgical treatment, a primary anastomosis was possible in 22 (84.6 vs. 41.4 percent in the control group, P = 0.0025), with lower need for a colostomy (15.4 vs. 58.6 percent in the control group). The anastomotic failure rate was similar and the reintervention rate was lower (0 vs. 17 percent, P = 0.014). The total stay (14.23 vs. 18.52 days; P = 0.047), the intensive care unit stay (0.3 vs. 2.9 days; P = 0.015), and the number of patients with severe complications (11.6 vs. 41.2 percent; P = 0.008) were significantly lower in the study group.\\n\\nCONCLUSIONS: In our patients with left-sided malignant colon and rectal obstruction, placement of a preoperative stent prevented 17 (94 percent) of 18 of unnecessary operations and a large number of colostomies after elective surgery. These results were obtained with a lower severe complication rate as well as a shorter hospital stay.","author":[{"dropping-particle":"","family":"Martinez-Santos","given":"Cristina","non-dropping-particle":"","parse-names":false,"suffix":""},{"dropping-particle":"","family":"Lobato","given":"Rosa F.","non-dropping-particle":"","parse-names":false,"suffix":""},{"dropping-particle":"","family":"Fradejas","given":"José Manuel Jose Manuel","non-dropping-particle":"","parse-names":false,"suffix":""},{"dropping-particle":"","family":"Pinto","given":"Isabel","non-dropping-particle":"","parse-names":false,"suffix":""},{"dropping-particle":"","family":"Ortega-Deballon","given":"Pablo","non-dropping-particle":"","parse-names":false,"suffix":""},{"dropping-particle":"","family":"Moreno-Azcoita","given":"Mariano","non-dropping-particle":"","parse-names":false,"suffix":""},{"dropping-particle":"","family":"Ortega-Deballón","given":"Pablo","non-dropping-particle":"","parse-names":false,"suffix":""},{"dropping-particle":"","family":"Moreno-Azcoita","given":"Mariano","non-dropping-particle":"","parse-names":false,"suffix":""}],"container-title":"Diseases of the Colon and Rectum","id":"ITEM-13","issue":"3","issued":{"date-parts":[["2002","3"]]},"language":"eng","page":"401-406","publisher-place":"United States","title":"Self-expandable stent before elective surgery vs. emergency surgery for the treatment of malignant colorectal obstructions: Comparison of primary anastomosis and morbidity rates","type":"article-journal","volume":"45"},"uris":["http://www.mendeley.com/documents/?uuid=9bcd9044-5809-4e2e-b869-b509f249466d"]}],"mendeley":{"formattedCitation":"&lt;sup&gt;[18,19,28–30,20–27]&lt;/sup&gt;","plainTextFormattedCitation":"[18,19,28–30,20–27]","previouslyFormattedCitation":"(18,19,28–30,20–27)"},"properties":{"noteIndex":0},"schema":"https://github.com/citation-style-language/schema/raw/master/csl-citation.json"}</w:instrText>
      </w:r>
      <w:r w:rsidR="001D2AD8" w:rsidRPr="00C042FF">
        <w:rPr>
          <w:rStyle w:val="FootnoteReference"/>
          <w:rFonts w:ascii="Book Antiqua" w:eastAsia="Arial" w:hAnsi="Book Antiqua" w:cs="Arial"/>
          <w:bCs/>
          <w:noProof/>
          <w:lang w:val="en-US"/>
        </w:rPr>
        <w:fldChar w:fldCharType="separate"/>
      </w:r>
      <w:r w:rsidR="00B451FD">
        <w:rPr>
          <w:rFonts w:ascii="Book Antiqua" w:eastAsia="Arial" w:hAnsi="Book Antiqua" w:cs="Arial"/>
          <w:noProof/>
          <w:vertAlign w:val="superscript"/>
        </w:rPr>
        <w:t>[18</w:t>
      </w:r>
      <w:r w:rsidR="008201F7" w:rsidRPr="00C042FF">
        <w:rPr>
          <w:rFonts w:ascii="Book Antiqua" w:eastAsia="Arial" w:hAnsi="Book Antiqua" w:cs="Arial"/>
          <w:noProof/>
          <w:vertAlign w:val="superscript"/>
        </w:rPr>
        <w:t>–30]</w:t>
      </w:r>
      <w:r w:rsidR="001D2AD8" w:rsidRPr="00C042FF">
        <w:rPr>
          <w:rStyle w:val="FootnoteReference"/>
          <w:rFonts w:ascii="Book Antiqua" w:eastAsia="Arial" w:hAnsi="Book Antiqua" w:cs="Arial"/>
          <w:bCs/>
          <w:noProof/>
          <w:lang w:val="en-US"/>
        </w:rPr>
        <w:fldChar w:fldCharType="end"/>
      </w:r>
      <w:r w:rsidR="007D04A2" w:rsidRPr="00C042FF">
        <w:rPr>
          <w:rFonts w:ascii="Book Antiqua" w:eastAsia="Arial" w:hAnsi="Book Antiqua" w:cs="Arial"/>
          <w:bCs/>
          <w:noProof/>
          <w:lang w:val="en-US"/>
        </w:rPr>
        <w:t xml:space="preserve"> and</w:t>
      </w:r>
      <w:r w:rsidR="001312C9" w:rsidRPr="00C042FF">
        <w:rPr>
          <w:rFonts w:ascii="Book Antiqua" w:hAnsi="Book Antiqua"/>
          <w:lang w:val="en-US"/>
        </w:rPr>
        <w:t xml:space="preserve"> 20 meta-analyses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surgery","id":"ITEM-1","issue":"9","issued":{"date-parts":[["2002"]]},"page":"1096-1102","title":"Systematic review of the efficacy and safety of colorectal stents.","type":"article","volume":"89"},"uris":["http://www.mendeley.com/documents/?uuid=e19bf905-59ac-43a5-94f0-1c5dce3bf5ad"]},{"id":"ITEM-2","itemData":{"DOI":"10.1007/s10350-004-6190-4","ISBN":"0012-3706 (Print)\\r0012-3706 (Linking)","ISSN":"0012-3706 (Print)","PMID":"12068202","abstract":"PURPOSE: At present there are not enough studies that demonstrate the usefulness of self-expandable stents in patients with left-sided malignant colon and rectal obstruction. We evaluated primary anastomosis and morbidity rates obtained with this method in comparison with the results of the emergency surgical treatment.\\n\\nMETHODS: From February 1994 to November 1999, 72 consecutive patients with left-sided malignant colorectal obstruction were enrolled. Forty-three patients were assigned to the study group (preoperative stent and elective surgical treatment or palliative stent, depending on the assessment of the stage of the tumor) and 29 to the control group (emergency surgical treatment). The resection was not indicated in 18 cases in the study group (after preoperative staging in 17 and intraoperative staging in 1) and in 3 cases in the control group.\\n\\nRESULTS: In the study group, the obstruction was relieved in 41 cases (95 percent) after the stent placement. Of 26 patients who underwent surgical treatment, a primary anastomosis was possible in 22 (84.6 vs. 41.4 percent in the control group, P = 0.0025), with lower need for a colostomy (15.4 vs. 58.6 percent in the control group). The anastomotic failure rate was similar and the reintervention rate was lower (0 vs. 17 percent, P = 0.014). The total stay (14.23 vs. 18.52 days; P = 0.047), the intensive care unit stay (0.3 vs. 2.9 days; P = 0.015), and the number of patients with severe complications (11.6 vs. 41.2 percent; P = 0.008) were significantly lower in the study group.\\n\\nCONCLUSIONS: In our patients with left-sided malignant colon and rectal obstruction, placement of a preoperative stent prevented 17 (94 percent) of 18 of unnecessary operations and a large number of colostomies after elective surgery. These results were obtained with a lower severe complication rate as well as a shorter hospital stay.","author":[{"dropping-particle":"","family":"Martinez-Santos","given":"Cristina","non-dropping-particle":"","parse-names":false,"suffix":""},{"dropping-particle":"","family":"Lobato","given":"Rosa F.","non-dropping-particle":"","parse-names":false,"suffix":""},{"dropping-particle":"","family":"Fradejas","given":"José Manuel Jose Manuel","non-dropping-particle":"","parse-names":false,"suffix":""},{"dropping-particle":"","family":"Pinto","given":"Isabel","non-dropping-particle":"","parse-names":false,"suffix":""},{"dropping-particle":"","family":"Ortega-Deballon","given":"Pablo","non-dropping-particle":"","parse-names":false,"suffix":""},{"dropping-particle":"","family":"Moreno-Azcoita","given":"Mariano","non-dropping-particle":"","parse-names":false,"suffix":""},{"dropping-particle":"","family":"Ortega-Deballón","given":"Pablo","non-dropping-particle":"","parse-names":false,"suffix":""},{"dropping-particle":"","family":"Moreno-Azcoita","given":"Mariano","non-dropping-particle":"","parse-names":false,"suffix":""}],"container-title":"Diseases of the Colon and Rectum","id":"ITEM-2","issue":"3","issued":{"date-parts":[["2002","3"]]},"language":"eng","page":"401-406","publisher-place":"United States","title":"Self-expandable stent before elective surgery vs. emergency surgery for the treatment of malignant colorectal obstructions: Comparison of primary anastomosis and morbidity rates","type":"article-journal","volume":"45"},"uris":["http://www.mendeley.com/documents/?uuid=9bcd9044-5809-4e2e-b869-b509f249466d"]},{"id":"ITEM-3","itemData":{"DOI":"10.1080/13645700601037954","ISSN":"1364-5706 (Print)","PMID":"17190657","abstract":"Malignant obstruction of the colon occurs in 7-25% of patients with colorectal cancer. As emergency laparotomy is reported to have relatively high morbidity and mortality rate, there is a need for alternative procedures with reduced complication rates. Over the last decade colorectal stenting has been reported as an alternative endoscopic method to relieve acute colonic obstruction. With the availability of more sophisticated stents and stent delivery systems, this approach has been used as a palliative method and as a pre-operative bridge to facilitate one-stage surgical resection of primary colonic tumors. Technical and clinical successes have been reported in 80-100% of treated patients. Distal lesions are more common and theoretically easier to stent although lesions within the ascending colon have been successfully managed. Minor complications include transient anorectal pain, tenesmus and rectal bleeding. However, stent migration and colonic perforation are also well recognized. Despite the fact that no randomized controlled studies have yet been performed, literature data show that colonic stenting is a safe and effective procedure and can reduce costs, avoiding the need for colostomy and improving the quality of life of patients with advanced disease.","author":[{"dropping-particle":"","family":"Repici","given":"Alessandro","non-dropping-particle":"","parse-names":false,"suffix":""},{"dropping-particle":"","family":"Pagano","given":"Nico","non-dropping-particle":"","parse-names":false,"suffix":""},{"dropping-particle":"","family":"Hervoso","given":"Cristina Marfinati","non-dropping-particle":"","parse-names":false,"suffix":""},{"dropping-particle":"","family":"Danese","given":"Silvio","non-dropping-particle":"","parse-names":false,"suffix":""},{"dropping-particle":"","family":"Nicita","given":"Rinaldo","non-dropping-particle":"","parse-names":false,"suffix":""},{"dropping-particle":"","family":"Preatoni","given":"Paoletta","non-dropping-particle":"","parse-names":false,"suffix":""},{"dropping-particle":"","family":"Malesci","given":"Alberto","non-dropping-particle":"","parse-names":false,"suffix":""}],"container-title":"Minimally invasive therapy &amp; allied technologies : MITAT : official journal of the Society for Minimally Invasive Therapy","id":"ITEM-3","issue":"6","issued":{"date-parts":[["2006"]]},"language":"eng","page":"331-338","publisher-place":"England","title":"Metal stents for malignant colorectal obstruction.","type":"article-journal","volume":"15"},"uris":["http://www.mendeley.com/documents/?uuid=655760b1-6257-46ed-9bc1-269a8e9df1dc"]},{"id":"ITEM-4","itemData":{"DOI":"10.1007/s00464-005-0644-1","ISBN":"1432-2218 (Electronic)\\n0930-2794 (Linking)","ISSN":"09302794","PMID":"17160651","abstract":"BACKGROUND: Colonic stents potentially offer effective palliation for those with bowel obstruction attributable to incurable malignancy, and a \"bridge to surgery\" for those in whom emergency surgery would necessitate a stoma. The current study compared the outcomes of stents and open surgery in the management of malignant large bowel obstruction. METHODS: A literature search of the Medline, Ovid, Embase and Cochrane databases was performed to identify comparative studies reporting outcomes on colonic stenting and surgery for large bowel obstruction. Random effects meta-analytical techniques were applied to identify differences in outcomes between the two groups. Sensitivity analysis of high quality studies, those reporting on more than 35 patients, those solely concerning colorectal cancer and studies performing intention to treat analysis was undertaken to evaluate the study heterogeneity. RESULTS: A total of 10 studies satisfied the criteria for inclusion, with outcomes reported for 451 patients. Stent insertion was attempted for 244 patients (54.1%), and proved successful for 226 (92.6%). The length of hospital stay was shorter by 7.72 days in the stent group (p &lt; 0.001), which also had lower mortality (p = 0.03) and fewer medical complications (p &lt; 0.001). Stoma formation at any point during management was significantly lower than in the stent group (odds ratio, 0.02; p &lt; 0.001), and \"bridging to surgery\" did not adversely influence survival. CONCLUSIONS: Colonic stenting offers effective palliation for malignant bowel obstruction, with short lengths of hospital stay and a low rate for stoma formation, but data on quality of life and economic evaluation are limited. There is no evidence of differences in long-term survival between those who have stents followed by subsequent resection and those undergoing emergency bowel resection.","author":[{"dropping-particle":"","family":"Tilney","given":"H. S.","non-dropping-particle":"","parse-names":false,"suffix":""},{"dropping-particle":"","family":"Lovegrove","given":"R. E.","non-dropping-particle":"","parse-names":false,"suffix":""},{"dropping-particle":"","family":"Purkayastha","given":"S.","non-dropping-particle":"","parse-names":false,"suffix":""},{"dropping-particle":"","family":"Sains","given":"P. S.","non-dropping-particle":"","parse-names":false,"suffix":""},{"dropping-particle":"","family":"Weston-Petrides","given":"G. K.","non-dropping-particle":"","parse-names":false,"suffix":""},{"dropping-particle":"","family":"Darzi","given":"A. W.","non-dropping-particle":"","parse-names":false,"suffix":""},{"dropping-particle":"","family":"Tekkis","given":"P. P.","non-dropping-particle":"","parse-names":false,"suffix":""},{"dropping-particle":"","family":"Heriot","given":"A. G.","non-dropping-particle":"","parse-names":false,"suffix":""}],"container-title":"Surgical Endoscopy and Other Interventional Techniques","id":"ITEM-4","issue":"2","issued":{"date-parts":[["2007"]]},"page":"225-233","title":"Comparison of colonic stenting and open surgery for malignant large bowel obstruction","type":"article-journal","volume":"21"},"uris":["http://www.mendeley.com/documents/?uuid=1fce1caa-1b02-42ab-a156-0ae537b12f2d"]},{"id":"ITEM-5","itemData":{"DOI":"10.1097/01.sla.0000261124.72687.72","ISBN":"0003-4932 (Print)\\r0003-4932 (Linking)","ISSN":"00034932","PMID":"17592286","abstract":"Objective: To assess the safety and efficacy of self-expanding metallic stents (SEMS) placement for the relief of malignant colo-rectal obstruction in comparison to surgical procedures through a systematic review of the literature. Summary Background Data: Conventional therapies for relieving colorectal obstructions caused by cancer have high rates of morbid-ity and mortality, particularly when performed under emergency conditions, and palliative procedures resulting in colostomy creation can be a burden for patients and caregivers. Methods: A systematic search strategy was used to retrieve relevant studies. Inclusion of papers was established through application of a predetermined protocol, independent assessment by 2 reviewers, and a final consensus decision. Eighty-eight articles, 15 of which were comparative, formed the evidence base for this review. Results: Little high-level evidence was available. However, the data suggested that SEMS placement was safe and effective in overcom-ing left-sided malignant colorectal obstructions, regardless of the indication for stent placement or the etiology of the obstruction. Additionally, SEMS placement had positive outcomes when com-pared with surgery, including overall shorter hospital stays, and a lower rate of serious adverse events. Postoperative mortality ap-peared comparable between the 2 interventions. Combining SEMS placement with elective surgery also appeared safer and more effective than emergency surgery, with higher rates of primary anastomosis, lower rates of colostomy, shorter hospital stays, and lower overall complication rates. Conclusions: Stenting appears to be a safe and effective addition to the armamentarium of treatment options for colorectal obstructions. However, the small sample sizes of the included studies limited the validity of the findings of this review. The results of additional comparative studies currently being undertaken will add to the certainty of the conclusions that can be drawn.","author":[{"dropping-particle":"","family":"Watt","given":"Amber M.","non-dropping-particle":"","parse-names":false,"suffix":""},{"dropping-particle":"","family":"Faragher","given":"Ian G.","non-dropping-particle":"","parse-names":false,"suffix":""},{"dropping-particle":"","family":"Griffin","given":"Tabatha T.","non-dropping-particle":"","parse-names":false,"suffix":""},{"dropping-particle":"","family":"Rieger","given":"Nicholas A.","non-dropping-particle":"","parse-names":false,"suffix":""},{"dropping-particle":"","family":"Maddern","given":"Guy J.","non-dropping-particle":"","parse-names":false,"suffix":""}],"container-title":"Annals of Surgery","id":"ITEM-5","issue":"1","issued":{"date-parts":[["2007","7"]]},"language":"eng","page":"24-30","publisher-place":"United States","title":"Self-expanding metallic stents for relieving malignant colorectal obstruction: A systematic review","type":"article-journal","volume":"246"},"uris":["http://www.mendeley.com/documents/?uuid=d0740005-e904-48e5-89a7-38046bde97d2"]},{"id":"ITEM-6","itemData":{"DOI":"10.1097/MOG.0b013e3282c3a630","ISSN":"0267-1379 (Print)","PMID":"17762561","abstract":"PURPOSE OF REVIEW: Acute colonic obstruction due to malignancy is often a surgical emergency. Surgical decompression with colostomy with or without resection and eventual re-anastomosis has traditionally been the treatment of choice. These procedures have been associated with a significant morbidity and mortality rate. Preoperative colonic stenting is effective for decompressing the obstructed colon and may allow for surgery to be performed on an elective basis. RECENT FINDINGS: Although randomized clinical data are lacking, the role for preoperative stenting in the emergent management of acute malignant colonic obstruction has been supported by cost-effectiveness analysis studies and several pooled analyses that demonstrate efficacy and safety. SUMMARY: This review evaluates the latest developments in colonic stent technology, indications for use in the preoperative setting, and evidence to support their use in this setting.","author":[{"dropping-particle":"","family":"Farrell","given":"James J","non-dropping-particle":"","parse-names":false,"suffix":""}],"container-title":"Current opinion in gastroenterology","id":"ITEM-6","issue":"5","issued":{"date-parts":[["2007","9"]]},"language":"eng","page":"544-549","publisher-place":"United States","title":"Preoperative colonic stenting: how, when and why?","type":"article-journal","volume":"23"},"uris":["http://www.mendeley.com/documents/?uuid=ff15d0ac-dddb-4d62-9356-8dfe6fa96d0e"]},{"id":"ITEM-7","itemData":{"DOI":"10.1002/14651858.CD007378.pub2","ISBN":"1469-493X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reviews","id":"ITEM-7","issue":"11","issued":{"date-parts":[["2011","11"]]},"language":"eng","page":"CD007378","publisher-place":"England","title":"Colorectal stents for the management of malignant colonic obstructions.","type":"article-journal"},"uris":["http://www.mendeley.com/documents/?uuid=5f8312c1-a567-4ce0-9450-aa637bdb7d08"]},{"id":"ITEM-8","itemData":{"DOI":"10.1007/s00464-011-1835-6","ISSN":"1432-2218 (Electronic)","PMID":"21789642","abstract":"BACKGROUND: The use of a colonic stent as a bridge to surgery aims to provide patients with elective one-stage surgical resection while reducing stoma creation and postoperative complications. This study used meta-analytic techniques to compare the outcomes of stent use as a bridge to surgery and emergency surgery in the management of obstructive colorectal cancer. METHODS: A literature search of Medline, Embase, Cochrane controlled trials registry, and the Chinese Biomedical Literature Database was performed on all studies comparing stent as a bridge to surgery and emergency surgery for obstructive colorectal cancer. A meta-analysis of the included studies was carried out to identify the differences in outcomes between the two procedures. RESULTS: Eight studies matched the criteria for inclusion and reported on the outcomes of 601 patients, of whom 232 (38.6%) underwent stent insertion and 369 (61.4%) underwent emergency surgery. Fewer patients in the stent group needed intensive care (risk ratio [RR], 0.42; 95% confidence interval [CI], 0.19-0.93; p = 0.03) and stoma creation (RR, 0.70; 95% CI, 0.50-0.99; p = 0.04). The primary anastomosis rate in the stent group was higher (RR, 1.62; 95% CI, 1.21-2.16; p = 0.001). Overall complications (RR, 0.42; 95% CI, 0.24-0.71; p = 0.001), including anastomotic leakage (RR, 0.31; 95% CI, 0.14-0.69; p = 0.004), were reduced by stent insertion. Stent placement before elective surgery did not adversely affect mortality and long-term survival. CONCLUSIONS: The use of a stent as a bridge to surgery for obstructive left-sided colorectal cancer could increase the chance of primary anastomosis and reduce the need for stoma creation and postprocedural complications. Stent insertion before subsequent surgery has no effect on perioperative mortality and long-term survival.","author":[{"dropping-particle":"","family":"Zhang","given":"Yi","non-dropping-particle":"","parse-names":false,"suffix":""},{"dropping-particle":"","family":"Shi","given":"Jian","non-dropping-particle":"","parse-names":false,"suffix":""},{"dropping-particle":"","family":"Shi","given":"Bin","non-dropping-particle":"","parse-names":false,"suffix":""},{"dropping-particle":"","family":"Song","given":"Chun-Yan","non-dropping-particle":"","parse-names":false,"suffix":""},{"dropping-particle":"","family":"Xie","given":"Wei-Fen","non-dropping-particle":"","parse-names":false,"suffix":""},{"dropping-particle":"","family":"Chen","given":"Yue-Xiang","non-dropping-particle":"","parse-names":false,"suffix":""}],"container-title":"Surgical endoscopy","id":"ITEM-8","issue":"1","issued":{"date-parts":[["2012","1"]]},"language":"eng","page":"110-119","publisher-place":"Germany","title":"Self-expanding metallic stent as a bridge to surgery versus emergency surgery for obstructive colorectal cancer: a meta-analysis.","type":"article-journal","volume":"26"},"uris":["http://www.mendeley.com/documents/?uuid=1a590e48-22c8-421e-855b-e62e211da122"]},{"id":"ITEM-9","itemData":{"DOI":"10.3748/wjg.v18.i39.5608","ISSN":"2219-2840 (Electronic)","PMID":"23112555","abstract":"AIM: To investigate the effects of emergent preoperative self-expandable metallic stent (SEMS) vs emergent surgery for acute left-sided malignant colonic obstruction. METHODS: Two investigators independently searched the MEDLINE, EMBASE and Cochrane Central Register of Controlled Trials, as well as references of included studies to identify randomized controlled trials (RCTs) that compared two or more surgical approaches for acute colonic obstruction. Summary risk ratios (RR) and 95% CI for colonic stenting and emergent surgery were calculated. RESULTS: Eight studies met the selection criteria, involving 444 patients, of whom 219 underwent SEMS and 225 underwent emergent surgery. Seven studies reported difference of the one-stage stoma rates between the two groups (RR, 0.60; 95% CI: 0.48-0.76; P &lt; 0.0001). Only three RCTs described the follow-up stoma rates, which showed no significant difference between the two groups (RR, 0.80; 95% CI: 0.59-1.08; P = 0.14). Difference was not significant in the mortality between the two groups (RR, 0.91; 95% CI: 0.50-1.66; P = 0.77), but there was significant difference (RR, 0.57; 95% CI: 0.44-0.74; P &lt; 0.0001) in the overall morbidity. There were no significant differences between the two groups in the anastomotic leak rate (RR, 0.60; 95% CI: 0.28-1.28; P = 0.19), occurrence of abscesses, including peristomal abscess, intraperitoneal abscess and parietal abscess (RR, 0.83; 95% CI: 0.36-1.95; P = 0.68), and other abdominal complications (RR: 0.67; 95% CI: 0.40-1.12; P = 0.13). CONCLUSION: SEMS is not obviously more advantageous than emergent surgery for patients with acute left-sided malignant colonic obstruction.","author":[{"dropping-particle":"","family":"Ye","given":"Guang-Yao","non-dropping-particle":"","parse-names":false,"suffix":""},{"dropping-particle":"","family":"Cui","given":"Zhe","non-dropping-particle":"","parse-names":false,"suffix":""},{"dropping-particle":"","family":"Chen","given":"Lu","non-dropping-particle":"","parse-names":false,"suffix":""},{"dropping-particle":"","family":"Zhong","given":"Ming","non-dropping-particle":"","parse-names":false,"suffix":""}],"container-title":"World journal of gastroenterology","id":"ITEM-9","issue":"39","issued":{"date-parts":[["2012","10"]]},"language":"eng","page":"5608-5615","publisher-place":"United States","title":"Colonic stenting vs emergent surgery for acute left-sided malignant colonic obstruction: a systematic review and meta-analysis.","type":"article-journal","volume":"18"},"uris":["http://www.mendeley.com/documents/?uuid=8d2f58a2-7dea-497c-8d26-e69b0e90fc5b"]},{"id":"ITEM-10","itemData":{"ISSN":"1671-0274 (Print)","PMID":"22851073","abstract":"OBJECTIVE: To evaluate the safety and efficacy of self-expending metallic stents  (SEMS) as bridge to surgery versus emergency surgery for left-sided malignant colorectal obstruction. METHODS: A comprehensive literature search of CENTRAL, PubMed, EMBASE, Medline, Ovid LWW, CMB, CNKI and Wanfang Databases were performed for all randomized controlled trials or retrospective studies comparing self-expending metallic stents as bridge to surgery(SABS group) with emergency surgery (ES group). A meta-analysis was carried out by RevMan5.1 software on the outcomes concerning safety and efficacy of the two groups. RESULTS: Fourteen studies matched the criteria including 1083 patients. Five were randomized controlled trials and nine were retrospective analysis. Compared with the ES group, the SABS group had a lower short-term mortality(RR=0.52, 95% CI:0.30-0.93, P&lt;0.05), lower overall complications(RR=0.46, 95% CI:0.31-0.70, P&lt;0.05), higher resection rate(RR=1.90, 95%CI:1.33-2.70, P&lt;0.01), shorter operative time(MD=-59.77, 95%CI:-87.51--32.04, P&lt;0.01), and shorter interval to first flatus(MD=-10.78, 95%CI:-16.67--4.90, P&lt;0.01). There were no statistically significant differences between the two groups in permanent stomy and hospital stay. CONCLUSION: The safety and efficacy of self-expending metallic stents as bridge to surgery for left-sided malignant colorectal obstruction is superior to emergency surgery.","author":[{"dropping-particle":"","family":"Zhao","given":"Ri-sheng","non-dropping-particle":"","parse-names":false,"suffix":""},{"dropping-particle":"","family":"Wang","given":"Hui","non-dropping-particle":"","parse-names":false,"suffix":""},{"dropping-particle":"","family":"Wang","given":"Lei","non-dropping-particle":"","parse-names":false,"suffix":""},{"dropping-particle":"","family":"Huang","given":"Mei-jin","non-dropping-particle":"","parse-names":false,"suffix":""},{"dropping-particle":"","family":"Chen","given":"Dian-ke","non-dropping-particle":"","parse-names":false,"suffix":""},{"dropping-particle":"","family":"Wang","given":"Jian-ping","non-dropping-particle":"","parse-names":false,"suffix":""}],"container-title":"Zhonghua wei chang wai ke za zhi = Chinese journal of gastrointestinal surgery","id":"ITEM-10","issue":"7","issued":{"date-parts":[["2012","7"]]},"language":"chi","page":"697-701","publisher-place":"China","title":"[Meta-analysis of safety and efficacy of self-expending metallic stents as bridge to surgery versus emergency surgery for left-sided malignant colorectal obstruction].","type":"article-journal","volume":"15"},"uris":["http://www.mendeley.com/documents/?uuid=9c5846a2-48fd-48df-aa5e-3f100df3bf10"]},{"id":"ITEM-11","itemData":{"DOI":"10.1016/j.suronc.2012.10.003","ISSN":"1879-3320 (Electronic)","PMID":"23183301","abstract":"INTRODUCTION: Colorectal carcinoma can present with acute intestinal obstruction  in 7%-30% of cases, especially if tumor is located at or distal to the splenic flexure. In these cases, emergency surgical decompression becomes mandatory as the traditional treatment option. It involves defunctioning stoma with or without primary resection of obstructing tumor. An alternative to surgery is endoluminal decompression. The aim of this review is to assess the effectiveness of colonic stents, used as a bridge to surgery, in the management of malignant left colonic and rectal obstruction. METHODS: We considered only randomized trials which compared stent vs surgery for intestinal obstruction from left sided colorectal cancer (as a bridge to surgery) irrespective of their size. No language or publication status restrictions were imposed. A systematic search was conducted in Medline, Cochrane Central Register of Controlled Trials and the Science Citation Index (from inception to December 2011) RESULTS: We identified 3109 citations through our electronic search and 3 through other sources. Initial screening of the titles and abstracts resulted in the exclusion of 3104 citations. A further 5 citations were excluded after detailed screening of full articles. Three published studies were included in this systematic review. A total of 197 patients were included in our analysis, 97 of them had colorectal stent vs 100 who had emergency surgery. Clinical success has been defined in different manners. In included trials the clinical success rate was significantly higher in the emergency surgery group (99%) compared with the stent group (52.5%) (p &lt; 0.00001). There was no difference in the overall complication rate in the stent group (48.5%) vs emergency surgery group (51%) (p = 0.86). There was no difference in 30-days postoperative mortality (p = 0.97). The overall survival was analyzed in none trial. When used as a bridge to surgery, colorectal stents provide some advantages: the primary anastomosis rate was significantly higher in the stent group (64.9%) vs emergency surgery group (55%) (p = 0.003); the overall stoma rate was significantly lower in the stent group (45.3%) compared with the emergency surgery group (62%) (p = 0.02). There were no significant differences between the two groups as to permanent stoma rate (46.7% in stent group vs 51.8% in surgical group, p = 0.56), anastomotic leakage rate (9% in stent group vs 3.7% in surgical group, p = 0.35) and intra-ab…","author":[{"dropping-particle":"","family":"Cirocchi","given":"Roberto","non-dropping-particle":"","parse-names":false,"suffix":""},{"dropping-particle":"","family":"Farinella","given":"Eriberto","non-dropping-particle":"","parse-names":false,"suffix":""},{"dropping-particle":"","family":"Trastulli","given":"Stefano","non-dropping-particle":"","parse-names":false,"suffix":""},{"dropping-particle":"","family":"Desiderio","given":"Jacopo","non-dropping-particle":"","parse-names":false,"suffix":""},{"dropping-particle":"","family":"Listorti","given":"Chiara","non-dropping-particle":"","parse-names":false,"suffix":""},{"dropping-particle":"","family":"Boselli","given":"Carlo","non-dropping-particle":"","parse-names":false,"suffix":""},{"dropping-particle":"","family":"Parisi","given":"Amilcare","non-dropping-particle":"","parse-names":false,"suffix":""},{"dropping-particle":"","family":"Noya","given":"Giuseppe","non-dropping-particle":"","parse-names":false,"suffix":""},{"dropping-particle":"","family":"Sagar","given":"Jayesh","non-dropping-particle":"","parse-names":false,"suffix":""}],"container-title":"Surgical oncology","id":"ITEM-11","issue":"1","issued":{"date-parts":[["2013","3"]]},"language":"eng","page":"14-21","publisher-place":"Netherlands","title":"Safety and efficacy of endoscopic colonic stenting as a bridge to surgery in the  management of intestinal obstruction due to left colon and rectal cancer: a systematic review and meta-analysis.","type":"article-journal","volume":"22"},"uris":["http://www.mendeley.com/documents/?uuid=b1bde2cd-6d47-42c4-b503-68ed34b30960"]},{"id":"ITEM-12","itemData":{"DOI":"10.1016/j.critrevonc.2013.06.006","ISSN":"1879-0461 (Electronic)","PMID":"23845505","abstract":"The best approach to resolve colonic obstruction in patients with left-sided colon cancer is not established. In this meta-analysis the efficacy of stenting as bridge-to-surgery was compared to emergency surgery for the management of left-sided colonic obstruction. Fourteen studies (randomized and non controlled studies) were identified, including 405 patients in the stent group and 471 in the emergency group. The difference between proportions was evaluated as effect size (ESi). There was large heterogeneity among the studies. Stenting offered advantages over emergency surgery in terms of increase in primary anastomosis (ES=25.1%, p&lt;0.001), successful primary anastomosis (ES=23.7%, p&lt;0.001), reduction of stoma creation (ES=-27.1%, p=0.03), infections (ES=-7.9%, p=0.006) and other morbidities (ES=-13.4%, p&lt;0.001). The interventions were similar in regards to length of hospitalization, preoperative mortality and long-term survival.","author":[{"dropping-particle":"","family":"Ceglie","given":"Antonella","non-dropping-particle":"De","parse-names":false,"suffix":""},{"dropping-particle":"","family":"Filiberti","given":"Rosa","non-dropping-particle":"","parse-names":false,"suffix":""},{"dropping-particle":"","family":"Baron","given":"Todd H","non-dropping-particle":"","parse-names":false,"suffix":""},{"dropping-particle":"","family":"Ceppi","given":"Marcello","non-dropping-particle":"","parse-names":false,"suffix":""},{"dropping-particle":"","family":"Conio","given":"Massimo","non-dropping-particle":"","parse-names":false,"suffix":""}],"container-title":"Critical reviews in oncology/hematology","id":"ITEM-12","issue":"2","issued":{"date-parts":[["2013","11"]]},"language":"eng","page":"387-403","publisher-place":"Netherlands","title":"A meta-analysis of endoscopic stenting as bridge to surgery versus emergency surgery for left-sided colorectal cancer obstruction.","type":"article-journal","volume":"88"},"uris":["http://www.mendeley.com/documents/?uuid=928661fe-c37d-498e-82be-6787f55a3b00"]},{"id":"ITEM-13","itemData":{"DOI":"10.1007/s00384-012-1599-z","ISBN":"1432-1262 (Electronic)\\n0179-1958 (Linking)","ISSN":"01791958","PMID":"23151813","abstract":"PURPOSE: Surgical decompression is the traditional treatment for acute colorectal cancer obstruction. In recent years, colorectal stenting has been used to relieve the obstruction. This study used meta-analytic techniques to compare colonic stenting versus surgical decompression for colorectal cancer obstruction. METHODS: A comprehensive search of several databases was conducted. The search identified 321 potential abstracts and titles of which eight randomized trials involving 353 patients were retrieved in full text. A meta-analysis of the studies included was carried out to identify the differences in outcomes between the two procedures. RESULTS: The pooled analysis showed no significant differences for mortality (odds ratio (OR) 0.91) and morbidity (OR 2.05) rates between the two strategies while the permanent stoma creation rate was significantly higher in the surgical group as compared to the stent group (OR 3.12). By comparing surgery and colonic stenting in studies which analyzed the use of stenting as a \"bridge to surgery,\" the pooled analysis showed that primary anastomosis was more frequent in the stent group as compared to the surgical group (OR 0.42), and the stoma creation was more frequent in the surgical group as compared to the stent group (OR 2.36). CONCLUSION: Our study suggested that, in patients with acute colorectal cancer obstruction, stent placement improved several outcomes, such as primary anastomosis, stoma formation, and permanent stoma, while it failed to show an improvement in mortality and morbidity risk.","author":[{"dropping-particle":"","family":"Cennamo","given":"Vincenzo","non-dropping-particle":"","parse-names":false,"suffix":""},{"dropping-particle":"","family":"Luigiano","given":"Carmelo","non-dropping-particle":"","parse-names":false,"suffix":""},{"dropping-particle":"","family":"Coccolini","given":"Federico","non-dropping-particle":"","parse-names":false,"suffix":""},{"dropping-particle":"","family":"Fabbri","given":"Carlo","non-dropping-particle":"","parse-names":false,"suffix":""},{"dropping-particle":"","family":"Bassi","given":"Marco","non-dropping-particle":"","parse-names":false,"suffix":""},{"dropping-particle":"","family":"Caro","given":"Giuseppe","non-dropping-particle":"De","parse-names":false,"suffix":""},{"dropping-particle":"","family":"Ceroni","given":"Liza","non-dropping-particle":"","parse-names":false,"suffix":""},{"dropping-particle":"","family":"Maimone","given":"Antonella","non-dropping-particle":"","parse-names":false,"suffix":""},{"dropping-particle":"","family":"Ravelli","given":"Paolo","non-dropping-particle":"","parse-names":false,"suffix":""},{"dropping-particle":"","family":"Ansaloni","given":"Luca","non-dropping-particle":"","parse-names":false,"suffix":""}],"container-title":"International journal of colorectal disease","id":"ITEM-13","issue":"6","issued":{"date-parts":[["2013","6"]]},"language":"eng","page":"855-863","publisher-place":"Germany","title":"Meta-analysis of randomized trials comparing endoscopic stenting and surgical decompression for colorectal cancer obstruction.","type":"article-journal","volume":"28"},"uris":["http://www.mendeley.com/documents/?uuid=8525f470-daf2-49e5-aa17-d3b08f9cfa5a"]},{"id":"ITEM-14","itemData":{"DOI":"10.1016/j.amjsurg.2013.07.027","ISBN":"3493260768","ISSN":"00029610","PMID":"24124659","abstract":"BACKGROUND\\n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\\n\\nMETHODS\\nA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\\n\\nRESULTS\\nAfter a literature search of 1,768 titles and abstracts, 218 were selected for full-text assessment; 59 studies were ultimately included. Twenty-five studies of the diagnosis and treatment of obstruction and 34 studies of the use of stents were assessed. \\n\\nCONCLUSIONS\\nIn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Surgery","id":"ITEM-14","issue":"1","issued":{"date-parts":[["2014","1"]]},"language":"eng","page":"127-138","publisher-place":"United States","title":"Current management of acute malignant large bowel obstruction: a systematic review","type":"article-journal","volume":"207"},"uris":["http://www.mendeley.com/documents/?uuid=600706e8-68c1-40b4-ad8e-305f3c77f5b7"]},{"id":"ITEM-15","itemData":{"DOI":"10.1097/SLE.0000000000000030","ISSN":"1534-4908 (Electronic)","PMID":"24487162","abstract":"BACKGROUND: Left-sided malignant colonic obstruction is one of the most difficult clinical problems, whereas both emergency operations and colonic stenting may have their own advantages and disadvantages. The purpose of this study was to evaluate the complications of colonic stenting versus emergency surgery for acute left-sided malignant colonic obstruction. MATERIALS AND METHODS: Medline, Embase, and the Cochrane Library were searched. Only prospective randomized controlled trials that compared the 2 methods were included. Evaluation indexes in our study involved hospital death rates and complications. RESULTS: No significant difference in either hospital death rates or the overall complications between the 2 groups was found. Heterogeneity analysis found that there was no significant heterogeneity. Removing individual studies from the data editor did not substantially change the RR or the level of heterogeneity of significance for our 2 outcome measures. Testing for publication bias showed that hospital death rates and the overall complications had no serious publication bias. CONCLUSIONS: Colonic stenting was no better than emergency surgery, and should be only used as an alternative to emergency surgery carefully.","author":[{"dropping-particle":"","family":"Liu","given":"Zhihua","non-dropping-particle":"","parse-names":false,"suffix":""},{"dropping-particle":"","family":"Kang","given":"Liang","non-dropping-particle":"","parse-names":false,"suffix":""},{"dropping-particle":"","family":"Li","given":"Chao","non-dropping-particle":"","parse-names":false,"suffix":""},{"dropping-particle":"","family":"Huang","given":"Meijin","non-dropping-particle":"","parse-names":false,"suffix":""},{"dropping-particle":"","family":"Zhang","given":"Xingwei","non-dropping-particle":"","parse-names":false,"suffix":""},{"dropping-particle":"","family":"Wang","given":"Jianping","non-dropping-particle":"","parse-names":false,"suffix":""}],"container-title":"Surgical laparoscopy, endoscopy &amp; percutaneous techniques","id":"ITEM-15","issue":"1","issued":{"date-parts":[["2014","2"]]},"language":"eng","page":"73-79","publisher-place":"United States","title":"Meta-analysis of complications of colonic stenting versus emergency surgery for acute left-sided malignant colonic obstruction.","type":"article-journal","volume":"24"},"uris":["http://www.mendeley.com/documents/?uuid=3846e3ee-c752-490e-a72f-57d59fbc2bdc"]},{"id":"ITEM-16","itemData":{"DOI":"10.1007/s11605-013-2344-9","ISSN":"1873-4626 (Electronic)","PMID":"24170606","abstract":"PURPOSE: The purpose of this paper is to evaluate the efficacy and safety of colonic stenting as a bridge to surgery versus emergency surgery for acute left-sided malignant colonic obstruction. METHODS: Randomized clinical trials (RCT) that compared the efficacy or safety of preoperative colonic stents versus emergency surgery for acute left-sided malignant colonic obstruction were searched in medical databases, including PubMed, OVID, EMBASE, and the Cochrane Library. Statistical heterogeneity between trials was evaluated by Revman 5.1 and was considered to exist at I(2) &gt; 50%. RESULTS: Seven RCTs were identified. There was a total of 382 patients, 195 who received a colonic stent and 187 who received emergency surgery. Compared with the emergency surgery group, the colonic stent group achieved significantly more favorable rates of permanent stoma, primary anastomosis, wound infection, and overall complications. There was no significant difference between the two groups in anastomotic leakage, mortality, or intra-abdominal infection. Inspection of funnel plots for all outcome measures did not reveal evidence of publication bias. CONCLUSIONS: Self-expanding metal stents serve as a safe and effective bridge to subsequent surgery in patients with obstructing left-sided colon cancer. They can significantly improve one-stage surgery rates, and decrease the rates of permanent stoma and wound infection.","author":[{"dropping-particle":"","family":"Huang","given":"Xuan","non-dropping-particle":"","parse-names":false,"suffix":""},{"dropping-particle":"","family":"Lv","given":"Bin","non-dropping-particle":"","parse-names":false,"suffix":""},{"dropping-particle":"","family":"Zhang","given":"Shuo","non-dropping-particle":"","parse-names":false,"suffix":""},{"dropping-particle":"","family":"Meng","given":"Lina","non-dropping-particle":"","parse-names":false,"suffix":""}],"container-title":"Journal of gastrointestinal surgery : official journal of the Society for Surgery of the Alimentary Tract","id":"ITEM-16","issue":"3","issued":{"date-parts":[["2014","3"]]},"language":"eng","page":"584-591","publisher-place":"United States","title":"Preoperative colonic stents versus emergency surgery for acute left-sided malignant colonic obstruction: a meta-analysis.","type":"article-journal","volume":"18"},"uris":["http://www.mendeley.com/documents/?uuid=0b52c1c9-46de-448c-8ba0-fd6eef9e5875"]},{"id":"ITEM-17","itemData":{"DOI":"10.1245/s10434-014-3997-7","ISSN":"1534-4681 (Electronic)","PMID":"25120255","abstract":"BACKGROUND: The short-term safety and efficacy of insertion of a self-expandable  metallic colonic stent followed by elective surgery, bridge to surgery (BTS), for malignant large-bowel obstruction (MLBO) have been well described. However, long-term oncological outcomes are still debated. Hence, this study is conducted to evaluate long-term outcomes of colonic stent insertion followed by surgery for MLBO. METHODS: A comprehensive electronic literature search through May 2014 was performed to identify studies comparing long-term outcomes between BTS and emergency surgery for MLBO. The main outcome measures were overall survival (OS), disease-free survival (DFS), and recurrence. A meta-analysis was performed using random-effects models to calculate risk ratios (RRs) with 95 % confidence intervals (95 % CIs). RESULTS: There were 11 studies that matched the criteria for inclusion, yielding a total of 1136 patients, of whom 432 (38.0 %) underwent BTS and 704 (62.0 %) underwent emergency surgery. In OS analyses of all patients and patients who underwent curative resection, BTS was similar to emergency surgery [(RR = 0.95; 95 % CI 0.75-1.21; P = 0.66) (RR = 0.96; 95 % CI 0.67-1.37; P = 0.82), respectively]. DFS (RR = 1.06; 95 % CI 0.91-1.24; P = 0.43) and recurrence (RR = 1.13; 95 % CI 0.82-1.54; P = 0.46) did not differ significantly between the BTS and emergency surgery groups. CONCLUSIONS: Results of this meta-analysis on long-term as well as well-described short-term outcomes suggest that BTS could be a promising alternative strategy for MLBO patients.","author":[{"dropping-particle":"","family":"Matsuda","given":"Akihisa","non-dropping-particle":"","parse-names":false,"suffix":""},{"dropping-particle":"","family":"Miyashita","given":"Masao","non-dropping-particle":"","parse-names":false,"suffix":""},{"dropping-particle":"","family":"Matsumoto","given":"Satoshi","non-dropping-particle":"","parse-names":false,"suffix":""},{"dropping-particle":"","family":"Matsutani","given":"Takeshi","non-dropping-particle":"","parse-names":false,"suffix":""},{"dropping-particle":"","family":"Sakurazawa","given":"Nobuyuki","non-dropping-particle":"","parse-names":false,"suffix":""},{"dropping-particle":"","family":"Takahashi","given":"Goro","non-dropping-particle":"","parse-names":false,"suffix":""},{"dropping-particle":"","family":"Kishi","given":"Taro","non-dropping-particle":"","parse-names":false,"suffix":""},{"dropping-particle":"","family":"Uchida","given":"Eiji","non-dropping-particle":"","parse-names":false,"suffix":""}],"container-title":"Annals of surgical oncology","id":"ITEM-17","issue":"2","issued":{"date-parts":[["2015","2"]]},"language":"eng","page":"497-504","publisher-place":"United States","title":"Comparison of long-term outcomes of colonic stent as \"bridge to surgery\" and emergency surgery for malignant large-bowel obstruction: a meta-analysis.","type":"article-journal","volume":"22"},"uris":["http://www.mendeley.com/documents/?uuid=710543f2-b151-4640-a662-492b42b82923"]},{"id":"ITEM-18","itemData":{"DOI":"10.1007/s11605-015-2997-7","ISSN":"1873-4626 (Electronic)","PMID":"26501483","abstract":"OBJECTIVES: This paper evaluates the safety and effectiveness of self-expanding metallic stents (SEMS) for the management of emergency malignant colorectal obstruction in patients otherwise requiring multi-stage surgery. No systematic review has been conducted comparing SEMS to only multi-stage surgery. METHODS: Bibliographic databases, including Cochrane, PubMed, EMBASE, and CINAHL, were searched in September 2011 and repeated in November 2013. A pre-determined protocol outlined the study inclusion and appraisal. RESULTS: Forty articles were included, seven compared SEMS to multi-stage surgery. Included studies were of low to moderate quality. Bowel perforation was the most severe stent-related complication, while tumor- and stent-related events occurred most frequently. No significant differences in rates of obstruction relief were reported between treatments, and results regarding relative quality of life were inconclusive. SEMS recipients progressed to elective surgery sooner and required shorter post-procedural hospital stays, but commonly required re-intervention. SEMS provided enduring palliative relief of obstruction, with comparable survival longevity between treatments. Conclusion: SEMS placement is a viable alternative to multi-stage surgery, providing patients with benefits as a bridge-to-surgery and relief of obstruction in a palliative context, with minimal differences in clinical success and safety compared to multi-stage surgery.","author":[{"dropping-particle":"","family":"Atukorale","given":"Yasoba Nayanapriya","non-dropping-particle":"","parse-names":false,"suffix":""},{"dropping-particle":"","family":"Church","given":"Jody Lynne","non-dropping-particle":"","parse-names":false,"suffix":""},{"dropping-particle":"","family":"Hoggan","given":"Benjamin Lee","non-dropping-particle":"","parse-names":false,"suffix":""},{"dropping-particle":"","family":"Lambert","given":"Robyn Sheree","non-dropping-particle":"","parse-names":false,"suffix":""},{"dropping-particle":"","family":"Gurgacz","given":"Stefanie Lynette","non-dropping-particle":"","parse-names":false,"suffix":""},{"dropping-particle":"","family":"Goodall","given":"Stephen","non-dropping-particle":"","parse-names":false,"suffix":""},{"dropping-particle":"","family":"Maddern","given":"Guy J","non-dropping-particle":"","parse-names":false,"suffix":""}],"container-title":"Journal of gastrointestinal surgery : official journal of the Society for Surgery of the Alimentary Tract","id":"ITEM-18","issue":"2","issued":{"date-parts":[["2016","2"]]},"language":"eng","page":"455-462","publisher-place":"United States","title":"Self-Expanding Metallic Stents for the Management of Emergency Malignant Large Bowel Obstruction: a Systematic Review.","type":"article-journal","volume":"20"},"uris":["http://www.mendeley.com/documents/?uuid=235f4d58-683c-4d92-b189-a17d0261d416"]},{"id":"ITEM-19","itemData":{"DOI":"10.1016/j.ciresp.2016.12.014","ISSN":"1578-147X (Electronic)","PMID":"28336185","abstract":"INTRODUCTION: The use of a self-expanding metallic stent as a bridge to surgery in acute malignant left colonic obstruction has been suggested as an alternative treatment to emergency surgery. The aim of the present study was to compare the morbi-mortality, cost-benefit and long-term oncological outcomes of both therapeutic options. METHODS: This is a prospective, comparative, controlled, non-randomized study (2005-2010) performed in a specialized unit. The study included 82 patients with left colon cancer obstruction treated by stent as a bridge to surgery (n=27) or emergency surgery (n=55) operated with local curative intention. The main outcome measures (postoperative morbi-mortaliy, cost-benefit, stoma rate and long-term oncological outcomes) were compared based on an \"intention-to-treat\" analysis. RESULTS: There were no significant statistical differences between the two groups in terms of preoperative data and tumor characteristics. The technically successful stenting rate was 88.9% (11.1% perforation during stent placement) and clinical success was 81.4%. No difference was observed in postoperative morbi-mortality rates. The primary anastomosis rate was higher in the bridge to surgery group compared to the emergency surgery group (77.8% vs. 56.4%; P=.05). The mean costs in the emergency surgery group resulted to be euro1,391.9 more expensive per patient than in the bridge to surgery group. There was no significant statistical difference in oncological long-term outcomes. CONCLUSIONS: The use of self-expanding metalllic stents as a bridge to surgery is a safe option in the urgent treatment of obstructive left colon cancer, with similar short and long-term results compared to direct surgery, inferior mean costs and a higher rate of primary anastomosis.","author":[{"dropping-particle":"","family":"Flor-Lorente","given":"Blas","non-dropping-particle":"","parse-names":false,"suffix":""},{"dropping-particle":"","family":"Baguena","given":"Gloria","non-dropping-particle":"","parse-names":false,"suffix":""},{"dropping-particle":"","family":"Frasson","given":"Matteo","non-dropping-particle":"","parse-names":false,"suffix":""},{"dropping-particle":"","family":"Garcia-Granero","given":"Alvaro","non-dropping-particle":"","parse-names":false,"suffix":""},{"dropping-particle":"","family":"Cervantes","given":"Andres","non-dropping-particle":"","parse-names":false,"suffix":""},{"dropping-particle":"","family":"Sanchiz","given":"Vicente","non-dropping-particle":"","parse-names":false,"suffix":""},{"dropping-particle":"","family":"Pena","given":"Andres","non-dropping-particle":"","parse-names":false,"suffix":""},{"dropping-particle":"","family":"Espi","given":"Alejandro","non-dropping-particle":"","parse-names":false,"suffix":""},{"dropping-particle":"","family":"Esclapez","given":"Pedro","non-dropping-particle":"","parse-names":false,"suffix":""},{"dropping-particle":"","family":"Garcia-Granero","given":"Eduardo","non-dropping-particle":"","parse-names":false,"suffix":""}],"container-title":"Cirugia espanola","id":"ITEM-19","issue":"3","issued":{"date-parts":[["2017","3"]]},"language":"eng","page":"143-151","publisher-place":"Spain","title":"Self-expanding metallic stent as a bridge to surgery in the treatment of left colon cancer obstruction: Cost-benefit analysis and oncologic results.","type":"article-journal","volume":"95"},"uris":["http://www.mendeley.com/documents/?uuid=826b0438-7302-43df-8bd0-936cb7851b85"]},{"id":"ITEM-20","itemData":{"DOI":"10.1016/j.ijsu.2017.10.004","ISSN":"1743-9159 (Electronic)","PMID":"29024743","abstract":"PURPOSE: This study aims to discuss the safety and feasibility of a combined treatment consisting of stent insertion and elective surgery for left-sided colorectal cancer with malignant obstruction. METHODS: Randomized clinical trials (RCTs) that discussed the safety and feasibility of stenting as a bridge to surgery in malignant colorectal cancer were identified in a search of medical databases, including PubMed, Embase, Cochrane Library, and SCIENCE. Each paper's quality was assessed using the Jadad scale. A meta-analysis was conducted using RevMan 5.3, and statistical heterogeneity between RCTs was defined as I(2)&gt;50%. RESULTS: Nine RCTs included 594 patients were selected and analyzed. Of the included patients, 281 underwent stent insertion followed by elective surgery (SG group), and 313 underwent emergency surgery (EG group). The meta-analysis revealed that the patients in the SG group had a higher one-stage anastomosis rate. Patients in the SG had lower mortality rates and minor complications. There was no significant difference in anastomotic leakage between the two groups. The funnel plot showed that there was no publication bias in these outcomes. CONCLUSION: Stenting as a bridge to surgery was safe and feasible in left-sided colorectal cancer with malignant obstruction. Compared with the patients in the EG group, the SG patients had an improved primary anastomosis rate and experienced no increase in the risk of other complications.","author":[{"dropping-particle":"","family":"Wang","given":"Xin","non-dropping-particle":"","parse-names":false,"suffix":""},{"dropping-particle":"","family":"He","given":"Jianjun","non-dropping-particle":"","parse-names":false,"suffix":""},{"dropping-particle":"","family":"Chen","given":"Xuan","non-dropping-particle":"","parse-names":false,"suffix":""},{"dropping-particle":"","family":"Yang","given":"Qingqiang","non-dropping-particle":"","parse-names":false,"suffix":""}],"container-title":"International journal of surgery (London, England)","id":"ITEM-20","issued":{"date-parts":[["2017","10"]]},"language":"eng","page":"64-68","publisher-place":"England","title":"Stenting as a bridge to resection versus emergency surgery for left-sided colorectal cancer with malignant obstruction: A systematic review and meta-analysis.","type":"article-journal","volume":"48"},"uris":["http://www.mendeley.com/documents/?uuid=eab28500-a754-4265-a34e-ba982bded616"]},{"id":"ITEM-21","itemData":{"DOI":"10.1016/j.gie.2017.03.1542","ISSN":"10976779","PMID":"28392363","abstract":"Background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endoscopy","id":"ITEM-21","issue":"3","issued":{"date-parts":[["2017","9"]]},"language":"eng","page":"416-426","publisher":"American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lt;sup&gt;[7,14,37–46,15,47,30–36]&lt;/sup&gt;","plainTextFormattedCitation":"[7,14,37–46,15,47,30–36]","previouslyFormattedCitation":"(7,14,37–46,15,47,30–36)"},"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B451FD">
        <w:rPr>
          <w:rFonts w:ascii="Book Antiqua" w:hAnsi="Book Antiqua"/>
          <w:bCs/>
          <w:noProof/>
          <w:vertAlign w:val="superscript"/>
          <w:lang w:val="en-US"/>
        </w:rPr>
        <w:t>[7,14,15,</w:t>
      </w:r>
      <w:r w:rsidR="008201F7" w:rsidRPr="00C042FF">
        <w:rPr>
          <w:rFonts w:ascii="Book Antiqua" w:hAnsi="Book Antiqua"/>
          <w:bCs/>
          <w:noProof/>
          <w:vertAlign w:val="superscript"/>
          <w:lang w:val="en-US"/>
        </w:rPr>
        <w:t>30–</w:t>
      </w:r>
      <w:r w:rsidR="00B451FD">
        <w:rPr>
          <w:rFonts w:ascii="Book Antiqua" w:hAnsi="Book Antiqua" w:hint="eastAsia"/>
          <w:bCs/>
          <w:noProof/>
          <w:vertAlign w:val="superscript"/>
          <w:lang w:val="en-US" w:eastAsia="zh-CN"/>
        </w:rPr>
        <w:t>47</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E51E26" w:rsidRPr="00C042FF">
        <w:rPr>
          <w:rFonts w:ascii="Book Antiqua" w:hAnsi="Book Antiqua"/>
          <w:lang w:val="en-US"/>
        </w:rPr>
        <w:t xml:space="preserve"> </w:t>
      </w:r>
      <w:r w:rsidRPr="00C042FF">
        <w:rPr>
          <w:rFonts w:ascii="Book Antiqua" w:eastAsia="Arial" w:hAnsi="Book Antiqua" w:cs="Arial"/>
          <w:bCs/>
          <w:noProof/>
          <w:lang w:val="en-US"/>
        </w:rPr>
        <w:t>reporting</w:t>
      </w:r>
      <w:r w:rsidR="007D04A2" w:rsidRPr="00C042FF">
        <w:rPr>
          <w:rFonts w:ascii="Book Antiqua" w:eastAsia="Arial" w:hAnsi="Book Antiqua" w:cs="Arial"/>
          <w:bCs/>
          <w:noProof/>
          <w:lang w:val="en-US"/>
        </w:rPr>
        <w:t xml:space="preserve"> results </w:t>
      </w:r>
      <w:r w:rsidR="00A15ECC" w:rsidRPr="00C042FF">
        <w:rPr>
          <w:rFonts w:ascii="Book Antiqua" w:eastAsia="Arial" w:hAnsi="Book Antiqua" w:cs="Arial"/>
          <w:bCs/>
          <w:noProof/>
          <w:lang w:val="en-US"/>
        </w:rPr>
        <w:t>of colonic SEMS as a bridge to s</w:t>
      </w:r>
      <w:r w:rsidR="007D04A2" w:rsidRPr="00C042FF">
        <w:rPr>
          <w:rFonts w:ascii="Book Antiqua" w:eastAsia="Arial" w:hAnsi="Book Antiqua" w:cs="Arial"/>
          <w:bCs/>
          <w:noProof/>
          <w:lang w:val="en-US"/>
        </w:rPr>
        <w:t>urgery</w:t>
      </w:r>
      <w:r w:rsidR="00E86956" w:rsidRPr="00C042FF">
        <w:rPr>
          <w:rFonts w:ascii="Book Antiqua" w:eastAsia="Arial" w:hAnsi="Book Antiqua" w:cs="Arial"/>
          <w:bCs/>
          <w:noProof/>
          <w:lang w:val="en-US"/>
        </w:rPr>
        <w:t>. There are</w:t>
      </w:r>
      <w:r w:rsidR="004C64E6" w:rsidRPr="00C042FF">
        <w:rPr>
          <w:rFonts w:ascii="Book Antiqua" w:eastAsia="Arial" w:hAnsi="Book Antiqua" w:cs="Arial"/>
          <w:bCs/>
          <w:noProof/>
          <w:lang w:val="en-US"/>
        </w:rPr>
        <w:t xml:space="preserve"> </w:t>
      </w:r>
      <w:r w:rsidR="00E86956" w:rsidRPr="00C042FF">
        <w:rPr>
          <w:rFonts w:ascii="Book Antiqua" w:eastAsia="Arial" w:hAnsi="Book Antiqua" w:cs="Arial"/>
          <w:bCs/>
          <w:noProof/>
          <w:lang w:val="en-US"/>
        </w:rPr>
        <w:t xml:space="preserve">also </w:t>
      </w:r>
      <w:r w:rsidR="004C64E6" w:rsidRPr="00C042FF">
        <w:rPr>
          <w:rFonts w:ascii="Book Antiqua" w:eastAsia="Arial" w:hAnsi="Book Antiqua" w:cs="Arial"/>
          <w:bCs/>
          <w:noProof/>
          <w:lang w:val="en-US"/>
        </w:rPr>
        <w:t>4 RCTs</w:t>
      </w:r>
      <w:r w:rsidR="001D2AD8" w:rsidRPr="00C042FF">
        <w:rPr>
          <w:rStyle w:val="FootnoteReference"/>
          <w:rFonts w:ascii="Book Antiqua" w:eastAsia="Arial" w:hAnsi="Book Antiqua" w:cs="Arial"/>
          <w:bCs/>
          <w:noProof/>
        </w:rPr>
        <w:fldChar w:fldCharType="begin" w:fldLock="1"/>
      </w:r>
      <w:r w:rsidR="008201F7" w:rsidRPr="00C042FF">
        <w:rPr>
          <w:rFonts w:ascii="Book Antiqua" w:eastAsia="Arial" w:hAnsi="Book Antiqua" w:cs="Arial"/>
          <w:bCs/>
          <w:noProof/>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id":"ITEM-2","itemData":{"DOI":"10.1055/s-2007-995426","ISSN":"0013-726X","author":[{"dropping-particle":"","family":"Hooft","given":"J.","non-dropping-particle":"van","parse-names":false,"suffix":""},{"dropping-particle":"","family":"Fockens","given":"P.","non-dropping-particle":"","parse-names":false,"suffix":""},{"dropping-particle":"","family":"Marinelli","given":"A.","non-dropping-particle":"","parse-names":false,"suffix":""},{"dropping-particle":"","family":"Timmer","given":"R.","non-dropping-particle":"","parse-names":false,"suffix":""},{"dropping-particle":"","family":"Berkel","given":"A.","non-dropping-particle":"van","parse-names":false,"suffix":""},{"dropping-particle":"","family":"Bossuyt","given":"P.","non-dropping-particle":"","parse-names":false,"suffix":""},{"dropping-particle":"","family":"Bemelman","given":"W.","non-dropping-particle":"","parse-names":false,"suffix":""}],"container-title":"Endoscopy","id":"ITEM-2","issue":"03","issued":{"date-parts":[["2008","3","6"]]},"page":"184-191","title":"Early closure of a multicenter randomized clinical trial of endoscopic stenting versus surgery for stage IV left-sided colorectal cancer","type":"article-journal","volume":"40"},"uris":["http://www.mendeley.com/documents/?uuid=262fa2eb-6734-4e37-af8d-103b1ac16a2f"]},{"id":"ITEM-3","itemData":{"DOI":"10.1016/j.amjsurg.2011.11.013","ISBN":"3964997218","ISSN":"00029610","PMID":"22575396","abstract":"Survival in patients with stage IV unresectable rectosigmoid cancer is significantly reduced, and when patients are seen with symptoms of obstruction, it is advisable to perform a diverting colostomy before acute obstruction occurs. The aim of this study was to compare the results of endoscopic stent placement with diverting proximal colostomy in patients with stage IV rectosigmoid cancer and symptoms of chronic subacute obstruction. In a prospective randomized trial, 22 patients with stage IV unresectable rectosigmoid cancer and symptoms of chronic subacute obstruction were randomized to either endoscopic placement of an expandable stent or diverting proximal colostomy. Patients were followed until death. There was no case of mortality or major postoperative complications. Oral feeding and bowel function were restored within 24 hours after endoscopic stent placement and within 72 hours after diverting colostomy. Hospital stays were shorter (mean, 2.6 days) in patients with endoscopic stent placement than in those with diverting stomas (mean, 8.1 days) (P &lt; .05). Mean long-term survival was 297 days (range, 125612 days) in patients who had stents and 280 days (range, 135591 days) in patients with stomas (P = NS). No case of mortality during follow-up was related to the procedures. All patients with stomas found them quite unacceptable. The same feelings were present in family members. None of the patients with stents or their family members found any inconvenience about the procedure. Endoscopic expandable stent placement offers a valid solution in patients with stage IV unresectable cancer and symptoms of chronic subacute obstruction, with shorter hospital stays. The procedure is much better accepted, psychologically and practically, by patients and their family members. ?? 2012 Elsevier Inc.","author":[{"dropping-particle":"","family":"Fiori","given":"Enrico","non-dropping-particle":"","parse-names":false,"suffix":""},{"dropping-particle":"","family":"Lamazza","given":"Antonietta","non-dropping-particle":"","parse-names":false,"suffix":""},{"dropping-particle":"","family":"Schillaci","given":"Alberto","non-dropping-particle":"","parse-names":false,"suffix":""},{"dropping-particle":"","family":"Femia","given":"Silvia","non-dropping-particle":"","parse-names":false,"suffix":""},{"dropping-particle":"","family":"Demasi","given":"Ercole","non-dropping-particle":"","parse-names":false,"suffix":""},{"dropping-particle":"","family":"Decesare","given":"Alessandro","non-dropping-particle":"","parse-names":false,"suffix":""},{"dropping-particle":"V.","family":"Sterpetti","given":"Antonio","non-dropping-particle":"","parse-names":false,"suffix":""}],"container-title":"American Journal of Surgery","id":"ITEM-3","issue":"3","issued":{"date-parts":[["2012"]]},"page":"321-326","publisher":"Elsevier Inc.","title":"Palliative management for patients with subacute obstruction and stage IV unresectable rectosigmoid cancer: Colostomy versus endoscopic stenting: Final results of a prospective randomized trial","type":"article-journal","volume":"204"},"uris":["http://www.mendeley.com/documents/?uuid=2f005873-e381-4bd3-a690-4a20e947c36b"]},{"id":"ITEM-4","itemData":{"DOI":"10.1097/DCR.0000000000000431","ISBN":"1530-0358 (Electronic)\r0012-3706 (Linking)","ISSN":"0012-3706","PMID":"26252845","abstract":"BACKGROUND Surgery remains the dominant treatment for large-bowel obstruction, with emerging data on self-expanding metallic stents. OBJECTIVE The aim of this study was to assess whether stent insertion improves quality of life and survival in comparison with surgical decompression. DESIGN This study reports on a randomized control trial (registry number ACTRN012606000199516). SETTING This study was conducted at Royal Prince Alfred Hospital, Sydney, and Western Hospital, Melbourne. PATIENTS AND INTERVENTION Patients with malignant incurable large-bowel obstruction were randomly assigned to surgical decompression or stent insertion. MAIN OUTCOME MEASURES The primary end point was differences in EuroQOL EQ-5D quality of life. Secondary end points included overall survival, 30-day mortality, stoma rates, postoperative recovery, complications, and readmissions. RESULTS Fifty-two patients of 58 needed to reach the calculated sample size were evaluated. Stent insertion was successful in 19 of 26 (73%) patients. The remaining 7 patients required a stoma compared with 24 of 26 (92%) surgery group patients (p &lt; 0.001). There were no stent-related perforations or deaths. The surgery group had significantly reduced quality of life compared with the stent group from baseline to 1 and 2 weeks (p = 0.001 and p = 0.012), and from baseline to 12 months (p = 0.01) in favor of the stent group, whereas both reported reduced quality of life. The stent group had an 8% 30-day mortality compared with 15% for the surgery group (p = 0.668). Median survival was 5.2 and 5.5 months for the groups (p = 0.613). The stent group had significantly reduced procedure time (p = 0.014), postprocedure stay (p = 0.027), days nothing by mouth (p = 0.002), and days before free access to solids (p = 0.022). LIMITATIONS This study was limited by the lack of an EQ-5D Australian-based population set. CONCLUSIONS Stent use in patients with incurable large-bowel obstruction has a number of advantages with faster return to diet, decreased stoma rates, reduced postprocedure stay, and some quality-of-life benefits.","author":[{"dropping-particle":"","family":"Young","given":"Christopher J.","non-dropping-particle":"","parse-names":false,"suffix":""},{"dropping-particle":"","family":"De-loyde","given":"Katie J.","non-dropping-particle":"","parse-names":false,"suffix":""},{"dropping-particle":"","family":"Young","given":"Jane M.","non-dropping-particle":"","parse-names":false,"suffix":""},{"dropping-particle":"","family":"Solomon","given":"Michael J.","non-dropping-particle":"","parse-names":false,"suffix":""},{"dropping-particle":"","family":"Chew","given":"Emily H.","non-dropping-particle":"","parse-names":false,"suffix":""},{"dropping-particle":"","family":"Byrne","given":"Chris M.","non-dropping-particle":"","parse-names":false,"suffix":""},{"dropping-particle":"","family":"Salkeld","given":"Glenn","non-dropping-particle":"","parse-names":false,"suffix":""},{"dropping-particle":"","family":"Faragher","given":"Ian G.","non-dropping-particle":"","parse-names":false,"suffix":""}],"container-title":"Diseases of the Colon &amp; Rectum","id":"ITEM-4","issue":"9","issued":{"date-parts":[["2015"]]},"page":"838-849","title":"Improving Quality of Life for People with Incurable Large-Bowel Obstruction","type":"article-journal","volume":"58"},"uris":["http://www.mendeley.com/documents/?uuid=d0798730-da86-47f8-9860-9734d516a3d6"]}],"mendeley":{"formattedCitation":"&lt;sup&gt;[12,48–50]&lt;/sup&gt;","plainTextFormattedCitation":"[12,48–50]","previouslyFormattedCitation":"(12,48–50)"},"properties":{"noteIndex":0},"schema":"https://github.com/citation-style-language/schema/raw/master/csl-citation.json"}</w:instrText>
      </w:r>
      <w:r w:rsidR="001D2AD8" w:rsidRPr="00C042FF">
        <w:rPr>
          <w:rStyle w:val="FootnoteReference"/>
          <w:rFonts w:ascii="Book Antiqua" w:eastAsia="Arial" w:hAnsi="Book Antiqua" w:cs="Arial"/>
          <w:bCs/>
          <w:noProof/>
        </w:rPr>
        <w:fldChar w:fldCharType="separate"/>
      </w:r>
      <w:r w:rsidR="008201F7" w:rsidRPr="00C042FF">
        <w:rPr>
          <w:rFonts w:ascii="Book Antiqua" w:eastAsia="Arial" w:hAnsi="Book Antiqua" w:cs="Arial"/>
          <w:noProof/>
          <w:vertAlign w:val="superscript"/>
        </w:rPr>
        <w:t>[12,48–50]</w:t>
      </w:r>
      <w:r w:rsidR="001D2AD8" w:rsidRPr="00C042FF">
        <w:rPr>
          <w:rStyle w:val="FootnoteReference"/>
          <w:rFonts w:ascii="Book Antiqua" w:eastAsia="Arial" w:hAnsi="Book Antiqua" w:cs="Arial"/>
          <w:bCs/>
          <w:noProof/>
        </w:rPr>
        <w:fldChar w:fldCharType="end"/>
      </w:r>
      <w:r w:rsidR="001312C9" w:rsidRPr="00C042FF">
        <w:rPr>
          <w:rFonts w:ascii="Book Antiqua" w:eastAsia="Arial" w:hAnsi="Book Antiqua" w:cs="Arial"/>
          <w:bCs/>
          <w:noProof/>
          <w:lang w:val="en-US"/>
        </w:rPr>
        <w:t xml:space="preserve"> and 4</w:t>
      </w:r>
      <w:r w:rsidR="004C64E6" w:rsidRPr="00C042FF">
        <w:rPr>
          <w:rFonts w:ascii="Book Antiqua" w:eastAsia="Arial" w:hAnsi="Book Antiqua" w:cs="Arial"/>
          <w:bCs/>
          <w:noProof/>
          <w:lang w:val="en-US"/>
        </w:rPr>
        <w:t xml:space="preserve"> meta-analyses</w:t>
      </w:r>
      <w:r w:rsidR="001D2AD8" w:rsidRPr="00C042FF">
        <w:rPr>
          <w:rStyle w:val="FootnoteReference"/>
          <w:rFonts w:ascii="Book Antiqua" w:eastAsia="Arial" w:hAnsi="Book Antiqua" w:cs="Arial"/>
          <w:bCs/>
          <w:noProof/>
          <w:lang w:val="en-US"/>
        </w:rPr>
        <w:fldChar w:fldCharType="begin" w:fldLock="1"/>
      </w:r>
      <w:r w:rsidR="008201F7" w:rsidRPr="00C042FF">
        <w:rPr>
          <w:rFonts w:ascii="Book Antiqua" w:eastAsia="Arial" w:hAnsi="Book Antiqua" w:cs="Arial"/>
          <w:bCs/>
          <w:noProof/>
          <w:lang w:val="en-US"/>
        </w:rPr>
        <w:instrText>ADDIN CSL_CITATION {"citationItems":[{"id":"ITEM-1","itemData":{"DOI":"10.3748/wjg.v19.i33.5565","ISBN":"10079327 (ISSN)","ISSN":"10079327","PMID":"24023502","abstract":"AIM: To perform a meta-analysis of palliative stent placement vs palliative surgical decompression for management of incurable malignant colorectal obstructions.\\n\\nMETHODS: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used.\\n\\nRESULTS: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mo).\\n\\nCONCLUSION: SEMS is less effective tha…","author":[{"dropping-particle":"","family":"Zhao","given":"Xiao Dan","non-dropping-particle":"","parse-names":false,"suffix":""},{"dropping-particle":"","family":"Cai","given":"Bao Bao","non-dropping-particle":"","parse-names":false,"suffix":""},{"dropping-particle":"","family":"Cao","given":"Ri Sheng","non-dropping-particle":"","parse-names":false,"suffix":""},{"dropping-particle":"","family":"Shi","given":"Rui Hua","non-dropping-particle":"","parse-names":false,"suffix":""}],"container-title":"World Journal of Gastroenterology","id":"ITEM-1","issue":"33","issued":{"date-parts":[["2013"]]},"page":"5565-5574","title":"Palliative treatment for incurable malignant colorectal obstructions: A meta-analysis","type":"article-journal","volume":"19"},"uris":["http://www.mendeley.com/documents/?uuid=abb37d97-9f78-4ea6-ab28-f018bf0f3939"]},{"id":"ITEM-2","itemData":{"DOI":"10.1097/SLE.0000000000000030","ISSN":"1534-4908 (Electronic)","PMID":"24487162","abstract":"BACKGROUND: Left-sided malignant colonic obstruction is one of the most difficult clinical problems, whereas both emergency operations and colonic stenting may have their own advantages and disadvantages. The purpose of this study was to evaluate the complications of colonic stenting versus emergency surgery for acute left-sided malignant colonic obstruction. MATERIALS AND METHODS: Medline, Embase, and the Cochrane Library were searched. Only prospective randomized controlled trials that compared the 2 methods were included. Evaluation indexes in our study involved hospital death rates and complications. RESULTS: No significant difference in either hospital death rates or the overall complications between the 2 groups was found. Heterogeneity analysis found that there was no significant heterogeneity. Removing individual studies from the data editor did not substantially change the RR or the level of heterogeneity of significance for our 2 outcome measures. Testing for publication bias showed that hospital death rates and the overall complications had no serious publication bias. CONCLUSIONS: Colonic stenting was no better than emergency surgery, and should be only used as an alternative to emergency surgery carefully.","author":[{"dropping-particle":"","family":"Liu","given":"Zhihua","non-dropping-particle":"","parse-names":false,"suffix":""},{"dropping-particle":"","family":"Kang","given":"Liang","non-dropping-particle":"","parse-names":false,"suffix":""},{"dropping-particle":"","family":"Li","given":"Chao","non-dropping-particle":"","parse-names":false,"suffix":""},{"dropping-particle":"","family":"Huang","given":"Meijin","non-dropping-particle":"","parse-names":false,"suffix":""},{"dropping-particle":"","family":"Zhang","given":"Xingwei","non-dropping-particle":"","parse-names":false,"suffix":""},{"dropping-particle":"","family":"Wang","given":"Jianping","non-dropping-particle":"","parse-names":false,"suffix":""}],"container-title":"Surgical laparoscopy, endoscopy &amp; percutaneous techniques","id":"ITEM-2","issue":"1","issued":{"date-parts":[["2014","2"]]},"language":"eng","page":"73-79","publisher-place":"United States","title":"Meta-analysis of complications of colonic stenting versus emergency surgery for acute left-sided malignant colonic obstruction.","type":"article-journal","volume":"24"},"uris":["http://www.mendeley.com/documents/?uuid=3846e3ee-c752-490e-a72f-57d59fbc2bdc"]},{"id":"ITEM-3","itemData":{"DOI":"10.1007/s00268-015-3068-7","ISSN":"14322323","PMID":"25894403","abstract":"BACKGROUND: Although self-expanding metallic stents (SEMS) are useful tools for relieving large bowel obstructions in patients with colorectal cancer (CRC), their efficacy in a palliative setting has not been validated. This meta-analysis aimed to evaluate the feasibility of SEMS as a palliation for unresectable CRC patients with bowel obstructions and to determine their contribution to the prognosis of CRC, compared with surgical intervention.\\n\\nMETHODS: We conducted a literature search of the PubMed and Cochrane Library databases. We selected all controlled trials that compared SEMS with surgical interventions as palliative treatments in unresectable obstructive CRC patients. The primary outcome was early complications, and the secondary outcomes were mortality, other morbidities, and long-term survival rates.\\n\\nRESULTS: Ten studies met our inclusion criteria. SEMS significantly reduced the risk of early complications (odds ratio [OR] 0.34; 95 % confidence interval [CI] 0.20-0.58 %; P &lt; 0.01), mortality (OR 0.31; 95 % CI 0.15 %-0.64 %; P &lt; 0.01), and stoma creation (OR 0.19; 95 % CI 0.12-0.28 %; P &lt; 0.01). Although SEMS placement was significantly associated with a higher risk of perforation of the large bowel (OR 5.25 95 % CI 2.00-13.78 %; P &lt; 0.01) and late complications (OR 1.94; 95 % CI 0.90-4.19 %; P = 0.03), it also contributed significantly to better long-term survival (hazard ratio 0.46; 95 % CI 0.31-0.68 %; P &lt; 0.01).\\n\\nCONCLUSIONS: Compared with surgical intervention, SEMS could provide feasible palliation for patients with bowel obstructions and unresectable CRC, because of their acceptable morbidity rates and better patient prognoses.","author":[{"dropping-particle":"","family":"Takahashi","given":"Hidena","non-dropping-particle":"","parse-names":false,"suffix":""},{"dropping-particle":"","family":"Okabayashi","given":"Koji","non-dropping-particle":"","parse-names":false,"suffix":""},{"dropping-particle":"","family":"Tsuruta","given":"Masashi","non-dropping-particle":"","parse-names":false,"suffix":""},{"dropping-particle":"","family":"Hasegawa","given":"Hirotoshi","non-dropping-particle":"","parse-names":false,"suffix":""},{"dropping-particle":"","family":"Yahagi","given":"Masashi","non-dropping-particle":"","parse-names":false,"suffix":""},{"dropping-particle":"","family":"Kitagawa","given":"Yuko","non-dropping-particle":"","parse-names":false,"suffix":""}],"container-title":"World Journal of Surgery","id":"ITEM-3","issue":"8","issued":{"date-parts":[["2015"]]},"page":"2037-2044","publisher":"Springer International Publishing","title":"Self-Expanding Metallic Stents Versus Surgical Intervention as Palliative Therapy for Obstructive Colorectal Cancer: A Meta-analysis","type":"article-journal","volume":"39"},"uris":["http://www.mendeley.com/documents/?uuid=c5a1766c-74bb-4c36-b95b-897bde0c4a96"]},{"id":"ITEM-4","itemData":{"DOI":"10.1055/a-0591-2883","ISBN":"5511306975","ISSN":"2364-3722","PMID":"29756013","abstract":"Background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Open","id":"ITEM-4","issue":"05","issued":{"date-parts":[["2018","5","8"]]},"page":"E558-E567","title":"Colonic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[42,51–53]&lt;/sup&gt;","plainTextFormattedCitation":"[42,51–53]","previouslyFormattedCitation":"(42,51–53)"},"properties":{"noteIndex":0},"schema":"https://github.com/citation-style-language/schema/raw/master/csl-citation.json"}</w:instrText>
      </w:r>
      <w:r w:rsidR="001D2AD8" w:rsidRPr="00C042FF">
        <w:rPr>
          <w:rStyle w:val="FootnoteReference"/>
          <w:rFonts w:ascii="Book Antiqua" w:eastAsia="Arial" w:hAnsi="Book Antiqua" w:cs="Arial"/>
          <w:bCs/>
          <w:noProof/>
          <w:lang w:val="en-US"/>
        </w:rPr>
        <w:fldChar w:fldCharType="separate"/>
      </w:r>
      <w:r w:rsidR="008201F7" w:rsidRPr="00C042FF">
        <w:rPr>
          <w:rFonts w:ascii="Book Antiqua" w:eastAsia="Arial" w:hAnsi="Book Antiqua" w:cs="Arial"/>
          <w:noProof/>
          <w:vertAlign w:val="superscript"/>
          <w:lang w:val="en-US"/>
        </w:rPr>
        <w:t>[42,51–53]</w:t>
      </w:r>
      <w:r w:rsidR="001D2AD8" w:rsidRPr="00C042FF">
        <w:rPr>
          <w:rStyle w:val="FootnoteReference"/>
          <w:rFonts w:ascii="Book Antiqua" w:eastAsia="Arial" w:hAnsi="Book Antiqua" w:cs="Arial"/>
          <w:bCs/>
          <w:noProof/>
          <w:lang w:val="en-US"/>
        </w:rPr>
        <w:fldChar w:fldCharType="end"/>
      </w:r>
      <w:r w:rsidR="004C64E6" w:rsidRPr="00C042FF">
        <w:rPr>
          <w:rFonts w:ascii="Book Antiqua" w:eastAsia="Arial" w:hAnsi="Book Antiqua" w:cs="Arial"/>
          <w:bCs/>
          <w:noProof/>
          <w:lang w:val="en-US"/>
        </w:rPr>
        <w:t xml:space="preserve"> </w:t>
      </w:r>
      <w:r w:rsidR="00E86956" w:rsidRPr="00C042FF">
        <w:rPr>
          <w:rFonts w:ascii="Book Antiqua" w:eastAsia="Arial" w:hAnsi="Book Antiqua" w:cs="Arial"/>
          <w:bCs/>
          <w:noProof/>
          <w:lang w:val="en-US"/>
        </w:rPr>
        <w:t xml:space="preserve">evaluating SEMS for palliative </w:t>
      </w:r>
      <w:r w:rsidR="00E86956" w:rsidRPr="00C042FF">
        <w:rPr>
          <w:rFonts w:ascii="Book Antiqua" w:eastAsia="Arial" w:hAnsi="Book Antiqua" w:cs="Arial"/>
          <w:bCs/>
          <w:noProof/>
          <w:lang w:val="en-US"/>
        </w:rPr>
        <w:lastRenderedPageBreak/>
        <w:t>indications.</w:t>
      </w:r>
      <w:r w:rsidR="00425755" w:rsidRPr="00C042FF">
        <w:rPr>
          <w:rFonts w:ascii="Book Antiqua" w:eastAsia="Arial" w:hAnsi="Book Antiqua" w:cs="Arial"/>
          <w:bCs/>
          <w:noProof/>
          <w:lang w:val="en-US"/>
        </w:rPr>
        <w:t xml:space="preserve"> </w:t>
      </w:r>
      <w:r w:rsidR="00E86956" w:rsidRPr="00C042FF">
        <w:rPr>
          <w:rFonts w:ascii="Book Antiqua" w:eastAsia="Arial" w:hAnsi="Book Antiqua" w:cs="Arial"/>
          <w:bCs/>
          <w:noProof/>
          <w:lang w:val="en-US"/>
        </w:rPr>
        <w:t>Nevertheless, there are still</w:t>
      </w:r>
      <w:r w:rsidR="000575D2" w:rsidRPr="00C042FF">
        <w:rPr>
          <w:rFonts w:ascii="Book Antiqua" w:eastAsia="Arial" w:hAnsi="Book Antiqua" w:cs="Arial"/>
          <w:bCs/>
          <w:noProof/>
          <w:lang w:val="en-US"/>
        </w:rPr>
        <w:t xml:space="preserve"> dou</w:t>
      </w:r>
      <w:r w:rsidR="00E86956" w:rsidRPr="00C042FF">
        <w:rPr>
          <w:rFonts w:ascii="Book Antiqua" w:eastAsia="Arial" w:hAnsi="Book Antiqua" w:cs="Arial"/>
          <w:bCs/>
          <w:noProof/>
          <w:lang w:val="en-US"/>
        </w:rPr>
        <w:t xml:space="preserve">bts about the management of AAO by CRC. </w:t>
      </w:r>
    </w:p>
    <w:p w14:paraId="6C89EE63" w14:textId="0A7496CA" w:rsidR="00255AC1" w:rsidRPr="00C042FF" w:rsidRDefault="007C2AF7" w:rsidP="00AC7A99">
      <w:pPr>
        <w:spacing w:line="360" w:lineRule="auto"/>
        <w:ind w:firstLineChars="100" w:firstLine="240"/>
        <w:jc w:val="both"/>
        <w:rPr>
          <w:rFonts w:ascii="Book Antiqua" w:hAnsi="Book Antiqua"/>
          <w:noProof/>
          <w:lang w:val="en-US"/>
        </w:rPr>
      </w:pPr>
      <w:r w:rsidRPr="00C042FF">
        <w:rPr>
          <w:rFonts w:ascii="Book Antiqua" w:hAnsi="Book Antiqua"/>
          <w:noProof/>
          <w:lang w:val="en-US"/>
        </w:rPr>
        <w:t>This review was designe</w:t>
      </w:r>
      <w:r w:rsidR="00E86956" w:rsidRPr="00C042FF">
        <w:rPr>
          <w:rFonts w:ascii="Book Antiqua" w:hAnsi="Book Antiqua"/>
          <w:noProof/>
          <w:lang w:val="en-US"/>
        </w:rPr>
        <w:t>d to provide present evidence for</w:t>
      </w:r>
      <w:r w:rsidRPr="00C042FF">
        <w:rPr>
          <w:rFonts w:ascii="Book Antiqua" w:hAnsi="Book Antiqua"/>
          <w:noProof/>
          <w:lang w:val="en-US"/>
        </w:rPr>
        <w:t xml:space="preserve"> the indication</w:t>
      </w:r>
      <w:r w:rsidR="00E86956" w:rsidRPr="00C042FF">
        <w:rPr>
          <w:rFonts w:ascii="Book Antiqua" w:hAnsi="Book Antiqua"/>
          <w:noProof/>
          <w:lang w:val="en-US"/>
        </w:rPr>
        <w:t>s</w:t>
      </w:r>
      <w:r w:rsidRPr="00C042FF">
        <w:rPr>
          <w:rFonts w:ascii="Book Antiqua" w:hAnsi="Book Antiqua"/>
          <w:noProof/>
          <w:lang w:val="en-US"/>
        </w:rPr>
        <w:t>, technique</w:t>
      </w:r>
      <w:r w:rsidR="00E86956" w:rsidRPr="00C042FF">
        <w:rPr>
          <w:rFonts w:ascii="Book Antiqua" w:hAnsi="Book Antiqua"/>
          <w:noProof/>
          <w:lang w:val="en-US"/>
        </w:rPr>
        <w:t>s, outcomes, benefits</w:t>
      </w:r>
      <w:r w:rsidRPr="00C042FF">
        <w:rPr>
          <w:rFonts w:ascii="Book Antiqua" w:hAnsi="Book Antiqua"/>
          <w:noProof/>
          <w:lang w:val="en-US"/>
        </w:rPr>
        <w:t xml:space="preserve"> and risks of these treatments in </w:t>
      </w:r>
      <w:r w:rsidR="00E86956" w:rsidRPr="00C042FF">
        <w:rPr>
          <w:rFonts w:ascii="Book Antiqua" w:hAnsi="Book Antiqua"/>
          <w:noProof/>
          <w:lang w:val="en-US"/>
        </w:rPr>
        <w:t xml:space="preserve">the management of </w:t>
      </w:r>
      <w:r w:rsidRPr="00C042FF">
        <w:rPr>
          <w:rFonts w:ascii="Book Antiqua" w:hAnsi="Book Antiqua"/>
          <w:noProof/>
          <w:lang w:val="en-US"/>
        </w:rPr>
        <w:t xml:space="preserve">acute malignant colonic obstruction </w:t>
      </w:r>
      <w:r w:rsidR="008072DB" w:rsidRPr="00C042FF">
        <w:rPr>
          <w:rFonts w:ascii="Book Antiqua" w:hAnsi="Book Antiqua"/>
          <w:noProof/>
          <w:lang w:val="en-US" w:eastAsia="zh-CN"/>
        </w:rPr>
        <w:t>(</w:t>
      </w:r>
      <w:r w:rsidR="008072DB" w:rsidRPr="00C042FF">
        <w:rPr>
          <w:rFonts w:ascii="Book Antiqua" w:hAnsi="Book Antiqua" w:cs="Calibri"/>
          <w:bCs/>
          <w:lang w:val="en-US"/>
        </w:rPr>
        <w:t>MCO</w:t>
      </w:r>
      <w:r w:rsidR="008072DB" w:rsidRPr="00C042FF">
        <w:rPr>
          <w:rFonts w:ascii="Book Antiqua" w:hAnsi="Book Antiqua"/>
          <w:noProof/>
          <w:lang w:val="en-US" w:eastAsia="zh-CN"/>
        </w:rPr>
        <w:t xml:space="preserve">) </w:t>
      </w:r>
      <w:r w:rsidRPr="00C042FF">
        <w:rPr>
          <w:rFonts w:ascii="Book Antiqua" w:hAnsi="Book Antiqua"/>
          <w:noProof/>
          <w:lang w:val="en-US"/>
        </w:rPr>
        <w:t>through the analysis of previously published studies and cur</w:t>
      </w:r>
      <w:r w:rsidR="00E86956" w:rsidRPr="00C042FF">
        <w:rPr>
          <w:rFonts w:ascii="Book Antiqua" w:hAnsi="Book Antiqua"/>
          <w:noProof/>
          <w:lang w:val="en-US"/>
        </w:rPr>
        <w:t>r</w:t>
      </w:r>
      <w:r w:rsidRPr="00C042FF">
        <w:rPr>
          <w:rFonts w:ascii="Book Antiqua" w:hAnsi="Book Antiqua"/>
          <w:noProof/>
          <w:lang w:val="en-US"/>
        </w:rPr>
        <w:t>ent guidelines.</w:t>
      </w:r>
    </w:p>
    <w:p w14:paraId="7241AC8C" w14:textId="77777777" w:rsidR="00D867D7" w:rsidRPr="00C042FF" w:rsidRDefault="00D867D7" w:rsidP="003E14C8">
      <w:pPr>
        <w:spacing w:line="360" w:lineRule="auto"/>
        <w:jc w:val="both"/>
        <w:rPr>
          <w:rFonts w:ascii="Book Antiqua" w:hAnsi="Book Antiqua"/>
          <w:noProof/>
          <w:lang w:val="en-US"/>
        </w:rPr>
      </w:pPr>
    </w:p>
    <w:p w14:paraId="5656F65F" w14:textId="3C91292B" w:rsidR="00F3314B" w:rsidRPr="00AC7A99" w:rsidRDefault="00AC7A99" w:rsidP="003E14C8">
      <w:pPr>
        <w:spacing w:line="360" w:lineRule="auto"/>
        <w:jc w:val="both"/>
        <w:rPr>
          <w:rFonts w:ascii="Book Antiqua" w:eastAsia="Book Antiqua" w:hAnsi="Book Antiqua" w:cs="Book Antiqua"/>
          <w:b/>
          <w:lang w:val="en-US"/>
        </w:rPr>
      </w:pPr>
      <w:r w:rsidRPr="00AC7A99">
        <w:rPr>
          <w:rFonts w:ascii="Book Antiqua" w:hAnsi="Book Antiqua" w:cs="Calibri"/>
          <w:b/>
        </w:rPr>
        <w:t>SEARCH</w:t>
      </w:r>
      <w:r w:rsidR="00F3314B" w:rsidRPr="00AC7A99">
        <w:rPr>
          <w:rFonts w:ascii="Book Antiqua" w:eastAsia="Book Antiqua" w:hAnsi="Book Antiqua" w:cs="Book Antiqua"/>
          <w:b/>
          <w:lang w:val="en-US"/>
        </w:rPr>
        <w:t xml:space="preserve"> METHODS</w:t>
      </w:r>
    </w:p>
    <w:p w14:paraId="6857617B" w14:textId="77777777" w:rsidR="00505440" w:rsidRPr="00C042FF"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Arial" w:hAnsi="Book Antiqua" w:cs="Calibri"/>
          <w:b/>
          <w:bCs/>
          <w:i/>
          <w:color w:val="auto"/>
          <w:sz w:val="24"/>
          <w:szCs w:val="24"/>
        </w:rPr>
      </w:pPr>
      <w:r w:rsidRPr="00C042FF">
        <w:rPr>
          <w:rFonts w:ascii="Book Antiqua" w:hAnsi="Book Antiqua" w:cs="Calibri"/>
          <w:b/>
          <w:bCs/>
          <w:i/>
          <w:color w:val="auto"/>
          <w:sz w:val="24"/>
          <w:szCs w:val="24"/>
        </w:rPr>
        <w:t>Study selection</w:t>
      </w:r>
    </w:p>
    <w:p w14:paraId="6631775B" w14:textId="203E8578" w:rsidR="00C52A50" w:rsidRPr="00C042FF" w:rsidRDefault="00C52A5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C042FF">
        <w:rPr>
          <w:rFonts w:ascii="Book Antiqua" w:hAnsi="Book Antiqua" w:cs="Calibri"/>
          <w:color w:val="auto"/>
          <w:sz w:val="24"/>
          <w:szCs w:val="24"/>
        </w:rPr>
        <w:t>A systematic search was performed, with no restriction regarding the idiom or the year of publication, since the inception of database till October 01, 2018 using PubMed, MEDLINE, Web of Science, E</w:t>
      </w:r>
      <w:r w:rsidR="00807ADD" w:rsidRPr="00C042FF">
        <w:rPr>
          <w:rFonts w:ascii="Book Antiqua" w:hAnsi="Book Antiqua" w:cs="Calibri"/>
          <w:color w:val="auto"/>
          <w:sz w:val="24"/>
          <w:szCs w:val="24"/>
        </w:rPr>
        <w:t>MBASE</w:t>
      </w:r>
      <w:r w:rsidRPr="00C042FF">
        <w:rPr>
          <w:rFonts w:ascii="Book Antiqua" w:hAnsi="Book Antiqua" w:cs="Calibri"/>
          <w:color w:val="auto"/>
          <w:sz w:val="24"/>
          <w:szCs w:val="24"/>
        </w:rPr>
        <w:t>, and Cochran Central Register of Controlled Trials databases.</w:t>
      </w:r>
      <w:r w:rsidR="00E51E26" w:rsidRPr="00C042FF">
        <w:rPr>
          <w:rFonts w:ascii="Book Antiqua" w:hAnsi="Book Antiqua" w:cs="Calibri"/>
          <w:color w:val="auto"/>
          <w:sz w:val="24"/>
          <w:szCs w:val="24"/>
        </w:rPr>
        <w:t xml:space="preserve"> </w:t>
      </w:r>
      <w:r w:rsidRPr="00C042FF">
        <w:rPr>
          <w:rFonts w:ascii="Book Antiqua" w:hAnsi="Book Antiqua" w:cs="Calibri"/>
          <w:color w:val="auto"/>
          <w:sz w:val="24"/>
          <w:szCs w:val="24"/>
        </w:rPr>
        <w:t xml:space="preserve">Both </w:t>
      </w:r>
      <w:proofErr w:type="spellStart"/>
      <w:r w:rsidRPr="00C042FF">
        <w:rPr>
          <w:rFonts w:ascii="Book Antiqua" w:hAnsi="Book Antiqua" w:cs="Calibri"/>
          <w:color w:val="auto"/>
          <w:sz w:val="24"/>
          <w:szCs w:val="24"/>
        </w:rPr>
        <w:t>MeSH</w:t>
      </w:r>
      <w:proofErr w:type="spellEnd"/>
      <w:r w:rsidRPr="00C042FF">
        <w:rPr>
          <w:rFonts w:ascii="Book Antiqua" w:hAnsi="Book Antiqua" w:cs="Calibri"/>
          <w:color w:val="auto"/>
          <w:sz w:val="24"/>
          <w:szCs w:val="24"/>
        </w:rPr>
        <w:t xml:space="preserve"> and non-</w:t>
      </w:r>
      <w:proofErr w:type="spellStart"/>
      <w:r w:rsidRPr="00C042FF">
        <w:rPr>
          <w:rFonts w:ascii="Book Antiqua" w:hAnsi="Book Antiqua" w:cs="Calibri"/>
          <w:color w:val="auto"/>
          <w:sz w:val="24"/>
          <w:szCs w:val="24"/>
        </w:rPr>
        <w:t>MeSH</w:t>
      </w:r>
      <w:proofErr w:type="spellEnd"/>
      <w:r w:rsidRPr="00C042FF">
        <w:rPr>
          <w:rFonts w:ascii="Book Antiqua" w:hAnsi="Book Antiqua" w:cs="Calibri"/>
          <w:color w:val="auto"/>
          <w:sz w:val="24"/>
          <w:szCs w:val="24"/>
        </w:rPr>
        <w:t xml:space="preserve"> terms were included in the search. </w:t>
      </w:r>
    </w:p>
    <w:p w14:paraId="0997264B" w14:textId="77777777" w:rsidR="00F3314B" w:rsidRPr="00C042FF" w:rsidRDefault="00F3314B"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p>
    <w:p w14:paraId="599A2555" w14:textId="77777777" w:rsidR="00F3314B" w:rsidRPr="00C042FF" w:rsidRDefault="00F3314B" w:rsidP="003E14C8">
      <w:pPr>
        <w:spacing w:line="360" w:lineRule="auto"/>
        <w:jc w:val="both"/>
        <w:rPr>
          <w:rFonts w:ascii="Book Antiqua" w:hAnsi="Book Antiqua" w:cs="Book Antiqua"/>
          <w:b/>
          <w:i/>
          <w:lang w:val="en-US" w:eastAsia="zh-CN"/>
        </w:rPr>
      </w:pPr>
      <w:r w:rsidRPr="00C042FF">
        <w:rPr>
          <w:rFonts w:ascii="Book Antiqua" w:eastAsia="Book Antiqua" w:hAnsi="Book Antiqua" w:cs="Book Antiqua"/>
          <w:b/>
          <w:i/>
          <w:lang w:val="en-US"/>
        </w:rPr>
        <w:t>Eligibility criteria</w:t>
      </w:r>
    </w:p>
    <w:p w14:paraId="467E9744" w14:textId="1993070A" w:rsidR="00C52A50" w:rsidRPr="00C042FF" w:rsidRDefault="00C52A5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C042FF">
        <w:rPr>
          <w:rFonts w:ascii="Book Antiqua" w:hAnsi="Book Antiqua" w:cs="Calibri"/>
          <w:color w:val="auto"/>
          <w:sz w:val="24"/>
          <w:szCs w:val="24"/>
        </w:rPr>
        <w:t xml:space="preserve">All studies comparing colonic stent </w:t>
      </w:r>
      <w:r w:rsidRPr="00C042FF">
        <w:rPr>
          <w:rFonts w:ascii="Book Antiqua" w:hAnsi="Book Antiqua" w:cs="Calibri"/>
          <w:i/>
          <w:color w:val="auto"/>
          <w:sz w:val="24"/>
          <w:szCs w:val="24"/>
        </w:rPr>
        <w:t>vs</w:t>
      </w:r>
      <w:r w:rsidRPr="00C042FF">
        <w:rPr>
          <w:rFonts w:ascii="Book Antiqua" w:hAnsi="Book Antiqua" w:cs="Calibri"/>
          <w:color w:val="auto"/>
          <w:sz w:val="24"/>
          <w:szCs w:val="24"/>
        </w:rPr>
        <w:t xml:space="preserve"> surgery for acute malignant large bowel obstruction were included. Relevant studies about colonoscopy, acute obstructive abdomen due to neoplasia were also included.</w:t>
      </w:r>
    </w:p>
    <w:p w14:paraId="1A238A26" w14:textId="77777777" w:rsidR="000B5F71" w:rsidRPr="00C042FF" w:rsidRDefault="000B5F71"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p>
    <w:p w14:paraId="11D60064" w14:textId="77777777" w:rsidR="00505440" w:rsidRPr="00C042FF"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Arial" w:hAnsi="Book Antiqua" w:cs="Calibri"/>
          <w:b/>
          <w:bCs/>
          <w:i/>
          <w:color w:val="auto"/>
          <w:sz w:val="24"/>
          <w:szCs w:val="24"/>
        </w:rPr>
      </w:pPr>
      <w:r w:rsidRPr="00C042FF">
        <w:rPr>
          <w:rFonts w:ascii="Book Antiqua" w:hAnsi="Book Antiqua" w:cs="Calibri"/>
          <w:b/>
          <w:bCs/>
          <w:i/>
          <w:color w:val="auto"/>
          <w:sz w:val="24"/>
          <w:szCs w:val="24"/>
          <w:lang w:val="fr-FR"/>
        </w:rPr>
        <w:t>Exclusion criteria</w:t>
      </w:r>
    </w:p>
    <w:p w14:paraId="4413B66B" w14:textId="77777777" w:rsidR="007F25BF" w:rsidRPr="00C042FF" w:rsidRDefault="007F25BF"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C042FF">
        <w:rPr>
          <w:rFonts w:ascii="Book Antiqua" w:eastAsia="Times New Roman" w:hAnsi="Book Antiqua" w:cs="Calibri"/>
          <w:color w:val="auto"/>
          <w:sz w:val="24"/>
          <w:szCs w:val="24"/>
        </w:rPr>
        <w:t xml:space="preserve">Studies were excluded from this review according to the following criteria: use of the stent for benign treatment, </w:t>
      </w:r>
      <w:r w:rsidRPr="00C042FF">
        <w:rPr>
          <w:rFonts w:ascii="Book Antiqua" w:hAnsi="Book Antiqua" w:cs="Calibri"/>
          <w:color w:val="auto"/>
          <w:sz w:val="24"/>
          <w:szCs w:val="24"/>
        </w:rPr>
        <w:t>stents placed by an interventional radiologist; unclear or missing data for the outcomes variables.</w:t>
      </w:r>
    </w:p>
    <w:p w14:paraId="434A062E" w14:textId="77777777" w:rsidR="007F25BF" w:rsidRPr="00C042FF" w:rsidRDefault="007F25BF"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Times New Roman" w:hAnsi="Book Antiqua" w:cs="Calibri"/>
          <w:color w:val="auto"/>
          <w:sz w:val="24"/>
          <w:szCs w:val="24"/>
        </w:rPr>
      </w:pPr>
    </w:p>
    <w:p w14:paraId="65712BA6" w14:textId="64856AEF" w:rsidR="00505440" w:rsidRPr="00C042FF"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enhum"/>
          <w:rFonts w:ascii="Book Antiqua" w:hAnsi="Book Antiqua" w:cs="Calibri"/>
          <w:i/>
          <w:color w:val="auto"/>
          <w:sz w:val="24"/>
          <w:szCs w:val="24"/>
        </w:rPr>
      </w:pPr>
      <w:r w:rsidRPr="00C042FF">
        <w:rPr>
          <w:rFonts w:ascii="Book Antiqua" w:hAnsi="Book Antiqua" w:cs="Calibri"/>
          <w:b/>
          <w:bCs/>
          <w:i/>
          <w:color w:val="auto"/>
          <w:sz w:val="24"/>
          <w:szCs w:val="24"/>
        </w:rPr>
        <w:t>Assessment of study quality</w:t>
      </w:r>
    </w:p>
    <w:p w14:paraId="62959D5E" w14:textId="77777777" w:rsidR="0046748A" w:rsidRDefault="00990265" w:rsidP="0046748A">
      <w:pPr>
        <w:spacing w:line="360" w:lineRule="auto"/>
        <w:jc w:val="both"/>
        <w:rPr>
          <w:rFonts w:ascii="Book Antiqua" w:eastAsia="Arial Unicode MS" w:hAnsi="Book Antiqua" w:cs="Calibri"/>
          <w:bdr w:val="nil"/>
          <w:lang w:val="en-US" w:eastAsia="zh-CN"/>
        </w:rPr>
      </w:pPr>
      <w:r w:rsidRPr="00C042FF">
        <w:rPr>
          <w:rFonts w:ascii="Book Antiqua" w:eastAsia="Arial Unicode MS" w:hAnsi="Book Antiqua" w:cs="Calibri"/>
          <w:bdr w:val="nil"/>
          <w:lang w:val="en-US" w:eastAsia="pt-BR"/>
        </w:rPr>
        <w:t>Randomized trials (Evidence 1A) were prioritized as well as previous reviews on the topic.</w:t>
      </w:r>
    </w:p>
    <w:p w14:paraId="7640AC44" w14:textId="77777777" w:rsidR="0046748A" w:rsidRDefault="0046748A" w:rsidP="0046748A">
      <w:pPr>
        <w:spacing w:line="360" w:lineRule="auto"/>
        <w:jc w:val="both"/>
        <w:rPr>
          <w:rFonts w:ascii="Book Antiqua" w:eastAsia="Arial Unicode MS" w:hAnsi="Book Antiqua" w:cs="Calibri"/>
          <w:bdr w:val="nil"/>
          <w:lang w:val="en-US" w:eastAsia="zh-CN"/>
        </w:rPr>
      </w:pPr>
    </w:p>
    <w:p w14:paraId="1F411B7C" w14:textId="20C30FC5" w:rsidR="00671888" w:rsidRPr="0046748A" w:rsidRDefault="00174D34" w:rsidP="0046748A">
      <w:pPr>
        <w:spacing w:line="360" w:lineRule="auto"/>
        <w:jc w:val="both"/>
        <w:rPr>
          <w:rFonts w:ascii="Book Antiqua" w:eastAsia="Arial Unicode MS" w:hAnsi="Book Antiqua" w:cs="Calibri"/>
          <w:bdr w:val="nil"/>
          <w:lang w:val="en-US" w:eastAsia="pt-BR"/>
        </w:rPr>
      </w:pPr>
      <w:r w:rsidRPr="00C042FF">
        <w:rPr>
          <w:rFonts w:ascii="Book Antiqua" w:hAnsi="Book Antiqua"/>
          <w:b/>
          <w:lang w:val="en-US"/>
        </w:rPr>
        <w:t>Initial considerations</w:t>
      </w:r>
      <w:r w:rsidR="00807ADD">
        <w:rPr>
          <w:rFonts w:ascii="Book Antiqua" w:hAnsi="Book Antiqua" w:hint="eastAsia"/>
          <w:b/>
          <w:lang w:val="en-US" w:eastAsia="zh-CN"/>
        </w:rPr>
        <w:t xml:space="preserve">: </w:t>
      </w:r>
      <w:r w:rsidR="00671888" w:rsidRPr="00C042FF">
        <w:rPr>
          <w:rFonts w:ascii="Book Antiqua" w:hAnsi="Book Antiqua" w:cs="Calibri"/>
        </w:rPr>
        <w:t>Bowel</w:t>
      </w:r>
      <w:r w:rsidR="00671888" w:rsidRPr="00C042FF">
        <w:rPr>
          <w:rFonts w:ascii="Book Antiqua" w:hAnsi="Book Antiqua" w:cs="Calibri"/>
          <w:spacing w:val="-5"/>
        </w:rPr>
        <w:t xml:space="preserve"> </w:t>
      </w:r>
      <w:r w:rsidR="00671888" w:rsidRPr="00C042FF">
        <w:rPr>
          <w:rFonts w:ascii="Book Antiqua" w:hAnsi="Book Antiqua" w:cs="Calibri"/>
        </w:rPr>
        <w:t>obstruction</w:t>
      </w:r>
      <w:r w:rsidR="00671888" w:rsidRPr="00C042FF">
        <w:rPr>
          <w:rFonts w:ascii="Book Antiqua" w:hAnsi="Book Antiqua" w:cs="Calibri"/>
          <w:spacing w:val="-4"/>
        </w:rPr>
        <w:t xml:space="preserve"> </w:t>
      </w:r>
      <w:r w:rsidR="00671888" w:rsidRPr="00C042FF">
        <w:rPr>
          <w:rFonts w:ascii="Book Antiqua" w:hAnsi="Book Antiqua" w:cs="Calibri"/>
        </w:rPr>
        <w:t>is</w:t>
      </w:r>
      <w:r w:rsidR="00671888" w:rsidRPr="00C042FF">
        <w:rPr>
          <w:rFonts w:ascii="Book Antiqua" w:hAnsi="Book Antiqua" w:cs="Calibri"/>
          <w:spacing w:val="-5"/>
        </w:rPr>
        <w:t xml:space="preserve"> </w:t>
      </w:r>
      <w:r w:rsidR="00671888" w:rsidRPr="00C042FF">
        <w:rPr>
          <w:rFonts w:ascii="Book Antiqua" w:hAnsi="Book Antiqua" w:cs="Calibri"/>
        </w:rPr>
        <w:t>deﬁned</w:t>
      </w:r>
      <w:r w:rsidR="00671888" w:rsidRPr="00C042FF">
        <w:rPr>
          <w:rFonts w:ascii="Book Antiqua" w:hAnsi="Book Antiqua" w:cs="Calibri"/>
          <w:spacing w:val="-3"/>
        </w:rPr>
        <w:t xml:space="preserve"> </w:t>
      </w:r>
      <w:r w:rsidR="00671888" w:rsidRPr="00C042FF">
        <w:rPr>
          <w:rFonts w:ascii="Book Antiqua" w:hAnsi="Book Antiqua" w:cs="Calibri"/>
        </w:rPr>
        <w:t>as</w:t>
      </w:r>
      <w:r w:rsidR="00671888" w:rsidRPr="00C042FF">
        <w:rPr>
          <w:rFonts w:ascii="Book Antiqua" w:hAnsi="Book Antiqua" w:cs="Calibri"/>
          <w:spacing w:val="-4"/>
        </w:rPr>
        <w:t xml:space="preserve"> </w:t>
      </w:r>
      <w:r w:rsidR="00671888" w:rsidRPr="00C042FF">
        <w:rPr>
          <w:rFonts w:ascii="Book Antiqua" w:hAnsi="Book Antiqua" w:cs="Calibri"/>
        </w:rPr>
        <w:t>the</w:t>
      </w:r>
      <w:r w:rsidR="00671888" w:rsidRPr="00C042FF">
        <w:rPr>
          <w:rFonts w:ascii="Book Antiqua" w:hAnsi="Book Antiqua" w:cs="Calibri"/>
          <w:spacing w:val="-5"/>
        </w:rPr>
        <w:t xml:space="preserve"> </w:t>
      </w:r>
      <w:r w:rsidR="00671888" w:rsidRPr="00C042FF">
        <w:rPr>
          <w:rFonts w:ascii="Book Antiqua" w:hAnsi="Book Antiqua" w:cs="Calibri"/>
        </w:rPr>
        <w:t>absence</w:t>
      </w:r>
      <w:r w:rsidR="00671888" w:rsidRPr="00C042FF">
        <w:rPr>
          <w:rFonts w:ascii="Book Antiqua" w:hAnsi="Book Antiqua" w:cs="Calibri"/>
          <w:spacing w:val="-5"/>
        </w:rPr>
        <w:t xml:space="preserve"> </w:t>
      </w:r>
      <w:r w:rsidR="00671888" w:rsidRPr="00C042FF">
        <w:rPr>
          <w:rFonts w:ascii="Book Antiqua" w:hAnsi="Book Antiqua" w:cs="Calibri"/>
        </w:rPr>
        <w:t>of</w:t>
      </w:r>
      <w:r w:rsidR="00671888" w:rsidRPr="00C042FF">
        <w:rPr>
          <w:rFonts w:ascii="Book Antiqua" w:hAnsi="Book Antiqua" w:cs="Calibri"/>
          <w:spacing w:val="-4"/>
        </w:rPr>
        <w:t xml:space="preserve"> </w:t>
      </w:r>
      <w:r w:rsidR="00671888" w:rsidRPr="00C042FF">
        <w:rPr>
          <w:rFonts w:ascii="Book Antiqua" w:hAnsi="Book Antiqua" w:cs="Calibri"/>
        </w:rPr>
        <w:t>gas</w:t>
      </w:r>
      <w:r w:rsidR="00671888" w:rsidRPr="00C042FF">
        <w:rPr>
          <w:rFonts w:ascii="Book Antiqua" w:hAnsi="Book Antiqua" w:cs="Calibri"/>
          <w:spacing w:val="-5"/>
        </w:rPr>
        <w:t xml:space="preserve"> </w:t>
      </w:r>
      <w:r w:rsidR="00671888" w:rsidRPr="00C042FF">
        <w:rPr>
          <w:rFonts w:ascii="Book Antiqua" w:hAnsi="Book Antiqua" w:cs="Calibri"/>
        </w:rPr>
        <w:t>or</w:t>
      </w:r>
      <w:r w:rsidR="00671888" w:rsidRPr="00C042FF">
        <w:rPr>
          <w:rFonts w:ascii="Book Antiqua" w:hAnsi="Book Antiqua" w:cs="Calibri"/>
          <w:spacing w:val="-4"/>
        </w:rPr>
        <w:t xml:space="preserve"> </w:t>
      </w:r>
      <w:r w:rsidR="00671888" w:rsidRPr="00C042FF">
        <w:rPr>
          <w:rFonts w:ascii="Book Antiqua" w:hAnsi="Book Antiqua" w:cs="Calibri"/>
        </w:rPr>
        <w:t>bowel movements for ≥</w:t>
      </w:r>
      <w:r w:rsidR="00807ADD">
        <w:rPr>
          <w:rFonts w:ascii="Book Antiqua" w:hAnsi="Book Antiqua" w:cs="Calibri" w:hint="eastAsia"/>
          <w:lang w:eastAsia="zh-CN"/>
        </w:rPr>
        <w:t xml:space="preserve"> </w:t>
      </w:r>
      <w:r w:rsidR="00671888" w:rsidRPr="00C042FF">
        <w:rPr>
          <w:rFonts w:ascii="Book Antiqua" w:hAnsi="Book Antiqua" w:cs="Calibri"/>
        </w:rPr>
        <w:t>24 h, and it is associated with abdominal pain,</w:t>
      </w:r>
      <w:r w:rsidR="00671888" w:rsidRPr="00C042FF">
        <w:rPr>
          <w:rFonts w:ascii="Book Antiqua" w:hAnsi="Book Antiqua" w:cs="Calibri"/>
          <w:spacing w:val="-21"/>
        </w:rPr>
        <w:t xml:space="preserve"> </w:t>
      </w:r>
      <w:r w:rsidR="00671888" w:rsidRPr="00C042FF">
        <w:rPr>
          <w:rFonts w:ascii="Book Antiqua" w:hAnsi="Book Antiqua" w:cs="Calibri"/>
        </w:rPr>
        <w:t>abdominal</w:t>
      </w:r>
      <w:r w:rsidR="00671888" w:rsidRPr="00C042FF">
        <w:rPr>
          <w:rFonts w:ascii="Book Antiqua" w:hAnsi="Book Antiqua" w:cs="Calibri"/>
          <w:spacing w:val="-21"/>
        </w:rPr>
        <w:t xml:space="preserve"> </w:t>
      </w:r>
      <w:r w:rsidR="00671888" w:rsidRPr="00C042FF">
        <w:rPr>
          <w:rFonts w:ascii="Book Antiqua" w:hAnsi="Book Antiqua" w:cs="Calibri"/>
        </w:rPr>
        <w:lastRenderedPageBreak/>
        <w:t>bloating</w:t>
      </w:r>
      <w:r w:rsidR="00671888" w:rsidRPr="00C042FF">
        <w:rPr>
          <w:rFonts w:ascii="Book Antiqua" w:hAnsi="Book Antiqua" w:cs="Calibri"/>
          <w:spacing w:val="-21"/>
        </w:rPr>
        <w:t xml:space="preserve"> </w:t>
      </w:r>
      <w:r w:rsidR="00671888" w:rsidRPr="00C042FF">
        <w:rPr>
          <w:rFonts w:ascii="Book Antiqua" w:hAnsi="Book Antiqua" w:cs="Calibri"/>
        </w:rPr>
        <w:t>or</w:t>
      </w:r>
      <w:r w:rsidR="00671888" w:rsidRPr="00C042FF">
        <w:rPr>
          <w:rFonts w:ascii="Book Antiqua" w:hAnsi="Book Antiqua" w:cs="Calibri"/>
          <w:spacing w:val="-21"/>
        </w:rPr>
        <w:t xml:space="preserve"> </w:t>
      </w:r>
      <w:r w:rsidR="00671888" w:rsidRPr="00C042FF">
        <w:rPr>
          <w:rFonts w:ascii="Book Antiqua" w:hAnsi="Book Antiqua" w:cs="Calibri"/>
        </w:rPr>
        <w:t>distension</w:t>
      </w:r>
      <w:r w:rsidR="00671888" w:rsidRPr="00C042FF">
        <w:rPr>
          <w:rFonts w:ascii="Book Antiqua" w:hAnsi="Book Antiqua" w:cs="Calibri"/>
          <w:spacing w:val="-20"/>
        </w:rPr>
        <w:t xml:space="preserve"> </w:t>
      </w:r>
      <w:r w:rsidR="00671888" w:rsidRPr="00C042FF">
        <w:rPr>
          <w:rFonts w:ascii="Book Antiqua" w:hAnsi="Book Antiqua" w:cs="Calibri"/>
        </w:rPr>
        <w:t>and</w:t>
      </w:r>
      <w:r w:rsidR="00671888" w:rsidRPr="00C042FF">
        <w:rPr>
          <w:rFonts w:ascii="Book Antiqua" w:hAnsi="Book Antiqua" w:cs="Calibri"/>
          <w:spacing w:val="-21"/>
        </w:rPr>
        <w:t xml:space="preserve"> </w:t>
      </w:r>
      <w:r w:rsidR="00671888" w:rsidRPr="00C042FF">
        <w:rPr>
          <w:rFonts w:ascii="Book Antiqua" w:hAnsi="Book Antiqua" w:cs="Calibri"/>
        </w:rPr>
        <w:t>the</w:t>
      </w:r>
      <w:r w:rsidR="00671888" w:rsidRPr="00C042FF">
        <w:rPr>
          <w:rFonts w:ascii="Book Antiqua" w:hAnsi="Book Antiqua" w:cs="Calibri"/>
          <w:spacing w:val="-21"/>
        </w:rPr>
        <w:t xml:space="preserve"> </w:t>
      </w:r>
      <w:r w:rsidR="00671888" w:rsidRPr="00C042FF">
        <w:rPr>
          <w:rFonts w:ascii="Book Antiqua" w:hAnsi="Book Antiqua" w:cs="Calibri"/>
        </w:rPr>
        <w:t>visualization</w:t>
      </w:r>
      <w:r w:rsidR="00671888" w:rsidRPr="00C042FF">
        <w:rPr>
          <w:rFonts w:ascii="Book Antiqua" w:hAnsi="Book Antiqua" w:cs="Calibri"/>
          <w:spacing w:val="-21"/>
        </w:rPr>
        <w:t xml:space="preserve"> </w:t>
      </w:r>
      <w:r w:rsidR="00671888" w:rsidRPr="00C042FF">
        <w:rPr>
          <w:rFonts w:ascii="Book Antiqua" w:hAnsi="Book Antiqua" w:cs="Calibri"/>
        </w:rPr>
        <w:t xml:space="preserve">of dilated </w:t>
      </w:r>
      <w:r w:rsidR="00BC08FB" w:rsidRPr="00C042FF">
        <w:rPr>
          <w:rFonts w:ascii="Book Antiqua" w:hAnsi="Book Antiqua" w:cs="Calibri"/>
        </w:rPr>
        <w:t>colon on an abdominal imaging</w:t>
      </w:r>
      <w:r w:rsidR="001D2AD8" w:rsidRPr="00C042FF">
        <w:rPr>
          <w:rStyle w:val="FootnoteReference"/>
          <w:rFonts w:ascii="Book Antiqua" w:hAnsi="Book Antiqua" w:cs="Calibri"/>
        </w:rPr>
        <w:fldChar w:fldCharType="begin" w:fldLock="1"/>
      </w:r>
      <w:r w:rsidR="008201F7" w:rsidRPr="00C042FF">
        <w:rPr>
          <w:rFonts w:ascii="Book Antiqua" w:hAnsi="Book Antiqua" w:cs="Calibri"/>
        </w:rPr>
        <w:instrText>ADDIN CSL_CITATION {"citationItems":[{"id":"ITEM-1","itemData":{"DOI":"10.1007/s10350-004-0688-7","ISSN":"00123706","PMID":"15622582","abstract":"PURPOSE: The aims of this study were to assess the prognostic value for mortality of several factors in patients with colonic obstruction and to study the differences between proximal and distal obstruction.\\n\\nMETHODS: Two-hundred and thirty-four consecutive patients who underwent emergency surgery for colonic obstruction were studied. Patients with an obstructive lesion distal to the splenic flexure were assessed as having a distal colonic obstruction. Resection and primary anastomosis was the operation of choice in selected patients. Alternative procedures were Hartmann's procedure in high-risk patients, subtotal colectomy in cases of associated proximal colonic damage, and colostomy or intestinal bypass in the presence of irresectable lesions. Obstruction was considered proximal when the tumor was situated at the splenic flexure or proximally and a right or extended right colectomy was performed. A range of factors were investigated to estimate the probability of death: gender, age, American Society of Anesthesiologists score, nature of obstruction (benign vs. malign), location of the lesion (proximal vs. distal), associated proximal colonic damage and/or peritonitis, preoperative transfusion, preoperative renal failure, and laboratory data (hematocrit &lt; or = 30 percent, hemoglobin &lt; or = 10 g/dl, and leukocyte count &gt;15,000/mm3). Univariate and multivariate forward steptwise logistic regression analysis was used to study the prognostic value of each significant variable in terms of mortality.\\n\\nRESULTS: One or more complications were detected in 109 patients (46.5 percent). Death occurred in 44 patients (18.8 percent). No differences were observed between proximal and distal obstruction. Age (&gt;70 years), American Society of Anesthesiologists III-IV score, preoperative renal failure, and the presence of proximal colon damage with or without peritonitis were significantly associated with postoperative mortality in the univariate analysis. Only American Society of Anesthesiologists score, presence of proximal colon damage, and preoperative renal failure were significant predictors of outcome in multivariate logistic regression.\\n\\nCONCLUSION: Large bowel obstruction still has a high of mortality rate. An accurate preoperative evaluation of severity factors might allow stratification of patients in terms of their mortality risk and help in the decision-making process for treatment. Such an evaluation would also enable better comparison between studies…","author":[{"dropping-particle":"","family":"Biondo","given":"Sebastiano","non-dropping-particle":"","parse-names":false,"suffix":""},{"dropping-particle":"","family":"Parés","given":"David","non-dropping-particle":"","parse-names":false,"suffix":""},{"dropping-particle":"","family":"Frago","given":"Ricardo","non-dropping-particle":"","parse-names":false,"suffix":""},{"dropping-particle":"","family":"Martí-Ragué","given":"Joan","non-dropping-particle":"","parse-names":false,"suffix":""},{"dropping-particle":"","family":"Kreisler","given":"Esther","non-dropping-particle":"","parse-names":false,"suffix":""},{"dropping-particle":"","family":"Oca","given":"Javier","non-dropping-particle":"De","parse-names":false,"suffix":""},{"dropping-particle":"","family":"Jaurrieta","given":"Eduardo","non-dropping-particle":"","parse-names":false,"suffix":""}],"container-title":"Diseases of the Colon and Rectum","id":"ITEM-1","issue":"11","issued":{"date-parts":[["2004"]]},"page":"1889-1897","title":"Large bowel obstruction: Predictive factors for postoperative mortality","type":"article-journal","volume":"47"},"uris":["http://www.mendeley.com/documents/?uuid=3e89ab56-727f-4e1f-ba58-116172ec54af"]},{"id":"ITEM-2","itemData":{"DOI":"10.1002/jmrs.299","ISSN":"20513895","author":[{"dropping-particle":"","family":"Geng","given":"Wendy Z. M.","non-dropping-particle":"","parse-names":false,"suffix":""},{"dropping-particle":"","family":"Fuller","given":"Michael","non-dropping-particle":"","parse-names":false,"suffix":""},{"dropping-particle":"","family":"Osborne","given":"Brooke","non-dropping-particle":"","parse-names":false,"suffix":""},{"dropping-particle":"","family":"Thoirs","given":"Kerry","non-dropping-particle":"","parse-names":false,"suffix":""}],"container-title":"Journal of Medical Radiation Sciences","id":"ITEM-2","issued":{"date-parts":[["2018","7","23"]]},"title":"The value of the erect abdominal radiograph for the diagnosis of mechanical bowel obstruction and paralytic ileus in adults presenting with acute abdominal pain","type":"article-journal"},"uris":["http://www.mendeley.com/documents/?uuid=895d0ca7-1d63-4f2e-95f2-be42dc38140c"]}],"mendeley":{"formattedCitation":"&lt;sup&gt;[16,54]&lt;/sup&gt;","plainTextFormattedCitation":"[16,54]","previouslyFormattedCitation":"(16,54)"},"properties":{"noteIndex":0},"schema":"https://github.com/citation-style-language/schema/raw/master/csl-citation.json"}</w:instrText>
      </w:r>
      <w:r w:rsidR="001D2AD8" w:rsidRPr="00C042FF">
        <w:rPr>
          <w:rStyle w:val="FootnoteReference"/>
          <w:rFonts w:ascii="Book Antiqua" w:eastAsia="Arial" w:hAnsi="Book Antiqua" w:cs="Calibri"/>
          <w:lang w:val="en-US"/>
        </w:rPr>
        <w:fldChar w:fldCharType="separate"/>
      </w:r>
      <w:r w:rsidR="008201F7" w:rsidRPr="00C042FF">
        <w:rPr>
          <w:rFonts w:ascii="Book Antiqua" w:hAnsi="Book Antiqua" w:cs="Calibri"/>
          <w:bCs/>
          <w:noProof/>
          <w:vertAlign w:val="superscript"/>
        </w:rPr>
        <w:t>[16,54]</w:t>
      </w:r>
      <w:r w:rsidR="001D2AD8" w:rsidRPr="00C042FF">
        <w:rPr>
          <w:rStyle w:val="FootnoteReference"/>
          <w:rFonts w:ascii="Book Antiqua" w:hAnsi="Book Antiqua" w:cs="Calibri"/>
        </w:rPr>
        <w:fldChar w:fldCharType="end"/>
      </w:r>
      <w:r w:rsidR="00671888" w:rsidRPr="00C042FF">
        <w:rPr>
          <w:rFonts w:ascii="Book Antiqua" w:hAnsi="Book Antiqua" w:cs="Calibri"/>
        </w:rPr>
        <w:t>.</w:t>
      </w:r>
    </w:p>
    <w:p w14:paraId="4BA7FE42" w14:textId="77777777" w:rsidR="0046748A" w:rsidRDefault="0091384E" w:rsidP="0046748A">
      <w:pPr>
        <w:pStyle w:val="BodyText"/>
        <w:spacing w:line="360" w:lineRule="auto"/>
        <w:ind w:firstLineChars="100" w:firstLine="240"/>
        <w:jc w:val="both"/>
        <w:rPr>
          <w:rFonts w:ascii="Book Antiqua" w:eastAsia="SimSun" w:hAnsi="Book Antiqua" w:cs="Calibri"/>
          <w:sz w:val="24"/>
          <w:szCs w:val="24"/>
          <w:lang w:eastAsia="zh-CN"/>
        </w:rPr>
      </w:pPr>
      <w:r w:rsidRPr="00C042FF">
        <w:rPr>
          <w:rFonts w:ascii="Book Antiqua" w:hAnsi="Book Antiqua" w:cs="Calibri"/>
          <w:sz w:val="24"/>
          <w:szCs w:val="24"/>
        </w:rPr>
        <w:t xml:space="preserve">Computed tomography (CT) is recommended </w:t>
      </w:r>
      <w:r w:rsidR="004361C7" w:rsidRPr="00C042FF">
        <w:rPr>
          <w:rFonts w:ascii="Book Antiqua" w:hAnsi="Book Antiqua" w:cs="Calibri"/>
          <w:sz w:val="24"/>
          <w:szCs w:val="24"/>
        </w:rPr>
        <w:t>w</w:t>
      </w:r>
      <w:r w:rsidR="00671888" w:rsidRPr="00C042FF">
        <w:rPr>
          <w:rFonts w:ascii="Book Antiqua" w:hAnsi="Book Antiqua" w:cs="Calibri"/>
          <w:sz w:val="24"/>
          <w:szCs w:val="24"/>
        </w:rPr>
        <w:t>hen</w:t>
      </w:r>
      <w:r w:rsidR="00671888" w:rsidRPr="00C042FF">
        <w:rPr>
          <w:rFonts w:ascii="Book Antiqua" w:hAnsi="Book Antiqua" w:cs="Calibri"/>
          <w:spacing w:val="-30"/>
          <w:sz w:val="24"/>
          <w:szCs w:val="24"/>
        </w:rPr>
        <w:t xml:space="preserve"> </w:t>
      </w:r>
      <w:r w:rsidR="008072DB" w:rsidRPr="00C042FF">
        <w:rPr>
          <w:rFonts w:ascii="Book Antiqua" w:hAnsi="Book Antiqua" w:cs="Calibri"/>
          <w:bCs/>
          <w:sz w:val="24"/>
          <w:szCs w:val="24"/>
        </w:rPr>
        <w:t>MCO</w:t>
      </w:r>
      <w:r w:rsidR="00671888" w:rsidRPr="00C042FF">
        <w:rPr>
          <w:rFonts w:ascii="Book Antiqua" w:hAnsi="Book Antiqua" w:cs="Calibri"/>
          <w:spacing w:val="-30"/>
          <w:sz w:val="24"/>
          <w:szCs w:val="24"/>
        </w:rPr>
        <w:t xml:space="preserve"> </w:t>
      </w:r>
      <w:r w:rsidR="00671888" w:rsidRPr="00C042FF">
        <w:rPr>
          <w:rFonts w:ascii="Book Antiqua" w:hAnsi="Book Antiqua" w:cs="Calibri"/>
          <w:sz w:val="24"/>
          <w:szCs w:val="24"/>
        </w:rPr>
        <w:t>is</w:t>
      </w:r>
      <w:r w:rsidR="00671888" w:rsidRPr="00C042FF">
        <w:rPr>
          <w:rFonts w:ascii="Book Antiqua" w:hAnsi="Book Antiqua" w:cs="Calibri"/>
          <w:spacing w:val="-30"/>
          <w:sz w:val="24"/>
          <w:szCs w:val="24"/>
        </w:rPr>
        <w:t xml:space="preserve"> </w:t>
      </w:r>
      <w:r w:rsidR="00671888" w:rsidRPr="00C042FF">
        <w:rPr>
          <w:rFonts w:ascii="Book Antiqua" w:hAnsi="Book Antiqua" w:cs="Calibri"/>
          <w:sz w:val="24"/>
          <w:szCs w:val="24"/>
        </w:rPr>
        <w:t>suspected</w:t>
      </w:r>
      <w:r w:rsidR="00BC08FB" w:rsidRPr="00C042FF">
        <w:rPr>
          <w:rFonts w:ascii="Book Antiqua" w:hAnsi="Book Antiqua" w:cs="Calibri"/>
          <w:sz w:val="24"/>
          <w:szCs w:val="24"/>
        </w:rPr>
        <w:t xml:space="preserve"> and</w:t>
      </w:r>
      <w:r w:rsidR="001D2AD8" w:rsidRPr="00C042FF">
        <w:rPr>
          <w:rStyle w:val="FootnoteReference"/>
          <w:rFonts w:ascii="Book Antiqua" w:hAnsi="Book Antiqua" w:cs="Calibri"/>
          <w:sz w:val="24"/>
          <w:szCs w:val="24"/>
        </w:rPr>
        <w:fldChar w:fldCharType="begin" w:fldLock="1"/>
      </w:r>
      <w:r w:rsidR="008201F7" w:rsidRPr="00C042FF">
        <w:rPr>
          <w:rFonts w:ascii="Book Antiqua" w:hAnsi="Book Antiqua" w:cs="Calibri"/>
          <w:sz w:val="24"/>
          <w:szCs w:val="24"/>
        </w:rPr>
        <w:instrText>ADDIN CSL_CITATION {"citationItems":[{"id":"ITEM-1","itemData":{"ISSN":"1555-9823","PMID":"29981641","abstract":"Acute surgical abdomen is commonly encountered in the ED and CT is widely used as an informative diagnostic tool to evaluate potential surgical indications. However, the adverse effects of contrast material used in CT scanning have been documented. We sought to delineate the role of noncontrast CT in the evaluation of patients with acute surgical abdomen. Between August 2015 and December 2015, patients with nontraumatic surgical abdomen who underwent preoperative CT were enrolled in the current study. The patients for whom the CT results permitted surgical decision-making were the focus of this study. The disease entities included acute appendicitis, acute cholecystitis, hollow organ perforation, mechanical bowel obstruction, intra-abdominal abscess that could not be drained percutaneously, and ischemic bowel disease. The results of contrast-enhanced and noncontrast CT were compared and analyzed. The surgical conditions identifiable by noncontrast CT were recorded. In total, 227 patients were enrolled in the study. In 90.7 per cent of patients overall, the findings indicating the need for surgical treatment were visualized on both the noncontrast and contrast-enhanced images (acute appendicitis: 89.3%, acute cholecystitis: 89.7%, hollow organ perforation: 97.4%, bowel obstruction: 100%, intra-abdominal abscess: 100%, and ischemic bowel disease: 55.6%). Noncontrast CT provides benefit for critical decision-making. Body mass index may affect the accuracy of noncontrast imaging in the evaluation of patients with surgical abdomen. In some specific situations, contrast enhancement remains necessary.","author":[{"dropping-particle":"","family":"Li","given":"Pei-Hua","non-dropping-particle":"","parse-names":false,"suffix":""},{"dropping-particle":"","family":"Tee","given":"Yu-San","non-dropping-particle":"","parse-names":false,"suffix":""},{"dropping-particle":"","family":"Fu","given":"Chih-Yuan","non-dropping-particle":"","parse-names":false,"suffix":""},{"dropping-particle":"","family":"Liao","given":"Chien-Hung","non-dropping-particle":"","parse-names":false,"suffix":""},{"dropping-particle":"","family":"Wang","given":"Shang-Yu","non-dropping-particle":"","parse-names":false,"suffix":""},{"dropping-particle":"","family":"Hsu","given":"Yu-Pao","non-dropping-particle":"","parse-names":false,"suffix":""},{"dropping-particle":"","family":"Yeh","given":"Chun-Nan","non-dropping-particle":"","parse-names":false,"suffix":""},{"dropping-particle":"","family":"Wu","given":"En-Haw","non-dropping-particle":"","parse-names":false,"suffix":""}],"container-title":"The American surgeon","id":"ITEM-1","issue":"6","issued":{"date-parts":[["2018","6","1"]]},"page":"1015-1021","title":"The Role of Noncontrast CT in the Evaluation of Surgical Abdomen Patients.","type":"article-journal","volume":"84"},"uris":["http://www.mendeley.com/documents/?uuid=5c27290c-94c9-47ad-9163-a3a1799e2387"]}],"mendeley":{"formattedCitation":"&lt;sup&gt;[55]&lt;/sup&gt;","plainTextFormattedCitation":"[55]","previouslyFormattedCitation":"(55)"},"properties":{"noteIndex":0},"schema":"https://github.com/citation-style-language/schema/raw/master/csl-citation.json"}</w:instrText>
      </w:r>
      <w:r w:rsidR="001D2AD8" w:rsidRPr="00C042FF">
        <w:rPr>
          <w:rStyle w:val="FootnoteReference"/>
          <w:rFonts w:ascii="Book Antiqua" w:hAnsi="Book Antiqua" w:cs="Calibri"/>
          <w:sz w:val="24"/>
          <w:szCs w:val="24"/>
        </w:rPr>
        <w:fldChar w:fldCharType="separate"/>
      </w:r>
      <w:r w:rsidR="008201F7" w:rsidRPr="00C042FF">
        <w:rPr>
          <w:rFonts w:ascii="Book Antiqua" w:hAnsi="Book Antiqua" w:cs="Calibri"/>
          <w:bCs/>
          <w:noProof/>
          <w:sz w:val="24"/>
          <w:szCs w:val="24"/>
          <w:vertAlign w:val="superscript"/>
        </w:rPr>
        <w:t>[55]</w:t>
      </w:r>
      <w:r w:rsidR="001D2AD8" w:rsidRPr="00C042FF">
        <w:rPr>
          <w:rStyle w:val="FootnoteReference"/>
          <w:rFonts w:ascii="Book Antiqua" w:hAnsi="Book Antiqua" w:cs="Calibri"/>
          <w:sz w:val="24"/>
          <w:szCs w:val="24"/>
        </w:rPr>
        <w:fldChar w:fldCharType="end"/>
      </w:r>
      <w:r w:rsidR="00671888" w:rsidRPr="00C042FF">
        <w:rPr>
          <w:rFonts w:ascii="Book Antiqua" w:hAnsi="Book Antiqua" w:cs="Calibri"/>
          <w:spacing w:val="-30"/>
          <w:sz w:val="24"/>
          <w:szCs w:val="24"/>
        </w:rPr>
        <w:t xml:space="preserve"> </w:t>
      </w:r>
      <w:r w:rsidR="00671888" w:rsidRPr="00C042FF">
        <w:rPr>
          <w:rFonts w:ascii="Book Antiqua" w:hAnsi="Book Antiqua" w:cs="Calibri"/>
          <w:sz w:val="24"/>
          <w:szCs w:val="24"/>
        </w:rPr>
        <w:t>can</w:t>
      </w:r>
      <w:r w:rsidR="00671888" w:rsidRPr="00C042FF">
        <w:rPr>
          <w:rFonts w:ascii="Book Antiqua" w:hAnsi="Book Antiqua" w:cs="Calibri"/>
          <w:spacing w:val="-20"/>
          <w:sz w:val="24"/>
          <w:szCs w:val="24"/>
        </w:rPr>
        <w:t xml:space="preserve"> </w:t>
      </w:r>
      <w:r w:rsidR="00671888" w:rsidRPr="00C042FF">
        <w:rPr>
          <w:rFonts w:ascii="Book Antiqua" w:hAnsi="Book Antiqua" w:cs="Calibri"/>
          <w:sz w:val="24"/>
          <w:szCs w:val="24"/>
        </w:rPr>
        <w:t>confirm</w:t>
      </w:r>
      <w:r w:rsidR="00671888" w:rsidRPr="00C042FF">
        <w:rPr>
          <w:rFonts w:ascii="Book Antiqua" w:hAnsi="Book Antiqua" w:cs="Calibri"/>
          <w:spacing w:val="-20"/>
          <w:sz w:val="24"/>
          <w:szCs w:val="24"/>
        </w:rPr>
        <w:t xml:space="preserve"> </w:t>
      </w:r>
      <w:r w:rsidR="00671888" w:rsidRPr="00C042FF">
        <w:rPr>
          <w:rFonts w:ascii="Book Antiqua" w:hAnsi="Book Antiqua" w:cs="Calibri"/>
          <w:sz w:val="24"/>
          <w:szCs w:val="24"/>
        </w:rPr>
        <w:t>obstruction</w:t>
      </w:r>
      <w:r w:rsidR="00671888" w:rsidRPr="00C042FF">
        <w:rPr>
          <w:rFonts w:ascii="Book Antiqua" w:hAnsi="Book Antiqua" w:cs="Calibri"/>
          <w:spacing w:val="-20"/>
          <w:sz w:val="24"/>
          <w:szCs w:val="24"/>
        </w:rPr>
        <w:t xml:space="preserve"> </w:t>
      </w:r>
      <w:r w:rsidR="00BC08FB" w:rsidRPr="00C042FF">
        <w:rPr>
          <w:rFonts w:ascii="Book Antiqua" w:hAnsi="Book Antiqua" w:cs="Calibri"/>
          <w:spacing w:val="-20"/>
          <w:sz w:val="24"/>
          <w:szCs w:val="24"/>
        </w:rPr>
        <w:t xml:space="preserve">and </w:t>
      </w:r>
      <w:r w:rsidR="00BC08FB" w:rsidRPr="00C042FF">
        <w:rPr>
          <w:rFonts w:ascii="Book Antiqua" w:hAnsi="Book Antiqua" w:cs="Calibri"/>
          <w:sz w:val="24"/>
          <w:szCs w:val="24"/>
        </w:rPr>
        <w:t>clarify</w:t>
      </w:r>
      <w:r w:rsidR="00671888" w:rsidRPr="00C042FF">
        <w:rPr>
          <w:rFonts w:ascii="Book Antiqua" w:hAnsi="Book Antiqua" w:cs="Calibri"/>
          <w:spacing w:val="-8"/>
          <w:sz w:val="24"/>
          <w:szCs w:val="24"/>
        </w:rPr>
        <w:t xml:space="preserve"> </w:t>
      </w:r>
      <w:r w:rsidR="00671888" w:rsidRPr="00C042FF">
        <w:rPr>
          <w:rFonts w:ascii="Book Antiqua" w:hAnsi="Book Antiqua" w:cs="Calibri"/>
          <w:sz w:val="24"/>
          <w:szCs w:val="24"/>
        </w:rPr>
        <w:t>the</w:t>
      </w:r>
      <w:r w:rsidR="00671888" w:rsidRPr="00C042FF">
        <w:rPr>
          <w:rFonts w:ascii="Book Antiqua" w:hAnsi="Book Antiqua" w:cs="Calibri"/>
          <w:spacing w:val="-8"/>
          <w:sz w:val="24"/>
          <w:szCs w:val="24"/>
        </w:rPr>
        <w:t xml:space="preserve"> </w:t>
      </w:r>
      <w:r w:rsidR="00671888" w:rsidRPr="00C042FF">
        <w:rPr>
          <w:rFonts w:ascii="Book Antiqua" w:hAnsi="Book Antiqua" w:cs="Calibri"/>
          <w:sz w:val="24"/>
          <w:szCs w:val="24"/>
        </w:rPr>
        <w:t>level</w:t>
      </w:r>
      <w:r w:rsidR="00671888" w:rsidRPr="00C042FF">
        <w:rPr>
          <w:rFonts w:ascii="Book Antiqua" w:hAnsi="Book Antiqua" w:cs="Calibri"/>
          <w:spacing w:val="-8"/>
          <w:sz w:val="24"/>
          <w:szCs w:val="24"/>
        </w:rPr>
        <w:t xml:space="preserve"> </w:t>
      </w:r>
      <w:r w:rsidR="00671888" w:rsidRPr="00C042FF">
        <w:rPr>
          <w:rFonts w:ascii="Book Antiqua" w:hAnsi="Book Antiqua" w:cs="Calibri"/>
          <w:sz w:val="24"/>
          <w:szCs w:val="24"/>
        </w:rPr>
        <w:t>of</w:t>
      </w:r>
      <w:r w:rsidR="00671888" w:rsidRPr="00C042FF">
        <w:rPr>
          <w:rFonts w:ascii="Book Antiqua" w:hAnsi="Book Antiqua" w:cs="Calibri"/>
          <w:spacing w:val="-7"/>
          <w:sz w:val="24"/>
          <w:szCs w:val="24"/>
        </w:rPr>
        <w:t xml:space="preserve"> </w:t>
      </w:r>
      <w:r w:rsidR="00671888" w:rsidRPr="00C042FF">
        <w:rPr>
          <w:rFonts w:ascii="Book Antiqua" w:hAnsi="Book Antiqua" w:cs="Calibri"/>
          <w:sz w:val="24"/>
          <w:szCs w:val="24"/>
        </w:rPr>
        <w:t>the</w:t>
      </w:r>
      <w:r w:rsidR="00671888" w:rsidRPr="00C042FF">
        <w:rPr>
          <w:rFonts w:ascii="Book Antiqua" w:hAnsi="Book Antiqua" w:cs="Calibri"/>
          <w:spacing w:val="-8"/>
          <w:sz w:val="24"/>
          <w:szCs w:val="24"/>
        </w:rPr>
        <w:t xml:space="preserve"> </w:t>
      </w:r>
      <w:r w:rsidR="00671888" w:rsidRPr="00C042FF">
        <w:rPr>
          <w:rFonts w:ascii="Book Antiqua" w:hAnsi="Book Antiqua" w:cs="Calibri"/>
          <w:sz w:val="24"/>
          <w:szCs w:val="24"/>
        </w:rPr>
        <w:t>stricture</w:t>
      </w:r>
      <w:r w:rsidR="00465362" w:rsidRPr="00C042FF">
        <w:rPr>
          <w:rFonts w:ascii="Book Antiqua" w:hAnsi="Book Antiqua" w:cs="Calibri"/>
          <w:sz w:val="24"/>
          <w:szCs w:val="24"/>
        </w:rPr>
        <w:t>,</w:t>
      </w:r>
      <w:r w:rsidR="00BC08FB" w:rsidRPr="00C042FF">
        <w:rPr>
          <w:rFonts w:ascii="Book Antiqua" w:hAnsi="Book Antiqua" w:cs="Calibri"/>
          <w:sz w:val="24"/>
          <w:szCs w:val="24"/>
        </w:rPr>
        <w:t xml:space="preserve"> as well as identify</w:t>
      </w:r>
      <w:bookmarkStart w:id="7" w:name="_bookmark14"/>
      <w:bookmarkEnd w:id="7"/>
      <w:r w:rsidR="00671888" w:rsidRPr="00C042FF">
        <w:rPr>
          <w:rFonts w:ascii="Book Antiqua" w:hAnsi="Book Antiqua" w:cs="Calibri"/>
          <w:spacing w:val="-9"/>
          <w:sz w:val="24"/>
          <w:szCs w:val="24"/>
        </w:rPr>
        <w:t xml:space="preserve"> </w:t>
      </w:r>
      <w:r w:rsidR="00671888" w:rsidRPr="00C042FF">
        <w:rPr>
          <w:rFonts w:ascii="Book Antiqua" w:hAnsi="Book Antiqua" w:cs="Calibri"/>
          <w:sz w:val="24"/>
          <w:szCs w:val="24"/>
        </w:rPr>
        <w:t>the</w:t>
      </w:r>
      <w:r w:rsidR="00671888" w:rsidRPr="00C042FF">
        <w:rPr>
          <w:rFonts w:ascii="Book Antiqua" w:hAnsi="Book Antiqua" w:cs="Calibri"/>
          <w:spacing w:val="-10"/>
          <w:sz w:val="24"/>
          <w:szCs w:val="24"/>
        </w:rPr>
        <w:t xml:space="preserve"> </w:t>
      </w:r>
      <w:r w:rsidR="00671888" w:rsidRPr="00C042FF">
        <w:rPr>
          <w:rFonts w:ascii="Book Antiqua" w:hAnsi="Book Antiqua" w:cs="Calibri"/>
          <w:sz w:val="24"/>
          <w:szCs w:val="24"/>
        </w:rPr>
        <w:t>etiology</w:t>
      </w:r>
      <w:r w:rsidR="00671888" w:rsidRPr="00C042FF">
        <w:rPr>
          <w:rFonts w:ascii="Book Antiqua" w:hAnsi="Book Antiqua" w:cs="Calibri"/>
          <w:spacing w:val="-8"/>
          <w:sz w:val="24"/>
          <w:szCs w:val="24"/>
        </w:rPr>
        <w:t xml:space="preserve"> </w:t>
      </w:r>
      <w:r w:rsidR="00671888" w:rsidRPr="00C042FF">
        <w:rPr>
          <w:rFonts w:ascii="Book Antiqua" w:hAnsi="Book Antiqua" w:cs="Calibri"/>
          <w:sz w:val="24"/>
          <w:szCs w:val="24"/>
        </w:rPr>
        <w:t>of</w:t>
      </w:r>
      <w:r w:rsidR="00671888" w:rsidRPr="00C042FF">
        <w:rPr>
          <w:rFonts w:ascii="Book Antiqua" w:hAnsi="Book Antiqua" w:cs="Calibri"/>
          <w:spacing w:val="-9"/>
          <w:sz w:val="24"/>
          <w:szCs w:val="24"/>
        </w:rPr>
        <w:t xml:space="preserve"> </w:t>
      </w:r>
      <w:r w:rsidR="00671888" w:rsidRPr="00C042FF">
        <w:rPr>
          <w:rFonts w:ascii="Book Antiqua" w:hAnsi="Book Antiqua" w:cs="Calibri"/>
          <w:sz w:val="24"/>
          <w:szCs w:val="24"/>
        </w:rPr>
        <w:t>obstruction</w:t>
      </w:r>
      <w:r w:rsidR="001D2AD8" w:rsidRPr="00C042FF">
        <w:rPr>
          <w:rStyle w:val="FootnoteReference"/>
          <w:rFonts w:ascii="Book Antiqua" w:hAnsi="Book Antiqua" w:cs="Calibri"/>
          <w:spacing w:val="-13"/>
          <w:sz w:val="24"/>
          <w:szCs w:val="24"/>
        </w:rPr>
        <w:fldChar w:fldCharType="begin" w:fldLock="1"/>
      </w:r>
      <w:r w:rsidR="008201F7" w:rsidRPr="00C042FF">
        <w:rPr>
          <w:rFonts w:ascii="Book Antiqua" w:hAnsi="Book Antiqua" w:cs="Calibri"/>
          <w:spacing w:val="-13"/>
          <w:sz w:val="24"/>
          <w:szCs w:val="24"/>
        </w:rPr>
        <w:instrText>ADDIN CSL_CITATION {"citationItems":[{"id":"ITEM-1","itemData":{"DOI":"10.1016/j.amjsurg.2013.07.027","ISBN":"3493260768","ISSN":"00029610","PMID":"24124659","abstract":"BACKGROUND\\nThe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\\n\\nMETHODS\\nA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\\n\\nRESULTS\\nAfter a literature search of 1,768 titles and abstracts, 218 were selected for full-text assessment; 59 studies were ultimately included. Twenty-five studies of the diagnosis and treatment of obstruction and 34 studies of the use of stents were assessed. \\n\\nCONCLUSIONS\\nIn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Surgery","id":"ITEM-1","issue":"1","issued":{"date-parts":[["2014","1"]]},"language":"eng","page":"127-138","publisher-place":"United States","title":"Current management of acute malignant large bowel obstruction: a systematic review","type":"article-journal","volume":"207"},"uris":["http://www.mendeley.com/documents/?uuid=600706e8-68c1-40b4-ad8e-305f3c77f5b7"]},{"id":"ITEM-2","itemData":{"DOI":"10.1007/s002619900307","ISSN":"09428925","PMID":"9516501","abstract":"BACKGROUND: To determine whether computed tomography (CT) can satisfactorily diagnose and evaluate patients with suspected colonic obstruction. METHODS: Seventy-five patients with suspected colonic obstruction were evaluated prospectively by CT and compared with the gold standards of surgery and/or endoscopy in 65 patients, clinical course in nine, and contrast enema (CE) in one. A limited comparison between CT and CE (26) patients was also made in those patients who had both studies. RESULTS: CT successfully diagnosed colonic obstruction in 45 of 47 patients (96% sensitivity). Pseudo-obstruction was correctly diagnosed in 26 of 28 patients (93% specificity). CT correctly localized the point of obstruction in 44 of 47 patients (94%). CE successfully diagnosed obstruction in only 20 of 25 patients (80% sensitivity). CONCLUSION: In this study, CT proved to be a satisfactory modality in evaluating patients with suspected colonic obstruction. CT may in certain circumstances be preferable to the traditional CE in evaluating these patients.","author":[{"dropping-particle":"","family":"Frager","given":"D.","non-dropping-particle":"","parse-names":false,"suffix":""},{"dropping-particle":"","family":"Rovno","given":"H. D S","non-dropping-particle":"","parse-names":false,"suffix":""},{"dropping-particle":"","family":"Baer","given":"J. W.","non-dropping-particle":"","parse-names":false,"suffix":""},{"dropping-particle":"","family":"Bashist","given":"B.","non-dropping-particle":"","parse-names":false,"suffix":""},{"dropping-particle":"","family":"Friedman","given":"M.","non-dropping-particle":"","parse-names":false,"suffix":""}],"container-title":"Abdominal Imaging","id":"ITEM-2","issue":"2","issued":{"date-parts":[["1998"]]},"page":"141-146","title":"Prospective evaluation of colonic obstruction with computed tomography","type":"article-journal","volume":"23"},"uris":["http://www.mendeley.com/documents/?uuid=46c24224-a78c-408e-a358-a9d4baca9e51"]}],"mendeley":{"formattedCitation":"&lt;sup&gt;[41,56]&lt;/sup&gt;","plainTextFormattedCitation":"[41,56]","previouslyFormattedCitation":"(41,56)"},"properties":{"noteIndex":0},"schema":"https://github.com/citation-style-language/schema/raw/master/csl-citation.json"}</w:instrText>
      </w:r>
      <w:r w:rsidR="001D2AD8" w:rsidRPr="00C042FF">
        <w:rPr>
          <w:rStyle w:val="FootnoteReference"/>
          <w:rFonts w:ascii="Book Antiqua" w:hAnsi="Book Antiqua" w:cs="Calibri"/>
          <w:spacing w:val="-13"/>
          <w:sz w:val="24"/>
          <w:szCs w:val="24"/>
        </w:rPr>
        <w:fldChar w:fldCharType="separate"/>
      </w:r>
      <w:r w:rsidR="008201F7" w:rsidRPr="00C042FF">
        <w:rPr>
          <w:rFonts w:ascii="Book Antiqua" w:hAnsi="Book Antiqua" w:cs="Calibri"/>
          <w:bCs/>
          <w:noProof/>
          <w:spacing w:val="-13"/>
          <w:sz w:val="24"/>
          <w:szCs w:val="24"/>
          <w:vertAlign w:val="superscript"/>
        </w:rPr>
        <w:t>[41,56]</w:t>
      </w:r>
      <w:r w:rsidR="001D2AD8" w:rsidRPr="00C042FF">
        <w:rPr>
          <w:rStyle w:val="FootnoteReference"/>
          <w:rFonts w:ascii="Book Antiqua" w:hAnsi="Book Antiqua" w:cs="Calibri"/>
          <w:spacing w:val="-13"/>
          <w:sz w:val="24"/>
          <w:szCs w:val="24"/>
        </w:rPr>
        <w:fldChar w:fldCharType="end"/>
      </w:r>
      <w:r w:rsidR="0087373D" w:rsidRPr="00C042FF">
        <w:rPr>
          <w:rFonts w:ascii="Book Antiqua" w:hAnsi="Book Antiqua" w:cs="Calibri"/>
          <w:sz w:val="24"/>
          <w:szCs w:val="24"/>
        </w:rPr>
        <w:t xml:space="preserve"> </w:t>
      </w:r>
      <w:r w:rsidR="00BC08FB" w:rsidRPr="00C042FF">
        <w:rPr>
          <w:rFonts w:ascii="Book Antiqua" w:hAnsi="Book Antiqua" w:cs="Calibri"/>
          <w:sz w:val="24"/>
          <w:szCs w:val="24"/>
        </w:rPr>
        <w:t>.</w:t>
      </w:r>
    </w:p>
    <w:p w14:paraId="416220AD" w14:textId="77777777" w:rsidR="0046748A" w:rsidRDefault="0046748A" w:rsidP="0046748A">
      <w:pPr>
        <w:pStyle w:val="BodyText"/>
        <w:spacing w:line="360" w:lineRule="auto"/>
        <w:jc w:val="both"/>
        <w:rPr>
          <w:rFonts w:ascii="Book Antiqua" w:eastAsia="SimSun" w:hAnsi="Book Antiqua" w:cs="Calibri"/>
          <w:sz w:val="24"/>
          <w:szCs w:val="24"/>
          <w:lang w:eastAsia="zh-CN"/>
        </w:rPr>
      </w:pPr>
    </w:p>
    <w:p w14:paraId="150CB45C" w14:textId="06D2004C" w:rsidR="00AD3AA5" w:rsidRPr="0046748A" w:rsidRDefault="00C07AB2" w:rsidP="0046748A">
      <w:pPr>
        <w:pStyle w:val="BodyText"/>
        <w:spacing w:line="360" w:lineRule="auto"/>
        <w:jc w:val="both"/>
        <w:rPr>
          <w:rFonts w:ascii="Book Antiqua" w:hAnsi="Book Antiqua" w:cs="Calibri"/>
          <w:sz w:val="24"/>
          <w:szCs w:val="24"/>
        </w:rPr>
      </w:pPr>
      <w:r w:rsidRPr="00C042FF">
        <w:rPr>
          <w:rFonts w:ascii="Book Antiqua" w:hAnsi="Book Antiqua"/>
          <w:b/>
          <w:sz w:val="24"/>
          <w:szCs w:val="24"/>
        </w:rPr>
        <w:t>STENTS INDICATIONS</w:t>
      </w:r>
    </w:p>
    <w:p w14:paraId="5A551C66" w14:textId="08CE827F" w:rsidR="00ED54D0" w:rsidRPr="00C042FF" w:rsidRDefault="00312C02" w:rsidP="003E14C8">
      <w:pPr>
        <w:spacing w:line="360" w:lineRule="auto"/>
        <w:jc w:val="both"/>
        <w:rPr>
          <w:rFonts w:ascii="Book Antiqua" w:hAnsi="Book Antiqua"/>
          <w:b/>
          <w:i/>
          <w:lang w:val="en-US"/>
        </w:rPr>
      </w:pPr>
      <w:r w:rsidRPr="00C042FF">
        <w:rPr>
          <w:rFonts w:ascii="Book Antiqua" w:hAnsi="Book Antiqua"/>
          <w:b/>
          <w:i/>
          <w:lang w:val="en-US"/>
        </w:rPr>
        <w:t>Indications</w:t>
      </w:r>
    </w:p>
    <w:p w14:paraId="0497CAAE" w14:textId="20D6FD14" w:rsidR="00C07AB2" w:rsidRPr="00807ADD" w:rsidRDefault="00EB2530" w:rsidP="00807ADD">
      <w:pPr>
        <w:widowControl w:val="0"/>
        <w:autoSpaceDE w:val="0"/>
        <w:autoSpaceDN w:val="0"/>
        <w:adjustRightInd w:val="0"/>
        <w:spacing w:line="360" w:lineRule="auto"/>
        <w:jc w:val="both"/>
        <w:rPr>
          <w:rFonts w:ascii="Book Antiqua" w:hAnsi="Book Antiqua"/>
          <w:lang w:val="en-US"/>
        </w:rPr>
      </w:pPr>
      <w:r w:rsidRPr="00C042FF">
        <w:rPr>
          <w:rFonts w:ascii="Book Antiqua" w:hAnsi="Book Antiqua"/>
          <w:lang w:val="en-US"/>
        </w:rPr>
        <w:t xml:space="preserve"> </w:t>
      </w:r>
      <w:r w:rsidR="00F32CFA" w:rsidRPr="00C042FF">
        <w:rPr>
          <w:rFonts w:ascii="Book Antiqua" w:hAnsi="Book Antiqua"/>
          <w:lang w:val="en-US"/>
        </w:rPr>
        <w:t xml:space="preserve">Currently, indications for stent placement in patients with </w:t>
      </w:r>
      <w:r w:rsidR="008072DB" w:rsidRPr="00C042FF">
        <w:rPr>
          <w:rFonts w:ascii="Book Antiqua" w:hAnsi="Book Antiqua" w:cs="Calibri"/>
          <w:bCs/>
          <w:lang w:val="en-US"/>
        </w:rPr>
        <w:t>MCO</w:t>
      </w:r>
      <w:r w:rsidR="00F32CFA" w:rsidRPr="00C042FF">
        <w:rPr>
          <w:rFonts w:ascii="Book Antiqua" w:hAnsi="Book Antiqua"/>
          <w:lang w:val="en-US"/>
        </w:rPr>
        <w:t xml:space="preserve"> are: </w:t>
      </w:r>
      <w:r w:rsidR="00C07AB2" w:rsidRPr="00C042FF">
        <w:rPr>
          <w:rFonts w:ascii="Book Antiqua" w:eastAsia="Arial" w:hAnsi="Book Antiqua" w:cs="Calibri"/>
          <w:lang w:val="en-US"/>
        </w:rPr>
        <w:t xml:space="preserve">Stent as a </w:t>
      </w:r>
      <w:r w:rsidR="00DC60ED" w:rsidRPr="00C042FF">
        <w:rPr>
          <w:rFonts w:ascii="Book Antiqua" w:eastAsia="Arial" w:hAnsi="Book Antiqua" w:cs="Calibri"/>
          <w:lang w:val="en-US"/>
        </w:rPr>
        <w:t>“</w:t>
      </w:r>
      <w:r w:rsidR="00C07AB2" w:rsidRPr="00C042FF">
        <w:rPr>
          <w:rFonts w:ascii="Book Antiqua" w:eastAsia="Arial" w:hAnsi="Book Antiqua" w:cs="Calibri"/>
          <w:lang w:val="en-US"/>
        </w:rPr>
        <w:t>bridge to surgery</w:t>
      </w:r>
      <w:r w:rsidR="00DC60ED" w:rsidRPr="00C042FF">
        <w:rPr>
          <w:rFonts w:ascii="Book Antiqua" w:eastAsia="Arial" w:hAnsi="Book Antiqua" w:cs="Calibri"/>
          <w:lang w:val="en-US"/>
        </w:rPr>
        <w:t>”</w:t>
      </w:r>
      <w:r w:rsidR="00D031BC" w:rsidRPr="00C042FF">
        <w:rPr>
          <w:rFonts w:ascii="Book Antiqua" w:eastAsia="Arial" w:hAnsi="Book Antiqua" w:cs="Calibri"/>
          <w:lang w:val="en-US"/>
        </w:rPr>
        <w:t xml:space="preserve"> to avoid</w:t>
      </w:r>
      <w:r w:rsidR="00C07AB2" w:rsidRPr="00C042FF">
        <w:rPr>
          <w:rFonts w:ascii="Book Antiqua" w:eastAsia="Arial" w:hAnsi="Book Antiqua" w:cs="Calibri"/>
          <w:lang w:val="en-US"/>
        </w:rPr>
        <w:t xml:space="preserve"> </w:t>
      </w:r>
      <w:r w:rsidR="0029194A" w:rsidRPr="00C042FF">
        <w:rPr>
          <w:rFonts w:ascii="Book Antiqua" w:eastAsia="Arial" w:hAnsi="Book Antiqua" w:cs="Calibri"/>
          <w:lang w:val="en-US"/>
        </w:rPr>
        <w:t>ES</w:t>
      </w:r>
      <w:r w:rsidR="001D2AD8" w:rsidRPr="00C042FF">
        <w:rPr>
          <w:rStyle w:val="FootnoteReference"/>
          <w:rFonts w:ascii="Book Antiqua" w:eastAsia="Arial" w:hAnsi="Book Antiqua" w:cs="Calibri"/>
          <w:lang w:val="en-US"/>
        </w:rPr>
        <w:fldChar w:fldCharType="begin" w:fldLock="1"/>
      </w:r>
      <w:r w:rsidR="008201F7" w:rsidRPr="00C042FF">
        <w:rPr>
          <w:rFonts w:ascii="Book Antiqua" w:eastAsia="Arial" w:hAnsi="Book Antiqua" w:cs="Calibri"/>
          <w:lang w:val="en-US"/>
        </w:rPr>
        <w:instrText>ADDIN CSL_CITATION {"citationItems":[{"id":"ITEM-1","itemData":{"DOI":"10.1016/j.gie.2011.12.020","ISBN":"1097-6779 (Electronic)\\r0016-5107 (Linking)","ISSN":"00165107","PMID":"22341111","author":[{"dropping-particle":"","family":"Baron","given":"Todd H.","non-dropping-particle":"","parse-names":false,"suffix":""},{"dropping-particle":"","family":"Wong Kee Song","given":"Louis M.","non-dropping-particle":"","parse-names":false,"suffix":""},{"dropping-particle":"","family":"Repici","given":"Alessandro","non-dropping-particle":"","parse-names":false,"suffix":""}],"container-title":"Gastrointestinal Endoscopy","id":"ITEM-1","issue":"3","issued":{"date-parts":[["2012","3"]]},"page":"653-662","title":"Role of self-expandable stents for patients with colon cancer (with videos)","type":"article-journal","volume":"75"},"uris":["http://www.mendeley.com/documents/?uuid=43f42299-efa7-48eb-a35d-3dd10f870077"]}],"mendeley":{"formattedCitation":"&lt;sup&gt;[57]&lt;/sup&gt;","plainTextFormattedCitation":"[57]","previouslyFormattedCitation":"(57)"},"properties":{"noteIndex":0},"schema":"https://github.com/citation-style-language/schema/raw/master/csl-citation.json"}</w:instrText>
      </w:r>
      <w:r w:rsidR="001D2AD8" w:rsidRPr="00C042FF">
        <w:rPr>
          <w:rStyle w:val="FootnoteReference"/>
          <w:rFonts w:ascii="Book Antiqua" w:eastAsia="Arial" w:hAnsi="Book Antiqua" w:cs="Calibri"/>
          <w:lang w:val="en-US"/>
        </w:rPr>
        <w:fldChar w:fldCharType="separate"/>
      </w:r>
      <w:r w:rsidR="008201F7" w:rsidRPr="00C042FF">
        <w:rPr>
          <w:rFonts w:ascii="Book Antiqua" w:eastAsia="Arial" w:hAnsi="Book Antiqua" w:cs="Calibri"/>
          <w:bCs/>
          <w:noProof/>
          <w:vertAlign w:val="superscript"/>
          <w:lang w:val="en-US"/>
        </w:rPr>
        <w:t>[57]</w:t>
      </w:r>
      <w:r w:rsidR="001D2AD8" w:rsidRPr="00C042FF">
        <w:rPr>
          <w:rStyle w:val="FootnoteReference"/>
          <w:rFonts w:ascii="Book Antiqua" w:eastAsia="Arial" w:hAnsi="Book Antiqua" w:cs="Calibri"/>
          <w:lang w:val="en-US"/>
        </w:rPr>
        <w:fldChar w:fldCharType="end"/>
      </w:r>
      <w:r w:rsidR="00807ADD">
        <w:rPr>
          <w:rFonts w:ascii="Book Antiqua" w:hAnsi="Book Antiqua" w:cs="Calibri" w:hint="eastAsia"/>
          <w:lang w:val="en-US" w:eastAsia="zh-CN"/>
        </w:rPr>
        <w:t xml:space="preserve">; </w:t>
      </w:r>
      <w:r w:rsidR="00DC60ED" w:rsidRPr="00807ADD">
        <w:rPr>
          <w:rFonts w:ascii="Book Antiqua" w:eastAsia="Arial" w:hAnsi="Book Antiqua" w:cs="Calibri"/>
          <w:lang w:val="en-US"/>
        </w:rPr>
        <w:t xml:space="preserve">Palliative </w:t>
      </w:r>
      <w:r w:rsidR="008072DB" w:rsidRPr="00807ADD">
        <w:rPr>
          <w:rFonts w:ascii="Book Antiqua" w:hAnsi="Book Antiqua" w:cs="Calibri"/>
          <w:bCs/>
          <w:lang w:val="en-US"/>
        </w:rPr>
        <w:t>CRC</w:t>
      </w:r>
      <w:r w:rsidR="00DC60ED" w:rsidRPr="00807ADD">
        <w:rPr>
          <w:rFonts w:ascii="Book Antiqua" w:eastAsia="Arial" w:hAnsi="Book Antiqua" w:cs="Calibri"/>
          <w:lang w:val="en-US"/>
        </w:rPr>
        <w:t xml:space="preserve"> patients</w:t>
      </w:r>
      <w:r w:rsidR="001D2AD8" w:rsidRPr="00807ADD">
        <w:rPr>
          <w:rStyle w:val="FootnoteReference"/>
          <w:rFonts w:ascii="Book Antiqua" w:eastAsia="Arial" w:hAnsi="Book Antiqua" w:cs="Calibri"/>
          <w:lang w:val="en-US"/>
        </w:rPr>
        <w:fldChar w:fldCharType="begin" w:fldLock="1"/>
      </w:r>
      <w:r w:rsidR="008201F7" w:rsidRPr="00807ADD">
        <w:rPr>
          <w:rFonts w:ascii="Book Antiqua" w:eastAsia="Arial" w:hAnsi="Book Antiqua" w:cs="Calibri"/>
          <w:lang w:val="en-US"/>
        </w:rPr>
        <w:instrText>ADDIN CSL_CITATION {"citationItems":[{"id":"ITEM-1","itemData":{"DOI":"10.1016/j.gie.2018.04.2069","ISSN":"00165107","author":[{"dropping-particle":"","family":"Ribeiro","given":"Igor B.","non-dropping-particle":"","parse-names":false,"suffix":""},{"dropping-particle":"","family":"Bernardo","given":"Wanderlei M.","non-dropping-particle":"","parse-names":false,"suffix":""},{"dropping-particle":"","family":"Costa Martins","given":"Bruno","non-dropping-particle":"da","parse-names":false,"suffix":""},{"dropping-particle":"","family":"Moura","given":"Diogo T.","non-dropping-particle":"de","parse-names":false,"suffix":""},{"dropping-particle":"","family":"Moura","given":"Eduardo T.","non-dropping-particle":"","parse-names":false,"suffix":""},{"dropping-particle":"","family":"Miyajima","given":"Nelson T.","non-dropping-particle":"","parse-names":false,"suffix":""},{"dropping-particle":"","family":"Ide","given":"Edson","non-dropping-particle":"","parse-names":false,"suffix":""},{"dropping-particle":"","family":"Madruga Neto","given":"Antonio C.","non-dropping-particle":"","parse-names":false,"suffix":""},{"dropping-particle":"","family":"Coronel","given":"Martin A.","non-dropping-particle":"","parse-names":false,"suffix":""},{"dropping-particle":"","family":"Martins","given":"Rafael K.","non-dropping-particle":"","parse-names":false,"suffix":""},{"dropping-particle":"","family":"Ponte","given":"Alberto M.","non-dropping-particle":"da","parse-names":false,"suffix":""},{"dropping-particle":"","family":"Moura","given":"Eduardo G.","non-dropping-particle":"de","parse-names":false,"suffix":""}],"container-title":"Gastrointestinal Endoscopy","id":"ITEM-1","issue":"6","issued":{"date-parts":[["2018","6"]]},"page":"AB490","title":"Self-expanded metal stent versus emergency surgery as treatment of malignant colonic obstruction in the palliative setting: a Systematic review and meta-analysis","type":"article-journal","volume":"87"},"uris":["http://www.mendeley.com/documents/?uuid=98a42996-b31f-4cf5-bbe3-2c2daa5900c3"]}],"mendeley":{"formattedCitation":"&lt;sup&gt;[58]&lt;/sup&gt;","plainTextFormattedCitation":"[58]","previouslyFormattedCitation":"(58)"},"properties":{"noteIndex":0},"schema":"https://github.com/citation-style-language/schema/raw/master/csl-citation.json"}</w:instrText>
      </w:r>
      <w:r w:rsidR="001D2AD8" w:rsidRPr="00807ADD">
        <w:rPr>
          <w:rStyle w:val="FootnoteReference"/>
          <w:rFonts w:ascii="Book Antiqua" w:eastAsia="Arial" w:hAnsi="Book Antiqua" w:cs="Calibri"/>
          <w:lang w:val="en-US"/>
        </w:rPr>
        <w:fldChar w:fldCharType="separate"/>
      </w:r>
      <w:r w:rsidR="008201F7" w:rsidRPr="00807ADD">
        <w:rPr>
          <w:rFonts w:ascii="Book Antiqua" w:eastAsia="Arial" w:hAnsi="Book Antiqua" w:cs="Calibri"/>
          <w:bCs/>
          <w:noProof/>
          <w:vertAlign w:val="superscript"/>
        </w:rPr>
        <w:t>[58]</w:t>
      </w:r>
      <w:r w:rsidR="001D2AD8" w:rsidRPr="00807ADD">
        <w:rPr>
          <w:rStyle w:val="FootnoteReference"/>
          <w:rFonts w:ascii="Book Antiqua" w:eastAsia="Arial" w:hAnsi="Book Antiqua" w:cs="Calibri"/>
          <w:lang w:val="en-US"/>
        </w:rPr>
        <w:fldChar w:fldCharType="end"/>
      </w:r>
      <w:r w:rsidR="00807ADD" w:rsidRPr="00807ADD">
        <w:rPr>
          <w:rFonts w:ascii="Book Antiqua" w:hAnsi="Book Antiqua" w:cs="Calibri" w:hint="eastAsia"/>
          <w:lang w:val="en-US" w:eastAsia="zh-CN"/>
        </w:rPr>
        <w:t xml:space="preserve">; </w:t>
      </w:r>
      <w:r w:rsidR="00D031BC" w:rsidRPr="00807ADD">
        <w:rPr>
          <w:rFonts w:ascii="Book Antiqua" w:eastAsia="Arial" w:hAnsi="Book Antiqua" w:cs="Calibri"/>
          <w:lang w:val="en-US"/>
        </w:rPr>
        <w:t>E</w:t>
      </w:r>
      <w:r w:rsidR="00DC60ED" w:rsidRPr="00807ADD">
        <w:rPr>
          <w:rFonts w:ascii="Book Antiqua" w:eastAsia="Arial" w:hAnsi="Book Antiqua" w:cs="Calibri"/>
          <w:lang w:val="en-US"/>
        </w:rPr>
        <w:t xml:space="preserve">xtra colonic tumors causing </w:t>
      </w:r>
      <w:r w:rsidR="00D031BC" w:rsidRPr="00807ADD">
        <w:rPr>
          <w:rFonts w:ascii="Book Antiqua" w:eastAsia="Arial" w:hAnsi="Book Antiqua" w:cs="Calibri"/>
          <w:lang w:val="en-US"/>
        </w:rPr>
        <w:t>acute abdominal obstruction</w:t>
      </w:r>
      <w:r w:rsidR="00DC60ED" w:rsidRPr="00807ADD">
        <w:rPr>
          <w:rFonts w:ascii="Book Antiqua" w:eastAsia="Arial" w:hAnsi="Book Antiqua" w:cs="Calibri"/>
          <w:lang w:val="en-US"/>
        </w:rPr>
        <w:t xml:space="preserve"> </w:t>
      </w:r>
      <w:r w:rsidR="00C07AB2" w:rsidRPr="00807ADD">
        <w:rPr>
          <w:rFonts w:ascii="Book Antiqua" w:eastAsia="Arial" w:hAnsi="Book Antiqua" w:cs="Calibri"/>
          <w:lang w:val="en-US"/>
        </w:rPr>
        <w:t>(</w:t>
      </w:r>
      <w:r w:rsidR="00C07AB2" w:rsidRPr="00807ADD">
        <w:rPr>
          <w:rFonts w:ascii="Book Antiqua" w:eastAsia="Arial" w:hAnsi="Book Antiqua" w:cs="Calibri"/>
          <w:i/>
          <w:lang w:val="en-US"/>
        </w:rPr>
        <w:t>e.g.</w:t>
      </w:r>
      <w:r w:rsidR="00C07AB2" w:rsidRPr="00807ADD">
        <w:rPr>
          <w:rFonts w:ascii="Book Antiqua" w:eastAsia="Arial" w:hAnsi="Book Antiqua" w:cs="Calibri"/>
          <w:lang w:val="en-US"/>
        </w:rPr>
        <w:t xml:space="preserve">, </w:t>
      </w:r>
      <w:r w:rsidR="00A246A7" w:rsidRPr="00807ADD">
        <w:rPr>
          <w:rFonts w:ascii="Book Antiqua" w:eastAsia="Arial" w:hAnsi="Book Antiqua" w:cs="Calibri"/>
          <w:lang w:val="en-US"/>
        </w:rPr>
        <w:t>advance</w:t>
      </w:r>
      <w:r w:rsidR="00302D63" w:rsidRPr="00807ADD">
        <w:rPr>
          <w:rFonts w:ascii="Book Antiqua" w:eastAsia="Arial" w:hAnsi="Book Antiqua" w:cs="Calibri"/>
          <w:lang w:val="en-US"/>
        </w:rPr>
        <w:t>d</w:t>
      </w:r>
      <w:r w:rsidR="00A246A7" w:rsidRPr="00807ADD">
        <w:rPr>
          <w:rFonts w:ascii="Book Antiqua" w:eastAsia="Arial" w:hAnsi="Book Antiqua" w:cs="Calibri"/>
          <w:lang w:val="en-US"/>
        </w:rPr>
        <w:t xml:space="preserve"> gastric cancer, </w:t>
      </w:r>
      <w:r w:rsidR="00C07AB2" w:rsidRPr="00807ADD">
        <w:rPr>
          <w:rFonts w:ascii="Book Antiqua" w:eastAsia="Arial" w:hAnsi="Book Antiqua" w:cs="Calibri"/>
          <w:lang w:val="en-US"/>
        </w:rPr>
        <w:t>ovarian cancer)</w:t>
      </w:r>
      <w:r w:rsidR="001D2AD8" w:rsidRPr="00807ADD">
        <w:rPr>
          <w:rStyle w:val="FootnoteReference"/>
          <w:rFonts w:ascii="Book Antiqua" w:eastAsia="Arial" w:hAnsi="Book Antiqua" w:cs="Calibri"/>
          <w:lang w:val="en-US"/>
        </w:rPr>
        <w:fldChar w:fldCharType="begin" w:fldLock="1"/>
      </w:r>
      <w:r w:rsidR="008201F7" w:rsidRPr="00807ADD">
        <w:rPr>
          <w:rFonts w:ascii="Book Antiqua" w:eastAsia="Arial" w:hAnsi="Book Antiqua" w:cs="Calibri"/>
          <w:lang w:val="en-US"/>
        </w:rPr>
        <w:instrText>ADDIN CSL_CITATION {"citationItems":[{"id":"ITEM-1","itemData":{"DOI":"10.1016/j.gie.2017.03.928","ISSN":"00165107","author":[{"dropping-particle":"","family":"Lin","given":"James L.","non-dropping-particle":"","parse-names":false,"suffix":""},{"dropping-particle":"","family":"David","given":"Donald","non-dropping-particle":"","parse-names":false,"suffix":""},{"dropping-particle":"","family":"Lee","given":"Byrne","non-dropping-particle":"","parse-names":false,"suffix":""}],"container-title":"Gastrointestinal Endoscopy","id":"ITEM-1","issue":"5","issued":{"date-parts":[["2017","5"]]},"page":"AB401","title":"Su1699 Efficacy of Self-Expandable Metallic Stents for Colonic and Extracolonic Malignant Obstruction","type":"article-journal","volume":"85"},"uris":["http://www.mendeley.com/documents/?uuid=69ed1f5e-2064-49d8-b07b-67e3beabdaab"]},{"id":"ITEM-2","itemData":{"DOI":"10.1016/j.gie.2017.12.017","ISSN":"00165107","author":[{"dropping-particle":"","family":"Faraz","given":"Shahdabul","non-dropping-particle":"","parse-names":false,"suffix":""},{"dropping-particle":"","family":"Salem","given":"Suhail B.","non-dropping-particle":"","parse-names":false,"suffix":""},{"dropping-particle":"","family":"Schattner","given":"Mark","non-dropping-particle":"","parse-names":false,"suffix":""},{"dropping-particle":"","family":"Mendelsohn","given":"Robin","non-dropping-particle":"","parse-names":false,"suffix":""},{"dropping-particle":"","family":"Markowitz","given":"Arnold","non-dropping-particle":"","parse-names":false,"suffix":""},{"dropping-particle":"","family":"Ludwig","given":"Emmy","non-dropping-particle":"","parse-names":false,"suffix":""},{"dropping-particle":"","family":"Zheng","given":"Junting","non-dropping-particle":"","parse-names":false,"suffix":""},{"dropping-particle":"","family":"Gerdes","given":"Hans","non-dropping-particle":"","parse-names":false,"suffix":""},{"dropping-particle":"","family":"Shah","given":"Pari M.","non-dropping-particle":"","parse-names":false,"suffix":""}],"container-title":"Gastrointestinal Endoscopy","id":"ITEM-2","issue":"5","issued":{"date-parts":[["2018","5"]]},"page":"1310-1317","title":"Predictors of clinical outcome of colonic stents in patients with malignant large-bowel obstruction because of extracolonic malignancy","type":"article-journal","volume":"87"},"uris":["http://www.mendeley.com/documents/?uuid=94d0e3b2-1cf5-490c-a181-840417a789c1"]},{"id":"ITEM-3","itemData":{"DOI":"10.1007/s00384-010-0941-6","ISBN":"1432-1262 (Electronic)\\r0179-1958 (Linking)","ISSN":"01791958","PMID":"20390286","abstract":"AIM: The aim of this study is to report our experience gained after attempted colonic stenting for colonic obstruction from extracolonic cancer. METHOD This is a retrospective study of all patients who had attempted colonic stenting for obstructing extracolonic cancer in a district general hospital from November 1998 to November 2008. RESULTS: During the study period, a total of 12 stent procedures were carried out in 11 patients with colonic obstruction from extracolonic cancer and were analysed further. These represented 8.5% of a total of 141 stent procedures performed in 130 patients. Fluoroscopic technique was used alone. The median age was 73 years with a range from 47 to 88 years. The underlying malignancy was ovarian in five, urinary bladder in one, kidney in one, prostatic in one, breast in one, cholangiocarcinoma in one and carcinoid in one. The technical and clinical success rate was 42% and 25%, respectively. The 30-day mortality rate was 36%. Stent-related complications included one perforation. The colostomy formation rate was 45%. Only two patients survived over a month with a stent and without a subsequent colostomy. The median survival time was 2 months. The 3-, 6- and 12-month survival rate was 36%, 18% and 9%, respectively. CONCLUSIONS: Our experience does not support the routine use of colonic stenting for extracolonic cancer obstructing the colon. A more realistic approach is necessary including either the acceptance that the obstruction represents a life-ending event or proceeding immediately to a colostomy. Decisions should be individualised and stenting used after recognising its shortcomings.","author":[{"dropping-particle":"","family":"Trompetas","given":"Vasileios","non-dropping-particle":"","parse-names":false,"suffix":""},{"dropping-particle":"","family":"Saunders","given":"Mike","non-dropping-particle":"","parse-names":false,"suffix":""},{"dropping-particle":"","family":"Gossage","given":"James","non-dropping-particle":"","parse-names":false,"suffix":""},{"dropping-particle":"","family":"Anderson","given":"Hugh","non-dropping-particle":"","parse-names":false,"suffix":""}],"container-title":"International Journal of Colorectal Disease","id":"ITEM-3","issue":"7","issued":{"date-parts":[["2010"]]},"page":"851-854","title":"Shortcomings in colonic stenting to palliate large bowel obstruction from extracolonic malignancies","type":"article-journal","volume":"25"},"uris":["http://www.mendeley.com/documents/?uuid=be221297-fec9-4acb-b702-b99f9899f28e"]}],"mendeley":{"formattedCitation":"&lt;sup&gt;[59–61]&lt;/sup&gt;","plainTextFormattedCitation":"[59–61]","previouslyFormattedCitation":"(59–61)"},"properties":{"noteIndex":0},"schema":"https://github.com/citation-style-language/schema/raw/master/csl-citation.json"}</w:instrText>
      </w:r>
      <w:r w:rsidR="001D2AD8" w:rsidRPr="00807ADD">
        <w:rPr>
          <w:rStyle w:val="FootnoteReference"/>
          <w:rFonts w:ascii="Book Antiqua" w:eastAsia="Arial" w:hAnsi="Book Antiqua" w:cs="Calibri"/>
          <w:lang w:val="en-US"/>
        </w:rPr>
        <w:fldChar w:fldCharType="separate"/>
      </w:r>
      <w:r w:rsidR="008201F7" w:rsidRPr="00807ADD">
        <w:rPr>
          <w:rFonts w:ascii="Book Antiqua" w:eastAsia="Arial" w:hAnsi="Book Antiqua" w:cs="Calibri"/>
          <w:bCs/>
          <w:noProof/>
          <w:vertAlign w:val="superscript"/>
        </w:rPr>
        <w:t>[59–61]</w:t>
      </w:r>
      <w:r w:rsidR="001D2AD8" w:rsidRPr="00807ADD">
        <w:rPr>
          <w:rStyle w:val="FootnoteReference"/>
          <w:rFonts w:ascii="Book Antiqua" w:eastAsia="Arial" w:hAnsi="Book Antiqua" w:cs="Calibri"/>
          <w:lang w:val="en-US"/>
        </w:rPr>
        <w:fldChar w:fldCharType="end"/>
      </w:r>
      <w:r w:rsidR="00C07AB2" w:rsidRPr="00807ADD">
        <w:rPr>
          <w:rFonts w:ascii="Book Antiqua" w:eastAsia="Arial" w:hAnsi="Book Antiqua" w:cs="Calibri"/>
          <w:lang w:val="en-US"/>
        </w:rPr>
        <w:t>.</w:t>
      </w:r>
    </w:p>
    <w:p w14:paraId="288CEF94" w14:textId="77777777" w:rsidR="00EB1AFC" w:rsidRPr="00C042FF" w:rsidRDefault="00EB1AFC" w:rsidP="003E14C8">
      <w:pPr>
        <w:spacing w:line="360" w:lineRule="auto"/>
        <w:jc w:val="both"/>
        <w:rPr>
          <w:rFonts w:ascii="Book Antiqua" w:hAnsi="Book Antiqua"/>
          <w:lang w:val="en-US"/>
        </w:rPr>
      </w:pPr>
    </w:p>
    <w:p w14:paraId="7E32B037" w14:textId="079CEFF4" w:rsidR="00ED54D0" w:rsidRPr="00C042FF" w:rsidRDefault="00312C02" w:rsidP="003E14C8">
      <w:pPr>
        <w:spacing w:line="360" w:lineRule="auto"/>
        <w:jc w:val="both"/>
        <w:rPr>
          <w:rFonts w:ascii="Book Antiqua" w:hAnsi="Book Antiqua"/>
          <w:b/>
          <w:i/>
          <w:lang w:val="en-US"/>
        </w:rPr>
      </w:pPr>
      <w:r w:rsidRPr="00C042FF">
        <w:rPr>
          <w:rFonts w:ascii="Book Antiqua" w:hAnsi="Book Antiqua"/>
          <w:b/>
          <w:i/>
          <w:lang w:val="en-US"/>
        </w:rPr>
        <w:t xml:space="preserve">Contraindications </w:t>
      </w:r>
    </w:p>
    <w:p w14:paraId="6DD24E26" w14:textId="77777777" w:rsidR="00FF5B44" w:rsidRDefault="001E1F38" w:rsidP="00FF5B44">
      <w:pPr>
        <w:pStyle w:val="BodyText"/>
        <w:spacing w:line="360" w:lineRule="auto"/>
        <w:jc w:val="both"/>
        <w:rPr>
          <w:rFonts w:ascii="Book Antiqua" w:eastAsia="SimSun" w:hAnsi="Book Antiqua"/>
          <w:sz w:val="24"/>
          <w:szCs w:val="24"/>
          <w:lang w:eastAsia="zh-CN"/>
        </w:rPr>
      </w:pPr>
      <w:r w:rsidRPr="00C042FF">
        <w:rPr>
          <w:rFonts w:ascii="Book Antiqua" w:hAnsi="Book Antiqua" w:cs="Calibri"/>
          <w:sz w:val="24"/>
          <w:szCs w:val="24"/>
        </w:rPr>
        <w:t>S</w:t>
      </w:r>
      <w:r w:rsidR="003A6A27" w:rsidRPr="00C042FF">
        <w:rPr>
          <w:rFonts w:ascii="Book Antiqua" w:hAnsi="Book Antiqua" w:cs="Calibri"/>
          <w:sz w:val="24"/>
          <w:szCs w:val="24"/>
        </w:rPr>
        <w:t>igns of systemic toxicity</w:t>
      </w:r>
      <w:r w:rsidRPr="00C042FF">
        <w:rPr>
          <w:rFonts w:ascii="Book Antiqua" w:hAnsi="Book Antiqua" w:cs="Calibri"/>
          <w:sz w:val="24"/>
          <w:szCs w:val="24"/>
        </w:rPr>
        <w:t xml:space="preserve"> or</w:t>
      </w:r>
      <w:r w:rsidR="003A6A27" w:rsidRPr="00C042FF">
        <w:rPr>
          <w:rFonts w:ascii="Book Antiqua" w:hAnsi="Book Antiqua" w:cs="Calibri"/>
          <w:sz w:val="24"/>
          <w:szCs w:val="24"/>
        </w:rPr>
        <w:t xml:space="preserve"> septic shock </w:t>
      </w:r>
      <w:r w:rsidRPr="00C042FF">
        <w:rPr>
          <w:rFonts w:ascii="Book Antiqua" w:hAnsi="Book Antiqua" w:cs="Calibri"/>
          <w:sz w:val="24"/>
          <w:szCs w:val="24"/>
        </w:rPr>
        <w:t>as these are signs of</w:t>
      </w:r>
      <w:r w:rsidR="003A6A27" w:rsidRPr="00C042FF">
        <w:rPr>
          <w:rFonts w:ascii="Book Antiqua" w:hAnsi="Book Antiqua" w:cs="Calibri"/>
          <w:sz w:val="24"/>
          <w:szCs w:val="24"/>
        </w:rPr>
        <w:t xml:space="preserve"> colonic ischemia or perforation</w:t>
      </w:r>
      <w:r w:rsidR="001D2AD8" w:rsidRPr="00C042FF">
        <w:rPr>
          <w:rStyle w:val="FootnoteReference"/>
          <w:rFonts w:ascii="Book Antiqua" w:hAnsi="Book Antiqua"/>
          <w:sz w:val="24"/>
          <w:szCs w:val="24"/>
        </w:rPr>
        <w:fldChar w:fldCharType="begin" w:fldLock="1"/>
      </w:r>
      <w:r w:rsidR="008201F7" w:rsidRPr="00C042FF">
        <w:rPr>
          <w:rFonts w:ascii="Book Antiqua" w:hAnsi="Book Antiqua"/>
          <w:sz w:val="24"/>
          <w:szCs w:val="24"/>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mendeley":{"formattedCitation":"&lt;sup&gt;[62]&lt;/sup&gt;","plainTextFormattedCitation":"[62]","previouslyFormattedCitation":"(62)"},"properties":{"noteIndex":0},"schema":"https://github.com/citation-style-language/schema/raw/master/csl-citation.json"}</w:instrText>
      </w:r>
      <w:r w:rsidR="001D2AD8" w:rsidRPr="00C042FF">
        <w:rPr>
          <w:rStyle w:val="FootnoteReference"/>
          <w:rFonts w:ascii="Book Antiqua" w:hAnsi="Book Antiqua"/>
          <w:sz w:val="24"/>
          <w:szCs w:val="24"/>
        </w:rPr>
        <w:fldChar w:fldCharType="separate"/>
      </w:r>
      <w:r w:rsidR="008201F7" w:rsidRPr="00C042FF">
        <w:rPr>
          <w:rFonts w:ascii="Book Antiqua" w:hAnsi="Book Antiqua"/>
          <w:noProof/>
          <w:sz w:val="24"/>
          <w:szCs w:val="24"/>
          <w:vertAlign w:val="superscript"/>
        </w:rPr>
        <w:t>[62]</w:t>
      </w:r>
      <w:r w:rsidR="001D2AD8" w:rsidRPr="00C042FF">
        <w:rPr>
          <w:rStyle w:val="FootnoteReference"/>
          <w:rFonts w:ascii="Book Antiqua" w:hAnsi="Book Antiqua"/>
          <w:sz w:val="24"/>
          <w:szCs w:val="24"/>
        </w:rPr>
        <w:fldChar w:fldCharType="end"/>
      </w:r>
      <w:r w:rsidR="003A6A27" w:rsidRPr="00C042FF">
        <w:rPr>
          <w:rFonts w:ascii="Book Antiqua" w:hAnsi="Book Antiqua"/>
          <w:sz w:val="24"/>
          <w:szCs w:val="24"/>
        </w:rPr>
        <w:t>.</w:t>
      </w:r>
      <w:r w:rsidR="00807ADD">
        <w:rPr>
          <w:rFonts w:ascii="Book Antiqua" w:eastAsia="SimSun" w:hAnsi="Book Antiqua" w:hint="eastAsia"/>
          <w:sz w:val="24"/>
          <w:szCs w:val="24"/>
          <w:lang w:eastAsia="zh-CN"/>
        </w:rPr>
        <w:t xml:space="preserve"> </w:t>
      </w:r>
      <w:r w:rsidRPr="00C042FF">
        <w:rPr>
          <w:rFonts w:ascii="Book Antiqua" w:hAnsi="Book Antiqua"/>
          <w:sz w:val="24"/>
          <w:szCs w:val="24"/>
        </w:rPr>
        <w:t>Intra-abdominal abscess</w:t>
      </w:r>
      <w:r w:rsidR="00DD403D" w:rsidRPr="00C042FF">
        <w:rPr>
          <w:rFonts w:ascii="Book Antiqua" w:hAnsi="Book Antiqua"/>
          <w:sz w:val="24"/>
          <w:szCs w:val="24"/>
        </w:rPr>
        <w:t>.</w:t>
      </w:r>
      <w:r w:rsidR="00807ADD">
        <w:rPr>
          <w:rFonts w:ascii="Book Antiqua" w:eastAsia="SimSun" w:hAnsi="Book Antiqua" w:hint="eastAsia"/>
          <w:sz w:val="24"/>
          <w:szCs w:val="24"/>
          <w:lang w:eastAsia="zh-CN"/>
        </w:rPr>
        <w:t xml:space="preserve"> </w:t>
      </w:r>
      <w:r w:rsidRPr="00C042FF">
        <w:rPr>
          <w:rFonts w:ascii="Book Antiqua" w:hAnsi="Book Antiqua"/>
          <w:sz w:val="24"/>
          <w:szCs w:val="24"/>
        </w:rPr>
        <w:t>Excessive</w:t>
      </w:r>
      <w:r w:rsidR="00DD403D" w:rsidRPr="00C042FF">
        <w:rPr>
          <w:rFonts w:ascii="Book Antiqua" w:hAnsi="Book Antiqua"/>
          <w:sz w:val="24"/>
          <w:szCs w:val="24"/>
        </w:rPr>
        <w:t xml:space="preserve">ly dilated cecum (&gt; 9 cm) as endoscopic </w:t>
      </w:r>
      <w:r w:rsidR="00935EAF" w:rsidRPr="00C042FF">
        <w:rPr>
          <w:rFonts w:ascii="Book Antiqua" w:hAnsi="Book Antiqua"/>
          <w:sz w:val="24"/>
          <w:szCs w:val="24"/>
        </w:rPr>
        <w:t>insufflation</w:t>
      </w:r>
      <w:r w:rsidRPr="00C042FF">
        <w:rPr>
          <w:rFonts w:ascii="Book Antiqua" w:hAnsi="Book Antiqua"/>
          <w:sz w:val="24"/>
          <w:szCs w:val="24"/>
        </w:rPr>
        <w:t xml:space="preserve"> may precipitate colonic perforation.</w:t>
      </w:r>
      <w:r w:rsidR="00807ADD">
        <w:rPr>
          <w:rFonts w:ascii="Book Antiqua" w:eastAsia="SimSun" w:hAnsi="Book Antiqua" w:hint="eastAsia"/>
          <w:sz w:val="24"/>
          <w:szCs w:val="24"/>
          <w:lang w:eastAsia="zh-CN"/>
        </w:rPr>
        <w:t xml:space="preserve"> </w:t>
      </w:r>
      <w:r w:rsidRPr="00C042FF">
        <w:rPr>
          <w:rFonts w:ascii="Book Antiqua" w:hAnsi="Book Antiqua"/>
          <w:sz w:val="24"/>
          <w:szCs w:val="24"/>
        </w:rPr>
        <w:t>Distal rectal lesions that would require the stent to cross the dentate line</w:t>
      </w:r>
      <w:r w:rsidR="00DD403D" w:rsidRPr="00C042FF">
        <w:rPr>
          <w:rFonts w:ascii="Book Antiqua" w:hAnsi="Book Antiqua"/>
          <w:sz w:val="24"/>
          <w:szCs w:val="24"/>
        </w:rPr>
        <w:t xml:space="preserve"> as this</w:t>
      </w:r>
      <w:r w:rsidR="00D4184F" w:rsidRPr="00C042FF">
        <w:rPr>
          <w:rFonts w:ascii="Book Antiqua" w:hAnsi="Book Antiqua"/>
          <w:sz w:val="24"/>
          <w:szCs w:val="24"/>
        </w:rPr>
        <w:t xml:space="preserve"> c</w:t>
      </w:r>
      <w:r w:rsidR="00DD403D" w:rsidRPr="00C042FF">
        <w:rPr>
          <w:rFonts w:ascii="Book Antiqua" w:hAnsi="Book Antiqua"/>
          <w:sz w:val="24"/>
          <w:szCs w:val="24"/>
        </w:rPr>
        <w:t>an induce severe pain, tenesmus,</w:t>
      </w:r>
      <w:r w:rsidR="00D4184F" w:rsidRPr="00C042FF">
        <w:rPr>
          <w:rFonts w:ascii="Book Antiqua" w:hAnsi="Book Antiqua"/>
          <w:sz w:val="24"/>
          <w:szCs w:val="24"/>
        </w:rPr>
        <w:t xml:space="preserve"> and rectal bleeding</w:t>
      </w:r>
      <w:r w:rsidR="001D2AD8" w:rsidRPr="00C042FF">
        <w:rPr>
          <w:rStyle w:val="FootnoteReference"/>
          <w:rFonts w:ascii="Book Antiqua" w:hAnsi="Book Antiqua"/>
          <w:sz w:val="24"/>
          <w:szCs w:val="24"/>
        </w:rPr>
        <w:fldChar w:fldCharType="begin" w:fldLock="1"/>
      </w:r>
      <w:r w:rsidR="008201F7" w:rsidRPr="00C042FF">
        <w:rPr>
          <w:rFonts w:ascii="Book Antiqua" w:hAnsi="Book Antiqua"/>
          <w:sz w:val="24"/>
          <w:szCs w:val="24"/>
        </w:rPr>
        <w:instrText>ADDIN CSL_CITATION {"citationItems":[{"id":"ITEM-1","itemData":{"DOI":"10.1016/j.gie.2007.12.051","ISSN":"00165107","author":[{"dropping-particle":"","family":"Song","given":"Ho-Young","non-dropping-particle":"","parse-names":false,"suffix":""},{"dropping-particle":"","family":"Kim","given":"Jin Hyoung","non-dropping-particle":"","parse-names":false,"suffix":""},{"dropping-particle":"","family":"Kim","given":"Kyung Rae","non-dropping-particle":"","parse-names":false,"suffix":""},{"dropping-particle":"","family":"Shin","given":"Ji Hoon","non-dropping-particle":"","parse-names":false,"suffix":""},{"dropping-particle":"","family":"Kim","given":"Hee Cheol","non-dropping-particle":"","parse-names":false,"suffix":""},{"dropping-particle":"","family":"Yu","given":"Chang-Sik","non-dropping-particle":"","parse-names":false,"suffix":""},{"dropping-particle":"","family":"Kim","given":"Jin Cheon","non-dropping-particle":"","parse-names":false,"suffix":""}],"container-title":"Gastrointestinal Endoscopy","id":"ITEM-1","issue":"4","issued":{"date-parts":[["2008","10"]]},"page":"713-720","title":"Malignant rectal obstruction within 5 cm of the anal verge: is there a role for expandable metallic stent placement?","type":"article-journal","volume":"68"},"uris":["http://www.mendeley.com/documents/?uuid=c6c29128-18c6-41ca-8cb3-df86202bc796"]},{"id":"ITEM-2","itemData":{"DOI":"10.1002/14651858.CD007378.pub2","ISBN":"1469-493X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reviews","id":"ITEM-2","issue":"11","issued":{"date-parts":[["2011","11"]]},"language":"eng","page":"CD007378","publisher-place":"England","title":"Colorectal stents for the management of malignant colonic obstructions.","type":"article-journal"},"uris":["http://www.mendeley.com/documents/?uuid=5f8312c1-a567-4ce0-9450-aa637bdb7d08"]}],"mendeley":{"formattedCitation":"&lt;sup&gt;[34,63]&lt;/sup&gt;","plainTextFormattedCitation":"[34,63]","previouslyFormattedCitation":"(34,63)"},"properties":{"noteIndex":0},"schema":"https://github.com/citation-style-language/schema/raw/master/csl-citation.json"}</w:instrText>
      </w:r>
      <w:r w:rsidR="001D2AD8" w:rsidRPr="00C042FF">
        <w:rPr>
          <w:rStyle w:val="FootnoteReference"/>
          <w:rFonts w:ascii="Book Antiqua" w:hAnsi="Book Antiqua"/>
          <w:sz w:val="24"/>
          <w:szCs w:val="24"/>
        </w:rPr>
        <w:fldChar w:fldCharType="separate"/>
      </w:r>
      <w:r w:rsidR="008201F7" w:rsidRPr="00C042FF">
        <w:rPr>
          <w:rFonts w:ascii="Book Antiqua" w:hAnsi="Book Antiqua"/>
          <w:bCs/>
          <w:noProof/>
          <w:sz w:val="24"/>
          <w:szCs w:val="24"/>
          <w:vertAlign w:val="superscript"/>
        </w:rPr>
        <w:t>[34,63]</w:t>
      </w:r>
      <w:r w:rsidR="001D2AD8" w:rsidRPr="00C042FF">
        <w:rPr>
          <w:rStyle w:val="FootnoteReference"/>
          <w:rFonts w:ascii="Book Antiqua" w:hAnsi="Book Antiqua"/>
          <w:sz w:val="24"/>
          <w:szCs w:val="24"/>
        </w:rPr>
        <w:fldChar w:fldCharType="end"/>
      </w:r>
      <w:r w:rsidR="009760E2" w:rsidRPr="00C042FF">
        <w:rPr>
          <w:rFonts w:ascii="Book Antiqua" w:hAnsi="Book Antiqua"/>
          <w:sz w:val="24"/>
          <w:szCs w:val="24"/>
        </w:rPr>
        <w:t>.</w:t>
      </w:r>
      <w:r w:rsidR="00807ADD">
        <w:rPr>
          <w:rFonts w:ascii="Book Antiqua" w:eastAsia="SimSun" w:hAnsi="Book Antiqua" w:hint="eastAsia"/>
          <w:sz w:val="24"/>
          <w:szCs w:val="24"/>
          <w:lang w:eastAsia="zh-CN"/>
        </w:rPr>
        <w:t xml:space="preserve"> </w:t>
      </w:r>
      <w:r w:rsidRPr="00C042FF">
        <w:rPr>
          <w:rFonts w:ascii="Book Antiqua" w:hAnsi="Book Antiqua"/>
          <w:sz w:val="24"/>
          <w:szCs w:val="24"/>
        </w:rPr>
        <w:t>Persistent coagulopathy (relative)</w:t>
      </w:r>
      <w:r w:rsidR="001D2AD8" w:rsidRPr="00C042FF">
        <w:rPr>
          <w:rStyle w:val="FootnoteReference"/>
          <w:rFonts w:ascii="Book Antiqua" w:hAnsi="Book Antiqua"/>
          <w:sz w:val="24"/>
          <w:szCs w:val="24"/>
        </w:rPr>
        <w:fldChar w:fldCharType="begin" w:fldLock="1"/>
      </w:r>
      <w:r w:rsidR="008201F7" w:rsidRPr="00C042FF">
        <w:rPr>
          <w:rFonts w:ascii="Book Antiqua" w:hAnsi="Book Antiqua"/>
          <w:sz w:val="24"/>
          <w:szCs w:val="24"/>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C042FF">
        <w:rPr>
          <w:rStyle w:val="FootnoteReference"/>
          <w:rFonts w:ascii="Book Antiqua" w:hAnsi="Book Antiqua"/>
          <w:sz w:val="24"/>
          <w:szCs w:val="24"/>
        </w:rPr>
        <w:fldChar w:fldCharType="separate"/>
      </w:r>
      <w:r w:rsidR="008201F7" w:rsidRPr="00C042FF">
        <w:rPr>
          <w:rFonts w:ascii="Book Antiqua" w:hAnsi="Book Antiqua"/>
          <w:bCs/>
          <w:noProof/>
          <w:sz w:val="24"/>
          <w:szCs w:val="24"/>
          <w:vertAlign w:val="superscript"/>
        </w:rPr>
        <w:t>[64]</w:t>
      </w:r>
      <w:r w:rsidR="001D2AD8" w:rsidRPr="00C042FF">
        <w:rPr>
          <w:rStyle w:val="FootnoteReference"/>
          <w:rFonts w:ascii="Book Antiqua" w:hAnsi="Book Antiqua"/>
          <w:sz w:val="24"/>
          <w:szCs w:val="24"/>
        </w:rPr>
        <w:fldChar w:fldCharType="end"/>
      </w:r>
      <w:r w:rsidRPr="00C042FF">
        <w:rPr>
          <w:rFonts w:ascii="Book Antiqua" w:hAnsi="Book Antiqua"/>
          <w:sz w:val="24"/>
          <w:szCs w:val="24"/>
        </w:rPr>
        <w:t>.</w:t>
      </w:r>
    </w:p>
    <w:p w14:paraId="66804BE7" w14:textId="77777777" w:rsidR="00FF5B44" w:rsidRDefault="00FF5B44" w:rsidP="00FF5B44">
      <w:pPr>
        <w:pStyle w:val="BodyText"/>
        <w:spacing w:line="360" w:lineRule="auto"/>
        <w:jc w:val="both"/>
        <w:rPr>
          <w:rFonts w:ascii="Book Antiqua" w:eastAsia="SimSun" w:hAnsi="Book Antiqua"/>
          <w:sz w:val="24"/>
          <w:szCs w:val="24"/>
          <w:lang w:eastAsia="zh-CN"/>
        </w:rPr>
      </w:pPr>
    </w:p>
    <w:p w14:paraId="69A9BC0F" w14:textId="380D04DC" w:rsidR="0055353D" w:rsidRPr="00FF5B44" w:rsidRDefault="00312C02" w:rsidP="00FF5B44">
      <w:pPr>
        <w:pStyle w:val="BodyText"/>
        <w:spacing w:line="360" w:lineRule="auto"/>
        <w:jc w:val="both"/>
        <w:rPr>
          <w:rFonts w:ascii="Book Antiqua" w:hAnsi="Book Antiqua" w:cs="Calibri"/>
          <w:sz w:val="24"/>
          <w:szCs w:val="24"/>
        </w:rPr>
      </w:pPr>
      <w:r w:rsidRPr="00C042FF">
        <w:rPr>
          <w:rFonts w:ascii="Book Antiqua" w:hAnsi="Book Antiqua"/>
          <w:b/>
          <w:i/>
          <w:sz w:val="24"/>
          <w:szCs w:val="24"/>
        </w:rPr>
        <w:t>Extrinsic obstruction</w:t>
      </w:r>
    </w:p>
    <w:p w14:paraId="693380C5" w14:textId="34FBBE10" w:rsidR="00445D42" w:rsidRPr="00C042FF" w:rsidRDefault="003D0946" w:rsidP="003E14C8">
      <w:pPr>
        <w:spacing w:line="360" w:lineRule="auto"/>
        <w:jc w:val="both"/>
        <w:rPr>
          <w:rFonts w:ascii="Book Antiqua" w:hAnsi="Book Antiqua"/>
          <w:lang w:val="en-US"/>
        </w:rPr>
      </w:pPr>
      <w:r w:rsidRPr="00C042FF">
        <w:rPr>
          <w:rFonts w:ascii="Book Antiqua" w:hAnsi="Book Antiqua"/>
          <w:lang w:val="en-US"/>
        </w:rPr>
        <w:t>R</w:t>
      </w:r>
      <w:r w:rsidR="0055353D" w:rsidRPr="00C042FF">
        <w:rPr>
          <w:rFonts w:ascii="Book Antiqua" w:hAnsi="Book Antiqua"/>
          <w:lang w:val="en-US"/>
        </w:rPr>
        <w:t xml:space="preserve">arely, extrinsic lesions </w:t>
      </w:r>
      <w:r w:rsidRPr="00C042FF">
        <w:rPr>
          <w:rFonts w:ascii="Book Antiqua" w:hAnsi="Book Antiqua"/>
          <w:lang w:val="en-US"/>
        </w:rPr>
        <w:t xml:space="preserve">can compress the colon causing </w:t>
      </w:r>
      <w:r w:rsidR="008072DB" w:rsidRPr="00C042FF">
        <w:rPr>
          <w:rFonts w:ascii="Book Antiqua" w:hAnsi="Book Antiqua" w:cs="Calibri"/>
          <w:bCs/>
          <w:lang w:val="en-US"/>
        </w:rPr>
        <w:t>MCO</w:t>
      </w:r>
      <w:r w:rsidRPr="00C042FF">
        <w:rPr>
          <w:rFonts w:ascii="Book Antiqua" w:hAnsi="Book Antiqua"/>
          <w:lang w:val="en-US"/>
        </w:rPr>
        <w:t>.</w:t>
      </w:r>
      <w:r w:rsidR="00807ADD">
        <w:rPr>
          <w:rFonts w:ascii="Book Antiqua" w:hAnsi="Book Antiqua" w:hint="eastAsia"/>
          <w:lang w:val="en-US" w:eastAsia="zh-CN"/>
        </w:rPr>
        <w:t xml:space="preserve"> </w:t>
      </w:r>
      <w:r w:rsidR="0055353D" w:rsidRPr="00C042FF">
        <w:rPr>
          <w:rFonts w:ascii="Book Antiqua" w:hAnsi="Book Antiqua"/>
          <w:lang w:val="en-US"/>
        </w:rPr>
        <w:t>The most frequent causes of extrinsic obstruction are primar</w:t>
      </w:r>
      <w:r w:rsidR="00DD403D" w:rsidRPr="00C042FF">
        <w:rPr>
          <w:rFonts w:ascii="Book Antiqua" w:hAnsi="Book Antiqua"/>
          <w:lang w:val="en-US"/>
        </w:rPr>
        <w:t>y pelvic malignancies (ovarian,</w:t>
      </w:r>
      <w:r w:rsidR="004361C7" w:rsidRPr="00C042FF">
        <w:rPr>
          <w:rFonts w:ascii="Book Antiqua" w:hAnsi="Book Antiqua"/>
          <w:lang w:val="en-US"/>
        </w:rPr>
        <w:t xml:space="preserve"> uterine</w:t>
      </w:r>
      <w:r w:rsidR="00DD403D" w:rsidRPr="00C042FF">
        <w:rPr>
          <w:rFonts w:ascii="Book Antiqua" w:hAnsi="Book Antiqua"/>
          <w:lang w:val="en-US"/>
        </w:rPr>
        <w:t>,</w:t>
      </w:r>
      <w:r w:rsidR="004361C7" w:rsidRPr="00C042FF">
        <w:rPr>
          <w:rFonts w:ascii="Book Antiqua" w:hAnsi="Book Antiqua"/>
          <w:lang w:val="en-US"/>
        </w:rPr>
        <w:t xml:space="preserve"> </w:t>
      </w:r>
      <w:r w:rsidR="00DD403D" w:rsidRPr="00C042FF">
        <w:rPr>
          <w:rFonts w:ascii="Book Antiqua" w:hAnsi="Book Antiqua"/>
          <w:lang w:val="en-US"/>
        </w:rPr>
        <w:t xml:space="preserve">and bladder </w:t>
      </w:r>
      <w:r w:rsidR="004361C7" w:rsidRPr="00C042FF">
        <w:rPr>
          <w:rFonts w:ascii="Book Antiqua" w:hAnsi="Book Antiqua"/>
          <w:lang w:val="en-US"/>
        </w:rPr>
        <w:t>cancer</w:t>
      </w:r>
      <w:r w:rsidR="00DD403D" w:rsidRPr="00C042FF">
        <w:rPr>
          <w:rFonts w:ascii="Book Antiqua" w:hAnsi="Book Antiqua"/>
          <w:lang w:val="en-US"/>
        </w:rPr>
        <w:t>)</w:t>
      </w:r>
      <w:r w:rsidR="0055353D" w:rsidRPr="00C042FF">
        <w:rPr>
          <w:rFonts w:ascii="Book Antiqua" w:hAnsi="Book Antiqua"/>
          <w:lang w:val="en-US"/>
        </w:rPr>
        <w:t xml:space="preserve">, </w:t>
      </w:r>
      <w:r w:rsidRPr="00C042FF">
        <w:rPr>
          <w:rFonts w:ascii="Book Antiqua" w:hAnsi="Book Antiqua"/>
          <w:lang w:val="en-US"/>
        </w:rPr>
        <w:t xml:space="preserve">advanced gastric cancer </w:t>
      </w:r>
      <w:r w:rsidR="00DD403D" w:rsidRPr="00C042FF">
        <w:rPr>
          <w:rFonts w:ascii="Book Antiqua" w:hAnsi="Book Antiqua"/>
          <w:lang w:val="en-US"/>
        </w:rPr>
        <w:t>or metastatic lesions</w:t>
      </w:r>
      <w:r w:rsidR="0055353D" w:rsidRPr="00C042FF">
        <w:rPr>
          <w:rFonts w:ascii="Book Antiqua" w:hAnsi="Book Antiqua"/>
          <w:lang w:val="en-US"/>
        </w:rPr>
        <w:t xml:space="preserve"> to the</w:t>
      </w:r>
      <w:r w:rsidR="0087373D" w:rsidRPr="00C042FF">
        <w:rPr>
          <w:rFonts w:ascii="Book Antiqua" w:hAnsi="Book Antiqua"/>
          <w:lang w:val="en-US"/>
        </w:rPr>
        <w:t xml:space="preserve"> pelvis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{"citationItems":[{"id":"ITEM-1","itemData":{"DOI":"10.1007/s10350-008-9207-6","ISSN":"1530-0358","PMID":"18259816","abstract":"PURPOSE The purpose of this study was to extend the application of self-expandable metallic stents by investigating their usefulness in treating colorectal obstructions caused by unresectable extrinsic tumors. METHODS From January 2000 to November 2005, a total of 60 colorectal stenting procedures were performed, and 57 stents were deployed in 39 patients with extrinsic tumors. The success rate and complications were analyzed retrospectively. RESULTS The most common etiology and location of obstruction were advanced gastric cancer and transverse colon. Technical success was 34 of 39 patients (87.2 percent). The causes of technical failure were immediate stent migration (n = 1), technical problems (n = 1), and access failure because of bowel immobilization (n = 3). Clinical success was 32 of 34 technical successes (82.1 percent). The two patients without clinical success had multifocal strictures of the bowel. Complications occurred in 22 of 57 stents (38.6 percent), including stent reobstruction (n = 14) and stent migration (n = 5). All of stent migrations except one developed with covered stents. CONCLUSIONS In patients with colonic obstruction caused by extrinsic tumors, stent insertion provided effective symptom relief and can be a reasonable alternative choice to a colostomy. An uncovered stent might be more preferable, considering less migration and remaining short life expectancy, compared with a covered stent.","author":[{"dropping-particle":"","family":"Shin","given":"Sung Jae","non-dropping-particle":"","parse-names":false,"suffix":""},{"dropping-particle":"Il","family":"Kim","given":"Tae","non-dropping-particle":"","parse-names":false,"suffix":""},{"dropping-particle":"","family":"Kim","given":"Byung Chang","non-dropping-particle":"","parse-names":false,"suffix":""},{"dropping-particle":"","family":"Lee","given":"Yong Chan","non-dropping-particle":"","parse-names":false,"suffix":""},{"dropping-particle":"","family":"Song","given":"Si Young","non-dropping-particle":"","parse-names":false,"suffix":""},{"dropping-particle":"","family":"Kim","given":"Won Ho","non-dropping-particle":"","parse-names":false,"suffix":""}],"container-title":"Diseases of the colon and rectum","id":"ITEM-1","issue":"5","issued":{"date-parts":[["2008","5"]]},"page":"578-83","title":"Clinical application of self-expandable metallic stent for treatment of colorectal obstruction caused by extrinsic invasive tumors.","type":"article-journal","volume":"51"},"uris":["http://www.mendeley.com/documents/?uuid=0494993e-e8a8-4a69-a679-77704658f721"]}],"mendeley":{"formattedCitation":"&lt;sup&gt;[65]&lt;/sup&gt;","plainTextFormattedCitation":"[65]","previouslyFormattedCitation":"(65)"},"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[65]</w:t>
      </w:r>
      <w:r w:rsidR="001D2AD8" w:rsidRPr="00C042FF">
        <w:rPr>
          <w:rStyle w:val="FootnoteReference"/>
          <w:rFonts w:ascii="Book Antiqua" w:hAnsi="Book Antiqua"/>
          <w:lang w:val="en-US"/>
        </w:rPr>
        <w:fldChar w:fldCharType="end"/>
      </w:r>
      <w:r w:rsidR="0055353D" w:rsidRPr="00C042FF">
        <w:rPr>
          <w:rFonts w:ascii="Book Antiqua" w:hAnsi="Book Antiqua"/>
          <w:lang w:val="en-US"/>
        </w:rPr>
        <w:t>.</w:t>
      </w:r>
      <w:r w:rsidR="00807ADD">
        <w:rPr>
          <w:rFonts w:ascii="Book Antiqua" w:hAnsi="Book Antiqua" w:hint="eastAsia"/>
          <w:lang w:val="en-US" w:eastAsia="zh-CN"/>
        </w:rPr>
        <w:t xml:space="preserve"> </w:t>
      </w:r>
      <w:r w:rsidR="0055353D" w:rsidRPr="00C042FF">
        <w:rPr>
          <w:rFonts w:ascii="Book Antiqua" w:hAnsi="Book Antiqua"/>
          <w:lang w:val="en-US"/>
        </w:rPr>
        <w:t xml:space="preserve">Extrinsic obstruction occurs more frequently in the left colon, especially in the distal region, and </w:t>
      </w:r>
      <w:r w:rsidR="00DD403D" w:rsidRPr="00C042FF">
        <w:rPr>
          <w:rFonts w:ascii="Book Antiqua" w:hAnsi="Book Antiqua"/>
          <w:lang w:val="en-US"/>
        </w:rPr>
        <w:t xml:space="preserve">in these cases endoscopic tissue biopsy </w:t>
      </w:r>
      <w:r w:rsidR="000B61CC" w:rsidRPr="00C042FF">
        <w:rPr>
          <w:rFonts w:ascii="Book Antiqua" w:hAnsi="Book Antiqua"/>
          <w:lang w:val="en-US"/>
        </w:rPr>
        <w:t xml:space="preserve">is not technically possible </w:t>
      </w:r>
      <w:r w:rsidR="00DD403D" w:rsidRPr="00C042FF">
        <w:rPr>
          <w:rFonts w:ascii="Book Antiqua" w:hAnsi="Book Antiqua"/>
          <w:lang w:val="en-US"/>
        </w:rPr>
        <w:t xml:space="preserve">and </w:t>
      </w:r>
      <w:r w:rsidR="000B61CC" w:rsidRPr="00C042FF">
        <w:rPr>
          <w:rFonts w:ascii="Book Antiqua" w:hAnsi="Book Antiqua"/>
          <w:lang w:val="en-US"/>
        </w:rPr>
        <w:t>the exact etiology and extent o</w:t>
      </w:r>
      <w:r w:rsidR="00935EAF" w:rsidRPr="00C042FF">
        <w:rPr>
          <w:rFonts w:ascii="Book Antiqua" w:hAnsi="Book Antiqua"/>
          <w:lang w:val="en-US"/>
        </w:rPr>
        <w:t>f obstruction is often not clear</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{"citationItems":[{"id":"ITEM-1","itemData":{"DOI":"10.1007/s00384-010-0941-6","ISBN":"1432-1262 (Electronic)\\r0179-1958 (Linking)","ISSN":"01791958","PMID":"20390286","abstract":"AIM: The aim of this study is to report our experience gained after attempted colonic stenting for colonic obstruction from extracolonic cancer. METHOD This is a retrospective study of all patients who had attempted colonic stenting for obstructing extracolonic cancer in a district general hospital from November 1998 to November 2008. RESULTS: During the study period, a total of 12 stent procedures were carried out in 11 patients with colonic obstruction from extracolonic cancer and were analysed further. These represented 8.5% of a total of 141 stent procedures performed in 130 patients. Fluoroscopic technique was used alone. The median age was 73 years with a range from 47 to 88 years. The underlying malignancy was ovarian in five, urinary bladder in one, kidney in one, prostatic in one, breast in one, cholangiocarcinoma in one and carcinoid in one. The technical and clinical success rate was 42% and 25%, respectively. The 30-day mortality rate was 36%. Stent-related complications included one perforation. The colostomy formation rate was 45%. Only two patients survived over a month with a stent and without a subsequent colostomy. The median survival time was 2 months. The 3-, 6- and 12-month survival rate was 36%, 18% and 9%, respectively. CONCLUSIONS: Our experience does not support the routine use of colonic stenting for extracolonic cancer obstructing the colon. A more realistic approach is necessary including either the acceptance that the obstruction represents a life-ending event or proceeding immediately to a colostomy. Decisions should be individualised and stenting used after recognising its shortcomings.","author":[{"dropping-particle":"","family":"Trompetas","given":"Vasileios","non-dropping-particle":"","parse-names":false,"suffix":""},{"dropping-particle":"","family":"Saunders","given":"Mike","non-dropping-particle":"","parse-names":false,"suffix":""},{"dropping-particle":"","family":"Gossage","given":"James","non-dropping-particle":"","parse-names":false,"suffix":""},{"dropping-particle":"","family":"Anderson","given":"Hugh","non-dropping-particle":"","parse-names":false,"suffix":""}],"container-title":"International Journal of Colorectal Disease","id":"ITEM-1","issue":"7","issued":{"date-parts":[["2010"]]},"page":"851-854","title":"Shortcomings in colonic stenting to palliate large bowel obstruction from extracolonic malignancies","type":"article-journal","volume":"25"},"uris":["http://www.mendeley.com/documents/?uuid=be221297-fec9-4acb-b702-b99f9899f28e"]},{"id":"ITEM-2","itemData":{"DOI":"10.1016/j.gie.2017.12.017","ISSN":"00165107","author":[{"dropping-particle":"","family":"Faraz","given":"Shahdabul","non-dropping-particle":"","parse-names":false,"suffix":""},{"dropping-particle":"","family":"Salem","given":"Suhail B.","non-dropping-particle":"","parse-names":false,"suffix":""},{"dropping-particle":"","family":"Schattner","given":"Mark","non-dropping-particle":"","parse-names":false,"suffix":""},{"dropping-particle":"","family":"Mendelsohn","given":"Robin","non-dropping-particle":"","parse-names":false,"suffix":""},{"dropping-particle":"","family":"Markowitz","given":"Arnold","non-dropping-particle":"","parse-names":false,"suffix":""},{"dropping-particle":"","family":"Ludwig","given":"Emmy","non-dropping-particle":"","parse-names":false,"suffix":""},{"dropping-particle":"","family":"Zheng","given":"Junting","non-dropping-particle":"","parse-names":false,"suffix":""},{"dropping-particle":"","family":"Gerdes","given":"Hans","non-dropping-particle":"","parse-names":false,"suffix":""},{"dropping-particle":"","family":"Shah","given":"Pari M.","non-dropping-particle":"","parse-names":false,"suffix":""}],"container-title":"Gastrointestinal Endoscopy","id":"ITEM-2","issue":"5","issued":{"date-parts":[["2018","5"]]},"page":"1310-1317","title":"Predictors of clinical outcome of colonic stents in patients with malignant large-bowel obstruction because of extracolonic malignancy","type":"article-journal","volume":"87"},"uris":["http://www.mendeley.com/documents/?uuid=94d0e3b2-1cf5-490c-a181-840417a789c1"]}],"mendeley":{"formattedCitation":"&lt;sup&gt;[60,61]&lt;/sup&gt;","plainTextFormattedCitation":"[60,61]","previouslyFormattedCitation":"(60,61)"},"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[60,61]</w:t>
      </w:r>
      <w:r w:rsidR="001D2AD8" w:rsidRPr="00C042FF">
        <w:rPr>
          <w:rStyle w:val="FootnoteReference"/>
          <w:rFonts w:ascii="Book Antiqua" w:hAnsi="Book Antiqua"/>
          <w:lang w:val="en-US"/>
        </w:rPr>
        <w:fldChar w:fldCharType="end"/>
      </w:r>
      <w:r w:rsidR="0055353D" w:rsidRPr="00C042FF">
        <w:rPr>
          <w:rFonts w:ascii="Book Antiqua" w:hAnsi="Book Antiqua"/>
          <w:lang w:val="en-US"/>
        </w:rPr>
        <w:t>.</w:t>
      </w:r>
      <w:r w:rsidR="00BB0AC5" w:rsidRPr="00C042FF">
        <w:rPr>
          <w:rFonts w:ascii="Book Antiqua" w:hAnsi="Book Antiqua"/>
          <w:lang w:val="en-US"/>
        </w:rPr>
        <w:t xml:space="preserve"> </w:t>
      </w:r>
    </w:p>
    <w:p w14:paraId="0F81DDEE" w14:textId="1CB39250" w:rsidR="00122A6C" w:rsidRPr="00C042FF" w:rsidRDefault="00CC4321" w:rsidP="00807ADD">
      <w:pPr>
        <w:spacing w:line="360" w:lineRule="auto"/>
        <w:ind w:firstLineChars="100" w:firstLine="240"/>
        <w:jc w:val="both"/>
        <w:rPr>
          <w:rFonts w:ascii="Book Antiqua" w:hAnsi="Book Antiqua"/>
          <w:noProof/>
          <w:lang w:val="en-US"/>
        </w:rPr>
      </w:pPr>
      <w:r w:rsidRPr="00C042FF">
        <w:rPr>
          <w:rFonts w:ascii="Book Antiqua" w:hAnsi="Book Antiqua"/>
          <w:noProof/>
          <w:lang w:val="en-US"/>
        </w:rPr>
        <w:t>Patients with extrinsic colonic obsltruction, in the vast majority of cases, have advanced disease with reduced life expectancy and no potential curative surgical ressection. .</w:t>
      </w:r>
      <w:r w:rsidR="000B61CC" w:rsidRPr="00C042FF">
        <w:rPr>
          <w:rFonts w:ascii="Book Antiqua" w:hAnsi="Book Antiqua"/>
          <w:noProof/>
          <w:lang w:val="en-US"/>
        </w:rPr>
        <w:t xml:space="preserve">Nevertheless, </w:t>
      </w:r>
      <w:r w:rsidR="00066330" w:rsidRPr="00C042FF">
        <w:rPr>
          <w:rFonts w:ascii="Book Antiqua" w:hAnsi="Book Antiqua"/>
          <w:noProof/>
          <w:lang w:val="en-US"/>
        </w:rPr>
        <w:t xml:space="preserve">the technical and clinical success of stenting in these </w:t>
      </w:r>
      <w:r w:rsidR="00066330" w:rsidRPr="00C042FF">
        <w:rPr>
          <w:rFonts w:ascii="Book Antiqua" w:hAnsi="Book Antiqua"/>
          <w:noProof/>
          <w:lang w:val="en-US"/>
        </w:rPr>
        <w:lastRenderedPageBreak/>
        <w:t xml:space="preserve">cases, </w:t>
      </w:r>
      <w:r w:rsidR="000B61CC" w:rsidRPr="00C042FF">
        <w:rPr>
          <w:rFonts w:ascii="Book Antiqua" w:hAnsi="Book Antiqua"/>
          <w:noProof/>
          <w:lang w:val="en-US"/>
        </w:rPr>
        <w:t>is</w:t>
      </w:r>
      <w:r w:rsidR="00066330" w:rsidRPr="00C042FF">
        <w:rPr>
          <w:rFonts w:ascii="Book Antiqua" w:hAnsi="Book Antiqua"/>
          <w:noProof/>
          <w:lang w:val="en-US"/>
        </w:rPr>
        <w:t xml:space="preserve"> </w:t>
      </w:r>
      <w:r w:rsidR="000B61CC" w:rsidRPr="00C042FF">
        <w:rPr>
          <w:rFonts w:ascii="Book Antiqua" w:hAnsi="Book Antiqua"/>
          <w:noProof/>
          <w:lang w:val="en-US"/>
        </w:rPr>
        <w:t>less effective</w:t>
      </w:r>
      <w:r w:rsidR="00066330" w:rsidRPr="00C042FF">
        <w:rPr>
          <w:rFonts w:ascii="Book Antiqua" w:hAnsi="Book Antiqua"/>
          <w:noProof/>
          <w:lang w:val="en-US"/>
        </w:rPr>
        <w:t xml:space="preserve"> </w:t>
      </w:r>
      <w:r w:rsidR="000B61CC" w:rsidRPr="00C042FF">
        <w:rPr>
          <w:rFonts w:ascii="Book Antiqua" w:hAnsi="Book Antiqua"/>
          <w:noProof/>
          <w:lang w:val="en-US"/>
        </w:rPr>
        <w:t>then when apllyied to</w:t>
      </w:r>
      <w:r w:rsidR="00E51E26" w:rsidRPr="00C042FF">
        <w:rPr>
          <w:rFonts w:ascii="Book Antiqua" w:hAnsi="Book Antiqua"/>
          <w:noProof/>
          <w:lang w:val="en-US"/>
        </w:rPr>
        <w:t xml:space="preserve"> </w:t>
      </w:r>
      <w:r w:rsidR="00066330" w:rsidRPr="00C042FF">
        <w:rPr>
          <w:rFonts w:ascii="Book Antiqua" w:hAnsi="Book Antiqua"/>
          <w:noProof/>
          <w:lang w:val="en-US"/>
        </w:rPr>
        <w:t>primary</w:t>
      </w:r>
      <w:r w:rsidR="000B61CC" w:rsidRPr="00C042FF">
        <w:rPr>
          <w:rFonts w:ascii="Book Antiqua" w:hAnsi="Book Antiqua"/>
          <w:noProof/>
          <w:lang w:val="en-US"/>
        </w:rPr>
        <w:t xml:space="preserve"> colorrectal tumors</w:t>
      </w:r>
      <w:r w:rsidR="00FC26D7" w:rsidRPr="00C042FF">
        <w:rPr>
          <w:rFonts w:ascii="Book Antiqua" w:hAnsi="Book Antiqua"/>
          <w:noProof/>
          <w:lang w:val="en-US"/>
        </w:rPr>
        <w:t>, and there no ideal option</w:t>
      </w:r>
      <w:r w:rsidR="001D2AD8" w:rsidRPr="00C042FF">
        <w:rPr>
          <w:rStyle w:val="FootnoteReference"/>
          <w:rFonts w:ascii="Book Antiqua" w:hAnsi="Book Antiqua"/>
          <w:noProof/>
          <w:lang w:val="en-US"/>
        </w:rPr>
        <w:fldChar w:fldCharType="begin" w:fldLock="1"/>
      </w:r>
      <w:r w:rsidR="008201F7" w:rsidRPr="00C042FF">
        <w:rPr>
          <w:rFonts w:ascii="Book Antiqua" w:hAnsi="Book Antiqua"/>
          <w:noProof/>
          <w:lang w:val="en-US"/>
        </w:rPr>
        <w:instrText>ADDIN CSL_CITATION {"citationItems":[{"id":"ITEM-1","itemData":{"DOI":"10.1007/s10350-008-9207-6","ISSN":"1530-0358","PMID":"18259816","abstract":"PURPOSE The purpose of this study was to extend the application of self-expandable metallic stents by investigating their usefulness in treating colorectal obstructions caused by unresectable extrinsic tumors. METHODS From January 2000 to November 2005, a total of 60 colorectal stenting procedures were performed, and 57 stents were deployed in 39 patients with extrinsic tumors. The success rate and complications were analyzed retrospectively. RESULTS The most common etiology and location of obstruction were advanced gastric cancer and transverse colon. Technical success was 34 of 39 patients (87.2 percent). The causes of technical failure were immediate stent migration (n = 1), technical problems (n = 1), and access failure because of bowel immobilization (n = 3). Clinical success was 32 of 34 technical successes (82.1 percent). The two patients without clinical success had multifocal strictures of the bowel. Complications occurred in 22 of 57 stents (38.6 percent), including stent reobstruction (n = 14) and stent migration (n = 5). All of stent migrations except one developed with covered stents. CONCLUSIONS In patients with colonic obstruction caused by extrinsic tumors, stent insertion provided effective symptom relief and can be a reasonable alternative choice to a colostomy. An uncovered stent might be more preferable, considering less migration and remaining short life expectancy, compared with a covered stent.","author":[{"dropping-particle":"","family":"Shin","given":"Sung Jae","non-dropping-particle":"","parse-names":false,"suffix":""},{"dropping-particle":"Il","family":"Kim","given":"Tae","non-dropping-particle":"","parse-names":false,"suffix":""},{"dropping-particle":"","family":"Kim","given":"Byung Chang","non-dropping-particle":"","parse-names":false,"suffix":""},{"dropping-particle":"","family":"Lee","given":"Yong Chan","non-dropping-particle":"","parse-names":false,"suffix":""},{"dropping-particle":"","family":"Song","given":"Si Young","non-dropping-particle":"","parse-names":false,"suffix":""},{"dropping-particle":"","family":"Kim","given":"Won Ho","non-dropping-particle":"","parse-names":false,"suffix":""}],"container-title":"Diseases of the colon and rectum","id":"ITEM-1","issue":"5","issued":{"date-parts":[["2008","5"]]},"page":"578-83","title":"Clinical application of self-expandable metallic stent for treatment of colorectal obstruction caused by extrinsic invasive tumors.","type":"article-journal","volume":"51"},"uris":["http://www.mendeley.com/documents/?uuid=0494993e-e8a8-4a69-a679-77704658f721"]},{"id":"ITEM-2","itemData":{"DOI":"10.1016/j.gie.2017.03.928","ISSN":"00165107","author":[{"dropping-particle":"","family":"Lin","given":"James L.","non-dropping-particle":"","parse-names":false,"suffix":""},{"dropping-particle":"","family":"David","given":"Donald","non-dropping-particle":"","parse-names":false,"suffix":""},{"dropping-particle":"","family":"Lee","given":"Byrne","non-dropping-particle":"","parse-names":false,"suffix":""}],"container-title":"Gastrointestinal Endoscopy","id":"ITEM-2","issue":"5","issued":{"date-parts":[["2017","5"]]},"page":"AB401","title":"Su1699 Efficacy of Self-Expandable Metallic Stents for Colonic and Extracolonic Malignant Obstruction","type":"article-journal","volume":"85"},"uris":["http://www.mendeley.com/documents/?uuid=69ed1f5e-2064-49d8-b07b-67e3beabdaab"]}],"mendeley":{"formattedCitation":"&lt;sup&gt;[59,65]&lt;/sup&gt;","plainTextFormattedCitation":"[59,65]","previouslyFormattedCitation":"(59,65)"},"properties":{"noteIndex":0},"schema":"https://github.com/citation-style-language/schema/raw/master/csl-citation.json"}</w:instrText>
      </w:r>
      <w:r w:rsidR="001D2AD8" w:rsidRPr="00C042FF">
        <w:rPr>
          <w:rStyle w:val="FootnoteReference"/>
          <w:rFonts w:ascii="Book Antiqua" w:hAnsi="Book Antiqua"/>
          <w:noProof/>
          <w:lang w:val="en-US"/>
        </w:rPr>
        <w:fldChar w:fldCharType="separate"/>
      </w:r>
      <w:r w:rsidR="008201F7" w:rsidRPr="00C042FF">
        <w:rPr>
          <w:rFonts w:ascii="Book Antiqua" w:hAnsi="Book Antiqua"/>
          <w:noProof/>
          <w:vertAlign w:val="superscript"/>
          <w:lang w:val="en-US"/>
        </w:rPr>
        <w:t>[59,65]</w:t>
      </w:r>
      <w:r w:rsidR="001D2AD8" w:rsidRPr="00C042FF">
        <w:rPr>
          <w:rStyle w:val="FootnoteReference"/>
          <w:rFonts w:ascii="Book Antiqua" w:hAnsi="Book Antiqua"/>
          <w:noProof/>
          <w:lang w:val="en-US"/>
        </w:rPr>
        <w:fldChar w:fldCharType="end"/>
      </w:r>
      <w:r w:rsidR="002263E4" w:rsidRPr="00C042FF">
        <w:rPr>
          <w:rFonts w:ascii="Book Antiqua" w:hAnsi="Book Antiqua"/>
          <w:noProof/>
          <w:lang w:val="en-US"/>
        </w:rPr>
        <w:t xml:space="preserve">. </w:t>
      </w:r>
    </w:p>
    <w:p w14:paraId="23E53815" w14:textId="77777777" w:rsidR="00C93C7A" w:rsidRPr="00C042FF" w:rsidRDefault="00C93C7A" w:rsidP="003E14C8">
      <w:pPr>
        <w:spacing w:line="360" w:lineRule="auto"/>
        <w:jc w:val="both"/>
        <w:rPr>
          <w:rFonts w:ascii="Book Antiqua" w:eastAsiaTheme="majorEastAsia" w:hAnsi="Book Antiqua" w:cstheme="majorBidi"/>
          <w:lang w:val="en-US"/>
        </w:rPr>
      </w:pPr>
    </w:p>
    <w:p w14:paraId="3EC2F797" w14:textId="678DE525" w:rsidR="00686367" w:rsidRPr="00C042FF" w:rsidRDefault="008D24F6" w:rsidP="003E14C8">
      <w:pPr>
        <w:spacing w:line="360" w:lineRule="auto"/>
        <w:jc w:val="both"/>
        <w:rPr>
          <w:rFonts w:ascii="Book Antiqua" w:hAnsi="Book Antiqua"/>
          <w:b/>
          <w:i/>
          <w:noProof/>
          <w:lang w:val="en-US"/>
        </w:rPr>
      </w:pPr>
      <w:r w:rsidRPr="00C042FF">
        <w:rPr>
          <w:rFonts w:ascii="Book Antiqua" w:eastAsiaTheme="majorEastAsia" w:hAnsi="Book Antiqua" w:cstheme="majorBidi"/>
          <w:b/>
          <w:i/>
          <w:lang w:val="en-US"/>
        </w:rPr>
        <w:t>STENT and</w:t>
      </w:r>
      <w:r w:rsidR="009C21C9" w:rsidRPr="00C042FF">
        <w:rPr>
          <w:rFonts w:ascii="Book Antiqua" w:eastAsiaTheme="majorEastAsia" w:hAnsi="Book Antiqua" w:cstheme="majorBidi"/>
          <w:b/>
          <w:i/>
          <w:lang w:val="en-US"/>
        </w:rPr>
        <w:t xml:space="preserve"> </w:t>
      </w:r>
      <w:r w:rsidR="00807ADD" w:rsidRPr="00C042FF">
        <w:rPr>
          <w:rFonts w:ascii="Book Antiqua" w:eastAsiaTheme="majorEastAsia" w:hAnsi="Book Antiqua" w:cstheme="majorBidi"/>
          <w:b/>
          <w:i/>
          <w:lang w:val="en-US"/>
        </w:rPr>
        <w:t>c</w:t>
      </w:r>
      <w:r w:rsidR="009C21C9" w:rsidRPr="00C042FF">
        <w:rPr>
          <w:rFonts w:ascii="Book Antiqua" w:eastAsiaTheme="majorEastAsia" w:hAnsi="Book Antiqua" w:cstheme="majorBidi"/>
          <w:b/>
          <w:i/>
          <w:lang w:val="en-US"/>
        </w:rPr>
        <w:t>hemotherapy</w:t>
      </w:r>
    </w:p>
    <w:p w14:paraId="149FA51E" w14:textId="52106FBF" w:rsidR="00CC6B25" w:rsidRPr="00C042FF" w:rsidRDefault="009C21C9" w:rsidP="003E14C8">
      <w:pPr>
        <w:spacing w:line="360" w:lineRule="auto"/>
        <w:jc w:val="both"/>
        <w:rPr>
          <w:rFonts w:ascii="Book Antiqua" w:hAnsi="Book Antiqua"/>
          <w:lang w:val="en-US"/>
        </w:rPr>
      </w:pPr>
      <w:r w:rsidRPr="00C042FF">
        <w:rPr>
          <w:rFonts w:ascii="Book Antiqua" w:hAnsi="Book Antiqua"/>
          <w:lang w:val="en-US"/>
        </w:rPr>
        <w:t xml:space="preserve">Whether it is in palliative patients or in </w:t>
      </w:r>
      <w:r w:rsidR="00573906" w:rsidRPr="00C042FF">
        <w:rPr>
          <w:rFonts w:ascii="Book Antiqua" w:hAnsi="Book Antiqua"/>
          <w:lang w:val="en-US"/>
        </w:rPr>
        <w:t>those who</w:t>
      </w:r>
      <w:r w:rsidRPr="00C042FF">
        <w:rPr>
          <w:rFonts w:ascii="Book Antiqua" w:hAnsi="Book Antiqua"/>
          <w:lang w:val="en-US"/>
        </w:rPr>
        <w:t xml:space="preserve"> will use the stent as a bridge for elective surgery, there is a high chance of colonic perforation if chemotherapy is asso</w:t>
      </w:r>
      <w:r w:rsidR="008C1D9E" w:rsidRPr="00C042FF">
        <w:rPr>
          <w:rFonts w:ascii="Book Antiqua" w:hAnsi="Book Antiqua"/>
          <w:lang w:val="en-US"/>
        </w:rPr>
        <w:t xml:space="preserve">ciated, especially </w:t>
      </w:r>
      <w:r w:rsidR="00573906" w:rsidRPr="00C042FF">
        <w:rPr>
          <w:rFonts w:ascii="Book Antiqua" w:hAnsi="Book Antiqua"/>
          <w:lang w:val="en-US"/>
        </w:rPr>
        <w:t xml:space="preserve">with </w:t>
      </w:r>
      <w:r w:rsidR="008C1D9E" w:rsidRPr="00C042FF">
        <w:rPr>
          <w:rFonts w:ascii="Book Antiqua" w:hAnsi="Book Antiqua"/>
          <w:lang w:val="en-US"/>
        </w:rPr>
        <w:t>angiogenesis inhibitors</w:t>
      </w:r>
      <w:r w:rsidRPr="00C042FF">
        <w:rPr>
          <w:rFonts w:ascii="Book Antiqua" w:hAnsi="Book Antiqua"/>
          <w:lang w:val="en-US"/>
        </w:rPr>
        <w:t xml:space="preserve"> such as bevacizumab</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Cancer","id":"ITEM-1","issued":{"date-parts":[["2018"]]},"publisher":"Elsevier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Cancer","type":"article-journal"},"uris":["http://www.mendeley.com/documents/?uuid=1bedc20f-7ce5-42ac-b869-3025d823cbbb"]},{"id":"ITEM-2","itemData":{"DOI":"10.1016/j.gie.2013.11.038","ISBN":"1097-6779 (Electronic)\\r0016-5107 (Linking)","ISSN":"10976779","PMID":"24650852","abstract":"Background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 © 2014 by the American Society for Gastrointestinal Endoscopy.","author":[{"dropping-particle":"","family":"Halsema","given":"Emo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Endoscopy","id":"ITEM-2","issue":"6","issued":{"date-parts":[["2014"]]},"title":"Perforation in colorectal stenting: A meta-analysis and a search for risk factors","type":"article","volume":"79"},"uris":["http://www.mendeley.com/documents/?uuid=888a5f5b-fc79-4761-b936-b99d5e87137a"]}],"mendeley":{"formattedCitation":"&lt;sup&gt;[66,67]&lt;/sup&gt;","plainTextFormattedCitation":"[66,67]","previouslyFormattedCitation":"(66,67)"},"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[66,67]</w:t>
      </w:r>
      <w:r w:rsidR="001D2AD8" w:rsidRPr="00C042FF">
        <w:rPr>
          <w:rStyle w:val="FootnoteReference"/>
          <w:rFonts w:ascii="Book Antiqua" w:hAnsi="Book Antiqua"/>
          <w:lang w:val="en-US"/>
        </w:rPr>
        <w:fldChar w:fldCharType="end"/>
      </w:r>
      <w:r w:rsidRPr="00C042FF">
        <w:rPr>
          <w:rFonts w:ascii="Book Antiqua" w:hAnsi="Book Antiqua"/>
          <w:lang w:val="en-US"/>
        </w:rPr>
        <w:t>.</w:t>
      </w:r>
      <w:r w:rsidR="00CC6B25" w:rsidRPr="00C042FF">
        <w:rPr>
          <w:rFonts w:ascii="Book Antiqua" w:hAnsi="Book Antiqua"/>
          <w:lang w:val="en-US"/>
        </w:rPr>
        <w:t xml:space="preserve"> The European Societ</w:t>
      </w:r>
      <w:r w:rsidR="00807ADD">
        <w:rPr>
          <w:rFonts w:ascii="Book Antiqua" w:hAnsi="Book Antiqua"/>
          <w:lang w:val="en-US"/>
        </w:rPr>
        <w:t>y of Gastrointestinal Endoscopy</w:t>
      </w:r>
      <w:r w:rsidR="00CC6B25" w:rsidRPr="00C042FF">
        <w:rPr>
          <w:rFonts w:ascii="Book Antiqua" w:hAnsi="Book Antiqua"/>
          <w:lang w:val="en-US"/>
        </w:rPr>
        <w:t xml:space="preserve"> does not recommend the combination therapy of stent with antiangiogenic drugs</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{"citationItems":[{"id":"ITEM-1","itemData":{"DOI":"10.1055/s-0034-1390700 T4 - European Society of Gastrointestinal Endoscopy (ESGE) Clinical Guideline PM - 25325682 M4 - Citavi","ISSN":"1438-8812","abstract":"This Guideline is an official statement of the European Society of Gastrointestinal Endoscopy (ESGE). This Guideline was also reviewed and endorsed by the Governing Board of the American Society for Gastrointestinal Endoscopy (ASGE). The Grading of Recommendations Assessment, Development, and Evaluation (GRADE) system was adopted to define the strength of recommendations and the quality of evidence. Main recommendations The following recommendations should only be applied after a thorough diagnostic evaluation including a contrast-enhanced computed tomography (CT) scan. 1 Prophylactic colonic stent placement is not recommended. Colonic stenting should be reserved for patients with clinical symptoms and imaging evidence of malignant large-bowel obstruction, without signs of perforation (strong recommendation, low quality evidence). 2 Colonic self-expandable metal stent (SEMS) placement as a bridge to elective surgery is not recommended as a standard treatment of symptomatic left-sided malignant colonic obstruction (strong recommendation, high quality evidence). 3 For patients with potentially curable but obstructing left-sided colonic cancer, stent placement may be considered as an alternative to emergency surgery in those who have an increased risk of postoperative mortality, I. e. American Society of Anesthesiologists (ASA) Physical Status ≥ III and/or age {&gt;} 70 years (weak recommendation, low quality evidence). 4 SEMS placement is recommended as the preferred treatment for palliation of malignant colonic obstruction (strong recommendation, high quality evidence), except in patients treated or considered for treatment with antiangiogenic drugs (e. g. bevacizumab) (strong recommendation, low quality evidence).","author":[{"dropping-particle":"","family":"Hooft","given":"J E","non-dropping-particle":"van","parse-names":false,"suffix":""},{"dropping-particle":"","family":"Halsema","given":"E E","non-dropping-particle":"van","parse-names":false,"suffix":""},{"dropping-particle":"","family":"Vanbiervliet","given":"G","non-dropping-particle":"","parse-names":false,"suffix":""},{"dropping-particle":"","family":"Beets-Tan","given":"R G","non-dropping-particle":"","parse-names":false,"suffix":""},{"dropping-particle":"","family":"DeWitt","given":"J M","non-dropping-particle":"","parse-names":false,"suffix":""},{"dropping-particle":"","family":"Donnellan","given":"F","non-dropping-particle":"","parse-names":false,"suffix":""},{"dropping-particle":"","family":"Dumonceau","given":"J M","non-dropping-particle":"","parse-names":false,"suffix":""},{"dropping-particle":"","family":"Glynne-Jones","given":"R G","non-dropping-particle":"","parse-names":false,"suffix":""},{"dropping-particle":"","family":"Hassan","given":"C","non-dropping-particle":"","parse-names":false,"suffix":""},{"dropping-particle":"","family":"Jiménez-Perez","given":"J","non-dropping-particle":"","parse-names":false,"suffix":""},{"dropping-particle":"","family":"Meisner","given":"S","non-dropping-particle":"","parse-names":false,"suffix":""},{"dropping-particle":"","family":"Muthusamy","given":"V R","non-dropping-particle":"","parse-names":false,"suffix":""},{"dropping-particle":"","family":"Parker","given":"M C","non-dropping-particle":"","parse-names":false,"suffix":""},{"dropping-particle":"","family":"Regimbeau","given":"J M","non-dropping-particle":"","parse-names":false,"suffix":""},{"dropping-particle":"","family":"Sabbagh","given":"C","non-dropping-particle":"","parse-names":false,"suffix":""},{"dropping-particle":"","family":"Sagar","given":"J","non-dropping-particle":"","parse-names":false,"suffix":""},{"dropping-particle":"","family":"Tanis","given":"P J","non-dropping-particle":"","parse-names":false,"suffix":""},{"dropping-particle":"","family":"Vandervoort","given":"J","non-dropping-particle":"","parse-names":false,"suffix":""},{"dropping-particle":"","family":"Webster","given":"G J","non-dropping-particle":"","parse-names":false,"suffix":""},{"dropping-particle":"","family":"Manes","given":"G","non-dropping-particle":"","parse-names":false,"suffix":""},{"dropping-particle":"","family":"Barthet","given":"M A","non-dropping-particle":"","parse-names":false,"suffix":""},{"dropping-particle":"","family":"Repici","given":"A","non-dropping-particle":"","parse-names":false,"suffix":""},{"dropping-particle":"","family":"Endoscopy","given":"European Society of Gastrointestinal","non-dropping-particle":"","parse-names":false,"suffix":""}],"container-title":"Endoscopy","id":"ITEM-1","issue":"11","issued":{"date-parts":[["2014"]]},"page":"990-1053","title":"Self-expandable metal stents for obstructing colonic and extracolonic cancer","type":"article-journal","volume":"46"},"uris":["http://www.mendeley.com/documents/?uuid=0add656d-4871-4974-a3a8-9d8832924d10"]}],"mendeley":{"formattedCitation":"&lt;sup&gt;[68]&lt;/sup&gt;","plainTextFormattedCitation":"[68]","previouslyFormattedCitation":"(68)"},"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[6</w:t>
      </w:r>
      <w:r w:rsidR="00320B98">
        <w:rPr>
          <w:rFonts w:ascii="Book Antiqua" w:hAnsi="Book Antiqua" w:hint="eastAsia"/>
          <w:bCs/>
          <w:noProof/>
          <w:vertAlign w:val="superscript"/>
          <w:lang w:val="en-US" w:eastAsia="zh-CN"/>
        </w:rPr>
        <w:t>2</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CC6B25" w:rsidRPr="00C042FF">
        <w:rPr>
          <w:rFonts w:ascii="Book Antiqua" w:hAnsi="Book Antiqua"/>
          <w:lang w:val="en-US"/>
        </w:rPr>
        <w:t>.</w:t>
      </w:r>
    </w:p>
    <w:p w14:paraId="48E8050D" w14:textId="515A3E1C" w:rsidR="00FE205A" w:rsidRPr="00C042FF" w:rsidRDefault="00573906" w:rsidP="00807ADD">
      <w:pPr>
        <w:spacing w:line="360" w:lineRule="auto"/>
        <w:ind w:firstLineChars="100" w:firstLine="240"/>
        <w:jc w:val="both"/>
        <w:rPr>
          <w:rFonts w:ascii="Book Antiqua" w:hAnsi="Book Antiqua"/>
          <w:lang w:val="en-US"/>
        </w:rPr>
      </w:pPr>
      <w:r w:rsidRPr="00C042FF">
        <w:rPr>
          <w:rFonts w:ascii="Book Antiqua" w:hAnsi="Book Antiqua"/>
          <w:lang w:val="en-US"/>
        </w:rPr>
        <w:t xml:space="preserve">Chemotherapy </w:t>
      </w:r>
      <w:r w:rsidR="009C21C9" w:rsidRPr="00C042FF">
        <w:rPr>
          <w:rFonts w:ascii="Book Antiqua" w:hAnsi="Book Antiqua"/>
          <w:lang w:val="en-US"/>
        </w:rPr>
        <w:t>for metastatic C</w:t>
      </w:r>
      <w:r w:rsidR="00310E85" w:rsidRPr="00C042FF">
        <w:rPr>
          <w:rFonts w:ascii="Book Antiqua" w:hAnsi="Book Antiqua"/>
          <w:lang w:val="en-US"/>
        </w:rPr>
        <w:t>RC</w:t>
      </w:r>
      <w:r w:rsidR="009C21C9" w:rsidRPr="00C042FF">
        <w:rPr>
          <w:rFonts w:ascii="Book Antiqua" w:hAnsi="Book Antiqua"/>
          <w:lang w:val="en-US"/>
        </w:rPr>
        <w:t xml:space="preserve"> (C</w:t>
      </w:r>
      <w:r w:rsidR="00854959" w:rsidRPr="00C042FF">
        <w:rPr>
          <w:rFonts w:ascii="Book Antiqua" w:hAnsi="Book Antiqua"/>
          <w:lang w:val="en-US"/>
        </w:rPr>
        <w:t>RC</w:t>
      </w:r>
      <w:r w:rsidR="009C21C9" w:rsidRPr="00C042FF">
        <w:rPr>
          <w:rFonts w:ascii="Book Antiqua" w:hAnsi="Book Antiqua"/>
          <w:lang w:val="en-US"/>
        </w:rPr>
        <w:t>M) has evolved in the last decade from cytotoxic agents to molecular targeting agents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10.1056/NEJMoa1713709","ISSN":"0028-4793","author":[{"dropping-particle":"","family":"Grothey","given":"Axel","non-dropping-particle":"","parse-names":false,"suffix":""},{"dropping-particle":"","family":"Sobrero","given":"Alberto F.","non-dropping-particle":"","parse-names":false,"suffix":""},{"dropping-particle":"","family":"Shields","given":"Anthony F.","non-dropping-particle":"","parse-names":false,"suffix":""},{"dropping-particle":"","family":"Yoshino","given":"Takayuki","non-dropping-particle":"","parse-names":false,"suffix":""},{"dropping-particle":"","family":"Paul","given":"James","non-dropping-particle":"","parse-names":false,"suffix":""},{"dropping-particle":"","family":"Taieb","given":"Julien","non-dropping-particle":"","parse-names":false,"suffix":""},{"dropping-particle":"","family":"Souglakos","given":"John","non-dropping-particle":"","parse-names":false,"suffix":""},{"dropping-particle":"","family":"Shi","given":"Qian","non-dropping-particle":"","parse-names":false,"suffix":""},{"dropping-particle":"","family":"Kerr","given":"Rachel","non-dropping-particle":"","parse-names":false,"suffix":""},{"dropping-particle":"","family":"Labianca","given":"Roberto","non-dropping-particle":"","parse-names":false,"suffix":""},{"dropping-particle":"","family":"Meyerhardt","given":"Jeffrey A.","non-dropping-particle":"","parse-names":false,"suffix":""},{"dropping-particle":"","family":"Vernerey","given":"Dewi","non-dropping-particle":"","parse-names":false,"suffix":""},{"dropping-particle":"","family":"Yamanaka","given":"Takeharu","non-dropping-particle":"","parse-names":false,"suffix":""},{"dropping-particle":"","family":"Boukovinas","given":"Ioannis","non-dropping-particle":"","parse-names":false,"suffix":""},{"dropping-particle":"","family":"Meyers","given":"Jeffrey P.","non-dropping-particle":"","parse-names":false,"suffix":""},{"dropping-particle":"","family":"Renfro","given":"Lindsay A.","non-dropping-particle":"","parse-names":false,"suffix":""},{"dropping-particle":"","family":"Niedzwiecki","given":"Donna","non-dropping-particle":"","parse-names":false,"suffix":""},{"dropping-particle":"","family":"Watanabe","given":"Toshiaki","non-dropping-particle":"","parse-names":false,"suffix":""},{"dropping-particle":"","family":"Torri","given":"Valter","non-dropping-particle":"","parse-names":false,"suffix":""},{"dropping-particle":"","family":"Saunders","given":"Mark","non-dropping-particle":"","parse-names":false,"suffix":""},{"dropping-particle":"","family":"Sargent","given":"Daniel J.","non-dropping-particle":"","parse-names":false,"suffix":""},{"dropping-particle":"","family":"Andre","given":"Thierry","non-dropping-particle":"","parse-names":false,"suffix":""},{"dropping-particle":"","family":"Iveson","given":"Timothy","non-dropping-particle":"","parse-names":false,"suffix":""}],"container-title":"New England Journal of Medicine","id":"ITEM-1","issue":"13","issued":{"date-parts":[["2018","3","29"]]},"page":"1177-1188","title":"Duration of Adjuvant Chemotherapy for Stage III Colon Cancer","type":"article-journal","volume":"378"},"uris":["http://www.mendeley.com/documents/?uuid=8378dfe3-04af-4548-b7a5-ecb581fcc9f5"]}],"mendeley":{"formattedCitation":"&lt;sup&gt;[69]&lt;/sup&gt;","plainTextFormattedCitation":"[69]","previouslyFormattedCitation":"(69)"},"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rPr>
        <w:t>[6</w:t>
      </w:r>
      <w:r w:rsidR="00320B98">
        <w:rPr>
          <w:rFonts w:ascii="Book Antiqua" w:hAnsi="Book Antiqua" w:hint="eastAsia"/>
          <w:bCs/>
          <w:noProof/>
          <w:vertAlign w:val="superscript"/>
          <w:lang w:eastAsia="zh-CN"/>
        </w:rPr>
        <w:t>8</w:t>
      </w:r>
      <w:r w:rsidR="008201F7" w:rsidRPr="00C042FF">
        <w:rPr>
          <w:rFonts w:ascii="Book Antiqua" w:hAnsi="Book Antiqua"/>
          <w:bCs/>
          <w:noProof/>
          <w:vertAlign w:val="superscript"/>
        </w:rPr>
        <w:t>]</w:t>
      </w:r>
      <w:r w:rsidR="001D2AD8" w:rsidRPr="00C042FF">
        <w:rPr>
          <w:rStyle w:val="FootnoteReference"/>
          <w:rFonts w:ascii="Book Antiqua" w:hAnsi="Book Antiqua"/>
          <w:lang w:val="en-US"/>
        </w:rPr>
        <w:fldChar w:fldCharType="end"/>
      </w:r>
      <w:r w:rsidR="009C21C9" w:rsidRPr="00C042FF">
        <w:rPr>
          <w:rFonts w:ascii="Book Antiqua" w:hAnsi="Book Antiqua"/>
          <w:lang w:val="en-US"/>
        </w:rPr>
        <w:t>.</w:t>
      </w:r>
      <w:r w:rsidR="00CC6B25" w:rsidRPr="00C042FF">
        <w:rPr>
          <w:rFonts w:ascii="Book Antiqua" w:hAnsi="Book Antiqua"/>
          <w:lang w:val="en-US"/>
        </w:rPr>
        <w:t xml:space="preserve"> </w:t>
      </w:r>
      <w:r w:rsidR="009C21C9" w:rsidRPr="00C042FF">
        <w:rPr>
          <w:rFonts w:ascii="Book Antiqua" w:hAnsi="Book Antiqua"/>
          <w:lang w:val="en-US"/>
        </w:rPr>
        <w:t>Currently, four cytotoxic agents [5-fluorouracil (5-FU), capecitabine, irinotecan, oxaliplatin]</w:t>
      </w:r>
      <w:r w:rsidR="001D2AD8" w:rsidRPr="00C042FF">
        <w:rPr>
          <w:rStyle w:val="FootnoteReference"/>
          <w:rFonts w:ascii="Book Antiqua" w:hAnsi="Book Antiqua"/>
        </w:rPr>
        <w:fldChar w:fldCharType="begin" w:fldLock="1"/>
      </w:r>
      <w:r w:rsidR="008201F7" w:rsidRPr="00C042FF">
        <w:rPr>
          <w:rFonts w:ascii="Book Antiqua" w:hAnsi="Book Antiqua"/>
        </w:rPr>
        <w:instrText>ADDIN CSL_CITATION {"citationItems":[{"id":"ITEM-1","itemData":{"DOI":"10.1016/S0140-6736(00)02034-1","ISBN":"0140-6736 LA  - eng PT - Clinical Trial PT - Clinical Trial, Phase III PT - Journal Article PT - Multicenter Study PT - Randomized Controlled Trial","ISSN":"01406736","PMID":"10744089","abstract":"Background: Irinotecan is active against colorectal cancer in patients whose disease is refractory to fluorouracil. We investigated the efficacy of these two agents combined for first-line treatment of metastatic colorectal cancer. Methods: 387 patients previously untreated with chemotherapy (other than adjuvant) for advanced colorectal cancer were randomly-assigned open-label irinotecan plus fluorouracil and calcium folinate (irinotecan group, n = 199) or fluorouracil and calcium folinate alone (no-irinotecan group, n = 188). Infusion schedules were once weekly or every 2 weeks, and were chosen by each centre. We assessed response rates and time to progression, and also response duration, survival, and quality of life. Analyses were done on the intention-to-treat population and on evaluable patients. Findings: The response rate was significantly higher in patients in the irinotecan group than in those in the no-irinotecan group (49 vs 31%, p &lt; 0.001 for evaluable patients, 35 vs 22%,p &lt; 0.005 by intention to treat). Time to progression was significantly longer in the irinotecan group than in the no-irinotecan group (median 6.7 vs 4.4 months, p &lt; 0.001), and overall survival was higher (median 17.4 vs 14.1 months, p = 0.031). Some grade 3 and 4 toxic effects were significantly more frequent in the irinotecan group than in the no-irinotecan group, but effects were predictible, reversible, non-cumulative,and manageable. Interpretation: Irinotecan combined with fluorouracil and calcium folinate was well tolerated and increased response rate, time to progression, and survival, with a later deterioration in quality of life. This combination should be considered as a reference first-line treatment for metastatic colorectal cancer.","author":[{"dropping-particle":"","family":"Douillard","given":"J. Y.","non-dropping-particle":"","parse-names":false,"suffix":""},{"dropping-particle":"","family":"Cunningham","given":"D.","non-dropping-particle":"","parse-names":false,"suffix":""},{"dropping-particle":"","family":"Roth","given":"A. D.","non-dropping-particle":"","parse-names":false,"suffix":""},{"dropping-particle":"","family":"Navarro","given":"M.","non-dropping-particle":"","parse-names":false,"suffix":""},{"dropping-particle":"","family":"James","given":"R. D.","non-dropping-particle":"","parse-names":false,"suffix":""},{"dropping-particle":"","family":"Karasek","given":"P.","non-dropping-particle":"","parse-names":false,"suffix":""},{"dropping-particle":"","family":"Jandik","given":"P.","non-dropping-particle":"","parse-names":false,"suffix":""},{"dropping-particle":"","family":"Iveson","given":"T.","non-dropping-particle":"","parse-names":false,"suffix":""},{"dropping-particle":"","family":"Carmichael","given":"J.","non-dropping-particle":"","parse-names":false,"suffix":""},{"dropping-particle":"","family":"Alakl","given":"M.","non-dropping-particle":"","parse-names":false,"suffix":""},{"dropping-particle":"","family":"Gruia","given":"G.","non-dropping-particle":"","parse-names":false,"suffix":""},{"dropping-particle":"","family":"Awad","given":"L.","non-dropping-particle":"","parse-names":false,"suffix":""},{"dropping-particle":"","family":"Rougier","given":"P.","non-dropping-particle":"","parse-names":false,"suffix":""}],"container-title":"Lancet","id":"ITEM-1","issue":"9209","issued":{"date-parts":[["2000"]]},"page":"1041-1047","title":"Irinotecan combined with fluorouracil compared with fluorouracil alone. as first-line treatment for metastatic colorectal cancer: a multicentre randomised trial","type":"article-journal","volume":"355"},"uris":["http://www.mendeley.com/documents/?uuid=6b44a00e-581a-4f7e-b7a3-0c62667e9213"]},{"id":"ITEM-2","itemData":{"DOI":"10.1200/JCO.2007.14.9898","ISBN":"1527-7755 (Electronic)","ISSN":"0732183X","PMID":"18421053","abstract":"PURPOSE: To evaluate whether capecitabine plus oxaliplatin (XELOX) is noninferior to fluorouracil. folinic acid, and oxaliplatin (FOLFOX-4) as first-line therapy in metastatic colorectal cancer (MCRC). PATIENTS AND METHODS: The initial design of this trial was a randomized, two-arm, noninferiority, phase III comparison of XELOX versus FOLFOX-4. After patient accrual had begun, the trial design was amended in 2003 after bevacizumab phase III data became available. The resulting 2 x 2 factorial design randomly assigned patients to XELOX versus FOLFOX-4, and then to also receive either bevacizumab or placebo. We report here the results of the analysis of the XELOX versus FOLFOX-4 arms. The analysis of bevacizumab versus placebo with oxaliplatin-based chemotherapy is reported separately. The prespecified primary end point for the noninferiority analysis was progression-free survival. RESULTS: The intent-to-treat population comprised 634 patients from the original two-arm portion of the study, plus an additional 1,400 patients after the start of the amended 2 x 2 design, for a total of 2,034 patients. The median PFS was 8.0 months in the pooled XELOX-containing arms versus 8.5 months in the FOLFOX-4-containing arms (hazard ratio [HR], 1.04; 97.5% CI, 0.93 to 1.16). The median overall survival was 19.8 months with XELOX versus 19.6 months with FOLFOX-4 (HR, 0.99; 97.5% CI, 0.88 to 1.12). FOLFOX-4 was associated with more grade 3/4 neutropenia/granulocytopenia and febrile neutropenia than XELOX, and XELOX with more grade 3 diarrhea and grade 3 hand-foot syndrome than FOLFOX-4. CONCLUSION: XELOX is noninferior to FOLFOX-4 as a first-line treatment for MCRC, and may be considered as a routine treatment option for appropriate patients.","author":[{"dropping-particle":"","family":"Cassidy","given":"Jim","non-dropping-particle":"","parse-names":false,"suffix":""},{"dropping-particle":"","family":"Clarke","given":"Stephen","non-dropping-particle":"","parse-names":false,"suffix":""},{"dropping-particle":"","family":"D??az-Rubio","given":"Eduardo","non-dropping-particle":"","parse-names":false,"suffix":""},{"dropping-particle":"","family":"Scheithauer","given":"Werner","non-dropping-particle":"","parse-names":false,"suffix":""},{"dropping-particle":"","family":"Figer","given":"Arie","non-dropping-particle":"","parse-names":false,"suffix":""},{"dropping-particle":"","family":"Wong","given":"Ralph","non-dropping-particle":"","parse-names":false,"suffix":""},{"dropping-particle":"","family":"Kosk</w:instrText>
      </w:r>
      <w:r w:rsidR="008201F7" w:rsidRPr="00C042FF">
        <w:rPr>
          <w:rFonts w:ascii="Book Antiqua" w:hAnsi="Book Antiqua"/>
          <w:lang w:val="en-US"/>
        </w:rPr>
        <w:instrText>i","given":"Sheryl","non-dropping-particle":"","parse-names":false,"suffix":""},{"dropping-particle":"","family":"Lichinitser","given":"Mikhail","non-dropping-particle":"","parse-names":false,"suffix":""},{"dropping-particle":"","family":"Yang","given":"Tsai Shen","non-dropping-particle":"","parse-names":false,"suffix":""},{"dropping-particle":"","family":"Rivera","given":"Fernando","non-dropping-particle":"","parse-names":false,"suffix":""},{"dropping-particle":"","family":"Couture","given":"Felix","non-dropping-particle":"","parse-names":false,"suffix":""},{"dropping-particle":"","family":"Sirz??n","given":"Florin","non-dropping-particle":"","parse-names":false,"suffix":""},{"dropping-particle":"","family":"Saltz","given":"Leonard","non-dropping-particle":"","parse-names":false,"suffix":""}],"container-title":"Journal of Clinical Oncology","id":"ITEM-2","issue":"12","issued":{"date-parts":[["2008"]]},"page":"2006-2012","title":"Randomized phase III study of capecitabine plus oxaliplatin compared with fluorouracil/folinic acid plus oxaliplatin as first-line therapy for metastatic colorectal cancer","type":"article-journal","volume":"26"},"uris":["http://www.mendeley.com/documents/?uuid=f58f23a5-59ba-43b2-8b57-ec8b641b81bb"]}],"mendeley":{"formattedCitation":"&lt;sup&gt;[70,71]&lt;/sup&gt;","plainTextFormattedCitation":"[70,71]","previouslyFormattedCitation":"(70,71)"},"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w:t>
      </w:r>
      <w:r w:rsidR="00320B98">
        <w:rPr>
          <w:rFonts w:ascii="Book Antiqua" w:hAnsi="Book Antiqua" w:hint="eastAsia"/>
          <w:bCs/>
          <w:noProof/>
          <w:vertAlign w:val="superscript"/>
          <w:lang w:val="en-US" w:eastAsia="zh-CN"/>
        </w:rPr>
        <w:t>69</w:t>
      </w:r>
      <w:r w:rsidR="008201F7" w:rsidRPr="00C042FF">
        <w:rPr>
          <w:rFonts w:ascii="Book Antiqua" w:hAnsi="Book Antiqua"/>
          <w:bCs/>
          <w:noProof/>
          <w:vertAlign w:val="superscript"/>
          <w:lang w:val="en-US"/>
        </w:rPr>
        <w:t>,7</w:t>
      </w:r>
      <w:r w:rsidR="00320B98">
        <w:rPr>
          <w:rFonts w:ascii="Book Antiqua" w:hAnsi="Book Antiqua" w:hint="eastAsia"/>
          <w:bCs/>
          <w:noProof/>
          <w:vertAlign w:val="superscript"/>
          <w:lang w:val="en-US" w:eastAsia="zh-CN"/>
        </w:rPr>
        <w:t>0</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FE205A" w:rsidRPr="00C042FF">
        <w:rPr>
          <w:rFonts w:ascii="Book Antiqua" w:hAnsi="Book Antiqua"/>
          <w:lang w:val="en-US"/>
        </w:rPr>
        <w:t xml:space="preserve"> </w:t>
      </w:r>
      <w:r w:rsidR="009C21C9" w:rsidRPr="00C042FF">
        <w:rPr>
          <w:rFonts w:ascii="Book Antiqua" w:hAnsi="Book Antiqua"/>
          <w:lang w:val="en-US"/>
        </w:rPr>
        <w:t>an</w:t>
      </w:r>
      <w:r w:rsidRPr="00C042FF">
        <w:rPr>
          <w:rFonts w:ascii="Book Antiqua" w:hAnsi="Book Antiqua"/>
          <w:lang w:val="en-US"/>
        </w:rPr>
        <w:t>d five</w:t>
      </w:r>
      <w:r w:rsidR="009C21C9" w:rsidRPr="00C042FF">
        <w:rPr>
          <w:rFonts w:ascii="Book Antiqua" w:hAnsi="Book Antiqua"/>
          <w:lang w:val="en-US"/>
        </w:rPr>
        <w:t xml:space="preserve"> molecular targeting agents [bevacizumab (BV), cetuximab, panitumumab, aflibercept, and regorafenib]</w:t>
      </w:r>
      <w:r w:rsidR="00CB75F5" w:rsidRPr="00C042FF">
        <w:rPr>
          <w:rFonts w:ascii="Book Antiqua" w:hAnsi="Book Antiqua"/>
          <w:lang w:val="en-US"/>
        </w:rPr>
        <w:t xml:space="preserve"> </w:t>
      </w:r>
      <w:r w:rsidR="009C21C9" w:rsidRPr="00C042FF">
        <w:rPr>
          <w:rFonts w:ascii="Book Antiqua" w:hAnsi="Book Antiqua"/>
          <w:lang w:val="en-US"/>
        </w:rPr>
        <w:t>are used as chemotherapeutics for C</w:t>
      </w:r>
      <w:r w:rsidR="00854959" w:rsidRPr="00C042FF">
        <w:rPr>
          <w:rFonts w:ascii="Book Antiqua" w:hAnsi="Book Antiqua"/>
          <w:lang w:val="en-US"/>
        </w:rPr>
        <w:t>RC</w:t>
      </w:r>
      <w:r w:rsidR="009C21C9" w:rsidRPr="00C042FF">
        <w:rPr>
          <w:rFonts w:ascii="Book Antiqua" w:hAnsi="Book Antiqua"/>
          <w:lang w:val="en-US"/>
        </w:rPr>
        <w:t>M</w:t>
      </w:r>
      <w:r w:rsidR="002263E4" w:rsidRPr="00C042FF">
        <w:rPr>
          <w:rFonts w:ascii="Book Antiqua" w:hAnsi="Book Antiqua"/>
          <w:lang w:val="en-US"/>
        </w:rPr>
        <w:t>, given in combination or alone</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{"citationItems":[{"id":"ITEM-1","itemData":{"DOI":"10.1056/NEJMoa071834","ISBN":"1533-4406 (Electronic)\\r0028-4793 (Linking)","ISSN":"0028-4793","PMID":"18003960","abstract":"BACKGROUND: Cetuximab, an IgG1 chimeric monoclonal antibody against epidermal growth factor receptor (EGFR), has activity against colorectal cancers that express EGFR. METHODS: From December 2003 to August 2005, 572 patients who had colorectal cancer expressing immunohistochemically detectable EGFR and who had been previously treated with a fluoropyrimidine, irinotecan, and oxaliplatin or had contraindications to treatment with these drugs underwent randomization to an initial dose of 400 mg of cetuximab per square meter of body-surface area followed by a weekly infusion of 250 mg per square meter plus best supportive care (287 patients) or best supportive care alone (285 patients). The primary end point was overall survival. RESULTS: In comparison with best supportive care alone, cetuximab treatment was associated with a significant improvement in overall survival (hazard ratio for death, 0.77; 95% confidence interval [CI], 0.64 to 0.92; P=0.005) and in progression-free survival (hazard ratio for disease progression or death, 0.68; 95% CI, 0.57 to 0.80; P&lt;0.001). These benefits were robust after adjustment in a multivariable Cox proportional-hazards model. The median overall survival was 6.1 months in the cetuximab group and 4.6 months in the group assigned to supportive care alone. Partial responses occurred in 23 patients (8.0%) in the cetuximab group but in none in the group assigned to supportive care alone (P&lt;0.001); the disease was stable in an additional 31.4% of patients assigned to cetuximab and in 10.9% of patients assigned to supportive care alone (P&lt;0.001). Quality of life was better preserved in the cetuximab group, with less deterioration in physical function and global health status scores (both P&lt;0.05). Cetuximab treatment was associated with a characteristic rash; a rash of grade 2 or higher was strongly associated with improved survival (hazard ratio for death, 0.33; 95% CI, 0.22 to 0.50; P&lt;0.001). The incidence of any adverse event of grade 3 or higher was 78.5% in the cetuximab group and 59.1% in the group assigned to supportive care alone (P&lt;0.001). CONCLUSIONS: Cetuximab improves overall survival and progression-free survival and preserves quality-of-life measures in patients with colorectal cancer in whom other treatments have failed. (ClinicalTrials.gov number, NCT00079066 [ClinicalTrials.gov].).","author":[{"dropping-particle":"","family":"Jonker","given":"D J","non-dropping-particle":"","parse-names":false,"suffix":""},{"dropping-particle":"","family":"O'Callaghan","given":"C J","non-dropping-particle":"","parse-names":false,"suffix":""},{"dropping-particle":"","family":"Karapetis","given":"C S","non-dropping-particle":"","parse-names":false,"suffix":""},{"dropping-particle":"","family":"Zalcberg","given":"J R","non-dropping-particle":"","parse-names":false,"suffix":""},{"dropping-particle":"","family":"Tu","given":"D","non-dropping-particle":"","parse-names":false,"suffix":""},{"dropping-particle":"","family":"Au","given":"H J","non-dropping-particle":"","parse-names":false,"suffix":""},{"dropping-particle":"","family":"Berry","given":"S R","non-dropping-particle":"","parse-names":false,"suffix":""},{"dropping-particle":"","family":"Krahn","given":"M","non-dropping-particle":"","parse-names":false,"suffix":""},{"dropping-particle":"","family":"Price","given":"T","non-dropping-particle":"","parse-names":false,"suffix":""},{"dropping-particle":"","family":"Simes","given":"R J","non-dropping-particle":"","parse-names":false,"suffix":""},{"dropping-particle":"","family":"Tebbutt","given":"N C","non-dropping-particle":"","parse-names":false,"suffix":""},{"dropping-particle":"","family":"Hazel","given":"G","non-dropping-particle":"van","parse-names":false,"suffix":""},{"dropping-particle":"","family":"Wierzbicki","given":"R","non-dropping-particle":"","parse-names":false,"suffix":""},{"dropping-particle":"","family":"Langer","given":"C","non-dropping-particle":"","parse-names":false,"suffix":""},{"dropping-particle":"","family":"Moore","given":"M J","non-dropping-particle":"","parse-names":false,"suffix":""}],"container-title":"N Engl J Med","id":"ITEM-1","issue":"20","issued":{"date-parts":[["2007"]]},"page":"2040-2048","title":"Cetuximab for the treatment of colorectal cancer","type":"article-journal","volume":"357"},"uris":["http://www.mendeley.com/documents/?uuid=ec0f6488-0e8c-49ca-a2b3-c19cc01eeaec"]},{"id":"ITEM-2","itemData":{"DOI":"10.1200/JCO.2006.08.1620","ISBN":"1527-7755 (Electronic)\\n0732-183X (Linking)","ISSN":"1527-7755","PMID":"17470858","abstract":"PURPOSE Panitumumab is a fully human monoclonal antibody directed against the epidermal growth factor receptor (EGFR). We compared the activity of panitumumab plus best supportive care (BSC) to that of BSC alone in patients with metastatic colorectal cancer who had progressed after standard chemotherapy. PATIENTS AND METHODS We randomly assigned 463 patients with 1% or more EGFR tumor cell membrane staining, measurable disease, and radiologic documentation of disease progression during or within 6 months of most recent chemotherapy to panitumumab 6 mg/kg every 2 weeks plus BSC (n = 231) or BSC alone (n = 232). Tumor assessments by blinded central review were scheduled from week 8 until disease progression. The primary end point was progression-free survival (PFS). Secondary end points included objective response, overall survival (OS), and safety. BSC patients who progressed could receive panitumumab in a cross-over study. RESULTS Panitumumab significantly prolonged PFS (hazard ratio [HR], 0.54; 95% CI, 0.44 to 0.66, [P &lt; .0001]). Median PFS time was 8 weeks (95% CI, 7.9 to 8.4) for panitumumab and 7.3 weeks (95% CI, 7.1 to 7.7) for BSC. Mean (standard error) PFS time was 13.8 (0.8) weeks for panitumumab and 8.5 (0.5) weeks for BSC. Objective response rates also favored panitumumab over BSC; after a 12-month minimum follow-up, response rates were 10% for panitumumab and 0% for BSC (P &lt; .0001). No difference was observed in OS (HR, 1.00; 95% CI, 0.82 to 1.22), which was confounded by similar activity of panitumumab after 76% of BSC patients entered the cross-over study. Panitumumab was well tolerated. Skin toxicities, hypomagnesaemia, and diarrhea were the most common toxicities observed. No patients had grade 3/4 infusion reactions. CONCLUSION Panitumumab significantly improved PFS with manageable toxicity in patients with chemorefractory colorectal cancer.","author":[{"dropping-particle":"","family":"Cutsem","given":"Eric","non-dropping-particle":"Van","parse-names":false,"suffix":""},{"dropping-particle":"","family":"Peeters","given":"Marc","non-dropping-particle":"","parse-names":false,"suffix":""},{"dropping-particle":"","family":"Siena","given":"Salvatore","non-dropping-particle":"","parse-names":false,"suffix":""},{"dropping-particle":"","family":"Humblet","given":"Yves","non-dropping-particle":"","parse-names":false,"suffix":""},{"dropping-particle":"","family":"Hendlisz","given":"Alain","non-dropping-particle":"","parse-names":false,"suffix":""},{"dropping-particle":"","family":"Neyns","given":"Bart","non-dropping-particle":"","parse-names":false,"suffix":""},{"dropping-particle":"","family":"Canon","given":"Jean-Luc","non-dropping-particle":"","parse-names":false,"suffix":""},{"dropping-particle":"","family":"Laethem","given":"Jean-Luc","non-dropping-particle":"Van","parse-names":false,"suffix":""},{"dropping-particle":"","family":"Maurel","given":"Joan","non-dropping-particle":"","parse-names":false,"suffix":""},{"dropping-particle":"","family":"Richardson","given":"Gary","non-dropping-particle":"","parse-names":false,"suffix":""},{"dropping-particle":"","family":"Wolf","given":"Michael","non-dropping-particle":"","parse-names":false,"suffix":""},{"dropping-particle":"","family":"Amado","given":"Rafael G","non-dropping-particle":"","parse-names":false,"suffix":""}],"container-title":"Journal of clinical oncology : official journal of the American Society of Clinical Oncology","id":"ITEM-2","issue":"13","issued":{"date-parts":[["2007"]]},"page":"1658-64","title":"Open-label phase III trial of panitumumab plus best supportive care compared with best supportive care alone in patients with chemotherapy-refractory metastatic colorectal cancer.","type":"article-journal","volume":"25"},"uris":["http://www.mendeley.com/documents/?uuid=02be54eb-b673-41c7-a484-6bd7b57e6f77"]},{"id":"ITEM-3","itemData":{"DOI":"10.1200/JCO.2007.14.9930","ISBN":"1527-7755 (Electronic) 0732-183X (Linking)","ISSN":"1527-7755","PMID":"18421054","abstract":"PURPOSE To evaluate the efficacy and safety of bevacizumab when added to first-line oxaliplatin-based chemotherapy (either capecitabine plus oxaliplatin [XELOX] or fluorouracil/folinic acid plus oxaliplatin [FOLFOX-4]) in patients with metastatic colorectal cancer (MCRC). PATIENTS AND METHODS Patients with MCRC were randomly assigned, in a 2 x 2 factorial design, to XELOX versus FOLFOX-4, and then to bevacizumab versus placebo. The primary end point was progression-free survival (PFS). RESULTS A total of 1,401 patients were randomly assigned in this 2 x 2 analysis. Median progression-free survival (PFS) was 9.4 months in the bevacizumab group and 8.0 months in the placebo group (hazard ratio [HR], 0.83; 97.5% CI, 0.72 to 0.95; P = .0023). Median overall survival was 21.3 months in the bevacizumab group and 19.9 months in the placebo group (HR, 0.89; 97.5% CI, 0.76 to 1.03; P = .077). Response rates were similar in both arms. Analysis of treatment withdrawals showed that, despite protocol allowance of treatment continuation until disease progression, only 29% and 47% of bevacizumab and placebo recipients, respectively, were treated until progression. The toxicity profile of bevacizumab was consistent with that documented in previous trials. CONCLUSION The addition of bevacizumab to oxaliplatin-based chemotherapy significantly improved PFS in this first-line trial in patients with MCRC. Overall survival differences did not reach statistical significance, and response rate was not improved by the addition of bevacizumab. Treatment continuation until disease progression may be necessary in order to optimize the contribution of bevacizumab to therapy.","author":[{"dropping-particle":"","family":"Saltz","given":"Leonard B","non-dropping-particle":"","parse-names":false,"suffix":""},{"dropping-particle":"","family":"Clarke","given":"Stephen","non-dropping-particle":"","parse-names":false,"suffix":""},{"dropping-particle":"","family":"Díaz-Rubio","given":"Eduardo","non-dropping-particle":"","parse-names":false,"suffix":""},{"dropping-particle":"","family":"Scheithauer","given":"Werner","non-dropping-particle":"","parse-names":false,"suffix":""},{"dropping-particle":"","family":"Figer","given":"Arie","non-dropping-particle":"","parse-names":false,"suffix":""},{"dropping-particle":"","family":"Wong","given":"Ralph","non-dropping-particle":"","parse-names":false,"suffix":""},{"dropping-particle":"","family":"Koski","given":"Sheryl","non-dropping-particle":"","parse-names":false,"suffix":""},{"dropping-particle":"","family":"Lichinitser","given":"Mikhail","non-dropping-particle":"","parse-names":false,"suffix":""},{"dropping-particle":"","family":"Yang","given":"Tsai-Shen","non-dropping-particle":"","parse-names":false,"suffix":""},{"dropping-particle":"","family":"Rivera","given":"Fernando","non-dropping-particle":"","parse-names":false,"suffix":""},{"dropping-particle":"","family":"Couture","given":"Felix","non-dropping-particle":"","parse-names":false,"suffix":""},{"dropping-particle":"","family":"Sirzén","given":"Florin","non-dropping-particle":"","parse-names":false,"suffix":""},{"dropping-particle":"","family":"Cassidy","given":"Jim","non-dropping-particle":"","parse-names":false,"suffix":""}],"container-title":"Journal of clinical oncology : official journal of the American Society of Clinical Oncology","id":"ITEM-3","issue":"12","issued":{"date-parts":[["2008"]]},"page":"2013-9","title":"Bevacizumab in combination with oxaliplatin-based chemotherapy as first-line therapy in metastatic colorectal cancer: a randomized phase III study.","type":"article-journal","volume":"26"},"uris":["http://www.mendeley.com/documents/?uuid=3bd25ba2-caf8-4e6f-92cf-064f1fe2df9f"]},{"id":"ITEM-4","itemData":{"DOI":"10.1016/S0140-6736(12)61900-X","ISBN":"1474-547X (Electronic)\\r0140-6736 (Linking)","ISSN":"1474-547X","PMID":"23177514","abstract":"BACKGROUND No treatment options are available for patients with metastatic colorectal cancer that progresses after all approved standard therapies, but many patients maintain a good performance status and could be candidates for further therapy. An international phase 3 trial was done to assess the multikinase inhibitor regorafenib in these patients. METHODS We did this trial at 114 centres in 16 countries. Patients with documented metastatic colorectal cancer and progression during or within 3 months after the last standard therapy were randomised (in a 2:1 ratio; by computer-generated randomisation list and interactive voice response system; preallocated block design (block size six); stratified by previous treatment with VEGF-targeting drugs, time from diagnosis of metastatic disease, and geographical region) to receive best supportive care plus oral regorafenib 160 mg or placebo once daily, for the first 3 weeks of each 4 week cycle. The primary endpoint was overall survival. The study sponsor, participants, and investigators were masked to treatment assignment. Efficacy analyses were by intention to treat. This trial is registered at ClinicalTrials.gov, number NCT01103323. FINDINGS Between April 30, 2010, and March 22, 2011, 1052 patients were screened, 760 patients were randomised to receive regorafenib (n=505) or placebo (n=255), and 753 patients initiated treatment (regorafenib n=500; placebo n=253; population for safety analyses). The primary endpoint of overall survival was met at a preplanned interim analysis; data cutoff was on July 21, 2011. Median overall survival was 6·4 months in the regorafenib group versus 5·0 months in the placebo group (hazard ratio 0·77; 95% CI 0·64-0·94; one-sided p=0·0052). Treatment-related adverse events occurred in 465 (93%) patients assigned regorafenib and in 154 (61%) of those assigned placebo. The most common adverse events of grade three or higher related to regorafenib were hand-foot skin reaction (83 patients, 17%), fatigue (48, 10%), diarrhoea (36, 7%), hypertension (36, 7%), and rash or desquamation (29, 6%). INTERPRETATION Regorafenib is the first small-molecule multikinase inhibitor with survival benefits in metastatic colorectal cancer which has progressed after all standard therapies. The present study provides evidence for a continuing role of targeted treatment after disease progression, with regorafenib offering a potential new line of therapy in this treatment-refractory population. FUNDING Bay…","author":[{"dropping-particle":"","family":"Grothey","given":"Axel","non-dropping-particle":"","parse-names":false,"suffix":""},{"dropping-particle":"","family":"Cutsem","given":"Eric","non-dropping-particle":"Van","parse-names":false,"suffix":""},{"dropping-particle":"","family":"Sobrero","given":"Alberto","non-dropping-particle":"","parse-names":false,"suffix":""},{"dropping-particle":"","family":"Siena","given":"Salvatore","non-dropping-particle":"","parse-names":false,"suffix":""},{"dropping-particle":"","family":"Falcone","given":"Alfredo","non-dropping-particle":"","parse-names":false,"suffix":""},{"dropping-particle":"","family":"Ychou","given":"Marc","non-dropping-particle":"","parse-names":false,"suffix":""},{"dropping-particle":"","family":"Humblet","given":"Yves","non-dropping-particle":"","parse-names":false,"suffix":""},{"dropping-particle":"","family":"Bouché","given":"Olivier","non-dropping-particle":"","parse-names":false,"suffix":""},{"dropping-particle":"","family":"Mineur","given":"Laurent","non-dropping-particle":"","parse-names":false,"suffix":""},{"dropping-particle":"","family":"Barone","given":"Carlo","non-dropping-particle":"","parse-names":false,"suffix":""},{"dropping-particle":"","family":"Adenis","given":"Antoine","non-dropping-particle":"","parse-names":false,"suffix":""},{"dropping-particle":"","family":"Tabernero","given":"Josep","non-dropping-particle":"","parse-names":false,"suffix":""},{"dropping-particle":"","family":"Yoshino","given":"Takayuki","non-dropping-particle":"","parse-names":false,"suffix":""},{"dropping-particle":"","family":"Lenz","given":"Heinz-Josef","non-dropping-particle":"","parse-names":false,"suffix":""},{"dropping-particle":"","family":"Goldberg","given":"Richard M","non-dropping-particle":"","parse-names":false,"suffix":""},{"dropping-particle":"","family":"Sargent","given":"Daniel J","non-dropping-particle":"","parse-names":false,"suffix":""},{"dropping-particle":"","family":"Cihon","given":"Frank","non-dropping-particle":"","parse-names":false,"suffix":""},{"dropping-particle":"","family":"Cupit","given":"Lisa","non-dropping-particle":"","parse-names":false,"suffix":""},{"dropping-particle":"","family":"Wagner","given":"Andrea","non-dropping-particle":"","parse-names":false,"suffix":""},{"dropping-particle":"","family":"Laurent","given":"Dirk","non-dropping-particle":"","parse-names":false,"suffix":""},{"dropping-particle":"","family":"CORRECT Study Group","given":"","non-dropping-particle":"","parse-names":false,"suffix":""},{"dropping-particle":"Van","family":"Cutsem","given":"E","non-dropping-particle":"","parse-names":false,"suffix":""},{"dropping-particle":"","family":"Nordlinger","given":"B","non-dropping-particle":"","parse-names":false,"suffix":""},{"dropping-particle":"","family":"Cervantes","given":"A","non-dropping-particle":"","parse-names":false,"suffix":""},{"dropping-particle":"","family":"Network","given":"National Comprehensive Cancer","non-dropping-particle":"","parse-names":false,"suffix":""},{"dropping-particle":"","family":"Chu","given":"E","non-dropping-particle":"","parse-names":false,"suffix":""},{"dropping-particle":"","family":"Wilhelm","given":"SM","non-dropping-particle":"","parse-names":false,"suffix":""},{"dropping-particle":"","family":"Dumas","given":"J","non-dropping-particle":"","parse-names":false,"suffix":""},{"dropping-particle":"","family":"Adnane","given":"L","non-dropping-particle":"","parse-names":false,"suffix":""},{"dropping-particle":"","family":"al.","given":"et","non-dropping-particle":"","parse-names":false,"suffix":""},{"dropping-particle":"","family":"Strumberg","given":"D","non-dropping-particle":"","parse-names":false,"suffix":""},{"dropping-particle":"","family":"Scheulen","given":"ME","non-dropping-particle":"","parse-names":false,"suffix":""},{"dropping-particle":"","family":"Schultheis","given":"B","non-dropping-particle":"","parse-names":false,"suffix":""},{"dropping-particle":"","family":"al.","given":"et","non-dropping-particle":"","parse-names":false,"suffix":""},{"dropping-particle":"","family":"Cancer","given":"European Organisation for Research and Treatment of","non-dropping-particle":"","parse-names":false,"suffix":""},{"dropping-particle":"","family":"Osoba","given":"D","non-dropping-particle":"","parse-names":false,"suffix":""},{"dropping-particle":"","family":"Rodrigues","given":"G","non-dropping-particle":"","parse-names":false,"suffix":""},{"dropping-particle":"","family":"Myles","given":"J","non-dropping-particle":"","parse-names":false,"suffix":""},{"dropping-particle":"","family":"Zee","given":"B","non-dropping-particle":"","parse-names":false,"suffix":""},{"dropping-particle":"","family":"Pater","given":"J","non-dropping-particle":"","parse-names":false,"suffix":""},{"dropping-particle":"","family":"Pickard","given":"AS","non-dropping-particle":"","parse-names":false,"suffix":""},{"dropping-particle":"","family":"Neary","given":"MP","non-dropping-particle":"","parse-names":false,"suffix":""},{"dropping-particle":"","family":"Cella","given":"D","non-dropping-particle":"","parse-names":false,"suffix":""},{"dropping-particle":"","family":"Hecht","given":"JR","non-dropping-particle":"","parse-names":false,"suffix":""},{"dropping-particle":"","family":"Trarbach","given":"T","non-dropping-particle":"","parse-names":false,"suffix":""},{"dropping-particle":"","family":"Hainsworth","given":"JD","non-dropping-particle":"","parse-names":false,"suffix":""},{"dropping-particle":"","family":"al.","given":"et","non-dropping-particle":"","parse-names":false,"suffix":""},{"dropping-particle":"Van","family":"Cutsem","given":"E","non-dropping-particle":"","parse-names":false,"suffix":""},{"dropping-particle":"","family":"Bajetta","given":"E","non-dropping-particle":"","parse-names":false,"suffix":""},{"dropping-particle":"","family":"Valle","given":"J","non-dropping-particle":"","parse-names":false,"suffix":""},{"dropping-particle":"","family":"al.","given":"et","non-dropping-particle":"","parse-names":false,"suffix":""},{"dropping-particle":"","family":"Siu","given":"L","non-dropping-particle":"","parse-names":false,"suffix":""},{"dropping-particle":"","family":"Shapiro","given":"J","non-dropping-particle":"","parse-names":false,"suffix":""},{"dropping-particle":"","family":"Jonker","given":"J","non-dropping-particle":"","parse-names":false,"suffix":""},{"dropping-particle":"","family":"al.","given":"et","non-dropping-particle":"","parse-names":false,"suffix":""},{"dropping-particle":"","family":"Bendell","given":"JC","non-dropping-particle":"","parse-names":false,"suffix":""},{"dropping-particle":"","family":"Schmoll","given":"HJ","non-dropping-particle":"","parse-names":false,"suffix":""},{"dropping-particle":"","family":"Cunningham","given":"D","non-dropping-particle":"","parse-names":false,"suffix":""},{"dropping-particle":"","family":"Sobrero","given":"A","non-dropping-particle":"","parse-names":false,"suffix":""},{"dropping-particle":"","family":"al.","given":"et","non-dropping-particle":"","parse-names":false,"suffix":""},{"dropping-particle":"","family":"Hoff","given":"PM","non-dropping-particle":"","parse-names":false,"suffix":""},{"dropping-particle":"","family":"Hochhaus","given":"A","non-dropping-particle":"","parse-names":false,"suffix":""},{"dropping-particle":"","family":"Pestalozzi","given":"BC","non-dropping-particle":"","parse-names":false,"suffix":""},{"dropping-particle":"","family":"al.","given":"et","non-dropping-particle":"","parse-names":false,"suffix":""}],"container-title":"Lancet (London, England)","id":"ITEM-4","issue":"9863","issued":{"date-parts":[["2013"]]},"page":"303-12","title":"Regorafenib monotherapy for previously treated metastatic colorectal cancer (CORRECT): an international, multicentre, randomised, placebo-controlled, phase 3 trial.","type":"article-journal","volume":"381"},"uris":["http://www.mendeley.com/documents/?uuid=344b8dcb-7abc-44f4-a654-5732f7cf63d4"]}],"mendeley":{"formattedCitation":"&lt;sup&gt;[72–75]&lt;/sup&gt;","plainTextFormattedCitation":"[72–75]","previouslyFormattedCitation":"(72–75)"},"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rPr>
        <w:t>[7</w:t>
      </w:r>
      <w:r w:rsidR="00320B98">
        <w:rPr>
          <w:rFonts w:ascii="Book Antiqua" w:hAnsi="Book Antiqua" w:hint="eastAsia"/>
          <w:bCs/>
          <w:noProof/>
          <w:vertAlign w:val="superscript"/>
          <w:lang w:eastAsia="zh-CN"/>
        </w:rPr>
        <w:t>1</w:t>
      </w:r>
      <w:r w:rsidR="008201F7" w:rsidRPr="00C042FF">
        <w:rPr>
          <w:rFonts w:ascii="Book Antiqua" w:hAnsi="Book Antiqua"/>
          <w:bCs/>
          <w:noProof/>
          <w:vertAlign w:val="superscript"/>
        </w:rPr>
        <w:t>–7</w:t>
      </w:r>
      <w:r w:rsidR="00320B98">
        <w:rPr>
          <w:rFonts w:ascii="Book Antiqua" w:hAnsi="Book Antiqua" w:hint="eastAsia"/>
          <w:bCs/>
          <w:noProof/>
          <w:vertAlign w:val="superscript"/>
          <w:lang w:eastAsia="zh-CN"/>
        </w:rPr>
        <w:t>4</w:t>
      </w:r>
      <w:r w:rsidR="008201F7" w:rsidRPr="00C042FF">
        <w:rPr>
          <w:rFonts w:ascii="Book Antiqua" w:hAnsi="Book Antiqua"/>
          <w:bCs/>
          <w:noProof/>
          <w:vertAlign w:val="superscript"/>
        </w:rPr>
        <w:t>]</w:t>
      </w:r>
      <w:r w:rsidR="001D2AD8" w:rsidRPr="00C042FF">
        <w:rPr>
          <w:rStyle w:val="FootnoteReference"/>
          <w:rFonts w:ascii="Book Antiqua" w:hAnsi="Book Antiqua"/>
        </w:rPr>
        <w:fldChar w:fldCharType="end"/>
      </w:r>
      <w:r w:rsidR="002263E4" w:rsidRPr="00C042FF">
        <w:rPr>
          <w:rFonts w:ascii="Book Antiqua" w:hAnsi="Book Antiqua"/>
          <w:lang w:val="en-US"/>
        </w:rPr>
        <w:t>.</w:t>
      </w:r>
    </w:p>
    <w:p w14:paraId="40E0C69E" w14:textId="75567E3C" w:rsidR="00807ADD" w:rsidRDefault="005242A4" w:rsidP="00807ADD">
      <w:pPr>
        <w:spacing w:line="360" w:lineRule="auto"/>
        <w:ind w:firstLineChars="100" w:firstLine="240"/>
        <w:jc w:val="both"/>
        <w:rPr>
          <w:rFonts w:ascii="Book Antiqua" w:hAnsi="Book Antiqua"/>
          <w:lang w:val="en-US" w:eastAsia="zh-CN"/>
        </w:rPr>
      </w:pPr>
      <w:r w:rsidRPr="00C042FF">
        <w:rPr>
          <w:rFonts w:ascii="Book Antiqua" w:hAnsi="Book Antiqua"/>
          <w:lang w:val="en-US"/>
        </w:rPr>
        <w:t xml:space="preserve">New </w:t>
      </w:r>
      <w:r w:rsidR="00686367" w:rsidRPr="00C042FF">
        <w:rPr>
          <w:rFonts w:ascii="Book Antiqua" w:hAnsi="Book Antiqua"/>
          <w:lang w:val="en-US"/>
        </w:rPr>
        <w:t>chemother</w:t>
      </w:r>
      <w:r w:rsidR="002263E4" w:rsidRPr="00C042FF">
        <w:rPr>
          <w:rFonts w:ascii="Book Antiqua" w:hAnsi="Book Antiqua"/>
          <w:lang w:val="en-US"/>
        </w:rPr>
        <w:t>apy schedule</w:t>
      </w:r>
      <w:r w:rsidRPr="00C042FF">
        <w:rPr>
          <w:rFonts w:ascii="Book Antiqua" w:hAnsi="Book Antiqua"/>
          <w:lang w:val="en-US"/>
        </w:rPr>
        <w:t>s can take approximately</w:t>
      </w:r>
      <w:r w:rsidR="00807ADD">
        <w:rPr>
          <w:rFonts w:ascii="Book Antiqua" w:hAnsi="Book Antiqua"/>
          <w:lang w:val="en-US"/>
        </w:rPr>
        <w:t xml:space="preserve"> 24 </w:t>
      </w:r>
      <w:proofErr w:type="spellStart"/>
      <w:r w:rsidR="00807ADD">
        <w:rPr>
          <w:rFonts w:ascii="Book Antiqua" w:hAnsi="Book Antiqua"/>
          <w:lang w:val="en-US"/>
        </w:rPr>
        <w:t>mo</w:t>
      </w:r>
      <w:proofErr w:type="spellEnd"/>
      <w:r w:rsidR="001D2AD8" w:rsidRPr="00C042FF">
        <w:rPr>
          <w:rStyle w:val="FootnoteReference"/>
          <w:rFonts w:ascii="Book Antiqua" w:hAnsi="Book Antiqua"/>
        </w:rPr>
        <w:fldChar w:fldCharType="begin" w:fldLock="1"/>
      </w:r>
      <w:r w:rsidR="008201F7" w:rsidRPr="00C042FF">
        <w:rPr>
          <w:rFonts w:ascii="Book Antiqua" w:hAnsi="Book Antiqua"/>
        </w:rPr>
        <w:instrText>ADDIN CSL_CITATION {"citationItems":[{"id":"ITEM-1","itemData":{"DOI":"10.1056/NEJMoa0805019\\r360/14/1408 [pii]","ISBN":"1533-4406 (Electronic)\\r0028-4793 (Linking)","ISSN":"1533-4406","PMID":"19339720","abstract":"BACKGROUND: We investigated the efficacy of cetuximab plus irinotecan, fluorouracil, and leucovorin (FOLFIRI) as first-line treatment for metastatic colorectal cancer and sought associations between the mutation status of the KRAS gene in tumors and clinical response to cetuximab. METHODS: We randomly assigned patients with epidermal growth factor receptor-positive colorectal cancer with unresectable metastases to receive FOLFIRI either alone or in combination with cetuximab. The primary end point was progression-free survival. RESULTS: A total of 599 patients received cetuximab plus FOLFIRI, and 599 received FOLFIRI alone. The hazard ratio for progression-free survival in the cetuximab-FOLFIRI group as compared with the FOLFIRI group was 0.85 (95% confidence interval [CI], 0.72 to 0.99; P=0.048). There was no significant difference in the overall survival between the two treatment groups (hazard ratio, 0.93; 95% CI, 0.81 to 1.07; P=0.31). There was a significant interaction between treatment group and KRAS mutation status for tumor response (P=0.03) but not for progression-free survival (P=0.07) or overall survival (P=0.44). The hazard ratio for progression-free survival among patients with wild-type-KRAS tumors was 0.68 (95% CI, 0.50 to 0.94), in favor of the cetuximab-FOLFIRI group. The following grade 3 or 4 adverse events were more frequent with cetuximab plus FOLFIRI than with FOLFIRI alone: skin reactions (which were grade 3 only) (in 19.7% vs. 0.2% of patients, P&lt;0.001), infusion-related reactions (in 2.5% vs. 0%, P&lt;0.001), and diarrhea (in 15.7% vs. 10.5%, P=0.008). CONCLUSIONS: First-line treatment with cetuximab plus FOLFIRI, as compared with FOLFIRI alone, reduced the risk of progression of metastatic colorectal cancer. The benefit of cetuximab was limited to patients with KRAS wild-type tumors. (ClinicalTrials.gov number, NCT00154102.)","author":[{"dropping-particle":"","family":"Cutsem","given":"E","non-dropping-particle":"Van","parse-names":false,"suffix":""},{"dropping-particle":"","family":"Kohne","given":"C H","non-dropping-particle":"","parse-names":false,"suffix":""},{"dropping-particle":"","family":"Hitre","given":"E","non-dropping-particle":"","parse-names":false,"suffix":""},{"dropping-particle":"","family":"Zaluski","given":"J","non-dropping-particle":"","parse-names":false,"suffix":""},{"dropping-particle":"","family":"Chang Chien","given":"C R","non-dropping-particle":"","parse-names":false,"suffix":""},{"dropping-particle":"","family":"Makhson","given":"A","non-dropping-particle":"","parse-names":false,"suffix":""},{"dropping-particle":"","family":"D'Haens","given":"G","non-dropping-particle":"","parse-names":false,"suffix":""},{"dropping-particle":"","family":"Pinter","given":"T","non-dropping-particle":"","parse-names":false,"suffix":""},{"dropping-particle":"","family":"Lim","given":"R","non-dropping-particle":"","parse-names":false,"suffix":""},{"dropping-particle":"","family":"Bodoky","given":"G","non-dropping-particle":"","parse-names":false,"suffix":""},{"dropping-particle":"","family":"Roh","given":"J K","non-dropping-particle":"","parse-names":false,"suffix":""},{"dropping-particle":"","family":"Folprecht","given":"G","non-dropping-particle":"","parse-names":false,"suffix":""},{"dropping-particle":"","family":"Ruff","given":"P","non-dropping-particle":"","parse-names":false,"suffix":""},{"dropping-particle":"","family":"Stroh","given":"C","non-dropping-particle":"","parse-names":false,"suffix":""},{"dropping-particle":"","family":"Tejpar","given":"S","non-dropping-particle":"","parse-names":false,"suffix":""},{"dropping-particle":"","family":"Schlichting","given":"M","non-dropping-particle":"","parse-names":false,"suffix":""},{"dropping-particle":"","family":"Nippgen","given":"J","non-dropping-particle":"","parse-names":false,"suffix":""},{"dropping-particle":"","family":"Rougier","given":"P","non-dropping-particle":"","parse-names":false,"suffix":""}],"container-title":"N Engl J Med","id":"ITEM-1","issue":"14","issued":{"date-parts":[["2009"]]},"page":"1408-1417","title":"Cetuximab and chemotherapy as initial treatment for metastatic colorectal cancer","type":"article-journal","volume":"360"},"uris":["http://www.mendeley.com/documents/?uuid=28a0e0b5-6c3b-4aa5-9422-a2926ee686fd"]},{"id":"ITEM-2","itemData":{"DOI":"10.1200/JCO.2009.27.4860","ISBN":"1527-7755 (Electronic)\\n0732-183X (Linking)","ISSN":"0732183X","PMID":"20921465","abstract":"Panitumumab, a fully human anti-epidermal growth factor receptor (EGFR) monoclonal antibody that improves progression-free survival (PFS), is approved as monotherapy for patients with chemotherapy-refractory metastatic colorectal cancer (mCRC). The Panitumumab Randomized Trial in Combination With Chemotherapy for Metastatic Colorectal Cancer to Determine Efficacy (PRIME) was designed to evaluate the efficacy and safety of panitumumab plus infusional fluorouracil, leucovorin, and oxaliplatin (FOLFOX4) versus FOLFOX4 alone as initial treatment for mCRC.","author":[{"dropping-particle":"","family":"Douillard","given":"Jean Yves","non-dropping-particle":"","parse-names":false,"suffix":""},{"dropping-particle":"","family":"Siena","given":"Salvatore","non-dropping-particle":"","parse-names":false,"suffix":""},{"dropping-particle":"","family":"Cassidy","given":"James","non-dropping-particle":"","parse-names":false,"suffix":""},{"dropping-particle":"","family":"Tabernero","given":"Josep","non-dropping-particle":"","parse-names":false,"suffix":""},{"dropping-particle":"","family":"Burkes","given":"Ronald","non-dropping-particle":"","parse-names":false,"suffix":""},{"dropping-particle":"","family":"Barugel","given":"Mario","non-dropping-particle":"","parse-names":false,"suffix":""},{"dropping-particle":"","family":"Humblet","given":"Yves","non-dropping-particle":"","parse-names":false,"suffix":""},{"dropping-particle":"","family":"Bodoky","given":"György","non-dropping-particle":"","parse-names":false,"suffix":""},{"dropping-particle":"","family":"Cunningham","given":"David","non-dropping-particle":"","parse-names":false,"suffix":""},{"dropping-particle":"","family":"Jassem","given":"Jacek","non-dropping-particle":"","parse-names":false,"suffix":""},{"dropping-particle":"","family":"Rivera","given":"Fernando","non-dropping-particle":"","parse-names":false,"suffix":""},{"dropping-particle":"","family":"Kocákova","given":"Ilona","non-dropping-particle":"","parse-names":false,"suffix":""},{"dropping-particle":"","family":"Ruff","given":"Paul","non-dropping-particle":"","parse-names":false,"suffix":""},{"dropping-particle":"","family":"Błasińska-Morawiec","given":"Maria","non-dropping-particle":"","parse-names":false,"suffix":""},{"dropping-particle":"","family":"Šmakal","given":"Martin","non-dropping-particle":"","parse-names":false,"suffix":""},{"dropping-particle":"","family":"Canon","given":"Jean Luc","non-dropping-particle":"","parse-names":false,"suffix":""},{"dropping-particle":"","family":"Rother","given":"Mark","non-dropping-particle":"","parse-names":false,"suffix":""},{"dropping-particle":"","family":"Oliner","given":"Kelly S.","non-dropping-particle":"","parse-names":false,"suffix":""},{"dropping-particle":"","family":"Wolf","given":"Michael","non-dropping-particle":"","parse-names":false,"suffix":""},{"dropping-particle":"","family":"Gansert","given":"Jennifer","non-dropping-particle":"","parse-names":false,"suffix":""}],"container-title":"Journal of Clinical Oncology","id":"ITEM-2","issue":"31","issued":{"date-parts":[["2010"]]},"page":"4697-4705","title":"Randomized, Phase III trial of panitumumab with infusional fluorouracil, leucovorin, and oxaliplatin (FOLFOX4) Versus FOLFOX4 alone as first-line treatment in patients with previously untreated metastatic colorectal cancer: The PRIME study","type":"article-journal","volume":"28"},"uris":["http://www.mendeley.com/documents/?uuid=a7df6076-447c-45ee-837f-9335aea2ad4a"]},{"id":"ITEM-3","itemData":{"DOI":"10.1016/S1470-2045(12)70477-1","ISBN":"14702045 (ISSN)","ISSN":"14702045","PMID":"23168366","abstract":"Background: Bevacizumab plus fluoropyrimidine-based chemotherapy is standard treatment for first-line and bevacizumab-naive second-line metastatic colorectal cancer. We assessed continued use of bevacizumab plus standard second-line chemotherapy in patients with metastatic colorectal cancer progressing after standard first-line bevacizumab-based treatment. Methods: In an open-label, phase 3 study in 220 centres in Austria, Belgium, Czech Republic, Denmark, Estonia, Finland, France, Germany, the Netherlands, Norway, Portugal, Saudi Arabia, Spain, Sweden, and Switzerland, patients (aged ≥18 years) with unresectable, histologically confirmed metastatic colorectal cancer progressing up to 3 months after discontinuing first-line bevacizumab plus chemotherapy were randomly assigned in a 1:1 ratio to second-line chemotherapy with or without bevacizumab 2·5 mg/kg per week equivalent (either 5 mg/kg every 2 weeks or 7·5 mg/kg every 3 weeks, intravenously). The choice between oxaliplatin-based or irinotecan-based second-line chemotherapy depended on the first-line regimen (switch of chemotherapy). A combination of a permuted block design and the Pocock and Simon minimisation algorithm was used for the randomisation. The primary endpoint was overall survival, analysed by intention to treat. This trial is registered with ClinicalTrials.gov, number NCT00700102. Findings: Between Feb 1, 2006, and June 9, 2010, 409 (50%) patients were assigned to bevacizumab plus chemotherapy and 411 (50%) to chemotherapy alone. Median follow-up was 11·1 months (IQR 6·4-15·6) in the bevacizumab plus chemotherapy group and 9·6 months (5·4-13·9) in the chemotherapy alone group. Median overall survival was 11·2 months (95% CI 10·4-12·2) for bevacizumab plus chemotherapy and 9·8 months (8·9-10·7) for chemotherapy alone (hazard ratio 0·81, 95% CI 0·69-0·94; unstratified log-rank test p=0·0062). Grade 3-5 bleeding or haemorrhage (eight [2%] vs one [&lt;1%]), gastrointestinal perforation (seven [2%] vs three [&lt;1%]), and venous thromboembolisms (19 [5%] vs 12 [3%]) were more common in the bevacizumab plus chemotherapy group than in the chemotherapy alone group. The most frequently reported grade 3-5 adverse events were neutropenia (65 [16%] in the bevacizumab and chemotherapy group vs 52 [13%] in the chemotherapy alone group), diarrhoea (40 [10%] vs 34 [8%], respectively), and asthenia (23 [6%] vs 17 [4%], respectively). Treatment-related deaths were reported for four patients in the bevacizumab…","author":[{"dropping-particle":"","family":"Bennouna","given":"Jaafar","non-dropping-particle":"","parse-names":false,"suffix":""},{"dropping-particle":"","family":"Sastre","given":"Javier","non-dropping-particle":"","parse-names":false,"suffix":""},{"dropping-particle":"","family":"Arnold","given":"Dirk","non-dropping-particle":"","parse-names":false,"suffix":""},{"dropping-particle":"","family":"Österlund","given":"Pia","non-dropping-particle":"","parse-names":false,"suffix":""},{"dropping-particle":"","family":"Greil","given":"Richard","non-dropping-particle":"","parse-names":false,"suffix":""},{"dropping-particle":"","family":"Cutsem","given":"Eric","non-dropping-particle":"Van","parse-names":false,"suffix":""},{"dropping-particle":"","family":"Moos","given":"Roger","non-dropping-particle":"von","parse-names":false,"suffix":""},{"dropping-particle":"","family":"Viéitez","given":"Jose Maria","non-dropping-particle":"","parse-names":false,"suffix":""},{"dropping-particle":"","family":"Bouché","given":"Olivier","non-dropping-particle":"","parse-names":false,"suffix":""},{"dropping-particle":"","family":"Borg","given":"Christophe","non-dropping-particle":"","parse-names":false,"suffix":""},{"droppin</w:instrText>
      </w:r>
      <w:r w:rsidR="008201F7" w:rsidRPr="00C042FF">
        <w:rPr>
          <w:rFonts w:ascii="Book Antiqua" w:hAnsi="Book Antiqua"/>
          <w:lang w:val="en-US"/>
        </w:rPr>
        <w:instrText>g-particle":"","family":"Steffens","given":"Claus Christoph","non-dropping-particle":"","parse-names":false,"suffix":""},{"dropping-particle":"","family":"Alonso-Orduña","given":"Vicente","non-dropping-particle":"","parse-names":false,"suffix":""},{"dropping-particle":"","family":"Schlichting","given":"Christoph","non-dropping-particle":"","parse-names":false,"suffix":""},{"dropping-particle":"","family":"Reyes-Rivera","given":"Irmarie","non-dropping-particle":"","parse-names":false,"suffix":""},{"dropping-particle":"","family":"Bendahmane","given":"Belguendouz","non-dropping-particle":"","parse-names":false,"suffix":""},{"dropping-particle":"","family":"André","given":"Thierry","non-dropping-particle":"","parse-names":false,"suffix":""},{"dropping-particle":"","family":"Kubicka","given":"Stefan","non-dropping-particle":"","parse-names":false,"suffix":""}],"container-title":"The Lancet Oncology","id":"ITEM-3","issue":"1","issued":{"date-parts":[["2013"]]},"page":"29-37","title":"Continuation of bevacizumab after first progression in metastatic colorectal cancer (ML18147): A randomised phase 3 trial","type":"article-journal","volume":"14"},"uris":["http://www.mendeley.com/documents/?uuid=cad02b9c-087d-4dc1-9204-ae9f9c16c755"]}],"mendeley":{"formattedCitation":"&lt;sup&gt;[76–78]&lt;/sup&gt;","plainTextFormattedCitation":"[76–78]","previouslyFormattedCitation":"(76–78)"},"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[7</w:t>
      </w:r>
      <w:r w:rsidR="00320B98">
        <w:rPr>
          <w:rFonts w:ascii="Book Antiqua" w:hAnsi="Book Antiqua" w:hint="eastAsia"/>
          <w:bCs/>
          <w:noProof/>
          <w:vertAlign w:val="superscript"/>
          <w:lang w:val="en-US" w:eastAsia="zh-CN"/>
        </w:rPr>
        <w:t>5</w:t>
      </w:r>
      <w:r w:rsidR="008201F7" w:rsidRPr="00C042FF">
        <w:rPr>
          <w:rFonts w:ascii="Book Antiqua" w:hAnsi="Book Antiqua"/>
          <w:bCs/>
          <w:noProof/>
          <w:vertAlign w:val="superscript"/>
          <w:lang w:val="en-US"/>
        </w:rPr>
        <w:t>–7</w:t>
      </w:r>
      <w:r w:rsidR="00320B98">
        <w:rPr>
          <w:rFonts w:ascii="Book Antiqua" w:hAnsi="Book Antiqua" w:hint="eastAsia"/>
          <w:bCs/>
          <w:noProof/>
          <w:vertAlign w:val="superscript"/>
          <w:lang w:val="en-US" w:eastAsia="zh-CN"/>
        </w:rPr>
        <w:t>7</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Pr="00C042FF">
        <w:rPr>
          <w:rFonts w:ascii="Book Antiqua" w:hAnsi="Book Antiqua"/>
          <w:lang w:val="en-US"/>
        </w:rPr>
        <w:t>, t</w:t>
      </w:r>
      <w:r w:rsidR="00573906" w:rsidRPr="00C042FF">
        <w:rPr>
          <w:rFonts w:ascii="Book Antiqua" w:hAnsi="Book Antiqua"/>
          <w:lang w:val="en-US"/>
        </w:rPr>
        <w:t>welve</w:t>
      </w:r>
      <w:r w:rsidR="00686367" w:rsidRPr="00C042FF">
        <w:rPr>
          <w:rFonts w:ascii="Book Antiqua" w:hAnsi="Book Antiqua"/>
          <w:lang w:val="en-US"/>
        </w:rPr>
        <w:t xml:space="preserve"> months longer than that used in the class</w:t>
      </w:r>
      <w:r w:rsidR="00573906" w:rsidRPr="00C042FF">
        <w:rPr>
          <w:rFonts w:ascii="Book Antiqua" w:hAnsi="Book Antiqua"/>
          <w:lang w:val="en-US"/>
        </w:rPr>
        <w:t>ic 5-FU + leucovorin</w:t>
      </w:r>
      <w:r w:rsidR="002263E4" w:rsidRPr="00C042FF">
        <w:rPr>
          <w:rFonts w:ascii="Book Antiqua" w:hAnsi="Book Antiqua"/>
          <w:lang w:val="en-US"/>
        </w:rPr>
        <w:t xml:space="preserve"> scheme</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{"citationItems":[{"id":"ITEM-1","itemData":{"DOI":"10.1200/JCO.2004.03.104","ISSN":"0732-183X","PMID":"15365073","abstract":"PURPOSE: The modulation of fluorouracil (FU) by folinic acid (leucovorin [LV]) has been shown to be effective in terms of tumor response rate in patients with advanced colorectal cancer, but a meta-analysis of nine trials previously published by our group failed to demonstrate a statistically significant survival difference between FU and FU-LV. We present an update of the meta-analysis, with a longer follow-up and the inclusion of 10 newer trials. PATIENTS AND METHODS: Analyses are based on individual data from 3,300 patients randomized in 19 trials on an intent-to-treat basis. Two trials had multiple comparisons, leading to a total of 21 pair-wise comparisons. FU doses were similar in both arms in 10 pair-wise comparisons, 15% to 33% higher in the FU-alone arm in six comparisons, and more than 66% higher in five comparisons. RESULTS: Overall analysis showed a two-fold increase in tumor response rates (11% for FU-LV v 21% for FU-LV v 11% for FU [corrected] alone; odds ratio, 0.53; 95% CI, 0.44 to 0.63; P &lt;.0001) and a small but statistically significant overall survival benefit for FU-LV over FU alone (median survival, 11.7 v 10.5 months, respectively; hazards ratio, 0.90; 95% CI, 0.87 to 0.94; P =.004), which were primarily seen in the first year. We observed a significant interaction between treatment benefit and dose of FU, with tumor response and overall survival advantages of FU-LV over FU-alone being restricted to trials in which a similar dose of FU was prescribed in both arms. CONCLUSION: This updated analysis demonstrates, on a large data set, that FU-LV improves both response rate and overall survival compared with FU alone and that this benefit is consistent across various prognostic factors.","author":[{"dropping-particle":"","family":"Thirion","given":"P","non-dropping-particle":"","parse-names":false,"suffix":""},{"dropping-particle":"","family":"Michiels","given":"S","non-dropping-particle":"","parse-names":false,"suffix":""},{"dropping-particle":"","family":"Pignon","given":"J P","non-dropping-particle":"","parse-names":false,"suffix":""},{"dropping-particle":"","family":"Buyse","given":"M","non-dropping-particle":"","parse-names":false,"suffix":""},{"dropping-particle":"","family":"Braud","given":"a C","non-dropping-particle":"","parse-names":false,"suffix":""},{"dropping-particle":"","family":"Carlson","given":"R W","non-dropping-particle":"","parse-names":false,"suffix":""},{"dropping-particle":"","family":"O'Connell","given":"M","non-dropping-particle":"","parse-names":false,"suffix":""},{"dropping-particle":"","family":"Sargent","given":"P","non-dropping-particle":"","parse-names":false,"suffix":""},{"dropping-particle":"","family":"Piedbois","given":"P","non-dropping-particle":"","parse-names":false,"suffix":""}],"container-title":"Journal of clinical oncology : official journal of the American Society of Clinical Oncology","id":"ITEM-1","issue":"18","issued":{"date-parts":[["2004"]]},"page":"3766-3775","title":"Modulation of fluorouracil by leucovorin in patients with advanced colorectal cancer: an updated meta-analysis.","type":"article-journal","volume":"22"},"uris":["http://www.mendeley.com/documents/?uuid=95ba7474-0698-4f42-af36-c291681915f4"]}],"mendeley":{"formattedCitation":"&lt;sup&gt;[79]&lt;/sup&gt;","plainTextFormattedCitation":"[79]","previouslyFormattedCitation":"(79)"},"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[7</w:t>
      </w:r>
      <w:r w:rsidR="00320B98">
        <w:rPr>
          <w:rFonts w:ascii="Book Antiqua" w:hAnsi="Book Antiqua" w:hint="eastAsia"/>
          <w:bCs/>
          <w:noProof/>
          <w:vertAlign w:val="superscript"/>
          <w:lang w:val="en-US" w:eastAsia="zh-CN"/>
        </w:rPr>
        <w:t>8</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2263E4" w:rsidRPr="00C042FF">
        <w:rPr>
          <w:rFonts w:ascii="Book Antiqua" w:hAnsi="Book Antiqua"/>
          <w:lang w:val="en-US"/>
        </w:rPr>
        <w:t>.</w:t>
      </w:r>
      <w:r w:rsidR="00807ADD">
        <w:rPr>
          <w:rFonts w:ascii="Book Antiqua" w:hAnsi="Book Antiqua" w:hint="eastAsia"/>
          <w:lang w:val="en-US" w:eastAsia="zh-CN"/>
        </w:rPr>
        <w:t xml:space="preserve"> </w:t>
      </w:r>
      <w:r w:rsidR="00E05377" w:rsidRPr="00C042FF">
        <w:rPr>
          <w:rFonts w:ascii="Book Antiqua" w:hAnsi="Book Antiqua"/>
          <w:lang w:val="en-US"/>
        </w:rPr>
        <w:t>Chemotherapy decreases the risk of</w:t>
      </w:r>
      <w:r w:rsidR="00573906" w:rsidRPr="00C042FF">
        <w:rPr>
          <w:rFonts w:ascii="Book Antiqua" w:hAnsi="Book Antiqua"/>
          <w:lang w:val="en-US"/>
        </w:rPr>
        <w:t xml:space="preserve"> tumor </w:t>
      </w:r>
      <w:r w:rsidRPr="00C042FF">
        <w:rPr>
          <w:rFonts w:ascii="Book Antiqua" w:hAnsi="Book Antiqua"/>
          <w:lang w:val="en-US"/>
        </w:rPr>
        <w:t>in</w:t>
      </w:r>
      <w:r w:rsidR="00573906" w:rsidRPr="00C042FF">
        <w:rPr>
          <w:rFonts w:ascii="Book Antiqua" w:hAnsi="Book Antiqua"/>
          <w:lang w:val="en-US"/>
        </w:rPr>
        <w:t>growth compared to the</w:t>
      </w:r>
      <w:r w:rsidR="00E05377" w:rsidRPr="00C042FF">
        <w:rPr>
          <w:rFonts w:ascii="Book Antiqua" w:hAnsi="Book Antiqua"/>
          <w:lang w:val="en-US"/>
        </w:rPr>
        <w:t xml:space="preserve"> use of SEMS</w:t>
      </w:r>
      <w:r w:rsidR="00573906" w:rsidRPr="00C042FF">
        <w:rPr>
          <w:rFonts w:ascii="Book Antiqua" w:hAnsi="Book Antiqua"/>
          <w:lang w:val="en-US"/>
        </w:rPr>
        <w:t xml:space="preserve"> alone;</w:t>
      </w:r>
      <w:r w:rsidR="00E37119" w:rsidRPr="00C042FF">
        <w:rPr>
          <w:rFonts w:ascii="Book Antiqua" w:hAnsi="Book Antiqua"/>
          <w:vertAlign w:val="superscript"/>
          <w:lang w:val="en-US"/>
        </w:rPr>
        <w:t xml:space="preserve"> </w:t>
      </w:r>
      <w:r w:rsidR="00E05377" w:rsidRPr="00C042FF">
        <w:rPr>
          <w:rFonts w:ascii="Book Antiqua" w:hAnsi="Book Antiqua"/>
          <w:lang w:val="en-US"/>
        </w:rPr>
        <w:t>however, chemotherapy is considered a significant risk factor for long-term complication</w:t>
      </w:r>
      <w:r w:rsidRPr="00C042FF">
        <w:rPr>
          <w:rFonts w:ascii="Book Antiqua" w:hAnsi="Book Antiqua"/>
          <w:lang w:val="en-US"/>
        </w:rPr>
        <w:t>s</w:t>
      </w:r>
      <w:r w:rsidR="00E05377" w:rsidRPr="00C042FF">
        <w:rPr>
          <w:rFonts w:ascii="Book Antiqua" w:hAnsi="Book Antiqua"/>
          <w:lang w:val="en-US"/>
        </w:rPr>
        <w:t>, including perforation and stent migration</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{"citationItems":[{"id":"ITEM-1","itemData":{"DOI":"10.1038/ajg.2009.660","ISBN":"1572-0241 (Electronic)\\n0002-9270 (Linking)","ISSN":"0002-9270","PMID":"19935785","abstract":"OBJECTIVES: Self-expanding metal stents (SEMS) are increasingly being used to treat malignant colorectal obstruction. However, complications have been reported in up to 50% of patients. There is limited information on long-term outcomes of these patients. The aim of this study was to retrospectively assess the long-term clinical success of SEMS in patients with malignant colorectal obstruction in a single tertiary center and to identify possible predictive factors of developing complications. METHODS: A total of 47 attempts to insert colorectal SEMS were made in 47 patients during a 5-year period. Stents of 9-cm length were placed under endoscopic and radiologic monitoring. After 24 h, all patients underwent abdominal X-ray to verify correct positioning of the stent. Patients were followed at the outpatient clinic. RESULTS: Insertion success was achieved in 44 (94%) patients. Acceptable initial colonic decompression was observed in 44 out of 47 (94%) attempts and in all (100%) successfully inserted stents. The stents were placed in the rectum (n=7, 15%), sigmoid (n=33, 70%), left colon (n=4, 9%), or anastomosis (n=3, 6%). The majority of patients had stage IV disease (n=40, 85%). SEMS served as a bridge to scheduled surgery in 9 (20%) patients and as a palliative definitive treatment in 38 (80%) cases. Three patients were lost to follow-up, so the outcome was evaluated in 41 patients. Long-term clinical failure occurred in 21 (51%) patients and was due to complications such as: migration (n=9, 22%), obstruction (n=7, 17%), perforation (n=3, 7%), and tenesmus (n=2, 5%). Perforations occurred 3, 4, and 34 days after insertion, and all patients died. In the bridge-to-surgery group, primary anastomosis was possible in only four of nine patients (44%). Clinical failure was not associated with any tumor-related factor. However, eight of nine patients with stent migration and two of three patients with perforation had been previously treated with chemotherapy. CONCLUSIONS: Placement of SEMS does not seem to be as effective as suggested because of late complications. For patients with potentially curable lesions, the use of colonic stents for malignant obstruction should only be considered when surgery is scheduled shortly after the stent insertion. Moreover, in patients with incurable obstructing colorectal cancer eligible for chemotherapy and a long life expectancy, palliative treatments other than SEMS should be considered.","author":[{"dropping-particle":"","family":"Fernández-Esparrach","given":"Gloria","non-dropping-particle":"","parse-names":false,"suffix":""},{"dropping-particle":"","family":"Bordas","given":"J M","non-dropping-particle":"","parse-names":false,"suffix":""},{"dropping-particle":"","family":"Giráldez","given":"M D","non-dropping-particle":"","parse-names":false,"suffix":""},{"dropping-particle":"","family":"Ginès","given":"A","non-dropping-particle":"","parse-names":false,"suffix":""},{"dropping-particle":"","family":"Pellisé","given":"M","non-dropping-particle":"","parse-names":false,"suffix":""},{"dropping-particle":"","family":"Sendino","given":"O","non-dropping-particle":"","parse-names":false,"suffix":""},{"dropping-particle":"","family":"Martínez-Pallí","given":"G","non-dropping-particle":"","parse-names":false,"suffix":""},{"dropping-particle":"","family":"Castells","given":"A","non-dropping-particle":"","parse-names":false,"suffix":""},{"dropping-particle":"","family":"Llach","given":"J","non-dropping-particle":"","parse-names":false,"suffix":""}],"container-title":"The American Journal of Gastroenterology","id":"ITEM-1","issue":"5","issued":{"date-parts":[["2010"]]},"page":"1087-1093","title":"Severe Complications Limit Long-Term Clinical Success of Self-Expanding Metal Stents in Patients With Obstructive Colorectal Cancer","type":"article-journal","volume":"105"},"uris":["http://www.mendeley.com/documents/?uuid=bdde1ed2-e343-4d69-b527-31d8e55a5a2c"]}],"mendeley":{"formattedCitation":"&lt;sup&gt;[80]&lt;/sup&gt;","plainTextFormattedCitation":"[80]","previouslyFormattedCitation":"(80)"},"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w:t>
      </w:r>
      <w:r w:rsidR="00320B98">
        <w:rPr>
          <w:rFonts w:ascii="Book Antiqua" w:hAnsi="Book Antiqua" w:hint="eastAsia"/>
          <w:noProof/>
          <w:vertAlign w:val="superscript"/>
          <w:lang w:val="en-US" w:eastAsia="zh-CN"/>
        </w:rPr>
        <w:t>79</w:t>
      </w:r>
      <w:r w:rsidR="008201F7" w:rsidRPr="00C042FF">
        <w:rPr>
          <w:rFonts w:ascii="Book Antiqua" w:hAnsi="Book Antiqua"/>
          <w:noProof/>
          <w:vertAlign w:val="superscript"/>
          <w:lang w:val="en-US"/>
        </w:rPr>
        <w:t>]</w:t>
      </w:r>
      <w:r w:rsidR="001D2AD8" w:rsidRPr="00C042FF">
        <w:rPr>
          <w:rStyle w:val="FootnoteReference"/>
          <w:rFonts w:ascii="Book Antiqua" w:hAnsi="Book Antiqua"/>
        </w:rPr>
        <w:fldChar w:fldCharType="end"/>
      </w:r>
      <w:r w:rsidR="003B73CA" w:rsidRPr="00C042FF">
        <w:rPr>
          <w:rFonts w:ascii="Book Antiqua" w:hAnsi="Book Antiqua"/>
          <w:lang w:val="en-US"/>
        </w:rPr>
        <w:t>. R</w:t>
      </w:r>
      <w:r w:rsidR="00573906" w:rsidRPr="00C042FF">
        <w:rPr>
          <w:rFonts w:ascii="Book Antiqua" w:hAnsi="Book Antiqua"/>
          <w:lang w:val="en-US"/>
        </w:rPr>
        <w:t>egarding the use of bevacizumab</w:t>
      </w:r>
      <w:r w:rsidR="00E05377" w:rsidRPr="00C042FF">
        <w:rPr>
          <w:rFonts w:ascii="Book Antiqua" w:hAnsi="Book Antiqua"/>
          <w:lang w:val="en-US"/>
        </w:rPr>
        <w:t xml:space="preserve">, studies have reported that it is an independent risk factor for late complications and </w:t>
      </w:r>
      <w:r w:rsidRPr="00C042FF">
        <w:rPr>
          <w:rFonts w:ascii="Book Antiqua" w:hAnsi="Book Antiqua"/>
          <w:lang w:val="en-US"/>
        </w:rPr>
        <w:t>even without a stent</w:t>
      </w:r>
      <w:r w:rsidR="00E05377" w:rsidRPr="00C042FF">
        <w:rPr>
          <w:rFonts w:ascii="Book Antiqua" w:hAnsi="Book Antiqua"/>
          <w:lang w:val="en-US"/>
        </w:rPr>
        <w:t xml:space="preserve"> increased the risk of perforation by 19.6 times</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{"citationItems":[{"id":"ITEM-1","itemData":{"DOI":"10.1001/archsurg.2011.233","ISBN":"1538-3644 (Electronic)\\n0004-0010 (Linking)","ISSN":"00040010","PMID":"22006874","abstract":"OBJECTIVES: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Surgery","id":"ITEM-1","issue":"10","issued":{"date-parts":[["2011"]]},"page":"1157-1162","title":"Endoscopic palliation in patients with incurable malignant colorectal obstruction by means of self-expanding metal stent: Analysis of results and predictors of outcomes in a large multicenter series","type":"article-journal","volume":"146"},"uris":["http://www.mendeley.com/documents/?uuid=b780bb26-bee0-4252-a9b1-03173031333c"]},{"id":"ITEM-2","itemData":{"DOI":"10.1016/j.gie.2010.10.052","ISBN":"1097-6779 (Electronic)\\r0016-5107 (Linking)","ISSN":"00165107","PMID":"21257165","abstract":"Background: Self-expandable metal stents (SEMSs) provide a promising alternative for initial palliation of malignant bowel obstruction. However, data on the long-term outcomes of SEMSs are limited. Objective: The aim of this study was to compare the long-term outcomes of endoscopic stenting with those of surgery for palliation in patients with incurable obstructive colorectal cancer. Designs and Setting: A retrospective study. Patients: From January 2000 to December 2008, patients with incurable obstructive colorectal cancer who were treated with SEMSs (n = 71) or palliative surgery (n = 73) were reviewed. Interventions: SEMS placement by using through-the-endoscope methods or surgery. Main Outcome Measurements: Success rates and complication rates. Results: Early success rates in the SEMS group and those in the surgery group were not different (95.8% vs 100%, P = .12), and the SEMS group had fewer early complications than the surgery group (15.5% vs 32.9%, P = .015). Although the patency duration of the first stent in the SEMS group was shorter than that in the surgery group (P &lt; .001), the median patency duration after a second stenting was comparable to that of the surgery group (P = .239). There were more late complications in the SEMS group than in the surgery group (P = .028), but the rates of major complications did not differ between the 2 groups (P = .074). Limitations: Retrospective and single-center study. Conclusions: SEMSs were not only an effective and acceptable therapy for initial palliation of malignant colorectal obstruction, but they also showed long-term efficacy comparable to that with surgery. © 2011 American Society for Gastrointestinal Endoscopy.","author":[{"dropping-particle":"","family":"Lee","given":"Hyun Jung","non-dropping-particle":"","parse-names":false,"suffix":""},{"dropping-particle":"","family":"Hong","given":"Sung Pil","non-dropping-particle":"","parse-names":false,"suffix":""},{"dropping-particle":"","family":"Cheon","given":"Jae Hee","non-dropping-particle":"","parse-names":false,"suffix":""},{"dropping-particle":"Il","family":"Kim","given":"Tae","non-dropping-particle":"","parse-names":false,"suffix":""},{"dropping-particle":"","family":"Min","given":"Byung So","non-dropping-particle":"","parse-names":false,"suffix":""},{"dropping-particle":"","family":"Kim","given":"Nam Kyu","non-dropping-particle":"","parse-names":false,"suffix":""},{"dropping-particle":"","family":"Kim","given":"Won Ho","non-dropping-particle":"","parse-names":false,"suffix":""}],"container-title":"Gastrointestinal Endoscopy","id":"ITEM-2","issue":"3","issued":{"date-parts":[["2011"]]},"page":"535-542","title":"Long-term outcome of palliative therapy for malignant colorectal obstruction in patients with unresectable metastatic colorectal cancers: Endoscopic stenting versus surgery","type":"article-journal","volume":"73"},"uris":["http://www.mendeley.com/documents/?uuid=bbfb3121-ec82-4650-8a30-5ede5c157c83"]}],"mendeley":{"formattedCitation":"&lt;sup&gt;[81,82]&lt;/sup&gt;","plainTextFormattedCitation":"[81,82]","previouslyFormattedCitation":"(81,82)"},"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0</w:t>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1</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977AFE" w:rsidRPr="00C042FF">
        <w:rPr>
          <w:rFonts w:ascii="Book Antiqua" w:hAnsi="Book Antiqua"/>
          <w:lang w:val="en-US"/>
        </w:rPr>
        <w:t xml:space="preserve">. </w:t>
      </w:r>
    </w:p>
    <w:p w14:paraId="32173504" w14:textId="77777777" w:rsidR="00FF5B44" w:rsidRDefault="0084150C" w:rsidP="00FF5B44">
      <w:pPr>
        <w:spacing w:line="360" w:lineRule="auto"/>
        <w:ind w:firstLineChars="100" w:firstLine="240"/>
        <w:jc w:val="both"/>
        <w:rPr>
          <w:rFonts w:ascii="Book Antiqua" w:hAnsi="Book Antiqua"/>
          <w:lang w:val="en-US" w:eastAsia="zh-CN"/>
        </w:rPr>
      </w:pPr>
      <w:r w:rsidRPr="00C042FF">
        <w:rPr>
          <w:rFonts w:ascii="Book Antiqua" w:hAnsi="Book Antiqua"/>
          <w:lang w:val="en-US"/>
        </w:rPr>
        <w:t>Considering the benefits of increased survival and</w:t>
      </w:r>
      <w:r w:rsidR="005242A4" w:rsidRPr="00C042FF">
        <w:rPr>
          <w:rFonts w:ascii="Book Antiqua" w:hAnsi="Book Antiqua"/>
          <w:lang w:val="en-US"/>
        </w:rPr>
        <w:t xml:space="preserve"> </w:t>
      </w:r>
      <w:r w:rsidR="00AC7A99" w:rsidRPr="00C042FF">
        <w:rPr>
          <w:rFonts w:ascii="Book Antiqua" w:hAnsi="Book Antiqua"/>
          <w:noProof/>
          <w:lang w:val="en-US"/>
        </w:rPr>
        <w:t>QOL</w:t>
      </w:r>
      <w:r w:rsidR="005242A4" w:rsidRPr="00C042FF">
        <w:rPr>
          <w:rFonts w:ascii="Book Antiqua" w:hAnsi="Book Antiqua"/>
          <w:lang w:val="en-US"/>
        </w:rPr>
        <w:t xml:space="preserve"> achieved by</w:t>
      </w:r>
      <w:r w:rsidRPr="00C042FF">
        <w:rPr>
          <w:rFonts w:ascii="Book Antiqua" w:hAnsi="Book Antiqua"/>
          <w:lang w:val="en-US"/>
        </w:rPr>
        <w:t xml:space="preserve"> new chemotherapies, </w:t>
      </w:r>
      <w:r w:rsidR="005242A4" w:rsidRPr="00C042FF">
        <w:rPr>
          <w:rFonts w:ascii="Book Antiqua" w:hAnsi="Book Antiqua"/>
          <w:lang w:val="en-US"/>
        </w:rPr>
        <w:t xml:space="preserve">there still is a </w:t>
      </w:r>
      <w:r w:rsidR="00854959" w:rsidRPr="00C042FF">
        <w:rPr>
          <w:rFonts w:ascii="Book Antiqua" w:hAnsi="Book Antiqua"/>
          <w:lang w:val="en-US"/>
        </w:rPr>
        <w:t>role</w:t>
      </w:r>
      <w:r w:rsidR="005242A4" w:rsidRPr="00C042FF">
        <w:rPr>
          <w:rFonts w:ascii="Book Antiqua" w:hAnsi="Book Antiqua"/>
          <w:lang w:val="en-US"/>
        </w:rPr>
        <w:t xml:space="preserve"> for </w:t>
      </w:r>
      <w:r w:rsidRPr="00C042FF">
        <w:rPr>
          <w:rFonts w:ascii="Book Antiqua" w:hAnsi="Book Antiqua"/>
          <w:lang w:val="en-US"/>
        </w:rPr>
        <w:t>stent</w:t>
      </w:r>
      <w:r w:rsidR="005242A4" w:rsidRPr="00C042FF">
        <w:rPr>
          <w:rFonts w:ascii="Book Antiqua" w:hAnsi="Book Antiqua"/>
          <w:lang w:val="en-US"/>
        </w:rPr>
        <w:t>s</w:t>
      </w:r>
      <w:r w:rsidRPr="00C042FF">
        <w:rPr>
          <w:rFonts w:ascii="Book Antiqua" w:hAnsi="Book Antiqua"/>
          <w:lang w:val="en-US"/>
        </w:rPr>
        <w:t xml:space="preserve"> in </w:t>
      </w:r>
      <w:r w:rsidR="005242A4" w:rsidRPr="00C042FF">
        <w:rPr>
          <w:rFonts w:ascii="Book Antiqua" w:hAnsi="Book Antiqua"/>
          <w:lang w:val="en-US"/>
        </w:rPr>
        <w:t xml:space="preserve">palliation, </w:t>
      </w:r>
      <w:r w:rsidRPr="00C042FF">
        <w:rPr>
          <w:rFonts w:ascii="Book Antiqua" w:hAnsi="Book Antiqua"/>
          <w:lang w:val="en-US"/>
        </w:rPr>
        <w:t>however, with parsimony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{"citationItems":[{"id":"ITEM-1","itemData":{"DOI":"10.3892/ol.2017.7339","ISSN":"17921082","PMID":"29391884","abstract":"The placement of a self-expanding metallic stent (SEMS) in obstructive colorectal cancer (OCRC) is acknowledged to be a safe and effective procedure for the relief of obstruction. However, there is concern that shear forces acting on the tumor during stent expansion may release cancer cells into the circulation, resulting in a poor prognosis. The aim of the present study was to determine whether colonic stent insertion increases viable circulating tumor cells (v-CTCs). A telomerase-specific replication-selective adenovirus-expressing GFP (TelomeScanF35) detection system was used to detect v-CTCs in 8 OCRC patients with a SEMS before and after stent insertion and after surgical resection. In 7 patients, a SEMS was inserted as a bridge to surgery (BTS), and in one patient, a SEMS was inserted for palliation. Surgical resection (R0) was performed in 7 patients. Four patients had no v-CTCs before SEMS placement, two of four measurable patients had an increased number of v-CTCs after SEMS placement (1-3 v-CTCs), and one of two patients with increased v-CTCs developed distant lymphatic metastasis despite curative resection. Four patients had v-CTCs (1-19 cells) before SEMS placement, and two of these four patients had an increase in the number of v-CTCs (20-21 cells) after SEMS placement, while one of the four patients died early with distant metastasis. The present study demonstrated that endoscopic stent insertion for OCRC may result in tumor cell dissemination into the peripheral circulation and may induce distant metastases.Copyright © 2018, Spandidos Publications. All rights reserved.","author":[{"dropping-particle":"","family":"Yamashita","given":"Shinya","non-dropping-particle":"","parse-names":false,"suffix":""},{"dropping-particle":"","family":"Tanemura","given":"Masahiro","non-dropping-particle":"","parse-names":false,"suffix":""},{"dropping-particle":"","family":"Sawada","given":"Genta","non-dropping-particle":"","parse-names":false,"suffix":""},{"dropping-particle":"","family":"Moon","given":"Jeongho","non-dropping-particle":"","parse-names":false,"suffix":""},{"dropping-particle":"","family":"Shimizu","given":"Yosuke","non-dropping-particle":"","parse-names":false,"suffix":""},{"dropping-particle":"","family":"Yamaguchi","given":"Toshiki","non-dropping-particle":"","parse-names":false,"suffix":""},{"dropping-particle":"","family":"Kuwai","given":"Toshio","non-dropping-particle":"","parse-names":false,"suffix":""},{"dropping-particle":"","family":"Urata","given":"Yasuo","non-dropping-particle":"","parse-names":false,"suffix":""},{"dropping-particle":"","family":"Kuraoka","given":"Kazuya","non-dropping-particle":"","parse-names":false,"suffix":""},{"dropping-particle":"","family":"Hatanaka","given":"Nobutaka","non-dropping-particle":"","parse-names":false,"suffix":""},{"dropping-particle":"","family":"Yamashita","given":"Yoshinori","non-dropping-particle":"","parse-names":false,"suffix":""},{"dropping-particle":"","family":"Taniyama","given":"Kiyomi","non-dropping-particle":"","parse-names":false,"suffix":""}],"container-title":"Oncology Letters","id":"ITEM-1","issue":"1","issued":{"date-parts":[["2018"]]},"page":"400-406","title":"Impact of endoscopic stent insertion on detection of viable circulating tumor cells from obstructive colorectal cancer","type":"article-journal","volume":"15"},"uris":["http://www.mendeley.com/documents/?uuid=6f5b33d7-8b4d-4298-9562-0e832fbc32cd"]},{"id":"ITEM-2","itemData":{"DOI":"10.1016/j.clcc.2018.06.005","ISSN":"19380674","abstract":"The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Cancer","id":"ITEM-2","issued":{"date-parts":[["2018"]]},"publisher":"Elsevier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mendeley":{"formattedCitation":"&lt;sup&gt;[66,83]&lt;/sup&gt;","plainTextFormattedCitation":"[66,83]","previouslyFormattedCitation":"(66,83)"},"properties":{"noteIndex":0},"schema":"https://github.com/citation-style-language/schema/raw/master/csl-citation.json"}</w:instrText>
      </w:r>
      <w:r w:rsidR="001D2AD8" w:rsidRPr="00C042FF">
        <w:rPr>
          <w:rStyle w:val="FootnoteReference"/>
          <w:rFonts w:ascii="Book Antiqua" w:eastAsiaTheme="majorEastAsia" w:hAnsi="Book Antiqua" w:cstheme="majorBidi"/>
          <w:lang w:val="en-US"/>
        </w:rPr>
        <w:fldChar w:fldCharType="separate"/>
      </w:r>
      <w:r w:rsidR="008201F7" w:rsidRPr="00C042FF">
        <w:rPr>
          <w:rFonts w:ascii="Book Antiqua" w:hAnsi="Book Antiqua"/>
          <w:bCs/>
          <w:noProof/>
          <w:vertAlign w:val="superscript"/>
          <w:lang w:val="en-US"/>
        </w:rPr>
        <w:t>[66,8</w:t>
      </w:r>
      <w:r w:rsidR="00320B98">
        <w:rPr>
          <w:rFonts w:ascii="Book Antiqua" w:hAnsi="Book Antiqua" w:hint="eastAsia"/>
          <w:bCs/>
          <w:noProof/>
          <w:vertAlign w:val="superscript"/>
          <w:lang w:val="en-US" w:eastAsia="zh-CN"/>
        </w:rPr>
        <w:t>2</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Pr="00C042FF">
        <w:rPr>
          <w:rFonts w:ascii="Book Antiqua" w:hAnsi="Book Antiqua"/>
          <w:lang w:val="en-US"/>
        </w:rPr>
        <w:t>.</w:t>
      </w:r>
      <w:r w:rsidR="00573906" w:rsidRPr="00C042FF">
        <w:rPr>
          <w:rFonts w:ascii="Book Antiqua" w:hAnsi="Book Antiqua"/>
          <w:lang w:val="en-US"/>
        </w:rPr>
        <w:t xml:space="preserve"> </w:t>
      </w:r>
    </w:p>
    <w:p w14:paraId="6C83B427" w14:textId="77777777" w:rsidR="00FF5B44" w:rsidRDefault="00FF5B44" w:rsidP="00FF5B44">
      <w:pPr>
        <w:spacing w:line="360" w:lineRule="auto"/>
        <w:jc w:val="both"/>
        <w:rPr>
          <w:rFonts w:ascii="Book Antiqua" w:hAnsi="Book Antiqua"/>
          <w:lang w:val="en-US" w:eastAsia="zh-CN"/>
        </w:rPr>
      </w:pPr>
    </w:p>
    <w:p w14:paraId="68B9DA43" w14:textId="3F59A109" w:rsidR="00881B2E" w:rsidRPr="00FF5B44" w:rsidRDefault="0002664D" w:rsidP="00FF5B44">
      <w:pPr>
        <w:spacing w:line="360" w:lineRule="auto"/>
        <w:jc w:val="both"/>
        <w:rPr>
          <w:rFonts w:ascii="Book Antiqua" w:hAnsi="Book Antiqua"/>
          <w:lang w:val="en-US"/>
        </w:rPr>
      </w:pPr>
      <w:r w:rsidRPr="00C042FF">
        <w:rPr>
          <w:rFonts w:ascii="Book Antiqua" w:hAnsi="Book Antiqua"/>
          <w:b/>
          <w:lang w:val="en-US"/>
        </w:rPr>
        <w:t>Types</w:t>
      </w:r>
      <w:r w:rsidR="009B71DD" w:rsidRPr="00C042FF">
        <w:rPr>
          <w:rFonts w:ascii="Book Antiqua" w:hAnsi="Book Antiqua"/>
          <w:b/>
          <w:lang w:val="en-US"/>
        </w:rPr>
        <w:t xml:space="preserve"> of colonic stents</w:t>
      </w:r>
      <w:r w:rsidR="00807ADD">
        <w:rPr>
          <w:rFonts w:ascii="Book Antiqua" w:hAnsi="Book Antiqua" w:hint="eastAsia"/>
          <w:b/>
          <w:lang w:val="en-US" w:eastAsia="zh-CN"/>
        </w:rPr>
        <w:t xml:space="preserve">: </w:t>
      </w:r>
      <w:r w:rsidRPr="00C042FF">
        <w:rPr>
          <w:rFonts w:ascii="Book Antiqua" w:hAnsi="Book Antiqua"/>
          <w:lang w:val="en-US"/>
        </w:rPr>
        <w:t>SEMS</w:t>
      </w:r>
      <w:r w:rsidR="00CC6B25" w:rsidRPr="00C042FF">
        <w:rPr>
          <w:rFonts w:ascii="Book Antiqua" w:hAnsi="Book Antiqua"/>
          <w:lang w:val="en-US"/>
        </w:rPr>
        <w:t xml:space="preserve"> may be either </w:t>
      </w:r>
      <w:r w:rsidR="00E10BBB" w:rsidRPr="00C042FF">
        <w:rPr>
          <w:rFonts w:ascii="Book Antiqua" w:hAnsi="Book Antiqua"/>
          <w:lang w:val="en-US"/>
        </w:rPr>
        <w:t xml:space="preserve">covered or </w:t>
      </w:r>
      <w:r w:rsidR="00CC6B25" w:rsidRPr="00C042FF">
        <w:rPr>
          <w:rFonts w:ascii="Book Antiqua" w:hAnsi="Book Antiqua"/>
          <w:lang w:val="en-US"/>
        </w:rPr>
        <w:t>un</w:t>
      </w:r>
      <w:r w:rsidR="00E10BBB" w:rsidRPr="00C042FF">
        <w:rPr>
          <w:rFonts w:ascii="Book Antiqua" w:hAnsi="Book Antiqua"/>
          <w:lang w:val="en-US"/>
        </w:rPr>
        <w:t>covered</w:t>
      </w:r>
      <w:r w:rsidR="00CC6B25" w:rsidRPr="00C042FF">
        <w:rPr>
          <w:rFonts w:ascii="Book Antiqua" w:hAnsi="Book Antiqua"/>
          <w:lang w:val="en-US"/>
        </w:rPr>
        <w:t>; however only u</w:t>
      </w:r>
      <w:r w:rsidR="00FC4123" w:rsidRPr="00C042FF">
        <w:rPr>
          <w:rFonts w:ascii="Book Antiqua" w:hAnsi="Book Antiqua"/>
          <w:lang w:val="en-US"/>
        </w:rPr>
        <w:t>ncovered are available in the United States</w:t>
      </w:r>
      <w:r w:rsidR="00E10BBB" w:rsidRPr="00C042FF">
        <w:rPr>
          <w:rFonts w:ascii="Book Antiqua" w:hAnsi="Book Antiqua"/>
          <w:lang w:val="en-US"/>
        </w:rPr>
        <w:t xml:space="preserve">. All colorectal </w:t>
      </w:r>
      <w:r w:rsidRPr="00C042FF">
        <w:rPr>
          <w:rFonts w:ascii="Book Antiqua" w:hAnsi="Book Antiqua"/>
          <w:lang w:val="en-US"/>
        </w:rPr>
        <w:t xml:space="preserve">stents </w:t>
      </w:r>
      <w:r w:rsidR="00E10BBB" w:rsidRPr="00C042FF">
        <w:rPr>
          <w:rFonts w:ascii="Book Antiqua" w:hAnsi="Book Antiqua"/>
          <w:lang w:val="en-US"/>
        </w:rPr>
        <w:t>work very similarly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{"citationItems":[{"id":"ITEM-1","itemData":{"DOI":"10.1016/j.gie.2010.04.005","ISSN":"00165107","author":[{"dropping-particle":"","family":"Telford","given":"Jennifer J.","non-dropping-particle":"","parse-names":false,"suffix":""}],"container-title":"Gastrointestinal Endoscopy","id":"ITEM-1","issue":"2","issued":{"date-parts":[["2010","8"]]},"page":"311-312","title":"Covered or uncovered stents in the colon?","type":"article-journal","volume":"72"},"uris":["http://www.mendeley.com/documents/?uuid=7a58d3ef-fce1-42ec-ac31-9f3fc153a16e"]}],"mendeley":{"formattedCitation":"&lt;sup&gt;[84]&lt;/sup&gt;","plainTextFormattedCitation":"[84]","previouslyFormattedCitation":"(84)"},"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3</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E10BBB" w:rsidRPr="00C042FF">
        <w:rPr>
          <w:rFonts w:ascii="Book Antiqua" w:hAnsi="Book Antiqua"/>
          <w:lang w:val="en-US"/>
        </w:rPr>
        <w:t>.</w:t>
      </w:r>
    </w:p>
    <w:p w14:paraId="03FC94CD" w14:textId="021FC07F" w:rsidR="00F361A8" w:rsidRPr="00C042FF" w:rsidRDefault="00CD168A" w:rsidP="00807ADD">
      <w:pPr>
        <w:spacing w:line="360" w:lineRule="auto"/>
        <w:ind w:firstLineChars="100" w:firstLine="240"/>
        <w:jc w:val="both"/>
        <w:rPr>
          <w:rFonts w:ascii="Book Antiqua" w:hAnsi="Book Antiqua"/>
          <w:lang w:val="en-US"/>
        </w:rPr>
      </w:pPr>
      <w:r w:rsidRPr="00C042FF">
        <w:rPr>
          <w:rFonts w:ascii="Book Antiqua" w:hAnsi="Book Antiqua"/>
          <w:lang w:val="en-US"/>
        </w:rPr>
        <w:lastRenderedPageBreak/>
        <w:t xml:space="preserve">The available </w:t>
      </w:r>
      <w:r w:rsidR="00CC6B25" w:rsidRPr="00C042FF">
        <w:rPr>
          <w:rFonts w:ascii="Book Antiqua" w:hAnsi="Book Antiqua"/>
          <w:lang w:val="en-US"/>
        </w:rPr>
        <w:t>stents</w:t>
      </w:r>
      <w:r w:rsidRPr="00C042FF">
        <w:rPr>
          <w:rFonts w:ascii="Book Antiqua" w:hAnsi="Book Antiqua"/>
          <w:lang w:val="en-US"/>
        </w:rPr>
        <w:t xml:space="preserve"> are mostl</w:t>
      </w:r>
      <w:r w:rsidR="00FC4123" w:rsidRPr="00C042FF">
        <w:rPr>
          <w:rFonts w:ascii="Book Antiqua" w:hAnsi="Book Antiqua"/>
          <w:lang w:val="en-US"/>
        </w:rPr>
        <w:t>y made of a</w:t>
      </w:r>
      <w:r w:rsidRPr="00C042FF">
        <w:rPr>
          <w:rFonts w:ascii="Book Antiqua" w:hAnsi="Book Antiqua"/>
          <w:lang w:val="en-US"/>
        </w:rPr>
        <w:t xml:space="preserve"> nic</w:t>
      </w:r>
      <w:r w:rsidR="00FC4123" w:rsidRPr="00C042FF">
        <w:rPr>
          <w:rFonts w:ascii="Book Antiqua" w:hAnsi="Book Antiqua"/>
          <w:lang w:val="en-US"/>
        </w:rPr>
        <w:t>kel-titanium metal alloy (</w:t>
      </w:r>
      <w:r w:rsidRPr="00C042FF">
        <w:rPr>
          <w:rFonts w:ascii="Book Antiqua" w:hAnsi="Book Antiqua"/>
          <w:lang w:val="en-US"/>
        </w:rPr>
        <w:t>nitinol</w:t>
      </w:r>
      <w:r w:rsidR="00FC4123" w:rsidRPr="00C042FF">
        <w:rPr>
          <w:rFonts w:ascii="Book Antiqua" w:hAnsi="Book Antiqua"/>
          <w:lang w:val="en-US"/>
        </w:rPr>
        <w:t>)</w:t>
      </w:r>
      <w:r w:rsidR="00697F2B" w:rsidRPr="00C042FF">
        <w:rPr>
          <w:rFonts w:ascii="Book Antiqua" w:hAnsi="Book Antiqua"/>
          <w:lang w:val="en-US"/>
        </w:rPr>
        <w:t xml:space="preserve"> </w:t>
      </w:r>
      <w:r w:rsidR="00697F2B" w:rsidRPr="00807ADD">
        <w:rPr>
          <w:rFonts w:ascii="Book Antiqua" w:hAnsi="Book Antiqua"/>
          <w:lang w:val="en-US"/>
        </w:rPr>
        <w:t>(Figure 1)</w:t>
      </w:r>
      <w:r w:rsidR="00FC4123" w:rsidRPr="00807ADD">
        <w:rPr>
          <w:rFonts w:ascii="Book Antiqua" w:hAnsi="Book Antiqua"/>
          <w:lang w:val="en-US"/>
        </w:rPr>
        <w:t>.</w:t>
      </w:r>
      <w:r w:rsidR="00FC4123" w:rsidRPr="00C042FF">
        <w:rPr>
          <w:rFonts w:ascii="Book Antiqua" w:hAnsi="Book Antiqua"/>
          <w:lang w:val="en-US"/>
        </w:rPr>
        <w:t xml:space="preserve"> An important</w:t>
      </w:r>
      <w:r w:rsidRPr="00C042FF">
        <w:rPr>
          <w:rFonts w:ascii="Book Antiqua" w:hAnsi="Book Antiqua"/>
          <w:lang w:val="en-US"/>
        </w:rPr>
        <w:t xml:space="preserve"> characteristic of this material is</w:t>
      </w:r>
      <w:r w:rsidR="00FC4123" w:rsidRPr="00C042FF">
        <w:rPr>
          <w:rFonts w:ascii="Book Antiqua" w:hAnsi="Book Antiqua"/>
          <w:lang w:val="en-US"/>
        </w:rPr>
        <w:t xml:space="preserve"> that it is</w:t>
      </w:r>
      <w:r w:rsidRPr="00C042FF">
        <w:rPr>
          <w:rFonts w:ascii="Book Antiqua" w:hAnsi="Book Antiqua"/>
          <w:lang w:val="en-US"/>
        </w:rPr>
        <w:t xml:space="preserve"> malleable</w:t>
      </w:r>
      <w:r w:rsidR="00FC4123" w:rsidRPr="00C042FF">
        <w:rPr>
          <w:rFonts w:ascii="Book Antiqua" w:hAnsi="Book Antiqua"/>
          <w:lang w:val="en-US"/>
        </w:rPr>
        <w:t xml:space="preserve"> at low temperatures and has strong</w:t>
      </w:r>
      <w:r w:rsidRPr="00C042FF">
        <w:rPr>
          <w:rFonts w:ascii="Book Antiqua" w:hAnsi="Book Antiqua"/>
          <w:lang w:val="en-US"/>
        </w:rPr>
        <w:t xml:space="preserve"> radial force at </w:t>
      </w:r>
      <w:r w:rsidR="00FC4123" w:rsidRPr="00C042FF">
        <w:rPr>
          <w:rFonts w:ascii="Book Antiqua" w:hAnsi="Book Antiqua"/>
          <w:lang w:val="en-US"/>
        </w:rPr>
        <w:t>body temperature</w:t>
      </w:r>
      <w:r w:rsidRPr="00C042FF">
        <w:rPr>
          <w:rFonts w:ascii="Book Antiqua" w:hAnsi="Book Antiqua"/>
          <w:lang w:val="en-US"/>
        </w:rPr>
        <w:t xml:space="preserve"> without losing flexibility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4</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Pr="00C042FF">
        <w:rPr>
          <w:rFonts w:ascii="Book Antiqua" w:hAnsi="Book Antiqua"/>
          <w:lang w:val="en-US"/>
        </w:rPr>
        <w:t>.</w:t>
      </w:r>
    </w:p>
    <w:p w14:paraId="75FCD4F3" w14:textId="77777777" w:rsidR="00FF5B44" w:rsidRDefault="00FC4123" w:rsidP="00FF5B44">
      <w:pPr>
        <w:spacing w:line="360" w:lineRule="auto"/>
        <w:ind w:firstLineChars="100" w:firstLine="240"/>
        <w:jc w:val="both"/>
        <w:rPr>
          <w:rFonts w:ascii="Book Antiqua" w:hAnsi="Book Antiqua"/>
          <w:lang w:val="en-US" w:eastAsia="zh-CN"/>
        </w:rPr>
      </w:pPr>
      <w:r w:rsidRPr="00C042FF">
        <w:rPr>
          <w:rFonts w:ascii="Book Antiqua" w:hAnsi="Book Antiqua"/>
          <w:lang w:val="en-US"/>
        </w:rPr>
        <w:t>D</w:t>
      </w:r>
      <w:r w:rsidR="007C3401" w:rsidRPr="00C042FF">
        <w:rPr>
          <w:rFonts w:ascii="Book Antiqua" w:hAnsi="Book Antiqua"/>
          <w:lang w:val="en-US"/>
        </w:rPr>
        <w:t xml:space="preserve">elivery systems can be introduced into the colon parallel to the endoscope, over the wire (OTW) </w:t>
      </w:r>
      <w:r w:rsidR="007834BF" w:rsidRPr="00C042FF">
        <w:rPr>
          <w:rFonts w:ascii="Book Antiqua" w:hAnsi="Book Antiqua"/>
          <w:lang w:val="en-US"/>
        </w:rPr>
        <w:t xml:space="preserve">or through the scope (TTS). TTS </w:t>
      </w:r>
      <w:r w:rsidRPr="00C042FF">
        <w:rPr>
          <w:rFonts w:ascii="Book Antiqua" w:hAnsi="Book Antiqua"/>
          <w:lang w:val="en-US"/>
        </w:rPr>
        <w:t xml:space="preserve">is typically preferred and </w:t>
      </w:r>
      <w:r w:rsidR="007834BF" w:rsidRPr="00C042FF">
        <w:rPr>
          <w:rFonts w:ascii="Book Antiqua" w:hAnsi="Book Antiqua"/>
          <w:lang w:val="en-US"/>
        </w:rPr>
        <w:t xml:space="preserve">facilitates </w:t>
      </w:r>
      <w:r w:rsidRPr="00C042FF">
        <w:rPr>
          <w:rFonts w:ascii="Book Antiqua" w:hAnsi="Book Antiqua"/>
          <w:lang w:val="en-US"/>
        </w:rPr>
        <w:t xml:space="preserve">the </w:t>
      </w:r>
      <w:r w:rsidR="007834BF" w:rsidRPr="00C042FF">
        <w:rPr>
          <w:rFonts w:ascii="Book Antiqua" w:hAnsi="Book Antiqua"/>
          <w:lang w:val="en-US"/>
        </w:rPr>
        <w:t>treatment of right colon</w:t>
      </w:r>
      <w:r w:rsidRPr="00C042FF">
        <w:rPr>
          <w:rFonts w:ascii="Book Antiqua" w:hAnsi="Book Antiqua"/>
          <w:lang w:val="en-US"/>
        </w:rPr>
        <w:t xml:space="preserve"> lesions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Gastroenterologia","id":"ITEM-2","issue":"1","issued":{"date-parts":[["2012"]]},"title":"Tecnicas en stents gastrointestinales endoscopicos: cómo, cuándo, manejo de complicaciones, selección del stent y costos","type":"article-journal","volume":"27"},"uris":["http://www.mendeley.com/documents/?uuid=e7a5f907-79d3-4c29-9acd-d146106410da"]}],"mendeley":{"formattedCitation":"&lt;sup&gt;[3,86]&lt;/sup&gt;","plainTextFormattedCitation":"[3,86]","previouslyFormattedCitation":"(3,86)"},"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[3,8</w:t>
      </w:r>
      <w:r w:rsidR="00320B98">
        <w:rPr>
          <w:rFonts w:ascii="Book Antiqua" w:hAnsi="Book Antiqua" w:hint="eastAsia"/>
          <w:bCs/>
          <w:noProof/>
          <w:vertAlign w:val="superscript"/>
          <w:lang w:val="en-US" w:eastAsia="zh-CN"/>
        </w:rPr>
        <w:t>5</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7834BF" w:rsidRPr="00C042FF">
        <w:rPr>
          <w:rFonts w:ascii="Book Antiqua" w:hAnsi="Book Antiqua"/>
          <w:lang w:val="en-US"/>
        </w:rPr>
        <w:t>.</w:t>
      </w:r>
      <w:r w:rsidRPr="00C042FF">
        <w:rPr>
          <w:rFonts w:ascii="Book Antiqua" w:hAnsi="Book Antiqua"/>
          <w:lang w:val="en-US"/>
        </w:rPr>
        <w:t xml:space="preserve"> C</w:t>
      </w:r>
      <w:r w:rsidR="007834BF" w:rsidRPr="00C042FF">
        <w:rPr>
          <w:rFonts w:ascii="Book Antiqua" w:hAnsi="Book Antiqua"/>
          <w:lang w:val="en-US"/>
        </w:rPr>
        <w:t>ommercially available stents are reported in Table 1.</w:t>
      </w:r>
    </w:p>
    <w:p w14:paraId="1D34ABF4" w14:textId="77777777" w:rsidR="00FF5B44" w:rsidRDefault="00FF5B44" w:rsidP="00FF5B44">
      <w:pPr>
        <w:spacing w:line="360" w:lineRule="auto"/>
        <w:jc w:val="both"/>
        <w:rPr>
          <w:rFonts w:ascii="Book Antiqua" w:hAnsi="Book Antiqua"/>
          <w:lang w:val="en-US" w:eastAsia="zh-CN"/>
        </w:rPr>
      </w:pPr>
    </w:p>
    <w:p w14:paraId="2469CC64" w14:textId="7F827718" w:rsidR="00D1178D" w:rsidRPr="00FF5B44" w:rsidRDefault="004C6ADE" w:rsidP="00FF5B44">
      <w:pPr>
        <w:spacing w:line="360" w:lineRule="auto"/>
        <w:jc w:val="both"/>
        <w:rPr>
          <w:rFonts w:ascii="Book Antiqua" w:hAnsi="Book Antiqua"/>
          <w:lang w:val="en-US"/>
        </w:rPr>
      </w:pPr>
      <w:r w:rsidRPr="00C042FF">
        <w:rPr>
          <w:rFonts w:ascii="Book Antiqua" w:hAnsi="Book Antiqua"/>
          <w:b/>
          <w:lang w:val="en-US"/>
        </w:rPr>
        <w:t>C</w:t>
      </w:r>
      <w:r w:rsidR="00F07B59" w:rsidRPr="00C042FF">
        <w:rPr>
          <w:rFonts w:ascii="Book Antiqua" w:hAnsi="Book Antiqua"/>
          <w:b/>
          <w:lang w:val="en-US"/>
        </w:rPr>
        <w:t>overed</w:t>
      </w:r>
      <w:r w:rsidR="00F07B59" w:rsidRPr="00807ADD">
        <w:rPr>
          <w:rFonts w:ascii="Book Antiqua" w:hAnsi="Book Antiqua"/>
          <w:b/>
          <w:i/>
          <w:lang w:val="en-US"/>
        </w:rPr>
        <w:t xml:space="preserve"> vs</w:t>
      </w:r>
      <w:r w:rsidR="00F07B59" w:rsidRPr="00C042FF">
        <w:rPr>
          <w:rFonts w:ascii="Book Antiqua" w:hAnsi="Book Antiqua"/>
          <w:b/>
          <w:lang w:val="en-US"/>
        </w:rPr>
        <w:t xml:space="preserve"> uncovered </w:t>
      </w:r>
      <w:r w:rsidRPr="00C042FF">
        <w:rPr>
          <w:rFonts w:ascii="Book Antiqua" w:hAnsi="Book Antiqua"/>
          <w:b/>
          <w:lang w:val="en-US"/>
        </w:rPr>
        <w:t>stents</w:t>
      </w:r>
      <w:r w:rsidR="00807ADD">
        <w:rPr>
          <w:rFonts w:ascii="Book Antiqua" w:hAnsi="Book Antiqua" w:hint="eastAsia"/>
          <w:b/>
          <w:lang w:val="en-US" w:eastAsia="zh-CN"/>
        </w:rPr>
        <w:t xml:space="preserve">: </w:t>
      </w:r>
      <w:r w:rsidR="00D1178D" w:rsidRPr="00C042FF">
        <w:rPr>
          <w:rFonts w:ascii="Book Antiqua" w:hAnsi="Book Antiqua"/>
          <w:lang w:val="en-US"/>
        </w:rPr>
        <w:t>Covered stents are mainly use</w:t>
      </w:r>
      <w:r w:rsidR="00253CC3" w:rsidRPr="00C042FF">
        <w:rPr>
          <w:rFonts w:ascii="Book Antiqua" w:hAnsi="Book Antiqua"/>
          <w:lang w:val="en-US"/>
        </w:rPr>
        <w:t xml:space="preserve">d in the establishment of </w:t>
      </w:r>
      <w:proofErr w:type="spellStart"/>
      <w:r w:rsidR="00253CC3" w:rsidRPr="00C042FF">
        <w:rPr>
          <w:rFonts w:ascii="Book Antiqua" w:hAnsi="Book Antiqua"/>
          <w:lang w:val="en-US"/>
        </w:rPr>
        <w:t>colonvesical</w:t>
      </w:r>
      <w:proofErr w:type="spellEnd"/>
      <w:r w:rsidR="00253CC3" w:rsidRPr="00C042FF">
        <w:rPr>
          <w:rFonts w:ascii="Book Antiqua" w:hAnsi="Book Antiqua"/>
          <w:lang w:val="en-US"/>
        </w:rPr>
        <w:t xml:space="preserve"> fistulas, </w:t>
      </w:r>
      <w:proofErr w:type="spellStart"/>
      <w:r w:rsidR="00253CC3" w:rsidRPr="00C042FF">
        <w:rPr>
          <w:rFonts w:ascii="Book Antiqua" w:hAnsi="Book Antiqua"/>
          <w:lang w:val="en-US"/>
        </w:rPr>
        <w:t>colo</w:t>
      </w:r>
      <w:r w:rsidR="00D1178D" w:rsidRPr="00C042FF">
        <w:rPr>
          <w:rFonts w:ascii="Book Antiqua" w:hAnsi="Book Antiqua"/>
          <w:lang w:val="en-US"/>
        </w:rPr>
        <w:t>enteric</w:t>
      </w:r>
      <w:proofErr w:type="spellEnd"/>
      <w:r w:rsidR="00D1178D" w:rsidRPr="00C042FF">
        <w:rPr>
          <w:rFonts w:ascii="Book Antiqua" w:hAnsi="Book Antiqua"/>
          <w:lang w:val="en-US"/>
        </w:rPr>
        <w:t xml:space="preserve"> and cervicovaginal malignancies</w:t>
      </w:r>
      <w:r w:rsidR="00807ADD" w:rsidRPr="00C042FF">
        <w:rPr>
          <w:rStyle w:val="FootnoteReference"/>
          <w:rFonts w:ascii="Book Antiqua" w:hAnsi="Book Antiqua"/>
        </w:rPr>
        <w:fldChar w:fldCharType="begin" w:fldLock="1"/>
      </w:r>
      <w:r w:rsidR="00807ADD" w:rsidRPr="00C042FF">
        <w:rPr>
          <w:rFonts w:ascii="Book Antiqua" w:hAnsi="Book Antiqua"/>
          <w:lang w:val="en-US"/>
        </w:rPr>
        <w:instrText>ADDIN CSL_CITATION {"citationItems":[{"id":"ITEM-1","itemData":{"DOI":"10.1148/radiology.186.2.8421765","ISSN":"0033-8419 (Print)","PMID":"8421765","abstract":"The authors describe a 91-year-old man with a malignant stricture of the sigmoid  colon complicated with a colovesical fistula, which was successfully managed with insertion of a metallic esophageal stent. The fistula closed, and the stent function was good during the observation time of 1 month. Temporary stent placement for treatment of malignant strictures in the large bowel is proposed.","author":[{"dropping-particle":"","family":"Cwikiel","given":"W","non-dropping-particle":"","parse-names":false,"suffix":""},{"dropping-particle":"","family":"Andren-Sandberg","given":"A","non-dropping-particle":"","parse-names":false,"suffix":""}],"container-title":"Radiology","id":"ITEM-1","issue":"2","issued":{"date-parts":[["1993"]]},"page":"563-564","title":"Malignant stricture with colovesical fistula: stent insertion in the colon.","type":"article-journal","volume":"186"},"uris":["http://www.mendeley.com/documents/?uuid=3b56070a-5db4-42be-8b8a-984c71a652d4"]}],"mendeley":{"formattedCitation":"&lt;sup&gt;[87]&lt;/sup&gt;","plainTextFormattedCitation":"[87]","previouslyFormattedCitation":"(87)"},"properties":{"noteIndex":0},"schema":"https://github.com/citation-style-language/schema/raw/master/csl-citation.json"}</w:instrText>
      </w:r>
      <w:r w:rsidR="00807ADD" w:rsidRPr="00C042FF">
        <w:rPr>
          <w:rStyle w:val="FootnoteReference"/>
          <w:rFonts w:ascii="Book Antiqua" w:hAnsi="Book Antiqua"/>
        </w:rPr>
        <w:fldChar w:fldCharType="separate"/>
      </w:r>
      <w:r w:rsidR="00807ADD" w:rsidRPr="00C042FF">
        <w:rPr>
          <w:rFonts w:ascii="Book Antiqua" w:hAnsi="Book Antiqua"/>
          <w:noProof/>
          <w:vertAlign w:val="superscript"/>
          <w:lang w:val="en-US"/>
        </w:rPr>
        <w:t>[8</w:t>
      </w:r>
      <w:r w:rsidR="00320B98">
        <w:rPr>
          <w:rFonts w:ascii="Book Antiqua" w:hAnsi="Book Antiqua" w:hint="eastAsia"/>
          <w:noProof/>
          <w:vertAlign w:val="superscript"/>
          <w:lang w:val="en-US" w:eastAsia="zh-CN"/>
        </w:rPr>
        <w:t>6</w:t>
      </w:r>
      <w:r w:rsidR="00807ADD" w:rsidRPr="00C042FF">
        <w:rPr>
          <w:rFonts w:ascii="Book Antiqua" w:hAnsi="Book Antiqua"/>
          <w:noProof/>
          <w:vertAlign w:val="superscript"/>
          <w:lang w:val="en-US"/>
        </w:rPr>
        <w:t>]</w:t>
      </w:r>
      <w:r w:rsidR="00807ADD" w:rsidRPr="00C042FF">
        <w:rPr>
          <w:rStyle w:val="FootnoteReference"/>
          <w:rFonts w:ascii="Book Antiqua" w:hAnsi="Book Antiqua"/>
        </w:rPr>
        <w:fldChar w:fldCharType="end"/>
      </w:r>
      <w:r w:rsidR="000642E7" w:rsidRPr="00C042FF">
        <w:rPr>
          <w:rFonts w:ascii="Book Antiqua" w:hAnsi="Book Antiqua"/>
          <w:lang w:val="en-US"/>
        </w:rPr>
        <w:t xml:space="preserve">. </w:t>
      </w:r>
      <w:r w:rsidR="00D1178D" w:rsidRPr="00C042FF">
        <w:rPr>
          <w:rFonts w:ascii="Book Antiqua" w:hAnsi="Book Antiqua"/>
          <w:lang w:val="en-US"/>
        </w:rPr>
        <w:t>Although the theoretical advantage of covered ste</w:t>
      </w:r>
      <w:r w:rsidR="00581106" w:rsidRPr="00C042FF">
        <w:rPr>
          <w:rFonts w:ascii="Book Antiqua" w:hAnsi="Book Antiqua"/>
          <w:lang w:val="en-US"/>
        </w:rPr>
        <w:t>nts is that they have a lower</w:t>
      </w:r>
      <w:r w:rsidR="00D1178D" w:rsidRPr="00C042FF">
        <w:rPr>
          <w:rFonts w:ascii="Book Antiqua" w:hAnsi="Book Antiqua"/>
          <w:lang w:val="en-US"/>
        </w:rPr>
        <w:t xml:space="preserve"> risk of tumor </w:t>
      </w:r>
      <w:r w:rsidR="00581106" w:rsidRPr="00C042FF">
        <w:rPr>
          <w:rFonts w:ascii="Book Antiqua" w:hAnsi="Book Antiqua"/>
          <w:lang w:val="en-US"/>
        </w:rPr>
        <w:t>in</w:t>
      </w:r>
      <w:r w:rsidR="00D1178D" w:rsidRPr="00C042FF">
        <w:rPr>
          <w:rFonts w:ascii="Book Antiqua" w:hAnsi="Book Antiqua"/>
          <w:lang w:val="en-US"/>
        </w:rPr>
        <w:t xml:space="preserve">growth, they are also more likely </w:t>
      </w:r>
      <w:r w:rsidR="00581106" w:rsidRPr="00C042FF">
        <w:rPr>
          <w:rFonts w:ascii="Book Antiqua" w:hAnsi="Book Antiqua"/>
          <w:lang w:val="en-US"/>
        </w:rPr>
        <w:t xml:space="preserve">to migrate compared to uncovered </w:t>
      </w:r>
      <w:r w:rsidR="00D1178D" w:rsidRPr="00C042FF">
        <w:rPr>
          <w:rFonts w:ascii="Book Antiqua" w:hAnsi="Book Antiqua"/>
          <w:lang w:val="en-US"/>
        </w:rPr>
        <w:t>stents.</w:t>
      </w:r>
    </w:p>
    <w:p w14:paraId="35D3D2F3" w14:textId="7897D76C" w:rsidR="00807ADD" w:rsidRDefault="00D1178D" w:rsidP="00807ADD">
      <w:pPr>
        <w:spacing w:line="360" w:lineRule="auto"/>
        <w:ind w:firstLineChars="100" w:firstLine="240"/>
        <w:jc w:val="both"/>
        <w:rPr>
          <w:rFonts w:ascii="Book Antiqua" w:hAnsi="Book Antiqua"/>
          <w:lang w:val="en-US" w:eastAsia="zh-CN"/>
        </w:rPr>
      </w:pPr>
      <w:r w:rsidRPr="00C042FF">
        <w:rPr>
          <w:rFonts w:ascii="Book Antiqua" w:hAnsi="Book Antiqua"/>
          <w:lang w:val="en-US"/>
        </w:rPr>
        <w:t>In a randomized trial</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[8</w:t>
      </w:r>
      <w:r w:rsidR="00320B98">
        <w:rPr>
          <w:rFonts w:ascii="Book Antiqua" w:hAnsi="Book Antiqua" w:hint="eastAsia"/>
          <w:noProof/>
          <w:vertAlign w:val="superscript"/>
          <w:lang w:val="en-US" w:eastAsia="zh-CN"/>
        </w:rPr>
        <w:t>4</w:t>
      </w:r>
      <w:r w:rsidR="008201F7" w:rsidRPr="00C042FF">
        <w:rPr>
          <w:rFonts w:ascii="Book Antiqua" w:hAnsi="Book Antiqua"/>
          <w:noProof/>
          <w:vertAlign w:val="superscript"/>
          <w:lang w:val="en-US"/>
        </w:rPr>
        <w:t>]</w:t>
      </w:r>
      <w:r w:rsidR="001D2AD8" w:rsidRPr="00C042FF">
        <w:rPr>
          <w:rStyle w:val="FootnoteReference"/>
          <w:rFonts w:ascii="Book Antiqua" w:hAnsi="Book Antiqua"/>
        </w:rPr>
        <w:fldChar w:fldCharType="end"/>
      </w:r>
      <w:r w:rsidR="000642E7" w:rsidRPr="00C042FF">
        <w:rPr>
          <w:rFonts w:ascii="Book Antiqua" w:hAnsi="Book Antiqua"/>
          <w:vertAlign w:val="superscript"/>
          <w:lang w:val="en-US"/>
        </w:rPr>
        <w:t xml:space="preserve"> </w:t>
      </w:r>
      <w:r w:rsidRPr="00C042FF">
        <w:rPr>
          <w:rFonts w:ascii="Book Antiqua" w:hAnsi="Book Antiqua"/>
          <w:lang w:val="en-US"/>
        </w:rPr>
        <w:t>including 151 patients with AAO by C</w:t>
      </w:r>
      <w:r w:rsidR="00854959" w:rsidRPr="00C042FF">
        <w:rPr>
          <w:rFonts w:ascii="Book Antiqua" w:hAnsi="Book Antiqua"/>
          <w:lang w:val="en-US"/>
        </w:rPr>
        <w:t>RC</w:t>
      </w:r>
      <w:r w:rsidRPr="00C042FF">
        <w:rPr>
          <w:rFonts w:ascii="Book Antiqua" w:hAnsi="Book Antiqua"/>
          <w:lang w:val="en-US"/>
        </w:rPr>
        <w:t>, there was no difference in the clinical success</w:t>
      </w:r>
      <w:r w:rsidR="00581106" w:rsidRPr="00C042FF">
        <w:rPr>
          <w:rFonts w:ascii="Book Antiqua" w:hAnsi="Book Antiqua"/>
          <w:lang w:val="en-US"/>
        </w:rPr>
        <w:t xml:space="preserve"> rate for the placement of covere</w:t>
      </w:r>
      <w:r w:rsidRPr="00C042FF">
        <w:rPr>
          <w:rFonts w:ascii="Book Antiqua" w:hAnsi="Book Antiqua"/>
          <w:lang w:val="en-US"/>
        </w:rPr>
        <w:t>d</w:t>
      </w:r>
      <w:r w:rsidR="00581106" w:rsidRPr="00C042FF">
        <w:rPr>
          <w:rFonts w:ascii="Book Antiqua" w:hAnsi="Book Antiqua"/>
          <w:lang w:val="en-US"/>
        </w:rPr>
        <w:t xml:space="preserve"> stents compared with uncovered</w:t>
      </w:r>
      <w:r w:rsidRPr="00C042FF">
        <w:rPr>
          <w:rFonts w:ascii="Book Antiqua" w:hAnsi="Book Antiqua"/>
          <w:lang w:val="en-US"/>
        </w:rPr>
        <w:t xml:space="preserve"> stents (96% </w:t>
      </w:r>
      <w:r w:rsidRPr="00807ADD">
        <w:rPr>
          <w:rFonts w:ascii="Book Antiqua" w:hAnsi="Book Antiqua"/>
          <w:i/>
          <w:lang w:val="en-US"/>
        </w:rPr>
        <w:t>vs</w:t>
      </w:r>
      <w:r w:rsidRPr="00C042FF">
        <w:rPr>
          <w:rFonts w:ascii="Book Antiqua" w:hAnsi="Book Antiqua"/>
          <w:lang w:val="en-US"/>
        </w:rPr>
        <w:t xml:space="preserve"> 92%). There was a higher rate of migr</w:t>
      </w:r>
      <w:r w:rsidR="00581106" w:rsidRPr="00C042FF">
        <w:rPr>
          <w:rFonts w:ascii="Book Antiqua" w:hAnsi="Book Antiqua"/>
          <w:lang w:val="en-US"/>
        </w:rPr>
        <w:t xml:space="preserve">ation </w:t>
      </w:r>
      <w:r w:rsidRPr="00C042FF">
        <w:rPr>
          <w:rFonts w:ascii="Book Antiqua" w:hAnsi="Book Antiqua"/>
          <w:lang w:val="en-US"/>
        </w:rPr>
        <w:t xml:space="preserve">(21% </w:t>
      </w:r>
      <w:r w:rsidR="00807ADD" w:rsidRPr="00807ADD">
        <w:rPr>
          <w:rFonts w:ascii="Book Antiqua" w:hAnsi="Book Antiqua"/>
          <w:i/>
          <w:lang w:val="en-US"/>
        </w:rPr>
        <w:t>vs</w:t>
      </w:r>
      <w:r w:rsidRPr="00C042FF">
        <w:rPr>
          <w:rFonts w:ascii="Book Antiqua" w:hAnsi="Book Antiqua"/>
          <w:lang w:val="en-US"/>
        </w:rPr>
        <w:t xml:space="preserve"> 2%) and a trend towards </w:t>
      </w:r>
      <w:r w:rsidR="00581106" w:rsidRPr="00C042FF">
        <w:rPr>
          <w:rFonts w:ascii="Book Antiqua" w:hAnsi="Book Antiqua"/>
          <w:lang w:val="en-US"/>
        </w:rPr>
        <w:t>less tumor ingrowth in covered</w:t>
      </w:r>
      <w:r w:rsidRPr="00C042FF">
        <w:rPr>
          <w:rFonts w:ascii="Book Antiqua" w:hAnsi="Book Antiqua"/>
          <w:lang w:val="en-US"/>
        </w:rPr>
        <w:t xml:space="preserve"> stents (4% </w:t>
      </w:r>
      <w:r w:rsidR="00807ADD" w:rsidRPr="00807ADD">
        <w:rPr>
          <w:rFonts w:ascii="Book Antiqua" w:hAnsi="Book Antiqua"/>
          <w:i/>
          <w:lang w:val="en-US"/>
        </w:rPr>
        <w:t>vs</w:t>
      </w:r>
      <w:r w:rsidRPr="00C042FF">
        <w:rPr>
          <w:rFonts w:ascii="Book Antiqua" w:hAnsi="Book Antiqua"/>
          <w:lang w:val="en-US"/>
        </w:rPr>
        <w:t xml:space="preserve"> 15%). There were no differences in relation to adverse events or obstruction by debris.</w:t>
      </w:r>
    </w:p>
    <w:p w14:paraId="1E663236" w14:textId="77777777" w:rsidR="00807ADD" w:rsidRDefault="00807ADD" w:rsidP="00807ADD">
      <w:pPr>
        <w:spacing w:line="360" w:lineRule="auto"/>
        <w:jc w:val="both"/>
        <w:rPr>
          <w:rFonts w:ascii="Book Antiqua" w:hAnsi="Book Antiqua"/>
          <w:lang w:val="en-US" w:eastAsia="zh-CN"/>
        </w:rPr>
      </w:pPr>
    </w:p>
    <w:p w14:paraId="3F5287BA" w14:textId="5F765AC4" w:rsidR="005716FC" w:rsidRPr="00807ADD" w:rsidRDefault="00D1178D" w:rsidP="00807ADD">
      <w:pPr>
        <w:spacing w:line="360" w:lineRule="auto"/>
        <w:jc w:val="both"/>
        <w:rPr>
          <w:rFonts w:ascii="Book Antiqua" w:hAnsi="Book Antiqua"/>
          <w:lang w:val="en-US"/>
        </w:rPr>
      </w:pPr>
      <w:r w:rsidRPr="00C042FF">
        <w:rPr>
          <w:rFonts w:ascii="Book Antiqua" w:hAnsi="Book Antiqua"/>
          <w:b/>
          <w:lang w:val="en-US"/>
        </w:rPr>
        <w:t>Additional diagnostics and exams</w:t>
      </w:r>
      <w:r w:rsidR="00807ADD">
        <w:rPr>
          <w:rFonts w:ascii="Book Antiqua" w:hAnsi="Book Antiqua" w:hint="eastAsia"/>
          <w:b/>
          <w:lang w:val="en-US" w:eastAsia="zh-CN"/>
        </w:rPr>
        <w:t>:</w:t>
      </w:r>
      <w:r w:rsidRPr="00C042FF">
        <w:rPr>
          <w:rFonts w:ascii="Book Antiqua" w:hAnsi="Book Antiqua"/>
          <w:b/>
          <w:lang w:val="en-US"/>
        </w:rPr>
        <w:t xml:space="preserve"> </w:t>
      </w:r>
      <w:r w:rsidRPr="00C042FF">
        <w:rPr>
          <w:rFonts w:ascii="Book Antiqua" w:hAnsi="Book Antiqua"/>
          <w:lang w:val="en-US"/>
        </w:rPr>
        <w:t xml:space="preserve">The diagnosis of colonic obstruction is made through symptoms and complemented by imaging tests (for example, simple radiography and/or </w:t>
      </w:r>
      <w:r w:rsidR="00807ADD">
        <w:rPr>
          <w:rFonts w:ascii="Book Antiqua" w:hAnsi="Book Antiqua"/>
          <w:lang w:val="en-US"/>
        </w:rPr>
        <w:t>CT</w:t>
      </w:r>
      <w:r w:rsidR="00CC5FED" w:rsidRPr="00C042FF">
        <w:rPr>
          <w:rFonts w:ascii="Book Antiqua" w:hAnsi="Book Antiqua"/>
          <w:lang w:val="en-US"/>
        </w:rPr>
        <w:t xml:space="preserve"> </w:t>
      </w:r>
      <w:r w:rsidR="00CC5FED" w:rsidRPr="00807ADD">
        <w:rPr>
          <w:rFonts w:ascii="Book Antiqua" w:hAnsi="Book Antiqua"/>
          <w:lang w:val="en-US"/>
        </w:rPr>
        <w:t>(Figure</w:t>
      </w:r>
      <w:r w:rsidR="00807ADD" w:rsidRPr="00807ADD">
        <w:rPr>
          <w:rFonts w:ascii="Book Antiqua" w:hAnsi="Book Antiqua" w:hint="eastAsia"/>
          <w:lang w:val="en-US" w:eastAsia="zh-CN"/>
        </w:rPr>
        <w:t>s</w:t>
      </w:r>
      <w:r w:rsidR="00CC5FED" w:rsidRPr="00807ADD">
        <w:rPr>
          <w:rFonts w:ascii="Book Antiqua" w:hAnsi="Book Antiqua"/>
          <w:lang w:val="en-US"/>
        </w:rPr>
        <w:t xml:space="preserve"> 2</w:t>
      </w:r>
      <w:r w:rsidR="00807ADD" w:rsidRPr="00807ADD">
        <w:rPr>
          <w:rFonts w:ascii="Book Antiqua" w:hAnsi="Book Antiqua" w:hint="eastAsia"/>
          <w:lang w:val="en-US" w:eastAsia="zh-CN"/>
        </w:rPr>
        <w:t xml:space="preserve"> and 3</w:t>
      </w:r>
      <w:r w:rsidR="00F13B4C" w:rsidRPr="00807ADD">
        <w:rPr>
          <w:rFonts w:ascii="Book Antiqua" w:hAnsi="Book Antiqua"/>
          <w:lang w:val="en-US"/>
        </w:rPr>
        <w:t>)</w:t>
      </w:r>
      <w:r w:rsidRPr="00807ADD">
        <w:rPr>
          <w:rFonts w:ascii="Book Antiqua" w:hAnsi="Book Antiqua"/>
          <w:lang w:val="en-US"/>
        </w:rPr>
        <w:t xml:space="preserve">. </w:t>
      </w:r>
      <w:r w:rsidR="00581106" w:rsidRPr="00C042FF">
        <w:rPr>
          <w:rFonts w:ascii="Book Antiqua" w:hAnsi="Book Antiqua"/>
          <w:lang w:val="en-US"/>
        </w:rPr>
        <w:t>A</w:t>
      </w:r>
      <w:r w:rsidRPr="00C042FF">
        <w:rPr>
          <w:rFonts w:ascii="Book Antiqua" w:hAnsi="Book Antiqua"/>
          <w:lang w:val="en-US"/>
        </w:rPr>
        <w:t>dditional exams su</w:t>
      </w:r>
      <w:r w:rsidR="00581106" w:rsidRPr="00C042FF">
        <w:rPr>
          <w:rFonts w:ascii="Book Antiqua" w:hAnsi="Book Antiqua"/>
          <w:lang w:val="en-US"/>
        </w:rPr>
        <w:t>ch as colonoscopy may</w:t>
      </w:r>
      <w:r w:rsidRPr="00C042FF">
        <w:rPr>
          <w:rFonts w:ascii="Book Antiqua" w:hAnsi="Book Antiqua"/>
          <w:lang w:val="en-US"/>
        </w:rPr>
        <w:t xml:space="preserve"> be perfo</w:t>
      </w:r>
      <w:r w:rsidR="00581106" w:rsidRPr="00C042FF">
        <w:rPr>
          <w:rFonts w:ascii="Book Antiqua" w:hAnsi="Book Antiqua"/>
          <w:lang w:val="en-US"/>
        </w:rPr>
        <w:t xml:space="preserve">rmed prior to stent placement procedure. </w:t>
      </w:r>
      <w:r w:rsidR="005716FC" w:rsidRPr="00C042FF">
        <w:rPr>
          <w:rFonts w:ascii="Book Antiqua" w:hAnsi="Book Antiqua"/>
          <w:lang w:val="en-US"/>
        </w:rPr>
        <w:t>Pre-procedure colonoscopy may provide direct endoscopic visualization of the site of obstruction, and tissue biopsies can be performed for histological diagnosis</w:t>
      </w:r>
      <w:r w:rsidR="00581106" w:rsidRPr="00C042FF">
        <w:rPr>
          <w:rFonts w:ascii="Book Antiqua" w:hAnsi="Book Antiqua"/>
          <w:lang w:val="en-US"/>
        </w:rPr>
        <w:t xml:space="preserve"> if needed. Important tumors characteristics can also be ascertained </w:t>
      </w:r>
      <w:r w:rsidR="000D481B" w:rsidRPr="00C042FF">
        <w:rPr>
          <w:rFonts w:ascii="Book Antiqua" w:hAnsi="Book Antiqua"/>
          <w:lang w:val="en-US"/>
        </w:rPr>
        <w:t>, such as</w:t>
      </w:r>
      <w:r w:rsidR="005716FC" w:rsidRPr="00C042FF">
        <w:rPr>
          <w:rFonts w:ascii="Book Antiqua" w:hAnsi="Book Antiqua"/>
          <w:lang w:val="en-US"/>
        </w:rPr>
        <w:t xml:space="preserve"> </w:t>
      </w:r>
      <w:r w:rsidR="000D481B" w:rsidRPr="00C042FF">
        <w:rPr>
          <w:rFonts w:ascii="Book Antiqua" w:hAnsi="Book Antiqua"/>
          <w:lang w:val="en-US"/>
        </w:rPr>
        <w:t>precise location, length of stenosis, topography (</w:t>
      </w:r>
      <w:r w:rsidR="005716FC" w:rsidRPr="00C042FF">
        <w:rPr>
          <w:rFonts w:ascii="Book Antiqua" w:hAnsi="Book Antiqua"/>
          <w:lang w:val="en-US"/>
        </w:rPr>
        <w:t>extrinsic or intrinsic</w:t>
      </w:r>
      <w:r w:rsidR="000D481B" w:rsidRPr="00C042FF">
        <w:rPr>
          <w:rFonts w:ascii="Book Antiqua" w:hAnsi="Book Antiqua"/>
          <w:lang w:val="en-US"/>
        </w:rPr>
        <w:t>)</w:t>
      </w:r>
      <w:r w:rsidR="005716FC" w:rsidRPr="00C042FF">
        <w:rPr>
          <w:rFonts w:ascii="Book Antiqua" w:hAnsi="Book Antiqua"/>
          <w:lang w:val="en-US"/>
        </w:rPr>
        <w:t xml:space="preserve">, and </w:t>
      </w:r>
      <w:r w:rsidR="000D481B" w:rsidRPr="00C042FF">
        <w:rPr>
          <w:rFonts w:ascii="Book Antiqua" w:hAnsi="Book Antiqua"/>
          <w:lang w:val="en-US"/>
        </w:rPr>
        <w:t>adjacent anatomic considerations (</w:t>
      </w:r>
      <w:r w:rsidR="005716FC" w:rsidRPr="00C042FF">
        <w:rPr>
          <w:rFonts w:ascii="Book Antiqua" w:hAnsi="Book Antiqua"/>
          <w:lang w:val="en-US"/>
        </w:rPr>
        <w:t>angulation</w:t>
      </w:r>
      <w:r w:rsidR="00681F05" w:rsidRPr="00C042FF">
        <w:rPr>
          <w:rFonts w:ascii="Book Antiqua" w:hAnsi="Book Antiqua"/>
          <w:lang w:val="en-US"/>
        </w:rPr>
        <w:t xml:space="preserve">, mucosa inflammation, ischemia or </w:t>
      </w:r>
      <w:proofErr w:type="spellStart"/>
      <w:r w:rsidR="000D481B" w:rsidRPr="00C042FF">
        <w:rPr>
          <w:rFonts w:ascii="Book Antiqua" w:hAnsi="Book Antiqua"/>
          <w:lang w:val="en-US"/>
        </w:rPr>
        <w:t>diverticulae</w:t>
      </w:r>
      <w:proofErr w:type="spellEnd"/>
      <w:r w:rsidR="000D481B" w:rsidRPr="00C042FF">
        <w:rPr>
          <w:rFonts w:ascii="Book Antiqua" w:hAnsi="Book Antiqua"/>
          <w:lang w:val="en-US"/>
        </w:rPr>
        <w:t>)</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{"citationItems":[{"id":"ITEM-1","itemData":{"DOI":"10.1016/j.gie.2013.03.370","ISSN":"00165107","author":[{"dropping-particle":"","family":"Lim","given":"Sun Gyo","non-dropping-particle":"","parse-names":false,"suffix":""},{"dropping-particle":"","family":"Lee","given":"Kwang Jae","non-dropping-particle":"","parse-names":false,"suffix":""},{"dropping-particle":"","family":"Lee","given":"Hong Sub","non-dropping-particle":"","parse-names":false,"suffix":""}],"container-title":"Gastrointestinal Endoscopy","id":"ITEM-1","issue":"5","issued":{"date-parts":[["2013","5"]]},"page":"AB449","title":"Mo1622 Preoperative Colonoscopy for Detection of Synchronous Neoplasm After Self-Expandable Metallic Stent Insertion in Occlusive Colorectal Cancer: Comparison of Covered and Uncovered Stents","type":"article-journal","volume":"77"},"uris":["http://www.mendeley.com/documents/?uuid=732242ec-a81a-49af-a958-babba5d31afd"]},{"id":"ITEM-2","itemData":{"DOI":"10.3748/wjg.v20.i30.10570","ISBN":"0016-5107","ISSN":"22192840","PMID":"25132777","abstract":"AIM: To evaluate the feasibility of a preoperative colonoscopy through a self-expendable metallic stent (SEMS) and to identify the factors that affect complete colonoscopy.\\n\\nMETHODS: A total of 48 patients who had SEMS placement because of acute malignant colonic obstruction underwent preoperative colonoscopy. After effective SEMS placement, patients who showed complete resolution of radiological findings and clinical signs of acute colon obstruction underwent a standard bowel preparation. Preoperative colonoscopy was then performed using a standard colonoscope. If the passage of colonoscope was not feasible gastroscope was used. After colonoscopy, cecal intubation time, grade of bowel preparation, tumor location, stent location, presence of synchronous polyps or cancer, damage to colonoscopy and bleeding, and stent migration after colonoscopy were recorded.\\n\\nRESULTS: Complete evaluation with colonoscope was possible in 30 patients (62.5%). In this group, adenoma was detected in 13 patients (43.3%). The factors that affected complete colonoscopy were also analyzed: Tumor location at an angle; stent placement at an angle; and stent expansion diameter, which affected complete colonoscopy significantly. However in multivariate analysis, stent expansion diameter was the only significant factor that affected complete colonoscopy. Complete evaluation using additional gastroscope was feasible in 42 patients (87.5%).\\n\\nCONCLUSION: Preoperative colonoscopy through the colonic stent using only conventional colonoscope was unfavorable. The narrow expansion diameter of the stent may predict unfavorable outcome. In such a case, using small caliber scope should be considered and may expect successful outcome.","author":[{"dropping-particle":"","family":"Kim","given":"Jin Su","non-dropping-particle":"","parse-names":false,"suffix":""},{"dropping-particle":"","family":"Lee","given":"Kang Moon","non-dropping-particle":"","parse-names":false,"suffix":""},{"dropping-particle":"","family":"Kim","given":"Sang Woo","non-dropping-particle":"","parse-names":false,"suffix":""},{"dropping-particle":"","family":"Kim","given":"Eun Jung","non-dropping-particle":"","parse-names":false,"suffix":""},{"dropping-particle":"","family":"Lim","given":"Chul Hyun","non-dropping-particle":"","parse-names":false,"suffix":""},{"dropping-particle":"","family":"Oh","given":"Seong Taek","non-dropping-particle":"","parse-names":false,"suffix":""},{"dropping-particle":"","family":"Choi","given":"Myung Gyu","non-dropping-particle":"","parse-names":false,"suffix":""},{"dropping-particle":"","family":"Choi","given":"Kyu Yong","non-dropping-particle":"","parse-names":false,"suffix":""}],"container-title":"World Journal of Gastroenterology","id":"ITEM-2","issue":"30","issued":{"date-parts":[["2014"]]},"page":"10570-10576","title":"Preoperative colonoscopy through the colonic stent in patients with colorectal cancer obstruction","type":"article-journal","volume":"20"},"uris":["http://www.mendeley.com/documents/?uuid=2df2017e-92aa-45ef-a253-9b758c303cfc"]}],"mendeley":{"formattedCitation":"&lt;sup&gt;[88,89]&lt;/sup&gt;","plainTextFormattedCitation":"[88,89]","previouslyFormattedCitation":"(88,89)"},"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7</w:t>
      </w:r>
      <w:r w:rsidR="008201F7" w:rsidRPr="00C042FF">
        <w:rPr>
          <w:rFonts w:ascii="Book Antiqua" w:hAnsi="Book Antiqua"/>
          <w:bCs/>
          <w:noProof/>
          <w:vertAlign w:val="superscript"/>
          <w:lang w:val="en-US"/>
        </w:rPr>
        <w:t>,8</w:t>
      </w:r>
      <w:r w:rsidR="00320B98">
        <w:rPr>
          <w:rFonts w:ascii="Book Antiqua" w:hAnsi="Book Antiqua" w:hint="eastAsia"/>
          <w:bCs/>
          <w:noProof/>
          <w:vertAlign w:val="superscript"/>
          <w:lang w:val="en-US" w:eastAsia="zh-CN"/>
        </w:rPr>
        <w:t>8</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5716FC" w:rsidRPr="00C042FF">
        <w:rPr>
          <w:rFonts w:ascii="Book Antiqua" w:hAnsi="Book Antiqua"/>
          <w:lang w:val="en-US"/>
        </w:rPr>
        <w:t>.</w:t>
      </w:r>
    </w:p>
    <w:p w14:paraId="6B339F62" w14:textId="77777777" w:rsidR="00807ADD" w:rsidRDefault="0081375C" w:rsidP="00807ADD">
      <w:pPr>
        <w:spacing w:line="360" w:lineRule="auto"/>
        <w:ind w:firstLineChars="100" w:firstLine="240"/>
        <w:jc w:val="both"/>
        <w:rPr>
          <w:rFonts w:ascii="Book Antiqua" w:hAnsi="Book Antiqua"/>
          <w:lang w:val="en-US" w:eastAsia="zh-CN"/>
        </w:rPr>
      </w:pPr>
      <w:r w:rsidRPr="00C042FF">
        <w:rPr>
          <w:rFonts w:ascii="Book Antiqua" w:hAnsi="Book Antiqua"/>
          <w:lang w:val="en-US"/>
        </w:rPr>
        <w:lastRenderedPageBreak/>
        <w:t>The degree of obstruction should be assessed by</w:t>
      </w:r>
      <w:r w:rsidR="005716FC" w:rsidRPr="00C042FF">
        <w:rPr>
          <w:rFonts w:ascii="Book Antiqua" w:hAnsi="Book Antiqua"/>
          <w:lang w:val="en-US"/>
        </w:rPr>
        <w:t xml:space="preserve"> attempt</w:t>
      </w:r>
      <w:r w:rsidRPr="00C042FF">
        <w:rPr>
          <w:rFonts w:ascii="Book Antiqua" w:hAnsi="Book Antiqua"/>
          <w:lang w:val="en-US"/>
        </w:rPr>
        <w:t>ing</w:t>
      </w:r>
      <w:r w:rsidR="005716FC" w:rsidRPr="00C042FF">
        <w:rPr>
          <w:rFonts w:ascii="Book Antiqua" w:hAnsi="Book Antiqua"/>
          <w:lang w:val="en-US"/>
        </w:rPr>
        <w:t xml:space="preserve"> to </w:t>
      </w:r>
      <w:r w:rsidRPr="00C042FF">
        <w:rPr>
          <w:rFonts w:ascii="Book Antiqua" w:hAnsi="Book Antiqua"/>
          <w:lang w:val="en-US"/>
        </w:rPr>
        <w:t>navigate t</w:t>
      </w:r>
      <w:r w:rsidR="005716FC" w:rsidRPr="00C042FF">
        <w:rPr>
          <w:rFonts w:ascii="Book Antiqua" w:hAnsi="Book Antiqua"/>
          <w:lang w:val="en-US"/>
        </w:rPr>
        <w:t xml:space="preserve">he </w:t>
      </w:r>
      <w:r w:rsidRPr="00C042FF">
        <w:rPr>
          <w:rFonts w:ascii="Book Antiqua" w:hAnsi="Book Antiqua"/>
          <w:lang w:val="en-US"/>
        </w:rPr>
        <w:t>stenosis with the endoscope;</w:t>
      </w:r>
      <w:r w:rsidR="005716FC" w:rsidRPr="00C042FF">
        <w:rPr>
          <w:rFonts w:ascii="Book Antiqua" w:hAnsi="Book Antiqua"/>
          <w:lang w:val="en-US"/>
        </w:rPr>
        <w:t xml:space="preserve"> however, it is not</w:t>
      </w:r>
      <w:r w:rsidRPr="00C042FF">
        <w:rPr>
          <w:rFonts w:ascii="Book Antiqua" w:hAnsi="Book Antiqua"/>
          <w:lang w:val="en-US"/>
        </w:rPr>
        <w:t xml:space="preserve"> necessary to advance the endoscope</w:t>
      </w:r>
      <w:r w:rsidR="005716FC" w:rsidRPr="00C042FF">
        <w:rPr>
          <w:rFonts w:ascii="Book Antiqua" w:hAnsi="Book Antiqua"/>
          <w:lang w:val="en-US"/>
        </w:rPr>
        <w:t xml:space="preserve"> through the tumor to </w:t>
      </w:r>
      <w:r w:rsidRPr="00C042FF">
        <w:rPr>
          <w:rFonts w:ascii="Book Antiqua" w:hAnsi="Book Antiqua"/>
          <w:lang w:val="en-US"/>
        </w:rPr>
        <w:t>perform</w:t>
      </w:r>
      <w:r w:rsidR="005716FC" w:rsidRPr="00C042FF">
        <w:rPr>
          <w:rFonts w:ascii="Book Antiqua" w:hAnsi="Book Antiqua"/>
          <w:lang w:val="en-US"/>
        </w:rPr>
        <w:t xml:space="preserve"> </w:t>
      </w:r>
      <w:r w:rsidRPr="00C042FF">
        <w:rPr>
          <w:rFonts w:ascii="Book Antiqua" w:hAnsi="Book Antiqua"/>
          <w:lang w:val="en-US"/>
        </w:rPr>
        <w:t>stent placement.</w:t>
      </w:r>
      <w:r w:rsidR="00807ADD">
        <w:rPr>
          <w:rFonts w:ascii="Book Antiqua" w:hAnsi="Book Antiqua" w:hint="eastAsia"/>
          <w:lang w:val="en-US" w:eastAsia="zh-CN"/>
        </w:rPr>
        <w:t xml:space="preserve"> </w:t>
      </w:r>
      <w:r w:rsidR="007F25F3" w:rsidRPr="00C042FF">
        <w:rPr>
          <w:rFonts w:ascii="Book Antiqua" w:hAnsi="Book Antiqua"/>
          <w:lang w:val="en-US"/>
        </w:rPr>
        <w:t>Examination with</w:t>
      </w:r>
      <w:r w:rsidR="005716FC" w:rsidRPr="00C042FF">
        <w:rPr>
          <w:rFonts w:ascii="Book Antiqua" w:hAnsi="Book Antiqua"/>
          <w:lang w:val="en-US"/>
        </w:rPr>
        <w:t xml:space="preserve"> a water-soluble enema or rectal </w:t>
      </w:r>
      <w:r w:rsidR="007F25F3" w:rsidRPr="00C042FF">
        <w:rPr>
          <w:rFonts w:ascii="Book Antiqua" w:hAnsi="Book Antiqua"/>
          <w:lang w:val="en-US"/>
        </w:rPr>
        <w:t>CT</w:t>
      </w:r>
      <w:r w:rsidR="005716FC" w:rsidRPr="00C042FF">
        <w:rPr>
          <w:rFonts w:ascii="Book Antiqua" w:hAnsi="Book Antiqua"/>
          <w:lang w:val="en-US"/>
        </w:rPr>
        <w:t xml:space="preserve"> may be useful, but not absolut</w:t>
      </w:r>
      <w:r w:rsidR="007F25F3" w:rsidRPr="00C042FF">
        <w:rPr>
          <w:rFonts w:ascii="Book Antiqua" w:hAnsi="Book Antiqua"/>
          <w:lang w:val="en-US"/>
        </w:rPr>
        <w:t>ely necessary, to obtain a map</w:t>
      </w:r>
      <w:r w:rsidR="005716FC" w:rsidRPr="00C042FF">
        <w:rPr>
          <w:rFonts w:ascii="Book Antiqua" w:hAnsi="Book Antiqua"/>
          <w:lang w:val="en-US"/>
        </w:rPr>
        <w:t xml:space="preserve"> of the colonic anatomy, length of stenosis, and degree of obstruction. This radiographic evaluation may also identify additional sites of obstruction that may </w:t>
      </w:r>
      <w:r w:rsidR="007F25F3" w:rsidRPr="00C042FF">
        <w:rPr>
          <w:rFonts w:ascii="Book Antiqua" w:hAnsi="Book Antiqua"/>
          <w:lang w:val="en-US"/>
        </w:rPr>
        <w:t>prevent successful</w:t>
      </w:r>
      <w:r w:rsidR="00E51E26" w:rsidRPr="00C042FF">
        <w:rPr>
          <w:rFonts w:ascii="Book Antiqua" w:hAnsi="Book Antiqua"/>
          <w:lang w:val="en-US"/>
        </w:rPr>
        <w:t xml:space="preserve"> </w:t>
      </w:r>
      <w:r w:rsidR="005716FC" w:rsidRPr="00C042FF">
        <w:rPr>
          <w:rFonts w:ascii="Book Antiqua" w:hAnsi="Book Antiqua"/>
          <w:lang w:val="en-US"/>
        </w:rPr>
        <w:t>stent</w:t>
      </w:r>
      <w:r w:rsidR="007F25F3" w:rsidRPr="00C042FF">
        <w:rPr>
          <w:rFonts w:ascii="Book Antiqua" w:hAnsi="Book Antiqua"/>
          <w:lang w:val="en-US"/>
        </w:rPr>
        <w:t xml:space="preserve"> placement</w:t>
      </w:r>
      <w:r w:rsidR="00807ADD" w:rsidRPr="00C042FF">
        <w:rPr>
          <w:rStyle w:val="FootnoteReference"/>
          <w:rFonts w:ascii="Book Antiqua" w:hAnsi="Book Antiqua"/>
          <w:lang w:val="en-US"/>
        </w:rPr>
        <w:fldChar w:fldCharType="begin" w:fldLock="1"/>
      </w:r>
      <w:r w:rsidR="00807ADD" w:rsidRPr="00C042FF">
        <w:rPr>
          <w:rFonts w:ascii="Book Antiqua" w:hAnsi="Book Antiqua"/>
          <w:lang w:val="en-US"/>
        </w:rPr>
        <w:instrText>ADDIN CSL_CITATION {"citationItems":[{"id":"ITEM-1","itemData":{"DOI":"10.1097/MOG.0b013e3282c3a630","ISSN":"0267-1379 (Print)","PMID":"17762561","abstract":"PURPOSE OF REVIEW: Acute colonic obstruction due to malignancy is often a surgical emergency. Surgical decompression with colostomy with or without resection and eventual re-anastomosis has traditionally been the treatment of choice. These procedures have been associated with a significant morbidity and mortality rate. Preoperative colonic stenting is effective for decompressing the obstructed colon and may allow for surgery to be performed on an elective basis. RECENT FINDINGS: Although randomized clinical data are lacking, the role for preoperative stenting in the emergent management of acute malignant colonic obstruction has been supported by cost-effectiveness analysis studies and several pooled analyses that demonstrate efficacy and safety. SUMMARY: This review evaluates the latest developments in colonic stent technology, indications for use in the preoperative setting, and evidence to support their use in this setting.","author":[{"dropping-particle":"","family":"Farrell","given":"James J","non-dropping-particle":"","parse-names":false,"suffix":""}],"container-title":"Current opinion in gastroenterology","id":"ITEM-1","issue":"5","issued":{"date-parts":[["2007","9"]]},"language":"eng","page":"544-549","publisher-place":"United States","title":"Preoperative colonic stenting: how, when and why?","type":"article-journal","volume":"23"},"uris":["http://www.mendeley.com/documents/?uuid=ff15d0ac-dddb-4d62-9356-8dfe6fa96d0e"]},{"id":"ITEM-2","itemData":{"DOI":"10.1007/s002619900307","ISSN":"09428925","PMID":"9516501","abstract":"BACKGROUND: To determine whether computed tomography (CT) can satisfactorily diagnose and evaluate patients with suspected colonic obstruction. METHODS: Seventy-five patients with suspected colonic obstruction were evaluated prospectively by CT and compared with the gold standards of surgery and/or endoscopy in 65 patients, clinical course in nine, and contrast enema (CE) in one. A limited comparison between CT and CE (26) patients was also made in those patients who had both studies. RESULTS: CT successfully diagnosed colonic obstruction in 45 of 47 patients (96% sensitivity). Pseudo-obstruction was correctly diagnosed in 26 of 28 patients (93% specificity). CT correctly localized the point of obstruction in 44 of 47 patients (94%). CE successfully diagnosed obstruction in only 20 of 25 patients (80% sensitivity). CONCLUSION: In this study, CT proved to be a satisfactory modality in evaluating patients with suspected colonic obstruction. CT may in certain circumstances be preferable to the traditional CE in evaluating these patients.","author":[{"dropping-particle":"","family":"Frager","given":"D.","non-dropping-particle":"","parse-names":false,"suffix":""},{"dropping-particle":"","family":"Rovno","given":"H. D S","non-dropping-particle":"","parse-names":false,"suffix":""},{"dropping-particle":"","family":"Baer","given":"J. W.","non-dropping-particle":"","parse-names":false,"suffix":""},{"dropping-particle":"","family":"Bashist","given":"B.","non-dropping-particle":"","parse-names":false,"suffix":""},{"dropping-particle":"","family":"Friedman","given":"M.","non-dropping-particle":"","parse-names":false,"suffix":""}],"container-title":"Abdominal Imaging","id":"ITEM-2","issue":"2","issued":{"date-parts":[["1998"]]},"page":"141-146","title":"Prospective evaluation of colonic obstruction with computed tomography","type":"article-journal","volume":"23"},"uris":["http://www.mendeley.com/documents/?uuid=46c24224-a78c-408e-a358-a9d4baca9e51"]}],"mendeley":{"formattedCitation":"&lt;sup&gt;[33,56]&lt;/sup&gt;","plainTextFormattedCitation":"[33,56]","previouslyFormattedCitation":"(33,56)"},"properties":{"noteIndex":0},"schema":"https://github.com/citation-style-language/schema/raw/master/csl-citation.json"}</w:instrText>
      </w:r>
      <w:r w:rsidR="00807ADD" w:rsidRPr="00C042FF">
        <w:rPr>
          <w:rStyle w:val="FootnoteReference"/>
          <w:rFonts w:ascii="Book Antiqua" w:hAnsi="Book Antiqua"/>
          <w:lang w:val="en-US"/>
        </w:rPr>
        <w:fldChar w:fldCharType="separate"/>
      </w:r>
      <w:r w:rsidR="00807ADD" w:rsidRPr="00C042FF">
        <w:rPr>
          <w:rFonts w:ascii="Book Antiqua" w:hAnsi="Book Antiqua"/>
          <w:noProof/>
          <w:vertAlign w:val="superscript"/>
          <w:lang w:val="en-US"/>
        </w:rPr>
        <w:t>[33,56]</w:t>
      </w:r>
      <w:r w:rsidR="00807ADD" w:rsidRPr="00C042FF">
        <w:rPr>
          <w:rStyle w:val="FootnoteReference"/>
          <w:rFonts w:ascii="Book Antiqua" w:hAnsi="Book Antiqua"/>
          <w:lang w:val="en-US"/>
        </w:rPr>
        <w:fldChar w:fldCharType="end"/>
      </w:r>
      <w:r w:rsidR="005716FC" w:rsidRPr="00C042FF">
        <w:rPr>
          <w:rFonts w:ascii="Book Antiqua" w:hAnsi="Book Antiqua"/>
          <w:lang w:val="en-US"/>
        </w:rPr>
        <w:t>.</w:t>
      </w:r>
      <w:r w:rsidR="00807ADD" w:rsidRPr="00C042FF">
        <w:rPr>
          <w:rFonts w:ascii="Book Antiqua" w:hAnsi="Book Antiqua"/>
          <w:lang w:val="en-US"/>
        </w:rPr>
        <w:t xml:space="preserve"> </w:t>
      </w:r>
    </w:p>
    <w:p w14:paraId="774D6F88" w14:textId="77777777" w:rsidR="00807ADD" w:rsidRDefault="00807ADD" w:rsidP="00807ADD">
      <w:pPr>
        <w:spacing w:line="360" w:lineRule="auto"/>
        <w:jc w:val="both"/>
        <w:rPr>
          <w:rFonts w:ascii="Book Antiqua" w:hAnsi="Book Antiqua"/>
          <w:lang w:val="en-US" w:eastAsia="zh-CN"/>
        </w:rPr>
      </w:pPr>
    </w:p>
    <w:p w14:paraId="0FF412AB" w14:textId="55FF4CDC" w:rsidR="00807ADD" w:rsidRDefault="00A94D84" w:rsidP="00807ADD">
      <w:pPr>
        <w:spacing w:line="360" w:lineRule="auto"/>
        <w:jc w:val="both"/>
        <w:rPr>
          <w:rFonts w:ascii="Book Antiqua" w:hAnsi="Book Antiqua"/>
          <w:lang w:val="en-US" w:eastAsia="zh-CN"/>
        </w:rPr>
      </w:pPr>
      <w:r w:rsidRPr="00C042FF">
        <w:rPr>
          <w:rFonts w:ascii="Book Antiqua" w:hAnsi="Book Antiqua"/>
          <w:b/>
          <w:lang w:val="en-US"/>
        </w:rPr>
        <w:t>P</w:t>
      </w:r>
      <w:r w:rsidR="00975121" w:rsidRPr="00C042FF">
        <w:rPr>
          <w:rFonts w:ascii="Book Antiqua" w:hAnsi="Book Antiqua"/>
          <w:b/>
          <w:lang w:val="en-US"/>
        </w:rPr>
        <w:t>reparation of colon</w:t>
      </w:r>
      <w:r w:rsidR="00807ADD">
        <w:rPr>
          <w:rFonts w:ascii="Book Antiqua" w:hAnsi="Book Antiqua" w:hint="eastAsia"/>
          <w:b/>
          <w:lang w:val="en-US" w:eastAsia="zh-CN"/>
        </w:rPr>
        <w:t>:</w:t>
      </w:r>
      <w:r w:rsidR="00975121" w:rsidRPr="00C042FF">
        <w:rPr>
          <w:rFonts w:ascii="Book Antiqua" w:hAnsi="Book Antiqua"/>
          <w:b/>
          <w:lang w:val="en-US"/>
        </w:rPr>
        <w:t xml:space="preserve"> </w:t>
      </w:r>
      <w:r w:rsidR="00975121" w:rsidRPr="00C042FF">
        <w:rPr>
          <w:rFonts w:ascii="Book Antiqua" w:hAnsi="Book Antiqua"/>
          <w:lang w:val="en-US"/>
        </w:rPr>
        <w:t xml:space="preserve">Although patients </w:t>
      </w:r>
      <w:r w:rsidR="00D42D84" w:rsidRPr="00C042FF">
        <w:rPr>
          <w:rFonts w:ascii="Book Antiqua" w:hAnsi="Book Antiqua"/>
          <w:lang w:val="en-US"/>
        </w:rPr>
        <w:t>may have</w:t>
      </w:r>
      <w:r w:rsidR="00975121" w:rsidRPr="00C042FF">
        <w:rPr>
          <w:rFonts w:ascii="Book Antiqua" w:hAnsi="Book Antiqua"/>
          <w:lang w:val="en-US"/>
        </w:rPr>
        <w:t xml:space="preserve"> AAO,</w:t>
      </w:r>
      <w:r w:rsidR="00D42D84" w:rsidRPr="00C042FF">
        <w:rPr>
          <w:rFonts w:ascii="Book Antiqua" w:hAnsi="Book Antiqua"/>
          <w:lang w:val="en-US"/>
        </w:rPr>
        <w:t xml:space="preserve"> bowel preparation should be attempted</w:t>
      </w:r>
      <w:r w:rsidR="00975121" w:rsidRPr="00C042FF">
        <w:rPr>
          <w:rFonts w:ascii="Book Antiqua" w:hAnsi="Book Antiqua"/>
          <w:lang w:val="en-US"/>
        </w:rPr>
        <w:t xml:space="preserve"> and </w:t>
      </w:r>
      <w:r w:rsidR="00D42D84" w:rsidRPr="00C042FF">
        <w:rPr>
          <w:rFonts w:ascii="Book Antiqua" w:hAnsi="Book Antiqua"/>
          <w:lang w:val="en-US"/>
        </w:rPr>
        <w:t>preparation depends on</w:t>
      </w:r>
      <w:r w:rsidR="00975121" w:rsidRPr="00C042FF">
        <w:rPr>
          <w:rFonts w:ascii="Book Antiqua" w:hAnsi="Book Antiqua"/>
          <w:lang w:val="en-US"/>
        </w:rPr>
        <w:t xml:space="preserve"> location and degree of obstruction:</w:t>
      </w:r>
      <w:r w:rsidR="00807ADD">
        <w:rPr>
          <w:rFonts w:ascii="Book Antiqua" w:hAnsi="Book Antiqua" w:hint="eastAsia"/>
          <w:lang w:val="en-US" w:eastAsia="zh-CN"/>
        </w:rPr>
        <w:t xml:space="preserve"> </w:t>
      </w:r>
      <w:r w:rsidR="00D42D84" w:rsidRPr="00C042FF">
        <w:rPr>
          <w:rFonts w:ascii="Book Antiqua" w:hAnsi="Book Antiqua"/>
          <w:lang w:val="en-US"/>
        </w:rPr>
        <w:t>For p</w:t>
      </w:r>
      <w:r w:rsidR="00975121" w:rsidRPr="00C042FF">
        <w:rPr>
          <w:rFonts w:ascii="Book Antiqua" w:hAnsi="Book Antiqua"/>
          <w:lang w:val="en-US"/>
        </w:rPr>
        <w:t>artial obstruction in the distal colon, two water-soluble enemas (250-500</w:t>
      </w:r>
      <w:r w:rsidR="00807ADD">
        <w:rPr>
          <w:rFonts w:ascii="Book Antiqua" w:hAnsi="Book Antiqua" w:hint="eastAsia"/>
          <w:lang w:val="en-US" w:eastAsia="zh-CN"/>
        </w:rPr>
        <w:t xml:space="preserve"> </w:t>
      </w:r>
      <w:r w:rsidR="00975121" w:rsidRPr="00C042FF">
        <w:rPr>
          <w:rFonts w:ascii="Book Antiqua" w:hAnsi="Book Antiqua"/>
          <w:lang w:val="en-US"/>
        </w:rPr>
        <w:t>m</w:t>
      </w:r>
      <w:r w:rsidR="00807ADD" w:rsidRPr="00C042FF">
        <w:rPr>
          <w:rFonts w:ascii="Book Antiqua" w:hAnsi="Book Antiqua"/>
          <w:lang w:val="en-US"/>
        </w:rPr>
        <w:t>L</w:t>
      </w:r>
      <w:r w:rsidR="00975121" w:rsidRPr="00C042FF">
        <w:rPr>
          <w:rFonts w:ascii="Book Antiqua" w:hAnsi="Book Antiqua"/>
          <w:lang w:val="en-US"/>
        </w:rPr>
        <w:t>) are sufficient</w:t>
      </w:r>
      <w:r w:rsidR="00807ADD">
        <w:rPr>
          <w:rFonts w:ascii="Book Antiqua" w:hAnsi="Book Antiqua" w:hint="eastAsia"/>
          <w:lang w:val="en-US" w:eastAsia="zh-CN"/>
        </w:rPr>
        <w:t xml:space="preserve">; </w:t>
      </w:r>
      <w:r w:rsidR="00975121" w:rsidRPr="00C042FF">
        <w:rPr>
          <w:rFonts w:ascii="Book Antiqua" w:hAnsi="Book Antiqua"/>
          <w:lang w:val="en-US"/>
        </w:rPr>
        <w:t xml:space="preserve">For partial obstruction of a proximal lesion, oral colon </w:t>
      </w:r>
      <w:r w:rsidR="00D42D84" w:rsidRPr="00C042FF">
        <w:rPr>
          <w:rFonts w:ascii="Book Antiqua" w:hAnsi="Book Antiqua"/>
          <w:lang w:val="en-US"/>
        </w:rPr>
        <w:t>preparation</w:t>
      </w:r>
      <w:r w:rsidR="00975121" w:rsidRPr="00C042FF">
        <w:rPr>
          <w:rFonts w:ascii="Book Antiqua" w:hAnsi="Book Antiqua"/>
          <w:lang w:val="en-US"/>
        </w:rPr>
        <w:t xml:space="preserve"> may be attempted and discontinued if s</w:t>
      </w:r>
      <w:r w:rsidR="00D42D84" w:rsidRPr="00C042FF">
        <w:rPr>
          <w:rFonts w:ascii="Book Antiqua" w:hAnsi="Book Antiqua"/>
          <w:lang w:val="en-US"/>
        </w:rPr>
        <w:t xml:space="preserve">ymptoms such as abdominal pain </w:t>
      </w:r>
      <w:r w:rsidR="00975121" w:rsidRPr="00C042FF">
        <w:rPr>
          <w:rFonts w:ascii="Book Antiqua" w:hAnsi="Book Antiqua"/>
          <w:lang w:val="en-US"/>
        </w:rPr>
        <w:t xml:space="preserve">or </w:t>
      </w:r>
      <w:r w:rsidR="00D42D84" w:rsidRPr="00C042FF">
        <w:rPr>
          <w:rFonts w:ascii="Book Antiqua" w:hAnsi="Book Antiqua"/>
          <w:lang w:val="en-US"/>
        </w:rPr>
        <w:t>emesis</w:t>
      </w:r>
      <w:r w:rsidR="00975121" w:rsidRPr="00C042FF">
        <w:rPr>
          <w:rFonts w:ascii="Book Antiqua" w:hAnsi="Book Antiqua"/>
          <w:lang w:val="en-US"/>
        </w:rPr>
        <w:t xml:space="preserve"> occur</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{"citationItems":[{"id":"ITEM-1","itemData":{"DOI":"10.1016/j.dld.2014.10.019","ISSN":"1878-3562","PMID":"25464897","abstract":"BACKGROUND Low-volume bowel preparations have been shown to provide an equivalent cleansing effect as that of a standard 4 L polyethylene glycol. However, studies comparing the efficacy of low-volume bowel preparations are few, and the results have been controversial. This study aimed to compare the bowel cleansing quality and tolerability between sodium picosulfate/magnesium citrate and polyethylene glycol with ascorbic acid. METHODS A randomized study was performed with two hundred outpatients who were prospectively enrolled. The Boston Bowel Preparation Scale and the Aronchick scale were used to evaluate the bowel cleansing quality, and bubble scoring was also performed to back up both results. To investigate patients' preferences and tolerability, a questionnaire was administered. RESULTS Sodium picosulfate/magnesium citrate was not inferior to polyethylene glycol with ascorbic acid in terms of successful bowel preparation (≥ 6 Boston scale score: 80% vs. 82%; p = 0.718, adequate Aronchick grade: 93% vs. 96%; p = 0.352). In addition, sodium picosulfate/magnesium citrate caused fewer gastrointestinal symptoms, and tasted better than polyethylene glycol with ascorbic acid. CONCLUSIONS Sodium picosulfate/magnesium citrate was not inferior to polyethylene glycol with ascorbic acid in cleansing efficacy, and was found to have higher tolerability.","author":[{"dropping-particle":"","family":"Yoo","given":"In Kyung","non-dropping-particle":"","parse-names":false,"suffix":""},{"dropping-particle":"","family":"Lee","given":"Jong Soo","non-dropping-particle":"","parse-names":false,"suffix":""},{"dropping-particle":"","family":"Chun","given":"Hoon Jai","non-dropping-particle":"","parse-names":false,"suffix":""},{"dropping-particle":"","family":"Jeen","given":"Yoon Tae","non-dropping-particle":"","parse-names":false,"suffix":""},{"dropping-particle":"","family":"Keum","given":"Bora","non-dropping-particle":"","parse-names":false,"suffix":""},{"dropping-particle":"","family":"Kim","given":"Eun Sun","non-dropping-particle":"","parse-names":false,"suffix":""},{"dropping-particle":"","family":"Choi","given":"Hyuk Soon","non-dropping-particle":"","parse-names":false,"suffix":""},{"dropping-particle":"","family":"Lee","given":"Jae Min","non-dropping-particle":"","parse-names":false,"suffix":""},{"dropping-particle":"","family":"Kim","given":"Seung Han","non-dropping-particle":"","parse-names":false,"suffix":""},{"dropping-particle":"","family":"Nam","given":"Seung Joo","non-dropping-particle":"","parse-names":false,"suffix":""},{"dropping-particle":"","family":"Kang","given":"Hyo Sung","non-dropping-particle":"","parse-names":false,"suffix":""},{"dropping-particle":"","family":"Lee","given":"Hong Sik","non-dropping-particle":"","parse-names":false,"suffix":""},{"dropping-particle":"","family":"Kim","given":"Chang Duck","non-dropping-particle":"","parse-names":false,"suffix":""},{"dropping-particle":"","family":"Um","given":"Soon Ho","non-dropping-particle":"","parse-names":false,"suffix":""},{"dropping-particle":"","family":"Seo","given":"Yeon Seok","non-dropping-particle":"","parse-names":false,"suffix":""},{"dropping-particle":"","family":"Ryu","given":"Ho Sang","non-dropping-particle":"","parse-names":false,"suffix":""}],"container-title":"Digestive and liver disease : official journal of the Italian Society of Gastroenterology and the Italian Association for the Study of the Liver","id":"ITEM-1","issue":"2","issued":{"date-parts":[["2015","2"]]},"page":"131-7","title":"A randomized, prospective trial on efficacy and tolerability of low-volume bowel preparation methods for colonoscopy.","type":"article-journal","volume":"47"},"uris":["http://www.mendeley.com/documents/?uuid=540f8b5e-18c6-40a4-b2b1-9ee1e1399b8e"]}],"mendeley":{"formattedCitation":"&lt;sup&gt;[90]&lt;/sup&gt;","plainTextFormattedCitation":"[90]","previouslyFormattedCitation":"(90)"},"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rPr>
        <w:t>[</w:t>
      </w:r>
      <w:r w:rsidR="00320B98">
        <w:rPr>
          <w:rFonts w:ascii="Book Antiqua" w:hAnsi="Book Antiqua" w:hint="eastAsia"/>
          <w:bCs/>
          <w:noProof/>
          <w:vertAlign w:val="superscript"/>
          <w:lang w:eastAsia="zh-CN"/>
        </w:rPr>
        <w:t>89</w:t>
      </w:r>
      <w:r w:rsidR="008201F7" w:rsidRPr="00C042FF">
        <w:rPr>
          <w:rFonts w:ascii="Book Antiqua" w:hAnsi="Book Antiqua"/>
          <w:bCs/>
          <w:noProof/>
          <w:vertAlign w:val="superscript"/>
        </w:rPr>
        <w:t>]</w:t>
      </w:r>
      <w:r w:rsidR="001D2AD8" w:rsidRPr="00C042FF">
        <w:rPr>
          <w:rStyle w:val="FootnoteReference"/>
          <w:rFonts w:ascii="Book Antiqua" w:hAnsi="Book Antiqua"/>
          <w:lang w:val="en-US"/>
        </w:rPr>
        <w:fldChar w:fldCharType="end"/>
      </w:r>
      <w:r w:rsidR="00807ADD">
        <w:rPr>
          <w:rFonts w:ascii="Book Antiqua" w:hAnsi="Book Antiqua" w:hint="eastAsia"/>
          <w:lang w:val="en-US" w:eastAsia="zh-CN"/>
        </w:rPr>
        <w:t xml:space="preserve">; </w:t>
      </w:r>
      <w:r w:rsidR="00975121" w:rsidRPr="00C042FF">
        <w:rPr>
          <w:rFonts w:ascii="Book Antiqua" w:hAnsi="Book Antiqua"/>
          <w:lang w:val="en-US"/>
        </w:rPr>
        <w:t xml:space="preserve">For complete colonic obstruction, oral preparations are </w:t>
      </w:r>
      <w:r w:rsidR="006F53DB" w:rsidRPr="00C042FF">
        <w:rPr>
          <w:rFonts w:ascii="Book Antiqua" w:hAnsi="Book Antiqua"/>
          <w:lang w:val="en-US"/>
        </w:rPr>
        <w:t>contraindicated</w:t>
      </w:r>
      <w:r w:rsidR="00975121" w:rsidRPr="00C042FF">
        <w:rPr>
          <w:rFonts w:ascii="Book Antiqua" w:hAnsi="Book Antiqua"/>
          <w:lang w:val="en-US"/>
        </w:rPr>
        <w:t xml:space="preserve"> </w:t>
      </w:r>
      <w:r w:rsidR="006F53DB" w:rsidRPr="00C042FF">
        <w:rPr>
          <w:rFonts w:ascii="Book Antiqua" w:hAnsi="Book Antiqua"/>
          <w:lang w:val="en-US"/>
        </w:rPr>
        <w:t>due to high risk of</w:t>
      </w:r>
      <w:r w:rsidR="00975121" w:rsidRPr="00C042FF">
        <w:rPr>
          <w:rFonts w:ascii="Book Antiqua" w:hAnsi="Book Antiqua"/>
          <w:lang w:val="en-US"/>
        </w:rPr>
        <w:t xml:space="preserve"> perforation. Rectal water-soluble enemas </w:t>
      </w:r>
      <w:r w:rsidR="00D42D84" w:rsidRPr="00C042FF">
        <w:rPr>
          <w:rFonts w:ascii="Book Antiqua" w:hAnsi="Book Antiqua"/>
          <w:lang w:val="en-US"/>
        </w:rPr>
        <w:t>should</w:t>
      </w:r>
      <w:r w:rsidR="00E51E26" w:rsidRPr="00C042FF">
        <w:rPr>
          <w:rFonts w:ascii="Book Antiqua" w:hAnsi="Book Antiqua"/>
          <w:lang w:val="en-US"/>
        </w:rPr>
        <w:t xml:space="preserve"> </w:t>
      </w:r>
      <w:r w:rsidR="00D42D84" w:rsidRPr="00C042FF">
        <w:rPr>
          <w:rFonts w:ascii="Book Antiqua" w:hAnsi="Book Antiqua"/>
          <w:lang w:val="en-US"/>
        </w:rPr>
        <w:t>be consider</w:t>
      </w:r>
      <w:r w:rsidR="00975121" w:rsidRPr="00C042FF">
        <w:rPr>
          <w:rFonts w:ascii="Book Antiqua" w:hAnsi="Book Antiqua"/>
          <w:lang w:val="en-US"/>
        </w:rPr>
        <w:t>ed</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{"citationItems":[{"id":"ITEM-1","itemData":{"ISBN":"1609-722X (Electronic) 1022-5129 (Linking)","ISSN":"1609-722X","PMID":"28062864","abstract":"OBJECTIVES: The purpose of the present study is to compare intestinal preparation with mannitol and sodium picosulphate, assessing patient's acceptance, side effects and cleaning capacity. MATERIAL AND METHODS: This is a prospective, nom randomized, blind study, in which the evaluator had no information about the preparation applied. The sample obtained was divided into two groups according to the bowel preparation applied, with 153 patients prepared with 10% mannitol and 84 patients with sodium picosulfate. The evaluation of colon preparation was done using the Boston Scale (Boston Bowel Preparation Scale - BBP) through a three-point scoring system for each of the three regions of the colon: right, left and transverse colon. RESULTS: Of the 237 patients that were evaluated, 146 (61.60%) were female and 91 (38.4%) were male. Regarding the group that used mannitol, 98 were female (64.05%) and 55 were male (35.95%). Among the patients who used sodium picosulfate, 48 were female (57.14%) and 36 were male (42.86%), with no statistical differences between both groups (p&gt; 0.32). Considering that an adequate preparation scores &gt;/= 6 in the Boston Scale, the bowel cleansing preparation was satisfactory in both groups. 93% of the patients who used mannitol and 81% of the patients who used sodium picosulfate had adequate preparation (score of &gt;/= 6). Moreover, we consider that the average score in the preparation with Mannitol was 9, while the sodium picosulfate score was 7. There were no significant differences between the two groups. CONCLUSION: There is consensus among authors who state that colonoscopy's safety and success are highly related to the cleansing outcome, regardless of the method used. The same can be observed in the present study, on which both preparations were proved safe and effective for bowel cleansing, according to the Boston scale, as well as accepted by patients and free of complications.","author":[{"dropping-particle":"","family":"Moura","given":"D T","non-dropping-particle":"de","parse-names":false,"suffix":""},{"dropping-particle":"","family":"Guedes","given":"Hugo","non-dropping-particle":"","parse-names":false,"suffix":""},{"dropping-particle":"","family":"Tortoretto","given":"Verônica","non-dropping-particle":"","parse-names":false,"suffix":""},{"dropping-particle":"","family":"Arataque","given":"T P","non-dropping-particle":"","parse-names":false,"suffix":""},{"dropping-particle":"","family":"Moura","given":"E G","non-dropping-particle":"de","parse-names":false,"suffix":""},{"dropping-particle":"","family":"Roman","given":"J P","non-dropping-particle":"","parse-names":false,"suffix":""},{"dropping-particle":"","family":"Rodela","given":"G L","non-dropping-particle":"","parse-names":false,"suffix":""},{"dropping-particle":"LA","family":"Artifon","given":"Everson","non-dropping-particle":"","parse-names":false,"suffix":""}],"container-title":"Rev Gastroenterol Peru","id":"ITEM-1","issue":"4","issued":{"date-parts":[["2016"]]},"page":"293-297","title":"Comparison of colon-cleansing methods in preparation for colonoscopy-comparative of solutions of mannitol and sodium picosulfate","type":"article-journal","volume":"36"},"uris":["http://www.mendeley.com/documents/?uuid=f5b64842-db67-415d-9e2b-ad3900934627"]}],"mendeley":{"formattedCitation":"&lt;sup&gt;[91]&lt;/sup&gt;","plainTextFormattedCitation":"[91]","previouslyFormattedCitation":"(91)"},"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rPr>
        <w:t>[9</w:t>
      </w:r>
      <w:r w:rsidR="00320B98">
        <w:rPr>
          <w:rFonts w:ascii="Book Antiqua" w:hAnsi="Book Antiqua" w:hint="eastAsia"/>
          <w:bCs/>
          <w:noProof/>
          <w:vertAlign w:val="superscript"/>
          <w:lang w:eastAsia="zh-CN"/>
        </w:rPr>
        <w:t>0</w:t>
      </w:r>
      <w:r w:rsidR="008201F7" w:rsidRPr="00C042FF">
        <w:rPr>
          <w:rFonts w:ascii="Book Antiqua" w:hAnsi="Book Antiqua"/>
          <w:bCs/>
          <w:noProof/>
          <w:vertAlign w:val="superscript"/>
        </w:rPr>
        <w:t>]</w:t>
      </w:r>
      <w:r w:rsidR="001D2AD8" w:rsidRPr="00C042FF">
        <w:rPr>
          <w:rStyle w:val="FootnoteReference"/>
          <w:rFonts w:ascii="Book Antiqua" w:hAnsi="Book Antiqua"/>
          <w:lang w:val="en-US"/>
        </w:rPr>
        <w:fldChar w:fldCharType="end"/>
      </w:r>
      <w:r w:rsidR="00CC24C9" w:rsidRPr="00C042FF">
        <w:rPr>
          <w:rFonts w:ascii="Book Antiqua" w:hAnsi="Book Antiqua"/>
          <w:lang w:val="en-US"/>
        </w:rPr>
        <w:t>.</w:t>
      </w:r>
    </w:p>
    <w:p w14:paraId="5144E61C" w14:textId="77777777" w:rsidR="00807ADD" w:rsidRDefault="00807ADD" w:rsidP="00807ADD">
      <w:pPr>
        <w:spacing w:line="360" w:lineRule="auto"/>
        <w:jc w:val="both"/>
        <w:rPr>
          <w:rFonts w:ascii="Book Antiqua" w:hAnsi="Book Antiqua"/>
          <w:lang w:val="en-US" w:eastAsia="zh-CN"/>
        </w:rPr>
      </w:pPr>
    </w:p>
    <w:p w14:paraId="428ACD1E" w14:textId="2F9F48BE" w:rsidR="00807ADD" w:rsidRDefault="00926FEF" w:rsidP="00807ADD">
      <w:pPr>
        <w:spacing w:line="360" w:lineRule="auto"/>
        <w:jc w:val="both"/>
        <w:rPr>
          <w:rFonts w:ascii="Book Antiqua" w:hAnsi="Book Antiqua"/>
          <w:lang w:val="en-US" w:eastAsia="zh-CN"/>
        </w:rPr>
      </w:pPr>
      <w:r w:rsidRPr="00C042FF">
        <w:rPr>
          <w:rFonts w:ascii="Book Antiqua" w:hAnsi="Book Antiqua"/>
          <w:b/>
          <w:lang w:val="en-US"/>
        </w:rPr>
        <w:t>Us</w:t>
      </w:r>
      <w:r w:rsidR="00975121" w:rsidRPr="00C042FF">
        <w:rPr>
          <w:rFonts w:ascii="Book Antiqua" w:hAnsi="Book Antiqua"/>
          <w:b/>
          <w:lang w:val="en-US"/>
        </w:rPr>
        <w:t>e of pre-procedure antibiotics</w:t>
      </w:r>
      <w:r w:rsidR="00807ADD">
        <w:rPr>
          <w:rFonts w:ascii="Book Antiqua" w:hAnsi="Book Antiqua" w:hint="eastAsia"/>
          <w:b/>
          <w:lang w:val="en-US" w:eastAsia="zh-CN"/>
        </w:rPr>
        <w:t xml:space="preserve">: </w:t>
      </w:r>
      <w:r w:rsidR="00975121" w:rsidRPr="00C042FF">
        <w:rPr>
          <w:rFonts w:ascii="Book Antiqua" w:hAnsi="Book Antiqua"/>
          <w:lang w:val="en-US"/>
        </w:rPr>
        <w:t>Prophylaxis is not mandatory for patients undergoing stenting. However, in patients with complete obstruction, we suggest prophylaxis considering the risk of micro perforation and bacteremia during insufflation</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{"citationItems":[{"id":"ITEM-1","itemData":{"DOI":"10.1016/S0016-5107(98)70327-X","ISBN":"0016-5107 (Print)\\r0016-5107 (Linking)","ISSN":"00165107","PMID":"9540883","abstract":"BACKGROUND: Acute left-sided colonic obstruction is a surgical emergency whose management is controversial. Because experience using expandable metal stents for relief of this type of obstruction is limited, we evaluated their effectiveness, feasibility, safety, and outcome. METHODS: Twenty-five patients with acute colorectal obstruction underwent placement of various metal stents under fluoroscopic and endoscopic guidance. On an intent-to-treat basis, stents were placed for decompression before one-stage surgical resection in 10 patients and palliatively in 15 patients. Two preoperative patients had unresectable malignant disease, and stents were left for palliation resulting in 17 palliative and 10 preoperative patients for analysis. RESULTS: Stent placement was technically successful in 94% of patients. Overall effectiveness in relieving obstruction was 85% (palliative 82%, preoperative 90%). In the palliative group, stent duration ranged from 2 to 64 weeks (mean 17.3 weeks). Major complications occurred in 7 patients (30%). CONCLUSIONS: Expandable metal stents are a feasible, effective adjunct and alternative to surgery for acute colorectal obstruction.","author":[{"dropping-particle":"","family":"Baron","given":"Todd H.","non-dropping-particle":"","parse-names":false,"suffix":""},{"dropping-particle":"","family":"Dean","given":"Phillip A.","non-dropping-particle":"","parse-names":false,"suffix":""},{"dropping-particle":"","family":"Yates  3rd","given":"M R","non-dropping-particle":"","parse-names":false,"suffix":""},{"dropping-particle":"","family":"Canon","given":"Cheri","non-dropping-particle":"","parse-names":false,"suffix":""},{"dropping-particle":"","family":"Koehler","given":"Robert E.","non-dropping-particle":"","parse-names":false,"suffix":""},{"dropping-particle":"","family":"Yates","given":"Munford R.","non-dropping-particle":"","parse-names":false,"suffix":""},{"dropping-particle":"","family":"Canon","given":"Cheri","non-dropping-particle":"","parse-names":false,"suffix":""},{"dropping-particle":"","family":"Koehler","given":"Robert E.","non-dropping-particle":"","parse-names":false,"suffix":""}],"container-title":"Gastrointestinal Endoscopy","id":"ITEM-1","issue":"3","issued":{"date-parts":[["1998","3"]]},"page":"277-286","title":"Expandable metal stents for the treatment of colonic obstruction: techniques and outcomes","type":"article-journal","volume":"47"},"uris":["http://www.mendeley.com/documents/?uuid=667b63af-d510-49be-8fde-8d2f8b0a48a1"]},{"id":"ITEM-2","itemData":{"DOI":"10.1055/s-0034-1390700 T4 - European Society of Gastrointestinal Endoscopy (ESGE) Clinical Guideline PM - 25325682 M4 - Citavi","ISSN":"1438-8812","abstract":"This Guideline is an official statement of the European Society of Gastrointestinal Endoscopy (ESGE). This Guideline was also reviewed and endorsed by the Governing Board of the American Society for Gastrointestinal Endoscopy (ASGE). The Grading of Recommendations Assessment, Development, and Evaluation (GRADE) system was adopted to define the strength of recommendations and the quality of evidence. Main recommendations The following recommendations should only be applied after a thorough diagnostic evaluation including a contrast-enhanced computed tomography (CT) scan. 1 Prophylactic colonic stent placement is not recommended. Colonic stenting should be reserved for patients with clinical symptoms and imaging evidence of malignant large-bowel obstruction, without signs of perforation (strong recommendation, low quality evidence). 2 Colonic self-expandable metal stent (SEMS) placement as a bridge to elective surgery is not recommended as a standard treatment of symptomatic left-sided malignant colonic obstruction (strong recommendation, high quality evidence). 3 For patients with potentially curable but obstructing left-sided colonic cancer, stent placement may be considered as an alternative to emergency surgery in those who have an increased risk of postoperative mortality, I. e. American Society of Anesthesiologists (ASA) Physical Status ≥ III and/or age {&gt;} 70 years (weak recommendation, low quality evidence). 4 SEMS placement is recommended as the preferred treatment for palliation of malignant colonic obstruction (strong recommendation, high quality evidence), except in patients treated or considered for treatment with antiangiogenic drugs (e. g. bevacizumab) (strong recommendation, low quality evidence).","author":[{"dropping-particle":"","family":"Hooft","given":"J E","non-dropping-particle":"van","parse-names":false,"suffix":""},{"dropping-particle":"","family":"Halsema","given":"E E","non-dropping-particle":"van","parse-names":false,"suffix":""},{"dropping-particle":"","family":"Vanbiervliet","given":"G","non-dropping-particle":"","parse-names":false,"suffix":""},{"dropping-particle":"","family":"Beets-Tan","given":"R G","non-dropping-particle":"","parse-names":false,"suffix":""},{"dropping-particle":"","family":"DeWitt","given":"J M","non-dropping-particle":"","parse-names":false,"suffix":""},{"dropping-particle":"","family":"Donnellan","given":"F","non-dropping-particle":"","parse-names":false,"suffix":""},{"dropping-particle":"","family":"Dumonceau","given":"J M","non-dropping-particle":"","parse-names":false,"suffix":""},{"dropping-particle":"","family":"Glynne-Jones","given":"R G","non-dropping-particle":"","parse-names":false,"suffix":""},{"dropping-particle":"","family":"Hassan","given":"C","non-dropping-particle":"","parse-names":false,"suffix":""},{"dropping-particle":"","family":"Jiménez-Perez","given":"J","non-dropping-particle":"","parse-names":false,"suffix":""},{"dropping-particle":"","family":"Meisner","given":"S","non-dropping-particle":"","parse-names":false,"suffix":""},{"dropping-particle":"","family":"Muthusamy","given":"V R","non-dropping-particle":"","parse-names":false,"suffix":""},{"dropping-particle":"","family":"Parker","given":"M C","non-dropping-particle":"","parse-names":false,"suffix":""},{"dropping-particle":"","family":"Regimbeau","given":"J M","non-dropping-particle":"","parse-names":false,"suffix":""},{"dropping-particle":"","family":"Sabbagh","given":"C","non-dropping-particle":"","parse-names":false,"suffix":""},{"dropping-particle":"","family":"Sagar","given":"J","non-dropping-particle":"","parse-names":false,"suffix":""},{"dropping-particle":"","family":"Tanis","given":"P J","non-dropping-particle":"","parse-names":false,"suffix":""},{"dropping-particle":"","family":"Vandervoort","given":"J","non-dropping-particle":"","parse-names":false,"suffix":""},{"dropping-particle":"","family":"Webster","given":"G J","non-dropping-particle":"","parse-names":false,"suffix":""},{"dropping-particle":"","family":"Manes","given":"G","non-dropping-particle":"","parse-names":false,"suffix":""},{"dropping-particle":"","family":"Barthet","given":"M A","non-dropping-particle":"","parse-names":false,"suffix":""},{"dropping-particle":"","family":"Repici","given":"A","non-dropping-particle":"","parse-names":false,"suffix":""},{"dropping-particle":"","family":"Endoscopy","given":"European Society of Gastrointestinal","non-dropping-particle":"","parse-names":false,"suffix":""}],"container-title":"Endoscopy","id":"ITEM-2","issue":"11","issued":{"date-parts":[["2014"]]},"page":"990-1053","title":"Self-expandable metal stents for obstructing colonic and extracolonic cancer","type":"article-journal","volume":"46"},"uris":["http://www.mendeley.com/documents/?uuid=0add656d-4871-4974-a3a8-9d8832924d10"]}],"mendeley":{"formattedCitation":"&lt;sup&gt;[68,92]&lt;/sup&gt;","plainTextFormattedCitation":"[68,92]","previouslyFormattedCitation":"(68,92)"},"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[6</w:t>
      </w:r>
      <w:r w:rsidR="00320B98">
        <w:rPr>
          <w:rFonts w:ascii="Book Antiqua" w:hAnsi="Book Antiqua" w:hint="eastAsia"/>
          <w:bCs/>
          <w:noProof/>
          <w:vertAlign w:val="superscript"/>
          <w:lang w:val="en-US" w:eastAsia="zh-CN"/>
        </w:rPr>
        <w:t>2</w:t>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1</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0642E7" w:rsidRPr="00C042FF">
        <w:rPr>
          <w:rFonts w:ascii="Book Antiqua" w:hAnsi="Book Antiqua"/>
          <w:lang w:val="en-US"/>
        </w:rPr>
        <w:t>.</w:t>
      </w:r>
    </w:p>
    <w:p w14:paraId="312476F3" w14:textId="77777777" w:rsidR="00807ADD" w:rsidRDefault="00807ADD" w:rsidP="00807ADD">
      <w:pPr>
        <w:spacing w:line="360" w:lineRule="auto"/>
        <w:jc w:val="both"/>
        <w:rPr>
          <w:rFonts w:ascii="Book Antiqua" w:hAnsi="Book Antiqua"/>
          <w:lang w:val="en-US" w:eastAsia="zh-CN"/>
        </w:rPr>
      </w:pPr>
    </w:p>
    <w:p w14:paraId="3992425F" w14:textId="77777777" w:rsidR="00A52CA0" w:rsidRDefault="00A855A8" w:rsidP="00A52CA0">
      <w:pPr>
        <w:spacing w:line="360" w:lineRule="auto"/>
        <w:jc w:val="both"/>
        <w:rPr>
          <w:rFonts w:ascii="Book Antiqua" w:hAnsi="Book Antiqua"/>
          <w:lang w:val="en-US" w:eastAsia="zh-CN"/>
        </w:rPr>
      </w:pPr>
      <w:r w:rsidRPr="00C042FF">
        <w:rPr>
          <w:rFonts w:ascii="Book Antiqua" w:hAnsi="Book Antiqua"/>
          <w:b/>
          <w:lang w:val="en-US"/>
        </w:rPr>
        <w:t>Sedation</w:t>
      </w:r>
      <w:r w:rsidR="00807ADD">
        <w:rPr>
          <w:rFonts w:ascii="Book Antiqua" w:hAnsi="Book Antiqua" w:hint="eastAsia"/>
          <w:b/>
          <w:lang w:val="en-US" w:eastAsia="zh-CN"/>
        </w:rPr>
        <w:t xml:space="preserve">: </w:t>
      </w:r>
      <w:r w:rsidR="006B72E4" w:rsidRPr="00C042FF">
        <w:rPr>
          <w:rFonts w:ascii="Book Antiqua" w:hAnsi="Book Antiqua"/>
          <w:lang w:val="en-US"/>
        </w:rPr>
        <w:t xml:space="preserve">Lower endoscopic procedures can </w:t>
      </w:r>
      <w:r w:rsidR="00923B22" w:rsidRPr="00C042FF">
        <w:rPr>
          <w:rFonts w:ascii="Book Antiqua" w:hAnsi="Book Antiqua"/>
          <w:lang w:val="en-US"/>
        </w:rPr>
        <w:t xml:space="preserve">typically </w:t>
      </w:r>
      <w:r w:rsidR="006B72E4" w:rsidRPr="00C042FF">
        <w:rPr>
          <w:rFonts w:ascii="Book Antiqua" w:hAnsi="Book Antiqua"/>
          <w:lang w:val="en-US"/>
        </w:rPr>
        <w:t>be performed anywhere on the sedation spectrum,</w:t>
      </w:r>
      <w:r w:rsidR="00923B22" w:rsidRPr="00C042FF">
        <w:rPr>
          <w:rFonts w:ascii="Book Antiqua" w:hAnsi="Book Antiqua"/>
          <w:lang w:val="en-US"/>
        </w:rPr>
        <w:t xml:space="preserve"> </w:t>
      </w:r>
      <w:r w:rsidR="006B72E4" w:rsidRPr="00C042FF">
        <w:rPr>
          <w:rFonts w:ascii="Book Antiqua" w:hAnsi="Book Antiqua"/>
          <w:lang w:val="en-US"/>
        </w:rPr>
        <w:t>from sedation to general anesthesia.</w:t>
      </w:r>
      <w:r w:rsidR="001C21CF" w:rsidRPr="00C042FF">
        <w:rPr>
          <w:rFonts w:ascii="Book Antiqua" w:hAnsi="Book Antiqua"/>
          <w:lang w:val="en-US"/>
        </w:rPr>
        <w:t xml:space="preserve"> </w:t>
      </w:r>
      <w:r w:rsidR="006B72E4" w:rsidRPr="00C042FF">
        <w:rPr>
          <w:rFonts w:ascii="Book Antiqua" w:hAnsi="Book Antiqua"/>
          <w:lang w:val="en-US"/>
        </w:rPr>
        <w:t>However, this is not applied to patients who need to use a stent because they are in an obstructive emergency. General anesthesia with active airway management should be mainly performed to prevent</w:t>
      </w:r>
      <w:r w:rsidR="00923B22" w:rsidRPr="00C042FF">
        <w:rPr>
          <w:rFonts w:ascii="Book Antiqua" w:hAnsi="Book Antiqua"/>
          <w:lang w:val="en-US"/>
        </w:rPr>
        <w:t xml:space="preserve"> </w:t>
      </w:r>
      <w:proofErr w:type="spellStart"/>
      <w:r w:rsidR="00923B22" w:rsidRPr="00C042FF">
        <w:rPr>
          <w:rFonts w:ascii="Book Antiqua" w:hAnsi="Book Antiqua"/>
          <w:lang w:val="en-US"/>
        </w:rPr>
        <w:t>bronchoaspiration</w:t>
      </w:r>
      <w:proofErr w:type="spellEnd"/>
      <w:r w:rsidR="00923B22" w:rsidRPr="00C042FF">
        <w:rPr>
          <w:rFonts w:ascii="Book Antiqua" w:hAnsi="Book Antiqua"/>
          <w:lang w:val="en-US"/>
        </w:rPr>
        <w:t xml:space="preserve"> with feculent emesis</w:t>
      </w:r>
      <w:r w:rsidR="006B72E4" w:rsidRPr="00C042FF">
        <w:rPr>
          <w:rFonts w:ascii="Book Antiqua" w:hAnsi="Book Antiqua"/>
          <w:lang w:val="en-US"/>
        </w:rPr>
        <w:t xml:space="preserve"> for example and also does not move at the time of the procedure increasing the chance of perforation</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{"citationItems":[{"id":"ITEM-1","itemData":{"DOI":"10.1016/j.anclin.2017.08.007","ISSN":"19322275","author":[{"dropping-particle":"","family":"Trummel","given":"John Michael","non-dropping-particle":"","parse-names":false,"suffix":""},{"dropping-particle":"","family":"Chandrasekhara","given":"Vinay","non-dropping-particle":"","parse-names":false,"suffix":""},{"dropping-particle":"","family":"Kochman","given":"Michael L.","non-dropping-particle":"","parse-names":false,"suffix":""}],"container-title":"Anesthesiology Clinics","id":"ITEM-1","issue":"4","issued":{"date-parts":[["2017","12"]]},"page":"679-686","title":"Anesthesia for Colonoscopy and Lower Endoscopic Procedures","type":"article-journal","volume":"35"},"uris":["http://www.mendeley.com/documents/?uuid=6c6af094-064b-49f5-acd8-d7966c6861ac"]},{"id":"ITEM-2","itemData":{"DOI":"10.5217/ir.2017.15.4.456","ISSN":"1598-9100","PMID":"29142513","abstract":"Most gastrointestinal endoscopic procedures are now performed with sedation. Moderate sedation using benzodiazepines and opioids continue to be widely used, but propofol sedation is becoming more popular because its unique pharmacokinetic properties make endoscopy almost painless, with a very predictable and rapid recovery process. There is controversy as to whether propofol should be administered only by anesthesia professionals (monitored anesthesia care) or whether properly trained non-anesthesia personnel can use propofol safely via the modalities of nurse-administered propofol sedation, computer-assisted propofol sedation or nurse-administered continuous propofol sedation. The deployment of non-anesthesia administered propofol sedation for low-risk procedures allows for optimal allocation of scarce anesthesia resources, which can be more appropriately used for more complex cases. This can address some of the current shortages in anesthesia provider supply, and can potentially reduce overall health care costs without sacrificing sedation quality. This review will discuss efficacy, safety, efficiency, cost and satisfaction issues with various modes of sedation for non-advanced, non-emergent endoscopic procedures, mainly esophagogastroduodenoscopy and colonoscopy.","author":[{"dropping-particle":"","family":"Lin","given":"Otto S","non-dropping-particle":"","parse-names":false,"suffix":""}],"container-title":"Intestinal research","id":"ITEM-2","issue":"4","issued":{"date-parts":[["2017","10"]]},"page":"456-466","title":"Sedation for routine gastrointestinal endoscopic procedures: a review on efficacy, safety, efficiency, cost and satisfaction.","type":"article-journal","volume":"15"},"uris":["http://www.mendeley.com/documents/?uuid=f823cc06-ee52-4fc9-a634-fc603b699f55"]}],"mendeley":{"formattedCitation":"&lt;sup&gt;[93,94]&lt;/sup&gt;","plainTextFormattedCitation":"[93,94]","previouslyFormattedCitation":"(93,94)"},"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2</w:t>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3</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6B72E4" w:rsidRPr="00C042FF">
        <w:rPr>
          <w:rFonts w:ascii="Book Antiqua" w:hAnsi="Book Antiqua"/>
          <w:lang w:val="en-US"/>
        </w:rPr>
        <w:t>.</w:t>
      </w:r>
    </w:p>
    <w:p w14:paraId="677CEA94" w14:textId="77777777" w:rsidR="00A52CA0" w:rsidRDefault="00A52CA0" w:rsidP="00A52CA0">
      <w:pPr>
        <w:spacing w:line="360" w:lineRule="auto"/>
        <w:jc w:val="both"/>
        <w:rPr>
          <w:rFonts w:ascii="Book Antiqua" w:hAnsi="Book Antiqua"/>
          <w:lang w:val="en-US" w:eastAsia="zh-CN"/>
        </w:rPr>
      </w:pPr>
    </w:p>
    <w:p w14:paraId="02038964" w14:textId="3B091BD1" w:rsidR="00975121" w:rsidRPr="00A52CA0" w:rsidRDefault="00926FEF" w:rsidP="00A52CA0">
      <w:pPr>
        <w:spacing w:line="360" w:lineRule="auto"/>
        <w:jc w:val="both"/>
        <w:rPr>
          <w:rFonts w:ascii="Book Antiqua" w:hAnsi="Book Antiqua"/>
          <w:lang w:val="en-US" w:eastAsia="zh-CN"/>
        </w:rPr>
      </w:pPr>
      <w:r w:rsidRPr="00C042FF">
        <w:rPr>
          <w:rFonts w:ascii="Book Antiqua" w:hAnsi="Book Antiqua"/>
          <w:b/>
          <w:lang w:val="en-US"/>
        </w:rPr>
        <w:lastRenderedPageBreak/>
        <w:t>Proced</w:t>
      </w:r>
      <w:r w:rsidR="00975121" w:rsidRPr="00C042FF">
        <w:rPr>
          <w:rFonts w:ascii="Book Antiqua" w:hAnsi="Book Antiqua"/>
          <w:b/>
          <w:lang w:val="en-US"/>
        </w:rPr>
        <w:t>ure</w:t>
      </w:r>
      <w:r w:rsidR="00807ADD">
        <w:rPr>
          <w:rFonts w:ascii="Book Antiqua" w:hAnsi="Book Antiqua" w:hint="eastAsia"/>
          <w:b/>
          <w:lang w:val="en-US" w:eastAsia="zh-CN"/>
        </w:rPr>
        <w:t xml:space="preserve">: </w:t>
      </w:r>
      <w:r w:rsidR="009E6C52" w:rsidRPr="00C042FF">
        <w:rPr>
          <w:rFonts w:ascii="Book Antiqua" w:hAnsi="Book Antiqua"/>
          <w:lang w:val="en-US"/>
        </w:rPr>
        <w:t>Stents are always</w:t>
      </w:r>
      <w:r w:rsidR="00975121" w:rsidRPr="00C042FF">
        <w:rPr>
          <w:rFonts w:ascii="Book Antiqua" w:hAnsi="Book Antiqua"/>
          <w:lang w:val="en-US"/>
        </w:rPr>
        <w:t xml:space="preserve"> p</w:t>
      </w:r>
      <w:r w:rsidR="009E6C52" w:rsidRPr="00C042FF">
        <w:rPr>
          <w:rFonts w:ascii="Book Antiqua" w:hAnsi="Book Antiqua"/>
          <w:lang w:val="en-US"/>
        </w:rPr>
        <w:t xml:space="preserve">laced under endoscopic guidance </w:t>
      </w:r>
      <w:r w:rsidR="00975121" w:rsidRPr="00C042FF">
        <w:rPr>
          <w:rFonts w:ascii="Book Antiqua" w:hAnsi="Book Antiqua"/>
          <w:lang w:val="en-US"/>
        </w:rPr>
        <w:t>with the aid of fluoroscopy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id":"ITEM-2","itemData":{"DOI":"10.1016/j.gie.2013.07.015","ISSN":"00165107","author":[{"dropping-particle":"","family":"Kochar","given":"Rajan","non-dropping-particle":"","parse-names":false,"suffix":""},{"dropping-particle":"","family":"Shah","given":"Nimeesh","non-dropping-particle":"","parse-names":false,"suffix":""}],"container-title":"Gastrointestinal Endoscopy","id":"ITEM-2","issue":"6","issued":{"date-parts":[["2013","12"]]},"page":"913-918","title":"Enteral stents: from esophagus to colon","type":"article-journal","volume":"78"},"uris":["http://www.mendeley.com/documents/?uuid=76cb12d4-9c44-474c-982d-2aa668497420"]}],"mendeley":{"formattedCitation":"&lt;sup&gt;[62,95]&lt;/sup&gt;","plainTextFormattedCitation":"[62,95]","previouslyFormattedCitation":"(62,95)"},"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[62,9</w:t>
      </w:r>
      <w:r w:rsidR="00320B98">
        <w:rPr>
          <w:rFonts w:ascii="Book Antiqua" w:hAnsi="Book Antiqua" w:hint="eastAsia"/>
          <w:bCs/>
          <w:noProof/>
          <w:vertAlign w:val="superscript"/>
          <w:lang w:val="en-US" w:eastAsia="zh-CN"/>
        </w:rPr>
        <w:t>4</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065BD2" w:rsidRPr="00C042FF">
        <w:rPr>
          <w:rFonts w:ascii="Book Antiqua" w:hAnsi="Book Antiqua"/>
          <w:lang w:val="en-US"/>
        </w:rPr>
        <w:t xml:space="preserve"> </w:t>
      </w:r>
      <w:r w:rsidR="00065BD2" w:rsidRPr="00807ADD">
        <w:rPr>
          <w:rFonts w:ascii="Book Antiqua" w:hAnsi="Book Antiqua"/>
          <w:lang w:val="en-US"/>
        </w:rPr>
        <w:t>(Figure 4)</w:t>
      </w:r>
      <w:r w:rsidR="009E6C52" w:rsidRPr="00807ADD">
        <w:rPr>
          <w:rFonts w:ascii="Book Antiqua" w:hAnsi="Book Antiqua"/>
          <w:lang w:val="en-US"/>
        </w:rPr>
        <w:t xml:space="preserve">. </w:t>
      </w:r>
      <w:r w:rsidR="009E6C52" w:rsidRPr="00C042FF">
        <w:rPr>
          <w:rFonts w:ascii="Book Antiqua" w:hAnsi="Book Antiqua"/>
          <w:lang w:val="en-US"/>
        </w:rPr>
        <w:t>During colonoscopy, limited</w:t>
      </w:r>
      <w:r w:rsidR="00975121" w:rsidRPr="00C042FF">
        <w:rPr>
          <w:rFonts w:ascii="Book Antiqua" w:hAnsi="Book Antiqua"/>
          <w:lang w:val="en-US"/>
        </w:rPr>
        <w:t xml:space="preserve"> </w:t>
      </w:r>
      <w:r w:rsidR="009E6C52" w:rsidRPr="00C042FF">
        <w:rPr>
          <w:rFonts w:ascii="Book Antiqua" w:hAnsi="Book Antiqua"/>
          <w:lang w:val="en-US"/>
        </w:rPr>
        <w:t>insufflation</w:t>
      </w:r>
      <w:r w:rsidR="00975121" w:rsidRPr="00C042FF">
        <w:rPr>
          <w:rFonts w:ascii="Book Antiqua" w:hAnsi="Book Antiqua"/>
          <w:lang w:val="en-US"/>
        </w:rPr>
        <w:t xml:space="preserve"> should be used to minimize the risk of perforation due to the risk of a closed loop between the obstructive lesion and the ileocecal valve. The </w:t>
      </w:r>
      <w:r w:rsidR="009E6C52" w:rsidRPr="00C042FF">
        <w:rPr>
          <w:rFonts w:ascii="Book Antiqua" w:hAnsi="Book Antiqua"/>
          <w:lang w:val="en-US"/>
        </w:rPr>
        <w:t>use of</w:t>
      </w:r>
      <w:r w:rsidR="00975121" w:rsidRPr="00C042FF">
        <w:rPr>
          <w:rFonts w:ascii="Book Antiqua" w:hAnsi="Book Antiqua"/>
          <w:lang w:val="en-US"/>
        </w:rPr>
        <w:t xml:space="preserve"> carbon dioxide</w:t>
      </w:r>
      <w:r w:rsidR="009E6C52" w:rsidRPr="00C042FF">
        <w:rPr>
          <w:rFonts w:ascii="Book Antiqua" w:hAnsi="Book Antiqua"/>
          <w:lang w:val="en-US"/>
        </w:rPr>
        <w:t xml:space="preserve"> has largely supplanted air for this procedure</w:t>
      </w:r>
      <w:r w:rsidR="00975121" w:rsidRPr="00C042FF">
        <w:rPr>
          <w:rFonts w:ascii="Book Antiqua" w:hAnsi="Book Antiqua"/>
          <w:lang w:val="en-US"/>
        </w:rPr>
        <w:t xml:space="preserve">, </w:t>
      </w:r>
      <w:r w:rsidR="009E6C52" w:rsidRPr="00C042FF">
        <w:rPr>
          <w:rFonts w:ascii="Book Antiqua" w:hAnsi="Book Antiqua"/>
          <w:lang w:val="en-US"/>
        </w:rPr>
        <w:t>and most complex therapeutic cases</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{"citationItems":[{"id":"ITEM-1","itemData":{"DOI":"10.15226/2374-815X/4/4/00194","ISSN":"2374815X","abstract":"Objectives: The colorectal cancer is a common and lethal neoplasia. Colonoscopy detects diseases in the initial stages decreasing the mortality. Pain and abdominal discomfort are usual complaints associated mainly with the use of air insufflation. Carbon dioxide (CO2) is increasingly utilized to augment tolerance and disposition to repeat the examination. Compare which insufflation method is related to less unpleasant symptoms, safer examination and best performance are objectives of the study. Methods: Electronic databases were accessed selecting only randomized controlled trials comparing insufflation with CO2 and ambient air in colonoscopy. The evaluated outcomes were pain, abdominal distension and flatulence, cecal intubation rate, cecal intubation and total procedure time, volume of gas, CO2 measurement, and need of sedation or analgesia, and polyp detection rate. Results: Thirty randomized controlled trials were selected (4854 patients). Meta-analysis showed reduction in pain risk in the CO2 group immediately after the colonoscopy (Risk difference-RD 0.11[0.03, 0.19]), 1h (RD 0.29 [0.24, 0.34]), 3h (RD 0.22[0.11, 0.34]) and 6h (RD 0.21 [0.17, 0.26]) after colonoscopy. The reduction of flatulence risk 1h and 6h after the procedure was greater in CO2 group (RD 0.54 [0.43, 0.66] and RD 0.65[0.38,0.92], respectively). There were no significant differences between the two groups regarding pain during the procedure, pain and flatulence 24h after colonoscopy, abdominal bloating, request for medication, safety, gas volume, polyp detection rate, cecal intubation rate, time to cecum and total procedure time. Conclusions: CO2 insufflation improves tolerance to colonoscopy, reducing pain and flatulence out to 6 hours following the procedure.","author":[{"dropping-particle":"","family":"Coronel","given":"Martin","non-dropping-particle":"","parse-names":false,"suffix":""},{"dropping-particle":"","family":"Korkischko","given":"Nadia","non-dropping-particle":"","parse-names":false,"suffix":""},{"dropping-particle":"","family":"Marques Bernardo","given":"Wanderley","non-dropping-particle":"","parse-names":false,"suffix":""},{"dropping-particle":"","family":"Lordello Passos","given":"Marina","non-dropping-particle":"","parse-names":false,"suffix":""},{"dropping-particle":"","family":"Cavalheiro Bonifacio","given":"Priscilla","non-dropping-particle":"","parse-names":false,"suffix":""},{"dropping-particle":"","family":"Valente de Matos","given":"Mileine","non-dropping-particle":"","parse-names":false,"suffix":""},{"dropping-particle":"","family":"Moura","given":"Diogo Turiani Hourneaux","non-dropping-particle":"de","parse-names":false,"suffix":""},{"dropping-particle":"","family":"Ide","given":"Edson","non-dropping-particle":"","parse-names":false,"suffix":""}],"container-title":"Journal of Gastroenterology, Pancreatology &amp; Liver Disorders","id":"ITEM-1","issue":"April 2016","issued":{"date-parts":[["2017","5","14"]]},"page":"1-11","title":"Comparison between Carbon Dioxide and Air Insufflation in Colonoscopy: A Systematic Review and Meta-Analysis Based On Randomized Control Trials","type":"article-journal"},"uris":["http://www.mendeley.com/documents/?uuid=8ab0162e-dc03-4932-9b61-b710e131efd1"]}],"mendeley":{"formattedCitation":"&lt;sup&gt;[96]&lt;/sup&gt;","plainTextFormattedCitation":"[96]","previouslyFormattedCitation":"(96)"},"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5</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5D529A" w:rsidRPr="00C042FF">
        <w:rPr>
          <w:rFonts w:ascii="Book Antiqua" w:hAnsi="Book Antiqua"/>
          <w:lang w:val="en-US"/>
        </w:rPr>
        <w:t xml:space="preserve">. </w:t>
      </w:r>
      <w:r w:rsidR="00975121" w:rsidRPr="00C042FF">
        <w:rPr>
          <w:rFonts w:ascii="Book Antiqua" w:hAnsi="Book Antiqua"/>
          <w:lang w:val="en-US"/>
        </w:rPr>
        <w:t>A water-immersed colonoscopy is another technique that can be used to minimize bowel distention</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2018.07.020","ISSN":"00165107","author":[{"dropping-particle":"","family":"Cadoni","given":"Sergio","non-dropping-particle":"","parse-names":false,"suffix":""},{"dropping-particle":"","family":"Hassan","given":"Cesare","non-dropping-particle":"","parse-names":false,"suffix":""},{"dropping-particle":"","family":"Frazzoni","given":"Leonardo","non-dropping-particle":"","parse-names":false,"suffix":""},{"dropping-particle":"","family":"Ishaq","given":"Sauid","non-dropping-particle":"","parse-names":false,"suffix":""},{"dropping-particle":"","family":"Leung","given":"Felix W.","non-dropping-particle":"","parse-names":false,"suffix":""}],"container-title":"Gastrointestinal Endoscopy","id":"ITEM-1","issued":{"date-parts":[["2018","7"]]},"title":"Impact of water exchange colonoscopy on endoscopy room efficiency: a systematic review and meta-analysis","type":"article-journal"},"uris":["http://www.mendeley.com/documents/?uuid=85f61252-163f-4453-a0b9-587838bf1061"]}],"mendeley":{"formattedCitation":"&lt;sup&gt;[97]&lt;/sup&gt;","plainTextFormattedCitation":"[97]","previouslyFormattedCitation":"(97)"},"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[9</w:t>
      </w:r>
      <w:r w:rsidR="00320B98">
        <w:rPr>
          <w:rFonts w:ascii="Book Antiqua" w:hAnsi="Book Antiqua" w:hint="eastAsia"/>
          <w:noProof/>
          <w:vertAlign w:val="superscript"/>
          <w:lang w:val="en-US" w:eastAsia="zh-CN"/>
        </w:rPr>
        <w:t>6</w:t>
      </w:r>
      <w:r w:rsidR="008201F7" w:rsidRPr="00C042FF">
        <w:rPr>
          <w:rFonts w:ascii="Book Antiqua" w:hAnsi="Book Antiqua"/>
          <w:noProof/>
          <w:vertAlign w:val="superscript"/>
          <w:lang w:val="en-US"/>
        </w:rPr>
        <w:t>]</w:t>
      </w:r>
      <w:r w:rsidR="001D2AD8" w:rsidRPr="00C042FF">
        <w:rPr>
          <w:rStyle w:val="FootnoteReference"/>
          <w:rFonts w:ascii="Book Antiqua" w:hAnsi="Book Antiqua"/>
          <w:lang w:val="en-US"/>
        </w:rPr>
        <w:fldChar w:fldCharType="end"/>
      </w:r>
      <w:r w:rsidR="00975121" w:rsidRPr="00C042FF">
        <w:rPr>
          <w:rFonts w:ascii="Book Antiqua" w:hAnsi="Book Antiqua"/>
          <w:lang w:val="en-US"/>
        </w:rPr>
        <w:t>.</w:t>
      </w:r>
    </w:p>
    <w:p w14:paraId="5CBA6465" w14:textId="265DD6EF" w:rsidR="00975121" w:rsidRPr="00C042FF" w:rsidRDefault="00975121" w:rsidP="00807ADD">
      <w:pPr>
        <w:spacing w:line="360" w:lineRule="auto"/>
        <w:ind w:firstLineChars="100" w:firstLine="240"/>
        <w:jc w:val="both"/>
        <w:rPr>
          <w:rFonts w:ascii="Book Antiqua" w:hAnsi="Book Antiqua"/>
          <w:lang w:val="en-US"/>
        </w:rPr>
      </w:pPr>
      <w:r w:rsidRPr="00C042FF">
        <w:rPr>
          <w:rFonts w:ascii="Book Antiqua" w:hAnsi="Book Antiqua"/>
          <w:lang w:val="en-US"/>
        </w:rPr>
        <w:t>Upon reaching the lesion, an attempt can be made to cross</w:t>
      </w:r>
      <w:r w:rsidR="009F4D2F" w:rsidRPr="00C042FF">
        <w:rPr>
          <w:rFonts w:ascii="Book Antiqua" w:hAnsi="Book Antiqua"/>
          <w:lang w:val="en-US"/>
        </w:rPr>
        <w:t xml:space="preserve"> the stenosis with the endoscope. However, if the e</w:t>
      </w:r>
      <w:r w:rsidRPr="00C042FF">
        <w:rPr>
          <w:rFonts w:ascii="Book Antiqua" w:hAnsi="Book Antiqua"/>
          <w:lang w:val="en-US"/>
        </w:rPr>
        <w:t>n</w:t>
      </w:r>
      <w:r w:rsidR="009F4D2F" w:rsidRPr="00C042FF">
        <w:rPr>
          <w:rFonts w:ascii="Book Antiqua" w:hAnsi="Book Antiqua"/>
          <w:lang w:val="en-US"/>
        </w:rPr>
        <w:t>d</w:t>
      </w:r>
      <w:r w:rsidRPr="00C042FF">
        <w:rPr>
          <w:rFonts w:ascii="Book Antiqua" w:hAnsi="Book Antiqua"/>
          <w:lang w:val="en-US"/>
        </w:rPr>
        <w:t xml:space="preserve">oscope does not </w:t>
      </w:r>
      <w:r w:rsidR="009F4D2F" w:rsidRPr="00C042FF">
        <w:rPr>
          <w:rFonts w:ascii="Book Antiqua" w:hAnsi="Book Antiqua"/>
          <w:lang w:val="en-US"/>
        </w:rPr>
        <w:t xml:space="preserve">traverse </w:t>
      </w:r>
      <w:r w:rsidRPr="00C042FF">
        <w:rPr>
          <w:rFonts w:ascii="Book Antiqua" w:hAnsi="Book Antiqua"/>
          <w:lang w:val="en-US"/>
        </w:rPr>
        <w:t xml:space="preserve">through the </w:t>
      </w:r>
      <w:r w:rsidR="009F4D2F" w:rsidRPr="00C042FF">
        <w:rPr>
          <w:rFonts w:ascii="Book Antiqua" w:hAnsi="Book Antiqua"/>
          <w:lang w:val="en-US"/>
        </w:rPr>
        <w:t xml:space="preserve">obstruction easily, a 0.035-inch </w:t>
      </w:r>
      <w:r w:rsidRPr="00C042FF">
        <w:rPr>
          <w:rFonts w:ascii="Book Antiqua" w:hAnsi="Book Antiqua"/>
          <w:lang w:val="en-US"/>
        </w:rPr>
        <w:t>guidewire may be passed through stenosis under fluoroscopic guidance.</w:t>
      </w:r>
    </w:p>
    <w:p w14:paraId="3CF988BE" w14:textId="1C91F074" w:rsidR="00EB2530" w:rsidRPr="00C042FF" w:rsidRDefault="00975121" w:rsidP="00807ADD">
      <w:pPr>
        <w:spacing w:line="360" w:lineRule="auto"/>
        <w:ind w:firstLineChars="100" w:firstLine="240"/>
        <w:jc w:val="both"/>
        <w:rPr>
          <w:rFonts w:ascii="Book Antiqua" w:hAnsi="Book Antiqua"/>
          <w:lang w:val="en-US"/>
        </w:rPr>
      </w:pPr>
      <w:r w:rsidRPr="00C042FF">
        <w:rPr>
          <w:rFonts w:ascii="Book Antiqua" w:hAnsi="Book Antiqua"/>
          <w:lang w:val="en-US"/>
        </w:rPr>
        <w:t xml:space="preserve">The first </w:t>
      </w:r>
      <w:r w:rsidR="009F4D2F" w:rsidRPr="00C042FF">
        <w:rPr>
          <w:rFonts w:ascii="Book Antiqua" w:hAnsi="Book Antiqua"/>
          <w:lang w:val="en-US"/>
        </w:rPr>
        <w:t>RCT</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mendeley":{"formattedCitation":"&lt;sup&gt;[48]&lt;/sup&gt;","plainTextFormattedCitation":"[48]","previouslyFormattedCitation":"(48)"},"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[48]</w:t>
      </w:r>
      <w:r w:rsidR="001D2AD8" w:rsidRPr="00C042FF">
        <w:rPr>
          <w:rStyle w:val="FootnoteReference"/>
          <w:rFonts w:ascii="Book Antiqua" w:hAnsi="Book Antiqua"/>
        </w:rPr>
        <w:fldChar w:fldCharType="end"/>
      </w:r>
      <w:r w:rsidR="00874BAB" w:rsidRPr="00C042FF">
        <w:rPr>
          <w:rFonts w:ascii="Book Antiqua" w:hAnsi="Book Antiqua"/>
          <w:lang w:val="en-US"/>
        </w:rPr>
        <w:t xml:space="preserve"> </w:t>
      </w:r>
      <w:r w:rsidRPr="00C042FF">
        <w:rPr>
          <w:rFonts w:ascii="Book Antiqua" w:hAnsi="Book Antiqua"/>
          <w:lang w:val="en-US"/>
        </w:rPr>
        <w:t>comparing stent</w:t>
      </w:r>
      <w:r w:rsidR="009F4D2F" w:rsidRPr="00C042FF">
        <w:rPr>
          <w:rFonts w:ascii="Book Antiqua" w:hAnsi="Book Antiqua"/>
          <w:lang w:val="en-US"/>
        </w:rPr>
        <w:t>ing</w:t>
      </w:r>
      <w:r w:rsidRPr="00C042FF">
        <w:rPr>
          <w:rFonts w:ascii="Book Antiqua" w:hAnsi="Book Antiqua"/>
          <w:lang w:val="en-US"/>
        </w:rPr>
        <w:t xml:space="preserve"> versus </w:t>
      </w:r>
      <w:r w:rsidR="0029194A" w:rsidRPr="00C042FF">
        <w:rPr>
          <w:rFonts w:ascii="Book Antiqua" w:hAnsi="Book Antiqua"/>
          <w:lang w:val="en-US"/>
        </w:rPr>
        <w:t>ES</w:t>
      </w:r>
      <w:r w:rsidRPr="00C042FF">
        <w:rPr>
          <w:rFonts w:ascii="Book Antiqua" w:hAnsi="Book Antiqua"/>
          <w:lang w:val="en-US"/>
        </w:rPr>
        <w:t xml:space="preserve"> in p</w:t>
      </w:r>
      <w:r w:rsidR="009F4D2F" w:rsidRPr="00C042FF">
        <w:rPr>
          <w:rFonts w:ascii="Book Antiqua" w:hAnsi="Book Antiqua"/>
          <w:lang w:val="en-US"/>
        </w:rPr>
        <w:t>alliative patients included</w:t>
      </w:r>
      <w:r w:rsidRPr="00C042FF">
        <w:rPr>
          <w:rFonts w:ascii="Book Antiqua" w:hAnsi="Book Antiqua"/>
          <w:lang w:val="en-US"/>
        </w:rPr>
        <w:t xml:space="preserve"> balloon </w:t>
      </w:r>
      <w:r w:rsidR="009F4D2F" w:rsidRPr="00C042FF">
        <w:rPr>
          <w:rFonts w:ascii="Book Antiqua" w:hAnsi="Book Antiqua"/>
          <w:lang w:val="en-US"/>
        </w:rPr>
        <w:t xml:space="preserve">dilation of the </w:t>
      </w:r>
      <w:r w:rsidRPr="00C042FF">
        <w:rPr>
          <w:rFonts w:ascii="Book Antiqua" w:hAnsi="Book Antiqua"/>
          <w:lang w:val="en-US"/>
        </w:rPr>
        <w:t>stenosis</w:t>
      </w:r>
      <w:r w:rsidR="009F4D2F" w:rsidRPr="00C042FF">
        <w:rPr>
          <w:rFonts w:ascii="Book Antiqua" w:hAnsi="Book Antiqua"/>
          <w:lang w:val="en-US"/>
        </w:rPr>
        <w:t xml:space="preserve"> prior to stent placement,</w:t>
      </w:r>
      <w:r w:rsidRPr="00C042FF">
        <w:rPr>
          <w:rFonts w:ascii="Book Antiqua" w:hAnsi="Book Antiqua"/>
          <w:lang w:val="en-US"/>
        </w:rPr>
        <w:t xml:space="preserve"> </w:t>
      </w:r>
      <w:r w:rsidR="009F4D2F" w:rsidRPr="00C042FF">
        <w:rPr>
          <w:rFonts w:ascii="Book Antiqua" w:hAnsi="Book Antiqua"/>
          <w:lang w:val="en-US"/>
        </w:rPr>
        <w:t xml:space="preserve">which is no longer considered and acceptable practice. If endoscope passage through the stenosis is not possible, fluoroscopic guidance is preferred to balloon dilation as the </w:t>
      </w:r>
      <w:r w:rsidR="004C5F3A" w:rsidRPr="00C042FF">
        <w:rPr>
          <w:rFonts w:ascii="Book Antiqua" w:hAnsi="Book Antiqua"/>
          <w:lang w:val="en-US"/>
        </w:rPr>
        <w:t>latter</w:t>
      </w:r>
      <w:r w:rsidR="009F4D2F" w:rsidRPr="00C042FF">
        <w:rPr>
          <w:rFonts w:ascii="Book Antiqua" w:hAnsi="Book Antiqua"/>
          <w:lang w:val="en-US"/>
        </w:rPr>
        <w:t xml:space="preserve"> is associated wit</w:t>
      </w:r>
      <w:r w:rsidR="00807ADD">
        <w:rPr>
          <w:rFonts w:ascii="Book Antiqua" w:hAnsi="Book Antiqua"/>
          <w:lang w:val="en-US"/>
        </w:rPr>
        <w:t>h increased risk of perforation</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[8</w:t>
      </w:r>
      <w:r w:rsidR="00320B98">
        <w:rPr>
          <w:rFonts w:ascii="Book Antiqua" w:hAnsi="Book Antiqua" w:hint="eastAsia"/>
          <w:noProof/>
          <w:vertAlign w:val="superscript"/>
          <w:lang w:val="en-US" w:eastAsia="zh-CN"/>
        </w:rPr>
        <w:t>4</w:t>
      </w:r>
      <w:r w:rsidR="008201F7" w:rsidRPr="00C042FF">
        <w:rPr>
          <w:rFonts w:ascii="Book Antiqua" w:hAnsi="Book Antiqua"/>
          <w:noProof/>
          <w:vertAlign w:val="superscript"/>
          <w:lang w:val="en-US"/>
        </w:rPr>
        <w:t>]</w:t>
      </w:r>
      <w:r w:rsidR="001D2AD8" w:rsidRPr="00C042FF">
        <w:rPr>
          <w:rStyle w:val="FootnoteReference"/>
          <w:rFonts w:ascii="Book Antiqua" w:hAnsi="Book Antiqua"/>
        </w:rPr>
        <w:fldChar w:fldCharType="end"/>
      </w:r>
      <w:r w:rsidR="001102E7" w:rsidRPr="00C042FF">
        <w:rPr>
          <w:rFonts w:ascii="Book Antiqua" w:hAnsi="Book Antiqua"/>
          <w:lang w:val="en-US"/>
        </w:rPr>
        <w:t>.</w:t>
      </w:r>
    </w:p>
    <w:p w14:paraId="6AF02668" w14:textId="4075AC83" w:rsidR="00EB2530" w:rsidRPr="00C042FF" w:rsidRDefault="00491712" w:rsidP="00807ADD">
      <w:pPr>
        <w:spacing w:line="360" w:lineRule="auto"/>
        <w:ind w:firstLineChars="100" w:firstLine="240"/>
        <w:jc w:val="both"/>
        <w:rPr>
          <w:rFonts w:ascii="Book Antiqua" w:hAnsi="Book Antiqua"/>
          <w:lang w:val="en-US"/>
        </w:rPr>
      </w:pPr>
      <w:r w:rsidRPr="00C042FF">
        <w:rPr>
          <w:rFonts w:ascii="Book Antiqua" w:hAnsi="Book Antiqua"/>
          <w:lang w:val="en-US"/>
        </w:rPr>
        <w:t>After con</w:t>
      </w:r>
      <w:r w:rsidR="00437D47" w:rsidRPr="00C042FF">
        <w:rPr>
          <w:rFonts w:ascii="Book Antiqua" w:hAnsi="Book Antiqua"/>
          <w:lang w:val="en-US"/>
        </w:rPr>
        <w:t>firming the length of stenosis</w:t>
      </w:r>
      <w:r w:rsidRPr="00C042FF">
        <w:rPr>
          <w:rFonts w:ascii="Book Antiqua" w:hAnsi="Book Antiqua"/>
          <w:lang w:val="en-US"/>
        </w:rPr>
        <w:t xml:space="preserve">, either through the passage of the endoscope or with contrast injection under </w:t>
      </w:r>
      <w:r w:rsidR="00437D47" w:rsidRPr="00C042FF">
        <w:rPr>
          <w:rFonts w:ascii="Book Antiqua" w:hAnsi="Book Antiqua"/>
          <w:lang w:val="en-US"/>
        </w:rPr>
        <w:t xml:space="preserve">fluoroscopic guidance, technique of stent placement </w:t>
      </w:r>
      <w:r w:rsidRPr="00C042FF">
        <w:rPr>
          <w:rFonts w:ascii="Book Antiqua" w:hAnsi="Book Antiqua"/>
          <w:lang w:val="en-US"/>
        </w:rPr>
        <w:t>de</w:t>
      </w:r>
      <w:r w:rsidR="00437D47" w:rsidRPr="00C042FF">
        <w:rPr>
          <w:rFonts w:ascii="Book Antiqua" w:hAnsi="Book Antiqua"/>
          <w:lang w:val="en-US"/>
        </w:rPr>
        <w:t>pends on the type</w:t>
      </w:r>
      <w:r w:rsidRPr="00C042FF">
        <w:rPr>
          <w:rFonts w:ascii="Book Antiqua" w:hAnsi="Book Antiqua"/>
          <w:lang w:val="en-US"/>
        </w:rPr>
        <w:t xml:space="preserve"> </w:t>
      </w:r>
      <w:r w:rsidR="00437D47" w:rsidRPr="00C042FF">
        <w:rPr>
          <w:rFonts w:ascii="Book Antiqua" w:hAnsi="Book Antiqua"/>
          <w:lang w:val="en-US"/>
        </w:rPr>
        <w:t xml:space="preserve">of stent being </w:t>
      </w:r>
      <w:r w:rsidRPr="00C042FF">
        <w:rPr>
          <w:rFonts w:ascii="Book Antiqua" w:hAnsi="Book Antiqua"/>
          <w:lang w:val="en-US"/>
        </w:rPr>
        <w:t>used</w:t>
      </w:r>
      <w:r w:rsidR="0082151F" w:rsidRPr="00C042FF">
        <w:rPr>
          <w:rFonts w:ascii="Book Antiqua" w:hAnsi="Book Antiqua"/>
          <w:lang w:val="en-US"/>
        </w:rPr>
        <w:t>.</w:t>
      </w:r>
    </w:p>
    <w:p w14:paraId="17B386E7" w14:textId="77777777" w:rsidR="00543895" w:rsidRPr="00C042FF" w:rsidRDefault="00543895" w:rsidP="003E14C8">
      <w:pPr>
        <w:spacing w:line="360" w:lineRule="auto"/>
        <w:jc w:val="both"/>
        <w:rPr>
          <w:rFonts w:ascii="Book Antiqua" w:hAnsi="Book Antiqua"/>
          <w:b/>
          <w:lang w:val="en-US" w:eastAsia="zh-CN"/>
        </w:rPr>
      </w:pPr>
    </w:p>
    <w:p w14:paraId="28D7130C" w14:textId="1BFF814D" w:rsidR="00322D1B" w:rsidRPr="00C042FF" w:rsidRDefault="00807ADD" w:rsidP="003E14C8">
      <w:pPr>
        <w:spacing w:line="360" w:lineRule="auto"/>
        <w:jc w:val="both"/>
        <w:rPr>
          <w:rFonts w:ascii="Book Antiqua" w:hAnsi="Book Antiqua"/>
          <w:b/>
          <w:i/>
          <w:lang w:val="en-US" w:eastAsia="zh-CN"/>
        </w:rPr>
      </w:pPr>
      <w:r>
        <w:rPr>
          <w:rFonts w:ascii="Book Antiqua" w:hAnsi="Book Antiqua"/>
          <w:b/>
          <w:i/>
          <w:lang w:val="en-US"/>
        </w:rPr>
        <w:t>TTS</w:t>
      </w:r>
    </w:p>
    <w:p w14:paraId="029FA244" w14:textId="77777777" w:rsidR="00C0706B" w:rsidRPr="00C042FF" w:rsidRDefault="0000134C" w:rsidP="003E14C8">
      <w:pPr>
        <w:spacing w:line="360" w:lineRule="auto"/>
        <w:jc w:val="both"/>
        <w:rPr>
          <w:rFonts w:ascii="Book Antiqua" w:hAnsi="Book Antiqua"/>
          <w:lang w:val="en-US"/>
        </w:rPr>
      </w:pPr>
      <w:r w:rsidRPr="00C042FF">
        <w:rPr>
          <w:rFonts w:ascii="Book Antiqua" w:hAnsi="Book Antiqua"/>
          <w:lang w:val="en-US"/>
        </w:rPr>
        <w:t>For this method, a therape</w:t>
      </w:r>
      <w:r w:rsidR="003213E6" w:rsidRPr="00C042FF">
        <w:rPr>
          <w:rFonts w:ascii="Book Antiqua" w:hAnsi="Book Antiqua"/>
          <w:lang w:val="en-US"/>
        </w:rPr>
        <w:t>utic endoscope is needed to introduce</w:t>
      </w:r>
      <w:r w:rsidRPr="00C042FF">
        <w:rPr>
          <w:rFonts w:ascii="Book Antiqua" w:hAnsi="Book Antiqua"/>
          <w:lang w:val="en-US"/>
        </w:rPr>
        <w:t xml:space="preserve"> the stent through the working channel</w:t>
      </w:r>
      <w:r w:rsidR="00065BD2" w:rsidRPr="00C042FF">
        <w:rPr>
          <w:rFonts w:ascii="Book Antiqua" w:hAnsi="Book Antiqua"/>
          <w:lang w:val="en-US"/>
        </w:rPr>
        <w:t xml:space="preserve"> </w:t>
      </w:r>
      <w:r w:rsidR="00065BD2" w:rsidRPr="00807ADD">
        <w:rPr>
          <w:rFonts w:ascii="Book Antiqua" w:hAnsi="Book Antiqua"/>
          <w:lang w:val="en-US"/>
        </w:rPr>
        <w:t>(Figure 5)</w:t>
      </w:r>
      <w:r w:rsidRPr="00807ADD">
        <w:rPr>
          <w:rFonts w:ascii="Book Antiqua" w:hAnsi="Book Antiqua"/>
          <w:lang w:val="en-US"/>
        </w:rPr>
        <w:t>.</w:t>
      </w:r>
      <w:r w:rsidRPr="00C042FF">
        <w:rPr>
          <w:rFonts w:ascii="Book Antiqua" w:hAnsi="Book Antiqua"/>
          <w:lang w:val="en-US"/>
        </w:rPr>
        <w:t xml:space="preserve"> </w:t>
      </w:r>
      <w:r w:rsidR="00AC696F" w:rsidRPr="00C042FF">
        <w:rPr>
          <w:rFonts w:ascii="Book Antiqua" w:hAnsi="Book Antiqua"/>
          <w:lang w:val="en-US"/>
        </w:rPr>
        <w:t>If the s</w:t>
      </w:r>
      <w:r w:rsidR="009A46C0" w:rsidRPr="00C042FF">
        <w:rPr>
          <w:rFonts w:ascii="Book Antiqua" w:hAnsi="Book Antiqua"/>
          <w:lang w:val="en-US"/>
        </w:rPr>
        <w:t>tenosis can</w:t>
      </w:r>
      <w:r w:rsidR="00AC696F" w:rsidRPr="00C042FF">
        <w:rPr>
          <w:rFonts w:ascii="Book Antiqua" w:hAnsi="Book Antiqua"/>
          <w:lang w:val="en-US"/>
        </w:rPr>
        <w:t xml:space="preserve">not be traversed, contrast injection helps to delineate the stenosis and </w:t>
      </w:r>
      <w:r w:rsidR="009A46C0" w:rsidRPr="00C042FF">
        <w:rPr>
          <w:rFonts w:ascii="Book Antiqua" w:hAnsi="Book Antiqua"/>
          <w:lang w:val="en-US"/>
        </w:rPr>
        <w:t xml:space="preserve">to </w:t>
      </w:r>
      <w:r w:rsidR="00AC696F" w:rsidRPr="00C042FF">
        <w:rPr>
          <w:rFonts w:ascii="Book Antiqua" w:hAnsi="Book Antiqua"/>
          <w:lang w:val="en-US"/>
        </w:rPr>
        <w:t xml:space="preserve">confirm guidewire placement </w:t>
      </w:r>
      <w:r w:rsidR="009A46C0" w:rsidRPr="00C042FF">
        <w:rPr>
          <w:rFonts w:ascii="Book Antiqua" w:hAnsi="Book Antiqua"/>
          <w:lang w:val="en-US"/>
        </w:rPr>
        <w:t xml:space="preserve">trough the stenosis </w:t>
      </w:r>
      <w:r w:rsidR="00AC696F" w:rsidRPr="00C042FF">
        <w:rPr>
          <w:rFonts w:ascii="Book Antiqua" w:hAnsi="Book Antiqua"/>
          <w:lang w:val="en-US"/>
        </w:rPr>
        <w:t xml:space="preserve">under fluoroscopy. </w:t>
      </w:r>
    </w:p>
    <w:p w14:paraId="2043BB5A" w14:textId="3EADF85E" w:rsidR="00C0706B" w:rsidRPr="00C042FF" w:rsidRDefault="0000134C" w:rsidP="00807ADD">
      <w:pPr>
        <w:spacing w:line="360" w:lineRule="auto"/>
        <w:ind w:firstLineChars="100" w:firstLine="240"/>
        <w:jc w:val="both"/>
        <w:rPr>
          <w:rFonts w:ascii="Book Antiqua" w:hAnsi="Book Antiqua"/>
          <w:b/>
          <w:lang w:val="en-US"/>
        </w:rPr>
      </w:pPr>
      <w:r w:rsidRPr="00C042FF">
        <w:rPr>
          <w:rFonts w:ascii="Book Antiqua" w:hAnsi="Book Antiqua"/>
          <w:lang w:val="en-US"/>
        </w:rPr>
        <w:t>The stent is then passed over the guidewire to</w:t>
      </w:r>
      <w:r w:rsidR="00AC696F" w:rsidRPr="00C042FF">
        <w:rPr>
          <w:rFonts w:ascii="Book Antiqua" w:hAnsi="Book Antiqua"/>
          <w:lang w:val="en-US"/>
        </w:rPr>
        <w:t xml:space="preserve"> t</w:t>
      </w:r>
      <w:r w:rsidR="008A16F3" w:rsidRPr="00C042FF">
        <w:rPr>
          <w:rFonts w:ascii="Book Antiqua" w:hAnsi="Book Antiqua"/>
          <w:lang w:val="en-US"/>
        </w:rPr>
        <w:t>he proximal margin</w:t>
      </w:r>
      <w:r w:rsidR="00AC696F" w:rsidRPr="00C042FF">
        <w:rPr>
          <w:rFonts w:ascii="Book Antiqua" w:hAnsi="Book Antiqua"/>
          <w:lang w:val="en-US"/>
        </w:rPr>
        <w:t xml:space="preserve"> of the tumor and </w:t>
      </w:r>
      <w:r w:rsidRPr="00C042FF">
        <w:rPr>
          <w:rFonts w:ascii="Book Antiqua" w:hAnsi="Book Antiqua"/>
          <w:lang w:val="en-US"/>
        </w:rPr>
        <w:t>then implanted unde</w:t>
      </w:r>
      <w:r w:rsidR="00AC696F" w:rsidRPr="00C042FF">
        <w:rPr>
          <w:rFonts w:ascii="Book Antiqua" w:hAnsi="Book Antiqua"/>
          <w:lang w:val="en-US"/>
        </w:rPr>
        <w:t>r fluoroscopic guidance and</w:t>
      </w:r>
      <w:r w:rsidRPr="00C042FF">
        <w:rPr>
          <w:rFonts w:ascii="Book Antiqua" w:hAnsi="Book Antiqua"/>
          <w:lang w:val="en-US"/>
        </w:rPr>
        <w:t xml:space="preserve"> endoscopic visualization of the distal </w:t>
      </w:r>
      <w:r w:rsidR="00AC696F" w:rsidRPr="00C042FF">
        <w:rPr>
          <w:rFonts w:ascii="Book Antiqua" w:hAnsi="Book Antiqua"/>
          <w:lang w:val="en-US"/>
        </w:rPr>
        <w:t>portion</w:t>
      </w:r>
      <w:r w:rsidRPr="00C042FF">
        <w:rPr>
          <w:rFonts w:ascii="Book Antiqua" w:hAnsi="Book Antiqua"/>
          <w:lang w:val="en-US"/>
        </w:rPr>
        <w:t xml:space="preserve"> of the stent. </w:t>
      </w:r>
      <w:r w:rsidR="0008511A" w:rsidRPr="00C042FF">
        <w:rPr>
          <w:rFonts w:ascii="Book Antiqua" w:hAnsi="Book Antiqua"/>
          <w:lang w:val="en-US"/>
        </w:rPr>
        <w:t>Each end</w:t>
      </w:r>
      <w:r w:rsidR="00AC696F" w:rsidRPr="00C042FF">
        <w:rPr>
          <w:rFonts w:ascii="Book Antiqua" w:hAnsi="Book Antiqua"/>
          <w:lang w:val="en-US"/>
        </w:rPr>
        <w:t xml:space="preserve"> of the stent</w:t>
      </w:r>
      <w:r w:rsidR="0008511A" w:rsidRPr="00C042FF">
        <w:rPr>
          <w:rFonts w:ascii="Book Antiqua" w:hAnsi="Book Antiqua"/>
          <w:lang w:val="en-US"/>
        </w:rPr>
        <w:t xml:space="preserve"> must be at least 2 cm longer than the stenosis (4 cm of safety margin), </w:t>
      </w:r>
      <w:r w:rsidR="00AC696F" w:rsidRPr="00C042FF">
        <w:rPr>
          <w:rFonts w:ascii="Book Antiqua" w:hAnsi="Book Antiqua"/>
          <w:lang w:val="en-US"/>
        </w:rPr>
        <w:t xml:space="preserve">as these </w:t>
      </w:r>
      <w:r w:rsidR="0008511A" w:rsidRPr="00C042FF">
        <w:rPr>
          <w:rFonts w:ascii="Book Antiqua" w:hAnsi="Book Antiqua"/>
          <w:lang w:val="en-US"/>
        </w:rPr>
        <w:t xml:space="preserve">stents </w:t>
      </w:r>
      <w:r w:rsidR="00AC696F" w:rsidRPr="00C042FF">
        <w:rPr>
          <w:rFonts w:ascii="Book Antiqua" w:hAnsi="Book Antiqua"/>
          <w:lang w:val="en-US"/>
        </w:rPr>
        <w:t xml:space="preserve">typically </w:t>
      </w:r>
      <w:r w:rsidR="0008511A" w:rsidRPr="00C042FF">
        <w:rPr>
          <w:rFonts w:ascii="Book Antiqua" w:hAnsi="Book Antiqua"/>
          <w:lang w:val="en-US"/>
        </w:rPr>
        <w:t xml:space="preserve">shorten </w:t>
      </w:r>
      <w:r w:rsidR="00AC696F" w:rsidRPr="00C042FF">
        <w:rPr>
          <w:rFonts w:ascii="Book Antiqua" w:hAnsi="Book Antiqua"/>
          <w:lang w:val="en-US"/>
        </w:rPr>
        <w:t xml:space="preserve">after </w:t>
      </w:r>
      <w:r w:rsidR="0008511A" w:rsidRPr="00C042FF">
        <w:rPr>
          <w:rFonts w:ascii="Book Antiqua" w:hAnsi="Book Antiqua"/>
          <w:lang w:val="en-US"/>
        </w:rPr>
        <w:t>depl</w:t>
      </w:r>
      <w:r w:rsidR="008A16F3" w:rsidRPr="00C042FF">
        <w:rPr>
          <w:rFonts w:ascii="Book Antiqua" w:hAnsi="Book Antiqua"/>
          <w:lang w:val="en-US"/>
        </w:rPr>
        <w:t>oyment and expansion</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{"citationItems":[{"id":"ITEM-1","itemData":{"DOI":"10.1016/j.gie.2011.12.023","ISSN":"00165107","author":[{"dropping-particle":"","family":"Samadder","given":"N. Jewel","non-dropping-particle":"","parse-names":false,"suffix":""},{"dropping-particle":"","family":"Bonin","given":"Eduardo A.","non-dropping-particle":"","parse-names":false,"suffix":""},{"dropping-particle":"","family":"Buttar","given":"Navtej S.","non-dropping-particle":"","parse-names":false,"suffix":""},{"dropping-particle":"","family":"Baron","given":"Todd H.","non-dropping-particle":"","parse-names":false,"suffix":""},{"dropping-particle":"","family":"Gostout","given":"Christopher J.","non-dropping-particle":"","parse-names":false,"suffix":""},{"dropping-particle":"","family":"Topazian","given":"Mark D.","non-dropping-particle":"","parse-names":false,"suffix":""},{"dropping-particle":"","family":"Wong Kee Song","given":"Louis-Michel","non-dropping-particle":"","parse-names":false,"suffix":""}],"container-title":"Gastrointestinal Endoscopy","id":"ITEM-1","issue":"6","issued":{"date-parts":[["2012","12"]]},"page":"1275-1277","title":"Placement of a covered stent for palliation of a cavitated colon cancer by using a novel over-the-scope technique (with video)","type":"article-journal","volume":"76"},"uris":["http://www.mendeley.com/documents/?uuid=f32b9cda-1aed-49c0-b562-0436e7c4929e"]},{"id":"ITEM-2","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-2","issued":{"date-parts":[["2014"]]},"page":"990-1002","title":"European Society of Gastrointestinal Endoscopy Clinical Guideline : Self-expandable metal stents for obstructing colonic and extra-colonic cancer","type":"article-journal"},"uris":["http://www.mendeley.com/documents/?uuid=2f926dd0-7e7a-4ae1-bb2a-994ab4e3e128"]},{"id":"ITEM-3","itemData":{"ISSN":"01209957","abstract":"Técnicas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Gastroenterologia","id":"ITEM-3","issue":"1","issued":{"date-parts":[["2012"]]},"title":"Tecnicas en stents gastrointestinales endoscopicos: cómo, cuándo, manejo de complicaciones, selección del stent y costos","type":"article-journal","volume":"27"},"uris":["http://www.mendeley.com/documents/?uuid=e7a5f907-79d3-4c29-9acd-d146106410da"]}],"mendeley":{"formattedCitation":"&lt;sup&gt;[62,86,98]&lt;/sup&gt;","plainTextFormattedCitation":"[62,86,98]","previouslyFormattedCitation":"(62,86,98)"},"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[62,8</w:t>
      </w:r>
      <w:r w:rsidR="00320B98">
        <w:rPr>
          <w:rFonts w:ascii="Book Antiqua" w:hAnsi="Book Antiqua" w:hint="eastAsia"/>
          <w:bCs/>
          <w:noProof/>
          <w:vertAlign w:val="superscript"/>
          <w:lang w:val="en-US" w:eastAsia="zh-CN"/>
        </w:rPr>
        <w:t>5</w:t>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7</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065BD2" w:rsidRPr="00C042FF">
        <w:rPr>
          <w:rFonts w:ascii="Book Antiqua" w:hAnsi="Book Antiqua"/>
          <w:lang w:val="en-US"/>
        </w:rPr>
        <w:t xml:space="preserve"> </w:t>
      </w:r>
      <w:r w:rsidR="00065BD2" w:rsidRPr="00807ADD">
        <w:rPr>
          <w:rFonts w:ascii="Book Antiqua" w:hAnsi="Book Antiqua"/>
          <w:lang w:val="en-US"/>
        </w:rPr>
        <w:t>(Figure 6).</w:t>
      </w:r>
    </w:p>
    <w:p w14:paraId="53C0F9C8" w14:textId="3623DC6B" w:rsidR="0008511A" w:rsidRPr="00C042FF" w:rsidRDefault="00AC696F" w:rsidP="00807ADD">
      <w:pPr>
        <w:spacing w:line="360" w:lineRule="auto"/>
        <w:ind w:firstLineChars="100" w:firstLine="240"/>
        <w:jc w:val="both"/>
        <w:rPr>
          <w:rFonts w:ascii="Book Antiqua" w:hAnsi="Book Antiqua"/>
          <w:lang w:val="en-US"/>
        </w:rPr>
      </w:pPr>
      <w:r w:rsidRPr="00C042FF">
        <w:rPr>
          <w:rFonts w:ascii="Book Antiqua" w:hAnsi="Book Antiqua"/>
          <w:lang w:val="en-US"/>
        </w:rPr>
        <w:lastRenderedPageBreak/>
        <w:t>To prevent migration, it is</w:t>
      </w:r>
      <w:r w:rsidR="0008511A" w:rsidRPr="00C042FF">
        <w:rPr>
          <w:rFonts w:ascii="Book Antiqua" w:hAnsi="Book Antiqua"/>
          <w:lang w:val="en-US"/>
        </w:rPr>
        <w:t xml:space="preserve"> not recommended that the endoscope be passed through the stent once the stent is placed, although endoscopic/fluoroscopic </w:t>
      </w:r>
      <w:r w:rsidRPr="00C042FF">
        <w:rPr>
          <w:rFonts w:ascii="Book Antiqua" w:hAnsi="Book Antiqua"/>
          <w:lang w:val="en-US"/>
        </w:rPr>
        <w:t>visualization</w:t>
      </w:r>
      <w:r w:rsidR="009A46C0" w:rsidRPr="00C042FF">
        <w:rPr>
          <w:rFonts w:ascii="Book Antiqua" w:hAnsi="Book Antiqua"/>
          <w:lang w:val="en-US"/>
        </w:rPr>
        <w:t xml:space="preserve"> should</w:t>
      </w:r>
      <w:r w:rsidR="0008511A" w:rsidRPr="00C042FF">
        <w:rPr>
          <w:rFonts w:ascii="Book Antiqua" w:hAnsi="Book Antiqua"/>
          <w:lang w:val="en-US"/>
        </w:rPr>
        <w:t xml:space="preserve"> be used to rule out early complications.</w:t>
      </w:r>
    </w:p>
    <w:p w14:paraId="1CED9BCC" w14:textId="77777777" w:rsidR="00122A6C" w:rsidRPr="00C042FF" w:rsidRDefault="00122A6C" w:rsidP="003E14C8">
      <w:pPr>
        <w:spacing w:line="360" w:lineRule="auto"/>
        <w:jc w:val="both"/>
        <w:rPr>
          <w:rFonts w:ascii="Book Antiqua" w:hAnsi="Book Antiqua"/>
          <w:lang w:val="en-US"/>
        </w:rPr>
      </w:pPr>
    </w:p>
    <w:p w14:paraId="4AE3CFE1" w14:textId="790F1B96" w:rsidR="003311A4" w:rsidRPr="00C042FF" w:rsidRDefault="00807ADD" w:rsidP="003E14C8">
      <w:pPr>
        <w:spacing w:line="360" w:lineRule="auto"/>
        <w:jc w:val="both"/>
        <w:rPr>
          <w:rFonts w:ascii="Book Antiqua" w:hAnsi="Book Antiqua"/>
          <w:b/>
          <w:i/>
          <w:lang w:val="en-US"/>
        </w:rPr>
      </w:pPr>
      <w:r>
        <w:rPr>
          <w:rFonts w:ascii="Book Antiqua" w:hAnsi="Book Antiqua"/>
          <w:b/>
          <w:i/>
          <w:lang w:val="en-US"/>
        </w:rPr>
        <w:t>OTW</w:t>
      </w:r>
      <w:r w:rsidR="00EB2530" w:rsidRPr="00C042FF">
        <w:rPr>
          <w:rFonts w:ascii="Book Antiqua" w:hAnsi="Book Antiqua"/>
          <w:b/>
          <w:i/>
          <w:lang w:val="en-US"/>
        </w:rPr>
        <w:t xml:space="preserve"> </w:t>
      </w:r>
    </w:p>
    <w:p w14:paraId="7C1B7229" w14:textId="722AA3DC" w:rsidR="0082151F" w:rsidRPr="00C042FF" w:rsidRDefault="0000134C" w:rsidP="003E14C8">
      <w:pPr>
        <w:spacing w:line="360" w:lineRule="auto"/>
        <w:jc w:val="both"/>
        <w:rPr>
          <w:rFonts w:ascii="Book Antiqua" w:hAnsi="Book Antiqua"/>
          <w:lang w:val="en-US"/>
        </w:rPr>
      </w:pPr>
      <w:r w:rsidRPr="00C042FF">
        <w:rPr>
          <w:rFonts w:ascii="Book Antiqua" w:hAnsi="Book Antiqua"/>
          <w:lang w:val="en-US"/>
        </w:rPr>
        <w:t>After</w:t>
      </w:r>
      <w:r w:rsidR="00BD6EE3" w:rsidRPr="00C042FF">
        <w:rPr>
          <w:rFonts w:ascii="Book Antiqua" w:hAnsi="Book Antiqua"/>
          <w:lang w:val="en-US"/>
        </w:rPr>
        <w:t xml:space="preserve"> the guidewire placement</w:t>
      </w:r>
      <w:r w:rsidR="008A16F3" w:rsidRPr="00C042FF">
        <w:rPr>
          <w:rFonts w:ascii="Book Antiqua" w:hAnsi="Book Antiqua"/>
          <w:lang w:val="en-US"/>
        </w:rPr>
        <w:t>, endoscopic visualization is still preferred, however, not absolutely essential</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[64]</w:t>
      </w:r>
      <w:r w:rsidR="001D2AD8" w:rsidRPr="00C042FF">
        <w:rPr>
          <w:rStyle w:val="FootnoteReference"/>
          <w:rFonts w:ascii="Book Antiqua" w:hAnsi="Book Antiqua"/>
        </w:rPr>
        <w:fldChar w:fldCharType="end"/>
      </w:r>
      <w:r w:rsidR="00874BAB" w:rsidRPr="00C042FF">
        <w:rPr>
          <w:rFonts w:ascii="Book Antiqua" w:hAnsi="Book Antiqua"/>
          <w:lang w:val="en-US"/>
        </w:rPr>
        <w:t xml:space="preserve">. </w:t>
      </w:r>
      <w:r w:rsidR="00FE43B4" w:rsidRPr="00C042FF">
        <w:rPr>
          <w:rFonts w:ascii="Book Antiqua" w:hAnsi="Book Antiqua"/>
          <w:lang w:val="en-US"/>
        </w:rPr>
        <w:t xml:space="preserve">This technique may be helpful when there is an acute angulation or others factors limiting endoscopic visualization. </w:t>
      </w:r>
      <w:r w:rsidR="0082151F" w:rsidRPr="00C042FF">
        <w:rPr>
          <w:rFonts w:ascii="Book Antiqua" w:hAnsi="Book Antiqua"/>
          <w:lang w:val="en-US"/>
        </w:rPr>
        <w:t>The stent is inserted over the guidewire and implan</w:t>
      </w:r>
      <w:r w:rsidR="00FE43B4" w:rsidRPr="00C042FF">
        <w:rPr>
          <w:rFonts w:ascii="Book Antiqua" w:hAnsi="Book Antiqua"/>
          <w:lang w:val="en-US"/>
        </w:rPr>
        <w:t>ted under fluoroscopic guidance</w:t>
      </w:r>
      <w:r w:rsidR="004C5F3A" w:rsidRPr="00C042FF">
        <w:rPr>
          <w:rFonts w:ascii="Book Antiqua" w:hAnsi="Book Antiqua"/>
          <w:lang w:val="en-US"/>
        </w:rPr>
        <w:t xml:space="preserve"> </w:t>
      </w:r>
      <w:r w:rsidR="00A053DF" w:rsidRPr="00807ADD">
        <w:rPr>
          <w:rFonts w:ascii="Book Antiqua" w:hAnsi="Book Antiqua"/>
          <w:lang w:val="en-US"/>
        </w:rPr>
        <w:t>(Figure 7</w:t>
      </w:r>
      <w:r w:rsidR="004C5F3A" w:rsidRPr="00807ADD">
        <w:rPr>
          <w:rFonts w:ascii="Book Antiqua" w:hAnsi="Book Antiqua"/>
          <w:lang w:val="en-US"/>
        </w:rPr>
        <w:t>)</w:t>
      </w:r>
      <w:r w:rsidR="0082151F" w:rsidRPr="00807ADD">
        <w:rPr>
          <w:rFonts w:ascii="Book Antiqua" w:hAnsi="Book Antiqua"/>
          <w:lang w:val="en-US"/>
        </w:rPr>
        <w:t>.</w:t>
      </w:r>
    </w:p>
    <w:p w14:paraId="3CEACC62" w14:textId="77777777" w:rsidR="00A52CA0" w:rsidRDefault="00AB0F4C" w:rsidP="00A52CA0">
      <w:pPr>
        <w:spacing w:line="360" w:lineRule="auto"/>
        <w:ind w:firstLineChars="100" w:firstLine="240"/>
        <w:jc w:val="both"/>
        <w:rPr>
          <w:rFonts w:ascii="Book Antiqua" w:hAnsi="Book Antiqua"/>
          <w:lang w:val="en-US" w:eastAsia="zh-CN"/>
        </w:rPr>
      </w:pPr>
      <w:r w:rsidRPr="00C042FF">
        <w:rPr>
          <w:rFonts w:ascii="Book Antiqua" w:hAnsi="Book Antiqua"/>
          <w:lang w:val="en-US"/>
        </w:rPr>
        <w:t>The correct positio</w:t>
      </w:r>
      <w:r w:rsidR="00FE43B4" w:rsidRPr="00C042FF">
        <w:rPr>
          <w:rFonts w:ascii="Book Antiqua" w:hAnsi="Book Antiqua"/>
          <w:lang w:val="en-US"/>
        </w:rPr>
        <w:t>n of the stent reveals a waist</w:t>
      </w:r>
      <w:r w:rsidRPr="00C042FF">
        <w:rPr>
          <w:rFonts w:ascii="Book Antiqua" w:hAnsi="Book Antiqua"/>
          <w:lang w:val="en-US"/>
        </w:rPr>
        <w:t xml:space="preserve"> in the </w:t>
      </w:r>
      <w:r w:rsidR="00120FA9" w:rsidRPr="00C042FF">
        <w:rPr>
          <w:rFonts w:ascii="Book Antiqua" w:hAnsi="Book Antiqua"/>
          <w:lang w:val="en-US"/>
        </w:rPr>
        <w:t>center</w:t>
      </w:r>
      <w:r w:rsidRPr="00C042FF">
        <w:rPr>
          <w:rFonts w:ascii="Book Antiqua" w:hAnsi="Book Antiqua"/>
          <w:lang w:val="en-US"/>
        </w:rPr>
        <w:t xml:space="preserve"> of the stent that crosses the tumor with a widening </w:t>
      </w:r>
      <w:r w:rsidR="00973D2D" w:rsidRPr="00C042FF">
        <w:rPr>
          <w:rFonts w:ascii="Book Antiqua" w:hAnsi="Book Antiqua"/>
          <w:lang w:val="en-US"/>
        </w:rPr>
        <w:t>of the proximal and distal ends.</w:t>
      </w:r>
      <w:r w:rsidR="00807ADD">
        <w:rPr>
          <w:rFonts w:ascii="Book Antiqua" w:hAnsi="Book Antiqua" w:hint="eastAsia"/>
          <w:lang w:val="en-US" w:eastAsia="zh-CN"/>
        </w:rPr>
        <w:t xml:space="preserve"> </w:t>
      </w:r>
      <w:r w:rsidRPr="00C042FF">
        <w:rPr>
          <w:rFonts w:ascii="Book Antiqua" w:hAnsi="Book Antiqua"/>
          <w:lang w:val="en-US"/>
        </w:rPr>
        <w:t xml:space="preserve">If </w:t>
      </w:r>
      <w:r w:rsidR="00FE43B4" w:rsidRPr="00C042FF">
        <w:rPr>
          <w:rFonts w:ascii="Book Antiqua" w:hAnsi="Book Antiqua"/>
          <w:lang w:val="en-US"/>
        </w:rPr>
        <w:t>either end of the stent is not adequately</w:t>
      </w:r>
      <w:r w:rsidRPr="00C042FF">
        <w:rPr>
          <w:rFonts w:ascii="Book Antiqua" w:hAnsi="Book Antiqua"/>
          <w:lang w:val="en-US"/>
        </w:rPr>
        <w:t xml:space="preserve"> expanded to prod</w:t>
      </w:r>
      <w:r w:rsidR="00973D2D" w:rsidRPr="00C042FF">
        <w:rPr>
          <w:rFonts w:ascii="Book Antiqua" w:hAnsi="Book Antiqua"/>
          <w:lang w:val="en-US"/>
        </w:rPr>
        <w:t>uce a waist, it</w:t>
      </w:r>
      <w:r w:rsidRPr="00C042FF">
        <w:rPr>
          <w:rFonts w:ascii="Book Antiqua" w:hAnsi="Book Antiqua"/>
          <w:lang w:val="en-US"/>
        </w:rPr>
        <w:t xml:space="preserve"> may be too short to cross the stenosis. I</w:t>
      </w:r>
      <w:r w:rsidR="00FE43B4" w:rsidRPr="00C042FF">
        <w:rPr>
          <w:rFonts w:ascii="Book Antiqua" w:hAnsi="Book Antiqua"/>
          <w:lang w:val="en-US"/>
        </w:rPr>
        <w:t>n such cases, a second or third overlapping stent</w:t>
      </w:r>
      <w:r w:rsidRPr="00C042FF">
        <w:rPr>
          <w:rFonts w:ascii="Book Antiqua" w:hAnsi="Book Antiqua"/>
          <w:lang w:val="en-US"/>
        </w:rPr>
        <w:t xml:space="preserve"> can be used </w:t>
      </w:r>
      <w:r w:rsidR="00FE43B4" w:rsidRPr="00C042FF">
        <w:rPr>
          <w:rFonts w:ascii="Book Antiqua" w:hAnsi="Book Antiqua"/>
          <w:lang w:val="en-US"/>
        </w:rPr>
        <w:t>without removing the first to</w:t>
      </w:r>
      <w:r w:rsidRPr="00C042FF">
        <w:rPr>
          <w:rFonts w:ascii="Book Antiqua" w:hAnsi="Book Antiqua"/>
          <w:lang w:val="en-US"/>
        </w:rPr>
        <w:t xml:space="preserve"> completely cross the stenosis</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[9</w:t>
      </w:r>
      <w:r w:rsidR="00320B98">
        <w:rPr>
          <w:rFonts w:ascii="Book Antiqua" w:hAnsi="Book Antiqua" w:hint="eastAsia"/>
          <w:bCs/>
          <w:noProof/>
          <w:vertAlign w:val="superscript"/>
          <w:lang w:val="en-US" w:eastAsia="zh-CN"/>
        </w:rPr>
        <w:t>8</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962FD8" w:rsidRPr="00C042FF">
        <w:rPr>
          <w:rFonts w:ascii="Book Antiqua" w:hAnsi="Book Antiqua"/>
          <w:lang w:val="en-US"/>
        </w:rPr>
        <w:t>.</w:t>
      </w:r>
    </w:p>
    <w:p w14:paraId="690C2D02" w14:textId="77777777" w:rsidR="00A52CA0" w:rsidRDefault="00A52CA0" w:rsidP="00A52CA0">
      <w:pPr>
        <w:spacing w:line="360" w:lineRule="auto"/>
        <w:jc w:val="both"/>
        <w:rPr>
          <w:rFonts w:ascii="Book Antiqua" w:hAnsi="Book Antiqua"/>
          <w:lang w:val="en-US" w:eastAsia="zh-CN"/>
        </w:rPr>
      </w:pPr>
    </w:p>
    <w:p w14:paraId="2F49238A" w14:textId="16AF95A2" w:rsidR="00C93C7A" w:rsidRPr="00A52CA0" w:rsidRDefault="00484C46" w:rsidP="00A52CA0">
      <w:pPr>
        <w:spacing w:line="360" w:lineRule="auto"/>
        <w:jc w:val="both"/>
        <w:rPr>
          <w:rFonts w:ascii="Book Antiqua" w:hAnsi="Book Antiqua"/>
          <w:lang w:val="en-US"/>
        </w:rPr>
      </w:pPr>
      <w:r w:rsidRPr="00C042FF">
        <w:rPr>
          <w:rFonts w:ascii="Book Antiqua" w:hAnsi="Book Antiqua"/>
          <w:b/>
          <w:lang w:val="en-US"/>
        </w:rPr>
        <w:t>Post-procedure care</w:t>
      </w:r>
      <w:r w:rsidR="00807ADD">
        <w:rPr>
          <w:rFonts w:ascii="Book Antiqua" w:hAnsi="Book Antiqua" w:hint="eastAsia"/>
          <w:b/>
          <w:lang w:val="en-US" w:eastAsia="zh-CN"/>
        </w:rPr>
        <w:t xml:space="preserve">: </w:t>
      </w:r>
      <w:r w:rsidRPr="00C042FF">
        <w:rPr>
          <w:rFonts w:ascii="Book Antiqua" w:hAnsi="Book Antiqua"/>
          <w:lang w:val="en-US"/>
        </w:rPr>
        <w:t xml:space="preserve">After stent </w:t>
      </w:r>
      <w:r w:rsidR="006E17ED" w:rsidRPr="00C042FF">
        <w:rPr>
          <w:rFonts w:ascii="Book Antiqua" w:hAnsi="Book Antiqua"/>
          <w:lang w:val="en-US"/>
        </w:rPr>
        <w:t>placement in the left colon,</w:t>
      </w:r>
      <w:r w:rsidRPr="00C042FF">
        <w:rPr>
          <w:rFonts w:ascii="Book Antiqua" w:hAnsi="Book Antiqua"/>
          <w:lang w:val="en-US"/>
        </w:rPr>
        <w:t xml:space="preserve"> stool s</w:t>
      </w:r>
      <w:r w:rsidR="006E17ED" w:rsidRPr="00C042FF">
        <w:rPr>
          <w:rFonts w:ascii="Book Antiqua" w:hAnsi="Book Antiqua"/>
          <w:lang w:val="en-US"/>
        </w:rPr>
        <w:t>ofteners s</w:t>
      </w:r>
      <w:r w:rsidRPr="00C042FF">
        <w:rPr>
          <w:rFonts w:ascii="Book Antiqua" w:hAnsi="Book Antiqua"/>
          <w:lang w:val="en-US"/>
        </w:rPr>
        <w:t xml:space="preserve">hould be </w:t>
      </w:r>
      <w:r w:rsidR="006E17ED" w:rsidRPr="00C042FF">
        <w:rPr>
          <w:rFonts w:ascii="Book Antiqua" w:hAnsi="Book Antiqua"/>
          <w:lang w:val="en-US"/>
        </w:rPr>
        <w:t>used</w:t>
      </w:r>
      <w:r w:rsidRPr="00C042FF">
        <w:rPr>
          <w:rFonts w:ascii="Book Antiqua" w:hAnsi="Book Antiqua"/>
          <w:lang w:val="en-US"/>
        </w:rPr>
        <w:t xml:space="preserve"> to prevent fecal impaction within the stent</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mendeley":{"formattedCitation":"&lt;sup&gt;[62]&lt;/sup&gt;","plainTextFormattedCitation":"[62]","previouslyFormattedCitation":"(62)"},"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[62]</w:t>
      </w:r>
      <w:r w:rsidR="001D2AD8" w:rsidRPr="00C042FF">
        <w:rPr>
          <w:rStyle w:val="FootnoteReference"/>
          <w:rFonts w:ascii="Book Antiqua" w:hAnsi="Book Antiqua"/>
          <w:lang w:val="en-US"/>
        </w:rPr>
        <w:fldChar w:fldCharType="end"/>
      </w:r>
      <w:r w:rsidRPr="00C042FF">
        <w:rPr>
          <w:rFonts w:ascii="Book Antiqua" w:hAnsi="Book Antiqua"/>
          <w:lang w:val="en-US"/>
        </w:rPr>
        <w:t>.</w:t>
      </w:r>
      <w:r w:rsidR="00807ADD">
        <w:rPr>
          <w:rFonts w:ascii="Book Antiqua" w:hAnsi="Book Antiqua" w:hint="eastAsia"/>
          <w:lang w:val="en-US" w:eastAsia="zh-CN"/>
        </w:rPr>
        <w:t xml:space="preserve"> </w:t>
      </w:r>
      <w:r w:rsidRPr="00C042FF">
        <w:rPr>
          <w:rFonts w:ascii="Book Antiqua" w:hAnsi="Book Antiqua"/>
          <w:lang w:val="en-US"/>
        </w:rPr>
        <w:t>Low-residue diets added to the use of polyethylene glycol should be followed. Laxative dose titration may be required. Patients should be instructed to avoid high-fiber foods, such as</w:t>
      </w:r>
      <w:r w:rsidR="006E17ED" w:rsidRPr="00C042FF">
        <w:rPr>
          <w:rFonts w:ascii="Book Antiqua" w:hAnsi="Book Antiqua"/>
          <w:lang w:val="en-US"/>
        </w:rPr>
        <w:t xml:space="preserve"> many</w:t>
      </w:r>
      <w:r w:rsidRPr="00C042FF">
        <w:rPr>
          <w:rFonts w:ascii="Book Antiqua" w:hAnsi="Book Antiqua"/>
          <w:lang w:val="en-US"/>
        </w:rPr>
        <w:t xml:space="preserve"> fruits, vegetables, and whole grains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[9</w:t>
      </w:r>
      <w:r w:rsidR="00320B98">
        <w:rPr>
          <w:rFonts w:ascii="Book Antiqua" w:hAnsi="Book Antiqua" w:hint="eastAsia"/>
          <w:noProof/>
          <w:vertAlign w:val="superscript"/>
          <w:lang w:val="en-US" w:eastAsia="zh-CN"/>
        </w:rPr>
        <w:t>8</w:t>
      </w:r>
      <w:r w:rsidR="008201F7" w:rsidRPr="00C042FF">
        <w:rPr>
          <w:rFonts w:ascii="Book Antiqua" w:hAnsi="Book Antiqua"/>
          <w:noProof/>
          <w:vertAlign w:val="superscript"/>
          <w:lang w:val="en-US"/>
        </w:rPr>
        <w:t>]</w:t>
      </w:r>
      <w:r w:rsidR="001D2AD8" w:rsidRPr="00C042FF">
        <w:rPr>
          <w:rStyle w:val="FootnoteReference"/>
          <w:rFonts w:ascii="Book Antiqua" w:hAnsi="Book Antiqua"/>
          <w:lang w:val="en-US"/>
        </w:rPr>
        <w:fldChar w:fldCharType="end"/>
      </w:r>
      <w:r w:rsidRPr="00C042FF">
        <w:rPr>
          <w:rFonts w:ascii="Book Antiqua" w:hAnsi="Book Antiqua"/>
          <w:lang w:val="en-US"/>
        </w:rPr>
        <w:t>.</w:t>
      </w:r>
      <w:r w:rsidR="00807ADD">
        <w:rPr>
          <w:rFonts w:ascii="Book Antiqua" w:hAnsi="Book Antiqua" w:hint="eastAsia"/>
          <w:lang w:val="en-US" w:eastAsia="zh-CN"/>
        </w:rPr>
        <w:t xml:space="preserve"> </w:t>
      </w:r>
      <w:r w:rsidRPr="00C042FF">
        <w:rPr>
          <w:rFonts w:ascii="Book Antiqua" w:hAnsi="Book Antiqua"/>
          <w:lang w:val="en-US"/>
        </w:rPr>
        <w:t xml:space="preserve">Patients with stents in the transverse or right colon may resume normal diets, as the feces in these </w:t>
      </w:r>
      <w:r w:rsidR="006E17ED" w:rsidRPr="00C042FF">
        <w:rPr>
          <w:rFonts w:ascii="Book Antiqua" w:hAnsi="Book Antiqua"/>
          <w:lang w:val="en-US"/>
        </w:rPr>
        <w:t xml:space="preserve">locations is typically </w:t>
      </w:r>
      <w:r w:rsidRPr="00C042FF">
        <w:rPr>
          <w:rFonts w:ascii="Book Antiqua" w:hAnsi="Book Antiqua"/>
          <w:lang w:val="en-US"/>
        </w:rPr>
        <w:t>liquid</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[9</w:t>
      </w:r>
      <w:r w:rsidR="00320B98">
        <w:rPr>
          <w:rFonts w:ascii="Book Antiqua" w:hAnsi="Book Antiqua" w:hint="eastAsia"/>
          <w:noProof/>
          <w:vertAlign w:val="superscript"/>
          <w:lang w:val="en-US" w:eastAsia="zh-CN"/>
        </w:rPr>
        <w:t>8</w:t>
      </w:r>
      <w:r w:rsidR="008201F7" w:rsidRPr="00C042FF">
        <w:rPr>
          <w:rFonts w:ascii="Book Antiqua" w:hAnsi="Book Antiqua"/>
          <w:noProof/>
          <w:vertAlign w:val="superscript"/>
          <w:lang w:val="en-US"/>
        </w:rPr>
        <w:t>]</w:t>
      </w:r>
      <w:r w:rsidR="001D2AD8" w:rsidRPr="00C042FF">
        <w:rPr>
          <w:rStyle w:val="FootnoteReference"/>
          <w:rFonts w:ascii="Book Antiqua" w:hAnsi="Book Antiqua"/>
          <w:lang w:val="en-US"/>
        </w:rPr>
        <w:fldChar w:fldCharType="end"/>
      </w:r>
      <w:r w:rsidRPr="00C042FF">
        <w:rPr>
          <w:rFonts w:ascii="Book Antiqua" w:hAnsi="Book Antiqua"/>
          <w:lang w:val="en-US"/>
        </w:rPr>
        <w:t>.</w:t>
      </w:r>
    </w:p>
    <w:p w14:paraId="3C63F08B" w14:textId="77777777" w:rsidR="00C93C7A" w:rsidRPr="00C042FF" w:rsidRDefault="00C93C7A" w:rsidP="003E14C8">
      <w:pPr>
        <w:spacing w:line="360" w:lineRule="auto"/>
        <w:jc w:val="both"/>
        <w:rPr>
          <w:rFonts w:ascii="Book Antiqua" w:hAnsi="Book Antiqua"/>
          <w:lang w:val="en-US"/>
        </w:rPr>
      </w:pPr>
    </w:p>
    <w:p w14:paraId="51180F9E" w14:textId="07C08DB6" w:rsidR="00D66335" w:rsidRPr="00807ADD" w:rsidRDefault="00484C46" w:rsidP="003E14C8">
      <w:pPr>
        <w:spacing w:line="360" w:lineRule="auto"/>
        <w:jc w:val="both"/>
        <w:rPr>
          <w:rFonts w:ascii="Book Antiqua" w:hAnsi="Book Antiqua" w:cstheme="majorBidi"/>
          <w:b/>
          <w:lang w:val="en-US" w:eastAsia="zh-CN"/>
        </w:rPr>
      </w:pPr>
      <w:r w:rsidRPr="00C042FF">
        <w:rPr>
          <w:rFonts w:ascii="Book Antiqua" w:eastAsiaTheme="majorEastAsia" w:hAnsi="Book Antiqua" w:cstheme="majorBidi"/>
          <w:b/>
          <w:lang w:val="en-US"/>
        </w:rPr>
        <w:t>Adverse events</w:t>
      </w:r>
      <w:r w:rsidR="00807ADD">
        <w:rPr>
          <w:rFonts w:ascii="Book Antiqua" w:hAnsi="Book Antiqua" w:cstheme="majorBidi" w:hint="eastAsia"/>
          <w:b/>
          <w:lang w:val="en-US" w:eastAsia="zh-CN"/>
        </w:rPr>
        <w:t xml:space="preserve">: </w:t>
      </w:r>
      <w:r w:rsidR="00D66335" w:rsidRPr="00C042FF">
        <w:rPr>
          <w:rFonts w:ascii="Book Antiqua" w:hAnsi="Book Antiqua"/>
          <w:lang w:val="en-US"/>
        </w:rPr>
        <w:t>Colonic SEMS placement seems to be relatively safe and effective and has some advantages ov</w:t>
      </w:r>
      <w:r w:rsidR="006E17ED" w:rsidRPr="00C042FF">
        <w:rPr>
          <w:rFonts w:ascii="Book Antiqua" w:hAnsi="Book Antiqua"/>
          <w:lang w:val="en-US"/>
        </w:rPr>
        <w:t>er surgery, but is associated with</w:t>
      </w:r>
      <w:r w:rsidR="00D66335" w:rsidRPr="00C042FF">
        <w:rPr>
          <w:rFonts w:ascii="Book Antiqua" w:hAnsi="Book Antiqua"/>
          <w:lang w:val="en-US"/>
        </w:rPr>
        <w:t xml:space="preserve"> an ov</w:t>
      </w:r>
      <w:r w:rsidR="006E17ED" w:rsidRPr="00C042FF">
        <w:rPr>
          <w:rFonts w:ascii="Book Antiqua" w:hAnsi="Book Antiqua"/>
          <w:lang w:val="en-US"/>
        </w:rPr>
        <w:t>erall complication rate of up to</w:t>
      </w:r>
      <w:r w:rsidR="00D66335" w:rsidRPr="00C042FF">
        <w:rPr>
          <w:rFonts w:ascii="Book Antiqua" w:hAnsi="Book Antiqua"/>
          <w:lang w:val="en-US"/>
        </w:rPr>
        <w:t xml:space="preserve"> 25%</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S0016-5107(05)01376-3","ISSN":"00165107","author":[{"dropping-particle":"","family":"Kim","given":"Cheol-hyun","non-dropping-particle":"","parse-names":false,"suffix":""},{"dropping-particle":"","family":"Park","given":"Jong-Jae","non-dropping-particle":"","parse-names":false,"suffix":""},{"dropping-particle":"","family":"Seo","given":"Yeon-Seok","non-dropping-particle":"","parse-names":false,"suffix":""},{"dropping-particle":"","family":"Jang","given":"Yoon-Jeong","non-dropping-particle":"","parse-names":false,"suffix":""},{"dropping-particle":"","family":"Lee","given":"Ji-Yeon","non-dropping-particle":"","parse-names":false,"suffix":""},{"dropping-particle":"","family":"Kim","given":"Jin-Yong","non-dropping-particle":"","parse-names":false,"suffix":""},{"dropping-particle":"","family":"Kim","given":"Jae-Seon","non-dropping-particle":"","parse-names":false,"suffix":""},{"dropping-particle":"","family":"Bak","given":"Young-Tae","non-dropping-particle":"","parse-names":false,"suffix":""}],"container-title":"Gastrointestinal Endoscopy","id":"ITEM-1","issue":"5","issued":{"date-parts":[["2005","4"]]},"page":"AB262","title":"Complications of Self-Expandable Colorectal Stenting for the Treatment of Acute Large Bowel Obstruction","type":"article-journal","volume":"61"},"uris":["http://www.mendeley.com/documents/?uuid=b239a08d-7159-40d0-b22d-321fb0273184"]},{"id":"ITEM-2","itemData":{"DOI":"10.5114/wiitm.2017.70194","ISSN":"1895-4588","author":[{"dropping-particle":"","family":"Stankiewicz","given":"Rafał","non-dropping-particle":"","parse-names":false,"suffix":""},{"dropping-particle":"","family":"Kozieł","given":"Sławomir","non-dropping-particle":"","parse-names":false,"suffix":""},{"dropping-particle":"","family":"Pertkiewicz","given":"Jan","non-dropping-particle":"","parse-names":false,"suffix":""},{"dropping-particle":"","family":"Zieniewicz","given":"Krzysztof","non-dropping-particle":"","parse-names":false,"suffix":""}],"container-title":"Videosurgery and Other Miniinvasive Techniques","id":"ITEM-2","issue":"1","issued":{"date-parts":[["2018"]]},"page":"53-56","title":"Outcomes and complications of self-expanding metal stent placement for malignant colonic obstruction in a single-center study","type":"article-journal","volume":"13"},"uris":["http://www.mendeley.com/documents/?uuid=3058a977-933d-4250-a9b5-3a6ad2569ec3"]},{"id":"ITEM-3","itemData":{"DOI":"10.1016/j.gie.2009.10.012","ISSN":"00165107","author":[{"dropping-particle":"","family":"Small","given":"Aaron J.","non-dropping-particle":"","parse-names":false,"suffix":""},{"dropping-particle":"","family":"Coelho-Prabhu","given":"Nayantara","non-dropping-particle":"","parse-names":false,"suffix":""},{"dropping-particle":"","family":"Baron","given":"Todd H.","non-dropping-particle":"","parse-names":false,"suffix":""}],"container-title":"Gastrointestinal Endoscopy","id":"ITEM-3","issue":"3","issued":{"date-parts":[["2010","3"]]},"page":"560-572","title":"Endoscopic placement of self-expandable metal stents for malignant colonic obstruction: long-term outcomes and complication factors","type":"article-journal","volume":"71"},"uris":["http://www.mendeley.com/documents/?uuid=ef80afbc-df86-43dd-ac25-d08ebca76a3e"]}],"mendeley":{"formattedCitation":"&lt;sup&gt;[100–102]&lt;/sup&gt;","plainTextFormattedCitation":"[100–102]","previouslyFormattedCitation":"(100–102)"},"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lang w:val="en-US"/>
        </w:rPr>
        <w:t>[</w:t>
      </w:r>
      <w:r w:rsidR="00320B98">
        <w:rPr>
          <w:rFonts w:ascii="Book Antiqua" w:hAnsi="Book Antiqua" w:hint="eastAsia"/>
          <w:bCs/>
          <w:noProof/>
          <w:vertAlign w:val="superscript"/>
          <w:lang w:val="en-US" w:eastAsia="zh-CN"/>
        </w:rPr>
        <w:t>99</w:t>
      </w:r>
      <w:r w:rsidR="008201F7" w:rsidRPr="00C042FF">
        <w:rPr>
          <w:rFonts w:ascii="Book Antiqua" w:hAnsi="Book Antiqua"/>
          <w:bCs/>
          <w:noProof/>
          <w:vertAlign w:val="superscript"/>
          <w:lang w:val="en-US"/>
        </w:rPr>
        <w:t>–10</w:t>
      </w:r>
      <w:r w:rsidR="00320B98">
        <w:rPr>
          <w:rFonts w:ascii="Book Antiqua" w:hAnsi="Book Antiqua" w:hint="eastAsia"/>
          <w:bCs/>
          <w:noProof/>
          <w:vertAlign w:val="superscript"/>
          <w:lang w:val="en-US" w:eastAsia="zh-CN"/>
        </w:rPr>
        <w:t>1</w:t>
      </w:r>
      <w:r w:rsidR="008201F7" w:rsidRPr="00C042FF">
        <w:rPr>
          <w:rFonts w:ascii="Book Antiqua" w:hAnsi="Book Antiqua"/>
          <w:bCs/>
          <w:noProof/>
          <w:vertAlign w:val="superscript"/>
          <w:lang w:val="en-US"/>
        </w:rPr>
        <w:t>]</w:t>
      </w:r>
      <w:r w:rsidR="001D2AD8" w:rsidRPr="00C042FF">
        <w:rPr>
          <w:rStyle w:val="FootnoteReference"/>
          <w:rFonts w:ascii="Book Antiqua" w:hAnsi="Book Antiqua"/>
          <w:lang w:val="en-US"/>
        </w:rPr>
        <w:fldChar w:fldCharType="end"/>
      </w:r>
      <w:r w:rsidR="00D66335" w:rsidRPr="00C042FF">
        <w:rPr>
          <w:rFonts w:ascii="Book Antiqua" w:hAnsi="Book Antiqua"/>
          <w:lang w:val="en-US"/>
        </w:rPr>
        <w:t xml:space="preserve">. Clinical and technical failures are greater in strictures longer than 4 cm and more </w:t>
      </w:r>
      <w:r w:rsidR="00917842" w:rsidRPr="00C042FF">
        <w:rPr>
          <w:rFonts w:ascii="Book Antiqua" w:hAnsi="Book Antiqua"/>
          <w:lang w:val="en-US"/>
        </w:rPr>
        <w:t>adverse events</w:t>
      </w:r>
      <w:r w:rsidR="00D66335" w:rsidRPr="00C042FF">
        <w:rPr>
          <w:rFonts w:ascii="Book Antiqua" w:hAnsi="Book Antiqua"/>
          <w:lang w:val="en-US"/>
        </w:rPr>
        <w:t>, especially perforation, are reported in complete obstruction</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{"citationItems":[{"id":"ITEM-1","itemData":{"DOI":"10.1001/archsurg.2011.233","ISBN":"1538-3644 (Electronic)\\n0004-0010 (Linking)","ISSN":"00040010","PMID":"22006874","abstract":"OBJECTIVES: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Surgery","id":"ITEM-1","issue":"10","issued":{"date-parts":[["2011"]]},"page":"1157-1162","title":"Endoscopic palliation in patients with incurable malignant colorectal obstruction by means of self-expanding metal stent: Analysis of results and predictors of outcomes in a large multicenter series","type":"article-journal","volume":"146"},"uris":["http://www.mendeley.com/documents/?uuid=b780bb26-bee0-4252-a9b1-03173031333c"]}],"mendeley":{"formattedCitation":"&lt;sup&gt;[81]&lt;/sup&gt;","plainTextFormattedCitation":"[81]","previouslyFormattedCitation":"(81)"},"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[8</w:t>
      </w:r>
      <w:r w:rsidR="00320B98">
        <w:rPr>
          <w:rFonts w:ascii="Book Antiqua" w:hAnsi="Book Antiqua" w:hint="eastAsia"/>
          <w:noProof/>
          <w:vertAlign w:val="superscript"/>
          <w:lang w:val="en-US" w:eastAsia="zh-CN"/>
        </w:rPr>
        <w:t>0</w:t>
      </w:r>
      <w:r w:rsidR="008201F7" w:rsidRPr="00C042FF">
        <w:rPr>
          <w:rFonts w:ascii="Book Antiqua" w:hAnsi="Book Antiqua"/>
          <w:noProof/>
          <w:vertAlign w:val="superscript"/>
          <w:lang w:val="en-US"/>
        </w:rPr>
        <w:t>]</w:t>
      </w:r>
      <w:r w:rsidR="001D2AD8" w:rsidRPr="00C042FF">
        <w:rPr>
          <w:rStyle w:val="FootnoteReference"/>
          <w:rFonts w:ascii="Book Antiqua" w:hAnsi="Book Antiqua"/>
          <w:lang w:val="en-US"/>
        </w:rPr>
        <w:fldChar w:fldCharType="end"/>
      </w:r>
      <w:r w:rsidR="00D66335" w:rsidRPr="00C042FF">
        <w:rPr>
          <w:rFonts w:ascii="Book Antiqua" w:hAnsi="Book Antiqua"/>
          <w:lang w:val="en-US"/>
        </w:rPr>
        <w:t>.</w:t>
      </w:r>
    </w:p>
    <w:p w14:paraId="33EDC6E1" w14:textId="2AC32C4C" w:rsidR="00EB2530" w:rsidRPr="00C042FF" w:rsidRDefault="00917842" w:rsidP="00807ADD">
      <w:pPr>
        <w:spacing w:line="360" w:lineRule="auto"/>
        <w:ind w:firstLineChars="100" w:firstLine="240"/>
        <w:jc w:val="both"/>
        <w:rPr>
          <w:rFonts w:ascii="Book Antiqua" w:hAnsi="Book Antiqua"/>
          <w:lang w:val="en-US"/>
        </w:rPr>
      </w:pPr>
      <w:r w:rsidRPr="00C042FF">
        <w:rPr>
          <w:rFonts w:ascii="Book Antiqua" w:hAnsi="Book Antiqua"/>
          <w:lang w:val="en-US"/>
        </w:rPr>
        <w:t>Adverse events</w:t>
      </w:r>
      <w:r w:rsidR="00A42BCD" w:rsidRPr="00C042FF">
        <w:rPr>
          <w:rFonts w:ascii="Book Antiqua" w:hAnsi="Book Antiqua"/>
          <w:lang w:val="en-US"/>
        </w:rPr>
        <w:t xml:space="preserve"> may be </w:t>
      </w:r>
      <w:r w:rsidRPr="00C042FF">
        <w:rPr>
          <w:rFonts w:ascii="Book Antiqua" w:hAnsi="Book Antiqua"/>
          <w:lang w:val="en-US"/>
        </w:rPr>
        <w:t>categorized into minor and major or</w:t>
      </w:r>
      <w:r w:rsidR="00A42BCD" w:rsidRPr="00C042FF">
        <w:rPr>
          <w:rFonts w:ascii="Book Antiqua" w:hAnsi="Book Antiqua"/>
          <w:lang w:val="en-US"/>
        </w:rPr>
        <w:t xml:space="preserve"> early (≤</w:t>
      </w:r>
      <w:r w:rsidR="00807ADD">
        <w:rPr>
          <w:rFonts w:ascii="Book Antiqua" w:hAnsi="Book Antiqua" w:hint="eastAsia"/>
          <w:lang w:val="en-US" w:eastAsia="zh-CN"/>
        </w:rPr>
        <w:t xml:space="preserve"> </w:t>
      </w:r>
      <w:r w:rsidR="00A42BCD" w:rsidRPr="00C042FF">
        <w:rPr>
          <w:rFonts w:ascii="Book Antiqua" w:hAnsi="Book Antiqua"/>
          <w:lang w:val="en-US"/>
        </w:rPr>
        <w:t>30 d) and late (&gt;</w:t>
      </w:r>
      <w:r w:rsidR="00807ADD">
        <w:rPr>
          <w:rFonts w:ascii="Book Antiqua" w:hAnsi="Book Antiqua" w:hint="eastAsia"/>
          <w:lang w:val="en-US" w:eastAsia="zh-CN"/>
        </w:rPr>
        <w:t xml:space="preserve"> </w:t>
      </w:r>
      <w:r w:rsidR="00A42BCD" w:rsidRPr="00C042FF">
        <w:rPr>
          <w:rFonts w:ascii="Book Antiqua" w:hAnsi="Book Antiqua"/>
          <w:lang w:val="en-US"/>
        </w:rPr>
        <w:t>30 d).</w:t>
      </w:r>
      <w:r w:rsidR="00A51017" w:rsidRPr="00C042FF">
        <w:rPr>
          <w:rFonts w:ascii="Book Antiqua" w:hAnsi="Book Antiqua"/>
          <w:lang w:val="en-US"/>
        </w:rPr>
        <w:t xml:space="preserve"> </w:t>
      </w:r>
      <w:r w:rsidRPr="00C042FF">
        <w:rPr>
          <w:rFonts w:ascii="Book Antiqua" w:hAnsi="Book Antiqua"/>
          <w:lang w:val="en-US"/>
        </w:rPr>
        <w:t>Example of major adverse events includes</w:t>
      </w:r>
      <w:r w:rsidR="00A51017" w:rsidRPr="00C042FF">
        <w:rPr>
          <w:rFonts w:ascii="Book Antiqua" w:hAnsi="Book Antiqua"/>
          <w:lang w:val="en-US"/>
        </w:rPr>
        <w:t xml:space="preserve"> intestinal perforation, </w:t>
      </w:r>
      <w:r w:rsidR="00A51017" w:rsidRPr="00C042FF">
        <w:rPr>
          <w:rFonts w:ascii="Book Antiqua" w:hAnsi="Book Antiqua"/>
          <w:lang w:val="en-US"/>
        </w:rPr>
        <w:lastRenderedPageBreak/>
        <w:t>obstruction</w:t>
      </w:r>
      <w:r w:rsidRPr="00C042FF">
        <w:rPr>
          <w:rFonts w:ascii="Book Antiqua" w:hAnsi="Book Antiqua"/>
          <w:lang w:val="en-US"/>
        </w:rPr>
        <w:t xml:space="preserve"> requiring new procedures</w:t>
      </w:r>
      <w:r w:rsidR="00A51017" w:rsidRPr="00C042FF">
        <w:rPr>
          <w:rFonts w:ascii="Book Antiqua" w:hAnsi="Book Antiqua"/>
          <w:lang w:val="en-US"/>
        </w:rPr>
        <w:t>, bleeding</w:t>
      </w:r>
      <w:r w:rsidR="001D55DD" w:rsidRPr="00C042FF">
        <w:rPr>
          <w:rFonts w:ascii="Book Antiqua" w:hAnsi="Book Antiqua"/>
          <w:lang w:val="en-US"/>
        </w:rPr>
        <w:t xml:space="preserve">, </w:t>
      </w:r>
      <w:r w:rsidR="00B92156" w:rsidRPr="00C042FF">
        <w:rPr>
          <w:rFonts w:ascii="Book Antiqua" w:hAnsi="Book Antiqua"/>
          <w:lang w:val="en-US"/>
        </w:rPr>
        <w:t xml:space="preserve">migration, </w:t>
      </w:r>
      <w:r w:rsidR="001D55DD" w:rsidRPr="00C042FF">
        <w:rPr>
          <w:rFonts w:ascii="Book Antiqua" w:hAnsi="Book Antiqua"/>
          <w:lang w:val="en-US"/>
        </w:rPr>
        <w:t>aspiration during sedation,</w:t>
      </w:r>
      <w:r w:rsidR="00A51017" w:rsidRPr="00C042FF">
        <w:rPr>
          <w:rFonts w:ascii="Book Antiqua" w:hAnsi="Book Antiqua"/>
          <w:lang w:val="en-US"/>
        </w:rPr>
        <w:t xml:space="preserve"> and death</w:t>
      </w:r>
      <w:r w:rsidRPr="00C042FF">
        <w:rPr>
          <w:rFonts w:ascii="Book Antiqua" w:hAnsi="Book Antiqua"/>
          <w:lang w:val="en-US"/>
        </w:rPr>
        <w:t xml:space="preserve">. Typical minor adverse events includes </w:t>
      </w:r>
      <w:r w:rsidR="00A51017" w:rsidRPr="00C042FF">
        <w:rPr>
          <w:rFonts w:ascii="Book Antiqua" w:hAnsi="Book Antiqua"/>
          <w:lang w:val="en-US"/>
        </w:rPr>
        <w:t>abdominal pain, colic and tenesmus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mendeley":{"formattedCitation":"&lt;sup&gt;[3]&lt;/sup&gt;","plainTextFormattedCitation":"[3]","previouslyFormattedCitation":"(3)"},"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[3]</w:t>
      </w:r>
      <w:r w:rsidR="001D2AD8" w:rsidRPr="00C042FF">
        <w:rPr>
          <w:rStyle w:val="FootnoteReference"/>
          <w:rFonts w:ascii="Book Antiqua" w:hAnsi="Book Antiqua"/>
          <w:lang w:val="en-US"/>
        </w:rPr>
        <w:fldChar w:fldCharType="end"/>
      </w:r>
      <w:r w:rsidR="00A51017" w:rsidRPr="00C042FF">
        <w:rPr>
          <w:rFonts w:ascii="Book Antiqua" w:hAnsi="Book Antiqua"/>
          <w:lang w:val="en-US"/>
        </w:rPr>
        <w:t>.</w:t>
      </w:r>
    </w:p>
    <w:p w14:paraId="610FC78E" w14:textId="77777777" w:rsidR="00C93C7A" w:rsidRPr="00C042FF" w:rsidRDefault="00C93C7A" w:rsidP="003E14C8">
      <w:pPr>
        <w:spacing w:line="360" w:lineRule="auto"/>
        <w:jc w:val="both"/>
        <w:rPr>
          <w:rFonts w:ascii="Book Antiqua" w:hAnsi="Book Antiqua"/>
          <w:b/>
          <w:lang w:val="en-US"/>
        </w:rPr>
      </w:pPr>
    </w:p>
    <w:p w14:paraId="578E8787" w14:textId="79CF912D" w:rsidR="001D55DD" w:rsidRPr="00860949" w:rsidRDefault="00484C46" w:rsidP="003E14C8">
      <w:pPr>
        <w:spacing w:line="360" w:lineRule="auto"/>
        <w:jc w:val="both"/>
        <w:rPr>
          <w:rFonts w:ascii="Book Antiqua" w:hAnsi="Book Antiqua"/>
          <w:b/>
          <w:lang w:val="en-US" w:eastAsia="zh-CN"/>
        </w:rPr>
      </w:pPr>
      <w:r w:rsidRPr="00C042FF">
        <w:rPr>
          <w:rFonts w:ascii="Book Antiqua" w:hAnsi="Book Antiqua"/>
          <w:b/>
          <w:lang w:val="en-US"/>
        </w:rPr>
        <w:t>Perforation</w:t>
      </w:r>
      <w:r w:rsidR="00860949">
        <w:rPr>
          <w:rFonts w:ascii="Book Antiqua" w:hAnsi="Book Antiqua" w:hint="eastAsia"/>
          <w:b/>
          <w:lang w:val="en-US" w:eastAsia="zh-CN"/>
        </w:rPr>
        <w:t xml:space="preserve">: </w:t>
      </w:r>
      <w:r w:rsidR="001D55DD" w:rsidRPr="00C042FF">
        <w:rPr>
          <w:rFonts w:ascii="Book Antiqua" w:hAnsi="Book Antiqua"/>
          <w:lang w:val="en-US"/>
        </w:rPr>
        <w:t>This may occur</w:t>
      </w:r>
      <w:r w:rsidR="006442BC" w:rsidRPr="00C042FF">
        <w:rPr>
          <w:rFonts w:ascii="Book Antiqua" w:hAnsi="Book Antiqua"/>
          <w:lang w:val="en-US"/>
        </w:rPr>
        <w:t xml:space="preserve"> late or immediate</w:t>
      </w:r>
      <w:r w:rsidR="001D55DD" w:rsidRPr="00C042FF">
        <w:rPr>
          <w:rFonts w:ascii="Book Antiqua" w:hAnsi="Book Antiqua"/>
          <w:lang w:val="en-US"/>
        </w:rPr>
        <w:t>ly after the procedure and is associated with poor outcomes</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Endoscopy","id":"ITEM-1","issue":"6","issued":{"date-parts":[["2018","6"]]},"page":"1548-1557.e1","title":"Clinical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[9]&lt;/sup&gt;","plainTextFormattedCitation":"[9]","previouslyFormattedCitation":"(9)"},"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[9]</w:t>
      </w:r>
      <w:r w:rsidR="001D2AD8" w:rsidRPr="00C042FF">
        <w:rPr>
          <w:rStyle w:val="FootnoteReference"/>
          <w:rFonts w:ascii="Book Antiqua" w:hAnsi="Book Antiqua"/>
          <w:lang w:val="en-US"/>
        </w:rPr>
        <w:fldChar w:fldCharType="end"/>
      </w:r>
      <w:r w:rsidR="001D55DD" w:rsidRPr="00C042FF">
        <w:rPr>
          <w:rFonts w:ascii="Book Antiqua" w:hAnsi="Book Antiqua"/>
          <w:lang w:val="en-US"/>
        </w:rPr>
        <w:t>.</w:t>
      </w:r>
      <w:r w:rsidR="00E51E26" w:rsidRPr="00C042FF">
        <w:rPr>
          <w:rFonts w:ascii="Book Antiqua" w:hAnsi="Book Antiqua"/>
          <w:lang w:val="en-US"/>
        </w:rPr>
        <w:t xml:space="preserve"> </w:t>
      </w:r>
      <w:r w:rsidR="006442BC" w:rsidRPr="00C042FF">
        <w:rPr>
          <w:rFonts w:ascii="Book Antiqua" w:hAnsi="Book Antiqua"/>
          <w:lang w:val="en-US"/>
        </w:rPr>
        <w:t>Several factors can in</w:t>
      </w:r>
      <w:r w:rsidR="001D55DD" w:rsidRPr="00C042FF">
        <w:rPr>
          <w:rFonts w:ascii="Book Antiqua" w:hAnsi="Book Antiqua"/>
          <w:lang w:val="en-US"/>
        </w:rPr>
        <w:t xml:space="preserve">crease the risk of perforation including </w:t>
      </w:r>
      <w:r w:rsidR="006442BC" w:rsidRPr="00C042FF">
        <w:rPr>
          <w:rFonts w:ascii="Book Antiqua" w:hAnsi="Book Antiqua"/>
          <w:lang w:val="en-US"/>
        </w:rPr>
        <w:t>radiotherapy and chemotherapy</w:t>
      </w:r>
      <w:r w:rsidR="00F25BA8" w:rsidRPr="00C042FF">
        <w:rPr>
          <w:rFonts w:ascii="Book Antiqua" w:hAnsi="Book Antiqua"/>
          <w:lang w:val="en-US"/>
        </w:rPr>
        <w:t xml:space="preserve"> </w:t>
      </w:r>
      <w:r w:rsidR="001D55DD" w:rsidRPr="00C042FF">
        <w:rPr>
          <w:rFonts w:ascii="Book Antiqua" w:hAnsi="Book Antiqua"/>
          <w:lang w:val="en-US"/>
        </w:rPr>
        <w:t>as well as</w:t>
      </w:r>
      <w:r w:rsidR="00F25BA8" w:rsidRPr="00C042FF">
        <w:rPr>
          <w:rFonts w:ascii="Book Antiqua" w:hAnsi="Book Antiqua"/>
          <w:lang w:val="en-US"/>
        </w:rPr>
        <w:t xml:space="preserve"> colonic anatomy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Obstruction","type":"article-journal","volume":"50"},"uris":["http://www.mendeley.com/documents/?uuid=00b06839-575e-4346-9fe3-371d8f2ec383"]},{"id":"ITEM-2","itemData":{"DOI":"10.1016/j.gie.2013.11.038","ISBN":"1097-6779 (Electronic)\\r0016-5107 (Linking)","ISSN":"10976779","PMID":"24650852","abstract":"Background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 © 2014 by the American Society for Gastrointestinal Endoscopy.","author":[{"dropping-particle":"","family":"Halsema","given":"Emo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Endoscopy","id":"ITEM-2","issue":"6","issued":{"date-parts":[["2014"]]},"title":"Perforation in colorectal stenting: A meta-analysis and a search for risk factors","type":"article","volume":"79"},"uris":["http://www.mendeley.com/documents/?uuid=888a5f5b-fc79-4761-b936-b99d5e87137a"]},{"id":"ITEM-3","itemData":{"DOI":"10.1016/j.clcc.2018.06.005","ISSN":"19380674","abstract":"The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Cancer","id":"ITEM-3","issued":{"date-parts":[["2018"]]},"publisher":"Elsevier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mendeley":{"formattedCitation":"&lt;sup&gt;[3,66,67]&lt;/sup&gt;","plainTextFormattedCitation":"[3,66,67]","previouslyFormattedCitation":"(3,66,67)"},"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[3,66,67]</w:t>
      </w:r>
      <w:r w:rsidR="001D2AD8" w:rsidRPr="00C042FF">
        <w:rPr>
          <w:rStyle w:val="FootnoteReference"/>
          <w:rFonts w:ascii="Book Antiqua" w:hAnsi="Book Antiqua"/>
          <w:lang w:val="en-US"/>
        </w:rPr>
        <w:fldChar w:fldCharType="end"/>
      </w:r>
      <w:r w:rsidR="006442BC" w:rsidRPr="00C042FF">
        <w:rPr>
          <w:rFonts w:ascii="Book Antiqua" w:hAnsi="Book Antiqua"/>
          <w:lang w:val="en-US"/>
        </w:rPr>
        <w:t xml:space="preserve">. </w:t>
      </w:r>
      <w:r w:rsidR="001D55DD" w:rsidRPr="00C042FF">
        <w:rPr>
          <w:rFonts w:ascii="Book Antiqua" w:hAnsi="Book Antiqua"/>
          <w:lang w:val="en-US"/>
        </w:rPr>
        <w:t>A meta-analysis in 2018, including palliative patients revealed a perforation rate of 9.5%</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[53]</w:t>
      </w:r>
      <w:r w:rsidR="001D2AD8" w:rsidRPr="00C042FF">
        <w:rPr>
          <w:rStyle w:val="FootnoteReference"/>
          <w:rFonts w:ascii="Book Antiqua" w:hAnsi="Book Antiqua"/>
          <w:lang w:val="en-US"/>
        </w:rPr>
        <w:fldChar w:fldCharType="end"/>
      </w:r>
      <w:r w:rsidR="001D55DD" w:rsidRPr="00C042FF">
        <w:rPr>
          <w:rFonts w:ascii="Book Antiqua" w:hAnsi="Book Antiqua"/>
          <w:lang w:val="en-US"/>
        </w:rPr>
        <w:t>.</w:t>
      </w:r>
    </w:p>
    <w:p w14:paraId="3567823B" w14:textId="77777777" w:rsidR="00C93C7A" w:rsidRPr="00C042FF" w:rsidRDefault="00C93C7A" w:rsidP="003E14C8">
      <w:pPr>
        <w:spacing w:line="360" w:lineRule="auto"/>
        <w:jc w:val="both"/>
        <w:rPr>
          <w:rFonts w:ascii="Book Antiqua" w:hAnsi="Book Antiqua"/>
          <w:b/>
          <w:lang w:val="en-US"/>
        </w:rPr>
      </w:pPr>
    </w:p>
    <w:p w14:paraId="329DE929" w14:textId="6416BE62" w:rsidR="00EB2530" w:rsidRPr="00860949" w:rsidRDefault="00380E29" w:rsidP="003E14C8">
      <w:pPr>
        <w:spacing w:line="360" w:lineRule="auto"/>
        <w:jc w:val="both"/>
        <w:rPr>
          <w:rFonts w:ascii="Book Antiqua" w:hAnsi="Book Antiqua"/>
          <w:b/>
          <w:lang w:val="en-US" w:eastAsia="zh-CN"/>
        </w:rPr>
      </w:pPr>
      <w:r w:rsidRPr="00C042FF">
        <w:rPr>
          <w:rFonts w:ascii="Book Antiqua" w:hAnsi="Book Antiqua"/>
          <w:b/>
          <w:lang w:val="en-US"/>
        </w:rPr>
        <w:t xml:space="preserve">Stent </w:t>
      </w:r>
      <w:r w:rsidR="00860949" w:rsidRPr="00C042FF">
        <w:rPr>
          <w:rFonts w:ascii="Book Antiqua" w:hAnsi="Book Antiqua"/>
          <w:b/>
          <w:lang w:val="en-US"/>
        </w:rPr>
        <w:t>m</w:t>
      </w:r>
      <w:r w:rsidRPr="00C042FF">
        <w:rPr>
          <w:rFonts w:ascii="Book Antiqua" w:hAnsi="Book Antiqua"/>
          <w:b/>
          <w:lang w:val="en-US"/>
        </w:rPr>
        <w:t>igration</w:t>
      </w:r>
      <w:r w:rsidR="00860949">
        <w:rPr>
          <w:rFonts w:ascii="Book Antiqua" w:hAnsi="Book Antiqua" w:hint="eastAsia"/>
          <w:b/>
          <w:lang w:val="en-US" w:eastAsia="zh-CN"/>
        </w:rPr>
        <w:t xml:space="preserve">: </w:t>
      </w:r>
      <w:r w:rsidR="001C2A57" w:rsidRPr="00C042FF">
        <w:rPr>
          <w:rFonts w:ascii="Book Antiqua" w:hAnsi="Book Antiqua"/>
          <w:lang w:val="en-US"/>
        </w:rPr>
        <w:t>O</w:t>
      </w:r>
      <w:r w:rsidRPr="00C042FF">
        <w:rPr>
          <w:rFonts w:ascii="Book Antiqua" w:hAnsi="Book Antiqua"/>
          <w:lang w:val="en-US"/>
        </w:rPr>
        <w:t>ccur</w:t>
      </w:r>
      <w:r w:rsidR="00922C45" w:rsidRPr="00C042FF">
        <w:rPr>
          <w:rFonts w:ascii="Book Antiqua" w:hAnsi="Book Antiqua"/>
          <w:lang w:val="en-US"/>
        </w:rPr>
        <w:t>s</w:t>
      </w:r>
      <w:r w:rsidRPr="00C042FF">
        <w:rPr>
          <w:rFonts w:ascii="Book Antiqua" w:hAnsi="Book Antiqua"/>
          <w:lang w:val="en-US"/>
        </w:rPr>
        <w:t xml:space="preserve"> in approximately 10%</w:t>
      </w:r>
      <w:r w:rsidR="001C2A57" w:rsidRPr="00C042FF">
        <w:rPr>
          <w:rFonts w:ascii="Book Antiqua" w:hAnsi="Book Antiqua"/>
          <w:lang w:val="en-US"/>
        </w:rPr>
        <w:t xml:space="preserve"> </w:t>
      </w:r>
      <w:r w:rsidR="00922C45" w:rsidRPr="00C042FF">
        <w:rPr>
          <w:rFonts w:ascii="Book Antiqua" w:hAnsi="Book Antiqua"/>
          <w:lang w:val="en-US"/>
        </w:rPr>
        <w:t>when used as a</w:t>
      </w:r>
      <w:r w:rsidR="001C2A57" w:rsidRPr="00C042FF">
        <w:rPr>
          <w:rFonts w:ascii="Book Antiqua" w:hAnsi="Book Antiqua"/>
          <w:lang w:val="en-US"/>
        </w:rPr>
        <w:t xml:space="preserve"> bridge </w:t>
      </w:r>
      <w:r w:rsidR="00922C45" w:rsidRPr="00C042FF">
        <w:rPr>
          <w:rFonts w:ascii="Book Antiqua" w:hAnsi="Book Antiqua"/>
          <w:lang w:val="en-US"/>
        </w:rPr>
        <w:t>to</w:t>
      </w:r>
      <w:r w:rsidR="001C2A57" w:rsidRPr="00C042FF">
        <w:rPr>
          <w:rFonts w:ascii="Book Antiqua" w:hAnsi="Book Antiqua"/>
          <w:lang w:val="en-US"/>
        </w:rPr>
        <w:t xml:space="preserve"> surgery and </w:t>
      </w:r>
      <w:r w:rsidR="00922C45" w:rsidRPr="00C042FF">
        <w:rPr>
          <w:rFonts w:ascii="Book Antiqua" w:hAnsi="Book Antiqua"/>
          <w:lang w:val="en-US"/>
        </w:rPr>
        <w:t xml:space="preserve">in </w:t>
      </w:r>
      <w:r w:rsidR="001C2A57" w:rsidRPr="00C042FF">
        <w:rPr>
          <w:rFonts w:ascii="Book Antiqua" w:hAnsi="Book Antiqua"/>
          <w:lang w:val="en-US"/>
        </w:rPr>
        <w:t xml:space="preserve">1% </w:t>
      </w:r>
      <w:r w:rsidR="00922C45" w:rsidRPr="00C042FF">
        <w:rPr>
          <w:rFonts w:ascii="Book Antiqua" w:hAnsi="Book Antiqua"/>
          <w:lang w:val="en-US"/>
        </w:rPr>
        <w:t>of</w:t>
      </w:r>
      <w:r w:rsidR="001C2A57" w:rsidRPr="00C042FF">
        <w:rPr>
          <w:rFonts w:ascii="Book Antiqua" w:hAnsi="Book Antiqua"/>
          <w:lang w:val="en-US"/>
        </w:rPr>
        <w:t xml:space="preserve"> palliative patients, usually one week after insertion.</w:t>
      </w:r>
      <w:r w:rsidRPr="00C042FF">
        <w:rPr>
          <w:rFonts w:ascii="Book Antiqua" w:hAnsi="Book Antiqua"/>
          <w:lang w:val="en-US"/>
        </w:rPr>
        <w:t xml:space="preserve"> The main </w:t>
      </w:r>
      <w:r w:rsidR="00AA31DB" w:rsidRPr="00C042FF">
        <w:rPr>
          <w:rFonts w:ascii="Book Antiqua" w:hAnsi="Book Antiqua"/>
          <w:lang w:val="en-US"/>
        </w:rPr>
        <w:t>causes of migration include incorrect stent selection, stent dimensions being too narrow, small, or short, mild stenosis that is not obstructive, and improvement</w:t>
      </w:r>
      <w:r w:rsidRPr="00C042FF">
        <w:rPr>
          <w:rFonts w:ascii="Book Antiqua" w:hAnsi="Book Antiqua"/>
          <w:lang w:val="en-US"/>
        </w:rPr>
        <w:t xml:space="preserve"> of</w:t>
      </w:r>
      <w:r w:rsidR="00AA31DB" w:rsidRPr="00C042FF">
        <w:rPr>
          <w:rFonts w:ascii="Book Antiqua" w:hAnsi="Book Antiqua"/>
          <w:lang w:val="en-US"/>
        </w:rPr>
        <w:t xml:space="preserve"> stenosis due to </w:t>
      </w:r>
      <w:r w:rsidRPr="00C042FF">
        <w:rPr>
          <w:rFonts w:ascii="Book Antiqua" w:hAnsi="Book Antiqua"/>
          <w:lang w:val="en-US"/>
        </w:rPr>
        <w:t>radiotherapy or chemotherapy</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{"citationItems":[{"id":"ITEM-1","itemData":{"DOI":"10.1097/01.sla.0000261124.72687.72","ISBN":"0003-4932 (Print)\\r0003-4932 (Linking)","ISSN":"00034932","PMID":"17592286","abstract":"Objective: To assess the safety and efficacy of self-expanding metallic stents (SEMS) placement for the relief of malignant colo-rectal obstruction in comparison to surgical procedures through a systematic review of the literature. Summary Background Data: Conventional therapies for relieving colorectal obstructions caused by cancer have high rates of morbid-ity and mortality, particularly when performed under emergency conditions, and palliative procedures resulting in colostomy creation can be a burden for patients and caregivers. Methods: A systematic search strategy was used to retrieve relevant studies. Inclusion of papers was established through application of a predetermined protocol, independent assessment by 2 reviewers, and a final consensus decision. Eighty-eight articles, 15 of which were comparative, formed the evidence base for this review. Results: Little high-level evidence was available. However, the data suggested that SEMS placement was safe and effective in overcom-ing left-sided malignant colorectal obstructions, regardless of the indication for stent placement or the etiology of the obstruction. Additionally, SEMS placement had positive outcomes when com-pared with surgery, including overall shorter hospital stays, and a lower rate of serious adverse events. Postoperative mortality ap-peared comparable between the 2 interventions. Combining SEMS placement with elective surgery also appeared safer and more effective than emergency surgery, with higher rates of primary anastomosis, lower rates of colostomy, shorter hospital stays, and lower overall complication rates. Conclusions: Stenting appears to be a safe and effective addition to the armamentarium of treatment options for colorectal obstructions. However, the small sample sizes of the included studies limited the validity of the findings of this review. The results of additional comparative studies currently being undertaken will add to the certainty of the conclusions that can be drawn.","author":[{"dropping-particle":"","family":"Watt","given":"Amber M.","non-dropping-particle":"","parse-names":false,"suffix":""},{"dropping-particle":"","family":"Faragher","given":"Ian G.","non-dropping-particle":"","parse-names":false,"suffix":""},{"dropping-particle":"","family":"Griffin","given":"Tabatha T.","non-dropping-particle":"","parse-names":false,"suffix":""},{"dropping-particle":"","family":"Rieger","given":"Nicholas A.","non-dropping-particle":"","parse-names":false,"suffix":""},{"dropping-particle":"","family":"Maddern","given":"Guy J.","non-dropping-particle":"","parse-names":false,"suffix":""}],"container-title":"Annals of Surgery","id":"ITEM-1","issue":"1","issued":{"date-parts":[["2007","7"]]},"language":"eng","page":"24-30","publisher-place":"United States","title":"Self-expanding metallic stents for relieving malignant colorectal obstruction: A systematic review","type":"article-journal","volume":"246"},"uris":["http://www.mendeley.com/documents/?uuid=d0740005-e904-48e5-89a7-38046bde97d2"]},{"id":"ITEM-2","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surgery","id":"ITEM-2","issue":"9","issued":{"date-parts":[["2002"]]},"page":"1096-1102","title":"Systematic review of the efficacy and safety of colorectal stents.","type":"article","volume":"89"},"uris":["http://www.mendeley.com/documents/?uuid=e19bf905-59ac-43a5-94f0-1c5dce3bf5ad"]},{"id":"ITEM-3","itemData":{"DOI":"10.1055/a-0591-2883","ISBN":"5511306975","ISSN":"2364-3722","PMID":"29756013","abstract":"Background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Open","id":"ITEM-3","issue":"05","issued":{"date-parts":[["2018","5","8"]]},"page":"E558-E567","title":"Colonic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[7,32,53]&lt;/sup&gt;","plainTextFormattedCitation":"[7,32,53]","previouslyFormattedCitation":"(7,32,53)"},"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[7,32,53]</w:t>
      </w:r>
      <w:r w:rsidR="001D2AD8" w:rsidRPr="00C042FF">
        <w:rPr>
          <w:rStyle w:val="FootnoteReference"/>
          <w:rFonts w:ascii="Book Antiqua" w:hAnsi="Book Antiqua"/>
          <w:lang w:val="en-US"/>
        </w:rPr>
        <w:fldChar w:fldCharType="end"/>
      </w:r>
      <w:r w:rsidRPr="00C042FF">
        <w:rPr>
          <w:rFonts w:ascii="Book Antiqua" w:hAnsi="Book Antiqua"/>
          <w:lang w:val="en-US"/>
        </w:rPr>
        <w:t>.</w:t>
      </w:r>
      <w:r w:rsidR="00E1163E" w:rsidRPr="00C042FF">
        <w:rPr>
          <w:rFonts w:ascii="Book Antiqua" w:hAnsi="Book Antiqua"/>
          <w:lang w:val="en-US"/>
        </w:rPr>
        <w:t xml:space="preserve"> </w:t>
      </w:r>
      <w:r w:rsidRPr="00C042FF">
        <w:rPr>
          <w:rFonts w:ascii="Book Antiqua" w:hAnsi="Book Antiqua"/>
          <w:lang w:val="en-US"/>
        </w:rPr>
        <w:t xml:space="preserve">Other less common factors that may precipitate stent migration include extrinsic </w:t>
      </w:r>
      <w:r w:rsidR="00AA31DB" w:rsidRPr="00C042FF">
        <w:rPr>
          <w:rFonts w:ascii="Book Antiqua" w:hAnsi="Book Antiqua"/>
          <w:lang w:val="en-US"/>
        </w:rPr>
        <w:t>lesion</w:t>
      </w:r>
      <w:r w:rsidRPr="00C042FF">
        <w:rPr>
          <w:rFonts w:ascii="Book Antiqua" w:hAnsi="Book Antiqua"/>
          <w:lang w:val="en-US"/>
        </w:rPr>
        <w:t>, dilation of stenosis, or use of covered stents.</w:t>
      </w:r>
      <w:r w:rsidR="00E1163E" w:rsidRPr="00C042FF">
        <w:rPr>
          <w:rFonts w:ascii="Book Antiqua" w:hAnsi="Book Antiqua"/>
          <w:lang w:val="en-US"/>
        </w:rPr>
        <w:t xml:space="preserve"> </w:t>
      </w:r>
    </w:p>
    <w:p w14:paraId="77E7D040" w14:textId="77777777" w:rsidR="008C403C" w:rsidRPr="00C042FF" w:rsidRDefault="008C403C" w:rsidP="003E14C8">
      <w:pPr>
        <w:spacing w:line="360" w:lineRule="auto"/>
        <w:jc w:val="both"/>
        <w:rPr>
          <w:rFonts w:ascii="Book Antiqua" w:hAnsi="Book Antiqua"/>
          <w:b/>
          <w:lang w:val="en-US" w:eastAsia="zh-CN"/>
        </w:rPr>
      </w:pPr>
    </w:p>
    <w:p w14:paraId="09D9B03C" w14:textId="5A81D065" w:rsidR="00B0552F" w:rsidRPr="00860949" w:rsidRDefault="00380E29" w:rsidP="003E14C8">
      <w:pPr>
        <w:spacing w:line="360" w:lineRule="auto"/>
        <w:jc w:val="both"/>
        <w:rPr>
          <w:rFonts w:ascii="Book Antiqua" w:hAnsi="Book Antiqua"/>
          <w:b/>
          <w:lang w:val="en-US" w:eastAsia="zh-CN"/>
        </w:rPr>
      </w:pPr>
      <w:r w:rsidRPr="00C042FF">
        <w:rPr>
          <w:rFonts w:ascii="Book Antiqua" w:hAnsi="Book Antiqua"/>
          <w:b/>
          <w:lang w:val="en-US"/>
        </w:rPr>
        <w:t xml:space="preserve">Stent </w:t>
      </w:r>
      <w:r w:rsidR="005B502D" w:rsidRPr="00C042FF">
        <w:rPr>
          <w:rFonts w:ascii="Book Antiqua" w:hAnsi="Book Antiqua"/>
          <w:b/>
          <w:lang w:val="en-US"/>
        </w:rPr>
        <w:t>obstruction</w:t>
      </w:r>
      <w:r w:rsidR="00860949">
        <w:rPr>
          <w:rFonts w:ascii="Book Antiqua" w:hAnsi="Book Antiqua" w:hint="eastAsia"/>
          <w:b/>
          <w:lang w:val="en-US" w:eastAsia="zh-CN"/>
        </w:rPr>
        <w:t xml:space="preserve">: </w:t>
      </w:r>
      <w:r w:rsidR="00684948" w:rsidRPr="00C042FF">
        <w:rPr>
          <w:rFonts w:ascii="Book Antiqua" w:hAnsi="Book Antiqua"/>
          <w:lang w:val="en-US"/>
        </w:rPr>
        <w:t>O</w:t>
      </w:r>
      <w:r w:rsidR="00AA31DB" w:rsidRPr="00C042FF">
        <w:rPr>
          <w:rFonts w:ascii="Book Antiqua" w:hAnsi="Book Antiqua"/>
          <w:lang w:val="en-US"/>
        </w:rPr>
        <w:t>ccurs</w:t>
      </w:r>
      <w:r w:rsidR="00416EB6" w:rsidRPr="00C042FF">
        <w:rPr>
          <w:rFonts w:ascii="Book Antiqua" w:hAnsi="Book Antiqua"/>
          <w:lang w:val="en-US"/>
        </w:rPr>
        <w:t xml:space="preserve"> </w:t>
      </w:r>
      <w:r w:rsidR="00922C45" w:rsidRPr="00C042FF">
        <w:rPr>
          <w:rFonts w:ascii="Book Antiqua" w:hAnsi="Book Antiqua"/>
          <w:lang w:val="en-US"/>
        </w:rPr>
        <w:t xml:space="preserve">in approximately 11.1% of palliative patients. This occurs </w:t>
      </w:r>
      <w:r w:rsidR="00416EB6" w:rsidRPr="00C042FF">
        <w:rPr>
          <w:rFonts w:ascii="Book Antiqua" w:hAnsi="Book Antiqua"/>
          <w:lang w:val="en-US"/>
        </w:rPr>
        <w:t xml:space="preserve">due to tumor </w:t>
      </w:r>
      <w:r w:rsidR="00922C45" w:rsidRPr="00C042FF">
        <w:rPr>
          <w:rFonts w:ascii="Book Antiqua" w:hAnsi="Book Antiqua"/>
          <w:lang w:val="en-US"/>
        </w:rPr>
        <w:t>over</w:t>
      </w:r>
      <w:r w:rsidR="00AA31DB" w:rsidRPr="00C042FF">
        <w:rPr>
          <w:rFonts w:ascii="Book Antiqua" w:hAnsi="Book Antiqua"/>
          <w:lang w:val="en-US"/>
        </w:rPr>
        <w:t xml:space="preserve">growth at the proximal </w:t>
      </w:r>
      <w:r w:rsidR="00416EB6" w:rsidRPr="00C042FF">
        <w:rPr>
          <w:rFonts w:ascii="Book Antiqua" w:hAnsi="Book Antiqua"/>
          <w:lang w:val="en-US"/>
        </w:rPr>
        <w:t xml:space="preserve">or distal margins </w:t>
      </w:r>
      <w:r w:rsidR="00AA31DB" w:rsidRPr="00C042FF">
        <w:rPr>
          <w:rFonts w:ascii="Book Antiqua" w:hAnsi="Book Antiqua"/>
          <w:lang w:val="en-US"/>
        </w:rPr>
        <w:t>of the stent or through</w:t>
      </w:r>
      <w:r w:rsidR="00922C45" w:rsidRPr="00C042FF">
        <w:rPr>
          <w:rFonts w:ascii="Book Antiqua" w:hAnsi="Book Antiqua"/>
          <w:lang w:val="en-US"/>
        </w:rPr>
        <w:t xml:space="preserve"> </w:t>
      </w:r>
      <w:r w:rsidR="00C55851" w:rsidRPr="00C042FF">
        <w:rPr>
          <w:rFonts w:ascii="Book Antiqua" w:hAnsi="Book Antiqua"/>
          <w:lang w:val="en-US"/>
        </w:rPr>
        <w:t>tumor in growth</w:t>
      </w:r>
      <w:r w:rsidR="00922C45" w:rsidRPr="00C042FF">
        <w:rPr>
          <w:rFonts w:ascii="Book Antiqua" w:hAnsi="Book Antiqua"/>
          <w:lang w:val="en-US"/>
        </w:rPr>
        <w:t xml:space="preserve"> through</w:t>
      </w:r>
      <w:r w:rsidR="00AA31DB" w:rsidRPr="00C042FF">
        <w:rPr>
          <w:rFonts w:ascii="Book Antiqua" w:hAnsi="Book Antiqua"/>
          <w:lang w:val="en-US"/>
        </w:rPr>
        <w:t xml:space="preserve"> the cells</w:t>
      </w:r>
      <w:r w:rsidR="00416EB6" w:rsidRPr="00C042FF">
        <w:rPr>
          <w:rFonts w:ascii="Book Antiqua" w:hAnsi="Book Antiqua"/>
          <w:lang w:val="en-US"/>
        </w:rPr>
        <w:t xml:space="preserve"> of the stent</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[53]</w:t>
      </w:r>
      <w:r w:rsidR="001D2AD8" w:rsidRPr="00C042FF">
        <w:rPr>
          <w:rStyle w:val="FootnoteReference"/>
          <w:rFonts w:ascii="Book Antiqua" w:hAnsi="Book Antiqua"/>
          <w:lang w:val="en-US"/>
        </w:rPr>
        <w:fldChar w:fldCharType="end"/>
      </w:r>
      <w:r w:rsidR="00AA31DB" w:rsidRPr="00C042FF">
        <w:rPr>
          <w:rFonts w:ascii="Book Antiqua" w:hAnsi="Book Antiqua"/>
          <w:lang w:val="en-US"/>
        </w:rPr>
        <w:t>. Possible</w:t>
      </w:r>
      <w:r w:rsidR="00416EB6" w:rsidRPr="00C042FF">
        <w:rPr>
          <w:rFonts w:ascii="Book Antiqua" w:hAnsi="Book Antiqua"/>
          <w:lang w:val="en-US"/>
        </w:rPr>
        <w:t xml:space="preserve"> endoscopic treatment</w:t>
      </w:r>
      <w:r w:rsidR="00AA31DB" w:rsidRPr="00C042FF">
        <w:rPr>
          <w:rFonts w:ascii="Book Antiqua" w:hAnsi="Book Antiqua"/>
          <w:lang w:val="en-US"/>
        </w:rPr>
        <w:t>s</w:t>
      </w:r>
      <w:r w:rsidR="00922C45" w:rsidRPr="00C042FF">
        <w:rPr>
          <w:rFonts w:ascii="Book Antiqua" w:hAnsi="Book Antiqua"/>
          <w:lang w:val="en-US"/>
        </w:rPr>
        <w:t xml:space="preserve"> for stent obstruction</w:t>
      </w:r>
      <w:r w:rsidR="00E51E26" w:rsidRPr="00C042FF">
        <w:rPr>
          <w:rFonts w:ascii="Book Antiqua" w:hAnsi="Book Antiqua"/>
          <w:lang w:val="en-US"/>
        </w:rPr>
        <w:t xml:space="preserve"> </w:t>
      </w:r>
      <w:r w:rsidR="00AA31DB" w:rsidRPr="00C042FF">
        <w:rPr>
          <w:rFonts w:ascii="Book Antiqua" w:hAnsi="Book Antiqua"/>
          <w:lang w:val="en-US"/>
        </w:rPr>
        <w:t>include</w:t>
      </w:r>
      <w:r w:rsidR="00416EB6" w:rsidRPr="00C042FF">
        <w:rPr>
          <w:rFonts w:ascii="Book Antiqua" w:hAnsi="Book Antiqua"/>
          <w:lang w:val="en-US"/>
        </w:rPr>
        <w:t xml:space="preserve"> laser ablation of the tumor, argon plasma</w:t>
      </w:r>
      <w:r w:rsidR="00AA31DB" w:rsidRPr="00C042FF">
        <w:rPr>
          <w:rFonts w:ascii="Book Antiqua" w:hAnsi="Book Antiqua"/>
          <w:lang w:val="en-US"/>
        </w:rPr>
        <w:t xml:space="preserve"> coagulation</w:t>
      </w:r>
      <w:r w:rsidR="00416EB6" w:rsidRPr="00C042FF">
        <w:rPr>
          <w:rFonts w:ascii="Book Antiqua" w:hAnsi="Book Antiqua"/>
          <w:lang w:val="en-US"/>
        </w:rPr>
        <w:t xml:space="preserve"> or </w:t>
      </w:r>
      <w:r w:rsidR="00AA31DB" w:rsidRPr="00C042FF">
        <w:rPr>
          <w:rFonts w:ascii="Book Antiqua" w:hAnsi="Book Antiqua"/>
          <w:lang w:val="en-US"/>
        </w:rPr>
        <w:t>placement of new stent</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id":"ITEM-2","itemData":{"DOI":"10.1016/j.gie.2011.05.025","ISSN":"00165107","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Endoscopy","id":"ITEM-2","issue":"3","issued":{"date-parts":[["2011","9"]]},"page":"625-633","title":"Outcomes of secondary stent-in-stent self-expandable metal stent insertion for malignant colorectal obstruction","type":"article-journal","volume":"74"},"uris":["http://www.mendeley.com/documents/?uuid=8a8fee5e-bd23-4041-9898-7241cf3f3097"]}],"mendeley":{"formattedCitation":"&lt;sup&gt;[48,103]&lt;/sup&gt;","plainTextFormattedCitation":"[48,103]","previouslyFormattedCitation":"(48,103)"},"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bCs/>
          <w:noProof/>
          <w:vertAlign w:val="superscript"/>
          <w:lang w:val="en-US"/>
        </w:rPr>
        <w:t>[48,10</w:t>
      </w:r>
      <w:r w:rsidR="00320B98">
        <w:rPr>
          <w:rFonts w:ascii="Book Antiqua" w:hAnsi="Book Antiqua" w:hint="eastAsia"/>
          <w:bCs/>
          <w:noProof/>
          <w:vertAlign w:val="superscript"/>
          <w:lang w:val="en-US" w:eastAsia="zh-CN"/>
        </w:rPr>
        <w:t>2</w:t>
      </w:r>
      <w:r w:rsidR="008201F7" w:rsidRPr="00C042FF">
        <w:rPr>
          <w:rFonts w:ascii="Book Antiqua" w:hAnsi="Book Antiqua"/>
          <w:bCs/>
          <w:noProof/>
          <w:vertAlign w:val="superscript"/>
          <w:lang w:val="en-US"/>
        </w:rPr>
        <w:t>]</w:t>
      </w:r>
      <w:r w:rsidR="001D2AD8" w:rsidRPr="00C042FF">
        <w:rPr>
          <w:rStyle w:val="FootnoteReference"/>
          <w:rFonts w:ascii="Book Antiqua" w:hAnsi="Book Antiqua"/>
        </w:rPr>
        <w:fldChar w:fldCharType="end"/>
      </w:r>
      <w:r w:rsidR="007C383F" w:rsidRPr="00C042FF">
        <w:rPr>
          <w:rFonts w:ascii="Book Antiqua" w:hAnsi="Book Antiqua"/>
          <w:lang w:val="en-US"/>
        </w:rPr>
        <w:t>.</w:t>
      </w:r>
    </w:p>
    <w:p w14:paraId="7F7285A3" w14:textId="77777777" w:rsidR="00C93C7A" w:rsidRPr="00C042FF" w:rsidRDefault="00C93C7A" w:rsidP="003E14C8">
      <w:pPr>
        <w:spacing w:line="360" w:lineRule="auto"/>
        <w:jc w:val="both"/>
        <w:rPr>
          <w:rFonts w:ascii="Book Antiqua" w:hAnsi="Book Antiqua"/>
          <w:b/>
          <w:lang w:val="en-US"/>
        </w:rPr>
      </w:pPr>
    </w:p>
    <w:p w14:paraId="05A87B50" w14:textId="704D07D5" w:rsidR="00EB2530" w:rsidRPr="00860949" w:rsidRDefault="00380E29" w:rsidP="003E14C8">
      <w:pPr>
        <w:spacing w:line="360" w:lineRule="auto"/>
        <w:jc w:val="both"/>
        <w:rPr>
          <w:rFonts w:ascii="Book Antiqua" w:hAnsi="Book Antiqua"/>
          <w:b/>
          <w:lang w:val="en-US" w:eastAsia="zh-CN"/>
        </w:rPr>
      </w:pPr>
      <w:r w:rsidRPr="00C042FF">
        <w:rPr>
          <w:rFonts w:ascii="Book Antiqua" w:hAnsi="Book Antiqua"/>
          <w:b/>
          <w:lang w:val="en-US"/>
        </w:rPr>
        <w:t>Hemorrhages</w:t>
      </w:r>
      <w:r w:rsidR="00860949">
        <w:rPr>
          <w:rFonts w:ascii="Book Antiqua" w:hAnsi="Book Antiqua" w:hint="eastAsia"/>
          <w:b/>
          <w:lang w:val="en-US" w:eastAsia="zh-CN"/>
        </w:rPr>
        <w:t xml:space="preserve">: </w:t>
      </w:r>
      <w:r w:rsidRPr="00C042FF">
        <w:rPr>
          <w:rFonts w:ascii="Book Antiqua" w:hAnsi="Book Antiqua"/>
          <w:lang w:val="en-US"/>
        </w:rPr>
        <w:t xml:space="preserve">Immediate post-procedure bleeding </w:t>
      </w:r>
      <w:r w:rsidR="00C318DE" w:rsidRPr="00C042FF">
        <w:rPr>
          <w:rFonts w:ascii="Book Antiqua" w:hAnsi="Book Antiqua"/>
          <w:lang w:val="en-US"/>
        </w:rPr>
        <w:t xml:space="preserve">may occur due to irritation of the colon mucosa by stent flanges, tumor friability, trauma </w:t>
      </w:r>
      <w:r w:rsidR="0075707D" w:rsidRPr="00C042FF">
        <w:rPr>
          <w:rFonts w:ascii="Book Antiqua" w:hAnsi="Book Antiqua"/>
          <w:lang w:val="en-US"/>
        </w:rPr>
        <w:t>due to either</w:t>
      </w:r>
      <w:r w:rsidR="00C318DE" w:rsidRPr="00C042FF">
        <w:rPr>
          <w:rFonts w:ascii="Book Antiqua" w:hAnsi="Book Antiqua"/>
          <w:lang w:val="en-US"/>
        </w:rPr>
        <w:t xml:space="preserve"> stent passage or guidewire</w:t>
      </w:r>
      <w:r w:rsidR="0075707D" w:rsidRPr="00C042FF">
        <w:rPr>
          <w:rFonts w:ascii="Book Antiqua" w:hAnsi="Book Antiqua"/>
          <w:lang w:val="en-US"/>
        </w:rPr>
        <w:t xml:space="preserve"> placement</w:t>
      </w:r>
      <w:r w:rsidR="00C318DE" w:rsidRPr="00C042FF">
        <w:rPr>
          <w:rFonts w:ascii="Book Antiqua" w:hAnsi="Book Antiqua"/>
          <w:lang w:val="en-US"/>
        </w:rPr>
        <w:t xml:space="preserve">, or </w:t>
      </w:r>
      <w:r w:rsidR="0075707D" w:rsidRPr="00C042FF">
        <w:rPr>
          <w:rFonts w:ascii="Book Antiqua" w:hAnsi="Book Antiqua"/>
          <w:lang w:val="en-US"/>
        </w:rPr>
        <w:t>endoscope trauma</w:t>
      </w:r>
      <w:r w:rsidRPr="00C042FF">
        <w:rPr>
          <w:rFonts w:ascii="Book Antiqua" w:hAnsi="Book Antiqua"/>
          <w:lang w:val="en-US"/>
        </w:rPr>
        <w:t>. Late bleeding may be due to</w:t>
      </w:r>
      <w:r w:rsidR="0075707D" w:rsidRPr="00C042FF">
        <w:rPr>
          <w:rFonts w:ascii="Book Antiqua" w:hAnsi="Book Antiqua"/>
          <w:lang w:val="en-US"/>
        </w:rPr>
        <w:t xml:space="preserve"> stent related</w:t>
      </w:r>
      <w:r w:rsidRPr="00C042FF">
        <w:rPr>
          <w:rFonts w:ascii="Book Antiqua" w:hAnsi="Book Antiqua"/>
          <w:lang w:val="en-US"/>
        </w:rPr>
        <w:t xml:space="preserve"> ulcerations or erosions in the colonic mucosa</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[64]</w:t>
      </w:r>
      <w:r w:rsidR="001D2AD8" w:rsidRPr="00C042FF">
        <w:rPr>
          <w:rStyle w:val="FootnoteReference"/>
          <w:rFonts w:ascii="Book Antiqua" w:hAnsi="Book Antiqua"/>
        </w:rPr>
        <w:fldChar w:fldCharType="end"/>
      </w:r>
      <w:r w:rsidR="00E1163E" w:rsidRPr="00C042FF">
        <w:rPr>
          <w:rFonts w:ascii="Book Antiqua" w:hAnsi="Book Antiqua"/>
          <w:lang w:val="en-US"/>
        </w:rPr>
        <w:t>.</w:t>
      </w:r>
    </w:p>
    <w:p w14:paraId="0F843D35" w14:textId="77777777" w:rsidR="00327A23" w:rsidRPr="00C042FF" w:rsidRDefault="00327A23" w:rsidP="003E14C8">
      <w:pPr>
        <w:spacing w:line="360" w:lineRule="auto"/>
        <w:jc w:val="both"/>
        <w:rPr>
          <w:rFonts w:ascii="Book Antiqua" w:hAnsi="Book Antiqua"/>
          <w:lang w:val="en-US"/>
        </w:rPr>
      </w:pPr>
    </w:p>
    <w:p w14:paraId="2D91DBE9" w14:textId="35CAD108" w:rsidR="00122A6C" w:rsidRPr="00860949" w:rsidRDefault="00380E29" w:rsidP="003E14C8">
      <w:pPr>
        <w:spacing w:line="360" w:lineRule="auto"/>
        <w:jc w:val="both"/>
        <w:rPr>
          <w:rFonts w:ascii="Book Antiqua" w:hAnsi="Book Antiqua"/>
          <w:b/>
          <w:lang w:val="en-US" w:eastAsia="zh-CN"/>
        </w:rPr>
      </w:pPr>
      <w:r w:rsidRPr="00C042FF">
        <w:rPr>
          <w:rFonts w:ascii="Book Antiqua" w:hAnsi="Book Antiqua"/>
          <w:b/>
          <w:lang w:val="en-US"/>
        </w:rPr>
        <w:t>Pain</w:t>
      </w:r>
      <w:r w:rsidR="00860949">
        <w:rPr>
          <w:rFonts w:ascii="Book Antiqua" w:hAnsi="Book Antiqua" w:hint="eastAsia"/>
          <w:b/>
          <w:lang w:val="en-US" w:eastAsia="zh-CN"/>
        </w:rPr>
        <w:t xml:space="preserve">: </w:t>
      </w:r>
      <w:r w:rsidRPr="00C042FF">
        <w:rPr>
          <w:rFonts w:ascii="Book Antiqua" w:hAnsi="Book Antiqua"/>
          <w:lang w:val="en-US"/>
        </w:rPr>
        <w:t xml:space="preserve">Mild abdominal pain is common and may be prolonged up to five days after stenting. For this, the use of </w:t>
      </w:r>
      <w:r w:rsidR="0075707D" w:rsidRPr="00C042FF">
        <w:rPr>
          <w:rFonts w:ascii="Book Antiqua" w:hAnsi="Book Antiqua"/>
          <w:lang w:val="en-US"/>
        </w:rPr>
        <w:t>simple analgesics can be helpful</w:t>
      </w:r>
      <w:r w:rsidRPr="00C042FF">
        <w:rPr>
          <w:rFonts w:ascii="Book Antiqua" w:hAnsi="Book Antiqua"/>
          <w:lang w:val="en-US"/>
        </w:rPr>
        <w:t xml:space="preserve">. Opioid </w:t>
      </w:r>
      <w:r w:rsidRPr="00C042FF">
        <w:rPr>
          <w:rFonts w:ascii="Book Antiqua" w:hAnsi="Book Antiqua"/>
          <w:lang w:val="en-US"/>
        </w:rPr>
        <w:lastRenderedPageBreak/>
        <w:t>analgesics may be required within 48 to 72 h of stenting due to expansion of the stent with consequent worsening of pain</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reviews","id":"ITEM-1","issue":"11","issued":{"date-parts":[["2011","11"]]},"language":"eng","page":"CD007378","publisher-place":"England","title":"Colorectal stents for the management of malignant colonic obstructions.","type":"article-journal"},"uris":["http://www.mendeley.com/documents/?uuid=5f8312c1-a567-4ce0-9450-aa637bdb7d08"]},{"id":"ITEM-2","itemData":{"ISSN":"01209957","abstract":"Técnicas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Gastroenterologia","id":"ITEM-2","issue":"1","issued":{"date-parts":[["2012"]]},"title":"Tecnicas en stents gastrointestinales endoscopicos: cómo, cuándo, manejo de complicaciones, selección del stent y costos","type":"article-journal","volume":"27"},"uris":["http://www.mendeley.com/documents/?uuid=e7a5f907-79d3-4c29-9acd-d146106410da"]}],"mendeley":{"formattedCitation":"&lt;sup&gt;[34,86]&lt;/sup&gt;","plainTextFormattedCitation":"[34,86]","previouslyFormattedCitation":"(34,86)"},"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noProof/>
          <w:vertAlign w:val="superscript"/>
          <w:lang w:val="en-US"/>
        </w:rPr>
        <w:t>[34,8</w:t>
      </w:r>
      <w:r w:rsidR="00320B98">
        <w:rPr>
          <w:rFonts w:ascii="Book Antiqua" w:hAnsi="Book Antiqua" w:hint="eastAsia"/>
          <w:noProof/>
          <w:vertAlign w:val="superscript"/>
          <w:lang w:val="en-US" w:eastAsia="zh-CN"/>
        </w:rPr>
        <w:t>5</w:t>
      </w:r>
      <w:r w:rsidR="008201F7" w:rsidRPr="00C042FF">
        <w:rPr>
          <w:rFonts w:ascii="Book Antiqua" w:hAnsi="Book Antiqua"/>
          <w:noProof/>
          <w:vertAlign w:val="superscript"/>
          <w:lang w:val="en-US"/>
        </w:rPr>
        <w:t>]</w:t>
      </w:r>
      <w:r w:rsidR="001D2AD8" w:rsidRPr="00C042FF">
        <w:rPr>
          <w:rStyle w:val="FootnoteReference"/>
          <w:rFonts w:ascii="Book Antiqua" w:hAnsi="Book Antiqua"/>
          <w:lang w:val="en-US"/>
        </w:rPr>
        <w:fldChar w:fldCharType="end"/>
      </w:r>
      <w:r w:rsidR="00920E3C" w:rsidRPr="00C042FF">
        <w:rPr>
          <w:rFonts w:ascii="Book Antiqua" w:hAnsi="Book Antiqua"/>
          <w:lang w:val="en-US"/>
        </w:rPr>
        <w:t>.</w:t>
      </w:r>
      <w:r w:rsidR="0075707D" w:rsidRPr="00C042FF">
        <w:rPr>
          <w:rFonts w:ascii="Book Antiqua" w:hAnsi="Book Antiqua"/>
          <w:lang w:val="en-US"/>
        </w:rPr>
        <w:t xml:space="preserve"> </w:t>
      </w:r>
      <w:r w:rsidRPr="00C042FF">
        <w:rPr>
          <w:rFonts w:ascii="Book Antiqua" w:hAnsi="Book Antiqua"/>
          <w:lang w:val="en-US"/>
        </w:rPr>
        <w:t>For low rectal lesions, stent-induced irritation of the nerve endings near the squamous-colu</w:t>
      </w:r>
      <w:r w:rsidR="0075707D" w:rsidRPr="00C042FF">
        <w:rPr>
          <w:rFonts w:ascii="Book Antiqua" w:hAnsi="Book Antiqua"/>
          <w:lang w:val="en-US"/>
        </w:rPr>
        <w:t>mnar junction should be avoided</w:t>
      </w:r>
      <w:r w:rsidR="00EB2530" w:rsidRPr="00C042FF">
        <w:rPr>
          <w:rFonts w:ascii="Book Antiqua" w:hAnsi="Book Antiqua"/>
          <w:lang w:val="en-US"/>
        </w:rPr>
        <w:t>.</w:t>
      </w:r>
    </w:p>
    <w:p w14:paraId="1DBFDB7A" w14:textId="77777777" w:rsidR="00387991" w:rsidRPr="00C042FF" w:rsidRDefault="00387991" w:rsidP="003E14C8">
      <w:pPr>
        <w:spacing w:line="360" w:lineRule="auto"/>
        <w:jc w:val="both"/>
        <w:rPr>
          <w:rFonts w:ascii="Book Antiqua" w:eastAsiaTheme="majorEastAsia" w:hAnsi="Book Antiqua" w:cstheme="majorBidi"/>
          <w:lang w:val="en-US"/>
        </w:rPr>
      </w:pPr>
    </w:p>
    <w:p w14:paraId="17AB80DA" w14:textId="4E308B56" w:rsidR="0068541B" w:rsidRPr="00860949" w:rsidRDefault="00380E29" w:rsidP="00860949">
      <w:pPr>
        <w:spacing w:line="360" w:lineRule="auto"/>
        <w:jc w:val="both"/>
        <w:rPr>
          <w:rFonts w:ascii="Book Antiqua" w:hAnsi="Book Antiqua" w:cstheme="majorBidi"/>
          <w:b/>
          <w:lang w:val="en-US" w:eastAsia="zh-CN"/>
        </w:rPr>
      </w:pPr>
      <w:r w:rsidRPr="00C042FF">
        <w:rPr>
          <w:rFonts w:ascii="Book Antiqua" w:eastAsiaTheme="majorEastAsia" w:hAnsi="Book Antiqua" w:cstheme="majorBidi"/>
          <w:b/>
          <w:lang w:val="en-US"/>
        </w:rPr>
        <w:t>Colonic decompression failure</w:t>
      </w:r>
      <w:r w:rsidR="00860949">
        <w:rPr>
          <w:rFonts w:ascii="Book Antiqua" w:hAnsi="Book Antiqua" w:cstheme="majorBidi" w:hint="eastAsia"/>
          <w:b/>
          <w:lang w:val="en-US" w:eastAsia="zh-CN"/>
        </w:rPr>
        <w:t xml:space="preserve">: </w:t>
      </w:r>
      <w:r w:rsidR="00D637DF" w:rsidRPr="00C042FF">
        <w:rPr>
          <w:rFonts w:ascii="Book Antiqua" w:hAnsi="Book Antiqua"/>
          <w:lang w:val="en-US"/>
        </w:rPr>
        <w:t xml:space="preserve">Despite the high </w:t>
      </w:r>
      <w:r w:rsidR="009208EE" w:rsidRPr="00C042FF">
        <w:rPr>
          <w:rFonts w:ascii="Book Antiqua" w:hAnsi="Book Antiqua"/>
          <w:lang w:val="en-US"/>
        </w:rPr>
        <w:t xml:space="preserve">technical </w:t>
      </w:r>
      <w:r w:rsidR="00D637DF" w:rsidRPr="00C042FF">
        <w:rPr>
          <w:rFonts w:ascii="Book Antiqua" w:hAnsi="Book Antiqua"/>
          <w:lang w:val="en-US"/>
        </w:rPr>
        <w:t xml:space="preserve">success </w:t>
      </w:r>
      <w:r w:rsidR="009208EE" w:rsidRPr="00C042FF">
        <w:rPr>
          <w:rFonts w:ascii="Book Antiqua" w:hAnsi="Book Antiqua"/>
          <w:lang w:val="en-US"/>
        </w:rPr>
        <w:t>of stent implantation</w:t>
      </w:r>
      <w:r w:rsidR="00D637DF" w:rsidRPr="00C042FF">
        <w:rPr>
          <w:rFonts w:ascii="Book Antiqua" w:hAnsi="Book Antiqua"/>
          <w:lang w:val="en-US"/>
        </w:rPr>
        <w:t>, failure of colon</w:t>
      </w:r>
      <w:r w:rsidR="009208EE" w:rsidRPr="00C042FF">
        <w:rPr>
          <w:rFonts w:ascii="Book Antiqua" w:hAnsi="Book Antiqua"/>
          <w:lang w:val="en-US"/>
        </w:rPr>
        <w:t xml:space="preserve">ic decompression can occur. This often results in urgent surgery and is </w:t>
      </w:r>
      <w:r w:rsidR="00D637DF" w:rsidRPr="00C042FF">
        <w:rPr>
          <w:rFonts w:ascii="Book Antiqua" w:hAnsi="Book Antiqua"/>
          <w:lang w:val="en-US"/>
        </w:rPr>
        <w:t xml:space="preserve">considered a serious </w:t>
      </w:r>
      <w:r w:rsidR="009208EE" w:rsidRPr="00C042FF">
        <w:rPr>
          <w:rFonts w:ascii="Book Antiqua" w:hAnsi="Book Antiqua"/>
          <w:lang w:val="en-US"/>
        </w:rPr>
        <w:t xml:space="preserve">adverse </w:t>
      </w:r>
      <w:r w:rsidR="00D637DF" w:rsidRPr="00C042FF">
        <w:rPr>
          <w:rFonts w:ascii="Book Antiqua" w:hAnsi="Book Antiqua"/>
          <w:lang w:val="en-US"/>
        </w:rPr>
        <w:t>event</w:t>
      </w:r>
      <w:r w:rsidR="001D2AD8" w:rsidRPr="00C042FF">
        <w:rPr>
          <w:rStyle w:val="FootnoteReference"/>
          <w:rFonts w:ascii="Book Antiqua" w:hAnsi="Book Antiqua"/>
          <w:lang w:val="en-US"/>
        </w:rPr>
        <w:fldChar w:fldCharType="begin" w:fldLock="1"/>
      </w:r>
      <w:r w:rsidR="008201F7" w:rsidRPr="00C042FF">
        <w:rPr>
          <w:rFonts w:ascii="Book Antiqua" w:hAnsi="Book Antiqua"/>
          <w:lang w:val="en-US"/>
        </w:rPr>
        <w:instrText>ADDIN CSL_CITATION {"citationItems":[{"id":"ITEM-1","itemData":{"DOI":"10.1007/s00384-018-3137-0","ISSN":"0179-1958","author":[{"dropping-particle":"","family":"Cao","given":"Yinghao","non-dropping-particle":"","parse-names":false,"suffix":""},{"dropping-particle":"","family":"Deng","given":"Shenghe","non-dropping-particle":"","parse-names":false,"suffix":""},{"dropping-particle":"","family":"Wu","given":"Ke","non-dropping-particle":"","parse-names":false,"suffix":""},{"dropping-particle":"","family":"Zheng","given":"Hai","non-dropping-particle":"","parse-names":false,"suffix":""},{"dropping-particle":"","family":"Cheng","given":"Ping","non-dropping-particle":"","parse-names":false,"suffix":""},{"dropping-particle":"","family":"Zhang","given":"Jingxiang","non-dropping-particle":"","parse-names":false,"suffix":""},{"dropping-particle":"","family":"Chen","given":"Libo","non-dropping-particle":"","parse-names":false,"suffix":""},{"dropping-particle":"","family":"Tang","given":"Shouyuan","non-dropping-particle":"","parse-names":false,"suffix":""},{"dropping-particle":"","family":"Wang","given":"Pingfa","non-dropping-particle":"","parse-names":false,"suffix":""},{"dropping-particle":"","family":"Liao","given":"Xiaofeng","non-dropping-particle":"","parse-names":false,"suffix":""},{"dropping-particle":"","family":"Zhang","given":"Yongkang","non-dropping-particle":"","parse-names":false,"suffix":""},{"dropping-particle":"","family":"Zhu","given":"Gaobo","non-dropping-particle":"","parse-names":false,"suffix":""},{"dropping-particle":"","family":"Tong","given":"Qiaoyun","non-dropping-particle":"","parse-names":false,"suffix":""},{"dropping-particle":"","family":"Wang","given":"Jiliang","non-dropping-particle":"","parse-names":false,"suffix":""},{"dropping-particle":"","family":"Gao","given":"Jinbo","non-dropping-particle":"","parse-names":false,"suffix":""},{"dropping-particle":"","family":"Shuai","given":"Xiaoming","non-dropping-particle":"","parse-names":false,"suffix":""},{"dropping-particle":"","family":"Tao","given":"KaiXiong","non-dropping-particle":"","parse-names":false,"suffix":""},{"dropping-particle":"","family":"Wang","given":"Guobin","non-dropping-particle":"","parse-names":false,"suffix":""},{"dropping-particle":"","family":"Li","given":"Jiang","non-dropping-particle":"","parse-names":false,"suffix":""},{"dropping-particle":"","family":"Cai","given":"Kailin","non-dropping-particle":"","parse-names":false,"suffix":""}],"container-title":"International Journal of Colorectal Disease","id":"ITEM-1","issued":{"date-parts":[["2018","8","8"]]},"title":"Oncological consequence of emergent resection of perforated colon cancer with complete obstruction after stent insertion as a bridge to surgery","type":"article-journal"},"uris":["http://www.mendeley.com/documents/?uuid=55f572c7-05bd-4787-953a-dab02a36048b"]},{"id":"ITEM-2","itemData":{"DOI":"10.1016/j.gie.2018.02.006","ISSN":"00165107","author":[{"dropping-particle":"","family":"Lee","given":"Yoo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Endoscopy","id":"ITEM-2","issue":"6","issued":{"date-parts":[["2018","6"]]},"page":"1548-1557.e1","title":"Clinical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[9,104]&lt;/sup&gt;","plainTextFormattedCitation":"[9,104]","previouslyFormattedCitation":"(9,104)"},"properties":{"noteIndex":0},"schema":"https://github.com/citation-style-language/schema/raw/master/csl-citation.json"}</w:instrText>
      </w:r>
      <w:r w:rsidR="001D2AD8" w:rsidRPr="00C042FF">
        <w:rPr>
          <w:rStyle w:val="FootnoteReference"/>
          <w:rFonts w:ascii="Book Antiqua" w:hAnsi="Book Antiqua"/>
          <w:lang w:val="en-US"/>
        </w:rPr>
        <w:fldChar w:fldCharType="separate"/>
      </w:r>
      <w:r w:rsidR="008201F7" w:rsidRPr="00C042FF">
        <w:rPr>
          <w:rFonts w:ascii="Book Antiqua" w:hAnsi="Book Antiqua"/>
          <w:bCs/>
          <w:noProof/>
          <w:vertAlign w:val="superscript"/>
        </w:rPr>
        <w:t>[9,10</w:t>
      </w:r>
      <w:r w:rsidR="00320B98">
        <w:rPr>
          <w:rFonts w:ascii="Book Antiqua" w:hAnsi="Book Antiqua" w:hint="eastAsia"/>
          <w:bCs/>
          <w:noProof/>
          <w:vertAlign w:val="superscript"/>
          <w:lang w:eastAsia="zh-CN"/>
        </w:rPr>
        <w:t>3</w:t>
      </w:r>
      <w:r w:rsidR="008201F7" w:rsidRPr="00C042FF">
        <w:rPr>
          <w:rFonts w:ascii="Book Antiqua" w:hAnsi="Book Antiqua"/>
          <w:bCs/>
          <w:noProof/>
          <w:vertAlign w:val="superscript"/>
        </w:rPr>
        <w:t>]</w:t>
      </w:r>
      <w:r w:rsidR="001D2AD8" w:rsidRPr="00C042FF">
        <w:rPr>
          <w:rStyle w:val="FootnoteReference"/>
          <w:rFonts w:ascii="Book Antiqua" w:hAnsi="Book Antiqua"/>
          <w:lang w:val="en-US"/>
        </w:rPr>
        <w:fldChar w:fldCharType="end"/>
      </w:r>
      <w:r w:rsidR="00D637DF" w:rsidRPr="00C042FF">
        <w:rPr>
          <w:rFonts w:ascii="Book Antiqua" w:hAnsi="Book Antiqua"/>
          <w:lang w:val="en-US"/>
        </w:rPr>
        <w:t>. The most common reasons are described below</w:t>
      </w:r>
      <w:r w:rsidR="001D2AD8" w:rsidRPr="00C042FF">
        <w:rPr>
          <w:rStyle w:val="FootnoteReference"/>
          <w:rFonts w:ascii="Book Antiqua" w:hAnsi="Book Antiqua"/>
        </w:rPr>
        <w:fldChar w:fldCharType="begin" w:fldLock="1"/>
      </w:r>
      <w:r w:rsidR="008201F7" w:rsidRPr="00C042FF">
        <w:rPr>
          <w:rFonts w:ascii="Book Antiqua" w:hAnsi="Book Antiqua"/>
        </w:rPr>
        <w:instrText>ADDIN CSL_CITATION {"citationItems":[{"id":"ITEM-1","itemData":{"DOI":"10.1016/S0016-5107(98)70327-X","ISBN":"0016-5107 (Print)\\r0016-5107 (Linking)","ISSN":"00165107","PMID":"9540883","abstract":"BACKGROUND: Acute left-sided colonic obstruction is a surgical emergency whose management is controversial. Because experience using expandable metal stents for relief of this type of obstruction is limited, we evaluated their effectiveness, feasibility, safety, and outcome. METHODS: Twenty-five patients with acute colorectal obstruction underwent placement of various metal stents under fluoroscopic and endoscopic guidance. On an intent-to-treat basis, stents were placed for decompression before one-stage surgical resection in 10 patients and palliatively in 15 patients. Two preoperative patients had unresectable malignant disease, and stents were left for palliation resulting in 17 palliative and 10 preoperative patients for analysis. RESULTS: Stent placement was technically successful in 94% of patients. Overall effectiveness in relieving obstruction was 85% (palliative 82%, preoperative 90%). In the palliative group, stent duration ranged from 2 to 64 weeks (mean 17.3 weeks). Major complications occurred in 7 patients (30%). CONCLUSIONS: Expandable metal stents are a feasible, effective adjunct and alternative to surgery for acute colorectal obstruction.","author":[{"dropping-particle":"","family":"Baron","given":"Todd H.","non-dropping-particle":"","parse-names":false,"suffix":""},{"dropping-particle":"","family":"Dean","given":"Phillip A.","non-dropping-particle":"","parse-names":false,"suffix":""},{"dropping-particle":"","family":"Yates  3rd","given":"M R","non-dropping-particle":"","parse-names":false,"suffix":""},{"dropping-particle":"","family":"Canon","given":"Cheri","non-dropping-particle":"","parse-names":false,"suffix":""},{"dropping-particle":"","family":"Koehler","given":"Robert E.","non-dropping-particle":"","parse-names":false,"suffix":""},{"dropping-particle":"","family":"Yates","given":"Munford R.","non-dropping-particle":"","parse-names":false,"suffix":""},{"dropping-particle":"","family":"Canon","given":"Cheri","non-dropping-particle":"","parse-names":false,"suffix":""},{"dropping-particle":"","family":"Koehler","given":"Robert E.","non-dropping-particle":"","parse-names":false,"suffix":""}],"container-title":"Gastrointestinal Endoscopy","id":"ITEM-1","issue":"3","issued":{"date-parts":[["1998","3"]]},"page":"277-286","title":"Expandable metal stents for the treatment of colonic obstruction: techniques and outcomes","type":"article-journal","volume":"47"},"uris":["http://www.mendeley.com/documents/?uuid=667b63af-d510-49be-8fde-8d2f8b0a48a1"]}],"mendeley":{"formattedCitation":"&lt;sup&gt;[92]&lt;/sup&gt;","plainTextFormattedCitation":"[92]","previouslyFormattedCitation":"(92)"},"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[9</w:t>
      </w:r>
      <w:r w:rsidR="00320B98">
        <w:rPr>
          <w:rFonts w:ascii="Book Antiqua" w:hAnsi="Book Antiqua" w:hint="eastAsia"/>
          <w:noProof/>
          <w:vertAlign w:val="superscript"/>
          <w:lang w:val="en-US" w:eastAsia="zh-CN"/>
        </w:rPr>
        <w:t>1</w:t>
      </w:r>
      <w:r w:rsidR="008201F7" w:rsidRPr="00C042FF">
        <w:rPr>
          <w:rFonts w:ascii="Book Antiqua" w:hAnsi="Book Antiqua"/>
          <w:noProof/>
          <w:vertAlign w:val="superscript"/>
          <w:lang w:val="en-US"/>
        </w:rPr>
        <w:t>]</w:t>
      </w:r>
      <w:r w:rsidR="001D2AD8" w:rsidRPr="00C042FF">
        <w:rPr>
          <w:rStyle w:val="FootnoteReference"/>
          <w:rFonts w:ascii="Book Antiqua" w:hAnsi="Book Antiqua"/>
        </w:rPr>
        <w:fldChar w:fldCharType="end"/>
      </w:r>
      <w:r w:rsidR="00EB2530" w:rsidRPr="00C042FF">
        <w:rPr>
          <w:rFonts w:ascii="Book Antiqua" w:hAnsi="Book Antiqua"/>
          <w:lang w:val="en-US"/>
        </w:rPr>
        <w:t>:</w:t>
      </w:r>
      <w:r w:rsidR="00860949">
        <w:rPr>
          <w:rFonts w:ascii="Book Antiqua" w:hAnsi="Book Antiqua" w:hint="eastAsia"/>
          <w:lang w:val="en-US" w:eastAsia="zh-CN"/>
        </w:rPr>
        <w:t xml:space="preserve"> </w:t>
      </w:r>
      <w:r w:rsidR="0068541B" w:rsidRPr="00C042FF">
        <w:rPr>
          <w:rFonts w:ascii="Book Antiqua" w:hAnsi="Book Antiqua"/>
          <w:lang w:val="en-US"/>
        </w:rPr>
        <w:t xml:space="preserve">Other additional </w:t>
      </w:r>
      <w:r w:rsidR="009208EE" w:rsidRPr="00C042FF">
        <w:rPr>
          <w:rFonts w:ascii="Book Antiqua" w:hAnsi="Book Antiqua"/>
          <w:lang w:val="en-US"/>
        </w:rPr>
        <w:t>sites of intestinal obstruction</w:t>
      </w:r>
      <w:r w:rsidR="00860949">
        <w:rPr>
          <w:rFonts w:ascii="Book Antiqua" w:hAnsi="Book Antiqua" w:hint="eastAsia"/>
          <w:lang w:val="en-US" w:eastAsia="zh-CN"/>
        </w:rPr>
        <w:t xml:space="preserve">; </w:t>
      </w:r>
      <w:r w:rsidR="009208EE" w:rsidRPr="00C042FF">
        <w:rPr>
          <w:rFonts w:ascii="Book Antiqua" w:hAnsi="Book Antiqua"/>
          <w:lang w:val="en-US"/>
        </w:rPr>
        <w:t>Stent shorter</w:t>
      </w:r>
      <w:r w:rsidR="0068541B" w:rsidRPr="00C042FF">
        <w:rPr>
          <w:rFonts w:ascii="Book Antiqua" w:hAnsi="Book Antiqua"/>
          <w:lang w:val="en-US"/>
        </w:rPr>
        <w:t xml:space="preserve"> than stenosis length</w:t>
      </w:r>
      <w:r w:rsidR="00860949">
        <w:rPr>
          <w:rFonts w:ascii="Book Antiqua" w:hAnsi="Book Antiqua" w:hint="eastAsia"/>
          <w:lang w:val="en-US" w:eastAsia="zh-CN"/>
        </w:rPr>
        <w:t xml:space="preserve">; </w:t>
      </w:r>
      <w:r w:rsidR="009208EE" w:rsidRPr="00C042FF">
        <w:rPr>
          <w:rFonts w:ascii="Book Antiqua" w:hAnsi="Book Antiqua"/>
          <w:lang w:val="en-US"/>
        </w:rPr>
        <w:t>Incomplete</w:t>
      </w:r>
      <w:r w:rsidR="00F4025A" w:rsidRPr="00C042FF">
        <w:rPr>
          <w:rFonts w:ascii="Book Antiqua" w:hAnsi="Book Antiqua"/>
          <w:lang w:val="en-US"/>
        </w:rPr>
        <w:t xml:space="preserve"> stent expansion</w:t>
      </w:r>
      <w:r w:rsidR="00860949">
        <w:rPr>
          <w:rFonts w:ascii="Book Antiqua" w:hAnsi="Book Antiqua" w:hint="eastAsia"/>
          <w:lang w:val="en-US" w:eastAsia="zh-CN"/>
        </w:rPr>
        <w:t xml:space="preserve">; </w:t>
      </w:r>
      <w:r w:rsidR="00F4025A" w:rsidRPr="00C042FF">
        <w:rPr>
          <w:rFonts w:ascii="Book Antiqua" w:hAnsi="Book Antiqua"/>
          <w:lang w:val="en-US"/>
        </w:rPr>
        <w:t>S</w:t>
      </w:r>
      <w:r w:rsidR="0068541B" w:rsidRPr="00C042FF">
        <w:rPr>
          <w:rFonts w:ascii="Book Antiqua" w:hAnsi="Book Antiqua"/>
          <w:lang w:val="en-US"/>
        </w:rPr>
        <w:t>tent migration</w:t>
      </w:r>
      <w:r w:rsidR="00860949">
        <w:rPr>
          <w:rFonts w:ascii="Book Antiqua" w:hAnsi="Book Antiqua" w:hint="eastAsia"/>
          <w:lang w:val="en-US" w:eastAsia="zh-CN"/>
        </w:rPr>
        <w:t xml:space="preserve">; </w:t>
      </w:r>
      <w:r w:rsidR="00B369D4" w:rsidRPr="00C042FF">
        <w:rPr>
          <w:rFonts w:ascii="Book Antiqua" w:hAnsi="Book Antiqua"/>
          <w:lang w:val="en-US"/>
        </w:rPr>
        <w:t>U</w:t>
      </w:r>
      <w:r w:rsidR="0068541B" w:rsidRPr="00C042FF">
        <w:rPr>
          <w:rFonts w:ascii="Book Antiqua" w:hAnsi="Book Antiqua"/>
          <w:lang w:val="en-US"/>
        </w:rPr>
        <w:t>nderlying motility disorder</w:t>
      </w:r>
      <w:r w:rsidR="00860949">
        <w:rPr>
          <w:rFonts w:ascii="Book Antiqua" w:hAnsi="Book Antiqua" w:hint="eastAsia"/>
          <w:lang w:val="en-US" w:eastAsia="zh-CN"/>
        </w:rPr>
        <w:t xml:space="preserve">; </w:t>
      </w:r>
      <w:r w:rsidR="0068541B" w:rsidRPr="00C042FF">
        <w:rPr>
          <w:rFonts w:ascii="Book Antiqua" w:hAnsi="Book Antiqua"/>
          <w:lang w:val="en-US"/>
        </w:rPr>
        <w:t>Fecal impaction</w:t>
      </w:r>
      <w:r w:rsidR="00860949">
        <w:rPr>
          <w:rFonts w:ascii="Book Antiqua" w:hAnsi="Book Antiqua" w:hint="eastAsia"/>
          <w:lang w:val="en-US" w:eastAsia="zh-CN"/>
        </w:rPr>
        <w:t>.</w:t>
      </w:r>
      <w:r w:rsidR="0068541B" w:rsidRPr="00C042FF">
        <w:rPr>
          <w:rFonts w:ascii="Book Antiqua" w:hAnsi="Book Antiqua"/>
          <w:lang w:val="en-US"/>
        </w:rPr>
        <w:t xml:space="preserve"> </w:t>
      </w:r>
    </w:p>
    <w:p w14:paraId="77ACA8D3" w14:textId="77777777" w:rsidR="00A053DF" w:rsidRPr="00C042FF" w:rsidRDefault="00A053DF" w:rsidP="003E14C8">
      <w:pPr>
        <w:spacing w:line="360" w:lineRule="auto"/>
        <w:jc w:val="both"/>
        <w:rPr>
          <w:rFonts w:ascii="Book Antiqua" w:hAnsi="Book Antiqua"/>
          <w:lang w:val="en-US"/>
        </w:rPr>
      </w:pPr>
    </w:p>
    <w:p w14:paraId="08AF40A8" w14:textId="27009FB1" w:rsidR="00D60C82" w:rsidRPr="00A52CA0" w:rsidRDefault="00D60C82" w:rsidP="003E14C8">
      <w:pPr>
        <w:spacing w:line="360" w:lineRule="auto"/>
        <w:jc w:val="both"/>
        <w:rPr>
          <w:rFonts w:ascii="Book Antiqua" w:hAnsi="Book Antiqua" w:cstheme="majorBidi"/>
          <w:b/>
          <w:i/>
          <w:lang w:val="en-US" w:eastAsia="zh-CN"/>
        </w:rPr>
      </w:pPr>
      <w:r w:rsidRPr="00860949">
        <w:rPr>
          <w:rFonts w:ascii="Book Antiqua" w:eastAsiaTheme="majorEastAsia" w:hAnsi="Book Antiqua" w:cstheme="majorBidi"/>
          <w:b/>
          <w:i/>
          <w:lang w:val="en-US"/>
        </w:rPr>
        <w:t xml:space="preserve">Evidence 1A in </w:t>
      </w:r>
      <w:r w:rsidR="00860949" w:rsidRPr="00860949">
        <w:rPr>
          <w:rFonts w:ascii="Book Antiqua" w:eastAsiaTheme="majorEastAsia" w:hAnsi="Book Antiqua" w:cstheme="majorBidi"/>
          <w:b/>
          <w:i/>
          <w:lang w:val="en-US"/>
        </w:rPr>
        <w:t>l</w:t>
      </w:r>
      <w:r w:rsidRPr="00860949">
        <w:rPr>
          <w:rFonts w:ascii="Book Antiqua" w:eastAsiaTheme="majorEastAsia" w:hAnsi="Book Antiqua" w:cstheme="majorBidi"/>
          <w:b/>
          <w:i/>
          <w:lang w:val="en-US"/>
        </w:rPr>
        <w:t>iterature</w:t>
      </w:r>
    </w:p>
    <w:p w14:paraId="74E50187" w14:textId="6EF2074B" w:rsidR="00FA0BB8" w:rsidRPr="006B0F08" w:rsidRDefault="00C74253" w:rsidP="00860949">
      <w:pPr>
        <w:spacing w:line="360" w:lineRule="auto"/>
        <w:jc w:val="both"/>
        <w:rPr>
          <w:rFonts w:ascii="Book Antiqua" w:hAnsi="Book Antiqua"/>
          <w:lang w:val="en-US" w:eastAsia="zh-CN"/>
        </w:rPr>
      </w:pPr>
      <w:r w:rsidRPr="00860949">
        <w:rPr>
          <w:rFonts w:ascii="Book Antiqua" w:hAnsi="Book Antiqua"/>
          <w:b/>
          <w:lang w:val="en-US"/>
        </w:rPr>
        <w:t>Stent as bridge for surgery</w:t>
      </w:r>
      <w:r w:rsidR="00A053DF" w:rsidRPr="00860949">
        <w:rPr>
          <w:rFonts w:ascii="Book Antiqua" w:hAnsi="Book Antiqua"/>
          <w:b/>
          <w:lang w:val="en-US"/>
        </w:rPr>
        <w:t xml:space="preserve"> (Figure 8)</w:t>
      </w:r>
      <w:r w:rsidR="00860949" w:rsidRPr="00860949">
        <w:rPr>
          <w:rFonts w:ascii="Book Antiqua" w:hAnsi="Book Antiqua" w:hint="eastAsia"/>
          <w:b/>
          <w:lang w:val="en-US" w:eastAsia="zh-CN"/>
        </w:rPr>
        <w:t>:</w:t>
      </w:r>
      <w:r w:rsidR="00860949">
        <w:rPr>
          <w:rFonts w:ascii="Book Antiqua" w:hAnsi="Book Antiqua" w:hint="eastAsia"/>
          <w:b/>
          <w:lang w:val="en-US" w:eastAsia="zh-CN"/>
        </w:rPr>
        <w:t xml:space="preserve"> </w:t>
      </w:r>
      <w:r w:rsidR="009041E1" w:rsidRPr="00C042FF">
        <w:rPr>
          <w:rFonts w:ascii="Book Antiqua" w:hAnsi="Book Antiqua"/>
          <w:lang w:val="en-US"/>
        </w:rPr>
        <w:t>In a recent systematic review and meta-analysis performed by</w:t>
      </w:r>
      <w:r w:rsidR="00432AD0" w:rsidRPr="00C042FF">
        <w:rPr>
          <w:rFonts w:ascii="Book Antiqua" w:hAnsi="Book Antiqua"/>
          <w:lang w:val="en-US"/>
        </w:rPr>
        <w:t xml:space="preserve"> A</w:t>
      </w:r>
      <w:r w:rsidR="001402DC" w:rsidRPr="00C042FF">
        <w:rPr>
          <w:rFonts w:ascii="Book Antiqua" w:hAnsi="Book Antiqua"/>
          <w:lang w:val="en-US"/>
        </w:rPr>
        <w:t>rez</w:t>
      </w:r>
      <w:r w:rsidR="00432AD0" w:rsidRPr="00C042FF">
        <w:rPr>
          <w:rFonts w:ascii="Book Antiqua" w:hAnsi="Book Antiqua"/>
          <w:lang w:val="en-US"/>
        </w:rPr>
        <w:t>z</w:t>
      </w:r>
      <w:r w:rsidR="001402DC" w:rsidRPr="00C042FF">
        <w:rPr>
          <w:rFonts w:ascii="Book Antiqua" w:hAnsi="Book Antiqua"/>
          <w:lang w:val="en-US"/>
        </w:rPr>
        <w:t>o</w:t>
      </w:r>
      <w:r w:rsidR="001402DC" w:rsidRPr="00860949">
        <w:rPr>
          <w:rFonts w:ascii="Book Antiqua" w:hAnsi="Book Antiqua"/>
          <w:i/>
          <w:lang w:val="en-US"/>
        </w:rPr>
        <w:t xml:space="preserve"> et al</w:t>
      </w:r>
      <w:r w:rsidR="001D2AD8" w:rsidRPr="00C042FF">
        <w:rPr>
          <w:rStyle w:val="FootnoteReference"/>
          <w:rFonts w:ascii="Book Antiqua" w:hAnsi="Book Antiqua"/>
        </w:rPr>
        <w:fldChar w:fldCharType="begin" w:fldLock="1"/>
      </w:r>
      <w:r w:rsidR="008201F7" w:rsidRPr="00C042FF">
        <w:rPr>
          <w:rFonts w:ascii="Book Antiqua" w:hAnsi="Book Antiqua"/>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lt;sup&gt;[15]&lt;/sup&gt;","plainTextFormattedCitation":"[15]","previouslyFormattedCitation":"(15)"},"properties":{"noteIndex":0},"schema":"https://github.com/citation-style-language/schema/raw/master/csl-citation.json"}</w:instrText>
      </w:r>
      <w:r w:rsidR="001D2AD8" w:rsidRPr="00C042FF">
        <w:rPr>
          <w:rStyle w:val="FootnoteReference"/>
          <w:rFonts w:ascii="Book Antiqua" w:hAnsi="Book Antiqua"/>
        </w:rPr>
        <w:fldChar w:fldCharType="separate"/>
      </w:r>
      <w:r w:rsidR="008201F7" w:rsidRPr="00C042FF">
        <w:rPr>
          <w:rFonts w:ascii="Book Antiqua" w:hAnsi="Book Antiqua"/>
          <w:noProof/>
          <w:vertAlign w:val="superscript"/>
          <w:lang w:val="en-US"/>
        </w:rPr>
        <w:t>[15]</w:t>
      </w:r>
      <w:r w:rsidR="001D2AD8" w:rsidRPr="00C042FF">
        <w:rPr>
          <w:rStyle w:val="FootnoteReference"/>
          <w:rFonts w:ascii="Book Antiqua" w:hAnsi="Book Antiqua"/>
        </w:rPr>
        <w:fldChar w:fldCharType="end"/>
      </w:r>
      <w:r w:rsidR="001402DC" w:rsidRPr="00C042FF">
        <w:rPr>
          <w:rFonts w:ascii="Book Antiqua" w:hAnsi="Book Antiqua"/>
          <w:lang w:val="en-US"/>
        </w:rPr>
        <w:t xml:space="preserve">, </w:t>
      </w:r>
      <w:r w:rsidR="009041E1" w:rsidRPr="00C042FF">
        <w:rPr>
          <w:rFonts w:ascii="Book Antiqua" w:hAnsi="Book Antiqua"/>
          <w:lang w:val="en-US"/>
        </w:rPr>
        <w:t xml:space="preserve">used only </w:t>
      </w:r>
      <w:r w:rsidR="004A650E" w:rsidRPr="00C042FF">
        <w:rPr>
          <w:rFonts w:ascii="Book Antiqua" w:hAnsi="Book Antiqua"/>
          <w:lang w:val="en-US"/>
        </w:rPr>
        <w:t xml:space="preserve">RCTs with </w:t>
      </w:r>
      <w:r w:rsidR="009041E1" w:rsidRPr="00C042FF">
        <w:rPr>
          <w:rFonts w:ascii="Book Antiqua" w:hAnsi="Book Antiqua"/>
          <w:lang w:val="en-US"/>
        </w:rPr>
        <w:t xml:space="preserve">a total of </w:t>
      </w:r>
      <w:r w:rsidR="004A650E" w:rsidRPr="00C042FF">
        <w:rPr>
          <w:rFonts w:ascii="Book Antiqua" w:hAnsi="Book Antiqua"/>
          <w:lang w:val="en-US"/>
        </w:rPr>
        <w:t>eight articles:</w:t>
      </w:r>
      <w:r w:rsidR="00860949">
        <w:rPr>
          <w:rFonts w:ascii="Book Antiqua" w:hAnsi="Book Antiqua" w:hint="eastAsia"/>
          <w:lang w:val="en-US" w:eastAsia="zh-CN"/>
        </w:rPr>
        <w:t xml:space="preserve"> </w:t>
      </w:r>
      <w:r w:rsidR="00FA0BB8" w:rsidRPr="00C042FF">
        <w:rPr>
          <w:rStyle w:val="apple-converted-space"/>
          <w:rFonts w:ascii="Book Antiqua" w:hAnsi="Book Antiqua" w:cs="Times New Roman"/>
          <w:lang w:val="en-US" w:eastAsia="pt-BR"/>
        </w:rPr>
        <w:t>Mortality rate of 9.9% in ES group and 9,6% was demonstrated in the SEMS group</w:t>
      </w:r>
      <w:r w:rsidR="00860949">
        <w:rPr>
          <w:rStyle w:val="apple-converted-space"/>
          <w:rFonts w:ascii="Book Antiqua" w:hAnsi="Book Antiqua" w:cs="Times New Roman" w:hint="eastAsia"/>
          <w:lang w:val="en-US" w:eastAsia="zh-CN"/>
        </w:rPr>
        <w:t>;</w:t>
      </w:r>
      <w:r w:rsidR="00FA0BB8" w:rsidRPr="00C042FF">
        <w:rPr>
          <w:rStyle w:val="apple-converted-space"/>
          <w:rFonts w:ascii="Book Antiqua" w:hAnsi="Book Antiqua" w:cs="Times New Roman"/>
          <w:lang w:val="en-US" w:eastAsia="pt-BR"/>
        </w:rPr>
        <w:t xml:space="preserve"> Adverse events rate of 51.2% was demonstrated in the </w:t>
      </w:r>
      <w:r w:rsidR="0029194A" w:rsidRPr="00C042FF">
        <w:rPr>
          <w:rStyle w:val="apple-converted-space"/>
          <w:rFonts w:ascii="Book Antiqua" w:hAnsi="Book Antiqua" w:cs="Times New Roman"/>
          <w:lang w:val="en-US" w:eastAsia="pt-BR"/>
        </w:rPr>
        <w:t>ES</w:t>
      </w:r>
      <w:r w:rsidR="00FA0BB8" w:rsidRPr="00C042FF">
        <w:rPr>
          <w:rStyle w:val="apple-converted-space"/>
          <w:rFonts w:ascii="Book Antiqua" w:hAnsi="Book Antiqua" w:cs="Times New Roman"/>
          <w:lang w:val="en-US" w:eastAsia="pt-BR"/>
        </w:rPr>
        <w:t xml:space="preserve"> group versus 33.9% in the patients with stent</w:t>
      </w:r>
      <w:r w:rsidR="00860949">
        <w:rPr>
          <w:rStyle w:val="apple-converted-space"/>
          <w:rFonts w:ascii="Book Antiqua" w:hAnsi="Book Antiqua" w:cs="Times New Roman" w:hint="eastAsia"/>
          <w:lang w:val="en-US" w:eastAsia="zh-CN"/>
        </w:rPr>
        <w:t xml:space="preserve">; </w:t>
      </w:r>
      <w:r w:rsidR="00FA0BB8" w:rsidRPr="00C042FF">
        <w:rPr>
          <w:rStyle w:val="apple-converted-space"/>
          <w:rFonts w:ascii="Book Antiqua" w:hAnsi="Book Antiqua" w:cs="Times New Roman"/>
          <w:lang w:val="en-US" w:eastAsia="pt-BR"/>
        </w:rPr>
        <w:t xml:space="preserve">Temporary colostomy rate of 33.9% was demonstrated in the stent group </w:t>
      </w:r>
      <w:r w:rsidR="00A52CA0" w:rsidRPr="00A52CA0">
        <w:rPr>
          <w:rStyle w:val="apple-converted-space"/>
          <w:rFonts w:ascii="Book Antiqua" w:hAnsi="Book Antiqua" w:cs="Times New Roman" w:hint="eastAsia"/>
          <w:i/>
          <w:lang w:val="en-US" w:eastAsia="zh-CN"/>
        </w:rPr>
        <w:t>vs</w:t>
      </w:r>
      <w:r w:rsidR="00FA0BB8" w:rsidRPr="00C042FF">
        <w:rPr>
          <w:rStyle w:val="apple-converted-space"/>
          <w:rFonts w:ascii="Book Antiqua" w:hAnsi="Book Antiqua" w:cs="Times New Roman"/>
          <w:lang w:val="en-US" w:eastAsia="pt-BR"/>
        </w:rPr>
        <w:t xml:space="preserve"> 51.4% of patients undergoing </w:t>
      </w:r>
      <w:r w:rsidR="0029194A" w:rsidRPr="00C042FF">
        <w:rPr>
          <w:rStyle w:val="apple-converted-space"/>
          <w:rFonts w:ascii="Book Antiqua" w:hAnsi="Book Antiqua" w:cs="Times New Roman"/>
          <w:lang w:val="en-US" w:eastAsia="pt-BR"/>
        </w:rPr>
        <w:t>ES</w:t>
      </w:r>
      <w:r w:rsidR="00860949">
        <w:rPr>
          <w:rStyle w:val="apple-converted-space"/>
          <w:rFonts w:ascii="Book Antiqua" w:hAnsi="Book Antiqua" w:cs="Times New Roman" w:hint="eastAsia"/>
          <w:lang w:val="en-US" w:eastAsia="zh-CN"/>
        </w:rPr>
        <w:t xml:space="preserve">; </w:t>
      </w:r>
      <w:r w:rsidR="00FA0BB8" w:rsidRPr="00860949">
        <w:rPr>
          <w:rStyle w:val="apple-converted-space"/>
          <w:rFonts w:ascii="Book Antiqua" w:hAnsi="Book Antiqua" w:cs="Times New Roman"/>
          <w:lang w:val="en-US" w:eastAsia="pt-BR"/>
        </w:rPr>
        <w:t xml:space="preserve">The definitive colostomy rate of 22.2% was demonstrated in the stent group versus 35.2% demonstrated in patients of </w:t>
      </w:r>
      <w:r w:rsidR="0029194A" w:rsidRPr="00860949">
        <w:rPr>
          <w:rStyle w:val="apple-converted-space"/>
          <w:rFonts w:ascii="Book Antiqua" w:hAnsi="Book Antiqua" w:cs="Times New Roman"/>
          <w:lang w:val="en-US" w:eastAsia="pt-BR"/>
        </w:rPr>
        <w:t>ES</w:t>
      </w:r>
      <w:r w:rsidR="00FA0BB8" w:rsidRPr="00860949">
        <w:rPr>
          <w:rStyle w:val="apple-converted-space"/>
          <w:rFonts w:ascii="Book Antiqua" w:hAnsi="Book Antiqua" w:cs="Times New Roman"/>
          <w:lang w:val="en-US" w:eastAsia="pt-BR"/>
        </w:rPr>
        <w:t xml:space="preserve"> group</w:t>
      </w:r>
      <w:r w:rsidR="00860949" w:rsidRPr="00860949">
        <w:rPr>
          <w:rStyle w:val="apple-converted-space"/>
          <w:rFonts w:ascii="Book Antiqua" w:hAnsi="Book Antiqua" w:cs="Times New Roman" w:hint="eastAsia"/>
          <w:lang w:val="en-US" w:eastAsia="zh-CN"/>
        </w:rPr>
        <w:t xml:space="preserve">; </w:t>
      </w:r>
      <w:r w:rsidR="00FA0BB8" w:rsidRPr="00860949">
        <w:rPr>
          <w:rStyle w:val="apple-converted-space"/>
          <w:rFonts w:ascii="Book Antiqua" w:hAnsi="Book Antiqua" w:cs="Times New Roman"/>
          <w:lang w:val="en-US" w:eastAsia="pt-BR"/>
        </w:rPr>
        <w:t>Regarding the success of the primary anastomosis, there was a 70% rate for the stent group versus 54.1% for the ES group</w:t>
      </w:r>
      <w:r w:rsidR="00860949" w:rsidRPr="00860949">
        <w:rPr>
          <w:rStyle w:val="apple-converted-space"/>
          <w:rFonts w:ascii="Book Antiqua" w:hAnsi="Book Antiqua" w:cs="Times New Roman" w:hint="eastAsia"/>
          <w:lang w:val="en-US" w:eastAsia="zh-CN"/>
        </w:rPr>
        <w:t xml:space="preserve">; </w:t>
      </w:r>
      <w:r w:rsidR="00FA0BB8" w:rsidRPr="00860949">
        <w:rPr>
          <w:rStyle w:val="apple-converted-space"/>
          <w:rFonts w:ascii="Book Antiqua" w:hAnsi="Book Antiqua" w:cs="Times New Roman"/>
          <w:lang w:val="en-US" w:eastAsia="pt-BR"/>
        </w:rPr>
        <w:t>The need for surgical intervention due to adverse events was 10.9% in the patient with SEMS versus 8.7% in the ES group</w:t>
      </w:r>
      <w:r w:rsidR="00860949" w:rsidRPr="00860949">
        <w:rPr>
          <w:rStyle w:val="apple-converted-space"/>
          <w:rFonts w:ascii="Book Antiqua" w:hAnsi="Book Antiqua" w:cs="Times New Roman" w:hint="eastAsia"/>
          <w:lang w:val="en-US" w:eastAsia="zh-CN"/>
        </w:rPr>
        <w:t xml:space="preserve">; </w:t>
      </w:r>
      <w:r w:rsidR="00FA0BB8" w:rsidRPr="00860949">
        <w:rPr>
          <w:rStyle w:val="apple-converted-space"/>
          <w:rFonts w:ascii="Book Antiqua" w:hAnsi="Book Antiqua" w:cs="Times New Roman"/>
          <w:lang w:val="en-US" w:eastAsia="pt-BR"/>
        </w:rPr>
        <w:t xml:space="preserve">The operating time: 172 min in patients submitted </w:t>
      </w:r>
      <w:r w:rsidR="0029194A" w:rsidRPr="00860949">
        <w:rPr>
          <w:rStyle w:val="apple-converted-space"/>
          <w:rFonts w:ascii="Book Antiqua" w:hAnsi="Book Antiqua" w:cs="Times New Roman"/>
          <w:lang w:val="en-US" w:eastAsia="pt-BR"/>
        </w:rPr>
        <w:t>ES</w:t>
      </w:r>
      <w:r w:rsidR="00FA0BB8" w:rsidRPr="00860949">
        <w:rPr>
          <w:rStyle w:val="apple-converted-space"/>
          <w:rFonts w:ascii="Book Antiqua" w:hAnsi="Book Antiqua" w:cs="Times New Roman"/>
          <w:lang w:val="en-US" w:eastAsia="pt-BR"/>
        </w:rPr>
        <w:t xml:space="preserve"> and 146 minutes in the SEMS group</w:t>
      </w:r>
      <w:r w:rsidR="00860949" w:rsidRPr="00860949">
        <w:rPr>
          <w:rStyle w:val="apple-converted-space"/>
          <w:rFonts w:ascii="Book Antiqua" w:hAnsi="Book Antiqua" w:cs="Times New Roman" w:hint="eastAsia"/>
          <w:lang w:val="en-US" w:eastAsia="zh-CN"/>
        </w:rPr>
        <w:t xml:space="preserve">; </w:t>
      </w:r>
      <w:r w:rsidR="00FA0BB8" w:rsidRPr="00860949">
        <w:rPr>
          <w:rStyle w:val="apple-converted-space"/>
          <w:rFonts w:ascii="Book Antiqua" w:hAnsi="Book Antiqua" w:cs="Times New Roman"/>
          <w:lang w:val="en-US" w:eastAsia="pt-BR"/>
        </w:rPr>
        <w:t>The hospitalization time was, on average, 14.5 d for patients submitted to ES and 15.5 d for those submitted to STENT</w:t>
      </w:r>
      <w:r w:rsidR="00860949" w:rsidRPr="00860949">
        <w:rPr>
          <w:rStyle w:val="apple-converted-space"/>
          <w:rFonts w:ascii="Book Antiqua" w:hAnsi="Book Antiqua" w:cs="Times New Roman" w:hint="eastAsia"/>
          <w:lang w:val="en-US" w:eastAsia="zh-CN"/>
        </w:rPr>
        <w:t>;</w:t>
      </w:r>
      <w:r w:rsidR="00860949" w:rsidRPr="00860949">
        <w:rPr>
          <w:rStyle w:val="apple-converted-space"/>
          <w:rFonts w:ascii="Book Antiqua" w:hAnsi="Book Antiqua" w:hint="eastAsia"/>
          <w:lang w:val="en-US" w:eastAsia="zh-CN"/>
        </w:rPr>
        <w:t xml:space="preserve"> </w:t>
      </w:r>
      <w:r w:rsidR="00FA0BB8" w:rsidRPr="00860949">
        <w:rPr>
          <w:rStyle w:val="apple-converted-space"/>
          <w:rFonts w:ascii="Book Antiqua" w:hAnsi="Book Antiqua" w:cs="Times New Roman"/>
          <w:lang w:val="en-US" w:eastAsia="pt-BR"/>
        </w:rPr>
        <w:t>Tumor recurrence was 40.5% in patients in the stent group and 26.6% in the ES group</w:t>
      </w:r>
      <w:r w:rsidR="006B0F08">
        <w:rPr>
          <w:rStyle w:val="apple-converted-space"/>
          <w:rFonts w:ascii="Book Antiqua" w:hAnsi="Book Antiqua" w:cs="Times New Roman" w:hint="eastAsia"/>
          <w:lang w:val="en-US" w:eastAsia="zh-CN"/>
        </w:rPr>
        <w:t xml:space="preserve"> </w:t>
      </w:r>
      <w:r w:rsidR="006B0F08" w:rsidRPr="006B0F08">
        <w:rPr>
          <w:rFonts w:ascii="Book Antiqua" w:eastAsiaTheme="majorEastAsia" w:hAnsi="Book Antiqua" w:cstheme="majorBidi"/>
          <w:lang w:val="en-US"/>
        </w:rPr>
        <w:t>(Table 2)</w:t>
      </w:r>
      <w:r w:rsidR="00FA0BB8" w:rsidRPr="006B0F08">
        <w:rPr>
          <w:rStyle w:val="apple-converted-space"/>
          <w:rFonts w:ascii="Book Antiqua" w:hAnsi="Book Antiqua" w:cs="Times New Roman"/>
          <w:lang w:val="en-US" w:eastAsia="pt-BR"/>
        </w:rPr>
        <w:t xml:space="preserve">. </w:t>
      </w:r>
    </w:p>
    <w:p w14:paraId="677DACBB" w14:textId="77777777" w:rsidR="00C93C7A" w:rsidRPr="00C042FF" w:rsidRDefault="00C93C7A" w:rsidP="003E14C8">
      <w:pPr>
        <w:spacing w:line="360" w:lineRule="auto"/>
        <w:jc w:val="both"/>
        <w:rPr>
          <w:rFonts w:ascii="Book Antiqua" w:hAnsi="Book Antiqua"/>
          <w:b/>
          <w:i/>
          <w:lang w:val="en-US"/>
        </w:rPr>
      </w:pPr>
    </w:p>
    <w:p w14:paraId="36C3BE73" w14:textId="44D79042" w:rsidR="00C93C7A" w:rsidRPr="00860949" w:rsidRDefault="00086987" w:rsidP="00860949">
      <w:pPr>
        <w:spacing w:line="360" w:lineRule="auto"/>
        <w:jc w:val="both"/>
        <w:rPr>
          <w:rFonts w:ascii="Book Antiqua" w:hAnsi="Book Antiqua"/>
          <w:b/>
          <w:lang w:val="en-US" w:eastAsia="zh-CN"/>
        </w:rPr>
      </w:pPr>
      <w:r w:rsidRPr="00860949">
        <w:rPr>
          <w:rFonts w:ascii="Book Antiqua" w:hAnsi="Book Antiqua"/>
          <w:b/>
          <w:lang w:val="en-US"/>
        </w:rPr>
        <w:t xml:space="preserve">Stent </w:t>
      </w:r>
      <w:r w:rsidR="00B369D4" w:rsidRPr="00860949">
        <w:rPr>
          <w:rFonts w:ascii="Book Antiqua" w:hAnsi="Book Antiqua"/>
          <w:b/>
          <w:lang w:val="en-US"/>
        </w:rPr>
        <w:t>in palliative patients</w:t>
      </w:r>
      <w:r w:rsidR="000E0BAE" w:rsidRPr="00860949">
        <w:rPr>
          <w:rFonts w:ascii="Book Antiqua" w:hAnsi="Book Antiqua"/>
          <w:b/>
          <w:lang w:val="en-US"/>
        </w:rPr>
        <w:t>:</w:t>
      </w:r>
      <w:r w:rsidR="00860949">
        <w:rPr>
          <w:rFonts w:ascii="Book Antiqua" w:hAnsi="Book Antiqua" w:hint="eastAsia"/>
          <w:b/>
          <w:lang w:val="en-US" w:eastAsia="zh-CN"/>
        </w:rPr>
        <w:t xml:space="preserve"> </w:t>
      </w:r>
      <w:r w:rsidR="00C54418" w:rsidRPr="00C042FF">
        <w:rPr>
          <w:rFonts w:ascii="Book Antiqua" w:hAnsi="Book Antiqua"/>
          <w:lang w:val="en-US"/>
        </w:rPr>
        <w:t>A recent</w:t>
      </w:r>
      <w:r w:rsidR="004A650E" w:rsidRPr="00C042FF">
        <w:rPr>
          <w:rFonts w:ascii="Book Antiqua" w:hAnsi="Book Antiqua"/>
          <w:lang w:val="en-US"/>
        </w:rPr>
        <w:t xml:space="preserve"> systematic review and</w:t>
      </w:r>
      <w:r w:rsidR="009041E1" w:rsidRPr="00C042FF">
        <w:rPr>
          <w:rFonts w:ascii="Book Antiqua" w:hAnsi="Book Antiqua"/>
          <w:lang w:val="en-US"/>
        </w:rPr>
        <w:t xml:space="preserve"> meta-analysis performed by </w:t>
      </w:r>
      <w:r w:rsidRPr="00860949">
        <w:rPr>
          <w:rFonts w:ascii="Book Antiqua" w:hAnsi="Book Antiqua"/>
          <w:lang w:val="en-US"/>
        </w:rPr>
        <w:t>R</w:t>
      </w:r>
      <w:r w:rsidR="009041E1" w:rsidRPr="00860949">
        <w:rPr>
          <w:rFonts w:ascii="Book Antiqua" w:hAnsi="Book Antiqua"/>
          <w:lang w:val="en-US"/>
        </w:rPr>
        <w:t>ibeiro</w:t>
      </w:r>
      <w:r w:rsidRPr="00860949">
        <w:rPr>
          <w:rFonts w:ascii="Book Antiqua" w:hAnsi="Book Antiqua"/>
          <w:lang w:val="en-US"/>
        </w:rPr>
        <w:t xml:space="preserve"> </w:t>
      </w:r>
      <w:r w:rsidRPr="00C042FF">
        <w:rPr>
          <w:rFonts w:ascii="Book Antiqua" w:hAnsi="Book Antiqua"/>
          <w:i/>
          <w:lang w:val="en-US"/>
        </w:rPr>
        <w:t>et al</w:t>
      </w:r>
      <w:r w:rsidR="001D2AD8" w:rsidRPr="00C042FF">
        <w:rPr>
          <w:rStyle w:val="FootnoteReference"/>
          <w:rFonts w:ascii="Book Antiqua" w:hAnsi="Book Antiqua"/>
          <w:i/>
        </w:rPr>
        <w:fldChar w:fldCharType="begin" w:fldLock="1"/>
      </w:r>
      <w:r w:rsidR="008201F7" w:rsidRPr="00C042FF">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C042FF">
        <w:rPr>
          <w:rStyle w:val="FootnoteReference"/>
          <w:rFonts w:ascii="Book Antiqua" w:hAnsi="Book Antiqua"/>
          <w:i/>
        </w:rPr>
        <w:fldChar w:fldCharType="separate"/>
      </w:r>
      <w:r w:rsidR="008201F7" w:rsidRPr="00C042FF">
        <w:rPr>
          <w:rFonts w:ascii="Book Antiqua" w:hAnsi="Book Antiqua"/>
          <w:noProof/>
          <w:vertAlign w:val="superscript"/>
          <w:lang w:val="en-US"/>
        </w:rPr>
        <w:t>[53]</w:t>
      </w:r>
      <w:r w:rsidR="001D2AD8" w:rsidRPr="00C042FF">
        <w:rPr>
          <w:rStyle w:val="FootnoteReference"/>
          <w:rFonts w:ascii="Book Antiqua" w:hAnsi="Book Antiqua"/>
          <w:i/>
        </w:rPr>
        <w:fldChar w:fldCharType="end"/>
      </w:r>
      <w:r w:rsidR="00B369D4" w:rsidRPr="00C042FF">
        <w:rPr>
          <w:rFonts w:ascii="Book Antiqua" w:hAnsi="Book Antiqua"/>
          <w:lang w:val="en-US"/>
        </w:rPr>
        <w:t xml:space="preserve"> </w:t>
      </w:r>
      <w:r w:rsidR="007B7228" w:rsidRPr="00C042FF">
        <w:rPr>
          <w:rFonts w:ascii="Book Antiqua" w:hAnsi="Book Antiqua"/>
          <w:lang w:val="en-US"/>
        </w:rPr>
        <w:t xml:space="preserve">in </w:t>
      </w:r>
      <w:r w:rsidR="00B369D4" w:rsidRPr="00C042FF">
        <w:rPr>
          <w:rFonts w:ascii="Book Antiqua" w:hAnsi="Book Antiqua"/>
          <w:lang w:val="en-US"/>
        </w:rPr>
        <w:t>201</w:t>
      </w:r>
      <w:r w:rsidR="009041E1" w:rsidRPr="00C042FF">
        <w:rPr>
          <w:rFonts w:ascii="Book Antiqua" w:hAnsi="Book Antiqua"/>
          <w:lang w:val="en-US"/>
        </w:rPr>
        <w:t xml:space="preserve">8, </w:t>
      </w:r>
      <w:r w:rsidR="00B369D4" w:rsidRPr="00C042FF">
        <w:rPr>
          <w:rFonts w:ascii="Book Antiqua" w:hAnsi="Book Antiqua"/>
          <w:lang w:val="en-US"/>
        </w:rPr>
        <w:t>compare</w:t>
      </w:r>
      <w:r w:rsidR="004A650E" w:rsidRPr="00C042FF">
        <w:rPr>
          <w:rFonts w:ascii="Book Antiqua" w:hAnsi="Book Antiqua"/>
          <w:lang w:val="en-US"/>
        </w:rPr>
        <w:t xml:space="preserve">d the use of stents to surgical </w:t>
      </w:r>
      <w:r w:rsidR="004A650E" w:rsidRPr="00C042FF">
        <w:rPr>
          <w:rFonts w:ascii="Book Antiqua" w:hAnsi="Book Antiqua"/>
          <w:lang w:val="en-US"/>
        </w:rPr>
        <w:lastRenderedPageBreak/>
        <w:t xml:space="preserve">intervention, </w:t>
      </w:r>
      <w:r w:rsidR="00B369D4" w:rsidRPr="00C042FF">
        <w:rPr>
          <w:rFonts w:ascii="Book Antiqua" w:hAnsi="Book Antiqua"/>
          <w:lang w:val="en-US"/>
        </w:rPr>
        <w:t>only in palliative patients, as</w:t>
      </w:r>
      <w:r w:rsidR="004A650E" w:rsidRPr="00C042FF">
        <w:rPr>
          <w:rFonts w:ascii="Book Antiqua" w:hAnsi="Book Antiqua"/>
          <w:lang w:val="en-US"/>
        </w:rPr>
        <w:t xml:space="preserve"> a definitive</w:t>
      </w:r>
      <w:r w:rsidR="00B369D4" w:rsidRPr="00C042FF">
        <w:rPr>
          <w:rFonts w:ascii="Book Antiqua" w:hAnsi="Book Antiqua"/>
          <w:lang w:val="en-US"/>
        </w:rPr>
        <w:t xml:space="preserve"> treatment.</w:t>
      </w:r>
      <w:r w:rsidR="009041E1" w:rsidRPr="00C042FF">
        <w:rPr>
          <w:rFonts w:ascii="Book Antiqua" w:hAnsi="Book Antiqua"/>
          <w:lang w:val="en-US"/>
        </w:rPr>
        <w:t xml:space="preserve"> </w:t>
      </w:r>
      <w:r w:rsidR="004A650E" w:rsidRPr="00C042FF">
        <w:rPr>
          <w:rFonts w:ascii="Book Antiqua" w:hAnsi="Book Antiqua"/>
          <w:lang w:val="en-US"/>
        </w:rPr>
        <w:t>Only RCTs were included, with a total of four</w:t>
      </w:r>
      <w:r w:rsidR="009041E1" w:rsidRPr="00C042FF">
        <w:rPr>
          <w:rFonts w:ascii="Book Antiqua" w:hAnsi="Book Antiqua"/>
          <w:lang w:val="en-US"/>
        </w:rPr>
        <w:t xml:space="preserve"> article</w:t>
      </w:r>
      <w:r w:rsidR="004A650E" w:rsidRPr="00C042FF">
        <w:rPr>
          <w:rFonts w:ascii="Book Antiqua" w:hAnsi="Book Antiqua"/>
          <w:lang w:val="en-US"/>
        </w:rPr>
        <w:t xml:space="preserve">s including </w:t>
      </w:r>
      <w:r w:rsidR="008D7DA5" w:rsidRPr="00C042FF">
        <w:rPr>
          <w:rFonts w:ascii="Book Antiqua" w:hAnsi="Book Antiqua"/>
          <w:lang w:val="en-US"/>
        </w:rPr>
        <w:t xml:space="preserve">125 </w:t>
      </w:r>
      <w:r w:rsidR="009041E1" w:rsidRPr="00C042FF">
        <w:rPr>
          <w:rFonts w:ascii="Book Antiqua" w:hAnsi="Book Antiqua"/>
          <w:lang w:val="en-US"/>
        </w:rPr>
        <w:t>patients</w:t>
      </w:r>
      <w:r w:rsidR="004A650E" w:rsidRPr="00C042FF">
        <w:rPr>
          <w:rFonts w:ascii="Book Antiqua" w:hAnsi="Book Antiqua"/>
          <w:lang w:val="en-US"/>
        </w:rPr>
        <w:t>:</w:t>
      </w:r>
      <w:r w:rsidR="00860949">
        <w:rPr>
          <w:rFonts w:ascii="Book Antiqua" w:hAnsi="Book Antiqua" w:hint="eastAsia"/>
          <w:lang w:val="en-US" w:eastAsia="zh-CN"/>
        </w:rPr>
        <w:t xml:space="preserve"> </w:t>
      </w:r>
      <w:r w:rsidR="00860949">
        <w:rPr>
          <w:rFonts w:ascii="Book Antiqua" w:hAnsi="Book Antiqua"/>
          <w:lang w:val="en-US"/>
        </w:rPr>
        <w:t>30-d</w:t>
      </w:r>
      <w:r w:rsidR="00477C97" w:rsidRPr="00C042FF">
        <w:rPr>
          <w:rFonts w:ascii="Book Antiqua" w:hAnsi="Book Antiqua"/>
          <w:lang w:val="en-US"/>
        </w:rPr>
        <w:t xml:space="preserve"> mortality rate of 6.4% in patients </w:t>
      </w:r>
      <w:r w:rsidR="00224174" w:rsidRPr="00C042FF">
        <w:rPr>
          <w:rFonts w:ascii="Book Antiqua" w:hAnsi="Book Antiqua"/>
          <w:lang w:val="en-US"/>
        </w:rPr>
        <w:t>submitted ES</w:t>
      </w:r>
      <w:r w:rsidR="00477C97" w:rsidRPr="00860949">
        <w:rPr>
          <w:rFonts w:ascii="Book Antiqua" w:hAnsi="Book Antiqua"/>
          <w:i/>
          <w:lang w:val="en-US"/>
        </w:rPr>
        <w:t xml:space="preserve"> </w:t>
      </w:r>
      <w:r w:rsidR="00224174" w:rsidRPr="00860949">
        <w:rPr>
          <w:rFonts w:ascii="Book Antiqua" w:hAnsi="Book Antiqua"/>
          <w:i/>
          <w:lang w:val="en-US"/>
        </w:rPr>
        <w:t>vs</w:t>
      </w:r>
      <w:r w:rsidR="00224174" w:rsidRPr="00C042FF">
        <w:rPr>
          <w:rFonts w:ascii="Book Antiqua" w:hAnsi="Book Antiqua"/>
          <w:lang w:val="en-US"/>
        </w:rPr>
        <w:t xml:space="preserve"> 6.3</w:t>
      </w:r>
      <w:r w:rsidR="00477C97" w:rsidRPr="00C042FF">
        <w:rPr>
          <w:rFonts w:ascii="Book Antiqua" w:hAnsi="Book Antiqua"/>
          <w:lang w:val="en-US"/>
        </w:rPr>
        <w:t>%</w:t>
      </w:r>
      <w:r w:rsidR="00E51E26" w:rsidRPr="00C042FF">
        <w:rPr>
          <w:rFonts w:ascii="Book Antiqua" w:hAnsi="Book Antiqua"/>
          <w:lang w:val="en-US"/>
        </w:rPr>
        <w:t xml:space="preserve"> </w:t>
      </w:r>
      <w:r w:rsidR="00477C97" w:rsidRPr="00C042FF">
        <w:rPr>
          <w:rFonts w:ascii="Book Antiqua" w:hAnsi="Book Antiqua"/>
          <w:lang w:val="en-US"/>
        </w:rPr>
        <w:t>in the stent group</w:t>
      </w:r>
      <w:r w:rsidR="00860949">
        <w:rPr>
          <w:rFonts w:ascii="Book Antiqua" w:hAnsi="Book Antiqua" w:hint="eastAsia"/>
          <w:lang w:val="en-US" w:eastAsia="zh-CN"/>
        </w:rPr>
        <w:t xml:space="preserve">; </w:t>
      </w:r>
      <w:r w:rsidR="00477C97" w:rsidRPr="00C042FF">
        <w:rPr>
          <w:rFonts w:ascii="Book Antiqua" w:hAnsi="Book Antiqua"/>
          <w:lang w:val="en-US"/>
        </w:rPr>
        <w:t xml:space="preserve">Analyzed survival was 244 d in the </w:t>
      </w:r>
      <w:r w:rsidR="0029194A" w:rsidRPr="00C042FF">
        <w:rPr>
          <w:rFonts w:ascii="Book Antiqua" w:hAnsi="Book Antiqua"/>
          <w:lang w:val="en-US"/>
        </w:rPr>
        <w:t>ES</w:t>
      </w:r>
      <w:r w:rsidR="00477C97" w:rsidRPr="00C042FF">
        <w:rPr>
          <w:rFonts w:ascii="Book Antiqua" w:hAnsi="Book Antiqua"/>
          <w:lang w:val="en-US"/>
        </w:rPr>
        <w:t xml:space="preserve"> group and 279 d in the SEMS group</w:t>
      </w:r>
      <w:r w:rsidR="00860949">
        <w:rPr>
          <w:rFonts w:ascii="Book Antiqua" w:hAnsi="Book Antiqua" w:hint="eastAsia"/>
          <w:lang w:val="en-US" w:eastAsia="zh-CN"/>
        </w:rPr>
        <w:t xml:space="preserve">; </w:t>
      </w:r>
      <w:r w:rsidR="00477C97" w:rsidRPr="00860949">
        <w:rPr>
          <w:rFonts w:ascii="Book Antiqua" w:hAnsi="Book Antiqua"/>
          <w:lang w:val="en-US"/>
        </w:rPr>
        <w:t>Clinical success was 84% in the SEMS group and 96% in the</w:t>
      </w:r>
      <w:r w:rsidR="00C55851" w:rsidRPr="00860949">
        <w:rPr>
          <w:rFonts w:ascii="Book Antiqua" w:hAnsi="Book Antiqua"/>
          <w:lang w:val="en-US"/>
        </w:rPr>
        <w:t xml:space="preserve"> ES group</w:t>
      </w:r>
      <w:r w:rsidR="00860949" w:rsidRPr="00860949">
        <w:rPr>
          <w:rFonts w:ascii="Book Antiqua" w:hAnsi="Book Antiqua" w:hint="eastAsia"/>
          <w:lang w:val="en-US" w:eastAsia="zh-CN"/>
        </w:rPr>
        <w:t xml:space="preserve">; </w:t>
      </w:r>
      <w:r w:rsidR="00860949" w:rsidRPr="00860949">
        <w:rPr>
          <w:rFonts w:ascii="Book Antiqua" w:hAnsi="Book Antiqua"/>
          <w:lang w:val="en-US"/>
        </w:rPr>
        <w:t>30-d</w:t>
      </w:r>
      <w:r w:rsidR="001E69F7" w:rsidRPr="00860949">
        <w:rPr>
          <w:rFonts w:ascii="Book Antiqua" w:hAnsi="Book Antiqua"/>
          <w:lang w:val="en-US"/>
        </w:rPr>
        <w:t xml:space="preserve"> adverse event rate</w:t>
      </w:r>
      <w:r w:rsidR="00C55851" w:rsidRPr="00860949">
        <w:rPr>
          <w:rFonts w:ascii="Book Antiqua" w:hAnsi="Book Antiqua"/>
          <w:lang w:val="en-US"/>
        </w:rPr>
        <w:t>s</w:t>
      </w:r>
      <w:r w:rsidR="001E69F7" w:rsidRPr="00860949">
        <w:rPr>
          <w:rFonts w:ascii="Book Antiqua" w:hAnsi="Book Antiqua"/>
          <w:lang w:val="en-US"/>
        </w:rPr>
        <w:t xml:space="preserve"> </w:t>
      </w:r>
      <w:r w:rsidR="00303AA5" w:rsidRPr="00860949">
        <w:rPr>
          <w:rFonts w:ascii="Book Antiqua" w:hAnsi="Book Antiqua"/>
          <w:lang w:val="en-US"/>
        </w:rPr>
        <w:t>w</w:t>
      </w:r>
      <w:r w:rsidR="00C55851" w:rsidRPr="00860949">
        <w:rPr>
          <w:rFonts w:ascii="Book Antiqua" w:hAnsi="Book Antiqua"/>
          <w:lang w:val="en-US"/>
        </w:rPr>
        <w:t>ere</w:t>
      </w:r>
      <w:r w:rsidR="001E69F7" w:rsidRPr="00860949">
        <w:rPr>
          <w:rFonts w:ascii="Book Antiqua" w:hAnsi="Book Antiqua"/>
          <w:lang w:val="en-US"/>
        </w:rPr>
        <w:t xml:space="preserve"> 36.5% in the stent group a</w:t>
      </w:r>
      <w:r w:rsidR="001C21CF" w:rsidRPr="00860949">
        <w:rPr>
          <w:rFonts w:ascii="Book Antiqua" w:hAnsi="Book Antiqua"/>
          <w:lang w:val="en-US"/>
        </w:rPr>
        <w:t xml:space="preserve">nd 24% in the </w:t>
      </w:r>
      <w:r w:rsidR="00C55851" w:rsidRPr="00860949">
        <w:rPr>
          <w:rFonts w:ascii="Book Antiqua" w:hAnsi="Book Antiqua"/>
          <w:lang w:val="en-US"/>
        </w:rPr>
        <w:t xml:space="preserve">ES </w:t>
      </w:r>
      <w:r w:rsidR="00303AA5" w:rsidRPr="00860949">
        <w:rPr>
          <w:rFonts w:ascii="Book Antiqua" w:hAnsi="Book Antiqua"/>
          <w:lang w:val="en-US"/>
        </w:rPr>
        <w:t>group</w:t>
      </w:r>
      <w:r w:rsidR="00860949" w:rsidRPr="00860949">
        <w:rPr>
          <w:rFonts w:ascii="Book Antiqua" w:hAnsi="Book Antiqua" w:hint="eastAsia"/>
          <w:lang w:val="en-US" w:eastAsia="zh-CN"/>
        </w:rPr>
        <w:t xml:space="preserve">; </w:t>
      </w:r>
      <w:r w:rsidR="00303AA5" w:rsidRPr="00860949">
        <w:rPr>
          <w:rFonts w:ascii="Book Antiqua" w:hAnsi="Book Antiqua"/>
          <w:lang w:val="en-US"/>
        </w:rPr>
        <w:t>T</w:t>
      </w:r>
      <w:r w:rsidR="009B5D09" w:rsidRPr="00860949">
        <w:rPr>
          <w:rFonts w:ascii="Book Antiqua" w:hAnsi="Book Antiqua"/>
          <w:lang w:val="en-US"/>
        </w:rPr>
        <w:t xml:space="preserve">echnical </w:t>
      </w:r>
      <w:r w:rsidR="007F6974" w:rsidRPr="00860949">
        <w:rPr>
          <w:rFonts w:ascii="Book Antiqua" w:hAnsi="Book Antiqua"/>
          <w:lang w:val="en-US"/>
        </w:rPr>
        <w:t>success was</w:t>
      </w:r>
      <w:r w:rsidR="001C21CF" w:rsidRPr="00860949">
        <w:rPr>
          <w:rFonts w:ascii="Book Antiqua" w:hAnsi="Book Antiqua"/>
          <w:lang w:val="en-US"/>
        </w:rPr>
        <w:t xml:space="preserve"> favorable to the surgery group</w:t>
      </w:r>
      <w:r w:rsidR="007F6974" w:rsidRPr="00860949">
        <w:rPr>
          <w:rFonts w:ascii="Book Antiqua" w:hAnsi="Book Antiqua"/>
          <w:lang w:val="en-US"/>
        </w:rPr>
        <w:t xml:space="preserve"> </w:t>
      </w:r>
      <w:r w:rsidR="001E69F7" w:rsidRPr="00860949">
        <w:rPr>
          <w:rFonts w:ascii="Book Antiqua" w:hAnsi="Book Antiqua"/>
          <w:lang w:val="en-US"/>
        </w:rPr>
        <w:t xml:space="preserve">(84% for stent group and 97% for </w:t>
      </w:r>
      <w:r w:rsidR="0029194A" w:rsidRPr="00860949">
        <w:rPr>
          <w:rFonts w:ascii="Book Antiqua" w:hAnsi="Book Antiqua"/>
          <w:lang w:val="en-US"/>
        </w:rPr>
        <w:t>ES</w:t>
      </w:r>
      <w:r w:rsidR="001E69F7" w:rsidRPr="00860949">
        <w:rPr>
          <w:rFonts w:ascii="Book Antiqua" w:hAnsi="Book Antiqua"/>
          <w:lang w:val="en-US"/>
        </w:rPr>
        <w:t xml:space="preserve"> group)</w:t>
      </w:r>
      <w:r w:rsidR="00860949" w:rsidRPr="00860949">
        <w:rPr>
          <w:rFonts w:ascii="Book Antiqua" w:hAnsi="Book Antiqua" w:hint="eastAsia"/>
          <w:lang w:val="en-US" w:eastAsia="zh-CN"/>
        </w:rPr>
        <w:t xml:space="preserve">; </w:t>
      </w:r>
      <w:r w:rsidR="009B5D09" w:rsidRPr="00860949">
        <w:rPr>
          <w:rFonts w:ascii="Book Antiqua" w:hAnsi="Book Antiqua"/>
          <w:lang w:val="en-US"/>
        </w:rPr>
        <w:t>Rate of permanent colostomy was higher</w:t>
      </w:r>
      <w:r w:rsidR="007F6974" w:rsidRPr="00860949">
        <w:rPr>
          <w:rFonts w:ascii="Book Antiqua" w:hAnsi="Book Antiqua"/>
          <w:lang w:val="en-US"/>
        </w:rPr>
        <w:t xml:space="preserve"> in th</w:t>
      </w:r>
      <w:r w:rsidR="009B5D09" w:rsidRPr="00860949">
        <w:rPr>
          <w:rFonts w:ascii="Book Antiqua" w:hAnsi="Book Antiqua"/>
          <w:lang w:val="en-US"/>
        </w:rPr>
        <w:t>e surgery group (</w:t>
      </w:r>
      <w:r w:rsidR="007F6974" w:rsidRPr="00860949">
        <w:rPr>
          <w:rFonts w:ascii="Book Antiqua" w:hAnsi="Book Antiqua"/>
          <w:lang w:val="en-US"/>
        </w:rPr>
        <w:t xml:space="preserve">86.1% </w:t>
      </w:r>
      <w:r w:rsidR="009B5D09" w:rsidRPr="00860949">
        <w:rPr>
          <w:rFonts w:ascii="Book Antiqua" w:hAnsi="Book Antiqua"/>
          <w:lang w:val="en-US"/>
        </w:rPr>
        <w:t xml:space="preserve">versus </w:t>
      </w:r>
      <w:r w:rsidR="007F6974" w:rsidRPr="00860949">
        <w:rPr>
          <w:rFonts w:ascii="Book Antiqua" w:hAnsi="Book Antiqua"/>
          <w:lang w:val="en-US"/>
        </w:rPr>
        <w:t>14.3%</w:t>
      </w:r>
      <w:r w:rsidR="009B5D09" w:rsidRPr="00860949">
        <w:rPr>
          <w:rFonts w:ascii="Book Antiqua" w:hAnsi="Book Antiqua"/>
          <w:lang w:val="en-US"/>
        </w:rPr>
        <w:t>)</w:t>
      </w:r>
      <w:r w:rsidR="00860949" w:rsidRPr="00860949">
        <w:rPr>
          <w:rFonts w:ascii="Book Antiqua" w:hAnsi="Book Antiqua" w:hint="eastAsia"/>
          <w:lang w:val="en-US" w:eastAsia="zh-CN"/>
        </w:rPr>
        <w:t xml:space="preserve">; </w:t>
      </w:r>
      <w:r w:rsidR="00C54418" w:rsidRPr="00860949">
        <w:rPr>
          <w:rFonts w:ascii="Book Antiqua" w:hAnsi="Book Antiqua"/>
          <w:lang w:val="en-US"/>
        </w:rPr>
        <w:t>L</w:t>
      </w:r>
      <w:r w:rsidR="009B5D09" w:rsidRPr="00860949">
        <w:rPr>
          <w:rFonts w:ascii="Book Antiqua" w:hAnsi="Book Antiqua"/>
          <w:lang w:val="en-US"/>
        </w:rPr>
        <w:t xml:space="preserve">ength of </w:t>
      </w:r>
      <w:r w:rsidR="007F6974" w:rsidRPr="00860949">
        <w:rPr>
          <w:rFonts w:ascii="Book Antiqua" w:hAnsi="Book Antiqua"/>
          <w:lang w:val="en-US"/>
        </w:rPr>
        <w:t>intensive care</w:t>
      </w:r>
      <w:r w:rsidR="009B5D09" w:rsidRPr="00860949">
        <w:rPr>
          <w:rFonts w:ascii="Book Antiqua" w:hAnsi="Book Antiqua"/>
          <w:lang w:val="en-US"/>
        </w:rPr>
        <w:t xml:space="preserve"> stay was</w:t>
      </w:r>
      <w:r w:rsidR="007F6974" w:rsidRPr="00860949">
        <w:rPr>
          <w:rFonts w:ascii="Book Antiqua" w:hAnsi="Book Antiqua"/>
          <w:lang w:val="en-US"/>
        </w:rPr>
        <w:t xml:space="preserve"> no</w:t>
      </w:r>
      <w:r w:rsidR="009B5D09" w:rsidRPr="00860949">
        <w:rPr>
          <w:rFonts w:ascii="Book Antiqua" w:hAnsi="Book Antiqua"/>
          <w:lang w:val="en-US"/>
        </w:rPr>
        <w:t>t</w:t>
      </w:r>
      <w:r w:rsidR="007F6974" w:rsidRPr="00860949">
        <w:rPr>
          <w:rFonts w:ascii="Book Antiqua" w:hAnsi="Book Antiqua"/>
          <w:lang w:val="en-US"/>
        </w:rPr>
        <w:t xml:space="preserve"> </w:t>
      </w:r>
      <w:r w:rsidR="00F63605" w:rsidRPr="00860949">
        <w:rPr>
          <w:rFonts w:ascii="Book Antiqua" w:hAnsi="Book Antiqua"/>
          <w:lang w:val="en-US"/>
        </w:rPr>
        <w:t>statistically</w:t>
      </w:r>
      <w:r w:rsidR="007F6974" w:rsidRPr="00860949">
        <w:rPr>
          <w:rFonts w:ascii="Book Antiqua" w:hAnsi="Book Antiqua"/>
          <w:lang w:val="en-US"/>
        </w:rPr>
        <w:t xml:space="preserve"> </w:t>
      </w:r>
      <w:r w:rsidR="009B5D09" w:rsidRPr="00860949">
        <w:rPr>
          <w:rFonts w:ascii="Book Antiqua" w:hAnsi="Book Antiqua"/>
          <w:lang w:val="en-US"/>
        </w:rPr>
        <w:t>significant between groups</w:t>
      </w:r>
      <w:r w:rsidR="00860949" w:rsidRPr="00860949">
        <w:rPr>
          <w:rFonts w:ascii="Book Antiqua" w:hAnsi="Book Antiqua" w:hint="eastAsia"/>
          <w:lang w:val="en-US" w:eastAsia="zh-CN"/>
        </w:rPr>
        <w:t xml:space="preserve">; </w:t>
      </w:r>
      <w:r w:rsidR="00C66153" w:rsidRPr="00860949">
        <w:rPr>
          <w:rFonts w:ascii="Book Antiqua" w:hAnsi="Book Antiqua"/>
          <w:lang w:val="en-US"/>
        </w:rPr>
        <w:t xml:space="preserve">The mean time of hospitalization was 35.5 d for patients undergoing </w:t>
      </w:r>
      <w:r w:rsidR="0029194A" w:rsidRPr="00860949">
        <w:rPr>
          <w:rFonts w:ascii="Book Antiqua" w:hAnsi="Book Antiqua"/>
          <w:lang w:val="en-US"/>
        </w:rPr>
        <w:t>ES</w:t>
      </w:r>
      <w:r w:rsidR="00C66153" w:rsidRPr="00860949">
        <w:rPr>
          <w:rFonts w:ascii="Book Antiqua" w:hAnsi="Book Antiqua"/>
          <w:lang w:val="en-US"/>
        </w:rPr>
        <w:t xml:space="preserve"> and 17.5 for the stent group</w:t>
      </w:r>
      <w:r w:rsidR="00860949" w:rsidRPr="00860949">
        <w:rPr>
          <w:rFonts w:ascii="Book Antiqua" w:hAnsi="Book Antiqua" w:hint="eastAsia"/>
          <w:lang w:val="en-US" w:eastAsia="zh-CN"/>
        </w:rPr>
        <w:t>;</w:t>
      </w:r>
      <w:r w:rsidR="00C66153" w:rsidRPr="00860949">
        <w:rPr>
          <w:rFonts w:ascii="Book Antiqua" w:hAnsi="Book Antiqua"/>
          <w:lang w:val="en-US"/>
        </w:rPr>
        <w:t xml:space="preserve"> </w:t>
      </w:r>
      <w:r w:rsidR="007F6974" w:rsidRPr="00860949">
        <w:rPr>
          <w:rFonts w:ascii="Book Antiqua" w:hAnsi="Book Antiqua"/>
          <w:lang w:val="en-US"/>
        </w:rPr>
        <w:t>Perforation was the most common complication found in the stent group</w:t>
      </w:r>
      <w:r w:rsidR="00923B22" w:rsidRPr="00860949">
        <w:rPr>
          <w:rFonts w:ascii="Book Antiqua" w:hAnsi="Book Antiqua"/>
          <w:lang w:val="en-US"/>
        </w:rPr>
        <w:t>,</w:t>
      </w:r>
      <w:r w:rsidR="007F6974" w:rsidRPr="00860949">
        <w:rPr>
          <w:rFonts w:ascii="Book Antiqua" w:hAnsi="Book Antiqua"/>
          <w:lang w:val="en-US"/>
        </w:rPr>
        <w:t xml:space="preserve"> </w:t>
      </w:r>
      <w:r w:rsidR="00923B22" w:rsidRPr="00860949">
        <w:rPr>
          <w:rFonts w:ascii="Book Antiqua" w:hAnsi="Book Antiqua"/>
          <w:lang w:val="en-US"/>
        </w:rPr>
        <w:t>representing</w:t>
      </w:r>
      <w:r w:rsidR="007F6974" w:rsidRPr="00860949">
        <w:rPr>
          <w:rFonts w:ascii="Book Antiqua" w:hAnsi="Book Antiqua"/>
          <w:lang w:val="en-US"/>
        </w:rPr>
        <w:t xml:space="preserve"> 42.8% of </w:t>
      </w:r>
      <w:r w:rsidR="00923B22" w:rsidRPr="00860949">
        <w:rPr>
          <w:rFonts w:ascii="Book Antiqua" w:hAnsi="Book Antiqua"/>
          <w:lang w:val="en-US"/>
        </w:rPr>
        <w:t xml:space="preserve">total adverse events, </w:t>
      </w:r>
      <w:r w:rsidR="00360AC3" w:rsidRPr="00860949">
        <w:rPr>
          <w:rFonts w:ascii="Book Antiqua" w:hAnsi="Book Antiqua"/>
          <w:lang w:val="en-US"/>
        </w:rPr>
        <w:t xml:space="preserve">with </w:t>
      </w:r>
      <w:r w:rsidR="00303AA5" w:rsidRPr="00860949">
        <w:rPr>
          <w:rFonts w:ascii="Book Antiqua" w:hAnsi="Book Antiqua"/>
          <w:lang w:val="en-US"/>
        </w:rPr>
        <w:t xml:space="preserve">six </w:t>
      </w:r>
      <w:r w:rsidR="00360AC3" w:rsidRPr="00860949">
        <w:rPr>
          <w:rFonts w:ascii="Book Antiqua" w:hAnsi="Book Antiqua"/>
          <w:lang w:val="en-US"/>
        </w:rPr>
        <w:t>of sixty-three patients (9.5%) having</w:t>
      </w:r>
      <w:r w:rsidR="00303AA5" w:rsidRPr="00860949">
        <w:rPr>
          <w:rFonts w:ascii="Book Antiqua" w:hAnsi="Book Antiqua"/>
          <w:lang w:val="en-US"/>
        </w:rPr>
        <w:t xml:space="preserve"> perforation, one (1.5%) migration and seven</w:t>
      </w:r>
      <w:r w:rsidR="00C16E2D" w:rsidRPr="00860949">
        <w:rPr>
          <w:rFonts w:ascii="Book Antiqua" w:hAnsi="Book Antiqua"/>
          <w:lang w:val="en-US"/>
        </w:rPr>
        <w:t xml:space="preserve"> (11.1%) obstruction.</w:t>
      </w:r>
    </w:p>
    <w:p w14:paraId="0E6E0F2E" w14:textId="77777777" w:rsidR="00C93C7A" w:rsidRPr="00C042FF" w:rsidRDefault="00C93C7A" w:rsidP="003E14C8">
      <w:pPr>
        <w:spacing w:line="360" w:lineRule="auto"/>
        <w:jc w:val="both"/>
        <w:rPr>
          <w:rFonts w:ascii="Book Antiqua" w:hAnsi="Book Antiqua"/>
          <w:lang w:val="en-US"/>
        </w:rPr>
      </w:pPr>
    </w:p>
    <w:p w14:paraId="686DE3BA" w14:textId="28276E82" w:rsidR="00A15ECC" w:rsidRPr="00E27196" w:rsidRDefault="00E27196" w:rsidP="003E14C8">
      <w:pPr>
        <w:spacing w:line="360" w:lineRule="auto"/>
        <w:jc w:val="both"/>
        <w:rPr>
          <w:rFonts w:ascii="Book Antiqua" w:hAnsi="Book Antiqua" w:cstheme="majorBidi"/>
          <w:b/>
          <w:iCs/>
          <w:lang w:val="en-US" w:eastAsia="zh-CN"/>
        </w:rPr>
      </w:pPr>
      <w:r>
        <w:rPr>
          <w:rFonts w:ascii="Book Antiqua" w:eastAsiaTheme="majorEastAsia" w:hAnsi="Book Antiqua" w:cstheme="majorBidi"/>
          <w:b/>
          <w:iCs/>
          <w:lang w:val="en-US"/>
        </w:rPr>
        <w:t>CONCLUSION</w:t>
      </w:r>
    </w:p>
    <w:p w14:paraId="498A89B0" w14:textId="5594B961" w:rsidR="00FD029B" w:rsidRPr="00C042FF" w:rsidRDefault="00FD029B" w:rsidP="003E14C8">
      <w:pPr>
        <w:spacing w:line="360" w:lineRule="auto"/>
        <w:jc w:val="both"/>
        <w:rPr>
          <w:rFonts w:ascii="Book Antiqua" w:hAnsi="Book Antiqua"/>
          <w:lang w:val="en-US"/>
        </w:rPr>
      </w:pPr>
      <w:r w:rsidRPr="00C042FF">
        <w:rPr>
          <w:rFonts w:ascii="Book Antiqua" w:hAnsi="Book Antiqua"/>
          <w:lang w:val="en-US"/>
        </w:rPr>
        <w:t xml:space="preserve">Studies comparing emergent surgery to the use of stents as a bridge to surgery demonstrate a lower rate of a temporary and permanent stoma and a lower short-term morbidity, in a patient undergoing stent placement. This may also positively influence patient’s </w:t>
      </w:r>
      <w:r w:rsidR="00AC7A99" w:rsidRPr="00C042FF">
        <w:rPr>
          <w:rFonts w:ascii="Book Antiqua" w:hAnsi="Book Antiqua"/>
          <w:noProof/>
          <w:lang w:val="en-US"/>
        </w:rPr>
        <w:t>QOL</w:t>
      </w:r>
      <w:r w:rsidRPr="00C042FF">
        <w:rPr>
          <w:rFonts w:ascii="Book Antiqua" w:hAnsi="Book Antiqua"/>
          <w:lang w:val="en-US"/>
        </w:rPr>
        <w:t xml:space="preserve">, however, questions remain regarding longer-term durability. Until more long-term oncological studies are available, stenting cannot be established as the gold standard of treatment. Regarding the use of stents in acute abdominal obstruction in palliative patients, mean survival, early complications, ICU length of stay, and mortality are similar to surgery. Surgery was associated with greater clinical success, while stents demonstrated shorter hospital stay and fewer definitive stomas. Therefore, stenting may be an alternative for patients with incurable obstructive tumors in acute abdomen, with the advantage of early hospital discharge and the potential for improved </w:t>
      </w:r>
      <w:r w:rsidR="00AC7A99" w:rsidRPr="00C042FF">
        <w:rPr>
          <w:rFonts w:ascii="Book Antiqua" w:hAnsi="Book Antiqua"/>
          <w:noProof/>
          <w:lang w:val="en-US"/>
        </w:rPr>
        <w:t>QOL</w:t>
      </w:r>
      <w:r w:rsidRPr="00C042FF">
        <w:rPr>
          <w:rFonts w:ascii="Book Antiqua" w:hAnsi="Book Antiqua"/>
          <w:lang w:val="en-US"/>
        </w:rPr>
        <w:t xml:space="preserve"> with avoidance of a permanent stoma.</w:t>
      </w:r>
    </w:p>
    <w:p w14:paraId="423F01E6" w14:textId="77777777" w:rsidR="00CB03E3" w:rsidRDefault="00CB03E3" w:rsidP="003E14C8">
      <w:pPr>
        <w:autoSpaceDE w:val="0"/>
        <w:autoSpaceDN w:val="0"/>
        <w:adjustRightInd w:val="0"/>
        <w:spacing w:line="360" w:lineRule="auto"/>
        <w:jc w:val="both"/>
        <w:rPr>
          <w:rFonts w:ascii="Book Antiqua" w:hAnsi="Book Antiqua"/>
          <w:b/>
          <w:lang w:val="en-US"/>
        </w:rPr>
      </w:pPr>
    </w:p>
    <w:p w14:paraId="3B50E274" w14:textId="34D74A02" w:rsidR="00E96D2C" w:rsidRPr="00C042FF" w:rsidRDefault="00E96D2C" w:rsidP="003E14C8">
      <w:pPr>
        <w:autoSpaceDE w:val="0"/>
        <w:autoSpaceDN w:val="0"/>
        <w:adjustRightInd w:val="0"/>
        <w:spacing w:line="360" w:lineRule="auto"/>
        <w:jc w:val="both"/>
        <w:rPr>
          <w:rFonts w:ascii="Book Antiqua" w:hAnsi="Book Antiqua"/>
          <w:lang w:val="en-US"/>
        </w:rPr>
      </w:pPr>
      <w:bookmarkStart w:id="8" w:name="_GoBack"/>
      <w:bookmarkEnd w:id="8"/>
      <w:r w:rsidRPr="00C042FF">
        <w:rPr>
          <w:rFonts w:ascii="Book Antiqua" w:hAnsi="Book Antiqua"/>
          <w:b/>
          <w:lang w:val="en-US"/>
        </w:rPr>
        <w:t>ACKNOWLEDGMENTS</w:t>
      </w:r>
      <w:r w:rsidRPr="00C042FF">
        <w:rPr>
          <w:rFonts w:ascii="Book Antiqua" w:hAnsi="Book Antiqua"/>
          <w:b/>
          <w:lang w:val="en-US"/>
        </w:rPr>
        <w:tab/>
      </w:r>
    </w:p>
    <w:p w14:paraId="290C4D84" w14:textId="77777777" w:rsidR="00E96D2C" w:rsidRPr="00C042FF" w:rsidRDefault="00E96D2C" w:rsidP="003E14C8">
      <w:pPr>
        <w:autoSpaceDE w:val="0"/>
        <w:autoSpaceDN w:val="0"/>
        <w:adjustRightInd w:val="0"/>
        <w:spacing w:line="360" w:lineRule="auto"/>
        <w:jc w:val="both"/>
        <w:rPr>
          <w:rFonts w:ascii="Book Antiqua" w:hAnsi="Book Antiqua"/>
          <w:lang w:val="en-US"/>
        </w:rPr>
      </w:pPr>
      <w:r w:rsidRPr="00C042FF">
        <w:rPr>
          <w:rFonts w:ascii="Book Antiqua" w:hAnsi="Book Antiqua"/>
          <w:lang w:val="en-US"/>
        </w:rPr>
        <w:lastRenderedPageBreak/>
        <w:t xml:space="preserve">We thank Dr. Rodrigo </w:t>
      </w:r>
      <w:proofErr w:type="spellStart"/>
      <w:r w:rsidRPr="00C042FF">
        <w:rPr>
          <w:rFonts w:ascii="Book Antiqua" w:hAnsi="Book Antiqua"/>
          <w:lang w:val="en-US"/>
        </w:rPr>
        <w:t>Castaño</w:t>
      </w:r>
      <w:proofErr w:type="spellEnd"/>
      <w:r w:rsidRPr="00C042FF">
        <w:rPr>
          <w:rFonts w:ascii="Book Antiqua" w:hAnsi="Book Antiqua"/>
          <w:lang w:val="en-US"/>
        </w:rPr>
        <w:t xml:space="preserve"> for Figure 1 and PhD. Bruno da Costa Martins for Figures 2,</w:t>
      </w:r>
      <w:r w:rsidRPr="00C042FF">
        <w:rPr>
          <w:rFonts w:ascii="Book Antiqua" w:hAnsi="Book Antiqua"/>
          <w:lang w:val="en-US" w:eastAsia="zh-CN"/>
        </w:rPr>
        <w:t xml:space="preserve"> </w:t>
      </w:r>
      <w:r w:rsidRPr="00C042FF">
        <w:rPr>
          <w:rFonts w:ascii="Book Antiqua" w:hAnsi="Book Antiqua"/>
          <w:lang w:val="en-US"/>
        </w:rPr>
        <w:t>4,</w:t>
      </w:r>
      <w:r w:rsidRPr="00C042FF">
        <w:rPr>
          <w:rFonts w:ascii="Book Antiqua" w:hAnsi="Book Antiqua"/>
          <w:lang w:val="en-US" w:eastAsia="zh-CN"/>
        </w:rPr>
        <w:t xml:space="preserve"> </w:t>
      </w:r>
      <w:r w:rsidRPr="00C042FF">
        <w:rPr>
          <w:rFonts w:ascii="Book Antiqua" w:hAnsi="Book Antiqua"/>
          <w:lang w:val="en-US"/>
        </w:rPr>
        <w:t>6,</w:t>
      </w:r>
      <w:r w:rsidRPr="00C042FF">
        <w:rPr>
          <w:rFonts w:ascii="Book Antiqua" w:hAnsi="Book Antiqua"/>
          <w:lang w:val="en-US" w:eastAsia="zh-CN"/>
        </w:rPr>
        <w:t xml:space="preserve"> </w:t>
      </w:r>
      <w:r w:rsidRPr="00C042FF">
        <w:rPr>
          <w:rFonts w:ascii="Book Antiqua" w:hAnsi="Book Antiqua"/>
          <w:lang w:val="en-US"/>
        </w:rPr>
        <w:t>7,</w:t>
      </w:r>
      <w:r w:rsidRPr="00C042FF">
        <w:rPr>
          <w:rFonts w:ascii="Book Antiqua" w:hAnsi="Book Antiqua"/>
          <w:lang w:val="en-US" w:eastAsia="zh-CN"/>
        </w:rPr>
        <w:t xml:space="preserve"> </w:t>
      </w:r>
      <w:r w:rsidRPr="00C042FF">
        <w:rPr>
          <w:rFonts w:ascii="Book Antiqua" w:hAnsi="Book Antiqua"/>
          <w:lang w:val="en-US"/>
        </w:rPr>
        <w:t>8 assigned to this manuscript.</w:t>
      </w:r>
    </w:p>
    <w:p w14:paraId="6D90C385" w14:textId="77777777" w:rsidR="008201F7" w:rsidRPr="00C042FF" w:rsidRDefault="008201F7" w:rsidP="003E14C8">
      <w:pPr>
        <w:spacing w:line="360" w:lineRule="auto"/>
        <w:jc w:val="both"/>
        <w:rPr>
          <w:rFonts w:ascii="Book Antiqua" w:hAnsi="Book Antiqua"/>
          <w:lang w:val="en-US"/>
        </w:rPr>
      </w:pPr>
    </w:p>
    <w:p w14:paraId="78B10512" w14:textId="77777777" w:rsidR="00AE70F1" w:rsidRDefault="00AE70F1">
      <w:pPr>
        <w:rPr>
          <w:rFonts w:ascii="Book Antiqua" w:hAnsi="Book Antiqua"/>
          <w:b/>
          <w:lang w:val="en-US"/>
        </w:rPr>
      </w:pPr>
      <w:r>
        <w:rPr>
          <w:rFonts w:ascii="Book Antiqua" w:hAnsi="Book Antiqua"/>
          <w:b/>
          <w:lang w:val="en-US"/>
        </w:rPr>
        <w:br w:type="page"/>
      </w:r>
    </w:p>
    <w:p w14:paraId="0FB8333F" w14:textId="64930EF0" w:rsidR="0087373D" w:rsidRPr="00FB0525" w:rsidRDefault="0087373D" w:rsidP="00FB0525">
      <w:pPr>
        <w:spacing w:line="360" w:lineRule="auto"/>
        <w:jc w:val="both"/>
        <w:rPr>
          <w:rFonts w:ascii="Book Antiqua" w:hAnsi="Book Antiqua"/>
          <w:b/>
          <w:lang w:val="en-US"/>
        </w:rPr>
      </w:pPr>
      <w:r w:rsidRPr="00FB0525">
        <w:rPr>
          <w:rFonts w:ascii="Book Antiqua" w:hAnsi="Book Antiqua"/>
          <w:b/>
          <w:lang w:val="en-US"/>
        </w:rPr>
        <w:lastRenderedPageBreak/>
        <w:t>REFERENC</w:t>
      </w:r>
      <w:r w:rsidR="00B369D4" w:rsidRPr="00FB0525">
        <w:rPr>
          <w:rFonts w:ascii="Book Antiqua" w:hAnsi="Book Antiqua"/>
          <w:b/>
          <w:lang w:val="en-US"/>
        </w:rPr>
        <w:t>ES</w:t>
      </w:r>
    </w:p>
    <w:p w14:paraId="060E3B21" w14:textId="2E28FC5B" w:rsidR="00FB0525" w:rsidRPr="00FB0525" w:rsidRDefault="00FB0525" w:rsidP="00FB0525">
      <w:pPr>
        <w:spacing w:line="360" w:lineRule="auto"/>
        <w:jc w:val="both"/>
        <w:rPr>
          <w:rFonts w:ascii="Book Antiqua" w:hAnsi="Book Antiqua"/>
        </w:rPr>
      </w:pPr>
      <w:r w:rsidRPr="00FB0525">
        <w:rPr>
          <w:rFonts w:ascii="Book Antiqua" w:hAnsi="Book Antiqua"/>
          <w:highlight w:val="yellow"/>
        </w:rPr>
        <w:t xml:space="preserve">1 </w:t>
      </w:r>
      <w:r w:rsidRPr="00FB0525">
        <w:rPr>
          <w:rFonts w:ascii="Book Antiqua" w:hAnsi="Book Antiqua"/>
          <w:b/>
          <w:highlight w:val="yellow"/>
        </w:rPr>
        <w:t>American Cancer Society</w:t>
      </w:r>
      <w:r w:rsidRPr="00FB0525">
        <w:rPr>
          <w:rFonts w:ascii="Book Antiqua" w:hAnsi="Book Antiqua"/>
          <w:highlight w:val="yellow"/>
        </w:rPr>
        <w:t>. Colorectal Cancer FactsFigures 2017-2019. Available from: URL: https://www.cancer.org/content/dam/cancer-org/research/cancer-facts-and-statistics/colorectal-cancer-facts-and-figures/colorectal-cancer-facts-and-figures-2017-2019.pdf</w:t>
      </w:r>
    </w:p>
    <w:p w14:paraId="6AFF0DCB"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 </w:t>
      </w:r>
      <w:r w:rsidRPr="00FB0525">
        <w:rPr>
          <w:rFonts w:ascii="Book Antiqua" w:hAnsi="Book Antiqua"/>
          <w:b/>
        </w:rPr>
        <w:t>Siegel RL</w:t>
      </w:r>
      <w:r w:rsidRPr="00FB0525">
        <w:rPr>
          <w:rFonts w:ascii="Book Antiqua" w:hAnsi="Book Antiqua"/>
        </w:rPr>
        <w:t xml:space="preserve">, Miller KD, Fedewa SA, Ahnen DJ, Meester RGS, Barzi A, Jemal A. Colorectal cancer statistics, 2017. </w:t>
      </w:r>
      <w:r w:rsidRPr="00FB0525">
        <w:rPr>
          <w:rFonts w:ascii="Book Antiqua" w:hAnsi="Book Antiqua"/>
          <w:i/>
        </w:rPr>
        <w:t>CA Cancer J Clin</w:t>
      </w:r>
      <w:r w:rsidRPr="00FB0525">
        <w:rPr>
          <w:rFonts w:ascii="Book Antiqua" w:hAnsi="Book Antiqua"/>
        </w:rPr>
        <w:t xml:space="preserve"> 2017; </w:t>
      </w:r>
      <w:r w:rsidRPr="00FB0525">
        <w:rPr>
          <w:rFonts w:ascii="Book Antiqua" w:hAnsi="Book Antiqua"/>
          <w:b/>
        </w:rPr>
        <w:t>67</w:t>
      </w:r>
      <w:r w:rsidRPr="00FB0525">
        <w:rPr>
          <w:rFonts w:ascii="Book Antiqua" w:hAnsi="Book Antiqua"/>
        </w:rPr>
        <w:t>: 177-193 [PMID: 28248415 DOI: 10.3322/caac.21395]</w:t>
      </w:r>
    </w:p>
    <w:p w14:paraId="55C1166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 </w:t>
      </w:r>
      <w:r w:rsidRPr="00FB0525">
        <w:rPr>
          <w:rFonts w:ascii="Book Antiqua" w:hAnsi="Book Antiqua"/>
          <w:b/>
        </w:rPr>
        <w:t>Shimura T</w:t>
      </w:r>
      <w:r w:rsidRPr="00FB0525">
        <w:rPr>
          <w:rFonts w:ascii="Book Antiqua" w:hAnsi="Book Antiqua"/>
        </w:rPr>
        <w:t xml:space="preserve">, Joh T. Evidence-based Clinical Management of Acute Malignant Colorectal Obstruction. </w:t>
      </w:r>
      <w:r w:rsidRPr="00FB0525">
        <w:rPr>
          <w:rFonts w:ascii="Book Antiqua" w:hAnsi="Book Antiqua"/>
          <w:i/>
        </w:rPr>
        <w:t>J Clin Gastroenterol</w:t>
      </w:r>
      <w:r w:rsidRPr="00FB0525">
        <w:rPr>
          <w:rFonts w:ascii="Book Antiqua" w:hAnsi="Book Antiqua"/>
        </w:rPr>
        <w:t xml:space="preserve"> 2016; </w:t>
      </w:r>
      <w:r w:rsidRPr="00FB0525">
        <w:rPr>
          <w:rFonts w:ascii="Book Antiqua" w:hAnsi="Book Antiqua"/>
          <w:b/>
        </w:rPr>
        <w:t>50</w:t>
      </w:r>
      <w:r w:rsidRPr="00FB0525">
        <w:rPr>
          <w:rFonts w:ascii="Book Antiqua" w:hAnsi="Book Antiqua"/>
        </w:rPr>
        <w:t>: 273-285 [PMID: 26796083 DOI: 10.1097/MCG.0000000000000475]</w:t>
      </w:r>
    </w:p>
    <w:p w14:paraId="6B85A91C" w14:textId="6A2367A0" w:rsidR="00FB0525" w:rsidRPr="00FB0525" w:rsidRDefault="00FB0525" w:rsidP="00FB0525">
      <w:pPr>
        <w:spacing w:line="360" w:lineRule="auto"/>
        <w:jc w:val="both"/>
        <w:rPr>
          <w:rFonts w:ascii="Book Antiqua" w:hAnsi="Book Antiqua"/>
        </w:rPr>
      </w:pPr>
      <w:r w:rsidRPr="00FB0525">
        <w:rPr>
          <w:rFonts w:ascii="Book Antiqua" w:hAnsi="Book Antiqua"/>
        </w:rPr>
        <w:t xml:space="preserve">4 </w:t>
      </w:r>
      <w:r w:rsidRPr="00FB0525">
        <w:rPr>
          <w:rFonts w:ascii="Book Antiqua" w:hAnsi="Book Antiqua"/>
          <w:b/>
        </w:rPr>
        <w:t>Goldenberg BA</w:t>
      </w:r>
      <w:r w:rsidRPr="00FB0525">
        <w:rPr>
          <w:rFonts w:ascii="Book Antiqua" w:hAnsi="Book Antiqua"/>
        </w:rPr>
        <w:t xml:space="preserve">, Holliday EB, Helewa RM, Singh H. Rectal Cancer in 2018: A Primer for the Gastroenterologist. </w:t>
      </w:r>
      <w:r w:rsidRPr="00FB0525">
        <w:rPr>
          <w:rFonts w:ascii="Book Antiqua" w:hAnsi="Book Antiqua"/>
          <w:i/>
        </w:rPr>
        <w:t>Am J Gastroenterol</w:t>
      </w:r>
      <w:r w:rsidRPr="00FB0525">
        <w:rPr>
          <w:rFonts w:ascii="Book Antiqua" w:hAnsi="Book Antiqua"/>
        </w:rPr>
        <w:t xml:space="preserve"> 2018 [PMID: 30008472 DOI: 10.1038/s41395-018-0180-y]</w:t>
      </w:r>
    </w:p>
    <w:p w14:paraId="01B597C1"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 </w:t>
      </w:r>
      <w:r w:rsidRPr="00FB0525">
        <w:rPr>
          <w:rFonts w:ascii="Book Antiqua" w:hAnsi="Book Antiqua"/>
          <w:b/>
        </w:rPr>
        <w:t>Sanoff HK</w:t>
      </w:r>
      <w:r w:rsidRPr="00FB0525">
        <w:rPr>
          <w:rFonts w:ascii="Book Antiqua" w:hAnsi="Book Antiqua"/>
        </w:rPr>
        <w:t xml:space="preserve">. Best Evidence Supports Annual Surveillance for Resected Colorectal Cancer. </w:t>
      </w:r>
      <w:r w:rsidRPr="00FB0525">
        <w:rPr>
          <w:rFonts w:ascii="Book Antiqua" w:hAnsi="Book Antiqua"/>
          <w:i/>
        </w:rPr>
        <w:t>JAMA</w:t>
      </w:r>
      <w:r w:rsidRPr="00FB0525">
        <w:rPr>
          <w:rFonts w:ascii="Book Antiqua" w:hAnsi="Book Antiqua"/>
        </w:rPr>
        <w:t xml:space="preserve"> 2018; </w:t>
      </w:r>
      <w:r w:rsidRPr="00FB0525">
        <w:rPr>
          <w:rFonts w:ascii="Book Antiqua" w:hAnsi="Book Antiqua"/>
          <w:b/>
        </w:rPr>
        <w:t>319</w:t>
      </w:r>
      <w:r w:rsidRPr="00FB0525">
        <w:rPr>
          <w:rFonts w:ascii="Book Antiqua" w:hAnsi="Book Antiqua"/>
        </w:rPr>
        <w:t>: 2083-2085 [PMID: 29800158 DOI: 10.1001/jama.2018.5817]</w:t>
      </w:r>
    </w:p>
    <w:p w14:paraId="2E8B6EE7"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 </w:t>
      </w:r>
      <w:r w:rsidRPr="00FB0525">
        <w:rPr>
          <w:rFonts w:ascii="Book Antiqua" w:hAnsi="Book Antiqua"/>
          <w:b/>
        </w:rPr>
        <w:t>Verstockt B</w:t>
      </w:r>
      <w:r w:rsidRPr="00FB0525">
        <w:rPr>
          <w:rFonts w:ascii="Book Antiqua" w:hAnsi="Book Antiqua"/>
        </w:rPr>
        <w:t xml:space="preserve">, Van Driessche A, De Man M, van der Spek P, Hendrickx K, Casneuf V, Dobbels P, Van Molhem Y, Vandervoort J. Ten-year survival after endoscopic stent placement as a bridge to surgery in obstructing colon cancer. </w:t>
      </w:r>
      <w:r w:rsidRPr="00FB0525">
        <w:rPr>
          <w:rFonts w:ascii="Book Antiqua" w:hAnsi="Book Antiqua"/>
          <w:i/>
        </w:rPr>
        <w:t>Gastrointest Endosc</w:t>
      </w:r>
      <w:r w:rsidRPr="00FB0525">
        <w:rPr>
          <w:rFonts w:ascii="Book Antiqua" w:hAnsi="Book Antiqua"/>
        </w:rPr>
        <w:t xml:space="preserve"> 2018; </w:t>
      </w:r>
      <w:r w:rsidRPr="00FB0525">
        <w:rPr>
          <w:rFonts w:ascii="Book Antiqua" w:hAnsi="Book Antiqua"/>
          <w:b/>
        </w:rPr>
        <w:t>87</w:t>
      </w:r>
      <w:r w:rsidRPr="00FB0525">
        <w:rPr>
          <w:rFonts w:ascii="Book Antiqua" w:hAnsi="Book Antiqua"/>
        </w:rPr>
        <w:t>: 705-713.e2 [PMID: 28579348 DOI: 10.1016/j.gie.2017.05.032]</w:t>
      </w:r>
    </w:p>
    <w:p w14:paraId="362A58B5"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7 </w:t>
      </w:r>
      <w:r w:rsidRPr="00FB0525">
        <w:rPr>
          <w:rFonts w:ascii="Book Antiqua" w:hAnsi="Book Antiqua"/>
          <w:b/>
        </w:rPr>
        <w:t>Khot UP</w:t>
      </w:r>
      <w:r w:rsidRPr="00FB0525">
        <w:rPr>
          <w:rFonts w:ascii="Book Antiqua" w:hAnsi="Book Antiqua"/>
        </w:rPr>
        <w:t xml:space="preserve">, Lang AW, Murali K, Parker MC. Systematic review of the efficacy and safety of colorectal stents. </w:t>
      </w:r>
      <w:r w:rsidRPr="00FB0525">
        <w:rPr>
          <w:rFonts w:ascii="Book Antiqua" w:hAnsi="Book Antiqua"/>
          <w:i/>
        </w:rPr>
        <w:t>Br J Surg</w:t>
      </w:r>
      <w:r w:rsidRPr="00FB0525">
        <w:rPr>
          <w:rFonts w:ascii="Book Antiqua" w:hAnsi="Book Antiqua"/>
        </w:rPr>
        <w:t xml:space="preserve"> 2002; </w:t>
      </w:r>
      <w:r w:rsidRPr="00FB0525">
        <w:rPr>
          <w:rFonts w:ascii="Book Antiqua" w:hAnsi="Book Antiqua"/>
          <w:b/>
        </w:rPr>
        <w:t>89</w:t>
      </w:r>
      <w:r w:rsidRPr="00FB0525">
        <w:rPr>
          <w:rFonts w:ascii="Book Antiqua" w:hAnsi="Book Antiqua"/>
        </w:rPr>
        <w:t>: 1096-1102 [PMID: 12190673 DOI: 10.1046/j.1365-2168.2002.02148.x]</w:t>
      </w:r>
    </w:p>
    <w:p w14:paraId="1199D87F" w14:textId="0C3ABD74" w:rsidR="00FB0525" w:rsidRPr="00FB0525" w:rsidRDefault="00FB0525" w:rsidP="00FB0525">
      <w:pPr>
        <w:spacing w:line="360" w:lineRule="auto"/>
        <w:jc w:val="both"/>
        <w:rPr>
          <w:rFonts w:ascii="Book Antiqua" w:hAnsi="Book Antiqua"/>
        </w:rPr>
      </w:pPr>
      <w:r w:rsidRPr="00FB0525">
        <w:rPr>
          <w:rFonts w:ascii="Book Antiqua" w:hAnsi="Book Antiqua"/>
        </w:rPr>
        <w:t xml:space="preserve">8 </w:t>
      </w:r>
      <w:r w:rsidRPr="00FB0525">
        <w:rPr>
          <w:rFonts w:ascii="Book Antiqua" w:hAnsi="Book Antiqua"/>
          <w:b/>
        </w:rPr>
        <w:t>Ribeiro IB</w:t>
      </w:r>
      <w:r w:rsidRPr="00FB0525">
        <w:rPr>
          <w:rFonts w:ascii="Book Antiqua" w:hAnsi="Book Antiqua"/>
        </w:rPr>
        <w:t>, Gestic MA, Utrini MP, Chaim FDM, Chaim EA, Cazzo E. D</w:t>
      </w:r>
      <w:r w:rsidR="00AD2F33" w:rsidRPr="00FB0525">
        <w:rPr>
          <w:rFonts w:ascii="Book Antiqua" w:hAnsi="Book Antiqua"/>
        </w:rPr>
        <w:t xml:space="preserve">rain amylase levels may indicate gastrojejunostomy leaks after </w:t>
      </w:r>
      <w:r w:rsidR="00584F9E" w:rsidRPr="00FB0525">
        <w:rPr>
          <w:rFonts w:ascii="Book Antiqua" w:hAnsi="Book Antiqua"/>
        </w:rPr>
        <w:t>Roux-E</w:t>
      </w:r>
      <w:r w:rsidR="00AD2F33" w:rsidRPr="00FB0525">
        <w:rPr>
          <w:rFonts w:ascii="Book Antiqua" w:hAnsi="Book Antiqua"/>
        </w:rPr>
        <w:t>n-Y gastric bypass.</w:t>
      </w:r>
      <w:r w:rsidRPr="00FB0525">
        <w:rPr>
          <w:rFonts w:ascii="Book Antiqua" w:hAnsi="Book Antiqua"/>
        </w:rPr>
        <w:t xml:space="preserve"> </w:t>
      </w:r>
      <w:r w:rsidRPr="00FB0525">
        <w:rPr>
          <w:rFonts w:ascii="Book Antiqua" w:hAnsi="Book Antiqua"/>
          <w:i/>
        </w:rPr>
        <w:t>Arq Gastroenterol</w:t>
      </w:r>
      <w:r w:rsidRPr="00FB0525">
        <w:rPr>
          <w:rFonts w:ascii="Book Antiqua" w:hAnsi="Book Antiqua"/>
        </w:rPr>
        <w:t xml:space="preserve"> 2018; </w:t>
      </w:r>
      <w:r w:rsidRPr="00FB0525">
        <w:rPr>
          <w:rFonts w:ascii="Book Antiqua" w:hAnsi="Book Antiqua"/>
          <w:b/>
        </w:rPr>
        <w:t>55</w:t>
      </w:r>
      <w:r w:rsidRPr="00FB0525">
        <w:rPr>
          <w:rFonts w:ascii="Book Antiqua" w:hAnsi="Book Antiqua"/>
        </w:rPr>
        <w:t>: 66-72 [PMID: 29561980 DOI: 10.1590/S0004-2803.201800000-13]</w:t>
      </w:r>
    </w:p>
    <w:p w14:paraId="56133137"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9 </w:t>
      </w:r>
      <w:r w:rsidRPr="00FB0525">
        <w:rPr>
          <w:rFonts w:ascii="Book Antiqua" w:hAnsi="Book Antiqua"/>
          <w:b/>
        </w:rPr>
        <w:t>Lee YJ</w:t>
      </w:r>
      <w:r w:rsidRPr="00FB0525">
        <w:rPr>
          <w:rFonts w:ascii="Book Antiqua" w:hAnsi="Book Antiqua"/>
        </w:rPr>
        <w:t xml:space="preserve">, Yoon JY, Park JJ, Park SJ, Kim JH, Youn YH, Kim TI, Park H, Kim WH, Cheon JH. Clinical outcomes and factors related to colonic perforations in </w:t>
      </w:r>
      <w:r w:rsidRPr="00FB0525">
        <w:rPr>
          <w:rFonts w:ascii="Book Antiqua" w:hAnsi="Book Antiqua"/>
        </w:rPr>
        <w:lastRenderedPageBreak/>
        <w:t xml:space="preserve">patients receiving self-expandable metal stent insertion for malignant colorectal obstruction. </w:t>
      </w:r>
      <w:r w:rsidRPr="00FB0525">
        <w:rPr>
          <w:rFonts w:ascii="Book Antiqua" w:hAnsi="Book Antiqua"/>
          <w:i/>
        </w:rPr>
        <w:t>Gastrointest Endosc</w:t>
      </w:r>
      <w:r w:rsidRPr="00FB0525">
        <w:rPr>
          <w:rFonts w:ascii="Book Antiqua" w:hAnsi="Book Antiqua"/>
        </w:rPr>
        <w:t xml:space="preserve"> 2018; </w:t>
      </w:r>
      <w:r w:rsidRPr="00FB0525">
        <w:rPr>
          <w:rFonts w:ascii="Book Antiqua" w:hAnsi="Book Antiqua"/>
          <w:b/>
        </w:rPr>
        <w:t>87</w:t>
      </w:r>
      <w:r w:rsidRPr="00FB0525">
        <w:rPr>
          <w:rFonts w:ascii="Book Antiqua" w:hAnsi="Book Antiqua"/>
        </w:rPr>
        <w:t>: 1548-1557.e1 [PMID: 29452077 DOI: 10.1016/j.gie.2018.02.006]</w:t>
      </w:r>
    </w:p>
    <w:p w14:paraId="3953E3D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10 </w:t>
      </w:r>
      <w:r w:rsidRPr="00FB0525">
        <w:rPr>
          <w:rFonts w:ascii="Book Antiqua" w:hAnsi="Book Antiqua"/>
          <w:b/>
        </w:rPr>
        <w:t>Di Saverio S</w:t>
      </w:r>
      <w:r w:rsidRPr="00FB0525">
        <w:rPr>
          <w:rFonts w:ascii="Book Antiqua" w:hAnsi="Book Antiqua"/>
        </w:rPr>
        <w:t xml:space="preserve">, Birindelli A, Segalini E, Novello M, Larocca A, Ferrara F, Binda GA, Bassi M. "To stent or not to stent?": immediate emergency surgery with laparoscopic radical colectomy with CME and primary anastomosis is feasible for obstructing left colon carcinoma. </w:t>
      </w:r>
      <w:r w:rsidRPr="00FB0525">
        <w:rPr>
          <w:rFonts w:ascii="Book Antiqua" w:hAnsi="Book Antiqua"/>
          <w:i/>
        </w:rPr>
        <w:t>Surg Endosc</w:t>
      </w:r>
      <w:r w:rsidRPr="00FB0525">
        <w:rPr>
          <w:rFonts w:ascii="Book Antiqua" w:hAnsi="Book Antiqua"/>
        </w:rPr>
        <w:t xml:space="preserve"> 2018; </w:t>
      </w:r>
      <w:r w:rsidRPr="00FB0525">
        <w:rPr>
          <w:rFonts w:ascii="Book Antiqua" w:hAnsi="Book Antiqua"/>
          <w:b/>
        </w:rPr>
        <w:t>32</w:t>
      </w:r>
      <w:r w:rsidRPr="00FB0525">
        <w:rPr>
          <w:rFonts w:ascii="Book Antiqua" w:hAnsi="Book Antiqua"/>
        </w:rPr>
        <w:t>: 2151-2155 [PMID: 28791424 DOI: 10.1007/s00464-017-5763-y]</w:t>
      </w:r>
    </w:p>
    <w:p w14:paraId="6258BFA4"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11 </w:t>
      </w:r>
      <w:r w:rsidRPr="00FB0525">
        <w:rPr>
          <w:rFonts w:ascii="Book Antiqua" w:hAnsi="Book Antiqua"/>
          <w:b/>
        </w:rPr>
        <w:t>Wrenn SM</w:t>
      </w:r>
      <w:r w:rsidRPr="00FB0525">
        <w:rPr>
          <w:rFonts w:ascii="Book Antiqua" w:hAnsi="Book Antiqua"/>
        </w:rPr>
        <w:t xml:space="preserve">, Cepeda-Benito A, Ramos-Valadez DI, Cataldo PA. Patient Perceptions and Quality of Life After Colon and Rectal Surgery: What Do Patients Really Want? </w:t>
      </w:r>
      <w:r w:rsidRPr="00FB0525">
        <w:rPr>
          <w:rFonts w:ascii="Book Antiqua" w:hAnsi="Book Antiqua"/>
          <w:i/>
        </w:rPr>
        <w:t>Dis Colon Rectum</w:t>
      </w:r>
      <w:r w:rsidRPr="00FB0525">
        <w:rPr>
          <w:rFonts w:ascii="Book Antiqua" w:hAnsi="Book Antiqua"/>
        </w:rPr>
        <w:t xml:space="preserve"> 2018; </w:t>
      </w:r>
      <w:r w:rsidRPr="00FB0525">
        <w:rPr>
          <w:rFonts w:ascii="Book Antiqua" w:hAnsi="Book Antiqua"/>
          <w:b/>
        </w:rPr>
        <w:t>61</w:t>
      </w:r>
      <w:r w:rsidRPr="00FB0525">
        <w:rPr>
          <w:rFonts w:ascii="Book Antiqua" w:hAnsi="Book Antiqua"/>
        </w:rPr>
        <w:t>: 971-978 [PMID: 29944576 DOI: 10.1097/DCR.0000000000001078]</w:t>
      </w:r>
    </w:p>
    <w:p w14:paraId="01BCDF2F"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12 </w:t>
      </w:r>
      <w:r w:rsidRPr="00FB0525">
        <w:rPr>
          <w:rFonts w:ascii="Book Antiqua" w:hAnsi="Book Antiqua"/>
          <w:b/>
        </w:rPr>
        <w:t>Young CJ</w:t>
      </w:r>
      <w:r w:rsidRPr="00FB0525">
        <w:rPr>
          <w:rFonts w:ascii="Book Antiqua" w:hAnsi="Book Antiqua"/>
        </w:rPr>
        <w:t xml:space="preserve">, De-Loyde KJ, Young JM, Solomon MJ, Chew EH, Byrne CM, Salkeld G, Faragher IG. Improving Quality of Life for People with Incurable Large-Bowel Obstruction: Randomized Control Trial of Colonic Stent Insertion. </w:t>
      </w:r>
      <w:r w:rsidRPr="00FB0525">
        <w:rPr>
          <w:rFonts w:ascii="Book Antiqua" w:hAnsi="Book Antiqua"/>
          <w:i/>
        </w:rPr>
        <w:t>Dis Colon Rectum</w:t>
      </w:r>
      <w:r w:rsidRPr="00FB0525">
        <w:rPr>
          <w:rFonts w:ascii="Book Antiqua" w:hAnsi="Book Antiqua"/>
        </w:rPr>
        <w:t xml:space="preserve"> 2015; </w:t>
      </w:r>
      <w:r w:rsidRPr="00FB0525">
        <w:rPr>
          <w:rFonts w:ascii="Book Antiqua" w:hAnsi="Book Antiqua"/>
          <w:b/>
        </w:rPr>
        <w:t>58</w:t>
      </w:r>
      <w:r w:rsidRPr="00FB0525">
        <w:rPr>
          <w:rFonts w:ascii="Book Antiqua" w:hAnsi="Book Antiqua"/>
        </w:rPr>
        <w:t>: 838-849 [PMID: 26252845 DOI: 10.1097/DCR.0000000000000431]</w:t>
      </w:r>
    </w:p>
    <w:p w14:paraId="45CAB111"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13 </w:t>
      </w:r>
      <w:r w:rsidRPr="00FB0525">
        <w:rPr>
          <w:rFonts w:ascii="Book Antiqua" w:hAnsi="Book Antiqua"/>
          <w:b/>
        </w:rPr>
        <w:t>Furuke H</w:t>
      </w:r>
      <w:r w:rsidRPr="00FB0525">
        <w:rPr>
          <w:rFonts w:ascii="Book Antiqua" w:hAnsi="Book Antiqua"/>
        </w:rPr>
        <w:t xml:space="preserve">, Komatsu S, Ikeda J, Tanaka S, Kumano T, Imura KI, Shimomura K, Taniguchi F, Ueshima Y, Takashina KI, Lee CJ, Deguchi E, Ikeda E, Otsuji E, Shioaki Y. Self-expandable Metallic Stents Contribute to Reducing Perioperative Complications in Colorectal Cancer Patients with Acute Obstruction. </w:t>
      </w:r>
      <w:r w:rsidRPr="00FB0525">
        <w:rPr>
          <w:rFonts w:ascii="Book Antiqua" w:hAnsi="Book Antiqua"/>
          <w:i/>
        </w:rPr>
        <w:t>Anticancer Res</w:t>
      </w:r>
      <w:r w:rsidRPr="00FB0525">
        <w:rPr>
          <w:rFonts w:ascii="Book Antiqua" w:hAnsi="Book Antiqua"/>
        </w:rPr>
        <w:t xml:space="preserve"> 2018; </w:t>
      </w:r>
      <w:r w:rsidRPr="00FB0525">
        <w:rPr>
          <w:rFonts w:ascii="Book Antiqua" w:hAnsi="Book Antiqua"/>
          <w:b/>
        </w:rPr>
        <w:t>38</w:t>
      </w:r>
      <w:r w:rsidRPr="00FB0525">
        <w:rPr>
          <w:rFonts w:ascii="Book Antiqua" w:hAnsi="Book Antiqua"/>
        </w:rPr>
        <w:t>: 1749-1753 [PMID: 29491112 DOI: 10.21873/anticanres.12411]</w:t>
      </w:r>
    </w:p>
    <w:p w14:paraId="0BF7AC5A"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14 </w:t>
      </w:r>
      <w:r w:rsidRPr="00FB0525">
        <w:rPr>
          <w:rFonts w:ascii="Book Antiqua" w:hAnsi="Book Antiqua"/>
          <w:b/>
        </w:rPr>
        <w:t>Tilney HS</w:t>
      </w:r>
      <w:r w:rsidRPr="00FB0525">
        <w:rPr>
          <w:rFonts w:ascii="Book Antiqua" w:hAnsi="Book Antiqua"/>
        </w:rPr>
        <w:t xml:space="preserve">, Lovegrove RE, Purkayastha S, Sains PS, Weston-Petrides GK, Darzi AW, Tekkis PP, Heriot AG. Comparison of colonic stenting and open surgery for malignant large bowel obstruction. </w:t>
      </w:r>
      <w:r w:rsidRPr="00FB0525">
        <w:rPr>
          <w:rFonts w:ascii="Book Antiqua" w:hAnsi="Book Antiqua"/>
          <w:i/>
        </w:rPr>
        <w:t>Surg Endosc</w:t>
      </w:r>
      <w:r w:rsidRPr="00FB0525">
        <w:rPr>
          <w:rFonts w:ascii="Book Antiqua" w:hAnsi="Book Antiqua"/>
        </w:rPr>
        <w:t xml:space="preserve"> 2007; </w:t>
      </w:r>
      <w:r w:rsidRPr="00FB0525">
        <w:rPr>
          <w:rFonts w:ascii="Book Antiqua" w:hAnsi="Book Antiqua"/>
          <w:b/>
        </w:rPr>
        <w:t>21</w:t>
      </w:r>
      <w:r w:rsidRPr="00FB0525">
        <w:rPr>
          <w:rFonts w:ascii="Book Antiqua" w:hAnsi="Book Antiqua"/>
        </w:rPr>
        <w:t>: 225-233 [PMID: 17160651 DOI: 10.1007/s00464-005-0644-1]</w:t>
      </w:r>
    </w:p>
    <w:p w14:paraId="379BB4A4"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15 </w:t>
      </w:r>
      <w:r w:rsidRPr="00FB0525">
        <w:rPr>
          <w:rFonts w:ascii="Book Antiqua" w:hAnsi="Book Antiqua"/>
          <w:b/>
        </w:rPr>
        <w:t>Arezzo A</w:t>
      </w:r>
      <w:r w:rsidRPr="00FB0525">
        <w:rPr>
          <w:rFonts w:ascii="Book Antiqua" w:hAnsi="Book Antiqua"/>
        </w:rPr>
        <w:t xml:space="preserve">, Passera R, Lo Secco G, Verra M, Bonino MA, Targarona E, Morino M. Stent as bridge to surgery for left-sided malignant colonic obstruction reduces adverse events and stoma rate compared with emergency surgery: results of a systematic review and meta-analysis of randomized controlled trials. </w:t>
      </w:r>
      <w:r w:rsidRPr="00FB0525">
        <w:rPr>
          <w:rFonts w:ascii="Book Antiqua" w:hAnsi="Book Antiqua"/>
          <w:i/>
        </w:rPr>
        <w:t>Gastrointest Endosc</w:t>
      </w:r>
      <w:r w:rsidRPr="00FB0525">
        <w:rPr>
          <w:rFonts w:ascii="Book Antiqua" w:hAnsi="Book Antiqua"/>
        </w:rPr>
        <w:t xml:space="preserve"> 2017; </w:t>
      </w:r>
      <w:r w:rsidRPr="00FB0525">
        <w:rPr>
          <w:rFonts w:ascii="Book Antiqua" w:hAnsi="Book Antiqua"/>
          <w:b/>
        </w:rPr>
        <w:t>86</w:t>
      </w:r>
      <w:r w:rsidRPr="00FB0525">
        <w:rPr>
          <w:rFonts w:ascii="Book Antiqua" w:hAnsi="Book Antiqua"/>
        </w:rPr>
        <w:t>: 416-426 [PMID: 28392363 DOI: 10.1016/j.gie.2017.03.1542]</w:t>
      </w:r>
    </w:p>
    <w:p w14:paraId="6B6DB70A" w14:textId="77777777" w:rsidR="00FB0525" w:rsidRPr="00FB0525" w:rsidRDefault="00FB0525" w:rsidP="00FB0525">
      <w:pPr>
        <w:spacing w:line="360" w:lineRule="auto"/>
        <w:jc w:val="both"/>
        <w:rPr>
          <w:rFonts w:ascii="Book Antiqua" w:hAnsi="Book Antiqua"/>
        </w:rPr>
      </w:pPr>
      <w:r w:rsidRPr="00FB0525">
        <w:rPr>
          <w:rFonts w:ascii="Book Antiqua" w:hAnsi="Book Antiqua"/>
        </w:rPr>
        <w:lastRenderedPageBreak/>
        <w:t xml:space="preserve">16 </w:t>
      </w:r>
      <w:r w:rsidRPr="00FB0525">
        <w:rPr>
          <w:rFonts w:ascii="Book Antiqua" w:hAnsi="Book Antiqua"/>
          <w:b/>
        </w:rPr>
        <w:t>Biondo S</w:t>
      </w:r>
      <w:r w:rsidRPr="00FB0525">
        <w:rPr>
          <w:rFonts w:ascii="Book Antiqua" w:hAnsi="Book Antiqua"/>
        </w:rPr>
        <w:t xml:space="preserve">, Parés D, Frago R, Martí-Ragué J, Kreisler E, De Oca J, Jaurrieta E. Large bowel obstruction: predictive factors for postoperative mortality. </w:t>
      </w:r>
      <w:r w:rsidRPr="00FB0525">
        <w:rPr>
          <w:rFonts w:ascii="Book Antiqua" w:hAnsi="Book Antiqua"/>
          <w:i/>
        </w:rPr>
        <w:t>Dis Colon Rectum</w:t>
      </w:r>
      <w:r w:rsidRPr="00FB0525">
        <w:rPr>
          <w:rFonts w:ascii="Book Antiqua" w:hAnsi="Book Antiqua"/>
        </w:rPr>
        <w:t xml:space="preserve"> 2004; </w:t>
      </w:r>
      <w:r w:rsidRPr="00FB0525">
        <w:rPr>
          <w:rFonts w:ascii="Book Antiqua" w:hAnsi="Book Antiqua"/>
          <w:b/>
        </w:rPr>
        <w:t>47</w:t>
      </w:r>
      <w:r w:rsidRPr="00FB0525">
        <w:rPr>
          <w:rFonts w:ascii="Book Antiqua" w:hAnsi="Book Antiqua"/>
        </w:rPr>
        <w:t>: 1889-1897 [PMID: 15622582 DOI: 10.1007/s10350-004-0688-7]</w:t>
      </w:r>
    </w:p>
    <w:p w14:paraId="6B13F51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17 </w:t>
      </w:r>
      <w:r w:rsidRPr="00FB0525">
        <w:rPr>
          <w:rFonts w:ascii="Book Antiqua" w:hAnsi="Book Antiqua"/>
          <w:b/>
        </w:rPr>
        <w:t>Smothers L</w:t>
      </w:r>
      <w:r w:rsidRPr="00FB0525">
        <w:rPr>
          <w:rFonts w:ascii="Book Antiqua" w:hAnsi="Book Antiqua"/>
        </w:rPr>
        <w:t xml:space="preserve">, Hynan L, Fleming J, Turnage R, Simmang C, Anthony T. Emergency surgery for colon carcinoma. </w:t>
      </w:r>
      <w:r w:rsidRPr="00FB0525">
        <w:rPr>
          <w:rFonts w:ascii="Book Antiqua" w:hAnsi="Book Antiqua"/>
          <w:i/>
        </w:rPr>
        <w:t>Dis Colon Rectum</w:t>
      </w:r>
      <w:r w:rsidRPr="00FB0525">
        <w:rPr>
          <w:rFonts w:ascii="Book Antiqua" w:hAnsi="Book Antiqua"/>
        </w:rPr>
        <w:t xml:space="preserve"> 2003; </w:t>
      </w:r>
      <w:r w:rsidRPr="00FB0525">
        <w:rPr>
          <w:rFonts w:ascii="Book Antiqua" w:hAnsi="Book Antiqua"/>
          <w:b/>
        </w:rPr>
        <w:t>46</w:t>
      </w:r>
      <w:r w:rsidRPr="00FB0525">
        <w:rPr>
          <w:rFonts w:ascii="Book Antiqua" w:hAnsi="Book Antiqua"/>
        </w:rPr>
        <w:t>: 24-30 [PMID: 12544518 DOI: 10.1007/s10350-004-6492-6]</w:t>
      </w:r>
    </w:p>
    <w:p w14:paraId="77AD5F85"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18 </w:t>
      </w:r>
      <w:r w:rsidRPr="00FB0525">
        <w:rPr>
          <w:rFonts w:ascii="Book Antiqua" w:hAnsi="Book Antiqua"/>
          <w:b/>
        </w:rPr>
        <w:t>Arezzo A</w:t>
      </w:r>
      <w:r w:rsidRPr="00FB0525">
        <w:rPr>
          <w:rFonts w:ascii="Book Antiqua" w:hAnsi="Book Antiqua"/>
        </w:rPr>
        <w:t xml:space="preserve">, Balague C, Targarona E, Borghi F, Giraudo G, Ghezzo L, Arroyo A, Sola-Vera J, De Paolis P, Bossotti M, Bannone E, Forcignanò E, Bonino MA, Passera R, Morino M. Colonic stenting as a bridge to surgery versus emergency surgery for malignant colonic obstruction: results of a multicentre randomised controlled trial (ESCO trial). </w:t>
      </w:r>
      <w:r w:rsidRPr="00FB0525">
        <w:rPr>
          <w:rFonts w:ascii="Book Antiqua" w:hAnsi="Book Antiqua"/>
          <w:i/>
        </w:rPr>
        <w:t>Surg Endosc</w:t>
      </w:r>
      <w:r w:rsidRPr="00FB0525">
        <w:rPr>
          <w:rFonts w:ascii="Book Antiqua" w:hAnsi="Book Antiqua"/>
        </w:rPr>
        <w:t xml:space="preserve"> 2017; </w:t>
      </w:r>
      <w:r w:rsidRPr="00FB0525">
        <w:rPr>
          <w:rFonts w:ascii="Book Antiqua" w:hAnsi="Book Antiqua"/>
          <w:b/>
        </w:rPr>
        <w:t>31</w:t>
      </w:r>
      <w:r w:rsidRPr="00FB0525">
        <w:rPr>
          <w:rFonts w:ascii="Book Antiqua" w:hAnsi="Book Antiqua"/>
        </w:rPr>
        <w:t>: 3297-3305 [PMID: 27924392 DOI: 10.1007/s00464-016-5362-3]</w:t>
      </w:r>
    </w:p>
    <w:p w14:paraId="51366322"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19 </w:t>
      </w:r>
      <w:r w:rsidRPr="00FB0525">
        <w:rPr>
          <w:rFonts w:ascii="Book Antiqua" w:hAnsi="Book Antiqua"/>
          <w:b/>
        </w:rPr>
        <w:t>Öistämö E</w:t>
      </w:r>
      <w:r w:rsidRPr="00FB0525">
        <w:rPr>
          <w:rFonts w:ascii="Book Antiqua" w:hAnsi="Book Antiqua"/>
        </w:rPr>
        <w:t xml:space="preserve">, Hjern F, Blomqvist L, Falkén Y, Pekkari K, Abraham-Nordling M. Emergency management with resection versus proximal stoma or stent treatment and planned resection in malignant left-sided colon obstruction. </w:t>
      </w:r>
      <w:r w:rsidRPr="00FB0525">
        <w:rPr>
          <w:rFonts w:ascii="Book Antiqua" w:hAnsi="Book Antiqua"/>
          <w:i/>
        </w:rPr>
        <w:t>World J Surg Oncol</w:t>
      </w:r>
      <w:r w:rsidRPr="00FB0525">
        <w:rPr>
          <w:rFonts w:ascii="Book Antiqua" w:hAnsi="Book Antiqua"/>
        </w:rPr>
        <w:t xml:space="preserve"> 2016; </w:t>
      </w:r>
      <w:r w:rsidRPr="00FB0525">
        <w:rPr>
          <w:rFonts w:ascii="Book Antiqua" w:hAnsi="Book Antiqua"/>
          <w:b/>
        </w:rPr>
        <w:t>14</w:t>
      </w:r>
      <w:r w:rsidRPr="00FB0525">
        <w:rPr>
          <w:rFonts w:ascii="Book Antiqua" w:hAnsi="Book Antiqua"/>
        </w:rPr>
        <w:t>: 232 [PMID: 27577887 DOI: 10.1186/s12957-016-0994-2]</w:t>
      </w:r>
    </w:p>
    <w:p w14:paraId="2E85E5E5"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20 </w:t>
      </w:r>
      <w:r w:rsidRPr="00FB0525">
        <w:rPr>
          <w:rFonts w:ascii="Book Antiqua" w:hAnsi="Book Antiqua"/>
          <w:b/>
        </w:rPr>
        <w:t>Sloothaak DA</w:t>
      </w:r>
      <w:r w:rsidRPr="00FB0525">
        <w:rPr>
          <w:rFonts w:ascii="Book Antiqua" w:hAnsi="Book Antiqua"/>
        </w:rPr>
        <w:t xml:space="preserve">, van den Berg MW, Dijkgraaf MG, Fockens P, Tanis PJ, van Hooft JE, Bemelman WA; collaborative Dutch Stent-In study group. Oncological outcome of malignant colonic obstruction in the Dutch Stent-In 2 trial. </w:t>
      </w:r>
      <w:r w:rsidRPr="00FB0525">
        <w:rPr>
          <w:rFonts w:ascii="Book Antiqua" w:hAnsi="Book Antiqua"/>
          <w:i/>
        </w:rPr>
        <w:t>Br J Surg</w:t>
      </w:r>
      <w:r w:rsidRPr="00FB0525">
        <w:rPr>
          <w:rFonts w:ascii="Book Antiqua" w:hAnsi="Book Antiqua"/>
        </w:rPr>
        <w:t xml:space="preserve"> 2014; </w:t>
      </w:r>
      <w:r w:rsidRPr="00FB0525">
        <w:rPr>
          <w:rFonts w:ascii="Book Antiqua" w:hAnsi="Book Antiqua"/>
          <w:b/>
        </w:rPr>
        <w:t>101</w:t>
      </w:r>
      <w:r w:rsidRPr="00FB0525">
        <w:rPr>
          <w:rFonts w:ascii="Book Antiqua" w:hAnsi="Book Antiqua"/>
        </w:rPr>
        <w:t>: 1751-1757 [PMID: 25298250 DOI: 10.1002/bjs.9645]</w:t>
      </w:r>
    </w:p>
    <w:p w14:paraId="61D1542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21 </w:t>
      </w:r>
      <w:r w:rsidRPr="00FB0525">
        <w:rPr>
          <w:rFonts w:ascii="Book Antiqua" w:hAnsi="Book Antiqua"/>
          <w:b/>
        </w:rPr>
        <w:t>van den Berg MW</w:t>
      </w:r>
      <w:r w:rsidRPr="00FB0525">
        <w:rPr>
          <w:rFonts w:ascii="Book Antiqua" w:hAnsi="Book Antiqua"/>
        </w:rPr>
        <w:t xml:space="preserve">, Sloothaak DA, Dijkgraaf MG, van der Zaag ES, Bemelman WA, Tanis PJ, Bosker RJ, Fockens P, ter Borg F, van Hooft JE. Bridge-to-surgery stent placement versus emergency surgery for acute malignant colonic obstruction. </w:t>
      </w:r>
      <w:r w:rsidRPr="00FB0525">
        <w:rPr>
          <w:rFonts w:ascii="Book Antiqua" w:hAnsi="Book Antiqua"/>
          <w:i/>
        </w:rPr>
        <w:t>Br J Surg</w:t>
      </w:r>
      <w:r w:rsidRPr="00FB0525">
        <w:rPr>
          <w:rFonts w:ascii="Book Antiqua" w:hAnsi="Book Antiqua"/>
        </w:rPr>
        <w:t xml:space="preserve"> 2014; </w:t>
      </w:r>
      <w:r w:rsidRPr="00FB0525">
        <w:rPr>
          <w:rFonts w:ascii="Book Antiqua" w:hAnsi="Book Antiqua"/>
          <w:b/>
        </w:rPr>
        <w:t>101</w:t>
      </w:r>
      <w:r w:rsidRPr="00FB0525">
        <w:rPr>
          <w:rFonts w:ascii="Book Antiqua" w:hAnsi="Book Antiqua"/>
        </w:rPr>
        <w:t>: 867-873 [PMID: 24740753 DOI: 10.1002/bjs.9521]</w:t>
      </w:r>
    </w:p>
    <w:p w14:paraId="36969E2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22 </w:t>
      </w:r>
      <w:r w:rsidRPr="00FB0525">
        <w:rPr>
          <w:rFonts w:ascii="Book Antiqua" w:hAnsi="Book Antiqua"/>
          <w:b/>
        </w:rPr>
        <w:t>Ghazal AH</w:t>
      </w:r>
      <w:r w:rsidRPr="00FB0525">
        <w:rPr>
          <w:rFonts w:ascii="Book Antiqua" w:hAnsi="Book Antiqua"/>
        </w:rPr>
        <w:t xml:space="preserve">, El-Shazly WG, Bessa SS, El-Riwini MT, Hussein AM. Colonic endolumenal stenting devices and elective surgery versus emergency subtotal/total colectomy in the management of malignant obstructed left colon carcinoma. </w:t>
      </w:r>
      <w:r w:rsidRPr="00FB0525">
        <w:rPr>
          <w:rFonts w:ascii="Book Antiqua" w:hAnsi="Book Antiqua"/>
          <w:i/>
        </w:rPr>
        <w:t>J Gastrointest Surg</w:t>
      </w:r>
      <w:r w:rsidRPr="00FB0525">
        <w:rPr>
          <w:rFonts w:ascii="Book Antiqua" w:hAnsi="Book Antiqua"/>
        </w:rPr>
        <w:t xml:space="preserve"> 2013; </w:t>
      </w:r>
      <w:r w:rsidRPr="00FB0525">
        <w:rPr>
          <w:rFonts w:ascii="Book Antiqua" w:hAnsi="Book Antiqua"/>
          <w:b/>
        </w:rPr>
        <w:t>17</w:t>
      </w:r>
      <w:r w:rsidRPr="00FB0525">
        <w:rPr>
          <w:rFonts w:ascii="Book Antiqua" w:hAnsi="Book Antiqua"/>
        </w:rPr>
        <w:t>: 1123-1129 [PMID: 23358847 DOI: 10.1007/s11605-013-2152-2]</w:t>
      </w:r>
    </w:p>
    <w:p w14:paraId="4B3E48A3"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23 </w:t>
      </w:r>
      <w:r w:rsidRPr="00FB0525">
        <w:rPr>
          <w:rFonts w:ascii="Book Antiqua" w:hAnsi="Book Antiqua"/>
          <w:b/>
        </w:rPr>
        <w:t>Cheung DY</w:t>
      </w:r>
      <w:r w:rsidRPr="00FB0525">
        <w:rPr>
          <w:rFonts w:ascii="Book Antiqua" w:hAnsi="Book Antiqua"/>
        </w:rPr>
        <w:t xml:space="preserve">, Kim JY, Hong SP, Jung MK, Ye BD, Kim SG, Kim JH, Lee KM, Kim KH, Baik GH, Kim HG, Eun CS, Kim TI, Kim SW, Kim CD, Yang CH. </w:t>
      </w:r>
      <w:r w:rsidRPr="00FB0525">
        <w:rPr>
          <w:rFonts w:ascii="Book Antiqua" w:hAnsi="Book Antiqua"/>
        </w:rPr>
        <w:lastRenderedPageBreak/>
        <w:t xml:space="preserve">Outcome and safety of self-expandable metallic stents for malignant colon obstruction: a Korean multicenter randomized prospective study. </w:t>
      </w:r>
      <w:r w:rsidRPr="00FB0525">
        <w:rPr>
          <w:rFonts w:ascii="Book Antiqua" w:hAnsi="Book Antiqua"/>
          <w:i/>
        </w:rPr>
        <w:t>Surg Endosc</w:t>
      </w:r>
      <w:r w:rsidRPr="00FB0525">
        <w:rPr>
          <w:rFonts w:ascii="Book Antiqua" w:hAnsi="Book Antiqua"/>
        </w:rPr>
        <w:t xml:space="preserve"> 2012; </w:t>
      </w:r>
      <w:r w:rsidRPr="00FB0525">
        <w:rPr>
          <w:rFonts w:ascii="Book Antiqua" w:hAnsi="Book Antiqua"/>
          <w:b/>
        </w:rPr>
        <w:t>26</w:t>
      </w:r>
      <w:r w:rsidRPr="00FB0525">
        <w:rPr>
          <w:rFonts w:ascii="Book Antiqua" w:hAnsi="Book Antiqua"/>
        </w:rPr>
        <w:t>: 3106-3113 [PMID: 22609981 DOI: 10.1007/s00464-012-2300-x]</w:t>
      </w:r>
    </w:p>
    <w:p w14:paraId="2F756278"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24 </w:t>
      </w:r>
      <w:r w:rsidRPr="00FB0525">
        <w:rPr>
          <w:rFonts w:ascii="Book Antiqua" w:hAnsi="Book Antiqua"/>
          <w:b/>
        </w:rPr>
        <w:t>Ho KS</w:t>
      </w:r>
      <w:r w:rsidRPr="00FB0525">
        <w:rPr>
          <w:rFonts w:ascii="Book Antiqua" w:hAnsi="Book Antiqua"/>
        </w:rPr>
        <w:t xml:space="preserve">, Quah HM, Lim JF, Tang CL, Eu KW. Endoscopic stenting and elective surgery versus emergency surgery for left-sided malignant colonic obstruction: a prospective randomized trial. </w:t>
      </w:r>
      <w:r w:rsidRPr="00FB0525">
        <w:rPr>
          <w:rFonts w:ascii="Book Antiqua" w:hAnsi="Book Antiqua"/>
          <w:i/>
        </w:rPr>
        <w:t>Int J Colorectal Dis</w:t>
      </w:r>
      <w:r w:rsidRPr="00FB0525">
        <w:rPr>
          <w:rFonts w:ascii="Book Antiqua" w:hAnsi="Book Antiqua"/>
        </w:rPr>
        <w:t xml:space="preserve"> 2012; </w:t>
      </w:r>
      <w:r w:rsidRPr="00FB0525">
        <w:rPr>
          <w:rFonts w:ascii="Book Antiqua" w:hAnsi="Book Antiqua"/>
          <w:b/>
        </w:rPr>
        <w:t>27</w:t>
      </w:r>
      <w:r w:rsidRPr="00FB0525">
        <w:rPr>
          <w:rFonts w:ascii="Book Antiqua" w:hAnsi="Book Antiqua"/>
        </w:rPr>
        <w:t>: 355-362 [PMID: 22033810 DOI: 10.1007/s00384-011-1331-4]</w:t>
      </w:r>
    </w:p>
    <w:p w14:paraId="454F537C"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25 </w:t>
      </w:r>
      <w:r w:rsidRPr="00FB0525">
        <w:rPr>
          <w:rFonts w:ascii="Book Antiqua" w:hAnsi="Book Antiqua"/>
          <w:b/>
        </w:rPr>
        <w:t>Alcántara M</w:t>
      </w:r>
      <w:r w:rsidRPr="00FB0525">
        <w:rPr>
          <w:rFonts w:ascii="Book Antiqua" w:hAnsi="Book Antiqua"/>
        </w:rPr>
        <w:t xml:space="preserve">, Serra-Aracil X, Falcó J, Mora L, Bombardó J, Navarro S. Prospective, controlled, randomized study of intraoperative colonic lavage versus stent placement in obstructive left-sided colonic cancer. </w:t>
      </w:r>
      <w:r w:rsidRPr="00FB0525">
        <w:rPr>
          <w:rFonts w:ascii="Book Antiqua" w:hAnsi="Book Antiqua"/>
          <w:i/>
        </w:rPr>
        <w:t>World J Surg</w:t>
      </w:r>
      <w:r w:rsidRPr="00FB0525">
        <w:rPr>
          <w:rFonts w:ascii="Book Antiqua" w:hAnsi="Book Antiqua"/>
        </w:rPr>
        <w:t xml:space="preserve"> 2011; </w:t>
      </w:r>
      <w:r w:rsidRPr="00FB0525">
        <w:rPr>
          <w:rFonts w:ascii="Book Antiqua" w:hAnsi="Book Antiqua"/>
          <w:b/>
        </w:rPr>
        <w:t>35</w:t>
      </w:r>
      <w:r w:rsidRPr="00FB0525">
        <w:rPr>
          <w:rFonts w:ascii="Book Antiqua" w:hAnsi="Book Antiqua"/>
        </w:rPr>
        <w:t>: 1904-1910 [PMID: 21559998 DOI: 10.1007/s00268-011-1139-y]</w:t>
      </w:r>
    </w:p>
    <w:p w14:paraId="0F42973D"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26 </w:t>
      </w:r>
      <w:r w:rsidRPr="00FB0525">
        <w:rPr>
          <w:rFonts w:ascii="Book Antiqua" w:hAnsi="Book Antiqua"/>
          <w:b/>
        </w:rPr>
        <w:t>Pirlet IA</w:t>
      </w:r>
      <w:r w:rsidRPr="00FB0525">
        <w:rPr>
          <w:rFonts w:ascii="Book Antiqua" w:hAnsi="Book Antiqua"/>
        </w:rPr>
        <w:t xml:space="preserve">, Slim K, Kwiatkowski F, Michot F, Millat BL. Emergency preoperative stenting versus surgery for acute left-sided malignant colonic obstruction: a multicenter randomized controlled trial. </w:t>
      </w:r>
      <w:r w:rsidRPr="00FB0525">
        <w:rPr>
          <w:rFonts w:ascii="Book Antiqua" w:hAnsi="Book Antiqua"/>
          <w:i/>
        </w:rPr>
        <w:t>Surg Endosc</w:t>
      </w:r>
      <w:r w:rsidRPr="00FB0525">
        <w:rPr>
          <w:rFonts w:ascii="Book Antiqua" w:hAnsi="Book Antiqua"/>
        </w:rPr>
        <w:t xml:space="preserve"> 2011; </w:t>
      </w:r>
      <w:r w:rsidRPr="00FB0525">
        <w:rPr>
          <w:rFonts w:ascii="Book Antiqua" w:hAnsi="Book Antiqua"/>
          <w:b/>
        </w:rPr>
        <w:t>25</w:t>
      </w:r>
      <w:r w:rsidRPr="00FB0525">
        <w:rPr>
          <w:rFonts w:ascii="Book Antiqua" w:hAnsi="Book Antiqua"/>
        </w:rPr>
        <w:t>: 1814-1821 [PMID: 21170659 DOI: 10.1007/s00464-010-1471-6]</w:t>
      </w:r>
    </w:p>
    <w:p w14:paraId="08B0B4D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27 </w:t>
      </w:r>
      <w:r w:rsidRPr="00FB0525">
        <w:rPr>
          <w:rFonts w:ascii="Book Antiqua" w:hAnsi="Book Antiqua"/>
          <w:b/>
        </w:rPr>
        <w:t>van Hooft JE</w:t>
      </w:r>
      <w:r w:rsidRPr="00FB0525">
        <w:rPr>
          <w:rFonts w:ascii="Book Antiqua" w:hAnsi="Book Antiqua"/>
        </w:rPr>
        <w:t xml:space="preserve">, Bemelman WA, Oldenburg B, Marinelli AW, Lutke Holzik MF, Grubben MJ, Sprangers MA, Dijkgraaf MG, Fockens P; collaborative Dutch Stent-In study group. Colonic stenting versus emergency surgery for acute left-sided malignant colonic obstruction: a multicentre randomised trial. </w:t>
      </w:r>
      <w:r w:rsidRPr="00FB0525">
        <w:rPr>
          <w:rFonts w:ascii="Book Antiqua" w:hAnsi="Book Antiqua"/>
          <w:i/>
        </w:rPr>
        <w:t>Lancet Oncol</w:t>
      </w:r>
      <w:r w:rsidRPr="00FB0525">
        <w:rPr>
          <w:rFonts w:ascii="Book Antiqua" w:hAnsi="Book Antiqua"/>
        </w:rPr>
        <w:t xml:space="preserve"> 2011; </w:t>
      </w:r>
      <w:r w:rsidRPr="00FB0525">
        <w:rPr>
          <w:rFonts w:ascii="Book Antiqua" w:hAnsi="Book Antiqua"/>
          <w:b/>
        </w:rPr>
        <w:t>12</w:t>
      </w:r>
      <w:r w:rsidRPr="00FB0525">
        <w:rPr>
          <w:rFonts w:ascii="Book Antiqua" w:hAnsi="Book Antiqua"/>
        </w:rPr>
        <w:t>: 344-352 [PMID: 21398178 DOI: 10.1016/S1470-2045(11)70035-3]</w:t>
      </w:r>
    </w:p>
    <w:p w14:paraId="7E154522" w14:textId="564C8CB0" w:rsidR="00FB0525" w:rsidRPr="00FB0525" w:rsidRDefault="00FB0525" w:rsidP="00FB0525">
      <w:pPr>
        <w:spacing w:line="360" w:lineRule="auto"/>
        <w:jc w:val="both"/>
        <w:rPr>
          <w:rFonts w:ascii="Book Antiqua" w:hAnsi="Book Antiqua"/>
        </w:rPr>
      </w:pPr>
      <w:r w:rsidRPr="00FB0525">
        <w:rPr>
          <w:rFonts w:ascii="Book Antiqua" w:hAnsi="Book Antiqua"/>
        </w:rPr>
        <w:t xml:space="preserve">28 </w:t>
      </w:r>
      <w:r w:rsidRPr="00FB0525">
        <w:rPr>
          <w:rFonts w:ascii="Book Antiqua" w:hAnsi="Book Antiqua"/>
          <w:b/>
        </w:rPr>
        <w:t>Cui J</w:t>
      </w:r>
      <w:r w:rsidRPr="00FB0525">
        <w:rPr>
          <w:rFonts w:ascii="Book Antiqua" w:hAnsi="Book Antiqua"/>
        </w:rPr>
        <w:t xml:space="preserve">, Zhang JL, Wang S, Sun ZQ, Jiang XL. [A preliminary study of stenting followed by laparoscopic surgery for obstructing left-sided colon cancer]. </w:t>
      </w:r>
      <w:r w:rsidR="005327F1">
        <w:rPr>
          <w:rFonts w:ascii="Book Antiqua" w:hAnsi="Book Antiqua"/>
          <w:i/>
        </w:rPr>
        <w:t>Zhonghua Weichang Waike Za</w:t>
      </w:r>
      <w:r w:rsidR="005327F1" w:rsidRPr="00FB0525">
        <w:rPr>
          <w:rFonts w:ascii="Book Antiqua" w:hAnsi="Book Antiqua"/>
          <w:i/>
        </w:rPr>
        <w:t>z</w:t>
      </w:r>
      <w:r w:rsidRPr="00FB0525">
        <w:rPr>
          <w:rFonts w:ascii="Book Antiqua" w:hAnsi="Book Antiqua"/>
          <w:i/>
        </w:rPr>
        <w:t>hi</w:t>
      </w:r>
      <w:r w:rsidRPr="00FB0525">
        <w:rPr>
          <w:rFonts w:ascii="Book Antiqua" w:hAnsi="Book Antiqua"/>
        </w:rPr>
        <w:t xml:space="preserve"> 2011; </w:t>
      </w:r>
      <w:r w:rsidRPr="00FB0525">
        <w:rPr>
          <w:rFonts w:ascii="Book Antiqua" w:hAnsi="Book Antiqua"/>
          <w:b/>
        </w:rPr>
        <w:t>14</w:t>
      </w:r>
      <w:r w:rsidRPr="00FB0525">
        <w:rPr>
          <w:rFonts w:ascii="Book Antiqua" w:hAnsi="Book Antiqua"/>
        </w:rPr>
        <w:t>: 40-43 [PMID: 21271379]</w:t>
      </w:r>
    </w:p>
    <w:p w14:paraId="110A24B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29 </w:t>
      </w:r>
      <w:r w:rsidRPr="00FB0525">
        <w:rPr>
          <w:rFonts w:ascii="Book Antiqua" w:hAnsi="Book Antiqua"/>
          <w:b/>
        </w:rPr>
        <w:t>Kim JS</w:t>
      </w:r>
      <w:r w:rsidRPr="00FB0525">
        <w:rPr>
          <w:rFonts w:ascii="Book Antiqua" w:hAnsi="Book Antiqua"/>
        </w:rPr>
        <w:t xml:space="preserve">, Hur H, Min BS, Sohn SK, Cho CH, Kim NK. Oncologic outcomes of self-expanding metallic stent insertion as a bridge to surgery in the management of left-sided colon cancer obstruction: comparison with nonobstructing elective surgery. </w:t>
      </w:r>
      <w:r w:rsidRPr="00FB0525">
        <w:rPr>
          <w:rFonts w:ascii="Book Antiqua" w:hAnsi="Book Antiqua"/>
          <w:i/>
        </w:rPr>
        <w:t>World J Surg</w:t>
      </w:r>
      <w:r w:rsidRPr="00FB0525">
        <w:rPr>
          <w:rFonts w:ascii="Book Antiqua" w:hAnsi="Book Antiqua"/>
        </w:rPr>
        <w:t xml:space="preserve"> 2009; </w:t>
      </w:r>
      <w:r w:rsidRPr="00FB0525">
        <w:rPr>
          <w:rFonts w:ascii="Book Antiqua" w:hAnsi="Book Antiqua"/>
          <w:b/>
        </w:rPr>
        <w:t>33</w:t>
      </w:r>
      <w:r w:rsidRPr="00FB0525">
        <w:rPr>
          <w:rFonts w:ascii="Book Antiqua" w:hAnsi="Book Antiqua"/>
        </w:rPr>
        <w:t>: 1281-1286 [PMID: 19363580 DOI: 10.1007/s00268-009-0007-5]</w:t>
      </w:r>
    </w:p>
    <w:p w14:paraId="4D2E26D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30 </w:t>
      </w:r>
      <w:r w:rsidRPr="00FB0525">
        <w:rPr>
          <w:rFonts w:ascii="Book Antiqua" w:hAnsi="Book Antiqua"/>
          <w:b/>
        </w:rPr>
        <w:t>Martinez-Santos C</w:t>
      </w:r>
      <w:r w:rsidRPr="00FB0525">
        <w:rPr>
          <w:rFonts w:ascii="Book Antiqua" w:hAnsi="Book Antiqua"/>
        </w:rPr>
        <w:t xml:space="preserve">, Lobato RF, Fradejas JM, Pinto I, Ortega-Deballón P, Moreno-Azcoita M. Self-expandable stent before elective surgery vs. emergency surgery for the treatment of malignant colorectal obstructions: comparison of </w:t>
      </w:r>
      <w:r w:rsidRPr="00FB0525">
        <w:rPr>
          <w:rFonts w:ascii="Book Antiqua" w:hAnsi="Book Antiqua"/>
        </w:rPr>
        <w:lastRenderedPageBreak/>
        <w:t xml:space="preserve">primary anastomosis and morbidity rates. </w:t>
      </w:r>
      <w:r w:rsidRPr="00FB0525">
        <w:rPr>
          <w:rFonts w:ascii="Book Antiqua" w:hAnsi="Book Antiqua"/>
          <w:i/>
        </w:rPr>
        <w:t>Dis Colon Rectum</w:t>
      </w:r>
      <w:r w:rsidRPr="00FB0525">
        <w:rPr>
          <w:rFonts w:ascii="Book Antiqua" w:hAnsi="Book Antiqua"/>
        </w:rPr>
        <w:t xml:space="preserve"> 2002; </w:t>
      </w:r>
      <w:r w:rsidRPr="00FB0525">
        <w:rPr>
          <w:rFonts w:ascii="Book Antiqua" w:hAnsi="Book Antiqua"/>
          <w:b/>
        </w:rPr>
        <w:t>45</w:t>
      </w:r>
      <w:r w:rsidRPr="00FB0525">
        <w:rPr>
          <w:rFonts w:ascii="Book Antiqua" w:hAnsi="Book Antiqua"/>
        </w:rPr>
        <w:t>: 401-406 [PMID: 12068202 DOI: 10.1007/s10350-004-6190-4]</w:t>
      </w:r>
    </w:p>
    <w:p w14:paraId="7E93E036"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31 </w:t>
      </w:r>
      <w:r w:rsidRPr="00FB0525">
        <w:rPr>
          <w:rFonts w:ascii="Book Antiqua" w:hAnsi="Book Antiqua"/>
          <w:b/>
        </w:rPr>
        <w:t>Repici A</w:t>
      </w:r>
      <w:r w:rsidRPr="00FB0525">
        <w:rPr>
          <w:rFonts w:ascii="Book Antiqua" w:hAnsi="Book Antiqua"/>
        </w:rPr>
        <w:t xml:space="preserve">, Pagano N, Hervoso CM, Danese S, Nicita R, Preatoni P, Malesci A. Metal stents for malignant colorectal obstruction. </w:t>
      </w:r>
      <w:r w:rsidRPr="00FB0525">
        <w:rPr>
          <w:rFonts w:ascii="Book Antiqua" w:hAnsi="Book Antiqua"/>
          <w:i/>
        </w:rPr>
        <w:t>Minim Invasive Ther Allied Technol</w:t>
      </w:r>
      <w:r w:rsidRPr="00FB0525">
        <w:rPr>
          <w:rFonts w:ascii="Book Antiqua" w:hAnsi="Book Antiqua"/>
        </w:rPr>
        <w:t xml:space="preserve"> 2006; </w:t>
      </w:r>
      <w:r w:rsidRPr="00FB0525">
        <w:rPr>
          <w:rFonts w:ascii="Book Antiqua" w:hAnsi="Book Antiqua"/>
          <w:b/>
        </w:rPr>
        <w:t>15</w:t>
      </w:r>
      <w:r w:rsidRPr="00FB0525">
        <w:rPr>
          <w:rFonts w:ascii="Book Antiqua" w:hAnsi="Book Antiqua"/>
        </w:rPr>
        <w:t>: 331-338 [PMID: 17190657 DOI: 10.1080/13645700601037954]</w:t>
      </w:r>
    </w:p>
    <w:p w14:paraId="0A0D71FB"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32 </w:t>
      </w:r>
      <w:r w:rsidRPr="00FB0525">
        <w:rPr>
          <w:rFonts w:ascii="Book Antiqua" w:hAnsi="Book Antiqua"/>
          <w:b/>
        </w:rPr>
        <w:t>Watt AM</w:t>
      </w:r>
      <w:r w:rsidRPr="00FB0525">
        <w:rPr>
          <w:rFonts w:ascii="Book Antiqua" w:hAnsi="Book Antiqua"/>
        </w:rPr>
        <w:t xml:space="preserve">, Faragher IG, Griffin TT, Rieger NA, Maddern GJ. Self-expanding metallic stents for relieving malignant colorectal obstruction: a systematic review. </w:t>
      </w:r>
      <w:r w:rsidRPr="00FB0525">
        <w:rPr>
          <w:rFonts w:ascii="Book Antiqua" w:hAnsi="Book Antiqua"/>
          <w:i/>
        </w:rPr>
        <w:t>Ann Surg</w:t>
      </w:r>
      <w:r w:rsidRPr="00FB0525">
        <w:rPr>
          <w:rFonts w:ascii="Book Antiqua" w:hAnsi="Book Antiqua"/>
        </w:rPr>
        <w:t xml:space="preserve"> 2007; </w:t>
      </w:r>
      <w:r w:rsidRPr="00FB0525">
        <w:rPr>
          <w:rFonts w:ascii="Book Antiqua" w:hAnsi="Book Antiqua"/>
          <w:b/>
        </w:rPr>
        <w:t>246</w:t>
      </w:r>
      <w:r w:rsidRPr="00FB0525">
        <w:rPr>
          <w:rFonts w:ascii="Book Antiqua" w:hAnsi="Book Antiqua"/>
        </w:rPr>
        <w:t>: 24-30 [PMID: 17592286 DOI: 10.1097/01.sla.0000261124.72687.72]</w:t>
      </w:r>
    </w:p>
    <w:p w14:paraId="40DA4F2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33 </w:t>
      </w:r>
      <w:r w:rsidRPr="00FB0525">
        <w:rPr>
          <w:rFonts w:ascii="Book Antiqua" w:hAnsi="Book Antiqua"/>
          <w:b/>
        </w:rPr>
        <w:t>Farrell JJ</w:t>
      </w:r>
      <w:r w:rsidRPr="00FB0525">
        <w:rPr>
          <w:rFonts w:ascii="Book Antiqua" w:hAnsi="Book Antiqua"/>
        </w:rPr>
        <w:t xml:space="preserve">. Preoperative colonic stenting: how, when and why? </w:t>
      </w:r>
      <w:r w:rsidRPr="00FB0525">
        <w:rPr>
          <w:rFonts w:ascii="Book Antiqua" w:hAnsi="Book Antiqua"/>
          <w:i/>
        </w:rPr>
        <w:t>Curr Opin Gastroenterol</w:t>
      </w:r>
      <w:r w:rsidRPr="00FB0525">
        <w:rPr>
          <w:rFonts w:ascii="Book Antiqua" w:hAnsi="Book Antiqua"/>
        </w:rPr>
        <w:t xml:space="preserve"> 2007; </w:t>
      </w:r>
      <w:r w:rsidRPr="00FB0525">
        <w:rPr>
          <w:rFonts w:ascii="Book Antiqua" w:hAnsi="Book Antiqua"/>
          <w:b/>
        </w:rPr>
        <w:t>23</w:t>
      </w:r>
      <w:r w:rsidRPr="00FB0525">
        <w:rPr>
          <w:rFonts w:ascii="Book Antiqua" w:hAnsi="Book Antiqua"/>
        </w:rPr>
        <w:t>: 544-549 [PMID: 17762561 DOI: 10.1097/MOG.0b013e3282c3a630]</w:t>
      </w:r>
    </w:p>
    <w:p w14:paraId="121A4729" w14:textId="3249F46C" w:rsidR="00FB0525" w:rsidRPr="00FB0525" w:rsidRDefault="00FB0525" w:rsidP="00FB0525">
      <w:pPr>
        <w:spacing w:line="360" w:lineRule="auto"/>
        <w:jc w:val="both"/>
        <w:rPr>
          <w:rFonts w:ascii="Book Antiqua" w:hAnsi="Book Antiqua"/>
        </w:rPr>
      </w:pPr>
      <w:r w:rsidRPr="00FB0525">
        <w:rPr>
          <w:rFonts w:ascii="Book Antiqua" w:hAnsi="Book Antiqua"/>
        </w:rPr>
        <w:t xml:space="preserve">34 </w:t>
      </w:r>
      <w:r w:rsidRPr="00FB0525">
        <w:rPr>
          <w:rFonts w:ascii="Book Antiqua" w:hAnsi="Book Antiqua"/>
          <w:b/>
        </w:rPr>
        <w:t>Sagar J</w:t>
      </w:r>
      <w:r w:rsidRPr="00FB0525">
        <w:rPr>
          <w:rFonts w:ascii="Book Antiqua" w:hAnsi="Book Antiqua"/>
        </w:rPr>
        <w:t xml:space="preserve">. Colorectal stents for the management of malignant colonic obstructions. </w:t>
      </w:r>
      <w:r w:rsidRPr="00FB0525">
        <w:rPr>
          <w:rFonts w:ascii="Book Antiqua" w:hAnsi="Book Antiqua"/>
          <w:i/>
        </w:rPr>
        <w:t>Cochrane Database Syst Rev</w:t>
      </w:r>
      <w:r w:rsidRPr="00FB0525">
        <w:rPr>
          <w:rFonts w:ascii="Book Antiqua" w:hAnsi="Book Antiqua"/>
        </w:rPr>
        <w:t xml:space="preserve"> 2011; </w:t>
      </w:r>
      <w:r w:rsidR="00D54012">
        <w:rPr>
          <w:rFonts w:ascii="Book Antiqua" w:hAnsi="Book Antiqua" w:hint="eastAsia"/>
          <w:b/>
          <w:lang w:eastAsia="zh-CN"/>
        </w:rPr>
        <w:t>(11)</w:t>
      </w:r>
      <w:r w:rsidRPr="00FB0525">
        <w:rPr>
          <w:rFonts w:ascii="Book Antiqua" w:hAnsi="Book Antiqua"/>
        </w:rPr>
        <w:t>: CD007378 [PMID: 22071835 DOI: 10.1002/14651858.CD007378.pub2]</w:t>
      </w:r>
    </w:p>
    <w:p w14:paraId="15289CC8"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35 </w:t>
      </w:r>
      <w:r w:rsidRPr="00FB0525">
        <w:rPr>
          <w:rFonts w:ascii="Book Antiqua" w:hAnsi="Book Antiqua"/>
          <w:b/>
        </w:rPr>
        <w:t>Zhang Y</w:t>
      </w:r>
      <w:r w:rsidRPr="00FB0525">
        <w:rPr>
          <w:rFonts w:ascii="Book Antiqua" w:hAnsi="Book Antiqua"/>
        </w:rPr>
        <w:t xml:space="preserve">, Shi J, Shi B, Song CY, Xie WF, Chen YX. Self-expanding metallic stent as a bridge to surgery versus emergency surgery for obstructive colorectal cancer: a meta-analysis. </w:t>
      </w:r>
      <w:r w:rsidRPr="00FB0525">
        <w:rPr>
          <w:rFonts w:ascii="Book Antiqua" w:hAnsi="Book Antiqua"/>
          <w:i/>
        </w:rPr>
        <w:t>Surg Endosc</w:t>
      </w:r>
      <w:r w:rsidRPr="00FB0525">
        <w:rPr>
          <w:rFonts w:ascii="Book Antiqua" w:hAnsi="Book Antiqua"/>
        </w:rPr>
        <w:t xml:space="preserve"> 2012; </w:t>
      </w:r>
      <w:r w:rsidRPr="00FB0525">
        <w:rPr>
          <w:rFonts w:ascii="Book Antiqua" w:hAnsi="Book Antiqua"/>
          <w:b/>
        </w:rPr>
        <w:t>26</w:t>
      </w:r>
      <w:r w:rsidRPr="00FB0525">
        <w:rPr>
          <w:rFonts w:ascii="Book Antiqua" w:hAnsi="Book Antiqua"/>
        </w:rPr>
        <w:t>: 110-119 [PMID: 21789642 DOI: 10.1007/s00464-011-1835-6]</w:t>
      </w:r>
    </w:p>
    <w:p w14:paraId="5213509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36 </w:t>
      </w:r>
      <w:r w:rsidRPr="00FB0525">
        <w:rPr>
          <w:rFonts w:ascii="Book Antiqua" w:hAnsi="Book Antiqua"/>
          <w:b/>
        </w:rPr>
        <w:t>Ye GY</w:t>
      </w:r>
      <w:r w:rsidRPr="00FB0525">
        <w:rPr>
          <w:rFonts w:ascii="Book Antiqua" w:hAnsi="Book Antiqua"/>
        </w:rPr>
        <w:t xml:space="preserve">, Cui Z, Chen L, Zhong M. Colonic stenting vs emergent surgery for acute left-sided malignant colonic obstruction: a systematic review and meta-analysis. </w:t>
      </w:r>
      <w:r w:rsidRPr="00FB0525">
        <w:rPr>
          <w:rFonts w:ascii="Book Antiqua" w:hAnsi="Book Antiqua"/>
          <w:i/>
        </w:rPr>
        <w:t>World J Gastroenterol</w:t>
      </w:r>
      <w:r w:rsidRPr="00FB0525">
        <w:rPr>
          <w:rFonts w:ascii="Book Antiqua" w:hAnsi="Book Antiqua"/>
        </w:rPr>
        <w:t xml:space="preserve"> 2012; </w:t>
      </w:r>
      <w:r w:rsidRPr="00FB0525">
        <w:rPr>
          <w:rFonts w:ascii="Book Antiqua" w:hAnsi="Book Antiqua"/>
          <w:b/>
        </w:rPr>
        <w:t>18</w:t>
      </w:r>
      <w:r w:rsidRPr="00FB0525">
        <w:rPr>
          <w:rFonts w:ascii="Book Antiqua" w:hAnsi="Book Antiqua"/>
        </w:rPr>
        <w:t>: 5608-5615 [PMID: 23112555 DOI: 10.3748/wjg.v18.i39.5608]</w:t>
      </w:r>
    </w:p>
    <w:p w14:paraId="4A068F16" w14:textId="1B665AAB" w:rsidR="00FB0525" w:rsidRPr="00FB0525" w:rsidRDefault="00FB0525" w:rsidP="00FB0525">
      <w:pPr>
        <w:spacing w:line="360" w:lineRule="auto"/>
        <w:jc w:val="both"/>
        <w:rPr>
          <w:rFonts w:ascii="Book Antiqua" w:hAnsi="Book Antiqua"/>
        </w:rPr>
      </w:pPr>
      <w:r w:rsidRPr="00FB0525">
        <w:rPr>
          <w:rFonts w:ascii="Book Antiqua" w:hAnsi="Book Antiqua"/>
        </w:rPr>
        <w:t xml:space="preserve">37 </w:t>
      </w:r>
      <w:r w:rsidRPr="00FB0525">
        <w:rPr>
          <w:rFonts w:ascii="Book Antiqua" w:hAnsi="Book Antiqua"/>
          <w:b/>
        </w:rPr>
        <w:t>Zhao RS</w:t>
      </w:r>
      <w:r w:rsidRPr="00FB0525">
        <w:rPr>
          <w:rFonts w:ascii="Book Antiqua" w:hAnsi="Book Antiqua"/>
        </w:rPr>
        <w:t xml:space="preserve">, Wang H, Wang L, Huang MJ, Chen DK, Wang JP. [Meta-analysis of safety and efficacy of self-expending metallic stents as bridge to surgery versus emergency surgery for left-sided malignant colorectal obstruction]. </w:t>
      </w:r>
      <w:r w:rsidR="00D54012">
        <w:rPr>
          <w:rFonts w:ascii="Book Antiqua" w:hAnsi="Book Antiqua"/>
          <w:i/>
        </w:rPr>
        <w:t>Zhonghua Wei</w:t>
      </w:r>
      <w:r w:rsidR="00D54012" w:rsidRPr="00FB0525">
        <w:rPr>
          <w:rFonts w:ascii="Book Antiqua" w:hAnsi="Book Antiqua"/>
          <w:i/>
        </w:rPr>
        <w:t>c</w:t>
      </w:r>
      <w:r w:rsidR="00D54012">
        <w:rPr>
          <w:rFonts w:ascii="Book Antiqua" w:hAnsi="Book Antiqua"/>
          <w:i/>
        </w:rPr>
        <w:t>hang Wai</w:t>
      </w:r>
      <w:r w:rsidR="00D54012" w:rsidRPr="00FB0525">
        <w:rPr>
          <w:rFonts w:ascii="Book Antiqua" w:hAnsi="Book Antiqua"/>
          <w:i/>
        </w:rPr>
        <w:t>k</w:t>
      </w:r>
      <w:r w:rsidR="00D54012">
        <w:rPr>
          <w:rFonts w:ascii="Book Antiqua" w:hAnsi="Book Antiqua"/>
          <w:i/>
        </w:rPr>
        <w:t>e Za</w:t>
      </w:r>
      <w:r w:rsidR="00D54012" w:rsidRPr="00FB0525">
        <w:rPr>
          <w:rFonts w:ascii="Book Antiqua" w:hAnsi="Book Antiqua"/>
          <w:i/>
        </w:rPr>
        <w:t>z</w:t>
      </w:r>
      <w:r w:rsidRPr="00FB0525">
        <w:rPr>
          <w:rFonts w:ascii="Book Antiqua" w:hAnsi="Book Antiqua"/>
          <w:i/>
        </w:rPr>
        <w:t>hi</w:t>
      </w:r>
      <w:r w:rsidRPr="00FB0525">
        <w:rPr>
          <w:rFonts w:ascii="Book Antiqua" w:hAnsi="Book Antiqua"/>
        </w:rPr>
        <w:t xml:space="preserve"> 2012; </w:t>
      </w:r>
      <w:r w:rsidRPr="00FB0525">
        <w:rPr>
          <w:rFonts w:ascii="Book Antiqua" w:hAnsi="Book Antiqua"/>
          <w:b/>
        </w:rPr>
        <w:t>15</w:t>
      </w:r>
      <w:r w:rsidRPr="00FB0525">
        <w:rPr>
          <w:rFonts w:ascii="Book Antiqua" w:hAnsi="Book Antiqua"/>
        </w:rPr>
        <w:t>: 697-701 [PMID: 22851073]</w:t>
      </w:r>
    </w:p>
    <w:p w14:paraId="78AC129C"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38 </w:t>
      </w:r>
      <w:r w:rsidRPr="00FB0525">
        <w:rPr>
          <w:rFonts w:ascii="Book Antiqua" w:hAnsi="Book Antiqua"/>
          <w:b/>
        </w:rPr>
        <w:t>Cirocchi R</w:t>
      </w:r>
      <w:r w:rsidRPr="00FB0525">
        <w:rPr>
          <w:rFonts w:ascii="Book Antiqua" w:hAnsi="Book Antiqua"/>
        </w:rPr>
        <w:t xml:space="preserve">, Farinella E, Trastulli S, Desiderio J, Listorti C, Boselli C, Parisi A, Noya G, Sagar J. Safety and efficacy of endoscopic colonic stenting as a bridge to surgery in the management of intestinal obstruction due to left colon and rectal </w:t>
      </w:r>
      <w:r w:rsidRPr="00FB0525">
        <w:rPr>
          <w:rFonts w:ascii="Book Antiqua" w:hAnsi="Book Antiqua"/>
        </w:rPr>
        <w:lastRenderedPageBreak/>
        <w:t xml:space="preserve">cancer: a systematic review and meta-analysis. </w:t>
      </w:r>
      <w:r w:rsidRPr="00FB0525">
        <w:rPr>
          <w:rFonts w:ascii="Book Antiqua" w:hAnsi="Book Antiqua"/>
          <w:i/>
        </w:rPr>
        <w:t>Surg Oncol</w:t>
      </w:r>
      <w:r w:rsidRPr="00FB0525">
        <w:rPr>
          <w:rFonts w:ascii="Book Antiqua" w:hAnsi="Book Antiqua"/>
        </w:rPr>
        <w:t xml:space="preserve"> 2013; </w:t>
      </w:r>
      <w:r w:rsidRPr="00FB0525">
        <w:rPr>
          <w:rFonts w:ascii="Book Antiqua" w:hAnsi="Book Antiqua"/>
          <w:b/>
        </w:rPr>
        <w:t>22</w:t>
      </w:r>
      <w:r w:rsidRPr="00FB0525">
        <w:rPr>
          <w:rFonts w:ascii="Book Antiqua" w:hAnsi="Book Antiqua"/>
        </w:rPr>
        <w:t>: 14-21 [PMID: 23183301 DOI: 10.1016/j.suronc.2012.10.003]</w:t>
      </w:r>
    </w:p>
    <w:p w14:paraId="7C52DFC8"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39 </w:t>
      </w:r>
      <w:r w:rsidRPr="00FB0525">
        <w:rPr>
          <w:rFonts w:ascii="Book Antiqua" w:hAnsi="Book Antiqua"/>
          <w:b/>
        </w:rPr>
        <w:t>De Ceglie A</w:t>
      </w:r>
      <w:r w:rsidRPr="00FB0525">
        <w:rPr>
          <w:rFonts w:ascii="Book Antiqua" w:hAnsi="Book Antiqua"/>
        </w:rPr>
        <w:t xml:space="preserve">, Filiberti R, Baron TH, Ceppi M, Conio M. A meta-analysis of endoscopic stenting as bridge to surgery versus emergency surgery for left-sided colorectal cancer obstruction. </w:t>
      </w:r>
      <w:r w:rsidRPr="00FB0525">
        <w:rPr>
          <w:rFonts w:ascii="Book Antiqua" w:hAnsi="Book Antiqua"/>
          <w:i/>
        </w:rPr>
        <w:t>Crit Rev Oncol Hematol</w:t>
      </w:r>
      <w:r w:rsidRPr="00FB0525">
        <w:rPr>
          <w:rFonts w:ascii="Book Antiqua" w:hAnsi="Book Antiqua"/>
        </w:rPr>
        <w:t xml:space="preserve"> 2013; </w:t>
      </w:r>
      <w:r w:rsidRPr="00FB0525">
        <w:rPr>
          <w:rFonts w:ascii="Book Antiqua" w:hAnsi="Book Antiqua"/>
          <w:b/>
        </w:rPr>
        <w:t>88</w:t>
      </w:r>
      <w:r w:rsidRPr="00FB0525">
        <w:rPr>
          <w:rFonts w:ascii="Book Antiqua" w:hAnsi="Book Antiqua"/>
        </w:rPr>
        <w:t>: 387-403 [PMID: 23845505 DOI: 10.1016/j.critrevonc.2013.06.006]</w:t>
      </w:r>
    </w:p>
    <w:p w14:paraId="125FF844"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40 </w:t>
      </w:r>
      <w:r w:rsidRPr="00FB0525">
        <w:rPr>
          <w:rFonts w:ascii="Book Antiqua" w:hAnsi="Book Antiqua"/>
          <w:b/>
        </w:rPr>
        <w:t>Cennamo V</w:t>
      </w:r>
      <w:r w:rsidRPr="00FB0525">
        <w:rPr>
          <w:rFonts w:ascii="Book Antiqua" w:hAnsi="Book Antiqua"/>
        </w:rPr>
        <w:t xml:space="preserve">, Luigiano C, Coccolini F, Fabbri C, Bassi M, De Caro G, Ceroni L, Maimone A, Ravelli P, Ansaloni L. Meta-analysis of randomized trials comparing endoscopic stenting and surgical decompression for colorectal cancer obstruction. </w:t>
      </w:r>
      <w:r w:rsidRPr="00FB0525">
        <w:rPr>
          <w:rFonts w:ascii="Book Antiqua" w:hAnsi="Book Antiqua"/>
          <w:i/>
        </w:rPr>
        <w:t>Int J Colorectal Dis</w:t>
      </w:r>
      <w:r w:rsidRPr="00FB0525">
        <w:rPr>
          <w:rFonts w:ascii="Book Antiqua" w:hAnsi="Book Antiqua"/>
        </w:rPr>
        <w:t xml:space="preserve"> 2013; </w:t>
      </w:r>
      <w:r w:rsidRPr="00FB0525">
        <w:rPr>
          <w:rFonts w:ascii="Book Antiqua" w:hAnsi="Book Antiqua"/>
          <w:b/>
        </w:rPr>
        <w:t>28</w:t>
      </w:r>
      <w:r w:rsidRPr="00FB0525">
        <w:rPr>
          <w:rFonts w:ascii="Book Antiqua" w:hAnsi="Book Antiqua"/>
        </w:rPr>
        <w:t>: 855-863 [PMID: 23151813 DOI: 10.1007/s00384-012-1599-z]</w:t>
      </w:r>
    </w:p>
    <w:p w14:paraId="06C3FEE1"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41 </w:t>
      </w:r>
      <w:r w:rsidRPr="00FB0525">
        <w:rPr>
          <w:rFonts w:ascii="Book Antiqua" w:hAnsi="Book Antiqua"/>
          <w:b/>
        </w:rPr>
        <w:t>Frago R</w:t>
      </w:r>
      <w:r w:rsidRPr="00FB0525">
        <w:rPr>
          <w:rFonts w:ascii="Book Antiqua" w:hAnsi="Book Antiqua"/>
        </w:rPr>
        <w:t xml:space="preserve">, Ramirez E, Millan M, Kreisler E, del Valle E, Biondo S. Current management of acute malignant large bowel obstruction: a systematic review. </w:t>
      </w:r>
      <w:r w:rsidRPr="00FB0525">
        <w:rPr>
          <w:rFonts w:ascii="Book Antiqua" w:hAnsi="Book Antiqua"/>
          <w:i/>
        </w:rPr>
        <w:t>Am J Surg</w:t>
      </w:r>
      <w:r w:rsidRPr="00FB0525">
        <w:rPr>
          <w:rFonts w:ascii="Book Antiqua" w:hAnsi="Book Antiqua"/>
        </w:rPr>
        <w:t xml:space="preserve"> 2014; </w:t>
      </w:r>
      <w:r w:rsidRPr="00FB0525">
        <w:rPr>
          <w:rFonts w:ascii="Book Antiqua" w:hAnsi="Book Antiqua"/>
          <w:b/>
        </w:rPr>
        <w:t>207</w:t>
      </w:r>
      <w:r w:rsidRPr="00FB0525">
        <w:rPr>
          <w:rFonts w:ascii="Book Antiqua" w:hAnsi="Book Antiqua"/>
        </w:rPr>
        <w:t>: 127-138 [PMID: 24124659 DOI: 10.1016/j.amjsurg.2013.07.027]</w:t>
      </w:r>
    </w:p>
    <w:p w14:paraId="2815BDBB"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42 </w:t>
      </w:r>
      <w:r w:rsidRPr="00FB0525">
        <w:rPr>
          <w:rFonts w:ascii="Book Antiqua" w:hAnsi="Book Antiqua"/>
          <w:b/>
        </w:rPr>
        <w:t>Liu Z</w:t>
      </w:r>
      <w:r w:rsidRPr="00FB0525">
        <w:rPr>
          <w:rFonts w:ascii="Book Antiqua" w:hAnsi="Book Antiqua"/>
        </w:rPr>
        <w:t xml:space="preserve">, Kang L, Li C, Huang M, Zhang X, Wang J. Meta-analysis of complications of colonic stenting versus emergency surgery for acute left-sided malignant colonic obstruction. </w:t>
      </w:r>
      <w:r w:rsidRPr="00FB0525">
        <w:rPr>
          <w:rFonts w:ascii="Book Antiqua" w:hAnsi="Book Antiqua"/>
          <w:i/>
        </w:rPr>
        <w:t>Surg Laparosc Endosc Percutan Tech</w:t>
      </w:r>
      <w:r w:rsidRPr="00FB0525">
        <w:rPr>
          <w:rFonts w:ascii="Book Antiqua" w:hAnsi="Book Antiqua"/>
        </w:rPr>
        <w:t xml:space="preserve"> 2014; </w:t>
      </w:r>
      <w:r w:rsidRPr="00FB0525">
        <w:rPr>
          <w:rFonts w:ascii="Book Antiqua" w:hAnsi="Book Antiqua"/>
          <w:b/>
        </w:rPr>
        <w:t>24</w:t>
      </w:r>
      <w:r w:rsidRPr="00FB0525">
        <w:rPr>
          <w:rFonts w:ascii="Book Antiqua" w:hAnsi="Book Antiqua"/>
        </w:rPr>
        <w:t>: 73-79 [PMID: 24487162 DOI: 10.1097/SLE.0000000000000030]</w:t>
      </w:r>
    </w:p>
    <w:p w14:paraId="651C670E"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43 </w:t>
      </w:r>
      <w:r w:rsidRPr="00FB0525">
        <w:rPr>
          <w:rFonts w:ascii="Book Antiqua" w:hAnsi="Book Antiqua"/>
          <w:b/>
        </w:rPr>
        <w:t>Huang X</w:t>
      </w:r>
      <w:r w:rsidRPr="00FB0525">
        <w:rPr>
          <w:rFonts w:ascii="Book Antiqua" w:hAnsi="Book Antiqua"/>
        </w:rPr>
        <w:t xml:space="preserve">, Lv B, Zhang S, Meng L. Preoperative colonic stents versus emergency surgery for acute left-sided malignant colonic obstruction: a meta-analysis. </w:t>
      </w:r>
      <w:r w:rsidRPr="00FB0525">
        <w:rPr>
          <w:rFonts w:ascii="Book Antiqua" w:hAnsi="Book Antiqua"/>
          <w:i/>
        </w:rPr>
        <w:t>J Gastrointest Surg</w:t>
      </w:r>
      <w:r w:rsidRPr="00FB0525">
        <w:rPr>
          <w:rFonts w:ascii="Book Antiqua" w:hAnsi="Book Antiqua"/>
        </w:rPr>
        <w:t xml:space="preserve"> 2014; </w:t>
      </w:r>
      <w:r w:rsidRPr="00FB0525">
        <w:rPr>
          <w:rFonts w:ascii="Book Antiqua" w:hAnsi="Book Antiqua"/>
          <w:b/>
        </w:rPr>
        <w:t>18</w:t>
      </w:r>
      <w:r w:rsidRPr="00FB0525">
        <w:rPr>
          <w:rFonts w:ascii="Book Antiqua" w:hAnsi="Book Antiqua"/>
        </w:rPr>
        <w:t>: 584-591 [PMID: 24170606 DOI: 10.1007/s11605-013-2344-9]</w:t>
      </w:r>
    </w:p>
    <w:p w14:paraId="0DAA5FCD"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44 </w:t>
      </w:r>
      <w:r w:rsidRPr="00FB0525">
        <w:rPr>
          <w:rFonts w:ascii="Book Antiqua" w:hAnsi="Book Antiqua"/>
          <w:b/>
        </w:rPr>
        <w:t>Matsuda A</w:t>
      </w:r>
      <w:r w:rsidRPr="00FB0525">
        <w:rPr>
          <w:rFonts w:ascii="Book Antiqua" w:hAnsi="Book Antiqua"/>
        </w:rPr>
        <w:t xml:space="preserve">, Miyashita M, Matsumoto S, Matsutani T, Sakurazawa N, Takahashi G, Kishi T, Uchida E. Comparison of long-term outcomes of colonic stent as "bridge to surgery" and emergency surgery for malignant large-bowel obstruction: a meta-analysis. </w:t>
      </w:r>
      <w:r w:rsidRPr="00FB0525">
        <w:rPr>
          <w:rFonts w:ascii="Book Antiqua" w:hAnsi="Book Antiqua"/>
          <w:i/>
        </w:rPr>
        <w:t>Ann Surg Oncol</w:t>
      </w:r>
      <w:r w:rsidRPr="00FB0525">
        <w:rPr>
          <w:rFonts w:ascii="Book Antiqua" w:hAnsi="Book Antiqua"/>
        </w:rPr>
        <w:t xml:space="preserve"> 2015; </w:t>
      </w:r>
      <w:r w:rsidRPr="00FB0525">
        <w:rPr>
          <w:rFonts w:ascii="Book Antiqua" w:hAnsi="Book Antiqua"/>
          <w:b/>
        </w:rPr>
        <w:t>22</w:t>
      </w:r>
      <w:r w:rsidRPr="00FB0525">
        <w:rPr>
          <w:rFonts w:ascii="Book Antiqua" w:hAnsi="Book Antiqua"/>
        </w:rPr>
        <w:t>: 497-504 [PMID: 25120255 DOI: 10.1245/s10434-014-3997-7]</w:t>
      </w:r>
    </w:p>
    <w:p w14:paraId="5C29FB8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45 </w:t>
      </w:r>
      <w:r w:rsidRPr="00FB0525">
        <w:rPr>
          <w:rFonts w:ascii="Book Antiqua" w:hAnsi="Book Antiqua"/>
          <w:b/>
        </w:rPr>
        <w:t>Atukorale YN</w:t>
      </w:r>
      <w:r w:rsidRPr="00FB0525">
        <w:rPr>
          <w:rFonts w:ascii="Book Antiqua" w:hAnsi="Book Antiqua"/>
        </w:rPr>
        <w:t xml:space="preserve">, Church JL, Hoggan BL, Lambert RS, Gurgacz SL, Goodall S, Maddern GJ. Self-Expanding Metallic Stents for the Management of Emergency </w:t>
      </w:r>
      <w:r w:rsidRPr="00FB0525">
        <w:rPr>
          <w:rFonts w:ascii="Book Antiqua" w:hAnsi="Book Antiqua"/>
        </w:rPr>
        <w:lastRenderedPageBreak/>
        <w:t xml:space="preserve">Malignant Large Bowel Obstruction: a Systematic Review. </w:t>
      </w:r>
      <w:r w:rsidRPr="00FB0525">
        <w:rPr>
          <w:rFonts w:ascii="Book Antiqua" w:hAnsi="Book Antiqua"/>
          <w:i/>
        </w:rPr>
        <w:t>J Gastrointest Surg</w:t>
      </w:r>
      <w:r w:rsidRPr="00FB0525">
        <w:rPr>
          <w:rFonts w:ascii="Book Antiqua" w:hAnsi="Book Antiqua"/>
        </w:rPr>
        <w:t xml:space="preserve"> 2016; </w:t>
      </w:r>
      <w:r w:rsidRPr="00FB0525">
        <w:rPr>
          <w:rFonts w:ascii="Book Antiqua" w:hAnsi="Book Antiqua"/>
          <w:b/>
        </w:rPr>
        <w:t>20</w:t>
      </w:r>
      <w:r w:rsidRPr="00FB0525">
        <w:rPr>
          <w:rFonts w:ascii="Book Antiqua" w:hAnsi="Book Antiqua"/>
        </w:rPr>
        <w:t>: 455-462 [PMID: 26501483 DOI: 10.1007/s11605-015-2997-7]</w:t>
      </w:r>
    </w:p>
    <w:p w14:paraId="51A39C3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46 </w:t>
      </w:r>
      <w:r w:rsidRPr="00FB0525">
        <w:rPr>
          <w:rFonts w:ascii="Book Antiqua" w:hAnsi="Book Antiqua"/>
          <w:b/>
        </w:rPr>
        <w:t>Flor-Lorente B</w:t>
      </w:r>
      <w:r w:rsidRPr="00FB0525">
        <w:rPr>
          <w:rFonts w:ascii="Book Antiqua" w:hAnsi="Book Antiqua"/>
        </w:rPr>
        <w:t xml:space="preserve">, Báguena G, Frasson M, García-Granero A, Cervantes A, Sanchiz V, Peña A, Espí A, Esclapez P, García-Granero E. Self-expanding metallic stent as a bridge to surgery in the treatment of left colon cancer obstruction: Cost-benefit analysis and oncologic results. </w:t>
      </w:r>
      <w:r w:rsidRPr="00FB0525">
        <w:rPr>
          <w:rFonts w:ascii="Book Antiqua" w:hAnsi="Book Antiqua"/>
          <w:i/>
        </w:rPr>
        <w:t>Cir Esp</w:t>
      </w:r>
      <w:r w:rsidRPr="00FB0525">
        <w:rPr>
          <w:rFonts w:ascii="Book Antiqua" w:hAnsi="Book Antiqua"/>
        </w:rPr>
        <w:t xml:space="preserve"> 2017; </w:t>
      </w:r>
      <w:r w:rsidRPr="00FB0525">
        <w:rPr>
          <w:rFonts w:ascii="Book Antiqua" w:hAnsi="Book Antiqua"/>
          <w:b/>
        </w:rPr>
        <w:t>95</w:t>
      </w:r>
      <w:r w:rsidRPr="00FB0525">
        <w:rPr>
          <w:rFonts w:ascii="Book Antiqua" w:hAnsi="Book Antiqua"/>
        </w:rPr>
        <w:t>: 143-151 [PMID: 28336185 DOI: 10.1016/j.ciresp.2016.12.014]</w:t>
      </w:r>
    </w:p>
    <w:p w14:paraId="0CAD0E4D"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47 </w:t>
      </w:r>
      <w:r w:rsidRPr="00FB0525">
        <w:rPr>
          <w:rFonts w:ascii="Book Antiqua" w:hAnsi="Book Antiqua"/>
          <w:b/>
        </w:rPr>
        <w:t>Wang X</w:t>
      </w:r>
      <w:r w:rsidRPr="00FB0525">
        <w:rPr>
          <w:rFonts w:ascii="Book Antiqua" w:hAnsi="Book Antiqua"/>
        </w:rPr>
        <w:t xml:space="preserve">, He J, Chen X, Yang Q. Stenting as a bridge to resection versus emergency surgery for left-sided colorectal cancer with malignant obstruction: A systematic review and meta-analysis. </w:t>
      </w:r>
      <w:r w:rsidRPr="00FB0525">
        <w:rPr>
          <w:rFonts w:ascii="Book Antiqua" w:hAnsi="Book Antiqua"/>
          <w:i/>
        </w:rPr>
        <w:t>Int J Surg</w:t>
      </w:r>
      <w:r w:rsidRPr="00FB0525">
        <w:rPr>
          <w:rFonts w:ascii="Book Antiqua" w:hAnsi="Book Antiqua"/>
        </w:rPr>
        <w:t xml:space="preserve"> 2017; </w:t>
      </w:r>
      <w:r w:rsidRPr="00FB0525">
        <w:rPr>
          <w:rFonts w:ascii="Book Antiqua" w:hAnsi="Book Antiqua"/>
          <w:b/>
        </w:rPr>
        <w:t>48</w:t>
      </w:r>
      <w:r w:rsidRPr="00FB0525">
        <w:rPr>
          <w:rFonts w:ascii="Book Antiqua" w:hAnsi="Book Antiqua"/>
        </w:rPr>
        <w:t>: 64-68 [PMID: 29024743 DOI: 10.1016/j.ijsu.2017.10.004]</w:t>
      </w:r>
    </w:p>
    <w:p w14:paraId="660A606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48 </w:t>
      </w:r>
      <w:r w:rsidRPr="00FB0525">
        <w:rPr>
          <w:rFonts w:ascii="Book Antiqua" w:hAnsi="Book Antiqua"/>
          <w:b/>
        </w:rPr>
        <w:t>Xinopoulos D</w:t>
      </w:r>
      <w:r w:rsidRPr="00FB0525">
        <w:rPr>
          <w:rFonts w:ascii="Book Antiqua" w:hAnsi="Book Antiqua"/>
        </w:rPr>
        <w:t xml:space="preserve">, Dimitroulopoulos D, Theodosopoulos T, Tsamakidis K, Bitsakou G, Plataniotis G, Gontikakis M, Kontis M, Paraskevas I, Vassilobpoulos P, Paraskevas E. Stenting or stoma creation for patients with inoperable malignant colonic obstructions? Results of a study and cost-effectiveness analysis. </w:t>
      </w:r>
      <w:r w:rsidRPr="00FB0525">
        <w:rPr>
          <w:rFonts w:ascii="Book Antiqua" w:hAnsi="Book Antiqua"/>
          <w:i/>
        </w:rPr>
        <w:t>Surg Endosc</w:t>
      </w:r>
      <w:r w:rsidRPr="00FB0525">
        <w:rPr>
          <w:rFonts w:ascii="Book Antiqua" w:hAnsi="Book Antiqua"/>
        </w:rPr>
        <w:t xml:space="preserve"> 2004; </w:t>
      </w:r>
      <w:r w:rsidRPr="00FB0525">
        <w:rPr>
          <w:rFonts w:ascii="Book Antiqua" w:hAnsi="Book Antiqua"/>
          <w:b/>
        </w:rPr>
        <w:t>18</w:t>
      </w:r>
      <w:r w:rsidRPr="00FB0525">
        <w:rPr>
          <w:rFonts w:ascii="Book Antiqua" w:hAnsi="Book Antiqua"/>
        </w:rPr>
        <w:t>: 421-426 [PMID: 14735348 DOI: 10.1007/s00464-003-8109-x]</w:t>
      </w:r>
    </w:p>
    <w:p w14:paraId="37217E14"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49 </w:t>
      </w:r>
      <w:r w:rsidRPr="00FB0525">
        <w:rPr>
          <w:rFonts w:ascii="Book Antiqua" w:hAnsi="Book Antiqua"/>
          <w:b/>
        </w:rPr>
        <w:t>van Hooft JE</w:t>
      </w:r>
      <w:r w:rsidRPr="00FB0525">
        <w:rPr>
          <w:rFonts w:ascii="Book Antiqua" w:hAnsi="Book Antiqua"/>
        </w:rPr>
        <w:t xml:space="preserve">, Fockens P, Marinelli AW, Timmer R, van Berkel AM, Bossuyt PM, Bemelman WA; Dutch Colorectal Stent Group. Early closure of a multicenter randomized clinical trial of endoscopic stenting versus surgery for stage IV left-sided colorectal cancer. </w:t>
      </w:r>
      <w:r w:rsidRPr="00FB0525">
        <w:rPr>
          <w:rFonts w:ascii="Book Antiqua" w:hAnsi="Book Antiqua"/>
          <w:i/>
        </w:rPr>
        <w:t>Endoscopy</w:t>
      </w:r>
      <w:r w:rsidRPr="00FB0525">
        <w:rPr>
          <w:rFonts w:ascii="Book Antiqua" w:hAnsi="Book Antiqua"/>
        </w:rPr>
        <w:t xml:space="preserve"> 2008; </w:t>
      </w:r>
      <w:r w:rsidRPr="00FB0525">
        <w:rPr>
          <w:rFonts w:ascii="Book Antiqua" w:hAnsi="Book Antiqua"/>
          <w:b/>
        </w:rPr>
        <w:t>40</w:t>
      </w:r>
      <w:r w:rsidRPr="00FB0525">
        <w:rPr>
          <w:rFonts w:ascii="Book Antiqua" w:hAnsi="Book Antiqua"/>
        </w:rPr>
        <w:t>: 184-191 [PMID: 18322873 DOI: 10.1055/s-2007-995426]</w:t>
      </w:r>
    </w:p>
    <w:p w14:paraId="1AEE8841"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50 </w:t>
      </w:r>
      <w:r w:rsidRPr="00FB0525">
        <w:rPr>
          <w:rFonts w:ascii="Book Antiqua" w:hAnsi="Book Antiqua"/>
          <w:b/>
        </w:rPr>
        <w:t>Fiori E</w:t>
      </w:r>
      <w:r w:rsidRPr="00FB0525">
        <w:rPr>
          <w:rFonts w:ascii="Book Antiqua" w:hAnsi="Book Antiqua"/>
        </w:rPr>
        <w:t xml:space="preserve">, Lamazza A, Schillaci A, Femia S, Demasi E, Decesare A, Sterpetti AV. Palliative management for patients with subacute obstruction and stage IV unresectable rectosigmoid cancer: colostomy versus endoscopic stenting: final results of a prospective randomized trial. </w:t>
      </w:r>
      <w:r w:rsidRPr="00FB0525">
        <w:rPr>
          <w:rFonts w:ascii="Book Antiqua" w:hAnsi="Book Antiqua"/>
          <w:i/>
        </w:rPr>
        <w:t>Am J Surg</w:t>
      </w:r>
      <w:r w:rsidRPr="00FB0525">
        <w:rPr>
          <w:rFonts w:ascii="Book Antiqua" w:hAnsi="Book Antiqua"/>
        </w:rPr>
        <w:t xml:space="preserve"> 2012; </w:t>
      </w:r>
      <w:r w:rsidRPr="00FB0525">
        <w:rPr>
          <w:rFonts w:ascii="Book Antiqua" w:hAnsi="Book Antiqua"/>
          <w:b/>
        </w:rPr>
        <w:t>204</w:t>
      </w:r>
      <w:r w:rsidRPr="00FB0525">
        <w:rPr>
          <w:rFonts w:ascii="Book Antiqua" w:hAnsi="Book Antiqua"/>
        </w:rPr>
        <w:t>: 321-326 [PMID: 22575396 DOI: 10.1016/j.amjsurg.2011.11.013]</w:t>
      </w:r>
    </w:p>
    <w:p w14:paraId="4BEDE7ED"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51 </w:t>
      </w:r>
      <w:r w:rsidRPr="00FB0525">
        <w:rPr>
          <w:rFonts w:ascii="Book Antiqua" w:hAnsi="Book Antiqua"/>
          <w:b/>
        </w:rPr>
        <w:t>Zhao XD</w:t>
      </w:r>
      <w:r w:rsidRPr="00FB0525">
        <w:rPr>
          <w:rFonts w:ascii="Book Antiqua" w:hAnsi="Book Antiqua"/>
        </w:rPr>
        <w:t xml:space="preserve">, Cai BB, Cao RS, Shi RH. Palliative treatment for incurable malignant colorectal obstructions: a meta-analysis. </w:t>
      </w:r>
      <w:r w:rsidRPr="00FB0525">
        <w:rPr>
          <w:rFonts w:ascii="Book Antiqua" w:hAnsi="Book Antiqua"/>
          <w:i/>
        </w:rPr>
        <w:t>World J Gastroenterol</w:t>
      </w:r>
      <w:r w:rsidRPr="00FB0525">
        <w:rPr>
          <w:rFonts w:ascii="Book Antiqua" w:hAnsi="Book Antiqua"/>
        </w:rPr>
        <w:t xml:space="preserve"> 2013; </w:t>
      </w:r>
      <w:r w:rsidRPr="00FB0525">
        <w:rPr>
          <w:rFonts w:ascii="Book Antiqua" w:hAnsi="Book Antiqua"/>
          <w:b/>
        </w:rPr>
        <w:t>19</w:t>
      </w:r>
      <w:r w:rsidRPr="00FB0525">
        <w:rPr>
          <w:rFonts w:ascii="Book Antiqua" w:hAnsi="Book Antiqua"/>
        </w:rPr>
        <w:t>: 5565-5574 [PMID: 24023502 DOI: 10.3748/wjg.v19.i33.5565]</w:t>
      </w:r>
    </w:p>
    <w:p w14:paraId="00E73F6D" w14:textId="77777777" w:rsidR="00FB0525" w:rsidRPr="00FB0525" w:rsidRDefault="00FB0525" w:rsidP="00FB0525">
      <w:pPr>
        <w:spacing w:line="360" w:lineRule="auto"/>
        <w:jc w:val="both"/>
        <w:rPr>
          <w:rFonts w:ascii="Book Antiqua" w:hAnsi="Book Antiqua"/>
        </w:rPr>
      </w:pPr>
      <w:r w:rsidRPr="00FB0525">
        <w:rPr>
          <w:rFonts w:ascii="Book Antiqua" w:hAnsi="Book Antiqua"/>
        </w:rPr>
        <w:lastRenderedPageBreak/>
        <w:t xml:space="preserve">52 </w:t>
      </w:r>
      <w:r w:rsidRPr="00FB0525">
        <w:rPr>
          <w:rFonts w:ascii="Book Antiqua" w:hAnsi="Book Antiqua"/>
          <w:b/>
        </w:rPr>
        <w:t>Takahashi H</w:t>
      </w:r>
      <w:r w:rsidRPr="00FB0525">
        <w:rPr>
          <w:rFonts w:ascii="Book Antiqua" w:hAnsi="Book Antiqua"/>
        </w:rPr>
        <w:t xml:space="preserve">, Okabayashi K, Tsuruta M, Hasegawa H, Yahagi M, Kitagawa Y. Self-Expanding Metallic Stents Versus Surgical Intervention as Palliative Therapy for Obstructive Colorectal Cancer: A Meta-analysis. </w:t>
      </w:r>
      <w:r w:rsidRPr="00FB0525">
        <w:rPr>
          <w:rFonts w:ascii="Book Antiqua" w:hAnsi="Book Antiqua"/>
          <w:i/>
        </w:rPr>
        <w:t>World J Surg</w:t>
      </w:r>
      <w:r w:rsidRPr="00FB0525">
        <w:rPr>
          <w:rFonts w:ascii="Book Antiqua" w:hAnsi="Book Antiqua"/>
        </w:rPr>
        <w:t xml:space="preserve"> 2015; </w:t>
      </w:r>
      <w:r w:rsidRPr="00FB0525">
        <w:rPr>
          <w:rFonts w:ascii="Book Antiqua" w:hAnsi="Book Antiqua"/>
          <w:b/>
        </w:rPr>
        <w:t>39</w:t>
      </w:r>
      <w:r w:rsidRPr="00FB0525">
        <w:rPr>
          <w:rFonts w:ascii="Book Antiqua" w:hAnsi="Book Antiqua"/>
        </w:rPr>
        <w:t>: 2037-2044 [PMID: 25894403 DOI: 10.1007/s00268-015-3068-7]</w:t>
      </w:r>
    </w:p>
    <w:p w14:paraId="4278E14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53 </w:t>
      </w:r>
      <w:r w:rsidRPr="00FB0525">
        <w:rPr>
          <w:rFonts w:ascii="Book Antiqua" w:hAnsi="Book Antiqua"/>
          <w:b/>
        </w:rPr>
        <w:t>Ribeiro IB</w:t>
      </w:r>
      <w:r w:rsidRPr="00FB0525">
        <w:rPr>
          <w:rFonts w:ascii="Book Antiqua" w:hAnsi="Book Antiqua"/>
        </w:rPr>
        <w:t xml:space="preserve">, Bernardo WM, Martins BDC, de Moura DTH, Baba ER, Josino IR, Miyahima NT, Coronel Cordero MA, Visconti TAC, Ide E, Sakai P, de Moura EGH. Colonic stent versus emergency surgery as treatment of malignant colonic obstruction in the palliative setting: a systematic review and meta-analysis. </w:t>
      </w:r>
      <w:r w:rsidRPr="00FB0525">
        <w:rPr>
          <w:rFonts w:ascii="Book Antiqua" w:hAnsi="Book Antiqua"/>
          <w:i/>
        </w:rPr>
        <w:t>Endosc Int Open</w:t>
      </w:r>
      <w:r w:rsidRPr="00FB0525">
        <w:rPr>
          <w:rFonts w:ascii="Book Antiqua" w:hAnsi="Book Antiqua"/>
        </w:rPr>
        <w:t xml:space="preserve"> 2018; </w:t>
      </w:r>
      <w:r w:rsidRPr="00FB0525">
        <w:rPr>
          <w:rFonts w:ascii="Book Antiqua" w:hAnsi="Book Antiqua"/>
          <w:b/>
        </w:rPr>
        <w:t>6</w:t>
      </w:r>
      <w:r w:rsidRPr="00FB0525">
        <w:rPr>
          <w:rFonts w:ascii="Book Antiqua" w:hAnsi="Book Antiqua"/>
        </w:rPr>
        <w:t>: E558-E567 [PMID: 29756013 DOI: 10.1055/a-0591-2883]</w:t>
      </w:r>
    </w:p>
    <w:p w14:paraId="32677933"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54 </w:t>
      </w:r>
      <w:r w:rsidRPr="00FB0525">
        <w:rPr>
          <w:rFonts w:ascii="Book Antiqua" w:hAnsi="Book Antiqua"/>
          <w:b/>
        </w:rPr>
        <w:t>Geng WZM</w:t>
      </w:r>
      <w:r w:rsidRPr="00FB0525">
        <w:rPr>
          <w:rFonts w:ascii="Book Antiqua" w:hAnsi="Book Antiqua"/>
        </w:rPr>
        <w:t xml:space="preserve">, Fuller M, Osborne B, Thoirs K. The value of the erect abdominal radiograph for the diagnosis of mechanical bowel obstruction and paralytic ileus in adults presenting with acute abdominal pain. </w:t>
      </w:r>
      <w:r w:rsidRPr="00FB0525">
        <w:rPr>
          <w:rFonts w:ascii="Book Antiqua" w:hAnsi="Book Antiqua"/>
          <w:i/>
        </w:rPr>
        <w:t>J Med Radiat Sci</w:t>
      </w:r>
      <w:r w:rsidRPr="00FB0525">
        <w:rPr>
          <w:rFonts w:ascii="Book Antiqua" w:hAnsi="Book Antiqua"/>
        </w:rPr>
        <w:t xml:space="preserve"> 2018; </w:t>
      </w:r>
      <w:r w:rsidRPr="00FB0525">
        <w:rPr>
          <w:rFonts w:ascii="Book Antiqua" w:hAnsi="Book Antiqua"/>
          <w:b/>
        </w:rPr>
        <w:t>65</w:t>
      </w:r>
      <w:r w:rsidRPr="00FB0525">
        <w:rPr>
          <w:rFonts w:ascii="Book Antiqua" w:hAnsi="Book Antiqua"/>
        </w:rPr>
        <w:t>: 259-266 [PMID: 30039624 DOI: 10.1002/jmrs.299]</w:t>
      </w:r>
    </w:p>
    <w:p w14:paraId="46A16A00"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55 </w:t>
      </w:r>
      <w:r w:rsidRPr="00FB0525">
        <w:rPr>
          <w:rFonts w:ascii="Book Antiqua" w:hAnsi="Book Antiqua"/>
          <w:b/>
        </w:rPr>
        <w:t>Li PH</w:t>
      </w:r>
      <w:r w:rsidRPr="00FB0525">
        <w:rPr>
          <w:rFonts w:ascii="Book Antiqua" w:hAnsi="Book Antiqua"/>
        </w:rPr>
        <w:t xml:space="preserve">, Tee YS, Fu CY, Liao CH, Wang SY, Hsu YP, Yeh CN, Wu EH. The Role of Noncontrast CT in the Evaluation of Surgical Abdomen Patients. </w:t>
      </w:r>
      <w:r w:rsidRPr="00FB0525">
        <w:rPr>
          <w:rFonts w:ascii="Book Antiqua" w:hAnsi="Book Antiqua"/>
          <w:i/>
        </w:rPr>
        <w:t>Am Surg</w:t>
      </w:r>
      <w:r w:rsidRPr="00FB0525">
        <w:rPr>
          <w:rFonts w:ascii="Book Antiqua" w:hAnsi="Book Antiqua"/>
        </w:rPr>
        <w:t xml:space="preserve"> 2018; </w:t>
      </w:r>
      <w:r w:rsidRPr="00FB0525">
        <w:rPr>
          <w:rFonts w:ascii="Book Antiqua" w:hAnsi="Book Antiqua"/>
          <w:b/>
        </w:rPr>
        <w:t>84</w:t>
      </w:r>
      <w:r w:rsidRPr="00FB0525">
        <w:rPr>
          <w:rFonts w:ascii="Book Antiqua" w:hAnsi="Book Antiqua"/>
        </w:rPr>
        <w:t>: 1015-1021 [PMID: 29981641]</w:t>
      </w:r>
    </w:p>
    <w:p w14:paraId="396C5EFD"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56 </w:t>
      </w:r>
      <w:r w:rsidRPr="00FB0525">
        <w:rPr>
          <w:rFonts w:ascii="Book Antiqua" w:hAnsi="Book Antiqua"/>
          <w:b/>
        </w:rPr>
        <w:t>Frager D</w:t>
      </w:r>
      <w:r w:rsidRPr="00FB0525">
        <w:rPr>
          <w:rFonts w:ascii="Book Antiqua" w:hAnsi="Book Antiqua"/>
        </w:rPr>
        <w:t xml:space="preserve">, Rovno HD, Baer JW, Bashist B, Friedman M. Prospective evaluation of colonic obstruction with computed tomography. </w:t>
      </w:r>
      <w:r w:rsidRPr="00FB0525">
        <w:rPr>
          <w:rFonts w:ascii="Book Antiqua" w:hAnsi="Book Antiqua"/>
          <w:i/>
        </w:rPr>
        <w:t>Abdom Imaging</w:t>
      </w:r>
      <w:r w:rsidRPr="00FB0525">
        <w:rPr>
          <w:rFonts w:ascii="Book Antiqua" w:hAnsi="Book Antiqua"/>
        </w:rPr>
        <w:t xml:space="preserve"> 1998; </w:t>
      </w:r>
      <w:r w:rsidRPr="00FB0525">
        <w:rPr>
          <w:rFonts w:ascii="Book Antiqua" w:hAnsi="Book Antiqua"/>
          <w:b/>
        </w:rPr>
        <w:t>23</w:t>
      </w:r>
      <w:r w:rsidRPr="00FB0525">
        <w:rPr>
          <w:rFonts w:ascii="Book Antiqua" w:hAnsi="Book Antiqua"/>
        </w:rPr>
        <w:t>: 141-146 [PMID: 9516501 DOI: 10.1007/s002619900307]</w:t>
      </w:r>
    </w:p>
    <w:p w14:paraId="0D84D35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57 </w:t>
      </w:r>
      <w:r w:rsidRPr="00FB0525">
        <w:rPr>
          <w:rFonts w:ascii="Book Antiqua" w:hAnsi="Book Antiqua"/>
          <w:b/>
        </w:rPr>
        <w:t>Baron TH</w:t>
      </w:r>
      <w:r w:rsidRPr="00FB0525">
        <w:rPr>
          <w:rFonts w:ascii="Book Antiqua" w:hAnsi="Book Antiqua"/>
        </w:rPr>
        <w:t xml:space="preserve">, Wong Kee Song LM, Repici A. Role of self-expandable stents for patients with colon cancer (with videos). </w:t>
      </w:r>
      <w:r w:rsidRPr="00FB0525">
        <w:rPr>
          <w:rFonts w:ascii="Book Antiqua" w:hAnsi="Book Antiqua"/>
          <w:i/>
        </w:rPr>
        <w:t>Gastrointest Endosc</w:t>
      </w:r>
      <w:r w:rsidRPr="00FB0525">
        <w:rPr>
          <w:rFonts w:ascii="Book Antiqua" w:hAnsi="Book Antiqua"/>
        </w:rPr>
        <w:t xml:space="preserve"> 2012; </w:t>
      </w:r>
      <w:r w:rsidRPr="00FB0525">
        <w:rPr>
          <w:rFonts w:ascii="Book Antiqua" w:hAnsi="Book Antiqua"/>
          <w:b/>
        </w:rPr>
        <w:t>75</w:t>
      </w:r>
      <w:r w:rsidRPr="00FB0525">
        <w:rPr>
          <w:rFonts w:ascii="Book Antiqua" w:hAnsi="Book Antiqua"/>
        </w:rPr>
        <w:t>: 653-662 [PMID: 22341111 DOI: 10.1016/j.gie.2011.12.020]</w:t>
      </w:r>
    </w:p>
    <w:p w14:paraId="3BACC317" w14:textId="3FBAC752" w:rsidR="00FB0525" w:rsidRPr="00FB0525" w:rsidRDefault="00FB0525" w:rsidP="00FB0525">
      <w:pPr>
        <w:spacing w:line="360" w:lineRule="auto"/>
        <w:jc w:val="both"/>
        <w:rPr>
          <w:rFonts w:ascii="Book Antiqua" w:hAnsi="Book Antiqua"/>
        </w:rPr>
      </w:pPr>
      <w:r w:rsidRPr="00FB0525">
        <w:rPr>
          <w:rFonts w:ascii="Book Antiqua" w:hAnsi="Book Antiqua"/>
        </w:rPr>
        <w:t xml:space="preserve">58 </w:t>
      </w:r>
      <w:r w:rsidRPr="00FB0525">
        <w:rPr>
          <w:rFonts w:ascii="Book Antiqua" w:hAnsi="Book Antiqua"/>
          <w:b/>
        </w:rPr>
        <w:t>Ribeiro IB</w:t>
      </w:r>
      <w:r w:rsidRPr="00D54012">
        <w:rPr>
          <w:rFonts w:ascii="Book Antiqua" w:hAnsi="Book Antiqua"/>
        </w:rPr>
        <w:t>,</w:t>
      </w:r>
      <w:r w:rsidRPr="00FB0525">
        <w:rPr>
          <w:rFonts w:ascii="Book Antiqua" w:hAnsi="Book Antiqua"/>
        </w:rPr>
        <w:t xml:space="preserve"> Bernardo WM, da Costa Martins B, de Moura DT, Moura ET, Miyajima NT, Ide E, Madruga Neto AC, Coronel MA, Martins RK, da Ponte AM, de Moura EG. Self-expanded metal stent versus emergency surgery as treatment of malignant colonic obstruction in the palliative setting: a Systematic review and meta-analysis. </w:t>
      </w:r>
      <w:r w:rsidRPr="00D54012">
        <w:rPr>
          <w:rFonts w:ascii="Book Antiqua" w:hAnsi="Book Antiqua"/>
          <w:i/>
        </w:rPr>
        <w:t>Gastrointest Endosc</w:t>
      </w:r>
      <w:r w:rsidRPr="00FB0525">
        <w:rPr>
          <w:rFonts w:ascii="Book Antiqua" w:hAnsi="Book Antiqua"/>
        </w:rPr>
        <w:t xml:space="preserve"> 2018; </w:t>
      </w:r>
      <w:r w:rsidRPr="00D54012">
        <w:rPr>
          <w:rFonts w:ascii="Book Antiqua" w:hAnsi="Book Antiqua"/>
          <w:b/>
        </w:rPr>
        <w:t>87</w:t>
      </w:r>
      <w:r w:rsidRPr="00FB0525">
        <w:rPr>
          <w:rFonts w:ascii="Book Antiqua" w:hAnsi="Book Antiqua"/>
        </w:rPr>
        <w:t>: AB490 [</w:t>
      </w:r>
      <w:r w:rsidR="00D54012" w:rsidRPr="00FB0525">
        <w:rPr>
          <w:rFonts w:ascii="Book Antiqua" w:hAnsi="Book Antiqua"/>
        </w:rPr>
        <w:t>DOI</w:t>
      </w:r>
      <w:r w:rsidRPr="00FB0525">
        <w:rPr>
          <w:rFonts w:ascii="Book Antiqua" w:hAnsi="Book Antiqua"/>
        </w:rPr>
        <w:t>:</w:t>
      </w:r>
      <w:r w:rsidR="00D54012">
        <w:rPr>
          <w:rFonts w:ascii="Book Antiqua" w:hAnsi="Book Antiqua" w:hint="eastAsia"/>
          <w:lang w:eastAsia="zh-CN"/>
        </w:rPr>
        <w:t xml:space="preserve"> </w:t>
      </w:r>
      <w:r w:rsidRPr="00FB0525">
        <w:rPr>
          <w:rFonts w:ascii="Book Antiqua" w:hAnsi="Book Antiqua"/>
        </w:rPr>
        <w:t>10.1016/j.gie.2018.04.2069]</w:t>
      </w:r>
    </w:p>
    <w:p w14:paraId="6DC52750" w14:textId="38ED4FCD" w:rsidR="00FB0525" w:rsidRPr="00FB0525" w:rsidRDefault="00FB0525" w:rsidP="00FB0525">
      <w:pPr>
        <w:spacing w:line="360" w:lineRule="auto"/>
        <w:jc w:val="both"/>
        <w:rPr>
          <w:rFonts w:ascii="Book Antiqua" w:hAnsi="Book Antiqua"/>
        </w:rPr>
      </w:pPr>
      <w:r w:rsidRPr="00FB0525">
        <w:rPr>
          <w:rFonts w:ascii="Book Antiqua" w:hAnsi="Book Antiqua"/>
        </w:rPr>
        <w:t xml:space="preserve">59 </w:t>
      </w:r>
      <w:r w:rsidRPr="00FB0525">
        <w:rPr>
          <w:rFonts w:ascii="Book Antiqua" w:hAnsi="Book Antiqua"/>
          <w:b/>
        </w:rPr>
        <w:t>Lin JL</w:t>
      </w:r>
      <w:r w:rsidRPr="00D54012">
        <w:rPr>
          <w:rFonts w:ascii="Book Antiqua" w:hAnsi="Book Antiqua"/>
        </w:rPr>
        <w:t>,</w:t>
      </w:r>
      <w:r w:rsidR="00D54012">
        <w:rPr>
          <w:rFonts w:ascii="Book Antiqua" w:hAnsi="Book Antiqua"/>
        </w:rPr>
        <w:t xml:space="preserve"> </w:t>
      </w:r>
      <w:r w:rsidRPr="00FB0525">
        <w:rPr>
          <w:rFonts w:ascii="Book Antiqua" w:hAnsi="Book Antiqua"/>
        </w:rPr>
        <w:t xml:space="preserve">David D, Lee B. Su1699 Efficacy of Self-Expandable Metallic Stents for Colonic and Extracolonic Malignant Obstruction. </w:t>
      </w:r>
      <w:r w:rsidRPr="00D54012">
        <w:rPr>
          <w:rFonts w:ascii="Book Antiqua" w:hAnsi="Book Antiqua"/>
          <w:i/>
        </w:rPr>
        <w:t>Gastrointest Endosc</w:t>
      </w:r>
      <w:r w:rsidRPr="00FB0525">
        <w:rPr>
          <w:rFonts w:ascii="Book Antiqua" w:hAnsi="Book Antiqua"/>
        </w:rPr>
        <w:t xml:space="preserve"> 2017; </w:t>
      </w:r>
      <w:r w:rsidRPr="00D54012">
        <w:rPr>
          <w:rFonts w:ascii="Book Antiqua" w:hAnsi="Book Antiqua"/>
          <w:b/>
        </w:rPr>
        <w:t>85</w:t>
      </w:r>
      <w:r w:rsidRPr="00FB0525">
        <w:rPr>
          <w:rFonts w:ascii="Book Antiqua" w:hAnsi="Book Antiqua"/>
        </w:rPr>
        <w:t>: AB401 [</w:t>
      </w:r>
      <w:r w:rsidR="00D54012" w:rsidRPr="00FB0525">
        <w:rPr>
          <w:rFonts w:ascii="Book Antiqua" w:hAnsi="Book Antiqua"/>
        </w:rPr>
        <w:t>DOI:</w:t>
      </w:r>
      <w:r w:rsidR="00D54012">
        <w:rPr>
          <w:rFonts w:ascii="Book Antiqua" w:hAnsi="Book Antiqua"/>
          <w:lang w:eastAsia="zh-CN"/>
        </w:rPr>
        <w:t xml:space="preserve"> </w:t>
      </w:r>
      <w:r w:rsidRPr="00FB0525">
        <w:rPr>
          <w:rFonts w:ascii="Book Antiqua" w:hAnsi="Book Antiqua"/>
        </w:rPr>
        <w:t>10.1016/j.gie.2017.03.928]</w:t>
      </w:r>
    </w:p>
    <w:p w14:paraId="3F821FB9" w14:textId="77777777" w:rsidR="00FB0525" w:rsidRPr="00FB0525" w:rsidRDefault="00FB0525" w:rsidP="00FB0525">
      <w:pPr>
        <w:spacing w:line="360" w:lineRule="auto"/>
        <w:jc w:val="both"/>
        <w:rPr>
          <w:rFonts w:ascii="Book Antiqua" w:hAnsi="Book Antiqua"/>
        </w:rPr>
      </w:pPr>
      <w:r w:rsidRPr="00FB0525">
        <w:rPr>
          <w:rFonts w:ascii="Book Antiqua" w:hAnsi="Book Antiqua"/>
        </w:rPr>
        <w:lastRenderedPageBreak/>
        <w:t xml:space="preserve">60 </w:t>
      </w:r>
      <w:r w:rsidRPr="00FB0525">
        <w:rPr>
          <w:rFonts w:ascii="Book Antiqua" w:hAnsi="Book Antiqua"/>
          <w:b/>
        </w:rPr>
        <w:t>Faraz S</w:t>
      </w:r>
      <w:r w:rsidRPr="00FB0525">
        <w:rPr>
          <w:rFonts w:ascii="Book Antiqua" w:hAnsi="Book Antiqua"/>
        </w:rPr>
        <w:t xml:space="preserve">, Salem SB, Schattner M, Mendelsohn R, Markowitz A, Ludwig E, Zheng J, Gerdes H, Shah PM. Predictors of clinical outcome of colonic stents in patients with malignant large-bowel obstruction because of extracolonic malignancy. </w:t>
      </w:r>
      <w:r w:rsidRPr="00FB0525">
        <w:rPr>
          <w:rFonts w:ascii="Book Antiqua" w:hAnsi="Book Antiqua"/>
          <w:i/>
        </w:rPr>
        <w:t>Gastrointest Endosc</w:t>
      </w:r>
      <w:r w:rsidRPr="00FB0525">
        <w:rPr>
          <w:rFonts w:ascii="Book Antiqua" w:hAnsi="Book Antiqua"/>
        </w:rPr>
        <w:t xml:space="preserve"> 2018; </w:t>
      </w:r>
      <w:r w:rsidRPr="00FB0525">
        <w:rPr>
          <w:rFonts w:ascii="Book Antiqua" w:hAnsi="Book Antiqua"/>
          <w:b/>
        </w:rPr>
        <w:t>87</w:t>
      </w:r>
      <w:r w:rsidRPr="00FB0525">
        <w:rPr>
          <w:rFonts w:ascii="Book Antiqua" w:hAnsi="Book Antiqua"/>
        </w:rPr>
        <w:t>: 1310-1317 [PMID: 29307474 DOI: 10.1016/j.gie.2017.12.017]</w:t>
      </w:r>
    </w:p>
    <w:p w14:paraId="7E07D931"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61 </w:t>
      </w:r>
      <w:r w:rsidRPr="00FB0525">
        <w:rPr>
          <w:rFonts w:ascii="Book Antiqua" w:hAnsi="Book Antiqua"/>
          <w:b/>
        </w:rPr>
        <w:t>Trompetas V</w:t>
      </w:r>
      <w:r w:rsidRPr="00FB0525">
        <w:rPr>
          <w:rFonts w:ascii="Book Antiqua" w:hAnsi="Book Antiqua"/>
        </w:rPr>
        <w:t xml:space="preserve">, Saunders M, Gossage J, Anderson H. Shortcomings in colonic stenting to palliate large bowel obstruction from extracolonic malignancies. </w:t>
      </w:r>
      <w:r w:rsidRPr="00FB0525">
        <w:rPr>
          <w:rFonts w:ascii="Book Antiqua" w:hAnsi="Book Antiqua"/>
          <w:i/>
        </w:rPr>
        <w:t>Int J Colorectal Dis</w:t>
      </w:r>
      <w:r w:rsidRPr="00FB0525">
        <w:rPr>
          <w:rFonts w:ascii="Book Antiqua" w:hAnsi="Book Antiqua"/>
        </w:rPr>
        <w:t xml:space="preserve"> 2010; </w:t>
      </w:r>
      <w:r w:rsidRPr="00FB0525">
        <w:rPr>
          <w:rFonts w:ascii="Book Antiqua" w:hAnsi="Book Antiqua"/>
          <w:b/>
        </w:rPr>
        <w:t>25</w:t>
      </w:r>
      <w:r w:rsidRPr="00FB0525">
        <w:rPr>
          <w:rFonts w:ascii="Book Antiqua" w:hAnsi="Book Antiqua"/>
        </w:rPr>
        <w:t>: 851-854 [PMID: 20390286 DOI: 10.1007/s00384-010-0941-6]</w:t>
      </w:r>
    </w:p>
    <w:p w14:paraId="0E24169A"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62 </w:t>
      </w:r>
      <w:r w:rsidRPr="00FB0525">
        <w:rPr>
          <w:rFonts w:ascii="Book Antiqua" w:hAnsi="Book Antiqua"/>
          <w:b/>
        </w:rPr>
        <w:t>van Hooft JE</w:t>
      </w:r>
      <w:r w:rsidRPr="00FB0525">
        <w:rPr>
          <w:rFonts w:ascii="Book Antiqua" w:hAnsi="Book Antiqua"/>
        </w:rPr>
        <w:t xml:space="preserve">, van Halsema EE, Vanbiervliet G, Beets-Tan RG, DeWitt JM, Donnellan F, Dumonceau JM, Glynne-Jones RG, Hassan C, Jiménez-Perez J, Meisner S, Muthusamy VR, Parker MC, Regimbeau JM, Sabbagh C, Sagar J, Tanis PJ, Vandervoort J, Webster GJ, Manes G, Barthet MA, Repici A; European Society of Gastrointestinal Endoscopy. Self-expandable metal stents for obstructing colonic and extracolonic cancer: European Society of Gastrointestinal Endoscopy (ESGE) Clinical Guideline. </w:t>
      </w:r>
      <w:r w:rsidRPr="00FB0525">
        <w:rPr>
          <w:rFonts w:ascii="Book Antiqua" w:hAnsi="Book Antiqua"/>
          <w:i/>
        </w:rPr>
        <w:t>Endoscopy</w:t>
      </w:r>
      <w:r w:rsidRPr="00FB0525">
        <w:rPr>
          <w:rFonts w:ascii="Book Antiqua" w:hAnsi="Book Antiqua"/>
        </w:rPr>
        <w:t xml:space="preserve"> 2014; </w:t>
      </w:r>
      <w:r w:rsidRPr="00FB0525">
        <w:rPr>
          <w:rFonts w:ascii="Book Antiqua" w:hAnsi="Book Antiqua"/>
          <w:b/>
        </w:rPr>
        <w:t>46</w:t>
      </w:r>
      <w:r w:rsidRPr="00FB0525">
        <w:rPr>
          <w:rFonts w:ascii="Book Antiqua" w:hAnsi="Book Antiqua"/>
        </w:rPr>
        <w:t>: 990-1053 [PMID: 25325682 DOI: 10.1055/s-0034-1390700]</w:t>
      </w:r>
    </w:p>
    <w:p w14:paraId="1983D7B5"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63 </w:t>
      </w:r>
      <w:r w:rsidRPr="00FB0525">
        <w:rPr>
          <w:rFonts w:ascii="Book Antiqua" w:hAnsi="Book Antiqua"/>
          <w:b/>
        </w:rPr>
        <w:t>Song HY</w:t>
      </w:r>
      <w:r w:rsidRPr="00FB0525">
        <w:rPr>
          <w:rFonts w:ascii="Book Antiqua" w:hAnsi="Book Antiqua"/>
        </w:rPr>
        <w:t xml:space="preserve">, Kim JH, Kim KR, Shin JH, Kim HC, Yu CS, Kim JC. Malignant rectal obstruction within 5 cm of the anal verge: is there a role for expandable metallic stent placement? </w:t>
      </w:r>
      <w:r w:rsidRPr="00FB0525">
        <w:rPr>
          <w:rFonts w:ascii="Book Antiqua" w:hAnsi="Book Antiqua"/>
          <w:i/>
        </w:rPr>
        <w:t>Gastrointest Endosc</w:t>
      </w:r>
      <w:r w:rsidRPr="00FB0525">
        <w:rPr>
          <w:rFonts w:ascii="Book Antiqua" w:hAnsi="Book Antiqua"/>
        </w:rPr>
        <w:t xml:space="preserve"> 2008; </w:t>
      </w:r>
      <w:r w:rsidRPr="00FB0525">
        <w:rPr>
          <w:rFonts w:ascii="Book Antiqua" w:hAnsi="Book Antiqua"/>
          <w:b/>
        </w:rPr>
        <w:t>68</w:t>
      </w:r>
      <w:r w:rsidRPr="00FB0525">
        <w:rPr>
          <w:rFonts w:ascii="Book Antiqua" w:hAnsi="Book Antiqua"/>
        </w:rPr>
        <w:t>: 713-720 [PMID: 18561924 DOI: 10.1016/j.gie.2007.12.051]</w:t>
      </w:r>
    </w:p>
    <w:p w14:paraId="71F6F259"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64 </w:t>
      </w:r>
      <w:r w:rsidRPr="00FB0525">
        <w:rPr>
          <w:rFonts w:ascii="Book Antiqua" w:hAnsi="Book Antiqua"/>
          <w:b/>
        </w:rPr>
        <w:t>Kaplan J</w:t>
      </w:r>
      <w:r w:rsidRPr="00FB0525">
        <w:rPr>
          <w:rFonts w:ascii="Book Antiqua" w:hAnsi="Book Antiqua"/>
        </w:rPr>
        <w:t xml:space="preserve">, Strongin A, Adler DG, Siddiqui AA. Enteral stents for the management of malignant colorectal obstruction. </w:t>
      </w:r>
      <w:r w:rsidRPr="00FB0525">
        <w:rPr>
          <w:rFonts w:ascii="Book Antiqua" w:hAnsi="Book Antiqua"/>
          <w:i/>
        </w:rPr>
        <w:t>World J Gastroenterol</w:t>
      </w:r>
      <w:r w:rsidRPr="00FB0525">
        <w:rPr>
          <w:rFonts w:ascii="Book Antiqua" w:hAnsi="Book Antiqua"/>
        </w:rPr>
        <w:t xml:space="preserve"> 2014; </w:t>
      </w:r>
      <w:r w:rsidRPr="00FB0525">
        <w:rPr>
          <w:rFonts w:ascii="Book Antiqua" w:hAnsi="Book Antiqua"/>
          <w:b/>
        </w:rPr>
        <w:t>20</w:t>
      </w:r>
      <w:r w:rsidRPr="00FB0525">
        <w:rPr>
          <w:rFonts w:ascii="Book Antiqua" w:hAnsi="Book Antiqua"/>
        </w:rPr>
        <w:t>: 13239-13245 [PMID: 25309061 DOI: 10.3748/wjg.v20.i37.13239]</w:t>
      </w:r>
    </w:p>
    <w:p w14:paraId="29BC37FF"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65 </w:t>
      </w:r>
      <w:r w:rsidRPr="00FB0525">
        <w:rPr>
          <w:rFonts w:ascii="Book Antiqua" w:hAnsi="Book Antiqua"/>
          <w:b/>
        </w:rPr>
        <w:t>Shin SJ</w:t>
      </w:r>
      <w:r w:rsidRPr="00FB0525">
        <w:rPr>
          <w:rFonts w:ascii="Book Antiqua" w:hAnsi="Book Antiqua"/>
        </w:rPr>
        <w:t xml:space="preserve">, Kim TI, Kim BC, Lee YC, Song SY, Kim WH. Clinical application of self-expandable metallic stent for treatment of colorectal obstruction caused by extrinsic invasive tumors. </w:t>
      </w:r>
      <w:r w:rsidRPr="00FB0525">
        <w:rPr>
          <w:rFonts w:ascii="Book Antiqua" w:hAnsi="Book Antiqua"/>
          <w:i/>
        </w:rPr>
        <w:t>Dis Colon Rectum</w:t>
      </w:r>
      <w:r w:rsidRPr="00FB0525">
        <w:rPr>
          <w:rFonts w:ascii="Book Antiqua" w:hAnsi="Book Antiqua"/>
        </w:rPr>
        <w:t xml:space="preserve"> 2008; </w:t>
      </w:r>
      <w:r w:rsidRPr="00FB0525">
        <w:rPr>
          <w:rFonts w:ascii="Book Antiqua" w:hAnsi="Book Antiqua"/>
          <w:b/>
        </w:rPr>
        <w:t>51</w:t>
      </w:r>
      <w:r w:rsidRPr="00FB0525">
        <w:rPr>
          <w:rFonts w:ascii="Book Antiqua" w:hAnsi="Book Antiqua"/>
        </w:rPr>
        <w:t>: 578-583 [PMID: 18259816 DOI: 10.1007/s10350-008-9207-6]</w:t>
      </w:r>
    </w:p>
    <w:p w14:paraId="34BCE843" w14:textId="77777777" w:rsidR="00FB0525" w:rsidRPr="00FB0525" w:rsidRDefault="00FB0525" w:rsidP="00FB0525">
      <w:pPr>
        <w:spacing w:line="360" w:lineRule="auto"/>
        <w:jc w:val="both"/>
        <w:rPr>
          <w:rFonts w:ascii="Book Antiqua" w:hAnsi="Book Antiqua"/>
        </w:rPr>
      </w:pPr>
      <w:r w:rsidRPr="00FB0525">
        <w:rPr>
          <w:rFonts w:ascii="Book Antiqua" w:hAnsi="Book Antiqua"/>
        </w:rPr>
        <w:t xml:space="preserve">66 </w:t>
      </w:r>
      <w:r w:rsidRPr="00FB0525">
        <w:rPr>
          <w:rFonts w:ascii="Book Antiqua" w:hAnsi="Book Antiqua"/>
          <w:b/>
        </w:rPr>
        <w:t>Bong JW</w:t>
      </w:r>
      <w:r w:rsidRPr="00FB0525">
        <w:rPr>
          <w:rFonts w:ascii="Book Antiqua" w:hAnsi="Book Antiqua"/>
        </w:rPr>
        <w:t xml:space="preserve">, Lee JL, Kim CW, Yoon YS, Park IJ, Lim SB, Yu CS, Kim TW, Kim JC. Risk Factors and Adequate Management for Complications of Bevacizumab Treatment Requiring Surgical Intervention in Patients With Metastatic Colorectal </w:t>
      </w:r>
      <w:r w:rsidRPr="00FB0525">
        <w:rPr>
          <w:rFonts w:ascii="Book Antiqua" w:hAnsi="Book Antiqua"/>
        </w:rPr>
        <w:lastRenderedPageBreak/>
        <w:t xml:space="preserve">Cancer. </w:t>
      </w:r>
      <w:r w:rsidRPr="00FB0525">
        <w:rPr>
          <w:rFonts w:ascii="Book Antiqua" w:hAnsi="Book Antiqua"/>
          <w:i/>
        </w:rPr>
        <w:t>Clin Colorectal Cancer</w:t>
      </w:r>
      <w:r w:rsidRPr="00FB0525">
        <w:rPr>
          <w:rFonts w:ascii="Book Antiqua" w:hAnsi="Book Antiqua"/>
        </w:rPr>
        <w:t xml:space="preserve"> 2018; </w:t>
      </w:r>
      <w:r w:rsidRPr="00FB0525">
        <w:rPr>
          <w:rFonts w:ascii="Book Antiqua" w:hAnsi="Book Antiqua"/>
          <w:b/>
        </w:rPr>
        <w:t>17</w:t>
      </w:r>
      <w:r w:rsidRPr="00FB0525">
        <w:rPr>
          <w:rFonts w:ascii="Book Antiqua" w:hAnsi="Book Antiqua"/>
        </w:rPr>
        <w:t>: e639-e645 [PMID: 30031634 DOI: 10.1016/j.clcc.2018.06.005]</w:t>
      </w:r>
    </w:p>
    <w:p w14:paraId="4E2715C6" w14:textId="031B32BC" w:rsidR="00FB0525" w:rsidRPr="00FB0525" w:rsidRDefault="00FB0525" w:rsidP="00FB0525">
      <w:pPr>
        <w:spacing w:line="360" w:lineRule="auto"/>
        <w:jc w:val="both"/>
        <w:rPr>
          <w:rFonts w:ascii="Book Antiqua" w:hAnsi="Book Antiqua"/>
        </w:rPr>
      </w:pPr>
      <w:r w:rsidRPr="00FB0525">
        <w:rPr>
          <w:rFonts w:ascii="Book Antiqua" w:hAnsi="Book Antiqua"/>
        </w:rPr>
        <w:t xml:space="preserve">67 </w:t>
      </w:r>
      <w:r w:rsidRPr="00FB0525">
        <w:rPr>
          <w:rFonts w:ascii="Book Antiqua" w:hAnsi="Book Antiqua"/>
          <w:b/>
        </w:rPr>
        <w:t>van Halsema EE</w:t>
      </w:r>
      <w:r w:rsidRPr="00FB0525">
        <w:rPr>
          <w:rFonts w:ascii="Book Antiqua" w:hAnsi="Book Antiqua"/>
        </w:rPr>
        <w:t xml:space="preserve">, van Hooft JE, Small AJ, Baron TH, García-Cano J, Cheon JH, Lee MS, Kwon SH, Mucci-Hennekinne S, Fockens P, Dijkgraaf MG, Repici A. Perforation in colorectal stenting: a meta-analysis and a search for risk factors. </w:t>
      </w:r>
      <w:r w:rsidRPr="00FB0525">
        <w:rPr>
          <w:rFonts w:ascii="Book Antiqua" w:hAnsi="Book Antiqua"/>
          <w:i/>
        </w:rPr>
        <w:t>Gastrointest Endosc</w:t>
      </w:r>
      <w:r w:rsidRPr="00FB0525">
        <w:rPr>
          <w:rFonts w:ascii="Book Antiqua" w:hAnsi="Book Antiqua"/>
        </w:rPr>
        <w:t xml:space="preserve"> 2014; </w:t>
      </w:r>
      <w:r w:rsidRPr="00FB0525">
        <w:rPr>
          <w:rFonts w:ascii="Book Antiqua" w:hAnsi="Book Antiqua"/>
          <w:b/>
        </w:rPr>
        <w:t>79</w:t>
      </w:r>
      <w:r w:rsidRPr="00FB0525">
        <w:rPr>
          <w:rFonts w:ascii="Book Antiqua" w:hAnsi="Book Antiqua"/>
        </w:rPr>
        <w:t>: 970-</w:t>
      </w:r>
      <w:r w:rsidR="00D54012">
        <w:rPr>
          <w:rFonts w:ascii="Book Antiqua" w:hAnsi="Book Antiqua" w:hint="eastAsia"/>
          <w:lang w:eastAsia="zh-CN"/>
        </w:rPr>
        <w:t>9</w:t>
      </w:r>
      <w:r w:rsidRPr="00FB0525">
        <w:rPr>
          <w:rFonts w:ascii="Book Antiqua" w:hAnsi="Book Antiqua"/>
        </w:rPr>
        <w:t>82.e7; quiz 983.e2, 983.e5 [PMID: 24650852 DOI: 10.1016/j.gie.2013.11.038]</w:t>
      </w:r>
    </w:p>
    <w:p w14:paraId="2E4885AF" w14:textId="762C4FA9" w:rsidR="00FB0525" w:rsidRPr="00FB0525" w:rsidRDefault="00FB0525" w:rsidP="00FB0525">
      <w:pPr>
        <w:spacing w:line="360" w:lineRule="auto"/>
        <w:jc w:val="both"/>
        <w:rPr>
          <w:rFonts w:ascii="Book Antiqua" w:hAnsi="Book Antiqua"/>
        </w:rPr>
      </w:pPr>
      <w:r w:rsidRPr="00FB0525">
        <w:rPr>
          <w:rFonts w:ascii="Book Antiqua" w:hAnsi="Book Antiqua"/>
        </w:rPr>
        <w:t>6</w:t>
      </w:r>
      <w:r w:rsidR="00D54012">
        <w:rPr>
          <w:rFonts w:ascii="Book Antiqua" w:hAnsi="Book Antiqua" w:hint="eastAsia"/>
          <w:lang w:eastAsia="zh-CN"/>
        </w:rPr>
        <w:t>8</w:t>
      </w:r>
      <w:r w:rsidRPr="00FB0525">
        <w:rPr>
          <w:rFonts w:ascii="Book Antiqua" w:hAnsi="Book Antiqua"/>
        </w:rPr>
        <w:t xml:space="preserve"> </w:t>
      </w:r>
      <w:r w:rsidRPr="00FB0525">
        <w:rPr>
          <w:rFonts w:ascii="Book Antiqua" w:hAnsi="Book Antiqua"/>
          <w:b/>
        </w:rPr>
        <w:t>Grothey A</w:t>
      </w:r>
      <w:r w:rsidRPr="00FB0525">
        <w:rPr>
          <w:rFonts w:ascii="Book Antiqua" w:hAnsi="Book Antiqua"/>
        </w:rPr>
        <w:t xml:space="preserve">, Sobrero AF, Shields AF, Yoshino T, Paul J, Taieb J, Souglakos J, Shi Q, Kerr R, Labianca R, Meyerhardt JA, Vernerey D, Yamanaka T, Boukovinas I, Meyers JP, Renfro LA, Niedzwiecki D, Watanabe T, Torri V, Saunders M, Sargent DJ, Andre T, Iveson T. Duration of Adjuvant Chemotherapy for Stage III Colon Cancer. </w:t>
      </w:r>
      <w:r w:rsidRPr="00FB0525">
        <w:rPr>
          <w:rFonts w:ascii="Book Antiqua" w:hAnsi="Book Antiqua"/>
          <w:i/>
        </w:rPr>
        <w:t>N Engl J Med</w:t>
      </w:r>
      <w:r w:rsidRPr="00FB0525">
        <w:rPr>
          <w:rFonts w:ascii="Book Antiqua" w:hAnsi="Book Antiqua"/>
        </w:rPr>
        <w:t xml:space="preserve"> 2018; </w:t>
      </w:r>
      <w:r w:rsidRPr="00FB0525">
        <w:rPr>
          <w:rFonts w:ascii="Book Antiqua" w:hAnsi="Book Antiqua"/>
          <w:b/>
        </w:rPr>
        <w:t>378</w:t>
      </w:r>
      <w:r w:rsidRPr="00FB0525">
        <w:rPr>
          <w:rFonts w:ascii="Book Antiqua" w:hAnsi="Book Antiqua"/>
        </w:rPr>
        <w:t>: 1177-1188 [PMID: 29590544 DOI: 10.1056/NEJMoa1713709]</w:t>
      </w:r>
    </w:p>
    <w:p w14:paraId="2F3D5BDF" w14:textId="19E91D09" w:rsidR="00FB0525" w:rsidRPr="00FB0525" w:rsidRDefault="00D54012" w:rsidP="00FB0525">
      <w:pPr>
        <w:spacing w:line="360" w:lineRule="auto"/>
        <w:jc w:val="both"/>
        <w:rPr>
          <w:rFonts w:ascii="Book Antiqua" w:hAnsi="Book Antiqua"/>
        </w:rPr>
      </w:pPr>
      <w:r>
        <w:rPr>
          <w:rFonts w:ascii="Book Antiqua" w:hAnsi="Book Antiqua" w:hint="eastAsia"/>
          <w:lang w:eastAsia="zh-CN"/>
        </w:rPr>
        <w:t>69</w:t>
      </w:r>
      <w:r w:rsidR="00FB0525" w:rsidRPr="00FB0525">
        <w:rPr>
          <w:rFonts w:ascii="Book Antiqua" w:hAnsi="Book Antiqua"/>
        </w:rPr>
        <w:t xml:space="preserve"> </w:t>
      </w:r>
      <w:r w:rsidR="00FB0525" w:rsidRPr="00FB0525">
        <w:rPr>
          <w:rFonts w:ascii="Book Antiqua" w:hAnsi="Book Antiqua"/>
          <w:b/>
        </w:rPr>
        <w:t>Douillard JY</w:t>
      </w:r>
      <w:r w:rsidR="00FB0525" w:rsidRPr="00FB0525">
        <w:rPr>
          <w:rFonts w:ascii="Book Antiqua" w:hAnsi="Book Antiqua"/>
        </w:rPr>
        <w:t xml:space="preserve">, Cunningham D, Roth AD, Navarro M, James RD, Karasek P, Jandik P, Iveson T, Carmichael J, Alakl M, Gruia G, Awad L, Rougier P. Irinotecan combined with fluorouracil compared with fluorouracil alone as first-line treatment for metastatic colorectal cancer: a multicentre randomised trial. </w:t>
      </w:r>
      <w:r w:rsidR="00FB0525" w:rsidRPr="00FB0525">
        <w:rPr>
          <w:rFonts w:ascii="Book Antiqua" w:hAnsi="Book Antiqua"/>
          <w:i/>
        </w:rPr>
        <w:t>Lancet</w:t>
      </w:r>
      <w:r w:rsidR="00FB0525" w:rsidRPr="00FB0525">
        <w:rPr>
          <w:rFonts w:ascii="Book Antiqua" w:hAnsi="Book Antiqua"/>
        </w:rPr>
        <w:t xml:space="preserve"> 2000; </w:t>
      </w:r>
      <w:r w:rsidR="00FB0525" w:rsidRPr="00FB0525">
        <w:rPr>
          <w:rFonts w:ascii="Book Antiqua" w:hAnsi="Book Antiqua"/>
          <w:b/>
        </w:rPr>
        <w:t>355</w:t>
      </w:r>
      <w:r w:rsidR="00FB0525" w:rsidRPr="00FB0525">
        <w:rPr>
          <w:rFonts w:ascii="Book Antiqua" w:hAnsi="Book Antiqua"/>
        </w:rPr>
        <w:t>: 1041-1047 [PMID: 10744089 DOI: 10.1016/S0140-6736(00)02034-1]</w:t>
      </w:r>
    </w:p>
    <w:p w14:paraId="5FFA56EC" w14:textId="1E22C808"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0</w:t>
      </w:r>
      <w:r w:rsidRPr="00FB0525">
        <w:rPr>
          <w:rFonts w:ascii="Book Antiqua" w:hAnsi="Book Antiqua"/>
        </w:rPr>
        <w:t xml:space="preserve"> </w:t>
      </w:r>
      <w:r w:rsidRPr="00FB0525">
        <w:rPr>
          <w:rFonts w:ascii="Book Antiqua" w:hAnsi="Book Antiqua"/>
          <w:b/>
        </w:rPr>
        <w:t>Cassidy J</w:t>
      </w:r>
      <w:r w:rsidRPr="00FB0525">
        <w:rPr>
          <w:rFonts w:ascii="Book Antiqua" w:hAnsi="Book Antiqua"/>
        </w:rPr>
        <w:t xml:space="preserve">, Clarke S, Díaz-Rubio E, Scheithauer W, Figer A, Wong R, Koski S, Lichinitser M, Yang TS, Rivera F, Couture F, Sirzén F, Saltz L. Randomized phase III study of capecitabine plus oxaliplatin compared with fluorouracil/folinic acid plus oxaliplatin as first-line therapy for metastatic colorectal cancer. </w:t>
      </w:r>
      <w:r w:rsidRPr="00FB0525">
        <w:rPr>
          <w:rFonts w:ascii="Book Antiqua" w:hAnsi="Book Antiqua"/>
          <w:i/>
        </w:rPr>
        <w:t>J Clin Oncol</w:t>
      </w:r>
      <w:r w:rsidRPr="00FB0525">
        <w:rPr>
          <w:rFonts w:ascii="Book Antiqua" w:hAnsi="Book Antiqua"/>
        </w:rPr>
        <w:t xml:space="preserve"> 2008; </w:t>
      </w:r>
      <w:r w:rsidRPr="00FB0525">
        <w:rPr>
          <w:rFonts w:ascii="Book Antiqua" w:hAnsi="Book Antiqua"/>
          <w:b/>
        </w:rPr>
        <w:t>26</w:t>
      </w:r>
      <w:r w:rsidRPr="00FB0525">
        <w:rPr>
          <w:rFonts w:ascii="Book Antiqua" w:hAnsi="Book Antiqua"/>
        </w:rPr>
        <w:t>: 2006-2012 [PMID: 18421053 DOI: 10.1200/JCO.2007.14.9898]</w:t>
      </w:r>
    </w:p>
    <w:p w14:paraId="21E57E91" w14:textId="0EB3323C"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1</w:t>
      </w:r>
      <w:r w:rsidRPr="00FB0525">
        <w:rPr>
          <w:rFonts w:ascii="Book Antiqua" w:hAnsi="Book Antiqua"/>
        </w:rPr>
        <w:t xml:space="preserve"> </w:t>
      </w:r>
      <w:r w:rsidRPr="00FB0525">
        <w:rPr>
          <w:rFonts w:ascii="Book Antiqua" w:hAnsi="Book Antiqua"/>
          <w:b/>
        </w:rPr>
        <w:t>Jonker DJ</w:t>
      </w:r>
      <w:r w:rsidRPr="00FB0525">
        <w:rPr>
          <w:rFonts w:ascii="Book Antiqua" w:hAnsi="Book Antiqua"/>
        </w:rPr>
        <w:t xml:space="preserve">, O'Callaghan CJ, Karapetis CS, Zalcberg JR, Tu D, Au HJ, Berry SR, Krahn M, Price T, Simes RJ, Tebbutt NC, van Hazel G, Wierzbicki R, Langer C, Moore MJ. Cetuximab for the treatment of colorectal cancer. </w:t>
      </w:r>
      <w:r w:rsidRPr="00FB0525">
        <w:rPr>
          <w:rFonts w:ascii="Book Antiqua" w:hAnsi="Book Antiqua"/>
          <w:i/>
        </w:rPr>
        <w:t>N Engl J Med</w:t>
      </w:r>
      <w:r w:rsidRPr="00FB0525">
        <w:rPr>
          <w:rFonts w:ascii="Book Antiqua" w:hAnsi="Book Antiqua"/>
        </w:rPr>
        <w:t xml:space="preserve"> 2007; </w:t>
      </w:r>
      <w:r w:rsidRPr="00FB0525">
        <w:rPr>
          <w:rFonts w:ascii="Book Antiqua" w:hAnsi="Book Antiqua"/>
          <w:b/>
        </w:rPr>
        <w:t>357</w:t>
      </w:r>
      <w:r w:rsidRPr="00FB0525">
        <w:rPr>
          <w:rFonts w:ascii="Book Antiqua" w:hAnsi="Book Antiqua"/>
        </w:rPr>
        <w:t>: 2040-2048 [PMID: 18003960 DOI: 10.1056/NEJMoa071834]</w:t>
      </w:r>
    </w:p>
    <w:p w14:paraId="7C354A8D" w14:textId="4DB2CB6C"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2</w:t>
      </w:r>
      <w:r w:rsidRPr="00FB0525">
        <w:rPr>
          <w:rFonts w:ascii="Book Antiqua" w:hAnsi="Book Antiqua"/>
        </w:rPr>
        <w:t xml:space="preserve"> </w:t>
      </w:r>
      <w:r w:rsidRPr="00FB0525">
        <w:rPr>
          <w:rFonts w:ascii="Book Antiqua" w:hAnsi="Book Antiqua"/>
          <w:b/>
        </w:rPr>
        <w:t>Van Cutsem E</w:t>
      </w:r>
      <w:r w:rsidRPr="00FB0525">
        <w:rPr>
          <w:rFonts w:ascii="Book Antiqua" w:hAnsi="Book Antiqua"/>
        </w:rPr>
        <w:t xml:space="preserve">, Peeters M, Siena S, Humblet Y, Hendlisz A, Neyns B, Canon JL, Van Laethem JL, Maurel J, Richardson G, Wolf M, Amado RG. Open-label phase III trial of panitumumab plus best supportive care compared with best </w:t>
      </w:r>
      <w:r w:rsidRPr="00FB0525">
        <w:rPr>
          <w:rFonts w:ascii="Book Antiqua" w:hAnsi="Book Antiqua"/>
        </w:rPr>
        <w:lastRenderedPageBreak/>
        <w:t xml:space="preserve">supportive care alone in patients with chemotherapy-refractory metastatic colorectal cancer. </w:t>
      </w:r>
      <w:r w:rsidRPr="00FB0525">
        <w:rPr>
          <w:rFonts w:ascii="Book Antiqua" w:hAnsi="Book Antiqua"/>
          <w:i/>
        </w:rPr>
        <w:t>J Clin Oncol</w:t>
      </w:r>
      <w:r w:rsidRPr="00FB0525">
        <w:rPr>
          <w:rFonts w:ascii="Book Antiqua" w:hAnsi="Book Antiqua"/>
        </w:rPr>
        <w:t xml:space="preserve"> 2007; </w:t>
      </w:r>
      <w:r w:rsidRPr="00FB0525">
        <w:rPr>
          <w:rFonts w:ascii="Book Antiqua" w:hAnsi="Book Antiqua"/>
          <w:b/>
        </w:rPr>
        <w:t>25</w:t>
      </w:r>
      <w:r w:rsidRPr="00FB0525">
        <w:rPr>
          <w:rFonts w:ascii="Book Antiqua" w:hAnsi="Book Antiqua"/>
        </w:rPr>
        <w:t>: 1658-1664 [PMID: 17470858 DOI: 10.1200/JCO.2006.08.1620]</w:t>
      </w:r>
    </w:p>
    <w:p w14:paraId="237A072C" w14:textId="3A7FEF15"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3</w:t>
      </w:r>
      <w:r w:rsidRPr="00FB0525">
        <w:rPr>
          <w:rFonts w:ascii="Book Antiqua" w:hAnsi="Book Antiqua"/>
        </w:rPr>
        <w:t xml:space="preserve"> </w:t>
      </w:r>
      <w:r w:rsidRPr="00FB0525">
        <w:rPr>
          <w:rFonts w:ascii="Book Antiqua" w:hAnsi="Book Antiqua"/>
          <w:b/>
        </w:rPr>
        <w:t>Saltz LB</w:t>
      </w:r>
      <w:r w:rsidRPr="00FB0525">
        <w:rPr>
          <w:rFonts w:ascii="Book Antiqua" w:hAnsi="Book Antiqua"/>
        </w:rPr>
        <w:t xml:space="preserve">,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FB0525">
        <w:rPr>
          <w:rFonts w:ascii="Book Antiqua" w:hAnsi="Book Antiqua"/>
          <w:i/>
        </w:rPr>
        <w:t>J Clin Oncol</w:t>
      </w:r>
      <w:r w:rsidRPr="00FB0525">
        <w:rPr>
          <w:rFonts w:ascii="Book Antiqua" w:hAnsi="Book Antiqua"/>
        </w:rPr>
        <w:t xml:space="preserve"> 2008; </w:t>
      </w:r>
      <w:r w:rsidRPr="00FB0525">
        <w:rPr>
          <w:rFonts w:ascii="Book Antiqua" w:hAnsi="Book Antiqua"/>
          <w:b/>
        </w:rPr>
        <w:t>26</w:t>
      </w:r>
      <w:r w:rsidRPr="00FB0525">
        <w:rPr>
          <w:rFonts w:ascii="Book Antiqua" w:hAnsi="Book Antiqua"/>
        </w:rPr>
        <w:t>: 2013-2019 [PMID: 18421054 DOI: 10.1200/JCO.2007.14.9930]</w:t>
      </w:r>
    </w:p>
    <w:p w14:paraId="1B71F7E1" w14:textId="032F7173"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4</w:t>
      </w:r>
      <w:r w:rsidRPr="00FB0525">
        <w:rPr>
          <w:rFonts w:ascii="Book Antiqua" w:hAnsi="Book Antiqua"/>
        </w:rPr>
        <w:t xml:space="preserve"> </w:t>
      </w:r>
      <w:r w:rsidRPr="00FB0525">
        <w:rPr>
          <w:rFonts w:ascii="Book Antiqua" w:hAnsi="Book Antiqua"/>
          <w:b/>
        </w:rPr>
        <w:t>Grothey A</w:t>
      </w:r>
      <w:r w:rsidRPr="00FB0525">
        <w:rPr>
          <w:rFonts w:ascii="Book Antiqua" w:hAnsi="Book Antiqua"/>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FB0525">
        <w:rPr>
          <w:rFonts w:ascii="Book Antiqua" w:hAnsi="Book Antiqua"/>
          <w:i/>
        </w:rPr>
        <w:t>Lancet</w:t>
      </w:r>
      <w:r w:rsidRPr="00FB0525">
        <w:rPr>
          <w:rFonts w:ascii="Book Antiqua" w:hAnsi="Book Antiqua"/>
        </w:rPr>
        <w:t xml:space="preserve"> 2013; </w:t>
      </w:r>
      <w:r w:rsidRPr="00FB0525">
        <w:rPr>
          <w:rFonts w:ascii="Book Antiqua" w:hAnsi="Book Antiqua"/>
          <w:b/>
        </w:rPr>
        <w:t>381</w:t>
      </w:r>
      <w:r w:rsidRPr="00FB0525">
        <w:rPr>
          <w:rFonts w:ascii="Book Antiqua" w:hAnsi="Book Antiqua"/>
        </w:rPr>
        <w:t>: 303-312 [PMID: 23177514 DOI: 10.1016/S0140-6736(12)61900-X]</w:t>
      </w:r>
    </w:p>
    <w:p w14:paraId="7E3F44DB" w14:textId="3D003112"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5</w:t>
      </w:r>
      <w:r w:rsidRPr="00FB0525">
        <w:rPr>
          <w:rFonts w:ascii="Book Antiqua" w:hAnsi="Book Antiqua"/>
        </w:rPr>
        <w:t xml:space="preserve"> </w:t>
      </w:r>
      <w:r w:rsidRPr="00FB0525">
        <w:rPr>
          <w:rFonts w:ascii="Book Antiqua" w:hAnsi="Book Antiqua"/>
          <w:b/>
        </w:rPr>
        <w:t>Van Cutsem E</w:t>
      </w:r>
      <w:r w:rsidRPr="00FB0525">
        <w:rPr>
          <w:rFonts w:ascii="Book Antiqua" w:hAnsi="Book Antiqua"/>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FB0525">
        <w:rPr>
          <w:rFonts w:ascii="Book Antiqua" w:hAnsi="Book Antiqua"/>
          <w:i/>
        </w:rPr>
        <w:t>N Engl J Med</w:t>
      </w:r>
      <w:r w:rsidRPr="00FB0525">
        <w:rPr>
          <w:rFonts w:ascii="Book Antiqua" w:hAnsi="Book Antiqua"/>
        </w:rPr>
        <w:t xml:space="preserve"> 2009; </w:t>
      </w:r>
      <w:r w:rsidRPr="00FB0525">
        <w:rPr>
          <w:rFonts w:ascii="Book Antiqua" w:hAnsi="Book Antiqua"/>
          <w:b/>
        </w:rPr>
        <w:t>360</w:t>
      </w:r>
      <w:r w:rsidRPr="00FB0525">
        <w:rPr>
          <w:rFonts w:ascii="Book Antiqua" w:hAnsi="Book Antiqua"/>
        </w:rPr>
        <w:t>: 1408-1417 [PMID: 19339720 DOI: 10.1056/NEJMoa0805019]</w:t>
      </w:r>
    </w:p>
    <w:p w14:paraId="5C4188C2" w14:textId="5772292F"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6</w:t>
      </w:r>
      <w:r w:rsidRPr="00FB0525">
        <w:rPr>
          <w:rFonts w:ascii="Book Antiqua" w:hAnsi="Book Antiqua"/>
        </w:rPr>
        <w:t xml:space="preserve"> </w:t>
      </w:r>
      <w:r w:rsidRPr="00FB0525">
        <w:rPr>
          <w:rFonts w:ascii="Book Antiqua" w:hAnsi="Book Antiqua"/>
          <w:b/>
        </w:rPr>
        <w:t>Douillard JY</w:t>
      </w:r>
      <w:r w:rsidRPr="00FB0525">
        <w:rPr>
          <w:rFonts w:ascii="Book Antiqua" w:hAnsi="Book Antiqua"/>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 </w:t>
      </w:r>
      <w:r w:rsidRPr="00FB0525">
        <w:rPr>
          <w:rFonts w:ascii="Book Antiqua" w:hAnsi="Book Antiqua"/>
          <w:i/>
        </w:rPr>
        <w:t>J Clin Oncol</w:t>
      </w:r>
      <w:r w:rsidRPr="00FB0525">
        <w:rPr>
          <w:rFonts w:ascii="Book Antiqua" w:hAnsi="Book Antiqua"/>
        </w:rPr>
        <w:t xml:space="preserve"> 2010; </w:t>
      </w:r>
      <w:r w:rsidRPr="00FB0525">
        <w:rPr>
          <w:rFonts w:ascii="Book Antiqua" w:hAnsi="Book Antiqua"/>
          <w:b/>
        </w:rPr>
        <w:t>28</w:t>
      </w:r>
      <w:r w:rsidRPr="00FB0525">
        <w:rPr>
          <w:rFonts w:ascii="Book Antiqua" w:hAnsi="Book Antiqua"/>
        </w:rPr>
        <w:t>: 4697-4705 [PMID: 20921465 DOI: 10.1200/JCO.2009.27.4860]</w:t>
      </w:r>
    </w:p>
    <w:p w14:paraId="5928566A" w14:textId="6F790D09"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7</w:t>
      </w:r>
      <w:r w:rsidRPr="00FB0525">
        <w:rPr>
          <w:rFonts w:ascii="Book Antiqua" w:hAnsi="Book Antiqua"/>
        </w:rPr>
        <w:t xml:space="preserve"> </w:t>
      </w:r>
      <w:r w:rsidRPr="00FB0525">
        <w:rPr>
          <w:rFonts w:ascii="Book Antiqua" w:hAnsi="Book Antiqua"/>
          <w:b/>
        </w:rPr>
        <w:t>Bennouna J</w:t>
      </w:r>
      <w:r w:rsidRPr="00FB0525">
        <w:rPr>
          <w:rFonts w:ascii="Book Antiqua" w:hAnsi="Book Antiqua"/>
        </w:rPr>
        <w:t xml:space="preserve">, Sastre J, Arnold D, Österlund P, Greil R, Van Cutsem E, von Moos R, Viéitez JM, Bouché O, Borg C, Steffens CC, Alonso-Orduña V, Schlichting C, Reyes-Rivera I, Bendahmane B, André T, Kubicka S; ML18147 Study </w:t>
      </w:r>
      <w:r w:rsidRPr="00FB0525">
        <w:rPr>
          <w:rFonts w:ascii="Book Antiqua" w:hAnsi="Book Antiqua"/>
        </w:rPr>
        <w:lastRenderedPageBreak/>
        <w:t xml:space="preserve">Investigators. Continuation of bevacizumab after first progression in metastatic colorectal cancer (ML18147): a randomised phase 3 trial. </w:t>
      </w:r>
      <w:r w:rsidRPr="00FB0525">
        <w:rPr>
          <w:rFonts w:ascii="Book Antiqua" w:hAnsi="Book Antiqua"/>
          <w:i/>
        </w:rPr>
        <w:t>Lancet Oncol</w:t>
      </w:r>
      <w:r w:rsidRPr="00FB0525">
        <w:rPr>
          <w:rFonts w:ascii="Book Antiqua" w:hAnsi="Book Antiqua"/>
        </w:rPr>
        <w:t xml:space="preserve"> 2013; </w:t>
      </w:r>
      <w:r w:rsidRPr="00FB0525">
        <w:rPr>
          <w:rFonts w:ascii="Book Antiqua" w:hAnsi="Book Antiqua"/>
          <w:b/>
        </w:rPr>
        <w:t>14</w:t>
      </w:r>
      <w:r w:rsidRPr="00FB0525">
        <w:rPr>
          <w:rFonts w:ascii="Book Antiqua" w:hAnsi="Book Antiqua"/>
        </w:rPr>
        <w:t>: 29-37 [PMID: 23168366 DOI: 10.1016/S1470-2045(12)70477-1]</w:t>
      </w:r>
    </w:p>
    <w:p w14:paraId="7B87F579" w14:textId="27608704" w:rsidR="00FB0525" w:rsidRPr="00FB0525" w:rsidRDefault="00FB0525" w:rsidP="00FB0525">
      <w:pPr>
        <w:spacing w:line="360" w:lineRule="auto"/>
        <w:jc w:val="both"/>
        <w:rPr>
          <w:rFonts w:ascii="Book Antiqua" w:hAnsi="Book Antiqua"/>
        </w:rPr>
      </w:pPr>
      <w:r w:rsidRPr="00FB0525">
        <w:rPr>
          <w:rFonts w:ascii="Book Antiqua" w:hAnsi="Book Antiqua"/>
        </w:rPr>
        <w:t>7</w:t>
      </w:r>
      <w:r w:rsidR="00D54012">
        <w:rPr>
          <w:rFonts w:ascii="Book Antiqua" w:hAnsi="Book Antiqua" w:hint="eastAsia"/>
          <w:lang w:eastAsia="zh-CN"/>
        </w:rPr>
        <w:t>8</w:t>
      </w:r>
      <w:r w:rsidRPr="00FB0525">
        <w:rPr>
          <w:rFonts w:ascii="Book Antiqua" w:hAnsi="Book Antiqua"/>
        </w:rPr>
        <w:t xml:space="preserve"> </w:t>
      </w:r>
      <w:r w:rsidRPr="00FB0525">
        <w:rPr>
          <w:rFonts w:ascii="Book Antiqua" w:hAnsi="Book Antiqua"/>
          <w:b/>
        </w:rPr>
        <w:t>Thirion P</w:t>
      </w:r>
      <w:r w:rsidRPr="00FB0525">
        <w:rPr>
          <w:rFonts w:ascii="Book Antiqua" w:hAnsi="Book Antiqua"/>
        </w:rPr>
        <w:t xml:space="preserve">, Michiels S, Pignon JP, Buyse M, Braud AC, Carlson RW, O'Connell M, Sargent P, Piedbois P; Meta-Analysis Group in Cancer. Modulation of fluorouracil by leucovorin in patients with advanced colorectal cancer: an updated meta-analysis. </w:t>
      </w:r>
      <w:r w:rsidRPr="00FB0525">
        <w:rPr>
          <w:rFonts w:ascii="Book Antiqua" w:hAnsi="Book Antiqua"/>
          <w:i/>
        </w:rPr>
        <w:t>J Clin Oncol</w:t>
      </w:r>
      <w:r w:rsidRPr="00FB0525">
        <w:rPr>
          <w:rFonts w:ascii="Book Antiqua" w:hAnsi="Book Antiqua"/>
        </w:rPr>
        <w:t xml:space="preserve"> 2004; </w:t>
      </w:r>
      <w:r w:rsidRPr="00FB0525">
        <w:rPr>
          <w:rFonts w:ascii="Book Antiqua" w:hAnsi="Book Antiqua"/>
          <w:b/>
        </w:rPr>
        <w:t>22</w:t>
      </w:r>
      <w:r w:rsidRPr="00FB0525">
        <w:rPr>
          <w:rFonts w:ascii="Book Antiqua" w:hAnsi="Book Antiqua"/>
        </w:rPr>
        <w:t>: 3766-3775 [PMID: 15365073 DOI: 10.1200/JCO.2004.03.104]</w:t>
      </w:r>
    </w:p>
    <w:p w14:paraId="29E12269" w14:textId="54F4FB41" w:rsidR="00FB0525" w:rsidRPr="00FB0525" w:rsidRDefault="00D54012" w:rsidP="00FB0525">
      <w:pPr>
        <w:spacing w:line="360" w:lineRule="auto"/>
        <w:jc w:val="both"/>
        <w:rPr>
          <w:rFonts w:ascii="Book Antiqua" w:hAnsi="Book Antiqua"/>
        </w:rPr>
      </w:pPr>
      <w:r>
        <w:rPr>
          <w:rFonts w:ascii="Book Antiqua" w:hAnsi="Book Antiqua" w:hint="eastAsia"/>
          <w:lang w:eastAsia="zh-CN"/>
        </w:rPr>
        <w:t>79</w:t>
      </w:r>
      <w:r w:rsidR="00FB0525" w:rsidRPr="00FB0525">
        <w:rPr>
          <w:rFonts w:ascii="Book Antiqua" w:hAnsi="Book Antiqua"/>
        </w:rPr>
        <w:t xml:space="preserve"> </w:t>
      </w:r>
      <w:r w:rsidR="00FB0525" w:rsidRPr="00FB0525">
        <w:rPr>
          <w:rFonts w:ascii="Book Antiqua" w:hAnsi="Book Antiqua"/>
          <w:b/>
        </w:rPr>
        <w:t>Fernández-Esparrach G</w:t>
      </w:r>
      <w:r w:rsidR="00FB0525" w:rsidRPr="00FB0525">
        <w:rPr>
          <w:rFonts w:ascii="Book Antiqua" w:hAnsi="Book Antiqua"/>
        </w:rPr>
        <w:t xml:space="preserve">, Bordas JM, Giráldez MD, Ginès A, Pellisé M, Sendino O, Martínez-Pallí G, Castells A, Llach J. Severe complications limit long-term clinical success of self-expanding metal stents in patients with obstructive colorectal cancer. </w:t>
      </w:r>
      <w:r w:rsidR="00FB0525" w:rsidRPr="00FB0525">
        <w:rPr>
          <w:rFonts w:ascii="Book Antiqua" w:hAnsi="Book Antiqua"/>
          <w:i/>
        </w:rPr>
        <w:t>Am J Gastroenterol</w:t>
      </w:r>
      <w:r w:rsidR="00FB0525" w:rsidRPr="00FB0525">
        <w:rPr>
          <w:rFonts w:ascii="Book Antiqua" w:hAnsi="Book Antiqua"/>
        </w:rPr>
        <w:t xml:space="preserve"> 2010; </w:t>
      </w:r>
      <w:r w:rsidR="00FB0525" w:rsidRPr="00FB0525">
        <w:rPr>
          <w:rFonts w:ascii="Book Antiqua" w:hAnsi="Book Antiqua"/>
          <w:b/>
        </w:rPr>
        <w:t>105</w:t>
      </w:r>
      <w:r w:rsidR="00FB0525" w:rsidRPr="00FB0525">
        <w:rPr>
          <w:rFonts w:ascii="Book Antiqua" w:hAnsi="Book Antiqua"/>
        </w:rPr>
        <w:t>: 1087-1093 [PMID: 19935785 DOI: 10.1038/ajg.2009.660]</w:t>
      </w:r>
    </w:p>
    <w:p w14:paraId="3CF1EEEF" w14:textId="24D7F122"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0</w:t>
      </w:r>
      <w:r w:rsidRPr="00FB0525">
        <w:rPr>
          <w:rFonts w:ascii="Book Antiqua" w:hAnsi="Book Antiqua"/>
        </w:rPr>
        <w:t xml:space="preserve"> </w:t>
      </w:r>
      <w:r w:rsidRPr="00FB0525">
        <w:rPr>
          <w:rFonts w:ascii="Book Antiqua" w:hAnsi="Book Antiqua"/>
          <w:b/>
        </w:rPr>
        <w:t>Manes G</w:t>
      </w:r>
      <w:r w:rsidRPr="00FB0525">
        <w:rPr>
          <w:rFonts w:ascii="Book Antiqua" w:hAnsi="Book Antiqua"/>
        </w:rPr>
        <w:t xml:space="preserve">, de Bellis M, Fuccio L, Repici A, Masci E, Ardizzone S, Mangiavillano B, Carlino A, Rossi GB, Occhipinti P, Cennamo V. Endoscopic palliation in patients with incurable malignant colorectal obstruction by means of self-expanding metal stent: analysis of results and predictors of outcomes in a large multicenter series. </w:t>
      </w:r>
      <w:r w:rsidRPr="00FB0525">
        <w:rPr>
          <w:rFonts w:ascii="Book Antiqua" w:hAnsi="Book Antiqua"/>
          <w:i/>
        </w:rPr>
        <w:t>Arch Surg</w:t>
      </w:r>
      <w:r w:rsidRPr="00FB0525">
        <w:rPr>
          <w:rFonts w:ascii="Book Antiqua" w:hAnsi="Book Antiqua"/>
        </w:rPr>
        <w:t xml:space="preserve"> 2011; </w:t>
      </w:r>
      <w:r w:rsidRPr="00FB0525">
        <w:rPr>
          <w:rFonts w:ascii="Book Antiqua" w:hAnsi="Book Antiqua"/>
          <w:b/>
        </w:rPr>
        <w:t>146</w:t>
      </w:r>
      <w:r w:rsidRPr="00FB0525">
        <w:rPr>
          <w:rFonts w:ascii="Book Antiqua" w:hAnsi="Book Antiqua"/>
        </w:rPr>
        <w:t>: 1157-1162 [PMID: 22006874 DOI: 10.1001/archsurg.2011.233]</w:t>
      </w:r>
    </w:p>
    <w:p w14:paraId="28682A08" w14:textId="3EFF2606"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1</w:t>
      </w:r>
      <w:r w:rsidRPr="00FB0525">
        <w:rPr>
          <w:rFonts w:ascii="Book Antiqua" w:hAnsi="Book Antiqua"/>
        </w:rPr>
        <w:t xml:space="preserve"> </w:t>
      </w:r>
      <w:r w:rsidRPr="00FB0525">
        <w:rPr>
          <w:rFonts w:ascii="Book Antiqua" w:hAnsi="Book Antiqua"/>
          <w:b/>
        </w:rPr>
        <w:t>Lee HJ</w:t>
      </w:r>
      <w:r w:rsidRPr="00FB0525">
        <w:rPr>
          <w:rFonts w:ascii="Book Antiqua" w:hAnsi="Book Antiqua"/>
        </w:rPr>
        <w:t xml:space="preserve">, Hong SP, Cheon JH, Kim TI, Min BS, Kim NK, Kim WH. Long-term outcome of palliative therapy for malignant colorectal obstruction in patients with unresectable metastatic colorectal cancers: endoscopic stenting versus surgery. </w:t>
      </w:r>
      <w:r w:rsidRPr="00FB0525">
        <w:rPr>
          <w:rFonts w:ascii="Book Antiqua" w:hAnsi="Book Antiqua"/>
          <w:i/>
        </w:rPr>
        <w:t>Gastrointest Endosc</w:t>
      </w:r>
      <w:r w:rsidRPr="00FB0525">
        <w:rPr>
          <w:rFonts w:ascii="Book Antiqua" w:hAnsi="Book Antiqua"/>
        </w:rPr>
        <w:t xml:space="preserve"> 2011; </w:t>
      </w:r>
      <w:r w:rsidRPr="00FB0525">
        <w:rPr>
          <w:rFonts w:ascii="Book Antiqua" w:hAnsi="Book Antiqua"/>
          <w:b/>
        </w:rPr>
        <w:t>73</w:t>
      </w:r>
      <w:r w:rsidRPr="00FB0525">
        <w:rPr>
          <w:rFonts w:ascii="Book Antiqua" w:hAnsi="Book Antiqua"/>
        </w:rPr>
        <w:t>: 535-542 [PMID: 21257165 DOI: 10.1016/j.gie.2010.10.052]</w:t>
      </w:r>
    </w:p>
    <w:p w14:paraId="3F213B44" w14:textId="27BB9554"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2</w:t>
      </w:r>
      <w:r w:rsidRPr="00FB0525">
        <w:rPr>
          <w:rFonts w:ascii="Book Antiqua" w:hAnsi="Book Antiqua"/>
        </w:rPr>
        <w:t xml:space="preserve"> </w:t>
      </w:r>
      <w:r w:rsidRPr="00FB0525">
        <w:rPr>
          <w:rFonts w:ascii="Book Antiqua" w:hAnsi="Book Antiqua"/>
          <w:b/>
        </w:rPr>
        <w:t>Yamashita S</w:t>
      </w:r>
      <w:r w:rsidRPr="00FB0525">
        <w:rPr>
          <w:rFonts w:ascii="Book Antiqua" w:hAnsi="Book Antiqua"/>
        </w:rPr>
        <w:t xml:space="preserve">, Tanemura M, Sawada G, Moon J, Shimizu Y, Yamaguchi T, Kuwai T, Urata Y, Kuraoka K, Hatanaka N, Yamashita Y, Taniyama K. Impact of endoscopic stent insertion on detection of viable circulating tumor cells from obstructive colorectal cancer. </w:t>
      </w:r>
      <w:r w:rsidRPr="00FB0525">
        <w:rPr>
          <w:rFonts w:ascii="Book Antiqua" w:hAnsi="Book Antiqua"/>
          <w:i/>
        </w:rPr>
        <w:t>Oncol Lett</w:t>
      </w:r>
      <w:r w:rsidRPr="00FB0525">
        <w:rPr>
          <w:rFonts w:ascii="Book Antiqua" w:hAnsi="Book Antiqua"/>
        </w:rPr>
        <w:t xml:space="preserve"> 2018; </w:t>
      </w:r>
      <w:r w:rsidRPr="00FB0525">
        <w:rPr>
          <w:rFonts w:ascii="Book Antiqua" w:hAnsi="Book Antiqua"/>
          <w:b/>
        </w:rPr>
        <w:t>15</w:t>
      </w:r>
      <w:r w:rsidRPr="00FB0525">
        <w:rPr>
          <w:rFonts w:ascii="Book Antiqua" w:hAnsi="Book Antiqua"/>
        </w:rPr>
        <w:t>: 400-406 [PMID: 29391884 DOI: 10.3892/ol.2017.7339]</w:t>
      </w:r>
    </w:p>
    <w:p w14:paraId="78EB68AE" w14:textId="11476401"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3</w:t>
      </w:r>
      <w:r w:rsidRPr="00FB0525">
        <w:rPr>
          <w:rFonts w:ascii="Book Antiqua" w:hAnsi="Book Antiqua"/>
        </w:rPr>
        <w:t xml:space="preserve"> </w:t>
      </w:r>
      <w:r w:rsidRPr="00FB0525">
        <w:rPr>
          <w:rFonts w:ascii="Book Antiqua" w:hAnsi="Book Antiqua"/>
          <w:b/>
        </w:rPr>
        <w:t>Telford JJ</w:t>
      </w:r>
      <w:r w:rsidRPr="00FB0525">
        <w:rPr>
          <w:rFonts w:ascii="Book Antiqua" w:hAnsi="Book Antiqua"/>
        </w:rPr>
        <w:t xml:space="preserve">. Covered or uncovered stents in the colon? </w:t>
      </w:r>
      <w:r w:rsidRPr="00FB0525">
        <w:rPr>
          <w:rFonts w:ascii="Book Antiqua" w:hAnsi="Book Antiqua"/>
          <w:i/>
        </w:rPr>
        <w:t>Gastrointest Endosc</w:t>
      </w:r>
      <w:r w:rsidRPr="00FB0525">
        <w:rPr>
          <w:rFonts w:ascii="Book Antiqua" w:hAnsi="Book Antiqua"/>
        </w:rPr>
        <w:t xml:space="preserve"> 2010; </w:t>
      </w:r>
      <w:r w:rsidRPr="00FB0525">
        <w:rPr>
          <w:rFonts w:ascii="Book Antiqua" w:hAnsi="Book Antiqua"/>
          <w:b/>
        </w:rPr>
        <w:t>72</w:t>
      </w:r>
      <w:r w:rsidRPr="00FB0525">
        <w:rPr>
          <w:rFonts w:ascii="Book Antiqua" w:hAnsi="Book Antiqua"/>
        </w:rPr>
        <w:t>: 311-312 [PMID: 20674621 DOI: 10.1016/j.gie.2010.04.005]</w:t>
      </w:r>
    </w:p>
    <w:p w14:paraId="7A1BD843" w14:textId="3B8D24A5" w:rsidR="00FB0525" w:rsidRPr="00FB0525" w:rsidRDefault="00FB0525" w:rsidP="00FB0525">
      <w:pPr>
        <w:spacing w:line="360" w:lineRule="auto"/>
        <w:jc w:val="both"/>
        <w:rPr>
          <w:rFonts w:ascii="Book Antiqua" w:hAnsi="Book Antiqua"/>
        </w:rPr>
      </w:pPr>
      <w:r w:rsidRPr="00FB0525">
        <w:rPr>
          <w:rFonts w:ascii="Book Antiqua" w:hAnsi="Book Antiqua"/>
        </w:rPr>
        <w:lastRenderedPageBreak/>
        <w:t>8</w:t>
      </w:r>
      <w:r w:rsidR="00D54012">
        <w:rPr>
          <w:rFonts w:ascii="Book Antiqua" w:hAnsi="Book Antiqua" w:hint="eastAsia"/>
          <w:lang w:eastAsia="zh-CN"/>
        </w:rPr>
        <w:t>4</w:t>
      </w:r>
      <w:r w:rsidRPr="00FB0525">
        <w:rPr>
          <w:rFonts w:ascii="Book Antiqua" w:hAnsi="Book Antiqua"/>
        </w:rPr>
        <w:t xml:space="preserve"> </w:t>
      </w:r>
      <w:r w:rsidRPr="00FB0525">
        <w:rPr>
          <w:rFonts w:ascii="Book Antiqua" w:hAnsi="Book Antiqua"/>
          <w:b/>
        </w:rPr>
        <w:t>Park S</w:t>
      </w:r>
      <w:r w:rsidRPr="00FB0525">
        <w:rPr>
          <w:rFonts w:ascii="Book Antiqua" w:hAnsi="Book Antiqua"/>
        </w:rPr>
        <w:t xml:space="preserve">, Cheon JH, Park JJ, Moon CM, Hong SP, Lee SK, Kim TI, Kim WH. Comparison of efficacies between stents for malignant colorectal obstruction: a randomized, prospective study. </w:t>
      </w:r>
      <w:r w:rsidRPr="00FB0525">
        <w:rPr>
          <w:rFonts w:ascii="Book Antiqua" w:hAnsi="Book Antiqua"/>
          <w:i/>
        </w:rPr>
        <w:t>Gastrointest Endosc</w:t>
      </w:r>
      <w:r w:rsidRPr="00FB0525">
        <w:rPr>
          <w:rFonts w:ascii="Book Antiqua" w:hAnsi="Book Antiqua"/>
        </w:rPr>
        <w:t xml:space="preserve"> 2010; </w:t>
      </w:r>
      <w:r w:rsidRPr="00FB0525">
        <w:rPr>
          <w:rFonts w:ascii="Book Antiqua" w:hAnsi="Book Antiqua"/>
          <w:b/>
        </w:rPr>
        <w:t>72</w:t>
      </w:r>
      <w:r w:rsidRPr="00FB0525">
        <w:rPr>
          <w:rFonts w:ascii="Book Antiqua" w:hAnsi="Book Antiqua"/>
        </w:rPr>
        <w:t>: 304-310 [PMID: 20561619 DOI: 10.1016/j.gie.2010.02.046]</w:t>
      </w:r>
    </w:p>
    <w:p w14:paraId="194488B0" w14:textId="5CCEF7EA" w:rsidR="00FB0525" w:rsidRPr="00FB0525" w:rsidRDefault="00FB0525" w:rsidP="00FB0525">
      <w:pPr>
        <w:spacing w:line="360" w:lineRule="auto"/>
        <w:jc w:val="both"/>
        <w:rPr>
          <w:rFonts w:ascii="Book Antiqua" w:hAnsi="Book Antiqua"/>
        </w:rPr>
      </w:pPr>
      <w:r w:rsidRPr="007F7DDF">
        <w:rPr>
          <w:rFonts w:ascii="Book Antiqua" w:hAnsi="Book Antiqua"/>
        </w:rPr>
        <w:t>8</w:t>
      </w:r>
      <w:r w:rsidR="00D54012" w:rsidRPr="007F7DDF">
        <w:rPr>
          <w:rFonts w:ascii="Book Antiqua" w:hAnsi="Book Antiqua" w:hint="eastAsia"/>
          <w:lang w:eastAsia="zh-CN"/>
        </w:rPr>
        <w:t>5</w:t>
      </w:r>
      <w:r w:rsidRPr="007F7DDF">
        <w:rPr>
          <w:rFonts w:ascii="Book Antiqua" w:hAnsi="Book Antiqua"/>
        </w:rPr>
        <w:t xml:space="preserve"> </w:t>
      </w:r>
      <w:r w:rsidRPr="007F7DDF">
        <w:rPr>
          <w:rFonts w:ascii="Book Antiqua" w:hAnsi="Book Antiqua"/>
          <w:b/>
        </w:rPr>
        <w:t>Llano RC</w:t>
      </w:r>
      <w:r w:rsidRPr="007F7DDF">
        <w:rPr>
          <w:rFonts w:ascii="Book Antiqua" w:hAnsi="Book Antiqua"/>
        </w:rPr>
        <w:t>. Tecnicas en stents gastrointestinales endoscopicos: cómo,</w:t>
      </w:r>
      <w:r w:rsidR="00D54012" w:rsidRPr="007F7DDF">
        <w:rPr>
          <w:rFonts w:ascii="Book Antiqua" w:hAnsi="Book Antiqua"/>
        </w:rPr>
        <w:t xml:space="preserve"> </w:t>
      </w:r>
      <w:r w:rsidRPr="007F7DDF">
        <w:rPr>
          <w:rFonts w:ascii="Book Antiqua" w:hAnsi="Book Antiqua"/>
        </w:rPr>
        <w:t xml:space="preserve">cuándo, manejo de complicaciones, selección del stent y costos. </w:t>
      </w:r>
      <w:r w:rsidRPr="007F7DDF">
        <w:rPr>
          <w:rFonts w:ascii="Book Antiqua" w:hAnsi="Book Antiqua"/>
          <w:i/>
        </w:rPr>
        <w:t>Rev Colomb Gastroenterol</w:t>
      </w:r>
      <w:r w:rsidRPr="007F7DDF">
        <w:rPr>
          <w:rFonts w:ascii="Book Antiqua" w:hAnsi="Book Antiqua"/>
        </w:rPr>
        <w:t xml:space="preserve"> 2012; </w:t>
      </w:r>
      <w:r w:rsidRPr="007F7DDF">
        <w:rPr>
          <w:rFonts w:ascii="Book Antiqua" w:hAnsi="Book Antiqua"/>
          <w:b/>
        </w:rPr>
        <w:t>27</w:t>
      </w:r>
      <w:r w:rsidRPr="007F7DDF">
        <w:rPr>
          <w:rFonts w:ascii="Book Antiqua" w:hAnsi="Book Antiqua"/>
        </w:rPr>
        <w:t>: 33-44</w:t>
      </w:r>
    </w:p>
    <w:p w14:paraId="753C95A3" w14:textId="0CF57E74"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6</w:t>
      </w:r>
      <w:r w:rsidRPr="00FB0525">
        <w:rPr>
          <w:rFonts w:ascii="Book Antiqua" w:hAnsi="Book Antiqua"/>
        </w:rPr>
        <w:t xml:space="preserve"> </w:t>
      </w:r>
      <w:r w:rsidRPr="00FB0525">
        <w:rPr>
          <w:rFonts w:ascii="Book Antiqua" w:hAnsi="Book Antiqua"/>
          <w:b/>
        </w:rPr>
        <w:t>Cwikiel W</w:t>
      </w:r>
      <w:r w:rsidRPr="00FB0525">
        <w:rPr>
          <w:rFonts w:ascii="Book Antiqua" w:hAnsi="Book Antiqua"/>
        </w:rPr>
        <w:t xml:space="preserve">, Andrén-Sandberg A. Malignant stricture with colovesical fistula: stent insertion in the colon. </w:t>
      </w:r>
      <w:r w:rsidRPr="00FB0525">
        <w:rPr>
          <w:rFonts w:ascii="Book Antiqua" w:hAnsi="Book Antiqua"/>
          <w:i/>
        </w:rPr>
        <w:t>Radiology</w:t>
      </w:r>
      <w:r w:rsidRPr="00FB0525">
        <w:rPr>
          <w:rFonts w:ascii="Book Antiqua" w:hAnsi="Book Antiqua"/>
        </w:rPr>
        <w:t xml:space="preserve"> 1993; </w:t>
      </w:r>
      <w:r w:rsidRPr="00FB0525">
        <w:rPr>
          <w:rFonts w:ascii="Book Antiqua" w:hAnsi="Book Antiqua"/>
          <w:b/>
        </w:rPr>
        <w:t>186</w:t>
      </w:r>
      <w:r w:rsidRPr="00FB0525">
        <w:rPr>
          <w:rFonts w:ascii="Book Antiqua" w:hAnsi="Book Antiqua"/>
        </w:rPr>
        <w:t>: 563-564 [PMID: 8421765 DOI: 10.1148/radiology.186.2.8421765]</w:t>
      </w:r>
    </w:p>
    <w:p w14:paraId="304575EB" w14:textId="5BA7EF08"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7</w:t>
      </w:r>
      <w:r w:rsidRPr="00FB0525">
        <w:rPr>
          <w:rFonts w:ascii="Book Antiqua" w:hAnsi="Book Antiqua"/>
        </w:rPr>
        <w:t xml:space="preserve"> </w:t>
      </w:r>
      <w:r w:rsidRPr="00FB0525">
        <w:rPr>
          <w:rFonts w:ascii="Book Antiqua" w:hAnsi="Book Antiqua"/>
          <w:b/>
        </w:rPr>
        <w:t>Lim SG</w:t>
      </w:r>
      <w:r w:rsidRPr="00D54012">
        <w:rPr>
          <w:rFonts w:ascii="Book Antiqua" w:hAnsi="Book Antiqua"/>
        </w:rPr>
        <w:t>,</w:t>
      </w:r>
      <w:r w:rsidR="00D54012">
        <w:rPr>
          <w:rFonts w:ascii="Book Antiqua" w:hAnsi="Book Antiqua"/>
        </w:rPr>
        <w:t xml:space="preserve"> </w:t>
      </w:r>
      <w:r w:rsidRPr="00FB0525">
        <w:rPr>
          <w:rFonts w:ascii="Book Antiqua" w:hAnsi="Book Antiqua"/>
        </w:rPr>
        <w:t xml:space="preserve">Lee KJ, Lee HS. Mo1622 Preoperative Colonoscopy for Detection of Synchronous Neoplasm After Self-Expandable Metallic Stent Insertion in Occlusive Colorectal Cancer: Comparison of Covered and Uncovered Stents. </w:t>
      </w:r>
      <w:r w:rsidRPr="00D54012">
        <w:rPr>
          <w:rFonts w:ascii="Book Antiqua" w:hAnsi="Book Antiqua"/>
          <w:i/>
        </w:rPr>
        <w:t>Gastrointest Endosc</w:t>
      </w:r>
      <w:r w:rsidRPr="00FB0525">
        <w:rPr>
          <w:rFonts w:ascii="Book Antiqua" w:hAnsi="Book Antiqua"/>
        </w:rPr>
        <w:t xml:space="preserve"> 2013;</w:t>
      </w:r>
      <w:r w:rsidR="00D54012">
        <w:rPr>
          <w:rFonts w:ascii="Book Antiqua" w:hAnsi="Book Antiqua" w:hint="eastAsia"/>
          <w:lang w:eastAsia="zh-CN"/>
        </w:rPr>
        <w:t xml:space="preserve"> </w:t>
      </w:r>
      <w:r w:rsidRPr="00D54012">
        <w:rPr>
          <w:rFonts w:ascii="Book Antiqua" w:hAnsi="Book Antiqua"/>
          <w:b/>
        </w:rPr>
        <w:t>77</w:t>
      </w:r>
      <w:r w:rsidRPr="00FB0525">
        <w:rPr>
          <w:rFonts w:ascii="Book Antiqua" w:hAnsi="Book Antiqua"/>
        </w:rPr>
        <w:t>: AB449 [</w:t>
      </w:r>
      <w:r w:rsidR="00D54012" w:rsidRPr="00FB0525">
        <w:rPr>
          <w:rFonts w:ascii="Book Antiqua" w:hAnsi="Book Antiqua"/>
        </w:rPr>
        <w:t>DOI</w:t>
      </w:r>
      <w:r w:rsidRPr="00FB0525">
        <w:rPr>
          <w:rFonts w:ascii="Book Antiqua" w:hAnsi="Book Antiqua"/>
        </w:rPr>
        <w:t>:</w:t>
      </w:r>
      <w:r w:rsidR="00D54012">
        <w:rPr>
          <w:rFonts w:ascii="Book Antiqua" w:hAnsi="Book Antiqua" w:hint="eastAsia"/>
          <w:lang w:eastAsia="zh-CN"/>
        </w:rPr>
        <w:t xml:space="preserve"> </w:t>
      </w:r>
      <w:r w:rsidRPr="00FB0525">
        <w:rPr>
          <w:rFonts w:ascii="Book Antiqua" w:hAnsi="Book Antiqua"/>
        </w:rPr>
        <w:t>10.1016/j.gie.2013.03.370]</w:t>
      </w:r>
    </w:p>
    <w:p w14:paraId="73C97AD4" w14:textId="498A265A" w:rsidR="00FB0525" w:rsidRPr="00FB0525" w:rsidRDefault="00FB0525" w:rsidP="00FB0525">
      <w:pPr>
        <w:spacing w:line="360" w:lineRule="auto"/>
        <w:jc w:val="both"/>
        <w:rPr>
          <w:rFonts w:ascii="Book Antiqua" w:hAnsi="Book Antiqua"/>
        </w:rPr>
      </w:pPr>
      <w:r w:rsidRPr="00FB0525">
        <w:rPr>
          <w:rFonts w:ascii="Book Antiqua" w:hAnsi="Book Antiqua"/>
        </w:rPr>
        <w:t>8</w:t>
      </w:r>
      <w:r w:rsidR="00D54012">
        <w:rPr>
          <w:rFonts w:ascii="Book Antiqua" w:hAnsi="Book Antiqua" w:hint="eastAsia"/>
          <w:lang w:eastAsia="zh-CN"/>
        </w:rPr>
        <w:t>8</w:t>
      </w:r>
      <w:r w:rsidRPr="00FB0525">
        <w:rPr>
          <w:rFonts w:ascii="Book Antiqua" w:hAnsi="Book Antiqua"/>
        </w:rPr>
        <w:t xml:space="preserve"> </w:t>
      </w:r>
      <w:r w:rsidRPr="00FB0525">
        <w:rPr>
          <w:rFonts w:ascii="Book Antiqua" w:hAnsi="Book Antiqua"/>
          <w:b/>
        </w:rPr>
        <w:t>Kim JS</w:t>
      </w:r>
      <w:r w:rsidRPr="00FB0525">
        <w:rPr>
          <w:rFonts w:ascii="Book Antiqua" w:hAnsi="Book Antiqua"/>
        </w:rPr>
        <w:t xml:space="preserve">, Lee KM, Kim SW, Kim EJ, Lim CH, Oh ST, Choi MG, Choi KY. Preoperative colonoscopy through the colonic stent in patients with colorectal cancer obstruction. </w:t>
      </w:r>
      <w:r w:rsidRPr="00FB0525">
        <w:rPr>
          <w:rFonts w:ascii="Book Antiqua" w:hAnsi="Book Antiqua"/>
          <w:i/>
        </w:rPr>
        <w:t>World J Gastroenterol</w:t>
      </w:r>
      <w:r w:rsidRPr="00FB0525">
        <w:rPr>
          <w:rFonts w:ascii="Book Antiqua" w:hAnsi="Book Antiqua"/>
        </w:rPr>
        <w:t xml:space="preserve"> 2014; </w:t>
      </w:r>
      <w:r w:rsidRPr="00FB0525">
        <w:rPr>
          <w:rFonts w:ascii="Book Antiqua" w:hAnsi="Book Antiqua"/>
          <w:b/>
        </w:rPr>
        <w:t>20</w:t>
      </w:r>
      <w:r w:rsidRPr="00FB0525">
        <w:rPr>
          <w:rFonts w:ascii="Book Antiqua" w:hAnsi="Book Antiqua"/>
        </w:rPr>
        <w:t>: 10570-10576 [PMID: 25132777 DOI: 10.3748/wjg.v20.i30.10570]</w:t>
      </w:r>
    </w:p>
    <w:p w14:paraId="137A1BA4" w14:textId="6FB207D2" w:rsidR="00FB0525" w:rsidRPr="00FB0525" w:rsidRDefault="00D54012" w:rsidP="00FB0525">
      <w:pPr>
        <w:spacing w:line="360" w:lineRule="auto"/>
        <w:jc w:val="both"/>
        <w:rPr>
          <w:rFonts w:ascii="Book Antiqua" w:hAnsi="Book Antiqua"/>
        </w:rPr>
      </w:pPr>
      <w:r>
        <w:rPr>
          <w:rFonts w:ascii="Book Antiqua" w:hAnsi="Book Antiqua" w:hint="eastAsia"/>
          <w:lang w:eastAsia="zh-CN"/>
        </w:rPr>
        <w:t>89</w:t>
      </w:r>
      <w:r w:rsidR="00FB0525" w:rsidRPr="00FB0525">
        <w:rPr>
          <w:rFonts w:ascii="Book Antiqua" w:hAnsi="Book Antiqua"/>
        </w:rPr>
        <w:t xml:space="preserve"> </w:t>
      </w:r>
      <w:r w:rsidR="00FB0525" w:rsidRPr="00FB0525">
        <w:rPr>
          <w:rFonts w:ascii="Book Antiqua" w:hAnsi="Book Antiqua"/>
          <w:b/>
        </w:rPr>
        <w:t>Yoo IK</w:t>
      </w:r>
      <w:r w:rsidR="00FB0525" w:rsidRPr="00FB0525">
        <w:rPr>
          <w:rFonts w:ascii="Book Antiqua" w:hAnsi="Book Antiqua"/>
        </w:rPr>
        <w:t xml:space="preserve">, Lee JS, Chun HJ, Jeen YT, Keum B, Kim ES, Choi HS, Lee JM, Kim SH, Nam SJ, Kang HS, Lee HS, Kim CD, Um SH, Seo YS, Ryu HS. A randomized, prospective trial on efficacy and tolerability of low-volume bowel preparation methods for colonoscopy. </w:t>
      </w:r>
      <w:r w:rsidR="00FB0525" w:rsidRPr="00FB0525">
        <w:rPr>
          <w:rFonts w:ascii="Book Antiqua" w:hAnsi="Book Antiqua"/>
          <w:i/>
        </w:rPr>
        <w:t>Dig Liver Dis</w:t>
      </w:r>
      <w:r w:rsidR="00FB0525" w:rsidRPr="00FB0525">
        <w:rPr>
          <w:rFonts w:ascii="Book Antiqua" w:hAnsi="Book Antiqua"/>
        </w:rPr>
        <w:t xml:space="preserve"> 2015; </w:t>
      </w:r>
      <w:r w:rsidR="00FB0525" w:rsidRPr="00FB0525">
        <w:rPr>
          <w:rFonts w:ascii="Book Antiqua" w:hAnsi="Book Antiqua"/>
          <w:b/>
        </w:rPr>
        <w:t>47</w:t>
      </w:r>
      <w:r w:rsidR="00FB0525" w:rsidRPr="00FB0525">
        <w:rPr>
          <w:rFonts w:ascii="Book Antiqua" w:hAnsi="Book Antiqua"/>
        </w:rPr>
        <w:t>: 131-137 [PMID: 25464897 DOI: 10.1016/j.dld.2014.10.019]</w:t>
      </w:r>
    </w:p>
    <w:p w14:paraId="4E832989" w14:textId="6E7A10FC"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0</w:t>
      </w:r>
      <w:r w:rsidRPr="00FB0525">
        <w:rPr>
          <w:rFonts w:ascii="Book Antiqua" w:hAnsi="Book Antiqua"/>
        </w:rPr>
        <w:t xml:space="preserve"> </w:t>
      </w:r>
      <w:r w:rsidRPr="00FB0525">
        <w:rPr>
          <w:rFonts w:ascii="Book Antiqua" w:hAnsi="Book Antiqua"/>
          <w:b/>
        </w:rPr>
        <w:t>de Moura DT</w:t>
      </w:r>
      <w:r w:rsidRPr="00FB0525">
        <w:rPr>
          <w:rFonts w:ascii="Book Antiqua" w:hAnsi="Book Antiqua"/>
        </w:rPr>
        <w:t xml:space="preserve">, Guedes H, Tortoretto V, Arataque TP, de Moura EG, Román JP, Rodela GL, Artifon EL. [Comparison of colon-cleansing methods in preparation for colonoscopy-comparative of solutions of mannitol and sodium picosulfate]. </w:t>
      </w:r>
      <w:r w:rsidRPr="00FB0525">
        <w:rPr>
          <w:rFonts w:ascii="Book Antiqua" w:hAnsi="Book Antiqua"/>
          <w:i/>
        </w:rPr>
        <w:t>Rev Gastroenterol Peru</w:t>
      </w:r>
      <w:r w:rsidRPr="00FB0525">
        <w:rPr>
          <w:rFonts w:ascii="Book Antiqua" w:hAnsi="Book Antiqua"/>
        </w:rPr>
        <w:t xml:space="preserve"> 2016; </w:t>
      </w:r>
      <w:r w:rsidRPr="00FB0525">
        <w:rPr>
          <w:rFonts w:ascii="Book Antiqua" w:hAnsi="Book Antiqua"/>
          <w:b/>
        </w:rPr>
        <w:t>36</w:t>
      </w:r>
      <w:r w:rsidRPr="00FB0525">
        <w:rPr>
          <w:rFonts w:ascii="Book Antiqua" w:hAnsi="Book Antiqua"/>
        </w:rPr>
        <w:t>: 293-297 [PMID: 28062864]</w:t>
      </w:r>
    </w:p>
    <w:p w14:paraId="18DD4723" w14:textId="4E8F7CD0"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1</w:t>
      </w:r>
      <w:r w:rsidRPr="00FB0525">
        <w:rPr>
          <w:rFonts w:ascii="Book Antiqua" w:hAnsi="Book Antiqua"/>
        </w:rPr>
        <w:t xml:space="preserve"> </w:t>
      </w:r>
      <w:r w:rsidRPr="00FB0525">
        <w:rPr>
          <w:rFonts w:ascii="Book Antiqua" w:hAnsi="Book Antiqua"/>
          <w:b/>
        </w:rPr>
        <w:t>Baron TH</w:t>
      </w:r>
      <w:r w:rsidRPr="00FB0525">
        <w:rPr>
          <w:rFonts w:ascii="Book Antiqua" w:hAnsi="Book Antiqua"/>
        </w:rPr>
        <w:t xml:space="preserve">, Dean PA, Yates MR 3rd, Canon C, Koehler RE. Expandable metal stents for the treatment of colonic obstruction: techniques and outcomes. </w:t>
      </w:r>
      <w:r w:rsidRPr="00FB0525">
        <w:rPr>
          <w:rFonts w:ascii="Book Antiqua" w:hAnsi="Book Antiqua"/>
          <w:i/>
        </w:rPr>
        <w:t>Gastrointest Endosc</w:t>
      </w:r>
      <w:r w:rsidRPr="00FB0525">
        <w:rPr>
          <w:rFonts w:ascii="Book Antiqua" w:hAnsi="Book Antiqua"/>
        </w:rPr>
        <w:t xml:space="preserve"> 1998; </w:t>
      </w:r>
      <w:r w:rsidRPr="00FB0525">
        <w:rPr>
          <w:rFonts w:ascii="Book Antiqua" w:hAnsi="Book Antiqua"/>
          <w:b/>
        </w:rPr>
        <w:t>47</w:t>
      </w:r>
      <w:r w:rsidRPr="00FB0525">
        <w:rPr>
          <w:rFonts w:ascii="Book Antiqua" w:hAnsi="Book Antiqua"/>
        </w:rPr>
        <w:t>: 277-286 [PMID: 9540883 DOI: 10.1016/S0016-5107(98)70327-X]</w:t>
      </w:r>
    </w:p>
    <w:p w14:paraId="7BFEBF6F" w14:textId="25627EB4" w:rsidR="00FB0525" w:rsidRPr="00FB0525" w:rsidRDefault="00FB0525" w:rsidP="00FB0525">
      <w:pPr>
        <w:spacing w:line="360" w:lineRule="auto"/>
        <w:jc w:val="both"/>
        <w:rPr>
          <w:rFonts w:ascii="Book Antiqua" w:hAnsi="Book Antiqua"/>
        </w:rPr>
      </w:pPr>
      <w:r w:rsidRPr="00FB0525">
        <w:rPr>
          <w:rFonts w:ascii="Book Antiqua" w:hAnsi="Book Antiqua"/>
        </w:rPr>
        <w:lastRenderedPageBreak/>
        <w:t>9</w:t>
      </w:r>
      <w:r w:rsidR="00D54012">
        <w:rPr>
          <w:rFonts w:ascii="Book Antiqua" w:hAnsi="Book Antiqua" w:hint="eastAsia"/>
          <w:lang w:eastAsia="zh-CN"/>
        </w:rPr>
        <w:t>2</w:t>
      </w:r>
      <w:r w:rsidRPr="00FB0525">
        <w:rPr>
          <w:rFonts w:ascii="Book Antiqua" w:hAnsi="Book Antiqua"/>
        </w:rPr>
        <w:t xml:space="preserve"> </w:t>
      </w:r>
      <w:r w:rsidRPr="00FB0525">
        <w:rPr>
          <w:rFonts w:ascii="Book Antiqua" w:hAnsi="Book Antiqua"/>
          <w:b/>
        </w:rPr>
        <w:t>Trummel JM</w:t>
      </w:r>
      <w:r w:rsidRPr="00FB0525">
        <w:rPr>
          <w:rFonts w:ascii="Book Antiqua" w:hAnsi="Book Antiqua"/>
        </w:rPr>
        <w:t xml:space="preserve">, Chandrasekhara V, Kochman ML. Anesthesia for Colonoscopy and Lower Endoscopic Procedures. </w:t>
      </w:r>
      <w:r w:rsidRPr="00FB0525">
        <w:rPr>
          <w:rFonts w:ascii="Book Antiqua" w:hAnsi="Book Antiqua"/>
          <w:i/>
        </w:rPr>
        <w:t>Anesthesiol Clin</w:t>
      </w:r>
      <w:r w:rsidRPr="00FB0525">
        <w:rPr>
          <w:rFonts w:ascii="Book Antiqua" w:hAnsi="Book Antiqua"/>
        </w:rPr>
        <w:t xml:space="preserve"> 2017; </w:t>
      </w:r>
      <w:r w:rsidRPr="00FB0525">
        <w:rPr>
          <w:rFonts w:ascii="Book Antiqua" w:hAnsi="Book Antiqua"/>
          <w:b/>
        </w:rPr>
        <w:t>35</w:t>
      </w:r>
      <w:r w:rsidRPr="00FB0525">
        <w:rPr>
          <w:rFonts w:ascii="Book Antiqua" w:hAnsi="Book Antiqua"/>
        </w:rPr>
        <w:t>: 679-686 [PMID: 29101957 DOI: 10.1016/j.anclin.2017.08.007]</w:t>
      </w:r>
    </w:p>
    <w:p w14:paraId="77030E97" w14:textId="70AB329C"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3</w:t>
      </w:r>
      <w:r w:rsidRPr="00FB0525">
        <w:rPr>
          <w:rFonts w:ascii="Book Antiqua" w:hAnsi="Book Antiqua"/>
        </w:rPr>
        <w:t xml:space="preserve"> </w:t>
      </w:r>
      <w:r w:rsidRPr="00FB0525">
        <w:rPr>
          <w:rFonts w:ascii="Book Antiqua" w:hAnsi="Book Antiqua"/>
          <w:b/>
        </w:rPr>
        <w:t>Lin OS</w:t>
      </w:r>
      <w:r w:rsidRPr="00FB0525">
        <w:rPr>
          <w:rFonts w:ascii="Book Antiqua" w:hAnsi="Book Antiqua"/>
        </w:rPr>
        <w:t xml:space="preserve">. Sedation for routine gastrointestinal endoscopic procedures: a review on efficacy, safety, efficiency, cost and satisfaction. </w:t>
      </w:r>
      <w:r w:rsidRPr="00FB0525">
        <w:rPr>
          <w:rFonts w:ascii="Book Antiqua" w:hAnsi="Book Antiqua"/>
          <w:i/>
        </w:rPr>
        <w:t>Intest Res</w:t>
      </w:r>
      <w:r w:rsidRPr="00FB0525">
        <w:rPr>
          <w:rFonts w:ascii="Book Antiqua" w:hAnsi="Book Antiqua"/>
        </w:rPr>
        <w:t xml:space="preserve"> 2017; </w:t>
      </w:r>
      <w:r w:rsidRPr="00FB0525">
        <w:rPr>
          <w:rFonts w:ascii="Book Antiqua" w:hAnsi="Book Antiqua"/>
          <w:b/>
        </w:rPr>
        <w:t>15</w:t>
      </w:r>
      <w:r w:rsidRPr="00FB0525">
        <w:rPr>
          <w:rFonts w:ascii="Book Antiqua" w:hAnsi="Book Antiqua"/>
        </w:rPr>
        <w:t>: 456-466 [PMID: 29142513 DOI: 10.5217/ir.2017.15.4.456]</w:t>
      </w:r>
    </w:p>
    <w:p w14:paraId="4B53AE11" w14:textId="03AF1F82"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4</w:t>
      </w:r>
      <w:r w:rsidRPr="00FB0525">
        <w:rPr>
          <w:rFonts w:ascii="Book Antiqua" w:hAnsi="Book Antiqua"/>
        </w:rPr>
        <w:t xml:space="preserve"> </w:t>
      </w:r>
      <w:r w:rsidRPr="00FB0525">
        <w:rPr>
          <w:rFonts w:ascii="Book Antiqua" w:hAnsi="Book Antiqua"/>
          <w:b/>
        </w:rPr>
        <w:t>Kochar R</w:t>
      </w:r>
      <w:r w:rsidRPr="00FB0525">
        <w:rPr>
          <w:rFonts w:ascii="Book Antiqua" w:hAnsi="Book Antiqua"/>
        </w:rPr>
        <w:t xml:space="preserve">, Shah N. Enteral stents: from esophagus to colon. </w:t>
      </w:r>
      <w:r w:rsidRPr="00FB0525">
        <w:rPr>
          <w:rFonts w:ascii="Book Antiqua" w:hAnsi="Book Antiqua"/>
          <w:i/>
        </w:rPr>
        <w:t>Gastrointest Endosc</w:t>
      </w:r>
      <w:r w:rsidRPr="00FB0525">
        <w:rPr>
          <w:rFonts w:ascii="Book Antiqua" w:hAnsi="Book Antiqua"/>
        </w:rPr>
        <w:t xml:space="preserve"> 2013; </w:t>
      </w:r>
      <w:r w:rsidRPr="00FB0525">
        <w:rPr>
          <w:rFonts w:ascii="Book Antiqua" w:hAnsi="Book Antiqua"/>
          <w:b/>
        </w:rPr>
        <w:t>78</w:t>
      </w:r>
      <w:r w:rsidRPr="00FB0525">
        <w:rPr>
          <w:rFonts w:ascii="Book Antiqua" w:hAnsi="Book Antiqua"/>
        </w:rPr>
        <w:t>: 913-918 [PMID: 24237947 DOI: 10.1016/j.gie.2013.07.015]</w:t>
      </w:r>
    </w:p>
    <w:p w14:paraId="64499BB7" w14:textId="0C8D5260"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5</w:t>
      </w:r>
      <w:r w:rsidRPr="00FB0525">
        <w:rPr>
          <w:rFonts w:ascii="Book Antiqua" w:hAnsi="Book Antiqua"/>
        </w:rPr>
        <w:t xml:space="preserve"> </w:t>
      </w:r>
      <w:r w:rsidRPr="00FB0525">
        <w:rPr>
          <w:rFonts w:ascii="Book Antiqua" w:hAnsi="Book Antiqua"/>
          <w:b/>
        </w:rPr>
        <w:t>Coronel M</w:t>
      </w:r>
      <w:r w:rsidRPr="00D54012">
        <w:rPr>
          <w:rFonts w:ascii="Book Antiqua" w:hAnsi="Book Antiqua"/>
        </w:rPr>
        <w:t>,</w:t>
      </w:r>
      <w:r w:rsidRPr="00FB0525">
        <w:rPr>
          <w:rFonts w:ascii="Book Antiqua" w:hAnsi="Book Antiqua"/>
        </w:rPr>
        <w:t xml:space="preserve"> Korkischko N, Marques Bernardo W, Lordello Passos M, Cavalheiro Bonifacio P, Valente de Matos M, de Moura DTH, Ide E. Comparison between Carbon Dioxide and Air Insufflation in Colonoscopy: A Systematic Review and Meta-Analysis Based On Randomized Control Trials.</w:t>
      </w:r>
      <w:r w:rsidRPr="00D54012">
        <w:rPr>
          <w:rFonts w:ascii="Book Antiqua" w:hAnsi="Book Antiqua"/>
          <w:i/>
        </w:rPr>
        <w:t xml:space="preserve"> J Gastroenterol Pancreatol Liver Disord</w:t>
      </w:r>
      <w:r w:rsidRPr="00FB0525">
        <w:rPr>
          <w:rFonts w:ascii="Book Antiqua" w:hAnsi="Book Antiqua"/>
        </w:rPr>
        <w:t xml:space="preserve"> 2017; 1-11 [DOI: 10.15226/2374-815X/4/4/00194]</w:t>
      </w:r>
    </w:p>
    <w:p w14:paraId="76E797A4" w14:textId="593B9CC7"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6</w:t>
      </w:r>
      <w:r w:rsidRPr="00FB0525">
        <w:rPr>
          <w:rFonts w:ascii="Book Antiqua" w:hAnsi="Book Antiqua"/>
        </w:rPr>
        <w:t xml:space="preserve"> </w:t>
      </w:r>
      <w:r w:rsidRPr="00FB0525">
        <w:rPr>
          <w:rFonts w:ascii="Book Antiqua" w:hAnsi="Book Antiqua"/>
          <w:b/>
        </w:rPr>
        <w:t>Cadoni S</w:t>
      </w:r>
      <w:r w:rsidRPr="00D54012">
        <w:rPr>
          <w:rFonts w:ascii="Book Antiqua" w:hAnsi="Book Antiqua"/>
        </w:rPr>
        <w:t>,</w:t>
      </w:r>
      <w:r w:rsidR="00D54012" w:rsidRPr="00D54012">
        <w:rPr>
          <w:rFonts w:ascii="Book Antiqua" w:hAnsi="Book Antiqua"/>
        </w:rPr>
        <w:t xml:space="preserve"> </w:t>
      </w:r>
      <w:r w:rsidRPr="00FB0525">
        <w:rPr>
          <w:rFonts w:ascii="Book Antiqua" w:hAnsi="Book Antiqua"/>
        </w:rPr>
        <w:t xml:space="preserve">Hassan C, Frazzoni L, Ishaq S, Leung FW. Impact of water exchange colonoscopy on endoscopy room efficiency: a systematic review and meta-analysis. </w:t>
      </w:r>
      <w:r w:rsidRPr="00D54012">
        <w:rPr>
          <w:rFonts w:ascii="Book Antiqua" w:hAnsi="Book Antiqua"/>
          <w:i/>
        </w:rPr>
        <w:t xml:space="preserve">Gastrointest Endosc </w:t>
      </w:r>
      <w:r w:rsidRPr="00FB0525">
        <w:rPr>
          <w:rFonts w:ascii="Book Antiqua" w:hAnsi="Book Antiqua"/>
        </w:rPr>
        <w:t xml:space="preserve">2019; </w:t>
      </w:r>
      <w:r w:rsidRPr="00D54012">
        <w:rPr>
          <w:rFonts w:ascii="Book Antiqua" w:hAnsi="Book Antiqua"/>
          <w:b/>
        </w:rPr>
        <w:t>89</w:t>
      </w:r>
      <w:r w:rsidRPr="00FB0525">
        <w:rPr>
          <w:rFonts w:ascii="Book Antiqua" w:hAnsi="Book Antiqua"/>
        </w:rPr>
        <w:t>: 159–167.e13 [DOI: 10.1016/j.gie.2018.07.020]</w:t>
      </w:r>
    </w:p>
    <w:p w14:paraId="2DB15874" w14:textId="474188EF"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7</w:t>
      </w:r>
      <w:r w:rsidRPr="00FB0525">
        <w:rPr>
          <w:rFonts w:ascii="Book Antiqua" w:hAnsi="Book Antiqua"/>
        </w:rPr>
        <w:t xml:space="preserve"> </w:t>
      </w:r>
      <w:r w:rsidRPr="00FB0525">
        <w:rPr>
          <w:rFonts w:ascii="Book Antiqua" w:hAnsi="Book Antiqua"/>
          <w:b/>
        </w:rPr>
        <w:t>Samadder NJ</w:t>
      </w:r>
      <w:r w:rsidRPr="00FB0525">
        <w:rPr>
          <w:rFonts w:ascii="Book Antiqua" w:hAnsi="Book Antiqua"/>
        </w:rPr>
        <w:t xml:space="preserve">, Bonin EA, Buttar NS, Baron TH, Gostout CJ, Topazian MD, Song LM. Placement of a covered stent for palliation of a cavitated colon cancer by using a novel over-the-scope technique (with video). </w:t>
      </w:r>
      <w:r w:rsidRPr="00FB0525">
        <w:rPr>
          <w:rFonts w:ascii="Book Antiqua" w:hAnsi="Book Antiqua"/>
          <w:i/>
        </w:rPr>
        <w:t>Gastrointest Endosc</w:t>
      </w:r>
      <w:r w:rsidRPr="00FB0525">
        <w:rPr>
          <w:rFonts w:ascii="Book Antiqua" w:hAnsi="Book Antiqua"/>
        </w:rPr>
        <w:t xml:space="preserve"> 2012; </w:t>
      </w:r>
      <w:r w:rsidRPr="00FB0525">
        <w:rPr>
          <w:rFonts w:ascii="Book Antiqua" w:hAnsi="Book Antiqua"/>
          <w:b/>
        </w:rPr>
        <w:t>76</w:t>
      </w:r>
      <w:r w:rsidRPr="00FB0525">
        <w:rPr>
          <w:rFonts w:ascii="Book Antiqua" w:hAnsi="Book Antiqua"/>
        </w:rPr>
        <w:t>: 1275-1277 [PMID: 22401820 DOI: 10.1016/j.gie.2011.12.023]</w:t>
      </w:r>
    </w:p>
    <w:p w14:paraId="079B26F2" w14:textId="01C64B9B" w:rsidR="00FB0525" w:rsidRPr="00FB0525" w:rsidRDefault="00FB0525" w:rsidP="00FB0525">
      <w:pPr>
        <w:spacing w:line="360" w:lineRule="auto"/>
        <w:jc w:val="both"/>
        <w:rPr>
          <w:rFonts w:ascii="Book Antiqua" w:hAnsi="Book Antiqua"/>
        </w:rPr>
      </w:pPr>
      <w:r w:rsidRPr="00FB0525">
        <w:rPr>
          <w:rFonts w:ascii="Book Antiqua" w:hAnsi="Book Antiqua"/>
        </w:rPr>
        <w:t>9</w:t>
      </w:r>
      <w:r w:rsidR="00D54012">
        <w:rPr>
          <w:rFonts w:ascii="Book Antiqua" w:hAnsi="Book Antiqua" w:hint="eastAsia"/>
          <w:lang w:eastAsia="zh-CN"/>
        </w:rPr>
        <w:t>8</w:t>
      </w:r>
      <w:r w:rsidRPr="00FB0525">
        <w:rPr>
          <w:rFonts w:ascii="Book Antiqua" w:hAnsi="Book Antiqua"/>
        </w:rPr>
        <w:t xml:space="preserve"> </w:t>
      </w:r>
      <w:r w:rsidRPr="00FB0525">
        <w:rPr>
          <w:rFonts w:ascii="Book Antiqua" w:hAnsi="Book Antiqua"/>
          <w:b/>
        </w:rPr>
        <w:t>Baron TH</w:t>
      </w:r>
      <w:r w:rsidRPr="00FB0525">
        <w:rPr>
          <w:rFonts w:ascii="Book Antiqua" w:hAnsi="Book Antiqua"/>
        </w:rPr>
        <w:t xml:space="preserve">, Rey JF, Spinelli P. Expandable metal stent placement for malignant colorectal obstruction. </w:t>
      </w:r>
      <w:r w:rsidRPr="00FB0525">
        <w:rPr>
          <w:rFonts w:ascii="Book Antiqua" w:hAnsi="Book Antiqua"/>
          <w:i/>
        </w:rPr>
        <w:t>Endoscopy</w:t>
      </w:r>
      <w:r w:rsidRPr="00FB0525">
        <w:rPr>
          <w:rFonts w:ascii="Book Antiqua" w:hAnsi="Book Antiqua"/>
        </w:rPr>
        <w:t xml:space="preserve"> 2002; </w:t>
      </w:r>
      <w:r w:rsidRPr="00FB0525">
        <w:rPr>
          <w:rFonts w:ascii="Book Antiqua" w:hAnsi="Book Antiqua"/>
          <w:b/>
        </w:rPr>
        <w:t>34</w:t>
      </w:r>
      <w:r w:rsidRPr="00FB0525">
        <w:rPr>
          <w:rFonts w:ascii="Book Antiqua" w:hAnsi="Book Antiqua"/>
        </w:rPr>
        <w:t>: 823-830 [PMID: 12244506 DOI: 10.1055/s-2002-34271]</w:t>
      </w:r>
    </w:p>
    <w:p w14:paraId="6631CC5B" w14:textId="0A733856" w:rsidR="00FB0525" w:rsidRPr="00FB0525" w:rsidRDefault="00D54012" w:rsidP="00FB0525">
      <w:pPr>
        <w:spacing w:line="360" w:lineRule="auto"/>
        <w:jc w:val="both"/>
        <w:rPr>
          <w:rFonts w:ascii="Book Antiqua" w:hAnsi="Book Antiqua"/>
        </w:rPr>
      </w:pPr>
      <w:r>
        <w:rPr>
          <w:rFonts w:ascii="Book Antiqua" w:hAnsi="Book Antiqua" w:hint="eastAsia"/>
          <w:lang w:eastAsia="zh-CN"/>
        </w:rPr>
        <w:t>99</w:t>
      </w:r>
      <w:r w:rsidR="00FB0525" w:rsidRPr="00FB0525">
        <w:rPr>
          <w:rFonts w:ascii="Book Antiqua" w:hAnsi="Book Antiqua"/>
        </w:rPr>
        <w:t xml:space="preserve"> </w:t>
      </w:r>
      <w:r w:rsidR="00FB0525" w:rsidRPr="00FB0525">
        <w:rPr>
          <w:rFonts w:ascii="Book Antiqua" w:hAnsi="Book Antiqua"/>
          <w:b/>
        </w:rPr>
        <w:t>Kim C</w:t>
      </w:r>
      <w:r w:rsidR="00FB0525" w:rsidRPr="00D54012">
        <w:rPr>
          <w:rFonts w:ascii="Book Antiqua" w:hAnsi="Book Antiqua"/>
        </w:rPr>
        <w:t>,</w:t>
      </w:r>
      <w:r w:rsidRPr="00D54012">
        <w:rPr>
          <w:rFonts w:ascii="Book Antiqua" w:hAnsi="Book Antiqua"/>
        </w:rPr>
        <w:t xml:space="preserve"> </w:t>
      </w:r>
      <w:r w:rsidR="00FB0525" w:rsidRPr="00FB0525">
        <w:rPr>
          <w:rFonts w:ascii="Book Antiqua" w:hAnsi="Book Antiqua"/>
        </w:rPr>
        <w:t xml:space="preserve">Park J-J, Seo Y-S, Jang Y-J, Lee J-Y, Kim J-Y, Kim J-S, Bak Y-T. Complications of Self-Expandable Colorectal Stenting for the Treatment of Acute Large Bowel Obstruction. </w:t>
      </w:r>
      <w:r w:rsidR="00FB0525" w:rsidRPr="00D54012">
        <w:rPr>
          <w:rFonts w:ascii="Book Antiqua" w:hAnsi="Book Antiqua"/>
          <w:i/>
        </w:rPr>
        <w:t>Gastrointest Endosc</w:t>
      </w:r>
      <w:r w:rsidR="00FB0525" w:rsidRPr="00FB0525">
        <w:rPr>
          <w:rFonts w:ascii="Book Antiqua" w:hAnsi="Book Antiqua"/>
        </w:rPr>
        <w:t xml:space="preserve"> 2005; </w:t>
      </w:r>
      <w:r w:rsidR="00FB0525" w:rsidRPr="00D54012">
        <w:rPr>
          <w:rFonts w:ascii="Book Antiqua" w:hAnsi="Book Antiqua"/>
          <w:b/>
        </w:rPr>
        <w:t>61</w:t>
      </w:r>
      <w:r w:rsidR="00FB0525" w:rsidRPr="00FB0525">
        <w:rPr>
          <w:rFonts w:ascii="Book Antiqua" w:hAnsi="Book Antiqua"/>
        </w:rPr>
        <w:t>: AB262 [doi:10.1016/S0016-5107(05)01376-3]</w:t>
      </w:r>
    </w:p>
    <w:p w14:paraId="1F79B2FA" w14:textId="4DFF6993" w:rsidR="00FB0525" w:rsidRPr="00FB0525" w:rsidRDefault="00FB0525" w:rsidP="00FB0525">
      <w:pPr>
        <w:spacing w:line="360" w:lineRule="auto"/>
        <w:jc w:val="both"/>
        <w:rPr>
          <w:rFonts w:ascii="Book Antiqua" w:hAnsi="Book Antiqua"/>
        </w:rPr>
      </w:pPr>
      <w:r w:rsidRPr="00FB0525">
        <w:rPr>
          <w:rFonts w:ascii="Book Antiqua" w:hAnsi="Book Antiqua"/>
        </w:rPr>
        <w:t>10</w:t>
      </w:r>
      <w:r w:rsidR="00D54012">
        <w:rPr>
          <w:rFonts w:ascii="Book Antiqua" w:hAnsi="Book Antiqua" w:hint="eastAsia"/>
          <w:lang w:eastAsia="zh-CN"/>
        </w:rPr>
        <w:t>0</w:t>
      </w:r>
      <w:r w:rsidRPr="00FB0525">
        <w:rPr>
          <w:rFonts w:ascii="Book Antiqua" w:hAnsi="Book Antiqua"/>
        </w:rPr>
        <w:t xml:space="preserve"> </w:t>
      </w:r>
      <w:r w:rsidRPr="00FB0525">
        <w:rPr>
          <w:rFonts w:ascii="Book Antiqua" w:hAnsi="Book Antiqua"/>
          <w:b/>
        </w:rPr>
        <w:t>Stankiewicz R</w:t>
      </w:r>
      <w:r w:rsidRPr="00FB0525">
        <w:rPr>
          <w:rFonts w:ascii="Book Antiqua" w:hAnsi="Book Antiqua"/>
        </w:rPr>
        <w:t xml:space="preserve">, Kozieł S, Pertkiewicz J, Zieniewicz K. Outcomes and complications of self-expanding metal stent placement for malignant colonic </w:t>
      </w:r>
      <w:r w:rsidRPr="00FB0525">
        <w:rPr>
          <w:rFonts w:ascii="Book Antiqua" w:hAnsi="Book Antiqua"/>
        </w:rPr>
        <w:lastRenderedPageBreak/>
        <w:t xml:space="preserve">obstruction in a single-center study. </w:t>
      </w:r>
      <w:r w:rsidRPr="00FB0525">
        <w:rPr>
          <w:rFonts w:ascii="Book Antiqua" w:hAnsi="Book Antiqua"/>
          <w:i/>
        </w:rPr>
        <w:t>Wideochir Inne Tech Maloinwazyjne</w:t>
      </w:r>
      <w:r w:rsidRPr="00FB0525">
        <w:rPr>
          <w:rFonts w:ascii="Book Antiqua" w:hAnsi="Book Antiqua"/>
        </w:rPr>
        <w:t xml:space="preserve"> 2018; </w:t>
      </w:r>
      <w:r w:rsidRPr="00FB0525">
        <w:rPr>
          <w:rFonts w:ascii="Book Antiqua" w:hAnsi="Book Antiqua"/>
          <w:b/>
        </w:rPr>
        <w:t>13</w:t>
      </w:r>
      <w:r w:rsidRPr="00FB0525">
        <w:rPr>
          <w:rFonts w:ascii="Book Antiqua" w:hAnsi="Book Antiqua"/>
        </w:rPr>
        <w:t>: 53-56 [PMID: 29643958 DOI: 10.5114/wiitm.2017.70194]</w:t>
      </w:r>
    </w:p>
    <w:p w14:paraId="1AD3D439" w14:textId="48BABB38" w:rsidR="00FB0525" w:rsidRPr="00FB0525" w:rsidRDefault="00FB0525" w:rsidP="00FB0525">
      <w:pPr>
        <w:spacing w:line="360" w:lineRule="auto"/>
        <w:jc w:val="both"/>
        <w:rPr>
          <w:rFonts w:ascii="Book Antiqua" w:hAnsi="Book Antiqua"/>
        </w:rPr>
      </w:pPr>
      <w:r w:rsidRPr="00FB0525">
        <w:rPr>
          <w:rFonts w:ascii="Book Antiqua" w:hAnsi="Book Antiqua"/>
        </w:rPr>
        <w:t>10</w:t>
      </w:r>
      <w:r w:rsidR="00D54012">
        <w:rPr>
          <w:rFonts w:ascii="Book Antiqua" w:hAnsi="Book Antiqua" w:hint="eastAsia"/>
          <w:lang w:eastAsia="zh-CN"/>
        </w:rPr>
        <w:t>1</w:t>
      </w:r>
      <w:r w:rsidRPr="00FB0525">
        <w:rPr>
          <w:rFonts w:ascii="Book Antiqua" w:hAnsi="Book Antiqua"/>
        </w:rPr>
        <w:t xml:space="preserve"> </w:t>
      </w:r>
      <w:r w:rsidRPr="00FB0525">
        <w:rPr>
          <w:rFonts w:ascii="Book Antiqua" w:hAnsi="Book Antiqua"/>
          <w:b/>
        </w:rPr>
        <w:t>Small AJ</w:t>
      </w:r>
      <w:r w:rsidRPr="00FB0525">
        <w:rPr>
          <w:rFonts w:ascii="Book Antiqua" w:hAnsi="Book Antiqua"/>
        </w:rPr>
        <w:t xml:space="preserve">, Coelho-Prabhu N, Baron TH. Endoscopic placement of self-expandable metal stents for malignant colonic obstruction: long-term outcomes and complication factors. </w:t>
      </w:r>
      <w:r w:rsidRPr="00FB0525">
        <w:rPr>
          <w:rFonts w:ascii="Book Antiqua" w:hAnsi="Book Antiqua"/>
          <w:i/>
        </w:rPr>
        <w:t>Gastrointest Endosc</w:t>
      </w:r>
      <w:r w:rsidRPr="00FB0525">
        <w:rPr>
          <w:rFonts w:ascii="Book Antiqua" w:hAnsi="Book Antiqua"/>
        </w:rPr>
        <w:t xml:space="preserve"> 2010; </w:t>
      </w:r>
      <w:r w:rsidRPr="00FB0525">
        <w:rPr>
          <w:rFonts w:ascii="Book Antiqua" w:hAnsi="Book Antiqua"/>
          <w:b/>
        </w:rPr>
        <w:t>71</w:t>
      </w:r>
      <w:r w:rsidRPr="00FB0525">
        <w:rPr>
          <w:rFonts w:ascii="Book Antiqua" w:hAnsi="Book Antiqua"/>
        </w:rPr>
        <w:t>: 560-572 [PMID: 20189515 DOI: 10.1016/j.gie.2009.10.012]</w:t>
      </w:r>
    </w:p>
    <w:p w14:paraId="4B815969" w14:textId="16F59B5E" w:rsidR="00FB0525" w:rsidRPr="00FB0525" w:rsidRDefault="00FB0525" w:rsidP="00FB0525">
      <w:pPr>
        <w:spacing w:line="360" w:lineRule="auto"/>
        <w:jc w:val="both"/>
        <w:rPr>
          <w:rFonts w:ascii="Book Antiqua" w:hAnsi="Book Antiqua"/>
        </w:rPr>
      </w:pPr>
      <w:r w:rsidRPr="00FB0525">
        <w:rPr>
          <w:rFonts w:ascii="Book Antiqua" w:hAnsi="Book Antiqua"/>
        </w:rPr>
        <w:t>10</w:t>
      </w:r>
      <w:r w:rsidR="00D54012">
        <w:rPr>
          <w:rFonts w:ascii="Book Antiqua" w:hAnsi="Book Antiqua" w:hint="eastAsia"/>
          <w:lang w:eastAsia="zh-CN"/>
        </w:rPr>
        <w:t>2</w:t>
      </w:r>
      <w:r w:rsidRPr="00FB0525">
        <w:rPr>
          <w:rFonts w:ascii="Book Antiqua" w:hAnsi="Book Antiqua"/>
        </w:rPr>
        <w:t xml:space="preserve"> </w:t>
      </w:r>
      <w:r w:rsidRPr="00FB0525">
        <w:rPr>
          <w:rFonts w:ascii="Book Antiqua" w:hAnsi="Book Antiqua"/>
          <w:b/>
        </w:rPr>
        <w:t>Yoon JY</w:t>
      </w:r>
      <w:r w:rsidRPr="00FB0525">
        <w:rPr>
          <w:rFonts w:ascii="Book Antiqua" w:hAnsi="Book Antiqua"/>
        </w:rPr>
        <w:t xml:space="preserve">, Jung YS, Hong SP, Kim TI, Kim WH, Cheon JH. Outcomes of secondary stent-in-stent self-expandable metal stent insertion for malignant colorectal obstruction. </w:t>
      </w:r>
      <w:r w:rsidRPr="00FB0525">
        <w:rPr>
          <w:rFonts w:ascii="Book Antiqua" w:hAnsi="Book Antiqua"/>
          <w:i/>
        </w:rPr>
        <w:t>Gastrointest Endosc</w:t>
      </w:r>
      <w:r w:rsidRPr="00FB0525">
        <w:rPr>
          <w:rFonts w:ascii="Book Antiqua" w:hAnsi="Book Antiqua"/>
        </w:rPr>
        <w:t xml:space="preserve"> 2011; </w:t>
      </w:r>
      <w:r w:rsidRPr="00FB0525">
        <w:rPr>
          <w:rFonts w:ascii="Book Antiqua" w:hAnsi="Book Antiqua"/>
          <w:b/>
        </w:rPr>
        <w:t>74</w:t>
      </w:r>
      <w:r w:rsidRPr="00FB0525">
        <w:rPr>
          <w:rFonts w:ascii="Book Antiqua" w:hAnsi="Book Antiqua"/>
        </w:rPr>
        <w:t>: 625-633 [PMID: 21762906 DOI: 10.1016/j.gie.2011.05.025]</w:t>
      </w:r>
    </w:p>
    <w:p w14:paraId="43416841" w14:textId="7F02C731" w:rsidR="00C93C7A" w:rsidRPr="00FB0525" w:rsidRDefault="00FB0525" w:rsidP="006B0F08">
      <w:pPr>
        <w:spacing w:line="360" w:lineRule="auto"/>
        <w:jc w:val="both"/>
        <w:rPr>
          <w:rFonts w:ascii="Book Antiqua" w:hAnsi="Book Antiqua"/>
          <w:lang w:eastAsia="zh-CN"/>
        </w:rPr>
      </w:pPr>
      <w:r w:rsidRPr="00FB0525">
        <w:rPr>
          <w:rFonts w:ascii="Book Antiqua" w:hAnsi="Book Antiqua"/>
        </w:rPr>
        <w:t>10</w:t>
      </w:r>
      <w:r w:rsidR="00D54012">
        <w:rPr>
          <w:rFonts w:ascii="Book Antiqua" w:hAnsi="Book Antiqua" w:hint="eastAsia"/>
          <w:lang w:eastAsia="zh-CN"/>
        </w:rPr>
        <w:t xml:space="preserve">3 </w:t>
      </w:r>
      <w:r w:rsidRPr="00FB0525">
        <w:rPr>
          <w:rFonts w:ascii="Book Antiqua" w:hAnsi="Book Antiqua"/>
          <w:b/>
        </w:rPr>
        <w:t>Cao Y</w:t>
      </w:r>
      <w:r w:rsidRPr="00D54012">
        <w:rPr>
          <w:rFonts w:ascii="Book Antiqua" w:hAnsi="Book Antiqua"/>
        </w:rPr>
        <w:t>,</w:t>
      </w:r>
      <w:r w:rsidRPr="00FB0525">
        <w:rPr>
          <w:rFonts w:ascii="Book Antiqua" w:hAnsi="Book Antiqua"/>
        </w:rPr>
        <w:t xml:space="preserve"> Deng S, Wu K, Zheng H, Cheng P, Zhang J, Chen L, Tang S, Wang P, Liao X, Zhang Y, Zhu G, Tong Q, Wang J, Gao J, Shuai X, Tao K, Wang G, Li J, Cai K. Oncological consequence of emergent resection of perforated colon cancer with complete obstruction after stent insertion as a bridge to surgery. </w:t>
      </w:r>
      <w:r w:rsidRPr="00D54012">
        <w:rPr>
          <w:rFonts w:ascii="Book Antiqua" w:hAnsi="Book Antiqua"/>
          <w:i/>
        </w:rPr>
        <w:t>Int J Colorectal Dis</w:t>
      </w:r>
      <w:r w:rsidRPr="00FB0525">
        <w:rPr>
          <w:rFonts w:ascii="Book Antiqua" w:hAnsi="Book Antiqua"/>
        </w:rPr>
        <w:t xml:space="preserve"> 2018 [</w:t>
      </w:r>
      <w:r w:rsidR="00D54012" w:rsidRPr="00FB0525">
        <w:rPr>
          <w:rFonts w:ascii="Book Antiqua" w:hAnsi="Book Antiqua"/>
        </w:rPr>
        <w:t>DOI</w:t>
      </w:r>
      <w:r w:rsidRPr="00FB0525">
        <w:rPr>
          <w:rFonts w:ascii="Book Antiqua" w:hAnsi="Book Antiqua"/>
        </w:rPr>
        <w:t>:</w:t>
      </w:r>
      <w:r w:rsidR="00D54012">
        <w:rPr>
          <w:rFonts w:ascii="Book Antiqua" w:hAnsi="Book Antiqua" w:hint="eastAsia"/>
          <w:lang w:eastAsia="zh-CN"/>
        </w:rPr>
        <w:t xml:space="preserve"> </w:t>
      </w:r>
      <w:r w:rsidRPr="00FB0525">
        <w:rPr>
          <w:rFonts w:ascii="Book Antiqua" w:hAnsi="Book Antiqua"/>
        </w:rPr>
        <w:t>10.1007/s00384-018-3137-0]</w:t>
      </w:r>
      <w:r w:rsidR="006B0F08" w:rsidRPr="00FB0525">
        <w:rPr>
          <w:rFonts w:ascii="Book Antiqua" w:hAnsi="Book Antiqua"/>
          <w:lang w:eastAsia="zh-CN"/>
        </w:rPr>
        <w:t xml:space="preserve"> </w:t>
      </w:r>
    </w:p>
    <w:p w14:paraId="0AB0CB92" w14:textId="20D6B246" w:rsidR="00AE70F1" w:rsidRPr="00FB0525" w:rsidRDefault="00AE70F1" w:rsidP="00D54012">
      <w:pPr>
        <w:pStyle w:val="PlainText"/>
        <w:spacing w:line="360" w:lineRule="auto"/>
        <w:jc w:val="right"/>
        <w:rPr>
          <w:rFonts w:ascii="Book Antiqua" w:hAnsi="Book Antiqua"/>
          <w:b/>
          <w:sz w:val="24"/>
          <w:szCs w:val="24"/>
        </w:rPr>
      </w:pPr>
      <w:r w:rsidRPr="00FB0525">
        <w:rPr>
          <w:rFonts w:ascii="Book Antiqua" w:hAnsi="Book Antiqua"/>
          <w:b/>
          <w:sz w:val="24"/>
          <w:szCs w:val="24"/>
        </w:rPr>
        <w:t xml:space="preserve">P-Reviewer: </w:t>
      </w:r>
      <w:r w:rsidRPr="00FB0525">
        <w:rPr>
          <w:rFonts w:ascii="Book Antiqua" w:hAnsi="Book Antiqua"/>
          <w:color w:val="000000"/>
          <w:sz w:val="24"/>
          <w:szCs w:val="24"/>
        </w:rPr>
        <w:t xml:space="preserve">Wan QQ </w:t>
      </w:r>
      <w:r w:rsidRPr="00FB0525">
        <w:rPr>
          <w:rFonts w:ascii="Book Antiqua" w:hAnsi="Book Antiqua"/>
          <w:b/>
          <w:sz w:val="24"/>
          <w:szCs w:val="24"/>
        </w:rPr>
        <w:t xml:space="preserve">S-Editor: </w:t>
      </w:r>
      <w:r w:rsidRPr="00FB0525">
        <w:rPr>
          <w:rFonts w:ascii="Book Antiqua" w:hAnsi="Book Antiqua"/>
          <w:sz w:val="24"/>
          <w:szCs w:val="24"/>
        </w:rPr>
        <w:t>Ji FF</w:t>
      </w:r>
      <w:r w:rsidRPr="00FB0525">
        <w:rPr>
          <w:rFonts w:ascii="Book Antiqua" w:hAnsi="Book Antiqua"/>
          <w:b/>
          <w:sz w:val="24"/>
          <w:szCs w:val="24"/>
        </w:rPr>
        <w:t xml:space="preserve"> L-Editor: E-Editor: </w:t>
      </w:r>
    </w:p>
    <w:p w14:paraId="3B7E699F" w14:textId="77777777" w:rsidR="00AE70F1" w:rsidRPr="00FB0525" w:rsidRDefault="00AE70F1" w:rsidP="00FB0525">
      <w:pPr>
        <w:pStyle w:val="PlainText"/>
        <w:spacing w:line="360" w:lineRule="auto"/>
        <w:rPr>
          <w:rFonts w:ascii="Book Antiqua" w:hAnsi="Book Antiqua"/>
          <w:b/>
          <w:sz w:val="24"/>
          <w:szCs w:val="24"/>
        </w:rPr>
      </w:pPr>
      <w:r w:rsidRPr="00FB0525">
        <w:rPr>
          <w:rFonts w:ascii="Book Antiqua" w:hAnsi="Book Antiqua"/>
          <w:b/>
          <w:sz w:val="24"/>
          <w:szCs w:val="24"/>
        </w:rPr>
        <w:t xml:space="preserve"> </w:t>
      </w:r>
    </w:p>
    <w:p w14:paraId="7BA6BA78" w14:textId="77777777" w:rsidR="00AE70F1" w:rsidRPr="00FB0525" w:rsidRDefault="00AE70F1" w:rsidP="00FB0525">
      <w:pPr>
        <w:snapToGrid w:val="0"/>
        <w:spacing w:line="360" w:lineRule="auto"/>
        <w:jc w:val="both"/>
        <w:rPr>
          <w:rFonts w:ascii="Book Antiqua" w:hAnsi="Book Antiqua" w:cs="Helvetica"/>
          <w:b/>
        </w:rPr>
      </w:pPr>
      <w:r w:rsidRPr="00FB0525">
        <w:rPr>
          <w:rFonts w:ascii="Book Antiqua" w:hAnsi="Book Antiqua" w:cs="Helvetica"/>
          <w:b/>
        </w:rPr>
        <w:t xml:space="preserve">Specialty type: </w:t>
      </w:r>
      <w:r w:rsidRPr="00FB0525">
        <w:rPr>
          <w:rFonts w:ascii="Book Antiqua" w:hAnsi="Book Antiqua" w:cs="Helvetica"/>
        </w:rPr>
        <w:t>Gastroenterology and hepatology</w:t>
      </w:r>
    </w:p>
    <w:p w14:paraId="464C9943" w14:textId="0CCE6205" w:rsidR="00AE70F1" w:rsidRPr="00FB0525" w:rsidRDefault="00AE70F1" w:rsidP="00FB0525">
      <w:pPr>
        <w:snapToGrid w:val="0"/>
        <w:spacing w:line="360" w:lineRule="auto"/>
        <w:jc w:val="both"/>
        <w:rPr>
          <w:rFonts w:ascii="Book Antiqua" w:hAnsi="Book Antiqua" w:cs="Helvetica"/>
          <w:b/>
        </w:rPr>
      </w:pPr>
      <w:r w:rsidRPr="00FB0525">
        <w:rPr>
          <w:rFonts w:ascii="Book Antiqua" w:hAnsi="Book Antiqua" w:cs="Helvetica"/>
          <w:b/>
        </w:rPr>
        <w:t xml:space="preserve">Country of origin: </w:t>
      </w:r>
      <w:r w:rsidRPr="00FB0525">
        <w:rPr>
          <w:rFonts w:ascii="Book Antiqua" w:hAnsi="Book Antiqua"/>
        </w:rPr>
        <w:t>Brazil</w:t>
      </w:r>
    </w:p>
    <w:p w14:paraId="03A06900" w14:textId="77777777" w:rsidR="00AE70F1" w:rsidRPr="00FB0525" w:rsidRDefault="00AE70F1" w:rsidP="00FB0525">
      <w:pPr>
        <w:snapToGrid w:val="0"/>
        <w:spacing w:line="360" w:lineRule="auto"/>
        <w:jc w:val="both"/>
        <w:rPr>
          <w:rFonts w:ascii="Book Antiqua" w:hAnsi="Book Antiqua" w:cs="Helvetica"/>
          <w:b/>
        </w:rPr>
      </w:pPr>
      <w:r w:rsidRPr="00FB0525">
        <w:rPr>
          <w:rFonts w:ascii="Book Antiqua" w:hAnsi="Book Antiqua" w:cs="Helvetica"/>
          <w:b/>
        </w:rPr>
        <w:t>Peer-review report classification</w:t>
      </w:r>
    </w:p>
    <w:p w14:paraId="3BE8C751" w14:textId="7E0DAD0D" w:rsidR="00AE70F1" w:rsidRPr="00FB0525" w:rsidRDefault="00AE70F1" w:rsidP="00FB0525">
      <w:pPr>
        <w:snapToGrid w:val="0"/>
        <w:spacing w:line="360" w:lineRule="auto"/>
        <w:jc w:val="both"/>
        <w:rPr>
          <w:rFonts w:ascii="Book Antiqua" w:hAnsi="Book Antiqua" w:cs="Helvetica"/>
          <w:lang w:eastAsia="zh-CN"/>
        </w:rPr>
      </w:pPr>
      <w:r w:rsidRPr="00FB0525">
        <w:rPr>
          <w:rFonts w:ascii="Book Antiqua" w:hAnsi="Book Antiqua" w:cs="Helvetica"/>
        </w:rPr>
        <w:t xml:space="preserve">Grade A (Excellent): </w:t>
      </w:r>
      <w:r w:rsidRPr="00FB0525">
        <w:rPr>
          <w:rFonts w:ascii="Book Antiqua" w:hAnsi="Book Antiqua" w:cs="Helvetica"/>
          <w:lang w:eastAsia="zh-CN"/>
        </w:rPr>
        <w:t>0</w:t>
      </w:r>
    </w:p>
    <w:p w14:paraId="6C334F9B" w14:textId="77777777" w:rsidR="00AE70F1" w:rsidRPr="00FB0525" w:rsidRDefault="00AE70F1" w:rsidP="00FB0525">
      <w:pPr>
        <w:snapToGrid w:val="0"/>
        <w:spacing w:line="360" w:lineRule="auto"/>
        <w:jc w:val="both"/>
        <w:rPr>
          <w:rFonts w:ascii="Book Antiqua" w:hAnsi="Book Antiqua" w:cs="Helvetica"/>
        </w:rPr>
      </w:pPr>
      <w:r w:rsidRPr="00FB0525">
        <w:rPr>
          <w:rFonts w:ascii="Book Antiqua" w:hAnsi="Book Antiqua" w:cs="Helvetica"/>
        </w:rPr>
        <w:t>Grade B (Very good): B</w:t>
      </w:r>
    </w:p>
    <w:p w14:paraId="0781DDB4" w14:textId="49F4EC62" w:rsidR="00AE70F1" w:rsidRPr="00FB0525" w:rsidRDefault="00AE70F1" w:rsidP="00FB0525">
      <w:pPr>
        <w:snapToGrid w:val="0"/>
        <w:spacing w:line="360" w:lineRule="auto"/>
        <w:jc w:val="both"/>
        <w:rPr>
          <w:rFonts w:ascii="Book Antiqua" w:hAnsi="Book Antiqua" w:cs="Helvetica"/>
          <w:lang w:eastAsia="zh-CN"/>
        </w:rPr>
      </w:pPr>
      <w:r w:rsidRPr="00FB0525">
        <w:rPr>
          <w:rFonts w:ascii="Book Antiqua" w:hAnsi="Book Antiqua" w:cs="Helvetica"/>
        </w:rPr>
        <w:t xml:space="preserve">Grade C (Good): </w:t>
      </w:r>
      <w:r w:rsidRPr="00FB0525">
        <w:rPr>
          <w:rFonts w:ascii="Book Antiqua" w:hAnsi="Book Antiqua" w:cs="Helvetica"/>
          <w:lang w:eastAsia="zh-CN"/>
        </w:rPr>
        <w:t>0</w:t>
      </w:r>
    </w:p>
    <w:p w14:paraId="1C23078D" w14:textId="77777777" w:rsidR="00AE70F1" w:rsidRPr="00FB0525" w:rsidRDefault="00AE70F1" w:rsidP="00FB0525">
      <w:pPr>
        <w:snapToGrid w:val="0"/>
        <w:spacing w:line="360" w:lineRule="auto"/>
        <w:jc w:val="both"/>
        <w:rPr>
          <w:rFonts w:ascii="Book Antiqua" w:hAnsi="Book Antiqua" w:cs="Helvetica"/>
        </w:rPr>
      </w:pPr>
      <w:r w:rsidRPr="00FB0525">
        <w:rPr>
          <w:rFonts w:ascii="Book Antiqua" w:hAnsi="Book Antiqua" w:cs="Helvetica"/>
        </w:rPr>
        <w:t xml:space="preserve">Grade D (Fair): 0 </w:t>
      </w:r>
    </w:p>
    <w:p w14:paraId="70CEFA99" w14:textId="28A09A03" w:rsidR="00AE70F1" w:rsidRDefault="00AE70F1" w:rsidP="006B0F08">
      <w:pPr>
        <w:widowControl w:val="0"/>
        <w:autoSpaceDE w:val="0"/>
        <w:autoSpaceDN w:val="0"/>
        <w:adjustRightInd w:val="0"/>
        <w:spacing w:line="360" w:lineRule="auto"/>
        <w:jc w:val="both"/>
        <w:rPr>
          <w:rFonts w:ascii="Book Antiqua" w:hAnsi="Book Antiqua"/>
          <w:lang w:val="en-US"/>
        </w:rPr>
      </w:pPr>
      <w:r w:rsidRPr="00FB0525">
        <w:rPr>
          <w:rFonts w:ascii="Book Antiqua" w:hAnsi="Book Antiqua" w:cs="Helvetica"/>
        </w:rPr>
        <w:t>Grade E (Poor): 0</w:t>
      </w:r>
      <w:r>
        <w:rPr>
          <w:rFonts w:ascii="Book Antiqua" w:hAnsi="Book Antiqua"/>
          <w:lang w:val="en-US"/>
        </w:rPr>
        <w:br w:type="page"/>
      </w:r>
    </w:p>
    <w:p w14:paraId="7C2438C6" w14:textId="3A1C755B" w:rsidR="00DC50BE" w:rsidRPr="00C042FF" w:rsidRDefault="00ED15E5" w:rsidP="003E14C8">
      <w:pPr>
        <w:widowControl w:val="0"/>
        <w:autoSpaceDE w:val="0"/>
        <w:autoSpaceDN w:val="0"/>
        <w:adjustRightInd w:val="0"/>
        <w:spacing w:line="360" w:lineRule="auto"/>
        <w:jc w:val="both"/>
        <w:rPr>
          <w:rFonts w:ascii="Book Antiqua" w:hAnsi="Book Antiqua"/>
          <w:lang w:val="en-US"/>
        </w:rPr>
      </w:pPr>
      <w:r w:rsidRPr="00C042FF">
        <w:rPr>
          <w:rFonts w:ascii="Book Antiqua" w:hAnsi="Book Antiqua"/>
          <w:noProof/>
          <w:lang w:val="en-US" w:eastAsia="zh-CN"/>
        </w:rPr>
        <w:lastRenderedPageBreak/>
        <w:drawing>
          <wp:inline distT="0" distB="0" distL="0" distR="0" wp14:anchorId="35120174" wp14:editId="0ECE9E14">
            <wp:extent cx="3467100" cy="1914525"/>
            <wp:effectExtent l="0" t="0" r="1270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nts.jpg"/>
                    <pic:cNvPicPr/>
                  </pic:nvPicPr>
                  <pic:blipFill>
                    <a:blip r:embed="rId8">
                      <a:extLst>
                        <a:ext uri="{28A0092B-C50C-407E-A947-70E740481C1C}">
                          <a14:useLocalDpi xmlns:a14="http://schemas.microsoft.com/office/drawing/2010/main" val="0"/>
                        </a:ext>
                      </a:extLst>
                    </a:blip>
                    <a:stretch>
                      <a:fillRect/>
                    </a:stretch>
                  </pic:blipFill>
                  <pic:spPr>
                    <a:xfrm>
                      <a:off x="0" y="0"/>
                      <a:ext cx="3467100" cy="1914525"/>
                    </a:xfrm>
                    <a:prstGeom prst="rect">
                      <a:avLst/>
                    </a:prstGeom>
                  </pic:spPr>
                </pic:pic>
              </a:graphicData>
            </a:graphic>
          </wp:inline>
        </w:drawing>
      </w:r>
    </w:p>
    <w:p w14:paraId="22B17442" w14:textId="6398F585" w:rsidR="00553EF9" w:rsidRDefault="00DC50BE" w:rsidP="003E14C8">
      <w:pPr>
        <w:widowControl w:val="0"/>
        <w:autoSpaceDE w:val="0"/>
        <w:autoSpaceDN w:val="0"/>
        <w:adjustRightInd w:val="0"/>
        <w:spacing w:line="360" w:lineRule="auto"/>
        <w:jc w:val="both"/>
        <w:rPr>
          <w:rFonts w:ascii="Book Antiqua" w:hAnsi="Book Antiqua"/>
          <w:lang w:val="en-US" w:eastAsia="zh-CN"/>
        </w:rPr>
      </w:pPr>
      <w:r w:rsidRPr="00AE70F1">
        <w:rPr>
          <w:rFonts w:ascii="Book Antiqua" w:hAnsi="Book Antiqua"/>
          <w:b/>
          <w:lang w:val="en-US"/>
        </w:rPr>
        <w:t>Figure 1</w:t>
      </w:r>
      <w:r w:rsidR="00CA4456" w:rsidRPr="00AE70F1">
        <w:rPr>
          <w:rFonts w:ascii="Book Antiqua" w:hAnsi="Book Antiqua"/>
          <w:b/>
          <w:lang w:val="en-US"/>
        </w:rPr>
        <w:t xml:space="preserve"> </w:t>
      </w:r>
      <w:r w:rsidRPr="00AE70F1">
        <w:rPr>
          <w:rFonts w:ascii="Book Antiqua" w:hAnsi="Book Antiqua"/>
          <w:b/>
          <w:lang w:val="en-US"/>
        </w:rPr>
        <w:t xml:space="preserve">Stent models, left to right: Colonic Z (Cook), Evolution colonic (Cook), </w:t>
      </w:r>
      <w:proofErr w:type="spellStart"/>
      <w:r w:rsidRPr="00AE70F1">
        <w:rPr>
          <w:rFonts w:ascii="Book Antiqua" w:hAnsi="Book Antiqua"/>
          <w:b/>
          <w:lang w:val="en-US"/>
        </w:rPr>
        <w:t>Wallflex</w:t>
      </w:r>
      <w:proofErr w:type="spellEnd"/>
      <w:r w:rsidRPr="00AE70F1">
        <w:rPr>
          <w:rFonts w:ascii="Book Antiqua" w:hAnsi="Book Antiqua"/>
          <w:b/>
          <w:lang w:val="en-US"/>
        </w:rPr>
        <w:t xml:space="preserve"> (Boston</w:t>
      </w:r>
      <w:r w:rsidR="002B26B1" w:rsidRPr="00AE70F1">
        <w:rPr>
          <w:rFonts w:ascii="Book Antiqua" w:hAnsi="Book Antiqua"/>
          <w:b/>
          <w:lang w:val="en-US"/>
        </w:rPr>
        <w:t xml:space="preserve">), D-type colonic not covered </w:t>
      </w:r>
      <w:r w:rsidR="000B6583" w:rsidRPr="00AE70F1">
        <w:rPr>
          <w:rFonts w:ascii="Book Antiqua" w:hAnsi="Book Antiqua"/>
          <w:b/>
          <w:lang w:val="en-US"/>
        </w:rPr>
        <w:t>(</w:t>
      </w:r>
      <w:proofErr w:type="spellStart"/>
      <w:r w:rsidR="000B6583" w:rsidRPr="00AE70F1">
        <w:rPr>
          <w:rFonts w:ascii="Book Antiqua" w:hAnsi="Book Antiqua"/>
          <w:b/>
          <w:lang w:val="en-US"/>
        </w:rPr>
        <w:t>T</w:t>
      </w:r>
      <w:r w:rsidR="00CA4456" w:rsidRPr="00AE70F1">
        <w:rPr>
          <w:rFonts w:ascii="Book Antiqua" w:hAnsi="Book Antiqua"/>
          <w:b/>
          <w:lang w:val="en-US"/>
        </w:rPr>
        <w:t>aewoog</w:t>
      </w:r>
      <w:proofErr w:type="spellEnd"/>
      <w:r w:rsidR="00CA4456" w:rsidRPr="00AE70F1">
        <w:rPr>
          <w:rFonts w:ascii="Book Antiqua" w:hAnsi="Book Antiqua"/>
          <w:b/>
          <w:lang w:val="en-US"/>
        </w:rPr>
        <w:t xml:space="preserve">), </w:t>
      </w:r>
      <w:r w:rsidRPr="00AE70F1">
        <w:rPr>
          <w:rFonts w:ascii="Book Antiqua" w:hAnsi="Book Antiqua"/>
          <w:b/>
          <w:lang w:val="en-US"/>
        </w:rPr>
        <w:t>type colonic covered (</w:t>
      </w:r>
      <w:proofErr w:type="spellStart"/>
      <w:r w:rsidRPr="00AE70F1">
        <w:rPr>
          <w:rFonts w:ascii="Book Antiqua" w:hAnsi="Book Antiqua"/>
          <w:b/>
          <w:lang w:val="en-US"/>
        </w:rPr>
        <w:t>Taewoong</w:t>
      </w:r>
      <w:proofErr w:type="spellEnd"/>
      <w:r w:rsidRPr="00AE70F1">
        <w:rPr>
          <w:rFonts w:ascii="Book Antiqua" w:hAnsi="Book Antiqua"/>
          <w:b/>
          <w:lang w:val="en-US"/>
        </w:rPr>
        <w:t xml:space="preserve">). </w:t>
      </w:r>
      <w:r w:rsidR="00CA4456" w:rsidRPr="00C042FF">
        <w:rPr>
          <w:rFonts w:ascii="Book Antiqua" w:hAnsi="Book Antiqua"/>
          <w:lang w:val="en-US"/>
        </w:rPr>
        <w:t>All FDA approved stents</w:t>
      </w:r>
      <w:r w:rsidR="00553EF9">
        <w:rPr>
          <w:rFonts w:ascii="Book Antiqua" w:hAnsi="Book Antiqua" w:hint="eastAsia"/>
          <w:lang w:val="en-US" w:eastAsia="zh-CN"/>
        </w:rPr>
        <w:t>.</w:t>
      </w:r>
    </w:p>
    <w:p w14:paraId="7E0FD092" w14:textId="77777777" w:rsidR="00553EF9" w:rsidRDefault="00553EF9">
      <w:pPr>
        <w:rPr>
          <w:rFonts w:ascii="Book Antiqua" w:hAnsi="Book Antiqua"/>
          <w:lang w:val="en-US" w:eastAsia="zh-CN"/>
        </w:rPr>
      </w:pPr>
      <w:r>
        <w:rPr>
          <w:rFonts w:ascii="Book Antiqua" w:hAnsi="Book Antiqua"/>
          <w:lang w:val="en-US" w:eastAsia="zh-CN"/>
        </w:rPr>
        <w:br w:type="page"/>
      </w:r>
    </w:p>
    <w:p w14:paraId="31FD75B2" w14:textId="77777777" w:rsidR="00DC50BE" w:rsidRPr="00C042FF" w:rsidRDefault="00DC50BE" w:rsidP="003E14C8">
      <w:pPr>
        <w:widowControl w:val="0"/>
        <w:autoSpaceDE w:val="0"/>
        <w:autoSpaceDN w:val="0"/>
        <w:adjustRightInd w:val="0"/>
        <w:spacing w:line="360" w:lineRule="auto"/>
        <w:jc w:val="both"/>
        <w:rPr>
          <w:rFonts w:ascii="Book Antiqua" w:hAnsi="Book Antiqua"/>
          <w:lang w:val="en-US" w:eastAsia="zh-CN"/>
        </w:rPr>
      </w:pPr>
    </w:p>
    <w:p w14:paraId="0EC48686" w14:textId="5102FCF5" w:rsidR="00AC4788" w:rsidRPr="00C042FF" w:rsidRDefault="00ED15E5" w:rsidP="003E14C8">
      <w:pPr>
        <w:widowControl w:val="0"/>
        <w:autoSpaceDE w:val="0"/>
        <w:autoSpaceDN w:val="0"/>
        <w:adjustRightInd w:val="0"/>
        <w:spacing w:line="360" w:lineRule="auto"/>
        <w:jc w:val="both"/>
        <w:rPr>
          <w:rFonts w:ascii="Book Antiqua" w:hAnsi="Book Antiqua"/>
          <w:lang w:val="en-US"/>
        </w:rPr>
      </w:pPr>
      <w:r w:rsidRPr="00C042FF">
        <w:rPr>
          <w:rFonts w:ascii="Book Antiqua" w:hAnsi="Book Antiqua"/>
          <w:noProof/>
          <w:lang w:val="en-US" w:eastAsia="zh-CN"/>
        </w:rPr>
        <w:drawing>
          <wp:inline distT="0" distB="0" distL="0" distR="0" wp14:anchorId="7AAF19EB" wp14:editId="2A824130">
            <wp:extent cx="5390515" cy="3540760"/>
            <wp:effectExtent l="0" t="0" r="0" b="0"/>
            <wp:docPr id="7" name="Imagem 7"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515" cy="3540760"/>
                    </a:xfrm>
                    <a:prstGeom prst="rect">
                      <a:avLst/>
                    </a:prstGeom>
                    <a:noFill/>
                    <a:ln>
                      <a:noFill/>
                    </a:ln>
                  </pic:spPr>
                </pic:pic>
              </a:graphicData>
            </a:graphic>
          </wp:inline>
        </w:drawing>
      </w:r>
    </w:p>
    <w:p w14:paraId="3FDCA576" w14:textId="14214D54" w:rsidR="00AC4788" w:rsidRPr="00553EF9" w:rsidRDefault="00553EF9" w:rsidP="003E14C8">
      <w:pPr>
        <w:spacing w:line="360" w:lineRule="auto"/>
        <w:jc w:val="both"/>
        <w:rPr>
          <w:rFonts w:ascii="Book Antiqua" w:hAnsi="Book Antiqua"/>
          <w:b/>
          <w:lang w:val="en-US" w:eastAsia="zh-CN"/>
        </w:rPr>
      </w:pPr>
      <w:r w:rsidRPr="00553EF9">
        <w:rPr>
          <w:rFonts w:ascii="Book Antiqua" w:hAnsi="Book Antiqua"/>
          <w:b/>
          <w:lang w:val="en-US"/>
        </w:rPr>
        <w:t>Figure 2</w:t>
      </w:r>
      <w:r w:rsidR="00AC4788" w:rsidRPr="00553EF9">
        <w:rPr>
          <w:rFonts w:ascii="Book Antiqua" w:hAnsi="Book Antiqua"/>
          <w:b/>
          <w:lang w:val="en-US"/>
        </w:rPr>
        <w:t xml:space="preserve"> Virtual Colonoscopy showing a malignant stricture in the distal left colon</w:t>
      </w:r>
      <w:r w:rsidRPr="00553EF9">
        <w:rPr>
          <w:rFonts w:ascii="Book Antiqua" w:hAnsi="Book Antiqua" w:hint="eastAsia"/>
          <w:b/>
          <w:lang w:val="en-US" w:eastAsia="zh-CN"/>
        </w:rPr>
        <w:t>.</w:t>
      </w:r>
    </w:p>
    <w:p w14:paraId="7C6CFC9E" w14:textId="77777777" w:rsidR="00DC50BE" w:rsidRPr="00C042FF" w:rsidRDefault="00DC50BE" w:rsidP="003E14C8">
      <w:pPr>
        <w:widowControl w:val="0"/>
        <w:autoSpaceDE w:val="0"/>
        <w:autoSpaceDN w:val="0"/>
        <w:adjustRightInd w:val="0"/>
        <w:spacing w:line="360" w:lineRule="auto"/>
        <w:jc w:val="both"/>
        <w:rPr>
          <w:rFonts w:ascii="Book Antiqua" w:hAnsi="Book Antiqua"/>
          <w:lang w:val="en-US"/>
        </w:rPr>
      </w:pPr>
    </w:p>
    <w:p w14:paraId="1F4196D0" w14:textId="1A08ED75" w:rsidR="00AC4788" w:rsidRPr="003C1DCA" w:rsidRDefault="00C16371" w:rsidP="003C1DCA">
      <w:pPr>
        <w:spacing w:line="360" w:lineRule="auto"/>
        <w:jc w:val="both"/>
        <w:rPr>
          <w:rFonts w:ascii="SimSun" w:hAnsi="SimSun" w:cs="SimSun"/>
          <w:lang w:val="en-US" w:eastAsia="zh-CN"/>
        </w:rPr>
      </w:pPr>
      <w:r w:rsidRPr="00C042FF">
        <w:rPr>
          <w:rFonts w:ascii="Book Antiqua" w:hAnsi="Book Antiqua"/>
          <w:noProof/>
          <w:lang w:val="en-US" w:eastAsia="zh-CN"/>
        </w:rPr>
        <w:drawing>
          <wp:inline distT="0" distB="0" distL="0" distR="0" wp14:anchorId="28C1C5F5" wp14:editId="2CD42225">
            <wp:extent cx="5390515" cy="3253740"/>
            <wp:effectExtent l="0" t="0" r="0" b="0"/>
            <wp:docPr id="5" name="Imagem 5"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Ig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0515" cy="3253740"/>
                    </a:xfrm>
                    <a:prstGeom prst="rect">
                      <a:avLst/>
                    </a:prstGeom>
                    <a:noFill/>
                    <a:ln>
                      <a:noFill/>
                    </a:ln>
                  </pic:spPr>
                </pic:pic>
              </a:graphicData>
            </a:graphic>
          </wp:inline>
        </w:drawing>
      </w:r>
      <w:r w:rsidR="003C1DCA" w:rsidRPr="003C1DCA">
        <w:rPr>
          <w:rFonts w:ascii="Book Antiqua" w:hAnsi="Book Antiqua" w:cs="SimSun"/>
          <w:b/>
          <w:lang w:val="en-US" w:eastAsia="zh-CN"/>
        </w:rPr>
        <w:t>Figure 3 Radiography images. </w:t>
      </w:r>
      <w:r w:rsidR="00AC4788" w:rsidRPr="003C1DCA">
        <w:rPr>
          <w:rFonts w:ascii="Book Antiqua" w:hAnsi="Book Antiqua"/>
          <w:lang w:val="en-US"/>
        </w:rPr>
        <w:t>A</w:t>
      </w:r>
      <w:r w:rsidR="00A411EE" w:rsidRPr="003C1DCA">
        <w:rPr>
          <w:rFonts w:ascii="Book Antiqua" w:hAnsi="Book Antiqua"/>
          <w:lang w:val="en-US" w:eastAsia="zh-CN"/>
        </w:rPr>
        <w:t>:</w:t>
      </w:r>
      <w:r w:rsidR="00AC4788" w:rsidRPr="003C1DCA">
        <w:rPr>
          <w:rFonts w:ascii="Book Antiqua" w:hAnsi="Book Antiqua"/>
          <w:lang w:val="en-US"/>
        </w:rPr>
        <w:t xml:space="preserve"> Radiography showing signs of a distal obstruction; B</w:t>
      </w:r>
      <w:r w:rsidR="00A411EE" w:rsidRPr="003C1DCA">
        <w:rPr>
          <w:rFonts w:ascii="Book Antiqua" w:hAnsi="Book Antiqua"/>
          <w:lang w:val="en-US" w:eastAsia="zh-CN"/>
        </w:rPr>
        <w:t>:</w:t>
      </w:r>
      <w:r w:rsidR="00AC4788" w:rsidRPr="003C1DCA">
        <w:rPr>
          <w:rFonts w:ascii="Book Antiqua" w:hAnsi="Book Antiqua"/>
          <w:lang w:val="en-US"/>
        </w:rPr>
        <w:t xml:space="preserve"> Radiography of the same patient showing improvement after stenting and decompression</w:t>
      </w:r>
      <w:r w:rsidR="00A411EE" w:rsidRPr="003C1DCA">
        <w:rPr>
          <w:rFonts w:ascii="Book Antiqua" w:hAnsi="Book Antiqua"/>
          <w:lang w:val="en-US" w:eastAsia="zh-CN"/>
        </w:rPr>
        <w:t>.</w:t>
      </w:r>
    </w:p>
    <w:p w14:paraId="7C06784A" w14:textId="3A7CCE23" w:rsidR="00AC4788" w:rsidRPr="00C042FF" w:rsidRDefault="0010598E" w:rsidP="003E14C8">
      <w:pPr>
        <w:widowControl w:val="0"/>
        <w:autoSpaceDE w:val="0"/>
        <w:autoSpaceDN w:val="0"/>
        <w:adjustRightInd w:val="0"/>
        <w:spacing w:line="360" w:lineRule="auto"/>
        <w:jc w:val="both"/>
        <w:rPr>
          <w:rFonts w:ascii="Book Antiqua" w:hAnsi="Book Antiqua"/>
          <w:lang w:val="en-US"/>
        </w:rPr>
      </w:pPr>
      <w:r w:rsidRPr="00C042FF">
        <w:rPr>
          <w:rFonts w:ascii="Book Antiqua" w:hAnsi="Book Antiqua"/>
          <w:noProof/>
          <w:lang w:val="en-US" w:eastAsia="zh-CN"/>
        </w:rPr>
        <w:lastRenderedPageBreak/>
        <w:drawing>
          <wp:inline distT="0" distB="0" distL="0" distR="0" wp14:anchorId="60FCE496" wp14:editId="7C1853E8">
            <wp:extent cx="5396230" cy="5236995"/>
            <wp:effectExtent l="0" t="0" r="1270" b="0"/>
            <wp:docPr id="3" name="Imagem 3"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5236995"/>
                    </a:xfrm>
                    <a:prstGeom prst="rect">
                      <a:avLst/>
                    </a:prstGeom>
                    <a:noFill/>
                    <a:ln>
                      <a:noFill/>
                    </a:ln>
                  </pic:spPr>
                </pic:pic>
              </a:graphicData>
            </a:graphic>
          </wp:inline>
        </w:drawing>
      </w:r>
    </w:p>
    <w:p w14:paraId="5C11BF39" w14:textId="0725F99B" w:rsidR="00AC4788" w:rsidRPr="00C042FF" w:rsidRDefault="003C1DCA" w:rsidP="003E14C8">
      <w:pPr>
        <w:spacing w:line="360" w:lineRule="auto"/>
        <w:jc w:val="both"/>
        <w:rPr>
          <w:rFonts w:ascii="Book Antiqua" w:hAnsi="Book Antiqua"/>
          <w:lang w:val="en-US" w:eastAsia="zh-CN"/>
        </w:rPr>
      </w:pPr>
      <w:r w:rsidRPr="003C1DCA">
        <w:rPr>
          <w:rFonts w:ascii="Book Antiqua" w:hAnsi="Book Antiqua"/>
          <w:b/>
          <w:lang w:val="en-US"/>
        </w:rPr>
        <w:t xml:space="preserve">Figure 4 Stents procedure. </w:t>
      </w:r>
      <w:r w:rsidR="00AC4788" w:rsidRPr="00C042FF">
        <w:rPr>
          <w:rFonts w:ascii="Book Antiqua" w:hAnsi="Book Antiqua"/>
          <w:lang w:val="en-US"/>
        </w:rPr>
        <w:t>A</w:t>
      </w:r>
      <w:r w:rsidR="00A411EE">
        <w:rPr>
          <w:rFonts w:ascii="Book Antiqua" w:hAnsi="Book Antiqua" w:hint="eastAsia"/>
          <w:lang w:val="en-US" w:eastAsia="zh-CN"/>
        </w:rPr>
        <w:t>:</w:t>
      </w:r>
      <w:r w:rsidR="00AC4788" w:rsidRPr="00C042FF">
        <w:rPr>
          <w:rFonts w:ascii="Book Antiqua" w:hAnsi="Book Antiqua"/>
          <w:lang w:val="en-US"/>
        </w:rPr>
        <w:t xml:space="preserve"> Guide-wire placement through the stricture after contrast study; B</w:t>
      </w:r>
      <w:r w:rsidR="00A411EE">
        <w:rPr>
          <w:rFonts w:ascii="Book Antiqua" w:hAnsi="Book Antiqua" w:hint="eastAsia"/>
          <w:lang w:val="en-US" w:eastAsia="zh-CN"/>
        </w:rPr>
        <w:t>:</w:t>
      </w:r>
      <w:r w:rsidR="00AC4788" w:rsidRPr="00C042FF">
        <w:rPr>
          <w:rFonts w:ascii="Book Antiqua" w:hAnsi="Book Antiqua"/>
          <w:lang w:val="en-US"/>
        </w:rPr>
        <w:t xml:space="preserve"> Stent deploying through the scope; C</w:t>
      </w:r>
      <w:r w:rsidR="00A411EE">
        <w:rPr>
          <w:rFonts w:ascii="Book Antiqua" w:hAnsi="Book Antiqua" w:hint="eastAsia"/>
          <w:lang w:val="en-US" w:eastAsia="zh-CN"/>
        </w:rPr>
        <w:t>:</w:t>
      </w:r>
      <w:r w:rsidR="00AC4788" w:rsidRPr="00C042FF">
        <w:rPr>
          <w:rFonts w:ascii="Book Antiqua" w:hAnsi="Book Antiqua"/>
          <w:lang w:val="en-US"/>
        </w:rPr>
        <w:t xml:space="preserve"> Stent placement showing the stricture in the middle of the stent; D</w:t>
      </w:r>
      <w:r w:rsidR="00A411EE">
        <w:rPr>
          <w:rFonts w:ascii="Book Antiqua" w:hAnsi="Book Antiqua" w:hint="eastAsia"/>
          <w:lang w:val="en-US" w:eastAsia="zh-CN"/>
        </w:rPr>
        <w:t>:</w:t>
      </w:r>
      <w:r w:rsidR="00AC4788" w:rsidRPr="00C042FF">
        <w:rPr>
          <w:rFonts w:ascii="Book Antiqua" w:hAnsi="Book Antiqua"/>
          <w:lang w:val="en-US"/>
        </w:rPr>
        <w:t xml:space="preserve"> Final stent position</w:t>
      </w:r>
      <w:r w:rsidR="00A411EE">
        <w:rPr>
          <w:rFonts w:ascii="Book Antiqua" w:hAnsi="Book Antiqua" w:hint="eastAsia"/>
          <w:lang w:val="en-US" w:eastAsia="zh-CN"/>
        </w:rPr>
        <w:t>.</w:t>
      </w:r>
    </w:p>
    <w:p w14:paraId="05E75E0F" w14:textId="0172D4FE" w:rsidR="00AC4788" w:rsidRPr="00C042FF" w:rsidRDefault="0010598E" w:rsidP="003E14C8">
      <w:pPr>
        <w:spacing w:line="360" w:lineRule="auto"/>
        <w:jc w:val="both"/>
        <w:rPr>
          <w:rFonts w:ascii="Book Antiqua" w:hAnsi="Book Antiqua"/>
          <w:lang w:val="en-US"/>
        </w:rPr>
      </w:pPr>
      <w:r w:rsidRPr="00C042FF">
        <w:rPr>
          <w:rFonts w:ascii="Book Antiqua" w:hAnsi="Book Antiqua"/>
          <w:noProof/>
          <w:lang w:val="en-US" w:eastAsia="zh-CN"/>
        </w:rPr>
        <w:lastRenderedPageBreak/>
        <w:drawing>
          <wp:inline distT="0" distB="0" distL="0" distR="0" wp14:anchorId="2D61B71E" wp14:editId="25A583B7">
            <wp:extent cx="5396230" cy="276161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2761615"/>
                    </a:xfrm>
                    <a:prstGeom prst="rect">
                      <a:avLst/>
                    </a:prstGeom>
                  </pic:spPr>
                </pic:pic>
              </a:graphicData>
            </a:graphic>
          </wp:inline>
        </w:drawing>
      </w:r>
    </w:p>
    <w:p w14:paraId="3B993948" w14:textId="53BF36E3" w:rsidR="00AC4788" w:rsidRDefault="00A411EE" w:rsidP="003E14C8">
      <w:pPr>
        <w:spacing w:line="360" w:lineRule="auto"/>
        <w:jc w:val="both"/>
        <w:rPr>
          <w:rFonts w:ascii="Book Antiqua" w:hAnsi="Book Antiqua"/>
          <w:noProof/>
          <w:lang w:val="en-US" w:eastAsia="zh-CN"/>
        </w:rPr>
      </w:pPr>
      <w:r w:rsidRPr="00A411EE">
        <w:rPr>
          <w:rFonts w:ascii="Book Antiqua" w:hAnsi="Book Antiqua"/>
          <w:b/>
          <w:lang w:val="en-US"/>
        </w:rPr>
        <w:t>Figure 5</w:t>
      </w:r>
      <w:r w:rsidR="00AC4788" w:rsidRPr="00A411EE">
        <w:rPr>
          <w:rFonts w:ascii="Book Antiqua" w:hAnsi="Book Antiqua"/>
          <w:b/>
          <w:lang w:val="en-US"/>
        </w:rPr>
        <w:t xml:space="preserve"> Stent placement by Through the scope technique</w:t>
      </w:r>
      <w:r>
        <w:rPr>
          <w:rFonts w:ascii="Book Antiqua" w:hAnsi="Book Antiqua" w:hint="eastAsia"/>
          <w:noProof/>
          <w:lang w:val="en-US" w:eastAsia="zh-CN"/>
        </w:rPr>
        <w:t>.</w:t>
      </w:r>
      <w:r w:rsidR="00AC4788" w:rsidRPr="00A411EE">
        <w:rPr>
          <w:rFonts w:ascii="Book Antiqua" w:hAnsi="Book Antiqua"/>
          <w:noProof/>
          <w:lang w:val="en-US" w:eastAsia="zh-CN"/>
        </w:rPr>
        <w:t xml:space="preserve"> </w:t>
      </w:r>
    </w:p>
    <w:p w14:paraId="36B9E4DB" w14:textId="77777777" w:rsidR="006B0F08" w:rsidRPr="00A411EE" w:rsidRDefault="006B0F08" w:rsidP="003E14C8">
      <w:pPr>
        <w:spacing w:line="360" w:lineRule="auto"/>
        <w:jc w:val="both"/>
        <w:rPr>
          <w:rFonts w:ascii="Book Antiqua" w:hAnsi="Book Antiqua"/>
          <w:noProof/>
          <w:lang w:val="en-US" w:eastAsia="zh-CN"/>
        </w:rPr>
      </w:pPr>
    </w:p>
    <w:p w14:paraId="18101242" w14:textId="74FBE1F4" w:rsidR="00AC4788" w:rsidRPr="00C042FF" w:rsidRDefault="0010598E" w:rsidP="003E14C8">
      <w:pPr>
        <w:spacing w:line="360" w:lineRule="auto"/>
        <w:jc w:val="both"/>
        <w:rPr>
          <w:rFonts w:ascii="Book Antiqua" w:hAnsi="Book Antiqua"/>
          <w:lang w:val="en-US"/>
        </w:rPr>
      </w:pPr>
      <w:r w:rsidRPr="00C042FF">
        <w:rPr>
          <w:rFonts w:ascii="Book Antiqua" w:hAnsi="Book Antiqua"/>
          <w:noProof/>
          <w:lang w:val="en-US" w:eastAsia="zh-CN"/>
        </w:rPr>
        <w:drawing>
          <wp:inline distT="0" distB="0" distL="0" distR="0" wp14:anchorId="7E18388F" wp14:editId="023ECDF3">
            <wp:extent cx="5390515" cy="3966210"/>
            <wp:effectExtent l="0" t="0" r="0" b="0"/>
            <wp:docPr id="4" name="Imagem 4" descr="../../../../../../Desktop/Captura%20de%20Tela%202018-08-22%20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Tela%202018-08-22%20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3966210"/>
                    </a:xfrm>
                    <a:prstGeom prst="rect">
                      <a:avLst/>
                    </a:prstGeom>
                    <a:noFill/>
                    <a:ln>
                      <a:noFill/>
                    </a:ln>
                  </pic:spPr>
                </pic:pic>
              </a:graphicData>
            </a:graphic>
          </wp:inline>
        </w:drawing>
      </w:r>
    </w:p>
    <w:p w14:paraId="63C5FE2E" w14:textId="79E83BF2" w:rsidR="00AC4788" w:rsidRPr="003C1DCA" w:rsidRDefault="003C1DCA" w:rsidP="003C1DCA">
      <w:pPr>
        <w:spacing w:line="360" w:lineRule="auto"/>
        <w:jc w:val="both"/>
        <w:rPr>
          <w:rFonts w:ascii="Book Antiqua" w:hAnsi="Book Antiqua" w:cs="SimSun"/>
          <w:lang w:val="en-US" w:eastAsia="zh-CN"/>
        </w:rPr>
      </w:pPr>
      <w:r w:rsidRPr="003C1DCA">
        <w:rPr>
          <w:rFonts w:ascii="Book Antiqua" w:hAnsi="Book Antiqua" w:cs="SimSun"/>
          <w:b/>
          <w:lang w:val="en-US" w:eastAsia="zh-CN"/>
        </w:rPr>
        <w:t xml:space="preserve">Figure 6 The stent is passed over the guidewire to the proximal margin of the tumor and then implanted under fluoroscopic guidance and endoscopic visualization of the distal portion of the stent. </w:t>
      </w:r>
      <w:r w:rsidR="00AC4788" w:rsidRPr="003C1DCA">
        <w:rPr>
          <w:rFonts w:ascii="Book Antiqua" w:hAnsi="Book Antiqua"/>
          <w:lang w:val="en-US"/>
        </w:rPr>
        <w:t>A</w:t>
      </w:r>
      <w:r w:rsidR="00A411EE" w:rsidRPr="003C1DCA">
        <w:rPr>
          <w:rFonts w:ascii="Book Antiqua" w:hAnsi="Book Antiqua"/>
          <w:lang w:val="en-US" w:eastAsia="zh-CN"/>
        </w:rPr>
        <w:t>:</w:t>
      </w:r>
      <w:r w:rsidR="00AC4788" w:rsidRPr="003C1DCA">
        <w:rPr>
          <w:rFonts w:ascii="Book Antiqua" w:hAnsi="Book Antiqua"/>
          <w:lang w:val="en-US"/>
        </w:rPr>
        <w:t xml:space="preserve"> M</w:t>
      </w:r>
      <w:r>
        <w:rPr>
          <w:rFonts w:ascii="Book Antiqua" w:hAnsi="Book Antiqua"/>
          <w:lang w:val="en-US"/>
        </w:rPr>
        <w:t>alignant lesion causing colonic</w:t>
      </w:r>
      <w:r>
        <w:rPr>
          <w:rFonts w:ascii="Book Antiqua" w:hAnsi="Book Antiqua" w:hint="eastAsia"/>
          <w:lang w:val="en-US" w:eastAsia="zh-CN"/>
        </w:rPr>
        <w:t xml:space="preserve"> </w:t>
      </w:r>
      <w:r w:rsidR="00AC4788" w:rsidRPr="003C1DCA">
        <w:rPr>
          <w:rFonts w:ascii="Book Antiqua" w:hAnsi="Book Antiqua"/>
          <w:lang w:val="en-US"/>
        </w:rPr>
        <w:t>stenosis; B</w:t>
      </w:r>
      <w:r w:rsidR="00A411EE" w:rsidRPr="003C1DCA">
        <w:rPr>
          <w:rFonts w:ascii="Book Antiqua" w:hAnsi="Book Antiqua"/>
          <w:lang w:val="en-US" w:eastAsia="zh-CN"/>
        </w:rPr>
        <w:t>:</w:t>
      </w:r>
      <w:r w:rsidR="00AC4788" w:rsidRPr="003C1DCA">
        <w:rPr>
          <w:rFonts w:ascii="Book Antiqua" w:hAnsi="Book Antiqua"/>
          <w:lang w:val="en-US"/>
        </w:rPr>
        <w:t xml:space="preserve"> Stent deployment; C</w:t>
      </w:r>
      <w:r w:rsidR="00A411EE" w:rsidRPr="003C1DCA">
        <w:rPr>
          <w:rFonts w:ascii="Book Antiqua" w:hAnsi="Book Antiqua"/>
          <w:lang w:val="en-US" w:eastAsia="zh-CN"/>
        </w:rPr>
        <w:t>:</w:t>
      </w:r>
      <w:r w:rsidR="00AC4788" w:rsidRPr="003C1DCA">
        <w:rPr>
          <w:rFonts w:ascii="Book Antiqua" w:hAnsi="Book Antiqua"/>
          <w:lang w:val="en-US"/>
        </w:rPr>
        <w:t xml:space="preserve"> Stent immediately after deployment; D</w:t>
      </w:r>
      <w:r w:rsidR="00A411EE" w:rsidRPr="003C1DCA">
        <w:rPr>
          <w:rFonts w:ascii="Book Antiqua" w:hAnsi="Book Antiqua"/>
          <w:lang w:val="en-US" w:eastAsia="zh-CN"/>
        </w:rPr>
        <w:t>:</w:t>
      </w:r>
      <w:r w:rsidR="00AC4788" w:rsidRPr="003C1DCA">
        <w:rPr>
          <w:rFonts w:ascii="Book Antiqua" w:hAnsi="Book Antiqua"/>
          <w:lang w:val="en-US"/>
        </w:rPr>
        <w:t xml:space="preserve"> Fecal contents coming through the stent after decompression</w:t>
      </w:r>
      <w:r w:rsidR="00A411EE" w:rsidRPr="003C1DCA">
        <w:rPr>
          <w:rFonts w:ascii="Book Antiqua" w:hAnsi="Book Antiqua"/>
          <w:lang w:val="en-US" w:eastAsia="zh-CN"/>
        </w:rPr>
        <w:t>.</w:t>
      </w:r>
    </w:p>
    <w:p w14:paraId="5CF91E71" w14:textId="77777777" w:rsidR="00AC4788" w:rsidRPr="00C042FF" w:rsidRDefault="00AC4788" w:rsidP="003E14C8">
      <w:pPr>
        <w:widowControl w:val="0"/>
        <w:autoSpaceDE w:val="0"/>
        <w:autoSpaceDN w:val="0"/>
        <w:adjustRightInd w:val="0"/>
        <w:spacing w:line="360" w:lineRule="auto"/>
        <w:jc w:val="both"/>
        <w:rPr>
          <w:rFonts w:ascii="Book Antiqua" w:hAnsi="Book Antiqua"/>
          <w:lang w:val="en-US"/>
        </w:rPr>
      </w:pPr>
    </w:p>
    <w:p w14:paraId="20B820D1" w14:textId="6C0DED0A" w:rsidR="00AC4788" w:rsidRDefault="0010598E" w:rsidP="003E14C8">
      <w:pPr>
        <w:spacing w:line="360" w:lineRule="auto"/>
        <w:jc w:val="both"/>
        <w:rPr>
          <w:rFonts w:ascii="Book Antiqua" w:hAnsi="Book Antiqua"/>
          <w:b/>
          <w:i/>
          <w:lang w:val="en-US" w:eastAsia="zh-CN"/>
        </w:rPr>
      </w:pPr>
      <w:r w:rsidRPr="00C042FF">
        <w:rPr>
          <w:rFonts w:ascii="Book Antiqua" w:hAnsi="Book Antiqua"/>
          <w:noProof/>
          <w:lang w:val="en-US" w:eastAsia="zh-CN"/>
        </w:rPr>
        <w:drawing>
          <wp:inline distT="0" distB="0" distL="0" distR="0" wp14:anchorId="74EA232A" wp14:editId="73B06019">
            <wp:extent cx="5396230" cy="2754630"/>
            <wp:effectExtent l="0" t="0" r="127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2754630"/>
                    </a:xfrm>
                    <a:prstGeom prst="rect">
                      <a:avLst/>
                    </a:prstGeom>
                  </pic:spPr>
                </pic:pic>
              </a:graphicData>
            </a:graphic>
          </wp:inline>
        </w:drawing>
      </w:r>
      <w:r w:rsidR="00A411EE" w:rsidRPr="00A411EE">
        <w:rPr>
          <w:rFonts w:ascii="Book Antiqua" w:hAnsi="Book Antiqua"/>
          <w:b/>
          <w:lang w:val="en-US"/>
        </w:rPr>
        <w:t>Figure 7</w:t>
      </w:r>
      <w:r w:rsidR="00AC4788" w:rsidRPr="00A411EE">
        <w:rPr>
          <w:rFonts w:ascii="Book Antiqua" w:hAnsi="Book Antiqua"/>
          <w:b/>
          <w:lang w:val="en-US"/>
        </w:rPr>
        <w:t xml:space="preserve"> Stent placement by Over-the-wire</w:t>
      </w:r>
      <w:r w:rsidR="00AC4788" w:rsidRPr="00A411EE">
        <w:rPr>
          <w:rFonts w:ascii="Book Antiqua" w:hAnsi="Book Antiqua"/>
          <w:b/>
          <w:i/>
          <w:lang w:val="en-US"/>
        </w:rPr>
        <w:t xml:space="preserve"> </w:t>
      </w:r>
      <w:r w:rsidR="00AC4788" w:rsidRPr="00A411EE">
        <w:rPr>
          <w:rFonts w:ascii="Book Antiqua" w:hAnsi="Book Antiqua"/>
          <w:b/>
          <w:lang w:val="en-US"/>
        </w:rPr>
        <w:t>technique</w:t>
      </w:r>
      <w:r w:rsidR="00A411EE" w:rsidRPr="00A411EE">
        <w:rPr>
          <w:rFonts w:ascii="Book Antiqua" w:hAnsi="Book Antiqua" w:hint="eastAsia"/>
          <w:b/>
          <w:lang w:val="en-US" w:eastAsia="zh-CN"/>
        </w:rPr>
        <w:t>.</w:t>
      </w:r>
      <w:r w:rsidR="00AC4788" w:rsidRPr="00A411EE">
        <w:rPr>
          <w:rFonts w:ascii="Book Antiqua" w:hAnsi="Book Antiqua"/>
          <w:b/>
          <w:i/>
          <w:lang w:val="en-US"/>
        </w:rPr>
        <w:t xml:space="preserve"> </w:t>
      </w:r>
    </w:p>
    <w:p w14:paraId="48A32B1D" w14:textId="77777777" w:rsidR="006B0F08" w:rsidRPr="00C042FF" w:rsidRDefault="006B0F08" w:rsidP="003E14C8">
      <w:pPr>
        <w:spacing w:line="360" w:lineRule="auto"/>
        <w:jc w:val="both"/>
        <w:rPr>
          <w:rFonts w:ascii="Book Antiqua" w:hAnsi="Book Antiqua"/>
          <w:lang w:val="en-US" w:eastAsia="zh-CN"/>
        </w:rPr>
      </w:pPr>
    </w:p>
    <w:p w14:paraId="6919E020" w14:textId="397D42DD" w:rsidR="00AC4788" w:rsidRPr="00C042FF" w:rsidRDefault="0010598E" w:rsidP="003E14C8">
      <w:pPr>
        <w:widowControl w:val="0"/>
        <w:autoSpaceDE w:val="0"/>
        <w:autoSpaceDN w:val="0"/>
        <w:adjustRightInd w:val="0"/>
        <w:spacing w:line="360" w:lineRule="auto"/>
        <w:jc w:val="both"/>
        <w:rPr>
          <w:rFonts w:ascii="Book Antiqua" w:hAnsi="Book Antiqua"/>
          <w:lang w:val="en-US"/>
        </w:rPr>
      </w:pPr>
      <w:r w:rsidRPr="00C042FF">
        <w:rPr>
          <w:rFonts w:ascii="Book Antiqua" w:hAnsi="Book Antiqua"/>
          <w:noProof/>
          <w:lang w:val="en-US" w:eastAsia="zh-CN"/>
        </w:rPr>
        <w:drawing>
          <wp:inline distT="0" distB="0" distL="0" distR="0" wp14:anchorId="157AFB32" wp14:editId="2A0357A6">
            <wp:extent cx="5390515" cy="3444875"/>
            <wp:effectExtent l="0" t="0" r="0" b="9525"/>
            <wp:docPr id="8" name="Imagem 8"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3444875"/>
                    </a:xfrm>
                    <a:prstGeom prst="rect">
                      <a:avLst/>
                    </a:prstGeom>
                    <a:noFill/>
                    <a:ln>
                      <a:noFill/>
                    </a:ln>
                  </pic:spPr>
                </pic:pic>
              </a:graphicData>
            </a:graphic>
          </wp:inline>
        </w:drawing>
      </w:r>
    </w:p>
    <w:p w14:paraId="06EDA8F0" w14:textId="75B81694" w:rsidR="00AC4788" w:rsidRPr="00C042FF" w:rsidRDefault="00D3518B" w:rsidP="003E14C8">
      <w:pPr>
        <w:spacing w:line="360" w:lineRule="auto"/>
        <w:jc w:val="both"/>
        <w:rPr>
          <w:rFonts w:ascii="Book Antiqua" w:hAnsi="Book Antiqua"/>
          <w:lang w:val="en-US" w:eastAsia="zh-CN"/>
        </w:rPr>
      </w:pPr>
      <w:r w:rsidRPr="00D3518B">
        <w:rPr>
          <w:rFonts w:ascii="Book Antiqua" w:hAnsi="Book Antiqua"/>
          <w:b/>
          <w:lang w:val="en-US"/>
        </w:rPr>
        <w:t xml:space="preserve">Figure 8 Specimen and stent. </w:t>
      </w:r>
      <w:r w:rsidR="00AC4788" w:rsidRPr="00C042FF">
        <w:rPr>
          <w:rFonts w:ascii="Book Antiqua" w:hAnsi="Book Antiqua"/>
          <w:lang w:val="en-US"/>
        </w:rPr>
        <w:t>A</w:t>
      </w:r>
      <w:r w:rsidR="00A411EE">
        <w:rPr>
          <w:rFonts w:ascii="Book Antiqua" w:hAnsi="Book Antiqua" w:hint="eastAsia"/>
          <w:lang w:val="en-US" w:eastAsia="zh-CN"/>
        </w:rPr>
        <w:t>:</w:t>
      </w:r>
      <w:r w:rsidR="00AC4788" w:rsidRPr="00C042FF">
        <w:rPr>
          <w:rFonts w:ascii="Book Antiqua" w:hAnsi="Book Antiqua"/>
          <w:lang w:val="en-US"/>
        </w:rPr>
        <w:t xml:space="preserve"> Specimen after surgery showing the stent crossing the lesion; B</w:t>
      </w:r>
      <w:r w:rsidR="00A411EE">
        <w:rPr>
          <w:rFonts w:ascii="Book Antiqua" w:hAnsi="Book Antiqua" w:hint="eastAsia"/>
          <w:lang w:val="en-US" w:eastAsia="zh-CN"/>
        </w:rPr>
        <w:t>:</w:t>
      </w:r>
      <w:r w:rsidR="00AC4788" w:rsidRPr="00C042FF">
        <w:rPr>
          <w:rFonts w:ascii="Book Antiqua" w:hAnsi="Book Antiqua"/>
          <w:lang w:val="en-US"/>
        </w:rPr>
        <w:t xml:space="preserve"> Image of the stent and the malignant lesion after resection</w:t>
      </w:r>
      <w:r w:rsidR="00A411EE">
        <w:rPr>
          <w:rFonts w:ascii="Book Antiqua" w:hAnsi="Book Antiqua" w:hint="eastAsia"/>
          <w:lang w:val="en-US" w:eastAsia="zh-CN"/>
        </w:rPr>
        <w:t>.</w:t>
      </w:r>
    </w:p>
    <w:p w14:paraId="7019F8C2" w14:textId="77777777" w:rsidR="0010598E" w:rsidRPr="00C042FF" w:rsidRDefault="0010598E" w:rsidP="003E14C8">
      <w:pPr>
        <w:widowControl w:val="0"/>
        <w:autoSpaceDE w:val="0"/>
        <w:autoSpaceDN w:val="0"/>
        <w:adjustRightInd w:val="0"/>
        <w:spacing w:line="360" w:lineRule="auto"/>
        <w:jc w:val="both"/>
        <w:rPr>
          <w:rFonts w:ascii="Book Antiqua" w:hAnsi="Book Antiqua"/>
          <w:lang w:val="en-US" w:eastAsia="zh-CN"/>
        </w:rPr>
      </w:pPr>
    </w:p>
    <w:p w14:paraId="11AD1284" w14:textId="77777777" w:rsidR="0010598E" w:rsidRPr="00C042FF" w:rsidRDefault="0010598E" w:rsidP="003E14C8">
      <w:pPr>
        <w:spacing w:line="360" w:lineRule="auto"/>
        <w:jc w:val="both"/>
        <w:rPr>
          <w:rFonts w:ascii="Book Antiqua" w:hAnsi="Book Antiqua"/>
          <w:lang w:val="en-US"/>
        </w:rPr>
        <w:sectPr w:rsidR="0010598E" w:rsidRPr="00C042FF" w:rsidSect="00C93C7A">
          <w:footerReference w:type="even" r:id="rId16"/>
          <w:footerReference w:type="default" r:id="rId17"/>
          <w:pgSz w:w="11900" w:h="16840"/>
          <w:pgMar w:top="1417" w:right="1701" w:bottom="1417" w:left="1701" w:header="708" w:footer="708" w:gutter="0"/>
          <w:cols w:space="708"/>
          <w:docGrid w:linePitch="360"/>
        </w:sectPr>
      </w:pPr>
      <w:r w:rsidRPr="00C042FF">
        <w:rPr>
          <w:rFonts w:ascii="Book Antiqua" w:hAnsi="Book Antiqua"/>
          <w:lang w:val="en-US"/>
        </w:rPr>
        <w:br w:type="page"/>
      </w:r>
    </w:p>
    <w:p w14:paraId="41455FD5" w14:textId="362D4DA5" w:rsidR="00D556D8" w:rsidRPr="006B0F08" w:rsidRDefault="00D556D8" w:rsidP="00D556D8">
      <w:pPr>
        <w:spacing w:line="360" w:lineRule="auto"/>
        <w:jc w:val="both"/>
        <w:rPr>
          <w:rFonts w:ascii="Book Antiqua" w:hAnsi="Book Antiqua"/>
          <w:b/>
          <w:w w:val="95"/>
          <w:lang w:val="en-US" w:eastAsia="zh-CN"/>
        </w:rPr>
      </w:pPr>
      <w:r w:rsidRPr="006B0F08">
        <w:rPr>
          <w:rFonts w:ascii="Book Antiqua" w:hAnsi="Book Antiqua"/>
          <w:b/>
          <w:color w:val="000000" w:themeColor="text1"/>
          <w:w w:val="95"/>
          <w:lang w:val="en-US"/>
        </w:rPr>
        <w:lastRenderedPageBreak/>
        <w:t>Table 1 Commercially available colorectal stents</w:t>
      </w:r>
    </w:p>
    <w:tbl>
      <w:tblPr>
        <w:tblStyle w:val="TableNormal1"/>
        <w:tblpPr w:leftFromText="180" w:rightFromText="180" w:vertAnchor="text" w:horzAnchor="margin" w:tblpY="291"/>
        <w:tblW w:w="5000" w:type="pct"/>
        <w:tblBorders>
          <w:top w:val="single" w:sz="4" w:space="0" w:color="auto"/>
          <w:bottom w:val="single" w:sz="4" w:space="0" w:color="auto"/>
        </w:tblBorders>
        <w:tblLook w:val="01E0" w:firstRow="1" w:lastRow="1" w:firstColumn="1" w:lastColumn="1" w:noHBand="0" w:noVBand="0"/>
      </w:tblPr>
      <w:tblGrid>
        <w:gridCol w:w="3047"/>
        <w:gridCol w:w="1280"/>
        <w:gridCol w:w="1384"/>
        <w:gridCol w:w="1902"/>
        <w:gridCol w:w="866"/>
        <w:gridCol w:w="1384"/>
        <w:gridCol w:w="1902"/>
        <w:gridCol w:w="2241"/>
      </w:tblGrid>
      <w:tr w:rsidR="00E73795" w:rsidRPr="006B0F08" w14:paraId="489DD7BB" w14:textId="77777777" w:rsidTr="00E73795">
        <w:trPr>
          <w:trHeight w:val="229"/>
        </w:trPr>
        <w:tc>
          <w:tcPr>
            <w:tcW w:w="1088" w:type="pct"/>
            <w:tcBorders>
              <w:top w:val="single" w:sz="4" w:space="0" w:color="auto"/>
              <w:bottom w:val="single" w:sz="4" w:space="0" w:color="auto"/>
            </w:tcBorders>
          </w:tcPr>
          <w:p w14:paraId="3F0C3E4A" w14:textId="77777777" w:rsidR="00D556D8" w:rsidRPr="006B0F08" w:rsidRDefault="00D556D8" w:rsidP="00D556D8">
            <w:pPr>
              <w:pStyle w:val="TableParagraph"/>
              <w:spacing w:line="360" w:lineRule="auto"/>
              <w:jc w:val="both"/>
              <w:rPr>
                <w:rFonts w:ascii="Book Antiqua" w:hAnsi="Book Antiqua"/>
                <w:b/>
                <w:w w:val="95"/>
                <w:sz w:val="24"/>
                <w:szCs w:val="24"/>
              </w:rPr>
            </w:pPr>
            <w:r w:rsidRPr="006B0F08">
              <w:rPr>
                <w:rFonts w:ascii="Book Antiqua" w:hAnsi="Book Antiqua"/>
                <w:b/>
                <w:noProof/>
                <w:w w:val="95"/>
                <w:sz w:val="24"/>
                <w:szCs w:val="24"/>
              </w:rPr>
              <w:t>Manufacturer</w:t>
            </w:r>
            <w:r w:rsidRPr="006B0F08">
              <w:rPr>
                <w:rFonts w:ascii="Book Antiqua" w:hAnsi="Book Antiqua"/>
                <w:b/>
                <w:noProof/>
                <w:spacing w:val="-17"/>
                <w:w w:val="95"/>
                <w:sz w:val="24"/>
                <w:szCs w:val="24"/>
              </w:rPr>
              <w:t xml:space="preserve"> </w:t>
            </w:r>
            <w:r w:rsidRPr="006B0F08">
              <w:rPr>
                <w:rFonts w:ascii="Book Antiqua" w:hAnsi="Book Antiqua"/>
                <w:b/>
                <w:noProof/>
                <w:w w:val="95"/>
                <w:sz w:val="24"/>
                <w:szCs w:val="24"/>
              </w:rPr>
              <w:t>and</w:t>
            </w:r>
            <w:r w:rsidRPr="006B0F08">
              <w:rPr>
                <w:rFonts w:ascii="Book Antiqua" w:hAnsi="Book Antiqua"/>
                <w:b/>
                <w:noProof/>
                <w:spacing w:val="-17"/>
                <w:w w:val="95"/>
                <w:sz w:val="24"/>
                <w:szCs w:val="24"/>
              </w:rPr>
              <w:t xml:space="preserve"> </w:t>
            </w:r>
            <w:r w:rsidRPr="006B0F08">
              <w:rPr>
                <w:rFonts w:ascii="Book Antiqua" w:hAnsi="Book Antiqua"/>
                <w:b/>
                <w:noProof/>
                <w:w w:val="95"/>
                <w:sz w:val="24"/>
                <w:szCs w:val="24"/>
              </w:rPr>
              <w:t>model</w:t>
            </w:r>
          </w:p>
        </w:tc>
        <w:tc>
          <w:tcPr>
            <w:tcW w:w="457" w:type="pct"/>
            <w:tcBorders>
              <w:top w:val="single" w:sz="4" w:space="0" w:color="auto"/>
              <w:bottom w:val="single" w:sz="4" w:space="0" w:color="auto"/>
            </w:tcBorders>
          </w:tcPr>
          <w:p w14:paraId="53BE6CD5" w14:textId="77777777" w:rsidR="00D556D8" w:rsidRPr="006B0F08" w:rsidRDefault="00D556D8" w:rsidP="00D556D8">
            <w:pPr>
              <w:pStyle w:val="TableParagraph"/>
              <w:spacing w:line="360" w:lineRule="auto"/>
              <w:jc w:val="both"/>
              <w:rPr>
                <w:rFonts w:ascii="Book Antiqua" w:hAnsi="Book Antiqua"/>
                <w:b/>
                <w:sz w:val="24"/>
                <w:szCs w:val="24"/>
              </w:rPr>
            </w:pPr>
            <w:r w:rsidRPr="006B0F08">
              <w:rPr>
                <w:rFonts w:ascii="Book Antiqua" w:hAnsi="Book Antiqua"/>
                <w:b/>
                <w:noProof/>
                <w:w w:val="95"/>
                <w:sz w:val="24"/>
                <w:szCs w:val="24"/>
              </w:rPr>
              <w:t>Material</w:t>
            </w:r>
          </w:p>
        </w:tc>
        <w:tc>
          <w:tcPr>
            <w:tcW w:w="494" w:type="pct"/>
            <w:tcBorders>
              <w:top w:val="single" w:sz="4" w:space="0" w:color="auto"/>
              <w:bottom w:val="single" w:sz="4" w:space="0" w:color="auto"/>
            </w:tcBorders>
          </w:tcPr>
          <w:p w14:paraId="4B61F9F3" w14:textId="77777777" w:rsidR="00D556D8" w:rsidRPr="006B0F08" w:rsidRDefault="00D556D8" w:rsidP="00D556D8">
            <w:pPr>
              <w:pStyle w:val="TableParagraph"/>
              <w:spacing w:line="360" w:lineRule="auto"/>
              <w:jc w:val="both"/>
              <w:rPr>
                <w:rFonts w:ascii="Book Antiqua" w:hAnsi="Book Antiqua"/>
                <w:b/>
                <w:w w:val="80"/>
                <w:sz w:val="24"/>
                <w:szCs w:val="24"/>
              </w:rPr>
            </w:pPr>
            <w:r w:rsidRPr="006B0F08">
              <w:rPr>
                <w:rFonts w:ascii="Book Antiqua" w:hAnsi="Book Antiqua"/>
                <w:b/>
                <w:noProof/>
                <w:w w:val="90"/>
                <w:sz w:val="24"/>
                <w:szCs w:val="24"/>
              </w:rPr>
              <w:t>Delivery</w:t>
            </w:r>
            <w:r w:rsidRPr="006B0F08">
              <w:rPr>
                <w:rFonts w:ascii="Book Antiqua" w:hAnsi="Book Antiqua"/>
                <w:b/>
                <w:noProof/>
                <w:spacing w:val="-4"/>
                <w:w w:val="90"/>
                <w:sz w:val="24"/>
                <w:szCs w:val="24"/>
              </w:rPr>
              <w:t xml:space="preserve"> </w:t>
            </w:r>
            <w:r w:rsidRPr="006B0F08">
              <w:rPr>
                <w:rFonts w:ascii="Book Antiqua" w:hAnsi="Book Antiqua"/>
                <w:b/>
                <w:noProof/>
                <w:w w:val="90"/>
                <w:sz w:val="24"/>
                <w:szCs w:val="24"/>
              </w:rPr>
              <w:t>system</w:t>
            </w:r>
          </w:p>
        </w:tc>
        <w:tc>
          <w:tcPr>
            <w:tcW w:w="679" w:type="pct"/>
            <w:tcBorders>
              <w:top w:val="single" w:sz="4" w:space="0" w:color="auto"/>
              <w:bottom w:val="single" w:sz="4" w:space="0" w:color="auto"/>
            </w:tcBorders>
          </w:tcPr>
          <w:p w14:paraId="08BEBF90" w14:textId="77777777" w:rsidR="00D556D8" w:rsidRPr="006B0F08" w:rsidRDefault="00D556D8" w:rsidP="00D556D8">
            <w:pPr>
              <w:pStyle w:val="TableParagraph"/>
              <w:spacing w:line="360" w:lineRule="auto"/>
              <w:jc w:val="both"/>
              <w:rPr>
                <w:rFonts w:ascii="Book Antiqua" w:hAnsi="Book Antiqua"/>
                <w:b/>
                <w:w w:val="95"/>
                <w:sz w:val="24"/>
                <w:szCs w:val="24"/>
              </w:rPr>
            </w:pPr>
            <w:r w:rsidRPr="006B0F08">
              <w:rPr>
                <w:rFonts w:ascii="Book Antiqua" w:hAnsi="Book Antiqua"/>
                <w:b/>
                <w:noProof/>
                <w:w w:val="95"/>
                <w:sz w:val="24"/>
                <w:szCs w:val="24"/>
              </w:rPr>
              <w:t>Diameter</w:t>
            </w:r>
            <w:r w:rsidRPr="006B0F08">
              <w:rPr>
                <w:rFonts w:ascii="Book Antiqua" w:hAnsi="Book Antiqua"/>
                <w:b/>
                <w:noProof/>
                <w:spacing w:val="-14"/>
                <w:w w:val="95"/>
                <w:sz w:val="24"/>
                <w:szCs w:val="24"/>
              </w:rPr>
              <w:t xml:space="preserve"> </w:t>
            </w:r>
            <w:r w:rsidRPr="006B0F08">
              <w:rPr>
                <w:rFonts w:ascii="Book Antiqua" w:hAnsi="Book Antiqua"/>
                <w:b/>
                <w:noProof/>
                <w:w w:val="95"/>
                <w:sz w:val="24"/>
                <w:szCs w:val="24"/>
              </w:rPr>
              <w:t>(mm)</w:t>
            </w:r>
          </w:p>
        </w:tc>
        <w:tc>
          <w:tcPr>
            <w:tcW w:w="309" w:type="pct"/>
            <w:tcBorders>
              <w:top w:val="single" w:sz="4" w:space="0" w:color="auto"/>
              <w:bottom w:val="single" w:sz="4" w:space="0" w:color="auto"/>
            </w:tcBorders>
          </w:tcPr>
          <w:p w14:paraId="18C7BA73" w14:textId="77777777" w:rsidR="00D556D8" w:rsidRPr="006B0F08" w:rsidRDefault="00D556D8" w:rsidP="00D556D8">
            <w:pPr>
              <w:pStyle w:val="TableParagraph"/>
              <w:spacing w:line="360" w:lineRule="auto"/>
              <w:jc w:val="both"/>
              <w:rPr>
                <w:rFonts w:ascii="Book Antiqua" w:hAnsi="Book Antiqua"/>
                <w:b/>
                <w:w w:val="95"/>
                <w:sz w:val="24"/>
                <w:szCs w:val="24"/>
              </w:rPr>
            </w:pPr>
            <w:r w:rsidRPr="006B0F08">
              <w:rPr>
                <w:rFonts w:ascii="Book Antiqua" w:hAnsi="Book Antiqua"/>
                <w:b/>
                <w:noProof/>
                <w:w w:val="95"/>
                <w:sz w:val="24"/>
                <w:szCs w:val="24"/>
              </w:rPr>
              <w:t>Flare</w:t>
            </w:r>
          </w:p>
        </w:tc>
        <w:tc>
          <w:tcPr>
            <w:tcW w:w="494" w:type="pct"/>
            <w:tcBorders>
              <w:top w:val="single" w:sz="4" w:space="0" w:color="auto"/>
              <w:bottom w:val="single" w:sz="4" w:space="0" w:color="auto"/>
            </w:tcBorders>
          </w:tcPr>
          <w:p w14:paraId="41489E07" w14:textId="77777777" w:rsidR="00D556D8" w:rsidRPr="006B0F08" w:rsidRDefault="00D556D8" w:rsidP="00D556D8">
            <w:pPr>
              <w:pStyle w:val="TableParagraph"/>
              <w:spacing w:line="360" w:lineRule="auto"/>
              <w:jc w:val="both"/>
              <w:rPr>
                <w:rFonts w:ascii="Book Antiqua" w:hAnsi="Book Antiqua"/>
                <w:b/>
                <w:w w:val="90"/>
                <w:sz w:val="24"/>
                <w:szCs w:val="24"/>
              </w:rPr>
            </w:pPr>
            <w:r w:rsidRPr="006B0F08">
              <w:rPr>
                <w:rFonts w:ascii="Book Antiqua" w:hAnsi="Book Antiqua"/>
                <w:b/>
                <w:noProof/>
                <w:w w:val="95"/>
                <w:sz w:val="24"/>
                <w:szCs w:val="24"/>
              </w:rPr>
              <w:t>Flare</w:t>
            </w:r>
            <w:r w:rsidRPr="006B0F08">
              <w:rPr>
                <w:rFonts w:ascii="Book Antiqua" w:hAnsi="Book Antiqua"/>
                <w:b/>
                <w:noProof/>
                <w:spacing w:val="-17"/>
                <w:w w:val="95"/>
                <w:sz w:val="24"/>
                <w:szCs w:val="24"/>
              </w:rPr>
              <w:t xml:space="preserve"> </w:t>
            </w:r>
            <w:r w:rsidRPr="006B0F08">
              <w:rPr>
                <w:rFonts w:ascii="Book Antiqua" w:hAnsi="Book Antiqua"/>
                <w:b/>
                <w:noProof/>
                <w:w w:val="95"/>
                <w:sz w:val="24"/>
                <w:szCs w:val="24"/>
              </w:rPr>
              <w:t>diameter</w:t>
            </w:r>
            <w:r w:rsidRPr="006B0F08">
              <w:rPr>
                <w:rFonts w:ascii="Book Antiqua" w:hAnsi="Book Antiqua"/>
                <w:b/>
                <w:noProof/>
                <w:spacing w:val="-17"/>
                <w:w w:val="95"/>
                <w:sz w:val="24"/>
                <w:szCs w:val="24"/>
              </w:rPr>
              <w:t xml:space="preserve"> </w:t>
            </w:r>
            <w:r w:rsidRPr="006B0F08">
              <w:rPr>
                <w:rFonts w:ascii="Book Antiqua" w:hAnsi="Book Antiqua"/>
                <w:b/>
                <w:noProof/>
                <w:w w:val="95"/>
                <w:sz w:val="24"/>
                <w:szCs w:val="24"/>
              </w:rPr>
              <w:t>(mm)</w:t>
            </w:r>
          </w:p>
        </w:tc>
        <w:tc>
          <w:tcPr>
            <w:tcW w:w="679" w:type="pct"/>
            <w:tcBorders>
              <w:top w:val="single" w:sz="4" w:space="0" w:color="auto"/>
              <w:bottom w:val="single" w:sz="4" w:space="0" w:color="auto"/>
            </w:tcBorders>
          </w:tcPr>
          <w:p w14:paraId="19E33AA0" w14:textId="77777777" w:rsidR="00D556D8" w:rsidRPr="006B0F08" w:rsidRDefault="00D556D8" w:rsidP="00D556D8">
            <w:pPr>
              <w:pStyle w:val="TableParagraph"/>
              <w:spacing w:line="360" w:lineRule="auto"/>
              <w:jc w:val="both"/>
              <w:rPr>
                <w:rFonts w:ascii="Book Antiqua" w:hAnsi="Book Antiqua"/>
                <w:b/>
                <w:w w:val="95"/>
                <w:sz w:val="24"/>
                <w:szCs w:val="24"/>
              </w:rPr>
            </w:pPr>
            <w:r w:rsidRPr="006B0F08">
              <w:rPr>
                <w:rFonts w:ascii="Book Antiqua" w:hAnsi="Book Antiqua"/>
                <w:b/>
                <w:noProof/>
                <w:w w:val="95"/>
                <w:sz w:val="24"/>
                <w:szCs w:val="24"/>
              </w:rPr>
              <w:t>Length</w:t>
            </w:r>
            <w:r w:rsidRPr="006B0F08">
              <w:rPr>
                <w:rFonts w:ascii="Book Antiqua" w:hAnsi="Book Antiqua"/>
                <w:b/>
                <w:noProof/>
                <w:spacing w:val="-7"/>
                <w:w w:val="95"/>
                <w:sz w:val="24"/>
                <w:szCs w:val="24"/>
              </w:rPr>
              <w:t xml:space="preserve"> </w:t>
            </w:r>
            <w:r w:rsidRPr="006B0F08">
              <w:rPr>
                <w:rFonts w:ascii="Book Antiqua" w:hAnsi="Book Antiqua"/>
                <w:b/>
                <w:noProof/>
                <w:w w:val="95"/>
                <w:sz w:val="24"/>
                <w:szCs w:val="24"/>
              </w:rPr>
              <w:t>(mm)</w:t>
            </w:r>
          </w:p>
        </w:tc>
        <w:tc>
          <w:tcPr>
            <w:tcW w:w="802" w:type="pct"/>
            <w:tcBorders>
              <w:top w:val="single" w:sz="4" w:space="0" w:color="auto"/>
              <w:bottom w:val="single" w:sz="4" w:space="0" w:color="auto"/>
            </w:tcBorders>
          </w:tcPr>
          <w:p w14:paraId="3D4CDBED" w14:textId="77777777" w:rsidR="00D556D8" w:rsidRPr="006B0F08" w:rsidRDefault="00D556D8" w:rsidP="00D556D8">
            <w:pPr>
              <w:pStyle w:val="TableParagraph"/>
              <w:spacing w:line="360" w:lineRule="auto"/>
              <w:jc w:val="both"/>
              <w:rPr>
                <w:rFonts w:ascii="Book Antiqua" w:hAnsi="Book Antiqua"/>
                <w:b/>
                <w:w w:val="95"/>
                <w:sz w:val="24"/>
                <w:szCs w:val="24"/>
              </w:rPr>
            </w:pPr>
            <w:r w:rsidRPr="006B0F08">
              <w:rPr>
                <w:rFonts w:ascii="Book Antiqua" w:hAnsi="Book Antiqua"/>
                <w:b/>
                <w:noProof/>
                <w:w w:val="90"/>
                <w:sz w:val="24"/>
                <w:szCs w:val="24"/>
              </w:rPr>
              <w:t>Covered/uncovered</w:t>
            </w:r>
          </w:p>
        </w:tc>
      </w:tr>
      <w:tr w:rsidR="00D556D8" w:rsidRPr="006B0F08" w14:paraId="00F9B642" w14:textId="77777777" w:rsidTr="00E73795">
        <w:trPr>
          <w:trHeight w:val="229"/>
        </w:trPr>
        <w:tc>
          <w:tcPr>
            <w:tcW w:w="5000" w:type="pct"/>
            <w:gridSpan w:val="8"/>
            <w:tcBorders>
              <w:top w:val="single" w:sz="4" w:space="0" w:color="auto"/>
            </w:tcBorders>
          </w:tcPr>
          <w:p w14:paraId="6A6A0975" w14:textId="7DAD4189"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noProof/>
                <w:w w:val="95"/>
                <w:sz w:val="24"/>
                <w:szCs w:val="24"/>
              </w:rPr>
              <w:t>Boston</w:t>
            </w:r>
            <w:r w:rsidRPr="006B0F08">
              <w:rPr>
                <w:rFonts w:ascii="Book Antiqua" w:hAnsi="Book Antiqua"/>
                <w:noProof/>
                <w:spacing w:val="8"/>
                <w:w w:val="95"/>
                <w:sz w:val="24"/>
                <w:szCs w:val="24"/>
              </w:rPr>
              <w:t xml:space="preserve"> </w:t>
            </w:r>
            <w:r w:rsidR="0081056C" w:rsidRPr="006B0F08">
              <w:rPr>
                <w:rFonts w:ascii="Book Antiqua" w:hAnsi="Book Antiqua"/>
                <w:noProof/>
                <w:w w:val="95"/>
                <w:sz w:val="24"/>
                <w:szCs w:val="24"/>
              </w:rPr>
              <w:t>S</w:t>
            </w:r>
            <w:r w:rsidRPr="006B0F08">
              <w:rPr>
                <w:rFonts w:ascii="Book Antiqua" w:hAnsi="Book Antiqua"/>
                <w:noProof/>
                <w:w w:val="95"/>
                <w:sz w:val="24"/>
                <w:szCs w:val="24"/>
              </w:rPr>
              <w:t>cientific</w:t>
            </w:r>
          </w:p>
        </w:tc>
      </w:tr>
      <w:tr w:rsidR="00E73795" w:rsidRPr="006B0F08" w14:paraId="7F299669" w14:textId="77777777" w:rsidTr="00E73795">
        <w:trPr>
          <w:trHeight w:val="229"/>
        </w:trPr>
        <w:tc>
          <w:tcPr>
            <w:tcW w:w="1088" w:type="pct"/>
          </w:tcPr>
          <w:p w14:paraId="06D1B2E9" w14:textId="36032771" w:rsidR="00D556D8" w:rsidRPr="006B0F08" w:rsidRDefault="00D556D8" w:rsidP="007643DC">
            <w:pPr>
              <w:pStyle w:val="TableParagraph"/>
              <w:spacing w:line="360" w:lineRule="auto"/>
              <w:jc w:val="both"/>
              <w:rPr>
                <w:rFonts w:ascii="Book Antiqua" w:eastAsia="SimSun" w:hAnsi="Book Antiqua"/>
                <w:sz w:val="24"/>
                <w:szCs w:val="24"/>
                <w:lang w:eastAsia="zh-CN"/>
              </w:rPr>
            </w:pPr>
            <w:proofErr w:type="spellStart"/>
            <w:r w:rsidRPr="006B0F08">
              <w:rPr>
                <w:rFonts w:ascii="Book Antiqua" w:hAnsi="Book Antiqua"/>
                <w:w w:val="95"/>
                <w:sz w:val="24"/>
                <w:szCs w:val="24"/>
              </w:rPr>
              <w:t>Wallstent</w:t>
            </w:r>
            <w:proofErr w:type="spellEnd"/>
            <w:r w:rsidRPr="006B0F08">
              <w:rPr>
                <w:rFonts w:ascii="Book Antiqua" w:hAnsi="Book Antiqua"/>
                <w:w w:val="95"/>
                <w:sz w:val="24"/>
                <w:szCs w:val="24"/>
              </w:rPr>
              <w:t xml:space="preserve"> Colonic</w:t>
            </w:r>
            <w:r w:rsidR="007643DC" w:rsidRPr="006B0F08">
              <w:rPr>
                <w:rFonts w:ascii="Book Antiqua" w:eastAsia="SimSun" w:hAnsi="Book Antiqua"/>
                <w:w w:val="95"/>
                <w:sz w:val="24"/>
                <w:szCs w:val="24"/>
                <w:vertAlign w:val="superscript"/>
                <w:lang w:eastAsia="zh-CN"/>
              </w:rPr>
              <w:t>1</w:t>
            </w:r>
          </w:p>
        </w:tc>
        <w:tc>
          <w:tcPr>
            <w:tcW w:w="457" w:type="pct"/>
          </w:tcPr>
          <w:p w14:paraId="35C93936"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03A4A42D"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5E3AFC2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22, 25</w:t>
            </w:r>
          </w:p>
        </w:tc>
        <w:tc>
          <w:tcPr>
            <w:tcW w:w="309" w:type="pct"/>
          </w:tcPr>
          <w:p w14:paraId="17E8720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 xml:space="preserve">1 </w:t>
            </w:r>
          </w:p>
        </w:tc>
        <w:tc>
          <w:tcPr>
            <w:tcW w:w="494" w:type="pct"/>
          </w:tcPr>
          <w:p w14:paraId="4B6A8AA5"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27, 30</w:t>
            </w:r>
          </w:p>
        </w:tc>
        <w:tc>
          <w:tcPr>
            <w:tcW w:w="679" w:type="pct"/>
          </w:tcPr>
          <w:p w14:paraId="5155C690"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60, 90, 120</w:t>
            </w:r>
          </w:p>
        </w:tc>
        <w:tc>
          <w:tcPr>
            <w:tcW w:w="802" w:type="pct"/>
          </w:tcPr>
          <w:p w14:paraId="62AF6E5B"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E73795" w:rsidRPr="006B0F08" w14:paraId="15BC9498" w14:textId="77777777" w:rsidTr="00E73795">
        <w:trPr>
          <w:trHeight w:val="180"/>
        </w:trPr>
        <w:tc>
          <w:tcPr>
            <w:tcW w:w="1088" w:type="pct"/>
          </w:tcPr>
          <w:p w14:paraId="797C35EC" w14:textId="08207515" w:rsidR="00D556D8" w:rsidRPr="006B0F08" w:rsidRDefault="00D556D8" w:rsidP="00D556D8">
            <w:pPr>
              <w:pStyle w:val="TableParagraph"/>
              <w:spacing w:line="360" w:lineRule="auto"/>
              <w:jc w:val="both"/>
              <w:rPr>
                <w:rFonts w:ascii="Book Antiqua" w:hAnsi="Book Antiqua"/>
                <w:sz w:val="24"/>
                <w:szCs w:val="24"/>
              </w:rPr>
            </w:pPr>
            <w:proofErr w:type="spellStart"/>
            <w:r w:rsidRPr="006B0F08">
              <w:rPr>
                <w:rFonts w:ascii="Book Antiqua" w:hAnsi="Book Antiqua"/>
                <w:w w:val="95"/>
                <w:sz w:val="24"/>
                <w:szCs w:val="24"/>
              </w:rPr>
              <w:t>Wallstent</w:t>
            </w:r>
            <w:proofErr w:type="spellEnd"/>
            <w:r w:rsidRPr="006B0F08">
              <w:rPr>
                <w:rFonts w:ascii="Book Antiqua" w:hAnsi="Book Antiqua"/>
                <w:w w:val="95"/>
                <w:sz w:val="24"/>
                <w:szCs w:val="24"/>
              </w:rPr>
              <w:t xml:space="preserve"> Endoprothesis</w:t>
            </w:r>
            <w:r w:rsidR="007643DC" w:rsidRPr="006B0F08">
              <w:rPr>
                <w:rFonts w:ascii="Book Antiqua" w:eastAsia="SimSun" w:hAnsi="Book Antiqua"/>
                <w:w w:val="95"/>
                <w:sz w:val="24"/>
                <w:szCs w:val="24"/>
                <w:vertAlign w:val="superscript"/>
                <w:lang w:eastAsia="zh-CN"/>
              </w:rPr>
              <w:t>1</w:t>
            </w:r>
          </w:p>
        </w:tc>
        <w:tc>
          <w:tcPr>
            <w:tcW w:w="457" w:type="pct"/>
          </w:tcPr>
          <w:p w14:paraId="2D2DA1A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Stainless steel</w:t>
            </w:r>
          </w:p>
        </w:tc>
        <w:tc>
          <w:tcPr>
            <w:tcW w:w="494" w:type="pct"/>
          </w:tcPr>
          <w:p w14:paraId="4A9EAA4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43F74B3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20, 22</w:t>
            </w:r>
          </w:p>
        </w:tc>
        <w:tc>
          <w:tcPr>
            <w:tcW w:w="309" w:type="pct"/>
          </w:tcPr>
          <w:p w14:paraId="010E877B"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0</w:t>
            </w:r>
          </w:p>
        </w:tc>
        <w:tc>
          <w:tcPr>
            <w:tcW w:w="494" w:type="pct"/>
          </w:tcPr>
          <w:p w14:paraId="25703A20"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9"/>
                <w:sz w:val="24"/>
                <w:szCs w:val="24"/>
              </w:rPr>
              <w:t>–</w:t>
            </w:r>
          </w:p>
        </w:tc>
        <w:tc>
          <w:tcPr>
            <w:tcW w:w="679" w:type="pct"/>
          </w:tcPr>
          <w:p w14:paraId="5D729931"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60, 90, 120</w:t>
            </w:r>
          </w:p>
        </w:tc>
        <w:tc>
          <w:tcPr>
            <w:tcW w:w="802" w:type="pct"/>
          </w:tcPr>
          <w:p w14:paraId="106BE1A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E73795" w:rsidRPr="006B0F08" w14:paraId="3AD6FB2A" w14:textId="77777777" w:rsidTr="00E73795">
        <w:trPr>
          <w:trHeight w:val="180"/>
        </w:trPr>
        <w:tc>
          <w:tcPr>
            <w:tcW w:w="1088" w:type="pct"/>
          </w:tcPr>
          <w:p w14:paraId="7E9D4549" w14:textId="6F91B0B3" w:rsidR="00D556D8" w:rsidRPr="006B0F08" w:rsidRDefault="00D556D8" w:rsidP="00D556D8">
            <w:pPr>
              <w:pStyle w:val="TableParagraph"/>
              <w:spacing w:line="360" w:lineRule="auto"/>
              <w:jc w:val="both"/>
              <w:rPr>
                <w:rFonts w:ascii="Book Antiqua" w:hAnsi="Book Antiqua"/>
                <w:sz w:val="24"/>
                <w:szCs w:val="24"/>
              </w:rPr>
            </w:pPr>
            <w:proofErr w:type="spellStart"/>
            <w:r w:rsidRPr="006B0F08">
              <w:rPr>
                <w:rFonts w:ascii="Book Antiqua" w:hAnsi="Book Antiqua"/>
                <w:w w:val="95"/>
                <w:sz w:val="24"/>
                <w:szCs w:val="24"/>
              </w:rPr>
              <w:t>Ultraflex</w:t>
            </w:r>
            <w:proofErr w:type="spellEnd"/>
            <w:r w:rsidRPr="006B0F08">
              <w:rPr>
                <w:rFonts w:ascii="Book Antiqua" w:hAnsi="Book Antiqua"/>
                <w:w w:val="95"/>
                <w:sz w:val="24"/>
                <w:szCs w:val="24"/>
              </w:rPr>
              <w:t xml:space="preserve"> Precision Colonic</w:t>
            </w:r>
            <w:r w:rsidR="007643DC" w:rsidRPr="006B0F08">
              <w:rPr>
                <w:rFonts w:ascii="Book Antiqua" w:eastAsia="SimSun" w:hAnsi="Book Antiqua"/>
                <w:w w:val="95"/>
                <w:sz w:val="24"/>
                <w:szCs w:val="24"/>
                <w:vertAlign w:val="superscript"/>
                <w:lang w:eastAsia="zh-CN"/>
              </w:rPr>
              <w:t>1</w:t>
            </w:r>
          </w:p>
        </w:tc>
        <w:tc>
          <w:tcPr>
            <w:tcW w:w="457" w:type="pct"/>
          </w:tcPr>
          <w:p w14:paraId="7277F8F4"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7F96972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OTW</w:t>
            </w:r>
          </w:p>
        </w:tc>
        <w:tc>
          <w:tcPr>
            <w:tcW w:w="679" w:type="pct"/>
          </w:tcPr>
          <w:p w14:paraId="4F31D6B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25</w:t>
            </w:r>
          </w:p>
        </w:tc>
        <w:tc>
          <w:tcPr>
            <w:tcW w:w="309" w:type="pct"/>
          </w:tcPr>
          <w:p w14:paraId="4607D83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 xml:space="preserve">1 </w:t>
            </w:r>
          </w:p>
        </w:tc>
        <w:tc>
          <w:tcPr>
            <w:tcW w:w="494" w:type="pct"/>
          </w:tcPr>
          <w:p w14:paraId="35FEA1BA"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30</w:t>
            </w:r>
          </w:p>
        </w:tc>
        <w:tc>
          <w:tcPr>
            <w:tcW w:w="679" w:type="pct"/>
          </w:tcPr>
          <w:p w14:paraId="048F3E0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57, 87, 117</w:t>
            </w:r>
          </w:p>
        </w:tc>
        <w:tc>
          <w:tcPr>
            <w:tcW w:w="802" w:type="pct"/>
          </w:tcPr>
          <w:p w14:paraId="064C5EA1"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E73795" w:rsidRPr="006B0F08" w14:paraId="07B9320A" w14:textId="77777777" w:rsidTr="00E73795">
        <w:trPr>
          <w:trHeight w:val="194"/>
        </w:trPr>
        <w:tc>
          <w:tcPr>
            <w:tcW w:w="1088" w:type="pct"/>
          </w:tcPr>
          <w:p w14:paraId="646E4855"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Micro-Tech Europe</w:t>
            </w:r>
          </w:p>
        </w:tc>
        <w:tc>
          <w:tcPr>
            <w:tcW w:w="457" w:type="pct"/>
          </w:tcPr>
          <w:p w14:paraId="75D9C90E" w14:textId="77777777" w:rsidR="00D556D8" w:rsidRPr="006B0F08" w:rsidRDefault="00D556D8" w:rsidP="00D556D8">
            <w:pPr>
              <w:pStyle w:val="TableParagraph"/>
              <w:spacing w:line="360" w:lineRule="auto"/>
              <w:jc w:val="both"/>
              <w:rPr>
                <w:rFonts w:ascii="Book Antiqua" w:hAnsi="Book Antiqua"/>
                <w:sz w:val="24"/>
                <w:szCs w:val="24"/>
              </w:rPr>
            </w:pPr>
          </w:p>
        </w:tc>
        <w:tc>
          <w:tcPr>
            <w:tcW w:w="494" w:type="pct"/>
          </w:tcPr>
          <w:p w14:paraId="3F0318AB"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0"/>
                <w:sz w:val="24"/>
                <w:szCs w:val="24"/>
              </w:rPr>
              <w:t>OTW</w:t>
            </w:r>
          </w:p>
        </w:tc>
        <w:tc>
          <w:tcPr>
            <w:tcW w:w="679" w:type="pct"/>
          </w:tcPr>
          <w:p w14:paraId="74D63840"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30</w:t>
            </w:r>
          </w:p>
        </w:tc>
        <w:tc>
          <w:tcPr>
            <w:tcW w:w="309" w:type="pct"/>
          </w:tcPr>
          <w:p w14:paraId="5938F12D"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85"/>
                <w:sz w:val="24"/>
                <w:szCs w:val="24"/>
              </w:rPr>
              <w:t>0</w:t>
            </w:r>
          </w:p>
        </w:tc>
        <w:tc>
          <w:tcPr>
            <w:tcW w:w="494" w:type="pct"/>
          </w:tcPr>
          <w:p w14:paraId="788923FC"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89"/>
                <w:sz w:val="24"/>
                <w:szCs w:val="24"/>
              </w:rPr>
              <w:t>–</w:t>
            </w:r>
          </w:p>
        </w:tc>
        <w:tc>
          <w:tcPr>
            <w:tcW w:w="679" w:type="pct"/>
          </w:tcPr>
          <w:p w14:paraId="4036762E"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75, 88, 112, 123, 136</w:t>
            </w:r>
          </w:p>
        </w:tc>
        <w:tc>
          <w:tcPr>
            <w:tcW w:w="802" w:type="pct"/>
          </w:tcPr>
          <w:p w14:paraId="04609177"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sz w:val="24"/>
                <w:szCs w:val="24"/>
              </w:rPr>
              <w:t>Uncovered/fully covered</w:t>
            </w:r>
          </w:p>
        </w:tc>
      </w:tr>
      <w:tr w:rsidR="00E73795" w:rsidRPr="006B0F08" w14:paraId="097F81D1" w14:textId="77777777" w:rsidTr="00E73795">
        <w:trPr>
          <w:trHeight w:val="464"/>
        </w:trPr>
        <w:tc>
          <w:tcPr>
            <w:tcW w:w="1088" w:type="pct"/>
          </w:tcPr>
          <w:p w14:paraId="66C158C3" w14:textId="77777777" w:rsidR="00D556D8" w:rsidRPr="006B0F08" w:rsidRDefault="00D556D8" w:rsidP="00D556D8">
            <w:pPr>
              <w:pStyle w:val="TableParagraph"/>
              <w:tabs>
                <w:tab w:val="left" w:pos="3223"/>
              </w:tabs>
              <w:spacing w:line="360" w:lineRule="auto"/>
              <w:jc w:val="both"/>
              <w:rPr>
                <w:rFonts w:ascii="Book Antiqua" w:eastAsia="SimSun" w:hAnsi="Book Antiqua"/>
                <w:w w:val="90"/>
                <w:sz w:val="24"/>
                <w:szCs w:val="24"/>
                <w:lang w:eastAsia="zh-CN"/>
              </w:rPr>
            </w:pPr>
            <w:r w:rsidRPr="006B0F08">
              <w:rPr>
                <w:rFonts w:ascii="Book Antiqua" w:hAnsi="Book Antiqua"/>
                <w:w w:val="90"/>
                <w:sz w:val="24"/>
                <w:szCs w:val="24"/>
              </w:rPr>
              <w:t xml:space="preserve">Micro-Tech Europe Colon </w:t>
            </w:r>
          </w:p>
          <w:p w14:paraId="22771459"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w w:val="90"/>
                <w:sz w:val="24"/>
                <w:szCs w:val="24"/>
              </w:rPr>
              <w:t>and</w:t>
            </w:r>
            <w:r w:rsidRPr="006B0F08">
              <w:rPr>
                <w:rFonts w:ascii="Book Antiqua" w:hAnsi="Book Antiqua"/>
                <w:spacing w:val="-15"/>
                <w:w w:val="90"/>
                <w:sz w:val="24"/>
                <w:szCs w:val="24"/>
              </w:rPr>
              <w:t xml:space="preserve"> </w:t>
            </w:r>
            <w:r w:rsidRPr="006B0F08">
              <w:rPr>
                <w:rFonts w:ascii="Book Antiqua" w:hAnsi="Book Antiqua"/>
                <w:w w:val="90"/>
                <w:sz w:val="24"/>
                <w:szCs w:val="24"/>
              </w:rPr>
              <w:t>Rectum</w:t>
            </w:r>
            <w:r w:rsidRPr="006B0F08">
              <w:rPr>
                <w:rFonts w:ascii="Book Antiqua" w:hAnsi="Book Antiqua"/>
                <w:spacing w:val="-4"/>
                <w:w w:val="90"/>
                <w:sz w:val="24"/>
                <w:szCs w:val="24"/>
              </w:rPr>
              <w:t xml:space="preserve"> </w:t>
            </w:r>
            <w:r w:rsidRPr="006B0F08">
              <w:rPr>
                <w:rFonts w:ascii="Book Antiqua" w:hAnsi="Book Antiqua"/>
                <w:w w:val="90"/>
                <w:sz w:val="24"/>
                <w:szCs w:val="24"/>
              </w:rPr>
              <w:t>stent</w:t>
            </w:r>
          </w:p>
        </w:tc>
        <w:tc>
          <w:tcPr>
            <w:tcW w:w="457" w:type="pct"/>
          </w:tcPr>
          <w:p w14:paraId="4D545633"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w w:val="95"/>
                <w:sz w:val="24"/>
                <w:szCs w:val="24"/>
              </w:rPr>
              <w:t>Nitinol</w:t>
            </w:r>
          </w:p>
        </w:tc>
        <w:tc>
          <w:tcPr>
            <w:tcW w:w="494" w:type="pct"/>
          </w:tcPr>
          <w:p w14:paraId="377BC163" w14:textId="77777777"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w w:val="90"/>
                <w:sz w:val="24"/>
                <w:szCs w:val="24"/>
              </w:rPr>
              <w:t>OTW</w:t>
            </w:r>
          </w:p>
        </w:tc>
        <w:tc>
          <w:tcPr>
            <w:tcW w:w="679" w:type="pct"/>
          </w:tcPr>
          <w:p w14:paraId="21B6CB28"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20, 30</w:t>
            </w:r>
          </w:p>
        </w:tc>
        <w:tc>
          <w:tcPr>
            <w:tcW w:w="309" w:type="pct"/>
          </w:tcPr>
          <w:p w14:paraId="7C9C8F59" w14:textId="77777777" w:rsidR="00D556D8" w:rsidRPr="006B0F08" w:rsidRDefault="00D556D8" w:rsidP="00D556D8">
            <w:pPr>
              <w:pStyle w:val="TableParagraph"/>
              <w:spacing w:line="360" w:lineRule="auto"/>
              <w:jc w:val="both"/>
              <w:rPr>
                <w:rFonts w:ascii="Book Antiqua" w:hAnsi="Book Antiqua"/>
                <w:w w:val="85"/>
                <w:sz w:val="24"/>
                <w:szCs w:val="24"/>
              </w:rPr>
            </w:pPr>
            <w:r w:rsidRPr="006B0F08">
              <w:rPr>
                <w:rFonts w:ascii="Book Antiqua" w:hAnsi="Book Antiqua"/>
                <w:w w:val="85"/>
                <w:sz w:val="24"/>
                <w:szCs w:val="24"/>
              </w:rPr>
              <w:t>2</w:t>
            </w:r>
          </w:p>
        </w:tc>
        <w:tc>
          <w:tcPr>
            <w:tcW w:w="494" w:type="pct"/>
          </w:tcPr>
          <w:p w14:paraId="1D345706" w14:textId="77777777" w:rsidR="00D556D8" w:rsidRPr="006B0F08" w:rsidRDefault="00D556D8" w:rsidP="00D556D8">
            <w:pPr>
              <w:pStyle w:val="TableParagraph"/>
              <w:spacing w:line="360" w:lineRule="auto"/>
              <w:jc w:val="both"/>
              <w:rPr>
                <w:rFonts w:ascii="Book Antiqua" w:hAnsi="Book Antiqua"/>
                <w:w w:val="89"/>
                <w:sz w:val="24"/>
                <w:szCs w:val="24"/>
              </w:rPr>
            </w:pPr>
            <w:r w:rsidRPr="006B0F08">
              <w:rPr>
                <w:rFonts w:ascii="Book Antiqua" w:hAnsi="Book Antiqua"/>
                <w:w w:val="90"/>
                <w:sz w:val="24"/>
                <w:szCs w:val="24"/>
              </w:rPr>
              <w:t>26, 36</w:t>
            </w:r>
          </w:p>
        </w:tc>
        <w:tc>
          <w:tcPr>
            <w:tcW w:w="679" w:type="pct"/>
          </w:tcPr>
          <w:p w14:paraId="7BFB473C"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60, 80, 100</w:t>
            </w:r>
          </w:p>
        </w:tc>
        <w:tc>
          <w:tcPr>
            <w:tcW w:w="802" w:type="pct"/>
          </w:tcPr>
          <w:p w14:paraId="71E8C2A1"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Uncovered/partially covered</w:t>
            </w:r>
          </w:p>
        </w:tc>
      </w:tr>
      <w:tr w:rsidR="00E73795" w:rsidRPr="006B0F08" w14:paraId="361A2D5F" w14:textId="77777777" w:rsidTr="00E73795">
        <w:trPr>
          <w:trHeight w:val="271"/>
        </w:trPr>
        <w:tc>
          <w:tcPr>
            <w:tcW w:w="1088" w:type="pct"/>
          </w:tcPr>
          <w:p w14:paraId="7BA3F4FB" w14:textId="77777777" w:rsidR="00D556D8" w:rsidRPr="006B0F08" w:rsidRDefault="00D556D8" w:rsidP="00D556D8">
            <w:pPr>
              <w:pStyle w:val="TableParagraph"/>
              <w:spacing w:line="360" w:lineRule="auto"/>
              <w:jc w:val="both"/>
              <w:rPr>
                <w:rFonts w:ascii="Book Antiqua" w:eastAsia="SimSun" w:hAnsi="Book Antiqua"/>
                <w:w w:val="95"/>
                <w:sz w:val="24"/>
                <w:szCs w:val="24"/>
                <w:lang w:eastAsia="zh-CN"/>
              </w:rPr>
            </w:pPr>
            <w:proofErr w:type="spellStart"/>
            <w:r w:rsidRPr="006B0F08">
              <w:rPr>
                <w:rFonts w:ascii="Book Antiqua" w:hAnsi="Book Antiqua"/>
                <w:w w:val="95"/>
                <w:sz w:val="24"/>
                <w:szCs w:val="24"/>
              </w:rPr>
              <w:t>Leufen</w:t>
            </w:r>
            <w:proofErr w:type="spellEnd"/>
            <w:r w:rsidRPr="006B0F08">
              <w:rPr>
                <w:rFonts w:ascii="Book Antiqua" w:hAnsi="Book Antiqua"/>
                <w:w w:val="95"/>
                <w:sz w:val="24"/>
                <w:szCs w:val="24"/>
              </w:rPr>
              <w:t xml:space="preserve"> Medical GmbH</w:t>
            </w:r>
          </w:p>
        </w:tc>
        <w:tc>
          <w:tcPr>
            <w:tcW w:w="457" w:type="pct"/>
          </w:tcPr>
          <w:p w14:paraId="5BFA3B04" w14:textId="77777777" w:rsidR="00D556D8" w:rsidRPr="006B0F08" w:rsidRDefault="00D556D8" w:rsidP="00D556D8">
            <w:pPr>
              <w:pStyle w:val="TableParagraph"/>
              <w:spacing w:line="360" w:lineRule="auto"/>
              <w:jc w:val="both"/>
              <w:rPr>
                <w:rFonts w:ascii="Book Antiqua" w:eastAsia="SimSun" w:hAnsi="Book Antiqua"/>
                <w:w w:val="95"/>
                <w:sz w:val="24"/>
                <w:szCs w:val="24"/>
                <w:lang w:eastAsia="zh-CN"/>
              </w:rPr>
            </w:pPr>
          </w:p>
        </w:tc>
        <w:tc>
          <w:tcPr>
            <w:tcW w:w="494" w:type="pct"/>
          </w:tcPr>
          <w:p w14:paraId="29B6EFC8"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80"/>
                <w:sz w:val="24"/>
                <w:szCs w:val="24"/>
              </w:rPr>
              <w:t>TTS</w:t>
            </w:r>
          </w:p>
        </w:tc>
        <w:tc>
          <w:tcPr>
            <w:tcW w:w="679" w:type="pct"/>
          </w:tcPr>
          <w:p w14:paraId="6A1991A3"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25</w:t>
            </w:r>
          </w:p>
        </w:tc>
        <w:tc>
          <w:tcPr>
            <w:tcW w:w="309" w:type="pct"/>
          </w:tcPr>
          <w:p w14:paraId="71F50D14"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85"/>
                <w:sz w:val="24"/>
                <w:szCs w:val="24"/>
              </w:rPr>
              <w:t>2</w:t>
            </w:r>
          </w:p>
        </w:tc>
        <w:tc>
          <w:tcPr>
            <w:tcW w:w="494" w:type="pct"/>
          </w:tcPr>
          <w:p w14:paraId="6103A390"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30</w:t>
            </w:r>
          </w:p>
        </w:tc>
        <w:tc>
          <w:tcPr>
            <w:tcW w:w="679" w:type="pct"/>
          </w:tcPr>
          <w:p w14:paraId="63A6A958"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80, 100, 120</w:t>
            </w:r>
          </w:p>
        </w:tc>
        <w:tc>
          <w:tcPr>
            <w:tcW w:w="802" w:type="pct"/>
          </w:tcPr>
          <w:p w14:paraId="0BBB939A"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Uncovered</w:t>
            </w:r>
          </w:p>
        </w:tc>
      </w:tr>
      <w:tr w:rsidR="00E73795" w:rsidRPr="006B0F08" w14:paraId="10B6C820" w14:textId="77777777" w:rsidTr="00E73795">
        <w:trPr>
          <w:trHeight w:val="258"/>
        </w:trPr>
        <w:tc>
          <w:tcPr>
            <w:tcW w:w="1088" w:type="pct"/>
          </w:tcPr>
          <w:p w14:paraId="254B78B8" w14:textId="77777777" w:rsidR="00D556D8" w:rsidRPr="006B0F08" w:rsidRDefault="00D556D8" w:rsidP="00D556D8">
            <w:pPr>
              <w:pStyle w:val="TableParagraph"/>
              <w:tabs>
                <w:tab w:val="left" w:pos="3223"/>
              </w:tabs>
              <w:spacing w:line="360" w:lineRule="auto"/>
              <w:jc w:val="both"/>
              <w:rPr>
                <w:rFonts w:ascii="Book Antiqua" w:hAnsi="Book Antiqua"/>
                <w:w w:val="95"/>
                <w:sz w:val="24"/>
                <w:szCs w:val="24"/>
              </w:rPr>
            </w:pPr>
            <w:r w:rsidRPr="006B0F08">
              <w:rPr>
                <w:rFonts w:ascii="Book Antiqua" w:hAnsi="Book Antiqua"/>
                <w:w w:val="95"/>
                <w:sz w:val="24"/>
                <w:szCs w:val="24"/>
              </w:rPr>
              <w:t>Colon</w:t>
            </w:r>
            <w:r w:rsidRPr="006B0F08">
              <w:rPr>
                <w:rFonts w:ascii="Book Antiqua" w:hAnsi="Book Antiqua"/>
                <w:spacing w:val="-22"/>
                <w:w w:val="95"/>
                <w:sz w:val="24"/>
                <w:szCs w:val="24"/>
              </w:rPr>
              <w:t xml:space="preserve"> </w:t>
            </w:r>
            <w:r w:rsidRPr="006B0F08">
              <w:rPr>
                <w:rFonts w:ascii="Book Antiqua" w:hAnsi="Book Antiqua"/>
                <w:w w:val="95"/>
                <w:sz w:val="24"/>
                <w:szCs w:val="24"/>
              </w:rPr>
              <w:t>Rectum</w:t>
            </w:r>
            <w:r w:rsidRPr="006B0F08">
              <w:rPr>
                <w:rFonts w:ascii="Book Antiqua" w:hAnsi="Book Antiqua"/>
                <w:spacing w:val="-22"/>
                <w:w w:val="95"/>
                <w:sz w:val="24"/>
                <w:szCs w:val="24"/>
              </w:rPr>
              <w:t xml:space="preserve"> </w:t>
            </w:r>
            <w:r w:rsidRPr="006B0F08">
              <w:rPr>
                <w:rFonts w:ascii="Book Antiqua" w:hAnsi="Book Antiqua"/>
                <w:w w:val="95"/>
                <w:sz w:val="24"/>
                <w:szCs w:val="24"/>
              </w:rPr>
              <w:t>Stent</w:t>
            </w:r>
          </w:p>
        </w:tc>
        <w:tc>
          <w:tcPr>
            <w:tcW w:w="457" w:type="pct"/>
          </w:tcPr>
          <w:p w14:paraId="5B62F133" w14:textId="77777777" w:rsidR="00D556D8" w:rsidRPr="006B0F08" w:rsidRDefault="00D556D8" w:rsidP="00D556D8">
            <w:pPr>
              <w:pStyle w:val="TableParagraph"/>
              <w:tabs>
                <w:tab w:val="left" w:pos="3223"/>
              </w:tabs>
              <w:spacing w:line="360" w:lineRule="auto"/>
              <w:jc w:val="both"/>
              <w:rPr>
                <w:rFonts w:ascii="Book Antiqua" w:hAnsi="Book Antiqua"/>
                <w:w w:val="95"/>
                <w:sz w:val="24"/>
                <w:szCs w:val="24"/>
              </w:rPr>
            </w:pPr>
            <w:r w:rsidRPr="006B0F08">
              <w:rPr>
                <w:rFonts w:ascii="Book Antiqua" w:hAnsi="Book Antiqua"/>
                <w:sz w:val="24"/>
                <w:szCs w:val="24"/>
              </w:rPr>
              <w:t>Nitinol</w:t>
            </w:r>
          </w:p>
        </w:tc>
        <w:tc>
          <w:tcPr>
            <w:tcW w:w="494" w:type="pct"/>
          </w:tcPr>
          <w:p w14:paraId="7DCC20DE" w14:textId="77777777" w:rsidR="00D556D8" w:rsidRPr="006B0F08" w:rsidRDefault="00D556D8" w:rsidP="00D556D8">
            <w:pPr>
              <w:pStyle w:val="TableParagraph"/>
              <w:spacing w:line="360" w:lineRule="auto"/>
              <w:jc w:val="both"/>
              <w:rPr>
                <w:rFonts w:ascii="Book Antiqua" w:hAnsi="Book Antiqua"/>
                <w:w w:val="80"/>
                <w:sz w:val="24"/>
                <w:szCs w:val="24"/>
              </w:rPr>
            </w:pPr>
            <w:r w:rsidRPr="006B0F08">
              <w:rPr>
                <w:rFonts w:ascii="Book Antiqua" w:hAnsi="Book Antiqua"/>
                <w:w w:val="90"/>
                <w:sz w:val="24"/>
                <w:szCs w:val="24"/>
              </w:rPr>
              <w:t>OTW</w:t>
            </w:r>
          </w:p>
        </w:tc>
        <w:tc>
          <w:tcPr>
            <w:tcW w:w="679" w:type="pct"/>
          </w:tcPr>
          <w:p w14:paraId="1B15E1B5"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25, 30</w:t>
            </w:r>
          </w:p>
        </w:tc>
        <w:tc>
          <w:tcPr>
            <w:tcW w:w="309" w:type="pct"/>
          </w:tcPr>
          <w:p w14:paraId="31809660" w14:textId="77777777" w:rsidR="00D556D8" w:rsidRPr="006B0F08" w:rsidRDefault="00D556D8" w:rsidP="00D556D8">
            <w:pPr>
              <w:pStyle w:val="TableParagraph"/>
              <w:spacing w:line="360" w:lineRule="auto"/>
              <w:jc w:val="both"/>
              <w:rPr>
                <w:rFonts w:ascii="Book Antiqua" w:hAnsi="Book Antiqua"/>
                <w:w w:val="85"/>
                <w:sz w:val="24"/>
                <w:szCs w:val="24"/>
              </w:rPr>
            </w:pPr>
            <w:r w:rsidRPr="006B0F08">
              <w:rPr>
                <w:rFonts w:ascii="Book Antiqua" w:hAnsi="Book Antiqua"/>
                <w:w w:val="85"/>
                <w:sz w:val="24"/>
                <w:szCs w:val="24"/>
              </w:rPr>
              <w:t>2</w:t>
            </w:r>
          </w:p>
        </w:tc>
        <w:tc>
          <w:tcPr>
            <w:tcW w:w="494" w:type="pct"/>
          </w:tcPr>
          <w:p w14:paraId="2D15AE81"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0"/>
                <w:sz w:val="24"/>
                <w:szCs w:val="24"/>
              </w:rPr>
              <w:t>30, 36</w:t>
            </w:r>
          </w:p>
        </w:tc>
        <w:tc>
          <w:tcPr>
            <w:tcW w:w="679" w:type="pct"/>
          </w:tcPr>
          <w:p w14:paraId="33D4453C"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80, 100</w:t>
            </w:r>
          </w:p>
        </w:tc>
        <w:tc>
          <w:tcPr>
            <w:tcW w:w="802" w:type="pct"/>
          </w:tcPr>
          <w:p w14:paraId="7170D560"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0"/>
                <w:sz w:val="24"/>
                <w:szCs w:val="24"/>
              </w:rPr>
              <w:t>Uncovered/partially covered</w:t>
            </w:r>
          </w:p>
        </w:tc>
      </w:tr>
      <w:tr w:rsidR="00E73795" w:rsidRPr="006B0F08" w14:paraId="745DF9E9" w14:textId="77777777" w:rsidTr="00E73795">
        <w:trPr>
          <w:trHeight w:val="167"/>
        </w:trPr>
        <w:tc>
          <w:tcPr>
            <w:tcW w:w="1088" w:type="pct"/>
          </w:tcPr>
          <w:p w14:paraId="4F283E07" w14:textId="77777777" w:rsidR="00D556D8" w:rsidRPr="006B0F08" w:rsidRDefault="00D556D8" w:rsidP="00D556D8">
            <w:pPr>
              <w:pStyle w:val="TableParagraph"/>
              <w:spacing w:line="360" w:lineRule="auto"/>
              <w:jc w:val="both"/>
              <w:rPr>
                <w:rFonts w:ascii="Book Antiqua" w:hAnsi="Book Antiqua"/>
                <w:sz w:val="24"/>
                <w:szCs w:val="24"/>
              </w:rPr>
            </w:pPr>
          </w:p>
        </w:tc>
        <w:tc>
          <w:tcPr>
            <w:tcW w:w="457" w:type="pct"/>
          </w:tcPr>
          <w:p w14:paraId="55E07A8B" w14:textId="77777777" w:rsidR="00D556D8" w:rsidRPr="006B0F08" w:rsidRDefault="00D556D8" w:rsidP="00D556D8">
            <w:pPr>
              <w:pStyle w:val="TableParagraph"/>
              <w:spacing w:line="360" w:lineRule="auto"/>
              <w:jc w:val="both"/>
              <w:rPr>
                <w:rFonts w:ascii="Book Antiqua" w:hAnsi="Book Antiqua"/>
                <w:sz w:val="24"/>
                <w:szCs w:val="24"/>
              </w:rPr>
            </w:pPr>
          </w:p>
        </w:tc>
        <w:tc>
          <w:tcPr>
            <w:tcW w:w="494" w:type="pct"/>
          </w:tcPr>
          <w:p w14:paraId="1FCA04D5"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24282D2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25</w:t>
            </w:r>
          </w:p>
        </w:tc>
        <w:tc>
          <w:tcPr>
            <w:tcW w:w="309" w:type="pct"/>
          </w:tcPr>
          <w:p w14:paraId="34591FD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5A273972"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30</w:t>
            </w:r>
          </w:p>
        </w:tc>
        <w:tc>
          <w:tcPr>
            <w:tcW w:w="679" w:type="pct"/>
          </w:tcPr>
          <w:p w14:paraId="2DD3A90D"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80, 100</w:t>
            </w:r>
          </w:p>
        </w:tc>
        <w:tc>
          <w:tcPr>
            <w:tcW w:w="802" w:type="pct"/>
          </w:tcPr>
          <w:p w14:paraId="2C091B0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D556D8" w:rsidRPr="006B0F08" w14:paraId="1A096662" w14:textId="77777777" w:rsidTr="00E73795">
        <w:trPr>
          <w:trHeight w:val="180"/>
        </w:trPr>
        <w:tc>
          <w:tcPr>
            <w:tcW w:w="5000" w:type="pct"/>
            <w:gridSpan w:val="8"/>
          </w:tcPr>
          <w:p w14:paraId="544945D9"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Cook</w:t>
            </w:r>
          </w:p>
        </w:tc>
      </w:tr>
      <w:tr w:rsidR="00E73795" w:rsidRPr="006B0F08" w14:paraId="67EBF725" w14:textId="77777777" w:rsidTr="00E73795">
        <w:trPr>
          <w:trHeight w:val="179"/>
        </w:trPr>
        <w:tc>
          <w:tcPr>
            <w:tcW w:w="1088" w:type="pct"/>
          </w:tcPr>
          <w:p w14:paraId="75A97B31" w14:textId="56DFA676"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Evolution Colonic</w:t>
            </w:r>
            <w:r w:rsidR="007643DC" w:rsidRPr="006B0F08">
              <w:rPr>
                <w:rFonts w:ascii="Book Antiqua" w:eastAsia="SimSun" w:hAnsi="Book Antiqua"/>
                <w:w w:val="95"/>
                <w:sz w:val="24"/>
                <w:szCs w:val="24"/>
                <w:vertAlign w:val="superscript"/>
                <w:lang w:eastAsia="zh-CN"/>
              </w:rPr>
              <w:t>1</w:t>
            </w:r>
          </w:p>
        </w:tc>
        <w:tc>
          <w:tcPr>
            <w:tcW w:w="457" w:type="pct"/>
          </w:tcPr>
          <w:p w14:paraId="01E7EC7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3967F0E4"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63913C3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25</w:t>
            </w:r>
          </w:p>
        </w:tc>
        <w:tc>
          <w:tcPr>
            <w:tcW w:w="309" w:type="pct"/>
          </w:tcPr>
          <w:p w14:paraId="55C0BFB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5E88656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30</w:t>
            </w:r>
          </w:p>
        </w:tc>
        <w:tc>
          <w:tcPr>
            <w:tcW w:w="679" w:type="pct"/>
          </w:tcPr>
          <w:p w14:paraId="31A67BDB"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60, 80,100</w:t>
            </w:r>
          </w:p>
        </w:tc>
        <w:tc>
          <w:tcPr>
            <w:tcW w:w="802" w:type="pct"/>
          </w:tcPr>
          <w:p w14:paraId="5AEA41D2"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D556D8" w:rsidRPr="006B0F08" w14:paraId="43ABED16" w14:textId="77777777" w:rsidTr="00E73795">
        <w:trPr>
          <w:trHeight w:val="180"/>
        </w:trPr>
        <w:tc>
          <w:tcPr>
            <w:tcW w:w="5000" w:type="pct"/>
            <w:gridSpan w:val="8"/>
          </w:tcPr>
          <w:p w14:paraId="627528D2"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lastRenderedPageBreak/>
              <w:t>MI Tech</w:t>
            </w:r>
          </w:p>
        </w:tc>
      </w:tr>
      <w:tr w:rsidR="00E73795" w:rsidRPr="006B0F08" w14:paraId="7873B164" w14:textId="77777777" w:rsidTr="00E73795">
        <w:trPr>
          <w:trHeight w:val="180"/>
        </w:trPr>
        <w:tc>
          <w:tcPr>
            <w:tcW w:w="1088" w:type="pct"/>
          </w:tcPr>
          <w:p w14:paraId="35B334F1" w14:textId="2A65D1A0" w:rsidR="00D556D8" w:rsidRPr="006B0F08" w:rsidRDefault="00D556D8" w:rsidP="00D556D8">
            <w:pPr>
              <w:pStyle w:val="TableParagraph"/>
              <w:spacing w:line="360" w:lineRule="auto"/>
              <w:jc w:val="both"/>
              <w:rPr>
                <w:rFonts w:ascii="Book Antiqua" w:hAnsi="Book Antiqua"/>
                <w:sz w:val="24"/>
                <w:szCs w:val="24"/>
              </w:rPr>
            </w:pPr>
            <w:proofErr w:type="spellStart"/>
            <w:r w:rsidRPr="006B0F08">
              <w:rPr>
                <w:rFonts w:ascii="Book Antiqua" w:hAnsi="Book Antiqua"/>
                <w:w w:val="95"/>
                <w:sz w:val="24"/>
                <w:szCs w:val="24"/>
              </w:rPr>
              <w:t>Hanarostent</w:t>
            </w:r>
            <w:proofErr w:type="spellEnd"/>
            <w:r w:rsidRPr="006B0F08">
              <w:rPr>
                <w:rFonts w:ascii="Book Antiqua" w:hAnsi="Book Antiqua"/>
                <w:w w:val="95"/>
                <w:sz w:val="24"/>
                <w:szCs w:val="24"/>
              </w:rPr>
              <w:t xml:space="preserve"> Colon/Rectum</w:t>
            </w:r>
            <w:r w:rsidR="007643DC" w:rsidRPr="006B0F08">
              <w:rPr>
                <w:rFonts w:ascii="Book Antiqua" w:eastAsia="SimSun" w:hAnsi="Book Antiqua"/>
                <w:w w:val="95"/>
                <w:sz w:val="24"/>
                <w:szCs w:val="24"/>
                <w:vertAlign w:val="superscript"/>
                <w:lang w:eastAsia="zh-CN"/>
              </w:rPr>
              <w:t>1</w:t>
            </w:r>
          </w:p>
        </w:tc>
        <w:tc>
          <w:tcPr>
            <w:tcW w:w="457" w:type="pct"/>
          </w:tcPr>
          <w:p w14:paraId="3702D41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0290898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7DF982F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22, 24</w:t>
            </w:r>
          </w:p>
        </w:tc>
        <w:tc>
          <w:tcPr>
            <w:tcW w:w="309" w:type="pct"/>
          </w:tcPr>
          <w:p w14:paraId="682340E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2B7D238D"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26, 28</w:t>
            </w:r>
          </w:p>
        </w:tc>
        <w:tc>
          <w:tcPr>
            <w:tcW w:w="679" w:type="pct"/>
          </w:tcPr>
          <w:p w14:paraId="7AC99EF4"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80, 110, 140, 170</w:t>
            </w:r>
          </w:p>
        </w:tc>
        <w:tc>
          <w:tcPr>
            <w:tcW w:w="802" w:type="pct"/>
          </w:tcPr>
          <w:p w14:paraId="23E3E27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E73795" w:rsidRPr="006B0F08" w14:paraId="0424E5D4" w14:textId="77777777" w:rsidTr="00E73795">
        <w:trPr>
          <w:trHeight w:val="152"/>
        </w:trPr>
        <w:tc>
          <w:tcPr>
            <w:tcW w:w="1088" w:type="pct"/>
          </w:tcPr>
          <w:p w14:paraId="09693215" w14:textId="77777777" w:rsidR="00D556D8" w:rsidRPr="006B0F08" w:rsidRDefault="00D556D8" w:rsidP="00D556D8">
            <w:pPr>
              <w:pStyle w:val="TableParagraph"/>
              <w:spacing w:line="360" w:lineRule="auto"/>
              <w:jc w:val="both"/>
              <w:rPr>
                <w:rFonts w:ascii="Book Antiqua" w:hAnsi="Book Antiqua"/>
                <w:sz w:val="24"/>
                <w:szCs w:val="24"/>
              </w:rPr>
            </w:pPr>
          </w:p>
        </w:tc>
        <w:tc>
          <w:tcPr>
            <w:tcW w:w="457" w:type="pct"/>
          </w:tcPr>
          <w:p w14:paraId="23B300B6" w14:textId="77777777" w:rsidR="00D556D8" w:rsidRPr="006B0F08" w:rsidRDefault="00D556D8" w:rsidP="00D556D8">
            <w:pPr>
              <w:pStyle w:val="TableParagraph"/>
              <w:spacing w:line="360" w:lineRule="auto"/>
              <w:jc w:val="both"/>
              <w:rPr>
                <w:rFonts w:ascii="Book Antiqua" w:hAnsi="Book Antiqua"/>
                <w:sz w:val="24"/>
                <w:szCs w:val="24"/>
              </w:rPr>
            </w:pPr>
          </w:p>
        </w:tc>
        <w:tc>
          <w:tcPr>
            <w:tcW w:w="494" w:type="pct"/>
          </w:tcPr>
          <w:p w14:paraId="252EF89F" w14:textId="77777777" w:rsidR="00D556D8" w:rsidRPr="006B0F08" w:rsidRDefault="00D556D8" w:rsidP="00D556D8">
            <w:pPr>
              <w:pStyle w:val="TableParagraph"/>
              <w:spacing w:line="360" w:lineRule="auto"/>
              <w:jc w:val="both"/>
              <w:rPr>
                <w:rFonts w:ascii="Book Antiqua" w:eastAsia="SimSun" w:hAnsi="Book Antiqua"/>
                <w:w w:val="90"/>
                <w:sz w:val="24"/>
                <w:szCs w:val="24"/>
                <w:lang w:eastAsia="zh-CN"/>
              </w:rPr>
            </w:pPr>
            <w:r w:rsidRPr="006B0F08">
              <w:rPr>
                <w:rFonts w:ascii="Book Antiqua" w:hAnsi="Book Antiqua"/>
                <w:w w:val="90"/>
                <w:sz w:val="24"/>
                <w:szCs w:val="24"/>
              </w:rPr>
              <w:t>TTS/OTW</w:t>
            </w:r>
          </w:p>
        </w:tc>
        <w:tc>
          <w:tcPr>
            <w:tcW w:w="679" w:type="pct"/>
          </w:tcPr>
          <w:p w14:paraId="1604AF93" w14:textId="77777777" w:rsidR="00D556D8" w:rsidRPr="006B0F08" w:rsidRDefault="00D556D8" w:rsidP="00D556D8">
            <w:pPr>
              <w:pStyle w:val="TableParagraph"/>
              <w:spacing w:line="360" w:lineRule="auto"/>
              <w:jc w:val="both"/>
              <w:rPr>
                <w:rFonts w:ascii="Book Antiqua" w:eastAsia="SimSun" w:hAnsi="Book Antiqua"/>
                <w:w w:val="95"/>
                <w:sz w:val="24"/>
                <w:szCs w:val="24"/>
                <w:lang w:eastAsia="zh-CN"/>
              </w:rPr>
            </w:pPr>
            <w:r w:rsidRPr="006B0F08">
              <w:rPr>
                <w:rFonts w:ascii="Book Antiqua" w:hAnsi="Book Antiqua"/>
                <w:w w:val="95"/>
                <w:sz w:val="24"/>
                <w:szCs w:val="24"/>
              </w:rPr>
              <w:t>20, 24</w:t>
            </w:r>
          </w:p>
        </w:tc>
        <w:tc>
          <w:tcPr>
            <w:tcW w:w="309" w:type="pct"/>
          </w:tcPr>
          <w:p w14:paraId="4CD05CA3"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707EC8E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26, 32</w:t>
            </w:r>
          </w:p>
        </w:tc>
        <w:tc>
          <w:tcPr>
            <w:tcW w:w="679" w:type="pct"/>
          </w:tcPr>
          <w:p w14:paraId="4AEF4BF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60, 90, 100, 120, 130, 160</w:t>
            </w:r>
          </w:p>
        </w:tc>
        <w:tc>
          <w:tcPr>
            <w:tcW w:w="802" w:type="pct"/>
          </w:tcPr>
          <w:p w14:paraId="5943411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Fully covered</w:t>
            </w:r>
          </w:p>
        </w:tc>
      </w:tr>
      <w:tr w:rsidR="00E73795" w:rsidRPr="006B0F08" w14:paraId="2603339B" w14:textId="77777777" w:rsidTr="00E73795">
        <w:trPr>
          <w:trHeight w:val="158"/>
        </w:trPr>
        <w:tc>
          <w:tcPr>
            <w:tcW w:w="1088" w:type="pct"/>
          </w:tcPr>
          <w:p w14:paraId="16919AA9" w14:textId="77777777" w:rsidR="00D556D8" w:rsidRPr="006B0F08" w:rsidRDefault="00D556D8" w:rsidP="00D556D8">
            <w:pPr>
              <w:pStyle w:val="TableParagraph"/>
              <w:spacing w:line="360" w:lineRule="auto"/>
              <w:jc w:val="both"/>
              <w:rPr>
                <w:rFonts w:ascii="Book Antiqua" w:hAnsi="Book Antiqua"/>
                <w:sz w:val="24"/>
                <w:szCs w:val="24"/>
              </w:rPr>
            </w:pPr>
          </w:p>
        </w:tc>
        <w:tc>
          <w:tcPr>
            <w:tcW w:w="457" w:type="pct"/>
          </w:tcPr>
          <w:p w14:paraId="6AE6F20D" w14:textId="77777777" w:rsidR="00D556D8" w:rsidRPr="006B0F08" w:rsidRDefault="00D556D8" w:rsidP="00D556D8">
            <w:pPr>
              <w:pStyle w:val="TableParagraph"/>
              <w:spacing w:line="360" w:lineRule="auto"/>
              <w:jc w:val="both"/>
              <w:rPr>
                <w:rFonts w:ascii="Book Antiqua" w:hAnsi="Book Antiqua"/>
                <w:sz w:val="24"/>
                <w:szCs w:val="24"/>
              </w:rPr>
            </w:pPr>
          </w:p>
        </w:tc>
        <w:tc>
          <w:tcPr>
            <w:tcW w:w="494" w:type="pct"/>
          </w:tcPr>
          <w:p w14:paraId="38E0C074" w14:textId="77777777"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w w:val="90"/>
                <w:sz w:val="24"/>
                <w:szCs w:val="24"/>
              </w:rPr>
              <w:t>OTW</w:t>
            </w:r>
          </w:p>
        </w:tc>
        <w:tc>
          <w:tcPr>
            <w:tcW w:w="679" w:type="pct"/>
          </w:tcPr>
          <w:p w14:paraId="2143F2FE"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24</w:t>
            </w:r>
          </w:p>
        </w:tc>
        <w:tc>
          <w:tcPr>
            <w:tcW w:w="309" w:type="pct"/>
          </w:tcPr>
          <w:p w14:paraId="46CDAD60" w14:textId="77777777" w:rsidR="00D556D8" w:rsidRPr="006B0F08" w:rsidRDefault="00D556D8" w:rsidP="00D556D8">
            <w:pPr>
              <w:pStyle w:val="TableParagraph"/>
              <w:spacing w:line="360" w:lineRule="auto"/>
              <w:jc w:val="both"/>
              <w:rPr>
                <w:rFonts w:ascii="Book Antiqua" w:hAnsi="Book Antiqua"/>
                <w:w w:val="85"/>
                <w:sz w:val="24"/>
                <w:szCs w:val="24"/>
              </w:rPr>
            </w:pPr>
            <w:r w:rsidRPr="006B0F08">
              <w:rPr>
                <w:rFonts w:ascii="Book Antiqua" w:hAnsi="Book Antiqua"/>
                <w:w w:val="85"/>
                <w:sz w:val="24"/>
                <w:szCs w:val="24"/>
              </w:rPr>
              <w:t xml:space="preserve">2 </w:t>
            </w:r>
          </w:p>
        </w:tc>
        <w:tc>
          <w:tcPr>
            <w:tcW w:w="494" w:type="pct"/>
          </w:tcPr>
          <w:p w14:paraId="5B811111" w14:textId="77777777"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w w:val="90"/>
                <w:sz w:val="24"/>
                <w:szCs w:val="24"/>
              </w:rPr>
              <w:t>32</w:t>
            </w:r>
          </w:p>
        </w:tc>
        <w:tc>
          <w:tcPr>
            <w:tcW w:w="679" w:type="pct"/>
          </w:tcPr>
          <w:p w14:paraId="0178A72D"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50,80,110,150</w:t>
            </w:r>
          </w:p>
        </w:tc>
        <w:tc>
          <w:tcPr>
            <w:tcW w:w="802" w:type="pct"/>
          </w:tcPr>
          <w:p w14:paraId="0CB20F57"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Fully Covered</w:t>
            </w:r>
          </w:p>
        </w:tc>
      </w:tr>
      <w:tr w:rsidR="00E73795" w:rsidRPr="006B0F08" w14:paraId="51AD8500" w14:textId="77777777" w:rsidTr="00E73795">
        <w:trPr>
          <w:trHeight w:val="180"/>
        </w:trPr>
        <w:tc>
          <w:tcPr>
            <w:tcW w:w="1088" w:type="pct"/>
          </w:tcPr>
          <w:p w14:paraId="63DF8CB9"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proofErr w:type="spellStart"/>
            <w:r w:rsidRPr="006B0F08">
              <w:rPr>
                <w:rFonts w:ascii="Book Antiqua" w:hAnsi="Book Antiqua"/>
                <w:w w:val="90"/>
                <w:sz w:val="24"/>
                <w:szCs w:val="24"/>
              </w:rPr>
              <w:t>Choostent</w:t>
            </w:r>
            <w:proofErr w:type="spellEnd"/>
            <w:r w:rsidRPr="006B0F08">
              <w:rPr>
                <w:rFonts w:ascii="Book Antiqua" w:hAnsi="Book Antiqua"/>
                <w:spacing w:val="-7"/>
                <w:w w:val="90"/>
                <w:sz w:val="24"/>
                <w:szCs w:val="24"/>
              </w:rPr>
              <w:t xml:space="preserve"> </w:t>
            </w:r>
            <w:r w:rsidRPr="006B0F08">
              <w:rPr>
                <w:rFonts w:ascii="Book Antiqua" w:hAnsi="Book Antiqua"/>
                <w:w w:val="90"/>
                <w:sz w:val="24"/>
                <w:szCs w:val="24"/>
              </w:rPr>
              <w:t>Colon/Rectum</w:t>
            </w:r>
          </w:p>
        </w:tc>
        <w:tc>
          <w:tcPr>
            <w:tcW w:w="457" w:type="pct"/>
          </w:tcPr>
          <w:p w14:paraId="12267B60"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6957CBB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OTW</w:t>
            </w:r>
          </w:p>
        </w:tc>
        <w:tc>
          <w:tcPr>
            <w:tcW w:w="679" w:type="pct"/>
          </w:tcPr>
          <w:p w14:paraId="682F345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22,24</w:t>
            </w:r>
          </w:p>
        </w:tc>
        <w:tc>
          <w:tcPr>
            <w:tcW w:w="309" w:type="pct"/>
          </w:tcPr>
          <w:p w14:paraId="75F91B3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70970797"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30, 32</w:t>
            </w:r>
          </w:p>
        </w:tc>
        <w:tc>
          <w:tcPr>
            <w:tcW w:w="679" w:type="pct"/>
          </w:tcPr>
          <w:p w14:paraId="6D0B259D"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100, 180</w:t>
            </w:r>
          </w:p>
        </w:tc>
        <w:tc>
          <w:tcPr>
            <w:tcW w:w="802" w:type="pct"/>
          </w:tcPr>
          <w:p w14:paraId="5FAED851"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Fully covered</w:t>
            </w:r>
          </w:p>
        </w:tc>
      </w:tr>
      <w:tr w:rsidR="00E73795" w:rsidRPr="006B0F08" w14:paraId="1F4B8A16" w14:textId="77777777" w:rsidTr="00E73795">
        <w:trPr>
          <w:trHeight w:val="252"/>
        </w:trPr>
        <w:tc>
          <w:tcPr>
            <w:tcW w:w="1088" w:type="pct"/>
          </w:tcPr>
          <w:p w14:paraId="08D42838" w14:textId="77777777" w:rsidR="00D556D8" w:rsidRPr="006B0F08" w:rsidRDefault="00D556D8" w:rsidP="00D556D8">
            <w:pPr>
              <w:pStyle w:val="TableParagraph"/>
              <w:spacing w:line="360" w:lineRule="auto"/>
              <w:jc w:val="both"/>
              <w:rPr>
                <w:rFonts w:ascii="Book Antiqua" w:hAnsi="Book Antiqua"/>
                <w:sz w:val="24"/>
                <w:szCs w:val="24"/>
              </w:rPr>
            </w:pPr>
            <w:proofErr w:type="spellStart"/>
            <w:r w:rsidRPr="006B0F08">
              <w:rPr>
                <w:rFonts w:ascii="Book Antiqua" w:hAnsi="Book Antiqua"/>
                <w:w w:val="95"/>
                <w:sz w:val="24"/>
                <w:szCs w:val="24"/>
              </w:rPr>
              <w:t>EndoChoice</w:t>
            </w:r>
            <w:proofErr w:type="spellEnd"/>
          </w:p>
        </w:tc>
        <w:tc>
          <w:tcPr>
            <w:tcW w:w="457" w:type="pct"/>
          </w:tcPr>
          <w:p w14:paraId="4E17B04E" w14:textId="77777777" w:rsidR="00D556D8" w:rsidRPr="006B0F08" w:rsidRDefault="00D556D8" w:rsidP="00D556D8">
            <w:pPr>
              <w:pStyle w:val="TableParagraph"/>
              <w:tabs>
                <w:tab w:val="left" w:pos="3223"/>
              </w:tabs>
              <w:spacing w:line="360" w:lineRule="auto"/>
              <w:jc w:val="both"/>
              <w:rPr>
                <w:rFonts w:ascii="Book Antiqua" w:eastAsia="SimSun" w:hAnsi="Book Antiqua"/>
                <w:sz w:val="24"/>
                <w:szCs w:val="24"/>
                <w:lang w:eastAsia="zh-CN"/>
              </w:rPr>
            </w:pPr>
          </w:p>
        </w:tc>
        <w:tc>
          <w:tcPr>
            <w:tcW w:w="494" w:type="pct"/>
          </w:tcPr>
          <w:p w14:paraId="7DD37081"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0"/>
                <w:sz w:val="24"/>
                <w:szCs w:val="24"/>
              </w:rPr>
              <w:t>OTW</w:t>
            </w:r>
          </w:p>
        </w:tc>
        <w:tc>
          <w:tcPr>
            <w:tcW w:w="679" w:type="pct"/>
          </w:tcPr>
          <w:p w14:paraId="339012B4"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22,24</w:t>
            </w:r>
          </w:p>
        </w:tc>
        <w:tc>
          <w:tcPr>
            <w:tcW w:w="309" w:type="pct"/>
          </w:tcPr>
          <w:p w14:paraId="392A5763"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 xml:space="preserve">2 </w:t>
            </w:r>
          </w:p>
        </w:tc>
        <w:tc>
          <w:tcPr>
            <w:tcW w:w="494" w:type="pct"/>
          </w:tcPr>
          <w:p w14:paraId="28673C32"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0"/>
                <w:sz w:val="24"/>
                <w:szCs w:val="24"/>
              </w:rPr>
              <w:t>30, 32</w:t>
            </w:r>
          </w:p>
        </w:tc>
        <w:tc>
          <w:tcPr>
            <w:tcW w:w="679" w:type="pct"/>
          </w:tcPr>
          <w:p w14:paraId="1B7D0BBB"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80, 120</w:t>
            </w:r>
          </w:p>
        </w:tc>
        <w:tc>
          <w:tcPr>
            <w:tcW w:w="802" w:type="pct"/>
          </w:tcPr>
          <w:p w14:paraId="2737B5F0"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w w:val="95"/>
                <w:sz w:val="24"/>
                <w:szCs w:val="24"/>
              </w:rPr>
              <w:t>Fully covered</w:t>
            </w:r>
          </w:p>
        </w:tc>
      </w:tr>
      <w:tr w:rsidR="00E73795" w:rsidRPr="006B0F08" w14:paraId="56431FB3" w14:textId="77777777" w:rsidTr="00E73795">
        <w:trPr>
          <w:trHeight w:val="154"/>
        </w:trPr>
        <w:tc>
          <w:tcPr>
            <w:tcW w:w="1088" w:type="pct"/>
          </w:tcPr>
          <w:p w14:paraId="2FFD35ED"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proofErr w:type="spellStart"/>
            <w:r w:rsidRPr="006B0F08">
              <w:rPr>
                <w:rFonts w:ascii="Book Antiqua" w:hAnsi="Book Antiqua"/>
                <w:w w:val="95"/>
                <w:sz w:val="24"/>
                <w:szCs w:val="24"/>
              </w:rPr>
              <w:t>Bonastent</w:t>
            </w:r>
            <w:proofErr w:type="spellEnd"/>
          </w:p>
        </w:tc>
        <w:tc>
          <w:tcPr>
            <w:tcW w:w="457" w:type="pct"/>
          </w:tcPr>
          <w:p w14:paraId="200A86F6"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sz w:val="24"/>
                <w:szCs w:val="24"/>
              </w:rPr>
              <w:t>Nitinol</w:t>
            </w:r>
          </w:p>
        </w:tc>
        <w:tc>
          <w:tcPr>
            <w:tcW w:w="494" w:type="pct"/>
          </w:tcPr>
          <w:p w14:paraId="4EE8583E" w14:textId="77777777"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w w:val="80"/>
                <w:sz w:val="24"/>
                <w:szCs w:val="24"/>
              </w:rPr>
              <w:t>TTS</w:t>
            </w:r>
          </w:p>
        </w:tc>
        <w:tc>
          <w:tcPr>
            <w:tcW w:w="679" w:type="pct"/>
          </w:tcPr>
          <w:p w14:paraId="428E2A4D"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22, 24, 26</w:t>
            </w:r>
          </w:p>
        </w:tc>
        <w:tc>
          <w:tcPr>
            <w:tcW w:w="309" w:type="pct"/>
          </w:tcPr>
          <w:p w14:paraId="62F99567"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85"/>
                <w:sz w:val="24"/>
                <w:szCs w:val="24"/>
              </w:rPr>
              <w:t>0</w:t>
            </w:r>
          </w:p>
        </w:tc>
        <w:tc>
          <w:tcPr>
            <w:tcW w:w="494" w:type="pct"/>
          </w:tcPr>
          <w:p w14:paraId="1BE56A8F" w14:textId="77777777"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w w:val="89"/>
                <w:sz w:val="24"/>
                <w:szCs w:val="24"/>
              </w:rPr>
              <w:t>–</w:t>
            </w:r>
          </w:p>
        </w:tc>
        <w:tc>
          <w:tcPr>
            <w:tcW w:w="679" w:type="pct"/>
          </w:tcPr>
          <w:p w14:paraId="4B35B721"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5"/>
                <w:sz w:val="24"/>
                <w:szCs w:val="24"/>
              </w:rPr>
              <w:t>60, 80, 100</w:t>
            </w:r>
          </w:p>
        </w:tc>
        <w:tc>
          <w:tcPr>
            <w:tcW w:w="802" w:type="pct"/>
          </w:tcPr>
          <w:p w14:paraId="66BF5C41"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w w:val="90"/>
                <w:sz w:val="24"/>
                <w:szCs w:val="24"/>
              </w:rPr>
              <w:t>Uncovered/partially covered</w:t>
            </w:r>
          </w:p>
        </w:tc>
      </w:tr>
      <w:tr w:rsidR="00D556D8" w:rsidRPr="006B0F08" w14:paraId="473CD7BB" w14:textId="77777777" w:rsidTr="00E73795">
        <w:trPr>
          <w:trHeight w:val="168"/>
        </w:trPr>
        <w:tc>
          <w:tcPr>
            <w:tcW w:w="5000" w:type="pct"/>
            <w:gridSpan w:val="8"/>
          </w:tcPr>
          <w:p w14:paraId="6823FA0E" w14:textId="77777777" w:rsidR="00D556D8" w:rsidRPr="006B0F08" w:rsidRDefault="00D556D8" w:rsidP="00D556D8">
            <w:pPr>
              <w:pStyle w:val="TableParagraph"/>
              <w:spacing w:line="360" w:lineRule="auto"/>
              <w:jc w:val="both"/>
              <w:rPr>
                <w:rFonts w:ascii="Book Antiqua" w:hAnsi="Book Antiqua"/>
                <w:sz w:val="24"/>
                <w:szCs w:val="24"/>
              </w:rPr>
            </w:pPr>
            <w:proofErr w:type="spellStart"/>
            <w:r w:rsidRPr="006B0F08">
              <w:rPr>
                <w:rFonts w:ascii="Book Antiqua" w:hAnsi="Book Antiqua"/>
                <w:w w:val="95"/>
                <w:sz w:val="24"/>
                <w:szCs w:val="24"/>
              </w:rPr>
              <w:t>Taewoong</w:t>
            </w:r>
            <w:proofErr w:type="spellEnd"/>
            <w:r w:rsidRPr="006B0F08">
              <w:rPr>
                <w:rFonts w:ascii="Book Antiqua" w:hAnsi="Book Antiqua"/>
                <w:w w:val="95"/>
                <w:sz w:val="24"/>
                <w:szCs w:val="24"/>
              </w:rPr>
              <w:t xml:space="preserve"> Medical</w:t>
            </w:r>
          </w:p>
        </w:tc>
      </w:tr>
      <w:tr w:rsidR="00E73795" w:rsidRPr="006B0F08" w14:paraId="2127AFE1" w14:textId="77777777" w:rsidTr="00E73795">
        <w:trPr>
          <w:trHeight w:val="187"/>
        </w:trPr>
        <w:tc>
          <w:tcPr>
            <w:tcW w:w="1088" w:type="pct"/>
          </w:tcPr>
          <w:p w14:paraId="042D0950" w14:textId="67CE298F" w:rsidR="007643DC" w:rsidRPr="006B0F08" w:rsidRDefault="00D556D8" w:rsidP="00D556D8">
            <w:pPr>
              <w:pStyle w:val="TableParagraph"/>
              <w:tabs>
                <w:tab w:val="left" w:pos="3223"/>
              </w:tabs>
              <w:spacing w:line="360" w:lineRule="auto"/>
              <w:jc w:val="both"/>
              <w:rPr>
                <w:rFonts w:ascii="Book Antiqua" w:eastAsia="SimSun" w:hAnsi="Book Antiqua"/>
                <w:w w:val="95"/>
                <w:sz w:val="24"/>
                <w:szCs w:val="24"/>
                <w:vertAlign w:val="superscript"/>
                <w:lang w:eastAsia="zh-CN"/>
              </w:rPr>
            </w:pPr>
            <w:proofErr w:type="spellStart"/>
            <w:r w:rsidRPr="006B0F08">
              <w:rPr>
                <w:rFonts w:ascii="Book Antiqua" w:hAnsi="Book Antiqua"/>
                <w:w w:val="95"/>
                <w:sz w:val="24"/>
                <w:szCs w:val="24"/>
              </w:rPr>
              <w:t>Niti</w:t>
            </w:r>
            <w:proofErr w:type="spellEnd"/>
            <w:r w:rsidRPr="006B0F08">
              <w:rPr>
                <w:rFonts w:ascii="Book Antiqua" w:hAnsi="Book Antiqua"/>
                <w:w w:val="95"/>
                <w:sz w:val="24"/>
                <w:szCs w:val="24"/>
              </w:rPr>
              <w:t>-S</w:t>
            </w:r>
            <w:r w:rsidRPr="006B0F08">
              <w:rPr>
                <w:rFonts w:ascii="Book Antiqua" w:hAnsi="Book Antiqua"/>
                <w:spacing w:val="-25"/>
                <w:w w:val="95"/>
                <w:sz w:val="24"/>
                <w:szCs w:val="24"/>
              </w:rPr>
              <w:t xml:space="preserve"> </w:t>
            </w:r>
            <w:r w:rsidRPr="006B0F08">
              <w:rPr>
                <w:rFonts w:ascii="Book Antiqua" w:hAnsi="Book Antiqua"/>
                <w:w w:val="95"/>
                <w:sz w:val="24"/>
                <w:szCs w:val="24"/>
              </w:rPr>
              <w:t>Enteral</w:t>
            </w:r>
            <w:r w:rsidRPr="006B0F08">
              <w:rPr>
                <w:rFonts w:ascii="Book Antiqua" w:hAnsi="Book Antiqua"/>
                <w:spacing w:val="-25"/>
                <w:w w:val="95"/>
                <w:sz w:val="24"/>
                <w:szCs w:val="24"/>
              </w:rPr>
              <w:t xml:space="preserve"> </w:t>
            </w:r>
            <w:r w:rsidRPr="006B0F08">
              <w:rPr>
                <w:rFonts w:ascii="Book Antiqua" w:hAnsi="Book Antiqua"/>
                <w:w w:val="95"/>
                <w:sz w:val="24"/>
                <w:szCs w:val="24"/>
              </w:rPr>
              <w:t>Colonic</w:t>
            </w:r>
            <w:r w:rsidRPr="006B0F08">
              <w:rPr>
                <w:rFonts w:ascii="Book Antiqua" w:hAnsi="Book Antiqua"/>
                <w:spacing w:val="-25"/>
                <w:w w:val="95"/>
                <w:sz w:val="24"/>
                <w:szCs w:val="24"/>
              </w:rPr>
              <w:t xml:space="preserve"> </w:t>
            </w:r>
            <w:r w:rsidRPr="006B0F08">
              <w:rPr>
                <w:rFonts w:ascii="Book Antiqua" w:hAnsi="Book Antiqua"/>
                <w:w w:val="95"/>
                <w:sz w:val="24"/>
                <w:szCs w:val="24"/>
              </w:rPr>
              <w:t>D-type</w:t>
            </w:r>
            <w:r w:rsidR="007643DC" w:rsidRPr="006B0F08">
              <w:rPr>
                <w:rFonts w:ascii="Book Antiqua" w:eastAsia="SimSun" w:hAnsi="Book Antiqua"/>
                <w:w w:val="95"/>
                <w:sz w:val="24"/>
                <w:szCs w:val="24"/>
                <w:vertAlign w:val="superscript"/>
                <w:lang w:eastAsia="zh-CN"/>
              </w:rPr>
              <w:t>1</w:t>
            </w:r>
          </w:p>
        </w:tc>
        <w:tc>
          <w:tcPr>
            <w:tcW w:w="457" w:type="pct"/>
          </w:tcPr>
          <w:p w14:paraId="4ECAF683"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w w:val="95"/>
                <w:sz w:val="24"/>
                <w:szCs w:val="24"/>
              </w:rPr>
              <w:t>Nitinol</w:t>
            </w:r>
          </w:p>
        </w:tc>
        <w:tc>
          <w:tcPr>
            <w:tcW w:w="494" w:type="pct"/>
          </w:tcPr>
          <w:p w14:paraId="5B5FDF1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07FF98CF"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18, 20, 22, 24, 26, 28</w:t>
            </w:r>
          </w:p>
        </w:tc>
        <w:tc>
          <w:tcPr>
            <w:tcW w:w="309" w:type="pct"/>
          </w:tcPr>
          <w:p w14:paraId="7395E9E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0</w:t>
            </w:r>
          </w:p>
        </w:tc>
        <w:tc>
          <w:tcPr>
            <w:tcW w:w="494" w:type="pct"/>
          </w:tcPr>
          <w:p w14:paraId="593C3A2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9"/>
                <w:sz w:val="24"/>
                <w:szCs w:val="24"/>
              </w:rPr>
              <w:t>–</w:t>
            </w:r>
          </w:p>
        </w:tc>
        <w:tc>
          <w:tcPr>
            <w:tcW w:w="679" w:type="pct"/>
          </w:tcPr>
          <w:p w14:paraId="7690038B"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60, 80, 100, 120</w:t>
            </w:r>
          </w:p>
        </w:tc>
        <w:tc>
          <w:tcPr>
            <w:tcW w:w="802" w:type="pct"/>
          </w:tcPr>
          <w:p w14:paraId="0DE4E4B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Uncovered</w:t>
            </w:r>
          </w:p>
        </w:tc>
      </w:tr>
      <w:tr w:rsidR="00E73795" w:rsidRPr="006B0F08" w14:paraId="3AE18D87" w14:textId="77777777" w:rsidTr="00E73795">
        <w:trPr>
          <w:trHeight w:val="179"/>
        </w:trPr>
        <w:tc>
          <w:tcPr>
            <w:tcW w:w="1088" w:type="pct"/>
          </w:tcPr>
          <w:p w14:paraId="0A930B54" w14:textId="1A4DFF1D" w:rsidR="00D556D8" w:rsidRPr="006B0F08" w:rsidRDefault="00D556D8" w:rsidP="007643DC">
            <w:pPr>
              <w:pStyle w:val="TableParagraph"/>
              <w:tabs>
                <w:tab w:val="left" w:pos="3223"/>
              </w:tabs>
              <w:spacing w:line="360" w:lineRule="auto"/>
              <w:jc w:val="both"/>
              <w:rPr>
                <w:rFonts w:ascii="Book Antiqua" w:eastAsia="SimSun" w:hAnsi="Book Antiqua"/>
                <w:sz w:val="24"/>
                <w:szCs w:val="24"/>
                <w:lang w:eastAsia="zh-CN"/>
              </w:rPr>
            </w:pPr>
            <w:proofErr w:type="spellStart"/>
            <w:r w:rsidRPr="006B0F08">
              <w:rPr>
                <w:rFonts w:ascii="Book Antiqua" w:hAnsi="Book Antiqua"/>
                <w:w w:val="90"/>
                <w:sz w:val="24"/>
                <w:szCs w:val="24"/>
              </w:rPr>
              <w:t>Niti</w:t>
            </w:r>
            <w:proofErr w:type="spellEnd"/>
            <w:r w:rsidRPr="006B0F08">
              <w:rPr>
                <w:rFonts w:ascii="Book Antiqua" w:hAnsi="Book Antiqua"/>
                <w:w w:val="90"/>
                <w:sz w:val="24"/>
                <w:szCs w:val="24"/>
              </w:rPr>
              <w:t>-S Enteral</w:t>
            </w:r>
            <w:r w:rsidRPr="006B0F08">
              <w:rPr>
                <w:rFonts w:ascii="Book Antiqua" w:hAnsi="Book Antiqua"/>
                <w:spacing w:val="-11"/>
                <w:w w:val="90"/>
                <w:sz w:val="24"/>
                <w:szCs w:val="24"/>
              </w:rPr>
              <w:t xml:space="preserve"> </w:t>
            </w:r>
            <w:r w:rsidRPr="006B0F08">
              <w:rPr>
                <w:rFonts w:ascii="Book Antiqua" w:hAnsi="Book Antiqua"/>
                <w:w w:val="90"/>
                <w:sz w:val="24"/>
                <w:szCs w:val="24"/>
              </w:rPr>
              <w:t>Colonic</w:t>
            </w:r>
            <w:r w:rsidRPr="006B0F08">
              <w:rPr>
                <w:rFonts w:ascii="Book Antiqua" w:hAnsi="Book Antiqua"/>
                <w:spacing w:val="-6"/>
                <w:w w:val="90"/>
                <w:sz w:val="24"/>
                <w:szCs w:val="24"/>
              </w:rPr>
              <w:t xml:space="preserve"> </w:t>
            </w:r>
            <w:r w:rsidRPr="006B0F08">
              <w:rPr>
                <w:rFonts w:ascii="Book Antiqua" w:hAnsi="Book Antiqua"/>
                <w:w w:val="90"/>
                <w:sz w:val="24"/>
                <w:szCs w:val="24"/>
              </w:rPr>
              <w:t>S-type</w:t>
            </w:r>
            <w:r w:rsidR="007643DC" w:rsidRPr="006B0F08">
              <w:rPr>
                <w:rFonts w:ascii="Book Antiqua" w:eastAsia="SimSun" w:hAnsi="Book Antiqua"/>
                <w:w w:val="90"/>
                <w:sz w:val="24"/>
                <w:szCs w:val="24"/>
                <w:vertAlign w:val="superscript"/>
                <w:lang w:eastAsia="zh-CN"/>
              </w:rPr>
              <w:t>1</w:t>
            </w:r>
          </w:p>
        </w:tc>
        <w:tc>
          <w:tcPr>
            <w:tcW w:w="457" w:type="pct"/>
          </w:tcPr>
          <w:p w14:paraId="46265F05" w14:textId="77777777" w:rsidR="00D556D8" w:rsidRPr="006B0F08" w:rsidRDefault="00D556D8" w:rsidP="00D556D8">
            <w:pPr>
              <w:pStyle w:val="TableParagraph"/>
              <w:tabs>
                <w:tab w:val="left" w:pos="3223"/>
              </w:tabs>
              <w:spacing w:line="360" w:lineRule="auto"/>
              <w:jc w:val="both"/>
              <w:rPr>
                <w:rFonts w:ascii="Book Antiqua" w:hAnsi="Book Antiqua"/>
                <w:sz w:val="24"/>
                <w:szCs w:val="24"/>
              </w:rPr>
            </w:pPr>
            <w:r w:rsidRPr="006B0F08">
              <w:rPr>
                <w:rFonts w:ascii="Book Antiqua" w:hAnsi="Book Antiqua"/>
                <w:w w:val="95"/>
                <w:sz w:val="24"/>
                <w:szCs w:val="24"/>
              </w:rPr>
              <w:t>Nitinol</w:t>
            </w:r>
          </w:p>
        </w:tc>
        <w:tc>
          <w:tcPr>
            <w:tcW w:w="494" w:type="pct"/>
          </w:tcPr>
          <w:p w14:paraId="491823E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0"/>
                <w:sz w:val="24"/>
                <w:szCs w:val="24"/>
              </w:rPr>
              <w:t>TTS</w:t>
            </w:r>
          </w:p>
        </w:tc>
        <w:tc>
          <w:tcPr>
            <w:tcW w:w="679" w:type="pct"/>
          </w:tcPr>
          <w:p w14:paraId="3E26FE29"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20, 22</w:t>
            </w:r>
          </w:p>
        </w:tc>
        <w:tc>
          <w:tcPr>
            <w:tcW w:w="309" w:type="pct"/>
          </w:tcPr>
          <w:p w14:paraId="78F1342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586B6E8C"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28, 30</w:t>
            </w:r>
          </w:p>
        </w:tc>
        <w:tc>
          <w:tcPr>
            <w:tcW w:w="679" w:type="pct"/>
          </w:tcPr>
          <w:p w14:paraId="2C7CE6B9"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60, 80, 100, 120</w:t>
            </w:r>
          </w:p>
        </w:tc>
        <w:tc>
          <w:tcPr>
            <w:tcW w:w="802" w:type="pct"/>
          </w:tcPr>
          <w:p w14:paraId="4EAC1655"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Fully/partially covered</w:t>
            </w:r>
          </w:p>
        </w:tc>
      </w:tr>
      <w:tr w:rsidR="00E73795" w:rsidRPr="006B0F08" w14:paraId="4D2424E8" w14:textId="77777777" w:rsidTr="00E73795">
        <w:trPr>
          <w:trHeight w:val="180"/>
        </w:trPr>
        <w:tc>
          <w:tcPr>
            <w:tcW w:w="1088" w:type="pct"/>
          </w:tcPr>
          <w:p w14:paraId="79FF34ED" w14:textId="77777777" w:rsidR="00D556D8" w:rsidRPr="006B0F08" w:rsidRDefault="00D556D8" w:rsidP="00D556D8">
            <w:pPr>
              <w:pStyle w:val="TableParagraph"/>
              <w:spacing w:line="360" w:lineRule="auto"/>
              <w:jc w:val="both"/>
              <w:rPr>
                <w:rFonts w:ascii="Book Antiqua" w:hAnsi="Book Antiqua"/>
                <w:sz w:val="24"/>
                <w:szCs w:val="24"/>
              </w:rPr>
            </w:pPr>
          </w:p>
        </w:tc>
        <w:tc>
          <w:tcPr>
            <w:tcW w:w="457" w:type="pct"/>
          </w:tcPr>
          <w:p w14:paraId="4E9E73D7" w14:textId="77777777" w:rsidR="00D556D8" w:rsidRPr="006B0F08" w:rsidRDefault="00D556D8" w:rsidP="00D556D8">
            <w:pPr>
              <w:pStyle w:val="TableParagraph"/>
              <w:spacing w:line="360" w:lineRule="auto"/>
              <w:jc w:val="both"/>
              <w:rPr>
                <w:rFonts w:ascii="Book Antiqua" w:hAnsi="Book Antiqua"/>
                <w:sz w:val="24"/>
                <w:szCs w:val="24"/>
              </w:rPr>
            </w:pPr>
          </w:p>
        </w:tc>
        <w:tc>
          <w:tcPr>
            <w:tcW w:w="494" w:type="pct"/>
          </w:tcPr>
          <w:p w14:paraId="2FCECFCE"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OTW</w:t>
            </w:r>
          </w:p>
        </w:tc>
        <w:tc>
          <w:tcPr>
            <w:tcW w:w="679" w:type="pct"/>
          </w:tcPr>
          <w:p w14:paraId="2C06DD5D"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22, 24, 26, 28</w:t>
            </w:r>
          </w:p>
        </w:tc>
        <w:tc>
          <w:tcPr>
            <w:tcW w:w="309" w:type="pct"/>
          </w:tcPr>
          <w:p w14:paraId="1E671639"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85"/>
                <w:sz w:val="24"/>
                <w:szCs w:val="24"/>
              </w:rPr>
              <w:t>2</w:t>
            </w:r>
          </w:p>
        </w:tc>
        <w:tc>
          <w:tcPr>
            <w:tcW w:w="494" w:type="pct"/>
          </w:tcPr>
          <w:p w14:paraId="73CC4F96"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0"/>
                <w:sz w:val="24"/>
                <w:szCs w:val="24"/>
              </w:rPr>
              <w:t>30, 32, 34</w:t>
            </w:r>
          </w:p>
        </w:tc>
        <w:tc>
          <w:tcPr>
            <w:tcW w:w="679" w:type="pct"/>
          </w:tcPr>
          <w:p w14:paraId="00162741"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w w:val="95"/>
                <w:sz w:val="24"/>
                <w:szCs w:val="24"/>
              </w:rPr>
              <w:t>60, 80, 100, 120</w:t>
            </w:r>
          </w:p>
        </w:tc>
        <w:tc>
          <w:tcPr>
            <w:tcW w:w="802" w:type="pct"/>
          </w:tcPr>
          <w:p w14:paraId="6CECA288"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sz w:val="24"/>
                <w:szCs w:val="24"/>
              </w:rPr>
              <w:t>Fully/partially covered</w:t>
            </w:r>
          </w:p>
        </w:tc>
      </w:tr>
      <w:tr w:rsidR="00D556D8" w:rsidRPr="006B0F08" w14:paraId="296719B1" w14:textId="77777777" w:rsidTr="00E73795">
        <w:trPr>
          <w:trHeight w:val="180"/>
        </w:trPr>
        <w:tc>
          <w:tcPr>
            <w:tcW w:w="5000" w:type="pct"/>
            <w:gridSpan w:val="8"/>
          </w:tcPr>
          <w:p w14:paraId="7EA8B650" w14:textId="77777777" w:rsidR="00D556D8" w:rsidRPr="006B0F08" w:rsidRDefault="00D556D8" w:rsidP="00D556D8">
            <w:pPr>
              <w:pStyle w:val="TableParagraph"/>
              <w:spacing w:line="360" w:lineRule="auto"/>
              <w:jc w:val="both"/>
              <w:rPr>
                <w:rFonts w:ascii="Book Antiqua" w:hAnsi="Book Antiqua"/>
                <w:noProof/>
                <w:w w:val="95"/>
                <w:sz w:val="24"/>
                <w:szCs w:val="24"/>
              </w:rPr>
            </w:pPr>
            <w:r w:rsidRPr="006B0F08">
              <w:rPr>
                <w:rFonts w:ascii="Book Antiqua" w:hAnsi="Book Antiqua"/>
                <w:noProof/>
                <w:w w:val="95"/>
                <w:sz w:val="24"/>
                <w:szCs w:val="24"/>
              </w:rPr>
              <w:t>Self expandable Stent</w:t>
            </w:r>
          </w:p>
        </w:tc>
      </w:tr>
      <w:tr w:rsidR="00E73795" w:rsidRPr="006B0F08" w14:paraId="23B0398A" w14:textId="77777777" w:rsidTr="00E73795">
        <w:trPr>
          <w:trHeight w:val="180"/>
        </w:trPr>
        <w:tc>
          <w:tcPr>
            <w:tcW w:w="1088" w:type="pct"/>
          </w:tcPr>
          <w:p w14:paraId="7351743D"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noProof/>
                <w:w w:val="95"/>
                <w:sz w:val="24"/>
                <w:szCs w:val="24"/>
              </w:rPr>
              <w:t>Braile Endomédica</w:t>
            </w:r>
          </w:p>
        </w:tc>
        <w:tc>
          <w:tcPr>
            <w:tcW w:w="457" w:type="pct"/>
          </w:tcPr>
          <w:p w14:paraId="16E5394E" w14:textId="77777777" w:rsidR="00D556D8" w:rsidRPr="006B0F08" w:rsidRDefault="00D556D8" w:rsidP="00D556D8">
            <w:pPr>
              <w:pStyle w:val="TableParagraph"/>
              <w:spacing w:line="360" w:lineRule="auto"/>
              <w:jc w:val="both"/>
              <w:rPr>
                <w:rFonts w:ascii="Book Antiqua" w:eastAsia="SimSun" w:hAnsi="Book Antiqua"/>
                <w:sz w:val="24"/>
                <w:szCs w:val="24"/>
                <w:lang w:eastAsia="zh-CN"/>
              </w:rPr>
            </w:pPr>
            <w:r w:rsidRPr="006B0F08">
              <w:rPr>
                <w:rFonts w:ascii="Book Antiqua" w:hAnsi="Book Antiqua"/>
                <w:noProof/>
                <w:w w:val="95"/>
                <w:sz w:val="24"/>
                <w:szCs w:val="24"/>
              </w:rPr>
              <w:t>Nitinol</w:t>
            </w:r>
          </w:p>
        </w:tc>
        <w:tc>
          <w:tcPr>
            <w:tcW w:w="494" w:type="pct"/>
          </w:tcPr>
          <w:p w14:paraId="72D42399" w14:textId="77777777" w:rsidR="00D556D8" w:rsidRPr="006B0F08" w:rsidRDefault="00D556D8" w:rsidP="00D556D8">
            <w:pPr>
              <w:pStyle w:val="TableParagraph"/>
              <w:spacing w:line="360" w:lineRule="auto"/>
              <w:jc w:val="both"/>
              <w:rPr>
                <w:rFonts w:ascii="Book Antiqua" w:eastAsia="SimSun" w:hAnsi="Book Antiqua"/>
                <w:w w:val="90"/>
                <w:sz w:val="24"/>
                <w:szCs w:val="24"/>
                <w:lang w:eastAsia="zh-CN"/>
              </w:rPr>
            </w:pPr>
            <w:r w:rsidRPr="006B0F08">
              <w:rPr>
                <w:rFonts w:ascii="Book Antiqua" w:hAnsi="Book Antiqua"/>
                <w:noProof/>
                <w:w w:val="95"/>
                <w:sz w:val="24"/>
                <w:szCs w:val="24"/>
              </w:rPr>
              <w:t>TTS</w:t>
            </w:r>
          </w:p>
        </w:tc>
        <w:tc>
          <w:tcPr>
            <w:tcW w:w="679" w:type="pct"/>
          </w:tcPr>
          <w:p w14:paraId="4F66A29C" w14:textId="77777777" w:rsidR="00D556D8" w:rsidRPr="006B0F08" w:rsidRDefault="00D556D8" w:rsidP="00D556D8">
            <w:pPr>
              <w:pStyle w:val="TableParagraph"/>
              <w:spacing w:line="360" w:lineRule="auto"/>
              <w:jc w:val="both"/>
              <w:rPr>
                <w:rFonts w:ascii="Book Antiqua" w:hAnsi="Book Antiqua"/>
                <w:w w:val="95"/>
                <w:sz w:val="24"/>
                <w:szCs w:val="24"/>
              </w:rPr>
            </w:pPr>
            <w:r w:rsidRPr="006B0F08">
              <w:rPr>
                <w:rFonts w:ascii="Book Antiqua" w:hAnsi="Book Antiqua"/>
                <w:noProof/>
                <w:w w:val="95"/>
                <w:sz w:val="24"/>
                <w:szCs w:val="24"/>
              </w:rPr>
              <w:t>26</w:t>
            </w:r>
          </w:p>
        </w:tc>
        <w:tc>
          <w:tcPr>
            <w:tcW w:w="309" w:type="pct"/>
          </w:tcPr>
          <w:p w14:paraId="2F792898" w14:textId="77777777" w:rsidR="00D556D8" w:rsidRPr="006B0F08" w:rsidRDefault="00D556D8" w:rsidP="00D556D8">
            <w:pPr>
              <w:pStyle w:val="TableParagraph"/>
              <w:spacing w:line="360" w:lineRule="auto"/>
              <w:jc w:val="both"/>
              <w:rPr>
                <w:rFonts w:ascii="Book Antiqua" w:hAnsi="Book Antiqua"/>
                <w:w w:val="85"/>
                <w:sz w:val="24"/>
                <w:szCs w:val="24"/>
              </w:rPr>
            </w:pPr>
            <w:r w:rsidRPr="006B0F08">
              <w:rPr>
                <w:rFonts w:ascii="Book Antiqua" w:hAnsi="Book Antiqua"/>
                <w:noProof/>
                <w:w w:val="95"/>
                <w:sz w:val="24"/>
                <w:szCs w:val="24"/>
              </w:rPr>
              <w:t>0</w:t>
            </w:r>
            <w:r w:rsidRPr="006B0F08">
              <w:rPr>
                <w:rFonts w:ascii="Book Antiqua" w:hAnsi="Book Antiqua"/>
                <w:noProof/>
                <w:w w:val="95"/>
                <w:sz w:val="24"/>
                <w:szCs w:val="24"/>
              </w:rPr>
              <w:tab/>
            </w:r>
          </w:p>
        </w:tc>
        <w:tc>
          <w:tcPr>
            <w:tcW w:w="494" w:type="pct"/>
          </w:tcPr>
          <w:p w14:paraId="5617149A" w14:textId="5FE1BF2B" w:rsidR="00D556D8" w:rsidRPr="006B0F08" w:rsidRDefault="00D556D8" w:rsidP="00D556D8">
            <w:pPr>
              <w:pStyle w:val="TableParagraph"/>
              <w:spacing w:line="360" w:lineRule="auto"/>
              <w:jc w:val="both"/>
              <w:rPr>
                <w:rFonts w:ascii="Book Antiqua" w:hAnsi="Book Antiqua"/>
                <w:w w:val="90"/>
                <w:sz w:val="24"/>
                <w:szCs w:val="24"/>
              </w:rPr>
            </w:pPr>
            <w:r w:rsidRPr="006B0F08">
              <w:rPr>
                <w:rFonts w:ascii="Book Antiqua" w:hAnsi="Book Antiqua"/>
                <w:noProof/>
                <w:w w:val="95"/>
                <w:sz w:val="24"/>
                <w:szCs w:val="24"/>
              </w:rPr>
              <w:t>-</w:t>
            </w:r>
          </w:p>
        </w:tc>
        <w:tc>
          <w:tcPr>
            <w:tcW w:w="679" w:type="pct"/>
          </w:tcPr>
          <w:p w14:paraId="4E7E396D" w14:textId="77777777" w:rsidR="00D556D8" w:rsidRPr="006B0F08" w:rsidRDefault="00D556D8" w:rsidP="00D556D8">
            <w:pPr>
              <w:pStyle w:val="TableParagraph"/>
              <w:spacing w:line="360" w:lineRule="auto"/>
              <w:jc w:val="both"/>
              <w:rPr>
                <w:rFonts w:ascii="Book Antiqua" w:eastAsia="SimSun" w:hAnsi="Book Antiqua"/>
                <w:w w:val="95"/>
                <w:sz w:val="24"/>
                <w:szCs w:val="24"/>
                <w:lang w:eastAsia="zh-CN"/>
              </w:rPr>
            </w:pPr>
            <w:r w:rsidRPr="006B0F08">
              <w:rPr>
                <w:rFonts w:ascii="Book Antiqua" w:hAnsi="Book Antiqua"/>
                <w:noProof/>
                <w:w w:val="95"/>
                <w:sz w:val="24"/>
                <w:szCs w:val="24"/>
              </w:rPr>
              <w:t xml:space="preserve"> 70, 100, 130</w:t>
            </w:r>
          </w:p>
        </w:tc>
        <w:tc>
          <w:tcPr>
            <w:tcW w:w="802" w:type="pct"/>
          </w:tcPr>
          <w:p w14:paraId="5B6DF080" w14:textId="77777777" w:rsidR="00D556D8" w:rsidRPr="006B0F08" w:rsidRDefault="00D556D8" w:rsidP="00D556D8">
            <w:pPr>
              <w:pStyle w:val="TableParagraph"/>
              <w:spacing w:line="360" w:lineRule="auto"/>
              <w:jc w:val="both"/>
              <w:rPr>
                <w:rFonts w:ascii="Book Antiqua" w:hAnsi="Book Antiqua"/>
                <w:sz w:val="24"/>
                <w:szCs w:val="24"/>
              </w:rPr>
            </w:pPr>
            <w:r w:rsidRPr="006B0F08">
              <w:rPr>
                <w:rFonts w:ascii="Book Antiqua" w:hAnsi="Book Antiqua"/>
                <w:noProof/>
                <w:w w:val="95"/>
                <w:sz w:val="24"/>
                <w:szCs w:val="24"/>
              </w:rPr>
              <w:t>Partially covered</w:t>
            </w:r>
          </w:p>
        </w:tc>
      </w:tr>
    </w:tbl>
    <w:p w14:paraId="1D7A4479" w14:textId="77777777" w:rsidR="00D556D8" w:rsidRPr="006B0F08" w:rsidRDefault="00D556D8" w:rsidP="00D556D8">
      <w:pPr>
        <w:spacing w:line="360" w:lineRule="auto"/>
        <w:jc w:val="both"/>
        <w:rPr>
          <w:rFonts w:ascii="Book Antiqua" w:hAnsi="Book Antiqua"/>
          <w:w w:val="95"/>
          <w:lang w:val="en-US" w:eastAsia="zh-CN"/>
        </w:rPr>
      </w:pPr>
    </w:p>
    <w:p w14:paraId="52F6F955" w14:textId="77777777" w:rsidR="00D556D8" w:rsidRPr="006B0F08" w:rsidRDefault="00D556D8" w:rsidP="00D556D8">
      <w:pPr>
        <w:spacing w:line="360" w:lineRule="auto"/>
        <w:jc w:val="both"/>
        <w:rPr>
          <w:rFonts w:ascii="Book Antiqua" w:hAnsi="Book Antiqua"/>
          <w:w w:val="95"/>
          <w:lang w:val="en-US" w:eastAsia="zh-CN"/>
        </w:rPr>
      </w:pPr>
    </w:p>
    <w:p w14:paraId="20A1C408" w14:textId="78EA3B0C" w:rsidR="007643DC" w:rsidRPr="00A24F1F" w:rsidRDefault="007643DC" w:rsidP="007643DC">
      <w:pPr>
        <w:spacing w:line="360" w:lineRule="auto"/>
        <w:jc w:val="both"/>
        <w:rPr>
          <w:rFonts w:ascii="Book Antiqua" w:hAnsi="Book Antiqua"/>
          <w:lang w:val="en-US" w:eastAsia="zh-CN"/>
        </w:rPr>
      </w:pPr>
      <w:r w:rsidRPr="00A24F1F">
        <w:rPr>
          <w:rFonts w:ascii="Book Antiqua" w:hAnsi="Book Antiqua"/>
          <w:w w:val="90"/>
          <w:vertAlign w:val="superscript"/>
          <w:lang w:eastAsia="zh-CN"/>
        </w:rPr>
        <w:t>1</w:t>
      </w:r>
      <w:r w:rsidR="00D556D8" w:rsidRPr="00A24F1F">
        <w:rPr>
          <w:rFonts w:ascii="Book Antiqua" w:hAnsi="Book Antiqua"/>
        </w:rPr>
        <w:t>FDA approved</w:t>
      </w:r>
      <w:r w:rsidRPr="00A24F1F">
        <w:rPr>
          <w:rFonts w:ascii="Book Antiqua" w:hAnsi="Book Antiqua"/>
          <w:lang w:eastAsia="zh-CN"/>
        </w:rPr>
        <w:t>.</w:t>
      </w:r>
      <w:r w:rsidRPr="00A24F1F">
        <w:rPr>
          <w:rFonts w:ascii="Book Antiqua" w:hAnsi="Book Antiqua"/>
          <w:w w:val="95"/>
          <w:lang w:val="en-US"/>
        </w:rPr>
        <w:t xml:space="preserve"> TTS: Through the scope; OTW: Over the wire.</w:t>
      </w:r>
    </w:p>
    <w:p w14:paraId="7470DA76" w14:textId="77777777" w:rsidR="0010598E" w:rsidRPr="00C042FF" w:rsidRDefault="0010598E" w:rsidP="003E14C8">
      <w:pPr>
        <w:pStyle w:val="BodyText"/>
        <w:spacing w:line="360" w:lineRule="auto"/>
        <w:jc w:val="both"/>
        <w:rPr>
          <w:rFonts w:ascii="Book Antiqua" w:hAnsi="Book Antiqua"/>
          <w:sz w:val="24"/>
          <w:szCs w:val="24"/>
        </w:rPr>
      </w:pPr>
    </w:p>
    <w:p w14:paraId="5BCCE75E" w14:textId="77777777" w:rsidR="007643DC" w:rsidRDefault="007643DC">
      <w:pPr>
        <w:rPr>
          <w:rFonts w:ascii="Book Antiqua" w:hAnsi="Book Antiqua"/>
          <w:b/>
          <w:lang w:val="en-US"/>
        </w:rPr>
      </w:pPr>
      <w:r>
        <w:rPr>
          <w:rFonts w:ascii="Book Antiqua" w:hAnsi="Book Antiqua"/>
          <w:b/>
          <w:lang w:val="en-US"/>
        </w:rPr>
        <w:br w:type="page"/>
      </w:r>
    </w:p>
    <w:p w14:paraId="64AF8F4A" w14:textId="0C20A7AA" w:rsidR="0010598E" w:rsidRPr="007643DC" w:rsidRDefault="007643DC" w:rsidP="003E14C8">
      <w:pPr>
        <w:widowControl w:val="0"/>
        <w:autoSpaceDE w:val="0"/>
        <w:autoSpaceDN w:val="0"/>
        <w:adjustRightInd w:val="0"/>
        <w:spacing w:line="360" w:lineRule="auto"/>
        <w:jc w:val="both"/>
        <w:rPr>
          <w:rFonts w:ascii="Book Antiqua" w:hAnsi="Book Antiqua"/>
          <w:b/>
          <w:lang w:val="en-US"/>
        </w:rPr>
      </w:pPr>
      <w:r w:rsidRPr="007643DC">
        <w:rPr>
          <w:rFonts w:ascii="Book Antiqua" w:hAnsi="Book Antiqua"/>
          <w:b/>
          <w:lang w:val="en-US"/>
        </w:rPr>
        <w:lastRenderedPageBreak/>
        <w:t>Table 2</w:t>
      </w:r>
      <w:r w:rsidR="0010598E" w:rsidRPr="007643DC">
        <w:rPr>
          <w:rFonts w:ascii="Book Antiqua" w:hAnsi="Book Antiqua"/>
          <w:b/>
          <w:lang w:val="en-US"/>
        </w:rPr>
        <w:t xml:space="preserve"> Outcomes in studies with evidence 1A (Metanalyses of randomized studies)</w:t>
      </w:r>
    </w:p>
    <w:p w14:paraId="3E18F687" w14:textId="77777777" w:rsidR="0010598E" w:rsidRPr="00C042FF" w:rsidRDefault="0010598E" w:rsidP="003E14C8">
      <w:pPr>
        <w:widowControl w:val="0"/>
        <w:autoSpaceDE w:val="0"/>
        <w:autoSpaceDN w:val="0"/>
        <w:adjustRightInd w:val="0"/>
        <w:spacing w:line="360" w:lineRule="auto"/>
        <w:jc w:val="both"/>
        <w:rPr>
          <w:rFonts w:ascii="Book Antiqua" w:hAnsi="Book Antiqua"/>
          <w:lang w:val="en-US"/>
        </w:rPr>
      </w:pP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gridCol w:w="2835"/>
        <w:gridCol w:w="2693"/>
        <w:gridCol w:w="2835"/>
      </w:tblGrid>
      <w:tr w:rsidR="008072DB" w:rsidRPr="00C042FF" w14:paraId="51CD806E" w14:textId="77777777" w:rsidTr="00546EE9">
        <w:tc>
          <w:tcPr>
            <w:tcW w:w="3114" w:type="dxa"/>
            <w:tcBorders>
              <w:top w:val="single" w:sz="4" w:space="0" w:color="auto"/>
              <w:bottom w:val="single" w:sz="4" w:space="0" w:color="auto"/>
            </w:tcBorders>
          </w:tcPr>
          <w:p w14:paraId="5EB6816B" w14:textId="77777777" w:rsidR="0010598E" w:rsidRPr="00C042FF" w:rsidRDefault="0010598E" w:rsidP="003E14C8">
            <w:pPr>
              <w:spacing w:line="360" w:lineRule="auto"/>
              <w:jc w:val="both"/>
              <w:rPr>
                <w:rFonts w:ascii="Book Antiqua" w:eastAsiaTheme="majorEastAsia" w:hAnsi="Book Antiqua" w:cstheme="majorBidi"/>
                <w:b/>
              </w:rPr>
            </w:pPr>
            <w:r w:rsidRPr="00C042FF">
              <w:rPr>
                <w:rFonts w:ascii="Book Antiqua" w:eastAsiaTheme="majorEastAsia" w:hAnsi="Book Antiqua" w:cstheme="majorBidi"/>
                <w:b/>
              </w:rPr>
              <w:t>Outcome</w:t>
            </w:r>
          </w:p>
        </w:tc>
        <w:tc>
          <w:tcPr>
            <w:tcW w:w="2977" w:type="dxa"/>
            <w:tcBorders>
              <w:top w:val="single" w:sz="4" w:space="0" w:color="auto"/>
              <w:bottom w:val="single" w:sz="4" w:space="0" w:color="auto"/>
            </w:tcBorders>
          </w:tcPr>
          <w:p w14:paraId="1A8FC0B0"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hAnsi="Book Antiqua" w:cs="Calibri"/>
                <w:b/>
                <w:lang w:val="en-US"/>
              </w:rPr>
              <w:t>Stent as bridge to surgery</w:t>
            </w:r>
          </w:p>
          <w:p w14:paraId="17DFD91C" w14:textId="77777777" w:rsidR="0010598E" w:rsidRPr="00C042FF"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Arezzo</w:t>
            </w:r>
            <w:r w:rsidRPr="00C042FF">
              <w:rPr>
                <w:rFonts w:ascii="Book Antiqua" w:eastAsiaTheme="majorEastAsia" w:hAnsi="Book Antiqua" w:cs="Calibri"/>
                <w:b/>
                <w:i/>
                <w:lang w:val="en-US"/>
              </w:rPr>
              <w:t xml:space="preserve"> et al</w:t>
            </w:r>
            <w:r w:rsidRPr="007643DC">
              <w:rPr>
                <w:rFonts w:ascii="Book Antiqua" w:eastAsiaTheme="majorEastAsia" w:hAnsi="Book Antiqua" w:cs="Calibri"/>
                <w:b/>
                <w:i/>
                <w:vertAlign w:val="superscript"/>
                <w:lang w:val="en-US"/>
              </w:rPr>
              <w:fldChar w:fldCharType="begin" w:fldLock="1"/>
            </w:r>
            <w:r w:rsidRPr="007643DC">
              <w:rPr>
                <w:rFonts w:ascii="Book Antiqua" w:eastAsiaTheme="majorEastAsia" w:hAnsi="Book Antiqua" w:cs="Calibri"/>
                <w:b/>
                <w:i/>
                <w:vertAlign w:val="superscript"/>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[13]","plainTextFormattedCitation":"[13]","previouslyFormattedCitation":"&lt;sup&gt;13&lt;/sup&gt;"},"properties":{"noteIndex":0},"schema":"https://github.com/citation-style-language/schema/raw/master/csl-citation.json"}</w:instrText>
            </w:r>
            <w:r w:rsidRPr="007643DC">
              <w:rPr>
                <w:rFonts w:ascii="Book Antiqua" w:eastAsiaTheme="majorEastAsia" w:hAnsi="Book Antiqua" w:cs="Calibri"/>
                <w:b/>
                <w:i/>
                <w:vertAlign w:val="superscript"/>
                <w:lang w:val="en-US"/>
              </w:rPr>
              <w:fldChar w:fldCharType="separate"/>
            </w:r>
            <w:r w:rsidRPr="007643DC">
              <w:rPr>
                <w:rFonts w:ascii="Book Antiqua" w:eastAsiaTheme="majorEastAsia" w:hAnsi="Book Antiqua" w:cs="Calibri"/>
                <w:noProof/>
                <w:vertAlign w:val="superscript"/>
                <w:lang w:val="en-US"/>
              </w:rPr>
              <w:t>[13]</w:t>
            </w:r>
            <w:r w:rsidRPr="007643DC">
              <w:rPr>
                <w:rFonts w:ascii="Book Antiqua" w:eastAsiaTheme="majorEastAsia" w:hAnsi="Book Antiqua" w:cs="Calibri"/>
                <w:b/>
                <w:i/>
                <w:vertAlign w:val="superscript"/>
                <w:lang w:val="en-US"/>
              </w:rPr>
              <w:fldChar w:fldCharType="end"/>
            </w:r>
            <w:r w:rsidRPr="007643DC">
              <w:rPr>
                <w:rFonts w:ascii="Book Antiqua" w:eastAsiaTheme="majorEastAsia" w:hAnsi="Book Antiqua" w:cs="Calibri"/>
                <w:b/>
                <w:lang w:val="en-US"/>
              </w:rPr>
              <w:t>, 2017</w:t>
            </w:r>
          </w:p>
        </w:tc>
        <w:tc>
          <w:tcPr>
            <w:tcW w:w="2835" w:type="dxa"/>
            <w:tcBorders>
              <w:top w:val="single" w:sz="4" w:space="0" w:color="auto"/>
              <w:bottom w:val="single" w:sz="4" w:space="0" w:color="auto"/>
            </w:tcBorders>
          </w:tcPr>
          <w:p w14:paraId="0198D15B"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hAnsi="Book Antiqua" w:cs="Calibri"/>
                <w:b/>
                <w:lang w:val="en-US"/>
              </w:rPr>
              <w:t>Stent as bridge to surgery</w:t>
            </w:r>
          </w:p>
          <w:p w14:paraId="5EA43CCA" w14:textId="77777777" w:rsidR="0010598E" w:rsidRPr="00C042FF"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 xml:space="preserve">Arezzo </w:t>
            </w:r>
            <w:r w:rsidRPr="007643DC">
              <w:rPr>
                <w:rFonts w:ascii="Book Antiqua" w:eastAsiaTheme="majorEastAsia" w:hAnsi="Book Antiqua" w:cs="Calibri"/>
                <w:b/>
                <w:i/>
                <w:lang w:val="en-US"/>
              </w:rPr>
              <w:t>et al</w:t>
            </w:r>
            <w:r w:rsidRPr="007643DC">
              <w:rPr>
                <w:rFonts w:ascii="Book Antiqua" w:eastAsiaTheme="majorEastAsia" w:hAnsi="Book Antiqua" w:cs="Calibri"/>
                <w:b/>
                <w:vertAlign w:val="superscript"/>
                <w:lang w:val="en-US"/>
              </w:rPr>
              <w:fldChar w:fldCharType="begin" w:fldLock="1"/>
            </w:r>
            <w:r w:rsidRPr="007643DC">
              <w:rPr>
                <w:rFonts w:ascii="Book Antiqua" w:eastAsiaTheme="majorEastAsia" w:hAnsi="Book Antiqua" w:cs="Calibri"/>
                <w:b/>
                <w:vertAlign w:val="superscript"/>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[13]","plainTextFormattedCitation":"[13]","previouslyFormattedCitation":"&lt;sup&gt;13&lt;/sup&gt;"},"properties":{"noteIndex":0},"schema":"https://github.com/citation-style-language/schema/raw/master/csl-citation.json"}</w:instrText>
            </w:r>
            <w:r w:rsidRPr="007643DC">
              <w:rPr>
                <w:rFonts w:ascii="Book Antiqua" w:eastAsiaTheme="majorEastAsia" w:hAnsi="Book Antiqua" w:cs="Calibri"/>
                <w:b/>
                <w:vertAlign w:val="superscript"/>
                <w:lang w:val="en-US"/>
              </w:rPr>
              <w:fldChar w:fldCharType="separate"/>
            </w:r>
            <w:r w:rsidRPr="007643DC">
              <w:rPr>
                <w:rFonts w:ascii="Book Antiqua" w:eastAsiaTheme="majorEastAsia" w:hAnsi="Book Antiqua" w:cs="Calibri"/>
                <w:noProof/>
                <w:vertAlign w:val="superscript"/>
                <w:lang w:val="en-US"/>
              </w:rPr>
              <w:t>[13]</w:t>
            </w:r>
            <w:r w:rsidRPr="007643DC">
              <w:rPr>
                <w:rFonts w:ascii="Book Antiqua" w:eastAsiaTheme="majorEastAsia" w:hAnsi="Book Antiqua" w:cs="Calibri"/>
                <w:b/>
                <w:vertAlign w:val="superscript"/>
                <w:lang w:val="en-US"/>
              </w:rPr>
              <w:fldChar w:fldCharType="end"/>
            </w:r>
            <w:r w:rsidRPr="007643DC">
              <w:rPr>
                <w:rFonts w:ascii="Book Antiqua" w:eastAsiaTheme="majorEastAsia" w:hAnsi="Book Antiqua" w:cs="Calibri"/>
                <w:b/>
                <w:lang w:val="en-US"/>
              </w:rPr>
              <w:t>, 2017</w:t>
            </w:r>
          </w:p>
        </w:tc>
        <w:tc>
          <w:tcPr>
            <w:tcW w:w="2693" w:type="dxa"/>
            <w:tcBorders>
              <w:top w:val="single" w:sz="4" w:space="0" w:color="auto"/>
              <w:bottom w:val="single" w:sz="4" w:space="0" w:color="auto"/>
            </w:tcBorders>
          </w:tcPr>
          <w:p w14:paraId="5DBCFC15"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Palliative patients</w:t>
            </w:r>
          </w:p>
          <w:p w14:paraId="361F89BF"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 xml:space="preserve">Ribeiro </w:t>
            </w:r>
            <w:r w:rsidRPr="007643DC">
              <w:rPr>
                <w:rFonts w:ascii="Book Antiqua" w:eastAsiaTheme="majorEastAsia" w:hAnsi="Book Antiqua" w:cs="Calibri"/>
                <w:b/>
                <w:i/>
                <w:lang w:val="en-US"/>
              </w:rPr>
              <w:t>et a</w:t>
            </w:r>
            <w:r w:rsidRPr="007643DC">
              <w:rPr>
                <w:rFonts w:ascii="Book Antiqua" w:eastAsiaTheme="majorEastAsia" w:hAnsi="Book Antiqua" w:cs="Calibri"/>
                <w:b/>
                <w:lang w:val="en-US"/>
              </w:rPr>
              <w:t>l</w:t>
            </w:r>
            <w:r w:rsidRPr="007643DC">
              <w:rPr>
                <w:rFonts w:ascii="Book Antiqua" w:eastAsiaTheme="majorEastAsia" w:hAnsi="Book Antiqua" w:cs="Calibri"/>
                <w:b/>
                <w:vertAlign w:val="superscript"/>
                <w:lang w:val="en-US"/>
              </w:rPr>
              <w:fldChar w:fldCharType="begin" w:fldLock="1"/>
            </w:r>
            <w:r w:rsidRPr="007643DC">
              <w:rPr>
                <w:rFonts w:ascii="Book Antiqua" w:eastAsiaTheme="majorEastAsia" w:hAnsi="Book Antiqua" w:cs="Calibri"/>
                <w:b/>
                <w:vertAlign w:val="superscript"/>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open","id":"ITEM-1","issue":"5","issued":{"date-parts":[["2018","5"]]},"page":"E558-E567","title":"Colonic stent versus emergency surgery as treatment of malignant colonic obstruction in the palliative setting: a systematic review and meta-analysis.","type":"article-journal","volume":"6"},"uris":["http://www.mendeley.com/documents/?uuid=83eccf4c-4771-4263-a37e-d1c34f3647ef"]}],"mendeley":{"formattedCitation":"[51]","plainTextFormattedCitation":"[51]","previouslyFormattedCitation":"&lt;sup&gt;51&lt;/sup&gt;"},"properties":{"noteIndex":0},"schema":"https://github.com/citation-style-language/schema/raw/master/csl-citation.json"}</w:instrText>
            </w:r>
            <w:r w:rsidRPr="007643DC">
              <w:rPr>
                <w:rFonts w:ascii="Book Antiqua" w:eastAsiaTheme="majorEastAsia" w:hAnsi="Book Antiqua" w:cs="Calibri"/>
                <w:b/>
                <w:vertAlign w:val="superscript"/>
                <w:lang w:val="en-US"/>
              </w:rPr>
              <w:fldChar w:fldCharType="separate"/>
            </w:r>
            <w:r w:rsidRPr="007643DC">
              <w:rPr>
                <w:rFonts w:ascii="Book Antiqua" w:eastAsiaTheme="majorEastAsia" w:hAnsi="Book Antiqua" w:cs="Calibri"/>
                <w:noProof/>
                <w:vertAlign w:val="superscript"/>
                <w:lang w:val="en-US"/>
              </w:rPr>
              <w:t>[51]</w:t>
            </w:r>
            <w:r w:rsidRPr="007643DC">
              <w:rPr>
                <w:rFonts w:ascii="Book Antiqua" w:eastAsiaTheme="majorEastAsia" w:hAnsi="Book Antiqua" w:cs="Calibri"/>
                <w:b/>
                <w:vertAlign w:val="superscript"/>
                <w:lang w:val="en-US"/>
              </w:rPr>
              <w:fldChar w:fldCharType="end"/>
            </w:r>
            <w:r w:rsidRPr="007643DC">
              <w:rPr>
                <w:rFonts w:ascii="Book Antiqua" w:eastAsiaTheme="majorEastAsia" w:hAnsi="Book Antiqua" w:cs="Calibri"/>
                <w:b/>
                <w:lang w:val="en-US"/>
              </w:rPr>
              <w:t>, 2018</w:t>
            </w:r>
          </w:p>
        </w:tc>
        <w:tc>
          <w:tcPr>
            <w:tcW w:w="2835" w:type="dxa"/>
            <w:tcBorders>
              <w:top w:val="single" w:sz="4" w:space="0" w:color="auto"/>
              <w:bottom w:val="single" w:sz="4" w:space="0" w:color="auto"/>
            </w:tcBorders>
          </w:tcPr>
          <w:p w14:paraId="72F42F3D"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Palliative patients</w:t>
            </w:r>
          </w:p>
          <w:p w14:paraId="1CC5229C" w14:textId="77777777" w:rsidR="0010598E" w:rsidRPr="007643DC" w:rsidRDefault="0010598E" w:rsidP="003E14C8">
            <w:pPr>
              <w:spacing w:line="360" w:lineRule="auto"/>
              <w:jc w:val="both"/>
              <w:rPr>
                <w:rFonts w:ascii="Book Antiqua" w:eastAsiaTheme="majorEastAsia" w:hAnsi="Book Antiqua" w:cs="Calibri"/>
                <w:b/>
                <w:lang w:val="en-US"/>
              </w:rPr>
            </w:pPr>
            <w:r w:rsidRPr="007643DC">
              <w:rPr>
                <w:rFonts w:ascii="Book Antiqua" w:eastAsiaTheme="majorEastAsia" w:hAnsi="Book Antiqua" w:cs="Calibri"/>
                <w:b/>
                <w:lang w:val="en-US"/>
              </w:rPr>
              <w:t xml:space="preserve">Ribeiro </w:t>
            </w:r>
            <w:r w:rsidRPr="007643DC">
              <w:rPr>
                <w:rFonts w:ascii="Book Antiqua" w:eastAsiaTheme="majorEastAsia" w:hAnsi="Book Antiqua" w:cs="Calibri"/>
                <w:b/>
                <w:i/>
                <w:lang w:val="en-US"/>
              </w:rPr>
              <w:t>et al</w:t>
            </w:r>
            <w:r w:rsidRPr="007643DC">
              <w:rPr>
                <w:rFonts w:ascii="Book Antiqua" w:eastAsiaTheme="majorEastAsia" w:hAnsi="Book Antiqua" w:cs="Calibri"/>
                <w:b/>
                <w:vertAlign w:val="superscript"/>
                <w:lang w:val="en-US"/>
              </w:rPr>
              <w:fldChar w:fldCharType="begin" w:fldLock="1"/>
            </w:r>
            <w:r w:rsidRPr="007643DC">
              <w:rPr>
                <w:rFonts w:ascii="Book Antiqua" w:eastAsiaTheme="majorEastAsia" w:hAnsi="Book Antiqua" w:cs="Calibri"/>
                <w:b/>
                <w:vertAlign w:val="superscript"/>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open","id":"ITEM-1","issue":"5","issued":{"date-parts":[["2018","5"]]},"page":"E558-E567","title":"Colonic stent versus emergency surgery as treatment of malignant colonic obstruction in the palliative setting: a systematic review and meta-analysis.","type":"article-journal","volume":"6"},"uris":["http://www.mendeley.com/documents/?uuid=83eccf4c-4771-4263-a37e-d1c34f3647ef"]}],"mendeley":{"formattedCitation":"[51]","plainTextFormattedCitation":"[51]","previouslyFormattedCitation":"&lt;sup&gt;51&lt;/sup&gt;"},"properties":{"noteIndex":0},"schema":"https://github.com/citation-style-language/schema/raw/master/csl-citation.json"}</w:instrText>
            </w:r>
            <w:r w:rsidRPr="007643DC">
              <w:rPr>
                <w:rFonts w:ascii="Book Antiqua" w:eastAsiaTheme="majorEastAsia" w:hAnsi="Book Antiqua" w:cs="Calibri"/>
                <w:b/>
                <w:vertAlign w:val="superscript"/>
                <w:lang w:val="en-US"/>
              </w:rPr>
              <w:fldChar w:fldCharType="separate"/>
            </w:r>
            <w:r w:rsidRPr="007643DC">
              <w:rPr>
                <w:rFonts w:ascii="Book Antiqua" w:eastAsiaTheme="majorEastAsia" w:hAnsi="Book Antiqua" w:cs="Calibri"/>
                <w:noProof/>
                <w:vertAlign w:val="superscript"/>
                <w:lang w:val="en-US"/>
              </w:rPr>
              <w:t>[51]</w:t>
            </w:r>
            <w:r w:rsidRPr="007643DC">
              <w:rPr>
                <w:rFonts w:ascii="Book Antiqua" w:eastAsiaTheme="majorEastAsia" w:hAnsi="Book Antiqua" w:cs="Calibri"/>
                <w:b/>
                <w:vertAlign w:val="superscript"/>
                <w:lang w:val="en-US"/>
              </w:rPr>
              <w:fldChar w:fldCharType="end"/>
            </w:r>
            <w:r w:rsidRPr="007643DC">
              <w:rPr>
                <w:rFonts w:ascii="Book Antiqua" w:eastAsiaTheme="majorEastAsia" w:hAnsi="Book Antiqua" w:cs="Calibri"/>
                <w:b/>
                <w:lang w:val="en-US"/>
              </w:rPr>
              <w:t>, 2018</w:t>
            </w:r>
          </w:p>
        </w:tc>
      </w:tr>
      <w:tr w:rsidR="008072DB" w:rsidRPr="00C042FF" w14:paraId="63E6CFA4" w14:textId="77777777" w:rsidTr="00546EE9">
        <w:tc>
          <w:tcPr>
            <w:tcW w:w="3114" w:type="dxa"/>
            <w:tcBorders>
              <w:top w:val="single" w:sz="4" w:space="0" w:color="auto"/>
              <w:bottom w:val="single" w:sz="4" w:space="0" w:color="auto"/>
            </w:tcBorders>
          </w:tcPr>
          <w:p w14:paraId="53C4D9EC" w14:textId="77777777" w:rsidR="0010598E" w:rsidRPr="00C042FF" w:rsidRDefault="0010598E" w:rsidP="003E14C8">
            <w:pPr>
              <w:spacing w:line="360" w:lineRule="auto"/>
              <w:jc w:val="both"/>
              <w:rPr>
                <w:rFonts w:ascii="Book Antiqua" w:eastAsiaTheme="majorEastAsia" w:hAnsi="Book Antiqua" w:cstheme="majorBidi"/>
                <w:b/>
                <w:lang w:val="en-US"/>
              </w:rPr>
            </w:pPr>
          </w:p>
        </w:tc>
        <w:tc>
          <w:tcPr>
            <w:tcW w:w="2977" w:type="dxa"/>
            <w:tcBorders>
              <w:top w:val="single" w:sz="4" w:space="0" w:color="auto"/>
              <w:bottom w:val="single" w:sz="4" w:space="0" w:color="auto"/>
            </w:tcBorders>
          </w:tcPr>
          <w:p w14:paraId="41E90408" w14:textId="77777777" w:rsidR="0010598E" w:rsidRPr="00C042FF" w:rsidRDefault="0010598E" w:rsidP="003E14C8">
            <w:pPr>
              <w:spacing w:line="360" w:lineRule="auto"/>
              <w:jc w:val="both"/>
              <w:rPr>
                <w:rFonts w:ascii="Book Antiqua" w:eastAsiaTheme="majorEastAsia" w:hAnsi="Book Antiqua" w:cstheme="majorBidi"/>
                <w:b/>
                <w:lang w:val="en-US"/>
              </w:rPr>
            </w:pPr>
            <w:r w:rsidRPr="00C042FF">
              <w:rPr>
                <w:rFonts w:ascii="Book Antiqua" w:eastAsiaTheme="majorEastAsia" w:hAnsi="Book Antiqua" w:cstheme="majorBidi"/>
                <w:b/>
                <w:lang w:val="en-US"/>
              </w:rPr>
              <w:t>Stent</w:t>
            </w:r>
          </w:p>
        </w:tc>
        <w:tc>
          <w:tcPr>
            <w:tcW w:w="2835" w:type="dxa"/>
            <w:tcBorders>
              <w:top w:val="single" w:sz="4" w:space="0" w:color="auto"/>
              <w:bottom w:val="single" w:sz="4" w:space="0" w:color="auto"/>
            </w:tcBorders>
          </w:tcPr>
          <w:p w14:paraId="234C83D2" w14:textId="6D249240" w:rsidR="0010598E" w:rsidRPr="00C042FF" w:rsidRDefault="0010598E" w:rsidP="003E14C8">
            <w:pPr>
              <w:spacing w:line="360" w:lineRule="auto"/>
              <w:jc w:val="both"/>
              <w:rPr>
                <w:rFonts w:ascii="Book Antiqua" w:eastAsiaTheme="majorEastAsia" w:hAnsi="Book Antiqua" w:cstheme="majorBidi"/>
                <w:b/>
                <w:lang w:val="en-US"/>
              </w:rPr>
            </w:pPr>
            <w:r w:rsidRPr="00C042FF">
              <w:rPr>
                <w:rFonts w:ascii="Book Antiqua" w:eastAsiaTheme="majorEastAsia" w:hAnsi="Book Antiqua" w:cstheme="majorBidi"/>
                <w:b/>
                <w:lang w:val="en-US"/>
              </w:rPr>
              <w:t xml:space="preserve">Emergency </w:t>
            </w:r>
            <w:r w:rsidR="009743D9" w:rsidRPr="00C042FF">
              <w:rPr>
                <w:rFonts w:ascii="Book Antiqua" w:eastAsiaTheme="majorEastAsia" w:hAnsi="Book Antiqua" w:cstheme="majorBidi"/>
                <w:b/>
                <w:lang w:val="en-US"/>
              </w:rPr>
              <w:t>s</w:t>
            </w:r>
            <w:r w:rsidRPr="00C042FF">
              <w:rPr>
                <w:rFonts w:ascii="Book Antiqua" w:eastAsiaTheme="majorEastAsia" w:hAnsi="Book Antiqua" w:cstheme="majorBidi"/>
                <w:b/>
                <w:lang w:val="en-US"/>
              </w:rPr>
              <w:t>urgery</w:t>
            </w:r>
          </w:p>
        </w:tc>
        <w:tc>
          <w:tcPr>
            <w:tcW w:w="2693" w:type="dxa"/>
            <w:tcBorders>
              <w:top w:val="single" w:sz="4" w:space="0" w:color="auto"/>
              <w:bottom w:val="single" w:sz="4" w:space="0" w:color="auto"/>
            </w:tcBorders>
          </w:tcPr>
          <w:p w14:paraId="4969CBC2" w14:textId="77777777" w:rsidR="0010598E" w:rsidRPr="00C042FF" w:rsidRDefault="0010598E" w:rsidP="003E14C8">
            <w:pPr>
              <w:spacing w:line="360" w:lineRule="auto"/>
              <w:jc w:val="both"/>
              <w:rPr>
                <w:rFonts w:ascii="Book Antiqua" w:eastAsiaTheme="majorEastAsia" w:hAnsi="Book Antiqua" w:cstheme="majorBidi"/>
                <w:b/>
                <w:lang w:val="en-US"/>
              </w:rPr>
            </w:pPr>
            <w:r w:rsidRPr="00C042FF">
              <w:rPr>
                <w:rFonts w:ascii="Book Antiqua" w:eastAsiaTheme="majorEastAsia" w:hAnsi="Book Antiqua" w:cstheme="majorBidi"/>
                <w:b/>
                <w:lang w:val="en-US"/>
              </w:rPr>
              <w:t>Stent</w:t>
            </w:r>
          </w:p>
        </w:tc>
        <w:tc>
          <w:tcPr>
            <w:tcW w:w="2835" w:type="dxa"/>
            <w:tcBorders>
              <w:top w:val="single" w:sz="4" w:space="0" w:color="auto"/>
              <w:bottom w:val="single" w:sz="4" w:space="0" w:color="auto"/>
            </w:tcBorders>
          </w:tcPr>
          <w:p w14:paraId="7ABA9B5A" w14:textId="6C1852A4" w:rsidR="0010598E" w:rsidRPr="00C042FF" w:rsidRDefault="0010598E" w:rsidP="003E14C8">
            <w:pPr>
              <w:spacing w:line="360" w:lineRule="auto"/>
              <w:jc w:val="both"/>
              <w:rPr>
                <w:rFonts w:ascii="Book Antiqua" w:eastAsiaTheme="majorEastAsia" w:hAnsi="Book Antiqua" w:cstheme="majorBidi"/>
                <w:b/>
                <w:lang w:val="en-US"/>
              </w:rPr>
            </w:pPr>
            <w:r w:rsidRPr="00C042FF">
              <w:rPr>
                <w:rFonts w:ascii="Book Antiqua" w:eastAsiaTheme="majorEastAsia" w:hAnsi="Book Antiqua" w:cstheme="majorBidi"/>
                <w:b/>
                <w:lang w:val="en-US"/>
              </w:rPr>
              <w:t xml:space="preserve">Emergency </w:t>
            </w:r>
            <w:r w:rsidR="009743D9" w:rsidRPr="00C042FF">
              <w:rPr>
                <w:rFonts w:ascii="Book Antiqua" w:eastAsiaTheme="majorEastAsia" w:hAnsi="Book Antiqua" w:cstheme="majorBidi"/>
                <w:b/>
                <w:lang w:val="en-US"/>
              </w:rPr>
              <w:t>s</w:t>
            </w:r>
            <w:r w:rsidRPr="00C042FF">
              <w:rPr>
                <w:rFonts w:ascii="Book Antiqua" w:eastAsiaTheme="majorEastAsia" w:hAnsi="Book Antiqua" w:cstheme="majorBidi"/>
                <w:b/>
                <w:lang w:val="en-US"/>
              </w:rPr>
              <w:t>urgery</w:t>
            </w:r>
          </w:p>
        </w:tc>
      </w:tr>
      <w:tr w:rsidR="008072DB" w:rsidRPr="00C042FF" w14:paraId="7BF9B356" w14:textId="77777777" w:rsidTr="00546EE9">
        <w:tc>
          <w:tcPr>
            <w:tcW w:w="3114" w:type="dxa"/>
            <w:tcBorders>
              <w:top w:val="single" w:sz="4" w:space="0" w:color="auto"/>
            </w:tcBorders>
          </w:tcPr>
          <w:p w14:paraId="28B8C1D6" w14:textId="6FABE51D"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w:t>
            </w:r>
            <w:r w:rsidR="008D1F36" w:rsidRPr="00546EE9">
              <w:rPr>
                <w:rFonts w:ascii="Book Antiqua" w:hAnsi="Book Antiqua" w:cstheme="majorBidi" w:hint="eastAsia"/>
                <w:lang w:val="en-US" w:eastAsia="zh-CN"/>
              </w:rPr>
              <w:t>o.</w:t>
            </w:r>
            <w:r w:rsidRPr="00546EE9">
              <w:rPr>
                <w:rFonts w:ascii="Book Antiqua" w:eastAsiaTheme="majorEastAsia" w:hAnsi="Book Antiqua" w:cstheme="majorBidi"/>
                <w:lang w:val="en-US"/>
              </w:rPr>
              <w:t xml:space="preserve"> of </w:t>
            </w:r>
            <w:r w:rsidR="008D1F36" w:rsidRPr="00546EE9">
              <w:rPr>
                <w:rFonts w:ascii="Book Antiqua" w:eastAsiaTheme="majorEastAsia" w:hAnsi="Book Antiqua" w:cstheme="majorBidi"/>
                <w:lang w:val="en-US"/>
              </w:rPr>
              <w:t>p</w:t>
            </w:r>
            <w:r w:rsidRPr="00546EE9">
              <w:rPr>
                <w:rFonts w:ascii="Book Antiqua" w:eastAsiaTheme="majorEastAsia" w:hAnsi="Book Antiqua" w:cstheme="majorBidi"/>
                <w:lang w:val="en-US"/>
              </w:rPr>
              <w:t>atients</w:t>
            </w:r>
          </w:p>
        </w:tc>
        <w:tc>
          <w:tcPr>
            <w:tcW w:w="2977" w:type="dxa"/>
            <w:tcBorders>
              <w:top w:val="single" w:sz="4" w:space="0" w:color="auto"/>
            </w:tcBorders>
          </w:tcPr>
          <w:p w14:paraId="52F100DD"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251</w:t>
            </w:r>
          </w:p>
        </w:tc>
        <w:tc>
          <w:tcPr>
            <w:tcW w:w="2835" w:type="dxa"/>
            <w:tcBorders>
              <w:top w:val="single" w:sz="4" w:space="0" w:color="auto"/>
            </w:tcBorders>
          </w:tcPr>
          <w:p w14:paraId="02BAFB20"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246</w:t>
            </w:r>
          </w:p>
        </w:tc>
        <w:tc>
          <w:tcPr>
            <w:tcW w:w="2693" w:type="dxa"/>
            <w:tcBorders>
              <w:top w:val="single" w:sz="4" w:space="0" w:color="auto"/>
            </w:tcBorders>
          </w:tcPr>
          <w:p w14:paraId="5A40B01F"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63</w:t>
            </w:r>
          </w:p>
        </w:tc>
        <w:tc>
          <w:tcPr>
            <w:tcW w:w="2835" w:type="dxa"/>
            <w:tcBorders>
              <w:top w:val="single" w:sz="4" w:space="0" w:color="auto"/>
            </w:tcBorders>
          </w:tcPr>
          <w:p w14:paraId="7EB189A0"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62</w:t>
            </w:r>
          </w:p>
        </w:tc>
      </w:tr>
      <w:tr w:rsidR="008072DB" w:rsidRPr="00C042FF" w14:paraId="6B5DF902" w14:textId="77777777" w:rsidTr="00546EE9">
        <w:tc>
          <w:tcPr>
            <w:tcW w:w="3114" w:type="dxa"/>
          </w:tcPr>
          <w:p w14:paraId="3561DFF5"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Mortality</w:t>
            </w:r>
          </w:p>
        </w:tc>
        <w:tc>
          <w:tcPr>
            <w:tcW w:w="2977" w:type="dxa"/>
          </w:tcPr>
          <w:p w14:paraId="06D97B45" w14:textId="4E38C4A8"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9</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6%</w:t>
            </w:r>
          </w:p>
        </w:tc>
        <w:tc>
          <w:tcPr>
            <w:tcW w:w="2835" w:type="dxa"/>
          </w:tcPr>
          <w:p w14:paraId="605AC18F" w14:textId="22D7072C"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9</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9%</w:t>
            </w:r>
          </w:p>
        </w:tc>
        <w:tc>
          <w:tcPr>
            <w:tcW w:w="2693" w:type="dxa"/>
          </w:tcPr>
          <w:p w14:paraId="14C06D55" w14:textId="1ED78EA6"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6</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3%</w:t>
            </w:r>
          </w:p>
        </w:tc>
        <w:tc>
          <w:tcPr>
            <w:tcW w:w="2835" w:type="dxa"/>
          </w:tcPr>
          <w:p w14:paraId="352F1C50" w14:textId="5B8C0EBD"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6</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4%</w:t>
            </w:r>
          </w:p>
        </w:tc>
      </w:tr>
      <w:tr w:rsidR="008072DB" w:rsidRPr="00C042FF" w14:paraId="36EE9B28" w14:textId="77777777" w:rsidTr="00546EE9">
        <w:tc>
          <w:tcPr>
            <w:tcW w:w="3114" w:type="dxa"/>
          </w:tcPr>
          <w:p w14:paraId="0F26BAAA"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Adverse events</w:t>
            </w:r>
          </w:p>
        </w:tc>
        <w:tc>
          <w:tcPr>
            <w:tcW w:w="2977" w:type="dxa"/>
          </w:tcPr>
          <w:p w14:paraId="5BD3C5D3" w14:textId="2C536CBF"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33</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9%</w:t>
            </w:r>
          </w:p>
        </w:tc>
        <w:tc>
          <w:tcPr>
            <w:tcW w:w="2835" w:type="dxa"/>
          </w:tcPr>
          <w:p w14:paraId="66592716" w14:textId="2302D5E0"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51</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2%</w:t>
            </w:r>
          </w:p>
        </w:tc>
        <w:tc>
          <w:tcPr>
            <w:tcW w:w="2693" w:type="dxa"/>
          </w:tcPr>
          <w:p w14:paraId="053D655E" w14:textId="4E713F9A"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36</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5%</w:t>
            </w:r>
          </w:p>
        </w:tc>
        <w:tc>
          <w:tcPr>
            <w:tcW w:w="2835" w:type="dxa"/>
          </w:tcPr>
          <w:p w14:paraId="1F66699E" w14:textId="02B35F9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24</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1%</w:t>
            </w:r>
          </w:p>
        </w:tc>
      </w:tr>
      <w:tr w:rsidR="008072DB" w:rsidRPr="00C042FF" w14:paraId="71959743" w14:textId="77777777" w:rsidTr="00546EE9">
        <w:tc>
          <w:tcPr>
            <w:tcW w:w="3114" w:type="dxa"/>
          </w:tcPr>
          <w:p w14:paraId="7AC30F51"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Survival</w:t>
            </w:r>
          </w:p>
        </w:tc>
        <w:tc>
          <w:tcPr>
            <w:tcW w:w="2977" w:type="dxa"/>
          </w:tcPr>
          <w:p w14:paraId="282F82B3"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41B5D2A3"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693" w:type="dxa"/>
          </w:tcPr>
          <w:p w14:paraId="775E873C" w14:textId="68DB1B62"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279 d</w:t>
            </w:r>
          </w:p>
        </w:tc>
        <w:tc>
          <w:tcPr>
            <w:tcW w:w="2835" w:type="dxa"/>
          </w:tcPr>
          <w:p w14:paraId="007708B4" w14:textId="7C9E882D"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244 d</w:t>
            </w:r>
          </w:p>
        </w:tc>
      </w:tr>
      <w:tr w:rsidR="008072DB" w:rsidRPr="00C042FF" w14:paraId="6B156590" w14:textId="77777777" w:rsidTr="00546EE9">
        <w:tc>
          <w:tcPr>
            <w:tcW w:w="3114" w:type="dxa"/>
          </w:tcPr>
          <w:p w14:paraId="12D8D630" w14:textId="5D59EE2A"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Clinical </w:t>
            </w:r>
            <w:r w:rsidR="008D1F36" w:rsidRPr="00546EE9">
              <w:rPr>
                <w:rFonts w:ascii="Book Antiqua" w:eastAsiaTheme="majorEastAsia" w:hAnsi="Book Antiqua" w:cstheme="majorBidi"/>
                <w:lang w:val="en-US"/>
              </w:rPr>
              <w:t>s</w:t>
            </w:r>
            <w:r w:rsidRPr="00546EE9">
              <w:rPr>
                <w:rFonts w:ascii="Book Antiqua" w:eastAsiaTheme="majorEastAsia" w:hAnsi="Book Antiqua" w:cstheme="majorBidi"/>
                <w:lang w:val="en-US"/>
              </w:rPr>
              <w:t>uccess</w:t>
            </w:r>
          </w:p>
        </w:tc>
        <w:tc>
          <w:tcPr>
            <w:tcW w:w="2977" w:type="dxa"/>
          </w:tcPr>
          <w:p w14:paraId="239D9D39"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70A54681"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693" w:type="dxa"/>
          </w:tcPr>
          <w:p w14:paraId="0F8EC8EA"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84%</w:t>
            </w:r>
          </w:p>
        </w:tc>
        <w:tc>
          <w:tcPr>
            <w:tcW w:w="2835" w:type="dxa"/>
          </w:tcPr>
          <w:p w14:paraId="73BE6AD5"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96%</w:t>
            </w:r>
          </w:p>
        </w:tc>
      </w:tr>
      <w:tr w:rsidR="008072DB" w:rsidRPr="00C042FF" w14:paraId="495152A3" w14:textId="77777777" w:rsidTr="00546EE9">
        <w:tc>
          <w:tcPr>
            <w:tcW w:w="3114" w:type="dxa"/>
          </w:tcPr>
          <w:p w14:paraId="2EE62CA4" w14:textId="4B6818B5"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Technical </w:t>
            </w:r>
            <w:r w:rsidR="008D1F36" w:rsidRPr="00546EE9">
              <w:rPr>
                <w:rFonts w:ascii="Book Antiqua" w:eastAsiaTheme="majorEastAsia" w:hAnsi="Book Antiqua" w:cstheme="majorBidi"/>
                <w:lang w:val="en-US"/>
              </w:rPr>
              <w:t>s</w:t>
            </w:r>
            <w:r w:rsidRPr="00546EE9">
              <w:rPr>
                <w:rFonts w:ascii="Book Antiqua" w:eastAsiaTheme="majorEastAsia" w:hAnsi="Book Antiqua" w:cstheme="majorBidi"/>
                <w:lang w:val="en-US"/>
              </w:rPr>
              <w:t>uccess</w:t>
            </w:r>
          </w:p>
        </w:tc>
        <w:tc>
          <w:tcPr>
            <w:tcW w:w="2977" w:type="dxa"/>
          </w:tcPr>
          <w:p w14:paraId="4F4B55A3"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182121B0"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693" w:type="dxa"/>
          </w:tcPr>
          <w:p w14:paraId="4A161DC0"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84%</w:t>
            </w:r>
          </w:p>
        </w:tc>
        <w:tc>
          <w:tcPr>
            <w:tcW w:w="2835" w:type="dxa"/>
          </w:tcPr>
          <w:p w14:paraId="4D802D29"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96%</w:t>
            </w:r>
          </w:p>
        </w:tc>
      </w:tr>
      <w:tr w:rsidR="008072DB" w:rsidRPr="00C042FF" w14:paraId="1F364F1B" w14:textId="77777777" w:rsidTr="00546EE9">
        <w:tc>
          <w:tcPr>
            <w:tcW w:w="3114" w:type="dxa"/>
          </w:tcPr>
          <w:p w14:paraId="4FDC21C3" w14:textId="4A99089D"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Temporary </w:t>
            </w:r>
            <w:r w:rsidR="008D1F36" w:rsidRPr="00546EE9">
              <w:rPr>
                <w:rFonts w:ascii="Book Antiqua" w:eastAsiaTheme="majorEastAsia" w:hAnsi="Book Antiqua" w:cstheme="majorBidi"/>
                <w:lang w:val="en-US"/>
              </w:rPr>
              <w:t>c</w:t>
            </w:r>
            <w:r w:rsidRPr="00546EE9">
              <w:rPr>
                <w:rFonts w:ascii="Book Antiqua" w:eastAsiaTheme="majorEastAsia" w:hAnsi="Book Antiqua" w:cstheme="majorBidi"/>
                <w:lang w:val="en-US"/>
              </w:rPr>
              <w:t>olostomy</w:t>
            </w:r>
          </w:p>
        </w:tc>
        <w:tc>
          <w:tcPr>
            <w:tcW w:w="2977" w:type="dxa"/>
          </w:tcPr>
          <w:p w14:paraId="4B081AEB" w14:textId="15C62CDF"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33</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9%</w:t>
            </w:r>
          </w:p>
        </w:tc>
        <w:tc>
          <w:tcPr>
            <w:tcW w:w="2835" w:type="dxa"/>
          </w:tcPr>
          <w:p w14:paraId="10FD847D" w14:textId="5D1A997D"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51</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4%</w:t>
            </w:r>
          </w:p>
        </w:tc>
        <w:tc>
          <w:tcPr>
            <w:tcW w:w="2693" w:type="dxa"/>
          </w:tcPr>
          <w:p w14:paraId="68D05E17"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1CB6786B"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r>
      <w:tr w:rsidR="008072DB" w:rsidRPr="00C042FF" w14:paraId="4995BD49" w14:textId="77777777" w:rsidTr="00546EE9">
        <w:tc>
          <w:tcPr>
            <w:tcW w:w="3114" w:type="dxa"/>
          </w:tcPr>
          <w:p w14:paraId="01857510" w14:textId="62DCC93C"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Definitive </w:t>
            </w:r>
            <w:r w:rsidR="008D1F36" w:rsidRPr="00546EE9">
              <w:rPr>
                <w:rFonts w:ascii="Book Antiqua" w:eastAsiaTheme="majorEastAsia" w:hAnsi="Book Antiqua" w:cstheme="majorBidi"/>
                <w:lang w:val="en-US"/>
              </w:rPr>
              <w:t>c</w:t>
            </w:r>
            <w:r w:rsidRPr="00546EE9">
              <w:rPr>
                <w:rFonts w:ascii="Book Antiqua" w:eastAsiaTheme="majorEastAsia" w:hAnsi="Book Antiqua" w:cstheme="majorBidi"/>
                <w:lang w:val="en-US"/>
              </w:rPr>
              <w:t>olostomy</w:t>
            </w:r>
          </w:p>
        </w:tc>
        <w:tc>
          <w:tcPr>
            <w:tcW w:w="2977" w:type="dxa"/>
          </w:tcPr>
          <w:p w14:paraId="77E88767" w14:textId="0F437542"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22</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2%</w:t>
            </w:r>
          </w:p>
        </w:tc>
        <w:tc>
          <w:tcPr>
            <w:tcW w:w="2835" w:type="dxa"/>
          </w:tcPr>
          <w:p w14:paraId="2E9F7B26" w14:textId="0C4AAAFB"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35</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2%</w:t>
            </w:r>
          </w:p>
        </w:tc>
        <w:tc>
          <w:tcPr>
            <w:tcW w:w="2693" w:type="dxa"/>
          </w:tcPr>
          <w:p w14:paraId="37442211" w14:textId="1F6E8B70"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14</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3%</w:t>
            </w:r>
          </w:p>
        </w:tc>
        <w:tc>
          <w:tcPr>
            <w:tcW w:w="2835" w:type="dxa"/>
          </w:tcPr>
          <w:p w14:paraId="4BDBC808" w14:textId="58D13B6E"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86</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1%</w:t>
            </w:r>
          </w:p>
        </w:tc>
      </w:tr>
      <w:tr w:rsidR="008072DB" w:rsidRPr="00C042FF" w14:paraId="68C57081" w14:textId="77777777" w:rsidTr="00546EE9">
        <w:tc>
          <w:tcPr>
            <w:tcW w:w="3114" w:type="dxa"/>
          </w:tcPr>
          <w:p w14:paraId="108B8652" w14:textId="09AABCB5"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Primary </w:t>
            </w:r>
            <w:r w:rsidR="008D1F36" w:rsidRPr="00546EE9">
              <w:rPr>
                <w:rFonts w:ascii="Book Antiqua" w:eastAsiaTheme="majorEastAsia" w:hAnsi="Book Antiqua" w:cstheme="majorBidi"/>
                <w:lang w:val="en-US"/>
              </w:rPr>
              <w:t>a</w:t>
            </w:r>
            <w:r w:rsidRPr="00546EE9">
              <w:rPr>
                <w:rFonts w:ascii="Book Antiqua" w:eastAsiaTheme="majorEastAsia" w:hAnsi="Book Antiqua" w:cstheme="majorBidi"/>
                <w:lang w:val="en-US"/>
              </w:rPr>
              <w:t>nastomosis</w:t>
            </w:r>
          </w:p>
        </w:tc>
        <w:tc>
          <w:tcPr>
            <w:tcW w:w="2977" w:type="dxa"/>
          </w:tcPr>
          <w:p w14:paraId="53ACA160"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70%</w:t>
            </w:r>
          </w:p>
        </w:tc>
        <w:tc>
          <w:tcPr>
            <w:tcW w:w="2835" w:type="dxa"/>
          </w:tcPr>
          <w:p w14:paraId="20B7B273" w14:textId="130C70F0"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54</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1%</w:t>
            </w:r>
          </w:p>
        </w:tc>
        <w:tc>
          <w:tcPr>
            <w:tcW w:w="2693" w:type="dxa"/>
          </w:tcPr>
          <w:p w14:paraId="42459FB2"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040C592B"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r>
      <w:tr w:rsidR="008072DB" w:rsidRPr="00C042FF" w14:paraId="2E398132" w14:textId="77777777" w:rsidTr="00546EE9">
        <w:tc>
          <w:tcPr>
            <w:tcW w:w="3114" w:type="dxa"/>
          </w:tcPr>
          <w:p w14:paraId="7979F34E" w14:textId="49860AD0"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Hospital </w:t>
            </w:r>
            <w:r w:rsidR="008D1F36" w:rsidRPr="00546EE9">
              <w:rPr>
                <w:rFonts w:ascii="Book Antiqua" w:eastAsiaTheme="majorEastAsia" w:hAnsi="Book Antiqua" w:cstheme="majorBidi"/>
                <w:lang w:val="en-US"/>
              </w:rPr>
              <w:t>s</w:t>
            </w:r>
            <w:r w:rsidRPr="00546EE9">
              <w:rPr>
                <w:rFonts w:ascii="Book Antiqua" w:eastAsiaTheme="majorEastAsia" w:hAnsi="Book Antiqua" w:cstheme="majorBidi"/>
                <w:lang w:val="en-US"/>
              </w:rPr>
              <w:t>tay</w:t>
            </w:r>
          </w:p>
        </w:tc>
        <w:tc>
          <w:tcPr>
            <w:tcW w:w="2977" w:type="dxa"/>
          </w:tcPr>
          <w:p w14:paraId="5677ED7F" w14:textId="1272FD94"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15</w:t>
            </w:r>
            <w:r w:rsidR="008D1F36" w:rsidRPr="00546EE9">
              <w:rPr>
                <w:rFonts w:ascii="Book Antiqua" w:hAnsi="Book Antiqua" w:cstheme="majorBidi" w:hint="eastAsia"/>
                <w:lang w:val="en-US" w:eastAsia="zh-CN"/>
              </w:rPr>
              <w:t>.</w:t>
            </w:r>
            <w:r w:rsidRPr="00546EE9">
              <w:rPr>
                <w:rFonts w:ascii="Book Antiqua" w:eastAsiaTheme="majorEastAsia" w:hAnsi="Book Antiqua" w:cstheme="majorBidi"/>
                <w:lang w:val="en-US"/>
              </w:rPr>
              <w:t>5 d</w:t>
            </w:r>
          </w:p>
        </w:tc>
        <w:tc>
          <w:tcPr>
            <w:tcW w:w="2835" w:type="dxa"/>
          </w:tcPr>
          <w:p w14:paraId="51DF0C35" w14:textId="0DDB9DFC" w:rsidR="0010598E" w:rsidRPr="00546EE9" w:rsidRDefault="008D1F36"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14</w:t>
            </w:r>
            <w:r w:rsidRPr="00546EE9">
              <w:rPr>
                <w:rFonts w:ascii="Book Antiqua" w:hAnsi="Book Antiqua" w:cstheme="majorBidi" w:hint="eastAsia"/>
                <w:lang w:val="en-US" w:eastAsia="zh-CN"/>
              </w:rPr>
              <w:t>.</w:t>
            </w:r>
            <w:r w:rsidR="0010598E" w:rsidRPr="00546EE9">
              <w:rPr>
                <w:rFonts w:ascii="Book Antiqua" w:eastAsiaTheme="majorEastAsia" w:hAnsi="Book Antiqua" w:cstheme="majorBidi"/>
                <w:lang w:val="en-US"/>
              </w:rPr>
              <w:t>5 d</w:t>
            </w:r>
          </w:p>
        </w:tc>
        <w:tc>
          <w:tcPr>
            <w:tcW w:w="2693" w:type="dxa"/>
          </w:tcPr>
          <w:p w14:paraId="74E43CBF" w14:textId="14D64EED"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17</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5 d</w:t>
            </w:r>
          </w:p>
        </w:tc>
        <w:tc>
          <w:tcPr>
            <w:tcW w:w="2835" w:type="dxa"/>
          </w:tcPr>
          <w:p w14:paraId="72FB5003" w14:textId="436500A3" w:rsidR="0010598E" w:rsidRPr="00546EE9" w:rsidRDefault="0010598E" w:rsidP="008D1F36">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35</w:t>
            </w:r>
            <w:r w:rsidR="008D1F36" w:rsidRPr="00546EE9">
              <w:rPr>
                <w:rFonts w:ascii="Book Antiqua" w:eastAsiaTheme="majorEastAsia" w:hAnsi="Book Antiqua" w:cstheme="majorBidi"/>
                <w:lang w:val="en-US"/>
              </w:rPr>
              <w:t>.</w:t>
            </w:r>
            <w:r w:rsidRPr="00546EE9">
              <w:rPr>
                <w:rFonts w:ascii="Book Antiqua" w:eastAsiaTheme="majorEastAsia" w:hAnsi="Book Antiqua" w:cstheme="majorBidi"/>
                <w:lang w:val="en-US"/>
              </w:rPr>
              <w:t>5 d</w:t>
            </w:r>
          </w:p>
        </w:tc>
      </w:tr>
      <w:tr w:rsidR="008072DB" w:rsidRPr="00C042FF" w14:paraId="2B17F352" w14:textId="77777777" w:rsidTr="00546EE9">
        <w:tc>
          <w:tcPr>
            <w:tcW w:w="3114" w:type="dxa"/>
          </w:tcPr>
          <w:p w14:paraId="6F1E299D" w14:textId="2A779512"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 xml:space="preserve">ICU </w:t>
            </w:r>
            <w:r w:rsidR="008D1F36" w:rsidRPr="00546EE9">
              <w:rPr>
                <w:rFonts w:ascii="Book Antiqua" w:eastAsiaTheme="majorEastAsia" w:hAnsi="Book Antiqua" w:cstheme="majorBidi"/>
                <w:lang w:val="en-US"/>
              </w:rPr>
              <w:t>h</w:t>
            </w:r>
            <w:r w:rsidRPr="00546EE9">
              <w:rPr>
                <w:rFonts w:ascii="Book Antiqua" w:eastAsiaTheme="majorEastAsia" w:hAnsi="Book Antiqua" w:cstheme="majorBidi"/>
                <w:lang w:val="en-US"/>
              </w:rPr>
              <w:t xml:space="preserve">ospitalization </w:t>
            </w:r>
          </w:p>
        </w:tc>
        <w:tc>
          <w:tcPr>
            <w:tcW w:w="2977" w:type="dxa"/>
          </w:tcPr>
          <w:p w14:paraId="732F4CB1"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835" w:type="dxa"/>
          </w:tcPr>
          <w:p w14:paraId="789E086D"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NA</w:t>
            </w:r>
          </w:p>
        </w:tc>
        <w:tc>
          <w:tcPr>
            <w:tcW w:w="2693" w:type="dxa"/>
          </w:tcPr>
          <w:p w14:paraId="61B62D9D" w14:textId="77777777" w:rsidR="0010598E" w:rsidRPr="00546EE9" w:rsidRDefault="0010598E" w:rsidP="003E14C8">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0</w:t>
            </w:r>
          </w:p>
        </w:tc>
        <w:tc>
          <w:tcPr>
            <w:tcW w:w="2835" w:type="dxa"/>
          </w:tcPr>
          <w:p w14:paraId="2500CF28" w14:textId="3D4B3D85" w:rsidR="0010598E" w:rsidRPr="00546EE9" w:rsidRDefault="0010598E" w:rsidP="00546EE9">
            <w:pPr>
              <w:spacing w:line="360" w:lineRule="auto"/>
              <w:jc w:val="both"/>
              <w:rPr>
                <w:rFonts w:ascii="Book Antiqua" w:eastAsiaTheme="majorEastAsia" w:hAnsi="Book Antiqua" w:cstheme="majorBidi"/>
                <w:lang w:val="en-US"/>
              </w:rPr>
            </w:pPr>
            <w:r w:rsidRPr="00546EE9">
              <w:rPr>
                <w:rFonts w:ascii="Book Antiqua" w:eastAsiaTheme="majorEastAsia" w:hAnsi="Book Antiqua" w:cstheme="majorBidi"/>
                <w:lang w:val="en-US"/>
              </w:rPr>
              <w:t>1 d</w:t>
            </w:r>
          </w:p>
        </w:tc>
      </w:tr>
    </w:tbl>
    <w:p w14:paraId="50DE56B2" w14:textId="77777777" w:rsidR="0010598E" w:rsidRPr="00C042FF" w:rsidRDefault="0010598E" w:rsidP="003E14C8">
      <w:pPr>
        <w:widowControl w:val="0"/>
        <w:autoSpaceDE w:val="0"/>
        <w:autoSpaceDN w:val="0"/>
        <w:adjustRightInd w:val="0"/>
        <w:spacing w:line="360" w:lineRule="auto"/>
        <w:jc w:val="both"/>
        <w:rPr>
          <w:rFonts w:ascii="Book Antiqua" w:hAnsi="Book Antiqua"/>
          <w:lang w:val="en-US"/>
        </w:rPr>
      </w:pPr>
    </w:p>
    <w:p w14:paraId="5AAE7E6E" w14:textId="6AF111F8" w:rsidR="0010598E" w:rsidRPr="00546EE9" w:rsidRDefault="0010598E" w:rsidP="003E14C8">
      <w:pPr>
        <w:widowControl w:val="0"/>
        <w:autoSpaceDE w:val="0"/>
        <w:autoSpaceDN w:val="0"/>
        <w:adjustRightInd w:val="0"/>
        <w:spacing w:line="360" w:lineRule="auto"/>
        <w:jc w:val="both"/>
        <w:rPr>
          <w:rFonts w:ascii="Book Antiqua" w:hAnsi="Book Antiqua"/>
          <w:lang w:val="en-US" w:eastAsia="zh-CN"/>
        </w:rPr>
      </w:pPr>
      <w:r w:rsidRPr="00C042FF">
        <w:rPr>
          <w:rFonts w:ascii="Book Antiqua" w:hAnsi="Book Antiqua"/>
          <w:lang w:val="en-US"/>
        </w:rPr>
        <w:t>NA: Not available</w:t>
      </w:r>
      <w:r w:rsidR="00546EE9">
        <w:rPr>
          <w:rFonts w:ascii="Book Antiqua" w:hAnsi="Book Antiqua" w:hint="eastAsia"/>
          <w:lang w:val="en-US"/>
        </w:rPr>
        <w:t>;</w:t>
      </w:r>
      <w:r w:rsidRPr="00C042FF">
        <w:rPr>
          <w:rFonts w:ascii="Book Antiqua" w:hAnsi="Book Antiqua"/>
          <w:lang w:val="en-US"/>
        </w:rPr>
        <w:t xml:space="preserve"> </w:t>
      </w:r>
      <w:r w:rsidR="00546EE9" w:rsidRPr="00546EE9">
        <w:rPr>
          <w:rFonts w:ascii="Book Antiqua" w:hAnsi="Book Antiqua"/>
          <w:lang w:val="en-US"/>
        </w:rPr>
        <w:t>ICU</w:t>
      </w:r>
      <w:r w:rsidR="00546EE9" w:rsidRPr="00546EE9">
        <w:rPr>
          <w:rFonts w:ascii="Book Antiqua" w:hAnsi="Book Antiqua" w:hint="eastAsia"/>
          <w:lang w:val="en-US"/>
        </w:rPr>
        <w:t>:</w:t>
      </w:r>
      <w:r w:rsidR="00546EE9" w:rsidRPr="00546EE9">
        <w:rPr>
          <w:rFonts w:ascii="Book Antiqua" w:hAnsi="Book Antiqua"/>
          <w:lang w:val="en-US"/>
        </w:rPr>
        <w:t xml:space="preserve"> Intensive care unit.</w:t>
      </w:r>
    </w:p>
    <w:sectPr w:rsidR="0010598E" w:rsidRPr="00546EE9" w:rsidSect="0010598E">
      <w:pgSz w:w="16840" w:h="11900" w:orient="landscape"/>
      <w:pgMar w:top="135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B3E12" w14:textId="77777777" w:rsidR="0001100E" w:rsidRDefault="0001100E" w:rsidP="001D2AD8">
      <w:r>
        <w:separator/>
      </w:r>
    </w:p>
  </w:endnote>
  <w:endnote w:type="continuationSeparator" w:id="0">
    <w:p w14:paraId="67D65C1D" w14:textId="77777777" w:rsidR="0001100E" w:rsidRDefault="0001100E"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0930118"/>
      <w:docPartObj>
        <w:docPartGallery w:val="Page Numbers (Bottom of Page)"/>
        <w:docPartUnique/>
      </w:docPartObj>
    </w:sdtPr>
    <w:sdtEndPr>
      <w:rPr>
        <w:rStyle w:val="PageNumber"/>
      </w:rPr>
    </w:sdtEndPr>
    <w:sdtContent>
      <w:p w14:paraId="64D86E98" w14:textId="4A3EA9CB" w:rsidR="00566A29" w:rsidRDefault="00566A29" w:rsidP="005F4A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AF8044" w14:textId="77777777" w:rsidR="00566A29" w:rsidRDefault="00566A29" w:rsidP="004D4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9722422"/>
      <w:docPartObj>
        <w:docPartGallery w:val="Page Numbers (Bottom of Page)"/>
        <w:docPartUnique/>
      </w:docPartObj>
    </w:sdtPr>
    <w:sdtEndPr>
      <w:rPr>
        <w:rStyle w:val="PageNumber"/>
      </w:rPr>
    </w:sdtEndPr>
    <w:sdtContent>
      <w:p w14:paraId="2ACFB2F3" w14:textId="77DA2AED" w:rsidR="00566A29" w:rsidRDefault="00566A29" w:rsidP="005F4A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7DDF">
          <w:rPr>
            <w:rStyle w:val="PageNumber"/>
            <w:noProof/>
          </w:rPr>
          <w:t>29</w:t>
        </w:r>
        <w:r>
          <w:rPr>
            <w:rStyle w:val="PageNumber"/>
          </w:rPr>
          <w:fldChar w:fldCharType="end"/>
        </w:r>
      </w:p>
    </w:sdtContent>
  </w:sdt>
  <w:p w14:paraId="17336C55" w14:textId="77777777" w:rsidR="00566A29" w:rsidRDefault="00566A29" w:rsidP="004D43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D8225" w14:textId="77777777" w:rsidR="0001100E" w:rsidRDefault="0001100E" w:rsidP="001D2AD8">
      <w:r>
        <w:separator/>
      </w:r>
    </w:p>
  </w:footnote>
  <w:footnote w:type="continuationSeparator" w:id="0">
    <w:p w14:paraId="108C852B" w14:textId="77777777" w:rsidR="0001100E" w:rsidRDefault="0001100E" w:rsidP="001D2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11"/>
  </w:num>
  <w:num w:numId="5">
    <w:abstractNumId w:val="0"/>
  </w:num>
  <w:num w:numId="6">
    <w:abstractNumId w:val="7"/>
  </w:num>
  <w:num w:numId="7">
    <w:abstractNumId w:val="3"/>
  </w:num>
  <w:num w:numId="8">
    <w:abstractNumId w:val="4"/>
  </w:num>
  <w:num w:numId="9">
    <w:abstractNumId w:val="1"/>
  </w:num>
  <w:num w:numId="10">
    <w:abstractNumId w:val="14"/>
  </w:num>
  <w:num w:numId="11">
    <w:abstractNumId w:val="6"/>
  </w:num>
  <w:num w:numId="12">
    <w:abstractNumId w:val="15"/>
  </w:num>
  <w:num w:numId="13">
    <w:abstractNumId w:val="2"/>
  </w:num>
  <w:num w:numId="14">
    <w:abstractNumId w:val="12"/>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30"/>
    <w:rsid w:val="0000134C"/>
    <w:rsid w:val="00004509"/>
    <w:rsid w:val="0001100E"/>
    <w:rsid w:val="00017558"/>
    <w:rsid w:val="00024B69"/>
    <w:rsid w:val="0002664D"/>
    <w:rsid w:val="00031A13"/>
    <w:rsid w:val="00033B74"/>
    <w:rsid w:val="0004227D"/>
    <w:rsid w:val="00042C40"/>
    <w:rsid w:val="00050BD2"/>
    <w:rsid w:val="0005135E"/>
    <w:rsid w:val="00051F79"/>
    <w:rsid w:val="000575D2"/>
    <w:rsid w:val="000642E7"/>
    <w:rsid w:val="00064AC3"/>
    <w:rsid w:val="00064DD3"/>
    <w:rsid w:val="00065BD2"/>
    <w:rsid w:val="00066330"/>
    <w:rsid w:val="00070532"/>
    <w:rsid w:val="00070CA5"/>
    <w:rsid w:val="00084583"/>
    <w:rsid w:val="0008511A"/>
    <w:rsid w:val="00086987"/>
    <w:rsid w:val="0009147E"/>
    <w:rsid w:val="00094693"/>
    <w:rsid w:val="00097C6C"/>
    <w:rsid w:val="000A0D71"/>
    <w:rsid w:val="000B216C"/>
    <w:rsid w:val="000B5F71"/>
    <w:rsid w:val="000B61CC"/>
    <w:rsid w:val="000B6583"/>
    <w:rsid w:val="000C44CE"/>
    <w:rsid w:val="000D35E2"/>
    <w:rsid w:val="000D481B"/>
    <w:rsid w:val="000D6F10"/>
    <w:rsid w:val="000E0136"/>
    <w:rsid w:val="000E0BAE"/>
    <w:rsid w:val="000E2310"/>
    <w:rsid w:val="000E6BFF"/>
    <w:rsid w:val="000F279A"/>
    <w:rsid w:val="001056BF"/>
    <w:rsid w:val="0010598E"/>
    <w:rsid w:val="001102E7"/>
    <w:rsid w:val="00117228"/>
    <w:rsid w:val="00117A94"/>
    <w:rsid w:val="00120CF9"/>
    <w:rsid w:val="00120FA9"/>
    <w:rsid w:val="00122A6C"/>
    <w:rsid w:val="001312C9"/>
    <w:rsid w:val="001402DC"/>
    <w:rsid w:val="0014078D"/>
    <w:rsid w:val="00146A74"/>
    <w:rsid w:val="0015041D"/>
    <w:rsid w:val="00152F41"/>
    <w:rsid w:val="00152F8E"/>
    <w:rsid w:val="00153199"/>
    <w:rsid w:val="001676A6"/>
    <w:rsid w:val="00170A2E"/>
    <w:rsid w:val="001738FB"/>
    <w:rsid w:val="00174623"/>
    <w:rsid w:val="00174D34"/>
    <w:rsid w:val="00183D1C"/>
    <w:rsid w:val="001851EA"/>
    <w:rsid w:val="00185494"/>
    <w:rsid w:val="00192EE0"/>
    <w:rsid w:val="00194ED5"/>
    <w:rsid w:val="001A37BF"/>
    <w:rsid w:val="001A53B3"/>
    <w:rsid w:val="001C21CF"/>
    <w:rsid w:val="001C2A57"/>
    <w:rsid w:val="001C44C7"/>
    <w:rsid w:val="001D2AD8"/>
    <w:rsid w:val="001D55DD"/>
    <w:rsid w:val="001D568A"/>
    <w:rsid w:val="001D73F1"/>
    <w:rsid w:val="001E07F6"/>
    <w:rsid w:val="001E1F38"/>
    <w:rsid w:val="001E369D"/>
    <w:rsid w:val="001E69F7"/>
    <w:rsid w:val="001E7246"/>
    <w:rsid w:val="0020234E"/>
    <w:rsid w:val="00204167"/>
    <w:rsid w:val="0021570C"/>
    <w:rsid w:val="00220530"/>
    <w:rsid w:val="00220A6A"/>
    <w:rsid w:val="00223BC3"/>
    <w:rsid w:val="00224174"/>
    <w:rsid w:val="002263E4"/>
    <w:rsid w:val="00232C21"/>
    <w:rsid w:val="00232DD0"/>
    <w:rsid w:val="00233FC7"/>
    <w:rsid w:val="00240779"/>
    <w:rsid w:val="00244940"/>
    <w:rsid w:val="00246974"/>
    <w:rsid w:val="00251AB3"/>
    <w:rsid w:val="00251C55"/>
    <w:rsid w:val="00251F55"/>
    <w:rsid w:val="002525C5"/>
    <w:rsid w:val="00253CC3"/>
    <w:rsid w:val="00255AC1"/>
    <w:rsid w:val="00264FA8"/>
    <w:rsid w:val="002677C6"/>
    <w:rsid w:val="00275622"/>
    <w:rsid w:val="002769C3"/>
    <w:rsid w:val="00283E36"/>
    <w:rsid w:val="0029194A"/>
    <w:rsid w:val="00296019"/>
    <w:rsid w:val="002A4C58"/>
    <w:rsid w:val="002B0258"/>
    <w:rsid w:val="002B26B1"/>
    <w:rsid w:val="002B30BF"/>
    <w:rsid w:val="002B3AA3"/>
    <w:rsid w:val="002B6A8A"/>
    <w:rsid w:val="002C2BD8"/>
    <w:rsid w:val="002C5967"/>
    <w:rsid w:val="002C5A14"/>
    <w:rsid w:val="002C6CE8"/>
    <w:rsid w:val="002D10A3"/>
    <w:rsid w:val="002D2001"/>
    <w:rsid w:val="002E7235"/>
    <w:rsid w:val="002E7A36"/>
    <w:rsid w:val="00302D63"/>
    <w:rsid w:val="00303AA5"/>
    <w:rsid w:val="00304DAE"/>
    <w:rsid w:val="00305892"/>
    <w:rsid w:val="00310E85"/>
    <w:rsid w:val="00312C02"/>
    <w:rsid w:val="00320B98"/>
    <w:rsid w:val="003213E6"/>
    <w:rsid w:val="00322D1B"/>
    <w:rsid w:val="00326784"/>
    <w:rsid w:val="00327A23"/>
    <w:rsid w:val="003311A4"/>
    <w:rsid w:val="00335E2F"/>
    <w:rsid w:val="00340F9E"/>
    <w:rsid w:val="00353376"/>
    <w:rsid w:val="00360AC3"/>
    <w:rsid w:val="00361596"/>
    <w:rsid w:val="00375F05"/>
    <w:rsid w:val="00380E29"/>
    <w:rsid w:val="00387991"/>
    <w:rsid w:val="0039060B"/>
    <w:rsid w:val="00397A5F"/>
    <w:rsid w:val="003A6A27"/>
    <w:rsid w:val="003B73CA"/>
    <w:rsid w:val="003C1DCA"/>
    <w:rsid w:val="003C78F5"/>
    <w:rsid w:val="003C7ADA"/>
    <w:rsid w:val="003D0946"/>
    <w:rsid w:val="003E14C8"/>
    <w:rsid w:val="003E3D42"/>
    <w:rsid w:val="003F005B"/>
    <w:rsid w:val="00414F28"/>
    <w:rsid w:val="00416EB6"/>
    <w:rsid w:val="00425755"/>
    <w:rsid w:val="004306DC"/>
    <w:rsid w:val="00432AD0"/>
    <w:rsid w:val="00432BC5"/>
    <w:rsid w:val="004361C7"/>
    <w:rsid w:val="00437D47"/>
    <w:rsid w:val="00445D42"/>
    <w:rsid w:val="004463BA"/>
    <w:rsid w:val="0044672B"/>
    <w:rsid w:val="0045093A"/>
    <w:rsid w:val="004535AF"/>
    <w:rsid w:val="0045614B"/>
    <w:rsid w:val="00456D9D"/>
    <w:rsid w:val="0046074E"/>
    <w:rsid w:val="00464D5B"/>
    <w:rsid w:val="00465362"/>
    <w:rsid w:val="004670B6"/>
    <w:rsid w:val="0046748A"/>
    <w:rsid w:val="00477C97"/>
    <w:rsid w:val="0048103F"/>
    <w:rsid w:val="00484C46"/>
    <w:rsid w:val="00485C99"/>
    <w:rsid w:val="00491712"/>
    <w:rsid w:val="00493ECD"/>
    <w:rsid w:val="004A650E"/>
    <w:rsid w:val="004B2FD1"/>
    <w:rsid w:val="004B38E3"/>
    <w:rsid w:val="004B6478"/>
    <w:rsid w:val="004C2E07"/>
    <w:rsid w:val="004C4447"/>
    <w:rsid w:val="004C5F3A"/>
    <w:rsid w:val="004C64E6"/>
    <w:rsid w:val="004C6ADE"/>
    <w:rsid w:val="004D1D7D"/>
    <w:rsid w:val="004D43BF"/>
    <w:rsid w:val="004D5457"/>
    <w:rsid w:val="004D65EE"/>
    <w:rsid w:val="004E5A4A"/>
    <w:rsid w:val="004F24C7"/>
    <w:rsid w:val="004F70B3"/>
    <w:rsid w:val="00501934"/>
    <w:rsid w:val="00505440"/>
    <w:rsid w:val="005110BA"/>
    <w:rsid w:val="00514ACC"/>
    <w:rsid w:val="00516774"/>
    <w:rsid w:val="005242A4"/>
    <w:rsid w:val="00530483"/>
    <w:rsid w:val="005324F7"/>
    <w:rsid w:val="005327F1"/>
    <w:rsid w:val="0054149D"/>
    <w:rsid w:val="00543895"/>
    <w:rsid w:val="00546EE9"/>
    <w:rsid w:val="00550401"/>
    <w:rsid w:val="005517B0"/>
    <w:rsid w:val="00553279"/>
    <w:rsid w:val="0055333A"/>
    <w:rsid w:val="0055353D"/>
    <w:rsid w:val="00553EF9"/>
    <w:rsid w:val="005602FC"/>
    <w:rsid w:val="00566A29"/>
    <w:rsid w:val="00570C38"/>
    <w:rsid w:val="005716FC"/>
    <w:rsid w:val="00573906"/>
    <w:rsid w:val="00577E5C"/>
    <w:rsid w:val="00581106"/>
    <w:rsid w:val="0058236F"/>
    <w:rsid w:val="00584F9E"/>
    <w:rsid w:val="005876BF"/>
    <w:rsid w:val="005922D9"/>
    <w:rsid w:val="005931EB"/>
    <w:rsid w:val="005A4018"/>
    <w:rsid w:val="005B502D"/>
    <w:rsid w:val="005C16C5"/>
    <w:rsid w:val="005C1F8B"/>
    <w:rsid w:val="005D529A"/>
    <w:rsid w:val="005E1B17"/>
    <w:rsid w:val="005E6366"/>
    <w:rsid w:val="005F4A40"/>
    <w:rsid w:val="005F5347"/>
    <w:rsid w:val="006018EC"/>
    <w:rsid w:val="00611A70"/>
    <w:rsid w:val="00621351"/>
    <w:rsid w:val="006240B2"/>
    <w:rsid w:val="006303A4"/>
    <w:rsid w:val="006366CB"/>
    <w:rsid w:val="006442BC"/>
    <w:rsid w:val="0064708C"/>
    <w:rsid w:val="00652ADA"/>
    <w:rsid w:val="00656794"/>
    <w:rsid w:val="00657310"/>
    <w:rsid w:val="00657978"/>
    <w:rsid w:val="00665C9E"/>
    <w:rsid w:val="00671888"/>
    <w:rsid w:val="0067262C"/>
    <w:rsid w:val="00681F05"/>
    <w:rsid w:val="00684948"/>
    <w:rsid w:val="0068541B"/>
    <w:rsid w:val="00686367"/>
    <w:rsid w:val="00690400"/>
    <w:rsid w:val="00697F2B"/>
    <w:rsid w:val="006A2794"/>
    <w:rsid w:val="006A635A"/>
    <w:rsid w:val="006A7BD6"/>
    <w:rsid w:val="006B072B"/>
    <w:rsid w:val="006B0F08"/>
    <w:rsid w:val="006B1123"/>
    <w:rsid w:val="006B4D09"/>
    <w:rsid w:val="006B72E4"/>
    <w:rsid w:val="006C166B"/>
    <w:rsid w:val="006C4922"/>
    <w:rsid w:val="006C5B50"/>
    <w:rsid w:val="006D0EF3"/>
    <w:rsid w:val="006D1BB0"/>
    <w:rsid w:val="006D1EEE"/>
    <w:rsid w:val="006D2986"/>
    <w:rsid w:val="006D4050"/>
    <w:rsid w:val="006D441A"/>
    <w:rsid w:val="006D5413"/>
    <w:rsid w:val="006D62E4"/>
    <w:rsid w:val="006D68DA"/>
    <w:rsid w:val="006E1540"/>
    <w:rsid w:val="006E17ED"/>
    <w:rsid w:val="006E3842"/>
    <w:rsid w:val="006E5EBF"/>
    <w:rsid w:val="006E6A96"/>
    <w:rsid w:val="006F0E05"/>
    <w:rsid w:val="006F53DB"/>
    <w:rsid w:val="006F6F44"/>
    <w:rsid w:val="0070319F"/>
    <w:rsid w:val="0070648E"/>
    <w:rsid w:val="00712C56"/>
    <w:rsid w:val="00740777"/>
    <w:rsid w:val="00742172"/>
    <w:rsid w:val="0074485D"/>
    <w:rsid w:val="00751D25"/>
    <w:rsid w:val="00755F1E"/>
    <w:rsid w:val="0075707D"/>
    <w:rsid w:val="00757A40"/>
    <w:rsid w:val="007643DC"/>
    <w:rsid w:val="00767B28"/>
    <w:rsid w:val="00775349"/>
    <w:rsid w:val="007805DB"/>
    <w:rsid w:val="007834BF"/>
    <w:rsid w:val="00784754"/>
    <w:rsid w:val="007848D0"/>
    <w:rsid w:val="00793D2F"/>
    <w:rsid w:val="00796DF2"/>
    <w:rsid w:val="007A4083"/>
    <w:rsid w:val="007A41F9"/>
    <w:rsid w:val="007A60A8"/>
    <w:rsid w:val="007B4E04"/>
    <w:rsid w:val="007B62AA"/>
    <w:rsid w:val="007B7228"/>
    <w:rsid w:val="007C2AF7"/>
    <w:rsid w:val="007C3401"/>
    <w:rsid w:val="007C383F"/>
    <w:rsid w:val="007D04A2"/>
    <w:rsid w:val="007E3193"/>
    <w:rsid w:val="007E5597"/>
    <w:rsid w:val="007E6DDD"/>
    <w:rsid w:val="007E73AA"/>
    <w:rsid w:val="007F25BF"/>
    <w:rsid w:val="007F25F3"/>
    <w:rsid w:val="007F35E9"/>
    <w:rsid w:val="007F6974"/>
    <w:rsid w:val="007F7DDF"/>
    <w:rsid w:val="0080205A"/>
    <w:rsid w:val="008072DB"/>
    <w:rsid w:val="008075A7"/>
    <w:rsid w:val="00807ADD"/>
    <w:rsid w:val="0081056C"/>
    <w:rsid w:val="00811014"/>
    <w:rsid w:val="0081375C"/>
    <w:rsid w:val="00816A8E"/>
    <w:rsid w:val="008201F7"/>
    <w:rsid w:val="0082151F"/>
    <w:rsid w:val="00823B5E"/>
    <w:rsid w:val="00834336"/>
    <w:rsid w:val="0084150C"/>
    <w:rsid w:val="00846F74"/>
    <w:rsid w:val="00850B0F"/>
    <w:rsid w:val="00854959"/>
    <w:rsid w:val="00860949"/>
    <w:rsid w:val="00860C28"/>
    <w:rsid w:val="00863ECB"/>
    <w:rsid w:val="00865EFA"/>
    <w:rsid w:val="008705D3"/>
    <w:rsid w:val="0087373D"/>
    <w:rsid w:val="00874BAB"/>
    <w:rsid w:val="00881B2E"/>
    <w:rsid w:val="00892C08"/>
    <w:rsid w:val="008966DF"/>
    <w:rsid w:val="008A161C"/>
    <w:rsid w:val="008A16F3"/>
    <w:rsid w:val="008A2E78"/>
    <w:rsid w:val="008C1D9E"/>
    <w:rsid w:val="008C26A1"/>
    <w:rsid w:val="008C2DBC"/>
    <w:rsid w:val="008C403C"/>
    <w:rsid w:val="008D1E3D"/>
    <w:rsid w:val="008D1F36"/>
    <w:rsid w:val="008D24F6"/>
    <w:rsid w:val="008D7DA5"/>
    <w:rsid w:val="008E062A"/>
    <w:rsid w:val="008E7C52"/>
    <w:rsid w:val="008F4782"/>
    <w:rsid w:val="009041E1"/>
    <w:rsid w:val="00904D01"/>
    <w:rsid w:val="0091384E"/>
    <w:rsid w:val="00913896"/>
    <w:rsid w:val="00914984"/>
    <w:rsid w:val="0091523A"/>
    <w:rsid w:val="00917842"/>
    <w:rsid w:val="009208EE"/>
    <w:rsid w:val="00920E3C"/>
    <w:rsid w:val="00922C45"/>
    <w:rsid w:val="00923B22"/>
    <w:rsid w:val="00926FEF"/>
    <w:rsid w:val="009319AF"/>
    <w:rsid w:val="00934947"/>
    <w:rsid w:val="0093544A"/>
    <w:rsid w:val="00935EAF"/>
    <w:rsid w:val="00937D1C"/>
    <w:rsid w:val="0095361D"/>
    <w:rsid w:val="00953BBA"/>
    <w:rsid w:val="0095555C"/>
    <w:rsid w:val="00955CAA"/>
    <w:rsid w:val="00962FD8"/>
    <w:rsid w:val="00964C69"/>
    <w:rsid w:val="00973809"/>
    <w:rsid w:val="00973D2D"/>
    <w:rsid w:val="009743D9"/>
    <w:rsid w:val="00975121"/>
    <w:rsid w:val="00975D06"/>
    <w:rsid w:val="009760E2"/>
    <w:rsid w:val="00977AFE"/>
    <w:rsid w:val="00983713"/>
    <w:rsid w:val="0098434B"/>
    <w:rsid w:val="00990265"/>
    <w:rsid w:val="0099378D"/>
    <w:rsid w:val="009A3429"/>
    <w:rsid w:val="009A46C0"/>
    <w:rsid w:val="009B5D09"/>
    <w:rsid w:val="009B71DD"/>
    <w:rsid w:val="009B747A"/>
    <w:rsid w:val="009C03CC"/>
    <w:rsid w:val="009C21C9"/>
    <w:rsid w:val="009C2580"/>
    <w:rsid w:val="009C29F2"/>
    <w:rsid w:val="009E077E"/>
    <w:rsid w:val="009E1D8D"/>
    <w:rsid w:val="009E5789"/>
    <w:rsid w:val="009E6385"/>
    <w:rsid w:val="009E6C52"/>
    <w:rsid w:val="009F4D2F"/>
    <w:rsid w:val="009F6D96"/>
    <w:rsid w:val="00A02B9B"/>
    <w:rsid w:val="00A053DF"/>
    <w:rsid w:val="00A15ECC"/>
    <w:rsid w:val="00A17CAC"/>
    <w:rsid w:val="00A21BD9"/>
    <w:rsid w:val="00A224E1"/>
    <w:rsid w:val="00A22F83"/>
    <w:rsid w:val="00A246A7"/>
    <w:rsid w:val="00A24F1F"/>
    <w:rsid w:val="00A27D30"/>
    <w:rsid w:val="00A30F25"/>
    <w:rsid w:val="00A31584"/>
    <w:rsid w:val="00A411EE"/>
    <w:rsid w:val="00A42BCD"/>
    <w:rsid w:val="00A51017"/>
    <w:rsid w:val="00A52CA0"/>
    <w:rsid w:val="00A52CC5"/>
    <w:rsid w:val="00A571E2"/>
    <w:rsid w:val="00A62794"/>
    <w:rsid w:val="00A64321"/>
    <w:rsid w:val="00A708B8"/>
    <w:rsid w:val="00A70C64"/>
    <w:rsid w:val="00A717F8"/>
    <w:rsid w:val="00A71CFB"/>
    <w:rsid w:val="00A75806"/>
    <w:rsid w:val="00A83AEE"/>
    <w:rsid w:val="00A855A8"/>
    <w:rsid w:val="00A8607F"/>
    <w:rsid w:val="00A87CC4"/>
    <w:rsid w:val="00A94D84"/>
    <w:rsid w:val="00AA31DB"/>
    <w:rsid w:val="00AB0F4C"/>
    <w:rsid w:val="00AB4F70"/>
    <w:rsid w:val="00AC4788"/>
    <w:rsid w:val="00AC696F"/>
    <w:rsid w:val="00AC7A99"/>
    <w:rsid w:val="00AD1040"/>
    <w:rsid w:val="00AD2F33"/>
    <w:rsid w:val="00AD3AA5"/>
    <w:rsid w:val="00AD6D2E"/>
    <w:rsid w:val="00AE70F1"/>
    <w:rsid w:val="00AF2F98"/>
    <w:rsid w:val="00AF7B23"/>
    <w:rsid w:val="00B0552F"/>
    <w:rsid w:val="00B11BF2"/>
    <w:rsid w:val="00B1368C"/>
    <w:rsid w:val="00B15DDB"/>
    <w:rsid w:val="00B16F11"/>
    <w:rsid w:val="00B22D21"/>
    <w:rsid w:val="00B248EF"/>
    <w:rsid w:val="00B253E9"/>
    <w:rsid w:val="00B3010C"/>
    <w:rsid w:val="00B320AA"/>
    <w:rsid w:val="00B369D4"/>
    <w:rsid w:val="00B451FD"/>
    <w:rsid w:val="00B452DF"/>
    <w:rsid w:val="00B51E6A"/>
    <w:rsid w:val="00B55371"/>
    <w:rsid w:val="00B70EF9"/>
    <w:rsid w:val="00B742F9"/>
    <w:rsid w:val="00B74892"/>
    <w:rsid w:val="00B81860"/>
    <w:rsid w:val="00B83E96"/>
    <w:rsid w:val="00B87A52"/>
    <w:rsid w:val="00B92156"/>
    <w:rsid w:val="00B92371"/>
    <w:rsid w:val="00B95BBF"/>
    <w:rsid w:val="00B95C09"/>
    <w:rsid w:val="00BA616E"/>
    <w:rsid w:val="00BB0AC5"/>
    <w:rsid w:val="00BB5786"/>
    <w:rsid w:val="00BB5BE6"/>
    <w:rsid w:val="00BB6D48"/>
    <w:rsid w:val="00BB6F21"/>
    <w:rsid w:val="00BC08FB"/>
    <w:rsid w:val="00BD008E"/>
    <w:rsid w:val="00BD6EE3"/>
    <w:rsid w:val="00BE254E"/>
    <w:rsid w:val="00BE5D5D"/>
    <w:rsid w:val="00BE7E9F"/>
    <w:rsid w:val="00BF152A"/>
    <w:rsid w:val="00BF4294"/>
    <w:rsid w:val="00C042FF"/>
    <w:rsid w:val="00C0706B"/>
    <w:rsid w:val="00C07AB2"/>
    <w:rsid w:val="00C14C2F"/>
    <w:rsid w:val="00C16371"/>
    <w:rsid w:val="00C16E2D"/>
    <w:rsid w:val="00C258EC"/>
    <w:rsid w:val="00C30110"/>
    <w:rsid w:val="00C30685"/>
    <w:rsid w:val="00C318DE"/>
    <w:rsid w:val="00C33B6E"/>
    <w:rsid w:val="00C52A50"/>
    <w:rsid w:val="00C53FDD"/>
    <w:rsid w:val="00C54418"/>
    <w:rsid w:val="00C55851"/>
    <w:rsid w:val="00C61F32"/>
    <w:rsid w:val="00C66153"/>
    <w:rsid w:val="00C67299"/>
    <w:rsid w:val="00C67BC8"/>
    <w:rsid w:val="00C74253"/>
    <w:rsid w:val="00C8192D"/>
    <w:rsid w:val="00C87E47"/>
    <w:rsid w:val="00C9197A"/>
    <w:rsid w:val="00C93C7A"/>
    <w:rsid w:val="00CA2C7D"/>
    <w:rsid w:val="00CA4456"/>
    <w:rsid w:val="00CA7BD2"/>
    <w:rsid w:val="00CB03E3"/>
    <w:rsid w:val="00CB142E"/>
    <w:rsid w:val="00CB456E"/>
    <w:rsid w:val="00CB75F5"/>
    <w:rsid w:val="00CC24C9"/>
    <w:rsid w:val="00CC4321"/>
    <w:rsid w:val="00CC5FED"/>
    <w:rsid w:val="00CC6B25"/>
    <w:rsid w:val="00CC774F"/>
    <w:rsid w:val="00CD168A"/>
    <w:rsid w:val="00CD291D"/>
    <w:rsid w:val="00CD393E"/>
    <w:rsid w:val="00CD5775"/>
    <w:rsid w:val="00CF4994"/>
    <w:rsid w:val="00D00600"/>
    <w:rsid w:val="00D031BC"/>
    <w:rsid w:val="00D053E2"/>
    <w:rsid w:val="00D1178D"/>
    <w:rsid w:val="00D12998"/>
    <w:rsid w:val="00D134FE"/>
    <w:rsid w:val="00D2439D"/>
    <w:rsid w:val="00D2502E"/>
    <w:rsid w:val="00D27D42"/>
    <w:rsid w:val="00D32FB2"/>
    <w:rsid w:val="00D3518B"/>
    <w:rsid w:val="00D35E09"/>
    <w:rsid w:val="00D4184F"/>
    <w:rsid w:val="00D42D84"/>
    <w:rsid w:val="00D45738"/>
    <w:rsid w:val="00D5373F"/>
    <w:rsid w:val="00D54012"/>
    <w:rsid w:val="00D556D8"/>
    <w:rsid w:val="00D60C82"/>
    <w:rsid w:val="00D637DF"/>
    <w:rsid w:val="00D66335"/>
    <w:rsid w:val="00D67AA0"/>
    <w:rsid w:val="00D7155C"/>
    <w:rsid w:val="00D741DF"/>
    <w:rsid w:val="00D807F2"/>
    <w:rsid w:val="00D867D7"/>
    <w:rsid w:val="00D870FE"/>
    <w:rsid w:val="00D93CB7"/>
    <w:rsid w:val="00D97C40"/>
    <w:rsid w:val="00D97D38"/>
    <w:rsid w:val="00DA3DDE"/>
    <w:rsid w:val="00DA60A8"/>
    <w:rsid w:val="00DB232A"/>
    <w:rsid w:val="00DB3AE1"/>
    <w:rsid w:val="00DB772B"/>
    <w:rsid w:val="00DC43C5"/>
    <w:rsid w:val="00DC4C02"/>
    <w:rsid w:val="00DC50BE"/>
    <w:rsid w:val="00DC5FB8"/>
    <w:rsid w:val="00DC60ED"/>
    <w:rsid w:val="00DD403D"/>
    <w:rsid w:val="00DD4E29"/>
    <w:rsid w:val="00DE1FE2"/>
    <w:rsid w:val="00DE49BB"/>
    <w:rsid w:val="00DF3525"/>
    <w:rsid w:val="00DF4A69"/>
    <w:rsid w:val="00DF6106"/>
    <w:rsid w:val="00E02ABA"/>
    <w:rsid w:val="00E05377"/>
    <w:rsid w:val="00E05B27"/>
    <w:rsid w:val="00E068C3"/>
    <w:rsid w:val="00E07062"/>
    <w:rsid w:val="00E10BBB"/>
    <w:rsid w:val="00E1163E"/>
    <w:rsid w:val="00E1255F"/>
    <w:rsid w:val="00E218B8"/>
    <w:rsid w:val="00E27196"/>
    <w:rsid w:val="00E307D1"/>
    <w:rsid w:val="00E37119"/>
    <w:rsid w:val="00E420AA"/>
    <w:rsid w:val="00E441CB"/>
    <w:rsid w:val="00E44653"/>
    <w:rsid w:val="00E51E26"/>
    <w:rsid w:val="00E56764"/>
    <w:rsid w:val="00E57D06"/>
    <w:rsid w:val="00E71644"/>
    <w:rsid w:val="00E722A8"/>
    <w:rsid w:val="00E72B78"/>
    <w:rsid w:val="00E736B6"/>
    <w:rsid w:val="00E73795"/>
    <w:rsid w:val="00E80F86"/>
    <w:rsid w:val="00E8521A"/>
    <w:rsid w:val="00E86956"/>
    <w:rsid w:val="00E906B8"/>
    <w:rsid w:val="00E91099"/>
    <w:rsid w:val="00E91416"/>
    <w:rsid w:val="00E95EBB"/>
    <w:rsid w:val="00E96D2C"/>
    <w:rsid w:val="00EA3DD1"/>
    <w:rsid w:val="00EA533E"/>
    <w:rsid w:val="00EA7FD7"/>
    <w:rsid w:val="00EB1AFC"/>
    <w:rsid w:val="00EB2530"/>
    <w:rsid w:val="00EB4658"/>
    <w:rsid w:val="00EC223A"/>
    <w:rsid w:val="00EC3ED2"/>
    <w:rsid w:val="00EC480E"/>
    <w:rsid w:val="00EC74F0"/>
    <w:rsid w:val="00ED15E5"/>
    <w:rsid w:val="00ED26A5"/>
    <w:rsid w:val="00ED3E84"/>
    <w:rsid w:val="00ED54D0"/>
    <w:rsid w:val="00EE114A"/>
    <w:rsid w:val="00EE1BC6"/>
    <w:rsid w:val="00F07B59"/>
    <w:rsid w:val="00F13B4C"/>
    <w:rsid w:val="00F168F6"/>
    <w:rsid w:val="00F23BA5"/>
    <w:rsid w:val="00F24D4A"/>
    <w:rsid w:val="00F25BA8"/>
    <w:rsid w:val="00F25E92"/>
    <w:rsid w:val="00F3017F"/>
    <w:rsid w:val="00F30F21"/>
    <w:rsid w:val="00F32CFA"/>
    <w:rsid w:val="00F3314B"/>
    <w:rsid w:val="00F361A8"/>
    <w:rsid w:val="00F4025A"/>
    <w:rsid w:val="00F42B11"/>
    <w:rsid w:val="00F44C5A"/>
    <w:rsid w:val="00F45243"/>
    <w:rsid w:val="00F45DBA"/>
    <w:rsid w:val="00F61488"/>
    <w:rsid w:val="00F63605"/>
    <w:rsid w:val="00F74E25"/>
    <w:rsid w:val="00F90745"/>
    <w:rsid w:val="00FA0BB8"/>
    <w:rsid w:val="00FA48B6"/>
    <w:rsid w:val="00FA7335"/>
    <w:rsid w:val="00FB0525"/>
    <w:rsid w:val="00FC26D7"/>
    <w:rsid w:val="00FC4123"/>
    <w:rsid w:val="00FD029B"/>
    <w:rsid w:val="00FD3E52"/>
    <w:rsid w:val="00FD465A"/>
    <w:rsid w:val="00FD6CC0"/>
    <w:rsid w:val="00FE205A"/>
    <w:rsid w:val="00FE43B4"/>
    <w:rsid w:val="00FF0595"/>
    <w:rsid w:val="00FF4611"/>
    <w:rsid w:val="00FF5B4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15:docId w15:val="{2EEC2290-BB91-4068-A58A-59F75DBC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1EE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D54D0"/>
    <w:pPr>
      <w:ind w:left="720"/>
      <w:contextualSpacing/>
    </w:pPr>
  </w:style>
  <w:style w:type="character" w:customStyle="1" w:styleId="Heading1Char">
    <w:name w:val="Heading 1 Char"/>
    <w:basedOn w:val="DefaultParagraphFont"/>
    <w:link w:val="Heading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304DAE"/>
    <w:rPr>
      <w:rFonts w:ascii="Helvetica" w:hAnsi="Helvetica" w:cs="Times New Roman"/>
      <w:sz w:val="15"/>
      <w:szCs w:val="15"/>
      <w:lang w:eastAsia="pt-BR"/>
    </w:rPr>
  </w:style>
  <w:style w:type="character" w:customStyle="1" w:styleId="apple-converted-space">
    <w:name w:val="apple-converted-space"/>
    <w:basedOn w:val="DefaultParagraphFont"/>
    <w:rsid w:val="00304DAE"/>
  </w:style>
  <w:style w:type="character" w:customStyle="1" w:styleId="Heading3Char">
    <w:name w:val="Heading 3 Char"/>
    <w:basedOn w:val="DefaultParagraphFont"/>
    <w:link w:val="Heading3"/>
    <w:uiPriority w:val="9"/>
    <w:rsid w:val="00170A2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70A2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66335"/>
    <w:rPr>
      <w:color w:val="0563C1" w:themeColor="hyperlink"/>
      <w:u w:val="single"/>
    </w:rPr>
  </w:style>
  <w:style w:type="character" w:customStyle="1" w:styleId="MenoPendente1">
    <w:name w:val="Menção Pendente1"/>
    <w:basedOn w:val="DefaultParagraphFont"/>
    <w:uiPriority w:val="99"/>
    <w:rsid w:val="00D66335"/>
    <w:rPr>
      <w:color w:val="808080"/>
      <w:shd w:val="clear" w:color="auto" w:fill="E6E6E6"/>
    </w:rPr>
  </w:style>
  <w:style w:type="paragraph" w:styleId="BodyText">
    <w:name w:val="Body Text"/>
    <w:basedOn w:val="Normal"/>
    <w:link w:val="BodyTextChar"/>
    <w:uiPriority w:val="1"/>
    <w:qFormat/>
    <w:rsid w:val="00671888"/>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CommentReference">
    <w:name w:val="annotation reference"/>
    <w:basedOn w:val="DefaultParagraphFont"/>
    <w:uiPriority w:val="99"/>
    <w:semiHidden/>
    <w:unhideWhenUsed/>
    <w:rsid w:val="001312C9"/>
    <w:rPr>
      <w:sz w:val="16"/>
      <w:szCs w:val="16"/>
    </w:rPr>
  </w:style>
  <w:style w:type="paragraph" w:styleId="CommentText">
    <w:name w:val="annotation text"/>
    <w:basedOn w:val="Normal"/>
    <w:link w:val="CommentTextChar"/>
    <w:uiPriority w:val="99"/>
    <w:semiHidden/>
    <w:unhideWhenUsed/>
    <w:rsid w:val="001312C9"/>
    <w:rPr>
      <w:rFonts w:ascii="Times New Roman" w:eastAsia="Times New Roman" w:hAnsi="Times New Roman" w:cs="Times New Roman"/>
      <w:sz w:val="20"/>
      <w:szCs w:val="20"/>
      <w:lang w:eastAsia="pt-BR"/>
    </w:rPr>
  </w:style>
  <w:style w:type="character" w:customStyle="1" w:styleId="CommentTextChar">
    <w:name w:val="Comment Text Char"/>
    <w:basedOn w:val="DefaultParagraphFont"/>
    <w:link w:val="CommentText"/>
    <w:uiPriority w:val="99"/>
    <w:semiHidden/>
    <w:rsid w:val="001312C9"/>
    <w:rPr>
      <w:rFonts w:ascii="Times New Roman" w:eastAsia="Times New Roman" w:hAnsi="Times New Roman" w:cs="Times New Roman"/>
      <w:sz w:val="20"/>
      <w:szCs w:val="20"/>
      <w:lang w:eastAsia="pt-BR"/>
    </w:rPr>
  </w:style>
  <w:style w:type="paragraph" w:styleId="BalloonText">
    <w:name w:val="Balloon Text"/>
    <w:basedOn w:val="Normal"/>
    <w:link w:val="BalloonTextChar"/>
    <w:uiPriority w:val="99"/>
    <w:semiHidden/>
    <w:unhideWhenUsed/>
    <w:rsid w:val="001312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2C9"/>
    <w:rPr>
      <w:rFonts w:ascii="Times New Roman" w:hAnsi="Times New Roman" w:cs="Times New Roman"/>
      <w:sz w:val="18"/>
      <w:szCs w:val="18"/>
    </w:rPr>
  </w:style>
  <w:style w:type="table" w:styleId="TableGrid">
    <w:name w:val="Table Grid"/>
    <w:basedOn w:val="TableNormal"/>
    <w:uiPriority w:val="39"/>
    <w:rsid w:val="00953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TableNormal"/>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TableNormal"/>
    <w:uiPriority w:val="47"/>
    <w:rsid w:val="00953BBA"/>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953B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953B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TableNormal"/>
    <w:uiPriority w:val="52"/>
    <w:rsid w:val="00953BB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953B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TableNormal"/>
    <w:uiPriority w:val="48"/>
    <w:rsid w:val="00953B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TableNormal"/>
    <w:uiPriority w:val="41"/>
    <w:rsid w:val="00953B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53B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953B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953B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53B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53B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FootnoteText">
    <w:name w:val="footnote text"/>
    <w:basedOn w:val="Normal"/>
    <w:link w:val="FootnoteTextChar"/>
    <w:uiPriority w:val="99"/>
    <w:semiHidden/>
    <w:unhideWhenUsed/>
    <w:rsid w:val="001D2AD8"/>
    <w:rPr>
      <w:sz w:val="20"/>
      <w:szCs w:val="20"/>
    </w:rPr>
  </w:style>
  <w:style w:type="character" w:customStyle="1" w:styleId="FootnoteTextChar">
    <w:name w:val="Footnote Text Char"/>
    <w:basedOn w:val="DefaultParagraphFont"/>
    <w:link w:val="FootnoteText"/>
    <w:uiPriority w:val="99"/>
    <w:semiHidden/>
    <w:rsid w:val="001D2AD8"/>
    <w:rPr>
      <w:sz w:val="20"/>
      <w:szCs w:val="20"/>
    </w:rPr>
  </w:style>
  <w:style w:type="character" w:styleId="FootnoteReference">
    <w:name w:val="footnote reference"/>
    <w:basedOn w:val="DefaultParagraphFont"/>
    <w:uiPriority w:val="99"/>
    <w:semiHidden/>
    <w:unhideWhenUsed/>
    <w:rsid w:val="001D2AD8"/>
    <w:rPr>
      <w:vertAlign w:val="superscript"/>
    </w:rPr>
  </w:style>
  <w:style w:type="paragraph" w:styleId="Footer">
    <w:name w:val="footer"/>
    <w:basedOn w:val="Normal"/>
    <w:link w:val="FooterChar"/>
    <w:uiPriority w:val="99"/>
    <w:unhideWhenUsed/>
    <w:rsid w:val="004D43BF"/>
    <w:pPr>
      <w:tabs>
        <w:tab w:val="center" w:pos="4252"/>
        <w:tab w:val="right" w:pos="8504"/>
      </w:tabs>
    </w:pPr>
  </w:style>
  <w:style w:type="character" w:customStyle="1" w:styleId="FooterChar">
    <w:name w:val="Footer Char"/>
    <w:basedOn w:val="DefaultParagraphFont"/>
    <w:link w:val="Footer"/>
    <w:uiPriority w:val="99"/>
    <w:rsid w:val="004D43BF"/>
  </w:style>
  <w:style w:type="character" w:styleId="PageNumber">
    <w:name w:val="page number"/>
    <w:basedOn w:val="DefaultParagraphFont"/>
    <w:uiPriority w:val="99"/>
    <w:semiHidden/>
    <w:unhideWhenUsed/>
    <w:rsid w:val="004D43BF"/>
  </w:style>
  <w:style w:type="paragraph" w:customStyle="1" w:styleId="1">
    <w:name w:val="正文1"/>
    <w:uiPriority w:val="99"/>
    <w:rsid w:val="00DF3525"/>
    <w:pPr>
      <w:spacing w:line="276" w:lineRule="auto"/>
    </w:pPr>
    <w:rPr>
      <w:rFonts w:ascii="Arial" w:hAnsi="Arial" w:cs="Arial"/>
      <w:color w:val="000000"/>
      <w:sz w:val="22"/>
      <w:szCs w:val="20"/>
      <w:lang w:val="pl-PL" w:eastAsia="pl-PL"/>
    </w:rPr>
  </w:style>
  <w:style w:type="paragraph" w:styleId="CommentSubject">
    <w:name w:val="annotation subject"/>
    <w:basedOn w:val="CommentText"/>
    <w:next w:val="CommentText"/>
    <w:link w:val="CommentSubjectChar"/>
    <w:uiPriority w:val="99"/>
    <w:semiHidden/>
    <w:unhideWhenUsed/>
    <w:rsid w:val="00DF3525"/>
    <w:rPr>
      <w:rFonts w:asciiTheme="minorHAnsi" w:eastAsia="SimSun" w:hAnsiTheme="minorHAnsi" w:cstheme="minorBidi"/>
      <w:b/>
      <w:bCs/>
      <w:sz w:val="24"/>
      <w:szCs w:val="24"/>
      <w:lang w:eastAsia="en-US"/>
    </w:rPr>
  </w:style>
  <w:style w:type="character" w:customStyle="1" w:styleId="CommentSubjectChar">
    <w:name w:val="Comment Subject Char"/>
    <w:basedOn w:val="CommentTextChar"/>
    <w:link w:val="CommentSubject"/>
    <w:uiPriority w:val="99"/>
    <w:semiHidden/>
    <w:rsid w:val="00DF3525"/>
    <w:rPr>
      <w:rFonts w:ascii="Times New Roman" w:eastAsia="Times New Roman" w:hAnsi="Times New Roman" w:cs="Times New Roman"/>
      <w:b/>
      <w:bCs/>
      <w:sz w:val="20"/>
      <w:szCs w:val="20"/>
      <w:lang w:eastAsia="pt-BR"/>
    </w:rPr>
  </w:style>
  <w:style w:type="character" w:customStyle="1" w:styleId="MenoPendente2">
    <w:name w:val="Menção Pendente2"/>
    <w:basedOn w:val="DefaultParagraphFont"/>
    <w:uiPriority w:val="99"/>
    <w:semiHidden/>
    <w:unhideWhenUsed/>
    <w:rsid w:val="00DF4A69"/>
    <w:rPr>
      <w:color w:val="605E5C"/>
      <w:shd w:val="clear" w:color="auto" w:fill="E1DFDD"/>
    </w:rPr>
  </w:style>
  <w:style w:type="paragraph" w:styleId="PlainText">
    <w:name w:val="Plain Text"/>
    <w:basedOn w:val="Normal"/>
    <w:link w:val="PlainTextChar"/>
    <w:rsid w:val="00AE70F1"/>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AE70F1"/>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896473076">
      <w:bodyDiv w:val="1"/>
      <w:marLeft w:val="0"/>
      <w:marRight w:val="0"/>
      <w:marTop w:val="0"/>
      <w:marBottom w:val="0"/>
      <w:divBdr>
        <w:top w:val="none" w:sz="0" w:space="0" w:color="auto"/>
        <w:left w:val="none" w:sz="0" w:space="0" w:color="auto"/>
        <w:bottom w:val="none" w:sz="0" w:space="0" w:color="auto"/>
        <w:right w:val="none" w:sz="0" w:space="0" w:color="auto"/>
      </w:divBdr>
      <w:divsChild>
        <w:div w:id="846362941">
          <w:marLeft w:val="0"/>
          <w:marRight w:val="0"/>
          <w:marTop w:val="0"/>
          <w:marBottom w:val="0"/>
          <w:divBdr>
            <w:top w:val="none" w:sz="0" w:space="0" w:color="auto"/>
            <w:left w:val="none" w:sz="0" w:space="0" w:color="auto"/>
            <w:bottom w:val="none" w:sz="0" w:space="0" w:color="auto"/>
            <w:right w:val="none" w:sz="0" w:space="0" w:color="auto"/>
          </w:divBdr>
        </w:div>
      </w:divsChild>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618565850">
      <w:bodyDiv w:val="1"/>
      <w:marLeft w:val="0"/>
      <w:marRight w:val="0"/>
      <w:marTop w:val="0"/>
      <w:marBottom w:val="0"/>
      <w:divBdr>
        <w:top w:val="none" w:sz="0" w:space="0" w:color="auto"/>
        <w:left w:val="none" w:sz="0" w:space="0" w:color="auto"/>
        <w:bottom w:val="none" w:sz="0" w:space="0" w:color="auto"/>
        <w:right w:val="none" w:sz="0" w:space="0" w:color="auto"/>
      </w:divBdr>
      <w:divsChild>
        <w:div w:id="321395796">
          <w:marLeft w:val="0"/>
          <w:marRight w:val="0"/>
          <w:marTop w:val="0"/>
          <w:marBottom w:val="0"/>
          <w:divBdr>
            <w:top w:val="none" w:sz="0" w:space="0" w:color="auto"/>
            <w:left w:val="none" w:sz="0" w:space="0" w:color="auto"/>
            <w:bottom w:val="none" w:sz="0" w:space="0" w:color="auto"/>
            <w:right w:val="none" w:sz="0" w:space="0" w:color="auto"/>
          </w:divBdr>
        </w:div>
      </w:divsChild>
    </w:div>
    <w:div w:id="1619486190">
      <w:bodyDiv w:val="1"/>
      <w:marLeft w:val="0"/>
      <w:marRight w:val="0"/>
      <w:marTop w:val="0"/>
      <w:marBottom w:val="0"/>
      <w:divBdr>
        <w:top w:val="none" w:sz="0" w:space="0" w:color="auto"/>
        <w:left w:val="none" w:sz="0" w:space="0" w:color="auto"/>
        <w:bottom w:val="none" w:sz="0" w:space="0" w:color="auto"/>
        <w:right w:val="none" w:sz="0" w:space="0" w:color="auto"/>
      </w:divBdr>
      <w:divsChild>
        <w:div w:id="1689601818">
          <w:marLeft w:val="0"/>
          <w:marRight w:val="0"/>
          <w:marTop w:val="0"/>
          <w:marBottom w:val="0"/>
          <w:divBdr>
            <w:top w:val="none" w:sz="0" w:space="0" w:color="auto"/>
            <w:left w:val="none" w:sz="0" w:space="0" w:color="auto"/>
            <w:bottom w:val="none" w:sz="0" w:space="0" w:color="auto"/>
            <w:right w:val="none" w:sz="0" w:space="0" w:color="auto"/>
          </w:divBdr>
        </w:div>
      </w:divsChild>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C0E00D1B-7082-454B-81A3-C3157955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77949</Words>
  <Characters>444310</Characters>
  <Application>Microsoft Office Word</Application>
  <DocSecurity>0</DocSecurity>
  <Lines>3702</Lines>
  <Paragraphs>1042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521217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Microsoft Office</dc:creator>
  <cp:lastModifiedBy>Lian-Sheng Ma</cp:lastModifiedBy>
  <cp:revision>4</cp:revision>
  <dcterms:created xsi:type="dcterms:W3CDTF">2019-02-13T16:55:00Z</dcterms:created>
  <dcterms:modified xsi:type="dcterms:W3CDTF">2019-02-13T16:58:00Z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http://www.zotero.org/styles/nature</vt:lpwstr>
  </property>
  <property fmtid="{D5CDD505-2E9C-101B-9397-08002B2CF9AE}" pid="9" name="Mendeley Recent Style Name 3_1">
    <vt:lpwstr>Nature</vt:lpwstr>
  </property>
  <property fmtid="{D5CDD505-2E9C-101B-9397-08002B2CF9AE}" pid="10" name="Mendeley Recent Style Id 4_1">
    <vt:lpwstr>http://www.zotero.org/styles/nature-no-et-al</vt:lpwstr>
  </property>
  <property fmtid="{D5CDD505-2E9C-101B-9397-08002B2CF9AE}" pid="11" name="Mendeley Recent Style Name 4_1">
    <vt:lpwstr>Nature (no "et al.")</vt:lpwstr>
  </property>
  <property fmtid="{D5CDD505-2E9C-101B-9397-08002B2CF9AE}" pid="12" name="Mendeley Recent Style Id 5_1">
    <vt:lpwstr>http://www.zotero.org/styles/nature-publishing-group-vancouver</vt:lpwstr>
  </property>
  <property fmtid="{D5CDD505-2E9C-101B-9397-08002B2CF9AE}" pid="13" name="Mendeley Recent Style Name 5_1">
    <vt:lpwstr>Nature Publishing Group - Vancouver</vt:lpwstr>
  </property>
  <property fmtid="{D5CDD505-2E9C-101B-9397-08002B2CF9AE}" pid="14" name="Mendeley Recent Style Id 6_1">
    <vt:lpwstr>http://www.zotero.org/styles/surgical-endoscopy</vt:lpwstr>
  </property>
  <property fmtid="{D5CDD505-2E9C-101B-9397-08002B2CF9AE}" pid="15" name="Mendeley Recent Style Name 6_1">
    <vt:lpwstr>Surgical Endoscopy</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http://www.zotero.org/styles/world-journal-of-surgical-oncology</vt:lpwstr>
  </property>
  <property fmtid="{D5CDD505-2E9C-101B-9397-08002B2CF9AE}" pid="21" name="Mendeley Recent Style Name 9_1">
    <vt:lpwstr>World Journal of Surgical Oncology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