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A36" w:rsidRPr="00E4394E" w:rsidRDefault="000C16B1">
      <w:pPr>
        <w:adjustRightInd w:val="0"/>
        <w:snapToGrid w:val="0"/>
        <w:spacing w:line="360" w:lineRule="auto"/>
        <w:rPr>
          <w:b/>
          <w:sz w:val="24"/>
        </w:rPr>
      </w:pPr>
      <w:bookmarkStart w:id="0" w:name="OLE_LINK44"/>
      <w:bookmarkStart w:id="1" w:name="OLE_LINK42"/>
      <w:bookmarkStart w:id="2" w:name="OLE_LINK43"/>
      <w:bookmarkStart w:id="3" w:name="OLE_LINK49"/>
      <w:bookmarkStart w:id="4" w:name="OLE_LINK50"/>
      <w:bookmarkStart w:id="5" w:name="OLE_LINK38"/>
      <w:bookmarkStart w:id="6" w:name="OLE_LINK39"/>
      <w:r w:rsidRPr="00E4394E">
        <w:rPr>
          <w:rFonts w:eastAsia="Times New Roman"/>
          <w:b/>
          <w:sz w:val="24"/>
        </w:rPr>
        <w:t xml:space="preserve">Name of Journal: </w:t>
      </w:r>
      <w:r w:rsidRPr="00E4394E">
        <w:rPr>
          <w:rFonts w:eastAsia="Times New Roman"/>
          <w:b/>
          <w:i/>
          <w:sz w:val="24"/>
        </w:rPr>
        <w:t>World Journal of Clinical Cases</w:t>
      </w:r>
    </w:p>
    <w:p w:rsidR="007D7A36" w:rsidRPr="00E4394E" w:rsidRDefault="000C16B1">
      <w:pPr>
        <w:spacing w:line="360" w:lineRule="auto"/>
        <w:rPr>
          <w:rFonts w:eastAsia="Times New Roman"/>
          <w:b/>
          <w:i/>
          <w:sz w:val="24"/>
        </w:rPr>
      </w:pPr>
      <w:r w:rsidRPr="00E4394E">
        <w:rPr>
          <w:b/>
          <w:sz w:val="24"/>
        </w:rPr>
        <w:t>Manuscript NO: 45782</w:t>
      </w:r>
    </w:p>
    <w:p w:rsidR="007D7A36" w:rsidRPr="00E4394E" w:rsidRDefault="000C16B1">
      <w:pPr>
        <w:spacing w:line="360" w:lineRule="auto"/>
        <w:rPr>
          <w:rFonts w:eastAsia="幼圆"/>
          <w:b/>
          <w:i/>
          <w:sz w:val="24"/>
        </w:rPr>
      </w:pPr>
      <w:bookmarkStart w:id="7" w:name="OLE_LINK4"/>
      <w:r w:rsidRPr="00E4394E">
        <w:rPr>
          <w:b/>
          <w:sz w:val="24"/>
          <w:shd w:val="clear" w:color="auto" w:fill="FFFFFF"/>
        </w:rPr>
        <w:t>Manuscript Type</w:t>
      </w:r>
      <w:bookmarkEnd w:id="7"/>
      <w:r w:rsidRPr="00E4394E">
        <w:rPr>
          <w:b/>
          <w:kern w:val="0"/>
          <w:sz w:val="24"/>
        </w:rPr>
        <w:t>: ORIGINAL ARTICLE</w:t>
      </w:r>
    </w:p>
    <w:p w:rsidR="007D7A36" w:rsidRPr="00E4394E" w:rsidRDefault="007D7A36">
      <w:pPr>
        <w:adjustRightInd w:val="0"/>
        <w:snapToGrid w:val="0"/>
        <w:spacing w:line="360" w:lineRule="auto"/>
        <w:rPr>
          <w:b/>
          <w:sz w:val="24"/>
        </w:rPr>
      </w:pPr>
    </w:p>
    <w:p w:rsidR="007D7A36" w:rsidRPr="00E4394E" w:rsidRDefault="000C16B1">
      <w:pPr>
        <w:adjustRightInd w:val="0"/>
        <w:snapToGrid w:val="0"/>
        <w:spacing w:line="360" w:lineRule="auto"/>
        <w:rPr>
          <w:b/>
          <w:i/>
          <w:sz w:val="24"/>
        </w:rPr>
      </w:pPr>
      <w:r w:rsidRPr="00E4394E">
        <w:rPr>
          <w:rFonts w:eastAsia="幼圆"/>
          <w:b/>
          <w:i/>
          <w:sz w:val="24"/>
        </w:rPr>
        <w:t>Observational Study</w:t>
      </w:r>
    </w:p>
    <w:p w:rsidR="007D7A36" w:rsidRPr="00E4394E" w:rsidRDefault="000C16B1">
      <w:pPr>
        <w:adjustRightInd w:val="0"/>
        <w:snapToGrid w:val="0"/>
        <w:spacing w:line="360" w:lineRule="auto"/>
        <w:rPr>
          <w:b/>
          <w:sz w:val="24"/>
        </w:rPr>
      </w:pPr>
      <w:r w:rsidRPr="00E4394E">
        <w:rPr>
          <w:b/>
          <w:sz w:val="24"/>
        </w:rPr>
        <w:t xml:space="preserve">Value of superb micro-vascular imaging in predicting ischemic stroke in patients with carotid atherosclerotic </w:t>
      </w:r>
      <w:bookmarkStart w:id="8" w:name="OLE_LINK2"/>
      <w:bookmarkStart w:id="9" w:name="OLE_LINK1"/>
      <w:r w:rsidRPr="00E4394E">
        <w:rPr>
          <w:b/>
          <w:sz w:val="24"/>
        </w:rPr>
        <w:t>plaques</w:t>
      </w:r>
      <w:bookmarkEnd w:id="8"/>
      <w:bookmarkEnd w:id="9"/>
    </w:p>
    <w:p w:rsidR="007D7A36" w:rsidRPr="00E4394E" w:rsidRDefault="007D7A36">
      <w:pPr>
        <w:adjustRightInd w:val="0"/>
        <w:snapToGrid w:val="0"/>
        <w:spacing w:line="360" w:lineRule="auto"/>
        <w:rPr>
          <w:b/>
          <w:sz w:val="24"/>
        </w:rPr>
      </w:pPr>
    </w:p>
    <w:p w:rsidR="007D7A36" w:rsidRPr="00E4394E" w:rsidRDefault="000C16B1">
      <w:pPr>
        <w:adjustRightInd w:val="0"/>
        <w:snapToGrid w:val="0"/>
        <w:spacing w:line="360" w:lineRule="auto"/>
        <w:rPr>
          <w:sz w:val="24"/>
        </w:rPr>
      </w:pPr>
      <w:r w:rsidRPr="00E4394E">
        <w:rPr>
          <w:sz w:val="24"/>
        </w:rPr>
        <w:t xml:space="preserve">Yang DB </w:t>
      </w:r>
      <w:r w:rsidRPr="00E4394E">
        <w:rPr>
          <w:i/>
          <w:sz w:val="24"/>
        </w:rPr>
        <w:t>et al</w:t>
      </w:r>
      <w:r w:rsidRPr="00E4394E">
        <w:rPr>
          <w:sz w:val="24"/>
        </w:rPr>
        <w:t>. SMI evaluating carotid atherosclerotic plaques</w:t>
      </w:r>
    </w:p>
    <w:p w:rsidR="007D7A36" w:rsidRPr="00E4394E" w:rsidRDefault="007D7A36">
      <w:pPr>
        <w:adjustRightInd w:val="0"/>
        <w:snapToGrid w:val="0"/>
        <w:spacing w:line="360" w:lineRule="auto"/>
        <w:rPr>
          <w:sz w:val="24"/>
        </w:rPr>
      </w:pPr>
    </w:p>
    <w:p w:rsidR="007D7A36" w:rsidRPr="00E4394E" w:rsidRDefault="000C16B1">
      <w:pPr>
        <w:adjustRightInd w:val="0"/>
        <w:snapToGrid w:val="0"/>
        <w:spacing w:line="360" w:lineRule="auto"/>
        <w:rPr>
          <w:sz w:val="24"/>
          <w:vertAlign w:val="superscript"/>
        </w:rPr>
      </w:pPr>
      <w:r w:rsidRPr="00E4394E">
        <w:rPr>
          <w:sz w:val="24"/>
        </w:rPr>
        <w:t>De-Bin Yang, Jie Zhou, Lan Feng, Rong Xu, Ying-Chun Wang</w:t>
      </w:r>
    </w:p>
    <w:p w:rsidR="007D7A36" w:rsidRPr="00E4394E" w:rsidRDefault="007D7A36">
      <w:pPr>
        <w:adjustRightInd w:val="0"/>
        <w:snapToGrid w:val="0"/>
        <w:spacing w:line="360" w:lineRule="auto"/>
        <w:rPr>
          <w:sz w:val="24"/>
          <w:vertAlign w:val="superscript"/>
        </w:rPr>
      </w:pPr>
    </w:p>
    <w:p w:rsidR="007D7A36" w:rsidRPr="00E4394E" w:rsidRDefault="000C16B1">
      <w:pPr>
        <w:adjustRightInd w:val="0"/>
        <w:snapToGrid w:val="0"/>
        <w:spacing w:line="360" w:lineRule="auto"/>
        <w:rPr>
          <w:sz w:val="24"/>
        </w:rPr>
      </w:pPr>
      <w:r w:rsidRPr="00E4394E">
        <w:rPr>
          <w:b/>
          <w:sz w:val="24"/>
        </w:rPr>
        <w:t xml:space="preserve">De-Bin Yang, Jie Zhou, Lan Feng, Rong Xu, Ying-Chun Wang, </w:t>
      </w:r>
      <w:r w:rsidRPr="00E4394E">
        <w:rPr>
          <w:sz w:val="24"/>
        </w:rPr>
        <w:t xml:space="preserve">Department of Ultrasonic Imaging, Jiading District Central Hospital Affiliated Shanghai University of Medicine </w:t>
      </w:r>
      <w:r w:rsidRPr="00E4394E">
        <w:rPr>
          <w:rFonts w:hint="eastAsia"/>
          <w:sz w:val="24"/>
        </w:rPr>
        <w:t>&amp;</w:t>
      </w:r>
      <w:r w:rsidRPr="00E4394E">
        <w:rPr>
          <w:sz w:val="24"/>
        </w:rPr>
        <w:t xml:space="preserve"> Health Sciences, Shanghai 201800, China</w:t>
      </w:r>
    </w:p>
    <w:p w:rsidR="007D7A36" w:rsidRPr="00E4394E" w:rsidRDefault="007D7A36">
      <w:pPr>
        <w:adjustRightInd w:val="0"/>
        <w:snapToGrid w:val="0"/>
        <w:spacing w:line="360" w:lineRule="auto"/>
        <w:rPr>
          <w:sz w:val="24"/>
        </w:rPr>
      </w:pPr>
    </w:p>
    <w:p w:rsidR="007D7A36" w:rsidRPr="00E4394E" w:rsidRDefault="000C16B1">
      <w:pPr>
        <w:adjustRightInd w:val="0"/>
        <w:snapToGrid w:val="0"/>
        <w:spacing w:line="360" w:lineRule="auto"/>
        <w:rPr>
          <w:sz w:val="24"/>
          <w:vertAlign w:val="superscript"/>
        </w:rPr>
      </w:pPr>
      <w:r w:rsidRPr="00E4394E">
        <w:rPr>
          <w:b/>
          <w:bCs/>
          <w:sz w:val="24"/>
          <w:shd w:val="clear" w:color="auto" w:fill="FFFFFF"/>
        </w:rPr>
        <w:t>ORCID number</w:t>
      </w:r>
      <w:r w:rsidRPr="00E4394E">
        <w:rPr>
          <w:b/>
          <w:sz w:val="24"/>
        </w:rPr>
        <w:t>:</w:t>
      </w:r>
      <w:r w:rsidRPr="00E4394E">
        <w:rPr>
          <w:sz w:val="24"/>
        </w:rPr>
        <w:t xml:space="preserve"> De-Bin Yang (0000-0003-0119-636X); Jie Zhou (0000-0002-1297-1937); Lan Feng (0000-0001-1653-1539); Rong Xu (0000-0001-1384-1846); Ying-Chun Wang (0000-0002-1493-2357).</w:t>
      </w:r>
    </w:p>
    <w:p w:rsidR="007D7A36" w:rsidRPr="00E4394E" w:rsidRDefault="007D7A36">
      <w:pPr>
        <w:adjustRightInd w:val="0"/>
        <w:snapToGrid w:val="0"/>
        <w:spacing w:line="360" w:lineRule="auto"/>
        <w:rPr>
          <w:b/>
          <w:sz w:val="24"/>
        </w:rPr>
      </w:pPr>
    </w:p>
    <w:p w:rsidR="007D7A36" w:rsidRPr="00E4394E" w:rsidRDefault="000C16B1">
      <w:pPr>
        <w:adjustRightInd w:val="0"/>
        <w:snapToGrid w:val="0"/>
        <w:spacing w:line="360" w:lineRule="auto"/>
        <w:rPr>
          <w:sz w:val="24"/>
        </w:rPr>
      </w:pPr>
      <w:r w:rsidRPr="00E4394E">
        <w:rPr>
          <w:b/>
          <w:sz w:val="24"/>
        </w:rPr>
        <w:t xml:space="preserve">Author contributions: </w:t>
      </w:r>
      <w:r w:rsidRPr="00E4394E">
        <w:rPr>
          <w:sz w:val="24"/>
        </w:rPr>
        <w:t>Yang DB, Zhou J, Feng L, Xu R and Wang YC contributed to the manuscript design and manuscript writing; All authors approved the final version of the manuscript.</w:t>
      </w:r>
    </w:p>
    <w:p w:rsidR="007D7A36" w:rsidRPr="00E4394E" w:rsidRDefault="007D7A36">
      <w:pPr>
        <w:adjustRightInd w:val="0"/>
        <w:snapToGrid w:val="0"/>
        <w:spacing w:line="360" w:lineRule="auto"/>
        <w:rPr>
          <w:sz w:val="24"/>
        </w:rPr>
      </w:pPr>
    </w:p>
    <w:p w:rsidR="007D7A36" w:rsidRPr="00E4394E" w:rsidRDefault="000C16B1">
      <w:pPr>
        <w:adjustRightInd w:val="0"/>
        <w:snapToGrid w:val="0"/>
        <w:spacing w:line="360" w:lineRule="auto"/>
        <w:rPr>
          <w:sz w:val="24"/>
        </w:rPr>
      </w:pPr>
      <w:r w:rsidRPr="00E4394E">
        <w:rPr>
          <w:b/>
          <w:sz w:val="24"/>
        </w:rPr>
        <w:t>Supported by</w:t>
      </w:r>
      <w:r w:rsidRPr="00E4394E">
        <w:rPr>
          <w:sz w:val="24"/>
        </w:rPr>
        <w:t xml:space="preserve"> Shanghai Jiading District Health and Family Planning Commission Health Planning Commission Scientific Research Project, No. KYXM, 2015-KY-02.</w:t>
      </w:r>
    </w:p>
    <w:p w:rsidR="007D7A36" w:rsidRPr="00E4394E" w:rsidRDefault="007D7A36">
      <w:pPr>
        <w:adjustRightInd w:val="0"/>
        <w:snapToGrid w:val="0"/>
        <w:spacing w:line="360" w:lineRule="auto"/>
        <w:rPr>
          <w:sz w:val="24"/>
        </w:rPr>
      </w:pPr>
    </w:p>
    <w:p w:rsidR="007D7A36" w:rsidRPr="00E4394E" w:rsidRDefault="000C16B1">
      <w:pPr>
        <w:shd w:val="solid" w:color="FFFFFF" w:fill="auto"/>
        <w:autoSpaceDN w:val="0"/>
        <w:spacing w:line="360" w:lineRule="auto"/>
        <w:rPr>
          <w:iCs/>
          <w:sz w:val="24"/>
        </w:rPr>
      </w:pPr>
      <w:r w:rsidRPr="00E4394E">
        <w:rPr>
          <w:b/>
          <w:bCs/>
          <w:iCs/>
          <w:sz w:val="24"/>
        </w:rPr>
        <w:t xml:space="preserve">Institutional review board statement: </w:t>
      </w:r>
      <w:r w:rsidRPr="00E4394E">
        <w:rPr>
          <w:iCs/>
          <w:sz w:val="24"/>
        </w:rPr>
        <w:t xml:space="preserve">The study was approved by the ethics committee of Jiading District Central Hospital Affiliated Shanghai University of Medicine </w:t>
      </w:r>
      <w:r w:rsidRPr="00E4394E">
        <w:rPr>
          <w:rFonts w:hint="eastAsia"/>
          <w:iCs/>
          <w:sz w:val="24"/>
        </w:rPr>
        <w:t>&amp;</w:t>
      </w:r>
      <w:r w:rsidRPr="00E4394E">
        <w:rPr>
          <w:iCs/>
          <w:sz w:val="24"/>
        </w:rPr>
        <w:t xml:space="preserve"> Health Sciences.</w:t>
      </w:r>
    </w:p>
    <w:p w:rsidR="007D7A36" w:rsidRPr="00E4394E" w:rsidRDefault="007D7A36">
      <w:pPr>
        <w:shd w:val="solid" w:color="FFFFFF" w:fill="auto"/>
        <w:autoSpaceDN w:val="0"/>
        <w:spacing w:line="360" w:lineRule="auto"/>
        <w:rPr>
          <w:b/>
          <w:bCs/>
          <w:iCs/>
          <w:sz w:val="24"/>
        </w:rPr>
      </w:pPr>
    </w:p>
    <w:p w:rsidR="007D7A36" w:rsidRPr="00E4394E" w:rsidRDefault="000C16B1">
      <w:pPr>
        <w:shd w:val="solid" w:color="FFFFFF" w:fill="auto"/>
        <w:autoSpaceDN w:val="0"/>
        <w:spacing w:line="360" w:lineRule="auto"/>
        <w:rPr>
          <w:iCs/>
          <w:sz w:val="24"/>
        </w:rPr>
      </w:pPr>
      <w:r w:rsidRPr="00E4394E">
        <w:rPr>
          <w:b/>
          <w:bCs/>
          <w:iCs/>
          <w:sz w:val="24"/>
        </w:rPr>
        <w:t xml:space="preserve">Informed consent statement: </w:t>
      </w:r>
      <w:r w:rsidRPr="00E4394E">
        <w:rPr>
          <w:iCs/>
          <w:sz w:val="24"/>
        </w:rPr>
        <w:t>All patients gave informed consent.</w:t>
      </w:r>
    </w:p>
    <w:p w:rsidR="007D7A36" w:rsidRPr="00E4394E" w:rsidRDefault="007D7A36">
      <w:pPr>
        <w:shd w:val="solid" w:color="FFFFFF" w:fill="auto"/>
        <w:autoSpaceDN w:val="0"/>
        <w:spacing w:line="360" w:lineRule="auto"/>
        <w:rPr>
          <w:b/>
          <w:bCs/>
          <w:iCs/>
          <w:sz w:val="24"/>
        </w:rPr>
      </w:pPr>
    </w:p>
    <w:p w:rsidR="007D7A36" w:rsidRPr="00E4394E" w:rsidRDefault="000C16B1">
      <w:pPr>
        <w:shd w:val="solid" w:color="FFFFFF" w:fill="auto"/>
        <w:autoSpaceDN w:val="0"/>
        <w:spacing w:line="360" w:lineRule="auto"/>
        <w:rPr>
          <w:kern w:val="24"/>
          <w:sz w:val="24"/>
        </w:rPr>
      </w:pPr>
      <w:r w:rsidRPr="00E4394E">
        <w:rPr>
          <w:b/>
          <w:bCs/>
          <w:sz w:val="24"/>
        </w:rPr>
        <w:t>Conflict-of-interest statement</w:t>
      </w:r>
      <w:r w:rsidRPr="00E4394E">
        <w:rPr>
          <w:b/>
          <w:bCs/>
          <w:iCs/>
          <w:sz w:val="24"/>
        </w:rPr>
        <w:t xml:space="preserve">: </w:t>
      </w:r>
      <w:r w:rsidRPr="00E4394E">
        <w:rPr>
          <w:sz w:val="24"/>
        </w:rPr>
        <w:t>The authors declare that they have no competing interests.</w:t>
      </w:r>
    </w:p>
    <w:p w:rsidR="007D7A36" w:rsidRPr="00E4394E" w:rsidRDefault="007D7A36">
      <w:pPr>
        <w:spacing w:line="360" w:lineRule="auto"/>
        <w:rPr>
          <w:b/>
          <w:bCs/>
          <w:sz w:val="24"/>
        </w:rPr>
      </w:pPr>
    </w:p>
    <w:p w:rsidR="007D7A36" w:rsidRPr="00E4394E" w:rsidRDefault="000C16B1">
      <w:pPr>
        <w:autoSpaceDE w:val="0"/>
        <w:autoSpaceDN w:val="0"/>
        <w:adjustRightInd w:val="0"/>
        <w:snapToGrid w:val="0"/>
        <w:spacing w:line="360" w:lineRule="auto"/>
        <w:rPr>
          <w:iCs/>
          <w:sz w:val="24"/>
        </w:rPr>
      </w:pPr>
      <w:r w:rsidRPr="00E4394E">
        <w:rPr>
          <w:b/>
          <w:bCs/>
          <w:sz w:val="24"/>
        </w:rPr>
        <w:t>Data sharing statement</w:t>
      </w:r>
      <w:r w:rsidRPr="00E4394E">
        <w:rPr>
          <w:b/>
          <w:bCs/>
          <w:iCs/>
          <w:sz w:val="24"/>
        </w:rPr>
        <w:t>:</w:t>
      </w:r>
      <w:r w:rsidRPr="00E4394E">
        <w:rPr>
          <w:b/>
          <w:bCs/>
          <w:sz w:val="24"/>
        </w:rPr>
        <w:t xml:space="preserve"> </w:t>
      </w:r>
      <w:r w:rsidRPr="00E4394E">
        <w:rPr>
          <w:sz w:val="24"/>
        </w:rPr>
        <w:t>No additional data are available.</w:t>
      </w:r>
    </w:p>
    <w:p w:rsidR="007D7A36" w:rsidRPr="00E4394E" w:rsidRDefault="007D7A36">
      <w:pPr>
        <w:adjustRightInd w:val="0"/>
        <w:snapToGrid w:val="0"/>
        <w:spacing w:line="360" w:lineRule="auto"/>
        <w:rPr>
          <w:b/>
          <w:bCs/>
          <w:sz w:val="24"/>
        </w:rPr>
      </w:pPr>
    </w:p>
    <w:p w:rsidR="007D7A36" w:rsidRPr="00E4394E" w:rsidRDefault="000C16B1">
      <w:pPr>
        <w:spacing w:line="360" w:lineRule="auto"/>
        <w:rPr>
          <w:sz w:val="24"/>
          <w:shd w:val="clear" w:color="auto" w:fill="FFFFFF"/>
        </w:rPr>
      </w:pPr>
      <w:r w:rsidRPr="00E4394E">
        <w:rPr>
          <w:b/>
          <w:bCs/>
          <w:sz w:val="24"/>
        </w:rPr>
        <w:t xml:space="preserve">STROBE statement: </w:t>
      </w:r>
      <w:r w:rsidRPr="00E4394E">
        <w:rPr>
          <w:sz w:val="24"/>
          <w:shd w:val="clear" w:color="auto" w:fill="FFFFFF"/>
        </w:rPr>
        <w:t xml:space="preserve">The authors have read the </w:t>
      </w:r>
      <w:r w:rsidRPr="00E4394E">
        <w:rPr>
          <w:sz w:val="24"/>
        </w:rPr>
        <w:t>STROBE</w:t>
      </w:r>
      <w:r w:rsidRPr="00E4394E">
        <w:rPr>
          <w:sz w:val="24"/>
          <w:shd w:val="clear" w:color="auto" w:fill="FFFFFF"/>
        </w:rPr>
        <w:t xml:space="preserve"> Statement, and the manuscript was prepared and revised according to the STROBE Statement.</w:t>
      </w:r>
    </w:p>
    <w:p w:rsidR="007D7A36" w:rsidRPr="00E4394E" w:rsidRDefault="007D7A36">
      <w:pPr>
        <w:spacing w:line="360" w:lineRule="auto"/>
        <w:rPr>
          <w:sz w:val="24"/>
          <w:shd w:val="clear" w:color="auto" w:fill="FFFFFF"/>
        </w:rPr>
      </w:pPr>
    </w:p>
    <w:p w:rsidR="007D7A36" w:rsidRPr="00E4394E" w:rsidRDefault="000C16B1">
      <w:pPr>
        <w:spacing w:line="360" w:lineRule="auto"/>
        <w:rPr>
          <w:sz w:val="24"/>
        </w:rPr>
      </w:pPr>
      <w:r w:rsidRPr="00E4394E">
        <w:rPr>
          <w:b/>
          <w:sz w:val="24"/>
        </w:rPr>
        <w:t xml:space="preserve">Open-Access: </w:t>
      </w:r>
      <w:r w:rsidRPr="00E4394E">
        <w:rPr>
          <w:sz w:val="24"/>
        </w:rPr>
        <w:t>This article is an open-access article that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7D7A36" w:rsidRPr="00E4394E" w:rsidRDefault="007D7A36">
      <w:pPr>
        <w:adjustRightInd w:val="0"/>
        <w:snapToGrid w:val="0"/>
        <w:spacing w:line="360" w:lineRule="auto"/>
        <w:rPr>
          <w:sz w:val="24"/>
        </w:rPr>
      </w:pPr>
    </w:p>
    <w:p w:rsidR="007D7A36" w:rsidRPr="00E4394E" w:rsidRDefault="000C16B1">
      <w:pPr>
        <w:adjustRightInd w:val="0"/>
        <w:snapToGrid w:val="0"/>
        <w:spacing w:line="360" w:lineRule="auto"/>
        <w:rPr>
          <w:b/>
          <w:sz w:val="24"/>
        </w:rPr>
      </w:pPr>
      <w:r w:rsidRPr="00E4394E">
        <w:rPr>
          <w:b/>
          <w:sz w:val="24"/>
        </w:rPr>
        <w:t>Manuscript source:</w:t>
      </w:r>
      <w:r w:rsidRPr="00E4394E">
        <w:rPr>
          <w:sz w:val="24"/>
        </w:rPr>
        <w:t xml:space="preserve"> Unsolicited manuscript</w:t>
      </w:r>
    </w:p>
    <w:p w:rsidR="007D7A36" w:rsidRPr="00E4394E" w:rsidRDefault="007D7A36">
      <w:pPr>
        <w:adjustRightInd w:val="0"/>
        <w:snapToGrid w:val="0"/>
        <w:spacing w:line="360" w:lineRule="auto"/>
        <w:rPr>
          <w:sz w:val="24"/>
        </w:rPr>
      </w:pPr>
    </w:p>
    <w:p w:rsidR="007D7A36" w:rsidRPr="00E4394E" w:rsidRDefault="000C16B1">
      <w:pPr>
        <w:adjustRightInd w:val="0"/>
        <w:snapToGrid w:val="0"/>
        <w:spacing w:line="360" w:lineRule="auto"/>
        <w:rPr>
          <w:sz w:val="24"/>
        </w:rPr>
      </w:pPr>
      <w:r w:rsidRPr="00E4394E">
        <w:rPr>
          <w:b/>
          <w:sz w:val="24"/>
        </w:rPr>
        <w:t>Corresponding author:</w:t>
      </w:r>
      <w:r w:rsidRPr="00E4394E">
        <w:rPr>
          <w:sz w:val="24"/>
        </w:rPr>
        <w:t xml:space="preserve"> </w:t>
      </w:r>
      <w:r w:rsidRPr="00E4394E">
        <w:rPr>
          <w:b/>
          <w:sz w:val="24"/>
        </w:rPr>
        <w:t>Ying-Chun Wang, MD, Chief Doctor,</w:t>
      </w:r>
      <w:r w:rsidRPr="00E4394E">
        <w:rPr>
          <w:sz w:val="24"/>
        </w:rPr>
        <w:t xml:space="preserve"> Department of Ultrasonic Imaging, Jiading District Central Hospital Affiliated Shanghai University of Medicine </w:t>
      </w:r>
      <w:r w:rsidRPr="00E4394E">
        <w:rPr>
          <w:rFonts w:hint="eastAsia"/>
          <w:sz w:val="24"/>
        </w:rPr>
        <w:t>&amp;</w:t>
      </w:r>
      <w:r w:rsidRPr="00E4394E">
        <w:rPr>
          <w:sz w:val="24"/>
        </w:rPr>
        <w:t xml:space="preserve"> Health Sciences, No. 1 Chengbei Road, Shanghai 201800, China. </w:t>
      </w:r>
      <w:hyperlink r:id="rId6" w:history="1">
        <w:r w:rsidRPr="00E4394E">
          <w:rPr>
            <w:rStyle w:val="ac"/>
            <w:color w:val="auto"/>
            <w:sz w:val="24"/>
          </w:rPr>
          <w:t>wangyingchun4478@163.com</w:t>
        </w:r>
      </w:hyperlink>
    </w:p>
    <w:p w:rsidR="007D7A36" w:rsidRPr="00E4394E" w:rsidRDefault="000C16B1">
      <w:pPr>
        <w:autoSpaceDE w:val="0"/>
        <w:autoSpaceDN w:val="0"/>
        <w:adjustRightInd w:val="0"/>
        <w:spacing w:line="360" w:lineRule="auto"/>
        <w:rPr>
          <w:sz w:val="24"/>
        </w:rPr>
      </w:pPr>
      <w:r w:rsidRPr="00E4394E">
        <w:rPr>
          <w:b/>
          <w:sz w:val="24"/>
        </w:rPr>
        <w:t>Telephone:</w:t>
      </w:r>
      <w:r w:rsidRPr="00E4394E">
        <w:rPr>
          <w:sz w:val="24"/>
        </w:rPr>
        <w:t xml:space="preserve"> +86-21-67073318</w:t>
      </w:r>
    </w:p>
    <w:p w:rsidR="007D7A36" w:rsidRPr="00E4394E" w:rsidRDefault="007D7A36">
      <w:pPr>
        <w:autoSpaceDE w:val="0"/>
        <w:autoSpaceDN w:val="0"/>
        <w:adjustRightInd w:val="0"/>
        <w:spacing w:line="360" w:lineRule="auto"/>
        <w:rPr>
          <w:bCs/>
          <w:kern w:val="0"/>
          <w:sz w:val="24"/>
        </w:rPr>
      </w:pPr>
    </w:p>
    <w:p w:rsidR="007D7A36" w:rsidRPr="00E4394E" w:rsidRDefault="000C16B1">
      <w:pPr>
        <w:spacing w:line="360" w:lineRule="auto"/>
        <w:rPr>
          <w:b/>
          <w:sz w:val="24"/>
        </w:rPr>
      </w:pPr>
      <w:r w:rsidRPr="00E4394E">
        <w:rPr>
          <w:b/>
          <w:sz w:val="24"/>
        </w:rPr>
        <w:t xml:space="preserve">Received: </w:t>
      </w:r>
      <w:r w:rsidRPr="00E4394E">
        <w:rPr>
          <w:sz w:val="24"/>
        </w:rPr>
        <w:t>January 16, 2019</w:t>
      </w:r>
    </w:p>
    <w:p w:rsidR="007D7A36" w:rsidRPr="00E4394E" w:rsidRDefault="000C16B1">
      <w:pPr>
        <w:spacing w:line="360" w:lineRule="auto"/>
        <w:rPr>
          <w:b/>
          <w:sz w:val="24"/>
        </w:rPr>
      </w:pPr>
      <w:r w:rsidRPr="00E4394E">
        <w:rPr>
          <w:b/>
          <w:sz w:val="24"/>
        </w:rPr>
        <w:t xml:space="preserve">Peer-review started: </w:t>
      </w:r>
      <w:r w:rsidRPr="00E4394E">
        <w:rPr>
          <w:sz w:val="24"/>
        </w:rPr>
        <w:t>January 16, 2019</w:t>
      </w:r>
    </w:p>
    <w:p w:rsidR="007D7A36" w:rsidRPr="00E4394E" w:rsidRDefault="000C16B1">
      <w:pPr>
        <w:spacing w:line="360" w:lineRule="auto"/>
        <w:rPr>
          <w:b/>
          <w:sz w:val="24"/>
        </w:rPr>
      </w:pPr>
      <w:r w:rsidRPr="00E4394E">
        <w:rPr>
          <w:b/>
          <w:sz w:val="24"/>
        </w:rPr>
        <w:t xml:space="preserve">First decision: </w:t>
      </w:r>
      <w:r w:rsidRPr="00E4394E">
        <w:rPr>
          <w:sz w:val="24"/>
        </w:rPr>
        <w:t>March 10, 2019</w:t>
      </w:r>
    </w:p>
    <w:p w:rsidR="007D7A36" w:rsidRPr="00E4394E" w:rsidRDefault="000C16B1">
      <w:pPr>
        <w:spacing w:line="360" w:lineRule="auto"/>
        <w:rPr>
          <w:b/>
          <w:sz w:val="24"/>
        </w:rPr>
      </w:pPr>
      <w:r w:rsidRPr="00E4394E">
        <w:rPr>
          <w:b/>
          <w:sz w:val="24"/>
        </w:rPr>
        <w:t xml:space="preserve">Revised: </w:t>
      </w:r>
      <w:r w:rsidRPr="00E4394E">
        <w:rPr>
          <w:sz w:val="24"/>
        </w:rPr>
        <w:t>March 14, 2019</w:t>
      </w:r>
    </w:p>
    <w:p w:rsidR="007D7A36" w:rsidRPr="00E4394E" w:rsidRDefault="000C16B1">
      <w:pPr>
        <w:spacing w:line="360" w:lineRule="auto"/>
        <w:rPr>
          <w:b/>
          <w:sz w:val="24"/>
        </w:rPr>
      </w:pPr>
      <w:r w:rsidRPr="00E4394E">
        <w:rPr>
          <w:b/>
          <w:sz w:val="24"/>
        </w:rPr>
        <w:t>Accepted:</w:t>
      </w:r>
      <w:r w:rsidRPr="00E4394E">
        <w:rPr>
          <w:sz w:val="24"/>
        </w:rPr>
        <w:t xml:space="preserve"> </w:t>
      </w:r>
      <w:r w:rsidR="001528C1" w:rsidRPr="00E4394E">
        <w:rPr>
          <w:sz w:val="24"/>
        </w:rPr>
        <w:t>March 16, 2019</w:t>
      </w:r>
      <w:r w:rsidR="001528C1" w:rsidRPr="00E4394E">
        <w:rPr>
          <w:b/>
          <w:sz w:val="24"/>
        </w:rPr>
        <w:t xml:space="preserve"> </w:t>
      </w:r>
    </w:p>
    <w:p w:rsidR="007D7A36" w:rsidRPr="00E4394E" w:rsidRDefault="000C16B1" w:rsidP="001528C1">
      <w:pPr>
        <w:spacing w:line="360" w:lineRule="auto"/>
        <w:rPr>
          <w:b/>
          <w:sz w:val="24"/>
        </w:rPr>
      </w:pPr>
      <w:r w:rsidRPr="00E4394E">
        <w:rPr>
          <w:b/>
          <w:sz w:val="24"/>
        </w:rPr>
        <w:t>Article in press:</w:t>
      </w:r>
      <w:r w:rsidR="001528C1" w:rsidRPr="00E4394E">
        <w:rPr>
          <w:sz w:val="24"/>
        </w:rPr>
        <w:t xml:space="preserve"> March 16, 2019</w:t>
      </w:r>
    </w:p>
    <w:p w:rsidR="007D7A36" w:rsidRPr="00E4394E" w:rsidRDefault="000C16B1" w:rsidP="001528C1">
      <w:pPr>
        <w:spacing w:line="360" w:lineRule="auto"/>
        <w:rPr>
          <w:b/>
          <w:sz w:val="24"/>
        </w:rPr>
      </w:pPr>
      <w:r w:rsidRPr="00E4394E">
        <w:rPr>
          <w:b/>
          <w:sz w:val="24"/>
        </w:rPr>
        <w:t>Published online:</w:t>
      </w:r>
      <w:r w:rsidR="001528C1" w:rsidRPr="00E4394E">
        <w:rPr>
          <w:sz w:val="24"/>
        </w:rPr>
        <w:t xml:space="preserve"> </w:t>
      </w:r>
      <w:r w:rsidR="00D55187" w:rsidRPr="00E4394E">
        <w:rPr>
          <w:sz w:val="24"/>
        </w:rPr>
        <w:t xml:space="preserve">April 6, 2019  </w:t>
      </w:r>
    </w:p>
    <w:p w:rsidR="007D7A36" w:rsidRPr="00E4394E" w:rsidRDefault="000C16B1">
      <w:pPr>
        <w:adjustRightInd w:val="0"/>
        <w:snapToGrid w:val="0"/>
        <w:spacing w:line="360" w:lineRule="auto"/>
        <w:rPr>
          <w:sz w:val="24"/>
        </w:rPr>
      </w:pPr>
      <w:r w:rsidRPr="00E4394E">
        <w:rPr>
          <w:b/>
          <w:sz w:val="24"/>
        </w:rPr>
        <w:br w:type="page"/>
        <w:t>Abstract</w:t>
      </w:r>
    </w:p>
    <w:p w:rsidR="007D7A36" w:rsidRPr="00E4394E" w:rsidRDefault="000C16B1">
      <w:pPr>
        <w:adjustRightInd w:val="0"/>
        <w:snapToGrid w:val="0"/>
        <w:spacing w:line="360" w:lineRule="auto"/>
        <w:rPr>
          <w:b/>
          <w:i/>
          <w:sz w:val="24"/>
        </w:rPr>
      </w:pPr>
      <w:r w:rsidRPr="00E4394E">
        <w:rPr>
          <w:b/>
          <w:i/>
          <w:sz w:val="24"/>
        </w:rPr>
        <w:t>BACKGROUND</w:t>
      </w:r>
    </w:p>
    <w:p w:rsidR="007D7A36" w:rsidRPr="00E4394E" w:rsidRDefault="000C16B1">
      <w:pPr>
        <w:adjustRightInd w:val="0"/>
        <w:snapToGrid w:val="0"/>
        <w:spacing w:line="360" w:lineRule="auto"/>
        <w:rPr>
          <w:b/>
          <w:i/>
          <w:sz w:val="24"/>
        </w:rPr>
      </w:pPr>
      <w:r w:rsidRPr="00E4394E">
        <w:rPr>
          <w:bCs/>
          <w:iCs/>
          <w:sz w:val="24"/>
        </w:rPr>
        <w:t>Unstable carotid atherosclerotic plaques are prone to cause ischemic stroke. Contrast-enhanced ultrasound (CEUS) is the primary method of assessing plaque stability, but CEUS cannot be a method for screening for unstable plaque. The emergence of superb micro-vascular imaging (SMI) offers the possibility of clinically screening for unstable plaque</w:t>
      </w:r>
    </w:p>
    <w:p w:rsidR="007D7A36" w:rsidRPr="00E4394E" w:rsidRDefault="007D7A36">
      <w:pPr>
        <w:adjustRightInd w:val="0"/>
        <w:snapToGrid w:val="0"/>
        <w:spacing w:line="360" w:lineRule="auto"/>
        <w:rPr>
          <w:b/>
          <w:i/>
          <w:sz w:val="24"/>
        </w:rPr>
      </w:pPr>
    </w:p>
    <w:p w:rsidR="007D7A36" w:rsidRPr="00E4394E" w:rsidRDefault="000C16B1">
      <w:pPr>
        <w:adjustRightInd w:val="0"/>
        <w:snapToGrid w:val="0"/>
        <w:spacing w:line="360" w:lineRule="auto"/>
        <w:rPr>
          <w:sz w:val="24"/>
        </w:rPr>
      </w:pPr>
      <w:r w:rsidRPr="00E4394E">
        <w:rPr>
          <w:b/>
          <w:i/>
          <w:sz w:val="24"/>
        </w:rPr>
        <w:t>AIM</w:t>
      </w:r>
    </w:p>
    <w:p w:rsidR="007D7A36" w:rsidRPr="00E4394E" w:rsidRDefault="000C16B1">
      <w:pPr>
        <w:adjustRightInd w:val="0"/>
        <w:snapToGrid w:val="0"/>
        <w:spacing w:line="360" w:lineRule="auto"/>
        <w:rPr>
          <w:sz w:val="24"/>
        </w:rPr>
      </w:pPr>
      <w:r w:rsidRPr="00E4394E">
        <w:rPr>
          <w:sz w:val="24"/>
        </w:rPr>
        <w:t>To investigate the value of SMI in predicting ischemic stroke in patients with carotid atherosclerotic plaques.</w:t>
      </w:r>
    </w:p>
    <w:p w:rsidR="007D7A36" w:rsidRPr="00E4394E" w:rsidRDefault="007D7A36">
      <w:pPr>
        <w:adjustRightInd w:val="0"/>
        <w:snapToGrid w:val="0"/>
        <w:spacing w:line="360" w:lineRule="auto"/>
        <w:rPr>
          <w:b/>
          <w:i/>
          <w:sz w:val="24"/>
        </w:rPr>
      </w:pPr>
    </w:p>
    <w:p w:rsidR="007D7A36" w:rsidRPr="00E4394E" w:rsidRDefault="000C16B1">
      <w:pPr>
        <w:adjustRightInd w:val="0"/>
        <w:snapToGrid w:val="0"/>
        <w:spacing w:line="360" w:lineRule="auto"/>
        <w:rPr>
          <w:b/>
          <w:sz w:val="24"/>
        </w:rPr>
      </w:pPr>
      <w:r w:rsidRPr="00E4394E">
        <w:rPr>
          <w:b/>
          <w:i/>
          <w:sz w:val="24"/>
        </w:rPr>
        <w:t>METHODS</w:t>
      </w:r>
    </w:p>
    <w:p w:rsidR="007D7A36" w:rsidRPr="00E4394E" w:rsidRDefault="000C16B1">
      <w:pPr>
        <w:adjustRightInd w:val="0"/>
        <w:snapToGrid w:val="0"/>
        <w:spacing w:line="360" w:lineRule="auto"/>
        <w:rPr>
          <w:sz w:val="24"/>
        </w:rPr>
      </w:pPr>
      <w:r w:rsidRPr="00E4394E">
        <w:rPr>
          <w:sz w:val="24"/>
        </w:rPr>
        <w:t>Patients with carotid atherosclerotic plaques (luminal stenosis of 50%-70%) were enrolled into the present study. All patients received conservative medication. The patient's clinical baseline data, serological data, CEUS and SMI data were analyzed. All patients underwent a 3-year follow-up. The follow-up endpoint was the occurrence of ischemic stroke and patients were divided into stroke group and non-stroke group according to whether the prognosis occurred or not. Subsequently, the difference in clinical data was compared, the correlation of SMI and CEUS was analyzed, and multiple Cox regression and receiver operating characteristic curve were applied to investigate the value of SMI and CEUS in predicting cerebral arterial thrombosis in three years.</w:t>
      </w:r>
    </w:p>
    <w:p w:rsidR="007D7A36" w:rsidRPr="00E4394E" w:rsidRDefault="007D7A36">
      <w:pPr>
        <w:adjustRightInd w:val="0"/>
        <w:snapToGrid w:val="0"/>
        <w:spacing w:line="360" w:lineRule="auto"/>
        <w:rPr>
          <w:b/>
          <w:i/>
          <w:sz w:val="24"/>
        </w:rPr>
      </w:pPr>
    </w:p>
    <w:p w:rsidR="007D7A36" w:rsidRPr="00E4394E" w:rsidRDefault="000C16B1">
      <w:pPr>
        <w:adjustRightInd w:val="0"/>
        <w:snapToGrid w:val="0"/>
        <w:spacing w:line="360" w:lineRule="auto"/>
        <w:rPr>
          <w:b/>
          <w:i/>
          <w:sz w:val="24"/>
        </w:rPr>
      </w:pPr>
      <w:r w:rsidRPr="00E4394E">
        <w:rPr>
          <w:b/>
          <w:i/>
          <w:sz w:val="24"/>
        </w:rPr>
        <w:t>RESULTS</w:t>
      </w:r>
    </w:p>
    <w:p w:rsidR="007D7A36" w:rsidRPr="00E4394E" w:rsidRDefault="000C16B1">
      <w:pPr>
        <w:adjustRightInd w:val="0"/>
        <w:snapToGrid w:val="0"/>
        <w:spacing w:line="360" w:lineRule="auto"/>
        <w:rPr>
          <w:sz w:val="24"/>
        </w:rPr>
      </w:pPr>
      <w:r w:rsidRPr="00E4394E">
        <w:rPr>
          <w:sz w:val="24"/>
        </w:rPr>
        <w:t>In this study, 43 patients were enrolled in the stroke group and 82 patients were enrolled in the non-stroke group. Cox regression revealed that SMI level (</w:t>
      </w:r>
      <w:r w:rsidRPr="00E4394E">
        <w:rPr>
          <w:i/>
          <w:sz w:val="24"/>
        </w:rPr>
        <w:t xml:space="preserve">P </w:t>
      </w:r>
      <w:r w:rsidRPr="00E4394E">
        <w:rPr>
          <w:sz w:val="24"/>
        </w:rPr>
        <w:t>= 0.013) and enhancement intensity (</w:t>
      </w:r>
      <w:r w:rsidRPr="00E4394E">
        <w:rPr>
          <w:i/>
          <w:sz w:val="24"/>
        </w:rPr>
        <w:t xml:space="preserve">P </w:t>
      </w:r>
      <w:r w:rsidRPr="00E4394E">
        <w:rPr>
          <w:sz w:val="24"/>
        </w:rPr>
        <w:t>= 0.032) were the independent factors influencing ischemic stroke. There was a positive correlation between SMI level and enhancement intensity (</w:t>
      </w:r>
      <w:r w:rsidRPr="00E4394E">
        <w:rPr>
          <w:i/>
          <w:sz w:val="24"/>
        </w:rPr>
        <w:t>r</w:t>
      </w:r>
      <w:r w:rsidRPr="00E4394E">
        <w:rPr>
          <w:sz w:val="24"/>
        </w:rPr>
        <w:t xml:space="preserve"> = 0.737, </w:t>
      </w:r>
      <w:r w:rsidRPr="00E4394E">
        <w:rPr>
          <w:i/>
          <w:sz w:val="24"/>
        </w:rPr>
        <w:t xml:space="preserve">P </w:t>
      </w:r>
      <w:r w:rsidRPr="00E4394E">
        <w:rPr>
          <w:sz w:val="24"/>
        </w:rPr>
        <w:t>= 0.000). The area under curve of SMI level predicting ischemic stroke was 0.878. The best diagnostic point was ≥ level II, and its sensitivity and specificity was 86.05% and 79.27%. The area under curve of enhancement intensity predicting ischemic stroke was 0.890. The best diagnostic point was 9.92 db, and its sensitivity and specificity was 88.37% and 89.02%. As the SMI level gradually increased, the incidence of ischemic stroke increased gradually (</w:t>
      </w:r>
      <w:r w:rsidRPr="00E4394E">
        <w:rPr>
          <w:i/>
          <w:sz w:val="24"/>
        </w:rPr>
        <w:t>X</w:t>
      </w:r>
      <w:r w:rsidRPr="00E4394E">
        <w:rPr>
          <w:sz w:val="24"/>
          <w:vertAlign w:val="superscript"/>
        </w:rPr>
        <w:t>2</w:t>
      </w:r>
      <w:r w:rsidRPr="00E4394E">
        <w:rPr>
          <w:sz w:val="24"/>
        </w:rPr>
        <w:t xml:space="preserve"> = 108.931, </w:t>
      </w:r>
      <w:r w:rsidRPr="00E4394E">
        <w:rPr>
          <w:i/>
          <w:sz w:val="24"/>
        </w:rPr>
        <w:t>P</w:t>
      </w:r>
      <w:r w:rsidRPr="00E4394E">
        <w:rPr>
          <w:sz w:val="24"/>
        </w:rPr>
        <w:t xml:space="preserve"> = 0.000).</w:t>
      </w:r>
    </w:p>
    <w:p w:rsidR="007D7A36" w:rsidRPr="00E4394E" w:rsidRDefault="007D7A36">
      <w:pPr>
        <w:adjustRightInd w:val="0"/>
        <w:snapToGrid w:val="0"/>
        <w:spacing w:line="360" w:lineRule="auto"/>
        <w:rPr>
          <w:b/>
          <w:i/>
          <w:sz w:val="24"/>
        </w:rPr>
      </w:pPr>
    </w:p>
    <w:p w:rsidR="007D7A36" w:rsidRPr="00E4394E" w:rsidRDefault="000C16B1">
      <w:pPr>
        <w:adjustRightInd w:val="0"/>
        <w:snapToGrid w:val="0"/>
        <w:spacing w:line="360" w:lineRule="auto"/>
        <w:rPr>
          <w:b/>
          <w:i/>
          <w:sz w:val="24"/>
        </w:rPr>
      </w:pPr>
      <w:r w:rsidRPr="00E4394E">
        <w:rPr>
          <w:b/>
          <w:i/>
          <w:sz w:val="24"/>
        </w:rPr>
        <w:t>CONCLUSION</w:t>
      </w:r>
    </w:p>
    <w:p w:rsidR="007D7A36" w:rsidRPr="00E4394E" w:rsidRDefault="000C16B1">
      <w:pPr>
        <w:adjustRightInd w:val="0"/>
        <w:snapToGrid w:val="0"/>
        <w:spacing w:line="360" w:lineRule="auto"/>
        <w:rPr>
          <w:bCs/>
          <w:iCs/>
          <w:sz w:val="24"/>
        </w:rPr>
      </w:pPr>
      <w:r w:rsidRPr="00E4394E">
        <w:rPr>
          <w:bCs/>
          <w:iCs/>
          <w:sz w:val="24"/>
        </w:rPr>
        <w:t>SMI can be used as a non-invasive method of screening for unstable plaques and may help prevent ischemic stroke.</w:t>
      </w:r>
    </w:p>
    <w:p w:rsidR="007D7A36" w:rsidRPr="00E4394E" w:rsidRDefault="007D7A36">
      <w:pPr>
        <w:adjustRightInd w:val="0"/>
        <w:snapToGrid w:val="0"/>
        <w:spacing w:line="360" w:lineRule="auto"/>
        <w:rPr>
          <w:sz w:val="24"/>
        </w:rPr>
      </w:pPr>
    </w:p>
    <w:p w:rsidR="007D7A36" w:rsidRPr="00E4394E" w:rsidRDefault="000C16B1">
      <w:pPr>
        <w:adjustRightInd w:val="0"/>
        <w:snapToGrid w:val="0"/>
        <w:spacing w:line="360" w:lineRule="auto"/>
        <w:rPr>
          <w:sz w:val="24"/>
        </w:rPr>
      </w:pPr>
      <w:r w:rsidRPr="00E4394E">
        <w:rPr>
          <w:b/>
          <w:sz w:val="24"/>
        </w:rPr>
        <w:t>Key words:</w:t>
      </w:r>
      <w:r w:rsidRPr="00E4394E">
        <w:rPr>
          <w:sz w:val="24"/>
        </w:rPr>
        <w:t xml:space="preserve"> Superb micro-vascular imaging; Contrast-enhanced ultrasound; Carotid atherosclerotic </w:t>
      </w:r>
      <w:bookmarkStart w:id="10" w:name="OLE_LINK7"/>
      <w:bookmarkStart w:id="11" w:name="OLE_LINK8"/>
      <w:r w:rsidRPr="00E4394E">
        <w:rPr>
          <w:sz w:val="24"/>
        </w:rPr>
        <w:t>plaque</w:t>
      </w:r>
      <w:bookmarkEnd w:id="10"/>
      <w:bookmarkEnd w:id="11"/>
      <w:r w:rsidRPr="00E4394E">
        <w:rPr>
          <w:sz w:val="24"/>
        </w:rPr>
        <w:t xml:space="preserve">s; </w:t>
      </w:r>
      <w:bookmarkStart w:id="12" w:name="OLE_LINK11"/>
      <w:bookmarkStart w:id="13" w:name="OLE_LINK12"/>
      <w:r w:rsidRPr="00E4394E">
        <w:rPr>
          <w:sz w:val="24"/>
        </w:rPr>
        <w:t>Ischemic stroke</w:t>
      </w:r>
      <w:bookmarkEnd w:id="12"/>
      <w:bookmarkEnd w:id="13"/>
    </w:p>
    <w:p w:rsidR="007D7A36" w:rsidRPr="00E4394E" w:rsidRDefault="007D7A36">
      <w:pPr>
        <w:adjustRightInd w:val="0"/>
        <w:snapToGrid w:val="0"/>
        <w:spacing w:line="360" w:lineRule="auto"/>
        <w:rPr>
          <w:sz w:val="24"/>
        </w:rPr>
      </w:pPr>
    </w:p>
    <w:p w:rsidR="007D7A36" w:rsidRPr="00E4394E" w:rsidRDefault="000C16B1">
      <w:pPr>
        <w:adjustRightInd w:val="0"/>
        <w:snapToGrid w:val="0"/>
        <w:spacing w:line="360" w:lineRule="auto"/>
        <w:rPr>
          <w:sz w:val="24"/>
        </w:rPr>
      </w:pPr>
      <w:r w:rsidRPr="00E4394E">
        <w:rPr>
          <w:b/>
          <w:sz w:val="24"/>
        </w:rPr>
        <w:t>© The Author(s) 2019.</w:t>
      </w:r>
      <w:r w:rsidRPr="00E4394E">
        <w:rPr>
          <w:sz w:val="24"/>
        </w:rPr>
        <w:t xml:space="preserve"> Published by Baishideng Publishing Group Inc. All rights reserved.</w:t>
      </w:r>
    </w:p>
    <w:p w:rsidR="007D7A36" w:rsidRPr="00E4394E" w:rsidRDefault="007D7A36">
      <w:pPr>
        <w:adjustRightInd w:val="0"/>
        <w:snapToGrid w:val="0"/>
        <w:spacing w:line="360" w:lineRule="auto"/>
        <w:rPr>
          <w:sz w:val="24"/>
        </w:rPr>
      </w:pPr>
    </w:p>
    <w:p w:rsidR="007D7A36" w:rsidRPr="00E4394E" w:rsidRDefault="000C16B1">
      <w:pPr>
        <w:adjustRightInd w:val="0"/>
        <w:snapToGrid w:val="0"/>
        <w:spacing w:line="360" w:lineRule="auto"/>
        <w:rPr>
          <w:sz w:val="24"/>
        </w:rPr>
      </w:pPr>
      <w:r w:rsidRPr="00E4394E">
        <w:rPr>
          <w:b/>
          <w:bCs/>
          <w:sz w:val="24"/>
        </w:rPr>
        <w:t xml:space="preserve">Core tip: </w:t>
      </w:r>
      <w:r w:rsidRPr="00E4394E">
        <w:rPr>
          <w:sz w:val="24"/>
        </w:rPr>
        <w:t xml:space="preserve">Unstable carotid plaques are easily ruptured leading to the occurrence of ischemic stroke. </w:t>
      </w:r>
      <w:r w:rsidRPr="00E4394E">
        <w:rPr>
          <w:bCs/>
          <w:iCs/>
          <w:sz w:val="24"/>
        </w:rPr>
        <w:t xml:space="preserve">Contrast-enhanced ultrasound </w:t>
      </w:r>
      <w:r w:rsidRPr="00E4394E">
        <w:rPr>
          <w:sz w:val="24"/>
        </w:rPr>
        <w:t xml:space="preserve">is currently the primary means of assessing plaque stability, but it cannot be used for screening for unstable plaques. </w:t>
      </w:r>
      <w:r w:rsidRPr="00E4394E">
        <w:rPr>
          <w:bCs/>
          <w:iCs/>
          <w:sz w:val="24"/>
        </w:rPr>
        <w:t xml:space="preserve">Superb micro-vascular imaging </w:t>
      </w:r>
      <w:r w:rsidRPr="00E4394E">
        <w:rPr>
          <w:sz w:val="24"/>
        </w:rPr>
        <w:t xml:space="preserve">is able to check for low-speed blood flow in the plaque and is expected to be a screening tool for unstable plaques. This study found that </w:t>
      </w:r>
      <w:r w:rsidRPr="00E4394E">
        <w:rPr>
          <w:bCs/>
          <w:iCs/>
          <w:sz w:val="24"/>
        </w:rPr>
        <w:t>superb micro-vascular imaging</w:t>
      </w:r>
      <w:r w:rsidRPr="00E4394E">
        <w:rPr>
          <w:sz w:val="24"/>
        </w:rPr>
        <w:t xml:space="preserve"> shows promise in predicting ischemic stroke.</w:t>
      </w:r>
    </w:p>
    <w:p w:rsidR="007D7A36" w:rsidRPr="00E4394E" w:rsidRDefault="007D7A36">
      <w:pPr>
        <w:spacing w:line="360" w:lineRule="auto"/>
        <w:rPr>
          <w:sz w:val="24"/>
        </w:rPr>
      </w:pPr>
    </w:p>
    <w:p w:rsidR="003866A2" w:rsidRPr="00E4394E" w:rsidRDefault="003866A2" w:rsidP="003866A2">
      <w:pPr>
        <w:adjustRightInd w:val="0"/>
        <w:snapToGrid w:val="0"/>
        <w:spacing w:line="360" w:lineRule="auto"/>
        <w:rPr>
          <w:sz w:val="24"/>
        </w:rPr>
      </w:pPr>
      <w:r w:rsidRPr="00E4394E">
        <w:rPr>
          <w:b/>
          <w:sz w:val="24"/>
        </w:rPr>
        <w:t xml:space="preserve">Citation: </w:t>
      </w:r>
      <w:r w:rsidR="000C16B1" w:rsidRPr="00E4394E">
        <w:rPr>
          <w:sz w:val="24"/>
        </w:rPr>
        <w:t>Yang DB, Zhou J, Feng L, Xu R, Wang YC.</w:t>
      </w:r>
      <w:r w:rsidR="000C16B1" w:rsidRPr="00E4394E">
        <w:rPr>
          <w:sz w:val="24"/>
          <w:vertAlign w:val="superscript"/>
        </w:rPr>
        <w:t xml:space="preserve"> </w:t>
      </w:r>
      <w:r w:rsidR="000C16B1" w:rsidRPr="00E4394E">
        <w:rPr>
          <w:sz w:val="24"/>
        </w:rPr>
        <w:t>Value of superb micro-vascular imaging in predicting ischemic stroke in patients with carotid atherosclerotic plaques.</w:t>
      </w:r>
      <w:r w:rsidR="000C16B1" w:rsidRPr="00E4394E">
        <w:rPr>
          <w:i/>
          <w:sz w:val="24"/>
        </w:rPr>
        <w:t xml:space="preserve"> World J Clin Cases</w:t>
      </w:r>
      <w:r w:rsidR="000C16B1" w:rsidRPr="00E4394E">
        <w:rPr>
          <w:sz w:val="24"/>
        </w:rPr>
        <w:t xml:space="preserve"> </w:t>
      </w:r>
      <w:r w:rsidRPr="00E4394E">
        <w:rPr>
          <w:sz w:val="24"/>
        </w:rPr>
        <w:t xml:space="preserve">2019; 7(7): 839-848 </w:t>
      </w:r>
    </w:p>
    <w:p w:rsidR="003866A2" w:rsidRPr="00E4394E" w:rsidRDefault="003866A2" w:rsidP="003866A2">
      <w:pPr>
        <w:adjustRightInd w:val="0"/>
        <w:snapToGrid w:val="0"/>
        <w:spacing w:line="360" w:lineRule="auto"/>
        <w:rPr>
          <w:sz w:val="24"/>
        </w:rPr>
      </w:pPr>
      <w:r w:rsidRPr="00E4394E">
        <w:rPr>
          <w:b/>
          <w:sz w:val="24"/>
        </w:rPr>
        <w:t>URL:</w:t>
      </w:r>
      <w:r w:rsidRPr="00E4394E">
        <w:rPr>
          <w:sz w:val="24"/>
        </w:rPr>
        <w:t xml:space="preserve"> https://www.wjgnet.com/2307-8960/full/v7/i7/839.htm  </w:t>
      </w:r>
    </w:p>
    <w:p w:rsidR="007D7A36" w:rsidRPr="00E4394E" w:rsidRDefault="003866A2" w:rsidP="003866A2">
      <w:pPr>
        <w:adjustRightInd w:val="0"/>
        <w:snapToGrid w:val="0"/>
        <w:spacing w:line="360" w:lineRule="auto"/>
        <w:rPr>
          <w:sz w:val="24"/>
          <w:vertAlign w:val="superscript"/>
        </w:rPr>
      </w:pPr>
      <w:r w:rsidRPr="00E4394E">
        <w:rPr>
          <w:b/>
          <w:sz w:val="24"/>
        </w:rPr>
        <w:t xml:space="preserve">DOI: </w:t>
      </w:r>
      <w:r w:rsidRPr="00E4394E">
        <w:rPr>
          <w:sz w:val="24"/>
        </w:rPr>
        <w:t>https://dx.doi.org/10.12998/wjcc.v7.i7.839</w:t>
      </w:r>
    </w:p>
    <w:p w:rsidR="007D7A36" w:rsidRPr="00E4394E" w:rsidRDefault="007D7A36">
      <w:pPr>
        <w:adjustRightInd w:val="0"/>
        <w:snapToGrid w:val="0"/>
        <w:spacing w:line="360" w:lineRule="auto"/>
        <w:rPr>
          <w:kern w:val="0"/>
          <w:sz w:val="24"/>
        </w:rPr>
      </w:pPr>
    </w:p>
    <w:p w:rsidR="007D7A36" w:rsidRPr="00E4394E" w:rsidRDefault="000C16B1">
      <w:pPr>
        <w:adjustRightInd w:val="0"/>
        <w:snapToGrid w:val="0"/>
        <w:spacing w:line="360" w:lineRule="auto"/>
        <w:rPr>
          <w:kern w:val="0"/>
          <w:sz w:val="24"/>
        </w:rPr>
      </w:pPr>
      <w:r w:rsidRPr="00E4394E">
        <w:rPr>
          <w:b/>
          <w:sz w:val="24"/>
        </w:rPr>
        <w:br w:type="page"/>
        <w:t>INTRODUCTION</w:t>
      </w:r>
    </w:p>
    <w:p w:rsidR="007D7A36" w:rsidRPr="00E4394E" w:rsidRDefault="000C16B1">
      <w:pPr>
        <w:tabs>
          <w:tab w:val="left" w:pos="-3780"/>
        </w:tabs>
        <w:adjustRightInd w:val="0"/>
        <w:snapToGrid w:val="0"/>
        <w:spacing w:line="360" w:lineRule="auto"/>
        <w:rPr>
          <w:sz w:val="24"/>
        </w:rPr>
      </w:pPr>
      <w:r w:rsidRPr="00E4394E">
        <w:rPr>
          <w:sz w:val="24"/>
        </w:rPr>
        <w:t>Effective preventive measures are important ways to prevent ischemic stroke</w:t>
      </w:r>
      <w:r w:rsidRPr="00E4394E">
        <w:rPr>
          <w:sz w:val="24"/>
          <w:vertAlign w:val="superscript"/>
        </w:rPr>
        <w:t>[1,2]</w:t>
      </w:r>
      <w:r w:rsidRPr="00E4394E">
        <w:rPr>
          <w:sz w:val="24"/>
        </w:rPr>
        <w:t>. Studies have revealed that carotid atherosclerotic plaque is an independent risk factor for ischemic stroke</w:t>
      </w:r>
      <w:r w:rsidRPr="00E4394E">
        <w:rPr>
          <w:sz w:val="24"/>
          <w:vertAlign w:val="superscript"/>
        </w:rPr>
        <w:t>[3,4]</w:t>
      </w:r>
      <w:r w:rsidRPr="00E4394E">
        <w:rPr>
          <w:sz w:val="24"/>
        </w:rPr>
        <w:t>. Carotid plaques cause stenosis of the lumen, and unstable plaques are also prone to rupture and to form thrombi</w:t>
      </w:r>
      <w:r w:rsidRPr="00E4394E">
        <w:rPr>
          <w:sz w:val="24"/>
          <w:vertAlign w:val="superscript"/>
        </w:rPr>
        <w:t>[5,6]</w:t>
      </w:r>
      <w:r w:rsidRPr="00E4394E">
        <w:rPr>
          <w:sz w:val="24"/>
        </w:rPr>
        <w:t>. Thrombosis can block distal intracranial blood vessels leading to ischemic stroke</w:t>
      </w:r>
      <w:r w:rsidRPr="00E4394E">
        <w:rPr>
          <w:sz w:val="24"/>
          <w:vertAlign w:val="superscript"/>
        </w:rPr>
        <w:t>[7,8]</w:t>
      </w:r>
      <w:r w:rsidRPr="00E4394E">
        <w:rPr>
          <w:sz w:val="24"/>
        </w:rPr>
        <w:t>. Researchers have found that neovascularization in the plaque is closely related to the stability of a plaque</w:t>
      </w:r>
      <w:r w:rsidRPr="00E4394E">
        <w:rPr>
          <w:sz w:val="24"/>
          <w:vertAlign w:val="superscript"/>
        </w:rPr>
        <w:t>[9]</w:t>
      </w:r>
      <w:r w:rsidRPr="00E4394E">
        <w:rPr>
          <w:sz w:val="24"/>
        </w:rPr>
        <w:t>. Contrast-enhanced ultrasound (CEUS) can sensitively detect neovascularization in the plaque and then determine the stability of the plaque. It is currently the main clinical detection method for assessing plaque stability</w:t>
      </w:r>
      <w:r w:rsidRPr="00E4394E">
        <w:rPr>
          <w:sz w:val="24"/>
          <w:vertAlign w:val="superscript"/>
        </w:rPr>
        <w:t>[10,11]</w:t>
      </w:r>
      <w:r w:rsidRPr="00E4394E">
        <w:rPr>
          <w:sz w:val="24"/>
        </w:rPr>
        <w:t>. However, patients must be injected with contrast agents to perform CEUS, which requires the assistance of a nurse. The operation is more complicated than conventional ultrasound examination and requires more examination time. Therefore, it cannot be a method for screening unstable plaques. With the development of new ultrasound technology, the emergence of superb micro-vascular imaging (SMI) provides a more sensitive method in detecting low-velocity blood flow than color Doppler, providing the possibility of clinical screening for unstable plaques</w:t>
      </w:r>
      <w:r w:rsidRPr="00E4394E">
        <w:rPr>
          <w:sz w:val="24"/>
          <w:vertAlign w:val="superscript"/>
        </w:rPr>
        <w:t>[12,13]</w:t>
      </w:r>
      <w:r w:rsidRPr="00E4394E">
        <w:rPr>
          <w:sz w:val="24"/>
        </w:rPr>
        <w:t>. Therefore, the present study compared the accuracy of SMI and CEUS in predicting ischemic stroke and explored the potential value of SMI in predicting ischemic stroke.</w:t>
      </w:r>
    </w:p>
    <w:p w:rsidR="007D7A36" w:rsidRPr="00E4394E" w:rsidRDefault="007D7A36">
      <w:pPr>
        <w:tabs>
          <w:tab w:val="left" w:pos="-3780"/>
        </w:tabs>
        <w:adjustRightInd w:val="0"/>
        <w:snapToGrid w:val="0"/>
        <w:spacing w:line="360" w:lineRule="auto"/>
        <w:ind w:firstLine="480"/>
        <w:rPr>
          <w:sz w:val="24"/>
        </w:rPr>
      </w:pPr>
    </w:p>
    <w:p w:rsidR="007D7A36" w:rsidRPr="00E4394E" w:rsidRDefault="000C16B1">
      <w:pPr>
        <w:spacing w:line="360" w:lineRule="auto"/>
        <w:rPr>
          <w:b/>
          <w:sz w:val="24"/>
        </w:rPr>
      </w:pPr>
      <w:r w:rsidRPr="00E4394E">
        <w:rPr>
          <w:b/>
          <w:sz w:val="24"/>
        </w:rPr>
        <w:t>MATERIALS AND METHODS</w:t>
      </w:r>
    </w:p>
    <w:p w:rsidR="007D7A36" w:rsidRPr="00E4394E" w:rsidRDefault="000C16B1">
      <w:pPr>
        <w:spacing w:line="360" w:lineRule="auto"/>
        <w:rPr>
          <w:b/>
          <w:bCs/>
          <w:i/>
          <w:sz w:val="24"/>
        </w:rPr>
      </w:pPr>
      <w:r w:rsidRPr="00E4394E">
        <w:rPr>
          <w:b/>
          <w:bCs/>
          <w:i/>
          <w:sz w:val="24"/>
        </w:rPr>
        <w:t>Study object</w:t>
      </w:r>
    </w:p>
    <w:p w:rsidR="007D7A36" w:rsidRPr="00E4394E" w:rsidRDefault="000C16B1">
      <w:pPr>
        <w:spacing w:line="360" w:lineRule="auto"/>
        <w:rPr>
          <w:bCs/>
          <w:sz w:val="24"/>
        </w:rPr>
      </w:pPr>
      <w:r w:rsidRPr="00E4394E">
        <w:rPr>
          <w:bCs/>
          <w:sz w:val="24"/>
        </w:rPr>
        <w:t xml:space="preserve">Carotid atherosclerosis patients with a lumen area stenosis of 50%-70% who were confirmed by conventional X-ray angiography in Jiading District Central Hospital Affiliated Shanghai University of Medicine </w:t>
      </w:r>
      <w:r w:rsidRPr="00E4394E">
        <w:rPr>
          <w:rFonts w:hint="eastAsia"/>
          <w:bCs/>
          <w:sz w:val="24"/>
        </w:rPr>
        <w:t>&amp;</w:t>
      </w:r>
      <w:r w:rsidRPr="00E4394E">
        <w:rPr>
          <w:bCs/>
          <w:sz w:val="24"/>
        </w:rPr>
        <w:t xml:space="preserve"> Health Sciences from March 2013 to March 2015 were recruited. These patients underwent carotid ultrasound and at least one side of carotid atherosclerotic plaque was confirmed. In total, 130 patients with complete clinical data were included in the study. Patients with hemorrhagic stroke, brain trauma, poisoning, post-epileptic state, hypertensive encephalopathy, abnormal blood glucose, encephalitis and vital organ function were excluded. All patients provided informed consent, and the study was supported by the Ethics Committee of Jiading District Central Hospital Affiliated Shanghai University of Medicine </w:t>
      </w:r>
      <w:r w:rsidRPr="00E4394E">
        <w:rPr>
          <w:rFonts w:hint="eastAsia"/>
          <w:bCs/>
          <w:sz w:val="24"/>
        </w:rPr>
        <w:t>&amp;</w:t>
      </w:r>
      <w:r w:rsidRPr="00E4394E">
        <w:rPr>
          <w:bCs/>
          <w:sz w:val="24"/>
        </w:rPr>
        <w:t xml:space="preserve"> Health Sciences.</w:t>
      </w:r>
    </w:p>
    <w:p w:rsidR="007D7A36" w:rsidRPr="00E4394E" w:rsidRDefault="007D7A36">
      <w:pPr>
        <w:spacing w:line="360" w:lineRule="auto"/>
        <w:rPr>
          <w:bCs/>
          <w:sz w:val="24"/>
        </w:rPr>
      </w:pPr>
    </w:p>
    <w:p w:rsidR="007D7A36" w:rsidRPr="00E4394E" w:rsidRDefault="000C16B1">
      <w:pPr>
        <w:spacing w:line="360" w:lineRule="auto"/>
        <w:rPr>
          <w:b/>
          <w:bCs/>
          <w:i/>
          <w:sz w:val="24"/>
        </w:rPr>
      </w:pPr>
      <w:r w:rsidRPr="00E4394E">
        <w:rPr>
          <w:b/>
          <w:bCs/>
          <w:i/>
          <w:sz w:val="24"/>
        </w:rPr>
        <w:t>Research methods</w:t>
      </w:r>
    </w:p>
    <w:p w:rsidR="007D7A36" w:rsidRPr="00E4394E" w:rsidRDefault="000C16B1">
      <w:pPr>
        <w:spacing w:line="360" w:lineRule="auto"/>
        <w:rPr>
          <w:sz w:val="24"/>
        </w:rPr>
      </w:pPr>
      <w:r w:rsidRPr="00E4394E">
        <w:rPr>
          <w:b/>
          <w:sz w:val="24"/>
        </w:rPr>
        <w:t xml:space="preserve">Clinical data records: </w:t>
      </w:r>
      <w:r w:rsidRPr="00E4394E">
        <w:rPr>
          <w:sz w:val="24"/>
        </w:rPr>
        <w:t>The clinical data of each patient, including age, gender, blood lipid index (cholesterol, triglyceride, high-density lipoprotein, low-density lipoprotein, lipoprotein a), smoking history, diabetes history, hypertension history, and high-sensitivity C-reactive protein, were recorded.</w:t>
      </w:r>
    </w:p>
    <w:p w:rsidR="007D7A36" w:rsidRPr="00E4394E" w:rsidRDefault="007D7A36">
      <w:pPr>
        <w:spacing w:line="360" w:lineRule="auto"/>
        <w:rPr>
          <w:sz w:val="24"/>
        </w:rPr>
      </w:pPr>
    </w:p>
    <w:p w:rsidR="007D7A36" w:rsidRPr="00E4394E" w:rsidRDefault="000C16B1">
      <w:pPr>
        <w:spacing w:line="360" w:lineRule="auto"/>
        <w:rPr>
          <w:sz w:val="24"/>
        </w:rPr>
      </w:pPr>
      <w:r w:rsidRPr="00E4394E">
        <w:rPr>
          <w:b/>
          <w:sz w:val="24"/>
        </w:rPr>
        <w:t xml:space="preserve">Ultrasound examination: </w:t>
      </w:r>
      <w:r w:rsidRPr="00E4394E">
        <w:rPr>
          <w:sz w:val="24"/>
        </w:rPr>
        <w:t>Toshiba Aplio500 ultrasound (PLT-1005BT linear array probe, 5-10 MHz) equipped with SMI imaging software was used in the present study. GE Logiq E8 ultrasound (9L4 probe, 4-9 MHz) equipped with ultrasound contrast imaging was also used in the present study. The patient was placed in a supine position with the head biased to the opposite side, and the neck was fully exposed. The carotid artery was continuously scanned longitudinally and laterally to observe the presence of plaque and plaque echo. The position, length and thickness of the target plaque were recorded. If the patient had multiple plaques, then the thickest hypoechoic or mixed echo plaques were selected as the target plaque.</w:t>
      </w:r>
    </w:p>
    <w:p w:rsidR="007D7A36" w:rsidRPr="00E4394E" w:rsidRDefault="007D7A36">
      <w:pPr>
        <w:spacing w:line="360" w:lineRule="auto"/>
        <w:rPr>
          <w:sz w:val="24"/>
        </w:rPr>
      </w:pPr>
    </w:p>
    <w:p w:rsidR="007D7A36" w:rsidRPr="00E4394E" w:rsidRDefault="000C16B1">
      <w:pPr>
        <w:spacing w:line="360" w:lineRule="auto"/>
        <w:rPr>
          <w:sz w:val="24"/>
        </w:rPr>
      </w:pPr>
      <w:r w:rsidRPr="00E4394E">
        <w:rPr>
          <w:b/>
          <w:sz w:val="24"/>
        </w:rPr>
        <w:t>SMI examination:</w:t>
      </w:r>
      <w:r w:rsidRPr="00E4394E">
        <w:rPr>
          <w:sz w:val="24"/>
        </w:rPr>
        <w:t xml:space="preserve"> After clearly displaying the two-dimensional ultrasound image of the plaque, the patient was instructed to continue to breathe calmly. The target plaque was observed using the transverse and longitudinal sections of the SMI imaging mode. The video of the target plaque was recorded. After the scan was finished, the video was played back and was observed whether there were new blood vessels in the plaque. The blood vessels in the plaque were categorized as follows</w:t>
      </w:r>
      <w:r w:rsidRPr="00E4394E">
        <w:rPr>
          <w:sz w:val="24"/>
          <w:vertAlign w:val="superscript"/>
        </w:rPr>
        <w:t>[14]</w:t>
      </w:r>
      <w:r w:rsidRPr="00E4394E">
        <w:rPr>
          <w:sz w:val="24"/>
        </w:rPr>
        <w:t>: level 0: no blood flow signal is found in the plaque; level I: one or several dot blood vessels were found in the plaque; level II: dot blood vessels and 1-2 linear blood vessels are found; and level III: Multiple linear blood vessels are visible in the plaque, and most of them penetrate the plaque.</w:t>
      </w:r>
    </w:p>
    <w:p w:rsidR="007D7A36" w:rsidRPr="00E4394E" w:rsidRDefault="007D7A36">
      <w:pPr>
        <w:spacing w:line="360" w:lineRule="auto"/>
        <w:rPr>
          <w:sz w:val="24"/>
        </w:rPr>
      </w:pPr>
    </w:p>
    <w:p w:rsidR="007D7A36" w:rsidRPr="00E4394E" w:rsidRDefault="000C16B1">
      <w:pPr>
        <w:spacing w:line="360" w:lineRule="auto"/>
        <w:rPr>
          <w:sz w:val="24"/>
        </w:rPr>
      </w:pPr>
      <w:r w:rsidRPr="00E4394E">
        <w:rPr>
          <w:b/>
          <w:sz w:val="24"/>
        </w:rPr>
        <w:t>CEUS examination:</w:t>
      </w:r>
      <w:r w:rsidRPr="00E4394E">
        <w:rPr>
          <w:sz w:val="24"/>
        </w:rPr>
        <w:t xml:space="preserve"> Sonovue microbubble contrast agent (Bracco, Italy) and 5 mL of physiological saline were used to prepare a suspension. The truncated median vein was punctured and injected with 2.0 mL of contrast agent. After the injection, 5 mL of physiological saline was injected immediately, and the contrast mode was started. The enhancement of the plaque was observed, and the video was retained for later analysis. The contrast video was played back and the contrast perfusion of the plaque was observed. The image was analyzed by contrast analysis software, and the region of interest was manually drawn. The time-intensity curve was plotted to obtain the contrast parameters: time-to-peak and plaque enhancement intensity (EI)</w:t>
      </w:r>
      <w:r w:rsidRPr="00E4394E">
        <w:rPr>
          <w:sz w:val="24"/>
          <w:vertAlign w:val="superscript"/>
        </w:rPr>
        <w:t>[15,16]</w:t>
      </w:r>
      <w:r w:rsidRPr="00E4394E">
        <w:rPr>
          <w:sz w:val="24"/>
        </w:rPr>
        <w:t>.</w:t>
      </w:r>
    </w:p>
    <w:p w:rsidR="007D7A36" w:rsidRPr="00E4394E" w:rsidRDefault="007D7A36">
      <w:pPr>
        <w:spacing w:line="360" w:lineRule="auto"/>
        <w:rPr>
          <w:sz w:val="24"/>
        </w:rPr>
      </w:pPr>
    </w:p>
    <w:p w:rsidR="007D7A36" w:rsidRPr="00E4394E" w:rsidRDefault="000C16B1">
      <w:pPr>
        <w:spacing w:line="360" w:lineRule="auto"/>
        <w:rPr>
          <w:b/>
          <w:i/>
          <w:sz w:val="24"/>
        </w:rPr>
      </w:pPr>
      <w:r w:rsidRPr="00E4394E">
        <w:rPr>
          <w:b/>
          <w:i/>
          <w:sz w:val="24"/>
        </w:rPr>
        <w:t>Patient follow-up and grouping</w:t>
      </w:r>
    </w:p>
    <w:p w:rsidR="007D7A36" w:rsidRPr="00E4394E" w:rsidRDefault="000C16B1">
      <w:pPr>
        <w:spacing w:line="360" w:lineRule="auto"/>
        <w:rPr>
          <w:sz w:val="24"/>
        </w:rPr>
      </w:pPr>
      <w:r w:rsidRPr="00E4394E">
        <w:rPr>
          <w:sz w:val="24"/>
        </w:rPr>
        <w:t>A total of 130 patients who participated in the study were followed up for 3 years. The first follow-up was performed at 3 mo after the end of treatment. Subsequently, follow-up was performed every 6 mo by phone. The endpoint was defined as ischemic stroke occurring during patient follow-up. Patients’ refusal, midway exit, and accidental death were defined as loss of follow-up. Based on the follow-up results, patients with endpoint events were defined as the stroke group and the remaining patients were defined as the non-stroke groups. The baseline data, imaging parameters, blood lipids (cholesterol, triglyceride, high-density lipoprotein, low-density lipoprotein, lipoprotein a), high-sensitivity C-reactive protein, smoking history, diabetes history, hypertension history, SMI and CEUS diagnostic parameters were analyzed.</w:t>
      </w:r>
    </w:p>
    <w:p w:rsidR="007D7A36" w:rsidRPr="00E4394E" w:rsidRDefault="007D7A36">
      <w:pPr>
        <w:spacing w:line="360" w:lineRule="auto"/>
        <w:rPr>
          <w:b/>
          <w:i/>
          <w:sz w:val="24"/>
        </w:rPr>
      </w:pPr>
    </w:p>
    <w:p w:rsidR="007D7A36" w:rsidRPr="00E4394E" w:rsidRDefault="000C16B1">
      <w:pPr>
        <w:spacing w:line="360" w:lineRule="auto"/>
        <w:rPr>
          <w:b/>
          <w:i/>
          <w:sz w:val="24"/>
        </w:rPr>
      </w:pPr>
      <w:r w:rsidRPr="00E4394E">
        <w:rPr>
          <w:b/>
          <w:i/>
          <w:sz w:val="24"/>
        </w:rPr>
        <w:t>Statistical analysis</w:t>
      </w:r>
    </w:p>
    <w:p w:rsidR="007D7A36" w:rsidRPr="00E4394E" w:rsidRDefault="000C16B1">
      <w:pPr>
        <w:spacing w:line="360" w:lineRule="auto"/>
        <w:rPr>
          <w:sz w:val="24"/>
        </w:rPr>
      </w:pPr>
      <w:r w:rsidRPr="00E4394E">
        <w:rPr>
          <w:sz w:val="24"/>
        </w:rPr>
        <w:t xml:space="preserve">Statistical analysis was performed using Statistical Product and Service Solutions and Medcalc software. The measurement data was expressed as x ± s, and the count data was expressed in frequency. The comparison between the two groups of measurement data was performed using an independent sample </w:t>
      </w:r>
      <w:r w:rsidRPr="00E4394E">
        <w:rPr>
          <w:i/>
          <w:sz w:val="24"/>
        </w:rPr>
        <w:t>t</w:t>
      </w:r>
      <w:r w:rsidRPr="00E4394E">
        <w:rPr>
          <w:sz w:val="24"/>
        </w:rPr>
        <w:t xml:space="preserve"> test, the count data was applied by chi-square test, and the graded data was performed using Subparameter test. Correlation analysis between SMI level and EI was performed using Spearman correlation analysis. Multivariate Cox proportional regression was used to analyze the risk of stroke in patients. The receiver operating characteristic (ROC) curve was used to evaluate the accuracy of the potential indicators in predicting ischemic stroke. The incidence of ischemic stroke in patients with different SMI levels was analyzed by Kaplan-Meier, and the difference was analyzed by log-rank. </w:t>
      </w:r>
      <w:r w:rsidRPr="00E4394E">
        <w:rPr>
          <w:i/>
          <w:sz w:val="24"/>
        </w:rPr>
        <w:t>P</w:t>
      </w:r>
      <w:r w:rsidRPr="00E4394E">
        <w:rPr>
          <w:sz w:val="24"/>
        </w:rPr>
        <w:t xml:space="preserve"> &lt; 0.05 was considered statistically significant.</w:t>
      </w:r>
    </w:p>
    <w:p w:rsidR="007D7A36" w:rsidRPr="00E4394E" w:rsidRDefault="007D7A36">
      <w:pPr>
        <w:spacing w:line="360" w:lineRule="auto"/>
        <w:rPr>
          <w:sz w:val="24"/>
        </w:rPr>
      </w:pPr>
    </w:p>
    <w:p w:rsidR="007D7A36" w:rsidRPr="00E4394E" w:rsidRDefault="000C16B1">
      <w:pPr>
        <w:spacing w:line="360" w:lineRule="auto"/>
        <w:rPr>
          <w:b/>
          <w:sz w:val="24"/>
        </w:rPr>
      </w:pPr>
      <w:r w:rsidRPr="00E4394E">
        <w:rPr>
          <w:b/>
          <w:sz w:val="24"/>
        </w:rPr>
        <w:t>RESULTS</w:t>
      </w:r>
    </w:p>
    <w:p w:rsidR="007D7A36" w:rsidRPr="00E4394E" w:rsidRDefault="000C16B1">
      <w:pPr>
        <w:spacing w:line="360" w:lineRule="auto"/>
        <w:rPr>
          <w:b/>
          <w:i/>
          <w:sz w:val="24"/>
        </w:rPr>
      </w:pPr>
      <w:r w:rsidRPr="00E4394E">
        <w:rPr>
          <w:b/>
          <w:i/>
          <w:sz w:val="24"/>
        </w:rPr>
        <w:t>General data analysis of patients</w:t>
      </w:r>
    </w:p>
    <w:p w:rsidR="007D7A36" w:rsidRPr="00E4394E" w:rsidRDefault="000C16B1">
      <w:pPr>
        <w:spacing w:line="360" w:lineRule="auto"/>
        <w:rPr>
          <w:sz w:val="24"/>
        </w:rPr>
      </w:pPr>
      <w:r w:rsidRPr="00E4394E">
        <w:rPr>
          <w:sz w:val="24"/>
        </w:rPr>
        <w:t>By the end of the follow-up, five patients were lost to follow-up and forty-three patients were diagnosed with ischemic stroke and placed in the stroke group. There were 82 patients in the non-stroke group. The general information for the two groups of patients was presented in Table 1. Comparison of the clinical data between the two groups found that the age, gender, plaque thickness, lipoprotein a, high-density lipoprotein, high-sensitivity C-reactive protein, cholesterol, triglyceride, low-density lipoprotein, smoking history, diabetes history and hypertension history in the two groups were similar. There was no significant difference between the two groups (</w:t>
      </w:r>
      <w:r w:rsidRPr="00E4394E">
        <w:rPr>
          <w:i/>
          <w:sz w:val="24"/>
        </w:rPr>
        <w:t xml:space="preserve">P </w:t>
      </w:r>
      <w:r w:rsidRPr="00E4394E">
        <w:rPr>
          <w:sz w:val="24"/>
        </w:rPr>
        <w:t>&gt; 0.05).</w:t>
      </w:r>
    </w:p>
    <w:p w:rsidR="007D7A36" w:rsidRPr="00E4394E" w:rsidRDefault="000C16B1">
      <w:pPr>
        <w:spacing w:line="360" w:lineRule="auto"/>
        <w:ind w:firstLineChars="200" w:firstLine="480"/>
        <w:rPr>
          <w:sz w:val="24"/>
        </w:rPr>
      </w:pPr>
      <w:r w:rsidRPr="00E4394E">
        <w:rPr>
          <w:sz w:val="24"/>
        </w:rPr>
        <w:t>The number of SMI vascular grading cases in the stroke and non-stroke groups were as follows: level 0: 1 case and 17 cases, respectively (Figure 1A); level I: 6 cases and 48 cases, respectively (Figure 1B); level II: 17 cases and 14 cases, respectively (Figure 1C); and level III: 19 cases and 3 cases, respectively (Figure 1D). Patients in the stroke group were mainly in level II and III, while patients in the non-stroke group were mainly in level 0 and I. There were statistically significant differences between the two groups (</w:t>
      </w:r>
      <w:r w:rsidRPr="00E4394E">
        <w:rPr>
          <w:i/>
          <w:sz w:val="24"/>
        </w:rPr>
        <w:t xml:space="preserve">Z </w:t>
      </w:r>
      <w:r w:rsidRPr="00E4394E">
        <w:rPr>
          <w:sz w:val="24"/>
        </w:rPr>
        <w:t xml:space="preserve">= 56.678, </w:t>
      </w:r>
      <w:r w:rsidRPr="00E4394E">
        <w:rPr>
          <w:i/>
          <w:sz w:val="24"/>
        </w:rPr>
        <w:t xml:space="preserve">P </w:t>
      </w:r>
      <w:r w:rsidRPr="00E4394E">
        <w:rPr>
          <w:sz w:val="24"/>
        </w:rPr>
        <w:t>&lt; 0.001).</w:t>
      </w:r>
    </w:p>
    <w:p w:rsidR="007D7A36" w:rsidRPr="00E4394E" w:rsidRDefault="000C16B1">
      <w:pPr>
        <w:spacing w:line="360" w:lineRule="auto"/>
        <w:ind w:firstLineChars="200" w:firstLine="480"/>
        <w:rPr>
          <w:sz w:val="24"/>
        </w:rPr>
      </w:pPr>
      <w:r w:rsidRPr="00E4394E">
        <w:rPr>
          <w:sz w:val="24"/>
        </w:rPr>
        <w:t>There was no statistically significant difference in plaque time-to-peak between the stroke group and the non-stroke group (</w:t>
      </w:r>
      <w:r w:rsidRPr="00E4394E">
        <w:rPr>
          <w:i/>
          <w:sz w:val="24"/>
        </w:rPr>
        <w:t xml:space="preserve">t </w:t>
      </w:r>
      <w:r w:rsidRPr="00E4394E">
        <w:rPr>
          <w:sz w:val="24"/>
        </w:rPr>
        <w:t xml:space="preserve">= 1.618, </w:t>
      </w:r>
      <w:r w:rsidRPr="00E4394E">
        <w:rPr>
          <w:i/>
          <w:sz w:val="24"/>
        </w:rPr>
        <w:t xml:space="preserve">P </w:t>
      </w:r>
      <w:r w:rsidRPr="00E4394E">
        <w:rPr>
          <w:sz w:val="24"/>
        </w:rPr>
        <w:t>= 0.108). EI in the stroke group (Figure 2A) was larger than that in the non-stroke group (Figure 2B), and the difference was statistically significant (</w:t>
      </w:r>
      <w:r w:rsidRPr="00E4394E">
        <w:rPr>
          <w:i/>
          <w:sz w:val="24"/>
        </w:rPr>
        <w:t xml:space="preserve">t </w:t>
      </w:r>
      <w:r w:rsidRPr="00E4394E">
        <w:rPr>
          <w:sz w:val="24"/>
        </w:rPr>
        <w:t xml:space="preserve">= 7.526, </w:t>
      </w:r>
      <w:r w:rsidRPr="00E4394E">
        <w:rPr>
          <w:i/>
          <w:sz w:val="24"/>
        </w:rPr>
        <w:t xml:space="preserve">P </w:t>
      </w:r>
      <w:r w:rsidRPr="00E4394E">
        <w:rPr>
          <w:sz w:val="24"/>
        </w:rPr>
        <w:t>= 0.000).</w:t>
      </w:r>
    </w:p>
    <w:p w:rsidR="007D7A36" w:rsidRPr="00E4394E" w:rsidRDefault="007D7A36">
      <w:pPr>
        <w:spacing w:line="360" w:lineRule="auto"/>
        <w:rPr>
          <w:sz w:val="24"/>
        </w:rPr>
      </w:pPr>
    </w:p>
    <w:p w:rsidR="007D7A36" w:rsidRPr="00E4394E" w:rsidRDefault="000C16B1">
      <w:pPr>
        <w:spacing w:line="360" w:lineRule="auto"/>
        <w:rPr>
          <w:b/>
          <w:i/>
          <w:sz w:val="24"/>
        </w:rPr>
      </w:pPr>
      <w:r w:rsidRPr="00E4394E">
        <w:rPr>
          <w:b/>
          <w:i/>
          <w:sz w:val="24"/>
        </w:rPr>
        <w:t>Multivariate COX regression analysis of ischemic stroke</w:t>
      </w:r>
    </w:p>
    <w:p w:rsidR="007D7A36" w:rsidRPr="00E4394E" w:rsidRDefault="000C16B1">
      <w:pPr>
        <w:spacing w:line="360" w:lineRule="auto"/>
        <w:rPr>
          <w:sz w:val="24"/>
        </w:rPr>
      </w:pPr>
      <w:r w:rsidRPr="00E4394E">
        <w:rPr>
          <w:sz w:val="24"/>
        </w:rPr>
        <w:t>Multivariate analysis of SMI level and EI showed that SMI level (</w:t>
      </w:r>
      <w:r w:rsidRPr="00E4394E">
        <w:rPr>
          <w:i/>
          <w:sz w:val="24"/>
        </w:rPr>
        <w:t>P</w:t>
      </w:r>
      <w:r w:rsidRPr="00E4394E">
        <w:rPr>
          <w:sz w:val="24"/>
        </w:rPr>
        <w:t xml:space="preserve"> = 0.013) and EI (</w:t>
      </w:r>
      <w:r w:rsidRPr="00E4394E">
        <w:rPr>
          <w:i/>
          <w:sz w:val="24"/>
        </w:rPr>
        <w:t>P</w:t>
      </w:r>
      <w:r w:rsidRPr="00E4394E">
        <w:rPr>
          <w:sz w:val="24"/>
        </w:rPr>
        <w:t xml:space="preserve"> = 0.032) were the independent influencing factors affecting ischemic stroke (Table 2).</w:t>
      </w:r>
    </w:p>
    <w:p w:rsidR="007D7A36" w:rsidRPr="00E4394E" w:rsidRDefault="007D7A36">
      <w:pPr>
        <w:spacing w:line="360" w:lineRule="auto"/>
        <w:rPr>
          <w:sz w:val="24"/>
        </w:rPr>
      </w:pPr>
    </w:p>
    <w:p w:rsidR="007D7A36" w:rsidRPr="00E4394E" w:rsidRDefault="000C16B1">
      <w:pPr>
        <w:spacing w:line="360" w:lineRule="auto"/>
        <w:rPr>
          <w:b/>
          <w:bCs/>
          <w:i/>
          <w:sz w:val="24"/>
        </w:rPr>
      </w:pPr>
      <w:r w:rsidRPr="00E4394E">
        <w:rPr>
          <w:b/>
          <w:bCs/>
          <w:i/>
          <w:sz w:val="24"/>
        </w:rPr>
        <w:t>Correlation analysis of SMI level and EI</w:t>
      </w:r>
    </w:p>
    <w:p w:rsidR="007D7A36" w:rsidRPr="00E4394E" w:rsidRDefault="000C16B1">
      <w:pPr>
        <w:spacing w:line="360" w:lineRule="auto"/>
        <w:rPr>
          <w:sz w:val="24"/>
        </w:rPr>
      </w:pPr>
      <w:r w:rsidRPr="00E4394E">
        <w:rPr>
          <w:sz w:val="24"/>
        </w:rPr>
        <w:t>Spearman correlation analysis revealed a positive correlation between SMI level and EI (</w:t>
      </w:r>
      <w:r w:rsidRPr="00E4394E">
        <w:rPr>
          <w:i/>
          <w:sz w:val="24"/>
        </w:rPr>
        <w:t xml:space="preserve">r </w:t>
      </w:r>
      <w:r w:rsidRPr="00E4394E">
        <w:rPr>
          <w:sz w:val="24"/>
        </w:rPr>
        <w:t xml:space="preserve">= 0.737, </w:t>
      </w:r>
      <w:r w:rsidRPr="00E4394E">
        <w:rPr>
          <w:i/>
          <w:sz w:val="24"/>
        </w:rPr>
        <w:t xml:space="preserve">P </w:t>
      </w:r>
      <w:r w:rsidRPr="00E4394E">
        <w:rPr>
          <w:sz w:val="24"/>
        </w:rPr>
        <w:t>= 0.000; Figure 3).</w:t>
      </w:r>
    </w:p>
    <w:p w:rsidR="007D7A36" w:rsidRPr="00E4394E" w:rsidRDefault="007D7A36">
      <w:pPr>
        <w:spacing w:line="360" w:lineRule="auto"/>
        <w:rPr>
          <w:sz w:val="24"/>
        </w:rPr>
      </w:pPr>
    </w:p>
    <w:p w:rsidR="007D7A36" w:rsidRPr="00E4394E" w:rsidRDefault="000C16B1">
      <w:pPr>
        <w:spacing w:line="360" w:lineRule="auto"/>
        <w:rPr>
          <w:b/>
          <w:bCs/>
          <w:i/>
          <w:sz w:val="24"/>
        </w:rPr>
      </w:pPr>
      <w:r w:rsidRPr="00E4394E">
        <w:rPr>
          <w:b/>
          <w:bCs/>
          <w:i/>
          <w:sz w:val="24"/>
        </w:rPr>
        <w:t>Diagnostic efficacy of SMI grade and EI in predicting ischemic stroke in patients with plaque</w:t>
      </w:r>
    </w:p>
    <w:p w:rsidR="007D7A36" w:rsidRPr="00E4394E" w:rsidRDefault="000C16B1">
      <w:pPr>
        <w:spacing w:line="360" w:lineRule="auto"/>
        <w:rPr>
          <w:sz w:val="24"/>
        </w:rPr>
      </w:pPr>
      <w:r w:rsidRPr="00E4394E">
        <w:rPr>
          <w:sz w:val="24"/>
        </w:rPr>
        <w:t>According to the ROC analysis, the area under curve (AUC) of SMI level predicting ischemic stroke in patients with plaque was 0.878. The best diagnostic point was ≥ level II. The sensitivity was 86.05%, and the specificity was 79.27%. The AUC of EI predicting ischemic stroke in patients with plaque was 0.890. The best diagnostic point was 9.92 db. The sensitivity was 88.37%, and the specificity was 89.02%. The difference was similar and there was no statistical significance between them (</w:t>
      </w:r>
      <w:r w:rsidRPr="00E4394E">
        <w:rPr>
          <w:i/>
          <w:sz w:val="24"/>
        </w:rPr>
        <w:t>Z</w:t>
      </w:r>
      <w:r w:rsidRPr="00E4394E">
        <w:rPr>
          <w:sz w:val="24"/>
        </w:rPr>
        <w:t xml:space="preserve"> = 0.336, </w:t>
      </w:r>
      <w:r w:rsidRPr="00E4394E">
        <w:rPr>
          <w:i/>
          <w:sz w:val="24"/>
        </w:rPr>
        <w:t>P</w:t>
      </w:r>
      <w:r w:rsidRPr="00E4394E">
        <w:rPr>
          <w:sz w:val="24"/>
        </w:rPr>
        <w:t xml:space="preserve"> = 0.737; Figure 4).</w:t>
      </w:r>
    </w:p>
    <w:p w:rsidR="007D7A36" w:rsidRPr="00E4394E" w:rsidRDefault="007D7A36">
      <w:pPr>
        <w:spacing w:line="360" w:lineRule="auto"/>
        <w:rPr>
          <w:sz w:val="24"/>
        </w:rPr>
      </w:pPr>
    </w:p>
    <w:p w:rsidR="007D7A36" w:rsidRPr="00E4394E" w:rsidRDefault="000C16B1">
      <w:pPr>
        <w:spacing w:line="360" w:lineRule="auto"/>
        <w:rPr>
          <w:b/>
          <w:bCs/>
          <w:i/>
          <w:sz w:val="24"/>
        </w:rPr>
      </w:pPr>
      <w:r w:rsidRPr="00E4394E">
        <w:rPr>
          <w:b/>
          <w:bCs/>
          <w:i/>
          <w:sz w:val="24"/>
        </w:rPr>
        <w:t>Survival curve analysis of patients with ischemic stroke under different SMI classification</w:t>
      </w:r>
    </w:p>
    <w:p w:rsidR="007D7A36" w:rsidRPr="00E4394E" w:rsidRDefault="000C16B1">
      <w:pPr>
        <w:spacing w:line="360" w:lineRule="auto"/>
        <w:rPr>
          <w:bCs/>
          <w:sz w:val="24"/>
        </w:rPr>
      </w:pPr>
      <w:r w:rsidRPr="00E4394E">
        <w:rPr>
          <w:bCs/>
          <w:sz w:val="24"/>
        </w:rPr>
        <w:t>Survival curve analysis of patients with ischemic stroke under different SMI classification was plotted by Kaplan-Meier. The results showed that with the increase of SMI level, the incidence of ischemic stroke was gradually increased. The log-rank test revealed a statistically significant difference (</w:t>
      </w:r>
      <w:r w:rsidRPr="00E4394E">
        <w:rPr>
          <w:bCs/>
          <w:i/>
          <w:sz w:val="24"/>
        </w:rPr>
        <w:t>X</w:t>
      </w:r>
      <w:r w:rsidRPr="00E4394E">
        <w:rPr>
          <w:bCs/>
          <w:sz w:val="24"/>
          <w:vertAlign w:val="superscript"/>
        </w:rPr>
        <w:t xml:space="preserve">2 </w:t>
      </w:r>
      <w:r w:rsidRPr="00E4394E">
        <w:rPr>
          <w:bCs/>
          <w:sz w:val="24"/>
        </w:rPr>
        <w:t xml:space="preserve">= 108.931, </w:t>
      </w:r>
      <w:r w:rsidRPr="00E4394E">
        <w:rPr>
          <w:bCs/>
          <w:i/>
          <w:sz w:val="24"/>
        </w:rPr>
        <w:t>P</w:t>
      </w:r>
      <w:r w:rsidRPr="00E4394E">
        <w:rPr>
          <w:bCs/>
          <w:sz w:val="24"/>
        </w:rPr>
        <w:t xml:space="preserve"> = 0.000). The incidence rate of SMI level 0 and level I was similar. The incidence rate of SMI level II was significantly higher than level I. Therefore, it is feasible to use the SMI level II as a predictor of ischemic stroke (Figure 5).</w:t>
      </w:r>
    </w:p>
    <w:p w:rsidR="007D7A36" w:rsidRPr="00E4394E" w:rsidRDefault="007D7A36">
      <w:pPr>
        <w:spacing w:line="360" w:lineRule="auto"/>
        <w:ind w:firstLineChars="250" w:firstLine="600"/>
        <w:rPr>
          <w:sz w:val="24"/>
        </w:rPr>
      </w:pPr>
    </w:p>
    <w:p w:rsidR="007D7A36" w:rsidRPr="00E4394E" w:rsidRDefault="000C16B1">
      <w:pPr>
        <w:spacing w:line="360" w:lineRule="auto"/>
        <w:rPr>
          <w:b/>
          <w:sz w:val="24"/>
        </w:rPr>
      </w:pPr>
      <w:bookmarkStart w:id="14" w:name="OLE_LINK99"/>
      <w:bookmarkStart w:id="15" w:name="OLE_LINK100"/>
      <w:r w:rsidRPr="00E4394E">
        <w:rPr>
          <w:b/>
          <w:sz w:val="24"/>
        </w:rPr>
        <w:t>DISCUSSION</w:t>
      </w:r>
    </w:p>
    <w:p w:rsidR="007D7A36" w:rsidRPr="00E4394E" w:rsidRDefault="000C16B1">
      <w:pPr>
        <w:spacing w:line="360" w:lineRule="auto"/>
        <w:rPr>
          <w:sz w:val="24"/>
        </w:rPr>
      </w:pPr>
      <w:r w:rsidRPr="00E4394E">
        <w:rPr>
          <w:sz w:val="24"/>
        </w:rPr>
        <w:t>Carotid atherosclerotic plaques are prone to cause ischemic stroke. Studies have shown that plaque formation is an independent risk factor for stroke</w:t>
      </w:r>
      <w:r w:rsidRPr="00E4394E">
        <w:rPr>
          <w:sz w:val="24"/>
          <w:vertAlign w:val="superscript"/>
        </w:rPr>
        <w:t>[17,18]</w:t>
      </w:r>
      <w:r w:rsidRPr="00E4394E">
        <w:rPr>
          <w:sz w:val="24"/>
        </w:rPr>
        <w:t>. Plaques gradually block blood vessels and cause stroke as the disease progresses. In addition, unstable plaques are prone to rupture, resulting in the blockage of distal blood vessels and subsequent ischemic stroke. Studies have found that neovascularization in plaques is an important indicator of plaque stability</w:t>
      </w:r>
      <w:r w:rsidRPr="00E4394E">
        <w:rPr>
          <w:sz w:val="24"/>
          <w:vertAlign w:val="superscript"/>
        </w:rPr>
        <w:t>[19]</w:t>
      </w:r>
      <w:r w:rsidRPr="00E4394E">
        <w:rPr>
          <w:sz w:val="24"/>
        </w:rPr>
        <w:t>. Therefore, timely detection and effective assessment of neovascularization in plaques have potential value in predicting patients with ischemic stroke. Recent studies have shown that CEUS is of great value in the detection and assessment of neovascularization in plaques</w:t>
      </w:r>
      <w:r w:rsidRPr="00E4394E">
        <w:rPr>
          <w:sz w:val="24"/>
          <w:vertAlign w:val="superscript"/>
        </w:rPr>
        <w:t>[20,21]</w:t>
      </w:r>
      <w:r w:rsidRPr="00E4394E">
        <w:rPr>
          <w:sz w:val="24"/>
        </w:rPr>
        <w:t>. The operation of CEUS is complex and requires the support of contrast agents and nurses. Therefore, it cannot be used as a screening tool for finding unstable plaques. SMI is a novel technique for detecting blood flow in micro-vessels, enabling the detection of micro-vessels at a much lower speed</w:t>
      </w:r>
      <w:r w:rsidRPr="00E4394E">
        <w:rPr>
          <w:sz w:val="24"/>
          <w:vertAlign w:val="superscript"/>
        </w:rPr>
        <w:t>[13,22-24]</w:t>
      </w:r>
      <w:r w:rsidRPr="00E4394E">
        <w:rPr>
          <w:sz w:val="24"/>
        </w:rPr>
        <w:t>. However, there are few studies on the assessment of neovascularization in plaque, and it is not clear whether it can be used to predict ischemic stroke in patients with carotid plaque. Therefore, the present study aimed to determine the ability of SMI in detecting neovascularization of carotid atherosclerotic plaque and analyzed its value in predicting ischemic stroke in patients with plaques.</w:t>
      </w:r>
    </w:p>
    <w:p w:rsidR="007D7A36" w:rsidRPr="00E4394E" w:rsidRDefault="000C16B1">
      <w:pPr>
        <w:spacing w:line="360" w:lineRule="auto"/>
        <w:ind w:firstLine="432"/>
        <w:rPr>
          <w:sz w:val="24"/>
        </w:rPr>
      </w:pPr>
      <w:r w:rsidRPr="00E4394E">
        <w:rPr>
          <w:sz w:val="24"/>
        </w:rPr>
        <w:t>The subjects recruited in this study needed to meet two conditions. First, the degree of vascular stenosis needed to be between 50% and 70%. Second, the patients were only treated with conservative drugs in order to prevent ischemic stroke caused by excessive plaque growth. These conditions controlled to the best of our ability that an ischemic stroke in the study subject was caused by the rupture of an unstable plaque.</w:t>
      </w:r>
    </w:p>
    <w:p w:rsidR="007D7A36" w:rsidRPr="00E4394E" w:rsidRDefault="000C16B1">
      <w:pPr>
        <w:spacing w:line="360" w:lineRule="auto"/>
        <w:ind w:firstLine="432"/>
        <w:rPr>
          <w:sz w:val="24"/>
        </w:rPr>
      </w:pPr>
      <w:r w:rsidRPr="00E4394E">
        <w:rPr>
          <w:sz w:val="24"/>
        </w:rPr>
        <w:t>In this study, baseline data analysis was performed on patients who underwent 3 years of follow-up. The results showed that the clinical data of age, gender, serum index, and medical history were not significantly different between the two groups (</w:t>
      </w:r>
      <w:r w:rsidRPr="00E4394E">
        <w:rPr>
          <w:i/>
          <w:sz w:val="24"/>
        </w:rPr>
        <w:t>P</w:t>
      </w:r>
      <w:r w:rsidRPr="00E4394E">
        <w:rPr>
          <w:sz w:val="24"/>
        </w:rPr>
        <w:t xml:space="preserve"> &gt; 0.05). It indicates that the difference in patient baseline data is small. However, SMI level and EI were different between the two groups. The results showed that patients in the stroke group had higher SMI grades and higher EI values. Multivariate COX regression analysis found that SMI level and EI were independent factors influencing ischemic stroke. This initially suggests that SMI levels and CEUS markers can be used to detect neovascularization in plaques of patients with carotid atherosclerosis and to assess the occurrence of ischemic stroke. Previous studies have reported that unstable plaques are prone to rupture and cause distal vascular obstruction to cause ischemic stroke. The abundant neovascularization in the plaque is associated with rupture of the plaque</w:t>
      </w:r>
      <w:r w:rsidRPr="00E4394E">
        <w:rPr>
          <w:sz w:val="24"/>
          <w:vertAlign w:val="superscript"/>
        </w:rPr>
        <w:t>[25,26]</w:t>
      </w:r>
      <w:r w:rsidRPr="00E4394E">
        <w:rPr>
          <w:sz w:val="24"/>
        </w:rPr>
        <w:t>. Therefore, SMI and CEUS are good tools for dynamic observation of blood flow distribution in the plaque, which can be used to assess the occurrence of ischemic stroke .</w:t>
      </w:r>
    </w:p>
    <w:p w:rsidR="007D7A36" w:rsidRPr="00E4394E" w:rsidRDefault="000C16B1">
      <w:pPr>
        <w:spacing w:line="360" w:lineRule="auto"/>
        <w:ind w:firstLine="432"/>
        <w:rPr>
          <w:sz w:val="24"/>
        </w:rPr>
      </w:pPr>
      <w:r w:rsidRPr="00E4394E">
        <w:rPr>
          <w:sz w:val="24"/>
        </w:rPr>
        <w:t xml:space="preserve"> Studies have shown that contrast EI in plaques have a good correlation with histological micro-vessel density</w:t>
      </w:r>
      <w:r w:rsidRPr="00E4394E">
        <w:rPr>
          <w:sz w:val="24"/>
          <w:vertAlign w:val="superscript"/>
        </w:rPr>
        <w:t>[27]</w:t>
      </w:r>
      <w:r w:rsidRPr="00E4394E">
        <w:rPr>
          <w:sz w:val="24"/>
        </w:rPr>
        <w:t>. It has been clinically established that CEUS can be used to analyze the stability of plaques</w:t>
      </w:r>
      <w:r w:rsidRPr="00E4394E">
        <w:rPr>
          <w:sz w:val="24"/>
          <w:vertAlign w:val="superscript"/>
        </w:rPr>
        <w:t>[20,28]</w:t>
      </w:r>
      <w:r w:rsidRPr="00E4394E">
        <w:rPr>
          <w:sz w:val="24"/>
        </w:rPr>
        <w:t>. Therefore, we used correlation analysis to evaluate the value of SMI in detecting low-velocity blood flow in plaques. Spearman correlation analysis showed that SMI level was positively correlated with EI, with a correlation of 0.737, suggesting SMI can evaluate blood flow in plaque like CEUS.</w:t>
      </w:r>
    </w:p>
    <w:p w:rsidR="007D7A36" w:rsidRPr="00E4394E" w:rsidRDefault="000C16B1">
      <w:pPr>
        <w:spacing w:line="360" w:lineRule="auto"/>
        <w:ind w:firstLine="432"/>
        <w:rPr>
          <w:sz w:val="24"/>
        </w:rPr>
      </w:pPr>
      <w:r w:rsidRPr="00E4394E">
        <w:rPr>
          <w:sz w:val="24"/>
        </w:rPr>
        <w:t>In order to investigate the value of CEUS and SMI in predicting ischemic stroke caused by plaque rupture, the ROC curve was used for analysis, and it was found that both could achieve an AUC of approximately 90%. This indicates that both are excellent predictors of stroke. SMI is more convenient and easier to promote than CEUS, suggesting that the clinical use of SMI can be applied for the large-scale screening of unstable plaques. In addition, the ROC curve revealed that the best diagnostic point of SMI was level II. Furthermore, level 0 and I suggested a negative result, while level II and III suggested a positive result. Based on the survival curve of patients, which compared the incidence of ischemic stroke in different SMI levels, it was found that patients with SMI level 0 and I had a similar incidence rate, but the incidence of level II and III significantly increased. This suggests that SMI level II can be used as one of the diagnostic criteria in clinic.</w:t>
      </w:r>
    </w:p>
    <w:bookmarkEnd w:id="0"/>
    <w:bookmarkEnd w:id="1"/>
    <w:bookmarkEnd w:id="2"/>
    <w:bookmarkEnd w:id="3"/>
    <w:bookmarkEnd w:id="4"/>
    <w:bookmarkEnd w:id="14"/>
    <w:bookmarkEnd w:id="15"/>
    <w:p w:rsidR="007D7A36" w:rsidRPr="00E4394E" w:rsidRDefault="000C16B1">
      <w:pPr>
        <w:spacing w:line="360" w:lineRule="auto"/>
        <w:ind w:firstLine="432"/>
        <w:rPr>
          <w:sz w:val="24"/>
        </w:rPr>
      </w:pPr>
      <w:r w:rsidRPr="00E4394E">
        <w:rPr>
          <w:sz w:val="24"/>
        </w:rPr>
        <w:t>This study has certain limitations. Although we have screened patients with a stenosis degree between 50% and 70% through strict inclusion and exclusion criteria, we still cannot fully guarantee that the reason for ischemic stroke during follow-up was due to plaque rupture. Some patients may have had a stroke due to plaque clogging, resulting in false positive results. To expand our findings, we plan to establish a rabbit carotid plaque model with anatomical results as a standard for plaque rupture to accurately compare the diagnostic efficacy of SMI and CEUS.</w:t>
      </w:r>
    </w:p>
    <w:p w:rsidR="007D7A36" w:rsidRPr="00E4394E" w:rsidRDefault="000C16B1">
      <w:pPr>
        <w:spacing w:line="360" w:lineRule="auto"/>
        <w:ind w:firstLine="432"/>
        <w:rPr>
          <w:sz w:val="24"/>
        </w:rPr>
      </w:pPr>
      <w:r w:rsidRPr="00E4394E">
        <w:rPr>
          <w:sz w:val="24"/>
        </w:rPr>
        <w:t xml:space="preserve">In summary, SMI can be used as a non-invasive method for screening unstable plaques. It has a high diagnostic accuracy and can be applied for the clinical diagnosis and prevention of ischemic stroke. </w:t>
      </w:r>
    </w:p>
    <w:p w:rsidR="007D7A36" w:rsidRPr="00E4394E" w:rsidRDefault="007D7A36">
      <w:pPr>
        <w:spacing w:line="360" w:lineRule="auto"/>
        <w:ind w:firstLine="432"/>
        <w:rPr>
          <w:sz w:val="24"/>
        </w:rPr>
      </w:pPr>
    </w:p>
    <w:p w:rsidR="007D7A36" w:rsidRPr="00E4394E" w:rsidRDefault="000C16B1">
      <w:pPr>
        <w:adjustRightInd w:val="0"/>
        <w:snapToGrid w:val="0"/>
        <w:spacing w:line="360" w:lineRule="auto"/>
        <w:rPr>
          <w:b/>
          <w:sz w:val="24"/>
        </w:rPr>
      </w:pPr>
      <w:r w:rsidRPr="00E4394E">
        <w:rPr>
          <w:b/>
          <w:sz w:val="24"/>
        </w:rPr>
        <w:t>ARTICLE HIGHLIGHTS</w:t>
      </w:r>
    </w:p>
    <w:p w:rsidR="007D7A36" w:rsidRPr="00E4394E" w:rsidRDefault="000C16B1">
      <w:pPr>
        <w:adjustRightInd w:val="0"/>
        <w:snapToGrid w:val="0"/>
        <w:spacing w:line="360" w:lineRule="auto"/>
        <w:rPr>
          <w:b/>
          <w:i/>
          <w:sz w:val="24"/>
        </w:rPr>
      </w:pPr>
      <w:r w:rsidRPr="00E4394E">
        <w:rPr>
          <w:b/>
          <w:i/>
          <w:sz w:val="24"/>
        </w:rPr>
        <w:t>Research background</w:t>
      </w:r>
    </w:p>
    <w:p w:rsidR="007D7A36" w:rsidRPr="00E4394E" w:rsidRDefault="000C16B1">
      <w:pPr>
        <w:spacing w:line="360" w:lineRule="auto"/>
        <w:rPr>
          <w:sz w:val="24"/>
        </w:rPr>
      </w:pPr>
      <w:r w:rsidRPr="00E4394E">
        <w:rPr>
          <w:sz w:val="24"/>
        </w:rPr>
        <w:t xml:space="preserve">Patients with carotid atherosclerotic plaque are prone to ischemic stroke because plaques gradually block blood vessels and cause stroke. Secondly, unstable plaques are prone to rupture and form thrombi, which in turn leads to ischemic stroke. </w:t>
      </w:r>
      <w:r w:rsidRPr="00E4394E">
        <w:rPr>
          <w:bCs/>
          <w:iCs/>
          <w:sz w:val="24"/>
        </w:rPr>
        <w:t>Contrast-enhanced ultrasound</w:t>
      </w:r>
      <w:r w:rsidRPr="00E4394E">
        <w:rPr>
          <w:sz w:val="24"/>
        </w:rPr>
        <w:t xml:space="preserve"> (CEUS) can be used to assess unstable plaques because it can detect blood flow in the plaque. However, CEUS is complicated, requires the use of contrast agents and requires the support of nurses, so it cannot be used as a large-scale screening tool for unstable plaques.</w:t>
      </w:r>
    </w:p>
    <w:p w:rsidR="007D7A36" w:rsidRPr="00E4394E" w:rsidRDefault="007D7A36">
      <w:pPr>
        <w:adjustRightInd w:val="0"/>
        <w:snapToGrid w:val="0"/>
        <w:spacing w:line="360" w:lineRule="auto"/>
        <w:rPr>
          <w:b/>
          <w:i/>
          <w:sz w:val="24"/>
        </w:rPr>
      </w:pPr>
    </w:p>
    <w:p w:rsidR="007D7A36" w:rsidRPr="00E4394E" w:rsidRDefault="000C16B1">
      <w:pPr>
        <w:adjustRightInd w:val="0"/>
        <w:snapToGrid w:val="0"/>
        <w:spacing w:line="360" w:lineRule="auto"/>
        <w:rPr>
          <w:b/>
          <w:i/>
          <w:sz w:val="24"/>
        </w:rPr>
      </w:pPr>
      <w:r w:rsidRPr="00E4394E">
        <w:rPr>
          <w:b/>
          <w:i/>
          <w:sz w:val="24"/>
        </w:rPr>
        <w:t>Research motivation</w:t>
      </w:r>
    </w:p>
    <w:p w:rsidR="007D7A36" w:rsidRPr="00E4394E" w:rsidRDefault="000C16B1">
      <w:pPr>
        <w:spacing w:line="360" w:lineRule="auto"/>
        <w:rPr>
          <w:sz w:val="24"/>
        </w:rPr>
      </w:pPr>
      <w:r w:rsidRPr="00E4394E">
        <w:rPr>
          <w:sz w:val="24"/>
        </w:rPr>
        <w:t>Superb micro-vascular imaging (SMI) is a new technique for detecting micro-vascular blood flow, enabling the detection of low-speed micro-vessels. It is expected to be a screening tool for unstable plaques. However, there are few reports on the evaluation of neovascularization in plaques by SMI. Whether it can be used to predict ischemic stroke in patients with carotid plaque is still inconclusive.</w:t>
      </w:r>
    </w:p>
    <w:p w:rsidR="007D7A36" w:rsidRPr="00E4394E" w:rsidRDefault="007D7A36">
      <w:pPr>
        <w:spacing w:line="360" w:lineRule="auto"/>
        <w:rPr>
          <w:sz w:val="24"/>
        </w:rPr>
      </w:pPr>
    </w:p>
    <w:p w:rsidR="007D7A36" w:rsidRPr="00E4394E" w:rsidRDefault="000C16B1">
      <w:pPr>
        <w:adjustRightInd w:val="0"/>
        <w:snapToGrid w:val="0"/>
        <w:spacing w:line="360" w:lineRule="auto"/>
        <w:rPr>
          <w:b/>
          <w:i/>
          <w:sz w:val="24"/>
        </w:rPr>
      </w:pPr>
      <w:r w:rsidRPr="00E4394E">
        <w:rPr>
          <w:b/>
          <w:i/>
          <w:sz w:val="24"/>
        </w:rPr>
        <w:t>Research objectives</w:t>
      </w:r>
    </w:p>
    <w:p w:rsidR="007D7A36" w:rsidRPr="00E4394E" w:rsidRDefault="000C16B1">
      <w:pPr>
        <w:adjustRightInd w:val="0"/>
        <w:snapToGrid w:val="0"/>
        <w:spacing w:line="360" w:lineRule="auto"/>
        <w:rPr>
          <w:bCs/>
          <w:iCs/>
          <w:sz w:val="24"/>
        </w:rPr>
      </w:pPr>
      <w:r w:rsidRPr="00E4394E">
        <w:rPr>
          <w:bCs/>
          <w:iCs/>
          <w:sz w:val="24"/>
        </w:rPr>
        <w:t xml:space="preserve">In this study, the distribution of </w:t>
      </w:r>
      <w:r w:rsidRPr="00E4394E">
        <w:rPr>
          <w:sz w:val="24"/>
        </w:rPr>
        <w:t>micro-vascular blood flow</w:t>
      </w:r>
      <w:r w:rsidRPr="00E4394E">
        <w:rPr>
          <w:bCs/>
          <w:iCs/>
          <w:sz w:val="24"/>
        </w:rPr>
        <w:t xml:space="preserve"> in carotid atherosclerotic plaques was detected by the SMI technique. The aim of this study is to compare the accuracy of SMI and CEUS in predicting ischemic stroke, and to explore the value of SMI in predicting ischemic stroke in patients with unstable carotid plaque.</w:t>
      </w:r>
    </w:p>
    <w:p w:rsidR="007D7A36" w:rsidRPr="00E4394E" w:rsidRDefault="007D7A36">
      <w:pPr>
        <w:adjustRightInd w:val="0"/>
        <w:snapToGrid w:val="0"/>
        <w:spacing w:line="360" w:lineRule="auto"/>
        <w:rPr>
          <w:b/>
          <w:i/>
          <w:sz w:val="24"/>
        </w:rPr>
      </w:pPr>
    </w:p>
    <w:p w:rsidR="007D7A36" w:rsidRPr="00E4394E" w:rsidRDefault="000C16B1">
      <w:pPr>
        <w:adjustRightInd w:val="0"/>
        <w:snapToGrid w:val="0"/>
        <w:spacing w:line="360" w:lineRule="auto"/>
        <w:rPr>
          <w:b/>
          <w:i/>
          <w:sz w:val="24"/>
        </w:rPr>
      </w:pPr>
      <w:r w:rsidRPr="00E4394E">
        <w:rPr>
          <w:b/>
          <w:i/>
          <w:sz w:val="24"/>
        </w:rPr>
        <w:t>Research methods</w:t>
      </w:r>
    </w:p>
    <w:p w:rsidR="007D7A36" w:rsidRPr="00E4394E" w:rsidRDefault="000C16B1">
      <w:pPr>
        <w:adjustRightInd w:val="0"/>
        <w:snapToGrid w:val="0"/>
        <w:spacing w:line="360" w:lineRule="auto"/>
        <w:rPr>
          <w:bCs/>
          <w:iCs/>
          <w:sz w:val="24"/>
        </w:rPr>
      </w:pPr>
      <w:r w:rsidRPr="00E4394E">
        <w:rPr>
          <w:bCs/>
          <w:iCs/>
          <w:sz w:val="24"/>
        </w:rPr>
        <w:t>Patients with carotid plaques</w:t>
      </w:r>
      <w:r w:rsidRPr="00E4394E">
        <w:rPr>
          <w:sz w:val="24"/>
        </w:rPr>
        <w:t xml:space="preserve"> (luminal stenosis of 50%-70%) </w:t>
      </w:r>
      <w:r w:rsidRPr="00E4394E">
        <w:rPr>
          <w:bCs/>
          <w:iCs/>
          <w:sz w:val="24"/>
        </w:rPr>
        <w:t>were recruited as the subjects in the present study. The clinical baseline data, serological data, CEUS and SMI data were recorded. All patients were followed up for 3 years. During the follow-up period, patients only underwent conservative drug treatment to prevent an</w:t>
      </w:r>
      <w:r w:rsidRPr="00E4394E">
        <w:rPr>
          <w:sz w:val="24"/>
        </w:rPr>
        <w:t xml:space="preserve"> ischemic stroke caused by excessive plaque growth within 3 years</w:t>
      </w:r>
      <w:r w:rsidRPr="00E4394E">
        <w:rPr>
          <w:bCs/>
          <w:iCs/>
          <w:sz w:val="24"/>
        </w:rPr>
        <w:t>. According to whether or not ischemic stroke occurred during the follow-up period, the patients were divided into the stroke group and the non-stroke group. The differences in clinical data between the two groups were compared. The correlation between SMI and CEUS was analyzed. The value of SMI and CEUS in predicting ischemic stroke in patients with carotid atherosclerotic plaque within 3 years was explored.</w:t>
      </w:r>
    </w:p>
    <w:p w:rsidR="007D7A36" w:rsidRPr="00E4394E" w:rsidRDefault="007D7A36">
      <w:pPr>
        <w:adjustRightInd w:val="0"/>
        <w:snapToGrid w:val="0"/>
        <w:spacing w:line="360" w:lineRule="auto"/>
        <w:rPr>
          <w:b/>
          <w:i/>
          <w:sz w:val="24"/>
        </w:rPr>
      </w:pPr>
    </w:p>
    <w:p w:rsidR="007D7A36" w:rsidRPr="00E4394E" w:rsidRDefault="000C16B1">
      <w:pPr>
        <w:adjustRightInd w:val="0"/>
        <w:snapToGrid w:val="0"/>
        <w:spacing w:line="360" w:lineRule="auto"/>
        <w:rPr>
          <w:b/>
          <w:i/>
          <w:sz w:val="24"/>
        </w:rPr>
      </w:pPr>
      <w:r w:rsidRPr="00E4394E">
        <w:rPr>
          <w:b/>
          <w:i/>
          <w:sz w:val="24"/>
        </w:rPr>
        <w:t>Research results</w:t>
      </w:r>
    </w:p>
    <w:p w:rsidR="007D7A36" w:rsidRPr="00E4394E" w:rsidRDefault="000C16B1">
      <w:pPr>
        <w:adjustRightInd w:val="0"/>
        <w:snapToGrid w:val="0"/>
        <w:spacing w:line="360" w:lineRule="auto"/>
        <w:rPr>
          <w:bCs/>
          <w:iCs/>
          <w:sz w:val="24"/>
        </w:rPr>
      </w:pPr>
      <w:r w:rsidRPr="00E4394E">
        <w:rPr>
          <w:bCs/>
          <w:iCs/>
          <w:sz w:val="24"/>
        </w:rPr>
        <w:t>In the present study, there were 43 patients in the stroke group and 82 patients in the non-stroke group. Patients in the stroke group were mainly in SMI level II and III, while patients in the non-stroke group were mainly in SMI level 0 and I. Cox regression showed that SMI level and enhancement intensity were the independent factors influencing ischemic stroke. SMI level was positively correlated with enhancement intensity. The area under curve of SMI level and enhancement intensity predicting ischemic stroke was 0.878 and 0.890. It indicated that SMI was as good as CEUS in predicting ischemic stroke in patients with unstable carotid plaque. As the SMI level gradually increased, the incidence of ischemic stroke gradually increased. SMI level II revealed the highest accuracy of predicting ischemic stroke in patients with carotid plaque.</w:t>
      </w:r>
    </w:p>
    <w:p w:rsidR="007D7A36" w:rsidRPr="00E4394E" w:rsidRDefault="007D7A36">
      <w:pPr>
        <w:adjustRightInd w:val="0"/>
        <w:snapToGrid w:val="0"/>
        <w:spacing w:line="360" w:lineRule="auto"/>
        <w:rPr>
          <w:b/>
          <w:i/>
          <w:sz w:val="24"/>
        </w:rPr>
      </w:pPr>
    </w:p>
    <w:p w:rsidR="007D7A36" w:rsidRPr="00E4394E" w:rsidRDefault="000C16B1">
      <w:pPr>
        <w:adjustRightInd w:val="0"/>
        <w:snapToGrid w:val="0"/>
        <w:spacing w:line="360" w:lineRule="auto"/>
        <w:rPr>
          <w:b/>
          <w:i/>
          <w:sz w:val="24"/>
        </w:rPr>
      </w:pPr>
      <w:r w:rsidRPr="00E4394E">
        <w:rPr>
          <w:b/>
          <w:i/>
          <w:sz w:val="24"/>
        </w:rPr>
        <w:t>Research conclusions</w:t>
      </w:r>
    </w:p>
    <w:p w:rsidR="007D7A36" w:rsidRPr="00E4394E" w:rsidRDefault="000C16B1">
      <w:pPr>
        <w:adjustRightInd w:val="0"/>
        <w:snapToGrid w:val="0"/>
        <w:spacing w:line="360" w:lineRule="auto"/>
        <w:rPr>
          <w:bCs/>
          <w:iCs/>
          <w:sz w:val="24"/>
        </w:rPr>
      </w:pPr>
      <w:r w:rsidRPr="00E4394E">
        <w:rPr>
          <w:bCs/>
          <w:iCs/>
          <w:sz w:val="24"/>
        </w:rPr>
        <w:t>SMI can assess neovascularization in unstable plaques just like CEUS, but SMI is non-invasive and simple to operate. Hence, it can be used as a non-invasive tool for screening for unstable plaques. It can be applied to the clinical diagnosis and prevention of ischemic stroke.</w:t>
      </w:r>
    </w:p>
    <w:p w:rsidR="007D7A36" w:rsidRPr="00E4394E" w:rsidRDefault="007D7A36">
      <w:pPr>
        <w:adjustRightInd w:val="0"/>
        <w:snapToGrid w:val="0"/>
        <w:spacing w:line="360" w:lineRule="auto"/>
        <w:rPr>
          <w:bCs/>
          <w:iCs/>
          <w:sz w:val="24"/>
        </w:rPr>
      </w:pPr>
    </w:p>
    <w:p w:rsidR="007D7A36" w:rsidRPr="00E4394E" w:rsidRDefault="000C16B1">
      <w:pPr>
        <w:adjustRightInd w:val="0"/>
        <w:snapToGrid w:val="0"/>
        <w:spacing w:line="360" w:lineRule="auto"/>
        <w:rPr>
          <w:b/>
          <w:i/>
          <w:sz w:val="24"/>
        </w:rPr>
      </w:pPr>
      <w:r w:rsidRPr="00E4394E">
        <w:rPr>
          <w:b/>
          <w:i/>
          <w:sz w:val="24"/>
        </w:rPr>
        <w:t>Research perspectives</w:t>
      </w:r>
    </w:p>
    <w:p w:rsidR="007D7A36" w:rsidRPr="00E4394E" w:rsidRDefault="000C16B1">
      <w:pPr>
        <w:adjustRightInd w:val="0"/>
        <w:snapToGrid w:val="0"/>
        <w:spacing w:line="360" w:lineRule="auto"/>
        <w:rPr>
          <w:sz w:val="24"/>
        </w:rPr>
      </w:pPr>
      <w:r w:rsidRPr="00E4394E">
        <w:rPr>
          <w:sz w:val="24"/>
        </w:rPr>
        <w:t>This study further plans to establish a rabbit carotid atherosclerotic plaque model. The anatomical results of experimental rabbits will be used as criteria for plaque rupture, and the value of SMI and CEUS for predicting unstable plaque rupture will be more accurately analyzed.</w:t>
      </w:r>
    </w:p>
    <w:p w:rsidR="007D7A36" w:rsidRPr="00E4394E" w:rsidRDefault="007D7A36">
      <w:pPr>
        <w:spacing w:line="360" w:lineRule="auto"/>
        <w:rPr>
          <w:sz w:val="24"/>
        </w:rPr>
      </w:pPr>
    </w:p>
    <w:bookmarkEnd w:id="5"/>
    <w:bookmarkEnd w:id="6"/>
    <w:p w:rsidR="007D7A36" w:rsidRPr="00E4394E" w:rsidRDefault="000C16B1">
      <w:pPr>
        <w:spacing w:line="360" w:lineRule="auto"/>
        <w:rPr>
          <w:b/>
          <w:sz w:val="24"/>
        </w:rPr>
      </w:pPr>
      <w:r w:rsidRPr="00E4394E">
        <w:rPr>
          <w:b/>
          <w:sz w:val="24"/>
        </w:rPr>
        <w:br w:type="page"/>
        <w:t>REFERENCES</w:t>
      </w:r>
    </w:p>
    <w:p w:rsidR="007D7A36" w:rsidRPr="00E4394E" w:rsidRDefault="000C16B1">
      <w:pPr>
        <w:spacing w:line="360" w:lineRule="auto"/>
        <w:rPr>
          <w:sz w:val="24"/>
        </w:rPr>
      </w:pPr>
      <w:r w:rsidRPr="00E4394E">
        <w:rPr>
          <w:sz w:val="24"/>
        </w:rPr>
        <w:t xml:space="preserve">1 </w:t>
      </w:r>
      <w:r w:rsidRPr="00E4394E">
        <w:rPr>
          <w:b/>
          <w:sz w:val="24"/>
        </w:rPr>
        <w:t>Jackson SP</w:t>
      </w:r>
      <w:r w:rsidRPr="00E4394E">
        <w:rPr>
          <w:sz w:val="24"/>
        </w:rPr>
        <w:t xml:space="preserve">. Arterial thrombosis--insidious, unpredictable and deadly. </w:t>
      </w:r>
      <w:r w:rsidRPr="00E4394E">
        <w:rPr>
          <w:i/>
          <w:sz w:val="24"/>
        </w:rPr>
        <w:t>Nat Med</w:t>
      </w:r>
      <w:r w:rsidRPr="00E4394E">
        <w:rPr>
          <w:sz w:val="24"/>
        </w:rPr>
        <w:t xml:space="preserve"> 2011; </w:t>
      </w:r>
      <w:r w:rsidRPr="00E4394E">
        <w:rPr>
          <w:b/>
          <w:sz w:val="24"/>
        </w:rPr>
        <w:t>17</w:t>
      </w:r>
      <w:r w:rsidRPr="00E4394E">
        <w:rPr>
          <w:sz w:val="24"/>
        </w:rPr>
        <w:t>: 1423-1436 [PMID: 22064432 DOI: 10.1038/nm.2515]</w:t>
      </w:r>
    </w:p>
    <w:p w:rsidR="007D7A36" w:rsidRPr="00E4394E" w:rsidRDefault="000C16B1">
      <w:pPr>
        <w:spacing w:line="360" w:lineRule="auto"/>
        <w:rPr>
          <w:sz w:val="24"/>
        </w:rPr>
      </w:pPr>
      <w:r w:rsidRPr="00E4394E">
        <w:rPr>
          <w:sz w:val="24"/>
        </w:rPr>
        <w:t xml:space="preserve">2 </w:t>
      </w:r>
      <w:r w:rsidRPr="00E4394E">
        <w:rPr>
          <w:b/>
          <w:sz w:val="24"/>
        </w:rPr>
        <w:t>Convertino VA</w:t>
      </w:r>
      <w:r w:rsidRPr="00E4394E">
        <w:rPr>
          <w:sz w:val="24"/>
        </w:rPr>
        <w:t xml:space="preserve">, Wirt MD, Glenn JF, Lein BC. The Compensatory Reserve For Early and Accurate Prediction Of Hemodynamic Compromise: A Review of the Underlying Physiology. </w:t>
      </w:r>
      <w:r w:rsidRPr="00E4394E">
        <w:rPr>
          <w:i/>
          <w:sz w:val="24"/>
        </w:rPr>
        <w:t>Shock</w:t>
      </w:r>
      <w:r w:rsidRPr="00E4394E">
        <w:rPr>
          <w:sz w:val="24"/>
        </w:rPr>
        <w:t xml:space="preserve"> 2016; </w:t>
      </w:r>
      <w:r w:rsidRPr="00E4394E">
        <w:rPr>
          <w:b/>
          <w:sz w:val="24"/>
        </w:rPr>
        <w:t>45</w:t>
      </w:r>
      <w:r w:rsidRPr="00E4394E">
        <w:rPr>
          <w:sz w:val="24"/>
        </w:rPr>
        <w:t>: 580-590 [PMID: 26950588 DOI: 10.1097/SHK.0000000000000559]</w:t>
      </w:r>
    </w:p>
    <w:p w:rsidR="007D7A36" w:rsidRPr="00E4394E" w:rsidRDefault="000C16B1">
      <w:pPr>
        <w:spacing w:line="360" w:lineRule="auto"/>
        <w:rPr>
          <w:sz w:val="24"/>
        </w:rPr>
      </w:pPr>
      <w:r w:rsidRPr="00E4394E">
        <w:rPr>
          <w:sz w:val="24"/>
        </w:rPr>
        <w:t xml:space="preserve">3 </w:t>
      </w:r>
      <w:r w:rsidRPr="00E4394E">
        <w:rPr>
          <w:b/>
          <w:sz w:val="24"/>
        </w:rPr>
        <w:t>Shu JE</w:t>
      </w:r>
      <w:r w:rsidRPr="00E4394E">
        <w:rPr>
          <w:sz w:val="24"/>
        </w:rPr>
        <w:t xml:space="preserve">, Ying ML, Chen XR, Hua JJ, Fu JT, Xia XM, Pan YH, Jiang Y. Prognostic value of high-resolution magnetic resonance imaging in evaluating carotid atherosclerotic plaque in patients with ischemic stroke. </w:t>
      </w:r>
      <w:r w:rsidRPr="00E4394E">
        <w:rPr>
          <w:i/>
          <w:sz w:val="24"/>
        </w:rPr>
        <w:t>Medicine (Baltimore)</w:t>
      </w:r>
      <w:r w:rsidRPr="00E4394E">
        <w:rPr>
          <w:sz w:val="24"/>
        </w:rPr>
        <w:t xml:space="preserve"> 2017; </w:t>
      </w:r>
      <w:r w:rsidRPr="00E4394E">
        <w:rPr>
          <w:b/>
          <w:sz w:val="24"/>
        </w:rPr>
        <w:t>96</w:t>
      </w:r>
      <w:r w:rsidRPr="00E4394E">
        <w:rPr>
          <w:sz w:val="24"/>
        </w:rPr>
        <w:t>: e8515 [PMID: 29137053 DOI: 10.1097/MD.0000000000008515]</w:t>
      </w:r>
    </w:p>
    <w:p w:rsidR="007D7A36" w:rsidRPr="00E4394E" w:rsidRDefault="000C16B1">
      <w:pPr>
        <w:spacing w:line="360" w:lineRule="auto"/>
        <w:rPr>
          <w:sz w:val="24"/>
        </w:rPr>
      </w:pPr>
      <w:r w:rsidRPr="00E4394E">
        <w:rPr>
          <w:sz w:val="24"/>
        </w:rPr>
        <w:t xml:space="preserve">4 </w:t>
      </w:r>
      <w:r w:rsidRPr="00E4394E">
        <w:rPr>
          <w:b/>
          <w:sz w:val="24"/>
        </w:rPr>
        <w:t>Nasr N</w:t>
      </w:r>
      <w:r w:rsidRPr="00E4394E">
        <w:rPr>
          <w:sz w:val="24"/>
        </w:rPr>
        <w:t xml:space="preserve">, Ruidavets JB, Farghali A, Guidolin B, Perret B, Larrue V. Lipoprotein (a) and carotid atherosclerosis in young patients with stroke. </w:t>
      </w:r>
      <w:r w:rsidRPr="00E4394E">
        <w:rPr>
          <w:i/>
          <w:sz w:val="24"/>
        </w:rPr>
        <w:t>Stroke</w:t>
      </w:r>
      <w:r w:rsidRPr="00E4394E">
        <w:rPr>
          <w:sz w:val="24"/>
        </w:rPr>
        <w:t xml:space="preserve"> 2011; </w:t>
      </w:r>
      <w:r w:rsidRPr="00E4394E">
        <w:rPr>
          <w:b/>
          <w:sz w:val="24"/>
        </w:rPr>
        <w:t>42</w:t>
      </w:r>
      <w:r w:rsidRPr="00E4394E">
        <w:rPr>
          <w:sz w:val="24"/>
        </w:rPr>
        <w:t>: 3616-3618 [PMID: 21940953 DOI: 10.1161/STROKEAHA.111.624684]</w:t>
      </w:r>
    </w:p>
    <w:p w:rsidR="007D7A36" w:rsidRPr="00E4394E" w:rsidRDefault="000C16B1">
      <w:pPr>
        <w:spacing w:line="360" w:lineRule="auto"/>
        <w:rPr>
          <w:sz w:val="24"/>
        </w:rPr>
      </w:pPr>
      <w:r w:rsidRPr="00E4394E">
        <w:rPr>
          <w:sz w:val="24"/>
        </w:rPr>
        <w:t xml:space="preserve">5 </w:t>
      </w:r>
      <w:r w:rsidRPr="00E4394E">
        <w:rPr>
          <w:b/>
          <w:sz w:val="24"/>
        </w:rPr>
        <w:t>Boulanger CM</w:t>
      </w:r>
      <w:r w:rsidRPr="00E4394E">
        <w:rPr>
          <w:sz w:val="24"/>
        </w:rPr>
        <w:t xml:space="preserve">, Loyer X, Rautou PE, Amabile N. Extracellular vesicles in coronary artery disease. </w:t>
      </w:r>
      <w:r w:rsidRPr="00E4394E">
        <w:rPr>
          <w:i/>
          <w:sz w:val="24"/>
        </w:rPr>
        <w:t>Nat Rev Cardiol</w:t>
      </w:r>
      <w:r w:rsidRPr="00E4394E">
        <w:rPr>
          <w:sz w:val="24"/>
        </w:rPr>
        <w:t xml:space="preserve"> 2017; </w:t>
      </w:r>
      <w:r w:rsidRPr="00E4394E">
        <w:rPr>
          <w:b/>
          <w:sz w:val="24"/>
        </w:rPr>
        <w:t>14</w:t>
      </w:r>
      <w:r w:rsidRPr="00E4394E">
        <w:rPr>
          <w:sz w:val="24"/>
        </w:rPr>
        <w:t>: 259-272 [PMID: 28150804 DOI: 10.1038/nrcardio.2017.7]</w:t>
      </w:r>
    </w:p>
    <w:p w:rsidR="007D7A36" w:rsidRPr="00E4394E" w:rsidRDefault="000C16B1">
      <w:pPr>
        <w:spacing w:line="360" w:lineRule="auto"/>
        <w:rPr>
          <w:sz w:val="24"/>
        </w:rPr>
      </w:pPr>
      <w:r w:rsidRPr="00E4394E">
        <w:rPr>
          <w:sz w:val="24"/>
        </w:rPr>
        <w:t xml:space="preserve">6 </w:t>
      </w:r>
      <w:r w:rsidRPr="00E4394E">
        <w:rPr>
          <w:b/>
          <w:sz w:val="24"/>
        </w:rPr>
        <w:t>Baradaran H</w:t>
      </w:r>
      <w:r w:rsidRPr="00E4394E">
        <w:rPr>
          <w:sz w:val="24"/>
        </w:rPr>
        <w:t xml:space="preserve">, Myneni PK, Patel P, Askin G, Gialdini G, Al-Dasuqi K, Kamel H, Gupta A. Association Between Carotid Artery Perivascular Fat Density and Cerebrovascular Ischemic Events. </w:t>
      </w:r>
      <w:r w:rsidRPr="00E4394E">
        <w:rPr>
          <w:i/>
          <w:sz w:val="24"/>
        </w:rPr>
        <w:t>J Am Heart Assoc</w:t>
      </w:r>
      <w:r w:rsidRPr="00E4394E">
        <w:rPr>
          <w:sz w:val="24"/>
        </w:rPr>
        <w:t xml:space="preserve"> 2018; </w:t>
      </w:r>
      <w:r w:rsidRPr="00E4394E">
        <w:rPr>
          <w:b/>
          <w:sz w:val="24"/>
        </w:rPr>
        <w:t>7</w:t>
      </w:r>
      <w:r w:rsidRPr="00E4394E">
        <w:rPr>
          <w:sz w:val="24"/>
        </w:rPr>
        <w:t>: e010383 [PMID: 30561272 DOI: 10.1161/JAHA.118.010383]</w:t>
      </w:r>
    </w:p>
    <w:p w:rsidR="007D7A36" w:rsidRPr="00E4394E" w:rsidRDefault="000C16B1">
      <w:pPr>
        <w:spacing w:line="360" w:lineRule="auto"/>
        <w:rPr>
          <w:sz w:val="24"/>
        </w:rPr>
      </w:pPr>
      <w:r w:rsidRPr="00E4394E">
        <w:rPr>
          <w:sz w:val="24"/>
        </w:rPr>
        <w:t xml:space="preserve">7 </w:t>
      </w:r>
      <w:r w:rsidRPr="00E4394E">
        <w:rPr>
          <w:b/>
          <w:sz w:val="24"/>
        </w:rPr>
        <w:t>Zhao Y</w:t>
      </w:r>
      <w:r w:rsidRPr="00E4394E">
        <w:rPr>
          <w:sz w:val="24"/>
        </w:rPr>
        <w:t xml:space="preserve">, Gong CX. From chronic cerebral hypoperfusion to Alzheimer-like brain pathology and neurodegeneration. </w:t>
      </w:r>
      <w:r w:rsidRPr="00E4394E">
        <w:rPr>
          <w:i/>
          <w:sz w:val="24"/>
        </w:rPr>
        <w:t>Cell Mol Neurobiol</w:t>
      </w:r>
      <w:r w:rsidRPr="00E4394E">
        <w:rPr>
          <w:sz w:val="24"/>
        </w:rPr>
        <w:t xml:space="preserve"> 2015; </w:t>
      </w:r>
      <w:r w:rsidRPr="00E4394E">
        <w:rPr>
          <w:b/>
          <w:sz w:val="24"/>
        </w:rPr>
        <w:t>35</w:t>
      </w:r>
      <w:r w:rsidRPr="00E4394E">
        <w:rPr>
          <w:sz w:val="24"/>
        </w:rPr>
        <w:t>: 101-110 [PMID: 25352419 DOI: 10.1007/s10571-014-0127-9]</w:t>
      </w:r>
    </w:p>
    <w:p w:rsidR="007D7A36" w:rsidRPr="00E4394E" w:rsidRDefault="000C16B1">
      <w:pPr>
        <w:spacing w:line="360" w:lineRule="auto"/>
        <w:rPr>
          <w:sz w:val="24"/>
        </w:rPr>
      </w:pPr>
      <w:r w:rsidRPr="00E4394E">
        <w:rPr>
          <w:sz w:val="24"/>
        </w:rPr>
        <w:t xml:space="preserve">8 </w:t>
      </w:r>
      <w:r w:rsidRPr="00E4394E">
        <w:rPr>
          <w:b/>
          <w:sz w:val="24"/>
        </w:rPr>
        <w:t>Khoshnam SE</w:t>
      </w:r>
      <w:r w:rsidRPr="00E4394E">
        <w:rPr>
          <w:sz w:val="24"/>
        </w:rPr>
        <w:t xml:space="preserve">, Winlow W, Farzaneh M, Farbood Y, Moghaddam HF. Pathogenic mechanisms following ischemic stroke. </w:t>
      </w:r>
      <w:r w:rsidRPr="00E4394E">
        <w:rPr>
          <w:i/>
          <w:sz w:val="24"/>
        </w:rPr>
        <w:t>Neurol Sci</w:t>
      </w:r>
      <w:r w:rsidRPr="00E4394E">
        <w:rPr>
          <w:sz w:val="24"/>
        </w:rPr>
        <w:t xml:space="preserve"> 2017; </w:t>
      </w:r>
      <w:r w:rsidRPr="00E4394E">
        <w:rPr>
          <w:b/>
          <w:sz w:val="24"/>
        </w:rPr>
        <w:t>38</w:t>
      </w:r>
      <w:r w:rsidRPr="00E4394E">
        <w:rPr>
          <w:sz w:val="24"/>
        </w:rPr>
        <w:t>: 1167-1186 [PMID: 28417216 DOI: 10.1007/s10072-017-2938-1]</w:t>
      </w:r>
    </w:p>
    <w:p w:rsidR="007D7A36" w:rsidRPr="00E4394E" w:rsidRDefault="000C16B1">
      <w:pPr>
        <w:spacing w:line="360" w:lineRule="auto"/>
        <w:rPr>
          <w:sz w:val="24"/>
        </w:rPr>
      </w:pPr>
      <w:r w:rsidRPr="00E4394E">
        <w:rPr>
          <w:sz w:val="24"/>
        </w:rPr>
        <w:t xml:space="preserve">9 </w:t>
      </w:r>
      <w:r w:rsidRPr="00E4394E">
        <w:rPr>
          <w:b/>
          <w:sz w:val="24"/>
        </w:rPr>
        <w:t>Camaré C</w:t>
      </w:r>
      <w:r w:rsidRPr="00E4394E">
        <w:rPr>
          <w:sz w:val="24"/>
        </w:rPr>
        <w:t xml:space="preserve">, Pucelle M, Nègre-Salvayre A, Salvayre R. Angiogenesis in the atherosclerotic plaque. </w:t>
      </w:r>
      <w:r w:rsidRPr="00E4394E">
        <w:rPr>
          <w:i/>
          <w:sz w:val="24"/>
        </w:rPr>
        <w:t>Redox Biol</w:t>
      </w:r>
      <w:r w:rsidRPr="00E4394E">
        <w:rPr>
          <w:sz w:val="24"/>
        </w:rPr>
        <w:t xml:space="preserve"> 2017; </w:t>
      </w:r>
      <w:r w:rsidRPr="00E4394E">
        <w:rPr>
          <w:b/>
          <w:sz w:val="24"/>
        </w:rPr>
        <w:t>12</w:t>
      </w:r>
      <w:r w:rsidRPr="00E4394E">
        <w:rPr>
          <w:sz w:val="24"/>
        </w:rPr>
        <w:t>: 18-34 [PMID: 28212521 DOI: 10.1016/j.redox.2017.01.007]</w:t>
      </w:r>
    </w:p>
    <w:p w:rsidR="007D7A36" w:rsidRPr="00E4394E" w:rsidRDefault="000C16B1">
      <w:pPr>
        <w:spacing w:line="360" w:lineRule="auto"/>
        <w:rPr>
          <w:sz w:val="24"/>
        </w:rPr>
      </w:pPr>
      <w:r w:rsidRPr="00E4394E">
        <w:rPr>
          <w:sz w:val="24"/>
        </w:rPr>
        <w:t xml:space="preserve">10 </w:t>
      </w:r>
      <w:r w:rsidRPr="00E4394E">
        <w:rPr>
          <w:b/>
          <w:sz w:val="24"/>
        </w:rPr>
        <w:t>Zhang H</w:t>
      </w:r>
      <w:r w:rsidRPr="00E4394E">
        <w:rPr>
          <w:sz w:val="24"/>
        </w:rPr>
        <w:t xml:space="preserve">, Du J, Wang H, Wang H, Jiang J, Zhao J, Lu H. Comparison of diagnostic values of ultrasound micro-flow imaging and contrast-enhanced ultrasound for neovascularization in carotid plaques. </w:t>
      </w:r>
      <w:r w:rsidRPr="00E4394E">
        <w:rPr>
          <w:i/>
          <w:sz w:val="24"/>
        </w:rPr>
        <w:t>Exp Ther Med</w:t>
      </w:r>
      <w:r w:rsidRPr="00E4394E">
        <w:rPr>
          <w:sz w:val="24"/>
        </w:rPr>
        <w:t xml:space="preserve"> 2017; </w:t>
      </w:r>
      <w:r w:rsidRPr="00E4394E">
        <w:rPr>
          <w:b/>
          <w:sz w:val="24"/>
        </w:rPr>
        <w:t>14</w:t>
      </w:r>
      <w:r w:rsidRPr="00E4394E">
        <w:rPr>
          <w:sz w:val="24"/>
        </w:rPr>
        <w:t>: 680-688 [PMID: 28672985 DOI: 10.3892/etm.2017.4525]</w:t>
      </w:r>
    </w:p>
    <w:p w:rsidR="007D7A36" w:rsidRPr="00E4394E" w:rsidRDefault="000C16B1">
      <w:pPr>
        <w:spacing w:line="360" w:lineRule="auto"/>
        <w:rPr>
          <w:sz w:val="24"/>
        </w:rPr>
      </w:pPr>
      <w:r w:rsidRPr="00E4394E">
        <w:rPr>
          <w:sz w:val="24"/>
        </w:rPr>
        <w:t xml:space="preserve">11 </w:t>
      </w:r>
      <w:r w:rsidRPr="00E4394E">
        <w:rPr>
          <w:b/>
          <w:sz w:val="24"/>
        </w:rPr>
        <w:t>Saha SA</w:t>
      </w:r>
      <w:r w:rsidRPr="00E4394E">
        <w:rPr>
          <w:sz w:val="24"/>
        </w:rPr>
        <w:t xml:space="preserve">, Gourineni V, Feinstein SB. The Use of Contrast-enhanced Ultrasonography for Imaging of Carotid Atherosclerotic Plaques: Current Evidence, Future Directions. </w:t>
      </w:r>
      <w:r w:rsidRPr="00E4394E">
        <w:rPr>
          <w:i/>
          <w:sz w:val="24"/>
        </w:rPr>
        <w:t>Neuroimaging Clin N Am</w:t>
      </w:r>
      <w:r w:rsidRPr="00E4394E">
        <w:rPr>
          <w:sz w:val="24"/>
        </w:rPr>
        <w:t xml:space="preserve"> 2016; </w:t>
      </w:r>
      <w:r w:rsidRPr="00E4394E">
        <w:rPr>
          <w:b/>
          <w:sz w:val="24"/>
        </w:rPr>
        <w:t>26</w:t>
      </w:r>
      <w:r w:rsidRPr="00E4394E">
        <w:rPr>
          <w:sz w:val="24"/>
        </w:rPr>
        <w:t>: 81-96 [PMID: 26610662 DOI: 10.1016/j.nic.2015.09.007]</w:t>
      </w:r>
    </w:p>
    <w:p w:rsidR="007D7A36" w:rsidRPr="00E4394E" w:rsidRDefault="000C16B1">
      <w:pPr>
        <w:spacing w:line="360" w:lineRule="auto"/>
        <w:rPr>
          <w:sz w:val="24"/>
        </w:rPr>
      </w:pPr>
      <w:r w:rsidRPr="00E4394E">
        <w:rPr>
          <w:sz w:val="24"/>
        </w:rPr>
        <w:t xml:space="preserve">12 </w:t>
      </w:r>
      <w:r w:rsidRPr="00E4394E">
        <w:rPr>
          <w:b/>
          <w:sz w:val="24"/>
        </w:rPr>
        <w:t>Ma Y</w:t>
      </w:r>
      <w:r w:rsidRPr="00E4394E">
        <w:rPr>
          <w:sz w:val="24"/>
        </w:rPr>
        <w:t xml:space="preserve">, Li G, Li J, Ren WD. The Diagnostic Value of Superb Microvascular Imaging (SMI) in Detecting Blood Flow Signals of Breast Lesions: A Preliminary Study Comparing SMI to Color Doppler Flow Imaging. </w:t>
      </w:r>
      <w:r w:rsidRPr="00E4394E">
        <w:rPr>
          <w:i/>
          <w:sz w:val="24"/>
        </w:rPr>
        <w:t>Medicine (Baltimore)</w:t>
      </w:r>
      <w:r w:rsidRPr="00E4394E">
        <w:rPr>
          <w:sz w:val="24"/>
        </w:rPr>
        <w:t xml:space="preserve"> 2015; </w:t>
      </w:r>
      <w:r w:rsidRPr="00E4394E">
        <w:rPr>
          <w:b/>
          <w:sz w:val="24"/>
        </w:rPr>
        <w:t>94</w:t>
      </w:r>
      <w:r w:rsidRPr="00E4394E">
        <w:rPr>
          <w:sz w:val="24"/>
        </w:rPr>
        <w:t>: e1502 [PMID: 26356718 DOI: 10.1097/MD.0000000000001502]</w:t>
      </w:r>
    </w:p>
    <w:p w:rsidR="007D7A36" w:rsidRPr="00E4394E" w:rsidRDefault="000C16B1">
      <w:pPr>
        <w:spacing w:line="360" w:lineRule="auto"/>
        <w:rPr>
          <w:sz w:val="24"/>
        </w:rPr>
      </w:pPr>
      <w:r w:rsidRPr="00E4394E">
        <w:rPr>
          <w:sz w:val="24"/>
        </w:rPr>
        <w:t xml:space="preserve">13 </w:t>
      </w:r>
      <w:r w:rsidRPr="00E4394E">
        <w:rPr>
          <w:b/>
          <w:sz w:val="24"/>
        </w:rPr>
        <w:t>Oura K</w:t>
      </w:r>
      <w:r w:rsidRPr="00E4394E">
        <w:rPr>
          <w:sz w:val="24"/>
        </w:rPr>
        <w:t xml:space="preserve">, Kato T, Ohba H, Terayama Y. Evaluation of Intraplaque Neovascularization Using Superb Microvascular Imaging and Contrast-Enhanced Ultrasonography. </w:t>
      </w:r>
      <w:r w:rsidRPr="00E4394E">
        <w:rPr>
          <w:i/>
          <w:sz w:val="24"/>
        </w:rPr>
        <w:t>J Stroke Cerebrovasc Dis</w:t>
      </w:r>
      <w:r w:rsidRPr="00E4394E">
        <w:rPr>
          <w:sz w:val="24"/>
        </w:rPr>
        <w:t xml:space="preserve"> 2018; </w:t>
      </w:r>
      <w:r w:rsidRPr="00E4394E">
        <w:rPr>
          <w:b/>
          <w:sz w:val="24"/>
        </w:rPr>
        <w:t>27</w:t>
      </w:r>
      <w:r w:rsidRPr="00E4394E">
        <w:rPr>
          <w:sz w:val="24"/>
        </w:rPr>
        <w:t>: 2348-2353 [PMID: 29754774 DOI: 10.1016/j.jstrokecerebrovasdis.2018.04.023]</w:t>
      </w:r>
    </w:p>
    <w:p w:rsidR="007D7A36" w:rsidRPr="00E4394E" w:rsidRDefault="000C16B1">
      <w:pPr>
        <w:spacing w:line="360" w:lineRule="auto"/>
        <w:rPr>
          <w:sz w:val="24"/>
        </w:rPr>
      </w:pPr>
      <w:r w:rsidRPr="00E4394E">
        <w:rPr>
          <w:sz w:val="24"/>
        </w:rPr>
        <w:t xml:space="preserve">14 </w:t>
      </w:r>
      <w:r w:rsidRPr="00E4394E">
        <w:rPr>
          <w:b/>
          <w:sz w:val="24"/>
        </w:rPr>
        <w:t>Hagiwara Y</w:t>
      </w:r>
      <w:r w:rsidRPr="00E4394E">
        <w:rPr>
          <w:sz w:val="24"/>
        </w:rPr>
        <w:t xml:space="preserve">, Sasaki R, Shimizu T, Soga K, Hatada C, Miyauchi M, Okamura T, Sakurai M, Akiyama H, Hasegawa Y. The utility of superb microvascular imaging for the detection of deep vein thrombosis. </w:t>
      </w:r>
      <w:r w:rsidRPr="00E4394E">
        <w:rPr>
          <w:i/>
          <w:sz w:val="24"/>
        </w:rPr>
        <w:t>J Med Ultrason (2001)</w:t>
      </w:r>
      <w:r w:rsidRPr="00E4394E">
        <w:rPr>
          <w:sz w:val="24"/>
        </w:rPr>
        <w:t xml:space="preserve"> 2018; </w:t>
      </w:r>
      <w:r w:rsidRPr="00E4394E">
        <w:rPr>
          <w:b/>
          <w:sz w:val="24"/>
        </w:rPr>
        <w:t>45</w:t>
      </w:r>
      <w:r w:rsidRPr="00E4394E">
        <w:rPr>
          <w:sz w:val="24"/>
        </w:rPr>
        <w:t>: 665-669 [PMID: 29774429 DOI: 10.1007/s10396-018-0883-0]</w:t>
      </w:r>
    </w:p>
    <w:p w:rsidR="007D7A36" w:rsidRPr="00E4394E" w:rsidRDefault="000C16B1">
      <w:pPr>
        <w:spacing w:line="360" w:lineRule="auto"/>
        <w:rPr>
          <w:sz w:val="24"/>
        </w:rPr>
      </w:pPr>
      <w:r w:rsidRPr="00E4394E">
        <w:rPr>
          <w:sz w:val="24"/>
        </w:rPr>
        <w:t xml:space="preserve">15 </w:t>
      </w:r>
      <w:r w:rsidRPr="00E4394E">
        <w:rPr>
          <w:b/>
          <w:sz w:val="24"/>
        </w:rPr>
        <w:t>Polak JF</w:t>
      </w:r>
      <w:r w:rsidRPr="00E4394E">
        <w:rPr>
          <w:sz w:val="24"/>
        </w:rPr>
        <w:t xml:space="preserve">, Shemanski L, O'Leary DH, Lefkowitz D, Price TR, Savage PJ, Brant WE, Reid C. Hypoechoic plaque at US of the carotid artery: an independent risk factor for incident stroke in adults aged 65 years or older. Cardiovascular Health Study. </w:t>
      </w:r>
      <w:r w:rsidRPr="00E4394E">
        <w:rPr>
          <w:i/>
          <w:sz w:val="24"/>
        </w:rPr>
        <w:t>Radiology</w:t>
      </w:r>
      <w:r w:rsidRPr="00E4394E">
        <w:rPr>
          <w:sz w:val="24"/>
        </w:rPr>
        <w:t xml:space="preserve"> 1998; </w:t>
      </w:r>
      <w:r w:rsidRPr="00E4394E">
        <w:rPr>
          <w:b/>
          <w:sz w:val="24"/>
        </w:rPr>
        <w:t>208</w:t>
      </w:r>
      <w:r w:rsidRPr="00E4394E">
        <w:rPr>
          <w:sz w:val="24"/>
        </w:rPr>
        <w:t>: 649-654 [PMID: 9722841 DOI: 10.1148/radiology.208.3.9722841]</w:t>
      </w:r>
    </w:p>
    <w:p w:rsidR="007D7A36" w:rsidRPr="00E4394E" w:rsidRDefault="000C16B1">
      <w:pPr>
        <w:spacing w:line="360" w:lineRule="auto"/>
        <w:rPr>
          <w:sz w:val="24"/>
        </w:rPr>
      </w:pPr>
      <w:r w:rsidRPr="00E4394E">
        <w:rPr>
          <w:sz w:val="24"/>
        </w:rPr>
        <w:t xml:space="preserve">16 </w:t>
      </w:r>
      <w:r w:rsidRPr="00E4394E">
        <w:rPr>
          <w:b/>
          <w:sz w:val="24"/>
        </w:rPr>
        <w:t>Xiong L</w:t>
      </w:r>
      <w:r w:rsidRPr="00E4394E">
        <w:rPr>
          <w:sz w:val="24"/>
        </w:rPr>
        <w:t xml:space="preserve">, Deng YB, Zhu Y, Liu YN, Bi XJ. Correlation of carotid plaque neovascularization detected by using contrast-enhanced US with clinical symptoms. </w:t>
      </w:r>
      <w:r w:rsidRPr="00E4394E">
        <w:rPr>
          <w:i/>
          <w:sz w:val="24"/>
        </w:rPr>
        <w:t>Radiology</w:t>
      </w:r>
      <w:r w:rsidRPr="00E4394E">
        <w:rPr>
          <w:sz w:val="24"/>
        </w:rPr>
        <w:t xml:space="preserve"> 2009; </w:t>
      </w:r>
      <w:r w:rsidRPr="00E4394E">
        <w:rPr>
          <w:b/>
          <w:sz w:val="24"/>
        </w:rPr>
        <w:t>251</w:t>
      </w:r>
      <w:r w:rsidRPr="00E4394E">
        <w:rPr>
          <w:sz w:val="24"/>
        </w:rPr>
        <w:t>: 583-589 [PMID: 19304920 DOI: 10.1148/radiol.2512081829]</w:t>
      </w:r>
    </w:p>
    <w:p w:rsidR="007D7A36" w:rsidRPr="00E4394E" w:rsidRDefault="000C16B1">
      <w:pPr>
        <w:spacing w:line="360" w:lineRule="auto"/>
        <w:rPr>
          <w:sz w:val="24"/>
        </w:rPr>
      </w:pPr>
      <w:r w:rsidRPr="00E4394E">
        <w:rPr>
          <w:sz w:val="24"/>
        </w:rPr>
        <w:t xml:space="preserve">17 </w:t>
      </w:r>
      <w:r w:rsidRPr="00E4394E">
        <w:rPr>
          <w:b/>
          <w:sz w:val="24"/>
        </w:rPr>
        <w:t>Huang PT</w:t>
      </w:r>
      <w:r w:rsidRPr="00E4394E">
        <w:rPr>
          <w:sz w:val="24"/>
        </w:rPr>
        <w:t xml:space="preserve">, Chen CC, Aronow WS, Wang XT, Nair CK, Xue NY, Shen X, Li SY, Huang FG, Cosgrove D. Assessment of neovascularization within carotid plaques in patients with ischemic stroke. </w:t>
      </w:r>
      <w:r w:rsidRPr="00E4394E">
        <w:rPr>
          <w:i/>
          <w:sz w:val="24"/>
        </w:rPr>
        <w:t>World J Cardiol</w:t>
      </w:r>
      <w:r w:rsidRPr="00E4394E">
        <w:rPr>
          <w:sz w:val="24"/>
        </w:rPr>
        <w:t xml:space="preserve"> 2010; </w:t>
      </w:r>
      <w:r w:rsidRPr="00E4394E">
        <w:rPr>
          <w:b/>
          <w:sz w:val="24"/>
        </w:rPr>
        <w:t>2</w:t>
      </w:r>
      <w:r w:rsidRPr="00E4394E">
        <w:rPr>
          <w:sz w:val="24"/>
        </w:rPr>
        <w:t>: 89-97 [PMID: 21160703 DOI: 10.4330/wjc.v2.i4.89]</w:t>
      </w:r>
    </w:p>
    <w:p w:rsidR="007D7A36" w:rsidRPr="00E4394E" w:rsidRDefault="000C16B1">
      <w:pPr>
        <w:spacing w:line="360" w:lineRule="auto"/>
        <w:rPr>
          <w:sz w:val="24"/>
        </w:rPr>
      </w:pPr>
      <w:r w:rsidRPr="00E4394E">
        <w:rPr>
          <w:sz w:val="24"/>
        </w:rPr>
        <w:t xml:space="preserve">18 </w:t>
      </w:r>
      <w:r w:rsidRPr="00E4394E">
        <w:rPr>
          <w:b/>
          <w:sz w:val="24"/>
        </w:rPr>
        <w:t>Zhang Y</w:t>
      </w:r>
      <w:r w:rsidRPr="00E4394E">
        <w:rPr>
          <w:sz w:val="24"/>
        </w:rPr>
        <w:t xml:space="preserve">, Bai L, Shi M, Lu H, Wu Y, Tu J, Ni J, Wang J, Cao L, Lei P, Ning X. Features and risk factors of carotid atherosclerosis in a population with high stroke incidence in China. </w:t>
      </w:r>
      <w:r w:rsidRPr="00E4394E">
        <w:rPr>
          <w:i/>
          <w:sz w:val="24"/>
        </w:rPr>
        <w:t>Oncotarget</w:t>
      </w:r>
      <w:r w:rsidRPr="00E4394E">
        <w:rPr>
          <w:sz w:val="24"/>
        </w:rPr>
        <w:t xml:space="preserve"> 2017; </w:t>
      </w:r>
      <w:r w:rsidRPr="00E4394E">
        <w:rPr>
          <w:b/>
          <w:sz w:val="24"/>
        </w:rPr>
        <w:t>8</w:t>
      </w:r>
      <w:r w:rsidRPr="00E4394E">
        <w:rPr>
          <w:sz w:val="24"/>
        </w:rPr>
        <w:t>: 57477-57488 [PMID: 28915687 DOI: 10.18632/oncotarget.15415]</w:t>
      </w:r>
    </w:p>
    <w:p w:rsidR="007D7A36" w:rsidRPr="00E4394E" w:rsidRDefault="000C16B1">
      <w:pPr>
        <w:spacing w:line="360" w:lineRule="auto"/>
        <w:rPr>
          <w:sz w:val="24"/>
        </w:rPr>
      </w:pPr>
      <w:r w:rsidRPr="00E4394E">
        <w:rPr>
          <w:sz w:val="24"/>
        </w:rPr>
        <w:t xml:space="preserve">19 </w:t>
      </w:r>
      <w:r w:rsidRPr="00E4394E">
        <w:rPr>
          <w:b/>
          <w:sz w:val="24"/>
        </w:rPr>
        <w:t>van Hinsbergh VW</w:t>
      </w:r>
      <w:r w:rsidRPr="00E4394E">
        <w:rPr>
          <w:sz w:val="24"/>
        </w:rPr>
        <w:t xml:space="preserve">, Eringa EC, Daemen MJ. Neovascularization of the atherosclerotic plaque: interplay between atherosclerotic lesion, adventitia-derived microvessels and perivascular fat. </w:t>
      </w:r>
      <w:r w:rsidRPr="00E4394E">
        <w:rPr>
          <w:i/>
          <w:sz w:val="24"/>
        </w:rPr>
        <w:t>Curr Opin Lipidol</w:t>
      </w:r>
      <w:r w:rsidRPr="00E4394E">
        <w:rPr>
          <w:sz w:val="24"/>
        </w:rPr>
        <w:t xml:space="preserve"> 2015; </w:t>
      </w:r>
      <w:r w:rsidRPr="00E4394E">
        <w:rPr>
          <w:b/>
          <w:sz w:val="24"/>
        </w:rPr>
        <w:t>26</w:t>
      </w:r>
      <w:r w:rsidRPr="00E4394E">
        <w:rPr>
          <w:sz w:val="24"/>
        </w:rPr>
        <w:t>: 405-411 [PMID: 26241102 DOI: 10.1097/MOL.0000000000000210]</w:t>
      </w:r>
    </w:p>
    <w:p w:rsidR="007D7A36" w:rsidRPr="00E4394E" w:rsidRDefault="000C16B1">
      <w:pPr>
        <w:spacing w:line="360" w:lineRule="auto"/>
        <w:rPr>
          <w:sz w:val="24"/>
        </w:rPr>
      </w:pPr>
      <w:r w:rsidRPr="00E4394E">
        <w:rPr>
          <w:sz w:val="24"/>
        </w:rPr>
        <w:t xml:space="preserve">20 </w:t>
      </w:r>
      <w:r w:rsidRPr="00E4394E">
        <w:rPr>
          <w:b/>
          <w:sz w:val="24"/>
        </w:rPr>
        <w:t>Akkus Z</w:t>
      </w:r>
      <w:r w:rsidRPr="00E4394E">
        <w:rPr>
          <w:sz w:val="24"/>
        </w:rPr>
        <w:t xml:space="preserve">, Hoogi A, Renaud G, van den Oord SC, Ten Kate GL, Schinkel AF, Adam D, de Jong N, van der Steen AF, Bosch JG. New quantification methods for carotid intra-plaque neovascularization using contrast-enhanced ultrasound. </w:t>
      </w:r>
      <w:r w:rsidRPr="00E4394E">
        <w:rPr>
          <w:i/>
          <w:sz w:val="24"/>
        </w:rPr>
        <w:t>Ultrasound Med Biol</w:t>
      </w:r>
      <w:r w:rsidRPr="00E4394E">
        <w:rPr>
          <w:sz w:val="24"/>
        </w:rPr>
        <w:t xml:space="preserve"> 2014; </w:t>
      </w:r>
      <w:r w:rsidRPr="00E4394E">
        <w:rPr>
          <w:b/>
          <w:sz w:val="24"/>
        </w:rPr>
        <w:t>40</w:t>
      </w:r>
      <w:r w:rsidRPr="00E4394E">
        <w:rPr>
          <w:sz w:val="24"/>
        </w:rPr>
        <w:t>: 25-36 [PMID: 24161799 DOI: 10.1016/j.ultrasmedbio.2013.09.010]</w:t>
      </w:r>
    </w:p>
    <w:p w:rsidR="007D7A36" w:rsidRPr="00E4394E" w:rsidRDefault="000C16B1">
      <w:pPr>
        <w:spacing w:line="360" w:lineRule="auto"/>
        <w:rPr>
          <w:sz w:val="24"/>
        </w:rPr>
      </w:pPr>
      <w:r w:rsidRPr="00E4394E">
        <w:rPr>
          <w:sz w:val="24"/>
        </w:rPr>
        <w:t xml:space="preserve">21 </w:t>
      </w:r>
      <w:r w:rsidRPr="00E4394E">
        <w:rPr>
          <w:b/>
          <w:sz w:val="24"/>
        </w:rPr>
        <w:t>Schmidt C</w:t>
      </w:r>
      <w:r w:rsidRPr="00E4394E">
        <w:rPr>
          <w:sz w:val="24"/>
        </w:rPr>
        <w:t xml:space="preserve">, Fischer T, Rückert RI, Oberwahrenbrock T, Harms L, Kronenberg G, Kunte H. Identification of neovascularization by contrast-enhanced ultrasound to detect unstable carotid stenosis. </w:t>
      </w:r>
      <w:r w:rsidRPr="00E4394E">
        <w:rPr>
          <w:i/>
          <w:sz w:val="24"/>
        </w:rPr>
        <w:t>PLoS One</w:t>
      </w:r>
      <w:r w:rsidRPr="00E4394E">
        <w:rPr>
          <w:sz w:val="24"/>
        </w:rPr>
        <w:t xml:space="preserve"> 2017; </w:t>
      </w:r>
      <w:r w:rsidRPr="00E4394E">
        <w:rPr>
          <w:b/>
          <w:sz w:val="24"/>
        </w:rPr>
        <w:t>12</w:t>
      </w:r>
      <w:r w:rsidRPr="00E4394E">
        <w:rPr>
          <w:sz w:val="24"/>
        </w:rPr>
        <w:t>: e0175331 [PMID: 28388659 DOI: 10.1371/journal.pone.0175331]</w:t>
      </w:r>
    </w:p>
    <w:p w:rsidR="007D7A36" w:rsidRPr="00E4394E" w:rsidRDefault="000C16B1">
      <w:pPr>
        <w:spacing w:line="360" w:lineRule="auto"/>
        <w:rPr>
          <w:sz w:val="24"/>
        </w:rPr>
      </w:pPr>
      <w:r w:rsidRPr="00E4394E">
        <w:rPr>
          <w:sz w:val="24"/>
        </w:rPr>
        <w:t xml:space="preserve">22 </w:t>
      </w:r>
      <w:r w:rsidRPr="00E4394E">
        <w:rPr>
          <w:b/>
          <w:sz w:val="24"/>
        </w:rPr>
        <w:t>D'Oria M</w:t>
      </w:r>
      <w:r w:rsidRPr="00E4394E">
        <w:rPr>
          <w:sz w:val="24"/>
        </w:rPr>
        <w:t xml:space="preserve">, Chiarandini S, Pipitone MD, Fisicaro M, Calvagna C, Bussani R, Rotelli A, Ziani B. Contrast Enhanced Ultrasound (CEUS) Is Not Able to Identify Vulnerable Plaques in Asymptomatic Carotid Atherosclerotic Disease. </w:t>
      </w:r>
      <w:r w:rsidRPr="00E4394E">
        <w:rPr>
          <w:i/>
          <w:sz w:val="24"/>
        </w:rPr>
        <w:t>Eur J Vasc Endovasc Surg</w:t>
      </w:r>
      <w:r w:rsidRPr="00E4394E">
        <w:rPr>
          <w:sz w:val="24"/>
        </w:rPr>
        <w:t xml:space="preserve"> 2018; </w:t>
      </w:r>
      <w:r w:rsidRPr="00E4394E">
        <w:rPr>
          <w:b/>
          <w:sz w:val="24"/>
        </w:rPr>
        <w:t>56</w:t>
      </w:r>
      <w:r w:rsidRPr="00E4394E">
        <w:rPr>
          <w:sz w:val="24"/>
        </w:rPr>
        <w:t>: 632-642 [PMID: 30193730 DOI: 10.1016/j.ejvs.2018.07.024]</w:t>
      </w:r>
    </w:p>
    <w:p w:rsidR="007D7A36" w:rsidRPr="00E4394E" w:rsidRDefault="000C16B1">
      <w:pPr>
        <w:spacing w:line="360" w:lineRule="auto"/>
        <w:rPr>
          <w:sz w:val="24"/>
        </w:rPr>
      </w:pPr>
      <w:r w:rsidRPr="00E4394E">
        <w:rPr>
          <w:sz w:val="24"/>
        </w:rPr>
        <w:t xml:space="preserve">23 </w:t>
      </w:r>
      <w:r w:rsidRPr="00E4394E">
        <w:rPr>
          <w:b/>
          <w:sz w:val="24"/>
        </w:rPr>
        <w:t>Ohno Y</w:t>
      </w:r>
      <w:r w:rsidRPr="00E4394E">
        <w:rPr>
          <w:sz w:val="24"/>
        </w:rPr>
        <w:t xml:space="preserve">, Fujimoto T, Shibata Y. A New Era in Diagnostic Ultrasound, Superb Microvascular Imaging: Preliminary Results in Pediatric Hepato-Gastrointestinal Disorders. </w:t>
      </w:r>
      <w:r w:rsidRPr="00E4394E">
        <w:rPr>
          <w:i/>
          <w:sz w:val="24"/>
        </w:rPr>
        <w:t>Eur J Pediatr Surg</w:t>
      </w:r>
      <w:r w:rsidRPr="00E4394E">
        <w:rPr>
          <w:sz w:val="24"/>
        </w:rPr>
        <w:t xml:space="preserve"> 2017; </w:t>
      </w:r>
      <w:r w:rsidRPr="00E4394E">
        <w:rPr>
          <w:b/>
          <w:sz w:val="24"/>
        </w:rPr>
        <w:t>27</w:t>
      </w:r>
      <w:r w:rsidRPr="00E4394E">
        <w:rPr>
          <w:sz w:val="24"/>
        </w:rPr>
        <w:t>: 20-25 [PMID: 27699732 DOI: 10.1055/s-0036-1593381]</w:t>
      </w:r>
    </w:p>
    <w:p w:rsidR="007D7A36" w:rsidRPr="00E4394E" w:rsidRDefault="000C16B1">
      <w:pPr>
        <w:spacing w:line="360" w:lineRule="auto"/>
        <w:rPr>
          <w:sz w:val="24"/>
        </w:rPr>
      </w:pPr>
      <w:r w:rsidRPr="00E4394E">
        <w:rPr>
          <w:sz w:val="24"/>
        </w:rPr>
        <w:t xml:space="preserve">24 </w:t>
      </w:r>
      <w:r w:rsidRPr="00E4394E">
        <w:rPr>
          <w:b/>
          <w:sz w:val="24"/>
        </w:rPr>
        <w:t>Gabriel M</w:t>
      </w:r>
      <w:r w:rsidRPr="00E4394E">
        <w:rPr>
          <w:sz w:val="24"/>
        </w:rPr>
        <w:t xml:space="preserve">, Tomczak J, Snoch-Ziółkiewicz M, Dzieciuchowicz Ł, Strauss E, Pawlaczyk K, Wojtusik D, Oszkinis G. Superb Micro-vascular Imaging (SMI): a Doppler ultrasound technique with potential to identify, classify, and follow up endoleaks in patients after Endovascular Aneurysm Repair (EVAR). </w:t>
      </w:r>
      <w:r w:rsidRPr="00E4394E">
        <w:rPr>
          <w:i/>
          <w:sz w:val="24"/>
        </w:rPr>
        <w:t>Abdom Radiol (NY)</w:t>
      </w:r>
      <w:r w:rsidRPr="00E4394E">
        <w:rPr>
          <w:sz w:val="24"/>
        </w:rPr>
        <w:t xml:space="preserve"> 2018; </w:t>
      </w:r>
      <w:r w:rsidRPr="00E4394E">
        <w:rPr>
          <w:b/>
          <w:sz w:val="24"/>
        </w:rPr>
        <w:t>43</w:t>
      </w:r>
      <w:r w:rsidRPr="00E4394E">
        <w:rPr>
          <w:sz w:val="24"/>
        </w:rPr>
        <w:t>: 3479-3486 [PMID: 29876784 DOI: 10.1007/s00261-018-1633-x]</w:t>
      </w:r>
    </w:p>
    <w:p w:rsidR="007D7A36" w:rsidRPr="00E4394E" w:rsidRDefault="000C16B1">
      <w:pPr>
        <w:spacing w:line="360" w:lineRule="auto"/>
        <w:rPr>
          <w:sz w:val="24"/>
        </w:rPr>
      </w:pPr>
      <w:r w:rsidRPr="00E4394E">
        <w:rPr>
          <w:sz w:val="24"/>
        </w:rPr>
        <w:t xml:space="preserve">25 </w:t>
      </w:r>
      <w:r w:rsidRPr="00E4394E">
        <w:rPr>
          <w:b/>
          <w:sz w:val="24"/>
        </w:rPr>
        <w:t>Hamada S</w:t>
      </w:r>
      <w:r w:rsidRPr="00E4394E">
        <w:rPr>
          <w:sz w:val="24"/>
        </w:rPr>
        <w:t xml:space="preserve">, Kashiwazaki D, Yamamoto S, Akioka N, Kuwayama N, Kuroda S. Impact of Plaque Composition on Risk of Coronary Artery Diseases in Patients with Carotid Artery Stenosis. </w:t>
      </w:r>
      <w:r w:rsidRPr="00E4394E">
        <w:rPr>
          <w:i/>
          <w:sz w:val="24"/>
        </w:rPr>
        <w:t>J Stroke Cerebrovasc Dis</w:t>
      </w:r>
      <w:r w:rsidRPr="00E4394E">
        <w:rPr>
          <w:sz w:val="24"/>
        </w:rPr>
        <w:t xml:space="preserve"> 2018; </w:t>
      </w:r>
      <w:r w:rsidRPr="00E4394E">
        <w:rPr>
          <w:b/>
          <w:sz w:val="24"/>
        </w:rPr>
        <w:t>27</w:t>
      </w:r>
      <w:r w:rsidRPr="00E4394E">
        <w:rPr>
          <w:sz w:val="24"/>
        </w:rPr>
        <w:t>: 3599-3604 [PMID: 30219630 DOI: 10.1016/j.jstrokecerebrovasdis.2018.08.031]</w:t>
      </w:r>
    </w:p>
    <w:p w:rsidR="007D7A36" w:rsidRPr="00E4394E" w:rsidRDefault="000C16B1">
      <w:pPr>
        <w:spacing w:line="360" w:lineRule="auto"/>
        <w:rPr>
          <w:sz w:val="24"/>
        </w:rPr>
      </w:pPr>
      <w:r w:rsidRPr="00E4394E">
        <w:rPr>
          <w:sz w:val="24"/>
        </w:rPr>
        <w:t xml:space="preserve">26 </w:t>
      </w:r>
      <w:r w:rsidRPr="00E4394E">
        <w:rPr>
          <w:b/>
          <w:sz w:val="24"/>
        </w:rPr>
        <w:t>Vorkas PA</w:t>
      </w:r>
      <w:r w:rsidRPr="00E4394E">
        <w:rPr>
          <w:sz w:val="24"/>
        </w:rPr>
        <w:t xml:space="preserve">, Shalhoub J, Lewis MR, Spagou K, Want EJ, Nicholson JK, Davies AH, Holmes E. Metabolic Phenotypes of Carotid Atherosclerotic Plaques Relate to Stroke Risk: An Exploratory Study. </w:t>
      </w:r>
      <w:r w:rsidRPr="00E4394E">
        <w:rPr>
          <w:i/>
          <w:sz w:val="24"/>
        </w:rPr>
        <w:t>Eur J Vasc Endovasc Surg</w:t>
      </w:r>
      <w:r w:rsidRPr="00E4394E">
        <w:rPr>
          <w:sz w:val="24"/>
        </w:rPr>
        <w:t xml:space="preserve"> 2016; </w:t>
      </w:r>
      <w:r w:rsidRPr="00E4394E">
        <w:rPr>
          <w:b/>
          <w:sz w:val="24"/>
        </w:rPr>
        <w:t>52</w:t>
      </w:r>
      <w:r w:rsidRPr="00E4394E">
        <w:rPr>
          <w:sz w:val="24"/>
        </w:rPr>
        <w:t>: 5-10 [PMID: 27231199 DOI: 10.1016/j.ejvs.2016.01.022]</w:t>
      </w:r>
    </w:p>
    <w:p w:rsidR="007D7A36" w:rsidRPr="00E4394E" w:rsidRDefault="000C16B1">
      <w:pPr>
        <w:spacing w:line="360" w:lineRule="auto"/>
        <w:rPr>
          <w:sz w:val="24"/>
        </w:rPr>
      </w:pPr>
      <w:r w:rsidRPr="00E4394E">
        <w:rPr>
          <w:sz w:val="24"/>
        </w:rPr>
        <w:t xml:space="preserve">27 </w:t>
      </w:r>
      <w:r w:rsidRPr="00E4394E">
        <w:rPr>
          <w:b/>
          <w:sz w:val="24"/>
        </w:rPr>
        <w:t>Vavuranakis M</w:t>
      </w:r>
      <w:r w:rsidRPr="00E4394E">
        <w:rPr>
          <w:sz w:val="24"/>
        </w:rPr>
        <w:t xml:space="preserve">, Sigala F, Vrachatis DA, Papaioannou TG, Filis K, Kavantzas N, Kalogeras KI, Massoura C, Toufektzian L, Kariori MG, Vlasseros I, Kallikazaros I, Stefanadis C. Quantitative analysis of carotid plaque vasa vasorum by CEUS and correlation with histology after endarterectomy. </w:t>
      </w:r>
      <w:r w:rsidRPr="00E4394E">
        <w:rPr>
          <w:i/>
          <w:sz w:val="24"/>
        </w:rPr>
        <w:t>Vasa</w:t>
      </w:r>
      <w:r w:rsidRPr="00E4394E">
        <w:rPr>
          <w:sz w:val="24"/>
        </w:rPr>
        <w:t xml:space="preserve"> 2013; </w:t>
      </w:r>
      <w:r w:rsidRPr="00E4394E">
        <w:rPr>
          <w:b/>
          <w:sz w:val="24"/>
        </w:rPr>
        <w:t>42</w:t>
      </w:r>
      <w:r w:rsidRPr="00E4394E">
        <w:rPr>
          <w:sz w:val="24"/>
        </w:rPr>
        <w:t>: 184-195 [PMID: 23644370 DOI: 10.1024/0301-1526/a000267]</w:t>
      </w:r>
    </w:p>
    <w:p w:rsidR="007D7A36" w:rsidRPr="00E4394E" w:rsidRDefault="000C16B1">
      <w:pPr>
        <w:spacing w:line="360" w:lineRule="auto"/>
        <w:rPr>
          <w:sz w:val="24"/>
        </w:rPr>
      </w:pPr>
      <w:r w:rsidRPr="00E4394E">
        <w:rPr>
          <w:sz w:val="24"/>
        </w:rPr>
        <w:t xml:space="preserve">28 </w:t>
      </w:r>
      <w:r w:rsidRPr="00E4394E">
        <w:rPr>
          <w:b/>
          <w:sz w:val="24"/>
        </w:rPr>
        <w:t>Rodriguez-Granillo GA</w:t>
      </w:r>
      <w:r w:rsidRPr="00E4394E">
        <w:rPr>
          <w:sz w:val="24"/>
        </w:rPr>
        <w:t xml:space="preserve">, Carrascosa P, Bruining N, Waksman R, Garcia-Garcia HM. Defining the non-vulnerable and vulnerable patients with computed tomography coronary angiography: evaluation of atherosclerotic plaque burden and composition. </w:t>
      </w:r>
      <w:r w:rsidRPr="00E4394E">
        <w:rPr>
          <w:i/>
          <w:sz w:val="24"/>
        </w:rPr>
        <w:t>Eur Heart J Cardiovasc Imaging</w:t>
      </w:r>
      <w:r w:rsidRPr="00E4394E">
        <w:rPr>
          <w:sz w:val="24"/>
        </w:rPr>
        <w:t xml:space="preserve"> 2016; </w:t>
      </w:r>
      <w:r w:rsidRPr="00E4394E">
        <w:rPr>
          <w:b/>
          <w:sz w:val="24"/>
        </w:rPr>
        <w:t>17</w:t>
      </w:r>
      <w:r w:rsidRPr="00E4394E">
        <w:rPr>
          <w:sz w:val="24"/>
        </w:rPr>
        <w:t>: 481-491 [PMID: 26903599 DOI: 10.1093/ehjci/jew012]</w:t>
      </w:r>
    </w:p>
    <w:p w:rsidR="007D7A36" w:rsidRPr="00E4394E" w:rsidRDefault="007D7A36">
      <w:pPr>
        <w:spacing w:line="360" w:lineRule="auto"/>
        <w:rPr>
          <w:b/>
          <w:sz w:val="24"/>
        </w:rPr>
      </w:pPr>
    </w:p>
    <w:p w:rsidR="007D7A36" w:rsidRPr="00E4394E" w:rsidRDefault="000C16B1" w:rsidP="00E4394E">
      <w:pPr>
        <w:wordWrap w:val="0"/>
        <w:spacing w:line="360" w:lineRule="auto"/>
        <w:jc w:val="right"/>
        <w:rPr>
          <w:b/>
          <w:sz w:val="24"/>
        </w:rPr>
      </w:pPr>
      <w:r w:rsidRPr="00E4394E">
        <w:rPr>
          <w:b/>
          <w:sz w:val="24"/>
        </w:rPr>
        <w:t xml:space="preserve">P-Reviewer: </w:t>
      </w:r>
      <w:r w:rsidRPr="00E4394E">
        <w:rPr>
          <w:sz w:val="24"/>
        </w:rPr>
        <w:t xml:space="preserve">Dediulia T, Ko E </w:t>
      </w:r>
      <w:r w:rsidRPr="00E4394E">
        <w:rPr>
          <w:b/>
          <w:sz w:val="24"/>
        </w:rPr>
        <w:t xml:space="preserve">S-Editor: </w:t>
      </w:r>
      <w:r w:rsidRPr="00E4394E">
        <w:rPr>
          <w:sz w:val="24"/>
        </w:rPr>
        <w:t>Wang JL</w:t>
      </w:r>
      <w:r w:rsidRPr="00E4394E">
        <w:rPr>
          <w:b/>
          <w:sz w:val="24"/>
        </w:rPr>
        <w:t xml:space="preserve"> L-Editor: </w:t>
      </w:r>
      <w:r w:rsidRPr="00E4394E">
        <w:rPr>
          <w:sz w:val="24"/>
        </w:rPr>
        <w:t xml:space="preserve">Filipodia </w:t>
      </w:r>
      <w:r w:rsidRPr="00E4394E">
        <w:rPr>
          <w:b/>
          <w:sz w:val="24"/>
        </w:rPr>
        <w:t>E-Editor:</w:t>
      </w:r>
      <w:r w:rsidR="00E4394E">
        <w:rPr>
          <w:b/>
          <w:sz w:val="24"/>
        </w:rPr>
        <w:t xml:space="preserve"> </w:t>
      </w:r>
      <w:bookmarkStart w:id="16" w:name="_GoBack"/>
      <w:r w:rsidR="00E4394E" w:rsidRPr="00E4394E">
        <w:rPr>
          <w:sz w:val="24"/>
        </w:rPr>
        <w:t>W</w:t>
      </w:r>
      <w:r w:rsidR="00E4394E" w:rsidRPr="00E4394E">
        <w:rPr>
          <w:rFonts w:hint="eastAsia"/>
          <w:sz w:val="24"/>
        </w:rPr>
        <w:t>u</w:t>
      </w:r>
      <w:r w:rsidR="00E4394E" w:rsidRPr="00E4394E">
        <w:rPr>
          <w:sz w:val="24"/>
        </w:rPr>
        <w:t xml:space="preserve"> YXJ</w:t>
      </w:r>
      <w:bookmarkEnd w:id="16"/>
    </w:p>
    <w:p w:rsidR="007D7A36" w:rsidRPr="00E4394E" w:rsidRDefault="000C16B1">
      <w:pPr>
        <w:pStyle w:val="a8"/>
        <w:spacing w:line="360" w:lineRule="auto"/>
        <w:rPr>
          <w:rFonts w:ascii="Times New Roman" w:hAnsi="Times New Roman" w:cs="Times New Roman"/>
          <w:b/>
          <w:sz w:val="24"/>
          <w:szCs w:val="24"/>
        </w:rPr>
      </w:pPr>
      <w:r w:rsidRPr="00E4394E">
        <w:rPr>
          <w:rFonts w:ascii="Times New Roman" w:hAnsi="Times New Roman" w:cs="Times New Roman"/>
          <w:b/>
          <w:sz w:val="24"/>
          <w:szCs w:val="24"/>
        </w:rPr>
        <w:t xml:space="preserve"> </w:t>
      </w:r>
    </w:p>
    <w:p w:rsidR="007D7A36" w:rsidRPr="00E4394E" w:rsidRDefault="000C16B1">
      <w:pPr>
        <w:snapToGrid w:val="0"/>
        <w:spacing w:line="360" w:lineRule="auto"/>
        <w:rPr>
          <w:b/>
          <w:sz w:val="24"/>
        </w:rPr>
      </w:pPr>
      <w:r w:rsidRPr="00E4394E">
        <w:rPr>
          <w:b/>
          <w:sz w:val="24"/>
        </w:rPr>
        <w:t xml:space="preserve">Specialty type: </w:t>
      </w:r>
      <w:r w:rsidRPr="00E4394E">
        <w:rPr>
          <w:rFonts w:eastAsia="微软雅黑"/>
          <w:sz w:val="24"/>
        </w:rPr>
        <w:t>Medicine, research and experimental</w:t>
      </w:r>
    </w:p>
    <w:p w:rsidR="007D7A36" w:rsidRPr="00E4394E" w:rsidRDefault="000C16B1">
      <w:pPr>
        <w:snapToGrid w:val="0"/>
        <w:spacing w:line="360" w:lineRule="auto"/>
        <w:rPr>
          <w:b/>
          <w:sz w:val="24"/>
        </w:rPr>
      </w:pPr>
      <w:r w:rsidRPr="00E4394E">
        <w:rPr>
          <w:b/>
          <w:sz w:val="24"/>
        </w:rPr>
        <w:t xml:space="preserve">Country of origin: </w:t>
      </w:r>
      <w:r w:rsidRPr="00E4394E">
        <w:rPr>
          <w:sz w:val="24"/>
        </w:rPr>
        <w:t>China</w:t>
      </w:r>
    </w:p>
    <w:p w:rsidR="007D7A36" w:rsidRPr="00E4394E" w:rsidRDefault="000C16B1">
      <w:pPr>
        <w:snapToGrid w:val="0"/>
        <w:spacing w:line="360" w:lineRule="auto"/>
        <w:rPr>
          <w:b/>
          <w:sz w:val="24"/>
        </w:rPr>
      </w:pPr>
      <w:r w:rsidRPr="00E4394E">
        <w:rPr>
          <w:b/>
          <w:sz w:val="24"/>
        </w:rPr>
        <w:t>Peer-review report classification</w:t>
      </w:r>
    </w:p>
    <w:p w:rsidR="007D7A36" w:rsidRPr="00E4394E" w:rsidRDefault="000C16B1">
      <w:pPr>
        <w:snapToGrid w:val="0"/>
        <w:spacing w:line="360" w:lineRule="auto"/>
        <w:rPr>
          <w:sz w:val="24"/>
        </w:rPr>
      </w:pPr>
      <w:r w:rsidRPr="00E4394E">
        <w:rPr>
          <w:sz w:val="24"/>
        </w:rPr>
        <w:t>Grade A (Excellent): 0</w:t>
      </w:r>
    </w:p>
    <w:p w:rsidR="007D7A36" w:rsidRPr="00E4394E" w:rsidRDefault="000C16B1">
      <w:pPr>
        <w:snapToGrid w:val="0"/>
        <w:spacing w:line="360" w:lineRule="auto"/>
        <w:rPr>
          <w:sz w:val="24"/>
        </w:rPr>
      </w:pPr>
      <w:r w:rsidRPr="00E4394E">
        <w:rPr>
          <w:sz w:val="24"/>
        </w:rPr>
        <w:t>Grade B (Very good): B</w:t>
      </w:r>
    </w:p>
    <w:p w:rsidR="007D7A36" w:rsidRPr="00E4394E" w:rsidRDefault="000C16B1">
      <w:pPr>
        <w:snapToGrid w:val="0"/>
        <w:spacing w:line="360" w:lineRule="auto"/>
        <w:rPr>
          <w:sz w:val="24"/>
        </w:rPr>
      </w:pPr>
      <w:r w:rsidRPr="00E4394E">
        <w:rPr>
          <w:sz w:val="24"/>
        </w:rPr>
        <w:t>Grade C (Good): C</w:t>
      </w:r>
    </w:p>
    <w:p w:rsidR="007D7A36" w:rsidRPr="00E4394E" w:rsidRDefault="000C16B1">
      <w:pPr>
        <w:snapToGrid w:val="0"/>
        <w:spacing w:line="360" w:lineRule="auto"/>
        <w:rPr>
          <w:sz w:val="24"/>
        </w:rPr>
      </w:pPr>
      <w:r w:rsidRPr="00E4394E">
        <w:rPr>
          <w:sz w:val="24"/>
        </w:rPr>
        <w:t>Grade D (Fair): 0</w:t>
      </w:r>
    </w:p>
    <w:p w:rsidR="007D7A36" w:rsidRPr="00E4394E" w:rsidRDefault="000C16B1">
      <w:pPr>
        <w:snapToGrid w:val="0"/>
        <w:spacing w:line="360" w:lineRule="auto"/>
        <w:rPr>
          <w:sz w:val="24"/>
        </w:rPr>
      </w:pPr>
      <w:r w:rsidRPr="00E4394E">
        <w:rPr>
          <w:sz w:val="24"/>
        </w:rPr>
        <w:t>Grade E (Poor): 0</w:t>
      </w:r>
    </w:p>
    <w:p w:rsidR="007D7A36" w:rsidRPr="00E4394E" w:rsidRDefault="000C16B1">
      <w:pPr>
        <w:spacing w:line="360" w:lineRule="auto"/>
        <w:rPr>
          <w:sz w:val="24"/>
        </w:rPr>
      </w:pPr>
      <w:r w:rsidRPr="00E4394E">
        <w:rPr>
          <w:sz w:val="24"/>
        </w:rPr>
        <w:br w:type="page"/>
      </w:r>
    </w:p>
    <w:p w:rsidR="007D7A36" w:rsidRPr="00E4394E" w:rsidRDefault="007119C8">
      <w:pPr>
        <w:spacing w:line="360" w:lineRule="auto"/>
        <w:rPr>
          <w:sz w:val="24"/>
        </w:rPr>
      </w:pPr>
      <w:r w:rsidRPr="00E4394E">
        <w:rPr>
          <w:noProof/>
          <w:sz w:val="24"/>
        </w:rPr>
        <w:drawing>
          <wp:inline distT="0" distB="0" distL="0" distR="0">
            <wp:extent cx="5070475" cy="3816985"/>
            <wp:effectExtent l="0" t="0" r="0" b="0"/>
            <wp:docPr id="1" name="图片 8"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Fig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70475" cy="3816985"/>
                    </a:xfrm>
                    <a:prstGeom prst="rect">
                      <a:avLst/>
                    </a:prstGeom>
                    <a:noFill/>
                    <a:ln>
                      <a:noFill/>
                    </a:ln>
                  </pic:spPr>
                </pic:pic>
              </a:graphicData>
            </a:graphic>
          </wp:inline>
        </w:drawing>
      </w:r>
    </w:p>
    <w:p w:rsidR="007D7A36" w:rsidRPr="00E4394E" w:rsidRDefault="000C16B1">
      <w:pPr>
        <w:spacing w:line="360" w:lineRule="auto"/>
        <w:rPr>
          <w:sz w:val="24"/>
        </w:rPr>
      </w:pPr>
      <w:r w:rsidRPr="00E4394E">
        <w:rPr>
          <w:b/>
          <w:sz w:val="24"/>
        </w:rPr>
        <w:t xml:space="preserve">Figure 1 </w:t>
      </w:r>
      <w:r w:rsidRPr="00E4394E">
        <w:rPr>
          <w:b/>
          <w:bCs/>
          <w:iCs/>
          <w:sz w:val="24"/>
        </w:rPr>
        <w:t>Superb micro-vascular imaging</w:t>
      </w:r>
      <w:r w:rsidRPr="00E4394E">
        <w:rPr>
          <w:b/>
          <w:sz w:val="24"/>
        </w:rPr>
        <w:t xml:space="preserve"> vascular grading in patients with carotid atherosclerosis.</w:t>
      </w:r>
      <w:r w:rsidRPr="00E4394E">
        <w:rPr>
          <w:sz w:val="24"/>
        </w:rPr>
        <w:t xml:space="preserve"> A: Blood flow level 0 in plaque; B: Blood flow level I in plaque; C: Blood flow level II in plaque; D: Blood flow level III in plaque.</w:t>
      </w:r>
    </w:p>
    <w:p w:rsidR="007D7A36" w:rsidRPr="00E4394E" w:rsidRDefault="007D7A36">
      <w:pPr>
        <w:spacing w:line="360" w:lineRule="auto"/>
        <w:rPr>
          <w:sz w:val="24"/>
        </w:rPr>
      </w:pPr>
    </w:p>
    <w:p w:rsidR="007D7A36" w:rsidRPr="00E4394E" w:rsidRDefault="007D7A36">
      <w:pPr>
        <w:spacing w:line="360" w:lineRule="auto"/>
        <w:rPr>
          <w:sz w:val="24"/>
        </w:rPr>
      </w:pPr>
    </w:p>
    <w:p w:rsidR="007D7A36" w:rsidRPr="00E4394E" w:rsidRDefault="007119C8">
      <w:pPr>
        <w:spacing w:line="360" w:lineRule="auto"/>
        <w:rPr>
          <w:sz w:val="24"/>
        </w:rPr>
      </w:pPr>
      <w:r w:rsidRPr="00E4394E">
        <w:rPr>
          <w:noProof/>
          <w:sz w:val="24"/>
        </w:rPr>
        <w:drawing>
          <wp:inline distT="0" distB="0" distL="0" distR="0">
            <wp:extent cx="5271770" cy="5964555"/>
            <wp:effectExtent l="0" t="0" r="5080" b="0"/>
            <wp:docPr id="2" name="图片 9"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Fig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1770" cy="5964555"/>
                    </a:xfrm>
                    <a:prstGeom prst="rect">
                      <a:avLst/>
                    </a:prstGeom>
                    <a:noFill/>
                    <a:ln>
                      <a:noFill/>
                    </a:ln>
                  </pic:spPr>
                </pic:pic>
              </a:graphicData>
            </a:graphic>
          </wp:inline>
        </w:drawing>
      </w:r>
    </w:p>
    <w:p w:rsidR="007D7A36" w:rsidRPr="00E4394E" w:rsidRDefault="000C16B1">
      <w:pPr>
        <w:spacing w:line="360" w:lineRule="auto"/>
        <w:rPr>
          <w:sz w:val="24"/>
        </w:rPr>
      </w:pPr>
      <w:r w:rsidRPr="00E4394E">
        <w:rPr>
          <w:b/>
          <w:sz w:val="24"/>
        </w:rPr>
        <w:t>Figure 2 Carotid plaque Tic analyses.</w:t>
      </w:r>
      <w:r w:rsidRPr="00E4394E">
        <w:rPr>
          <w:sz w:val="24"/>
        </w:rPr>
        <w:t xml:space="preserve"> A: Stroke patient, time-to-peak = 12.8 s, enhancement intensity = 9.6 db; B: Non-stroke patients, time-to-peak = 13.4 s, enhancement intensity = 8.1 db.</w:t>
      </w:r>
    </w:p>
    <w:p w:rsidR="007D7A36" w:rsidRPr="00E4394E" w:rsidRDefault="000C16B1">
      <w:pPr>
        <w:spacing w:line="360" w:lineRule="auto"/>
        <w:rPr>
          <w:sz w:val="24"/>
        </w:rPr>
      </w:pPr>
      <w:r w:rsidRPr="00E4394E">
        <w:rPr>
          <w:sz w:val="24"/>
        </w:rPr>
        <w:br w:type="page"/>
      </w:r>
    </w:p>
    <w:p w:rsidR="007D7A36" w:rsidRPr="00E4394E" w:rsidRDefault="007119C8">
      <w:pPr>
        <w:spacing w:line="360" w:lineRule="auto"/>
        <w:rPr>
          <w:sz w:val="24"/>
        </w:rPr>
      </w:pPr>
      <w:r w:rsidRPr="00E4394E">
        <w:rPr>
          <w:noProof/>
          <w:sz w:val="24"/>
        </w:rPr>
        <w:drawing>
          <wp:inline distT="0" distB="0" distL="0" distR="0">
            <wp:extent cx="4959985" cy="3719830"/>
            <wp:effectExtent l="0" t="0" r="0" b="0"/>
            <wp:docPr id="3" name="图片 6"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Fig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9985" cy="3719830"/>
                    </a:xfrm>
                    <a:prstGeom prst="rect">
                      <a:avLst/>
                    </a:prstGeom>
                    <a:noFill/>
                    <a:ln>
                      <a:noFill/>
                    </a:ln>
                  </pic:spPr>
                </pic:pic>
              </a:graphicData>
            </a:graphic>
          </wp:inline>
        </w:drawing>
      </w:r>
    </w:p>
    <w:p w:rsidR="007D7A36" w:rsidRPr="00E4394E" w:rsidRDefault="000C16B1">
      <w:pPr>
        <w:spacing w:line="360" w:lineRule="auto"/>
        <w:rPr>
          <w:b/>
          <w:bCs/>
          <w:sz w:val="24"/>
        </w:rPr>
      </w:pPr>
      <w:r w:rsidRPr="00E4394E">
        <w:rPr>
          <w:b/>
          <w:bCs/>
          <w:sz w:val="24"/>
        </w:rPr>
        <w:t xml:space="preserve">Figure 3 The correlation between </w:t>
      </w:r>
      <w:r w:rsidRPr="00E4394E">
        <w:rPr>
          <w:b/>
          <w:bCs/>
          <w:iCs/>
          <w:sz w:val="24"/>
        </w:rPr>
        <w:t>superb micro-vascular</w:t>
      </w:r>
      <w:r w:rsidRPr="00E4394E">
        <w:rPr>
          <w:b/>
          <w:bCs/>
          <w:sz w:val="24"/>
        </w:rPr>
        <w:t xml:space="preserve"> imaging level and </w:t>
      </w:r>
      <w:r w:rsidRPr="00E4394E">
        <w:rPr>
          <w:b/>
          <w:sz w:val="24"/>
        </w:rPr>
        <w:t xml:space="preserve">enhancement intensity. </w:t>
      </w:r>
      <w:r w:rsidRPr="00E4394E">
        <w:rPr>
          <w:sz w:val="24"/>
        </w:rPr>
        <w:t xml:space="preserve">SMI: </w:t>
      </w:r>
      <w:r w:rsidRPr="00E4394E">
        <w:rPr>
          <w:bCs/>
          <w:iCs/>
          <w:sz w:val="24"/>
        </w:rPr>
        <w:t>Superb micro-vascular</w:t>
      </w:r>
      <w:r w:rsidRPr="00E4394E">
        <w:rPr>
          <w:bCs/>
          <w:sz w:val="24"/>
        </w:rPr>
        <w:t xml:space="preserve"> imaging; EI: </w:t>
      </w:r>
      <w:r w:rsidRPr="00E4394E">
        <w:rPr>
          <w:sz w:val="24"/>
        </w:rPr>
        <w:t>Enhancement intensity.</w:t>
      </w:r>
    </w:p>
    <w:p w:rsidR="007D7A36" w:rsidRPr="00E4394E" w:rsidRDefault="007119C8">
      <w:pPr>
        <w:spacing w:line="360" w:lineRule="auto"/>
        <w:rPr>
          <w:sz w:val="24"/>
        </w:rPr>
      </w:pPr>
      <w:r w:rsidRPr="00E4394E">
        <w:rPr>
          <w:noProof/>
          <w:sz w:val="24"/>
        </w:rPr>
        <w:drawing>
          <wp:inline distT="0" distB="0" distL="0" distR="0">
            <wp:extent cx="4890770" cy="4689475"/>
            <wp:effectExtent l="0" t="0" r="5080" b="0"/>
            <wp:docPr id="4" name="图片 8"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Fig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90770" cy="4689475"/>
                    </a:xfrm>
                    <a:prstGeom prst="rect">
                      <a:avLst/>
                    </a:prstGeom>
                    <a:noFill/>
                    <a:ln>
                      <a:noFill/>
                    </a:ln>
                  </pic:spPr>
                </pic:pic>
              </a:graphicData>
            </a:graphic>
          </wp:inline>
        </w:drawing>
      </w:r>
    </w:p>
    <w:p w:rsidR="007D7A36" w:rsidRPr="00E4394E" w:rsidRDefault="000C16B1">
      <w:pPr>
        <w:spacing w:line="360" w:lineRule="auto"/>
        <w:rPr>
          <w:bCs/>
          <w:sz w:val="24"/>
        </w:rPr>
      </w:pPr>
      <w:r w:rsidRPr="00E4394E">
        <w:rPr>
          <w:b/>
          <w:bCs/>
          <w:sz w:val="24"/>
        </w:rPr>
        <w:t xml:space="preserve">Figure 4 </w:t>
      </w:r>
      <w:r w:rsidRPr="00E4394E">
        <w:rPr>
          <w:b/>
          <w:sz w:val="24"/>
        </w:rPr>
        <w:t>Receiver operating characteristic</w:t>
      </w:r>
      <w:r w:rsidRPr="00E4394E">
        <w:rPr>
          <w:b/>
          <w:bCs/>
          <w:sz w:val="24"/>
        </w:rPr>
        <w:t xml:space="preserve"> curve of ischemic stroke in patients with plaques predicted by </w:t>
      </w:r>
      <w:r w:rsidRPr="00E4394E">
        <w:rPr>
          <w:b/>
          <w:bCs/>
          <w:iCs/>
          <w:sz w:val="24"/>
        </w:rPr>
        <w:t>superb micro-vascular</w:t>
      </w:r>
      <w:r w:rsidRPr="00E4394E">
        <w:rPr>
          <w:b/>
          <w:bCs/>
          <w:sz w:val="24"/>
        </w:rPr>
        <w:t xml:space="preserve"> imaging level and </w:t>
      </w:r>
      <w:r w:rsidRPr="00E4394E">
        <w:rPr>
          <w:b/>
          <w:sz w:val="24"/>
        </w:rPr>
        <w:t xml:space="preserve">enhancement intensity. </w:t>
      </w:r>
      <w:r w:rsidRPr="00E4394E">
        <w:rPr>
          <w:sz w:val="24"/>
        </w:rPr>
        <w:t xml:space="preserve">SMI: </w:t>
      </w:r>
      <w:r w:rsidRPr="00E4394E">
        <w:rPr>
          <w:bCs/>
          <w:iCs/>
          <w:sz w:val="24"/>
        </w:rPr>
        <w:t>Superb micro-vascular</w:t>
      </w:r>
      <w:r w:rsidRPr="00E4394E">
        <w:rPr>
          <w:bCs/>
          <w:sz w:val="24"/>
        </w:rPr>
        <w:t xml:space="preserve"> imaging; EI: </w:t>
      </w:r>
      <w:r w:rsidRPr="00E4394E">
        <w:rPr>
          <w:sz w:val="24"/>
        </w:rPr>
        <w:t>Enhancement intensity.</w:t>
      </w:r>
    </w:p>
    <w:p w:rsidR="007D7A36" w:rsidRPr="00E4394E" w:rsidRDefault="007D7A36">
      <w:pPr>
        <w:snapToGrid w:val="0"/>
        <w:spacing w:line="360" w:lineRule="auto"/>
        <w:rPr>
          <w:sz w:val="24"/>
        </w:rPr>
      </w:pPr>
    </w:p>
    <w:p w:rsidR="007D7A36" w:rsidRPr="00E4394E" w:rsidRDefault="007D7A36">
      <w:pPr>
        <w:spacing w:line="360" w:lineRule="auto"/>
        <w:ind w:firstLineChars="250" w:firstLine="600"/>
        <w:rPr>
          <w:sz w:val="24"/>
        </w:rPr>
      </w:pPr>
    </w:p>
    <w:p w:rsidR="007D7A36" w:rsidRPr="00E4394E" w:rsidRDefault="007119C8">
      <w:pPr>
        <w:spacing w:line="360" w:lineRule="auto"/>
        <w:ind w:firstLineChars="250" w:firstLine="600"/>
        <w:rPr>
          <w:sz w:val="24"/>
        </w:rPr>
      </w:pPr>
      <w:r w:rsidRPr="00E4394E">
        <w:rPr>
          <w:noProof/>
          <w:sz w:val="24"/>
        </w:rPr>
        <w:drawing>
          <wp:inline distT="0" distB="0" distL="0" distR="0">
            <wp:extent cx="4848860" cy="3636645"/>
            <wp:effectExtent l="0" t="0" r="8890" b="1905"/>
            <wp:docPr id="5" name="图片 9"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Fig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48860" cy="3636645"/>
                    </a:xfrm>
                    <a:prstGeom prst="rect">
                      <a:avLst/>
                    </a:prstGeom>
                    <a:noFill/>
                    <a:ln>
                      <a:noFill/>
                    </a:ln>
                  </pic:spPr>
                </pic:pic>
              </a:graphicData>
            </a:graphic>
          </wp:inline>
        </w:drawing>
      </w:r>
    </w:p>
    <w:p w:rsidR="007D7A36" w:rsidRPr="00E4394E" w:rsidRDefault="000C16B1">
      <w:pPr>
        <w:spacing w:line="360" w:lineRule="auto"/>
        <w:rPr>
          <w:bCs/>
          <w:sz w:val="24"/>
        </w:rPr>
      </w:pPr>
      <w:r w:rsidRPr="00E4394E">
        <w:rPr>
          <w:b/>
          <w:bCs/>
          <w:sz w:val="24"/>
        </w:rPr>
        <w:t xml:space="preserve">Figure 5 Survival curves of patients with ischemic stroke under different </w:t>
      </w:r>
      <w:r w:rsidRPr="00E4394E">
        <w:rPr>
          <w:b/>
          <w:bCs/>
          <w:iCs/>
          <w:sz w:val="24"/>
        </w:rPr>
        <w:t>superb micro-vascular</w:t>
      </w:r>
      <w:r w:rsidRPr="00E4394E">
        <w:rPr>
          <w:b/>
          <w:bCs/>
          <w:sz w:val="24"/>
        </w:rPr>
        <w:t xml:space="preserve"> imaging levels.</w:t>
      </w:r>
      <w:r w:rsidRPr="00E4394E">
        <w:rPr>
          <w:bCs/>
          <w:sz w:val="24"/>
        </w:rPr>
        <w:t xml:space="preserve"> SMI: </w:t>
      </w:r>
      <w:r w:rsidRPr="00E4394E">
        <w:rPr>
          <w:bCs/>
          <w:iCs/>
          <w:sz w:val="24"/>
        </w:rPr>
        <w:t>Superb micro-vascular</w:t>
      </w:r>
      <w:r w:rsidRPr="00E4394E">
        <w:rPr>
          <w:bCs/>
          <w:sz w:val="24"/>
        </w:rPr>
        <w:t xml:space="preserve"> imaging.</w:t>
      </w:r>
    </w:p>
    <w:p w:rsidR="007D7A36" w:rsidRPr="00E4394E" w:rsidRDefault="000C16B1">
      <w:pPr>
        <w:snapToGrid w:val="0"/>
        <w:spacing w:line="360" w:lineRule="auto"/>
        <w:rPr>
          <w:b/>
          <w:sz w:val="24"/>
        </w:rPr>
      </w:pPr>
      <w:r w:rsidRPr="00E4394E">
        <w:rPr>
          <w:bCs/>
          <w:sz w:val="24"/>
        </w:rPr>
        <w:br w:type="page"/>
      </w:r>
      <w:r w:rsidRPr="00E4394E">
        <w:rPr>
          <w:b/>
          <w:sz w:val="24"/>
        </w:rPr>
        <w:t xml:space="preserve">Table 1 Comparison of clinical baseline data between the two groups, </w:t>
      </w:r>
      <w:r w:rsidRPr="00E4394E">
        <w:rPr>
          <w:b/>
          <w:i/>
          <w:sz w:val="24"/>
        </w:rPr>
        <w:t>n</w:t>
      </w:r>
      <w:r w:rsidRPr="00E4394E">
        <w:rPr>
          <w:b/>
          <w:sz w:val="24"/>
        </w:rPr>
        <w:t xml:space="preserve"> (%)</w:t>
      </w:r>
    </w:p>
    <w:tbl>
      <w:tblPr>
        <w:tblW w:w="0" w:type="auto"/>
        <w:tblBorders>
          <w:top w:val="single" w:sz="4" w:space="0" w:color="auto"/>
          <w:bottom w:val="single" w:sz="4" w:space="0" w:color="auto"/>
        </w:tblBorders>
        <w:tblLayout w:type="fixed"/>
        <w:tblLook w:val="0000" w:firstRow="0" w:lastRow="0" w:firstColumn="0" w:lastColumn="0" w:noHBand="0" w:noVBand="0"/>
      </w:tblPr>
      <w:tblGrid>
        <w:gridCol w:w="2802"/>
        <w:gridCol w:w="1574"/>
        <w:gridCol w:w="1909"/>
        <w:gridCol w:w="1353"/>
        <w:gridCol w:w="975"/>
      </w:tblGrid>
      <w:tr w:rsidR="00E4394E" w:rsidRPr="00E4394E">
        <w:tc>
          <w:tcPr>
            <w:tcW w:w="2802" w:type="dxa"/>
            <w:tcBorders>
              <w:top w:val="single" w:sz="4" w:space="0" w:color="auto"/>
              <w:bottom w:val="single" w:sz="4" w:space="0" w:color="auto"/>
            </w:tcBorders>
            <w:vAlign w:val="center"/>
          </w:tcPr>
          <w:p w:rsidR="007D7A36" w:rsidRPr="00E4394E" w:rsidRDefault="007D7A36">
            <w:pPr>
              <w:spacing w:line="360" w:lineRule="auto"/>
              <w:rPr>
                <w:b/>
                <w:sz w:val="24"/>
              </w:rPr>
            </w:pPr>
          </w:p>
        </w:tc>
        <w:tc>
          <w:tcPr>
            <w:tcW w:w="1574" w:type="dxa"/>
            <w:tcBorders>
              <w:top w:val="single" w:sz="4" w:space="0" w:color="auto"/>
              <w:bottom w:val="single" w:sz="4" w:space="0" w:color="auto"/>
            </w:tcBorders>
            <w:vAlign w:val="center"/>
          </w:tcPr>
          <w:p w:rsidR="007D7A36" w:rsidRPr="00E4394E" w:rsidRDefault="000C16B1">
            <w:pPr>
              <w:spacing w:line="360" w:lineRule="auto"/>
              <w:rPr>
                <w:b/>
                <w:sz w:val="24"/>
              </w:rPr>
            </w:pPr>
            <w:r w:rsidRPr="00E4394E">
              <w:rPr>
                <w:b/>
                <w:sz w:val="24"/>
              </w:rPr>
              <w:t>Stroke group (</w:t>
            </w:r>
            <w:r w:rsidRPr="00E4394E">
              <w:rPr>
                <w:b/>
                <w:i/>
                <w:sz w:val="24"/>
              </w:rPr>
              <w:t>n</w:t>
            </w:r>
            <w:r w:rsidRPr="00E4394E">
              <w:rPr>
                <w:b/>
                <w:sz w:val="24"/>
              </w:rPr>
              <w:t>=43)</w:t>
            </w:r>
          </w:p>
        </w:tc>
        <w:tc>
          <w:tcPr>
            <w:tcW w:w="1909" w:type="dxa"/>
            <w:tcBorders>
              <w:top w:val="single" w:sz="4" w:space="0" w:color="auto"/>
              <w:bottom w:val="single" w:sz="4" w:space="0" w:color="auto"/>
            </w:tcBorders>
            <w:vAlign w:val="center"/>
          </w:tcPr>
          <w:p w:rsidR="007D7A36" w:rsidRPr="00E4394E" w:rsidRDefault="000C16B1">
            <w:pPr>
              <w:spacing w:line="360" w:lineRule="auto"/>
              <w:rPr>
                <w:b/>
                <w:sz w:val="24"/>
              </w:rPr>
            </w:pPr>
            <w:r w:rsidRPr="00E4394E">
              <w:rPr>
                <w:b/>
                <w:sz w:val="24"/>
              </w:rPr>
              <w:t>Non-stroke group (</w:t>
            </w:r>
            <w:r w:rsidRPr="00E4394E">
              <w:rPr>
                <w:b/>
                <w:i/>
                <w:sz w:val="24"/>
              </w:rPr>
              <w:t>n</w:t>
            </w:r>
            <w:r w:rsidRPr="00E4394E">
              <w:rPr>
                <w:b/>
                <w:sz w:val="24"/>
              </w:rPr>
              <w:t>=82)</w:t>
            </w:r>
          </w:p>
        </w:tc>
        <w:tc>
          <w:tcPr>
            <w:tcW w:w="1353" w:type="dxa"/>
            <w:tcBorders>
              <w:top w:val="single" w:sz="4" w:space="0" w:color="auto"/>
              <w:bottom w:val="single" w:sz="4" w:space="0" w:color="auto"/>
            </w:tcBorders>
            <w:vAlign w:val="center"/>
          </w:tcPr>
          <w:p w:rsidR="007D7A36" w:rsidRPr="00E4394E" w:rsidRDefault="000C16B1">
            <w:pPr>
              <w:spacing w:line="360" w:lineRule="auto"/>
              <w:rPr>
                <w:b/>
                <w:sz w:val="24"/>
              </w:rPr>
            </w:pPr>
            <w:r w:rsidRPr="00E4394E">
              <w:rPr>
                <w:b/>
                <w:i/>
                <w:sz w:val="24"/>
              </w:rPr>
              <w:t>X</w:t>
            </w:r>
            <w:r w:rsidRPr="00E4394E">
              <w:rPr>
                <w:b/>
                <w:i/>
                <w:sz w:val="24"/>
                <w:vertAlign w:val="superscript"/>
              </w:rPr>
              <w:t>2</w:t>
            </w:r>
            <w:r w:rsidRPr="00E4394E">
              <w:rPr>
                <w:b/>
                <w:sz w:val="24"/>
              </w:rPr>
              <w:t>/</w:t>
            </w:r>
            <w:r w:rsidRPr="00E4394E">
              <w:rPr>
                <w:b/>
                <w:i/>
                <w:sz w:val="24"/>
              </w:rPr>
              <w:t>t</w:t>
            </w:r>
            <w:r w:rsidRPr="00E4394E">
              <w:rPr>
                <w:b/>
                <w:sz w:val="24"/>
              </w:rPr>
              <w:t>/</w:t>
            </w:r>
            <w:r w:rsidRPr="00E4394E">
              <w:rPr>
                <w:b/>
                <w:i/>
                <w:sz w:val="24"/>
              </w:rPr>
              <w:t>Z</w:t>
            </w:r>
          </w:p>
        </w:tc>
        <w:tc>
          <w:tcPr>
            <w:tcW w:w="975" w:type="dxa"/>
            <w:tcBorders>
              <w:top w:val="single" w:sz="4" w:space="0" w:color="auto"/>
              <w:bottom w:val="single" w:sz="4" w:space="0" w:color="auto"/>
            </w:tcBorders>
            <w:vAlign w:val="center"/>
          </w:tcPr>
          <w:p w:rsidR="007D7A36" w:rsidRPr="00E4394E" w:rsidRDefault="000C16B1">
            <w:pPr>
              <w:spacing w:line="360" w:lineRule="auto"/>
              <w:rPr>
                <w:b/>
                <w:i/>
                <w:sz w:val="24"/>
              </w:rPr>
            </w:pPr>
            <w:r w:rsidRPr="00E4394E">
              <w:rPr>
                <w:b/>
                <w:i/>
                <w:sz w:val="24"/>
              </w:rPr>
              <w:t>P</w:t>
            </w:r>
          </w:p>
        </w:tc>
      </w:tr>
      <w:tr w:rsidR="00E4394E" w:rsidRPr="00E4394E">
        <w:tc>
          <w:tcPr>
            <w:tcW w:w="2802" w:type="dxa"/>
            <w:tcBorders>
              <w:top w:val="single" w:sz="4" w:space="0" w:color="auto"/>
            </w:tcBorders>
            <w:vAlign w:val="center"/>
          </w:tcPr>
          <w:p w:rsidR="007D7A36" w:rsidRPr="00E4394E" w:rsidRDefault="000C16B1">
            <w:pPr>
              <w:spacing w:line="360" w:lineRule="auto"/>
              <w:rPr>
                <w:sz w:val="24"/>
              </w:rPr>
            </w:pPr>
            <w:r w:rsidRPr="00E4394E">
              <w:rPr>
                <w:sz w:val="24"/>
              </w:rPr>
              <w:t>Gender, male (%)</w:t>
            </w:r>
          </w:p>
        </w:tc>
        <w:tc>
          <w:tcPr>
            <w:tcW w:w="1574" w:type="dxa"/>
            <w:tcBorders>
              <w:top w:val="single" w:sz="4" w:space="0" w:color="auto"/>
            </w:tcBorders>
            <w:vAlign w:val="center"/>
          </w:tcPr>
          <w:p w:rsidR="007D7A36" w:rsidRPr="00E4394E" w:rsidRDefault="000C16B1">
            <w:pPr>
              <w:spacing w:line="360" w:lineRule="auto"/>
              <w:rPr>
                <w:sz w:val="24"/>
              </w:rPr>
            </w:pPr>
            <w:r w:rsidRPr="00E4394E">
              <w:rPr>
                <w:sz w:val="24"/>
              </w:rPr>
              <w:t>25 (58.14)</w:t>
            </w:r>
          </w:p>
        </w:tc>
        <w:tc>
          <w:tcPr>
            <w:tcW w:w="1909" w:type="dxa"/>
            <w:tcBorders>
              <w:top w:val="single" w:sz="4" w:space="0" w:color="auto"/>
            </w:tcBorders>
            <w:vAlign w:val="center"/>
          </w:tcPr>
          <w:p w:rsidR="007D7A36" w:rsidRPr="00E4394E" w:rsidRDefault="000C16B1">
            <w:pPr>
              <w:spacing w:line="360" w:lineRule="auto"/>
              <w:rPr>
                <w:sz w:val="24"/>
              </w:rPr>
            </w:pPr>
            <w:r w:rsidRPr="00E4394E">
              <w:rPr>
                <w:sz w:val="24"/>
              </w:rPr>
              <w:t>46 (56.10)</w:t>
            </w:r>
          </w:p>
        </w:tc>
        <w:tc>
          <w:tcPr>
            <w:tcW w:w="1353" w:type="dxa"/>
            <w:tcBorders>
              <w:top w:val="single" w:sz="4" w:space="0" w:color="auto"/>
            </w:tcBorders>
            <w:vAlign w:val="center"/>
          </w:tcPr>
          <w:p w:rsidR="007D7A36" w:rsidRPr="00E4394E" w:rsidRDefault="000C16B1">
            <w:pPr>
              <w:spacing w:line="360" w:lineRule="auto"/>
              <w:rPr>
                <w:sz w:val="24"/>
              </w:rPr>
            </w:pPr>
            <w:r w:rsidRPr="00E4394E">
              <w:rPr>
                <w:sz w:val="24"/>
              </w:rPr>
              <w:t>0.018</w:t>
            </w:r>
          </w:p>
        </w:tc>
        <w:tc>
          <w:tcPr>
            <w:tcW w:w="975" w:type="dxa"/>
            <w:tcBorders>
              <w:top w:val="single" w:sz="4" w:space="0" w:color="auto"/>
            </w:tcBorders>
            <w:vAlign w:val="center"/>
          </w:tcPr>
          <w:p w:rsidR="007D7A36" w:rsidRPr="00E4394E" w:rsidRDefault="000C16B1">
            <w:pPr>
              <w:spacing w:line="360" w:lineRule="auto"/>
              <w:rPr>
                <w:sz w:val="24"/>
              </w:rPr>
            </w:pPr>
            <w:r w:rsidRPr="00E4394E">
              <w:rPr>
                <w:sz w:val="24"/>
              </w:rPr>
              <w:t>0.892</w:t>
            </w:r>
          </w:p>
        </w:tc>
      </w:tr>
      <w:tr w:rsidR="00E4394E" w:rsidRPr="00E4394E">
        <w:tc>
          <w:tcPr>
            <w:tcW w:w="2802" w:type="dxa"/>
            <w:vAlign w:val="center"/>
          </w:tcPr>
          <w:p w:rsidR="007D7A36" w:rsidRPr="00E4394E" w:rsidRDefault="000C16B1">
            <w:pPr>
              <w:spacing w:line="360" w:lineRule="auto"/>
              <w:rPr>
                <w:sz w:val="24"/>
              </w:rPr>
            </w:pPr>
            <w:r w:rsidRPr="00E4394E">
              <w:rPr>
                <w:sz w:val="24"/>
              </w:rPr>
              <w:t>Age</w:t>
            </w:r>
          </w:p>
        </w:tc>
        <w:tc>
          <w:tcPr>
            <w:tcW w:w="1574" w:type="dxa"/>
            <w:vAlign w:val="center"/>
          </w:tcPr>
          <w:p w:rsidR="007D7A36" w:rsidRPr="00E4394E" w:rsidRDefault="000C16B1">
            <w:pPr>
              <w:spacing w:line="360" w:lineRule="auto"/>
              <w:rPr>
                <w:sz w:val="24"/>
              </w:rPr>
            </w:pPr>
            <w:r w:rsidRPr="00E4394E">
              <w:rPr>
                <w:sz w:val="24"/>
              </w:rPr>
              <w:t>70.04 ± 10.82</w:t>
            </w:r>
          </w:p>
        </w:tc>
        <w:tc>
          <w:tcPr>
            <w:tcW w:w="1909" w:type="dxa"/>
            <w:vAlign w:val="center"/>
          </w:tcPr>
          <w:p w:rsidR="007D7A36" w:rsidRPr="00E4394E" w:rsidRDefault="000C16B1">
            <w:pPr>
              <w:spacing w:line="360" w:lineRule="auto"/>
              <w:rPr>
                <w:sz w:val="24"/>
              </w:rPr>
            </w:pPr>
            <w:r w:rsidRPr="00E4394E">
              <w:rPr>
                <w:sz w:val="24"/>
              </w:rPr>
              <w:t>67.06 ± 8.59</w:t>
            </w:r>
          </w:p>
        </w:tc>
        <w:tc>
          <w:tcPr>
            <w:tcW w:w="1353" w:type="dxa"/>
            <w:vAlign w:val="center"/>
          </w:tcPr>
          <w:p w:rsidR="007D7A36" w:rsidRPr="00E4394E" w:rsidRDefault="000C16B1">
            <w:pPr>
              <w:spacing w:line="360" w:lineRule="auto"/>
              <w:rPr>
                <w:sz w:val="24"/>
              </w:rPr>
            </w:pPr>
            <w:r w:rsidRPr="00E4394E">
              <w:rPr>
                <w:sz w:val="24"/>
              </w:rPr>
              <w:t>1.672</w:t>
            </w:r>
          </w:p>
        </w:tc>
        <w:tc>
          <w:tcPr>
            <w:tcW w:w="975" w:type="dxa"/>
            <w:vAlign w:val="center"/>
          </w:tcPr>
          <w:p w:rsidR="007D7A36" w:rsidRPr="00E4394E" w:rsidRDefault="000C16B1">
            <w:pPr>
              <w:spacing w:line="360" w:lineRule="auto"/>
              <w:rPr>
                <w:sz w:val="24"/>
              </w:rPr>
            </w:pPr>
            <w:r w:rsidRPr="00E4394E">
              <w:rPr>
                <w:sz w:val="24"/>
              </w:rPr>
              <w:t>0.095</w:t>
            </w:r>
          </w:p>
        </w:tc>
      </w:tr>
      <w:tr w:rsidR="00E4394E" w:rsidRPr="00E4394E">
        <w:tc>
          <w:tcPr>
            <w:tcW w:w="2802" w:type="dxa"/>
            <w:vAlign w:val="center"/>
          </w:tcPr>
          <w:p w:rsidR="007D7A36" w:rsidRPr="00E4394E" w:rsidRDefault="000C16B1">
            <w:pPr>
              <w:spacing w:line="360" w:lineRule="auto"/>
              <w:rPr>
                <w:sz w:val="24"/>
              </w:rPr>
            </w:pPr>
            <w:r w:rsidRPr="00E4394E">
              <w:rPr>
                <w:sz w:val="24"/>
              </w:rPr>
              <w:t>Triglyceride (mmol/L)</w:t>
            </w:r>
          </w:p>
        </w:tc>
        <w:tc>
          <w:tcPr>
            <w:tcW w:w="1574" w:type="dxa"/>
            <w:vAlign w:val="center"/>
          </w:tcPr>
          <w:p w:rsidR="007D7A36" w:rsidRPr="00E4394E" w:rsidRDefault="000C16B1">
            <w:pPr>
              <w:spacing w:line="360" w:lineRule="auto"/>
              <w:rPr>
                <w:sz w:val="24"/>
              </w:rPr>
            </w:pPr>
            <w:r w:rsidRPr="00E4394E">
              <w:rPr>
                <w:sz w:val="24"/>
              </w:rPr>
              <w:t>1.68 ± 0.91</w:t>
            </w:r>
          </w:p>
        </w:tc>
        <w:tc>
          <w:tcPr>
            <w:tcW w:w="1909" w:type="dxa"/>
            <w:vAlign w:val="center"/>
          </w:tcPr>
          <w:p w:rsidR="007D7A36" w:rsidRPr="00E4394E" w:rsidRDefault="000C16B1">
            <w:pPr>
              <w:spacing w:line="360" w:lineRule="auto"/>
              <w:rPr>
                <w:sz w:val="24"/>
              </w:rPr>
            </w:pPr>
            <w:r w:rsidRPr="00E4394E">
              <w:rPr>
                <w:sz w:val="24"/>
              </w:rPr>
              <w:t>1.72 ± 0.67</w:t>
            </w:r>
          </w:p>
        </w:tc>
        <w:tc>
          <w:tcPr>
            <w:tcW w:w="1353" w:type="dxa"/>
            <w:vAlign w:val="center"/>
          </w:tcPr>
          <w:p w:rsidR="007D7A36" w:rsidRPr="00E4394E" w:rsidRDefault="000C16B1">
            <w:pPr>
              <w:spacing w:line="360" w:lineRule="auto"/>
              <w:rPr>
                <w:sz w:val="24"/>
              </w:rPr>
            </w:pPr>
            <w:r w:rsidRPr="00E4394E">
              <w:rPr>
                <w:sz w:val="24"/>
              </w:rPr>
              <w:t>0.279</w:t>
            </w:r>
          </w:p>
        </w:tc>
        <w:tc>
          <w:tcPr>
            <w:tcW w:w="975" w:type="dxa"/>
            <w:vAlign w:val="center"/>
          </w:tcPr>
          <w:p w:rsidR="007D7A36" w:rsidRPr="00E4394E" w:rsidRDefault="000C16B1">
            <w:pPr>
              <w:spacing w:line="360" w:lineRule="auto"/>
              <w:rPr>
                <w:sz w:val="24"/>
              </w:rPr>
            </w:pPr>
            <w:r w:rsidRPr="00E4394E">
              <w:rPr>
                <w:sz w:val="24"/>
              </w:rPr>
              <w:t>0.780</w:t>
            </w:r>
          </w:p>
        </w:tc>
      </w:tr>
      <w:tr w:rsidR="00E4394E" w:rsidRPr="00E4394E">
        <w:tc>
          <w:tcPr>
            <w:tcW w:w="2802" w:type="dxa"/>
            <w:vAlign w:val="center"/>
          </w:tcPr>
          <w:p w:rsidR="007D7A36" w:rsidRPr="00E4394E" w:rsidRDefault="000C16B1">
            <w:pPr>
              <w:spacing w:line="360" w:lineRule="auto"/>
              <w:rPr>
                <w:sz w:val="24"/>
              </w:rPr>
            </w:pPr>
            <w:r w:rsidRPr="00E4394E">
              <w:rPr>
                <w:sz w:val="24"/>
              </w:rPr>
              <w:t>Cholesterol (mmol/L)</w:t>
            </w:r>
          </w:p>
        </w:tc>
        <w:tc>
          <w:tcPr>
            <w:tcW w:w="1574" w:type="dxa"/>
            <w:vAlign w:val="center"/>
          </w:tcPr>
          <w:p w:rsidR="007D7A36" w:rsidRPr="00E4394E" w:rsidRDefault="000C16B1">
            <w:pPr>
              <w:spacing w:line="360" w:lineRule="auto"/>
              <w:rPr>
                <w:sz w:val="24"/>
              </w:rPr>
            </w:pPr>
            <w:r w:rsidRPr="00E4394E">
              <w:rPr>
                <w:sz w:val="24"/>
              </w:rPr>
              <w:t>4.50 ± 1.03</w:t>
            </w:r>
          </w:p>
        </w:tc>
        <w:tc>
          <w:tcPr>
            <w:tcW w:w="1909" w:type="dxa"/>
            <w:vAlign w:val="center"/>
          </w:tcPr>
          <w:p w:rsidR="007D7A36" w:rsidRPr="00E4394E" w:rsidRDefault="000C16B1">
            <w:pPr>
              <w:spacing w:line="360" w:lineRule="auto"/>
              <w:rPr>
                <w:sz w:val="24"/>
              </w:rPr>
            </w:pPr>
            <w:r w:rsidRPr="00E4394E">
              <w:rPr>
                <w:sz w:val="24"/>
              </w:rPr>
              <w:t>4.31 ± 0.88</w:t>
            </w:r>
          </w:p>
        </w:tc>
        <w:tc>
          <w:tcPr>
            <w:tcW w:w="1353" w:type="dxa"/>
            <w:vAlign w:val="center"/>
          </w:tcPr>
          <w:p w:rsidR="007D7A36" w:rsidRPr="00E4394E" w:rsidRDefault="000C16B1">
            <w:pPr>
              <w:spacing w:line="360" w:lineRule="auto"/>
              <w:rPr>
                <w:sz w:val="24"/>
              </w:rPr>
            </w:pPr>
            <w:r w:rsidRPr="00E4394E">
              <w:rPr>
                <w:sz w:val="24"/>
              </w:rPr>
              <w:t>1.080</w:t>
            </w:r>
          </w:p>
        </w:tc>
        <w:tc>
          <w:tcPr>
            <w:tcW w:w="975" w:type="dxa"/>
            <w:vAlign w:val="center"/>
          </w:tcPr>
          <w:p w:rsidR="007D7A36" w:rsidRPr="00E4394E" w:rsidRDefault="000C16B1">
            <w:pPr>
              <w:spacing w:line="360" w:lineRule="auto"/>
              <w:rPr>
                <w:sz w:val="24"/>
              </w:rPr>
            </w:pPr>
            <w:r w:rsidRPr="00E4394E">
              <w:rPr>
                <w:sz w:val="24"/>
              </w:rPr>
              <w:t>0.282</w:t>
            </w:r>
          </w:p>
        </w:tc>
      </w:tr>
      <w:tr w:rsidR="00E4394E" w:rsidRPr="00E4394E">
        <w:tc>
          <w:tcPr>
            <w:tcW w:w="2802" w:type="dxa"/>
            <w:vAlign w:val="center"/>
          </w:tcPr>
          <w:p w:rsidR="007D7A36" w:rsidRPr="00E4394E" w:rsidRDefault="000C16B1">
            <w:pPr>
              <w:spacing w:line="360" w:lineRule="auto"/>
              <w:rPr>
                <w:sz w:val="24"/>
              </w:rPr>
            </w:pPr>
            <w:r w:rsidRPr="00E4394E">
              <w:rPr>
                <w:sz w:val="24"/>
              </w:rPr>
              <w:t>Lipoprotein (a) (mmol/L)</w:t>
            </w:r>
          </w:p>
        </w:tc>
        <w:tc>
          <w:tcPr>
            <w:tcW w:w="1574" w:type="dxa"/>
            <w:vAlign w:val="center"/>
          </w:tcPr>
          <w:p w:rsidR="007D7A36" w:rsidRPr="00E4394E" w:rsidRDefault="000C16B1">
            <w:pPr>
              <w:spacing w:line="360" w:lineRule="auto"/>
              <w:rPr>
                <w:sz w:val="24"/>
              </w:rPr>
            </w:pPr>
            <w:r w:rsidRPr="00E4394E">
              <w:rPr>
                <w:sz w:val="24"/>
              </w:rPr>
              <w:t>235.67 ± 285.37</w:t>
            </w:r>
          </w:p>
        </w:tc>
        <w:tc>
          <w:tcPr>
            <w:tcW w:w="1909" w:type="dxa"/>
            <w:vAlign w:val="center"/>
          </w:tcPr>
          <w:p w:rsidR="007D7A36" w:rsidRPr="00E4394E" w:rsidRDefault="000C16B1">
            <w:pPr>
              <w:spacing w:line="360" w:lineRule="auto"/>
              <w:rPr>
                <w:sz w:val="24"/>
              </w:rPr>
            </w:pPr>
            <w:r w:rsidRPr="00E4394E">
              <w:rPr>
                <w:sz w:val="24"/>
              </w:rPr>
              <w:t>179.56 ± 184.67</w:t>
            </w:r>
          </w:p>
        </w:tc>
        <w:tc>
          <w:tcPr>
            <w:tcW w:w="1353" w:type="dxa"/>
            <w:vAlign w:val="center"/>
          </w:tcPr>
          <w:p w:rsidR="007D7A36" w:rsidRPr="00E4394E" w:rsidRDefault="000C16B1">
            <w:pPr>
              <w:spacing w:line="360" w:lineRule="auto"/>
              <w:rPr>
                <w:sz w:val="24"/>
              </w:rPr>
            </w:pPr>
            <w:r w:rsidRPr="00E4394E">
              <w:rPr>
                <w:sz w:val="24"/>
              </w:rPr>
              <w:t>1.243</w:t>
            </w:r>
          </w:p>
        </w:tc>
        <w:tc>
          <w:tcPr>
            <w:tcW w:w="975" w:type="dxa"/>
            <w:vAlign w:val="center"/>
          </w:tcPr>
          <w:p w:rsidR="007D7A36" w:rsidRPr="00E4394E" w:rsidRDefault="000C16B1">
            <w:pPr>
              <w:spacing w:line="360" w:lineRule="auto"/>
              <w:rPr>
                <w:sz w:val="24"/>
              </w:rPr>
            </w:pPr>
            <w:r w:rsidRPr="00E4394E">
              <w:rPr>
                <w:sz w:val="24"/>
              </w:rPr>
              <w:t>0.216</w:t>
            </w:r>
          </w:p>
        </w:tc>
      </w:tr>
      <w:tr w:rsidR="00E4394E" w:rsidRPr="00E4394E">
        <w:tc>
          <w:tcPr>
            <w:tcW w:w="2802" w:type="dxa"/>
            <w:vAlign w:val="center"/>
          </w:tcPr>
          <w:p w:rsidR="007D7A36" w:rsidRPr="00E4394E" w:rsidRDefault="000C16B1">
            <w:pPr>
              <w:spacing w:line="360" w:lineRule="auto"/>
              <w:rPr>
                <w:sz w:val="24"/>
              </w:rPr>
            </w:pPr>
            <w:r w:rsidRPr="00E4394E">
              <w:rPr>
                <w:sz w:val="24"/>
              </w:rPr>
              <w:t>High-density lipoprotein (mmol/L)</w:t>
            </w:r>
          </w:p>
        </w:tc>
        <w:tc>
          <w:tcPr>
            <w:tcW w:w="1574" w:type="dxa"/>
            <w:vAlign w:val="center"/>
          </w:tcPr>
          <w:p w:rsidR="007D7A36" w:rsidRPr="00E4394E" w:rsidRDefault="000C16B1">
            <w:pPr>
              <w:spacing w:line="360" w:lineRule="auto"/>
              <w:rPr>
                <w:sz w:val="24"/>
              </w:rPr>
            </w:pPr>
            <w:r w:rsidRPr="00E4394E">
              <w:rPr>
                <w:sz w:val="24"/>
              </w:rPr>
              <w:t>1.09 ± 0.24</w:t>
            </w:r>
          </w:p>
        </w:tc>
        <w:tc>
          <w:tcPr>
            <w:tcW w:w="1909" w:type="dxa"/>
            <w:vAlign w:val="center"/>
          </w:tcPr>
          <w:p w:rsidR="007D7A36" w:rsidRPr="00E4394E" w:rsidRDefault="000C16B1">
            <w:pPr>
              <w:spacing w:line="360" w:lineRule="auto"/>
              <w:rPr>
                <w:sz w:val="24"/>
              </w:rPr>
            </w:pPr>
            <w:r w:rsidRPr="00E4394E">
              <w:rPr>
                <w:sz w:val="24"/>
              </w:rPr>
              <w:t>1.15 ± 0.33</w:t>
            </w:r>
          </w:p>
        </w:tc>
        <w:tc>
          <w:tcPr>
            <w:tcW w:w="1353" w:type="dxa"/>
            <w:vAlign w:val="center"/>
          </w:tcPr>
          <w:p w:rsidR="007D7A36" w:rsidRPr="00E4394E" w:rsidRDefault="000C16B1">
            <w:pPr>
              <w:spacing w:line="360" w:lineRule="auto"/>
              <w:rPr>
                <w:sz w:val="24"/>
              </w:rPr>
            </w:pPr>
            <w:r w:rsidRPr="00E4394E">
              <w:rPr>
                <w:sz w:val="24"/>
              </w:rPr>
              <w:t>-1.086</w:t>
            </w:r>
          </w:p>
        </w:tc>
        <w:tc>
          <w:tcPr>
            <w:tcW w:w="975" w:type="dxa"/>
            <w:vAlign w:val="center"/>
          </w:tcPr>
          <w:p w:rsidR="007D7A36" w:rsidRPr="00E4394E" w:rsidRDefault="000C16B1">
            <w:pPr>
              <w:spacing w:line="360" w:lineRule="auto"/>
              <w:rPr>
                <w:sz w:val="24"/>
              </w:rPr>
            </w:pPr>
            <w:r w:rsidRPr="00E4394E">
              <w:rPr>
                <w:sz w:val="24"/>
              </w:rPr>
              <w:t>0.279</w:t>
            </w:r>
          </w:p>
        </w:tc>
      </w:tr>
      <w:tr w:rsidR="00E4394E" w:rsidRPr="00E4394E">
        <w:tc>
          <w:tcPr>
            <w:tcW w:w="2802" w:type="dxa"/>
            <w:vAlign w:val="center"/>
          </w:tcPr>
          <w:p w:rsidR="007D7A36" w:rsidRPr="00E4394E" w:rsidRDefault="000C16B1">
            <w:pPr>
              <w:spacing w:line="360" w:lineRule="auto"/>
              <w:rPr>
                <w:sz w:val="24"/>
              </w:rPr>
            </w:pPr>
            <w:r w:rsidRPr="00E4394E">
              <w:rPr>
                <w:sz w:val="24"/>
              </w:rPr>
              <w:t>Low-density lipoprotein (mmol/L)</w:t>
            </w:r>
          </w:p>
        </w:tc>
        <w:tc>
          <w:tcPr>
            <w:tcW w:w="1574" w:type="dxa"/>
            <w:vAlign w:val="center"/>
          </w:tcPr>
          <w:p w:rsidR="007D7A36" w:rsidRPr="00E4394E" w:rsidRDefault="000C16B1">
            <w:pPr>
              <w:spacing w:line="360" w:lineRule="auto"/>
              <w:rPr>
                <w:sz w:val="24"/>
              </w:rPr>
            </w:pPr>
            <w:r w:rsidRPr="00E4394E">
              <w:rPr>
                <w:sz w:val="24"/>
              </w:rPr>
              <w:t>3.13 ± 0.69</w:t>
            </w:r>
          </w:p>
        </w:tc>
        <w:tc>
          <w:tcPr>
            <w:tcW w:w="1909" w:type="dxa"/>
            <w:vAlign w:val="center"/>
          </w:tcPr>
          <w:p w:rsidR="007D7A36" w:rsidRPr="00E4394E" w:rsidRDefault="000C16B1">
            <w:pPr>
              <w:spacing w:line="360" w:lineRule="auto"/>
              <w:rPr>
                <w:sz w:val="24"/>
              </w:rPr>
            </w:pPr>
            <w:r w:rsidRPr="00E4394E">
              <w:rPr>
                <w:sz w:val="24"/>
              </w:rPr>
              <w:t>2.96 ± 0.72</w:t>
            </w:r>
          </w:p>
        </w:tc>
        <w:tc>
          <w:tcPr>
            <w:tcW w:w="1353" w:type="dxa"/>
            <w:vAlign w:val="center"/>
          </w:tcPr>
          <w:p w:rsidR="007D7A36" w:rsidRPr="00E4394E" w:rsidRDefault="000C16B1">
            <w:pPr>
              <w:spacing w:line="360" w:lineRule="auto"/>
              <w:rPr>
                <w:sz w:val="24"/>
              </w:rPr>
            </w:pPr>
            <w:r w:rsidRPr="00E4394E">
              <w:rPr>
                <w:sz w:val="24"/>
              </w:rPr>
              <w:t>1.272</w:t>
            </w:r>
          </w:p>
        </w:tc>
        <w:tc>
          <w:tcPr>
            <w:tcW w:w="975" w:type="dxa"/>
            <w:vAlign w:val="center"/>
          </w:tcPr>
          <w:p w:rsidR="007D7A36" w:rsidRPr="00E4394E" w:rsidRDefault="000C16B1">
            <w:pPr>
              <w:spacing w:line="360" w:lineRule="auto"/>
              <w:rPr>
                <w:sz w:val="24"/>
              </w:rPr>
            </w:pPr>
            <w:r w:rsidRPr="00E4394E">
              <w:rPr>
                <w:sz w:val="24"/>
              </w:rPr>
              <w:t>0.206</w:t>
            </w:r>
          </w:p>
        </w:tc>
      </w:tr>
      <w:tr w:rsidR="00E4394E" w:rsidRPr="00E4394E">
        <w:tc>
          <w:tcPr>
            <w:tcW w:w="2802" w:type="dxa"/>
            <w:vAlign w:val="center"/>
          </w:tcPr>
          <w:p w:rsidR="007D7A36" w:rsidRPr="00E4394E" w:rsidRDefault="000C16B1">
            <w:pPr>
              <w:spacing w:line="360" w:lineRule="auto"/>
              <w:rPr>
                <w:sz w:val="24"/>
              </w:rPr>
            </w:pPr>
            <w:r w:rsidRPr="00E4394E">
              <w:rPr>
                <w:sz w:val="24"/>
              </w:rPr>
              <w:t>High-sensitivity C-reactive protein (mg/L)</w:t>
            </w:r>
          </w:p>
        </w:tc>
        <w:tc>
          <w:tcPr>
            <w:tcW w:w="1574" w:type="dxa"/>
            <w:vAlign w:val="center"/>
          </w:tcPr>
          <w:p w:rsidR="007D7A36" w:rsidRPr="00E4394E" w:rsidRDefault="000C16B1">
            <w:pPr>
              <w:spacing w:line="360" w:lineRule="auto"/>
              <w:rPr>
                <w:sz w:val="24"/>
              </w:rPr>
            </w:pPr>
            <w:r w:rsidRPr="00E4394E">
              <w:rPr>
                <w:sz w:val="24"/>
              </w:rPr>
              <w:t>7.57 ± 4.74</w:t>
            </w:r>
          </w:p>
        </w:tc>
        <w:tc>
          <w:tcPr>
            <w:tcW w:w="1909" w:type="dxa"/>
            <w:vAlign w:val="center"/>
          </w:tcPr>
          <w:p w:rsidR="007D7A36" w:rsidRPr="00E4394E" w:rsidRDefault="000C16B1">
            <w:pPr>
              <w:spacing w:line="360" w:lineRule="auto"/>
              <w:rPr>
                <w:sz w:val="24"/>
              </w:rPr>
            </w:pPr>
            <w:r w:rsidRPr="00E4394E">
              <w:rPr>
                <w:sz w:val="24"/>
              </w:rPr>
              <w:t>6.23 ± 3.98</w:t>
            </w:r>
          </w:p>
        </w:tc>
        <w:tc>
          <w:tcPr>
            <w:tcW w:w="1353" w:type="dxa"/>
            <w:vAlign w:val="center"/>
          </w:tcPr>
          <w:p w:rsidR="007D7A36" w:rsidRPr="00E4394E" w:rsidRDefault="000C16B1">
            <w:pPr>
              <w:spacing w:line="360" w:lineRule="auto"/>
              <w:rPr>
                <w:sz w:val="24"/>
              </w:rPr>
            </w:pPr>
            <w:r w:rsidRPr="00E4394E">
              <w:rPr>
                <w:sz w:val="24"/>
              </w:rPr>
              <w:t>1.673</w:t>
            </w:r>
          </w:p>
        </w:tc>
        <w:tc>
          <w:tcPr>
            <w:tcW w:w="975" w:type="dxa"/>
            <w:vAlign w:val="center"/>
          </w:tcPr>
          <w:p w:rsidR="007D7A36" w:rsidRPr="00E4394E" w:rsidRDefault="000C16B1">
            <w:pPr>
              <w:spacing w:line="360" w:lineRule="auto"/>
              <w:rPr>
                <w:sz w:val="24"/>
              </w:rPr>
            </w:pPr>
            <w:r w:rsidRPr="00E4394E">
              <w:rPr>
                <w:sz w:val="24"/>
              </w:rPr>
              <w:t>0.097</w:t>
            </w:r>
          </w:p>
        </w:tc>
      </w:tr>
      <w:tr w:rsidR="00E4394E" w:rsidRPr="00E4394E">
        <w:tc>
          <w:tcPr>
            <w:tcW w:w="2802" w:type="dxa"/>
            <w:vAlign w:val="center"/>
          </w:tcPr>
          <w:p w:rsidR="007D7A36" w:rsidRPr="00E4394E" w:rsidRDefault="000C16B1">
            <w:pPr>
              <w:spacing w:line="360" w:lineRule="auto"/>
              <w:rPr>
                <w:sz w:val="24"/>
              </w:rPr>
            </w:pPr>
            <w:r w:rsidRPr="00E4394E">
              <w:rPr>
                <w:sz w:val="24"/>
              </w:rPr>
              <w:t xml:space="preserve">History of hypertension </w:t>
            </w:r>
          </w:p>
        </w:tc>
        <w:tc>
          <w:tcPr>
            <w:tcW w:w="1574" w:type="dxa"/>
            <w:vAlign w:val="center"/>
          </w:tcPr>
          <w:p w:rsidR="007D7A36" w:rsidRPr="00E4394E" w:rsidRDefault="000C16B1">
            <w:pPr>
              <w:spacing w:line="360" w:lineRule="auto"/>
              <w:rPr>
                <w:sz w:val="24"/>
              </w:rPr>
            </w:pPr>
            <w:r w:rsidRPr="00E4394E">
              <w:rPr>
                <w:sz w:val="24"/>
              </w:rPr>
              <w:t>22 (51.16)</w:t>
            </w:r>
          </w:p>
        </w:tc>
        <w:tc>
          <w:tcPr>
            <w:tcW w:w="1909" w:type="dxa"/>
            <w:vAlign w:val="center"/>
          </w:tcPr>
          <w:p w:rsidR="007D7A36" w:rsidRPr="00E4394E" w:rsidRDefault="000C16B1">
            <w:pPr>
              <w:spacing w:line="360" w:lineRule="auto"/>
              <w:rPr>
                <w:sz w:val="24"/>
              </w:rPr>
            </w:pPr>
            <w:r w:rsidRPr="00E4394E">
              <w:rPr>
                <w:sz w:val="24"/>
              </w:rPr>
              <w:t>40 (48.78)</w:t>
            </w:r>
          </w:p>
        </w:tc>
        <w:tc>
          <w:tcPr>
            <w:tcW w:w="1353" w:type="dxa"/>
            <w:vAlign w:val="center"/>
          </w:tcPr>
          <w:p w:rsidR="007D7A36" w:rsidRPr="00E4394E" w:rsidRDefault="000C16B1">
            <w:pPr>
              <w:spacing w:line="360" w:lineRule="auto"/>
              <w:rPr>
                <w:sz w:val="24"/>
              </w:rPr>
            </w:pPr>
            <w:r w:rsidRPr="00E4394E">
              <w:rPr>
                <w:sz w:val="24"/>
              </w:rPr>
              <w:t>0.064</w:t>
            </w:r>
          </w:p>
        </w:tc>
        <w:tc>
          <w:tcPr>
            <w:tcW w:w="975" w:type="dxa"/>
            <w:vAlign w:val="center"/>
          </w:tcPr>
          <w:p w:rsidR="007D7A36" w:rsidRPr="00E4394E" w:rsidRDefault="000C16B1">
            <w:pPr>
              <w:spacing w:line="360" w:lineRule="auto"/>
              <w:rPr>
                <w:sz w:val="24"/>
              </w:rPr>
            </w:pPr>
            <w:r w:rsidRPr="00E4394E">
              <w:rPr>
                <w:sz w:val="24"/>
              </w:rPr>
              <w:t>0.800</w:t>
            </w:r>
          </w:p>
        </w:tc>
      </w:tr>
      <w:tr w:rsidR="00E4394E" w:rsidRPr="00E4394E">
        <w:tc>
          <w:tcPr>
            <w:tcW w:w="2802" w:type="dxa"/>
            <w:vAlign w:val="center"/>
          </w:tcPr>
          <w:p w:rsidR="007D7A36" w:rsidRPr="00E4394E" w:rsidRDefault="000C16B1">
            <w:pPr>
              <w:spacing w:line="360" w:lineRule="auto"/>
              <w:rPr>
                <w:sz w:val="24"/>
              </w:rPr>
            </w:pPr>
            <w:r w:rsidRPr="00E4394E">
              <w:rPr>
                <w:sz w:val="24"/>
              </w:rPr>
              <w:t xml:space="preserve">History of diabetes </w:t>
            </w:r>
          </w:p>
        </w:tc>
        <w:tc>
          <w:tcPr>
            <w:tcW w:w="1574" w:type="dxa"/>
            <w:vAlign w:val="center"/>
          </w:tcPr>
          <w:p w:rsidR="007D7A36" w:rsidRPr="00E4394E" w:rsidRDefault="000C16B1">
            <w:pPr>
              <w:spacing w:line="360" w:lineRule="auto"/>
              <w:rPr>
                <w:sz w:val="24"/>
              </w:rPr>
            </w:pPr>
            <w:r w:rsidRPr="00E4394E">
              <w:rPr>
                <w:sz w:val="24"/>
              </w:rPr>
              <w:t>26 (60.47)</w:t>
            </w:r>
          </w:p>
        </w:tc>
        <w:tc>
          <w:tcPr>
            <w:tcW w:w="1909" w:type="dxa"/>
            <w:vAlign w:val="center"/>
          </w:tcPr>
          <w:p w:rsidR="007D7A36" w:rsidRPr="00E4394E" w:rsidRDefault="000C16B1">
            <w:pPr>
              <w:spacing w:line="360" w:lineRule="auto"/>
              <w:rPr>
                <w:sz w:val="24"/>
              </w:rPr>
            </w:pPr>
            <w:r w:rsidRPr="00E4394E">
              <w:rPr>
                <w:sz w:val="24"/>
              </w:rPr>
              <w:t>48 (55.54)</w:t>
            </w:r>
          </w:p>
        </w:tc>
        <w:tc>
          <w:tcPr>
            <w:tcW w:w="1353" w:type="dxa"/>
            <w:vAlign w:val="center"/>
          </w:tcPr>
          <w:p w:rsidR="007D7A36" w:rsidRPr="00E4394E" w:rsidRDefault="000C16B1">
            <w:pPr>
              <w:spacing w:line="360" w:lineRule="auto"/>
              <w:rPr>
                <w:sz w:val="24"/>
              </w:rPr>
            </w:pPr>
            <w:r w:rsidRPr="00E4394E">
              <w:rPr>
                <w:sz w:val="24"/>
              </w:rPr>
              <w:t>0.043</w:t>
            </w:r>
          </w:p>
        </w:tc>
        <w:tc>
          <w:tcPr>
            <w:tcW w:w="975" w:type="dxa"/>
            <w:vAlign w:val="center"/>
          </w:tcPr>
          <w:p w:rsidR="007D7A36" w:rsidRPr="00E4394E" w:rsidRDefault="000C16B1">
            <w:pPr>
              <w:spacing w:line="360" w:lineRule="auto"/>
              <w:rPr>
                <w:sz w:val="24"/>
              </w:rPr>
            </w:pPr>
            <w:r w:rsidRPr="00E4394E">
              <w:rPr>
                <w:sz w:val="24"/>
              </w:rPr>
              <w:t>0.835</w:t>
            </w:r>
          </w:p>
        </w:tc>
      </w:tr>
      <w:tr w:rsidR="00E4394E" w:rsidRPr="00E4394E">
        <w:tc>
          <w:tcPr>
            <w:tcW w:w="2802" w:type="dxa"/>
            <w:vAlign w:val="center"/>
          </w:tcPr>
          <w:p w:rsidR="007D7A36" w:rsidRPr="00E4394E" w:rsidRDefault="000C16B1">
            <w:pPr>
              <w:spacing w:line="360" w:lineRule="auto"/>
              <w:rPr>
                <w:sz w:val="24"/>
              </w:rPr>
            </w:pPr>
            <w:r w:rsidRPr="00E4394E">
              <w:rPr>
                <w:sz w:val="24"/>
              </w:rPr>
              <w:t xml:space="preserve">History of smoking </w:t>
            </w:r>
          </w:p>
        </w:tc>
        <w:tc>
          <w:tcPr>
            <w:tcW w:w="1574" w:type="dxa"/>
            <w:vAlign w:val="center"/>
          </w:tcPr>
          <w:p w:rsidR="007D7A36" w:rsidRPr="00E4394E" w:rsidRDefault="000C16B1">
            <w:pPr>
              <w:spacing w:line="360" w:lineRule="auto"/>
              <w:rPr>
                <w:sz w:val="24"/>
              </w:rPr>
            </w:pPr>
            <w:r w:rsidRPr="00E4394E">
              <w:rPr>
                <w:sz w:val="24"/>
              </w:rPr>
              <w:t>20 (46.51)</w:t>
            </w:r>
          </w:p>
        </w:tc>
        <w:tc>
          <w:tcPr>
            <w:tcW w:w="1909" w:type="dxa"/>
            <w:vAlign w:val="center"/>
          </w:tcPr>
          <w:p w:rsidR="007D7A36" w:rsidRPr="00E4394E" w:rsidRDefault="000C16B1">
            <w:pPr>
              <w:spacing w:line="360" w:lineRule="auto"/>
              <w:rPr>
                <w:sz w:val="24"/>
              </w:rPr>
            </w:pPr>
            <w:r w:rsidRPr="00E4394E">
              <w:rPr>
                <w:sz w:val="24"/>
              </w:rPr>
              <w:t>47 (57.32)</w:t>
            </w:r>
          </w:p>
        </w:tc>
        <w:tc>
          <w:tcPr>
            <w:tcW w:w="1353" w:type="dxa"/>
            <w:vAlign w:val="center"/>
          </w:tcPr>
          <w:p w:rsidR="007D7A36" w:rsidRPr="00E4394E" w:rsidRDefault="000C16B1">
            <w:pPr>
              <w:spacing w:line="360" w:lineRule="auto"/>
              <w:rPr>
                <w:sz w:val="24"/>
              </w:rPr>
            </w:pPr>
            <w:r w:rsidRPr="00E4394E">
              <w:rPr>
                <w:sz w:val="24"/>
              </w:rPr>
              <w:t>1.324</w:t>
            </w:r>
          </w:p>
        </w:tc>
        <w:tc>
          <w:tcPr>
            <w:tcW w:w="975" w:type="dxa"/>
            <w:vAlign w:val="center"/>
          </w:tcPr>
          <w:p w:rsidR="007D7A36" w:rsidRPr="00E4394E" w:rsidRDefault="000C16B1">
            <w:pPr>
              <w:spacing w:line="360" w:lineRule="auto"/>
              <w:rPr>
                <w:sz w:val="24"/>
              </w:rPr>
            </w:pPr>
            <w:r w:rsidRPr="00E4394E">
              <w:rPr>
                <w:sz w:val="24"/>
              </w:rPr>
              <w:t>0.250</w:t>
            </w:r>
          </w:p>
        </w:tc>
      </w:tr>
      <w:tr w:rsidR="00E4394E" w:rsidRPr="00E4394E">
        <w:tc>
          <w:tcPr>
            <w:tcW w:w="2802" w:type="dxa"/>
            <w:vAlign w:val="center"/>
          </w:tcPr>
          <w:p w:rsidR="007D7A36" w:rsidRPr="00E4394E" w:rsidRDefault="000C16B1">
            <w:pPr>
              <w:spacing w:line="360" w:lineRule="auto"/>
              <w:rPr>
                <w:sz w:val="24"/>
              </w:rPr>
            </w:pPr>
            <w:r w:rsidRPr="00E4394E">
              <w:rPr>
                <w:sz w:val="24"/>
              </w:rPr>
              <w:t>Plaque thickness (mm)</w:t>
            </w:r>
          </w:p>
        </w:tc>
        <w:tc>
          <w:tcPr>
            <w:tcW w:w="1574" w:type="dxa"/>
            <w:vAlign w:val="center"/>
          </w:tcPr>
          <w:p w:rsidR="007D7A36" w:rsidRPr="00E4394E" w:rsidRDefault="000C16B1">
            <w:pPr>
              <w:spacing w:line="360" w:lineRule="auto"/>
              <w:rPr>
                <w:sz w:val="24"/>
              </w:rPr>
            </w:pPr>
            <w:r w:rsidRPr="00E4394E">
              <w:rPr>
                <w:sz w:val="24"/>
              </w:rPr>
              <w:t>3.38 ± 0.83</w:t>
            </w:r>
          </w:p>
        </w:tc>
        <w:tc>
          <w:tcPr>
            <w:tcW w:w="1909" w:type="dxa"/>
            <w:vAlign w:val="center"/>
          </w:tcPr>
          <w:p w:rsidR="007D7A36" w:rsidRPr="00E4394E" w:rsidRDefault="000C16B1">
            <w:pPr>
              <w:spacing w:line="360" w:lineRule="auto"/>
              <w:rPr>
                <w:sz w:val="24"/>
              </w:rPr>
            </w:pPr>
            <w:r w:rsidRPr="00E4394E">
              <w:rPr>
                <w:sz w:val="24"/>
              </w:rPr>
              <w:t>3.30 ± 0.90</w:t>
            </w:r>
          </w:p>
        </w:tc>
        <w:tc>
          <w:tcPr>
            <w:tcW w:w="1353" w:type="dxa"/>
            <w:vAlign w:val="center"/>
          </w:tcPr>
          <w:p w:rsidR="007D7A36" w:rsidRPr="00E4394E" w:rsidRDefault="000C16B1">
            <w:pPr>
              <w:spacing w:line="360" w:lineRule="auto"/>
              <w:rPr>
                <w:sz w:val="24"/>
              </w:rPr>
            </w:pPr>
            <w:r w:rsidRPr="00E4394E">
              <w:rPr>
                <w:sz w:val="24"/>
              </w:rPr>
              <w:t>0.534</w:t>
            </w:r>
          </w:p>
        </w:tc>
        <w:tc>
          <w:tcPr>
            <w:tcW w:w="975" w:type="dxa"/>
            <w:vAlign w:val="center"/>
          </w:tcPr>
          <w:p w:rsidR="007D7A36" w:rsidRPr="00E4394E" w:rsidRDefault="000C16B1">
            <w:pPr>
              <w:spacing w:line="360" w:lineRule="auto"/>
              <w:rPr>
                <w:sz w:val="24"/>
              </w:rPr>
            </w:pPr>
            <w:r w:rsidRPr="00E4394E">
              <w:rPr>
                <w:sz w:val="24"/>
              </w:rPr>
              <w:t>0.594</w:t>
            </w:r>
          </w:p>
        </w:tc>
      </w:tr>
      <w:tr w:rsidR="00E4394E" w:rsidRPr="00E4394E">
        <w:tc>
          <w:tcPr>
            <w:tcW w:w="8613" w:type="dxa"/>
            <w:gridSpan w:val="5"/>
            <w:vAlign w:val="center"/>
          </w:tcPr>
          <w:p w:rsidR="007D7A36" w:rsidRPr="00E4394E" w:rsidRDefault="000C16B1">
            <w:pPr>
              <w:spacing w:line="360" w:lineRule="auto"/>
              <w:rPr>
                <w:sz w:val="24"/>
              </w:rPr>
            </w:pPr>
            <w:r w:rsidRPr="00E4394E">
              <w:rPr>
                <w:bCs/>
                <w:iCs/>
                <w:sz w:val="24"/>
              </w:rPr>
              <w:t>Superb micro-vascular imaging</w:t>
            </w:r>
            <w:r w:rsidRPr="00E4394E">
              <w:rPr>
                <w:sz w:val="24"/>
              </w:rPr>
              <w:t xml:space="preserve"> level</w:t>
            </w:r>
          </w:p>
        </w:tc>
      </w:tr>
      <w:tr w:rsidR="00E4394E" w:rsidRPr="00E4394E">
        <w:tc>
          <w:tcPr>
            <w:tcW w:w="2802" w:type="dxa"/>
            <w:vAlign w:val="center"/>
          </w:tcPr>
          <w:p w:rsidR="007D7A36" w:rsidRPr="00E4394E" w:rsidRDefault="000C16B1">
            <w:pPr>
              <w:spacing w:line="360" w:lineRule="auto"/>
              <w:ind w:firstLineChars="200" w:firstLine="480"/>
              <w:rPr>
                <w:sz w:val="24"/>
              </w:rPr>
            </w:pPr>
            <w:r w:rsidRPr="00E4394E">
              <w:rPr>
                <w:sz w:val="24"/>
              </w:rPr>
              <w:t>Level 0</w:t>
            </w:r>
          </w:p>
        </w:tc>
        <w:tc>
          <w:tcPr>
            <w:tcW w:w="1574" w:type="dxa"/>
            <w:vAlign w:val="center"/>
          </w:tcPr>
          <w:p w:rsidR="007D7A36" w:rsidRPr="00E4394E" w:rsidRDefault="000C16B1">
            <w:pPr>
              <w:spacing w:line="360" w:lineRule="auto"/>
              <w:rPr>
                <w:sz w:val="24"/>
              </w:rPr>
            </w:pPr>
            <w:r w:rsidRPr="00E4394E">
              <w:rPr>
                <w:sz w:val="24"/>
              </w:rPr>
              <w:t>1 (2.32)</w:t>
            </w:r>
          </w:p>
        </w:tc>
        <w:tc>
          <w:tcPr>
            <w:tcW w:w="1909" w:type="dxa"/>
            <w:vAlign w:val="center"/>
          </w:tcPr>
          <w:p w:rsidR="007D7A36" w:rsidRPr="00E4394E" w:rsidRDefault="000C16B1">
            <w:pPr>
              <w:spacing w:line="360" w:lineRule="auto"/>
              <w:rPr>
                <w:sz w:val="24"/>
              </w:rPr>
            </w:pPr>
            <w:r w:rsidRPr="00E4394E">
              <w:rPr>
                <w:sz w:val="24"/>
              </w:rPr>
              <w:t>17 (20.73)</w:t>
            </w:r>
          </w:p>
        </w:tc>
        <w:tc>
          <w:tcPr>
            <w:tcW w:w="1353" w:type="dxa"/>
            <w:vMerge w:val="restart"/>
            <w:vAlign w:val="center"/>
          </w:tcPr>
          <w:p w:rsidR="007D7A36" w:rsidRPr="00E4394E" w:rsidRDefault="000C16B1">
            <w:pPr>
              <w:spacing w:line="360" w:lineRule="auto"/>
              <w:rPr>
                <w:sz w:val="24"/>
              </w:rPr>
            </w:pPr>
            <w:r w:rsidRPr="00E4394E">
              <w:rPr>
                <w:sz w:val="24"/>
              </w:rPr>
              <w:t>56.678</w:t>
            </w:r>
          </w:p>
        </w:tc>
        <w:tc>
          <w:tcPr>
            <w:tcW w:w="975" w:type="dxa"/>
            <w:vMerge w:val="restart"/>
            <w:vAlign w:val="center"/>
          </w:tcPr>
          <w:p w:rsidR="007D7A36" w:rsidRPr="00E4394E" w:rsidRDefault="000C16B1">
            <w:pPr>
              <w:spacing w:line="360" w:lineRule="auto"/>
              <w:rPr>
                <w:sz w:val="24"/>
              </w:rPr>
            </w:pPr>
            <w:r w:rsidRPr="00E4394E">
              <w:rPr>
                <w:sz w:val="24"/>
              </w:rPr>
              <w:t>&lt; 0.001</w:t>
            </w:r>
          </w:p>
        </w:tc>
      </w:tr>
      <w:tr w:rsidR="00E4394E" w:rsidRPr="00E4394E">
        <w:tc>
          <w:tcPr>
            <w:tcW w:w="2802" w:type="dxa"/>
            <w:vAlign w:val="center"/>
          </w:tcPr>
          <w:p w:rsidR="007D7A36" w:rsidRPr="00E4394E" w:rsidRDefault="000C16B1">
            <w:pPr>
              <w:spacing w:line="360" w:lineRule="auto"/>
              <w:ind w:firstLineChars="200" w:firstLine="480"/>
              <w:rPr>
                <w:sz w:val="24"/>
              </w:rPr>
            </w:pPr>
            <w:r w:rsidRPr="00E4394E">
              <w:rPr>
                <w:sz w:val="24"/>
              </w:rPr>
              <w:t>Level I</w:t>
            </w:r>
          </w:p>
        </w:tc>
        <w:tc>
          <w:tcPr>
            <w:tcW w:w="1574" w:type="dxa"/>
            <w:vAlign w:val="center"/>
          </w:tcPr>
          <w:p w:rsidR="007D7A36" w:rsidRPr="00E4394E" w:rsidRDefault="000C16B1">
            <w:pPr>
              <w:spacing w:line="360" w:lineRule="auto"/>
              <w:rPr>
                <w:sz w:val="24"/>
              </w:rPr>
            </w:pPr>
            <w:r w:rsidRPr="00E4394E">
              <w:rPr>
                <w:sz w:val="24"/>
              </w:rPr>
              <w:t>6 (13.95)</w:t>
            </w:r>
          </w:p>
        </w:tc>
        <w:tc>
          <w:tcPr>
            <w:tcW w:w="1909" w:type="dxa"/>
            <w:vAlign w:val="center"/>
          </w:tcPr>
          <w:p w:rsidR="007D7A36" w:rsidRPr="00E4394E" w:rsidRDefault="000C16B1">
            <w:pPr>
              <w:spacing w:line="360" w:lineRule="auto"/>
              <w:rPr>
                <w:sz w:val="24"/>
              </w:rPr>
            </w:pPr>
            <w:r w:rsidRPr="00E4394E">
              <w:rPr>
                <w:sz w:val="24"/>
              </w:rPr>
              <w:t>48 (58.53)</w:t>
            </w:r>
          </w:p>
        </w:tc>
        <w:tc>
          <w:tcPr>
            <w:tcW w:w="1353" w:type="dxa"/>
            <w:vMerge/>
            <w:vAlign w:val="center"/>
          </w:tcPr>
          <w:p w:rsidR="007D7A36" w:rsidRPr="00E4394E" w:rsidRDefault="007D7A36">
            <w:pPr>
              <w:spacing w:line="360" w:lineRule="auto"/>
              <w:rPr>
                <w:sz w:val="24"/>
              </w:rPr>
            </w:pPr>
          </w:p>
        </w:tc>
        <w:tc>
          <w:tcPr>
            <w:tcW w:w="975" w:type="dxa"/>
            <w:vMerge/>
            <w:vAlign w:val="center"/>
          </w:tcPr>
          <w:p w:rsidR="007D7A36" w:rsidRPr="00E4394E" w:rsidRDefault="007D7A36">
            <w:pPr>
              <w:spacing w:line="360" w:lineRule="auto"/>
              <w:rPr>
                <w:sz w:val="24"/>
              </w:rPr>
            </w:pPr>
          </w:p>
        </w:tc>
      </w:tr>
      <w:tr w:rsidR="00E4394E" w:rsidRPr="00E4394E">
        <w:tc>
          <w:tcPr>
            <w:tcW w:w="2802" w:type="dxa"/>
            <w:vAlign w:val="center"/>
          </w:tcPr>
          <w:p w:rsidR="007D7A36" w:rsidRPr="00E4394E" w:rsidRDefault="000C16B1">
            <w:pPr>
              <w:spacing w:line="360" w:lineRule="auto"/>
              <w:ind w:firstLineChars="200" w:firstLine="480"/>
              <w:rPr>
                <w:sz w:val="24"/>
              </w:rPr>
            </w:pPr>
            <w:r w:rsidRPr="00E4394E">
              <w:rPr>
                <w:sz w:val="24"/>
              </w:rPr>
              <w:t>Level II</w:t>
            </w:r>
          </w:p>
        </w:tc>
        <w:tc>
          <w:tcPr>
            <w:tcW w:w="1574" w:type="dxa"/>
            <w:vAlign w:val="center"/>
          </w:tcPr>
          <w:p w:rsidR="007D7A36" w:rsidRPr="00E4394E" w:rsidRDefault="000C16B1">
            <w:pPr>
              <w:spacing w:line="360" w:lineRule="auto"/>
              <w:rPr>
                <w:sz w:val="24"/>
              </w:rPr>
            </w:pPr>
            <w:r w:rsidRPr="00E4394E">
              <w:rPr>
                <w:sz w:val="24"/>
              </w:rPr>
              <w:t>17 (39.53)</w:t>
            </w:r>
          </w:p>
        </w:tc>
        <w:tc>
          <w:tcPr>
            <w:tcW w:w="1909" w:type="dxa"/>
            <w:vAlign w:val="center"/>
          </w:tcPr>
          <w:p w:rsidR="007D7A36" w:rsidRPr="00E4394E" w:rsidRDefault="000C16B1">
            <w:pPr>
              <w:spacing w:line="360" w:lineRule="auto"/>
              <w:rPr>
                <w:sz w:val="24"/>
              </w:rPr>
            </w:pPr>
            <w:r w:rsidRPr="00E4394E">
              <w:rPr>
                <w:sz w:val="24"/>
              </w:rPr>
              <w:t>14 (17.07)</w:t>
            </w:r>
          </w:p>
        </w:tc>
        <w:tc>
          <w:tcPr>
            <w:tcW w:w="1353" w:type="dxa"/>
            <w:vMerge/>
            <w:vAlign w:val="center"/>
          </w:tcPr>
          <w:p w:rsidR="007D7A36" w:rsidRPr="00E4394E" w:rsidRDefault="007D7A36">
            <w:pPr>
              <w:spacing w:line="360" w:lineRule="auto"/>
              <w:rPr>
                <w:sz w:val="24"/>
              </w:rPr>
            </w:pPr>
          </w:p>
        </w:tc>
        <w:tc>
          <w:tcPr>
            <w:tcW w:w="975" w:type="dxa"/>
            <w:vMerge/>
            <w:vAlign w:val="center"/>
          </w:tcPr>
          <w:p w:rsidR="007D7A36" w:rsidRPr="00E4394E" w:rsidRDefault="007D7A36">
            <w:pPr>
              <w:spacing w:line="360" w:lineRule="auto"/>
              <w:rPr>
                <w:sz w:val="24"/>
              </w:rPr>
            </w:pPr>
          </w:p>
        </w:tc>
      </w:tr>
      <w:tr w:rsidR="00E4394E" w:rsidRPr="00E4394E">
        <w:tc>
          <w:tcPr>
            <w:tcW w:w="2802" w:type="dxa"/>
            <w:vAlign w:val="center"/>
          </w:tcPr>
          <w:p w:rsidR="007D7A36" w:rsidRPr="00E4394E" w:rsidRDefault="000C16B1">
            <w:pPr>
              <w:spacing w:line="360" w:lineRule="auto"/>
              <w:ind w:firstLineChars="200" w:firstLine="480"/>
              <w:rPr>
                <w:sz w:val="24"/>
              </w:rPr>
            </w:pPr>
            <w:r w:rsidRPr="00E4394E">
              <w:rPr>
                <w:sz w:val="24"/>
              </w:rPr>
              <w:t>Level III</w:t>
            </w:r>
          </w:p>
        </w:tc>
        <w:tc>
          <w:tcPr>
            <w:tcW w:w="1574" w:type="dxa"/>
            <w:vAlign w:val="center"/>
          </w:tcPr>
          <w:p w:rsidR="007D7A36" w:rsidRPr="00E4394E" w:rsidRDefault="000C16B1">
            <w:pPr>
              <w:spacing w:line="360" w:lineRule="auto"/>
              <w:rPr>
                <w:sz w:val="24"/>
              </w:rPr>
            </w:pPr>
            <w:r w:rsidRPr="00E4394E">
              <w:rPr>
                <w:sz w:val="24"/>
              </w:rPr>
              <w:t>19 (44.19)</w:t>
            </w:r>
          </w:p>
        </w:tc>
        <w:tc>
          <w:tcPr>
            <w:tcW w:w="1909" w:type="dxa"/>
            <w:vAlign w:val="center"/>
          </w:tcPr>
          <w:p w:rsidR="007D7A36" w:rsidRPr="00E4394E" w:rsidRDefault="000C16B1">
            <w:pPr>
              <w:spacing w:line="360" w:lineRule="auto"/>
              <w:rPr>
                <w:sz w:val="24"/>
              </w:rPr>
            </w:pPr>
            <w:r w:rsidRPr="00E4394E">
              <w:rPr>
                <w:sz w:val="24"/>
              </w:rPr>
              <w:t>3 (3.66)</w:t>
            </w:r>
          </w:p>
        </w:tc>
        <w:tc>
          <w:tcPr>
            <w:tcW w:w="1353" w:type="dxa"/>
            <w:vMerge/>
            <w:vAlign w:val="center"/>
          </w:tcPr>
          <w:p w:rsidR="007D7A36" w:rsidRPr="00E4394E" w:rsidRDefault="007D7A36">
            <w:pPr>
              <w:spacing w:line="360" w:lineRule="auto"/>
              <w:rPr>
                <w:sz w:val="24"/>
              </w:rPr>
            </w:pPr>
          </w:p>
        </w:tc>
        <w:tc>
          <w:tcPr>
            <w:tcW w:w="975" w:type="dxa"/>
            <w:vMerge/>
            <w:vAlign w:val="center"/>
          </w:tcPr>
          <w:p w:rsidR="007D7A36" w:rsidRPr="00E4394E" w:rsidRDefault="007D7A36">
            <w:pPr>
              <w:spacing w:line="360" w:lineRule="auto"/>
              <w:rPr>
                <w:sz w:val="24"/>
              </w:rPr>
            </w:pPr>
          </w:p>
        </w:tc>
      </w:tr>
      <w:tr w:rsidR="00E4394E" w:rsidRPr="00E4394E">
        <w:tc>
          <w:tcPr>
            <w:tcW w:w="8613" w:type="dxa"/>
            <w:gridSpan w:val="5"/>
            <w:vAlign w:val="center"/>
          </w:tcPr>
          <w:p w:rsidR="007D7A36" w:rsidRPr="00E4394E" w:rsidRDefault="000C16B1">
            <w:pPr>
              <w:spacing w:line="360" w:lineRule="auto"/>
              <w:rPr>
                <w:sz w:val="24"/>
              </w:rPr>
            </w:pPr>
            <w:r w:rsidRPr="00E4394E">
              <w:rPr>
                <w:sz w:val="24"/>
              </w:rPr>
              <w:t>Ultrasound contrast</w:t>
            </w:r>
          </w:p>
        </w:tc>
      </w:tr>
      <w:tr w:rsidR="00E4394E" w:rsidRPr="00E4394E">
        <w:tc>
          <w:tcPr>
            <w:tcW w:w="2802" w:type="dxa"/>
            <w:vAlign w:val="center"/>
          </w:tcPr>
          <w:p w:rsidR="007D7A36" w:rsidRPr="00E4394E" w:rsidRDefault="000C16B1">
            <w:pPr>
              <w:spacing w:line="360" w:lineRule="auto"/>
              <w:ind w:firstLineChars="200" w:firstLine="480"/>
              <w:rPr>
                <w:sz w:val="24"/>
              </w:rPr>
            </w:pPr>
            <w:r w:rsidRPr="00E4394E">
              <w:rPr>
                <w:sz w:val="24"/>
              </w:rPr>
              <w:t>Time-to-peak (s)</w:t>
            </w:r>
          </w:p>
        </w:tc>
        <w:tc>
          <w:tcPr>
            <w:tcW w:w="1574" w:type="dxa"/>
            <w:vAlign w:val="center"/>
          </w:tcPr>
          <w:p w:rsidR="007D7A36" w:rsidRPr="00E4394E" w:rsidRDefault="000C16B1">
            <w:pPr>
              <w:spacing w:line="360" w:lineRule="auto"/>
              <w:rPr>
                <w:sz w:val="24"/>
              </w:rPr>
            </w:pPr>
            <w:r w:rsidRPr="00E4394E">
              <w:rPr>
                <w:sz w:val="24"/>
              </w:rPr>
              <w:t>12.47 ± 1.88</w:t>
            </w:r>
          </w:p>
        </w:tc>
        <w:tc>
          <w:tcPr>
            <w:tcW w:w="1909" w:type="dxa"/>
            <w:vAlign w:val="center"/>
          </w:tcPr>
          <w:p w:rsidR="007D7A36" w:rsidRPr="00E4394E" w:rsidRDefault="000C16B1">
            <w:pPr>
              <w:spacing w:line="360" w:lineRule="auto"/>
              <w:rPr>
                <w:sz w:val="24"/>
              </w:rPr>
            </w:pPr>
            <w:r w:rsidRPr="00E4394E">
              <w:rPr>
                <w:sz w:val="24"/>
              </w:rPr>
              <w:t>12.98 ± 1.54</w:t>
            </w:r>
          </w:p>
        </w:tc>
        <w:tc>
          <w:tcPr>
            <w:tcW w:w="1353" w:type="dxa"/>
            <w:vAlign w:val="center"/>
          </w:tcPr>
          <w:p w:rsidR="007D7A36" w:rsidRPr="00E4394E" w:rsidRDefault="000C16B1">
            <w:pPr>
              <w:spacing w:line="360" w:lineRule="auto"/>
              <w:rPr>
                <w:sz w:val="24"/>
              </w:rPr>
            </w:pPr>
            <w:r w:rsidRPr="00E4394E">
              <w:rPr>
                <w:sz w:val="24"/>
              </w:rPr>
              <w:t>1.618</w:t>
            </w:r>
          </w:p>
        </w:tc>
        <w:tc>
          <w:tcPr>
            <w:tcW w:w="975" w:type="dxa"/>
            <w:vAlign w:val="center"/>
          </w:tcPr>
          <w:p w:rsidR="007D7A36" w:rsidRPr="00E4394E" w:rsidRDefault="000C16B1">
            <w:pPr>
              <w:spacing w:line="360" w:lineRule="auto"/>
              <w:rPr>
                <w:sz w:val="24"/>
              </w:rPr>
            </w:pPr>
            <w:r w:rsidRPr="00E4394E">
              <w:rPr>
                <w:sz w:val="24"/>
              </w:rPr>
              <w:t>0.108</w:t>
            </w:r>
          </w:p>
        </w:tc>
      </w:tr>
      <w:tr w:rsidR="007D7A36" w:rsidRPr="00E4394E">
        <w:tc>
          <w:tcPr>
            <w:tcW w:w="2802" w:type="dxa"/>
            <w:vAlign w:val="center"/>
          </w:tcPr>
          <w:p w:rsidR="007D7A36" w:rsidRPr="00E4394E" w:rsidRDefault="000C16B1">
            <w:pPr>
              <w:spacing w:line="360" w:lineRule="auto"/>
              <w:ind w:firstLineChars="200" w:firstLine="480"/>
              <w:rPr>
                <w:sz w:val="24"/>
              </w:rPr>
            </w:pPr>
            <w:r w:rsidRPr="00E4394E">
              <w:rPr>
                <w:sz w:val="24"/>
              </w:rPr>
              <w:t>Enhancement intensity (db)</w:t>
            </w:r>
          </w:p>
        </w:tc>
        <w:tc>
          <w:tcPr>
            <w:tcW w:w="1574" w:type="dxa"/>
            <w:vAlign w:val="center"/>
          </w:tcPr>
          <w:p w:rsidR="007D7A36" w:rsidRPr="00E4394E" w:rsidRDefault="000C16B1">
            <w:pPr>
              <w:spacing w:line="360" w:lineRule="auto"/>
              <w:rPr>
                <w:sz w:val="24"/>
              </w:rPr>
            </w:pPr>
            <w:r w:rsidRPr="00E4394E">
              <w:rPr>
                <w:sz w:val="24"/>
              </w:rPr>
              <w:t>10.67 ± 1.52</w:t>
            </w:r>
          </w:p>
        </w:tc>
        <w:tc>
          <w:tcPr>
            <w:tcW w:w="1909" w:type="dxa"/>
            <w:vAlign w:val="center"/>
          </w:tcPr>
          <w:p w:rsidR="007D7A36" w:rsidRPr="00E4394E" w:rsidRDefault="000C16B1">
            <w:pPr>
              <w:spacing w:line="360" w:lineRule="auto"/>
              <w:rPr>
                <w:sz w:val="24"/>
              </w:rPr>
            </w:pPr>
            <w:r w:rsidRPr="00E4394E">
              <w:rPr>
                <w:sz w:val="24"/>
              </w:rPr>
              <w:t>8.82 ± 1.03</w:t>
            </w:r>
          </w:p>
        </w:tc>
        <w:tc>
          <w:tcPr>
            <w:tcW w:w="1353" w:type="dxa"/>
            <w:vAlign w:val="center"/>
          </w:tcPr>
          <w:p w:rsidR="007D7A36" w:rsidRPr="00E4394E" w:rsidRDefault="000C16B1">
            <w:pPr>
              <w:spacing w:line="360" w:lineRule="auto"/>
              <w:rPr>
                <w:sz w:val="24"/>
              </w:rPr>
            </w:pPr>
            <w:r w:rsidRPr="00E4394E">
              <w:rPr>
                <w:sz w:val="24"/>
              </w:rPr>
              <w:t>7.526</w:t>
            </w:r>
          </w:p>
        </w:tc>
        <w:tc>
          <w:tcPr>
            <w:tcW w:w="975" w:type="dxa"/>
            <w:vAlign w:val="center"/>
          </w:tcPr>
          <w:p w:rsidR="007D7A36" w:rsidRPr="00E4394E" w:rsidRDefault="000C16B1">
            <w:pPr>
              <w:spacing w:line="360" w:lineRule="auto"/>
              <w:rPr>
                <w:sz w:val="24"/>
              </w:rPr>
            </w:pPr>
            <w:r w:rsidRPr="00E4394E">
              <w:rPr>
                <w:sz w:val="24"/>
              </w:rPr>
              <w:t>0.000</w:t>
            </w:r>
          </w:p>
        </w:tc>
      </w:tr>
    </w:tbl>
    <w:p w:rsidR="007D7A36" w:rsidRPr="00E4394E" w:rsidRDefault="007D7A36">
      <w:pPr>
        <w:spacing w:line="360" w:lineRule="auto"/>
        <w:rPr>
          <w:b/>
          <w:sz w:val="24"/>
        </w:rPr>
      </w:pPr>
    </w:p>
    <w:p w:rsidR="007D7A36" w:rsidRPr="00E4394E" w:rsidRDefault="000C16B1">
      <w:pPr>
        <w:spacing w:line="360" w:lineRule="auto"/>
        <w:rPr>
          <w:b/>
          <w:sz w:val="24"/>
        </w:rPr>
      </w:pPr>
      <w:r w:rsidRPr="00E4394E">
        <w:rPr>
          <w:b/>
          <w:sz w:val="24"/>
        </w:rPr>
        <w:br w:type="page"/>
        <w:t>Table 2 Cox multivariate analysis of patients with ischemic stroke</w:t>
      </w:r>
    </w:p>
    <w:tbl>
      <w:tblPr>
        <w:tblW w:w="0" w:type="auto"/>
        <w:tblBorders>
          <w:top w:val="single" w:sz="12" w:space="0" w:color="000000"/>
          <w:bottom w:val="single" w:sz="12" w:space="0" w:color="000000"/>
        </w:tblBorders>
        <w:tblLayout w:type="fixed"/>
        <w:tblLook w:val="0000" w:firstRow="0" w:lastRow="0" w:firstColumn="0" w:lastColumn="0" w:noHBand="0" w:noVBand="0"/>
      </w:tblPr>
      <w:tblGrid>
        <w:gridCol w:w="2302"/>
        <w:gridCol w:w="954"/>
        <w:gridCol w:w="878"/>
        <w:gridCol w:w="877"/>
        <w:gridCol w:w="877"/>
        <w:gridCol w:w="878"/>
        <w:gridCol w:w="877"/>
        <w:gridCol w:w="877"/>
      </w:tblGrid>
      <w:tr w:rsidR="00E4394E" w:rsidRPr="00E4394E">
        <w:trPr>
          <w:cantSplit/>
          <w:trHeight w:val="334"/>
          <w:tblHeader/>
        </w:trPr>
        <w:tc>
          <w:tcPr>
            <w:tcW w:w="2302" w:type="dxa"/>
            <w:vMerge w:val="restart"/>
            <w:tcBorders>
              <w:top w:val="single" w:sz="12" w:space="0" w:color="000000"/>
              <w:bottom w:val="single" w:sz="12" w:space="0" w:color="000000"/>
            </w:tcBorders>
            <w:shd w:val="clear" w:color="auto" w:fill="FFFFFF"/>
            <w:vAlign w:val="center"/>
          </w:tcPr>
          <w:p w:rsidR="007D7A36" w:rsidRPr="00E4394E" w:rsidRDefault="000C16B1">
            <w:pPr>
              <w:spacing w:line="360" w:lineRule="auto"/>
              <w:rPr>
                <w:b/>
                <w:sz w:val="24"/>
              </w:rPr>
            </w:pPr>
            <w:r w:rsidRPr="00E4394E">
              <w:rPr>
                <w:b/>
                <w:sz w:val="24"/>
              </w:rPr>
              <w:t>Factors</w:t>
            </w:r>
          </w:p>
        </w:tc>
        <w:tc>
          <w:tcPr>
            <w:tcW w:w="954" w:type="dxa"/>
            <w:vMerge w:val="restart"/>
            <w:tcBorders>
              <w:top w:val="single" w:sz="12" w:space="0" w:color="000000"/>
              <w:bottom w:val="single" w:sz="12" w:space="0" w:color="000000"/>
            </w:tcBorders>
            <w:shd w:val="clear" w:color="auto" w:fill="FFFFFF"/>
            <w:vAlign w:val="center"/>
          </w:tcPr>
          <w:p w:rsidR="007D7A36" w:rsidRPr="00E4394E" w:rsidRDefault="000C16B1">
            <w:pPr>
              <w:spacing w:line="360" w:lineRule="auto"/>
              <w:rPr>
                <w:b/>
                <w:sz w:val="24"/>
              </w:rPr>
            </w:pPr>
            <w:r w:rsidRPr="00E4394E">
              <w:rPr>
                <w:b/>
                <w:sz w:val="24"/>
              </w:rPr>
              <w:t>B</w:t>
            </w:r>
          </w:p>
        </w:tc>
        <w:tc>
          <w:tcPr>
            <w:tcW w:w="878" w:type="dxa"/>
            <w:vMerge w:val="restart"/>
            <w:tcBorders>
              <w:top w:val="single" w:sz="12" w:space="0" w:color="000000"/>
              <w:bottom w:val="single" w:sz="12" w:space="0" w:color="000000"/>
            </w:tcBorders>
            <w:shd w:val="clear" w:color="auto" w:fill="FFFFFF"/>
            <w:vAlign w:val="center"/>
          </w:tcPr>
          <w:p w:rsidR="007D7A36" w:rsidRPr="00E4394E" w:rsidRDefault="000C16B1">
            <w:pPr>
              <w:spacing w:line="360" w:lineRule="auto"/>
              <w:rPr>
                <w:b/>
                <w:sz w:val="24"/>
              </w:rPr>
            </w:pPr>
            <w:r w:rsidRPr="00E4394E">
              <w:rPr>
                <w:b/>
                <w:sz w:val="24"/>
              </w:rPr>
              <w:t>SE</w:t>
            </w:r>
          </w:p>
        </w:tc>
        <w:tc>
          <w:tcPr>
            <w:tcW w:w="877" w:type="dxa"/>
            <w:vMerge w:val="restart"/>
            <w:tcBorders>
              <w:top w:val="single" w:sz="12" w:space="0" w:color="000000"/>
              <w:bottom w:val="single" w:sz="12" w:space="0" w:color="000000"/>
            </w:tcBorders>
            <w:shd w:val="clear" w:color="auto" w:fill="FFFFFF"/>
            <w:vAlign w:val="center"/>
          </w:tcPr>
          <w:p w:rsidR="007D7A36" w:rsidRPr="00E4394E" w:rsidRDefault="000C16B1">
            <w:pPr>
              <w:spacing w:line="360" w:lineRule="auto"/>
              <w:rPr>
                <w:b/>
                <w:sz w:val="24"/>
              </w:rPr>
            </w:pPr>
            <w:r w:rsidRPr="00E4394E">
              <w:rPr>
                <w:b/>
                <w:sz w:val="24"/>
              </w:rPr>
              <w:t>Wald</w:t>
            </w:r>
          </w:p>
        </w:tc>
        <w:tc>
          <w:tcPr>
            <w:tcW w:w="877" w:type="dxa"/>
            <w:vMerge w:val="restart"/>
            <w:tcBorders>
              <w:top w:val="single" w:sz="12" w:space="0" w:color="000000"/>
              <w:bottom w:val="single" w:sz="12" w:space="0" w:color="000000"/>
            </w:tcBorders>
            <w:shd w:val="clear" w:color="auto" w:fill="FFFFFF"/>
            <w:vAlign w:val="center"/>
          </w:tcPr>
          <w:p w:rsidR="007D7A36" w:rsidRPr="00E4394E" w:rsidRDefault="000C16B1">
            <w:pPr>
              <w:spacing w:line="360" w:lineRule="auto"/>
              <w:rPr>
                <w:b/>
                <w:sz w:val="24"/>
              </w:rPr>
            </w:pPr>
            <w:r w:rsidRPr="00E4394E">
              <w:rPr>
                <w:b/>
                <w:i/>
                <w:sz w:val="24"/>
              </w:rPr>
              <w:t>P</w:t>
            </w:r>
            <w:r w:rsidRPr="00E4394E">
              <w:rPr>
                <w:b/>
                <w:sz w:val="24"/>
              </w:rPr>
              <w:t xml:space="preserve"> value</w:t>
            </w:r>
          </w:p>
        </w:tc>
        <w:tc>
          <w:tcPr>
            <w:tcW w:w="878" w:type="dxa"/>
            <w:vMerge w:val="restart"/>
            <w:tcBorders>
              <w:top w:val="single" w:sz="12" w:space="0" w:color="000000"/>
              <w:bottom w:val="single" w:sz="12" w:space="0" w:color="000000"/>
            </w:tcBorders>
            <w:shd w:val="clear" w:color="auto" w:fill="FFFFFF"/>
            <w:vAlign w:val="center"/>
          </w:tcPr>
          <w:p w:rsidR="007D7A36" w:rsidRPr="00E4394E" w:rsidRDefault="000C16B1">
            <w:pPr>
              <w:spacing w:line="360" w:lineRule="auto"/>
              <w:rPr>
                <w:b/>
                <w:sz w:val="24"/>
              </w:rPr>
            </w:pPr>
            <w:r w:rsidRPr="00E4394E">
              <w:rPr>
                <w:b/>
                <w:sz w:val="24"/>
              </w:rPr>
              <w:t>RR</w:t>
            </w:r>
          </w:p>
        </w:tc>
        <w:tc>
          <w:tcPr>
            <w:tcW w:w="1754" w:type="dxa"/>
            <w:gridSpan w:val="2"/>
            <w:tcBorders>
              <w:top w:val="single" w:sz="12" w:space="0" w:color="000000"/>
              <w:bottom w:val="single" w:sz="12" w:space="0" w:color="000000"/>
            </w:tcBorders>
            <w:shd w:val="clear" w:color="auto" w:fill="FFFFFF"/>
            <w:vAlign w:val="center"/>
          </w:tcPr>
          <w:p w:rsidR="007D7A36" w:rsidRPr="00E4394E" w:rsidRDefault="000C16B1">
            <w:pPr>
              <w:spacing w:line="360" w:lineRule="auto"/>
              <w:rPr>
                <w:b/>
                <w:sz w:val="24"/>
              </w:rPr>
            </w:pPr>
            <w:r w:rsidRPr="00E4394E">
              <w:rPr>
                <w:b/>
                <w:sz w:val="24"/>
              </w:rPr>
              <w:t>95.0% Confidence Interval</w:t>
            </w:r>
          </w:p>
        </w:tc>
      </w:tr>
      <w:tr w:rsidR="00E4394E" w:rsidRPr="00E4394E">
        <w:trPr>
          <w:cantSplit/>
          <w:trHeight w:val="150"/>
          <w:tblHeader/>
        </w:trPr>
        <w:tc>
          <w:tcPr>
            <w:tcW w:w="2302" w:type="dxa"/>
            <w:vMerge/>
            <w:tcBorders>
              <w:top w:val="single" w:sz="12" w:space="0" w:color="000000"/>
              <w:bottom w:val="single" w:sz="12" w:space="0" w:color="000000"/>
            </w:tcBorders>
            <w:shd w:val="clear" w:color="auto" w:fill="auto"/>
            <w:vAlign w:val="center"/>
          </w:tcPr>
          <w:p w:rsidR="007D7A36" w:rsidRPr="00E4394E" w:rsidRDefault="007D7A36">
            <w:pPr>
              <w:widowControl/>
              <w:spacing w:line="360" w:lineRule="auto"/>
              <w:rPr>
                <w:b/>
                <w:sz w:val="24"/>
              </w:rPr>
            </w:pPr>
          </w:p>
        </w:tc>
        <w:tc>
          <w:tcPr>
            <w:tcW w:w="954" w:type="dxa"/>
            <w:vMerge/>
            <w:tcBorders>
              <w:top w:val="single" w:sz="12" w:space="0" w:color="000000"/>
              <w:bottom w:val="single" w:sz="12" w:space="0" w:color="000000"/>
            </w:tcBorders>
            <w:shd w:val="clear" w:color="auto" w:fill="auto"/>
            <w:vAlign w:val="center"/>
          </w:tcPr>
          <w:p w:rsidR="007D7A36" w:rsidRPr="00E4394E" w:rsidRDefault="007D7A36">
            <w:pPr>
              <w:widowControl/>
              <w:spacing w:line="360" w:lineRule="auto"/>
              <w:rPr>
                <w:b/>
                <w:sz w:val="24"/>
              </w:rPr>
            </w:pPr>
          </w:p>
        </w:tc>
        <w:tc>
          <w:tcPr>
            <w:tcW w:w="878" w:type="dxa"/>
            <w:vMerge/>
            <w:tcBorders>
              <w:top w:val="single" w:sz="12" w:space="0" w:color="000000"/>
              <w:bottom w:val="single" w:sz="12" w:space="0" w:color="000000"/>
            </w:tcBorders>
            <w:shd w:val="clear" w:color="auto" w:fill="auto"/>
            <w:vAlign w:val="center"/>
          </w:tcPr>
          <w:p w:rsidR="007D7A36" w:rsidRPr="00E4394E" w:rsidRDefault="007D7A36">
            <w:pPr>
              <w:widowControl/>
              <w:spacing w:line="360" w:lineRule="auto"/>
              <w:rPr>
                <w:b/>
                <w:sz w:val="24"/>
              </w:rPr>
            </w:pPr>
          </w:p>
        </w:tc>
        <w:tc>
          <w:tcPr>
            <w:tcW w:w="877" w:type="dxa"/>
            <w:vMerge/>
            <w:tcBorders>
              <w:top w:val="single" w:sz="12" w:space="0" w:color="000000"/>
              <w:bottom w:val="single" w:sz="12" w:space="0" w:color="000000"/>
            </w:tcBorders>
            <w:shd w:val="clear" w:color="auto" w:fill="auto"/>
            <w:vAlign w:val="center"/>
          </w:tcPr>
          <w:p w:rsidR="007D7A36" w:rsidRPr="00E4394E" w:rsidRDefault="007D7A36">
            <w:pPr>
              <w:widowControl/>
              <w:spacing w:line="360" w:lineRule="auto"/>
              <w:rPr>
                <w:b/>
                <w:sz w:val="24"/>
              </w:rPr>
            </w:pPr>
          </w:p>
        </w:tc>
        <w:tc>
          <w:tcPr>
            <w:tcW w:w="877" w:type="dxa"/>
            <w:vMerge/>
            <w:tcBorders>
              <w:top w:val="single" w:sz="12" w:space="0" w:color="000000"/>
              <w:bottom w:val="single" w:sz="12" w:space="0" w:color="000000"/>
            </w:tcBorders>
            <w:shd w:val="clear" w:color="auto" w:fill="auto"/>
            <w:vAlign w:val="center"/>
          </w:tcPr>
          <w:p w:rsidR="007D7A36" w:rsidRPr="00E4394E" w:rsidRDefault="007D7A36">
            <w:pPr>
              <w:widowControl/>
              <w:spacing w:line="360" w:lineRule="auto"/>
              <w:rPr>
                <w:b/>
                <w:sz w:val="24"/>
              </w:rPr>
            </w:pPr>
          </w:p>
        </w:tc>
        <w:tc>
          <w:tcPr>
            <w:tcW w:w="878" w:type="dxa"/>
            <w:vMerge/>
            <w:tcBorders>
              <w:top w:val="single" w:sz="12" w:space="0" w:color="000000"/>
              <w:bottom w:val="single" w:sz="12" w:space="0" w:color="000000"/>
            </w:tcBorders>
            <w:shd w:val="clear" w:color="auto" w:fill="auto"/>
            <w:vAlign w:val="center"/>
          </w:tcPr>
          <w:p w:rsidR="007D7A36" w:rsidRPr="00E4394E" w:rsidRDefault="007D7A36">
            <w:pPr>
              <w:widowControl/>
              <w:spacing w:line="360" w:lineRule="auto"/>
              <w:rPr>
                <w:b/>
                <w:sz w:val="24"/>
              </w:rPr>
            </w:pPr>
          </w:p>
        </w:tc>
        <w:tc>
          <w:tcPr>
            <w:tcW w:w="877" w:type="dxa"/>
            <w:tcBorders>
              <w:top w:val="single" w:sz="12" w:space="0" w:color="000000"/>
              <w:bottom w:val="single" w:sz="12" w:space="0" w:color="000000"/>
            </w:tcBorders>
            <w:shd w:val="clear" w:color="auto" w:fill="FFFFFF"/>
            <w:vAlign w:val="center"/>
          </w:tcPr>
          <w:p w:rsidR="007D7A36" w:rsidRPr="00E4394E" w:rsidRDefault="000C16B1">
            <w:pPr>
              <w:spacing w:line="360" w:lineRule="auto"/>
              <w:rPr>
                <w:b/>
                <w:sz w:val="24"/>
              </w:rPr>
            </w:pPr>
            <w:r w:rsidRPr="00E4394E">
              <w:rPr>
                <w:b/>
                <w:sz w:val="24"/>
              </w:rPr>
              <w:t>Lower limit</w:t>
            </w:r>
          </w:p>
        </w:tc>
        <w:tc>
          <w:tcPr>
            <w:tcW w:w="877" w:type="dxa"/>
            <w:tcBorders>
              <w:top w:val="single" w:sz="12" w:space="0" w:color="000000"/>
              <w:bottom w:val="single" w:sz="12" w:space="0" w:color="000000"/>
            </w:tcBorders>
            <w:shd w:val="clear" w:color="auto" w:fill="FFFFFF"/>
            <w:vAlign w:val="center"/>
          </w:tcPr>
          <w:p w:rsidR="007D7A36" w:rsidRPr="00E4394E" w:rsidRDefault="000C16B1">
            <w:pPr>
              <w:spacing w:line="360" w:lineRule="auto"/>
              <w:rPr>
                <w:b/>
                <w:sz w:val="24"/>
              </w:rPr>
            </w:pPr>
            <w:r w:rsidRPr="00E4394E">
              <w:rPr>
                <w:b/>
                <w:sz w:val="24"/>
              </w:rPr>
              <w:t>Upper</w:t>
            </w:r>
          </w:p>
          <w:p w:rsidR="007D7A36" w:rsidRPr="00E4394E" w:rsidRDefault="000C16B1">
            <w:pPr>
              <w:spacing w:line="360" w:lineRule="auto"/>
              <w:rPr>
                <w:b/>
                <w:sz w:val="24"/>
              </w:rPr>
            </w:pPr>
            <w:r w:rsidRPr="00E4394E">
              <w:rPr>
                <w:b/>
                <w:sz w:val="24"/>
              </w:rPr>
              <w:t>limit</w:t>
            </w:r>
          </w:p>
        </w:tc>
      </w:tr>
      <w:tr w:rsidR="00E4394E" w:rsidRPr="00E4394E">
        <w:trPr>
          <w:cantSplit/>
          <w:trHeight w:val="334"/>
          <w:tblHeader/>
        </w:trPr>
        <w:tc>
          <w:tcPr>
            <w:tcW w:w="2302" w:type="dxa"/>
            <w:tcBorders>
              <w:top w:val="single" w:sz="12" w:space="0" w:color="000000"/>
            </w:tcBorders>
            <w:shd w:val="clear" w:color="auto" w:fill="FFFFFF"/>
            <w:vAlign w:val="center"/>
          </w:tcPr>
          <w:p w:rsidR="007D7A36" w:rsidRPr="00E4394E" w:rsidRDefault="000C16B1">
            <w:pPr>
              <w:widowControl/>
              <w:spacing w:line="360" w:lineRule="auto"/>
              <w:textAlignment w:val="center"/>
              <w:rPr>
                <w:kern w:val="0"/>
                <w:sz w:val="24"/>
              </w:rPr>
            </w:pPr>
            <w:r w:rsidRPr="00E4394E">
              <w:rPr>
                <w:bCs/>
                <w:iCs/>
                <w:sz w:val="24"/>
              </w:rPr>
              <w:t>Superb micro-vascular imaging</w:t>
            </w:r>
            <w:r w:rsidRPr="00E4394E">
              <w:rPr>
                <w:sz w:val="24"/>
              </w:rPr>
              <w:t xml:space="preserve"> level</w:t>
            </w:r>
          </w:p>
        </w:tc>
        <w:tc>
          <w:tcPr>
            <w:tcW w:w="954" w:type="dxa"/>
            <w:tcBorders>
              <w:top w:val="single" w:sz="12" w:space="0" w:color="000000"/>
            </w:tcBorders>
            <w:shd w:val="clear" w:color="auto" w:fill="FFFFFF"/>
            <w:vAlign w:val="center"/>
          </w:tcPr>
          <w:p w:rsidR="007D7A36" w:rsidRPr="00E4394E" w:rsidRDefault="000C16B1">
            <w:pPr>
              <w:widowControl/>
              <w:spacing w:line="360" w:lineRule="auto"/>
              <w:textAlignment w:val="center"/>
              <w:rPr>
                <w:kern w:val="0"/>
                <w:sz w:val="24"/>
              </w:rPr>
            </w:pPr>
            <w:r w:rsidRPr="00E4394E">
              <w:rPr>
                <w:kern w:val="0"/>
                <w:sz w:val="24"/>
              </w:rPr>
              <w:t>0.640</w:t>
            </w:r>
          </w:p>
        </w:tc>
        <w:tc>
          <w:tcPr>
            <w:tcW w:w="878" w:type="dxa"/>
            <w:tcBorders>
              <w:top w:val="single" w:sz="12" w:space="0" w:color="000000"/>
            </w:tcBorders>
            <w:shd w:val="clear" w:color="auto" w:fill="FFFFFF"/>
          </w:tcPr>
          <w:p w:rsidR="007D7A36" w:rsidRPr="00E4394E" w:rsidRDefault="000C16B1">
            <w:pPr>
              <w:widowControl/>
              <w:spacing w:line="360" w:lineRule="auto"/>
              <w:textAlignment w:val="top"/>
              <w:rPr>
                <w:kern w:val="0"/>
                <w:sz w:val="24"/>
              </w:rPr>
            </w:pPr>
            <w:r w:rsidRPr="00E4394E">
              <w:rPr>
                <w:kern w:val="0"/>
                <w:sz w:val="24"/>
              </w:rPr>
              <w:t>0.312</w:t>
            </w:r>
          </w:p>
        </w:tc>
        <w:tc>
          <w:tcPr>
            <w:tcW w:w="877" w:type="dxa"/>
            <w:tcBorders>
              <w:top w:val="single" w:sz="12" w:space="0" w:color="000000"/>
            </w:tcBorders>
            <w:shd w:val="clear" w:color="auto" w:fill="FFFFFF"/>
          </w:tcPr>
          <w:p w:rsidR="007D7A36" w:rsidRPr="00E4394E" w:rsidRDefault="000C16B1">
            <w:pPr>
              <w:widowControl/>
              <w:spacing w:line="360" w:lineRule="auto"/>
              <w:textAlignment w:val="top"/>
              <w:rPr>
                <w:kern w:val="0"/>
                <w:sz w:val="24"/>
              </w:rPr>
            </w:pPr>
            <w:r w:rsidRPr="00E4394E">
              <w:rPr>
                <w:kern w:val="0"/>
                <w:sz w:val="24"/>
              </w:rPr>
              <w:t>4.112</w:t>
            </w:r>
          </w:p>
        </w:tc>
        <w:tc>
          <w:tcPr>
            <w:tcW w:w="877" w:type="dxa"/>
            <w:tcBorders>
              <w:top w:val="single" w:sz="12" w:space="0" w:color="000000"/>
            </w:tcBorders>
            <w:shd w:val="clear" w:color="auto" w:fill="FFFFFF"/>
            <w:vAlign w:val="center"/>
          </w:tcPr>
          <w:p w:rsidR="007D7A36" w:rsidRPr="00E4394E" w:rsidRDefault="000C16B1">
            <w:pPr>
              <w:widowControl/>
              <w:spacing w:line="360" w:lineRule="auto"/>
              <w:textAlignment w:val="center"/>
              <w:rPr>
                <w:kern w:val="0"/>
                <w:sz w:val="24"/>
              </w:rPr>
            </w:pPr>
            <w:r w:rsidRPr="00E4394E">
              <w:rPr>
                <w:kern w:val="0"/>
                <w:sz w:val="24"/>
              </w:rPr>
              <w:t>0.013</w:t>
            </w:r>
          </w:p>
        </w:tc>
        <w:tc>
          <w:tcPr>
            <w:tcW w:w="878" w:type="dxa"/>
            <w:tcBorders>
              <w:top w:val="single" w:sz="12" w:space="0" w:color="000000"/>
            </w:tcBorders>
            <w:shd w:val="clear" w:color="auto" w:fill="FFFFFF"/>
            <w:vAlign w:val="center"/>
          </w:tcPr>
          <w:p w:rsidR="007D7A36" w:rsidRPr="00E4394E" w:rsidRDefault="000C16B1">
            <w:pPr>
              <w:widowControl/>
              <w:spacing w:line="360" w:lineRule="auto"/>
              <w:textAlignment w:val="center"/>
              <w:rPr>
                <w:kern w:val="0"/>
                <w:sz w:val="24"/>
              </w:rPr>
            </w:pPr>
            <w:r w:rsidRPr="00E4394E">
              <w:rPr>
                <w:kern w:val="0"/>
                <w:sz w:val="24"/>
              </w:rPr>
              <w:t>1.896</w:t>
            </w:r>
          </w:p>
        </w:tc>
        <w:tc>
          <w:tcPr>
            <w:tcW w:w="877" w:type="dxa"/>
            <w:tcBorders>
              <w:top w:val="single" w:sz="12" w:space="0" w:color="000000"/>
            </w:tcBorders>
            <w:shd w:val="clear" w:color="auto" w:fill="FFFFFF"/>
            <w:vAlign w:val="center"/>
          </w:tcPr>
          <w:p w:rsidR="007D7A36" w:rsidRPr="00E4394E" w:rsidRDefault="000C16B1">
            <w:pPr>
              <w:widowControl/>
              <w:spacing w:line="360" w:lineRule="auto"/>
              <w:textAlignment w:val="center"/>
              <w:rPr>
                <w:kern w:val="0"/>
                <w:sz w:val="24"/>
              </w:rPr>
            </w:pPr>
            <w:r w:rsidRPr="00E4394E">
              <w:rPr>
                <w:kern w:val="0"/>
                <w:sz w:val="24"/>
              </w:rPr>
              <w:t>1.971</w:t>
            </w:r>
          </w:p>
        </w:tc>
        <w:tc>
          <w:tcPr>
            <w:tcW w:w="877" w:type="dxa"/>
            <w:tcBorders>
              <w:top w:val="single" w:sz="12" w:space="0" w:color="000000"/>
            </w:tcBorders>
            <w:shd w:val="clear" w:color="auto" w:fill="FFFFFF"/>
            <w:vAlign w:val="center"/>
          </w:tcPr>
          <w:p w:rsidR="007D7A36" w:rsidRPr="00E4394E" w:rsidRDefault="000C16B1">
            <w:pPr>
              <w:widowControl/>
              <w:spacing w:line="360" w:lineRule="auto"/>
              <w:textAlignment w:val="center"/>
              <w:rPr>
                <w:kern w:val="0"/>
                <w:sz w:val="24"/>
              </w:rPr>
            </w:pPr>
            <w:r w:rsidRPr="00E4394E">
              <w:rPr>
                <w:kern w:val="0"/>
                <w:sz w:val="24"/>
              </w:rPr>
              <w:t>6.696</w:t>
            </w:r>
          </w:p>
        </w:tc>
      </w:tr>
      <w:tr w:rsidR="00E4394E" w:rsidRPr="00E4394E">
        <w:trPr>
          <w:cantSplit/>
          <w:trHeight w:val="334"/>
          <w:tblHeader/>
        </w:trPr>
        <w:tc>
          <w:tcPr>
            <w:tcW w:w="2302" w:type="dxa"/>
            <w:shd w:val="clear" w:color="auto" w:fill="FFFFFF"/>
            <w:vAlign w:val="center"/>
          </w:tcPr>
          <w:p w:rsidR="007D7A36" w:rsidRPr="00E4394E" w:rsidRDefault="000C16B1">
            <w:pPr>
              <w:widowControl/>
              <w:spacing w:line="360" w:lineRule="auto"/>
              <w:textAlignment w:val="center"/>
              <w:rPr>
                <w:kern w:val="0"/>
                <w:sz w:val="24"/>
              </w:rPr>
            </w:pPr>
            <w:r w:rsidRPr="00E4394E">
              <w:rPr>
                <w:sz w:val="24"/>
              </w:rPr>
              <w:t>Enhancement intensity</w:t>
            </w:r>
          </w:p>
        </w:tc>
        <w:tc>
          <w:tcPr>
            <w:tcW w:w="954" w:type="dxa"/>
            <w:shd w:val="clear" w:color="auto" w:fill="FFFFFF"/>
            <w:vAlign w:val="center"/>
          </w:tcPr>
          <w:p w:rsidR="007D7A36" w:rsidRPr="00E4394E" w:rsidRDefault="000C16B1">
            <w:pPr>
              <w:widowControl/>
              <w:spacing w:line="360" w:lineRule="auto"/>
              <w:textAlignment w:val="center"/>
              <w:rPr>
                <w:kern w:val="0"/>
                <w:sz w:val="24"/>
              </w:rPr>
            </w:pPr>
            <w:r w:rsidRPr="00E4394E">
              <w:rPr>
                <w:kern w:val="0"/>
                <w:sz w:val="24"/>
              </w:rPr>
              <w:t>0.601</w:t>
            </w:r>
          </w:p>
        </w:tc>
        <w:tc>
          <w:tcPr>
            <w:tcW w:w="878" w:type="dxa"/>
            <w:shd w:val="clear" w:color="auto" w:fill="FFFFFF"/>
          </w:tcPr>
          <w:p w:rsidR="007D7A36" w:rsidRPr="00E4394E" w:rsidRDefault="000C16B1">
            <w:pPr>
              <w:widowControl/>
              <w:spacing w:line="360" w:lineRule="auto"/>
              <w:textAlignment w:val="top"/>
              <w:rPr>
                <w:kern w:val="0"/>
                <w:sz w:val="24"/>
              </w:rPr>
            </w:pPr>
            <w:r w:rsidRPr="00E4394E">
              <w:rPr>
                <w:kern w:val="0"/>
                <w:sz w:val="24"/>
              </w:rPr>
              <w:t>0.226</w:t>
            </w:r>
          </w:p>
        </w:tc>
        <w:tc>
          <w:tcPr>
            <w:tcW w:w="877" w:type="dxa"/>
            <w:shd w:val="clear" w:color="auto" w:fill="FFFFFF"/>
          </w:tcPr>
          <w:p w:rsidR="007D7A36" w:rsidRPr="00E4394E" w:rsidRDefault="000C16B1">
            <w:pPr>
              <w:widowControl/>
              <w:spacing w:line="360" w:lineRule="auto"/>
              <w:textAlignment w:val="top"/>
              <w:rPr>
                <w:kern w:val="0"/>
                <w:sz w:val="24"/>
              </w:rPr>
            </w:pPr>
            <w:r w:rsidRPr="00E4394E">
              <w:rPr>
                <w:kern w:val="0"/>
                <w:sz w:val="24"/>
              </w:rPr>
              <w:t>1.428</w:t>
            </w:r>
          </w:p>
        </w:tc>
        <w:tc>
          <w:tcPr>
            <w:tcW w:w="877" w:type="dxa"/>
            <w:shd w:val="clear" w:color="auto" w:fill="FFFFFF"/>
            <w:vAlign w:val="center"/>
          </w:tcPr>
          <w:p w:rsidR="007D7A36" w:rsidRPr="00E4394E" w:rsidRDefault="000C16B1">
            <w:pPr>
              <w:widowControl/>
              <w:spacing w:line="360" w:lineRule="auto"/>
              <w:textAlignment w:val="center"/>
              <w:rPr>
                <w:kern w:val="0"/>
                <w:sz w:val="24"/>
              </w:rPr>
            </w:pPr>
            <w:r w:rsidRPr="00E4394E">
              <w:rPr>
                <w:kern w:val="0"/>
                <w:sz w:val="24"/>
              </w:rPr>
              <w:t>0.032</w:t>
            </w:r>
          </w:p>
        </w:tc>
        <w:tc>
          <w:tcPr>
            <w:tcW w:w="878" w:type="dxa"/>
            <w:shd w:val="clear" w:color="auto" w:fill="FFFFFF"/>
            <w:vAlign w:val="center"/>
          </w:tcPr>
          <w:p w:rsidR="007D7A36" w:rsidRPr="00E4394E" w:rsidRDefault="000C16B1">
            <w:pPr>
              <w:widowControl/>
              <w:spacing w:line="360" w:lineRule="auto"/>
              <w:textAlignment w:val="center"/>
              <w:rPr>
                <w:kern w:val="0"/>
                <w:sz w:val="24"/>
              </w:rPr>
            </w:pPr>
            <w:r w:rsidRPr="00E4394E">
              <w:rPr>
                <w:kern w:val="0"/>
                <w:sz w:val="24"/>
              </w:rPr>
              <w:t>1.824</w:t>
            </w:r>
          </w:p>
        </w:tc>
        <w:tc>
          <w:tcPr>
            <w:tcW w:w="877" w:type="dxa"/>
            <w:shd w:val="clear" w:color="auto" w:fill="FFFFFF"/>
            <w:vAlign w:val="center"/>
          </w:tcPr>
          <w:p w:rsidR="007D7A36" w:rsidRPr="00E4394E" w:rsidRDefault="000C16B1">
            <w:pPr>
              <w:widowControl/>
              <w:spacing w:line="360" w:lineRule="auto"/>
              <w:textAlignment w:val="center"/>
              <w:rPr>
                <w:kern w:val="0"/>
                <w:sz w:val="24"/>
              </w:rPr>
            </w:pPr>
            <w:r w:rsidRPr="00E4394E">
              <w:rPr>
                <w:kern w:val="0"/>
                <w:sz w:val="24"/>
              </w:rPr>
              <w:t>1.171</w:t>
            </w:r>
          </w:p>
        </w:tc>
        <w:tc>
          <w:tcPr>
            <w:tcW w:w="877" w:type="dxa"/>
            <w:shd w:val="clear" w:color="auto" w:fill="FFFFFF"/>
            <w:vAlign w:val="center"/>
          </w:tcPr>
          <w:p w:rsidR="007D7A36" w:rsidRPr="00E4394E" w:rsidRDefault="000C16B1">
            <w:pPr>
              <w:widowControl/>
              <w:spacing w:line="360" w:lineRule="auto"/>
              <w:textAlignment w:val="center"/>
              <w:rPr>
                <w:kern w:val="0"/>
                <w:sz w:val="24"/>
              </w:rPr>
            </w:pPr>
            <w:r w:rsidRPr="00E4394E">
              <w:rPr>
                <w:kern w:val="0"/>
                <w:sz w:val="24"/>
              </w:rPr>
              <w:t>2.840</w:t>
            </w:r>
          </w:p>
        </w:tc>
      </w:tr>
    </w:tbl>
    <w:p w:rsidR="007D7A36" w:rsidRPr="00E4394E" w:rsidRDefault="007D7A36">
      <w:pPr>
        <w:spacing w:line="360" w:lineRule="auto"/>
        <w:rPr>
          <w:bCs/>
          <w:sz w:val="24"/>
        </w:rPr>
      </w:pPr>
    </w:p>
    <w:p w:rsidR="000C16B1" w:rsidRPr="00E4394E" w:rsidRDefault="000C16B1">
      <w:pPr>
        <w:snapToGrid w:val="0"/>
        <w:spacing w:line="360" w:lineRule="auto"/>
        <w:rPr>
          <w:sz w:val="24"/>
        </w:rPr>
      </w:pPr>
    </w:p>
    <w:sectPr w:rsidR="000C16B1" w:rsidRPr="00E4394E">
      <w:footerReference w:type="even" r:id="rId12"/>
      <w:footerReference w:type="default" r:id="rId13"/>
      <w:pgSz w:w="11906" w:h="16838"/>
      <w:pgMar w:top="1440" w:right="1440" w:bottom="1440" w:left="144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77DD" w:rsidRDefault="00FD77DD">
      <w:r>
        <w:separator/>
      </w:r>
    </w:p>
  </w:endnote>
  <w:endnote w:type="continuationSeparator" w:id="0">
    <w:p w:rsidR="00FD77DD" w:rsidRDefault="00FD77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幼圆">
    <w:panose1 w:val="0201050906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A36" w:rsidRDefault="000C16B1">
    <w:pPr>
      <w:pStyle w:val="af1"/>
      <w:framePr w:wrap="around" w:vAnchor="text" w:hAnchor="margin" w:xAlign="center" w:y="1"/>
      <w:rPr>
        <w:rStyle w:val="ab"/>
      </w:rPr>
    </w:pPr>
    <w:r>
      <w:fldChar w:fldCharType="begin"/>
    </w:r>
    <w:r>
      <w:rPr>
        <w:rStyle w:val="ab"/>
      </w:rPr>
      <w:instrText xml:space="preserve">PAGE  </w:instrText>
    </w:r>
    <w:r>
      <w:fldChar w:fldCharType="end"/>
    </w:r>
  </w:p>
  <w:p w:rsidR="007D7A36" w:rsidRDefault="007D7A36">
    <w:pPr>
      <w:pStyle w:val="af1"/>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A36" w:rsidRDefault="000C16B1">
    <w:pPr>
      <w:pStyle w:val="af1"/>
      <w:framePr w:wrap="around" w:vAnchor="text" w:hAnchor="margin" w:xAlign="center" w:y="1"/>
      <w:rPr>
        <w:rStyle w:val="ab"/>
        <w:rFonts w:ascii="Book Antiqua" w:hAnsi="Book Antiqua"/>
        <w:sz w:val="24"/>
        <w:szCs w:val="24"/>
      </w:rPr>
    </w:pPr>
    <w:r>
      <w:rPr>
        <w:rFonts w:ascii="Book Antiqua" w:hAnsi="Book Antiqua"/>
        <w:sz w:val="24"/>
        <w:szCs w:val="24"/>
      </w:rPr>
      <w:fldChar w:fldCharType="begin"/>
    </w:r>
    <w:r>
      <w:rPr>
        <w:rStyle w:val="ab"/>
        <w:rFonts w:ascii="Book Antiqua" w:hAnsi="Book Antiqua"/>
        <w:sz w:val="24"/>
        <w:szCs w:val="24"/>
      </w:rPr>
      <w:instrText xml:space="preserve">PAGE  </w:instrText>
    </w:r>
    <w:r>
      <w:rPr>
        <w:rFonts w:ascii="Book Antiqua" w:hAnsi="Book Antiqua"/>
        <w:sz w:val="24"/>
        <w:szCs w:val="24"/>
      </w:rPr>
      <w:fldChar w:fldCharType="separate"/>
    </w:r>
    <w:r w:rsidR="00FD77DD">
      <w:rPr>
        <w:rStyle w:val="ab"/>
        <w:rFonts w:ascii="Book Antiqua" w:hAnsi="Book Antiqua"/>
        <w:noProof/>
        <w:sz w:val="24"/>
        <w:szCs w:val="24"/>
      </w:rPr>
      <w:t>1</w:t>
    </w:r>
    <w:r>
      <w:rPr>
        <w:rFonts w:ascii="Book Antiqua" w:hAnsi="Book Antiqua"/>
        <w:sz w:val="24"/>
        <w:szCs w:val="24"/>
      </w:rPr>
      <w:fldChar w:fldCharType="end"/>
    </w:r>
  </w:p>
  <w:p w:rsidR="007D7A36" w:rsidRDefault="007D7A36">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77DD" w:rsidRDefault="00FD77DD">
      <w:r>
        <w:separator/>
      </w:r>
    </w:p>
  </w:footnote>
  <w:footnote w:type="continuationSeparator" w:id="0">
    <w:p w:rsidR="00FD77DD" w:rsidRDefault="00FD77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bordersDoNotSurroundHeader/>
  <w:bordersDoNotSurroundFooter/>
  <w:defaultTabStop w:val="420"/>
  <w:drawingGridVerticalSpacing w:val="156"/>
  <w:noPunctuationKerning/>
  <w:characterSpacingControl w:val="compressPunctuation"/>
  <w:savePreviewPicture/>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373A28"/>
    <w:rsid w:val="00010189"/>
    <w:rsid w:val="00010683"/>
    <w:rsid w:val="00013A92"/>
    <w:rsid w:val="000204E0"/>
    <w:rsid w:val="0002178A"/>
    <w:rsid w:val="00030DF2"/>
    <w:rsid w:val="00040454"/>
    <w:rsid w:val="000560C9"/>
    <w:rsid w:val="00056C55"/>
    <w:rsid w:val="000606D5"/>
    <w:rsid w:val="00060C6D"/>
    <w:rsid w:val="00063118"/>
    <w:rsid w:val="00067849"/>
    <w:rsid w:val="0007311A"/>
    <w:rsid w:val="00083B37"/>
    <w:rsid w:val="000A0875"/>
    <w:rsid w:val="000A25B9"/>
    <w:rsid w:val="000A3A98"/>
    <w:rsid w:val="000C16B1"/>
    <w:rsid w:val="000C1FF6"/>
    <w:rsid w:val="000D04D2"/>
    <w:rsid w:val="000E7F32"/>
    <w:rsid w:val="000F099B"/>
    <w:rsid w:val="000F2E3E"/>
    <w:rsid w:val="000F3282"/>
    <w:rsid w:val="001032BB"/>
    <w:rsid w:val="00103F20"/>
    <w:rsid w:val="001045DA"/>
    <w:rsid w:val="00115FA4"/>
    <w:rsid w:val="00116754"/>
    <w:rsid w:val="00116F46"/>
    <w:rsid w:val="0012153D"/>
    <w:rsid w:val="00124B5D"/>
    <w:rsid w:val="00126421"/>
    <w:rsid w:val="001305E6"/>
    <w:rsid w:val="00133E39"/>
    <w:rsid w:val="001344DB"/>
    <w:rsid w:val="00134516"/>
    <w:rsid w:val="00141AA9"/>
    <w:rsid w:val="00144193"/>
    <w:rsid w:val="0015228F"/>
    <w:rsid w:val="001528C1"/>
    <w:rsid w:val="00157522"/>
    <w:rsid w:val="00171870"/>
    <w:rsid w:val="0017276C"/>
    <w:rsid w:val="001836A5"/>
    <w:rsid w:val="00186BD8"/>
    <w:rsid w:val="00197B90"/>
    <w:rsid w:val="001C07FB"/>
    <w:rsid w:val="001F0AAA"/>
    <w:rsid w:val="001F2396"/>
    <w:rsid w:val="001F729D"/>
    <w:rsid w:val="0020493A"/>
    <w:rsid w:val="002079E0"/>
    <w:rsid w:val="00222C9D"/>
    <w:rsid w:val="00222F20"/>
    <w:rsid w:val="002304B4"/>
    <w:rsid w:val="00237DB1"/>
    <w:rsid w:val="00263B30"/>
    <w:rsid w:val="002736B7"/>
    <w:rsid w:val="00277AAD"/>
    <w:rsid w:val="00297605"/>
    <w:rsid w:val="002A32F4"/>
    <w:rsid w:val="002A3C5C"/>
    <w:rsid w:val="002B392D"/>
    <w:rsid w:val="002B6B1F"/>
    <w:rsid w:val="002D135D"/>
    <w:rsid w:val="002F269E"/>
    <w:rsid w:val="002F27E0"/>
    <w:rsid w:val="002F37A0"/>
    <w:rsid w:val="003266C1"/>
    <w:rsid w:val="00330207"/>
    <w:rsid w:val="00334925"/>
    <w:rsid w:val="00342589"/>
    <w:rsid w:val="0034452B"/>
    <w:rsid w:val="003549A3"/>
    <w:rsid w:val="003626F5"/>
    <w:rsid w:val="00364EEF"/>
    <w:rsid w:val="00367983"/>
    <w:rsid w:val="00373A28"/>
    <w:rsid w:val="00382D79"/>
    <w:rsid w:val="003866A2"/>
    <w:rsid w:val="0039287E"/>
    <w:rsid w:val="00396D7A"/>
    <w:rsid w:val="00397581"/>
    <w:rsid w:val="003A107F"/>
    <w:rsid w:val="003B7553"/>
    <w:rsid w:val="003C2518"/>
    <w:rsid w:val="003C42E9"/>
    <w:rsid w:val="003E6231"/>
    <w:rsid w:val="003F44D9"/>
    <w:rsid w:val="004024AB"/>
    <w:rsid w:val="00412C79"/>
    <w:rsid w:val="00415819"/>
    <w:rsid w:val="00433E2D"/>
    <w:rsid w:val="0047533C"/>
    <w:rsid w:val="0049073C"/>
    <w:rsid w:val="00496381"/>
    <w:rsid w:val="004A283C"/>
    <w:rsid w:val="004A41A0"/>
    <w:rsid w:val="004B330B"/>
    <w:rsid w:val="004C23CD"/>
    <w:rsid w:val="004C59CC"/>
    <w:rsid w:val="004D00ED"/>
    <w:rsid w:val="004D5054"/>
    <w:rsid w:val="004E4E23"/>
    <w:rsid w:val="005050C9"/>
    <w:rsid w:val="00516336"/>
    <w:rsid w:val="005211F5"/>
    <w:rsid w:val="00531992"/>
    <w:rsid w:val="005510A1"/>
    <w:rsid w:val="005528D7"/>
    <w:rsid w:val="00564229"/>
    <w:rsid w:val="00585D2D"/>
    <w:rsid w:val="00592860"/>
    <w:rsid w:val="00593B40"/>
    <w:rsid w:val="00596FE2"/>
    <w:rsid w:val="005977C5"/>
    <w:rsid w:val="005B4930"/>
    <w:rsid w:val="005C7CED"/>
    <w:rsid w:val="005D50B9"/>
    <w:rsid w:val="005D7C65"/>
    <w:rsid w:val="005E3942"/>
    <w:rsid w:val="005F2B6B"/>
    <w:rsid w:val="005F3027"/>
    <w:rsid w:val="00607249"/>
    <w:rsid w:val="00611BEB"/>
    <w:rsid w:val="00622123"/>
    <w:rsid w:val="0062238E"/>
    <w:rsid w:val="0064002F"/>
    <w:rsid w:val="00655B8E"/>
    <w:rsid w:val="00656AD9"/>
    <w:rsid w:val="00662534"/>
    <w:rsid w:val="00670A3C"/>
    <w:rsid w:val="006725B1"/>
    <w:rsid w:val="0067594A"/>
    <w:rsid w:val="006762BC"/>
    <w:rsid w:val="00696A58"/>
    <w:rsid w:val="006C250B"/>
    <w:rsid w:val="006C2EE3"/>
    <w:rsid w:val="006C4C35"/>
    <w:rsid w:val="006C7BAC"/>
    <w:rsid w:val="006D02A8"/>
    <w:rsid w:val="007119C8"/>
    <w:rsid w:val="007141E6"/>
    <w:rsid w:val="00756E8C"/>
    <w:rsid w:val="00781ED6"/>
    <w:rsid w:val="00787F28"/>
    <w:rsid w:val="00797F2C"/>
    <w:rsid w:val="007A5F1C"/>
    <w:rsid w:val="007A6487"/>
    <w:rsid w:val="007C10AB"/>
    <w:rsid w:val="007C53A8"/>
    <w:rsid w:val="007D4795"/>
    <w:rsid w:val="007D7A36"/>
    <w:rsid w:val="007E20F7"/>
    <w:rsid w:val="007E2C7A"/>
    <w:rsid w:val="0080328B"/>
    <w:rsid w:val="00823EAA"/>
    <w:rsid w:val="008277D0"/>
    <w:rsid w:val="008306D1"/>
    <w:rsid w:val="0083581F"/>
    <w:rsid w:val="00857460"/>
    <w:rsid w:val="00865221"/>
    <w:rsid w:val="00867514"/>
    <w:rsid w:val="00867527"/>
    <w:rsid w:val="00871A83"/>
    <w:rsid w:val="00881790"/>
    <w:rsid w:val="00884352"/>
    <w:rsid w:val="00886B04"/>
    <w:rsid w:val="008A271D"/>
    <w:rsid w:val="008A27AD"/>
    <w:rsid w:val="008A2D4D"/>
    <w:rsid w:val="008B0214"/>
    <w:rsid w:val="008B5276"/>
    <w:rsid w:val="008C27CB"/>
    <w:rsid w:val="008C3534"/>
    <w:rsid w:val="008E455A"/>
    <w:rsid w:val="008F1A07"/>
    <w:rsid w:val="00900BAE"/>
    <w:rsid w:val="0090408E"/>
    <w:rsid w:val="009253C7"/>
    <w:rsid w:val="00933512"/>
    <w:rsid w:val="00934FFE"/>
    <w:rsid w:val="009450D8"/>
    <w:rsid w:val="009458E5"/>
    <w:rsid w:val="00951C69"/>
    <w:rsid w:val="00953334"/>
    <w:rsid w:val="00967222"/>
    <w:rsid w:val="00995E64"/>
    <w:rsid w:val="00997967"/>
    <w:rsid w:val="009B38E5"/>
    <w:rsid w:val="009C4505"/>
    <w:rsid w:val="009C5CD9"/>
    <w:rsid w:val="009F211D"/>
    <w:rsid w:val="00A245A0"/>
    <w:rsid w:val="00A2705A"/>
    <w:rsid w:val="00A317E0"/>
    <w:rsid w:val="00A52FA4"/>
    <w:rsid w:val="00A553CA"/>
    <w:rsid w:val="00A61B34"/>
    <w:rsid w:val="00A64F9A"/>
    <w:rsid w:val="00A67F98"/>
    <w:rsid w:val="00A84386"/>
    <w:rsid w:val="00A84C45"/>
    <w:rsid w:val="00A84D79"/>
    <w:rsid w:val="00A95E08"/>
    <w:rsid w:val="00A9690A"/>
    <w:rsid w:val="00AA64E9"/>
    <w:rsid w:val="00AB1998"/>
    <w:rsid w:val="00AB6161"/>
    <w:rsid w:val="00AE5D0D"/>
    <w:rsid w:val="00AF0844"/>
    <w:rsid w:val="00AF0923"/>
    <w:rsid w:val="00AF15E9"/>
    <w:rsid w:val="00AF42AD"/>
    <w:rsid w:val="00B06E47"/>
    <w:rsid w:val="00B07874"/>
    <w:rsid w:val="00B1598C"/>
    <w:rsid w:val="00B160C1"/>
    <w:rsid w:val="00B1703B"/>
    <w:rsid w:val="00B267E8"/>
    <w:rsid w:val="00B356BC"/>
    <w:rsid w:val="00B40F02"/>
    <w:rsid w:val="00B45BAB"/>
    <w:rsid w:val="00B67023"/>
    <w:rsid w:val="00B748C9"/>
    <w:rsid w:val="00B8009E"/>
    <w:rsid w:val="00B8629A"/>
    <w:rsid w:val="00B86C5D"/>
    <w:rsid w:val="00B91E9F"/>
    <w:rsid w:val="00B94429"/>
    <w:rsid w:val="00B9743B"/>
    <w:rsid w:val="00BA3DED"/>
    <w:rsid w:val="00BA5EBB"/>
    <w:rsid w:val="00BD11F8"/>
    <w:rsid w:val="00BD48BF"/>
    <w:rsid w:val="00BD751E"/>
    <w:rsid w:val="00BE2119"/>
    <w:rsid w:val="00BE357D"/>
    <w:rsid w:val="00BE7C74"/>
    <w:rsid w:val="00BF3F8B"/>
    <w:rsid w:val="00BF4867"/>
    <w:rsid w:val="00BF66F4"/>
    <w:rsid w:val="00BF7124"/>
    <w:rsid w:val="00C01281"/>
    <w:rsid w:val="00C0346D"/>
    <w:rsid w:val="00C10975"/>
    <w:rsid w:val="00C11BE9"/>
    <w:rsid w:val="00C126DC"/>
    <w:rsid w:val="00C20392"/>
    <w:rsid w:val="00C42725"/>
    <w:rsid w:val="00C46A5E"/>
    <w:rsid w:val="00C50FC9"/>
    <w:rsid w:val="00C576FF"/>
    <w:rsid w:val="00C62A73"/>
    <w:rsid w:val="00C70023"/>
    <w:rsid w:val="00C765D3"/>
    <w:rsid w:val="00C830C7"/>
    <w:rsid w:val="00C9054B"/>
    <w:rsid w:val="00C93406"/>
    <w:rsid w:val="00C942D7"/>
    <w:rsid w:val="00CA261D"/>
    <w:rsid w:val="00CC2DF9"/>
    <w:rsid w:val="00CC53A0"/>
    <w:rsid w:val="00CD2D19"/>
    <w:rsid w:val="00CD3290"/>
    <w:rsid w:val="00CE1972"/>
    <w:rsid w:val="00CE5FE6"/>
    <w:rsid w:val="00CF0DBF"/>
    <w:rsid w:val="00CF30F8"/>
    <w:rsid w:val="00D01BCC"/>
    <w:rsid w:val="00D150C8"/>
    <w:rsid w:val="00D2600B"/>
    <w:rsid w:val="00D35688"/>
    <w:rsid w:val="00D36FD9"/>
    <w:rsid w:val="00D55187"/>
    <w:rsid w:val="00D71FD4"/>
    <w:rsid w:val="00D835FC"/>
    <w:rsid w:val="00D90D16"/>
    <w:rsid w:val="00D963D5"/>
    <w:rsid w:val="00DB58C6"/>
    <w:rsid w:val="00DB6B5D"/>
    <w:rsid w:val="00DD0A82"/>
    <w:rsid w:val="00DD3ED6"/>
    <w:rsid w:val="00DD40D4"/>
    <w:rsid w:val="00DD5A13"/>
    <w:rsid w:val="00DE7B9C"/>
    <w:rsid w:val="00DF1DB7"/>
    <w:rsid w:val="00E03A4F"/>
    <w:rsid w:val="00E16303"/>
    <w:rsid w:val="00E20052"/>
    <w:rsid w:val="00E43388"/>
    <w:rsid w:val="00E4394E"/>
    <w:rsid w:val="00E46E38"/>
    <w:rsid w:val="00E508F0"/>
    <w:rsid w:val="00E613B3"/>
    <w:rsid w:val="00E71C87"/>
    <w:rsid w:val="00E80A32"/>
    <w:rsid w:val="00E8283B"/>
    <w:rsid w:val="00E92AD1"/>
    <w:rsid w:val="00E95E3F"/>
    <w:rsid w:val="00EA7B57"/>
    <w:rsid w:val="00EB5FD1"/>
    <w:rsid w:val="00EB7624"/>
    <w:rsid w:val="00ED1695"/>
    <w:rsid w:val="00ED3CE8"/>
    <w:rsid w:val="00EF1056"/>
    <w:rsid w:val="00EF6081"/>
    <w:rsid w:val="00F02D20"/>
    <w:rsid w:val="00F11CF7"/>
    <w:rsid w:val="00F13BCE"/>
    <w:rsid w:val="00F21BC5"/>
    <w:rsid w:val="00F257BD"/>
    <w:rsid w:val="00F26B81"/>
    <w:rsid w:val="00F27361"/>
    <w:rsid w:val="00F40A25"/>
    <w:rsid w:val="00F52E56"/>
    <w:rsid w:val="00F5506B"/>
    <w:rsid w:val="00F70870"/>
    <w:rsid w:val="00F7359B"/>
    <w:rsid w:val="00F77249"/>
    <w:rsid w:val="00F8479D"/>
    <w:rsid w:val="00F847EA"/>
    <w:rsid w:val="00F861CA"/>
    <w:rsid w:val="00F92347"/>
    <w:rsid w:val="00FA31F8"/>
    <w:rsid w:val="00FB0B0D"/>
    <w:rsid w:val="00FC16DE"/>
    <w:rsid w:val="00FD76F2"/>
    <w:rsid w:val="00FD77DD"/>
    <w:rsid w:val="00FD7E07"/>
    <w:rsid w:val="00FF1575"/>
    <w:rsid w:val="02423054"/>
    <w:rsid w:val="026D6C6D"/>
    <w:rsid w:val="031F4A92"/>
    <w:rsid w:val="039378FF"/>
    <w:rsid w:val="03B4251A"/>
    <w:rsid w:val="03DE4B79"/>
    <w:rsid w:val="040A3A4E"/>
    <w:rsid w:val="0421361B"/>
    <w:rsid w:val="05824A96"/>
    <w:rsid w:val="05CE5BC1"/>
    <w:rsid w:val="070B4F32"/>
    <w:rsid w:val="07653545"/>
    <w:rsid w:val="07E81EAA"/>
    <w:rsid w:val="08D83209"/>
    <w:rsid w:val="09085697"/>
    <w:rsid w:val="09511485"/>
    <w:rsid w:val="099516D9"/>
    <w:rsid w:val="09967425"/>
    <w:rsid w:val="09D43CBA"/>
    <w:rsid w:val="0B941A6E"/>
    <w:rsid w:val="0C245A59"/>
    <w:rsid w:val="0C573988"/>
    <w:rsid w:val="0C862D6D"/>
    <w:rsid w:val="0C903B5C"/>
    <w:rsid w:val="0CAB2FCB"/>
    <w:rsid w:val="0D7C46FF"/>
    <w:rsid w:val="0E230B81"/>
    <w:rsid w:val="0E8200BA"/>
    <w:rsid w:val="0EAD6848"/>
    <w:rsid w:val="0EEE7AC9"/>
    <w:rsid w:val="0FEA7B65"/>
    <w:rsid w:val="10057A9F"/>
    <w:rsid w:val="10440EA2"/>
    <w:rsid w:val="104A02C9"/>
    <w:rsid w:val="11E84F2E"/>
    <w:rsid w:val="128447C7"/>
    <w:rsid w:val="12E0205B"/>
    <w:rsid w:val="13257A8A"/>
    <w:rsid w:val="135C4FAE"/>
    <w:rsid w:val="1370151A"/>
    <w:rsid w:val="139072E0"/>
    <w:rsid w:val="13E510A1"/>
    <w:rsid w:val="1428180D"/>
    <w:rsid w:val="143B2C39"/>
    <w:rsid w:val="148C5A6A"/>
    <w:rsid w:val="15053C2C"/>
    <w:rsid w:val="15E54C22"/>
    <w:rsid w:val="163128C8"/>
    <w:rsid w:val="1675724B"/>
    <w:rsid w:val="17AE7561"/>
    <w:rsid w:val="18067F70"/>
    <w:rsid w:val="189124DA"/>
    <w:rsid w:val="18941F3C"/>
    <w:rsid w:val="18DF1753"/>
    <w:rsid w:val="191C4A26"/>
    <w:rsid w:val="19FF1542"/>
    <w:rsid w:val="1A663CB9"/>
    <w:rsid w:val="1B604725"/>
    <w:rsid w:val="1BE72B01"/>
    <w:rsid w:val="1BFC17EE"/>
    <w:rsid w:val="1D4E5869"/>
    <w:rsid w:val="1E3554EC"/>
    <w:rsid w:val="1EE0085D"/>
    <w:rsid w:val="1F6E6EA5"/>
    <w:rsid w:val="202A247D"/>
    <w:rsid w:val="207059C0"/>
    <w:rsid w:val="20E76D35"/>
    <w:rsid w:val="21452B36"/>
    <w:rsid w:val="224B775B"/>
    <w:rsid w:val="23500E2B"/>
    <w:rsid w:val="24867DE6"/>
    <w:rsid w:val="25F56798"/>
    <w:rsid w:val="261D7BF5"/>
    <w:rsid w:val="26450C42"/>
    <w:rsid w:val="26BE5111"/>
    <w:rsid w:val="27095A33"/>
    <w:rsid w:val="27B705A4"/>
    <w:rsid w:val="28282F39"/>
    <w:rsid w:val="289A41E2"/>
    <w:rsid w:val="28D527C5"/>
    <w:rsid w:val="2A570430"/>
    <w:rsid w:val="2A9700F4"/>
    <w:rsid w:val="2AEE723D"/>
    <w:rsid w:val="2BC003DA"/>
    <w:rsid w:val="2BCA544B"/>
    <w:rsid w:val="2C3048B6"/>
    <w:rsid w:val="2C3473CF"/>
    <w:rsid w:val="2C573E7B"/>
    <w:rsid w:val="2C6F0F7A"/>
    <w:rsid w:val="2CAC3D2B"/>
    <w:rsid w:val="2CE258CF"/>
    <w:rsid w:val="2E8E694C"/>
    <w:rsid w:val="2EA14156"/>
    <w:rsid w:val="2F037878"/>
    <w:rsid w:val="2F551DC2"/>
    <w:rsid w:val="2FF95669"/>
    <w:rsid w:val="3031730D"/>
    <w:rsid w:val="305107E3"/>
    <w:rsid w:val="31E44318"/>
    <w:rsid w:val="32D2781F"/>
    <w:rsid w:val="32D6403B"/>
    <w:rsid w:val="339A3922"/>
    <w:rsid w:val="347F7602"/>
    <w:rsid w:val="34A421EB"/>
    <w:rsid w:val="34D10A85"/>
    <w:rsid w:val="35057D22"/>
    <w:rsid w:val="35E21701"/>
    <w:rsid w:val="364A59C0"/>
    <w:rsid w:val="37341555"/>
    <w:rsid w:val="37D9101E"/>
    <w:rsid w:val="382E712D"/>
    <w:rsid w:val="385D1FE9"/>
    <w:rsid w:val="3891703C"/>
    <w:rsid w:val="38E723AD"/>
    <w:rsid w:val="39227F70"/>
    <w:rsid w:val="39DD33DB"/>
    <w:rsid w:val="3A63559F"/>
    <w:rsid w:val="3B1953D9"/>
    <w:rsid w:val="3C087376"/>
    <w:rsid w:val="3C7C3503"/>
    <w:rsid w:val="3C97474D"/>
    <w:rsid w:val="3D496E11"/>
    <w:rsid w:val="3ECC673B"/>
    <w:rsid w:val="3EE77E2F"/>
    <w:rsid w:val="3F0214FD"/>
    <w:rsid w:val="3FF56A3D"/>
    <w:rsid w:val="40697B93"/>
    <w:rsid w:val="407F167B"/>
    <w:rsid w:val="40C444EA"/>
    <w:rsid w:val="41891E46"/>
    <w:rsid w:val="43085F96"/>
    <w:rsid w:val="43D60E67"/>
    <w:rsid w:val="444E46C2"/>
    <w:rsid w:val="44C27534"/>
    <w:rsid w:val="45340F8C"/>
    <w:rsid w:val="45652BD9"/>
    <w:rsid w:val="45947FEC"/>
    <w:rsid w:val="45D310E3"/>
    <w:rsid w:val="463C1F0D"/>
    <w:rsid w:val="470C3D02"/>
    <w:rsid w:val="47DA7E49"/>
    <w:rsid w:val="483720F2"/>
    <w:rsid w:val="485B68A6"/>
    <w:rsid w:val="49396649"/>
    <w:rsid w:val="4A0F042B"/>
    <w:rsid w:val="4A3104DD"/>
    <w:rsid w:val="4BCC12A4"/>
    <w:rsid w:val="4C181C2F"/>
    <w:rsid w:val="4C315E93"/>
    <w:rsid w:val="4C352547"/>
    <w:rsid w:val="4CA2677B"/>
    <w:rsid w:val="4D72256D"/>
    <w:rsid w:val="4E3B2B8F"/>
    <w:rsid w:val="4E66639B"/>
    <w:rsid w:val="4E6C2D06"/>
    <w:rsid w:val="51B1235E"/>
    <w:rsid w:val="51B84372"/>
    <w:rsid w:val="53004C31"/>
    <w:rsid w:val="53015159"/>
    <w:rsid w:val="538002D3"/>
    <w:rsid w:val="53B4634D"/>
    <w:rsid w:val="53D060C5"/>
    <w:rsid w:val="542D652B"/>
    <w:rsid w:val="543D542C"/>
    <w:rsid w:val="546325EF"/>
    <w:rsid w:val="54AD0A63"/>
    <w:rsid w:val="54EE185F"/>
    <w:rsid w:val="557578D6"/>
    <w:rsid w:val="56054AFB"/>
    <w:rsid w:val="561B2C42"/>
    <w:rsid w:val="562928C5"/>
    <w:rsid w:val="567B6F67"/>
    <w:rsid w:val="56D11630"/>
    <w:rsid w:val="56DF5284"/>
    <w:rsid w:val="57B34F52"/>
    <w:rsid w:val="57BA2886"/>
    <w:rsid w:val="5981621E"/>
    <w:rsid w:val="59EF25D1"/>
    <w:rsid w:val="5A830F38"/>
    <w:rsid w:val="5BDC4EC2"/>
    <w:rsid w:val="5BF3689C"/>
    <w:rsid w:val="5D754047"/>
    <w:rsid w:val="5D9819C6"/>
    <w:rsid w:val="5E137FBE"/>
    <w:rsid w:val="5E260F39"/>
    <w:rsid w:val="5E690F1A"/>
    <w:rsid w:val="5E977900"/>
    <w:rsid w:val="5EF16F8B"/>
    <w:rsid w:val="5F445CFB"/>
    <w:rsid w:val="5FFB0714"/>
    <w:rsid w:val="615174C2"/>
    <w:rsid w:val="617728A3"/>
    <w:rsid w:val="620842B9"/>
    <w:rsid w:val="625F3A38"/>
    <w:rsid w:val="62E672B9"/>
    <w:rsid w:val="64DA03C8"/>
    <w:rsid w:val="64FA41C2"/>
    <w:rsid w:val="66842812"/>
    <w:rsid w:val="67975946"/>
    <w:rsid w:val="68083D60"/>
    <w:rsid w:val="68561283"/>
    <w:rsid w:val="6858734B"/>
    <w:rsid w:val="68E37B99"/>
    <w:rsid w:val="6921354D"/>
    <w:rsid w:val="694E4DD1"/>
    <w:rsid w:val="6979625F"/>
    <w:rsid w:val="69D905D0"/>
    <w:rsid w:val="69EB1F1A"/>
    <w:rsid w:val="6A1E6468"/>
    <w:rsid w:val="6AC80F25"/>
    <w:rsid w:val="6AD54463"/>
    <w:rsid w:val="6B2C6693"/>
    <w:rsid w:val="6BA33BEF"/>
    <w:rsid w:val="6C4F5895"/>
    <w:rsid w:val="6C5123A0"/>
    <w:rsid w:val="6C5C0ABE"/>
    <w:rsid w:val="6C5C6143"/>
    <w:rsid w:val="6CB5458F"/>
    <w:rsid w:val="6D1B7CC8"/>
    <w:rsid w:val="6E390B6A"/>
    <w:rsid w:val="6E514C10"/>
    <w:rsid w:val="6EC069E8"/>
    <w:rsid w:val="6F1C4F4A"/>
    <w:rsid w:val="6FA05424"/>
    <w:rsid w:val="70024B95"/>
    <w:rsid w:val="706575C2"/>
    <w:rsid w:val="70E5119C"/>
    <w:rsid w:val="72392B13"/>
    <w:rsid w:val="726761A6"/>
    <w:rsid w:val="72FE2EE9"/>
    <w:rsid w:val="735F242B"/>
    <w:rsid w:val="73A20526"/>
    <w:rsid w:val="73EF0362"/>
    <w:rsid w:val="74191D2C"/>
    <w:rsid w:val="754A639A"/>
    <w:rsid w:val="757C3A73"/>
    <w:rsid w:val="75E549DE"/>
    <w:rsid w:val="75E81382"/>
    <w:rsid w:val="76312536"/>
    <w:rsid w:val="766C05AB"/>
    <w:rsid w:val="77082483"/>
    <w:rsid w:val="774F0A05"/>
    <w:rsid w:val="77543C08"/>
    <w:rsid w:val="77892804"/>
    <w:rsid w:val="783571E9"/>
    <w:rsid w:val="784C6E01"/>
    <w:rsid w:val="784C7BAF"/>
    <w:rsid w:val="7918324A"/>
    <w:rsid w:val="7B3C204A"/>
    <w:rsid w:val="7BF00713"/>
    <w:rsid w:val="7BFE4CAA"/>
    <w:rsid w:val="7C5A6AD5"/>
    <w:rsid w:val="7CAE6491"/>
    <w:rsid w:val="7CC61A47"/>
    <w:rsid w:val="7E4A619B"/>
    <w:rsid w:val="7F0C3E1F"/>
    <w:rsid w:val="7FC575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61774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qFormat="1"/>
    <w:lsdException w:name="annotation text" w:qFormat="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qFormat="1"/>
    <w:lsdException w:name="line number" w:semiHidden="1" w:unhideWhenUsed="1"/>
    <w:lsdException w:name="page number" w:unhideWhenUsed="1"/>
    <w:lsdException w:name="endnote reference" w:qFormat="1"/>
    <w:lsdException w:name="endnote text"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批注框文本 字符"/>
    <w:link w:val="a4"/>
    <w:uiPriority w:val="99"/>
    <w:qFormat/>
    <w:rPr>
      <w:rFonts w:ascii="Times New Roman" w:eastAsia="宋体" w:hAnsi="Times New Roman" w:cs="Times New Roman"/>
      <w:sz w:val="18"/>
      <w:szCs w:val="18"/>
    </w:rPr>
  </w:style>
  <w:style w:type="character" w:customStyle="1" w:styleId="EndNoteBibliographyTitleChar">
    <w:name w:val="EndNote Bibliography Title Char"/>
    <w:link w:val="EndNoteBibliographyTitle"/>
    <w:qFormat/>
    <w:rPr>
      <w:rFonts w:ascii="Times New Roman" w:eastAsia="宋体" w:hAnsi="Times New Roman" w:cs="Times New Roman"/>
      <w:sz w:val="20"/>
      <w:szCs w:val="24"/>
    </w:rPr>
  </w:style>
  <w:style w:type="character" w:customStyle="1" w:styleId="a5">
    <w:name w:val="页眉 字符"/>
    <w:link w:val="a6"/>
    <w:uiPriority w:val="99"/>
    <w:qFormat/>
    <w:rPr>
      <w:rFonts w:ascii="Times New Roman" w:eastAsia="宋体" w:hAnsi="Times New Roman" w:cs="Times New Roman"/>
      <w:sz w:val="18"/>
      <w:szCs w:val="18"/>
    </w:rPr>
  </w:style>
  <w:style w:type="character" w:customStyle="1" w:styleId="a7">
    <w:name w:val="纯文本 字符"/>
    <w:link w:val="a8"/>
    <w:rPr>
      <w:rFonts w:ascii="宋体" w:hAnsi="Courier New" w:cs="Courier New"/>
      <w:kern w:val="2"/>
      <w:sz w:val="21"/>
      <w:szCs w:val="21"/>
    </w:rPr>
  </w:style>
  <w:style w:type="character" w:styleId="a9">
    <w:name w:val="footnote reference"/>
    <w:qFormat/>
    <w:rPr>
      <w:vertAlign w:val="superscript"/>
    </w:rPr>
  </w:style>
  <w:style w:type="character" w:styleId="aa">
    <w:name w:val="endnote reference"/>
    <w:uiPriority w:val="99"/>
    <w:qFormat/>
    <w:rPr>
      <w:vertAlign w:val="superscript"/>
    </w:rPr>
  </w:style>
  <w:style w:type="character" w:customStyle="1" w:styleId="warning">
    <w:name w:val="warning"/>
    <w:qFormat/>
    <w:rPr>
      <w:color w:val="FF0000"/>
    </w:rPr>
  </w:style>
  <w:style w:type="character" w:customStyle="1" w:styleId="normal2">
    <w:name w:val="normal2"/>
    <w:qFormat/>
    <w:rPr>
      <w:color w:val="000000"/>
    </w:rPr>
  </w:style>
  <w:style w:type="character" w:styleId="ab">
    <w:name w:val="page number"/>
    <w:uiPriority w:val="99"/>
    <w:unhideWhenUsed/>
  </w:style>
  <w:style w:type="character" w:styleId="ac">
    <w:name w:val="Hyperlink"/>
    <w:uiPriority w:val="99"/>
    <w:unhideWhenUsed/>
    <w:qFormat/>
    <w:rPr>
      <w:color w:val="0000FF"/>
      <w:u w:val="single"/>
    </w:rPr>
  </w:style>
  <w:style w:type="character" w:styleId="ad">
    <w:name w:val="annotation reference"/>
    <w:uiPriority w:val="99"/>
    <w:qFormat/>
    <w:rPr>
      <w:sz w:val="21"/>
      <w:szCs w:val="21"/>
    </w:rPr>
  </w:style>
  <w:style w:type="character" w:customStyle="1" w:styleId="result">
    <w:name w:val="result"/>
    <w:qFormat/>
    <w:rPr>
      <w:color w:val="000080"/>
    </w:rPr>
  </w:style>
  <w:style w:type="character" w:customStyle="1" w:styleId="ae">
    <w:name w:val="批注文字 字符"/>
    <w:link w:val="af"/>
    <w:uiPriority w:val="99"/>
    <w:qFormat/>
    <w:rPr>
      <w:rFonts w:ascii="Times New Roman" w:eastAsia="宋体" w:hAnsi="Times New Roman" w:cs="Times New Roman"/>
      <w:szCs w:val="24"/>
    </w:rPr>
  </w:style>
  <w:style w:type="character" w:customStyle="1" w:styleId="af0">
    <w:name w:val="页脚 字符"/>
    <w:link w:val="af1"/>
    <w:uiPriority w:val="99"/>
    <w:qFormat/>
    <w:rPr>
      <w:rFonts w:ascii="Times New Roman" w:eastAsia="宋体" w:hAnsi="Times New Roman" w:cs="Times New Roman"/>
      <w:sz w:val="18"/>
      <w:szCs w:val="18"/>
    </w:rPr>
  </w:style>
  <w:style w:type="character" w:customStyle="1" w:styleId="af2">
    <w:name w:val="批注主题 字符"/>
    <w:link w:val="af3"/>
    <w:uiPriority w:val="99"/>
    <w:qFormat/>
    <w:rPr>
      <w:rFonts w:ascii="Times New Roman" w:eastAsia="宋体" w:hAnsi="Times New Roman" w:cs="Times New Roman"/>
      <w:b/>
      <w:bCs/>
      <w:szCs w:val="24"/>
    </w:rPr>
  </w:style>
  <w:style w:type="character" w:customStyle="1" w:styleId="normal1">
    <w:name w:val="normal1"/>
    <w:qFormat/>
    <w:rPr>
      <w:rFonts w:ascii="Arial" w:hAnsi="Arial" w:cs="Arial" w:hint="default"/>
      <w:color w:val="000000"/>
      <w:sz w:val="20"/>
      <w:szCs w:val="20"/>
    </w:rPr>
  </w:style>
  <w:style w:type="character" w:customStyle="1" w:styleId="af4">
    <w:name w:val="脚注文本 字符"/>
    <w:link w:val="af5"/>
    <w:qFormat/>
    <w:rPr>
      <w:rFonts w:ascii="Times New Roman" w:eastAsia="宋体" w:hAnsi="Times New Roman" w:cs="Times New Roman"/>
      <w:sz w:val="18"/>
      <w:szCs w:val="18"/>
    </w:rPr>
  </w:style>
  <w:style w:type="character" w:customStyle="1" w:styleId="af6">
    <w:name w:val="尾注文本 字符"/>
    <w:link w:val="af7"/>
    <w:uiPriority w:val="99"/>
    <w:qFormat/>
    <w:rPr>
      <w:rFonts w:ascii="Times New Roman" w:eastAsia="宋体" w:hAnsi="Times New Roman" w:cs="Times New Roman"/>
      <w:szCs w:val="24"/>
    </w:rPr>
  </w:style>
  <w:style w:type="character" w:customStyle="1" w:styleId="EndNoteBibliographyChar">
    <w:name w:val="EndNote Bibliography Char"/>
    <w:link w:val="EndNoteBibliography"/>
    <w:qFormat/>
    <w:rPr>
      <w:rFonts w:ascii="Times New Roman" w:eastAsia="宋体" w:hAnsi="Times New Roman" w:cs="Times New Roman"/>
      <w:sz w:val="20"/>
      <w:szCs w:val="24"/>
    </w:rPr>
  </w:style>
  <w:style w:type="paragraph" w:styleId="af8">
    <w:name w:val="Normal (Web)"/>
    <w:basedOn w:val="a"/>
    <w:uiPriority w:val="99"/>
    <w:qFormat/>
    <w:pPr>
      <w:widowControl/>
      <w:spacing w:before="100" w:beforeAutospacing="1" w:after="100" w:afterAutospacing="1"/>
      <w:jc w:val="left"/>
    </w:pPr>
    <w:rPr>
      <w:rFonts w:ascii="宋体" w:hAnsi="宋体" w:cs="宋体"/>
      <w:kern w:val="0"/>
      <w:sz w:val="24"/>
    </w:rPr>
  </w:style>
  <w:style w:type="paragraph" w:styleId="af5">
    <w:name w:val="footnote text"/>
    <w:basedOn w:val="a"/>
    <w:link w:val="af4"/>
    <w:qFormat/>
    <w:pPr>
      <w:snapToGrid w:val="0"/>
      <w:jc w:val="left"/>
    </w:pPr>
    <w:rPr>
      <w:sz w:val="18"/>
      <w:szCs w:val="18"/>
    </w:rPr>
  </w:style>
  <w:style w:type="paragraph" w:styleId="af7">
    <w:name w:val="endnote text"/>
    <w:basedOn w:val="a"/>
    <w:link w:val="af6"/>
    <w:uiPriority w:val="99"/>
    <w:qFormat/>
    <w:pPr>
      <w:snapToGrid w:val="0"/>
      <w:jc w:val="left"/>
    </w:pPr>
  </w:style>
  <w:style w:type="paragraph" w:styleId="a4">
    <w:name w:val="Balloon Text"/>
    <w:basedOn w:val="a"/>
    <w:link w:val="a3"/>
    <w:uiPriority w:val="99"/>
    <w:qFormat/>
    <w:rPr>
      <w:sz w:val="18"/>
      <w:szCs w:val="18"/>
    </w:rPr>
  </w:style>
  <w:style w:type="paragraph" w:styleId="a6">
    <w:name w:val="header"/>
    <w:basedOn w:val="a"/>
    <w:link w:val="a5"/>
    <w:uiPriority w:val="99"/>
    <w:qFormat/>
    <w:pPr>
      <w:pBdr>
        <w:bottom w:val="single" w:sz="6" w:space="1" w:color="auto"/>
      </w:pBdr>
      <w:tabs>
        <w:tab w:val="center" w:pos="4153"/>
        <w:tab w:val="right" w:pos="8306"/>
      </w:tabs>
      <w:snapToGrid w:val="0"/>
      <w:jc w:val="center"/>
    </w:pPr>
    <w:rPr>
      <w:sz w:val="18"/>
      <w:szCs w:val="18"/>
    </w:rPr>
  </w:style>
  <w:style w:type="paragraph" w:styleId="af1">
    <w:name w:val="footer"/>
    <w:basedOn w:val="a"/>
    <w:link w:val="af0"/>
    <w:uiPriority w:val="99"/>
    <w:qFormat/>
    <w:pPr>
      <w:tabs>
        <w:tab w:val="center" w:pos="4153"/>
        <w:tab w:val="right" w:pos="8306"/>
      </w:tabs>
      <w:snapToGrid w:val="0"/>
      <w:jc w:val="left"/>
    </w:pPr>
    <w:rPr>
      <w:sz w:val="18"/>
      <w:szCs w:val="18"/>
    </w:rPr>
  </w:style>
  <w:style w:type="paragraph" w:styleId="af3">
    <w:name w:val="annotation subject"/>
    <w:basedOn w:val="af"/>
    <w:next w:val="af"/>
    <w:link w:val="af2"/>
    <w:uiPriority w:val="99"/>
    <w:qFormat/>
    <w:rPr>
      <w:b/>
      <w:bCs/>
    </w:rPr>
  </w:style>
  <w:style w:type="paragraph" w:styleId="a8">
    <w:name w:val="Plain Text"/>
    <w:basedOn w:val="a"/>
    <w:link w:val="a7"/>
    <w:unhideWhenUsed/>
    <w:rPr>
      <w:rFonts w:ascii="宋体" w:hAnsi="Courier New" w:cs="Courier New"/>
      <w:szCs w:val="21"/>
    </w:rPr>
  </w:style>
  <w:style w:type="paragraph" w:styleId="af">
    <w:name w:val="annotation text"/>
    <w:basedOn w:val="a"/>
    <w:link w:val="ae"/>
    <w:uiPriority w:val="99"/>
    <w:qFormat/>
    <w:pPr>
      <w:jc w:val="left"/>
    </w:pPr>
  </w:style>
  <w:style w:type="paragraph" w:customStyle="1" w:styleId="EndNoteBibliography">
    <w:name w:val="EndNote Bibliography"/>
    <w:basedOn w:val="a"/>
    <w:link w:val="EndNoteBibliographyChar"/>
    <w:qFormat/>
    <w:pPr>
      <w:jc w:val="left"/>
    </w:pPr>
    <w:rPr>
      <w:sz w:val="20"/>
    </w:rPr>
  </w:style>
  <w:style w:type="paragraph" w:customStyle="1" w:styleId="1">
    <w:name w:val="修订1"/>
    <w:uiPriority w:val="99"/>
    <w:unhideWhenUsed/>
    <w:qFormat/>
    <w:rPr>
      <w:kern w:val="2"/>
      <w:sz w:val="21"/>
      <w:szCs w:val="24"/>
    </w:rPr>
  </w:style>
  <w:style w:type="paragraph" w:customStyle="1" w:styleId="EndNoteBibliographyTitle">
    <w:name w:val="EndNote Bibliography Title"/>
    <w:basedOn w:val="a"/>
    <w:link w:val="EndNoteBibliographyTitleChar"/>
    <w:qFormat/>
    <w:pPr>
      <w:jc w:val="center"/>
    </w:pPr>
    <w:rPr>
      <w:sz w:val="20"/>
    </w:rPr>
  </w:style>
  <w:style w:type="paragraph" w:customStyle="1" w:styleId="ColorfulList-Accent1">
    <w:name w:val="Colorful List - Accent 1"/>
    <w:basedOn w:val="a"/>
    <w:uiPriority w:val="34"/>
    <w:qFormat/>
    <w:pPr>
      <w:ind w:firstLineChars="200" w:firstLine="420"/>
    </w:pPr>
  </w:style>
  <w:style w:type="table" w:styleId="af9">
    <w:name w:val="Table Grid"/>
    <w:basedOn w:val="a1"/>
    <w:uiPriority w:val="59"/>
    <w:qFormat/>
    <w:rPr>
      <w:rFonts w:ascii="Calibri" w:hAnsi="Calibri" w:cs="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x-cp20936"/>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1.tiff"/><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wangyingchun4478@163.com" TargetMode="External"/><Relationship Id="rId11" Type="http://schemas.openxmlformats.org/officeDocument/2006/relationships/image" Target="media/image5.tiff"/><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tiff"/><Relationship Id="rId4" Type="http://schemas.openxmlformats.org/officeDocument/2006/relationships/footnotes" Target="footnotes.xml"/><Relationship Id="rId9" Type="http://schemas.openxmlformats.org/officeDocument/2006/relationships/image" Target="media/image3.tiff"/><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5266</Words>
  <Characters>30021</Characters>
  <Application>Microsoft Office Word</Application>
  <DocSecurity>0</DocSecurity>
  <Lines>250</Lines>
  <Paragraphs>70</Paragraphs>
  <ScaleCrop>false</ScaleCrop>
  <LinksUpToDate>false</LinksUpToDate>
  <CharactersWithSpaces>35217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2019-04-04T09:11:00Z</dcterms:created>
  <dcterms:modified xsi:type="dcterms:W3CDTF">2019-04-05T05:27:00Z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y fmtid="{D5CDD505-2E9C-101B-9397-08002B2CF9AE}" pid="3" name="KSORubyTemplateID">
    <vt:lpwstr>6</vt:lpwstr>
  </property>
  <property fmtid="{D5CDD505-2E9C-101B-9397-08002B2CF9AE}" pid="4" name="Proofread by">
    <vt:lpwstr>makeru27@yahoo.com</vt:lpwstr>
  </property>
  <property fmtid="{D5CDD505-2E9C-101B-9397-08002B2CF9AE}" pid="5" name="Proofread date">
    <vt:filetime>2018-05-04T16:00:00Z</vt:filetime>
  </property>
</Properties>
</file>