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63F4" w14:textId="77777777" w:rsidR="002E78B5" w:rsidRPr="006C577E" w:rsidRDefault="002E78B5" w:rsidP="006C577E">
      <w:pPr>
        <w:adjustRightInd w:val="0"/>
        <w:snapToGrid w:val="0"/>
        <w:spacing w:line="360" w:lineRule="auto"/>
        <w:jc w:val="both"/>
        <w:rPr>
          <w:rFonts w:ascii="Book Antiqua" w:hAnsi="Book Antiqua"/>
          <w:b/>
          <w:color w:val="0000FF"/>
        </w:rPr>
      </w:pPr>
      <w:r w:rsidRPr="006C577E">
        <w:rPr>
          <w:rFonts w:ascii="Book Antiqua" w:hAnsi="Book Antiqua" w:cs="SimSun"/>
          <w:b/>
          <w:color w:val="000000"/>
        </w:rPr>
        <w:t xml:space="preserve">Name of Journal: </w:t>
      </w:r>
      <w:r w:rsidRPr="006C577E">
        <w:rPr>
          <w:rFonts w:ascii="Book Antiqua" w:hAnsi="Book Antiqua" w:cs="SimSun"/>
          <w:b/>
          <w:i/>
          <w:color w:val="000000"/>
        </w:rPr>
        <w:t>World Journal of Gastroenterology</w:t>
      </w:r>
    </w:p>
    <w:p w14:paraId="136F45D6" w14:textId="3584F1F5" w:rsidR="002E78B5" w:rsidRPr="006C577E" w:rsidRDefault="002E78B5" w:rsidP="006C577E">
      <w:pPr>
        <w:snapToGrid w:val="0"/>
        <w:spacing w:line="360" w:lineRule="auto"/>
        <w:jc w:val="both"/>
        <w:rPr>
          <w:rFonts w:ascii="Book Antiqua" w:hAnsi="Book Antiqua" w:cs="SimSun"/>
          <w:b/>
          <w:i/>
          <w:color w:val="000000"/>
          <w:lang w:eastAsia="zh-CN"/>
        </w:rPr>
      </w:pPr>
      <w:r w:rsidRPr="006C577E">
        <w:rPr>
          <w:rFonts w:ascii="Book Antiqua" w:hAnsi="Book Antiqua" w:cs="Arial"/>
          <w:b/>
          <w:color w:val="000000"/>
          <w:lang w:val="en"/>
        </w:rPr>
        <w:t xml:space="preserve">Manuscript NO: </w:t>
      </w:r>
      <w:r w:rsidRPr="006C577E">
        <w:rPr>
          <w:rFonts w:ascii="Book Antiqua" w:hAnsi="Book Antiqua" w:cs="Arial"/>
          <w:b/>
          <w:color w:val="000000"/>
          <w:lang w:val="en" w:eastAsia="zh-CN"/>
        </w:rPr>
        <w:t>45823</w:t>
      </w:r>
    </w:p>
    <w:p w14:paraId="2ED6CD14" w14:textId="49D3C083" w:rsidR="002E78B5" w:rsidRPr="006C577E" w:rsidRDefault="002E78B5" w:rsidP="006C577E">
      <w:pPr>
        <w:snapToGrid w:val="0"/>
        <w:spacing w:line="360" w:lineRule="auto"/>
        <w:jc w:val="both"/>
        <w:rPr>
          <w:rFonts w:ascii="Book Antiqua" w:eastAsia="YouYuan" w:hAnsi="Book Antiqua"/>
          <w:b/>
          <w:i/>
          <w:color w:val="000000"/>
          <w:lang w:eastAsia="zh-CN"/>
        </w:rPr>
      </w:pPr>
      <w:bookmarkStart w:id="0" w:name="OLE_LINK4"/>
      <w:r w:rsidRPr="006C577E">
        <w:rPr>
          <w:rFonts w:ascii="Book Antiqua" w:hAnsi="Book Antiqua"/>
          <w:b/>
          <w:color w:val="000000"/>
          <w:shd w:val="clear" w:color="auto" w:fill="FFFFFF"/>
        </w:rPr>
        <w:t>Manuscript Type</w:t>
      </w:r>
      <w:bookmarkEnd w:id="0"/>
      <w:r w:rsidRPr="006C577E">
        <w:rPr>
          <w:rFonts w:ascii="Book Antiqua" w:hAnsi="Book Antiqua"/>
          <w:b/>
          <w:color w:val="000000"/>
        </w:rPr>
        <w:t xml:space="preserve">: </w:t>
      </w:r>
      <w:r w:rsidRPr="006C577E">
        <w:rPr>
          <w:rFonts w:ascii="Book Antiqua" w:hAnsi="Book Antiqua"/>
          <w:b/>
          <w:color w:val="000000"/>
          <w:lang w:eastAsia="zh-CN"/>
        </w:rPr>
        <w:t>ORIGINAL ARTICLE</w:t>
      </w:r>
    </w:p>
    <w:p w14:paraId="215A840B" w14:textId="77777777" w:rsidR="002E78B5" w:rsidRPr="002E78B5" w:rsidRDefault="002E78B5" w:rsidP="006C577E">
      <w:pPr>
        <w:snapToGrid w:val="0"/>
        <w:spacing w:line="360" w:lineRule="auto"/>
        <w:jc w:val="both"/>
        <w:rPr>
          <w:rFonts w:ascii="Book Antiqua" w:eastAsiaTheme="minorEastAsia" w:hAnsi="Book Antiqua" w:cs="Arial"/>
          <w:b/>
          <w:lang w:eastAsia="zh-CN"/>
        </w:rPr>
      </w:pPr>
    </w:p>
    <w:p w14:paraId="664ECCA4" w14:textId="5ABD28FD" w:rsidR="00CE782F" w:rsidRPr="002E78B5" w:rsidRDefault="002E78B5" w:rsidP="006C577E">
      <w:pPr>
        <w:snapToGrid w:val="0"/>
        <w:spacing w:line="360" w:lineRule="auto"/>
        <w:jc w:val="both"/>
        <w:rPr>
          <w:rFonts w:ascii="Book Antiqua" w:hAnsi="Book Antiqua" w:cs="Arial"/>
          <w:b/>
          <w:i/>
        </w:rPr>
      </w:pPr>
      <w:r w:rsidRPr="002E78B5">
        <w:rPr>
          <w:rFonts w:ascii="Book Antiqua" w:eastAsia="YouYuan" w:hAnsi="Book Antiqua"/>
          <w:b/>
          <w:i/>
          <w:color w:val="000000"/>
        </w:rPr>
        <w:t>Observational Study</w:t>
      </w:r>
    </w:p>
    <w:p w14:paraId="6367DFAE" w14:textId="3AE39459" w:rsidR="00CE782F" w:rsidRPr="002E78B5" w:rsidRDefault="008A27D5" w:rsidP="006C577E">
      <w:pPr>
        <w:snapToGrid w:val="0"/>
        <w:spacing w:line="360" w:lineRule="auto"/>
        <w:jc w:val="both"/>
        <w:rPr>
          <w:rFonts w:ascii="Book Antiqua" w:hAnsi="Book Antiqua" w:cs="Arial"/>
          <w:b/>
        </w:rPr>
      </w:pPr>
      <w:bookmarkStart w:id="1" w:name="OLE_LINK402"/>
      <w:bookmarkStart w:id="2" w:name="OLE_LINK403"/>
      <w:r w:rsidRPr="002E78B5">
        <w:rPr>
          <w:rFonts w:ascii="Book Antiqua" w:hAnsi="Book Antiqua" w:cs="Arial"/>
          <w:b/>
        </w:rPr>
        <w:t xml:space="preserve">Transitions of care across </w:t>
      </w:r>
      <w:r w:rsidR="00966014" w:rsidRPr="002E78B5">
        <w:rPr>
          <w:rFonts w:ascii="Book Antiqua" w:hAnsi="Book Antiqua" w:cs="Arial"/>
          <w:b/>
        </w:rPr>
        <w:t>hospital</w:t>
      </w:r>
      <w:r w:rsidRPr="002E78B5">
        <w:rPr>
          <w:rFonts w:ascii="Book Antiqua" w:hAnsi="Book Antiqua" w:cs="Arial"/>
          <w:b/>
        </w:rPr>
        <w:t xml:space="preserve"> settings in patients with inflammatory bowel disease</w:t>
      </w:r>
    </w:p>
    <w:bookmarkEnd w:id="1"/>
    <w:bookmarkEnd w:id="2"/>
    <w:p w14:paraId="686C2FD1" w14:textId="2A05B5CC" w:rsidR="00CE782F" w:rsidRPr="002E78B5" w:rsidRDefault="00CE782F" w:rsidP="006C577E">
      <w:pPr>
        <w:snapToGrid w:val="0"/>
        <w:spacing w:line="360" w:lineRule="auto"/>
        <w:jc w:val="both"/>
        <w:rPr>
          <w:rFonts w:ascii="Book Antiqua" w:hAnsi="Book Antiqua" w:cs="Arial"/>
          <w:b/>
        </w:rPr>
      </w:pPr>
    </w:p>
    <w:p w14:paraId="381C0EFA" w14:textId="42599944" w:rsidR="00CE782F" w:rsidRPr="002E78B5" w:rsidRDefault="00CE782F" w:rsidP="006C577E">
      <w:pPr>
        <w:snapToGrid w:val="0"/>
        <w:spacing w:line="360" w:lineRule="auto"/>
        <w:jc w:val="both"/>
        <w:rPr>
          <w:rFonts w:ascii="Book Antiqua" w:hAnsi="Book Antiqua" w:cs="Arial"/>
          <w:lang w:eastAsia="zh-CN"/>
        </w:rPr>
      </w:pPr>
      <w:r w:rsidRPr="002E78B5">
        <w:rPr>
          <w:rFonts w:ascii="Book Antiqua" w:hAnsi="Book Antiqua" w:cs="Arial"/>
        </w:rPr>
        <w:t xml:space="preserve">Warren LR </w:t>
      </w:r>
      <w:r w:rsidRPr="002E78B5">
        <w:rPr>
          <w:rFonts w:ascii="Book Antiqua" w:hAnsi="Book Antiqua" w:cs="Arial"/>
          <w:i/>
        </w:rPr>
        <w:t>et al</w:t>
      </w:r>
      <w:r w:rsidRPr="002E78B5">
        <w:rPr>
          <w:rFonts w:ascii="Book Antiqua" w:hAnsi="Book Antiqua" w:cs="Arial"/>
        </w:rPr>
        <w:t xml:space="preserve">. </w:t>
      </w:r>
      <w:bookmarkStart w:id="3" w:name="OLE_LINK404"/>
      <w:bookmarkStart w:id="4" w:name="OLE_LINK405"/>
      <w:r w:rsidRPr="002E78B5">
        <w:rPr>
          <w:rFonts w:ascii="Book Antiqua" w:hAnsi="Book Antiqua" w:cs="Arial"/>
        </w:rPr>
        <w:t xml:space="preserve">Transitions of care in </w:t>
      </w:r>
      <w:r w:rsidR="002E78B5" w:rsidRPr="002E78B5">
        <w:rPr>
          <w:rFonts w:ascii="Book Antiqua" w:hAnsi="Book Antiqua" w:cs="Arial"/>
          <w:lang w:eastAsia="zh-CN"/>
        </w:rPr>
        <w:t>IBD</w:t>
      </w:r>
      <w:bookmarkEnd w:id="3"/>
      <w:bookmarkEnd w:id="4"/>
    </w:p>
    <w:p w14:paraId="706E550D" w14:textId="139C08B6" w:rsidR="008A27D5" w:rsidRPr="002E78B5" w:rsidRDefault="008A27D5" w:rsidP="006C577E">
      <w:pPr>
        <w:snapToGrid w:val="0"/>
        <w:spacing w:line="360" w:lineRule="auto"/>
        <w:jc w:val="both"/>
        <w:rPr>
          <w:rFonts w:ascii="Book Antiqua" w:hAnsi="Book Antiqua" w:cs="Arial"/>
        </w:rPr>
      </w:pPr>
    </w:p>
    <w:p w14:paraId="6406D96D" w14:textId="11069E72" w:rsidR="00CE782F" w:rsidRPr="002E78B5" w:rsidRDefault="00CE782F" w:rsidP="006C577E">
      <w:pPr>
        <w:snapToGrid w:val="0"/>
        <w:spacing w:line="360" w:lineRule="auto"/>
        <w:jc w:val="both"/>
        <w:rPr>
          <w:rFonts w:ascii="Book Antiqua" w:hAnsi="Book Antiqua" w:cs="Arial"/>
        </w:rPr>
      </w:pPr>
      <w:r w:rsidRPr="002E78B5">
        <w:rPr>
          <w:rFonts w:ascii="Book Antiqua" w:hAnsi="Book Antiqua" w:cs="Arial"/>
        </w:rPr>
        <w:t xml:space="preserve">Leigh R Warren, Jonathan M Clarke, </w:t>
      </w:r>
      <w:proofErr w:type="spellStart"/>
      <w:r w:rsidRPr="002E78B5">
        <w:rPr>
          <w:rFonts w:ascii="Book Antiqua" w:hAnsi="Book Antiqua" w:cs="Arial"/>
        </w:rPr>
        <w:t>Sonal</w:t>
      </w:r>
      <w:proofErr w:type="spellEnd"/>
      <w:r w:rsidRPr="002E78B5">
        <w:rPr>
          <w:rFonts w:ascii="Book Antiqua" w:hAnsi="Book Antiqua" w:cs="Arial"/>
        </w:rPr>
        <w:t xml:space="preserve"> Arora, Mauricio Barahona, </w:t>
      </w:r>
      <w:proofErr w:type="spellStart"/>
      <w:r w:rsidRPr="002E78B5">
        <w:rPr>
          <w:rFonts w:ascii="Book Antiqua" w:hAnsi="Book Antiqua" w:cs="Arial"/>
        </w:rPr>
        <w:t>Naila</w:t>
      </w:r>
      <w:proofErr w:type="spellEnd"/>
      <w:r w:rsidRPr="002E78B5">
        <w:rPr>
          <w:rFonts w:ascii="Book Antiqua" w:hAnsi="Book Antiqua" w:cs="Arial"/>
        </w:rPr>
        <w:t xml:space="preserve"> </w:t>
      </w:r>
      <w:proofErr w:type="spellStart"/>
      <w:r w:rsidRPr="002E78B5">
        <w:rPr>
          <w:rFonts w:ascii="Book Antiqua" w:hAnsi="Book Antiqua" w:cs="Arial"/>
        </w:rPr>
        <w:t>Arebi</w:t>
      </w:r>
      <w:proofErr w:type="spellEnd"/>
      <w:r w:rsidRPr="002E78B5">
        <w:rPr>
          <w:rFonts w:ascii="Book Antiqua" w:hAnsi="Book Antiqua" w:cs="Arial"/>
        </w:rPr>
        <w:t>, Ara Darzi</w:t>
      </w:r>
    </w:p>
    <w:p w14:paraId="279B8076" w14:textId="45F927B2" w:rsidR="00CE782F" w:rsidRPr="002E78B5" w:rsidRDefault="00CE782F" w:rsidP="006C577E">
      <w:pPr>
        <w:snapToGrid w:val="0"/>
        <w:spacing w:line="360" w:lineRule="auto"/>
        <w:jc w:val="both"/>
        <w:rPr>
          <w:rFonts w:ascii="Book Antiqua" w:eastAsiaTheme="minorEastAsia" w:hAnsi="Book Antiqua" w:cs="Arial"/>
          <w:lang w:eastAsia="zh-CN"/>
        </w:rPr>
      </w:pPr>
    </w:p>
    <w:p w14:paraId="2BC10DD5" w14:textId="2A896F45" w:rsidR="002E78B5" w:rsidRPr="002E78B5" w:rsidRDefault="002E78B5" w:rsidP="006C577E">
      <w:pPr>
        <w:snapToGrid w:val="0"/>
        <w:spacing w:line="360" w:lineRule="auto"/>
        <w:jc w:val="both"/>
        <w:rPr>
          <w:rFonts w:ascii="Book Antiqua" w:eastAsiaTheme="minorEastAsia" w:hAnsi="Book Antiqua" w:cs="Arial"/>
          <w:lang w:eastAsia="zh-CN"/>
        </w:rPr>
      </w:pPr>
      <w:r w:rsidRPr="002E78B5">
        <w:rPr>
          <w:rFonts w:ascii="Book Antiqua" w:hAnsi="Book Antiqua" w:cs="Arial"/>
          <w:b/>
        </w:rPr>
        <w:t xml:space="preserve">Leigh R Warren, </w:t>
      </w:r>
      <w:proofErr w:type="spellStart"/>
      <w:r w:rsidRPr="002E78B5">
        <w:rPr>
          <w:rFonts w:ascii="Book Antiqua" w:hAnsi="Book Antiqua" w:cs="Arial"/>
          <w:b/>
        </w:rPr>
        <w:t>Sonal</w:t>
      </w:r>
      <w:proofErr w:type="spellEnd"/>
      <w:r w:rsidRPr="002E78B5">
        <w:rPr>
          <w:rFonts w:ascii="Book Antiqua" w:hAnsi="Book Antiqua" w:cs="Arial"/>
          <w:b/>
        </w:rPr>
        <w:t xml:space="preserve"> Arora, Ara Darzi, </w:t>
      </w:r>
      <w:r w:rsidRPr="002E78B5">
        <w:rPr>
          <w:rFonts w:ascii="Book Antiqua" w:hAnsi="Book Antiqua" w:cs="Arial"/>
        </w:rPr>
        <w:t>Patient Safety Translational Research Centre, Imperial College London</w:t>
      </w:r>
      <w:r w:rsidRPr="002E78B5">
        <w:rPr>
          <w:rFonts w:ascii="Book Antiqua" w:hAnsi="Book Antiqua" w:cs="Arial"/>
          <w:lang w:eastAsia="zh-CN"/>
        </w:rPr>
        <w:t xml:space="preserve">, </w:t>
      </w:r>
      <w:r>
        <w:rPr>
          <w:rFonts w:ascii="Book Antiqua" w:hAnsi="Book Antiqua" w:cs="Arial"/>
          <w:lang w:eastAsia="zh-CN"/>
        </w:rPr>
        <w:t>London</w:t>
      </w:r>
      <w:r w:rsidRPr="002E78B5">
        <w:rPr>
          <w:rFonts w:ascii="Book Antiqua" w:hAnsi="Book Antiqua" w:cs="Arial"/>
          <w:lang w:eastAsia="zh-CN"/>
        </w:rPr>
        <w:t xml:space="preserve"> W2 1NY, United Kingdom</w:t>
      </w:r>
    </w:p>
    <w:p w14:paraId="283C747B" w14:textId="77777777" w:rsidR="002E78B5" w:rsidRPr="002E78B5" w:rsidRDefault="002E78B5" w:rsidP="006C577E">
      <w:pPr>
        <w:snapToGrid w:val="0"/>
        <w:spacing w:line="360" w:lineRule="auto"/>
        <w:jc w:val="both"/>
        <w:rPr>
          <w:rFonts w:ascii="Book Antiqua" w:hAnsi="Book Antiqua" w:cs="Arial"/>
        </w:rPr>
      </w:pPr>
    </w:p>
    <w:p w14:paraId="324D4CD4" w14:textId="1374E9A6" w:rsidR="002E78B5" w:rsidRPr="002E78B5" w:rsidRDefault="002E78B5" w:rsidP="006C577E">
      <w:pPr>
        <w:snapToGrid w:val="0"/>
        <w:spacing w:line="360" w:lineRule="auto"/>
        <w:jc w:val="both"/>
        <w:rPr>
          <w:rFonts w:ascii="Book Antiqua" w:hAnsi="Book Antiqua" w:cs="Arial"/>
        </w:rPr>
      </w:pPr>
      <w:r w:rsidRPr="002E78B5">
        <w:rPr>
          <w:rFonts w:ascii="Book Antiqua" w:hAnsi="Book Antiqua" w:cs="Arial"/>
          <w:b/>
        </w:rPr>
        <w:t xml:space="preserve">Jonathan M Clarke, Mauricio Barahona, </w:t>
      </w:r>
      <w:r w:rsidRPr="002E78B5">
        <w:rPr>
          <w:rFonts w:ascii="Book Antiqua" w:hAnsi="Book Antiqua" w:cs="Arial"/>
        </w:rPr>
        <w:t>Centre for Health Policy, Imperial College London Centre for Math</w:t>
      </w:r>
      <w:r>
        <w:rPr>
          <w:rFonts w:ascii="Book Antiqua" w:hAnsi="Book Antiqua" w:cs="Arial"/>
        </w:rPr>
        <w:t>ematics of Precision Healthcare</w:t>
      </w:r>
      <w:r>
        <w:rPr>
          <w:rFonts w:ascii="Book Antiqua" w:hAnsi="Book Antiqua" w:cs="Arial" w:hint="eastAsia"/>
          <w:lang w:eastAsia="zh-CN"/>
        </w:rPr>
        <w:t>,</w:t>
      </w:r>
      <w:r w:rsidRPr="002E78B5">
        <w:rPr>
          <w:rFonts w:ascii="Book Antiqua" w:hAnsi="Book Antiqua" w:cs="Arial"/>
        </w:rPr>
        <w:t xml:space="preserve"> Imperial College London, London SW7 2BX, United Kingdom</w:t>
      </w:r>
    </w:p>
    <w:p w14:paraId="5A89390E" w14:textId="77777777" w:rsidR="002E78B5" w:rsidRPr="002E78B5" w:rsidRDefault="002E78B5" w:rsidP="006C577E">
      <w:pPr>
        <w:snapToGrid w:val="0"/>
        <w:spacing w:line="360" w:lineRule="auto"/>
        <w:jc w:val="both"/>
        <w:rPr>
          <w:rFonts w:ascii="Book Antiqua" w:hAnsi="Book Antiqua" w:cs="Arial"/>
        </w:rPr>
      </w:pPr>
    </w:p>
    <w:p w14:paraId="5D5EB855" w14:textId="7931054D" w:rsidR="002E78B5" w:rsidRPr="002E78B5" w:rsidRDefault="002E78B5" w:rsidP="006C577E">
      <w:pPr>
        <w:snapToGrid w:val="0"/>
        <w:spacing w:line="360" w:lineRule="auto"/>
        <w:jc w:val="both"/>
        <w:rPr>
          <w:rFonts w:ascii="Book Antiqua" w:hAnsi="Book Antiqua" w:cs="Arial"/>
        </w:rPr>
      </w:pPr>
      <w:r w:rsidRPr="002E78B5">
        <w:rPr>
          <w:rFonts w:ascii="Book Antiqua" w:hAnsi="Book Antiqua" w:cs="Arial"/>
          <w:b/>
        </w:rPr>
        <w:t>Jonathan M Clarke</w:t>
      </w:r>
      <w:r w:rsidRPr="002E78B5">
        <w:rPr>
          <w:rFonts w:ascii="Book Antiqua" w:hAnsi="Book Antiqua" w:cs="Arial"/>
        </w:rPr>
        <w:t>, Department of Biostatistics, Harvard University, Boston</w:t>
      </w:r>
      <w:r>
        <w:rPr>
          <w:rFonts w:ascii="Book Antiqua" w:hAnsi="Book Antiqua" w:cs="Arial" w:hint="eastAsia"/>
          <w:lang w:eastAsia="zh-CN"/>
        </w:rPr>
        <w:t>,</w:t>
      </w:r>
      <w:r w:rsidRPr="002E78B5">
        <w:rPr>
          <w:rFonts w:ascii="Book Antiqua" w:hAnsi="Book Antiqua" w:cs="Arial"/>
        </w:rPr>
        <w:t xml:space="preserve"> MA 02115, United States</w:t>
      </w:r>
    </w:p>
    <w:p w14:paraId="15D28473" w14:textId="77777777" w:rsidR="002E78B5" w:rsidRPr="002E78B5" w:rsidRDefault="002E78B5" w:rsidP="006C577E">
      <w:pPr>
        <w:snapToGrid w:val="0"/>
        <w:spacing w:line="360" w:lineRule="auto"/>
        <w:jc w:val="both"/>
        <w:rPr>
          <w:rFonts w:ascii="Book Antiqua" w:hAnsi="Book Antiqua" w:cs="Arial"/>
        </w:rPr>
      </w:pPr>
    </w:p>
    <w:p w14:paraId="482FF503" w14:textId="0237D549" w:rsidR="002E78B5" w:rsidRPr="002E78B5" w:rsidRDefault="002E78B5" w:rsidP="006C577E">
      <w:pPr>
        <w:snapToGrid w:val="0"/>
        <w:spacing w:line="360" w:lineRule="auto"/>
        <w:jc w:val="both"/>
        <w:rPr>
          <w:rFonts w:ascii="Book Antiqua" w:hAnsi="Book Antiqua" w:cs="Arial"/>
        </w:rPr>
      </w:pPr>
      <w:proofErr w:type="spellStart"/>
      <w:r w:rsidRPr="002E78B5">
        <w:rPr>
          <w:rFonts w:ascii="Book Antiqua" w:hAnsi="Book Antiqua" w:cs="Arial"/>
          <w:b/>
        </w:rPr>
        <w:t>Naila</w:t>
      </w:r>
      <w:proofErr w:type="spellEnd"/>
      <w:r w:rsidRPr="002E78B5">
        <w:rPr>
          <w:rFonts w:ascii="Book Antiqua" w:hAnsi="Book Antiqua" w:cs="Arial"/>
          <w:b/>
        </w:rPr>
        <w:t xml:space="preserve"> </w:t>
      </w:r>
      <w:proofErr w:type="spellStart"/>
      <w:r w:rsidRPr="002E78B5">
        <w:rPr>
          <w:rFonts w:ascii="Book Antiqua" w:hAnsi="Book Antiqua" w:cs="Arial"/>
          <w:b/>
        </w:rPr>
        <w:t>Arebi</w:t>
      </w:r>
      <w:proofErr w:type="spellEnd"/>
      <w:r w:rsidRPr="002E78B5">
        <w:rPr>
          <w:rFonts w:ascii="Book Antiqua" w:hAnsi="Book Antiqua" w:cs="Arial"/>
          <w:b/>
        </w:rPr>
        <w:t xml:space="preserve">, </w:t>
      </w:r>
      <w:r w:rsidRPr="002E78B5">
        <w:rPr>
          <w:rFonts w:ascii="Book Antiqua" w:hAnsi="Book Antiqua" w:cs="Arial"/>
        </w:rPr>
        <w:t>Department of Gastroenterology</w:t>
      </w:r>
      <w:r w:rsidRPr="002E78B5">
        <w:rPr>
          <w:rFonts w:ascii="Book Antiqua" w:hAnsi="Book Antiqua" w:cs="Arial" w:hint="eastAsia"/>
          <w:lang w:eastAsia="zh-CN"/>
        </w:rPr>
        <w:t>,</w:t>
      </w:r>
      <w:r>
        <w:rPr>
          <w:rFonts w:ascii="Book Antiqua" w:hAnsi="Book Antiqua" w:cs="Arial" w:hint="eastAsia"/>
          <w:b/>
          <w:lang w:eastAsia="zh-CN"/>
        </w:rPr>
        <w:t xml:space="preserve"> </w:t>
      </w:r>
      <w:r w:rsidRPr="002E78B5">
        <w:rPr>
          <w:rFonts w:ascii="Book Antiqua" w:hAnsi="Book Antiqua" w:cs="Arial"/>
          <w:lang w:eastAsia="zh-CN"/>
        </w:rPr>
        <w:t>St. Marks Academic Institute</w:t>
      </w:r>
      <w:r w:rsidRPr="002E78B5">
        <w:rPr>
          <w:rFonts w:ascii="Book Antiqua" w:hAnsi="Book Antiqua" w:cs="Arial"/>
        </w:rPr>
        <w:t xml:space="preserve">, </w:t>
      </w:r>
      <w:r>
        <w:rPr>
          <w:rFonts w:ascii="Book Antiqua" w:hAnsi="Book Antiqua" w:cs="Arial"/>
        </w:rPr>
        <w:t>Harrow HA1 3UJ, United Kingdom</w:t>
      </w:r>
      <w:r w:rsidRPr="002E78B5">
        <w:rPr>
          <w:rFonts w:ascii="Book Antiqua" w:hAnsi="Book Antiqua" w:cs="Arial"/>
        </w:rPr>
        <w:t xml:space="preserve"> </w:t>
      </w:r>
    </w:p>
    <w:p w14:paraId="72D747A2" w14:textId="77777777" w:rsidR="002E78B5" w:rsidRPr="002E78B5" w:rsidRDefault="002E78B5" w:rsidP="006C577E">
      <w:pPr>
        <w:snapToGrid w:val="0"/>
        <w:spacing w:line="360" w:lineRule="auto"/>
        <w:jc w:val="both"/>
        <w:rPr>
          <w:rFonts w:ascii="Book Antiqua" w:hAnsi="Book Antiqua" w:cs="Arial"/>
        </w:rPr>
      </w:pPr>
    </w:p>
    <w:p w14:paraId="47E3FFFF" w14:textId="0226068A" w:rsidR="002E78B5" w:rsidRPr="002E78B5" w:rsidRDefault="002E78B5" w:rsidP="006C577E">
      <w:pPr>
        <w:snapToGrid w:val="0"/>
        <w:spacing w:line="360" w:lineRule="auto"/>
        <w:jc w:val="both"/>
        <w:rPr>
          <w:rFonts w:ascii="Book Antiqua" w:hAnsi="Book Antiqua"/>
        </w:rPr>
      </w:pPr>
      <w:r w:rsidRPr="002E78B5">
        <w:rPr>
          <w:rFonts w:ascii="Book Antiqua" w:hAnsi="Book Antiqua" w:cs="Arial"/>
          <w:b/>
        </w:rPr>
        <w:t xml:space="preserve">Leigh R Warren, Jonathan M Clarke, </w:t>
      </w:r>
      <w:proofErr w:type="spellStart"/>
      <w:r w:rsidRPr="002E78B5">
        <w:rPr>
          <w:rFonts w:ascii="Book Antiqua" w:hAnsi="Book Antiqua" w:cs="Arial"/>
          <w:b/>
        </w:rPr>
        <w:t>Sonal</w:t>
      </w:r>
      <w:proofErr w:type="spellEnd"/>
      <w:r w:rsidRPr="002E78B5">
        <w:rPr>
          <w:rFonts w:ascii="Book Antiqua" w:hAnsi="Book Antiqua" w:cs="Arial"/>
          <w:b/>
        </w:rPr>
        <w:t xml:space="preserve"> Arora, Ara Darzi, </w:t>
      </w:r>
      <w:r w:rsidRPr="002E78B5">
        <w:rPr>
          <w:rFonts w:ascii="Book Antiqua" w:hAnsi="Book Antiqua" w:cs="Arial"/>
        </w:rPr>
        <w:t xml:space="preserve">Department of Surgery and </w:t>
      </w:r>
      <w:r>
        <w:rPr>
          <w:rFonts w:ascii="Book Antiqua" w:hAnsi="Book Antiqua" w:cs="Arial"/>
        </w:rPr>
        <w:t>Cancer, Imperial College London</w:t>
      </w:r>
      <w:r>
        <w:rPr>
          <w:rFonts w:ascii="Book Antiqua" w:hAnsi="Book Antiqua" w:cs="Arial" w:hint="eastAsia"/>
          <w:lang w:eastAsia="zh-CN"/>
        </w:rPr>
        <w:t>,</w:t>
      </w:r>
      <w:r w:rsidRPr="002E78B5">
        <w:rPr>
          <w:rFonts w:ascii="Book Antiqua" w:hAnsi="Book Antiqua"/>
        </w:rPr>
        <w:t xml:space="preserve"> London W2 1NY, United Kingdom</w:t>
      </w:r>
    </w:p>
    <w:p w14:paraId="454FD1E4" w14:textId="77777777" w:rsidR="002E78B5" w:rsidRPr="002E78B5" w:rsidRDefault="002E78B5" w:rsidP="006C577E">
      <w:pPr>
        <w:snapToGrid w:val="0"/>
        <w:spacing w:line="360" w:lineRule="auto"/>
        <w:jc w:val="both"/>
        <w:rPr>
          <w:rFonts w:ascii="Book Antiqua" w:eastAsiaTheme="minorEastAsia" w:hAnsi="Book Antiqua" w:cs="Arial"/>
          <w:lang w:eastAsia="zh-CN"/>
        </w:rPr>
      </w:pPr>
    </w:p>
    <w:p w14:paraId="0274BEEB" w14:textId="2B25D4B4" w:rsidR="00CE782F" w:rsidRPr="002E78B5" w:rsidRDefault="002E78B5" w:rsidP="006C577E">
      <w:pPr>
        <w:snapToGrid w:val="0"/>
        <w:spacing w:line="360" w:lineRule="auto"/>
        <w:jc w:val="both"/>
        <w:rPr>
          <w:rFonts w:ascii="Book Antiqua" w:hAnsi="Book Antiqua"/>
          <w:lang w:eastAsia="zh-CN"/>
        </w:rPr>
      </w:pPr>
      <w:r w:rsidRPr="00CE75A1">
        <w:rPr>
          <w:rFonts w:ascii="Book Antiqua" w:hAnsi="Book Antiqua"/>
          <w:b/>
          <w:bCs/>
          <w:color w:val="000000"/>
          <w:shd w:val="clear" w:color="auto" w:fill="FFFFFF"/>
        </w:rPr>
        <w:lastRenderedPageBreak/>
        <w:t>ORCID number</w:t>
      </w:r>
      <w:r w:rsidRPr="00CE75A1">
        <w:rPr>
          <w:rFonts w:ascii="Book Antiqua" w:hAnsi="Book Antiqua"/>
          <w:b/>
          <w:color w:val="000000"/>
          <w:lang w:val="en-GB"/>
        </w:rPr>
        <w:t>:</w:t>
      </w:r>
      <w:r w:rsidR="00CE782F" w:rsidRPr="002E78B5">
        <w:rPr>
          <w:rFonts w:ascii="Book Antiqua" w:hAnsi="Book Antiqua"/>
        </w:rPr>
        <w:t xml:space="preserve"> Leigh </w:t>
      </w:r>
      <w:r>
        <w:rPr>
          <w:rFonts w:ascii="Book Antiqua" w:hAnsi="Book Antiqua" w:hint="eastAsia"/>
          <w:lang w:eastAsia="zh-CN"/>
        </w:rPr>
        <w:t xml:space="preserve">R </w:t>
      </w:r>
      <w:r w:rsidR="00CE782F" w:rsidRPr="002E78B5">
        <w:rPr>
          <w:rFonts w:ascii="Book Antiqua" w:hAnsi="Book Antiqua"/>
        </w:rPr>
        <w:t>Warren (</w:t>
      </w:r>
      <w:r w:rsidR="00CE782F" w:rsidRPr="002E78B5">
        <w:rPr>
          <w:rFonts w:ascii="Book Antiqua" w:hAnsi="Book Antiqua"/>
          <w:color w:val="494A4C"/>
          <w:shd w:val="clear" w:color="auto" w:fill="FFFFFF"/>
        </w:rPr>
        <w:t>0000-0002-6493-430X</w:t>
      </w:r>
      <w:r w:rsidR="00CE782F" w:rsidRPr="002E78B5">
        <w:rPr>
          <w:rFonts w:ascii="Book Antiqua" w:hAnsi="Book Antiqua"/>
        </w:rPr>
        <w:t>)</w:t>
      </w:r>
      <w:r w:rsidR="001A650C" w:rsidRPr="002E78B5">
        <w:rPr>
          <w:rFonts w:ascii="Book Antiqua" w:hAnsi="Book Antiqua"/>
        </w:rPr>
        <w:t xml:space="preserve">; Jonathan </w:t>
      </w:r>
      <w:r>
        <w:rPr>
          <w:rFonts w:ascii="Book Antiqua" w:hAnsi="Book Antiqua" w:hint="eastAsia"/>
          <w:lang w:eastAsia="zh-CN"/>
        </w:rPr>
        <w:t xml:space="preserve">M </w:t>
      </w:r>
      <w:r w:rsidR="001A650C" w:rsidRPr="002E78B5">
        <w:rPr>
          <w:rFonts w:ascii="Book Antiqua" w:hAnsi="Book Antiqua"/>
        </w:rPr>
        <w:t>Clarke (</w:t>
      </w:r>
      <w:r w:rsidR="001A650C" w:rsidRPr="002E78B5">
        <w:rPr>
          <w:rFonts w:ascii="Book Antiqua" w:hAnsi="Book Antiqua" w:cs="Tahoma"/>
          <w:color w:val="212121"/>
          <w:shd w:val="clear" w:color="auto" w:fill="FFFFFF"/>
        </w:rPr>
        <w:t xml:space="preserve">0000-0003-1495-7746); </w:t>
      </w:r>
      <w:proofErr w:type="spellStart"/>
      <w:r w:rsidR="001A650C" w:rsidRPr="002E78B5">
        <w:rPr>
          <w:rFonts w:ascii="Book Antiqua" w:hAnsi="Book Antiqua" w:cs="Tahoma"/>
          <w:color w:val="212121"/>
          <w:shd w:val="clear" w:color="auto" w:fill="FFFFFF"/>
        </w:rPr>
        <w:t>Sonal</w:t>
      </w:r>
      <w:proofErr w:type="spellEnd"/>
      <w:r w:rsidR="001A650C" w:rsidRPr="002E78B5">
        <w:rPr>
          <w:rFonts w:ascii="Book Antiqua" w:hAnsi="Book Antiqua" w:cs="Tahoma"/>
          <w:color w:val="212121"/>
          <w:shd w:val="clear" w:color="auto" w:fill="FFFFFF"/>
        </w:rPr>
        <w:t xml:space="preserve"> Arora (</w:t>
      </w:r>
      <w:r w:rsidR="00FC4327" w:rsidRPr="002E78B5">
        <w:rPr>
          <w:rFonts w:ascii="Book Antiqua" w:hAnsi="Book Antiqua" w:cs="Tahoma"/>
          <w:color w:val="212121"/>
          <w:shd w:val="clear" w:color="auto" w:fill="FFFFFF"/>
        </w:rPr>
        <w:t>0000-0002-8345-9049); Mauricio Barahona (0000-0002-1089-5675</w:t>
      </w:r>
      <w:r w:rsidR="00FC4327" w:rsidRPr="002E78B5">
        <w:rPr>
          <w:rFonts w:ascii="Book Antiqua" w:hAnsi="Book Antiqua"/>
        </w:rPr>
        <w:t xml:space="preserve">); </w:t>
      </w:r>
      <w:proofErr w:type="spellStart"/>
      <w:r w:rsidR="00FC4327" w:rsidRPr="002E78B5">
        <w:rPr>
          <w:rFonts w:ascii="Book Antiqua" w:hAnsi="Book Antiqua"/>
        </w:rPr>
        <w:t>Naila</w:t>
      </w:r>
      <w:proofErr w:type="spellEnd"/>
      <w:r w:rsidR="00FC4327" w:rsidRPr="002E78B5">
        <w:rPr>
          <w:rFonts w:ascii="Book Antiqua" w:hAnsi="Book Antiqua"/>
        </w:rPr>
        <w:t xml:space="preserve"> </w:t>
      </w:r>
      <w:proofErr w:type="spellStart"/>
      <w:r w:rsidR="00FC4327" w:rsidRPr="002E78B5">
        <w:rPr>
          <w:rFonts w:ascii="Book Antiqua" w:hAnsi="Book Antiqua"/>
        </w:rPr>
        <w:t>Arebi</w:t>
      </w:r>
      <w:proofErr w:type="spellEnd"/>
      <w:r w:rsidR="00FC4327" w:rsidRPr="002E78B5">
        <w:rPr>
          <w:rFonts w:ascii="Book Antiqua" w:hAnsi="Book Antiqua"/>
        </w:rPr>
        <w:t xml:space="preserve"> (</w:t>
      </w:r>
      <w:r w:rsidR="00FC4327" w:rsidRPr="002E78B5">
        <w:rPr>
          <w:rFonts w:ascii="Book Antiqua" w:hAnsi="Book Antiqua" w:cs="Tahoma"/>
          <w:color w:val="212121"/>
          <w:shd w:val="clear" w:color="auto" w:fill="FFFFFF"/>
        </w:rPr>
        <w:t>0000-0001-6976-1690</w:t>
      </w:r>
      <w:r w:rsidR="00FC4327" w:rsidRPr="002E78B5">
        <w:rPr>
          <w:rFonts w:ascii="Book Antiqua" w:hAnsi="Book Antiqua"/>
        </w:rPr>
        <w:t>); Ara Darzi (</w:t>
      </w:r>
      <w:r w:rsidR="00FC4327" w:rsidRPr="002E78B5">
        <w:rPr>
          <w:rFonts w:ascii="Book Antiqua" w:hAnsi="Book Antiqua" w:cs="Tahoma"/>
          <w:color w:val="212121"/>
          <w:shd w:val="clear" w:color="auto" w:fill="FFFFFF"/>
        </w:rPr>
        <w:t>0000-0001-7815-7989</w:t>
      </w:r>
      <w:r w:rsidR="00FC4327" w:rsidRPr="002E78B5">
        <w:rPr>
          <w:rFonts w:ascii="Book Antiqua" w:hAnsi="Book Antiqua"/>
        </w:rPr>
        <w:t>)</w:t>
      </w:r>
      <w:r>
        <w:rPr>
          <w:rFonts w:ascii="Book Antiqua" w:hAnsi="Book Antiqua" w:hint="eastAsia"/>
          <w:lang w:eastAsia="zh-CN"/>
        </w:rPr>
        <w:t>.</w:t>
      </w:r>
    </w:p>
    <w:p w14:paraId="1387C1B3" w14:textId="77777777" w:rsidR="009A3468" w:rsidRPr="002E78B5" w:rsidRDefault="009A3468" w:rsidP="006C577E">
      <w:pPr>
        <w:snapToGrid w:val="0"/>
        <w:spacing w:line="360" w:lineRule="auto"/>
        <w:jc w:val="both"/>
        <w:rPr>
          <w:rFonts w:ascii="Book Antiqua" w:eastAsiaTheme="minorEastAsia" w:hAnsi="Book Antiqua" w:cs="Arial"/>
          <w:lang w:eastAsia="zh-CN"/>
        </w:rPr>
      </w:pPr>
    </w:p>
    <w:p w14:paraId="699D068B" w14:textId="40EB384A" w:rsidR="002E78B5" w:rsidRDefault="002E78B5" w:rsidP="006C577E">
      <w:pPr>
        <w:snapToGrid w:val="0"/>
        <w:spacing w:line="360" w:lineRule="auto"/>
        <w:jc w:val="both"/>
        <w:rPr>
          <w:rFonts w:ascii="Book Antiqua" w:eastAsiaTheme="minorEastAsia" w:hAnsi="Book Antiqua" w:cs="Arial"/>
          <w:lang w:eastAsia="zh-CN"/>
        </w:rPr>
      </w:pPr>
      <w:r w:rsidRPr="00BC0909">
        <w:rPr>
          <w:rFonts w:ascii="Book Antiqua" w:hAnsi="Book Antiqua"/>
          <w:b/>
          <w:color w:val="000000"/>
        </w:rPr>
        <w:t>Author contributions:</w:t>
      </w:r>
      <w:r w:rsidR="009A3468" w:rsidRPr="002E78B5">
        <w:rPr>
          <w:rFonts w:ascii="Book Antiqua" w:hAnsi="Book Antiqua" w:cs="Arial"/>
        </w:rPr>
        <w:t xml:space="preserve"> </w:t>
      </w:r>
      <w:r w:rsidRPr="002E78B5">
        <w:rPr>
          <w:rFonts w:ascii="Book Antiqua" w:hAnsi="Book Antiqua" w:cs="Arial"/>
        </w:rPr>
        <w:t>Warren LR, Clarke JM</w:t>
      </w:r>
      <w:r>
        <w:rPr>
          <w:rFonts w:ascii="Book Antiqua" w:hAnsi="Book Antiqua" w:cs="Arial" w:hint="eastAsia"/>
          <w:lang w:eastAsia="zh-CN"/>
        </w:rPr>
        <w:t xml:space="preserve">, </w:t>
      </w:r>
      <w:r w:rsidRPr="002E78B5">
        <w:rPr>
          <w:rFonts w:ascii="Book Antiqua" w:hAnsi="Book Antiqua" w:cs="Arial"/>
        </w:rPr>
        <w:t xml:space="preserve">Arora S, </w:t>
      </w:r>
      <w:proofErr w:type="spellStart"/>
      <w:r w:rsidRPr="002E78B5">
        <w:rPr>
          <w:rFonts w:ascii="Book Antiqua" w:hAnsi="Book Antiqua" w:cs="Arial"/>
        </w:rPr>
        <w:t>Arebi</w:t>
      </w:r>
      <w:proofErr w:type="spellEnd"/>
      <w:r w:rsidRPr="002E78B5">
        <w:rPr>
          <w:rFonts w:ascii="Book Antiqua" w:hAnsi="Book Antiqua" w:cs="Arial"/>
        </w:rPr>
        <w:t xml:space="preserve"> N and Darzi A</w:t>
      </w:r>
      <w:r>
        <w:rPr>
          <w:rFonts w:ascii="Book Antiqua" w:hAnsi="Book Antiqua" w:cs="Arial" w:hint="eastAsia"/>
          <w:lang w:eastAsia="zh-CN"/>
        </w:rPr>
        <w:t xml:space="preserve"> </w:t>
      </w:r>
      <w:r w:rsidRPr="002E78B5">
        <w:rPr>
          <w:rFonts w:ascii="Book Antiqua" w:hAnsi="Book Antiqua" w:cs="Arial"/>
        </w:rPr>
        <w:t>contributed to study conception and design</w:t>
      </w:r>
      <w:r w:rsidRPr="002E78B5">
        <w:rPr>
          <w:rFonts w:ascii="Book Antiqua" w:hAnsi="Book Antiqua" w:cs="Arial" w:hint="eastAsia"/>
          <w:lang w:eastAsia="zh-CN"/>
        </w:rPr>
        <w:t xml:space="preserve">; </w:t>
      </w:r>
      <w:r w:rsidRPr="002E78B5">
        <w:rPr>
          <w:rFonts w:ascii="Book Antiqua" w:hAnsi="Book Antiqua" w:cs="Arial"/>
        </w:rPr>
        <w:t>Warren LR, Clarke JM</w:t>
      </w:r>
      <w:r w:rsidRPr="002E78B5">
        <w:rPr>
          <w:rFonts w:ascii="Book Antiqua" w:hAnsi="Book Antiqua" w:cs="Arial" w:hint="eastAsia"/>
          <w:lang w:eastAsia="zh-CN"/>
        </w:rPr>
        <w:t xml:space="preserve">, </w:t>
      </w:r>
      <w:r w:rsidRPr="002E78B5">
        <w:rPr>
          <w:rFonts w:ascii="Book Antiqua" w:hAnsi="Book Antiqua" w:cs="Arial"/>
        </w:rPr>
        <w:t>contributed to</w:t>
      </w:r>
      <w:r w:rsidRPr="002E78B5">
        <w:rPr>
          <w:rFonts w:ascii="Book Antiqua" w:hAnsi="Book Antiqua" w:cs="Arial" w:hint="eastAsia"/>
          <w:lang w:eastAsia="zh-CN"/>
        </w:rPr>
        <w:t xml:space="preserve"> </w:t>
      </w:r>
      <w:r w:rsidRPr="002E78B5">
        <w:rPr>
          <w:rFonts w:ascii="Book Antiqua" w:hAnsi="Book Antiqua" w:cs="Arial"/>
        </w:rPr>
        <w:t>data acquisition</w:t>
      </w:r>
      <w:r w:rsidRPr="002E78B5">
        <w:rPr>
          <w:rFonts w:ascii="Book Antiqua" w:hAnsi="Book Antiqua" w:cs="Arial" w:hint="eastAsia"/>
          <w:lang w:eastAsia="zh-CN"/>
        </w:rPr>
        <w:t xml:space="preserve"> and </w:t>
      </w:r>
      <w:r w:rsidRPr="002E78B5">
        <w:rPr>
          <w:rFonts w:ascii="Book Antiqua" w:hAnsi="Book Antiqua" w:cs="Arial"/>
        </w:rPr>
        <w:t>writing of article</w:t>
      </w:r>
      <w:r w:rsidRPr="002E78B5">
        <w:rPr>
          <w:rFonts w:ascii="Book Antiqua" w:hAnsi="Book Antiqua" w:cs="Arial" w:hint="eastAsia"/>
          <w:lang w:eastAsia="zh-CN"/>
        </w:rPr>
        <w:t xml:space="preserve">; </w:t>
      </w:r>
      <w:r w:rsidRPr="002E78B5">
        <w:rPr>
          <w:rFonts w:ascii="Book Antiqua" w:hAnsi="Book Antiqua" w:cs="Arial"/>
        </w:rPr>
        <w:t>Warren LR, Clarke JM</w:t>
      </w:r>
      <w:r w:rsidRPr="002E78B5">
        <w:rPr>
          <w:rFonts w:ascii="Book Antiqua" w:hAnsi="Book Antiqua" w:cs="Arial" w:hint="eastAsia"/>
          <w:lang w:eastAsia="zh-CN"/>
        </w:rPr>
        <w:t xml:space="preserve">, </w:t>
      </w:r>
      <w:r w:rsidRPr="002E78B5">
        <w:rPr>
          <w:rFonts w:ascii="Book Antiqua" w:hAnsi="Book Antiqua" w:cs="Arial"/>
        </w:rPr>
        <w:t>and Barahona M</w:t>
      </w:r>
      <w:r w:rsidRPr="002E78B5">
        <w:rPr>
          <w:rFonts w:ascii="Book Antiqua" w:hAnsi="Book Antiqua" w:cs="Arial" w:hint="eastAsia"/>
          <w:lang w:eastAsia="zh-CN"/>
        </w:rPr>
        <w:t xml:space="preserve"> </w:t>
      </w:r>
      <w:r w:rsidRPr="002E78B5">
        <w:rPr>
          <w:rFonts w:ascii="Book Antiqua" w:hAnsi="Book Antiqua" w:cs="Arial"/>
        </w:rPr>
        <w:t>contributed to data analysis and interpretation</w:t>
      </w:r>
      <w:r w:rsidRPr="002E78B5">
        <w:rPr>
          <w:rFonts w:ascii="Book Antiqua" w:hAnsi="Book Antiqua" w:cs="Arial" w:hint="eastAsia"/>
          <w:lang w:eastAsia="zh-CN"/>
        </w:rPr>
        <w:t xml:space="preserve">; </w:t>
      </w:r>
      <w:r w:rsidRPr="002E78B5">
        <w:rPr>
          <w:rFonts w:ascii="Book Antiqua" w:hAnsi="Book Antiqua" w:cs="Arial"/>
        </w:rPr>
        <w:t>Barahona M</w:t>
      </w:r>
      <w:r w:rsidRPr="002E78B5">
        <w:rPr>
          <w:rFonts w:ascii="Book Antiqua" w:hAnsi="Book Antiqua" w:cs="Arial" w:hint="eastAsia"/>
          <w:lang w:eastAsia="zh-CN"/>
        </w:rPr>
        <w:t xml:space="preserve"> </w:t>
      </w:r>
      <w:r w:rsidRPr="002E78B5">
        <w:rPr>
          <w:rFonts w:ascii="Book Antiqua" w:hAnsi="Book Antiqua" w:cs="Arial"/>
        </w:rPr>
        <w:t>contributed to</w:t>
      </w:r>
      <w:r w:rsidRPr="002E78B5">
        <w:rPr>
          <w:rFonts w:ascii="Book Antiqua" w:hAnsi="Book Antiqua" w:cs="Arial" w:hint="eastAsia"/>
          <w:lang w:eastAsia="zh-CN"/>
        </w:rPr>
        <w:t xml:space="preserve"> </w:t>
      </w:r>
      <w:r w:rsidRPr="002E78B5">
        <w:rPr>
          <w:rFonts w:ascii="Book Antiqua" w:hAnsi="Book Antiqua" w:cs="Arial"/>
        </w:rPr>
        <w:t>editing</w:t>
      </w:r>
      <w:r w:rsidRPr="002E78B5">
        <w:rPr>
          <w:rFonts w:ascii="Book Antiqua" w:hAnsi="Book Antiqua" w:cs="Arial" w:hint="eastAsia"/>
          <w:lang w:eastAsia="zh-CN"/>
        </w:rPr>
        <w:t xml:space="preserve"> </w:t>
      </w:r>
      <w:r w:rsidRPr="002E78B5">
        <w:rPr>
          <w:rFonts w:ascii="Book Antiqua" w:hAnsi="Book Antiqua" w:cs="Arial"/>
        </w:rPr>
        <w:t>of article</w:t>
      </w:r>
      <w:r w:rsidRPr="002E78B5">
        <w:rPr>
          <w:rFonts w:ascii="Book Antiqua" w:hAnsi="Book Antiqua" w:cs="Arial" w:hint="eastAsia"/>
          <w:lang w:eastAsia="zh-CN"/>
        </w:rPr>
        <w:t xml:space="preserve">; </w:t>
      </w:r>
      <w:r w:rsidRPr="002E78B5">
        <w:rPr>
          <w:rFonts w:ascii="Book Antiqua" w:hAnsi="Book Antiqua" w:cs="Arial"/>
        </w:rPr>
        <w:t xml:space="preserve">Arora S, </w:t>
      </w:r>
      <w:proofErr w:type="spellStart"/>
      <w:r w:rsidRPr="002E78B5">
        <w:rPr>
          <w:rFonts w:ascii="Book Antiqua" w:hAnsi="Book Antiqua" w:cs="Arial"/>
        </w:rPr>
        <w:t>Arebi</w:t>
      </w:r>
      <w:proofErr w:type="spellEnd"/>
      <w:r w:rsidRPr="002E78B5">
        <w:rPr>
          <w:rFonts w:ascii="Book Antiqua" w:hAnsi="Book Antiqua" w:cs="Arial"/>
        </w:rPr>
        <w:t xml:space="preserve"> N</w:t>
      </w:r>
      <w:r w:rsidRPr="002E78B5">
        <w:rPr>
          <w:rFonts w:ascii="Book Antiqua" w:hAnsi="Book Antiqua" w:cs="Arial" w:hint="eastAsia"/>
          <w:lang w:eastAsia="zh-CN"/>
        </w:rPr>
        <w:t>,</w:t>
      </w:r>
      <w:r w:rsidRPr="002E78B5">
        <w:rPr>
          <w:rFonts w:ascii="Book Antiqua" w:hAnsi="Book Antiqua" w:cs="Arial"/>
        </w:rPr>
        <w:t xml:space="preserve"> Darzi A</w:t>
      </w:r>
      <w:r w:rsidRPr="002E78B5">
        <w:rPr>
          <w:rFonts w:ascii="Book Antiqua" w:hAnsi="Book Antiqua" w:cs="Arial" w:hint="eastAsia"/>
          <w:lang w:eastAsia="zh-CN"/>
        </w:rPr>
        <w:t xml:space="preserve"> and </w:t>
      </w:r>
      <w:r w:rsidRPr="002E78B5">
        <w:rPr>
          <w:rFonts w:ascii="Book Antiqua" w:hAnsi="Book Antiqua" w:cs="Arial"/>
        </w:rPr>
        <w:t>Barahona M contributed to</w:t>
      </w:r>
      <w:r w:rsidRPr="002E78B5">
        <w:rPr>
          <w:rFonts w:ascii="Book Antiqua" w:hAnsi="Book Antiqua" w:cs="Arial" w:hint="eastAsia"/>
          <w:lang w:eastAsia="zh-CN"/>
        </w:rPr>
        <w:t xml:space="preserve"> </w:t>
      </w:r>
      <w:r w:rsidRPr="002E78B5">
        <w:rPr>
          <w:rFonts w:ascii="Book Antiqua" w:hAnsi="Book Antiqua" w:cs="Arial"/>
        </w:rPr>
        <w:t>review and final approval of article</w:t>
      </w:r>
      <w:r w:rsidRPr="002E78B5">
        <w:rPr>
          <w:rFonts w:ascii="Book Antiqua" w:hAnsi="Book Antiqua" w:cs="Arial" w:hint="eastAsia"/>
          <w:lang w:eastAsia="zh-CN"/>
        </w:rPr>
        <w:t>.</w:t>
      </w:r>
    </w:p>
    <w:p w14:paraId="11B31644" w14:textId="77777777" w:rsidR="00A77920" w:rsidRPr="00CA3430" w:rsidRDefault="00A77920" w:rsidP="006C577E">
      <w:pPr>
        <w:snapToGrid w:val="0"/>
        <w:spacing w:line="360" w:lineRule="auto"/>
        <w:jc w:val="both"/>
        <w:rPr>
          <w:rFonts w:ascii="Book Antiqua" w:eastAsiaTheme="minorEastAsia" w:hAnsi="Book Antiqua" w:cs="Arial"/>
          <w:lang w:eastAsia="zh-CN"/>
        </w:rPr>
      </w:pPr>
    </w:p>
    <w:p w14:paraId="327615A8" w14:textId="57D6351E" w:rsidR="00A77920" w:rsidRPr="002E78B5" w:rsidRDefault="009A3468" w:rsidP="006C577E">
      <w:pPr>
        <w:snapToGrid w:val="0"/>
        <w:spacing w:line="360" w:lineRule="auto"/>
        <w:jc w:val="both"/>
        <w:rPr>
          <w:rFonts w:ascii="Book Antiqua" w:hAnsi="Book Antiqua" w:cs="Arial"/>
          <w:color w:val="000000" w:themeColor="text1"/>
        </w:rPr>
      </w:pPr>
      <w:r w:rsidRPr="002E78B5">
        <w:rPr>
          <w:rFonts w:ascii="Book Antiqua" w:hAnsi="Book Antiqua" w:cs="Arial"/>
          <w:b/>
        </w:rPr>
        <w:t>Supported by</w:t>
      </w:r>
      <w:r w:rsidR="00A77920" w:rsidRPr="002E78B5">
        <w:rPr>
          <w:rFonts w:ascii="Book Antiqua" w:hAnsi="Book Antiqua" w:cs="Arial"/>
        </w:rPr>
        <w:t xml:space="preserve"> grants from the National Institute for Health Research (NIHR) Imperial Patient Safety and Translational Research Centre (PSTRC) and the Peter Sowerby Foundation. Infrastructure support for this research was provided by the NHIR Imperial Biomedical Research Centre (BRC). MB acknowledges support from EPSRC [grant number EP/N014529/1] supporting the EPSRC Centre for Mathematics of Precision Healthcare. </w:t>
      </w:r>
      <w:r w:rsidR="00A77920" w:rsidRPr="002E78B5">
        <w:rPr>
          <w:rFonts w:ascii="Book Antiqua" w:hAnsi="Book Antiqua" w:cs="Arial"/>
          <w:color w:val="000000" w:themeColor="text1"/>
        </w:rPr>
        <w:t>The views expressed in this publication are those of the author(s) and not necessarily those of the NHS, the National Institute for Health Research or the Department of Health.</w:t>
      </w:r>
    </w:p>
    <w:p w14:paraId="4FC0B203" w14:textId="77777777" w:rsidR="009A3468" w:rsidRPr="002E78B5" w:rsidRDefault="009A3468" w:rsidP="006C577E">
      <w:pPr>
        <w:snapToGrid w:val="0"/>
        <w:spacing w:line="360" w:lineRule="auto"/>
        <w:jc w:val="both"/>
        <w:rPr>
          <w:rFonts w:ascii="Book Antiqua" w:hAnsi="Book Antiqua" w:cs="Arial"/>
          <w:color w:val="000000" w:themeColor="text1"/>
        </w:rPr>
      </w:pPr>
    </w:p>
    <w:p w14:paraId="38D82A29" w14:textId="4D4D0E5A" w:rsidR="009A3468" w:rsidRPr="002E78B5" w:rsidRDefault="00CA3430" w:rsidP="006C577E">
      <w:pPr>
        <w:snapToGrid w:val="0"/>
        <w:spacing w:line="360" w:lineRule="auto"/>
        <w:jc w:val="both"/>
        <w:rPr>
          <w:rFonts w:ascii="Book Antiqua" w:hAnsi="Book Antiqua" w:cs="Arial"/>
        </w:rPr>
      </w:pPr>
      <w:r w:rsidRPr="00BE1992">
        <w:rPr>
          <w:rFonts w:ascii="Book Antiqua" w:hAnsi="Book Antiqua"/>
          <w:b/>
          <w:color w:val="000000"/>
        </w:rPr>
        <w:t>Institutional review board statement</w:t>
      </w:r>
      <w:r w:rsidRPr="00BC0909">
        <w:rPr>
          <w:rFonts w:ascii="Book Antiqua" w:hAnsi="Book Antiqua"/>
          <w:b/>
          <w:bCs/>
          <w:iCs/>
          <w:color w:val="000000"/>
        </w:rPr>
        <w:t>:</w:t>
      </w:r>
      <w:r w:rsidR="009A3468" w:rsidRPr="002E78B5">
        <w:rPr>
          <w:rFonts w:ascii="Book Antiqua" w:hAnsi="Book Antiqua" w:cs="Arial"/>
          <w:b/>
        </w:rPr>
        <w:t xml:space="preserve"> </w:t>
      </w:r>
      <w:r w:rsidR="009A3468" w:rsidRPr="002E78B5">
        <w:rPr>
          <w:rFonts w:ascii="Book Antiqua" w:hAnsi="Book Antiqua" w:cs="Arial"/>
        </w:rPr>
        <w:t xml:space="preserve">This study received local ethical approval through the Imperial College Research Ethics </w:t>
      </w:r>
      <w:r w:rsidR="009A3468" w:rsidRPr="002E78B5">
        <w:rPr>
          <w:rFonts w:ascii="Book Antiqua" w:hAnsi="Book Antiqua" w:cs="Arial"/>
          <w:color w:val="000000" w:themeColor="text1"/>
        </w:rPr>
        <w:t xml:space="preserve">Committee [17IC4178]. </w:t>
      </w:r>
    </w:p>
    <w:p w14:paraId="778AB7BC" w14:textId="7209F4F4" w:rsidR="009A3468" w:rsidRPr="002E78B5" w:rsidRDefault="009A3468" w:rsidP="006C577E">
      <w:pPr>
        <w:snapToGrid w:val="0"/>
        <w:spacing w:line="360" w:lineRule="auto"/>
        <w:jc w:val="both"/>
        <w:rPr>
          <w:rFonts w:ascii="Book Antiqua" w:hAnsi="Book Antiqua" w:cs="Arial"/>
        </w:rPr>
      </w:pPr>
    </w:p>
    <w:p w14:paraId="609DAF4D" w14:textId="4C0B8E09" w:rsidR="00A77920" w:rsidRPr="002E78B5" w:rsidRDefault="00CA3430" w:rsidP="006C577E">
      <w:pPr>
        <w:snapToGrid w:val="0"/>
        <w:spacing w:line="360" w:lineRule="auto"/>
        <w:jc w:val="both"/>
        <w:rPr>
          <w:rFonts w:ascii="Book Antiqua" w:hAnsi="Book Antiqua" w:cs="Arial"/>
        </w:rPr>
      </w:pPr>
      <w:r>
        <w:rPr>
          <w:rFonts w:ascii="Book Antiqua" w:hAnsi="Book Antiqua"/>
          <w:b/>
          <w:color w:val="000000"/>
        </w:rPr>
        <w:t>Informed consent statement</w:t>
      </w:r>
      <w:r w:rsidRPr="00BC0909">
        <w:rPr>
          <w:rFonts w:ascii="Book Antiqua" w:hAnsi="Book Antiqua" w:hint="eastAsia"/>
          <w:b/>
          <w:bCs/>
          <w:iCs/>
          <w:color w:val="000000"/>
        </w:rPr>
        <w:t>:</w:t>
      </w:r>
      <w:r w:rsidR="009A3468" w:rsidRPr="002E78B5">
        <w:rPr>
          <w:rFonts w:ascii="Book Antiqua" w:hAnsi="Book Antiqua" w:cs="Arial"/>
        </w:rPr>
        <w:t xml:space="preserve"> This study used administrative data that was not identifiable. Informed consent was not applicable.</w:t>
      </w:r>
    </w:p>
    <w:p w14:paraId="6B17DB81" w14:textId="77777777" w:rsidR="009A3468" w:rsidRPr="002E78B5" w:rsidRDefault="009A3468" w:rsidP="006C577E">
      <w:pPr>
        <w:snapToGrid w:val="0"/>
        <w:spacing w:line="360" w:lineRule="auto"/>
        <w:jc w:val="both"/>
        <w:rPr>
          <w:rFonts w:ascii="Book Antiqua" w:hAnsi="Book Antiqua" w:cs="Arial"/>
          <w:b/>
          <w:color w:val="000000" w:themeColor="text1"/>
        </w:rPr>
      </w:pPr>
    </w:p>
    <w:p w14:paraId="7DB5E752" w14:textId="7D3BAEDB" w:rsidR="008A27D5" w:rsidRPr="002E78B5" w:rsidRDefault="00CA3430" w:rsidP="006C577E">
      <w:pPr>
        <w:snapToGrid w:val="0"/>
        <w:spacing w:line="360" w:lineRule="auto"/>
        <w:jc w:val="both"/>
        <w:rPr>
          <w:rFonts w:ascii="Book Antiqua" w:hAnsi="Book Antiqua" w:cs="Arial"/>
          <w:color w:val="000000" w:themeColor="text1"/>
        </w:rPr>
      </w:pPr>
      <w:r w:rsidRPr="00BE1992">
        <w:rPr>
          <w:rFonts w:ascii="Book Antiqua" w:hAnsi="Book Antiqua"/>
          <w:b/>
          <w:color w:val="000000"/>
        </w:rPr>
        <w:t>Conflict-of-interest statement</w:t>
      </w:r>
      <w:r w:rsidRPr="00BC0909">
        <w:rPr>
          <w:rFonts w:ascii="Book Antiqua" w:hAnsi="Book Antiqua" w:cs="TimesNewRomanPS-BoldItalicMT" w:hint="eastAsia"/>
          <w:b/>
          <w:bCs/>
          <w:iCs/>
          <w:color w:val="000000"/>
        </w:rPr>
        <w:t xml:space="preserve">: </w:t>
      </w:r>
      <w:r w:rsidR="008A27D5" w:rsidRPr="002E78B5">
        <w:rPr>
          <w:rFonts w:ascii="Book Antiqua" w:hAnsi="Book Antiqua" w:cs="Arial"/>
          <w:color w:val="000000" w:themeColor="text1"/>
        </w:rPr>
        <w:t>There are no financial conflicts of interest declared by the authors.</w:t>
      </w:r>
    </w:p>
    <w:p w14:paraId="3703FBB2" w14:textId="77777777" w:rsidR="009A3468" w:rsidRPr="002E78B5" w:rsidRDefault="009A3468" w:rsidP="006C577E">
      <w:pPr>
        <w:snapToGrid w:val="0"/>
        <w:spacing w:line="360" w:lineRule="auto"/>
        <w:jc w:val="both"/>
        <w:rPr>
          <w:rFonts w:ascii="Book Antiqua" w:hAnsi="Book Antiqua" w:cs="Arial"/>
          <w:color w:val="000000" w:themeColor="text1"/>
        </w:rPr>
      </w:pPr>
    </w:p>
    <w:p w14:paraId="77D94C28" w14:textId="2EDB9BF5" w:rsidR="00A77920" w:rsidRPr="002E78B5" w:rsidRDefault="009A3468" w:rsidP="006C577E">
      <w:pPr>
        <w:snapToGrid w:val="0"/>
        <w:spacing w:line="360" w:lineRule="auto"/>
        <w:jc w:val="both"/>
        <w:rPr>
          <w:rFonts w:ascii="Book Antiqua" w:hAnsi="Book Antiqua" w:cs="Arial"/>
          <w:b/>
          <w:color w:val="000000" w:themeColor="text1"/>
        </w:rPr>
      </w:pPr>
      <w:r w:rsidRPr="002E78B5">
        <w:rPr>
          <w:rFonts w:ascii="Book Antiqua" w:hAnsi="Book Antiqua" w:cs="Arial"/>
          <w:b/>
          <w:color w:val="000000" w:themeColor="text1"/>
        </w:rPr>
        <w:t xml:space="preserve">Data sharing statement: </w:t>
      </w:r>
      <w:r w:rsidRPr="002E78B5">
        <w:rPr>
          <w:rFonts w:ascii="Book Antiqua" w:hAnsi="Book Antiqua" w:cs="Arial"/>
        </w:rPr>
        <w:t>HES data are available on application to the NHS Digital (</w:t>
      </w:r>
      <w:hyperlink r:id="rId8" w:history="1">
        <w:r w:rsidRPr="002E78B5">
          <w:rPr>
            <w:rStyle w:val="Hyperlink"/>
            <w:rFonts w:ascii="Book Antiqua" w:hAnsi="Book Antiqua" w:cs="Arial"/>
          </w:rPr>
          <w:t>https://digital.nhs.uk</w:t>
        </w:r>
      </w:hyperlink>
      <w:r w:rsidRPr="002E78B5">
        <w:rPr>
          <w:rFonts w:ascii="Book Antiqua" w:hAnsi="Book Antiqua" w:cs="Arial"/>
        </w:rPr>
        <w:t>).</w:t>
      </w:r>
    </w:p>
    <w:p w14:paraId="7DC6ACAD" w14:textId="77777777" w:rsidR="00A77920" w:rsidRPr="002E78B5" w:rsidRDefault="00A77920" w:rsidP="006C577E">
      <w:pPr>
        <w:snapToGrid w:val="0"/>
        <w:spacing w:line="360" w:lineRule="auto"/>
        <w:jc w:val="both"/>
        <w:rPr>
          <w:rFonts w:ascii="Book Antiqua" w:hAnsi="Book Antiqua" w:cs="Arial"/>
          <w:color w:val="000000" w:themeColor="text1"/>
        </w:rPr>
      </w:pPr>
    </w:p>
    <w:p w14:paraId="60D453AB" w14:textId="1E12A43A" w:rsidR="00A77920" w:rsidRPr="00CA3430" w:rsidRDefault="00CA3430" w:rsidP="006C577E">
      <w:pPr>
        <w:adjustRightInd w:val="0"/>
        <w:snapToGrid w:val="0"/>
        <w:spacing w:line="360" w:lineRule="auto"/>
        <w:rPr>
          <w:rFonts w:ascii="Book Antiqua" w:hAnsi="Book Antiqua"/>
          <w:b/>
          <w:color w:val="000000"/>
        </w:rPr>
      </w:pPr>
      <w:bookmarkStart w:id="5" w:name="OLE_LINK359"/>
      <w:bookmarkStart w:id="6" w:name="OLE_LINK360"/>
      <w:r w:rsidRPr="007835A7">
        <w:rPr>
          <w:rFonts w:ascii="Book Antiqua" w:hAnsi="Book Antiqua"/>
          <w:b/>
          <w:color w:val="000000"/>
        </w:rPr>
        <w:t>STROBE statement</w:t>
      </w:r>
      <w:r w:rsidRPr="007835A7">
        <w:rPr>
          <w:rFonts w:ascii="Book Antiqua" w:hAnsi="Book Antiqua" w:hint="eastAsia"/>
          <w:b/>
          <w:color w:val="000000"/>
        </w:rPr>
        <w:t>:</w:t>
      </w:r>
      <w:bookmarkEnd w:id="5"/>
      <w:bookmarkEnd w:id="6"/>
      <w:r w:rsidR="009A3468" w:rsidRPr="002E78B5">
        <w:rPr>
          <w:rFonts w:ascii="Book Antiqua" w:hAnsi="Book Antiqua" w:cs="Arial"/>
          <w:b/>
          <w:color w:val="000000" w:themeColor="text1"/>
        </w:rPr>
        <w:t xml:space="preserve"> </w:t>
      </w:r>
      <w:r w:rsidR="009A3468" w:rsidRPr="002E78B5">
        <w:rPr>
          <w:rFonts w:ascii="Book Antiqua" w:hAnsi="Book Antiqua" w:cs="Arial"/>
          <w:color w:val="000000" w:themeColor="text1"/>
        </w:rPr>
        <w:t>This study followed the guidelines of the STROBE statement.</w:t>
      </w:r>
    </w:p>
    <w:p w14:paraId="0384B070" w14:textId="77777777" w:rsidR="00A77920" w:rsidRDefault="00A77920" w:rsidP="006C577E">
      <w:pPr>
        <w:snapToGrid w:val="0"/>
        <w:spacing w:line="360" w:lineRule="auto"/>
        <w:jc w:val="both"/>
        <w:rPr>
          <w:rFonts w:ascii="Book Antiqua" w:eastAsiaTheme="minorEastAsia" w:hAnsi="Book Antiqua" w:cs="Arial"/>
          <w:color w:val="000000" w:themeColor="text1"/>
          <w:lang w:eastAsia="zh-CN"/>
        </w:rPr>
      </w:pPr>
    </w:p>
    <w:p w14:paraId="368631DB" w14:textId="330C828F" w:rsidR="00A06CC6" w:rsidRDefault="00A06CC6" w:rsidP="006C577E">
      <w:pPr>
        <w:snapToGrid w:val="0"/>
        <w:spacing w:line="360" w:lineRule="auto"/>
        <w:jc w:val="both"/>
        <w:rPr>
          <w:rFonts w:ascii="Book Antiqua" w:eastAsiaTheme="minorEastAsia" w:hAnsi="Book Antiqua"/>
          <w:color w:val="000000"/>
          <w:lang w:eastAsia="zh-CN"/>
        </w:rPr>
      </w:pPr>
      <w:bookmarkStart w:id="7" w:name="OLE_LINK180"/>
      <w:bookmarkStart w:id="8" w:name="OLE_LINK181"/>
      <w:bookmarkStart w:id="9" w:name="OLE_LINK291"/>
      <w:bookmarkStart w:id="10" w:name="OLE_LINK363"/>
      <w:r w:rsidRPr="00BC0909">
        <w:rPr>
          <w:rFonts w:ascii="Book Antiqua" w:hAnsi="Book Antiqua"/>
          <w:b/>
          <w:color w:val="000000"/>
        </w:rPr>
        <w:t xml:space="preserve">Open-Access: </w:t>
      </w:r>
      <w:r w:rsidRPr="00BC0909">
        <w:rPr>
          <w:rFonts w:ascii="Book Antiqua" w:hAnsi="Book Antiqua"/>
          <w:color w:val="000000"/>
        </w:rPr>
        <w:t>This article is an open-access</w:t>
      </w:r>
      <w:r w:rsidRPr="00BC0909">
        <w:rPr>
          <w:rFonts w:ascii="Book Antiqua" w:hAnsi="Book Antiqua" w:hint="eastAsia"/>
          <w:color w:val="000000"/>
        </w:rPr>
        <w:t xml:space="preserve"> </w:t>
      </w:r>
      <w:r w:rsidRPr="00BC0909">
        <w:rPr>
          <w:rFonts w:ascii="Book Antiqua" w:hAnsi="Book Antiqua"/>
          <w:color w:val="000000"/>
        </w:rPr>
        <w:t>article</w:t>
      </w:r>
      <w:r w:rsidRPr="00BC0909">
        <w:rPr>
          <w:rFonts w:ascii="Book Antiqua" w:hAnsi="Book Antiqua" w:hint="eastAsia"/>
          <w:color w:val="000000"/>
        </w:rPr>
        <w:t xml:space="preserve"> </w:t>
      </w:r>
      <w:r w:rsidRPr="00BC0909">
        <w:rPr>
          <w:rFonts w:ascii="Book Antiqua" w:hAnsi="Book Antiqua"/>
          <w:color w:val="000000"/>
        </w:rPr>
        <w:t>which was selected by an in-house editor and fully peer-reviewed by external reviewers. It is distributed</w:t>
      </w:r>
      <w:r w:rsidRPr="00BC0909">
        <w:rPr>
          <w:rFonts w:ascii="Book Antiqua" w:hAnsi="Book Antiqua" w:hint="eastAsia"/>
          <w:color w:val="000000"/>
        </w:rPr>
        <w:t xml:space="preserve"> </w:t>
      </w:r>
      <w:r w:rsidRPr="00BC0909">
        <w:rPr>
          <w:rFonts w:ascii="Book Antiqua" w:hAnsi="Book Antiqua"/>
          <w:color w:val="000000"/>
        </w:rPr>
        <w:t>in</w:t>
      </w:r>
      <w:r w:rsidRPr="00BC0909">
        <w:rPr>
          <w:rFonts w:ascii="Book Antiqua" w:hAnsi="Book Antiqua" w:hint="eastAsia"/>
          <w:color w:val="000000"/>
        </w:rPr>
        <w:t xml:space="preserve"> </w:t>
      </w:r>
      <w:r w:rsidRPr="00BC0909">
        <w:rPr>
          <w:rFonts w:ascii="Book Antiqua" w:hAnsi="Book Antiqua"/>
          <w:color w:val="000000"/>
        </w:rPr>
        <w:t>accordance</w:t>
      </w:r>
      <w:r w:rsidRPr="00BC0909">
        <w:rPr>
          <w:rFonts w:ascii="Book Antiqua" w:hAnsi="Book Antiqua" w:hint="eastAsia"/>
          <w:color w:val="000000"/>
        </w:rPr>
        <w:t xml:space="preserve"> </w:t>
      </w:r>
      <w:r w:rsidRPr="00BC0909">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239CE">
          <w:rPr>
            <w:rStyle w:val="Hyperlink"/>
            <w:rFonts w:ascii="Book Antiqua" w:hAnsi="Book Antiqua"/>
          </w:rPr>
          <w:t>http://creativecommons.org/licenses/by-nc/4.0/</w:t>
        </w:r>
      </w:hyperlink>
    </w:p>
    <w:p w14:paraId="1F79B0AE" w14:textId="77777777" w:rsidR="00A06CC6" w:rsidRDefault="00A06CC6" w:rsidP="006C577E">
      <w:pPr>
        <w:snapToGrid w:val="0"/>
        <w:spacing w:line="360" w:lineRule="auto"/>
        <w:jc w:val="both"/>
        <w:rPr>
          <w:rFonts w:ascii="Book Antiqua" w:eastAsiaTheme="minorEastAsia" w:hAnsi="Book Antiqua"/>
          <w:color w:val="000000"/>
          <w:lang w:eastAsia="zh-CN"/>
        </w:rPr>
      </w:pPr>
    </w:p>
    <w:p w14:paraId="01F97DF9" w14:textId="3AC979B4" w:rsidR="00A06CC6" w:rsidRPr="00A06CC6" w:rsidRDefault="00A06CC6" w:rsidP="006C577E">
      <w:pPr>
        <w:snapToGrid w:val="0"/>
        <w:spacing w:line="360" w:lineRule="auto"/>
        <w:jc w:val="both"/>
        <w:rPr>
          <w:rFonts w:eastAsiaTheme="minorEastAsia"/>
          <w:color w:val="000000"/>
          <w:lang w:eastAsia="zh-CN"/>
        </w:rPr>
      </w:pPr>
      <w:r w:rsidRPr="00A06CC6">
        <w:rPr>
          <w:rFonts w:ascii="Book Antiqua" w:eastAsiaTheme="minorEastAsia" w:hAnsi="Book Antiqua"/>
          <w:b/>
          <w:color w:val="000000"/>
          <w:lang w:eastAsia="zh-CN"/>
        </w:rPr>
        <w:t>M</w:t>
      </w:r>
      <w:r w:rsidRPr="00A06CC6">
        <w:rPr>
          <w:rFonts w:ascii="Book Antiqua" w:eastAsiaTheme="minorEastAsia" w:hAnsi="Book Antiqua" w:hint="eastAsia"/>
          <w:b/>
          <w:color w:val="000000"/>
          <w:lang w:eastAsia="zh-CN"/>
        </w:rPr>
        <w:t>anuscript source:</w:t>
      </w:r>
      <w:r>
        <w:rPr>
          <w:rFonts w:ascii="Book Antiqua" w:eastAsiaTheme="minorEastAsia" w:hAnsi="Book Antiqua" w:hint="eastAsia"/>
          <w:color w:val="000000"/>
          <w:lang w:eastAsia="zh-CN"/>
        </w:rPr>
        <w:t xml:space="preserve"> </w:t>
      </w:r>
      <w:r w:rsidRPr="00A06CC6">
        <w:rPr>
          <w:rFonts w:ascii="Book Antiqua" w:eastAsiaTheme="minorEastAsia" w:hAnsi="Book Antiqua"/>
          <w:color w:val="000000"/>
          <w:lang w:eastAsia="zh-CN"/>
        </w:rPr>
        <w:t>Unsolicited manuscript</w:t>
      </w:r>
    </w:p>
    <w:bookmarkEnd w:id="7"/>
    <w:bookmarkEnd w:id="8"/>
    <w:bookmarkEnd w:id="9"/>
    <w:bookmarkEnd w:id="10"/>
    <w:p w14:paraId="4E1C80CE" w14:textId="77777777" w:rsidR="00A06CC6" w:rsidRPr="00A06CC6" w:rsidRDefault="00A06CC6" w:rsidP="006C577E">
      <w:pPr>
        <w:snapToGrid w:val="0"/>
        <w:spacing w:line="360" w:lineRule="auto"/>
        <w:jc w:val="both"/>
        <w:rPr>
          <w:rFonts w:ascii="Book Antiqua" w:eastAsiaTheme="minorEastAsia" w:hAnsi="Book Antiqua" w:cs="Arial"/>
          <w:color w:val="000000" w:themeColor="text1"/>
          <w:lang w:eastAsia="zh-CN"/>
        </w:rPr>
      </w:pPr>
    </w:p>
    <w:p w14:paraId="0B84B23C" w14:textId="45F44AF1" w:rsidR="008A27D5" w:rsidRPr="002E78B5" w:rsidRDefault="00A77920" w:rsidP="006C577E">
      <w:pPr>
        <w:snapToGrid w:val="0"/>
        <w:spacing w:line="360" w:lineRule="auto"/>
        <w:jc w:val="both"/>
        <w:rPr>
          <w:rFonts w:ascii="Book Antiqua" w:hAnsi="Book Antiqua" w:cs="Arial"/>
          <w:b/>
        </w:rPr>
      </w:pPr>
      <w:r w:rsidRPr="002E78B5">
        <w:rPr>
          <w:rFonts w:ascii="Book Antiqua" w:hAnsi="Book Antiqua" w:cs="Arial"/>
          <w:b/>
        </w:rPr>
        <w:t>Correspond</w:t>
      </w:r>
      <w:r w:rsidR="00A06CC6">
        <w:rPr>
          <w:rFonts w:ascii="Book Antiqua" w:hAnsi="Book Antiqua" w:cs="Arial" w:hint="eastAsia"/>
          <w:b/>
          <w:lang w:eastAsia="zh-CN"/>
        </w:rPr>
        <w:t>ing author</w:t>
      </w:r>
      <w:r w:rsidRPr="002E78B5">
        <w:rPr>
          <w:rFonts w:ascii="Book Antiqua" w:hAnsi="Book Antiqua" w:cs="Arial"/>
          <w:b/>
        </w:rPr>
        <w:t xml:space="preserve">: </w:t>
      </w:r>
      <w:r w:rsidR="00A06CC6">
        <w:rPr>
          <w:rFonts w:ascii="Book Antiqua" w:hAnsi="Book Antiqua" w:cs="Arial"/>
          <w:b/>
        </w:rPr>
        <w:t>Leigh R Warren</w:t>
      </w:r>
      <w:r w:rsidR="00A06CC6">
        <w:rPr>
          <w:rFonts w:ascii="Book Antiqua" w:hAnsi="Book Antiqua" w:cs="Arial" w:hint="eastAsia"/>
          <w:b/>
          <w:lang w:eastAsia="zh-CN"/>
        </w:rPr>
        <w:t xml:space="preserve">, </w:t>
      </w:r>
      <w:r w:rsidR="00A06CC6" w:rsidRPr="00A06CC6">
        <w:rPr>
          <w:rFonts w:ascii="Book Antiqua" w:hAnsi="Book Antiqua" w:cs="Arial"/>
          <w:b/>
          <w:lang w:eastAsia="zh-CN"/>
        </w:rPr>
        <w:t>MBBS, Research Fellow, Surgeon, Clinical Research Fellow,</w:t>
      </w:r>
      <w:r w:rsidR="008A27D5" w:rsidRPr="002E78B5">
        <w:rPr>
          <w:rFonts w:ascii="Book Antiqua" w:hAnsi="Book Antiqua" w:cs="Arial"/>
        </w:rPr>
        <w:t xml:space="preserve"> </w:t>
      </w:r>
      <w:bookmarkStart w:id="11" w:name="OLE_LINK408"/>
      <w:bookmarkStart w:id="12" w:name="OLE_LINK409"/>
      <w:r w:rsidR="008A27D5" w:rsidRPr="002E78B5">
        <w:rPr>
          <w:rFonts w:ascii="Book Antiqua" w:hAnsi="Book Antiqua" w:cs="Arial"/>
        </w:rPr>
        <w:t>Department of Surgery and Cancer</w:t>
      </w:r>
      <w:bookmarkEnd w:id="11"/>
      <w:bookmarkEnd w:id="12"/>
      <w:r w:rsidR="008A27D5" w:rsidRPr="002E78B5">
        <w:rPr>
          <w:rFonts w:ascii="Book Antiqua" w:hAnsi="Book Antiqua" w:cs="Arial"/>
        </w:rPr>
        <w:t xml:space="preserve">, </w:t>
      </w:r>
      <w:bookmarkStart w:id="13" w:name="OLE_LINK410"/>
      <w:bookmarkStart w:id="14" w:name="OLE_LINK411"/>
      <w:r w:rsidR="008A27D5" w:rsidRPr="002E78B5">
        <w:rPr>
          <w:rFonts w:ascii="Book Antiqua" w:hAnsi="Book Antiqua" w:cs="Arial"/>
        </w:rPr>
        <w:t xml:space="preserve">Imperial College London, </w:t>
      </w:r>
      <w:r w:rsidR="00A06CC6" w:rsidRPr="00A06CC6">
        <w:rPr>
          <w:rFonts w:ascii="Book Antiqua" w:hAnsi="Book Antiqua" w:cs="Arial"/>
        </w:rPr>
        <w:t>St. Mary’s Campus, Norfolk Place</w:t>
      </w:r>
      <w:r w:rsidR="00A06CC6">
        <w:rPr>
          <w:rFonts w:ascii="Book Antiqua" w:hAnsi="Book Antiqua" w:cs="Arial" w:hint="eastAsia"/>
          <w:lang w:eastAsia="zh-CN"/>
        </w:rPr>
        <w:t xml:space="preserve">, </w:t>
      </w:r>
      <w:r w:rsidR="00A06CC6">
        <w:rPr>
          <w:rFonts w:ascii="Book Antiqua" w:hAnsi="Book Antiqua" w:cs="Arial"/>
        </w:rPr>
        <w:t>London</w:t>
      </w:r>
      <w:r w:rsidR="00A06CC6">
        <w:rPr>
          <w:rFonts w:ascii="Book Antiqua" w:hAnsi="Book Antiqua" w:cs="Arial" w:hint="eastAsia"/>
          <w:lang w:eastAsia="zh-CN"/>
        </w:rPr>
        <w:t xml:space="preserve"> </w:t>
      </w:r>
      <w:r w:rsidR="00A06CC6" w:rsidRPr="002E78B5">
        <w:rPr>
          <w:rFonts w:ascii="Book Antiqua" w:hAnsi="Book Antiqua" w:cs="Arial"/>
        </w:rPr>
        <w:t>W2 1NY</w:t>
      </w:r>
      <w:r w:rsidR="00A06CC6">
        <w:rPr>
          <w:rFonts w:ascii="Book Antiqua" w:hAnsi="Book Antiqua" w:cs="Arial" w:hint="eastAsia"/>
          <w:lang w:eastAsia="zh-CN"/>
        </w:rPr>
        <w:t>,</w:t>
      </w:r>
      <w:r w:rsidR="008A27D5" w:rsidRPr="002E78B5">
        <w:rPr>
          <w:rFonts w:ascii="Book Antiqua" w:hAnsi="Book Antiqua" w:cs="Arial"/>
        </w:rPr>
        <w:t xml:space="preserve"> United Kingdom</w:t>
      </w:r>
      <w:r w:rsidR="00A06CC6">
        <w:rPr>
          <w:rFonts w:ascii="Book Antiqua" w:hAnsi="Book Antiqua" w:cs="Arial" w:hint="eastAsia"/>
          <w:lang w:eastAsia="zh-CN"/>
        </w:rPr>
        <w:t>.</w:t>
      </w:r>
      <w:r w:rsidR="008A27D5" w:rsidRPr="002E78B5">
        <w:rPr>
          <w:rFonts w:ascii="Book Antiqua" w:hAnsi="Book Antiqua" w:cs="Arial"/>
        </w:rPr>
        <w:t xml:space="preserve"> </w:t>
      </w:r>
      <w:bookmarkEnd w:id="13"/>
      <w:bookmarkEnd w:id="14"/>
      <w:r w:rsidR="00A06CC6" w:rsidRPr="002E78B5">
        <w:rPr>
          <w:rFonts w:ascii="Book Antiqua" w:hAnsi="Book Antiqua" w:cs="Arial"/>
        </w:rPr>
        <w:t>leigh.warren@imperial.ac.uk</w:t>
      </w:r>
    </w:p>
    <w:p w14:paraId="7BF4F14C" w14:textId="0F1A1DE3" w:rsidR="008A27D5" w:rsidRPr="002E78B5" w:rsidRDefault="00A06CC6" w:rsidP="006C577E">
      <w:pPr>
        <w:snapToGrid w:val="0"/>
        <w:spacing w:line="360" w:lineRule="auto"/>
        <w:jc w:val="both"/>
        <w:rPr>
          <w:rFonts w:ascii="Book Antiqua" w:eastAsiaTheme="minorEastAsia" w:hAnsi="Book Antiqua" w:cs="Arial"/>
          <w:lang w:eastAsia="zh-CN"/>
        </w:rPr>
      </w:pPr>
      <w:r w:rsidRPr="00BC0909">
        <w:rPr>
          <w:rFonts w:ascii="Book Antiqua" w:hAnsi="Book Antiqua"/>
          <w:b/>
          <w:color w:val="000000"/>
        </w:rPr>
        <w:t>Telephone:</w:t>
      </w:r>
      <w:r>
        <w:rPr>
          <w:rFonts w:ascii="Book Antiqua" w:hAnsi="Book Antiqua" w:hint="eastAsia"/>
          <w:b/>
          <w:color w:val="000000"/>
          <w:lang w:eastAsia="zh-CN"/>
        </w:rPr>
        <w:t xml:space="preserve"> </w:t>
      </w:r>
      <w:r w:rsidR="008A27D5" w:rsidRPr="002E78B5">
        <w:rPr>
          <w:rFonts w:ascii="Book Antiqua" w:hAnsi="Book Antiqua" w:cs="Arial"/>
        </w:rPr>
        <w:t>+44</w:t>
      </w:r>
      <w:r>
        <w:rPr>
          <w:rFonts w:ascii="Book Antiqua" w:hAnsi="Book Antiqua" w:cs="Arial" w:hint="eastAsia"/>
          <w:lang w:eastAsia="zh-CN"/>
        </w:rPr>
        <w:t>-</w:t>
      </w:r>
      <w:r>
        <w:rPr>
          <w:rFonts w:ascii="Book Antiqua" w:hAnsi="Book Antiqua" w:cs="Arial"/>
        </w:rPr>
        <w:t>207589</w:t>
      </w:r>
      <w:r w:rsidR="008A27D5" w:rsidRPr="002E78B5">
        <w:rPr>
          <w:rFonts w:ascii="Book Antiqua" w:hAnsi="Book Antiqua" w:cs="Arial"/>
        </w:rPr>
        <w:t>5111</w:t>
      </w:r>
    </w:p>
    <w:p w14:paraId="431B314A" w14:textId="0201A190" w:rsidR="00C52159" w:rsidRDefault="00C52159" w:rsidP="006C577E">
      <w:pPr>
        <w:snapToGrid w:val="0"/>
        <w:spacing w:line="360" w:lineRule="auto"/>
        <w:jc w:val="both"/>
        <w:rPr>
          <w:rFonts w:ascii="Book Antiqua" w:eastAsiaTheme="minorEastAsia" w:hAnsi="Book Antiqua" w:cs="Arial"/>
          <w:lang w:eastAsia="zh-CN"/>
        </w:rPr>
      </w:pPr>
      <w:r w:rsidRPr="00A06CC6">
        <w:rPr>
          <w:rFonts w:ascii="Book Antiqua" w:eastAsiaTheme="minorEastAsia" w:hAnsi="Book Antiqua" w:cs="Arial"/>
          <w:b/>
          <w:lang w:eastAsia="zh-CN"/>
        </w:rPr>
        <w:t>Fax:</w:t>
      </w:r>
      <w:r w:rsidR="0073407C" w:rsidRPr="002E78B5">
        <w:rPr>
          <w:rFonts w:ascii="Book Antiqua" w:eastAsiaTheme="minorEastAsia" w:hAnsi="Book Antiqua" w:cs="Arial"/>
          <w:lang w:eastAsia="zh-CN"/>
        </w:rPr>
        <w:t xml:space="preserve"> </w:t>
      </w:r>
      <w:r w:rsidR="00A735B8" w:rsidRPr="002E78B5">
        <w:rPr>
          <w:rFonts w:ascii="Book Antiqua" w:eastAsiaTheme="minorEastAsia" w:hAnsi="Book Antiqua" w:cs="Arial"/>
          <w:lang w:eastAsia="zh-CN"/>
        </w:rPr>
        <w:t>+44</w:t>
      </w:r>
      <w:r w:rsidR="00A06CC6">
        <w:rPr>
          <w:rFonts w:ascii="Book Antiqua" w:eastAsiaTheme="minorEastAsia" w:hAnsi="Book Antiqua" w:cs="Arial" w:hint="eastAsia"/>
          <w:lang w:eastAsia="zh-CN"/>
        </w:rPr>
        <w:t>-</w:t>
      </w:r>
      <w:r w:rsidR="00A06CC6">
        <w:rPr>
          <w:rFonts w:ascii="Book Antiqua" w:eastAsiaTheme="minorEastAsia" w:hAnsi="Book Antiqua" w:cs="Arial"/>
          <w:lang w:eastAsia="zh-CN"/>
        </w:rPr>
        <w:t>203312</w:t>
      </w:r>
      <w:r w:rsidR="00A735B8" w:rsidRPr="002E78B5">
        <w:rPr>
          <w:rFonts w:ascii="Book Antiqua" w:eastAsiaTheme="minorEastAsia" w:hAnsi="Book Antiqua" w:cs="Arial"/>
          <w:lang w:eastAsia="zh-CN"/>
        </w:rPr>
        <w:t>6309</w:t>
      </w:r>
    </w:p>
    <w:p w14:paraId="139FB0B6" w14:textId="77777777" w:rsidR="00A06CC6" w:rsidRDefault="00A06CC6" w:rsidP="006C577E">
      <w:pPr>
        <w:snapToGrid w:val="0"/>
        <w:spacing w:line="360" w:lineRule="auto"/>
        <w:jc w:val="both"/>
        <w:rPr>
          <w:rFonts w:ascii="Book Antiqua" w:eastAsiaTheme="minorEastAsia" w:hAnsi="Book Antiqua" w:cs="Arial"/>
          <w:lang w:eastAsia="zh-CN"/>
        </w:rPr>
      </w:pPr>
    </w:p>
    <w:p w14:paraId="68B95974" w14:textId="034AAD08" w:rsidR="00B8687D" w:rsidRPr="00B8687D" w:rsidRDefault="00B8687D" w:rsidP="006C577E">
      <w:pPr>
        <w:snapToGrid w:val="0"/>
        <w:spacing w:line="360" w:lineRule="auto"/>
        <w:rPr>
          <w:rFonts w:ascii="Book Antiqua" w:eastAsiaTheme="minorEastAsia" w:hAnsi="Book Antiqua"/>
          <w:b/>
          <w:lang w:eastAsia="zh-CN"/>
        </w:rPr>
      </w:pPr>
      <w:bookmarkStart w:id="15" w:name="OLE_LINK75"/>
      <w:bookmarkStart w:id="16" w:name="OLE_LINK76"/>
      <w:bookmarkStart w:id="17" w:name="OLE_LINK269"/>
      <w:bookmarkStart w:id="18" w:name="OLE_LINK239"/>
      <w:r w:rsidRPr="00663BB7">
        <w:rPr>
          <w:rFonts w:ascii="Book Antiqua" w:hAnsi="Book Antiqua"/>
          <w:b/>
        </w:rPr>
        <w:t xml:space="preserve">Received: </w:t>
      </w:r>
      <w:r>
        <w:rPr>
          <w:rFonts w:ascii="Book Antiqua" w:hAnsi="Book Antiqua"/>
        </w:rPr>
        <w:t xml:space="preserve">January </w:t>
      </w:r>
      <w:r>
        <w:rPr>
          <w:rFonts w:ascii="Book Antiqua" w:hAnsi="Book Antiqua" w:hint="eastAsia"/>
          <w:lang w:eastAsia="zh-CN"/>
        </w:rPr>
        <w:t>17</w:t>
      </w:r>
      <w:r>
        <w:rPr>
          <w:rFonts w:ascii="Book Antiqua" w:hAnsi="Book Antiqua"/>
        </w:rPr>
        <w:t>, 201</w:t>
      </w:r>
      <w:r>
        <w:rPr>
          <w:rFonts w:ascii="Book Antiqua" w:hAnsi="Book Antiqua" w:hint="eastAsia"/>
          <w:lang w:eastAsia="zh-CN"/>
        </w:rPr>
        <w:t>9</w:t>
      </w:r>
    </w:p>
    <w:p w14:paraId="29A9A00B" w14:textId="4022A880" w:rsidR="00B8687D" w:rsidRPr="00663BB7" w:rsidRDefault="00B8687D" w:rsidP="006C577E">
      <w:pPr>
        <w:snapToGrid w:val="0"/>
        <w:spacing w:line="360" w:lineRule="auto"/>
        <w:rPr>
          <w:rFonts w:ascii="Book Antiqua" w:hAnsi="Book Antiqua"/>
          <w:b/>
        </w:rPr>
      </w:pPr>
      <w:r w:rsidRPr="00663BB7">
        <w:rPr>
          <w:rFonts w:ascii="Book Antiqua" w:hAnsi="Book Antiqua"/>
          <w:b/>
        </w:rPr>
        <w:t xml:space="preserve">Peer-review started: </w:t>
      </w:r>
      <w:r>
        <w:rPr>
          <w:rFonts w:ascii="Book Antiqua" w:hAnsi="Book Antiqua"/>
        </w:rPr>
        <w:t xml:space="preserve">January </w:t>
      </w:r>
      <w:r>
        <w:rPr>
          <w:rFonts w:ascii="Book Antiqua" w:hAnsi="Book Antiqua" w:hint="eastAsia"/>
          <w:lang w:eastAsia="zh-CN"/>
        </w:rPr>
        <w:t>18</w:t>
      </w:r>
      <w:r>
        <w:rPr>
          <w:rFonts w:ascii="Book Antiqua" w:hAnsi="Book Antiqua"/>
        </w:rPr>
        <w:t>, 201</w:t>
      </w:r>
      <w:r>
        <w:rPr>
          <w:rFonts w:ascii="Book Antiqua" w:hAnsi="Book Antiqua" w:hint="eastAsia"/>
          <w:lang w:eastAsia="zh-CN"/>
        </w:rPr>
        <w:t>9</w:t>
      </w:r>
      <w:bookmarkStart w:id="19" w:name="_GoBack"/>
      <w:bookmarkEnd w:id="19"/>
    </w:p>
    <w:p w14:paraId="6B6D84DC" w14:textId="6EE27E28" w:rsidR="00B8687D" w:rsidRPr="00663BB7" w:rsidRDefault="00B8687D" w:rsidP="006C577E">
      <w:pPr>
        <w:snapToGrid w:val="0"/>
        <w:spacing w:line="360" w:lineRule="auto"/>
        <w:rPr>
          <w:rFonts w:ascii="Book Antiqua" w:hAnsi="Book Antiqua"/>
          <w:b/>
        </w:rPr>
      </w:pPr>
      <w:r w:rsidRPr="00663BB7">
        <w:rPr>
          <w:rFonts w:ascii="Book Antiqua" w:hAnsi="Book Antiqua"/>
          <w:b/>
        </w:rPr>
        <w:t xml:space="preserve">First decision: </w:t>
      </w:r>
      <w:r>
        <w:rPr>
          <w:rFonts w:ascii="Book Antiqua" w:hAnsi="Book Antiqua"/>
        </w:rPr>
        <w:t xml:space="preserve">January </w:t>
      </w:r>
      <w:r>
        <w:rPr>
          <w:rFonts w:ascii="Book Antiqua" w:hAnsi="Book Antiqua" w:hint="eastAsia"/>
          <w:lang w:eastAsia="zh-CN"/>
        </w:rPr>
        <w:t>30</w:t>
      </w:r>
      <w:r>
        <w:rPr>
          <w:rFonts w:ascii="Book Antiqua" w:hAnsi="Book Antiqua"/>
        </w:rPr>
        <w:t>, 201</w:t>
      </w:r>
      <w:r>
        <w:rPr>
          <w:rFonts w:ascii="Book Antiqua" w:hAnsi="Book Antiqua" w:hint="eastAsia"/>
          <w:lang w:eastAsia="zh-CN"/>
        </w:rPr>
        <w:t>9</w:t>
      </w:r>
    </w:p>
    <w:p w14:paraId="638ED4F8" w14:textId="2A16C8E3" w:rsidR="00B8687D" w:rsidRPr="00663BB7" w:rsidRDefault="00B8687D" w:rsidP="006C577E">
      <w:pPr>
        <w:snapToGrid w:val="0"/>
        <w:spacing w:line="360" w:lineRule="auto"/>
        <w:rPr>
          <w:rFonts w:ascii="Book Antiqua" w:hAnsi="Book Antiqua"/>
          <w:b/>
        </w:rPr>
      </w:pPr>
      <w:r w:rsidRPr="00663BB7">
        <w:rPr>
          <w:rFonts w:ascii="Book Antiqua" w:hAnsi="Book Antiqua"/>
          <w:b/>
        </w:rPr>
        <w:t xml:space="preserve">Revised: </w:t>
      </w:r>
      <w:r>
        <w:rPr>
          <w:rFonts w:ascii="Book Antiqua" w:hAnsi="Book Antiqua"/>
        </w:rPr>
        <w:t xml:space="preserve">February </w:t>
      </w:r>
      <w:r>
        <w:rPr>
          <w:rFonts w:ascii="Book Antiqua" w:hAnsi="Book Antiqua" w:hint="eastAsia"/>
          <w:lang w:eastAsia="zh-CN"/>
        </w:rPr>
        <w:t>5</w:t>
      </w:r>
      <w:r w:rsidRPr="00663BB7">
        <w:rPr>
          <w:rFonts w:ascii="Book Antiqua" w:hAnsi="Book Antiqua"/>
        </w:rPr>
        <w:t>, 2019</w:t>
      </w:r>
    </w:p>
    <w:p w14:paraId="798D2141" w14:textId="0791743B" w:rsidR="00B8687D" w:rsidRPr="00663BB7" w:rsidRDefault="00B8687D" w:rsidP="006C577E">
      <w:pPr>
        <w:snapToGrid w:val="0"/>
        <w:spacing w:line="360" w:lineRule="auto"/>
        <w:rPr>
          <w:rFonts w:ascii="Book Antiqua" w:hAnsi="Book Antiqua"/>
          <w:color w:val="000000"/>
        </w:rPr>
      </w:pPr>
      <w:r w:rsidRPr="00663BB7">
        <w:rPr>
          <w:rFonts w:ascii="Book Antiqua" w:hAnsi="Book Antiqua"/>
          <w:b/>
        </w:rPr>
        <w:t>Accepted:</w:t>
      </w:r>
      <w:r w:rsidR="00EF0DF0" w:rsidRPr="00EF0DF0">
        <w:t xml:space="preserve"> </w:t>
      </w:r>
      <w:r w:rsidR="00EF0DF0" w:rsidRPr="00EF0DF0">
        <w:rPr>
          <w:rFonts w:ascii="Book Antiqua" w:hAnsi="Book Antiqua"/>
        </w:rPr>
        <w:t>February 22, 2019</w:t>
      </w:r>
      <w:r w:rsidRPr="00663BB7">
        <w:rPr>
          <w:rFonts w:ascii="Book Antiqua" w:hAnsi="Book Antiqua"/>
          <w:b/>
        </w:rPr>
        <w:t xml:space="preserve"> </w:t>
      </w:r>
    </w:p>
    <w:p w14:paraId="3641C1C9" w14:textId="77777777" w:rsidR="00B8687D" w:rsidRPr="00663BB7" w:rsidRDefault="00B8687D" w:rsidP="006C577E">
      <w:pPr>
        <w:snapToGrid w:val="0"/>
        <w:spacing w:line="360" w:lineRule="auto"/>
        <w:rPr>
          <w:rFonts w:ascii="Book Antiqua" w:hAnsi="Book Antiqua"/>
          <w:b/>
        </w:rPr>
      </w:pPr>
      <w:r w:rsidRPr="00663BB7">
        <w:rPr>
          <w:rFonts w:ascii="Book Antiqua" w:hAnsi="Book Antiqua"/>
          <w:b/>
        </w:rPr>
        <w:t>Article in press:</w:t>
      </w:r>
    </w:p>
    <w:p w14:paraId="13B40993" w14:textId="77777777" w:rsidR="00B8687D" w:rsidRPr="00663BB7" w:rsidRDefault="00B8687D" w:rsidP="006C577E">
      <w:pPr>
        <w:snapToGrid w:val="0"/>
        <w:spacing w:line="360" w:lineRule="auto"/>
        <w:rPr>
          <w:rFonts w:ascii="Book Antiqua" w:hAnsi="Book Antiqua"/>
          <w:b/>
        </w:rPr>
      </w:pPr>
      <w:r w:rsidRPr="00663BB7">
        <w:rPr>
          <w:rFonts w:ascii="Book Antiqua" w:hAnsi="Book Antiqua"/>
          <w:b/>
        </w:rPr>
        <w:t>Published online:</w:t>
      </w:r>
    </w:p>
    <w:bookmarkEnd w:id="15"/>
    <w:bookmarkEnd w:id="16"/>
    <w:bookmarkEnd w:id="17"/>
    <w:bookmarkEnd w:id="18"/>
    <w:p w14:paraId="704AEDB7" w14:textId="77777777" w:rsidR="00A06CC6" w:rsidRPr="00B8687D" w:rsidRDefault="00A06CC6" w:rsidP="006C577E">
      <w:pPr>
        <w:snapToGrid w:val="0"/>
        <w:spacing w:line="360" w:lineRule="auto"/>
        <w:jc w:val="both"/>
        <w:rPr>
          <w:rFonts w:ascii="Book Antiqua" w:eastAsiaTheme="minorEastAsia" w:hAnsi="Book Antiqua"/>
          <w:lang w:eastAsia="zh-CN"/>
        </w:rPr>
      </w:pPr>
    </w:p>
    <w:p w14:paraId="7ED9D815" w14:textId="54ECD392" w:rsidR="00C52159" w:rsidRPr="002E78B5" w:rsidRDefault="00C52159" w:rsidP="006C577E">
      <w:pPr>
        <w:snapToGrid w:val="0"/>
        <w:spacing w:line="360" w:lineRule="auto"/>
        <w:jc w:val="both"/>
        <w:rPr>
          <w:rFonts w:ascii="Book Antiqua" w:hAnsi="Book Antiqua" w:cs="Arial"/>
        </w:rPr>
      </w:pPr>
      <w:r w:rsidRPr="002E78B5">
        <w:rPr>
          <w:rFonts w:ascii="Book Antiqua" w:hAnsi="Book Antiqua" w:cs="Arial"/>
        </w:rPr>
        <w:br w:type="page"/>
      </w:r>
    </w:p>
    <w:p w14:paraId="5EBF7551" w14:textId="07B141A2" w:rsidR="006D7853" w:rsidRPr="002E78B5" w:rsidRDefault="009A3468" w:rsidP="006C577E">
      <w:pPr>
        <w:snapToGrid w:val="0"/>
        <w:spacing w:line="360" w:lineRule="auto"/>
        <w:jc w:val="both"/>
        <w:rPr>
          <w:rFonts w:ascii="Book Antiqua" w:hAnsi="Book Antiqua" w:cs="Arial"/>
          <w:b/>
        </w:rPr>
      </w:pPr>
      <w:r w:rsidRPr="002E78B5">
        <w:rPr>
          <w:rFonts w:ascii="Book Antiqua" w:hAnsi="Book Antiqua" w:cs="Arial"/>
          <w:b/>
        </w:rPr>
        <w:lastRenderedPageBreak/>
        <w:t>Abstract</w:t>
      </w:r>
    </w:p>
    <w:p w14:paraId="75A4124F" w14:textId="641360E9" w:rsidR="002D3C93" w:rsidRPr="00C83D9C" w:rsidRDefault="009A3468" w:rsidP="006C577E">
      <w:pPr>
        <w:snapToGrid w:val="0"/>
        <w:spacing w:line="360" w:lineRule="auto"/>
        <w:jc w:val="both"/>
        <w:rPr>
          <w:rFonts w:ascii="Book Antiqua" w:hAnsi="Book Antiqua" w:cs="Arial"/>
          <w:b/>
          <w:i/>
        </w:rPr>
      </w:pPr>
      <w:r w:rsidRPr="00C83D9C">
        <w:rPr>
          <w:rFonts w:ascii="Book Antiqua" w:hAnsi="Book Antiqua" w:cs="Arial"/>
          <w:b/>
          <w:i/>
        </w:rPr>
        <w:t>BACKGROUND</w:t>
      </w:r>
    </w:p>
    <w:p w14:paraId="6F00B68D" w14:textId="77777777" w:rsidR="00C83D9C" w:rsidRPr="002E78B5" w:rsidRDefault="00C83D9C" w:rsidP="006C577E">
      <w:pPr>
        <w:snapToGrid w:val="0"/>
        <w:spacing w:line="360" w:lineRule="auto"/>
        <w:jc w:val="both"/>
        <w:rPr>
          <w:rFonts w:ascii="Book Antiqua" w:eastAsiaTheme="minorEastAsia" w:hAnsi="Book Antiqua" w:cs="Arial"/>
          <w:color w:val="000000" w:themeColor="text1"/>
          <w:lang w:eastAsia="zh-CN"/>
        </w:rPr>
      </w:pPr>
      <w:r w:rsidRPr="002E78B5">
        <w:rPr>
          <w:rFonts w:ascii="Book Antiqua" w:eastAsiaTheme="minorEastAsia" w:hAnsi="Book Antiqua" w:cs="Arial"/>
          <w:color w:val="000000" w:themeColor="text1"/>
          <w:lang w:eastAsia="zh-CN"/>
        </w:rPr>
        <w:t>Inflammatory bowel disease (IBD) is a chronic, inflammatory disorder characterised by both intestinal and extra-intestinal pathology. Patients may receive both emergency and elective care from several providers, often in different hospital settings. Poorly managed transitions of care between providers can lead to inefficiencies in care and patient safety issues. To ensure that the sharing of patient information between providers is appropriate, timely, accurate and secure, effective data-sharing infrastructure needs to be developed. To optimise inter-hospital data-sharing for IBD patients, we need to better understand patterns of hospital encounters in this group.</w:t>
      </w:r>
    </w:p>
    <w:p w14:paraId="3206789D" w14:textId="77777777" w:rsidR="00C83D9C" w:rsidRDefault="00C83D9C" w:rsidP="006C577E">
      <w:pPr>
        <w:snapToGrid w:val="0"/>
        <w:spacing w:line="360" w:lineRule="auto"/>
        <w:jc w:val="both"/>
        <w:rPr>
          <w:rFonts w:ascii="Book Antiqua" w:eastAsiaTheme="minorEastAsia" w:hAnsi="Book Antiqua" w:cs="Arial"/>
          <w:b/>
          <w:lang w:eastAsia="zh-CN"/>
        </w:rPr>
      </w:pPr>
    </w:p>
    <w:p w14:paraId="5679B14C" w14:textId="253BE4B2" w:rsidR="009A3468" w:rsidRPr="00C83D9C" w:rsidRDefault="009A3468" w:rsidP="006C577E">
      <w:pPr>
        <w:snapToGrid w:val="0"/>
        <w:spacing w:line="360" w:lineRule="auto"/>
        <w:jc w:val="both"/>
        <w:rPr>
          <w:rFonts w:ascii="Book Antiqua" w:hAnsi="Book Antiqua" w:cs="Arial"/>
          <w:b/>
          <w:i/>
        </w:rPr>
      </w:pPr>
      <w:r w:rsidRPr="00C83D9C">
        <w:rPr>
          <w:rFonts w:ascii="Book Antiqua" w:hAnsi="Book Antiqua" w:cs="Arial"/>
          <w:b/>
          <w:i/>
        </w:rPr>
        <w:t>AIM</w:t>
      </w:r>
    </w:p>
    <w:p w14:paraId="0AF48068" w14:textId="19937839" w:rsidR="005D6457" w:rsidRPr="002E78B5" w:rsidRDefault="00A47BBC" w:rsidP="006C577E">
      <w:pPr>
        <w:snapToGrid w:val="0"/>
        <w:spacing w:line="360" w:lineRule="auto"/>
        <w:jc w:val="both"/>
        <w:rPr>
          <w:rFonts w:ascii="Book Antiqua" w:hAnsi="Book Antiqua" w:cs="Arial"/>
        </w:rPr>
      </w:pPr>
      <w:r w:rsidRPr="002E78B5">
        <w:rPr>
          <w:rFonts w:ascii="Book Antiqua" w:hAnsi="Book Antiqua" w:cs="Arial"/>
        </w:rPr>
        <w:t xml:space="preserve">To determine the type and location of </w:t>
      </w:r>
      <w:r w:rsidR="00966014" w:rsidRPr="002E78B5">
        <w:rPr>
          <w:rFonts w:ascii="Book Antiqua" w:hAnsi="Book Antiqua" w:cs="Arial"/>
        </w:rPr>
        <w:t>hospital</w:t>
      </w:r>
      <w:r w:rsidRPr="002E78B5">
        <w:rPr>
          <w:rFonts w:ascii="Book Antiqua" w:hAnsi="Book Antiqua" w:cs="Arial"/>
        </w:rPr>
        <w:t xml:space="preserve"> services accessed by </w:t>
      </w:r>
      <w:r w:rsidR="00C83D9C">
        <w:rPr>
          <w:rFonts w:ascii="Book Antiqua" w:hAnsi="Book Antiqua" w:cs="Arial"/>
        </w:rPr>
        <w:t>IBD</w:t>
      </w:r>
      <w:r w:rsidR="006E0020" w:rsidRPr="002E78B5">
        <w:rPr>
          <w:rFonts w:ascii="Book Antiqua" w:hAnsi="Book Antiqua" w:cs="Arial"/>
        </w:rPr>
        <w:t xml:space="preserve"> </w:t>
      </w:r>
      <w:r w:rsidRPr="002E78B5">
        <w:rPr>
          <w:rFonts w:ascii="Book Antiqua" w:hAnsi="Book Antiqua" w:cs="Arial"/>
        </w:rPr>
        <w:t>patients in England</w:t>
      </w:r>
      <w:r w:rsidR="00C93815" w:rsidRPr="002E78B5">
        <w:rPr>
          <w:rFonts w:ascii="Book Antiqua" w:hAnsi="Book Antiqua" w:cs="Arial"/>
        </w:rPr>
        <w:t>.</w:t>
      </w:r>
    </w:p>
    <w:p w14:paraId="1BEE9C87" w14:textId="77777777" w:rsidR="00A47BBC" w:rsidRPr="002E78B5" w:rsidRDefault="00A47BBC" w:rsidP="006C577E">
      <w:pPr>
        <w:snapToGrid w:val="0"/>
        <w:spacing w:line="360" w:lineRule="auto"/>
        <w:jc w:val="both"/>
        <w:rPr>
          <w:rFonts w:ascii="Book Antiqua" w:hAnsi="Book Antiqua" w:cs="Arial"/>
        </w:rPr>
      </w:pPr>
    </w:p>
    <w:p w14:paraId="44275516" w14:textId="3D872E78" w:rsidR="005D6457" w:rsidRPr="00C83D9C" w:rsidRDefault="009A3468" w:rsidP="006C577E">
      <w:pPr>
        <w:snapToGrid w:val="0"/>
        <w:spacing w:line="360" w:lineRule="auto"/>
        <w:jc w:val="both"/>
        <w:rPr>
          <w:rFonts w:ascii="Book Antiqua" w:hAnsi="Book Antiqua" w:cs="Arial"/>
          <w:b/>
          <w:i/>
        </w:rPr>
      </w:pPr>
      <w:r w:rsidRPr="00C83D9C">
        <w:rPr>
          <w:rFonts w:ascii="Book Antiqua" w:hAnsi="Book Antiqua" w:cs="Arial"/>
          <w:b/>
          <w:i/>
        </w:rPr>
        <w:t>METHODS</w:t>
      </w:r>
    </w:p>
    <w:p w14:paraId="0DB7DCC8" w14:textId="2DCD5218" w:rsidR="00A62A1C" w:rsidRPr="002E78B5" w:rsidRDefault="00A62A1C" w:rsidP="006C577E">
      <w:pPr>
        <w:snapToGrid w:val="0"/>
        <w:spacing w:line="360" w:lineRule="auto"/>
        <w:jc w:val="both"/>
        <w:rPr>
          <w:rFonts w:ascii="Book Antiqua" w:hAnsi="Book Antiqua" w:cs="Arial"/>
        </w:rPr>
      </w:pPr>
      <w:r w:rsidRPr="002E78B5">
        <w:rPr>
          <w:rFonts w:ascii="Book Antiqua" w:hAnsi="Book Antiqua" w:cs="Arial"/>
        </w:rPr>
        <w:t xml:space="preserve">This was a retrospective observational study using Hospital Episode Statistics, a large administrative patient data set from the National Health Service in England. Adult patients with a diagnosis of </w:t>
      </w:r>
      <w:r w:rsidR="00403540" w:rsidRPr="002E78B5">
        <w:rPr>
          <w:rFonts w:ascii="Book Antiqua" w:hAnsi="Book Antiqua" w:cs="Arial"/>
        </w:rPr>
        <w:t>IBD</w:t>
      </w:r>
      <w:r w:rsidRPr="002E78B5">
        <w:rPr>
          <w:rFonts w:ascii="Book Antiqua" w:hAnsi="Book Antiqua" w:cs="Arial"/>
        </w:rPr>
        <w:t xml:space="preserve"> following admission to hospital were followed over a 2-year period to determine the proportion of care accessed at the same hospital providing their outpatient IBD care, defined as their ‘home provider’. Secondary outcome measures included the geographic distribution of patient-sharing, regional and age-related differences in accessing services, and type and frequency of outpatient encounters.</w:t>
      </w:r>
    </w:p>
    <w:p w14:paraId="74EEDDFF" w14:textId="77777777" w:rsidR="00C93815" w:rsidRPr="002E78B5" w:rsidRDefault="00C93815" w:rsidP="006C577E">
      <w:pPr>
        <w:snapToGrid w:val="0"/>
        <w:spacing w:line="360" w:lineRule="auto"/>
        <w:jc w:val="both"/>
        <w:rPr>
          <w:rFonts w:ascii="Book Antiqua" w:hAnsi="Book Antiqua" w:cs="Arial"/>
          <w:b/>
        </w:rPr>
      </w:pPr>
    </w:p>
    <w:p w14:paraId="77D51434" w14:textId="6FC74FBA" w:rsidR="005D6457" w:rsidRPr="00C83D9C" w:rsidRDefault="009A3468" w:rsidP="006C577E">
      <w:pPr>
        <w:snapToGrid w:val="0"/>
        <w:spacing w:line="360" w:lineRule="auto"/>
        <w:jc w:val="both"/>
        <w:rPr>
          <w:rFonts w:ascii="Book Antiqua" w:hAnsi="Book Antiqua" w:cs="Arial"/>
          <w:b/>
          <w:i/>
        </w:rPr>
      </w:pPr>
      <w:r w:rsidRPr="00C83D9C">
        <w:rPr>
          <w:rFonts w:ascii="Book Antiqua" w:hAnsi="Book Antiqua" w:cs="Arial"/>
          <w:b/>
          <w:i/>
        </w:rPr>
        <w:t>RESULTS</w:t>
      </w:r>
    </w:p>
    <w:p w14:paraId="45BEBBEE" w14:textId="42D202D2" w:rsidR="00C93815" w:rsidRPr="002E78B5" w:rsidRDefault="00C83D9C" w:rsidP="006C577E">
      <w:pPr>
        <w:snapToGrid w:val="0"/>
        <w:spacing w:line="360" w:lineRule="auto"/>
        <w:jc w:val="both"/>
        <w:rPr>
          <w:rFonts w:ascii="Book Antiqua" w:hAnsi="Book Antiqua" w:cs="Arial"/>
        </w:rPr>
      </w:pPr>
      <w:r>
        <w:rPr>
          <w:rFonts w:ascii="Book Antiqua" w:hAnsi="Book Antiqua" w:cs="Arial"/>
          <w:lang w:eastAsia="zh-CN"/>
        </w:rPr>
        <w:t>O</w:t>
      </w:r>
      <w:r>
        <w:rPr>
          <w:rFonts w:ascii="Book Antiqua" w:hAnsi="Book Antiqua" w:cs="Arial" w:hint="eastAsia"/>
          <w:lang w:eastAsia="zh-CN"/>
        </w:rPr>
        <w:t xml:space="preserve">f </w:t>
      </w:r>
      <w:r>
        <w:rPr>
          <w:rFonts w:ascii="Book Antiqua" w:hAnsi="Book Antiqua" w:cs="Arial"/>
        </w:rPr>
        <w:t>95</w:t>
      </w:r>
      <w:r w:rsidR="00C93815" w:rsidRPr="002E78B5">
        <w:rPr>
          <w:rFonts w:ascii="Book Antiqua" w:hAnsi="Book Antiqua" w:cs="Arial"/>
        </w:rPr>
        <w:t xml:space="preserve">055 patients accessed </w:t>
      </w:r>
      <w:r w:rsidR="00966014" w:rsidRPr="002E78B5">
        <w:rPr>
          <w:rFonts w:ascii="Book Antiqua" w:hAnsi="Book Antiqua" w:cs="Arial"/>
        </w:rPr>
        <w:t>hospital</w:t>
      </w:r>
      <w:r>
        <w:rPr>
          <w:rFonts w:ascii="Book Antiqua" w:hAnsi="Book Antiqua" w:cs="Arial"/>
        </w:rPr>
        <w:t xml:space="preserve"> services on 1760</w:t>
      </w:r>
      <w:r w:rsidR="00C93815" w:rsidRPr="002E78B5">
        <w:rPr>
          <w:rFonts w:ascii="Book Antiqua" w:hAnsi="Book Antiqua" w:cs="Arial"/>
        </w:rPr>
        <w:t xml:space="preserve">156 occasions over a 2-year follow-up period. The proportion of these encounters with their identified IBD </w:t>
      </w:r>
      <w:r>
        <w:rPr>
          <w:rFonts w:ascii="Book Antiqua" w:hAnsi="Book Antiqua" w:cs="Arial"/>
          <w:lang w:eastAsia="zh-CN"/>
        </w:rPr>
        <w:t>‘</w:t>
      </w:r>
      <w:r w:rsidR="00C93815" w:rsidRPr="002E78B5">
        <w:rPr>
          <w:rFonts w:ascii="Book Antiqua" w:hAnsi="Book Antiqua" w:cs="Arial"/>
        </w:rPr>
        <w:t>home provider</w:t>
      </w:r>
      <w:r>
        <w:rPr>
          <w:rFonts w:ascii="Book Antiqua" w:hAnsi="Book Antiqua" w:cs="Arial"/>
          <w:lang w:eastAsia="zh-CN"/>
        </w:rPr>
        <w:t>’</w:t>
      </w:r>
      <w:r w:rsidR="00C93815" w:rsidRPr="002E78B5">
        <w:rPr>
          <w:rFonts w:ascii="Book Antiqua" w:hAnsi="Book Antiqua" w:cs="Arial"/>
        </w:rPr>
        <w:t xml:space="preserve"> was 73.3%, 87.8% and 83.1% for accident and emergency, inpatient and outpatient encounters respectively. Patients living in metropolitan centres and </w:t>
      </w:r>
      <w:r w:rsidR="00C93815" w:rsidRPr="002E78B5">
        <w:rPr>
          <w:rFonts w:ascii="Book Antiqua" w:hAnsi="Book Antiqua" w:cs="Arial"/>
        </w:rPr>
        <w:lastRenderedPageBreak/>
        <w:t xml:space="preserve">younger patients were less likely to attend their ‘home provider’ for </w:t>
      </w:r>
      <w:r w:rsidR="00966014" w:rsidRPr="002E78B5">
        <w:rPr>
          <w:rFonts w:ascii="Book Antiqua" w:hAnsi="Book Antiqua" w:cs="Arial"/>
        </w:rPr>
        <w:t>hospital</w:t>
      </w:r>
      <w:r w:rsidR="00C93815" w:rsidRPr="002E78B5">
        <w:rPr>
          <w:rFonts w:ascii="Book Antiqua" w:hAnsi="Book Antiqua" w:cs="Arial"/>
        </w:rPr>
        <w:t xml:space="preserve"> services. The most commonly attended specialty services were gastroenterology, general surgery and ophthalmology.</w:t>
      </w:r>
    </w:p>
    <w:p w14:paraId="6D748004" w14:textId="38992EFD" w:rsidR="005D6457" w:rsidRPr="002E78B5" w:rsidRDefault="005D6457" w:rsidP="006C577E">
      <w:pPr>
        <w:snapToGrid w:val="0"/>
        <w:spacing w:line="360" w:lineRule="auto"/>
        <w:jc w:val="both"/>
        <w:rPr>
          <w:rFonts w:ascii="Book Antiqua" w:hAnsi="Book Antiqua" w:cs="Arial"/>
          <w:b/>
        </w:rPr>
      </w:pPr>
    </w:p>
    <w:p w14:paraId="170A36FB" w14:textId="7DEBF4F3" w:rsidR="009A3468" w:rsidRPr="00C83D9C" w:rsidRDefault="009A3468" w:rsidP="006C577E">
      <w:pPr>
        <w:snapToGrid w:val="0"/>
        <w:spacing w:line="360" w:lineRule="auto"/>
        <w:jc w:val="both"/>
        <w:rPr>
          <w:rFonts w:ascii="Book Antiqua" w:hAnsi="Book Antiqua" w:cs="Arial"/>
          <w:b/>
          <w:i/>
        </w:rPr>
      </w:pPr>
      <w:r w:rsidRPr="00C83D9C">
        <w:rPr>
          <w:rFonts w:ascii="Book Antiqua" w:hAnsi="Book Antiqua" w:cs="Arial"/>
          <w:b/>
          <w:i/>
        </w:rPr>
        <w:t>CONCLUSION</w:t>
      </w:r>
    </w:p>
    <w:p w14:paraId="50794AFF" w14:textId="7D071992" w:rsidR="00DE4848" w:rsidRPr="002E78B5" w:rsidRDefault="00C93815" w:rsidP="006C577E">
      <w:pPr>
        <w:snapToGrid w:val="0"/>
        <w:spacing w:line="360" w:lineRule="auto"/>
        <w:jc w:val="both"/>
        <w:rPr>
          <w:rFonts w:ascii="Book Antiqua" w:hAnsi="Book Antiqua" w:cs="Arial"/>
        </w:rPr>
      </w:pPr>
      <w:r w:rsidRPr="002E78B5">
        <w:rPr>
          <w:rFonts w:ascii="Book Antiqua" w:hAnsi="Book Antiqua" w:cs="Arial"/>
        </w:rPr>
        <w:t>Transitions of care between secondary care settings are common for patients with IBD. Effective systems of data-sharing and care integration are essential to providing safe and effective care for patients. Geographic and age-related patterns of care transitions identified in this study may be used to guide interventions aimed at improving continuity of care.</w:t>
      </w:r>
    </w:p>
    <w:p w14:paraId="146CEE3A" w14:textId="77777777" w:rsidR="009A3468" w:rsidRPr="002E78B5" w:rsidRDefault="009A3468" w:rsidP="006C577E">
      <w:pPr>
        <w:snapToGrid w:val="0"/>
        <w:spacing w:line="360" w:lineRule="auto"/>
        <w:jc w:val="both"/>
        <w:rPr>
          <w:rFonts w:ascii="Book Antiqua" w:hAnsi="Book Antiqua" w:cs="Arial"/>
        </w:rPr>
      </w:pPr>
    </w:p>
    <w:p w14:paraId="2031363F" w14:textId="7F908EC8" w:rsidR="009A3468" w:rsidRPr="002E78B5" w:rsidRDefault="00C83D9C" w:rsidP="006C577E">
      <w:pPr>
        <w:snapToGrid w:val="0"/>
        <w:spacing w:line="360" w:lineRule="auto"/>
        <w:jc w:val="both"/>
        <w:rPr>
          <w:rFonts w:ascii="Book Antiqua" w:hAnsi="Book Antiqua" w:cs="Arial"/>
          <w:b/>
        </w:rPr>
      </w:pPr>
      <w:r w:rsidRPr="00BC0909">
        <w:rPr>
          <w:rFonts w:ascii="Book Antiqua" w:hAnsi="Book Antiqua"/>
          <w:b/>
          <w:color w:val="000000"/>
        </w:rPr>
        <w:t>Key words:</w:t>
      </w:r>
      <w:r w:rsidR="009A3468" w:rsidRPr="002E78B5">
        <w:rPr>
          <w:rFonts w:ascii="Book Antiqua" w:hAnsi="Book Antiqua" w:cs="Arial"/>
          <w:b/>
        </w:rPr>
        <w:t xml:space="preserve"> </w:t>
      </w:r>
      <w:bookmarkStart w:id="20" w:name="OLE_LINK406"/>
      <w:r>
        <w:rPr>
          <w:rFonts w:ascii="Book Antiqua" w:hAnsi="Book Antiqua" w:cs="Arial"/>
        </w:rPr>
        <w:t>Inflammatory bowel disease</w:t>
      </w:r>
      <w:r>
        <w:rPr>
          <w:rFonts w:ascii="Book Antiqua" w:hAnsi="Book Antiqua" w:cs="Arial" w:hint="eastAsia"/>
          <w:lang w:eastAsia="zh-CN"/>
        </w:rPr>
        <w:t>;</w:t>
      </w:r>
      <w:r>
        <w:rPr>
          <w:rFonts w:ascii="Book Antiqua" w:hAnsi="Book Antiqua" w:cs="Arial"/>
        </w:rPr>
        <w:t xml:space="preserve"> Crohn’s disease</w:t>
      </w:r>
      <w:r>
        <w:rPr>
          <w:rFonts w:ascii="Book Antiqua" w:hAnsi="Book Antiqua" w:cs="Arial" w:hint="eastAsia"/>
          <w:lang w:eastAsia="zh-CN"/>
        </w:rPr>
        <w:t>;</w:t>
      </w:r>
      <w:r w:rsidR="00A735B8" w:rsidRPr="002E78B5">
        <w:rPr>
          <w:rFonts w:ascii="Book Antiqua" w:hAnsi="Book Antiqua" w:cs="Arial"/>
        </w:rPr>
        <w:t xml:space="preserve"> </w:t>
      </w:r>
      <w:r w:rsidRPr="002E78B5">
        <w:rPr>
          <w:rFonts w:ascii="Book Antiqua" w:hAnsi="Book Antiqua" w:cs="Arial"/>
        </w:rPr>
        <w:t>U</w:t>
      </w:r>
      <w:r w:rsidR="00A735B8" w:rsidRPr="002E78B5">
        <w:rPr>
          <w:rFonts w:ascii="Book Antiqua" w:hAnsi="Book Antiqua" w:cs="Arial"/>
        </w:rPr>
        <w:t>lcerative colitis</w:t>
      </w:r>
      <w:r>
        <w:rPr>
          <w:rFonts w:ascii="Book Antiqua" w:hAnsi="Book Antiqua" w:cs="Arial" w:hint="eastAsia"/>
          <w:lang w:eastAsia="zh-CN"/>
        </w:rPr>
        <w:t>;</w:t>
      </w:r>
      <w:r>
        <w:rPr>
          <w:rFonts w:ascii="Book Antiqua" w:hAnsi="Book Antiqua" w:cs="Arial"/>
        </w:rPr>
        <w:t xml:space="preserve"> Transitions of care</w:t>
      </w:r>
      <w:r>
        <w:rPr>
          <w:rFonts w:ascii="Book Antiqua" w:hAnsi="Book Antiqua" w:cs="Arial" w:hint="eastAsia"/>
          <w:lang w:eastAsia="zh-CN"/>
        </w:rPr>
        <w:t>;</w:t>
      </w:r>
      <w:r w:rsidR="009A3468" w:rsidRPr="002E78B5">
        <w:rPr>
          <w:rFonts w:ascii="Book Antiqua" w:hAnsi="Book Antiqua" w:cs="Arial"/>
        </w:rPr>
        <w:t xml:space="preserve"> </w:t>
      </w:r>
      <w:r w:rsidRPr="002E78B5">
        <w:rPr>
          <w:rFonts w:ascii="Book Antiqua" w:hAnsi="Book Antiqua" w:cs="Arial"/>
        </w:rPr>
        <w:t>C</w:t>
      </w:r>
      <w:r w:rsidR="009A3468" w:rsidRPr="002E78B5">
        <w:rPr>
          <w:rFonts w:ascii="Book Antiqua" w:hAnsi="Book Antiqua" w:cs="Arial"/>
        </w:rPr>
        <w:t>ontinuity of care</w:t>
      </w:r>
      <w:r>
        <w:rPr>
          <w:rFonts w:ascii="Book Antiqua" w:hAnsi="Book Antiqua" w:cs="Arial" w:hint="eastAsia"/>
          <w:lang w:eastAsia="zh-CN"/>
        </w:rPr>
        <w:t>;</w:t>
      </w:r>
      <w:r w:rsidR="00A735B8" w:rsidRPr="002E78B5">
        <w:rPr>
          <w:rFonts w:ascii="Book Antiqua" w:hAnsi="Book Antiqua" w:cs="Arial"/>
        </w:rPr>
        <w:t xml:space="preserve"> </w:t>
      </w:r>
      <w:r w:rsidRPr="002E78B5">
        <w:rPr>
          <w:rFonts w:ascii="Book Antiqua" w:hAnsi="Book Antiqua" w:cs="Arial"/>
        </w:rPr>
        <w:t>F</w:t>
      </w:r>
      <w:r>
        <w:rPr>
          <w:rFonts w:ascii="Book Antiqua" w:hAnsi="Book Antiqua" w:cs="Arial"/>
        </w:rPr>
        <w:t>ragmentation</w:t>
      </w:r>
      <w:r>
        <w:rPr>
          <w:rFonts w:ascii="Book Antiqua" w:hAnsi="Book Antiqua" w:cs="Arial" w:hint="eastAsia"/>
          <w:lang w:eastAsia="zh-CN"/>
        </w:rPr>
        <w:t>;</w:t>
      </w:r>
      <w:r w:rsidR="00A735B8" w:rsidRPr="002E78B5">
        <w:rPr>
          <w:rFonts w:ascii="Book Antiqua" w:hAnsi="Book Antiqua" w:cs="Arial"/>
        </w:rPr>
        <w:t xml:space="preserve"> </w:t>
      </w:r>
      <w:r w:rsidRPr="002E78B5">
        <w:rPr>
          <w:rFonts w:ascii="Book Antiqua" w:hAnsi="Book Antiqua" w:cs="Arial"/>
        </w:rPr>
        <w:t>M</w:t>
      </w:r>
      <w:r w:rsidR="00A735B8" w:rsidRPr="002E78B5">
        <w:rPr>
          <w:rFonts w:ascii="Book Antiqua" w:hAnsi="Book Antiqua" w:cs="Arial"/>
        </w:rPr>
        <w:t>ulti-morbidity</w:t>
      </w:r>
      <w:bookmarkEnd w:id="20"/>
    </w:p>
    <w:p w14:paraId="22720AC7" w14:textId="77777777" w:rsidR="009A3468" w:rsidRDefault="009A3468" w:rsidP="006C577E">
      <w:pPr>
        <w:snapToGrid w:val="0"/>
        <w:spacing w:line="360" w:lineRule="auto"/>
        <w:jc w:val="both"/>
        <w:rPr>
          <w:rFonts w:ascii="Book Antiqua" w:eastAsiaTheme="minorEastAsia" w:hAnsi="Book Antiqua" w:cs="Arial"/>
          <w:lang w:eastAsia="zh-CN"/>
        </w:rPr>
      </w:pPr>
    </w:p>
    <w:p w14:paraId="69645C3F" w14:textId="77777777" w:rsidR="00C83D9C" w:rsidRPr="00663BB7" w:rsidRDefault="00C83D9C" w:rsidP="006C577E">
      <w:pPr>
        <w:snapToGrid w:val="0"/>
        <w:spacing w:line="360" w:lineRule="auto"/>
        <w:rPr>
          <w:rFonts w:ascii="Book Antiqua" w:hAnsi="Book Antiqua"/>
          <w:i/>
          <w:iCs/>
        </w:rPr>
      </w:pPr>
      <w:bookmarkStart w:id="21" w:name="OLE_LINK163"/>
      <w:bookmarkStart w:id="22" w:name="OLE_LINK168"/>
      <w:bookmarkStart w:id="23" w:name="OLE_LINK267"/>
      <w:bookmarkStart w:id="24" w:name="OLE_LINK263"/>
      <w:bookmarkStart w:id="25" w:name="OLE_LINK275"/>
      <w:bookmarkStart w:id="26" w:name="OLE_LINK407"/>
      <w:r w:rsidRPr="00663BB7">
        <w:rPr>
          <w:rFonts w:ascii="Book Antiqua" w:hAnsi="Book Antiqua" w:cs="Tahoma"/>
          <w:b/>
          <w:color w:val="000000"/>
          <w:lang w:val="en-GB" w:eastAsia="ja-JP"/>
        </w:rPr>
        <w:t xml:space="preserve">© </w:t>
      </w:r>
      <w:r w:rsidRPr="00663BB7">
        <w:rPr>
          <w:rFonts w:ascii="Book Antiqua" w:eastAsia="AdvTimes" w:hAnsi="Book Antiqua" w:cs="AdvTimes"/>
          <w:b/>
          <w:color w:val="000000"/>
          <w:lang w:val="fr-FR" w:eastAsia="ja-JP"/>
        </w:rPr>
        <w:t xml:space="preserve">The Author(s) </w:t>
      </w:r>
      <w:r w:rsidRPr="00663BB7">
        <w:rPr>
          <w:rFonts w:ascii="Book Antiqua" w:hAnsi="Book Antiqua" w:cs="AdvTimes"/>
          <w:b/>
          <w:color w:val="000000"/>
          <w:lang w:val="fr-FR"/>
        </w:rPr>
        <w:t>2019</w:t>
      </w:r>
      <w:r w:rsidRPr="00663BB7">
        <w:rPr>
          <w:rFonts w:ascii="Book Antiqua" w:eastAsia="AdvTimes" w:hAnsi="Book Antiqua" w:cs="AdvTimes"/>
          <w:b/>
          <w:color w:val="000000"/>
          <w:lang w:val="fr-FR" w:eastAsia="ja-JP"/>
        </w:rPr>
        <w:t>.</w:t>
      </w:r>
      <w:r w:rsidRPr="00663BB7">
        <w:rPr>
          <w:rFonts w:ascii="Book Antiqua" w:eastAsia="AdvTimes" w:hAnsi="Book Antiqua" w:cs="AdvTimes"/>
          <w:color w:val="000000"/>
          <w:lang w:val="fr-FR" w:eastAsia="ja-JP"/>
        </w:rPr>
        <w:t xml:space="preserve"> </w:t>
      </w:r>
      <w:proofErr w:type="spellStart"/>
      <w:r w:rsidRPr="00663BB7">
        <w:rPr>
          <w:rFonts w:ascii="Book Antiqua" w:eastAsia="AdvTimes" w:hAnsi="Book Antiqua" w:cs="AdvTimes"/>
          <w:color w:val="000000"/>
          <w:lang w:val="fr-FR" w:eastAsia="ja-JP"/>
        </w:rPr>
        <w:t>Published</w:t>
      </w:r>
      <w:proofErr w:type="spellEnd"/>
      <w:r w:rsidRPr="00663BB7">
        <w:rPr>
          <w:rFonts w:ascii="Book Antiqua" w:eastAsia="AdvTimes" w:hAnsi="Book Antiqua" w:cs="AdvTimes"/>
          <w:color w:val="000000"/>
          <w:lang w:val="fr-FR" w:eastAsia="ja-JP"/>
        </w:rPr>
        <w:t xml:space="preserve"> by </w:t>
      </w:r>
      <w:proofErr w:type="spellStart"/>
      <w:r w:rsidRPr="00663BB7">
        <w:rPr>
          <w:rFonts w:ascii="Book Antiqua" w:hAnsi="Book Antiqua" w:cs="Arial Unicode MS"/>
          <w:color w:val="000000"/>
          <w:lang w:val="en-GB" w:eastAsia="ja-JP"/>
        </w:rPr>
        <w:t>Baishideng</w:t>
      </w:r>
      <w:proofErr w:type="spellEnd"/>
      <w:r w:rsidRPr="00663BB7">
        <w:rPr>
          <w:rFonts w:ascii="Book Antiqua" w:hAnsi="Book Antiqua" w:cs="Arial Unicode MS"/>
          <w:color w:val="000000"/>
          <w:lang w:val="en-GB" w:eastAsia="ja-JP"/>
        </w:rPr>
        <w:t xml:space="preserve"> Publishing Group Inc.</w:t>
      </w:r>
      <w:r w:rsidRPr="00663BB7">
        <w:rPr>
          <w:rFonts w:ascii="Book Antiqua" w:hAnsi="Book Antiqua" w:cs="Arial Unicode MS"/>
          <w:lang w:val="en-GB" w:eastAsia="ja-JP"/>
        </w:rPr>
        <w:t xml:space="preserve"> </w:t>
      </w:r>
      <w:r w:rsidRPr="00663BB7">
        <w:rPr>
          <w:rFonts w:ascii="Book Antiqua" w:hAnsi="Book Antiqua" w:cs="Arial Unicode MS"/>
          <w:lang w:val="fr-FR" w:eastAsia="ja-JP"/>
        </w:rPr>
        <w:t>All rights reserved</w:t>
      </w:r>
      <w:r w:rsidRPr="00663BB7">
        <w:rPr>
          <w:rFonts w:ascii="Book Antiqua" w:hAnsi="Book Antiqua" w:cs="Arial Unicode MS"/>
          <w:lang w:val="fr-FR"/>
        </w:rPr>
        <w:t>.</w:t>
      </w:r>
    </w:p>
    <w:bookmarkEnd w:id="21"/>
    <w:bookmarkEnd w:id="22"/>
    <w:bookmarkEnd w:id="23"/>
    <w:bookmarkEnd w:id="24"/>
    <w:bookmarkEnd w:id="25"/>
    <w:bookmarkEnd w:id="26"/>
    <w:p w14:paraId="67C27E4C" w14:textId="77777777" w:rsidR="00C83D9C" w:rsidRPr="00C83D9C" w:rsidRDefault="00C83D9C" w:rsidP="006C577E">
      <w:pPr>
        <w:snapToGrid w:val="0"/>
        <w:spacing w:line="360" w:lineRule="auto"/>
        <w:jc w:val="both"/>
        <w:rPr>
          <w:rFonts w:ascii="Book Antiqua" w:eastAsiaTheme="minorEastAsia" w:hAnsi="Book Antiqua" w:cs="Arial"/>
          <w:lang w:eastAsia="zh-CN"/>
        </w:rPr>
      </w:pPr>
    </w:p>
    <w:p w14:paraId="215527FF" w14:textId="079592D5" w:rsidR="001C107F" w:rsidRPr="00C83D9C" w:rsidRDefault="009A3468" w:rsidP="006C577E">
      <w:pPr>
        <w:snapToGrid w:val="0"/>
        <w:spacing w:line="360" w:lineRule="auto"/>
        <w:jc w:val="both"/>
        <w:rPr>
          <w:rFonts w:ascii="Book Antiqua" w:hAnsi="Book Antiqua" w:cs="Arial"/>
          <w:b/>
        </w:rPr>
      </w:pPr>
      <w:r w:rsidRPr="002E78B5">
        <w:rPr>
          <w:rFonts w:ascii="Book Antiqua" w:hAnsi="Book Antiqua" w:cs="Arial"/>
          <w:b/>
        </w:rPr>
        <w:t>Core tip:</w:t>
      </w:r>
      <w:r w:rsidR="00C83D9C">
        <w:rPr>
          <w:rFonts w:ascii="Book Antiqua" w:eastAsiaTheme="minorEastAsia" w:hAnsi="Book Antiqua" w:cs="Arial" w:hint="eastAsia"/>
          <w:b/>
          <w:lang w:eastAsia="zh-CN"/>
        </w:rPr>
        <w:t xml:space="preserve"> </w:t>
      </w:r>
      <w:r w:rsidR="00C37885" w:rsidRPr="002E78B5">
        <w:rPr>
          <w:rFonts w:ascii="Book Antiqua" w:hAnsi="Book Antiqua" w:cs="Arial"/>
        </w:rPr>
        <w:t xml:space="preserve">Patients with </w:t>
      </w:r>
      <w:r w:rsidR="006C577E" w:rsidRPr="002E78B5">
        <w:rPr>
          <w:rFonts w:ascii="Book Antiqua" w:eastAsiaTheme="minorEastAsia" w:hAnsi="Book Antiqua" w:cs="Arial"/>
          <w:color w:val="000000" w:themeColor="text1"/>
          <w:lang w:eastAsia="zh-CN"/>
        </w:rPr>
        <w:t>Inflammatory bowel disease (IBD)</w:t>
      </w:r>
      <w:r w:rsidR="006C577E">
        <w:rPr>
          <w:rFonts w:ascii="Book Antiqua" w:eastAsiaTheme="minorEastAsia" w:hAnsi="Book Antiqua" w:cs="Arial" w:hint="eastAsia"/>
          <w:lang w:eastAsia="zh-CN"/>
        </w:rPr>
        <w:t xml:space="preserve"> </w:t>
      </w:r>
      <w:r w:rsidR="00C37885" w:rsidRPr="002E78B5">
        <w:rPr>
          <w:rFonts w:ascii="Book Antiqua" w:hAnsi="Book Antiqua" w:cs="Arial"/>
        </w:rPr>
        <w:t xml:space="preserve">are often exposed to transitions of care between providers and settings which negatively impacts care continuity. </w:t>
      </w:r>
      <w:r w:rsidR="00CB6349" w:rsidRPr="002E78B5">
        <w:rPr>
          <w:rFonts w:ascii="Book Antiqua" w:hAnsi="Book Antiqua" w:cs="Arial"/>
        </w:rPr>
        <w:t xml:space="preserve">This </w:t>
      </w:r>
      <w:r w:rsidR="00647AFA" w:rsidRPr="002E78B5">
        <w:rPr>
          <w:rFonts w:ascii="Book Antiqua" w:hAnsi="Book Antiqua" w:cs="Arial"/>
        </w:rPr>
        <w:t xml:space="preserve">is the first paper to identify and measure the location and type of </w:t>
      </w:r>
      <w:r w:rsidR="00966014" w:rsidRPr="002E78B5">
        <w:rPr>
          <w:rFonts w:ascii="Book Antiqua" w:hAnsi="Book Antiqua" w:cs="Arial"/>
        </w:rPr>
        <w:t>hospital</w:t>
      </w:r>
      <w:r w:rsidR="00CB6349" w:rsidRPr="002E78B5">
        <w:rPr>
          <w:rFonts w:ascii="Book Antiqua" w:hAnsi="Book Antiqua" w:cs="Arial"/>
        </w:rPr>
        <w:t xml:space="preserve"> </w:t>
      </w:r>
      <w:r w:rsidR="00647AFA" w:rsidRPr="002E78B5">
        <w:rPr>
          <w:rFonts w:ascii="Book Antiqua" w:hAnsi="Book Antiqua" w:cs="Arial"/>
        </w:rPr>
        <w:t xml:space="preserve">encounters for </w:t>
      </w:r>
      <w:r w:rsidR="006C577E" w:rsidRPr="002E78B5">
        <w:rPr>
          <w:rFonts w:ascii="Book Antiqua" w:eastAsiaTheme="minorEastAsia" w:hAnsi="Book Antiqua" w:cs="Arial"/>
          <w:color w:val="000000" w:themeColor="text1"/>
          <w:lang w:eastAsia="zh-CN"/>
        </w:rPr>
        <w:t>IBD</w:t>
      </w:r>
      <w:r w:rsidR="006C577E">
        <w:rPr>
          <w:rFonts w:ascii="Book Antiqua" w:eastAsiaTheme="minorEastAsia" w:hAnsi="Book Antiqua" w:cs="Arial" w:hint="eastAsia"/>
          <w:lang w:eastAsia="zh-CN"/>
        </w:rPr>
        <w:t xml:space="preserve"> </w:t>
      </w:r>
      <w:r w:rsidR="00647AFA" w:rsidRPr="002E78B5">
        <w:rPr>
          <w:rFonts w:ascii="Book Antiqua" w:hAnsi="Book Antiqua" w:cs="Arial"/>
        </w:rPr>
        <w:t>patients</w:t>
      </w:r>
      <w:r w:rsidR="004C38FE" w:rsidRPr="002E78B5">
        <w:rPr>
          <w:rFonts w:ascii="Book Antiqua" w:hAnsi="Book Antiqua" w:cs="Arial"/>
        </w:rPr>
        <w:t xml:space="preserve"> in England</w:t>
      </w:r>
      <w:r w:rsidR="00647AFA" w:rsidRPr="002E78B5">
        <w:rPr>
          <w:rFonts w:ascii="Book Antiqua" w:hAnsi="Book Antiqua" w:cs="Arial"/>
        </w:rPr>
        <w:t xml:space="preserve"> at a National level.</w:t>
      </w:r>
      <w:r w:rsidR="00CB6349" w:rsidRPr="002E78B5">
        <w:rPr>
          <w:rFonts w:ascii="Book Antiqua" w:hAnsi="Book Antiqua" w:cs="Arial"/>
        </w:rPr>
        <w:t xml:space="preserve"> </w:t>
      </w:r>
      <w:r w:rsidR="007421CB" w:rsidRPr="002E78B5">
        <w:rPr>
          <w:rFonts w:ascii="Book Antiqua" w:hAnsi="Book Antiqua" w:cs="Arial"/>
        </w:rPr>
        <w:t>Patterns of care identified in this study</w:t>
      </w:r>
      <w:r w:rsidR="00CB6349" w:rsidRPr="002E78B5">
        <w:rPr>
          <w:rFonts w:ascii="Book Antiqua" w:hAnsi="Book Antiqua" w:cs="Arial"/>
        </w:rPr>
        <w:t xml:space="preserve"> are important to guide </w:t>
      </w:r>
      <w:r w:rsidR="004C38FE" w:rsidRPr="002E78B5">
        <w:rPr>
          <w:rFonts w:ascii="Book Antiqua" w:hAnsi="Book Antiqua" w:cs="Arial"/>
        </w:rPr>
        <w:t xml:space="preserve">the exchange of health information </w:t>
      </w:r>
      <w:r w:rsidR="00680A11" w:rsidRPr="002E78B5">
        <w:rPr>
          <w:rFonts w:ascii="Book Antiqua" w:hAnsi="Book Antiqua" w:cs="Arial"/>
        </w:rPr>
        <w:t xml:space="preserve">between providers </w:t>
      </w:r>
      <w:r w:rsidR="004C38FE" w:rsidRPr="002E78B5">
        <w:rPr>
          <w:rFonts w:ascii="Book Antiqua" w:hAnsi="Book Antiqua" w:cs="Arial"/>
        </w:rPr>
        <w:t>to</w:t>
      </w:r>
      <w:r w:rsidR="00CB6349" w:rsidRPr="002E78B5">
        <w:rPr>
          <w:rFonts w:ascii="Book Antiqua" w:hAnsi="Book Antiqua" w:cs="Arial"/>
        </w:rPr>
        <w:t xml:space="preserve"> ensure safe, high quality care for patients with </w:t>
      </w:r>
      <w:r w:rsidR="006C577E" w:rsidRPr="002E78B5">
        <w:rPr>
          <w:rFonts w:ascii="Book Antiqua" w:eastAsiaTheme="minorEastAsia" w:hAnsi="Book Antiqua" w:cs="Arial"/>
          <w:color w:val="000000" w:themeColor="text1"/>
          <w:lang w:eastAsia="zh-CN"/>
        </w:rPr>
        <w:t>IBD</w:t>
      </w:r>
      <w:r w:rsidR="00CB6349" w:rsidRPr="002E78B5">
        <w:rPr>
          <w:rFonts w:ascii="Book Antiqua" w:hAnsi="Book Antiqua" w:cs="Arial"/>
        </w:rPr>
        <w:t>.</w:t>
      </w:r>
    </w:p>
    <w:p w14:paraId="1CFFD0E5" w14:textId="77777777" w:rsidR="00C52159" w:rsidRPr="002E78B5" w:rsidRDefault="00C52159" w:rsidP="006C577E">
      <w:pPr>
        <w:snapToGrid w:val="0"/>
        <w:spacing w:line="360" w:lineRule="auto"/>
        <w:jc w:val="both"/>
        <w:rPr>
          <w:rFonts w:ascii="Book Antiqua" w:eastAsiaTheme="minorEastAsia" w:hAnsi="Book Antiqua" w:cs="Arial"/>
          <w:lang w:eastAsia="zh-CN"/>
        </w:rPr>
      </w:pPr>
    </w:p>
    <w:p w14:paraId="6D65648C" w14:textId="166E5C0D" w:rsidR="007421CB" w:rsidRPr="00C83D9C" w:rsidRDefault="0072600C" w:rsidP="006C577E">
      <w:pPr>
        <w:snapToGrid w:val="0"/>
        <w:spacing w:line="360" w:lineRule="auto"/>
        <w:jc w:val="both"/>
        <w:rPr>
          <w:rFonts w:ascii="Book Antiqua" w:eastAsiaTheme="minorEastAsia" w:hAnsi="Book Antiqua" w:cs="Arial"/>
          <w:lang w:eastAsia="zh-CN"/>
        </w:rPr>
      </w:pPr>
      <w:r w:rsidRPr="002E78B5">
        <w:rPr>
          <w:rFonts w:ascii="Book Antiqua" w:hAnsi="Book Antiqua" w:cs="Arial"/>
        </w:rPr>
        <w:t xml:space="preserve">Warren LR, Clarke JM, Arora S, Barahona M, </w:t>
      </w:r>
      <w:proofErr w:type="spellStart"/>
      <w:r w:rsidRPr="002E78B5">
        <w:rPr>
          <w:rFonts w:ascii="Book Antiqua" w:hAnsi="Book Antiqua" w:cs="Arial"/>
        </w:rPr>
        <w:t>Arebi</w:t>
      </w:r>
      <w:proofErr w:type="spellEnd"/>
      <w:r w:rsidRPr="002E78B5">
        <w:rPr>
          <w:rFonts w:ascii="Book Antiqua" w:hAnsi="Book Antiqua" w:cs="Arial"/>
        </w:rPr>
        <w:t xml:space="preserve"> N, Darzi A.</w:t>
      </w:r>
      <w:r w:rsidR="00C83D9C" w:rsidRPr="00C83D9C">
        <w:rPr>
          <w:rFonts w:ascii="Book Antiqua" w:hAnsi="Book Antiqua" w:cs="Arial"/>
        </w:rPr>
        <w:t xml:space="preserve"> Transitions of care across hospital settings in patients with inflammatory bowel disease</w:t>
      </w:r>
      <w:r w:rsidR="00C83D9C">
        <w:rPr>
          <w:rFonts w:ascii="Book Antiqua" w:hAnsi="Book Antiqua" w:cs="Arial" w:hint="eastAsia"/>
          <w:lang w:eastAsia="zh-CN"/>
        </w:rPr>
        <w:t xml:space="preserve">. </w:t>
      </w:r>
      <w:r w:rsidR="00C83D9C" w:rsidRPr="002E78B5">
        <w:rPr>
          <w:rFonts w:ascii="Book Antiqua" w:hAnsi="Book Antiqua" w:cs="SimSun"/>
          <w:i/>
          <w:color w:val="000000"/>
        </w:rPr>
        <w:t>World J Gastroenterol</w:t>
      </w:r>
      <w:r w:rsidR="00C83D9C">
        <w:rPr>
          <w:rFonts w:ascii="Book Antiqua" w:hAnsi="Book Antiqua" w:cs="SimSun" w:hint="eastAsia"/>
          <w:i/>
          <w:color w:val="000000"/>
          <w:lang w:eastAsia="zh-CN"/>
        </w:rPr>
        <w:t xml:space="preserve"> </w:t>
      </w:r>
      <w:r w:rsidR="00C83D9C">
        <w:rPr>
          <w:rFonts w:ascii="Book Antiqua" w:hAnsi="Book Antiqua" w:cs="SimSun" w:hint="eastAsia"/>
          <w:color w:val="000000"/>
          <w:lang w:eastAsia="zh-CN"/>
        </w:rPr>
        <w:t>2019; In press</w:t>
      </w:r>
    </w:p>
    <w:p w14:paraId="6FD2DAA2" w14:textId="41879CE6" w:rsidR="00C52159" w:rsidRPr="002E78B5" w:rsidRDefault="00C52159" w:rsidP="006C577E">
      <w:pPr>
        <w:snapToGrid w:val="0"/>
        <w:spacing w:line="360" w:lineRule="auto"/>
        <w:jc w:val="both"/>
        <w:rPr>
          <w:rFonts w:ascii="Book Antiqua" w:hAnsi="Book Antiqua" w:cs="Arial"/>
        </w:rPr>
      </w:pPr>
      <w:r w:rsidRPr="002E78B5">
        <w:rPr>
          <w:rFonts w:ascii="Book Antiqua" w:hAnsi="Book Antiqua" w:cs="Arial"/>
        </w:rPr>
        <w:br w:type="page"/>
      </w:r>
    </w:p>
    <w:p w14:paraId="324847F6" w14:textId="493EC503" w:rsidR="006D7853" w:rsidRPr="002E78B5" w:rsidRDefault="00D47972" w:rsidP="006C577E">
      <w:pPr>
        <w:snapToGrid w:val="0"/>
        <w:spacing w:line="360" w:lineRule="auto"/>
        <w:jc w:val="both"/>
        <w:rPr>
          <w:rFonts w:ascii="Book Antiqua" w:hAnsi="Book Antiqua" w:cs="Arial"/>
          <w:b/>
        </w:rPr>
      </w:pPr>
      <w:r w:rsidRPr="002E78B5">
        <w:rPr>
          <w:rFonts w:ascii="Book Antiqua" w:hAnsi="Book Antiqua" w:cs="Arial"/>
          <w:b/>
        </w:rPr>
        <w:lastRenderedPageBreak/>
        <w:t>INTRODUCTION</w:t>
      </w:r>
    </w:p>
    <w:p w14:paraId="2B7C33D1" w14:textId="0818CFEC" w:rsidR="00DF04A8" w:rsidRPr="002E78B5" w:rsidRDefault="00DF04A8" w:rsidP="006C577E">
      <w:pPr>
        <w:snapToGrid w:val="0"/>
        <w:spacing w:line="360" w:lineRule="auto"/>
        <w:jc w:val="both"/>
        <w:rPr>
          <w:rFonts w:ascii="Book Antiqua" w:hAnsi="Book Antiqua" w:cs="Arial"/>
          <w:b/>
          <w:i/>
        </w:rPr>
      </w:pPr>
      <w:r w:rsidRPr="002E78B5">
        <w:rPr>
          <w:rFonts w:ascii="Book Antiqua" w:hAnsi="Book Antiqua" w:cs="Arial"/>
          <w:b/>
          <w:i/>
        </w:rPr>
        <w:t>Inflammatory bowel disease</w:t>
      </w:r>
    </w:p>
    <w:p w14:paraId="56DCB2D7" w14:textId="1D493719" w:rsidR="00DF04A8" w:rsidRPr="00D011DD" w:rsidRDefault="00D011DD" w:rsidP="006C577E">
      <w:pPr>
        <w:snapToGrid w:val="0"/>
        <w:spacing w:line="360" w:lineRule="auto"/>
        <w:jc w:val="both"/>
        <w:rPr>
          <w:rFonts w:ascii="Book Antiqua" w:hAnsi="Book Antiqua" w:cs="Arial"/>
          <w:b/>
          <w:i/>
        </w:rPr>
      </w:pPr>
      <w:r w:rsidRPr="00D011DD">
        <w:rPr>
          <w:rFonts w:ascii="Book Antiqua" w:hAnsi="Book Antiqua" w:cs="Arial"/>
        </w:rPr>
        <w:t>Inflammatory bowel disease</w:t>
      </w:r>
      <w:r w:rsidR="006D7853" w:rsidRPr="002E78B5">
        <w:rPr>
          <w:rFonts w:ascii="Book Antiqua" w:hAnsi="Book Antiqua" w:cs="Arial"/>
        </w:rPr>
        <w:t xml:space="preserve"> (IBD) </w:t>
      </w:r>
      <w:r w:rsidR="00AC1EB6" w:rsidRPr="002E78B5">
        <w:rPr>
          <w:rFonts w:ascii="Book Antiqua" w:hAnsi="Book Antiqua" w:cs="Arial"/>
        </w:rPr>
        <w:t xml:space="preserve">includes </w:t>
      </w:r>
      <w:r w:rsidR="006D7853" w:rsidRPr="002E78B5">
        <w:rPr>
          <w:rFonts w:ascii="Book Antiqua" w:hAnsi="Book Antiqua" w:cs="Arial"/>
        </w:rPr>
        <w:t>the chronic relapsing inflamm</w:t>
      </w:r>
      <w:r>
        <w:rPr>
          <w:rFonts w:ascii="Book Antiqua" w:hAnsi="Book Antiqua" w:cs="Arial"/>
        </w:rPr>
        <w:t>atory disorders Crohn’s disease and ulcerative colitis</w:t>
      </w:r>
      <w:r w:rsidR="007F2DB2" w:rsidRPr="002E78B5">
        <w:rPr>
          <w:rFonts w:ascii="Book Antiqua" w:hAnsi="Book Antiqua" w:cs="Arial"/>
        </w:rPr>
        <w:fldChar w:fldCharType="begin" w:fldLock="1"/>
      </w:r>
      <w:r w:rsidR="007421CB" w:rsidRPr="002E78B5">
        <w:rPr>
          <w:rFonts w:ascii="Book Antiqua" w:hAnsi="Book Antiqua" w:cs="Arial"/>
        </w:rPr>
        <w:instrText>ADDIN CSL_CITATION {"citationItems":[{"id":"ITEM-1","itemData":{"DOI":"10.1038/nature10209","ISBN":"0147-958X (Print)\\r0147-958X (Linking)","ISSN":"1476-4687","PMID":"21677747","abstract":"Recent advances have provided substantial insight into the maintenance of mucosal immunity and the pathogenesis of inflammatory bowel disease. Cellular programs responsible for intestinal homeostasis use diverse intracellular and intercellular networks to promote immune tolerance, inflammation or epithelial restitution. Complex interfaces integrate local host and microbial signals to activate appropriate effector programs selectively and even drive plasticity between these programs. In addition, genetic studies and mouse models have emphasized the role of genetic predispositions and how they affect interactions with microbial and environmental factors, leading to pro-colitogenic perturbations of the host-commensal relationship.","author":[{"dropping-particle":"","family":"Khor","given":"Bernard","non-dropping-particle":"","parse-names":false,"suffix":""},{"dropping-particle":"","family":"Gardet","given":"Agnès","non-dropping-particle":"","parse-names":false,"suffix":""},{"dropping-particle":"","family":"Xavier","given":"Ramnik J","non-dropping-particle":"","parse-names":false,"suffix":""}],"container-title":"Nature","id":"ITEM-1","issue":"7351","issued":{"date-parts":[["2011"]]},"page":"307-17","title":"Genetics and pathogenesis of inflammatory bowel disease.","type":"article-journal","volume":"474"},"uris":["http://www.mendeley.com/documents/?uuid=cb54bcaf-96c5-467e-887a-db0f35eac5e8"]}],"mendeley":{"formattedCitation":"&lt;sup&gt;[1]&lt;/sup&gt;","plainTextFormattedCitation":"[1]","previouslyFormattedCitation":"&lt;sup&gt;[1]&lt;/sup&gt;"},"properties":{"noteIndex":0},"schema":"https://github.com/citation-style-language/schema/raw/master/csl-citation.json"}</w:instrText>
      </w:r>
      <w:r w:rsidR="007F2DB2" w:rsidRPr="002E78B5">
        <w:rPr>
          <w:rFonts w:ascii="Book Antiqua" w:hAnsi="Book Antiqua" w:cs="Arial"/>
        </w:rPr>
        <w:fldChar w:fldCharType="separate"/>
      </w:r>
      <w:r w:rsidR="0072600C" w:rsidRPr="002E78B5">
        <w:rPr>
          <w:rFonts w:ascii="Book Antiqua" w:hAnsi="Book Antiqua" w:cs="Arial"/>
          <w:noProof/>
          <w:vertAlign w:val="superscript"/>
        </w:rPr>
        <w:t>[1]</w:t>
      </w:r>
      <w:r w:rsidR="007F2DB2" w:rsidRPr="002E78B5">
        <w:rPr>
          <w:rFonts w:ascii="Book Antiqua" w:hAnsi="Book Antiqua" w:cs="Arial"/>
        </w:rPr>
        <w:fldChar w:fldCharType="end"/>
      </w:r>
      <w:r w:rsidR="007F2DB2" w:rsidRPr="002E78B5">
        <w:rPr>
          <w:rFonts w:ascii="Book Antiqua" w:hAnsi="Book Antiqua" w:cs="Arial"/>
        </w:rPr>
        <w:t>. Th</w:t>
      </w:r>
      <w:r w:rsidR="006D7853" w:rsidRPr="002E78B5">
        <w:rPr>
          <w:rFonts w:ascii="Book Antiqua" w:hAnsi="Book Antiqua" w:cs="Arial"/>
        </w:rPr>
        <w:t>ese are generally lifelong diseases, characterised by periods of remission and flares, with symptoms that include bloody diarrhoea, urgency, fatigue, weight loss, and abdominal pain. IBD affects 1 in 250 people in the U</w:t>
      </w:r>
      <w:r>
        <w:rPr>
          <w:rFonts w:ascii="Book Antiqua" w:hAnsi="Book Antiqua" w:cs="Arial" w:hint="eastAsia"/>
          <w:lang w:eastAsia="zh-CN"/>
        </w:rPr>
        <w:t>nited Kingdom</w:t>
      </w:r>
      <w:r w:rsidR="006D7853" w:rsidRPr="002E78B5">
        <w:rPr>
          <w:rFonts w:ascii="Book Antiqua" w:hAnsi="Book Antiqua" w:cs="Arial"/>
        </w:rPr>
        <w:t xml:space="preserve"> giving</w:t>
      </w:r>
      <w:r>
        <w:rPr>
          <w:rFonts w:ascii="Book Antiqua" w:hAnsi="Book Antiqua" w:cs="Arial"/>
        </w:rPr>
        <w:t xml:space="preserve"> an estimated prevalence of 240</w:t>
      </w:r>
      <w:r w:rsidR="006D7853" w:rsidRPr="002E78B5">
        <w:rPr>
          <w:rFonts w:ascii="Book Antiqua" w:hAnsi="Book Antiqua" w:cs="Arial"/>
        </w:rPr>
        <w:t>000</w:t>
      </w:r>
      <w:r w:rsidR="007F2DB2" w:rsidRPr="002E78B5">
        <w:rPr>
          <w:rFonts w:ascii="Book Antiqua" w:hAnsi="Book Antiqua" w:cs="Arial"/>
        </w:rPr>
        <w:fldChar w:fldCharType="begin" w:fldLock="1"/>
      </w:r>
      <w:r w:rsidR="007421CB" w:rsidRPr="002E78B5">
        <w:rPr>
          <w:rFonts w:ascii="Book Antiqua" w:hAnsi="Book Antiqua" w:cs="Arial"/>
        </w:rPr>
        <w:instrText>ADDIN CSL_CITATION {"citationItems":[{"id":"ITEM-1","itemData":{"author":[{"dropping-particle":"","family":"British Society of Gastroenterology","given":"","non-dropping-particle":"","parse-names":false,"suffix":""}],"id":"ITEM-1","issued":{"date-parts":[["2017"]]},"title":"BSG Commissioning Report - Inflammatory Bowel Disease (IBD)","type":"report"},"uris":["http://www.mendeley.com/documents/?uuid=6e0d90b9-3ee5-43a3-919c-9077f82c27a6"]}],"mendeley":{"formattedCitation":"&lt;sup&gt;[2]&lt;/sup&gt;","plainTextFormattedCitation":"[2]","previouslyFormattedCitation":"&lt;sup&gt;[2]&lt;/sup&gt;"},"properties":{"noteIndex":0},"schema":"https://github.com/citation-style-language/schema/raw/master/csl-citation.json"}</w:instrText>
      </w:r>
      <w:r w:rsidR="007F2DB2" w:rsidRPr="002E78B5">
        <w:rPr>
          <w:rFonts w:ascii="Book Antiqua" w:hAnsi="Book Antiqua" w:cs="Arial"/>
        </w:rPr>
        <w:fldChar w:fldCharType="separate"/>
      </w:r>
      <w:r w:rsidR="0072600C" w:rsidRPr="002E78B5">
        <w:rPr>
          <w:rFonts w:ascii="Book Antiqua" w:hAnsi="Book Antiqua" w:cs="Arial"/>
          <w:noProof/>
          <w:vertAlign w:val="superscript"/>
        </w:rPr>
        <w:t>[2]</w:t>
      </w:r>
      <w:r w:rsidR="007F2DB2" w:rsidRPr="002E78B5">
        <w:rPr>
          <w:rFonts w:ascii="Book Antiqua" w:hAnsi="Book Antiqua" w:cs="Arial"/>
        </w:rPr>
        <w:fldChar w:fldCharType="end"/>
      </w:r>
      <w:r w:rsidR="007F2DB2" w:rsidRPr="002E78B5">
        <w:rPr>
          <w:rFonts w:ascii="Book Antiqua" w:hAnsi="Book Antiqua" w:cs="Arial"/>
        </w:rPr>
        <w:t>.</w:t>
      </w:r>
      <w:r w:rsidR="00DF04A8" w:rsidRPr="002E78B5">
        <w:rPr>
          <w:rFonts w:ascii="Book Antiqua" w:hAnsi="Book Antiqua" w:cs="Arial"/>
        </w:rPr>
        <w:t xml:space="preserve"> </w:t>
      </w:r>
      <w:r w:rsidR="006956B3" w:rsidRPr="002E78B5">
        <w:rPr>
          <w:rFonts w:ascii="Book Antiqua" w:hAnsi="Book Antiqua" w:cs="Arial"/>
        </w:rPr>
        <w:t>The peak incidence occurs in patients between the ages of 15 and 30 years</w:t>
      </w:r>
      <w:r w:rsidR="00347C4F" w:rsidRPr="002E78B5">
        <w:rPr>
          <w:rFonts w:ascii="Book Antiqua" w:hAnsi="Book Antiqua" w:cs="Arial"/>
        </w:rPr>
        <w:fldChar w:fldCharType="begin" w:fldLock="1"/>
      </w:r>
      <w:r w:rsidR="007C353E" w:rsidRPr="002E78B5">
        <w:rPr>
          <w:rFonts w:ascii="Book Antiqua" w:hAnsi="Book Antiqua" w:cs="Arial"/>
        </w:rPr>
        <w:instrText>ADDIN CSL_CITATION {"citationItems":[{"id":"ITEM-1","itemData":{"DOI":"10.1002/ibd.20545","PMID":"18816745","author":[{"dropping-particle":"","family":"Johnston","given":"RD","non-dropping-particle":"","parse-names":false,"suffix":""},{"dropping-particle":"","family":"Logan","given":"RF","non-dropping-particle":"","parse-names":false,"suffix":""}],"container-title":"Inflammatory bowel diseases","id":"ITEM-1","issue":"Suppl 2","issued":{"date-parts":[["2008"]]},"page":"S4-5","title":"What is the peak age for onset of IBD?","type":"article-journal","volume":"14"},"uris":["http://www.mendeley.com/documents/?uuid=5b04cf4a-acc9-4e3e-9162-4831a30b4431"]}],"mendeley":{"formattedCitation":"&lt;sup&gt;[3]&lt;/sup&gt;","plainTextFormattedCitation":"[3]","previouslyFormattedCitation":"&lt;sup&gt;[3]&lt;/sup&gt;"},"properties":{"noteIndex":0},"schema":"https://github.com/citation-style-language/schema/raw/master/csl-citation.json"}</w:instrText>
      </w:r>
      <w:r w:rsidR="00347C4F" w:rsidRPr="002E78B5">
        <w:rPr>
          <w:rFonts w:ascii="Book Antiqua" w:hAnsi="Book Antiqua" w:cs="Arial"/>
        </w:rPr>
        <w:fldChar w:fldCharType="separate"/>
      </w:r>
      <w:r w:rsidR="0072600C" w:rsidRPr="002E78B5">
        <w:rPr>
          <w:rFonts w:ascii="Book Antiqua" w:hAnsi="Book Antiqua" w:cs="Arial"/>
          <w:noProof/>
          <w:vertAlign w:val="superscript"/>
        </w:rPr>
        <w:t>[3]</w:t>
      </w:r>
      <w:r w:rsidR="00347C4F" w:rsidRPr="002E78B5">
        <w:rPr>
          <w:rFonts w:ascii="Book Antiqua" w:hAnsi="Book Antiqua" w:cs="Arial"/>
        </w:rPr>
        <w:fldChar w:fldCharType="end"/>
      </w:r>
      <w:r w:rsidR="00347C4F" w:rsidRPr="002E78B5">
        <w:rPr>
          <w:rFonts w:ascii="Book Antiqua" w:hAnsi="Book Antiqua" w:cs="Arial"/>
        </w:rPr>
        <w:t xml:space="preserve">. </w:t>
      </w:r>
      <w:r w:rsidR="000E634E" w:rsidRPr="002E78B5">
        <w:rPr>
          <w:rFonts w:ascii="Book Antiqua" w:hAnsi="Book Antiqua" w:cs="Arial"/>
        </w:rPr>
        <w:t>IBD</w:t>
      </w:r>
      <w:r w:rsidR="00DF04A8" w:rsidRPr="002E78B5">
        <w:rPr>
          <w:rFonts w:ascii="Book Antiqua" w:hAnsi="Book Antiqua" w:cs="Arial"/>
        </w:rPr>
        <w:t xml:space="preserve"> </w:t>
      </w:r>
      <w:r w:rsidR="000172BB" w:rsidRPr="002E78B5">
        <w:rPr>
          <w:rFonts w:ascii="Book Antiqua" w:hAnsi="Book Antiqua" w:cs="Arial"/>
        </w:rPr>
        <w:t xml:space="preserve">may </w:t>
      </w:r>
      <w:r w:rsidR="00DF04A8" w:rsidRPr="002E78B5">
        <w:rPr>
          <w:rFonts w:ascii="Book Antiqua" w:hAnsi="Book Antiqua" w:cs="Arial"/>
        </w:rPr>
        <w:t>impact many aspects of the affected individual's life</w:t>
      </w:r>
      <w:r w:rsidR="000172BB" w:rsidRPr="002E78B5">
        <w:rPr>
          <w:rFonts w:ascii="Book Antiqua" w:hAnsi="Book Antiqua" w:cs="Arial"/>
        </w:rPr>
        <w:t>,</w:t>
      </w:r>
      <w:r w:rsidR="00DF04A8" w:rsidRPr="002E78B5">
        <w:rPr>
          <w:rFonts w:ascii="Book Antiqua" w:hAnsi="Book Antiqua" w:cs="Arial"/>
        </w:rPr>
        <w:t xml:space="preserve"> account</w:t>
      </w:r>
      <w:r w:rsidR="000172BB" w:rsidRPr="002E78B5">
        <w:rPr>
          <w:rFonts w:ascii="Book Antiqua" w:hAnsi="Book Antiqua" w:cs="Arial"/>
        </w:rPr>
        <w:t>ing</w:t>
      </w:r>
      <w:r w:rsidR="00DF04A8" w:rsidRPr="002E78B5">
        <w:rPr>
          <w:rFonts w:ascii="Book Antiqua" w:hAnsi="Book Antiqua" w:cs="Arial"/>
        </w:rPr>
        <w:t xml:space="preserve"> for substantial direct and indirect costs to the individual, the health care system and society</w:t>
      </w:r>
      <w:r w:rsidR="007F2DB2" w:rsidRPr="002E78B5">
        <w:rPr>
          <w:rFonts w:ascii="Book Antiqua" w:hAnsi="Book Antiqua" w:cs="Arial"/>
        </w:rPr>
        <w:fldChar w:fldCharType="begin" w:fldLock="1"/>
      </w:r>
      <w:r w:rsidR="007421CB" w:rsidRPr="002E78B5">
        <w:rPr>
          <w:rFonts w:ascii="Book Antiqua" w:hAnsi="Book Antiqua" w:cs="Arial"/>
        </w:rPr>
        <w:instrText>ADDIN CSL_CITATION {"citationItems":[{"id":"ITEM-1","itemData":{"DOI":"10.1016/j.crohns.2013.01.010","ISBN":"1876-4479 (Electronic)\\r1873-9946 (Linking)","ISSN":"18739946","PMID":"23395397","abstract":"Inflammatory bowel diseases (IBD) are chronic disabling gastrointestinal disorders impacting every aspect of the affected individual's life and account for substantial costs to the health care system and society. New epidemiological data suggest that the incidence and prevalence of the diseases are increasing and medical therapy and disease management have changed significantly in the last decade. An estimated 2.5-3. million people in Europe are affected by IBD, with a direct healthcare cost of 4.6-5.6. bn Euros/year. Therefore, the aim of this review is to describe the burden of IBD in Europe by discussing the latest epidemiological data, the disease course and risk for surgery and hospitalization, mortality and cancer risks, as well as the economic aspects, patients' disability and work impairment. © 2013 European Crohn's and Colitis Organisation.","author":[{"dropping-particle":"","family":"Burisch","given":"Johan","non-dropping-particle":"","parse-names":false,"suffix":""},{"dropping-particle":"","family":"Jess","given":"Tine","non-dropping-particle":"","parse-names":false,"suffix":""},{"dropping-particle":"","family":"Martinato","given":"Matteo","non-dropping-particle":"","parse-names":false,"suffix":""},{"dropping-particle":"","family":"Lakatos","given":"Peter L.","non-dropping-particle":"","parse-names":false,"suffix":""}],"container-title":"Journal of Crohn's and Colitis","id":"ITEM-1","issue":"4","issued":{"date-parts":[["2013"]]},"page":"322-337","title":"The burden of inflammatory bowel disease in Europe","type":"article","volume":"7"},"uris":["http://www.mendeley.com/documents/?uuid=af2bf1fb-48aa-4112-9df6-5e46087ab3cc"]}],"mendeley":{"formattedCitation":"&lt;sup&gt;[4]&lt;/sup&gt;","plainTextFormattedCitation":"[4]","previouslyFormattedCitation":"&lt;sup&gt;[4]&lt;/sup&gt;"},"properties":{"noteIndex":0},"schema":"https://github.com/citation-style-language/schema/raw/master/csl-citation.json"}</w:instrText>
      </w:r>
      <w:r w:rsidR="007F2DB2" w:rsidRPr="002E78B5">
        <w:rPr>
          <w:rFonts w:ascii="Book Antiqua" w:hAnsi="Book Antiqua" w:cs="Arial"/>
        </w:rPr>
        <w:fldChar w:fldCharType="separate"/>
      </w:r>
      <w:r w:rsidR="0072600C" w:rsidRPr="002E78B5">
        <w:rPr>
          <w:rFonts w:ascii="Book Antiqua" w:hAnsi="Book Antiqua" w:cs="Arial"/>
          <w:noProof/>
          <w:vertAlign w:val="superscript"/>
        </w:rPr>
        <w:t>[4]</w:t>
      </w:r>
      <w:r w:rsidR="007F2DB2" w:rsidRPr="002E78B5">
        <w:rPr>
          <w:rFonts w:ascii="Book Antiqua" w:hAnsi="Book Antiqua" w:cs="Arial"/>
        </w:rPr>
        <w:fldChar w:fldCharType="end"/>
      </w:r>
      <w:r w:rsidR="007F2DB2" w:rsidRPr="002E78B5">
        <w:rPr>
          <w:rFonts w:ascii="Book Antiqua" w:hAnsi="Book Antiqua" w:cs="Arial"/>
        </w:rPr>
        <w:t>.</w:t>
      </w:r>
    </w:p>
    <w:p w14:paraId="6BC5BABE" w14:textId="77777777" w:rsidR="00DF04A8" w:rsidRPr="002E78B5" w:rsidRDefault="00DF04A8" w:rsidP="006C577E">
      <w:pPr>
        <w:snapToGrid w:val="0"/>
        <w:spacing w:line="360" w:lineRule="auto"/>
        <w:jc w:val="both"/>
        <w:rPr>
          <w:rFonts w:ascii="Book Antiqua" w:hAnsi="Book Antiqua" w:cs="Arial"/>
        </w:rPr>
      </w:pPr>
    </w:p>
    <w:p w14:paraId="7EFE29C7" w14:textId="6120D774" w:rsidR="006956B3" w:rsidRPr="002E78B5" w:rsidRDefault="00DF04A8" w:rsidP="006C577E">
      <w:pPr>
        <w:snapToGrid w:val="0"/>
        <w:spacing w:line="360" w:lineRule="auto"/>
        <w:jc w:val="both"/>
        <w:rPr>
          <w:rFonts w:ascii="Book Antiqua" w:hAnsi="Book Antiqua" w:cs="Arial"/>
          <w:b/>
          <w:i/>
        </w:rPr>
      </w:pPr>
      <w:r w:rsidRPr="002E78B5">
        <w:rPr>
          <w:rFonts w:ascii="Book Antiqua" w:hAnsi="Book Antiqua" w:cs="Arial"/>
          <w:b/>
          <w:i/>
        </w:rPr>
        <w:t xml:space="preserve">Fragmentation of </w:t>
      </w:r>
      <w:r w:rsidR="006C577E" w:rsidRPr="006C577E">
        <w:rPr>
          <w:rFonts w:ascii="Book Antiqua" w:hAnsi="Book Antiqua" w:cs="Arial"/>
          <w:b/>
          <w:i/>
        </w:rPr>
        <w:t>IBD</w:t>
      </w:r>
      <w:r w:rsidR="006C577E">
        <w:rPr>
          <w:rFonts w:ascii="Book Antiqua" w:eastAsiaTheme="minorEastAsia" w:hAnsi="Book Antiqua" w:cs="Arial" w:hint="eastAsia"/>
          <w:b/>
          <w:i/>
          <w:lang w:eastAsia="zh-CN"/>
        </w:rPr>
        <w:t xml:space="preserve"> </w:t>
      </w:r>
      <w:r w:rsidRPr="002E78B5">
        <w:rPr>
          <w:rFonts w:ascii="Book Antiqua" w:hAnsi="Book Antiqua" w:cs="Arial"/>
          <w:b/>
          <w:i/>
        </w:rPr>
        <w:t>care</w:t>
      </w:r>
    </w:p>
    <w:p w14:paraId="45207B4C" w14:textId="26BE7297" w:rsidR="00D62F0A" w:rsidRPr="00D011DD" w:rsidRDefault="005D3781" w:rsidP="006C577E">
      <w:pPr>
        <w:snapToGrid w:val="0"/>
        <w:spacing w:line="360" w:lineRule="auto"/>
        <w:jc w:val="both"/>
        <w:rPr>
          <w:rFonts w:ascii="Book Antiqua" w:eastAsiaTheme="minorEastAsia" w:hAnsi="Book Antiqua" w:cs="Arial"/>
          <w:lang w:eastAsia="zh-CN"/>
        </w:rPr>
      </w:pPr>
      <w:r w:rsidRPr="002E78B5">
        <w:rPr>
          <w:rFonts w:ascii="Book Antiqua" w:hAnsi="Book Antiqua" w:cs="Arial"/>
        </w:rPr>
        <w:t xml:space="preserve">A combination of factors </w:t>
      </w:r>
      <w:r w:rsidR="000E634E" w:rsidRPr="002E78B5">
        <w:rPr>
          <w:rFonts w:ascii="Book Antiqua" w:hAnsi="Book Antiqua" w:cs="Arial"/>
        </w:rPr>
        <w:t>including</w:t>
      </w:r>
      <w:r w:rsidRPr="002E78B5">
        <w:rPr>
          <w:rFonts w:ascii="Book Antiqua" w:hAnsi="Book Antiqua" w:cs="Arial"/>
        </w:rPr>
        <w:t xml:space="preserve"> </w:t>
      </w:r>
      <w:r w:rsidR="006956B3" w:rsidRPr="002E78B5">
        <w:rPr>
          <w:rFonts w:ascii="Book Antiqua" w:hAnsi="Book Antiqua" w:cs="Arial"/>
        </w:rPr>
        <w:t>centralisation of healthcare services</w:t>
      </w:r>
      <w:r w:rsidRPr="002E78B5">
        <w:rPr>
          <w:rFonts w:ascii="Book Antiqua" w:hAnsi="Book Antiqua" w:cs="Arial"/>
        </w:rPr>
        <w:fldChar w:fldCharType="begin" w:fldLock="1"/>
      </w:r>
      <w:r w:rsidR="007C353E" w:rsidRPr="002E78B5">
        <w:rPr>
          <w:rFonts w:ascii="Book Antiqua" w:hAnsi="Book Antiqua" w:cs="Arial"/>
        </w:rPr>
        <w:instrText>ADDIN CSL_CITATION {"citationItems":[{"id":"ITEM-1","itemData":{"DOI":"10.12968/bjhc.2012.18.9.468","ISSN":"13580574","abstract":"ABSTRACT Studies showing a volume-outcome relationship in vascular surgery have led to a drive towards centralisation of vascular surgical services. This has led to these services being transferred from the district general hospital (DGH) to a central ‘network’ hospital. An unintended consequence of this is that the tariff funding stays with the operating hospital. Patients who are transferred back to the DGH for rehabilitation following treatment at the network hospital do not receive funding to cover their inpatient stay. We present data showing that since centralisation there has been a drop in overall income in a DGH along with sicker patients being repatriated. These patients also stay longer. This has implications for funding of rehabilitation tariffs and for the viability of district general vascular services.","author":[{"dropping-particle":"","family":"Beggs","given":"Andrew D","non-dropping-particle":"","parse-names":false,"suffix":""},{"dropping-particle":"","family":"Mcglone","given":"Emma-Rose","non-dropping-particle":"","parse-names":false,"suffix":""},{"dropping-particle":"","family":"Thomas","given":"Paul R S","non-dropping-particle":"","parse-names":false,"suffix":""}],"container-title":"British Journal of Healthcare Management","id":"ITEM-1","issue":"9","issued":{"date-parts":[["2012"]]},"page":"468-473","title":"Impact of centralisation on vascular surgical services","type":"article-journal","volume":"18"},"uris":["http://www.mendeley.com/documents/?uuid=90432660-c3a8-42c3-9f40-0f12eacf9e4d"]},{"id":"ITEM-2","itemData":{"DOI":"10.1016/j.ijsu.2012.05.012","ISBN":"1743-9159 (Electronic)\\r1743-9159 (Linking)","ISSN":"17439191","PMID":"22659313","abstract":"Introduction: Centralisation of oesophagogastric (OG) resectional services has been proposed to improve patient outcomes in terms of perioperative mortality and long-term survival. Centralisation of services occurred in Gloucester 5 years ago. The aim of this paper is to assess if local patient outcomes have benefited from centralisation. Methods: All oesophagogastric resections performed in our unit over a 15-year period (10-years pre-centralisation and 5-years post-centralisation) were assessed retrospectively. Patient demographics, pathological details and date of death were identified. Perioperative mortality (30 and 90 day) and estimated Kaplan-Meier survival was compared for cases performed pre- and post-centralisation of services. Results: 456 resections for cancer were performed in the 15-year period; 234 of these were performed pre-centralisation (mean 23.4, range 13-31) and 222 were performed post-centralisation (mean 44.4, range 40-50). Median survival rates for gastric cancer were 1.1 years pre-centralisation and 1.5 years post-centralisation (p = 0.147) and median survival for oesophageal cancer improved from 1.1 years to 2.1 respectively (p = 0.028). Combined OG 30-day mortality rates improved from 10.3% pre-centralisation to 3.6% post-centralisation (p = 0.006, Fisher's exact test). Discussion: Centralisation of OG services in Gloucester has resulted in twice as many resections being performed locally. Median survival for patients with oesophageal cancer has increased by 1 year and the 30-day mortality rate following resection has reduced by almost two thirds. Although other factors (such as improvements in oncological treatments, staging and critical care management over the 15-year time period) have undoubtedly had roles to play in these improvements, the results of this study support the policy of centralisation of Upper GI cancer services. ?? 2012 Surgical Associates Ltd.","author":[{"dropping-particle":"","family":"Boddy","given":"Alexander P.","non-dropping-particle":"","parse-names":false,"suffix":""},{"dropping-particle":"","family":"Williamson","given":"James M L","non-dropping-particle":"","parse-names":false,"suffix":""},{"dropping-particle":"","family":"Vipond","given":"Mark N.","non-dropping-particle":"","parse-names":false,"suffix":""}],"container-title":"International Journal of Surgery","id":"ITEM-2","issue":"7","issued":{"date-parts":[["2012"]]},"page":"360-363","title":"The effect of centralisation on the outcomes of oesophagogastric surgery - A fifteen year audit","type":"article-journal","volume":"10"},"uris":["http://www.mendeley.com/documents/?uuid=e25bd38e-2132-4173-8a3c-589254b52089"]},{"id":"ITEM-3","itemData":{"DOI":"10.1002/14651858.CD007945","ISBN":"1469-493X (Electronic)\\r1361-6137 (Linking)","ISSN":"1469493X","PMID":"22419327","abstract":"BACKGROUND: Gynaecological cancers are the second most common cancers among women. It has been suggested that centralised care improves outcomes but consensus is lacking.\\n\\nOBJECTIVES: To assess the effectiveness of centralisation of care for patients with gynaecological cancer.\\n\\nSEARCH METHODS: We searched the Cochrane Gynaecological Cancer Group Trials Register, CENTRAL (The Cochrane Library, Issue 4, 2010), MEDLINE, and EMBASE up to November 2010. We also searched registers of clinical trials, abstracts of scientific meetings, and reference lists of included studies.\\n\\nSELECTION CRITERIA: We included randomised controlled trials (RCTs), quasi-RCTs, controlled before-and-after studies, interrupted time series studies, and observational studies that examined centralisation of services for gynaecological cancer, and used multivariable analysis to adjust for baseline case mix.\\n\\nDATA COLLECTION AND ANALYSIS: Three review authors independently extracted data, and two assessed risk of bias. Where possible, we synthesised the data on survival in a meta-analysis.\\n\\nMAIN RESULTS: Five studies met our inclusion criteria; all were retrospective observational studies and therefore at high risk of bias.Meta-analysis of three studies assessing over 9000 women suggested that institutions with gynaecologic oncologists on site may prolong survival in women with ovarian cancer, compared to community or general hospitals: hazard ratio (HR) of death was 0.90 (95% confidence interval (CI) 0.82 to 0.99). Similarly, another meta-analysis of three studies assessing over 50,000 women, found that teaching centres or regional cancer centres may prolong survival in women with any gynaecological cancer compared to community or general hospitals (HR 0.91; 95% CI 0.84 to 0.99). The largest of these studies included all gynaecological malignancies and assessed 48,981 women, so the findings extend beyond ovarian cancer. One study compared community hospitals with semi-specialised gynaecologists versus general hospitals and reported non-significantly better disease-specific survival in women with ovarian cancer (HR 0.89; 95% CI 0.78 to 1.01). The findings of included studies were highly consistent. Adverse event data were not reported in any of the studies.\\n\\nAUTHORS' CONCLUSIONS: We found low quality, but consistent evidence to suggest that women with gynaecological cancer who received treatment in specialised centres had longer survival than those managed elsewhere. The evid…","author":[{"dropping-particle":"","family":"Woo","given":"Yin Ling","non-dropping-particle":"","parse-names":false,"suffix":""},{"dropping-particle":"","family":"Shafi","given":"Mahmood I.","non-dropping-particle":"","parse-names":false,"suffix":""},{"dropping-particle":"","family":"Everett","given":"Thomas","non-dropping-particle":"","parse-names":false,"suffix":""},{"dropping-particle":"","family":"Martin-Hirsch","given":"Pierre P.L.","non-dropping-particle":"","parse-names":false,"suffix":""},{"dropping-particle":"","family":"Kyrgiou","given":"Maria","non-dropping-particle":"","parse-names":false,"suffix":""},{"dropping-particle":"","family":"Bryant","given":"Andrew","non-dropping-particle":"","parse-names":false,"suffix":""},{"dropping-particle":"","family":"Dickinson","given":"Heather O.","non-dropping-particle":"","parse-names":false,"suffix":""}],"container-title":"Cochrane Database of Systematic Reviews","id":"ITEM-3","issue":"3","issued":{"date-parts":[["2009"]]},"title":"Centralisation of services for gynaecological cancer","type":"article"},"uris":["http://www.mendeley.com/documents/?uuid=8fb3cc73-373b-4265-8609-b8a73be47408"]}],"mendeley":{"formattedCitation":"&lt;sup&gt;[5–7]&lt;/sup&gt;","plainTextFormattedCitation":"[5–7]","previouslyFormattedCitation":"&lt;sup&gt;[5–7]&lt;/sup&gt;"},"properties":{"noteIndex":0},"schema":"https://github.com/citation-style-language/schema/raw/master/csl-citation.json"}</w:instrText>
      </w:r>
      <w:r w:rsidRPr="002E78B5">
        <w:rPr>
          <w:rFonts w:ascii="Book Antiqua" w:hAnsi="Book Antiqua" w:cs="Arial"/>
        </w:rPr>
        <w:fldChar w:fldCharType="separate"/>
      </w:r>
      <w:r w:rsidR="0072600C" w:rsidRPr="002E78B5">
        <w:rPr>
          <w:rFonts w:ascii="Book Antiqua" w:hAnsi="Book Antiqua" w:cs="Arial"/>
          <w:noProof/>
          <w:vertAlign w:val="superscript"/>
        </w:rPr>
        <w:t>[5</w:t>
      </w:r>
      <w:r w:rsidR="00D011DD">
        <w:rPr>
          <w:rFonts w:ascii="Book Antiqua" w:hAnsi="Book Antiqua" w:cs="Arial" w:hint="eastAsia"/>
          <w:noProof/>
          <w:vertAlign w:val="superscript"/>
          <w:lang w:eastAsia="zh-CN"/>
        </w:rPr>
        <w:t>-</w:t>
      </w:r>
      <w:r w:rsidR="0072600C" w:rsidRPr="002E78B5">
        <w:rPr>
          <w:rFonts w:ascii="Book Antiqua" w:hAnsi="Book Antiqua" w:cs="Arial"/>
          <w:noProof/>
          <w:vertAlign w:val="superscript"/>
        </w:rPr>
        <w:t>7]</w:t>
      </w:r>
      <w:r w:rsidRPr="002E78B5">
        <w:rPr>
          <w:rFonts w:ascii="Book Antiqua" w:hAnsi="Book Antiqua" w:cs="Arial"/>
        </w:rPr>
        <w:fldChar w:fldCharType="end"/>
      </w:r>
      <w:r w:rsidRPr="002E78B5">
        <w:rPr>
          <w:rFonts w:ascii="Book Antiqua" w:hAnsi="Book Antiqua" w:cs="Arial"/>
        </w:rPr>
        <w:t>, difficulty accessing local services</w:t>
      </w:r>
      <w:r w:rsidRPr="002E78B5">
        <w:rPr>
          <w:rFonts w:ascii="Book Antiqua" w:hAnsi="Book Antiqua" w:cs="Arial"/>
        </w:rPr>
        <w:fldChar w:fldCharType="begin" w:fldLock="1"/>
      </w:r>
      <w:r w:rsidR="007421CB" w:rsidRPr="002E78B5">
        <w:rPr>
          <w:rFonts w:ascii="Book Antiqua" w:hAnsi="Book Antiqua" w:cs="Arial"/>
        </w:rPr>
        <w:instrText>ADDIN CSL_CITATION {"citationItems":[{"id":"ITEM-1","itemData":{"URL":"https://www.england.nhs.uk/gp/gpfv/redesign/improving-access/","accessed":{"date-parts":[["2018","3","5"]]},"author":[{"dropping-particle":"","family":"NHS England","given":"","non-dropping-particle":"","parse-names":false,"suffix":""}],"id":"ITEM-1","issued":{"date-parts":[["2016"]]},"title":"Improving access to general practice","type":"webpage"},"uris":["http://www.mendeley.com/documents/?uuid=1ca64af7-4592-4dca-b507-84734a0c300e"]}],"mendeley":{"formattedCitation":"&lt;sup&gt;[8]&lt;/sup&gt;","plainTextFormattedCitation":"[8]","previouslyFormattedCitation":"&lt;sup&gt;[8]&lt;/sup&gt;"},"properties":{"noteIndex":0},"schema":"https://github.com/citation-style-language/schema/raw/master/csl-citation.json"}</w:instrText>
      </w:r>
      <w:r w:rsidRPr="002E78B5">
        <w:rPr>
          <w:rFonts w:ascii="Book Antiqua" w:hAnsi="Book Antiqua" w:cs="Arial"/>
        </w:rPr>
        <w:fldChar w:fldCharType="separate"/>
      </w:r>
      <w:r w:rsidR="0072600C" w:rsidRPr="002E78B5">
        <w:rPr>
          <w:rFonts w:ascii="Book Antiqua" w:hAnsi="Book Antiqua" w:cs="Arial"/>
          <w:noProof/>
          <w:vertAlign w:val="superscript"/>
        </w:rPr>
        <w:t>[8]</w:t>
      </w:r>
      <w:r w:rsidRPr="002E78B5">
        <w:rPr>
          <w:rFonts w:ascii="Book Antiqua" w:hAnsi="Book Antiqua" w:cs="Arial"/>
        </w:rPr>
        <w:fldChar w:fldCharType="end"/>
      </w:r>
      <w:r w:rsidRPr="002E78B5">
        <w:rPr>
          <w:rFonts w:ascii="Book Antiqua" w:hAnsi="Book Antiqua" w:cs="Arial"/>
        </w:rPr>
        <w:t xml:space="preserve"> and</w:t>
      </w:r>
      <w:r w:rsidR="006956B3" w:rsidRPr="002E78B5">
        <w:rPr>
          <w:rFonts w:ascii="Book Antiqua" w:hAnsi="Book Antiqua" w:cs="Arial"/>
        </w:rPr>
        <w:t xml:space="preserve"> patient mobility between </w:t>
      </w:r>
      <w:r w:rsidR="00DF04A8" w:rsidRPr="002E78B5">
        <w:rPr>
          <w:rFonts w:ascii="Book Antiqua" w:hAnsi="Book Antiqua" w:cs="Arial"/>
        </w:rPr>
        <w:t>regions for educatio</w:t>
      </w:r>
      <w:r w:rsidR="000D1BB4" w:rsidRPr="002E78B5">
        <w:rPr>
          <w:rFonts w:ascii="Book Antiqua" w:hAnsi="Book Antiqua" w:cs="Arial"/>
        </w:rPr>
        <w:t xml:space="preserve">n, employment or relationships </w:t>
      </w:r>
      <w:r w:rsidRPr="002E78B5">
        <w:rPr>
          <w:rFonts w:ascii="Book Antiqua" w:hAnsi="Book Antiqua" w:cs="Arial"/>
        </w:rPr>
        <w:t xml:space="preserve">may require </w:t>
      </w:r>
      <w:r w:rsidR="006956B3" w:rsidRPr="002E78B5">
        <w:rPr>
          <w:rFonts w:ascii="Book Antiqua" w:hAnsi="Book Antiqua" w:cs="Arial"/>
        </w:rPr>
        <w:t xml:space="preserve">IBD patients to </w:t>
      </w:r>
      <w:r w:rsidR="000D1BB4" w:rsidRPr="002E78B5">
        <w:rPr>
          <w:rFonts w:ascii="Book Antiqua" w:hAnsi="Book Antiqua" w:cs="Arial"/>
        </w:rPr>
        <w:t xml:space="preserve">access care in multiple </w:t>
      </w:r>
      <w:r w:rsidRPr="002E78B5">
        <w:rPr>
          <w:rFonts w:ascii="Book Antiqua" w:hAnsi="Book Antiqua" w:cs="Arial"/>
        </w:rPr>
        <w:t>setting</w:t>
      </w:r>
      <w:r w:rsidR="000D1BB4" w:rsidRPr="002E78B5">
        <w:rPr>
          <w:rFonts w:ascii="Book Antiqua" w:hAnsi="Book Antiqua" w:cs="Arial"/>
        </w:rPr>
        <w:t>s. Furthermore, m</w:t>
      </w:r>
      <w:r w:rsidR="004D3C74" w:rsidRPr="002E78B5">
        <w:rPr>
          <w:rFonts w:ascii="Book Antiqua" w:hAnsi="Book Antiqua" w:cs="Arial"/>
        </w:rPr>
        <w:t>any IBD patients require care for extra</w:t>
      </w:r>
      <w:r w:rsidR="000172BB" w:rsidRPr="002E78B5">
        <w:rPr>
          <w:rFonts w:ascii="Book Antiqua" w:hAnsi="Book Antiqua" w:cs="Arial"/>
        </w:rPr>
        <w:t>-</w:t>
      </w:r>
      <w:r w:rsidR="004D3C74" w:rsidRPr="002E78B5">
        <w:rPr>
          <w:rFonts w:ascii="Book Antiqua" w:hAnsi="Book Antiqua" w:cs="Arial"/>
        </w:rPr>
        <w:t xml:space="preserve">intestinal manifestations of </w:t>
      </w:r>
      <w:r w:rsidR="009F06F1" w:rsidRPr="002E78B5">
        <w:rPr>
          <w:rFonts w:ascii="Book Antiqua" w:hAnsi="Book Antiqua" w:cs="Arial"/>
        </w:rPr>
        <w:t>disease</w:t>
      </w:r>
      <w:r w:rsidR="009F06F1" w:rsidRPr="002E78B5">
        <w:rPr>
          <w:rFonts w:ascii="Book Antiqua" w:hAnsi="Book Antiqua" w:cs="Arial"/>
        </w:rPr>
        <w:fldChar w:fldCharType="begin" w:fldLock="1"/>
      </w:r>
      <w:r w:rsidR="007421CB" w:rsidRPr="002E78B5">
        <w:rPr>
          <w:rFonts w:ascii="Book Antiqua" w:hAnsi="Book Antiqua" w:cs="Arial"/>
        </w:rPr>
        <w:instrText>ADDIN CSL_CITATION {"citationItems":[{"id":"ITEM-1","itemData":{"DOI":"10.3748/wjg.v11.i46.7227","ISBN":"3933923182","ISSN":"1007-9327","PMID":"16437620","abstract":"Inflammatory bowel diseases (IBD) can be really considered to be systemic diseases since they are often associated with extraintestinal manifestations, complications, and other autoimmune disorders. Indeed, physicians who care for patients with ulcerative colitis and Crohn's disease, the two major forms of IBD, face a new clinical challenge every day, worsened by the very frequent rate of extraintestinal complications. The goal of this review is to provide an overview and an update on the extraintestinal complications occurring in IBD. Indeed, this paper highlights how virtually almost every organ system can be involved, principally eyes, skin, joints, kidneys, liver and biliary tracts, and vasculature (or vascular system) are the most common sites of systemic IBD and their involvement is dependent on different mechanisms.","author":[{"dropping-particle":"","family":"Danese","given":"Silvio","non-dropping-particle":"","parse-names":false,"suffix":""},{"dropping-particle":"","family":"Semeraro","given":"Stefano","non-dropping-particle":"","parse-names":false,"suffix":""},{"dropping-particle":"","family":"Papa","given":"Alfredo","non-dropping-particle":"","parse-names":false,"suffix":""},{"dropping-particle":"","family":"Roberto","given":"Italia","non-dropping-particle":"","parse-names":false,"suffix":""},{"dropping-particle":"","family":"Scaldaferri","given":"Franco","non-dropping-particle":"","parse-names":false,"suffix":""},{"dropping-particle":"","family":"Fedeli","given":"Giuseppe","non-dropping-particle":"","parse-names":false,"suffix":""},{"dropping-particle":"","family":"Gasbarrini","given":"Giovanni","non-dropping-particle":"","parse-names":false,"suffix":""},{"dropping-particle":"","family":"Gasbarrini","given":"Antonio","non-dropping-particle":"","parse-names":false,"suffix":""}],"container-title":"World journal of gastroenterology","id":"ITEM-1","issue":"46","issued":{"date-parts":[["2005"]]},"page":"7227-36","title":"Extraintestinal manifestations in inflammatory bowel disease.","type":"article-journal","volume":"11"},"uris":["http://www.mendeley.com/documents/?uuid=fef7d45f-e6e4-4952-993d-e7a612f90189"]}],"mendeley":{"formattedCitation":"&lt;sup&gt;[9]&lt;/sup&gt;","plainTextFormattedCitation":"[9]","previouslyFormattedCitation":"&lt;sup&gt;[9]&lt;/sup&gt;"},"properties":{"noteIndex":0},"schema":"https://github.com/citation-style-language/schema/raw/master/csl-citation.json"}</w:instrText>
      </w:r>
      <w:r w:rsidR="009F06F1" w:rsidRPr="002E78B5">
        <w:rPr>
          <w:rFonts w:ascii="Book Antiqua" w:hAnsi="Book Antiqua" w:cs="Arial"/>
        </w:rPr>
        <w:fldChar w:fldCharType="separate"/>
      </w:r>
      <w:r w:rsidR="0072600C" w:rsidRPr="002E78B5">
        <w:rPr>
          <w:rFonts w:ascii="Book Antiqua" w:hAnsi="Book Antiqua" w:cs="Arial"/>
          <w:noProof/>
          <w:vertAlign w:val="superscript"/>
        </w:rPr>
        <w:t>[9</w:t>
      </w:r>
      <w:r w:rsidR="00D011DD">
        <w:rPr>
          <w:rFonts w:ascii="Book Antiqua" w:hAnsi="Book Antiqua" w:cs="Arial" w:hint="eastAsia"/>
          <w:noProof/>
          <w:vertAlign w:val="superscript"/>
          <w:lang w:eastAsia="zh-CN"/>
        </w:rPr>
        <w:t>-12</w:t>
      </w:r>
      <w:r w:rsidR="0072600C" w:rsidRPr="002E78B5">
        <w:rPr>
          <w:rFonts w:ascii="Book Antiqua" w:hAnsi="Book Antiqua" w:cs="Arial"/>
          <w:noProof/>
          <w:vertAlign w:val="superscript"/>
        </w:rPr>
        <w:t>]</w:t>
      </w:r>
      <w:r w:rsidR="009F06F1" w:rsidRPr="002E78B5">
        <w:rPr>
          <w:rFonts w:ascii="Book Antiqua" w:hAnsi="Book Antiqua" w:cs="Arial"/>
        </w:rPr>
        <w:fldChar w:fldCharType="end"/>
      </w:r>
      <w:r w:rsidR="009F06F1" w:rsidRPr="002E78B5">
        <w:rPr>
          <w:rFonts w:ascii="Book Antiqua" w:hAnsi="Book Antiqua" w:cs="Arial"/>
        </w:rPr>
        <w:t xml:space="preserve"> which </w:t>
      </w:r>
      <w:r w:rsidRPr="002E78B5">
        <w:rPr>
          <w:rFonts w:ascii="Book Antiqua" w:hAnsi="Book Antiqua" w:cs="Arial"/>
        </w:rPr>
        <w:t>is often</w:t>
      </w:r>
      <w:r w:rsidR="009F06F1" w:rsidRPr="002E78B5">
        <w:rPr>
          <w:rFonts w:ascii="Book Antiqua" w:hAnsi="Book Antiqua" w:cs="Arial"/>
        </w:rPr>
        <w:t xml:space="preserve"> provided by several specialists in multiple settings</w:t>
      </w:r>
      <w:r w:rsidR="000172BB" w:rsidRPr="002E78B5">
        <w:rPr>
          <w:rFonts w:ascii="Book Antiqua" w:hAnsi="Book Antiqua" w:cs="Arial"/>
        </w:rPr>
        <w:t xml:space="preserve">. </w:t>
      </w:r>
      <w:r w:rsidR="001F05A8" w:rsidRPr="002E78B5">
        <w:rPr>
          <w:rFonts w:ascii="Book Antiqua" w:hAnsi="Book Antiqua" w:cs="Arial"/>
        </w:rPr>
        <w:t>T</w:t>
      </w:r>
      <w:r w:rsidR="00DF04A8" w:rsidRPr="002E78B5">
        <w:rPr>
          <w:rFonts w:ascii="Book Antiqua" w:hAnsi="Book Antiqua" w:cs="Arial"/>
        </w:rPr>
        <w:t xml:space="preserve">he unpredictable nature of </w:t>
      </w:r>
      <w:r w:rsidR="009F06F1" w:rsidRPr="002E78B5">
        <w:rPr>
          <w:rFonts w:ascii="Book Antiqua" w:hAnsi="Book Antiqua" w:cs="Arial"/>
        </w:rPr>
        <w:t xml:space="preserve"> disease may </w:t>
      </w:r>
      <w:r w:rsidR="001F05A8" w:rsidRPr="002E78B5">
        <w:rPr>
          <w:rFonts w:ascii="Book Antiqua" w:hAnsi="Book Antiqua" w:cs="Arial"/>
        </w:rPr>
        <w:t xml:space="preserve">also </w:t>
      </w:r>
      <w:r w:rsidR="00447762" w:rsidRPr="002E78B5">
        <w:rPr>
          <w:rFonts w:ascii="Book Antiqua" w:hAnsi="Book Antiqua" w:cs="Arial"/>
        </w:rPr>
        <w:t>require</w:t>
      </w:r>
      <w:r w:rsidR="009F06F1" w:rsidRPr="002E78B5">
        <w:rPr>
          <w:rFonts w:ascii="Book Antiqua" w:hAnsi="Book Antiqua" w:cs="Arial"/>
        </w:rPr>
        <w:t xml:space="preserve"> attendance to acute</w:t>
      </w:r>
      <w:r w:rsidR="00DF04A8" w:rsidRPr="002E78B5">
        <w:rPr>
          <w:rFonts w:ascii="Book Antiqua" w:hAnsi="Book Antiqua" w:cs="Arial"/>
        </w:rPr>
        <w:t xml:space="preserve"> care services</w:t>
      </w:r>
      <w:r w:rsidR="00DF04A8" w:rsidRPr="002E78B5">
        <w:rPr>
          <w:rFonts w:ascii="Book Antiqua" w:hAnsi="Book Antiqua" w:cs="Arial"/>
        </w:rPr>
        <w:fldChar w:fldCharType="begin" w:fldLock="1"/>
      </w:r>
      <w:r w:rsidR="00DA0904" w:rsidRPr="002E78B5">
        <w:rPr>
          <w:rFonts w:ascii="Book Antiqua" w:hAnsi="Book Antiqua" w:cs="Arial"/>
        </w:rPr>
        <w:instrText>ADDIN CSL_CITATION {"citationItems":[{"id":"ITEM-1","itemData":{"ISBN":"1549-9650 (Print)\\r1549-9650 (Linking)","ISSN":"1549-9650","PMID":"25174137","abstract":"Inflammatory bowel disease includes both Crohn disease and ulcerative colitis. Pediatric-onset inflammatory bowel disease differs from adult inflammatory bowel disease in disease type, location, progression, and sex preponderance, and 20% to 30% of inflammatory bowel disease is diagnosed in childhood. Children are more likely than adults to present with extraintestinal manifestations of inflammatory bowel disease (with aphthous ulcers, joint involvement, and growth delay being the most common). Inflammatory bowel disease flares typically require treatment with intravenous steroids and inpatient admission. Acute emergencies include toxic megacolon, intestinal obstruction, and perforation. The use of steroids may obscure diagnosis of an underlying abdominal emergency by masking signs and symptoms. The emergency clinician must be cognizant of such complications and diagnostic challenges when evaluating inflammatory bowel disease.","author":[{"dropping-particle":"","family":"Huang","given":"Margaret","non-dropping-particle":"","parse-names":false,"suffix":""},{"dropping-particle":"","family":"Rose","given":"Emily","non-dropping-particle":"","parse-names":false,"suffix":""}],"container-title":"Pediatric emergency medicine practice","id":"ITEM-1","issue":"7","issued":{"date-parts":[["2014"]]},"page":"1-16; quiz 17-8","title":"Pediatric inflammatory bowel disease in the emergency department: managing flares and long-term complications.","type":"article-journal","volume":"11"},"uris":["http://www.mendeley.com/documents/?uuid=efab7c38-2c7a-4330-8a11-e256d985324e"]}],"mendeley":{"formattedCitation":"&lt;sup&gt;[13]&lt;/sup&gt;","plainTextFormattedCitation":"[13]","previouslyFormattedCitation":"&lt;sup&gt;[13]&lt;/sup&gt;"},"properties":{"noteIndex":0},"schema":"https://github.com/citation-style-language/schema/raw/master/csl-citation.json"}</w:instrText>
      </w:r>
      <w:r w:rsidR="00DF04A8" w:rsidRPr="002E78B5">
        <w:rPr>
          <w:rFonts w:ascii="Book Antiqua" w:hAnsi="Book Antiqua" w:cs="Arial"/>
        </w:rPr>
        <w:fldChar w:fldCharType="separate"/>
      </w:r>
      <w:r w:rsidR="00995AE7" w:rsidRPr="002E78B5">
        <w:rPr>
          <w:rFonts w:ascii="Book Antiqua" w:hAnsi="Book Antiqua" w:cs="Arial"/>
          <w:noProof/>
          <w:vertAlign w:val="superscript"/>
        </w:rPr>
        <w:t>[13]</w:t>
      </w:r>
      <w:r w:rsidR="00DF04A8" w:rsidRPr="002E78B5">
        <w:rPr>
          <w:rFonts w:ascii="Book Antiqua" w:hAnsi="Book Antiqua" w:cs="Arial"/>
        </w:rPr>
        <w:fldChar w:fldCharType="end"/>
      </w:r>
      <w:r w:rsidR="00DF04A8" w:rsidRPr="002E78B5">
        <w:rPr>
          <w:rFonts w:ascii="Book Antiqua" w:hAnsi="Book Antiqua" w:cs="Arial"/>
        </w:rPr>
        <w:t xml:space="preserve"> in organisations separate to the patient’s usual IBD care provider. </w:t>
      </w:r>
      <w:r w:rsidRPr="002E78B5">
        <w:rPr>
          <w:rFonts w:ascii="Book Antiqua" w:hAnsi="Book Antiqua" w:cs="Arial"/>
        </w:rPr>
        <w:t xml:space="preserve">The resulting </w:t>
      </w:r>
      <w:r w:rsidR="00EB2B85" w:rsidRPr="002E78B5">
        <w:rPr>
          <w:rFonts w:ascii="Book Antiqua" w:hAnsi="Book Antiqua" w:cs="Arial"/>
        </w:rPr>
        <w:t xml:space="preserve">multidisciplinary </w:t>
      </w:r>
      <w:r w:rsidR="009A1BA6" w:rsidRPr="002E78B5">
        <w:rPr>
          <w:rFonts w:ascii="Book Antiqua" w:hAnsi="Book Antiqua" w:cs="Arial"/>
        </w:rPr>
        <w:t>‘</w:t>
      </w:r>
      <w:r w:rsidRPr="002E78B5">
        <w:rPr>
          <w:rFonts w:ascii="Book Antiqua" w:hAnsi="Book Antiqua" w:cs="Arial"/>
        </w:rPr>
        <w:t>p</w:t>
      </w:r>
      <w:r w:rsidR="009A1BA6" w:rsidRPr="002E78B5">
        <w:rPr>
          <w:rFonts w:ascii="Book Antiqua" w:hAnsi="Book Antiqua" w:cs="Arial"/>
        </w:rPr>
        <w:t xml:space="preserve">atient-sharing’ between </w:t>
      </w:r>
      <w:r w:rsidRPr="002E78B5">
        <w:rPr>
          <w:rFonts w:ascii="Book Antiqua" w:hAnsi="Book Antiqua" w:cs="Arial"/>
        </w:rPr>
        <w:t xml:space="preserve">healthcare </w:t>
      </w:r>
      <w:r w:rsidR="009A1BA6" w:rsidRPr="002E78B5">
        <w:rPr>
          <w:rFonts w:ascii="Book Antiqua" w:hAnsi="Book Antiqua" w:cs="Arial"/>
        </w:rPr>
        <w:t xml:space="preserve">providers is characterised by </w:t>
      </w:r>
      <w:r w:rsidR="000C2FCC" w:rsidRPr="002E78B5">
        <w:rPr>
          <w:rFonts w:ascii="Book Antiqua" w:hAnsi="Book Antiqua" w:cs="Arial"/>
        </w:rPr>
        <w:t>multiple</w:t>
      </w:r>
      <w:r w:rsidR="009A1BA6" w:rsidRPr="002E78B5">
        <w:rPr>
          <w:rFonts w:ascii="Book Antiqua" w:hAnsi="Book Antiqua" w:cs="Arial"/>
        </w:rPr>
        <w:t xml:space="preserve"> transitions of care. </w:t>
      </w:r>
      <w:r w:rsidR="000D1BB4" w:rsidRPr="002E78B5">
        <w:rPr>
          <w:rFonts w:ascii="Book Antiqua" w:hAnsi="Book Antiqua" w:cs="Arial"/>
        </w:rPr>
        <w:t xml:space="preserve">These </w:t>
      </w:r>
      <w:r w:rsidR="00621B7E" w:rsidRPr="002E78B5">
        <w:rPr>
          <w:rFonts w:ascii="Book Antiqua" w:hAnsi="Book Antiqua" w:cs="Arial"/>
        </w:rPr>
        <w:t xml:space="preserve">transitions </w:t>
      </w:r>
      <w:r w:rsidR="000D1BB4" w:rsidRPr="002E78B5">
        <w:rPr>
          <w:rFonts w:ascii="Book Antiqua" w:hAnsi="Book Antiqua" w:cs="Arial"/>
        </w:rPr>
        <w:t>m</w:t>
      </w:r>
      <w:r w:rsidR="00DF04A8" w:rsidRPr="002E78B5">
        <w:rPr>
          <w:rFonts w:ascii="Book Antiqua" w:hAnsi="Book Antiqua" w:cs="Arial"/>
        </w:rPr>
        <w:t xml:space="preserve">ay impair continuity of care </w:t>
      </w:r>
      <w:r w:rsidR="00621B7E" w:rsidRPr="002E78B5">
        <w:rPr>
          <w:rFonts w:ascii="Book Antiqua" w:hAnsi="Book Antiqua" w:cs="Arial"/>
        </w:rPr>
        <w:t xml:space="preserve">delivery </w:t>
      </w:r>
      <w:r w:rsidR="009A1BA6" w:rsidRPr="002E78B5">
        <w:rPr>
          <w:rFonts w:ascii="Book Antiqua" w:hAnsi="Book Antiqua" w:cs="Arial"/>
        </w:rPr>
        <w:t>and lead to care fragmentation</w:t>
      </w:r>
      <w:r w:rsidR="00347C4F" w:rsidRPr="002E78B5">
        <w:rPr>
          <w:rFonts w:ascii="Book Antiqua" w:hAnsi="Book Antiqua" w:cs="Arial"/>
        </w:rPr>
        <w:fldChar w:fldCharType="begin" w:fldLock="1"/>
      </w:r>
      <w:r w:rsidR="00DA0904" w:rsidRPr="002E78B5">
        <w:rPr>
          <w:rFonts w:ascii="Book Antiqua" w:hAnsi="Book Antiqua" w:cs="Arial"/>
        </w:rPr>
        <w:instrText>ADDIN CSL_CITATION {"citationItems":[{"id":"ITEM-1","itemData":{"DOI":"10.1046/j.1532-5415.2003.51186.x","ISBN":"0002-8614","ISSN":"00028614","PMID":"15086688","abstract":"Background For the purpose of this position statement, transitional care is defined as a set of actions designed to ensure the coordination and continuity of healthcare as patients transfer between different locations or different levels of care within the same location. Representative locations include (but are not limited to) hospitals, subacute and postacute nursing facilities, the patient’s home, primary and specialty care offices, and assisted living and long-term care facilities. Ideally, transitional care is based on a comprehensive plan of care and the availability of healthcare practitioners who are well trained in chronic care and have current information about the patient’s goals, preferences, and clinical status. It should include logistical arrangements, education of the patient and family, and coordination among the health professionals involved in the transition. Transitional care, which encompasses the sending and the receiving aspects of the transfer, is essential for persons with complex care needs and their caregivers. Persons whose conditions require complex, continuous care frequently require services from different practitioners in multiple settings, but practitioners in each setting often operate independently, without knowledge of the problems addressed, services provided, information obtained, medications prescribed, or preferences expressed in previous settings. The growing national trend for physicians and other clinicians to restrict their practices to sin- gle settings (e.g., hospitals, skilled nursing facilities, or ambulatory clinics) and not to follow complex patients as they move between settings heightens this potential for fragmentation of care. During transitions, these patients are at risk for medical errors, service duplication, inappro- priate care, and critical elements of the care plan “falling through the cracks.” Ultimately, poorly executed care transitions may lead to poor clinical outcomes; dissatisfaction among patients; and inappropriate use of hospital, emergency, postacute, and ambulatory services.","author":[{"dropping-particle":"","family":"Coleman","given":"Eric A.","non-dropping-particle":"","parse-names":false,"suffix":""},{"dropping-particle":"","family":"Boult","given":"Chad","non-dropping-particle":"","parse-names":false,"suffix":""}],"container-title":"Journal of the American Geriatrics Society","id":"ITEM-1","issue":"4","issued":{"date-parts":[["2003"]]},"page":"556-557","title":"Improving the quality of transitional care for persons with complex care needs","type":"article-journal","volume":"51"},"uris":["http://www.mendeley.com/documents/?uuid=04d9d86d-11b6-4ce0-8054-bd0f8c14d910"]}],"mendeley":{"formattedCitation":"&lt;sup&gt;[14]&lt;/sup&gt;","plainTextFormattedCitation":"[14]","previouslyFormattedCitation":"&lt;sup&gt;[14]&lt;/sup&gt;"},"properties":{"noteIndex":0},"schema":"https://github.com/citation-style-language/schema/raw/master/csl-citation.json"}</w:instrText>
      </w:r>
      <w:r w:rsidR="00347C4F" w:rsidRPr="002E78B5">
        <w:rPr>
          <w:rFonts w:ascii="Book Antiqua" w:hAnsi="Book Antiqua" w:cs="Arial"/>
        </w:rPr>
        <w:fldChar w:fldCharType="separate"/>
      </w:r>
      <w:r w:rsidR="00995AE7" w:rsidRPr="002E78B5">
        <w:rPr>
          <w:rFonts w:ascii="Book Antiqua" w:hAnsi="Book Antiqua" w:cs="Arial"/>
          <w:noProof/>
          <w:vertAlign w:val="superscript"/>
        </w:rPr>
        <w:t>[14]</w:t>
      </w:r>
      <w:r w:rsidR="00347C4F" w:rsidRPr="002E78B5">
        <w:rPr>
          <w:rFonts w:ascii="Book Antiqua" w:hAnsi="Book Antiqua" w:cs="Arial"/>
        </w:rPr>
        <w:fldChar w:fldCharType="end"/>
      </w:r>
      <w:r w:rsidR="009A1BA6" w:rsidRPr="002E78B5">
        <w:rPr>
          <w:rFonts w:ascii="Book Antiqua" w:hAnsi="Book Antiqua" w:cs="Arial"/>
        </w:rPr>
        <w:t>.</w:t>
      </w:r>
    </w:p>
    <w:p w14:paraId="0A26DDC4" w14:textId="6B0C9A64" w:rsidR="006D7853" w:rsidRPr="002E78B5" w:rsidRDefault="00DF04A8" w:rsidP="006C577E">
      <w:pPr>
        <w:snapToGrid w:val="0"/>
        <w:spacing w:line="360" w:lineRule="auto"/>
        <w:ind w:firstLineChars="100" w:firstLine="240"/>
        <w:jc w:val="both"/>
        <w:rPr>
          <w:rFonts w:ascii="Book Antiqua" w:hAnsi="Book Antiqua" w:cs="Arial"/>
        </w:rPr>
      </w:pPr>
      <w:r w:rsidRPr="002E78B5">
        <w:rPr>
          <w:rFonts w:ascii="Book Antiqua" w:hAnsi="Book Antiqua" w:cs="Arial"/>
        </w:rPr>
        <w:t>Fragmentation of patient care is characterised by ineffective communication among providers and across healthcare agencies, insufficient patient and caregiver education, poor continuity of care, including medication reconciliation, and limited access to services, which contributes to negative quality and cost outcomes</w:t>
      </w:r>
      <w:r w:rsidR="000C2FCC" w:rsidRPr="002E78B5">
        <w:rPr>
          <w:rFonts w:ascii="Book Antiqua" w:hAnsi="Book Antiqua" w:cs="Arial"/>
        </w:rPr>
        <w:fldChar w:fldCharType="begin" w:fldLock="1"/>
      </w:r>
      <w:r w:rsidR="00DA0904" w:rsidRPr="002E78B5">
        <w:rPr>
          <w:rFonts w:ascii="Book Antiqua" w:hAnsi="Book Antiqua" w:cs="Arial"/>
        </w:rPr>
        <w:instrText>ADDIN CSL_CITATION {"citationItems":[{"id":"ITEM-1","itemData":{"DOI":"10.1001/archinte.165.16.1842","ISBN":"0003-9926","ISSN":"0003-9926","PMID":"16157827","abstract":"Background: Despite the national attention being given to the problem of medication safety, little attention has been paid to the medication problems that are encountered by older patients who are receiving care across settings. The objective of this study was to determine the prevalence and contributing factors associated with posthospital medication discrepancies. Methods: The study population consisted of communitydwelling adults aged 65 years and older admitted to the hospital with 1 of 9 selected conditions (n=375). A geriatric nurse practitioner performed a comprehensive medication assessment in the patient’s home within 24 to 72 hours after institutional discharge. The assessment focused on what older patients reported taking in comparison with the prehospital medication regimen and the posthospital medication regimen. Prevalence and types of medication discrepancies were categorized using the Medication Discrepancy Tool. Results: A total of 14.1% of patients experienced 1 or more medication discrepancies. Using the Medication Discrepancy Tool, 50.8% of identified contributing factors for discrepancies were categorized as patientassociated, and 49.2% were categorized as systemassociated. Five medication classes accounted for half of all medication discrepancies. Medication discrepancies were associated with the total number of medications taken and the presence of congestive heart failure. A total of 14.3% of the patients who experienced medication discrepancies were rehospitalized at 30 days compared with 6.1% of the patients who did not experience a discrepancy (P=.04). Conclusions: A significant percentage of older patients experienced medication discrepancies after making the transition from hospital to home. Both patientassociated and system-associated solutions may be needed to ensure medication safety during this vulnerable period.","author":[{"dropping-particle":"","family":"Coleman","given":"Eric A.","non-dropping-particle":"","parse-names":false,"suffix":""},{"dropping-particle":"","family":"Smith","given":"Jodi D.","non-dropping-particle":"","parse-names":false,"suffix":""},{"dropping-particle":"","family":"Raha","given":"Devbani","non-dropping-particle":"","parse-names":false,"suffix":""},{"dropping-particle":"","family":"Min","given":"Sung-joon","non-dropping-particle":"","parse-names":false,"suffix":""}],"container-title":"Archives of Internal Medicine","id":"ITEM-1","issue":"16","issued":{"date-parts":[["2005"]]},"page":"1842","title":"Posthospital Medication Discrepancies","type":"article-journal","volume":"165"},"uris":["http://www.mendeley.com/documents/?uuid=49d65c71-12b8-492c-9734-c1d80f6f3f4a"]}],"mendeley":{"formattedCitation":"&lt;sup&gt;[15]&lt;/sup&gt;","plainTextFormattedCitation":"[15]","previouslyFormattedCitation":"&lt;sup&gt;[15]&lt;/sup&gt;"},"properties":{"noteIndex":0},"schema":"https://github.com/citation-style-language/schema/raw/master/csl-citation.json"}</w:instrText>
      </w:r>
      <w:r w:rsidR="000C2FCC" w:rsidRPr="002E78B5">
        <w:rPr>
          <w:rFonts w:ascii="Book Antiqua" w:hAnsi="Book Antiqua" w:cs="Arial"/>
        </w:rPr>
        <w:fldChar w:fldCharType="separate"/>
      </w:r>
      <w:r w:rsidR="00995AE7" w:rsidRPr="002E78B5">
        <w:rPr>
          <w:rFonts w:ascii="Book Antiqua" w:hAnsi="Book Antiqua" w:cs="Arial"/>
          <w:noProof/>
          <w:vertAlign w:val="superscript"/>
        </w:rPr>
        <w:t>[15]</w:t>
      </w:r>
      <w:r w:rsidR="000C2FCC" w:rsidRPr="002E78B5">
        <w:rPr>
          <w:rFonts w:ascii="Book Antiqua" w:hAnsi="Book Antiqua" w:cs="Arial"/>
        </w:rPr>
        <w:fldChar w:fldCharType="end"/>
      </w:r>
      <w:r w:rsidR="000C2FCC" w:rsidRPr="002E78B5">
        <w:rPr>
          <w:rFonts w:ascii="Book Antiqua" w:hAnsi="Book Antiqua" w:cs="Arial"/>
        </w:rPr>
        <w:t>.</w:t>
      </w:r>
      <w:r w:rsidR="000D1BB4" w:rsidRPr="002E78B5">
        <w:rPr>
          <w:rFonts w:ascii="Book Antiqua" w:hAnsi="Book Antiqua" w:cs="Arial"/>
        </w:rPr>
        <w:t xml:space="preserve"> </w:t>
      </w:r>
      <w:r w:rsidR="00F37875" w:rsidRPr="002E78B5">
        <w:rPr>
          <w:rFonts w:ascii="Book Antiqua" w:hAnsi="Book Antiqua" w:cs="Arial"/>
        </w:rPr>
        <w:t>Fragmented inpatient care has been shown to be associated with a higher likelihood of in-hospital mortality,</w:t>
      </w:r>
      <w:r w:rsidR="00DA0904" w:rsidRPr="002E78B5">
        <w:rPr>
          <w:rFonts w:ascii="Book Antiqua" w:hAnsi="Book Antiqua" w:cs="Arial"/>
        </w:rPr>
        <w:t xml:space="preserve"> colonoscopy and longer readmission length of stay</w:t>
      </w:r>
      <w:r w:rsidR="00DA0904" w:rsidRPr="002E78B5">
        <w:rPr>
          <w:rFonts w:ascii="Book Antiqua" w:hAnsi="Book Antiqua" w:cs="Arial"/>
        </w:rPr>
        <w:fldChar w:fldCharType="begin" w:fldLock="1"/>
      </w:r>
      <w:r w:rsidR="00DA0904" w:rsidRPr="002E78B5">
        <w:rPr>
          <w:rFonts w:ascii="Book Antiqua" w:hAnsi="Book Antiqua" w:cs="Arial"/>
        </w:rPr>
        <w:instrText>ADDIN CSL_CITATION {"citationItems":[{"id":"ITEM-1","itemData":{"DOI":"10.1038/s41395-018-0417-9","ISBN":"4139501804179","ISSN":"15720241","author":[{"dropping-particle":"","family":"Cohen-Mekelburg","given":"Shirley","non-dropping-particle":"","parse-names":false,"suffix":""},{"dropping-particle":"","family":"Rosenblatt","given":"Russell","non-dropping-particle":"","parse-names":false,"suffix":""},{"dropping-particle":"","family":"Gold","given":"Stephanie","non-dropping-particle":"","parse-names":false,"suffix":""},{"dropping-particle":"","family":"Shen","given":"Nicole","non-dropping-particle":"","parse-names":false,"suffix":""},{"dropping-particle":"","family":"Fortune","given":"Brett","non-dropping-particle":"","parse-names":false,"suffix":""},{"dropping-particle":"","family":"Waljee","given":"Akbar K.","non-dropping-particle":"","parse-names":false,"suffix":""},{"dropping-particle":"","family":"Saini","given":"Sameer","non-dropping-particle":"","parse-names":false,"suffix":""},{"dropping-particle":"","family":"Scherl","given":"Ellen","non-dropping-particle":"","parse-names":false,"suffix":""},{"dropping-particle":"","family":"Burakoff","given":"Robert","non-dropping-particle":"","parse-names":false,"suffix":""},{"dropping-particle":"","family":"Unruh","given":"Mark","non-dropping-particle":"","parse-names":false,"suffix":""}],"container-title":"American Journal of Gastroenterology","id":"ITEM-1","issued":{"date-parts":[["2018"]]},"title":"Fragmented Care is Prevalent among Inflammatory Bowel Disease Readmissions and is Associated with Worse Outcomes","type":"article-newspaper"},"uris":["http://www.mendeley.com/documents/?uuid=8be5ba42-73f5-4f9c-9c32-995e986601fd"]}],"mendeley":{"formattedCitation":"&lt;sup&gt;[16]&lt;/sup&gt;","plainTextFormattedCitation":"[16]","previouslyFormattedCitation":"&lt;sup&gt;[16]&lt;/sup&gt;"},"properties":{"noteIndex":0},"schema":"https://github.com/citation-style-language/schema/raw/master/csl-citation.json"}</w:instrText>
      </w:r>
      <w:r w:rsidR="00DA0904" w:rsidRPr="002E78B5">
        <w:rPr>
          <w:rFonts w:ascii="Book Antiqua" w:hAnsi="Book Antiqua" w:cs="Arial"/>
        </w:rPr>
        <w:fldChar w:fldCharType="separate"/>
      </w:r>
      <w:r w:rsidR="00DA0904" w:rsidRPr="002E78B5">
        <w:rPr>
          <w:rFonts w:ascii="Book Antiqua" w:hAnsi="Book Antiqua" w:cs="Arial"/>
          <w:noProof/>
          <w:vertAlign w:val="superscript"/>
        </w:rPr>
        <w:t>[16]</w:t>
      </w:r>
      <w:r w:rsidR="00DA0904" w:rsidRPr="002E78B5">
        <w:rPr>
          <w:rFonts w:ascii="Book Antiqua" w:hAnsi="Book Antiqua" w:cs="Arial"/>
        </w:rPr>
        <w:fldChar w:fldCharType="end"/>
      </w:r>
      <w:r w:rsidR="00DA0904" w:rsidRPr="002E78B5">
        <w:rPr>
          <w:rFonts w:ascii="Book Antiqua" w:hAnsi="Book Antiqua" w:cs="Arial"/>
        </w:rPr>
        <w:t>.</w:t>
      </w:r>
      <w:r w:rsidR="00F37875" w:rsidRPr="002E78B5">
        <w:rPr>
          <w:rFonts w:ascii="Book Antiqua" w:hAnsi="Book Antiqua" w:cs="Arial"/>
        </w:rPr>
        <w:t xml:space="preserve"> </w:t>
      </w:r>
      <w:r w:rsidR="00447762" w:rsidRPr="002E78B5">
        <w:rPr>
          <w:rFonts w:ascii="Book Antiqua" w:hAnsi="Book Antiqua" w:cs="Arial"/>
        </w:rPr>
        <w:t>An increasing range of investigations and treatment options for IBD</w:t>
      </w:r>
      <w:r w:rsidR="00447762" w:rsidRPr="002E78B5">
        <w:rPr>
          <w:rFonts w:ascii="Book Antiqua" w:hAnsi="Book Antiqua" w:cs="Arial"/>
        </w:rPr>
        <w:fldChar w:fldCharType="begin" w:fldLock="1"/>
      </w:r>
      <w:r w:rsidR="00DA0904" w:rsidRPr="002E78B5">
        <w:rPr>
          <w:rFonts w:ascii="Book Antiqua" w:hAnsi="Book Antiqua" w:cs="Arial"/>
        </w:rPr>
        <w:instrText>ADDIN CSL_CITATION {"citationItems":[{"id":"ITEM-1","itemData":{"DOI":"10.1056/NEJMra020831","ISBN":"0896039099","ISSN":"0028-4793","PMID":"12167685","abstract":"Clinical experience has suggested that Crohn's disease and ulcerative colitis constitute distinct, if not discrete, entities. However, whether these conditions are fundamentally different or are part of a mechanistic continuum is a question with both conceptual and practical implications for management. This review summarizes current understanding of the mechanisms underlying the major forms of inflammatory bowel disease and discusses approaches to therapy.","author":[{"dropping-particle":"","family":"Podolsky","given":"Daniel K.","non-dropping-particle":"","parse-names":false,"suffix":""}],"container-title":"New England Journal of Medicine","id":"ITEM-1","issue":"6","issued":{"date-parts":[["2002"]]},"page":"417-429","title":"Inflammatory Bowel Disease","type":"article-journal","volume":"347"},"uris":["http://www.mendeley.com/documents/?uuid=c8310ab0-86d2-48ea-afb6-0adba3016db5"]}],"mendeley":{"formattedCitation":"&lt;sup&gt;[17]&lt;/sup&gt;","plainTextFormattedCitation":"[17]","previouslyFormattedCitation":"&lt;sup&gt;[17]&lt;/sup&gt;"},"properties":{"noteIndex":0},"schema":"https://github.com/citation-style-language/schema/raw/master/csl-citation.json"}</w:instrText>
      </w:r>
      <w:r w:rsidR="00447762" w:rsidRPr="002E78B5">
        <w:rPr>
          <w:rFonts w:ascii="Book Antiqua" w:hAnsi="Book Antiqua" w:cs="Arial"/>
        </w:rPr>
        <w:fldChar w:fldCharType="separate"/>
      </w:r>
      <w:r w:rsidR="00DA0904" w:rsidRPr="002E78B5">
        <w:rPr>
          <w:rFonts w:ascii="Book Antiqua" w:hAnsi="Book Antiqua" w:cs="Arial"/>
          <w:noProof/>
          <w:vertAlign w:val="superscript"/>
        </w:rPr>
        <w:t>[17]</w:t>
      </w:r>
      <w:r w:rsidR="00447762" w:rsidRPr="002E78B5">
        <w:rPr>
          <w:rFonts w:ascii="Book Antiqua" w:hAnsi="Book Antiqua" w:cs="Arial"/>
        </w:rPr>
        <w:fldChar w:fldCharType="end"/>
      </w:r>
      <w:r w:rsidR="00447762" w:rsidRPr="002E78B5">
        <w:rPr>
          <w:rFonts w:ascii="Book Antiqua" w:hAnsi="Book Antiqua" w:cs="Arial"/>
        </w:rPr>
        <w:t xml:space="preserve"> adds</w:t>
      </w:r>
      <w:r w:rsidR="004C4331" w:rsidRPr="002E78B5">
        <w:rPr>
          <w:rFonts w:ascii="Book Antiqua" w:hAnsi="Book Antiqua" w:cs="Arial"/>
        </w:rPr>
        <w:t xml:space="preserve"> further</w:t>
      </w:r>
      <w:r w:rsidR="00447762" w:rsidRPr="002E78B5">
        <w:rPr>
          <w:rFonts w:ascii="Book Antiqua" w:hAnsi="Book Antiqua" w:cs="Arial"/>
        </w:rPr>
        <w:t xml:space="preserve"> </w:t>
      </w:r>
      <w:r w:rsidR="00447762" w:rsidRPr="002E78B5">
        <w:rPr>
          <w:rFonts w:ascii="Book Antiqua" w:hAnsi="Book Antiqua" w:cs="Arial"/>
        </w:rPr>
        <w:lastRenderedPageBreak/>
        <w:t>complexity to care transitions and necessitates the transfer of accurate and contemporaneous information</w:t>
      </w:r>
      <w:r w:rsidR="007463E6" w:rsidRPr="002E78B5">
        <w:rPr>
          <w:rFonts w:ascii="Book Antiqua" w:hAnsi="Book Antiqua" w:cs="Arial"/>
        </w:rPr>
        <w:t xml:space="preserve"> at a sec</w:t>
      </w:r>
      <w:r w:rsidR="004C4331" w:rsidRPr="002E78B5">
        <w:rPr>
          <w:rFonts w:ascii="Book Antiqua" w:hAnsi="Book Antiqua" w:cs="Arial"/>
        </w:rPr>
        <w:t>ondary and tertiary care level.</w:t>
      </w:r>
    </w:p>
    <w:p w14:paraId="101662CD" w14:textId="77777777" w:rsidR="00DF04A8" w:rsidRPr="002E78B5" w:rsidRDefault="00DF04A8" w:rsidP="006C577E">
      <w:pPr>
        <w:snapToGrid w:val="0"/>
        <w:spacing w:line="360" w:lineRule="auto"/>
        <w:jc w:val="both"/>
        <w:rPr>
          <w:rFonts w:ascii="Book Antiqua" w:hAnsi="Book Antiqua" w:cs="Arial"/>
        </w:rPr>
      </w:pPr>
    </w:p>
    <w:p w14:paraId="32054A1B" w14:textId="27160D5D" w:rsidR="00DF04A8" w:rsidRPr="002E78B5" w:rsidRDefault="00DF04A8" w:rsidP="006C577E">
      <w:pPr>
        <w:snapToGrid w:val="0"/>
        <w:spacing w:line="360" w:lineRule="auto"/>
        <w:jc w:val="both"/>
        <w:rPr>
          <w:rFonts w:ascii="Book Antiqua" w:hAnsi="Book Antiqua" w:cs="Arial"/>
          <w:b/>
          <w:i/>
        </w:rPr>
      </w:pPr>
      <w:r w:rsidRPr="002E78B5">
        <w:rPr>
          <w:rFonts w:ascii="Book Antiqua" w:hAnsi="Book Antiqua" w:cs="Arial"/>
          <w:b/>
          <w:i/>
        </w:rPr>
        <w:t xml:space="preserve">Identifying transitions of care and patient-sharing in </w:t>
      </w:r>
      <w:r w:rsidR="006C577E" w:rsidRPr="006C577E">
        <w:rPr>
          <w:rFonts w:ascii="Book Antiqua" w:hAnsi="Book Antiqua" w:cs="Arial"/>
          <w:b/>
          <w:i/>
        </w:rPr>
        <w:t>IBD</w:t>
      </w:r>
    </w:p>
    <w:p w14:paraId="5839E38C" w14:textId="3895A505" w:rsidR="005A6317" w:rsidRPr="002E78B5" w:rsidRDefault="00E2310B" w:rsidP="006C577E">
      <w:pPr>
        <w:snapToGrid w:val="0"/>
        <w:spacing w:line="360" w:lineRule="auto"/>
        <w:jc w:val="both"/>
        <w:rPr>
          <w:rFonts w:ascii="Book Antiqua" w:hAnsi="Book Antiqua" w:cs="Arial"/>
        </w:rPr>
      </w:pPr>
      <w:r w:rsidRPr="002E78B5">
        <w:rPr>
          <w:rFonts w:ascii="Book Antiqua" w:hAnsi="Book Antiqua" w:cs="Arial"/>
        </w:rPr>
        <w:t xml:space="preserve">Quality standards </w:t>
      </w:r>
      <w:r w:rsidR="007B001A" w:rsidRPr="002E78B5">
        <w:rPr>
          <w:rFonts w:ascii="Book Antiqua" w:hAnsi="Book Antiqua" w:cs="Arial"/>
        </w:rPr>
        <w:t>in IBD care specify that services should be coordinated across the multidisciplinary care pathway</w:t>
      </w:r>
      <w:r w:rsidR="007B001A" w:rsidRPr="002E78B5">
        <w:rPr>
          <w:rFonts w:ascii="Book Antiqua" w:hAnsi="Book Antiqua" w:cs="Arial"/>
        </w:rPr>
        <w:fldChar w:fldCharType="begin" w:fldLock="1"/>
      </w:r>
      <w:r w:rsidR="00DA0904" w:rsidRPr="002E78B5">
        <w:rPr>
          <w:rFonts w:ascii="Book Antiqua" w:hAnsi="Book Antiqua" w:cs="Arial"/>
        </w:rPr>
        <w:instrText>ADDIN CSL_CITATION {"citationItems":[{"id":"ITEM-1","itemData":{"URL":"https://www.nice.org.uk/guidance/qs81/resources/inflammatory-bowel-disease-2098903535557","accessed":{"date-parts":[["2018","3","11"]]},"author":[{"dropping-particle":"","family":"National Institute for Health and Care Excellence","given":"","non-dropping-particle":"","parse-names":false,"suffix":""}],"container-title":"NICE Quality Standard","id":"ITEM-1","issued":{"date-parts":[["2015"]]},"title":"Inflammatory Bowel Disease","type":"webpage"},"uris":["http://www.mendeley.com/documents/?uuid=40c8db56-7ce9-43ff-a1a4-bbe122b22394"]}],"mendeley":{"formattedCitation":"&lt;sup&gt;[18]&lt;/sup&gt;","plainTextFormattedCitation":"[18]","previouslyFormattedCitation":"&lt;sup&gt;[18]&lt;/sup&gt;"},"properties":{"noteIndex":0},"schema":"https://github.com/citation-style-language/schema/raw/master/csl-citation.json"}</w:instrText>
      </w:r>
      <w:r w:rsidR="007B001A" w:rsidRPr="002E78B5">
        <w:rPr>
          <w:rFonts w:ascii="Book Antiqua" w:hAnsi="Book Antiqua" w:cs="Arial"/>
        </w:rPr>
        <w:fldChar w:fldCharType="separate"/>
      </w:r>
      <w:r w:rsidR="00DA0904" w:rsidRPr="002E78B5">
        <w:rPr>
          <w:rFonts w:ascii="Book Antiqua" w:hAnsi="Book Antiqua" w:cs="Arial"/>
          <w:noProof/>
          <w:vertAlign w:val="superscript"/>
        </w:rPr>
        <w:t>[18]</w:t>
      </w:r>
      <w:r w:rsidR="007B001A" w:rsidRPr="002E78B5">
        <w:rPr>
          <w:rFonts w:ascii="Book Antiqua" w:hAnsi="Book Antiqua" w:cs="Arial"/>
        </w:rPr>
        <w:fldChar w:fldCharType="end"/>
      </w:r>
      <w:r w:rsidR="007B001A" w:rsidRPr="002E78B5">
        <w:rPr>
          <w:rFonts w:ascii="Book Antiqua" w:hAnsi="Book Antiqua" w:cs="Arial"/>
        </w:rPr>
        <w:t xml:space="preserve">. </w:t>
      </w:r>
      <w:r w:rsidR="00010803" w:rsidRPr="002E78B5">
        <w:rPr>
          <w:rFonts w:ascii="Book Antiqua" w:hAnsi="Book Antiqua" w:cs="Arial"/>
        </w:rPr>
        <w:t xml:space="preserve">Many patients, however, may </w:t>
      </w:r>
      <w:r w:rsidR="00BE1085">
        <w:rPr>
          <w:rFonts w:ascii="Book Antiqua" w:hAnsi="Book Antiqua" w:cs="Arial"/>
        </w:rPr>
        <w:t xml:space="preserve">still ‘fall though the cracks’ </w:t>
      </w:r>
      <w:r w:rsidR="00010803" w:rsidRPr="002E78B5">
        <w:rPr>
          <w:rFonts w:ascii="Book Antiqua" w:hAnsi="Book Antiqua" w:cs="Arial"/>
        </w:rPr>
        <w:t>between providers</w:t>
      </w:r>
      <w:r w:rsidR="00010803" w:rsidRPr="002E78B5">
        <w:rPr>
          <w:rFonts w:ascii="Book Antiqua" w:hAnsi="Book Antiqua" w:cs="Arial"/>
        </w:rPr>
        <w:fldChar w:fldCharType="begin" w:fldLock="1"/>
      </w:r>
      <w:r w:rsidR="00DA0904" w:rsidRPr="002E78B5">
        <w:rPr>
          <w:rFonts w:ascii="Book Antiqua" w:hAnsi="Book Antiqua" w:cs="Arial"/>
        </w:rPr>
        <w:instrText>ADDIN CSL_CITATION {"citationItems":[{"id":"ITEM-1","itemData":{"DOI":"10.1046/j.1532-5415.2003.51185.x","ISBN":"0002-8614","ISSN":"00028614","PMID":"12657078","abstract":"Persons with continuous complex care needs frequently require care in multiple settings. During transitions between settings, this population is particularly vulnerable to experiencing poor care quality and problems of care fragmentation. Despite how common these transitions have become, the challenges of improving care transitions have received little attention from policy makers, clinicians, and quality improvement entities. This article begins with a definition of transitional care and then discusses the nature of the problem, its prevalence, manifestations of poorly executed transitions, and potentially remediable barriers. Necessary elements for effective transitions are then presented, followed by promising new directions for quality improvement at the level of the delivery system, information technology, and national health policy. The article concludes with a proposed research agenda designed to advance the science of high-quality transitional care.","author":[{"dropping-particle":"","family":"Coleman","given":"Eric A.","non-dropping-particle":"","parse-names":false,"suffix":""}],"container-title":"Journal of the American Geriatrics Society","id":"ITEM-1","issue":"4","issued":{"date-parts":[["2003"]]},"page":"549-555","title":"Falling through the cracks: Challenges and opportunities for improving transitional care for persons with continuous complex care needs","type":"article-journal","volume":"51"},"uris":["http://www.mendeley.com/documents/?uuid=a9010178-fe7c-45a4-9a49-cf02492d5f07"]}],"mendeley":{"formattedCitation":"&lt;sup&gt;[19]&lt;/sup&gt;","plainTextFormattedCitation":"[19]","previouslyFormattedCitation":"&lt;sup&gt;[19]&lt;/sup&gt;"},"properties":{"noteIndex":0},"schema":"https://github.com/citation-style-language/schema/raw/master/csl-citation.json"}</w:instrText>
      </w:r>
      <w:r w:rsidR="00010803" w:rsidRPr="002E78B5">
        <w:rPr>
          <w:rFonts w:ascii="Book Antiqua" w:hAnsi="Book Antiqua" w:cs="Arial"/>
        </w:rPr>
        <w:fldChar w:fldCharType="separate"/>
      </w:r>
      <w:r w:rsidR="00DA0904" w:rsidRPr="002E78B5">
        <w:rPr>
          <w:rFonts w:ascii="Book Antiqua" w:hAnsi="Book Antiqua" w:cs="Arial"/>
          <w:noProof/>
          <w:vertAlign w:val="superscript"/>
        </w:rPr>
        <w:t>[19]</w:t>
      </w:r>
      <w:r w:rsidR="00010803" w:rsidRPr="002E78B5">
        <w:rPr>
          <w:rFonts w:ascii="Book Antiqua" w:hAnsi="Book Antiqua" w:cs="Arial"/>
        </w:rPr>
        <w:fldChar w:fldCharType="end"/>
      </w:r>
      <w:r w:rsidR="00010803" w:rsidRPr="002E78B5">
        <w:rPr>
          <w:rFonts w:ascii="Book Antiqua" w:hAnsi="Book Antiqua" w:cs="Arial"/>
        </w:rPr>
        <w:t xml:space="preserve">. </w:t>
      </w:r>
      <w:r w:rsidR="007A2458" w:rsidRPr="002E78B5">
        <w:rPr>
          <w:rFonts w:ascii="Book Antiqua" w:hAnsi="Book Antiqua" w:cs="Arial"/>
        </w:rPr>
        <w:t xml:space="preserve">The objective of this study was to determine the type and location of </w:t>
      </w:r>
      <w:r w:rsidR="00966014" w:rsidRPr="002E78B5">
        <w:rPr>
          <w:rFonts w:ascii="Book Antiqua" w:hAnsi="Book Antiqua" w:cs="Arial"/>
        </w:rPr>
        <w:t>hospital</w:t>
      </w:r>
      <w:r w:rsidR="007A2458" w:rsidRPr="002E78B5">
        <w:rPr>
          <w:rFonts w:ascii="Book Antiqua" w:hAnsi="Book Antiqua" w:cs="Arial"/>
        </w:rPr>
        <w:t xml:space="preserve"> services accessed by IBD patients in England. </w:t>
      </w:r>
      <w:r w:rsidR="009A1BA6" w:rsidRPr="002E78B5">
        <w:rPr>
          <w:rFonts w:ascii="Book Antiqua" w:hAnsi="Book Antiqua" w:cs="Arial"/>
        </w:rPr>
        <w:t xml:space="preserve">Identifying and measuring </w:t>
      </w:r>
      <w:r w:rsidR="00A27E6C" w:rsidRPr="002E78B5">
        <w:rPr>
          <w:rFonts w:ascii="Book Antiqua" w:hAnsi="Book Antiqua" w:cs="Arial"/>
        </w:rPr>
        <w:t>the frequency and distribution</w:t>
      </w:r>
      <w:r w:rsidR="00010803" w:rsidRPr="002E78B5">
        <w:rPr>
          <w:rFonts w:ascii="Book Antiqua" w:hAnsi="Book Antiqua" w:cs="Arial"/>
        </w:rPr>
        <w:t xml:space="preserve"> of </w:t>
      </w:r>
      <w:r w:rsidR="009A1BA6" w:rsidRPr="002E78B5">
        <w:rPr>
          <w:rFonts w:ascii="Book Antiqua" w:hAnsi="Book Antiqua" w:cs="Arial"/>
        </w:rPr>
        <w:t xml:space="preserve">patient-sharing </w:t>
      </w:r>
      <w:r w:rsidR="006D7853" w:rsidRPr="002E78B5">
        <w:rPr>
          <w:rFonts w:ascii="Book Antiqua" w:hAnsi="Book Antiqua" w:cs="Arial"/>
        </w:rPr>
        <w:t xml:space="preserve">may inform the development of more effective and efficient data-sharing practices </w:t>
      </w:r>
      <w:r w:rsidR="000C2FCC" w:rsidRPr="002E78B5">
        <w:rPr>
          <w:rFonts w:ascii="Book Antiqua" w:hAnsi="Book Antiqua" w:cs="Arial"/>
        </w:rPr>
        <w:t xml:space="preserve">between providers </w:t>
      </w:r>
      <w:r w:rsidR="006D7853" w:rsidRPr="002E78B5">
        <w:rPr>
          <w:rFonts w:ascii="Book Antiqua" w:hAnsi="Book Antiqua" w:cs="Arial"/>
        </w:rPr>
        <w:t>and a</w:t>
      </w:r>
      <w:r w:rsidR="000C2FCC" w:rsidRPr="002E78B5">
        <w:rPr>
          <w:rFonts w:ascii="Book Antiqua" w:hAnsi="Book Antiqua" w:cs="Arial"/>
        </w:rPr>
        <w:t>ssist in optimising systems at a</w:t>
      </w:r>
      <w:r w:rsidR="006D7853" w:rsidRPr="002E78B5">
        <w:rPr>
          <w:rFonts w:ascii="Book Antiqua" w:hAnsi="Book Antiqua" w:cs="Arial"/>
        </w:rPr>
        <w:t xml:space="preserve"> local, regional and national level.</w:t>
      </w:r>
    </w:p>
    <w:p w14:paraId="5D4F6758" w14:textId="4A3C8212" w:rsidR="00E77316" w:rsidRPr="002E78B5" w:rsidRDefault="00E77316" w:rsidP="006C577E">
      <w:pPr>
        <w:snapToGrid w:val="0"/>
        <w:spacing w:line="360" w:lineRule="auto"/>
        <w:jc w:val="both"/>
        <w:rPr>
          <w:rFonts w:ascii="Book Antiqua" w:hAnsi="Book Antiqua" w:cs="Arial"/>
        </w:rPr>
      </w:pPr>
    </w:p>
    <w:p w14:paraId="0F26C33E" w14:textId="1676EB56" w:rsidR="00587701" w:rsidRPr="002E78B5" w:rsidRDefault="0072600C" w:rsidP="006C577E">
      <w:pPr>
        <w:snapToGrid w:val="0"/>
        <w:spacing w:line="360" w:lineRule="auto"/>
        <w:jc w:val="both"/>
        <w:rPr>
          <w:rFonts w:ascii="Book Antiqua" w:hAnsi="Book Antiqua" w:cs="Arial"/>
          <w:b/>
        </w:rPr>
      </w:pPr>
      <w:r w:rsidRPr="002E78B5">
        <w:rPr>
          <w:rFonts w:ascii="Book Antiqua" w:hAnsi="Book Antiqua" w:cs="Arial"/>
          <w:b/>
        </w:rPr>
        <w:t xml:space="preserve">MATERIALS AND </w:t>
      </w:r>
      <w:r w:rsidR="00D47972" w:rsidRPr="002E78B5">
        <w:rPr>
          <w:rFonts w:ascii="Book Antiqua" w:hAnsi="Book Antiqua" w:cs="Arial"/>
          <w:b/>
        </w:rPr>
        <w:t>METHODS</w:t>
      </w:r>
    </w:p>
    <w:p w14:paraId="6264654B" w14:textId="2AB835DE" w:rsidR="00587701" w:rsidRPr="002E78B5" w:rsidRDefault="004C4331" w:rsidP="006C577E">
      <w:pPr>
        <w:snapToGrid w:val="0"/>
        <w:spacing w:line="360" w:lineRule="auto"/>
        <w:jc w:val="both"/>
        <w:rPr>
          <w:rFonts w:ascii="Book Antiqua" w:hAnsi="Book Antiqua" w:cs="Arial"/>
        </w:rPr>
      </w:pPr>
      <w:r w:rsidRPr="002E78B5">
        <w:rPr>
          <w:rFonts w:ascii="Book Antiqua" w:hAnsi="Book Antiqua" w:cs="Arial"/>
        </w:rPr>
        <w:t>This was a retrospective observational study using hospital administrative data. Adult patients resident in England that accessed inpatient care and had a recorded ICD-10 IBD disease-specific code (K50, K51) were identified from the Hospital Episode Statistics Admitted Patient Care dataset. Patients were recruited from this data set over a 2-year ‘recruitment period’ from April 2011 to March 2013. Each patient was then followed for a 2-year period from the date of their index admission, with the final patients recruited concluding follow-up by 30th March 2015. Patients that did not have any follow-up events after their index encounter were excluded from further analysis.</w:t>
      </w:r>
    </w:p>
    <w:p w14:paraId="77F73C6B" w14:textId="77777777" w:rsidR="004C4331" w:rsidRPr="002E78B5" w:rsidRDefault="004C4331" w:rsidP="006C577E">
      <w:pPr>
        <w:snapToGrid w:val="0"/>
        <w:spacing w:line="360" w:lineRule="auto"/>
        <w:jc w:val="both"/>
        <w:rPr>
          <w:rFonts w:ascii="Book Antiqua" w:hAnsi="Book Antiqua" w:cs="Arial"/>
        </w:rPr>
      </w:pPr>
    </w:p>
    <w:p w14:paraId="4979127E" w14:textId="6B2EEDFF" w:rsidR="004C4331" w:rsidRPr="002E78B5" w:rsidRDefault="004C4331" w:rsidP="006C577E">
      <w:pPr>
        <w:snapToGrid w:val="0"/>
        <w:spacing w:line="360" w:lineRule="auto"/>
        <w:jc w:val="both"/>
        <w:rPr>
          <w:rFonts w:ascii="Book Antiqua" w:hAnsi="Book Antiqua" w:cs="Arial"/>
          <w:b/>
          <w:i/>
        </w:rPr>
      </w:pPr>
      <w:r w:rsidRPr="002E78B5">
        <w:rPr>
          <w:rFonts w:ascii="Book Antiqua" w:hAnsi="Book Antiqua" w:cs="Arial"/>
          <w:b/>
          <w:i/>
        </w:rPr>
        <w:t>Identifying providers</w:t>
      </w:r>
    </w:p>
    <w:p w14:paraId="44C73E92" w14:textId="6B9301F7" w:rsidR="004C4331" w:rsidRPr="002E78B5" w:rsidRDefault="004C4331" w:rsidP="006C577E">
      <w:pPr>
        <w:snapToGrid w:val="0"/>
        <w:spacing w:line="360" w:lineRule="auto"/>
        <w:jc w:val="both"/>
        <w:rPr>
          <w:rFonts w:ascii="Book Antiqua" w:hAnsi="Book Antiqua" w:cs="Arial"/>
        </w:rPr>
      </w:pPr>
      <w:r w:rsidRPr="002E78B5">
        <w:rPr>
          <w:rFonts w:ascii="Book Antiqua" w:hAnsi="Book Antiqua" w:cs="Arial"/>
        </w:rPr>
        <w:t xml:space="preserve">In England, healthcare provider organisations, or ‘Trusts’, provide </w:t>
      </w:r>
      <w:r w:rsidR="00966014" w:rsidRPr="002E78B5">
        <w:rPr>
          <w:rFonts w:ascii="Book Antiqua" w:hAnsi="Book Antiqua" w:cs="Arial"/>
        </w:rPr>
        <w:t>acute hospital</w:t>
      </w:r>
      <w:r w:rsidRPr="002E78B5">
        <w:rPr>
          <w:rFonts w:ascii="Book Antiqua" w:hAnsi="Book Antiqua" w:cs="Arial"/>
        </w:rPr>
        <w:t xml:space="preserve"> services</w:t>
      </w:r>
      <w:r w:rsidRPr="002E78B5">
        <w:rPr>
          <w:rFonts w:ascii="Book Antiqua" w:hAnsi="Book Antiqua" w:cs="Arial"/>
        </w:rPr>
        <w:fldChar w:fldCharType="begin" w:fldLock="1"/>
      </w:r>
      <w:r w:rsidR="00DA0904" w:rsidRPr="002E78B5">
        <w:rPr>
          <w:rFonts w:ascii="Book Antiqua" w:hAnsi="Book Antiqua" w:cs="Arial"/>
        </w:rPr>
        <w:instrText>ADDIN CSL_CITATION {"citationItems":[{"id":"ITEM-1","itemData":{"URL":"https://www.nao.org.uk/wp-content/uploads/2017/09/2017-Short-Guide-to-the-Department-of-Health-and-NHS-England.pdf","accessed":{"date-parts":[["2018","3","11"]]},"author":[{"dropping-particle":"","family":"National Audit Office","given":"","non-dropping-particle":"","parse-names":false,"suffix":""}],"id":"ITEM-1","issued":{"date-parts":[["2017"]]},"page":"1-40","title":"A Short Guide to the Department of Health and NHS England","type":"webpage"},"uris":["http://www.mendeley.com/documents/?uuid=d9e39389-4e9b-4ceb-9cea-b630a6c0b292"]}],"mendeley":{"formattedCitation":"&lt;sup&gt;[20]&lt;/sup&gt;","plainTextFormattedCitation":"[20]","previouslyFormattedCitation":"&lt;sup&gt;[20]&lt;/sup&gt;"},"properties":{"noteIndex":0},"schema":"https://github.com/citation-style-language/schema/raw/master/csl-citation.json"}</w:instrText>
      </w:r>
      <w:r w:rsidRPr="002E78B5">
        <w:rPr>
          <w:rFonts w:ascii="Book Antiqua" w:hAnsi="Book Antiqua" w:cs="Arial"/>
        </w:rPr>
        <w:fldChar w:fldCharType="separate"/>
      </w:r>
      <w:r w:rsidR="00DA0904" w:rsidRPr="002E78B5">
        <w:rPr>
          <w:rFonts w:ascii="Book Antiqua" w:hAnsi="Book Antiqua" w:cs="Arial"/>
          <w:noProof/>
          <w:vertAlign w:val="superscript"/>
        </w:rPr>
        <w:t>[20]</w:t>
      </w:r>
      <w:r w:rsidRPr="002E78B5">
        <w:rPr>
          <w:rFonts w:ascii="Book Antiqua" w:hAnsi="Book Antiqua" w:cs="Arial"/>
        </w:rPr>
        <w:fldChar w:fldCharType="end"/>
      </w:r>
      <w:r w:rsidRPr="002E78B5">
        <w:rPr>
          <w:rFonts w:ascii="Book Antiqua" w:hAnsi="Book Antiqua" w:cs="Arial"/>
        </w:rPr>
        <w:t>. To accommodate organisational change over the study period, providers that merged or separated over the study period were treated as a single merged provider across the whole study period. Low-volume providers with less than 1000 total IBD patient encounters over the 4-year period of data were excluded.</w:t>
      </w:r>
    </w:p>
    <w:p w14:paraId="5E46012A" w14:textId="77777777" w:rsidR="004C4331" w:rsidRPr="002E78B5" w:rsidRDefault="004C4331" w:rsidP="006C577E">
      <w:pPr>
        <w:snapToGrid w:val="0"/>
        <w:spacing w:line="360" w:lineRule="auto"/>
        <w:jc w:val="both"/>
        <w:rPr>
          <w:rFonts w:ascii="Book Antiqua" w:hAnsi="Book Antiqua" w:cs="Arial"/>
        </w:rPr>
      </w:pPr>
    </w:p>
    <w:p w14:paraId="671B77FE" w14:textId="026D52D7" w:rsidR="004C4331" w:rsidRPr="002E78B5" w:rsidRDefault="004C4331" w:rsidP="006C577E">
      <w:pPr>
        <w:snapToGrid w:val="0"/>
        <w:spacing w:line="360" w:lineRule="auto"/>
        <w:jc w:val="both"/>
        <w:rPr>
          <w:rFonts w:ascii="Book Antiqua" w:hAnsi="Book Antiqua" w:cs="Arial"/>
          <w:b/>
          <w:i/>
        </w:rPr>
      </w:pPr>
      <w:r w:rsidRPr="002E78B5">
        <w:rPr>
          <w:rFonts w:ascii="Book Antiqua" w:hAnsi="Book Antiqua" w:cs="Arial"/>
          <w:b/>
          <w:i/>
        </w:rPr>
        <w:t>Identifying ‘home providers’</w:t>
      </w:r>
    </w:p>
    <w:p w14:paraId="2195B7B6" w14:textId="059BFA59" w:rsidR="004C4331" w:rsidRPr="002E78B5" w:rsidRDefault="004C4331" w:rsidP="006C577E">
      <w:pPr>
        <w:snapToGrid w:val="0"/>
        <w:spacing w:line="360" w:lineRule="auto"/>
        <w:jc w:val="both"/>
        <w:rPr>
          <w:rFonts w:ascii="Book Antiqua" w:hAnsi="Book Antiqua" w:cs="Arial"/>
        </w:rPr>
      </w:pPr>
      <w:r w:rsidRPr="002E78B5">
        <w:rPr>
          <w:rFonts w:ascii="Book Antiqua" w:hAnsi="Book Antiqua" w:cs="Arial"/>
        </w:rPr>
        <w:lastRenderedPageBreak/>
        <w:t xml:space="preserve">Each patient recruited into the study was allocated a </w:t>
      </w:r>
      <w:r w:rsidR="008F72D0">
        <w:rPr>
          <w:rFonts w:ascii="Book Antiqua" w:hAnsi="Book Antiqua" w:cs="Arial"/>
          <w:lang w:eastAsia="zh-CN"/>
        </w:rPr>
        <w:t>‘</w:t>
      </w:r>
      <w:r w:rsidRPr="002E78B5">
        <w:rPr>
          <w:rFonts w:ascii="Book Antiqua" w:hAnsi="Book Antiqua" w:cs="Arial"/>
        </w:rPr>
        <w:t>home provider</w:t>
      </w:r>
      <w:r w:rsidR="008F72D0">
        <w:rPr>
          <w:rFonts w:ascii="Book Antiqua" w:hAnsi="Book Antiqua" w:cs="Arial"/>
          <w:lang w:eastAsia="zh-CN"/>
        </w:rPr>
        <w:t>’</w:t>
      </w:r>
      <w:r w:rsidRPr="002E78B5">
        <w:rPr>
          <w:rFonts w:ascii="Book Antiqua" w:hAnsi="Book Antiqua" w:cs="Arial"/>
        </w:rPr>
        <w:t>, which was identified as the Trust through which more of a patient</w:t>
      </w:r>
      <w:r w:rsidR="008F72D0">
        <w:rPr>
          <w:rFonts w:ascii="Book Antiqua" w:hAnsi="Book Antiqua" w:cs="Arial"/>
          <w:lang w:eastAsia="zh-CN"/>
        </w:rPr>
        <w:t>’</w:t>
      </w:r>
      <w:r w:rsidRPr="002E78B5">
        <w:rPr>
          <w:rFonts w:ascii="Book Antiqua" w:hAnsi="Book Antiqua" w:cs="Arial"/>
        </w:rPr>
        <w:t xml:space="preserve">s outpatient care in gastroenterology was delivered during the study period than any other provider. Patients that did not have any gastroenterology outpatient appointments were excluded from analysis. </w:t>
      </w:r>
    </w:p>
    <w:p w14:paraId="37B5E9B6" w14:textId="58D3AACE" w:rsidR="00A34022" w:rsidRPr="002E78B5" w:rsidRDefault="00A34022" w:rsidP="006C577E">
      <w:pPr>
        <w:snapToGrid w:val="0"/>
        <w:spacing w:line="360" w:lineRule="auto"/>
        <w:jc w:val="both"/>
        <w:rPr>
          <w:rFonts w:ascii="Book Antiqua" w:hAnsi="Book Antiqua" w:cs="Arial"/>
        </w:rPr>
      </w:pPr>
    </w:p>
    <w:p w14:paraId="5715259E" w14:textId="6653C21E" w:rsidR="00A34022" w:rsidRPr="002E78B5" w:rsidRDefault="00A34022" w:rsidP="006C577E">
      <w:pPr>
        <w:snapToGrid w:val="0"/>
        <w:spacing w:line="360" w:lineRule="auto"/>
        <w:jc w:val="both"/>
        <w:rPr>
          <w:rFonts w:ascii="Book Antiqua" w:hAnsi="Book Antiqua" w:cs="Arial"/>
          <w:b/>
          <w:i/>
        </w:rPr>
      </w:pPr>
      <w:r w:rsidRPr="002E78B5">
        <w:rPr>
          <w:rFonts w:ascii="Book Antiqua" w:hAnsi="Book Antiqua" w:cs="Arial"/>
          <w:b/>
          <w:i/>
        </w:rPr>
        <w:t xml:space="preserve">Outcome </w:t>
      </w:r>
      <w:r w:rsidR="008F72D0" w:rsidRPr="002E78B5">
        <w:rPr>
          <w:rFonts w:ascii="Book Antiqua" w:hAnsi="Book Antiqua" w:cs="Arial"/>
          <w:b/>
          <w:i/>
        </w:rPr>
        <w:t>m</w:t>
      </w:r>
      <w:r w:rsidRPr="002E78B5">
        <w:rPr>
          <w:rFonts w:ascii="Book Antiqua" w:hAnsi="Book Antiqua" w:cs="Arial"/>
          <w:b/>
          <w:i/>
        </w:rPr>
        <w:t>easures</w:t>
      </w:r>
    </w:p>
    <w:p w14:paraId="4B4C89CF" w14:textId="2D1F7165" w:rsidR="00A34022" w:rsidRPr="008F72D0" w:rsidRDefault="00A34022" w:rsidP="006C577E">
      <w:pPr>
        <w:snapToGrid w:val="0"/>
        <w:spacing w:line="360" w:lineRule="auto"/>
        <w:jc w:val="both"/>
        <w:rPr>
          <w:rFonts w:ascii="Book Antiqua" w:eastAsiaTheme="minorEastAsia" w:hAnsi="Book Antiqua" w:cs="Arial"/>
          <w:lang w:eastAsia="zh-CN"/>
        </w:rPr>
      </w:pPr>
      <w:r w:rsidRPr="002E78B5">
        <w:rPr>
          <w:rFonts w:ascii="Book Antiqua" w:hAnsi="Book Antiqua" w:cs="Arial"/>
        </w:rPr>
        <w:t xml:space="preserve">The primary outcome measure was the proportion of </w:t>
      </w:r>
      <w:r w:rsidR="00AC1EB6" w:rsidRPr="002E78B5">
        <w:rPr>
          <w:rFonts w:ascii="Book Antiqua" w:hAnsi="Book Antiqua" w:cs="Arial"/>
        </w:rPr>
        <w:t xml:space="preserve">encounters that </w:t>
      </w:r>
      <w:r w:rsidRPr="002E78B5">
        <w:rPr>
          <w:rFonts w:ascii="Book Antiqua" w:hAnsi="Book Antiqua" w:cs="Arial"/>
        </w:rPr>
        <w:t xml:space="preserve">adult IBD patients in England </w:t>
      </w:r>
      <w:r w:rsidR="00AC1EB6" w:rsidRPr="002E78B5">
        <w:rPr>
          <w:rFonts w:ascii="Book Antiqua" w:hAnsi="Book Antiqua" w:cs="Arial"/>
        </w:rPr>
        <w:t xml:space="preserve">have with their identified </w:t>
      </w:r>
      <w:r w:rsidRPr="002E78B5">
        <w:rPr>
          <w:rFonts w:ascii="Book Antiqua" w:hAnsi="Book Antiqua" w:cs="Arial"/>
        </w:rPr>
        <w:t>‘home provider’.</w:t>
      </w:r>
      <w:r w:rsidR="008F72D0">
        <w:rPr>
          <w:rFonts w:ascii="Book Antiqua" w:eastAsiaTheme="minorEastAsia" w:hAnsi="Book Antiqua" w:cs="Arial" w:hint="eastAsia"/>
          <w:lang w:eastAsia="zh-CN"/>
        </w:rPr>
        <w:t xml:space="preserve"> </w:t>
      </w:r>
      <w:r w:rsidRPr="002E78B5">
        <w:rPr>
          <w:rFonts w:ascii="Book Antiqua" w:hAnsi="Book Antiqua" w:cs="Arial"/>
        </w:rPr>
        <w:t>Secondary outcome measures included the distribution of IBD patient-sharing, regional differences in IBD patient-sharing, age-related differences in accessing services and type and frequency of outpatient specialty services accessed by patients with a diagnosis of IBD.</w:t>
      </w:r>
    </w:p>
    <w:p w14:paraId="57138707" w14:textId="421C1D23" w:rsidR="00587701" w:rsidRPr="002E78B5" w:rsidRDefault="00587701" w:rsidP="006C577E">
      <w:pPr>
        <w:snapToGrid w:val="0"/>
        <w:spacing w:line="360" w:lineRule="auto"/>
        <w:jc w:val="both"/>
        <w:rPr>
          <w:rFonts w:ascii="Book Antiqua" w:hAnsi="Book Antiqua"/>
        </w:rPr>
      </w:pPr>
    </w:p>
    <w:p w14:paraId="559A99B6" w14:textId="32DE8F81" w:rsidR="004C4331" w:rsidRPr="002E78B5" w:rsidRDefault="004C4331" w:rsidP="006C577E">
      <w:pPr>
        <w:snapToGrid w:val="0"/>
        <w:spacing w:line="360" w:lineRule="auto"/>
        <w:jc w:val="both"/>
        <w:rPr>
          <w:rFonts w:ascii="Book Antiqua" w:hAnsi="Book Antiqua" w:cs="Arial"/>
          <w:b/>
          <w:i/>
        </w:rPr>
      </w:pPr>
      <w:r w:rsidRPr="002E78B5">
        <w:rPr>
          <w:rFonts w:ascii="Book Antiqua" w:hAnsi="Book Antiqua" w:cs="Arial"/>
          <w:b/>
          <w:i/>
        </w:rPr>
        <w:t xml:space="preserve">Identifying frequency and location of healthcare events for </w:t>
      </w:r>
      <w:r w:rsidR="006C577E" w:rsidRPr="006C577E">
        <w:rPr>
          <w:rFonts w:ascii="Book Antiqua" w:hAnsi="Book Antiqua" w:cs="Arial"/>
          <w:b/>
          <w:i/>
        </w:rPr>
        <w:t>IBD</w:t>
      </w:r>
      <w:r w:rsidRPr="002E78B5">
        <w:rPr>
          <w:rFonts w:ascii="Book Antiqua" w:hAnsi="Book Antiqua" w:cs="Arial"/>
          <w:b/>
          <w:i/>
        </w:rPr>
        <w:t xml:space="preserve"> patients</w:t>
      </w:r>
    </w:p>
    <w:p w14:paraId="2707CBBC" w14:textId="553D8B1A" w:rsidR="004C4331" w:rsidRPr="002E78B5" w:rsidRDefault="004C4331" w:rsidP="006C577E">
      <w:pPr>
        <w:snapToGrid w:val="0"/>
        <w:spacing w:line="360" w:lineRule="auto"/>
        <w:jc w:val="both"/>
        <w:rPr>
          <w:rFonts w:ascii="Book Antiqua" w:hAnsi="Book Antiqua" w:cs="Arial"/>
        </w:rPr>
      </w:pPr>
      <w:r w:rsidRPr="002E78B5">
        <w:rPr>
          <w:rFonts w:ascii="Book Antiqua" w:hAnsi="Book Antiqua" w:cs="Arial"/>
        </w:rPr>
        <w:t xml:space="preserve">We identified the frequency and location of accident and emergency, inpatient and outpatient encounters for IBD patients within </w:t>
      </w:r>
      <w:r w:rsidR="008F72D0">
        <w:rPr>
          <w:rFonts w:ascii="Book Antiqua" w:hAnsi="Book Antiqua" w:cs="Arial" w:hint="eastAsia"/>
          <w:lang w:eastAsia="zh-CN"/>
        </w:rPr>
        <w:t>National Health Service (</w:t>
      </w:r>
      <w:r w:rsidRPr="002E78B5">
        <w:rPr>
          <w:rFonts w:ascii="Book Antiqua" w:hAnsi="Book Antiqua" w:cs="Arial"/>
        </w:rPr>
        <w:t>NHS</w:t>
      </w:r>
      <w:r w:rsidR="008F72D0">
        <w:rPr>
          <w:rFonts w:ascii="Book Antiqua" w:hAnsi="Book Antiqua" w:cs="Arial" w:hint="eastAsia"/>
          <w:lang w:eastAsia="zh-CN"/>
        </w:rPr>
        <w:t>)</w:t>
      </w:r>
      <w:r w:rsidRPr="002E78B5">
        <w:rPr>
          <w:rFonts w:ascii="Book Antiqua" w:hAnsi="Book Antiqua" w:cs="Arial"/>
        </w:rPr>
        <w:t xml:space="preserve"> England and determined the proportion of attendances to previously identified ‘home providers’.</w:t>
      </w:r>
    </w:p>
    <w:p w14:paraId="711FC55C" w14:textId="77777777" w:rsidR="004C4331" w:rsidRPr="002E78B5" w:rsidRDefault="004C4331" w:rsidP="006C577E">
      <w:pPr>
        <w:snapToGrid w:val="0"/>
        <w:spacing w:line="360" w:lineRule="auto"/>
        <w:jc w:val="both"/>
        <w:rPr>
          <w:rFonts w:ascii="Book Antiqua" w:hAnsi="Book Antiqua" w:cs="Arial"/>
        </w:rPr>
      </w:pPr>
    </w:p>
    <w:p w14:paraId="2B416A1A" w14:textId="1D17CBCE" w:rsidR="004C4331" w:rsidRPr="002E78B5" w:rsidRDefault="004C4331" w:rsidP="006C577E">
      <w:pPr>
        <w:snapToGrid w:val="0"/>
        <w:spacing w:line="360" w:lineRule="auto"/>
        <w:jc w:val="both"/>
        <w:rPr>
          <w:rFonts w:ascii="Book Antiqua" w:hAnsi="Book Antiqua" w:cs="Arial"/>
          <w:b/>
          <w:i/>
        </w:rPr>
      </w:pPr>
      <w:r w:rsidRPr="002E78B5">
        <w:rPr>
          <w:rFonts w:ascii="Book Antiqua" w:hAnsi="Book Antiqua" w:cs="Arial"/>
          <w:b/>
          <w:i/>
        </w:rPr>
        <w:t>Identifying regional differences in patient events</w:t>
      </w:r>
    </w:p>
    <w:p w14:paraId="07903DD7" w14:textId="5293364F" w:rsidR="004C4331" w:rsidRPr="002E78B5" w:rsidRDefault="004C4331" w:rsidP="006C577E">
      <w:pPr>
        <w:snapToGrid w:val="0"/>
        <w:spacing w:line="360" w:lineRule="auto"/>
        <w:jc w:val="both"/>
        <w:rPr>
          <w:rFonts w:ascii="Book Antiqua" w:hAnsi="Book Antiqua" w:cs="Arial"/>
        </w:rPr>
      </w:pPr>
      <w:r w:rsidRPr="002E78B5">
        <w:rPr>
          <w:rFonts w:ascii="Book Antiqua" w:hAnsi="Book Antiqua" w:cs="Arial"/>
        </w:rPr>
        <w:t>Middle Layer Super Output Areas (MSOA) associated with each patient w</w:t>
      </w:r>
      <w:r w:rsidR="008F72D0">
        <w:rPr>
          <w:rFonts w:ascii="Book Antiqua" w:hAnsi="Book Antiqua" w:cs="Arial" w:hint="eastAsia"/>
          <w:lang w:eastAsia="zh-CN"/>
        </w:rPr>
        <w:t>as</w:t>
      </w:r>
      <w:r w:rsidRPr="002E78B5">
        <w:rPr>
          <w:rFonts w:ascii="Book Antiqua" w:hAnsi="Book Antiqua" w:cs="Arial"/>
        </w:rPr>
        <w:t xml:space="preserve"> used to map their residential region within England. MSOAs represent a geographic region with a population between 5000 and 7200 people</w:t>
      </w:r>
      <w:r w:rsidRPr="002E78B5">
        <w:rPr>
          <w:rFonts w:ascii="Book Antiqua" w:hAnsi="Book Antiqua" w:cs="Arial"/>
        </w:rPr>
        <w:fldChar w:fldCharType="begin" w:fldLock="1"/>
      </w:r>
      <w:r w:rsidR="00DA0904" w:rsidRPr="002E78B5">
        <w:rPr>
          <w:rFonts w:ascii="Book Antiqua" w:hAnsi="Book Antiqua" w:cs="Arial"/>
        </w:rPr>
        <w:instrText>ADDIN CSL_CITATION {"citationItems":[{"id":"ITEM-1","itemData":{"URL":"http://www.datadictionary.nhs.uk/data_dictionary/nhs_business_definitions/m/middle_layer_super_output_area_de.asp?shownav=1","accessed":{"date-parts":[["2018","3","3"]]},"author":[{"dropping-particle":"","family":"NHS","given":"","non-dropping-particle":"","parse-names":false,"suffix":""}],"id":"ITEM-1","issued":{"date-parts":[["2018"]]},"title":"Middle Layer Super Output Area","type":"webpage"},"uris":["http://www.mendeley.com/documents/?uuid=ba2d03f2-6604-4ddc-a60c-2e11b593f292"]}],"mendeley":{"formattedCitation":"&lt;sup&gt;[21]&lt;/sup&gt;","plainTextFormattedCitation":"[21]","previouslyFormattedCitation":"&lt;sup&gt;[21]&lt;/sup&gt;"},"properties":{"noteIndex":0},"schema":"https://github.com/citation-style-language/schema/raw/master/csl-citation.json"}</w:instrText>
      </w:r>
      <w:r w:rsidRPr="002E78B5">
        <w:rPr>
          <w:rFonts w:ascii="Book Antiqua" w:hAnsi="Book Antiqua" w:cs="Arial"/>
        </w:rPr>
        <w:fldChar w:fldCharType="separate"/>
      </w:r>
      <w:r w:rsidR="00DA0904" w:rsidRPr="002E78B5">
        <w:rPr>
          <w:rFonts w:ascii="Book Antiqua" w:hAnsi="Book Antiqua" w:cs="Arial"/>
          <w:noProof/>
          <w:vertAlign w:val="superscript"/>
        </w:rPr>
        <w:t>[21]</w:t>
      </w:r>
      <w:r w:rsidRPr="002E78B5">
        <w:rPr>
          <w:rFonts w:ascii="Book Antiqua" w:hAnsi="Book Antiqua" w:cs="Arial"/>
        </w:rPr>
        <w:fldChar w:fldCharType="end"/>
      </w:r>
      <w:r w:rsidRPr="002E78B5">
        <w:rPr>
          <w:rFonts w:ascii="Book Antiqua" w:hAnsi="Book Antiqua" w:cs="Arial"/>
        </w:rPr>
        <w:t>. The estimates incidence of IBD in England is 0.5</w:t>
      </w:r>
      <w:r w:rsidR="008F72D0">
        <w:rPr>
          <w:rFonts w:ascii="Book Antiqua" w:hAnsi="Book Antiqua" w:cs="Arial" w:hint="eastAsia"/>
          <w:lang w:eastAsia="zh-CN"/>
        </w:rPr>
        <w:t>%</w:t>
      </w:r>
      <w:r w:rsidRPr="002E78B5">
        <w:rPr>
          <w:rFonts w:ascii="Book Antiqua" w:hAnsi="Book Antiqua" w:cs="Arial"/>
        </w:rPr>
        <w:t>-1%, yielding around 50 patients per MSOA</w:t>
      </w:r>
      <w:r w:rsidRPr="002E78B5">
        <w:rPr>
          <w:rFonts w:ascii="Book Antiqua" w:hAnsi="Book Antiqua" w:cs="Arial"/>
        </w:rPr>
        <w:fldChar w:fldCharType="begin" w:fldLock="1"/>
      </w:r>
      <w:r w:rsidR="00657105" w:rsidRPr="002E78B5">
        <w:rPr>
          <w:rFonts w:ascii="Book Antiqua" w:hAnsi="Book Antiqua" w:cs="Arial"/>
        </w:rPr>
        <w:instrText>ADDIN CSL_CITATION {"citationItems":[{"id":"ITEM-1","itemData":{"DOI":"10.1053/j.gastro.2011.10.001","PMID":"22001864","abstract":"We conducted a systematic review to determine changes in the worldwide incidence and prevalence of ulcerative colitis (UC) and Crohn's disease (CD) in different regions and with time. METHODS: We performed a systematic literature search of MEDLINE (1950-2010; 8103 citations) and EMBASE (1980-2010; 4975 citations) to identify studies that were population based, included data that could be used to calculate incidence and prevalence, and reported separate data on UC and/or CD in full manuscripts (n = 260). We evaluated data from 167 studies from Europe (1930-2008), 52 studies from Asia and the Middle East (1950-2008), and 27 studies from North America (1920-2004). Maps were used to present worldwide differences in the incidence and prevalence of inflammatory bowel diseases (IBDs); time trends were determined using joinpoint regression. RESULTS: The highest annual incidence of UC was 24.3 per 100,000 person-years in Europe, 6.3 per 100,000 person-years in Asia and the Middle East, and 19.2 per 100,000 person-years in North America. The highest annual incidence of CD was 12.7 per 100,000 person-years in Europe, 5.0 person-years in Asia and the Middle East, and 20.2 per 100,000 person-years in North America. The highest reported prevalence values for IBD were in Europe (UC, 505 per 100,000 persons; CD, 322 per 100,000 persons) and North America (UC, 249 per 100,000 persons; CD, 319 per 100,000 persons). In time-trend analyses, 75% of CD studies and 60% of UC studies had an increasing incidence of statistical significance (P &lt; .05). CONCLUSIONS: Although there are few epidemiologic data from developing countries, the incidence and prevalence of IBD are increasing with time and in different regions around the world, indicating its emergence as a global disease.","author":[{"dropping-particle":"","family":"Molodecky NA, Soon IS, Rabi DM, Ghali WA, Ferris M, Chernoff G, Benchimol EI, Panaccione R, Ghosh S, Barkema HW","given":"Kaplan GG","non-dropping-particle":"","parse-names":false,"suffix":""}],"container-title":"Gastroenterology","id":"ITEM-1","issue":"1","issued":{"date-parts":[["2012"]]},"page":"46-54","title":"Increasing incidence and prevalence of the inflammatory bowel diseases with time, based on systematic review","type":"article-journal","volume":"142"},"uris":["http://www.mendeley.com/documents/?uuid=4c15d825-c24c-44bf-93af-a426e59df049"]}],"mendeley":{"formattedCitation":"&lt;sup&gt;[22]&lt;/sup&gt;","plainTextFormattedCitation":"[22]","previouslyFormattedCitation":"&lt;sup&gt;[22]&lt;/sup&gt;"},"properties":{"noteIndex":0},"schema":"https://github.com/citation-style-language/schema/raw/master/csl-citation.json"}</w:instrText>
      </w:r>
      <w:r w:rsidRPr="002E78B5">
        <w:rPr>
          <w:rFonts w:ascii="Book Antiqua" w:hAnsi="Book Antiqua" w:cs="Arial"/>
        </w:rPr>
        <w:fldChar w:fldCharType="separate"/>
      </w:r>
      <w:r w:rsidR="00DA0904" w:rsidRPr="002E78B5">
        <w:rPr>
          <w:rFonts w:ascii="Book Antiqua" w:hAnsi="Book Antiqua" w:cs="Arial"/>
          <w:noProof/>
          <w:vertAlign w:val="superscript"/>
        </w:rPr>
        <w:t>[22]</w:t>
      </w:r>
      <w:r w:rsidRPr="002E78B5">
        <w:rPr>
          <w:rFonts w:ascii="Book Antiqua" w:hAnsi="Book Antiqua" w:cs="Arial"/>
        </w:rPr>
        <w:fldChar w:fldCharType="end"/>
      </w:r>
      <w:r w:rsidRPr="002E78B5">
        <w:rPr>
          <w:rFonts w:ascii="Book Antiqua" w:hAnsi="Book Antiqua" w:cs="Arial"/>
        </w:rPr>
        <w:t>.</w:t>
      </w:r>
      <w:r w:rsidR="008F72D0">
        <w:rPr>
          <w:rFonts w:ascii="Book Antiqua" w:hAnsi="Book Antiqua" w:cs="Arial" w:hint="eastAsia"/>
          <w:lang w:eastAsia="zh-CN"/>
        </w:rPr>
        <w:t xml:space="preserve"> </w:t>
      </w:r>
      <w:r w:rsidRPr="002E78B5">
        <w:rPr>
          <w:rFonts w:ascii="Book Antiqua" w:hAnsi="Book Antiqua" w:cs="Arial"/>
        </w:rPr>
        <w:t>To further analyse and illustrate regional differences in patient-sharing, the 20 provider organisations with the highest and lowest proportions of IBD patients attending their identified ‘home provider’ for healthcare were identified and mapped geographically.</w:t>
      </w:r>
    </w:p>
    <w:p w14:paraId="43A12524" w14:textId="77777777" w:rsidR="004C4331" w:rsidRPr="002E78B5" w:rsidRDefault="004C4331" w:rsidP="006C577E">
      <w:pPr>
        <w:snapToGrid w:val="0"/>
        <w:spacing w:line="360" w:lineRule="auto"/>
        <w:jc w:val="both"/>
        <w:rPr>
          <w:rFonts w:ascii="Book Antiqua" w:hAnsi="Book Antiqua" w:cs="Arial"/>
        </w:rPr>
      </w:pPr>
    </w:p>
    <w:p w14:paraId="527420B3" w14:textId="34F26D7C" w:rsidR="004C4331" w:rsidRPr="002E78B5" w:rsidRDefault="004C4331" w:rsidP="006C577E">
      <w:pPr>
        <w:snapToGrid w:val="0"/>
        <w:spacing w:line="360" w:lineRule="auto"/>
        <w:jc w:val="both"/>
        <w:rPr>
          <w:rFonts w:ascii="Book Antiqua" w:hAnsi="Book Antiqua" w:cs="Arial"/>
          <w:b/>
          <w:i/>
        </w:rPr>
      </w:pPr>
      <w:r w:rsidRPr="002E78B5">
        <w:rPr>
          <w:rFonts w:ascii="Book Antiqua" w:hAnsi="Book Antiqua" w:cs="Arial"/>
          <w:b/>
          <w:i/>
        </w:rPr>
        <w:t>Age-related differences in patient events</w:t>
      </w:r>
    </w:p>
    <w:p w14:paraId="4C174752" w14:textId="6E19B9DE" w:rsidR="004C4331" w:rsidRPr="002E78B5" w:rsidRDefault="004C4331" w:rsidP="006C577E">
      <w:pPr>
        <w:snapToGrid w:val="0"/>
        <w:spacing w:line="360" w:lineRule="auto"/>
        <w:jc w:val="both"/>
        <w:rPr>
          <w:rFonts w:ascii="Book Antiqua" w:hAnsi="Book Antiqua" w:cs="Arial"/>
        </w:rPr>
      </w:pPr>
      <w:r w:rsidRPr="002E78B5">
        <w:rPr>
          <w:rFonts w:ascii="Book Antiqua" w:hAnsi="Book Antiqua" w:cs="Arial"/>
        </w:rPr>
        <w:lastRenderedPageBreak/>
        <w:t>Access to care services was compared for three age bands, &lt;</w:t>
      </w:r>
      <w:r w:rsidR="008F72D0">
        <w:rPr>
          <w:rFonts w:ascii="Book Antiqua" w:hAnsi="Book Antiqua" w:cs="Arial" w:hint="eastAsia"/>
          <w:lang w:eastAsia="zh-CN"/>
        </w:rPr>
        <w:t xml:space="preserve"> </w:t>
      </w:r>
      <w:r w:rsidRPr="002E78B5">
        <w:rPr>
          <w:rFonts w:ascii="Book Antiqua" w:hAnsi="Book Antiqua" w:cs="Arial"/>
        </w:rPr>
        <w:t>40, 40-70 and &gt;</w:t>
      </w:r>
      <w:r w:rsidR="008F72D0">
        <w:rPr>
          <w:rFonts w:ascii="Book Antiqua" w:hAnsi="Book Antiqua" w:cs="Arial" w:hint="eastAsia"/>
          <w:lang w:eastAsia="zh-CN"/>
        </w:rPr>
        <w:t xml:space="preserve"> </w:t>
      </w:r>
      <w:r w:rsidRPr="002E78B5">
        <w:rPr>
          <w:rFonts w:ascii="Book Antiqua" w:hAnsi="Book Antiqua" w:cs="Arial"/>
        </w:rPr>
        <w:t>70 years, to determine differences in the proportion of patients accessing services through their ‘home provider’ for all patient encounter types.</w:t>
      </w:r>
    </w:p>
    <w:p w14:paraId="3417FBE4" w14:textId="77777777" w:rsidR="004C4331" w:rsidRPr="002E78B5" w:rsidRDefault="004C4331" w:rsidP="006C577E">
      <w:pPr>
        <w:snapToGrid w:val="0"/>
        <w:spacing w:line="360" w:lineRule="auto"/>
        <w:jc w:val="both"/>
        <w:rPr>
          <w:rFonts w:ascii="Book Antiqua" w:hAnsi="Book Antiqua" w:cs="Arial"/>
          <w:i/>
        </w:rPr>
      </w:pPr>
    </w:p>
    <w:p w14:paraId="5599FCEE" w14:textId="748D647F" w:rsidR="004C4331" w:rsidRPr="002E78B5" w:rsidRDefault="004C4331" w:rsidP="006C577E">
      <w:pPr>
        <w:snapToGrid w:val="0"/>
        <w:spacing w:line="360" w:lineRule="auto"/>
        <w:jc w:val="both"/>
        <w:rPr>
          <w:rFonts w:ascii="Book Antiqua" w:hAnsi="Book Antiqua" w:cs="Arial"/>
          <w:b/>
          <w:i/>
        </w:rPr>
      </w:pPr>
      <w:r w:rsidRPr="002E78B5">
        <w:rPr>
          <w:rFonts w:ascii="Book Antiqua" w:hAnsi="Book Antiqua" w:cs="Arial"/>
          <w:b/>
          <w:i/>
        </w:rPr>
        <w:t xml:space="preserve">Type of specialty services accessed by </w:t>
      </w:r>
      <w:r w:rsidR="006C577E" w:rsidRPr="006C577E">
        <w:rPr>
          <w:rFonts w:ascii="Book Antiqua" w:hAnsi="Book Antiqua" w:cs="Arial"/>
          <w:b/>
          <w:i/>
        </w:rPr>
        <w:t>IBD</w:t>
      </w:r>
      <w:r w:rsidRPr="002E78B5">
        <w:rPr>
          <w:rFonts w:ascii="Book Antiqua" w:hAnsi="Book Antiqua" w:cs="Arial"/>
          <w:b/>
          <w:i/>
        </w:rPr>
        <w:t xml:space="preserve"> patients</w:t>
      </w:r>
    </w:p>
    <w:p w14:paraId="7A4A3D20" w14:textId="3B93928B" w:rsidR="00587701" w:rsidRPr="002E78B5" w:rsidRDefault="004C4331" w:rsidP="006C577E">
      <w:pPr>
        <w:snapToGrid w:val="0"/>
        <w:spacing w:line="360" w:lineRule="auto"/>
        <w:jc w:val="both"/>
        <w:rPr>
          <w:rFonts w:ascii="Book Antiqua" w:hAnsi="Book Antiqua" w:cs="Arial"/>
        </w:rPr>
      </w:pPr>
      <w:r w:rsidRPr="002E78B5">
        <w:rPr>
          <w:rFonts w:ascii="Book Antiqua" w:hAnsi="Book Antiqua" w:cs="Arial"/>
        </w:rPr>
        <w:t>In NHS England, outpatient encounters are coded using main specialty codes or treatment function codes pertaining to the clinical service provided</w:t>
      </w:r>
      <w:r w:rsidRPr="002E78B5">
        <w:rPr>
          <w:rFonts w:ascii="Book Antiqua" w:hAnsi="Book Antiqua" w:cs="Arial"/>
        </w:rPr>
        <w:fldChar w:fldCharType="begin" w:fldLock="1"/>
      </w:r>
      <w:r w:rsidR="00DA0904" w:rsidRPr="002E78B5">
        <w:rPr>
          <w:rFonts w:ascii="Book Antiqua" w:hAnsi="Book Antiqua" w:cs="Arial"/>
        </w:rPr>
        <w:instrText>ADDIN CSL_CITATION {"citationItems":[{"id":"ITEM-1","itemData":{"URL":"http://www.datadictionary.nhs.uk/data_dictionary/attributes/m/main_specialty_code_de.asp?shownav=1","accessed":{"date-parts":[["2018","3","14"]]},"author":[{"dropping-particle":"","family":"NHS","given":"","non-dropping-particle":"","parse-names":false,"suffix":""}],"id":"ITEM-1","issued":{"date-parts":[["2018"]]},"title":"Main Specialty Code","type":"webpage"},"uris":["http://www.mendeley.com/documents/?uuid=ec6e26c7-a043-448c-8044-8c2e90571651"]},{"id":"ITEM-2","itemData":{"URL":"http://www.datadictionary.nhs.uk/data_dictionary/attributes/t/tran/treatment_function_code_de.asp?shownav=1","accessed":{"date-parts":[["2018","3","14"]]},"author":[{"dropping-particle":"","family":"NHS","given":"","non-dropping-particle":"","parse-names":false,"suffix":""}],"id":"ITEM-2","issued":{"date-parts":[["2018"]]},"title":"Treatment Function Code","type":"webpage"},"uris":["http://www.mendeley.com/documents/?uuid=76c7756e-9bf9-4695-aeda-065b49ab4fdc"]}],"mendeley":{"formattedCitation":"&lt;sup&gt;[23,24]&lt;/sup&gt;","plainTextFormattedCitation":"[23,24]","previouslyFormattedCitation":"&lt;sup&gt;[23,24]&lt;/sup&gt;"},"properties":{"noteIndex":0},"schema":"https://github.com/citation-style-language/schema/raw/master/csl-citation.json"}</w:instrText>
      </w:r>
      <w:r w:rsidRPr="002E78B5">
        <w:rPr>
          <w:rFonts w:ascii="Book Antiqua" w:hAnsi="Book Antiqua" w:cs="Arial"/>
        </w:rPr>
        <w:fldChar w:fldCharType="separate"/>
      </w:r>
      <w:r w:rsidR="00DA0904" w:rsidRPr="002E78B5">
        <w:rPr>
          <w:rFonts w:ascii="Book Antiqua" w:hAnsi="Book Antiqua" w:cs="Arial"/>
          <w:noProof/>
          <w:vertAlign w:val="superscript"/>
        </w:rPr>
        <w:t>[23,24]</w:t>
      </w:r>
      <w:r w:rsidRPr="002E78B5">
        <w:rPr>
          <w:rFonts w:ascii="Book Antiqua" w:hAnsi="Book Antiqua" w:cs="Arial"/>
        </w:rPr>
        <w:fldChar w:fldCharType="end"/>
      </w:r>
      <w:r w:rsidR="006C4799" w:rsidRPr="002E78B5">
        <w:rPr>
          <w:rFonts w:ascii="Book Antiqua" w:hAnsi="Book Antiqua" w:cs="Arial"/>
        </w:rPr>
        <w:t>.</w:t>
      </w:r>
      <w:r w:rsidRPr="002E78B5">
        <w:rPr>
          <w:rFonts w:ascii="Book Antiqua" w:hAnsi="Book Antiqua" w:cs="Arial"/>
        </w:rPr>
        <w:t xml:space="preserve"> For recruited patients, we reviewed outpatient encounters within the follow-up period to determine the type of specialty services that IBD patients consulted with and the frequency of these.</w:t>
      </w:r>
    </w:p>
    <w:p w14:paraId="443799C3" w14:textId="77777777" w:rsidR="00A34022" w:rsidRPr="002E78B5" w:rsidRDefault="00A34022" w:rsidP="006C577E">
      <w:pPr>
        <w:snapToGrid w:val="0"/>
        <w:spacing w:line="360" w:lineRule="auto"/>
        <w:jc w:val="both"/>
        <w:rPr>
          <w:rFonts w:ascii="Book Antiqua" w:hAnsi="Book Antiqua"/>
        </w:rPr>
      </w:pPr>
    </w:p>
    <w:p w14:paraId="4D3DAEDF" w14:textId="0039FB94" w:rsidR="00A76DE4" w:rsidRPr="002E78B5" w:rsidRDefault="000F0270" w:rsidP="006C577E">
      <w:pPr>
        <w:snapToGrid w:val="0"/>
        <w:spacing w:line="360" w:lineRule="auto"/>
        <w:jc w:val="both"/>
        <w:rPr>
          <w:rFonts w:ascii="Book Antiqua" w:hAnsi="Book Antiqua" w:cs="Arial"/>
          <w:b/>
          <w:i/>
        </w:rPr>
      </w:pPr>
      <w:r w:rsidRPr="002E78B5">
        <w:rPr>
          <w:rFonts w:ascii="Book Antiqua" w:hAnsi="Book Antiqua" w:cs="Arial"/>
          <w:b/>
          <w:i/>
        </w:rPr>
        <w:t>Statistical m</w:t>
      </w:r>
      <w:r w:rsidR="00A76DE4" w:rsidRPr="002E78B5">
        <w:rPr>
          <w:rFonts w:ascii="Book Antiqua" w:hAnsi="Book Antiqua" w:cs="Arial"/>
          <w:b/>
          <w:i/>
        </w:rPr>
        <w:t>ethods</w:t>
      </w:r>
    </w:p>
    <w:p w14:paraId="66C34F07" w14:textId="48D626AE" w:rsidR="00062D16" w:rsidRPr="002E78B5" w:rsidRDefault="00A34022" w:rsidP="006C577E">
      <w:pPr>
        <w:snapToGrid w:val="0"/>
        <w:spacing w:line="360" w:lineRule="auto"/>
        <w:jc w:val="both"/>
        <w:rPr>
          <w:rFonts w:ascii="Book Antiqua" w:hAnsi="Book Antiqua" w:cs="Arial"/>
        </w:rPr>
      </w:pPr>
      <w:r w:rsidRPr="002E78B5">
        <w:rPr>
          <w:rFonts w:ascii="Book Antiqua" w:hAnsi="Book Antiqua" w:cs="Arial"/>
        </w:rPr>
        <w:t xml:space="preserve">The investigators had complete access to the </w:t>
      </w:r>
      <w:bookmarkStart w:id="27" w:name="OLE_LINK401"/>
      <w:r w:rsidR="001E5A36" w:rsidRPr="001E5A36">
        <w:rPr>
          <w:rFonts w:ascii="Book Antiqua" w:hAnsi="Book Antiqua" w:cs="Arial"/>
        </w:rPr>
        <w:t xml:space="preserve">Hospital Episode Statistics </w:t>
      </w:r>
      <w:r w:rsidR="001E5A36">
        <w:rPr>
          <w:rFonts w:ascii="Book Antiqua" w:hAnsi="Book Antiqua" w:cs="Arial" w:hint="eastAsia"/>
          <w:lang w:eastAsia="zh-CN"/>
        </w:rPr>
        <w:t>(</w:t>
      </w:r>
      <w:r w:rsidRPr="002E78B5">
        <w:rPr>
          <w:rFonts w:ascii="Book Antiqua" w:hAnsi="Book Antiqua" w:cs="Arial"/>
        </w:rPr>
        <w:t>HES</w:t>
      </w:r>
      <w:r w:rsidR="001E5A36">
        <w:rPr>
          <w:rFonts w:ascii="Book Antiqua" w:hAnsi="Book Antiqua" w:cs="Arial" w:hint="eastAsia"/>
          <w:lang w:eastAsia="zh-CN"/>
        </w:rPr>
        <w:t>)</w:t>
      </w:r>
      <w:r w:rsidRPr="002E78B5">
        <w:rPr>
          <w:rFonts w:ascii="Book Antiqua" w:hAnsi="Book Antiqua" w:cs="Arial"/>
        </w:rPr>
        <w:t xml:space="preserve"> dataset</w:t>
      </w:r>
      <w:bookmarkEnd w:id="27"/>
      <w:r w:rsidRPr="002E78B5">
        <w:rPr>
          <w:rFonts w:ascii="Book Antiqua" w:hAnsi="Book Antiqua" w:cs="Arial"/>
        </w:rPr>
        <w:t xml:space="preserve"> for the study period covering April 2011 to March 2015. </w:t>
      </w:r>
      <w:r w:rsidR="00A76DE4" w:rsidRPr="002E78B5">
        <w:rPr>
          <w:rFonts w:ascii="Book Antiqua" w:hAnsi="Book Antiqua" w:cs="Arial"/>
        </w:rPr>
        <w:t xml:space="preserve">Data was cleaned prior to analysis with removal of incomplete and duplicate records. Python (Python Software Foundation) was used for data extraction and analysis and Tableau (Tableau Software) for data visualisation. </w:t>
      </w:r>
      <w:r w:rsidR="00584150" w:rsidRPr="002E78B5">
        <w:rPr>
          <w:rFonts w:ascii="Book Antiqua" w:hAnsi="Book Antiqua" w:cs="Arial"/>
        </w:rPr>
        <w:t>Statistical analysis and review were performed by biomedical statisticians (JC, MB).</w:t>
      </w:r>
    </w:p>
    <w:p w14:paraId="2ADDCF9B" w14:textId="76E17B61" w:rsidR="000F0270" w:rsidRPr="002E78B5" w:rsidRDefault="000F0270" w:rsidP="006C577E">
      <w:pPr>
        <w:snapToGrid w:val="0"/>
        <w:spacing w:line="360" w:lineRule="auto"/>
        <w:jc w:val="both"/>
        <w:rPr>
          <w:rFonts w:ascii="Book Antiqua" w:hAnsi="Book Antiqua" w:cs="Arial"/>
        </w:rPr>
      </w:pPr>
    </w:p>
    <w:p w14:paraId="42BA3CBF" w14:textId="671C33C1" w:rsidR="000240AB" w:rsidRPr="002E78B5" w:rsidRDefault="00D47972" w:rsidP="006C577E">
      <w:pPr>
        <w:snapToGrid w:val="0"/>
        <w:spacing w:line="360" w:lineRule="auto"/>
        <w:jc w:val="both"/>
        <w:rPr>
          <w:rFonts w:ascii="Book Antiqua" w:hAnsi="Book Antiqua" w:cs="Arial"/>
          <w:b/>
        </w:rPr>
      </w:pPr>
      <w:r w:rsidRPr="002E78B5">
        <w:rPr>
          <w:rFonts w:ascii="Book Antiqua" w:hAnsi="Book Antiqua" w:cs="Arial"/>
          <w:b/>
        </w:rPr>
        <w:t>RESULTS</w:t>
      </w:r>
    </w:p>
    <w:p w14:paraId="71242517" w14:textId="4B751E67" w:rsidR="00A76DE4" w:rsidRPr="002E78B5" w:rsidRDefault="00A76DE4" w:rsidP="006C577E">
      <w:pPr>
        <w:snapToGrid w:val="0"/>
        <w:spacing w:line="360" w:lineRule="auto"/>
        <w:jc w:val="both"/>
        <w:rPr>
          <w:rFonts w:ascii="Book Antiqua" w:hAnsi="Book Antiqua" w:cs="Arial"/>
          <w:b/>
          <w:i/>
        </w:rPr>
      </w:pPr>
      <w:r w:rsidRPr="002E78B5">
        <w:rPr>
          <w:rFonts w:ascii="Book Antiqua" w:hAnsi="Book Antiqua" w:cs="Arial"/>
          <w:b/>
          <w:i/>
        </w:rPr>
        <w:t>Participants</w:t>
      </w:r>
    </w:p>
    <w:p w14:paraId="3796A39A" w14:textId="6AE9FC10" w:rsidR="003D2802" w:rsidRPr="002E78B5" w:rsidRDefault="008F72D0" w:rsidP="006C577E">
      <w:pPr>
        <w:snapToGrid w:val="0"/>
        <w:spacing w:line="360" w:lineRule="auto"/>
        <w:jc w:val="both"/>
        <w:rPr>
          <w:rFonts w:ascii="Book Antiqua" w:hAnsi="Book Antiqua" w:cs="Arial"/>
        </w:rPr>
      </w:pPr>
      <w:r>
        <w:rPr>
          <w:rFonts w:ascii="Book Antiqua" w:hAnsi="Book Antiqua" w:cs="Arial"/>
          <w:lang w:eastAsia="zh-CN"/>
        </w:rPr>
        <w:t>O</w:t>
      </w:r>
      <w:r>
        <w:rPr>
          <w:rFonts w:ascii="Book Antiqua" w:hAnsi="Book Antiqua" w:cs="Arial" w:hint="eastAsia"/>
          <w:lang w:eastAsia="zh-CN"/>
        </w:rPr>
        <w:t xml:space="preserve">f </w:t>
      </w:r>
      <w:r>
        <w:rPr>
          <w:rFonts w:ascii="Book Antiqua" w:hAnsi="Book Antiqua" w:cs="Arial"/>
        </w:rPr>
        <w:t>126</w:t>
      </w:r>
      <w:r w:rsidR="00A76DE4" w:rsidRPr="002E78B5">
        <w:rPr>
          <w:rFonts w:ascii="Book Antiqua" w:hAnsi="Book Antiqua" w:cs="Arial"/>
        </w:rPr>
        <w:t>295 patients fulfilled the inclusion criteria and were recruited from the HES data set during th</w:t>
      </w:r>
      <w:r>
        <w:rPr>
          <w:rFonts w:ascii="Book Antiqua" w:hAnsi="Book Antiqua" w:cs="Arial"/>
        </w:rPr>
        <w:t>e 2-year recruitment period. 31</w:t>
      </w:r>
      <w:r w:rsidR="00A76DE4" w:rsidRPr="002E78B5">
        <w:rPr>
          <w:rFonts w:ascii="Book Antiqua" w:hAnsi="Book Antiqua" w:cs="Arial"/>
        </w:rPr>
        <w:t>240 (24.7%) patients did not have gastroenterology appointments during the follow-up period and were therefore unable to be allocated a ‘</w:t>
      </w:r>
      <w:r>
        <w:rPr>
          <w:rFonts w:ascii="Book Antiqua" w:hAnsi="Book Antiqua" w:cs="Arial"/>
        </w:rPr>
        <w:t>home provider’ and excluded. 95</w:t>
      </w:r>
      <w:r w:rsidR="00A76DE4" w:rsidRPr="002E78B5">
        <w:rPr>
          <w:rFonts w:ascii="Book Antiqua" w:hAnsi="Book Antiqua" w:cs="Arial"/>
        </w:rPr>
        <w:t>055 patients remained for further analysis. This p</w:t>
      </w:r>
      <w:r>
        <w:rPr>
          <w:rFonts w:ascii="Book Antiqua" w:hAnsi="Book Antiqua" w:cs="Arial"/>
        </w:rPr>
        <w:t>atient group had a total of 110300 accident and emergency, 304996 inpatient and 1344</w:t>
      </w:r>
      <w:r w:rsidR="00A76DE4" w:rsidRPr="002E78B5">
        <w:rPr>
          <w:rFonts w:ascii="Book Antiqua" w:hAnsi="Book Antiqua" w:cs="Arial"/>
        </w:rPr>
        <w:t>860 outpatient events over the 2-year follow-up period, including their first hospital admission through which they were recruited (Table 1).</w:t>
      </w:r>
    </w:p>
    <w:p w14:paraId="7E91C5DC" w14:textId="77777777" w:rsidR="003D2802" w:rsidRPr="002E78B5" w:rsidRDefault="003D2802" w:rsidP="006C577E">
      <w:pPr>
        <w:snapToGrid w:val="0"/>
        <w:spacing w:line="360" w:lineRule="auto"/>
        <w:jc w:val="both"/>
        <w:rPr>
          <w:rFonts w:ascii="Book Antiqua" w:hAnsi="Book Antiqua" w:cs="Arial"/>
        </w:rPr>
      </w:pPr>
    </w:p>
    <w:p w14:paraId="1CD1535C" w14:textId="3FFA4F47" w:rsidR="00AB1FBB" w:rsidRPr="002E78B5" w:rsidRDefault="000172BB" w:rsidP="006C577E">
      <w:pPr>
        <w:snapToGrid w:val="0"/>
        <w:spacing w:line="360" w:lineRule="auto"/>
        <w:jc w:val="both"/>
        <w:rPr>
          <w:rFonts w:ascii="Book Antiqua" w:hAnsi="Book Antiqua" w:cs="Arial"/>
          <w:b/>
          <w:i/>
        </w:rPr>
      </w:pPr>
      <w:r w:rsidRPr="002E78B5">
        <w:rPr>
          <w:rFonts w:ascii="Book Antiqua" w:hAnsi="Book Antiqua" w:cs="Arial"/>
          <w:b/>
          <w:i/>
        </w:rPr>
        <w:t>Providers</w:t>
      </w:r>
    </w:p>
    <w:p w14:paraId="2577BFD9" w14:textId="12858D7A" w:rsidR="00AB1FBB" w:rsidRPr="002E78B5" w:rsidRDefault="008F72D0" w:rsidP="006C577E">
      <w:pPr>
        <w:snapToGrid w:val="0"/>
        <w:spacing w:line="360" w:lineRule="auto"/>
        <w:jc w:val="both"/>
        <w:rPr>
          <w:rFonts w:ascii="Book Antiqua" w:hAnsi="Book Antiqua" w:cs="Arial"/>
        </w:rPr>
      </w:pPr>
      <w:r>
        <w:rPr>
          <w:rFonts w:ascii="Book Antiqua" w:hAnsi="Book Antiqua" w:cs="Arial"/>
          <w:lang w:eastAsia="zh-CN"/>
        </w:rPr>
        <w:lastRenderedPageBreak/>
        <w:t>O</w:t>
      </w:r>
      <w:r>
        <w:rPr>
          <w:rFonts w:ascii="Book Antiqua" w:hAnsi="Book Antiqua" w:cs="Arial" w:hint="eastAsia"/>
          <w:lang w:eastAsia="zh-CN"/>
        </w:rPr>
        <w:t xml:space="preserve">f </w:t>
      </w:r>
      <w:r w:rsidR="00562E8E" w:rsidRPr="002E78B5">
        <w:rPr>
          <w:rFonts w:ascii="Book Antiqua" w:hAnsi="Book Antiqua" w:cs="Arial"/>
        </w:rPr>
        <w:t>76</w:t>
      </w:r>
      <w:r w:rsidR="001C68F2" w:rsidRPr="002E78B5">
        <w:rPr>
          <w:rFonts w:ascii="Book Antiqua" w:hAnsi="Book Antiqua" w:cs="Arial"/>
        </w:rPr>
        <w:t xml:space="preserve"> low-volume providers with less than 1000 IBD patient e</w:t>
      </w:r>
      <w:r w:rsidR="00203197" w:rsidRPr="002E78B5">
        <w:rPr>
          <w:rFonts w:ascii="Book Antiqua" w:hAnsi="Book Antiqua" w:cs="Arial"/>
        </w:rPr>
        <w:t>ncounters</w:t>
      </w:r>
      <w:r w:rsidR="001C68F2" w:rsidRPr="002E78B5">
        <w:rPr>
          <w:rFonts w:ascii="Book Antiqua" w:hAnsi="Book Antiqua" w:cs="Arial"/>
        </w:rPr>
        <w:t xml:space="preserve"> over</w:t>
      </w:r>
      <w:r w:rsidR="003B45D7" w:rsidRPr="002E78B5">
        <w:rPr>
          <w:rFonts w:ascii="Book Antiqua" w:hAnsi="Book Antiqua" w:cs="Arial"/>
        </w:rPr>
        <w:t xml:space="preserve"> </w:t>
      </w:r>
      <w:r w:rsidR="000C64B9" w:rsidRPr="002E78B5">
        <w:rPr>
          <w:rFonts w:ascii="Book Antiqua" w:hAnsi="Book Antiqua" w:cs="Arial"/>
        </w:rPr>
        <w:t>the 2-year recruitment</w:t>
      </w:r>
      <w:r w:rsidR="003B45D7" w:rsidRPr="002E78B5">
        <w:rPr>
          <w:rFonts w:ascii="Book Antiqua" w:hAnsi="Book Antiqua" w:cs="Arial"/>
        </w:rPr>
        <w:t xml:space="preserve"> period were excluded, </w:t>
      </w:r>
      <w:r w:rsidR="001C68F2" w:rsidRPr="002E78B5">
        <w:rPr>
          <w:rFonts w:ascii="Book Antiqua" w:hAnsi="Book Antiqua" w:cs="Arial"/>
        </w:rPr>
        <w:t xml:space="preserve">comprising </w:t>
      </w:r>
      <w:r w:rsidR="009E3920" w:rsidRPr="002E78B5">
        <w:rPr>
          <w:rFonts w:ascii="Book Antiqua" w:hAnsi="Book Antiqua" w:cs="Arial"/>
        </w:rPr>
        <w:t xml:space="preserve">a total of </w:t>
      </w:r>
      <w:r w:rsidR="001C68F2" w:rsidRPr="002E78B5">
        <w:rPr>
          <w:rFonts w:ascii="Book Antiqua" w:hAnsi="Book Antiqua" w:cs="Arial"/>
        </w:rPr>
        <w:t>803</w:t>
      </w:r>
      <w:r w:rsidR="003B45D7" w:rsidRPr="002E78B5">
        <w:rPr>
          <w:rFonts w:ascii="Book Antiqua" w:hAnsi="Book Antiqua" w:cs="Arial"/>
        </w:rPr>
        <w:t>0 (0.</w:t>
      </w:r>
      <w:r w:rsidR="00AB1FBB" w:rsidRPr="002E78B5">
        <w:rPr>
          <w:rFonts w:ascii="Book Antiqua" w:hAnsi="Book Antiqua" w:cs="Arial"/>
        </w:rPr>
        <w:t>0045</w:t>
      </w:r>
      <w:r w:rsidR="009025DA" w:rsidRPr="002E78B5">
        <w:rPr>
          <w:rFonts w:ascii="Book Antiqua" w:hAnsi="Book Antiqua" w:cs="Arial"/>
        </w:rPr>
        <w:t>6</w:t>
      </w:r>
      <w:r w:rsidR="001C68F2" w:rsidRPr="002E78B5">
        <w:rPr>
          <w:rFonts w:ascii="Book Antiqua" w:hAnsi="Book Antiqua" w:cs="Arial"/>
        </w:rPr>
        <w:t xml:space="preserve">%) </w:t>
      </w:r>
      <w:r w:rsidR="00203197" w:rsidRPr="002E78B5">
        <w:rPr>
          <w:rFonts w:ascii="Book Antiqua" w:hAnsi="Book Antiqua" w:cs="Arial"/>
        </w:rPr>
        <w:t>encounters</w:t>
      </w:r>
      <w:r w:rsidR="001C68F2" w:rsidRPr="002E78B5">
        <w:rPr>
          <w:rFonts w:ascii="Book Antiqua" w:hAnsi="Book Antiqua" w:cs="Arial"/>
        </w:rPr>
        <w:t>.</w:t>
      </w:r>
      <w:r w:rsidR="00061877" w:rsidRPr="002E78B5">
        <w:rPr>
          <w:rFonts w:ascii="Book Antiqua" w:hAnsi="Book Antiqua" w:cs="Arial"/>
        </w:rPr>
        <w:t xml:space="preserve"> </w:t>
      </w:r>
      <w:r w:rsidR="0029320A" w:rsidRPr="002E78B5">
        <w:rPr>
          <w:rFonts w:ascii="Book Antiqua" w:hAnsi="Book Antiqua" w:cs="Arial"/>
        </w:rPr>
        <w:t xml:space="preserve">A total of </w:t>
      </w:r>
      <w:r w:rsidR="000C615F" w:rsidRPr="002E78B5">
        <w:rPr>
          <w:rFonts w:ascii="Book Antiqua" w:hAnsi="Book Antiqua" w:cs="Arial"/>
        </w:rPr>
        <w:t>144</w:t>
      </w:r>
      <w:r w:rsidR="00AB1FBB" w:rsidRPr="002E78B5">
        <w:rPr>
          <w:rFonts w:ascii="Book Antiqua" w:hAnsi="Book Antiqua" w:cs="Arial"/>
        </w:rPr>
        <w:t xml:space="preserve"> providers remained for further analysis</w:t>
      </w:r>
      <w:r w:rsidR="00327ABE" w:rsidRPr="002E78B5">
        <w:rPr>
          <w:rFonts w:ascii="Book Antiqua" w:hAnsi="Book Antiqua" w:cs="Arial"/>
        </w:rPr>
        <w:t>.</w:t>
      </w:r>
    </w:p>
    <w:p w14:paraId="7E07AFFC" w14:textId="77B3240F" w:rsidR="00AB1FBB" w:rsidRPr="002E78B5" w:rsidRDefault="00AB1FBB" w:rsidP="006C577E">
      <w:pPr>
        <w:snapToGrid w:val="0"/>
        <w:spacing w:line="360" w:lineRule="auto"/>
        <w:jc w:val="both"/>
        <w:rPr>
          <w:rFonts w:ascii="Book Antiqua" w:hAnsi="Book Antiqua" w:cs="Arial"/>
        </w:rPr>
      </w:pPr>
    </w:p>
    <w:p w14:paraId="3651FAE0" w14:textId="00C01A4F" w:rsidR="00AB1FBB" w:rsidRPr="002E78B5" w:rsidRDefault="00B03245" w:rsidP="006C577E">
      <w:pPr>
        <w:snapToGrid w:val="0"/>
        <w:spacing w:line="360" w:lineRule="auto"/>
        <w:jc w:val="both"/>
        <w:rPr>
          <w:rFonts w:ascii="Book Antiqua" w:hAnsi="Book Antiqua" w:cs="Arial"/>
          <w:b/>
          <w:i/>
        </w:rPr>
      </w:pPr>
      <w:r w:rsidRPr="002E78B5">
        <w:rPr>
          <w:rFonts w:ascii="Book Antiqua" w:hAnsi="Book Antiqua" w:cs="Arial"/>
          <w:b/>
          <w:i/>
        </w:rPr>
        <w:t>Frequency and proportion of ‘h</w:t>
      </w:r>
      <w:r w:rsidR="00203197" w:rsidRPr="002E78B5">
        <w:rPr>
          <w:rFonts w:ascii="Book Antiqua" w:hAnsi="Book Antiqua" w:cs="Arial"/>
          <w:b/>
          <w:i/>
        </w:rPr>
        <w:t>ome provider’ encounters</w:t>
      </w:r>
    </w:p>
    <w:p w14:paraId="176D4AFB" w14:textId="39B4E5C8" w:rsidR="00F05BEB" w:rsidRPr="002E78B5" w:rsidRDefault="008F72D0" w:rsidP="006C577E">
      <w:pPr>
        <w:snapToGrid w:val="0"/>
        <w:spacing w:line="360" w:lineRule="auto"/>
        <w:jc w:val="both"/>
        <w:rPr>
          <w:rFonts w:ascii="Book Antiqua" w:hAnsi="Book Antiqua" w:cs="Arial"/>
        </w:rPr>
      </w:pPr>
      <w:r>
        <w:rPr>
          <w:rFonts w:ascii="Book Antiqua" w:hAnsi="Book Antiqua" w:cs="Arial"/>
          <w:lang w:eastAsia="zh-CN"/>
        </w:rPr>
        <w:t>O</w:t>
      </w:r>
      <w:r>
        <w:rPr>
          <w:rFonts w:ascii="Book Antiqua" w:hAnsi="Book Antiqua" w:cs="Arial" w:hint="eastAsia"/>
          <w:lang w:eastAsia="zh-CN"/>
        </w:rPr>
        <w:t xml:space="preserve">f </w:t>
      </w:r>
      <w:r>
        <w:rPr>
          <w:rFonts w:ascii="Book Antiqua" w:hAnsi="Book Antiqua" w:cs="Arial"/>
        </w:rPr>
        <w:t>1466155 of 1760</w:t>
      </w:r>
      <w:r w:rsidR="008D26E1" w:rsidRPr="002E78B5">
        <w:rPr>
          <w:rFonts w:ascii="Book Antiqua" w:hAnsi="Book Antiqua" w:cs="Arial"/>
        </w:rPr>
        <w:t>156 (</w:t>
      </w:r>
      <w:r w:rsidR="008033BC" w:rsidRPr="002E78B5">
        <w:rPr>
          <w:rFonts w:ascii="Book Antiqua" w:hAnsi="Book Antiqua" w:cs="Arial"/>
        </w:rPr>
        <w:t>83.3%</w:t>
      </w:r>
      <w:r w:rsidR="008D26E1" w:rsidRPr="002E78B5">
        <w:rPr>
          <w:rFonts w:ascii="Book Antiqua" w:hAnsi="Book Antiqua" w:cs="Arial"/>
        </w:rPr>
        <w:t>) IBD patient e</w:t>
      </w:r>
      <w:r w:rsidR="00203197" w:rsidRPr="002E78B5">
        <w:rPr>
          <w:rFonts w:ascii="Book Antiqua" w:hAnsi="Book Antiqua" w:cs="Arial"/>
        </w:rPr>
        <w:t xml:space="preserve">ncounters </w:t>
      </w:r>
      <w:r w:rsidR="008D26E1" w:rsidRPr="002E78B5">
        <w:rPr>
          <w:rFonts w:ascii="Book Antiqua" w:hAnsi="Book Antiqua" w:cs="Arial"/>
        </w:rPr>
        <w:t>were with the ‘home provider’</w:t>
      </w:r>
      <w:r w:rsidR="008033BC" w:rsidRPr="002E78B5">
        <w:rPr>
          <w:rFonts w:ascii="Book Antiqua" w:hAnsi="Book Antiqua" w:cs="Arial"/>
        </w:rPr>
        <w:t xml:space="preserve">. Of those patients recruited who attended accident and emergency departments during the study period, 73.3% of those attendances were to their allocated ‘home provider. 87.8% of inpatient hospital admissions in recruited patients were to their ‘home provider’ while 83.1% of outpatient attendances across all specialties were to their ‘home provider’ </w:t>
      </w:r>
      <w:r w:rsidR="00061877" w:rsidRPr="002E78B5">
        <w:rPr>
          <w:rFonts w:ascii="Book Antiqua" w:hAnsi="Book Antiqua" w:cs="Arial"/>
        </w:rPr>
        <w:t>(Table 1)</w:t>
      </w:r>
      <w:r w:rsidR="006D7853" w:rsidRPr="002E78B5">
        <w:rPr>
          <w:rFonts w:ascii="Book Antiqua" w:hAnsi="Book Antiqua" w:cs="Arial"/>
        </w:rPr>
        <w:t>.</w:t>
      </w:r>
      <w:r w:rsidR="00C03726" w:rsidRPr="002E78B5">
        <w:rPr>
          <w:rFonts w:ascii="Book Antiqua" w:hAnsi="Book Antiqua" w:cs="Arial"/>
        </w:rPr>
        <w:t xml:space="preserve"> </w:t>
      </w:r>
      <w:r w:rsidR="00DE726E" w:rsidRPr="002E78B5">
        <w:rPr>
          <w:rFonts w:ascii="Book Antiqua" w:hAnsi="Book Antiqua" w:cs="Arial"/>
        </w:rPr>
        <w:t>The r</w:t>
      </w:r>
      <w:r w:rsidR="00C03726" w:rsidRPr="002E78B5">
        <w:rPr>
          <w:rFonts w:ascii="Book Antiqua" w:hAnsi="Book Antiqua" w:cs="Arial"/>
        </w:rPr>
        <w:t>ange of</w:t>
      </w:r>
      <w:r w:rsidR="009D4D3E" w:rsidRPr="002E78B5">
        <w:rPr>
          <w:rFonts w:ascii="Book Antiqua" w:hAnsi="Book Antiqua" w:cs="Arial"/>
        </w:rPr>
        <w:t xml:space="preserve"> proportions of</w:t>
      </w:r>
      <w:r w:rsidR="00C03726" w:rsidRPr="002E78B5">
        <w:rPr>
          <w:rFonts w:ascii="Book Antiqua" w:hAnsi="Book Antiqua" w:cs="Arial"/>
        </w:rPr>
        <w:t xml:space="preserve"> ‘home provider’ </w:t>
      </w:r>
      <w:r w:rsidR="009D4D3E" w:rsidRPr="002E78B5">
        <w:rPr>
          <w:rFonts w:ascii="Book Antiqua" w:hAnsi="Book Antiqua" w:cs="Arial"/>
        </w:rPr>
        <w:t>encounters</w:t>
      </w:r>
      <w:r w:rsidR="00BC567A" w:rsidRPr="002E78B5">
        <w:rPr>
          <w:rFonts w:ascii="Book Antiqua" w:hAnsi="Book Antiqua" w:cs="Arial"/>
        </w:rPr>
        <w:t xml:space="preserve"> per trust</w:t>
      </w:r>
      <w:r w:rsidR="009D4D3E" w:rsidRPr="002E78B5">
        <w:rPr>
          <w:rFonts w:ascii="Book Antiqua" w:hAnsi="Book Antiqua" w:cs="Arial"/>
        </w:rPr>
        <w:t xml:space="preserve"> was 37.0</w:t>
      </w:r>
      <w:r>
        <w:rPr>
          <w:rFonts w:ascii="Book Antiqua" w:hAnsi="Book Antiqua" w:cs="Arial" w:hint="eastAsia"/>
          <w:lang w:eastAsia="zh-CN"/>
        </w:rPr>
        <w:t>%</w:t>
      </w:r>
      <w:r w:rsidR="009D4D3E" w:rsidRPr="002E78B5">
        <w:rPr>
          <w:rFonts w:ascii="Book Antiqua" w:hAnsi="Book Antiqua" w:cs="Arial"/>
        </w:rPr>
        <w:t xml:space="preserve"> to 94.3% </w:t>
      </w:r>
      <w:r w:rsidR="00BC567A" w:rsidRPr="002E78B5">
        <w:rPr>
          <w:rFonts w:ascii="Book Antiqua" w:hAnsi="Book Antiqua" w:cs="Arial"/>
        </w:rPr>
        <w:t>for accident and emergency encounters</w:t>
      </w:r>
      <w:r w:rsidR="009D4D3E" w:rsidRPr="002E78B5">
        <w:rPr>
          <w:rFonts w:ascii="Book Antiqua" w:hAnsi="Book Antiqua" w:cs="Arial"/>
        </w:rPr>
        <w:t>, 57.2</w:t>
      </w:r>
      <w:r>
        <w:rPr>
          <w:rFonts w:ascii="Book Antiqua" w:hAnsi="Book Antiqua" w:cs="Arial" w:hint="eastAsia"/>
          <w:lang w:eastAsia="zh-CN"/>
        </w:rPr>
        <w:t>%</w:t>
      </w:r>
      <w:r w:rsidR="009D4D3E" w:rsidRPr="002E78B5">
        <w:rPr>
          <w:rFonts w:ascii="Book Antiqua" w:hAnsi="Book Antiqua" w:cs="Arial"/>
        </w:rPr>
        <w:t xml:space="preserve"> to 98.5% for</w:t>
      </w:r>
      <w:r w:rsidR="00BC567A" w:rsidRPr="002E78B5">
        <w:rPr>
          <w:rFonts w:ascii="Book Antiqua" w:hAnsi="Book Antiqua" w:cs="Arial"/>
        </w:rPr>
        <w:t xml:space="preserve"> inpatient encounters</w:t>
      </w:r>
      <w:r w:rsidR="009D4D3E" w:rsidRPr="002E78B5">
        <w:rPr>
          <w:rFonts w:ascii="Book Antiqua" w:hAnsi="Book Antiqua" w:cs="Arial"/>
        </w:rPr>
        <w:t xml:space="preserve"> </w:t>
      </w:r>
      <w:r w:rsidR="00BC567A" w:rsidRPr="002E78B5">
        <w:rPr>
          <w:rFonts w:ascii="Book Antiqua" w:hAnsi="Book Antiqua" w:cs="Arial"/>
        </w:rPr>
        <w:t xml:space="preserve">and </w:t>
      </w:r>
      <w:r w:rsidR="009D4D3E" w:rsidRPr="002E78B5">
        <w:rPr>
          <w:rFonts w:ascii="Book Antiqua" w:hAnsi="Book Antiqua" w:cs="Arial"/>
        </w:rPr>
        <w:t>55.7</w:t>
      </w:r>
      <w:r>
        <w:rPr>
          <w:rFonts w:ascii="Book Antiqua" w:hAnsi="Book Antiqua" w:cs="Arial" w:hint="eastAsia"/>
          <w:lang w:eastAsia="zh-CN"/>
        </w:rPr>
        <w:t>%</w:t>
      </w:r>
      <w:r w:rsidR="009D4D3E" w:rsidRPr="002E78B5">
        <w:rPr>
          <w:rFonts w:ascii="Book Antiqua" w:hAnsi="Book Antiqua" w:cs="Arial"/>
        </w:rPr>
        <w:t xml:space="preserve"> to 96.9% for </w:t>
      </w:r>
      <w:r w:rsidR="00BC567A" w:rsidRPr="002E78B5">
        <w:rPr>
          <w:rFonts w:ascii="Book Antiqua" w:hAnsi="Book Antiqua" w:cs="Arial"/>
        </w:rPr>
        <w:t>outpatient encounters</w:t>
      </w:r>
      <w:r w:rsidR="009D4D3E" w:rsidRPr="002E78B5">
        <w:rPr>
          <w:rFonts w:ascii="Book Antiqua" w:hAnsi="Book Antiqua" w:cs="Arial"/>
        </w:rPr>
        <w:t>.</w:t>
      </w:r>
    </w:p>
    <w:p w14:paraId="56E23282" w14:textId="77777777" w:rsidR="00F05BEB" w:rsidRPr="002E78B5" w:rsidRDefault="00F05BEB" w:rsidP="006C577E">
      <w:pPr>
        <w:snapToGrid w:val="0"/>
        <w:spacing w:line="360" w:lineRule="auto"/>
        <w:jc w:val="both"/>
        <w:rPr>
          <w:rFonts w:ascii="Book Antiqua" w:hAnsi="Book Antiqua" w:cs="Arial"/>
        </w:rPr>
      </w:pPr>
    </w:p>
    <w:p w14:paraId="495F44C9" w14:textId="4022B4AF" w:rsidR="00AB1FBB" w:rsidRPr="002E78B5" w:rsidRDefault="00BC43C1" w:rsidP="006C577E">
      <w:pPr>
        <w:snapToGrid w:val="0"/>
        <w:spacing w:line="360" w:lineRule="auto"/>
        <w:jc w:val="both"/>
        <w:rPr>
          <w:rFonts w:ascii="Book Antiqua" w:hAnsi="Book Antiqua" w:cs="Arial"/>
          <w:b/>
          <w:i/>
        </w:rPr>
      </w:pPr>
      <w:r w:rsidRPr="002E78B5">
        <w:rPr>
          <w:rFonts w:ascii="Book Antiqua" w:hAnsi="Book Antiqua" w:cs="Arial"/>
          <w:b/>
          <w:i/>
        </w:rPr>
        <w:t>Geographic d</w:t>
      </w:r>
      <w:r w:rsidR="00AB1FBB" w:rsidRPr="002E78B5">
        <w:rPr>
          <w:rFonts w:ascii="Book Antiqua" w:hAnsi="Book Antiqua" w:cs="Arial"/>
          <w:b/>
          <w:i/>
        </w:rPr>
        <w:t xml:space="preserve">istribution of </w:t>
      </w:r>
      <w:r w:rsidR="006C577E" w:rsidRPr="006C577E">
        <w:rPr>
          <w:rFonts w:ascii="Book Antiqua" w:hAnsi="Book Antiqua" w:cs="Arial"/>
          <w:b/>
          <w:i/>
        </w:rPr>
        <w:t>IBD</w:t>
      </w:r>
      <w:r w:rsidR="006C577E">
        <w:rPr>
          <w:rFonts w:ascii="Book Antiqua" w:eastAsiaTheme="minorEastAsia" w:hAnsi="Book Antiqua" w:cs="Arial" w:hint="eastAsia"/>
          <w:b/>
          <w:i/>
          <w:lang w:eastAsia="zh-CN"/>
        </w:rPr>
        <w:t xml:space="preserve"> </w:t>
      </w:r>
      <w:r w:rsidR="00AB1FBB" w:rsidRPr="002E78B5">
        <w:rPr>
          <w:rFonts w:ascii="Book Antiqua" w:hAnsi="Book Antiqua" w:cs="Arial"/>
          <w:b/>
          <w:i/>
        </w:rPr>
        <w:t>patient-sharing</w:t>
      </w:r>
    </w:p>
    <w:p w14:paraId="66DEA07E" w14:textId="2E7B5D3E" w:rsidR="00AB1FBB" w:rsidRPr="002E78B5" w:rsidRDefault="00AB51C0" w:rsidP="006C577E">
      <w:pPr>
        <w:snapToGrid w:val="0"/>
        <w:spacing w:line="360" w:lineRule="auto"/>
        <w:jc w:val="both"/>
        <w:rPr>
          <w:rFonts w:ascii="Book Antiqua" w:hAnsi="Book Antiqua" w:cs="Arial"/>
        </w:rPr>
      </w:pPr>
      <w:r w:rsidRPr="002E78B5">
        <w:rPr>
          <w:rFonts w:ascii="Book Antiqua" w:hAnsi="Book Antiqua" w:cs="Arial"/>
        </w:rPr>
        <w:t>There were regional differences in the proportion of ‘home provider’ e</w:t>
      </w:r>
      <w:r w:rsidR="00203197" w:rsidRPr="002E78B5">
        <w:rPr>
          <w:rFonts w:ascii="Book Antiqua" w:hAnsi="Book Antiqua" w:cs="Arial"/>
        </w:rPr>
        <w:t xml:space="preserve">ncounters </w:t>
      </w:r>
      <w:r w:rsidRPr="002E78B5">
        <w:rPr>
          <w:rFonts w:ascii="Book Antiqua" w:hAnsi="Book Antiqua" w:cs="Arial"/>
        </w:rPr>
        <w:t xml:space="preserve">for each </w:t>
      </w:r>
      <w:r w:rsidR="003925DE" w:rsidRPr="002E78B5">
        <w:rPr>
          <w:rFonts w:ascii="Book Antiqua" w:hAnsi="Book Antiqua" w:cs="Arial"/>
        </w:rPr>
        <w:t>encounter</w:t>
      </w:r>
      <w:r w:rsidRPr="002E78B5">
        <w:rPr>
          <w:rFonts w:ascii="Book Antiqua" w:hAnsi="Book Antiqua" w:cs="Arial"/>
        </w:rPr>
        <w:t xml:space="preserve"> type by</w:t>
      </w:r>
      <w:r w:rsidR="00203197" w:rsidRPr="002E78B5">
        <w:rPr>
          <w:rFonts w:ascii="Book Antiqua" w:hAnsi="Book Antiqua" w:cs="Arial"/>
        </w:rPr>
        <w:t xml:space="preserve"> the</w:t>
      </w:r>
      <w:r w:rsidRPr="002E78B5">
        <w:rPr>
          <w:rFonts w:ascii="Book Antiqua" w:hAnsi="Book Antiqua" w:cs="Arial"/>
        </w:rPr>
        <w:t xml:space="preserve"> MSOA of </w:t>
      </w:r>
      <w:r w:rsidR="00203197" w:rsidRPr="002E78B5">
        <w:rPr>
          <w:rFonts w:ascii="Book Antiqua" w:hAnsi="Book Antiqua" w:cs="Arial"/>
        </w:rPr>
        <w:t xml:space="preserve">residence of </w:t>
      </w:r>
      <w:r w:rsidRPr="002E78B5">
        <w:rPr>
          <w:rFonts w:ascii="Book Antiqua" w:hAnsi="Book Antiqua" w:cs="Arial"/>
        </w:rPr>
        <w:t xml:space="preserve">participants (Figure </w:t>
      </w:r>
      <w:r w:rsidR="00B676C5" w:rsidRPr="002E78B5">
        <w:rPr>
          <w:rFonts w:ascii="Book Antiqua" w:hAnsi="Book Antiqua" w:cs="Arial"/>
        </w:rPr>
        <w:t>1</w:t>
      </w:r>
      <w:r w:rsidRPr="002E78B5">
        <w:rPr>
          <w:rFonts w:ascii="Book Antiqua" w:hAnsi="Book Antiqua" w:cs="Arial"/>
        </w:rPr>
        <w:t xml:space="preserve">). </w:t>
      </w:r>
      <w:r w:rsidR="00203197" w:rsidRPr="002E78B5">
        <w:rPr>
          <w:rFonts w:ascii="Book Antiqua" w:hAnsi="Book Antiqua" w:cs="Arial"/>
        </w:rPr>
        <w:t>For each ‘home provider’ the proportion of clinical e</w:t>
      </w:r>
      <w:r w:rsidR="003925DE" w:rsidRPr="002E78B5">
        <w:rPr>
          <w:rFonts w:ascii="Book Antiqua" w:hAnsi="Book Antiqua" w:cs="Arial"/>
        </w:rPr>
        <w:t>ncounters</w:t>
      </w:r>
      <w:r w:rsidR="00203197" w:rsidRPr="002E78B5">
        <w:rPr>
          <w:rFonts w:ascii="Book Antiqua" w:hAnsi="Book Antiqua" w:cs="Arial"/>
        </w:rPr>
        <w:t xml:space="preserve"> for patients allocated to that provider attending their ‘home provider’ were calculated. The hi</w:t>
      </w:r>
      <w:r w:rsidRPr="002E78B5">
        <w:rPr>
          <w:rFonts w:ascii="Book Antiqua" w:hAnsi="Book Antiqua" w:cs="Arial"/>
        </w:rPr>
        <w:t xml:space="preserve">ghest and lowest 20 providers per proportion of ‘home-provider’ healthcare </w:t>
      </w:r>
      <w:r w:rsidR="003925DE" w:rsidRPr="002E78B5">
        <w:rPr>
          <w:rFonts w:ascii="Book Antiqua" w:hAnsi="Book Antiqua" w:cs="Arial"/>
        </w:rPr>
        <w:t>encounters</w:t>
      </w:r>
      <w:r w:rsidR="00203197" w:rsidRPr="002E78B5">
        <w:rPr>
          <w:rFonts w:ascii="Book Antiqua" w:hAnsi="Book Antiqua" w:cs="Arial"/>
        </w:rPr>
        <w:t xml:space="preserve"> is shown in Figure 2.</w:t>
      </w:r>
      <w:r w:rsidRPr="002E78B5">
        <w:rPr>
          <w:rFonts w:ascii="Book Antiqua" w:hAnsi="Book Antiqua" w:cs="Arial"/>
        </w:rPr>
        <w:t xml:space="preserve"> </w:t>
      </w:r>
      <w:r w:rsidR="00AB1FBB" w:rsidRPr="002E78B5">
        <w:rPr>
          <w:rFonts w:ascii="Book Antiqua" w:hAnsi="Book Antiqua" w:cs="Arial"/>
        </w:rPr>
        <w:t>Providers with a low proportion of ‘home provider’ e</w:t>
      </w:r>
      <w:r w:rsidR="003925DE" w:rsidRPr="002E78B5">
        <w:rPr>
          <w:rFonts w:ascii="Book Antiqua" w:hAnsi="Book Antiqua" w:cs="Arial"/>
        </w:rPr>
        <w:t>ncounters</w:t>
      </w:r>
      <w:r w:rsidR="00AB1FBB" w:rsidRPr="002E78B5">
        <w:rPr>
          <w:rFonts w:ascii="Book Antiqua" w:hAnsi="Book Antiqua" w:cs="Arial"/>
        </w:rPr>
        <w:t xml:space="preserve"> for IBD patients were typically located in metropolitan areas</w:t>
      </w:r>
      <w:r w:rsidR="00203197" w:rsidRPr="002E78B5">
        <w:rPr>
          <w:rFonts w:ascii="Book Antiqua" w:hAnsi="Book Antiqua" w:cs="Arial"/>
        </w:rPr>
        <w:t xml:space="preserve"> in Greater London and the North West of England</w:t>
      </w:r>
      <w:r w:rsidR="00AB1FBB" w:rsidRPr="002E78B5">
        <w:rPr>
          <w:rFonts w:ascii="Book Antiqua" w:hAnsi="Book Antiqua" w:cs="Arial"/>
        </w:rPr>
        <w:t xml:space="preserve"> and those with a high </w:t>
      </w:r>
      <w:r w:rsidR="003925DE" w:rsidRPr="002E78B5">
        <w:rPr>
          <w:rFonts w:ascii="Book Antiqua" w:hAnsi="Book Antiqua" w:cs="Arial"/>
        </w:rPr>
        <w:t>proportion of ‘home provider’ encounters</w:t>
      </w:r>
      <w:r w:rsidR="00AB1FBB" w:rsidRPr="002E78B5">
        <w:rPr>
          <w:rFonts w:ascii="Book Antiqua" w:hAnsi="Book Antiqua" w:cs="Arial"/>
        </w:rPr>
        <w:t xml:space="preserve"> were based outside major metropolitan areas.</w:t>
      </w:r>
    </w:p>
    <w:p w14:paraId="519ED405" w14:textId="77777777" w:rsidR="003D2802" w:rsidRPr="002E78B5" w:rsidRDefault="003D2802" w:rsidP="006C577E">
      <w:pPr>
        <w:snapToGrid w:val="0"/>
        <w:spacing w:line="360" w:lineRule="auto"/>
        <w:jc w:val="both"/>
        <w:rPr>
          <w:rFonts w:ascii="Book Antiqua" w:hAnsi="Book Antiqua" w:cs="Arial"/>
        </w:rPr>
      </w:pPr>
    </w:p>
    <w:p w14:paraId="1E892044" w14:textId="658912A7" w:rsidR="003D4106" w:rsidRPr="002E78B5" w:rsidRDefault="003D4106" w:rsidP="006C577E">
      <w:pPr>
        <w:snapToGrid w:val="0"/>
        <w:spacing w:line="360" w:lineRule="auto"/>
        <w:jc w:val="both"/>
        <w:rPr>
          <w:rFonts w:ascii="Book Antiqua" w:hAnsi="Book Antiqua" w:cs="Arial"/>
          <w:b/>
          <w:i/>
        </w:rPr>
      </w:pPr>
      <w:r w:rsidRPr="002E78B5">
        <w:rPr>
          <w:rFonts w:ascii="Book Antiqua" w:hAnsi="Book Antiqua" w:cs="Arial"/>
          <w:b/>
          <w:i/>
        </w:rPr>
        <w:t>Ag</w:t>
      </w:r>
      <w:r w:rsidR="009025DA" w:rsidRPr="002E78B5">
        <w:rPr>
          <w:rFonts w:ascii="Book Antiqua" w:hAnsi="Book Antiqua" w:cs="Arial"/>
          <w:b/>
          <w:i/>
        </w:rPr>
        <w:t>e-related differences in accessing care</w:t>
      </w:r>
    </w:p>
    <w:p w14:paraId="0124C054" w14:textId="78D39B85" w:rsidR="006B0B33" w:rsidRPr="002E78B5" w:rsidRDefault="003D4106" w:rsidP="006C577E">
      <w:pPr>
        <w:snapToGrid w:val="0"/>
        <w:spacing w:line="360" w:lineRule="auto"/>
        <w:jc w:val="both"/>
        <w:rPr>
          <w:rFonts w:ascii="Book Antiqua" w:hAnsi="Book Antiqua" w:cs="Arial"/>
        </w:rPr>
      </w:pPr>
      <w:r w:rsidRPr="002E78B5">
        <w:rPr>
          <w:rFonts w:ascii="Book Antiqua" w:hAnsi="Book Antiqua" w:cs="Arial"/>
        </w:rPr>
        <w:t>The proportion of ‘home provider’ e</w:t>
      </w:r>
      <w:r w:rsidR="003925DE" w:rsidRPr="002E78B5">
        <w:rPr>
          <w:rFonts w:ascii="Book Antiqua" w:hAnsi="Book Antiqua" w:cs="Arial"/>
        </w:rPr>
        <w:t xml:space="preserve">ncounters </w:t>
      </w:r>
      <w:r w:rsidRPr="002E78B5">
        <w:rPr>
          <w:rFonts w:ascii="Book Antiqua" w:hAnsi="Book Antiqua" w:cs="Arial"/>
        </w:rPr>
        <w:t xml:space="preserve">for all event types </w:t>
      </w:r>
      <w:r w:rsidR="0008165F" w:rsidRPr="002E78B5">
        <w:rPr>
          <w:rFonts w:ascii="Book Antiqua" w:hAnsi="Book Antiqua" w:cs="Arial"/>
        </w:rPr>
        <w:t>in patients aged &lt;</w:t>
      </w:r>
      <w:r w:rsidR="00A67ED5">
        <w:rPr>
          <w:rFonts w:ascii="Book Antiqua" w:hAnsi="Book Antiqua" w:cs="Arial" w:hint="eastAsia"/>
          <w:lang w:eastAsia="zh-CN"/>
        </w:rPr>
        <w:t xml:space="preserve"> </w:t>
      </w:r>
      <w:r w:rsidR="0008165F" w:rsidRPr="002E78B5">
        <w:rPr>
          <w:rFonts w:ascii="Book Antiqua" w:hAnsi="Book Antiqua" w:cs="Arial"/>
        </w:rPr>
        <w:t>40, 40-70 and &gt;</w:t>
      </w:r>
      <w:r w:rsidR="00A67ED5">
        <w:rPr>
          <w:rFonts w:ascii="Book Antiqua" w:hAnsi="Book Antiqua" w:cs="Arial" w:hint="eastAsia"/>
          <w:lang w:eastAsia="zh-CN"/>
        </w:rPr>
        <w:t xml:space="preserve"> </w:t>
      </w:r>
      <w:r w:rsidR="0008165F" w:rsidRPr="002E78B5">
        <w:rPr>
          <w:rFonts w:ascii="Book Antiqua" w:hAnsi="Book Antiqua" w:cs="Arial"/>
        </w:rPr>
        <w:t>70 years</w:t>
      </w:r>
      <w:r w:rsidRPr="002E78B5">
        <w:rPr>
          <w:rFonts w:ascii="Book Antiqua" w:hAnsi="Book Antiqua" w:cs="Arial"/>
        </w:rPr>
        <w:t xml:space="preserve"> </w:t>
      </w:r>
      <w:r w:rsidR="008E56A8" w:rsidRPr="002E78B5">
        <w:rPr>
          <w:rFonts w:ascii="Book Antiqua" w:hAnsi="Book Antiqua" w:cs="Arial"/>
        </w:rPr>
        <w:t>illustrated in Figure</w:t>
      </w:r>
      <w:r w:rsidRPr="002E78B5">
        <w:rPr>
          <w:rFonts w:ascii="Book Antiqua" w:hAnsi="Book Antiqua" w:cs="Arial"/>
        </w:rPr>
        <w:t xml:space="preserve"> </w:t>
      </w:r>
      <w:r w:rsidR="008E56A8" w:rsidRPr="002E78B5">
        <w:rPr>
          <w:rFonts w:ascii="Book Antiqua" w:hAnsi="Book Antiqua" w:cs="Arial"/>
        </w:rPr>
        <w:t xml:space="preserve">3. This shows </w:t>
      </w:r>
      <w:r w:rsidR="00EE2153" w:rsidRPr="002E78B5">
        <w:rPr>
          <w:rFonts w:ascii="Book Antiqua" w:hAnsi="Book Antiqua" w:cs="Arial"/>
        </w:rPr>
        <w:t>lower</w:t>
      </w:r>
      <w:r w:rsidR="008E56A8" w:rsidRPr="002E78B5">
        <w:rPr>
          <w:rFonts w:ascii="Book Antiqua" w:hAnsi="Book Antiqua" w:cs="Arial"/>
        </w:rPr>
        <w:t xml:space="preserve"> </w:t>
      </w:r>
      <w:r w:rsidRPr="002E78B5">
        <w:rPr>
          <w:rFonts w:ascii="Book Antiqua" w:hAnsi="Book Antiqua" w:cs="Arial"/>
        </w:rPr>
        <w:t>‘home provider’</w:t>
      </w:r>
      <w:r w:rsidR="008E56A8" w:rsidRPr="002E78B5">
        <w:rPr>
          <w:rFonts w:ascii="Book Antiqua" w:hAnsi="Book Antiqua" w:cs="Arial"/>
        </w:rPr>
        <w:t xml:space="preserve"> encounters</w:t>
      </w:r>
      <w:r w:rsidRPr="002E78B5">
        <w:rPr>
          <w:rFonts w:ascii="Book Antiqua" w:hAnsi="Book Antiqua" w:cs="Arial"/>
        </w:rPr>
        <w:t xml:space="preserve"> </w:t>
      </w:r>
      <w:r w:rsidR="00EE2153" w:rsidRPr="002E78B5">
        <w:rPr>
          <w:rFonts w:ascii="Book Antiqua" w:hAnsi="Book Antiqua" w:cs="Arial"/>
        </w:rPr>
        <w:t xml:space="preserve">for patients under 40 </w:t>
      </w:r>
      <w:r w:rsidR="008E56A8" w:rsidRPr="002E78B5">
        <w:rPr>
          <w:rFonts w:ascii="Book Antiqua" w:hAnsi="Book Antiqua" w:cs="Arial"/>
        </w:rPr>
        <w:t>years of age for all encounter types</w:t>
      </w:r>
      <w:r w:rsidR="00AB168A" w:rsidRPr="002E78B5">
        <w:rPr>
          <w:rFonts w:ascii="Book Antiqua" w:hAnsi="Book Antiqua" w:cs="Arial"/>
        </w:rPr>
        <w:t xml:space="preserve">. The highest </w:t>
      </w:r>
      <w:r w:rsidR="00AB168A" w:rsidRPr="002E78B5">
        <w:rPr>
          <w:rFonts w:ascii="Book Antiqua" w:hAnsi="Book Antiqua" w:cs="Arial"/>
        </w:rPr>
        <w:lastRenderedPageBreak/>
        <w:t>proportion of ‘home provider’ encounters was seen in the 40-70 years age group for all encounter types.</w:t>
      </w:r>
      <w:r w:rsidR="00CE24E4" w:rsidRPr="002E78B5">
        <w:rPr>
          <w:rFonts w:ascii="Book Antiqua" w:hAnsi="Book Antiqua" w:cs="Arial"/>
        </w:rPr>
        <w:t xml:space="preserve"> All results were significant at </w:t>
      </w:r>
      <w:r w:rsidR="00A67ED5" w:rsidRPr="00A67ED5">
        <w:rPr>
          <w:rFonts w:ascii="Book Antiqua" w:hAnsi="Book Antiqua" w:cs="Arial"/>
          <w:i/>
        </w:rPr>
        <w:t>P</w:t>
      </w:r>
      <w:r w:rsidR="00A67ED5" w:rsidRPr="00A67ED5">
        <w:rPr>
          <w:rFonts w:ascii="Book Antiqua" w:hAnsi="Book Antiqua" w:cs="Arial"/>
          <w:i/>
          <w:lang w:eastAsia="zh-CN"/>
        </w:rPr>
        <w:t xml:space="preserve"> </w:t>
      </w:r>
      <w:r w:rsidR="00CE24E4" w:rsidRPr="002E78B5">
        <w:rPr>
          <w:rFonts w:ascii="Book Antiqua" w:hAnsi="Book Antiqua" w:cs="Arial"/>
        </w:rPr>
        <w:t>&lt;</w:t>
      </w:r>
      <w:r w:rsidR="00A67ED5">
        <w:rPr>
          <w:rFonts w:ascii="Book Antiqua" w:hAnsi="Book Antiqua" w:cs="Arial" w:hint="eastAsia"/>
          <w:lang w:eastAsia="zh-CN"/>
        </w:rPr>
        <w:t xml:space="preserve"> </w:t>
      </w:r>
      <w:r w:rsidR="00CE24E4" w:rsidRPr="002E78B5">
        <w:rPr>
          <w:rFonts w:ascii="Book Antiqua" w:hAnsi="Book Antiqua" w:cs="Arial"/>
        </w:rPr>
        <w:t>0.001</w:t>
      </w:r>
      <w:r w:rsidR="00DE726E" w:rsidRPr="002E78B5">
        <w:rPr>
          <w:rFonts w:ascii="Book Antiqua" w:hAnsi="Book Antiqua" w:cs="Arial"/>
        </w:rPr>
        <w:t xml:space="preserve"> for pairwise </w:t>
      </w:r>
      <w:r w:rsidR="00DE726E" w:rsidRPr="00A67ED5">
        <w:rPr>
          <w:rFonts w:ascii="Book Antiqua" w:hAnsi="Book Antiqua" w:cs="Arial"/>
          <w:i/>
        </w:rPr>
        <w:sym w:font="Symbol" w:char="F063"/>
      </w:r>
      <w:r w:rsidR="00DE726E" w:rsidRPr="00A67ED5">
        <w:rPr>
          <w:rFonts w:ascii="Book Antiqua" w:hAnsi="Book Antiqua" w:cs="Arial"/>
          <w:i/>
          <w:vertAlign w:val="superscript"/>
        </w:rPr>
        <w:t>2</w:t>
      </w:r>
      <w:r w:rsidR="00DE726E" w:rsidRPr="002E78B5">
        <w:rPr>
          <w:rFonts w:ascii="Book Antiqua" w:hAnsi="Book Antiqua" w:cs="Arial"/>
        </w:rPr>
        <w:t xml:space="preserve"> tests</w:t>
      </w:r>
      <w:r w:rsidR="00CE24E4" w:rsidRPr="002E78B5">
        <w:rPr>
          <w:rFonts w:ascii="Book Antiqua" w:hAnsi="Book Antiqua" w:cs="Arial"/>
        </w:rPr>
        <w:t>.</w:t>
      </w:r>
      <w:r w:rsidR="00BB3A87" w:rsidRPr="002E78B5">
        <w:rPr>
          <w:rFonts w:ascii="Book Antiqua" w:hAnsi="Book Antiqua" w:cs="Arial"/>
        </w:rPr>
        <w:t xml:space="preserve"> </w:t>
      </w:r>
    </w:p>
    <w:p w14:paraId="7B93E9CA" w14:textId="77777777" w:rsidR="006B0B33" w:rsidRPr="002E78B5" w:rsidRDefault="006B0B33" w:rsidP="006C577E">
      <w:pPr>
        <w:snapToGrid w:val="0"/>
        <w:spacing w:line="360" w:lineRule="auto"/>
        <w:jc w:val="both"/>
        <w:rPr>
          <w:rFonts w:ascii="Book Antiqua" w:hAnsi="Book Antiqua" w:cs="Arial"/>
        </w:rPr>
      </w:pPr>
    </w:p>
    <w:p w14:paraId="25E7669C" w14:textId="0AC2506D" w:rsidR="00803E43" w:rsidRPr="002E78B5" w:rsidRDefault="00B467AA" w:rsidP="006C577E">
      <w:pPr>
        <w:snapToGrid w:val="0"/>
        <w:spacing w:line="360" w:lineRule="auto"/>
        <w:jc w:val="both"/>
        <w:rPr>
          <w:rFonts w:ascii="Book Antiqua" w:hAnsi="Book Antiqua" w:cs="Arial"/>
          <w:i/>
        </w:rPr>
      </w:pPr>
      <w:r w:rsidRPr="002E78B5">
        <w:rPr>
          <w:rFonts w:ascii="Book Antiqua" w:hAnsi="Book Antiqua" w:cs="Arial"/>
          <w:b/>
          <w:i/>
        </w:rPr>
        <w:t>Outpatient s</w:t>
      </w:r>
      <w:r w:rsidR="009968A1" w:rsidRPr="002E78B5">
        <w:rPr>
          <w:rFonts w:ascii="Book Antiqua" w:hAnsi="Book Antiqua" w:cs="Arial"/>
          <w:b/>
          <w:i/>
        </w:rPr>
        <w:t xml:space="preserve">pecialty services accessed by </w:t>
      </w:r>
      <w:r w:rsidR="006C577E" w:rsidRPr="006C577E">
        <w:rPr>
          <w:rFonts w:ascii="Book Antiqua" w:hAnsi="Book Antiqua" w:cs="Arial"/>
          <w:b/>
          <w:i/>
        </w:rPr>
        <w:t>IBD</w:t>
      </w:r>
      <w:r w:rsidR="006C577E">
        <w:rPr>
          <w:rFonts w:ascii="Book Antiqua" w:eastAsiaTheme="minorEastAsia" w:hAnsi="Book Antiqua" w:cs="Arial" w:hint="eastAsia"/>
          <w:b/>
          <w:i/>
          <w:lang w:eastAsia="zh-CN"/>
        </w:rPr>
        <w:t xml:space="preserve"> </w:t>
      </w:r>
      <w:r w:rsidR="009968A1" w:rsidRPr="002E78B5">
        <w:rPr>
          <w:rFonts w:ascii="Book Antiqua" w:hAnsi="Book Antiqua" w:cs="Arial"/>
          <w:b/>
          <w:i/>
        </w:rPr>
        <w:t>patients</w:t>
      </w:r>
    </w:p>
    <w:p w14:paraId="7C785146" w14:textId="4009FA95" w:rsidR="003D2802" w:rsidRPr="002E78B5" w:rsidRDefault="00B467AA" w:rsidP="006C577E">
      <w:pPr>
        <w:snapToGrid w:val="0"/>
        <w:spacing w:line="360" w:lineRule="auto"/>
        <w:jc w:val="both"/>
        <w:rPr>
          <w:rFonts w:ascii="Book Antiqua" w:hAnsi="Book Antiqua" w:cs="Arial"/>
        </w:rPr>
      </w:pPr>
      <w:r w:rsidRPr="002E78B5">
        <w:rPr>
          <w:rFonts w:ascii="Book Antiqua" w:hAnsi="Book Antiqua" w:cs="Arial"/>
        </w:rPr>
        <w:t>Specialty service and treatment</w:t>
      </w:r>
      <w:r w:rsidR="00803E43" w:rsidRPr="002E78B5">
        <w:rPr>
          <w:rFonts w:ascii="Book Antiqua" w:hAnsi="Book Antiqua" w:cs="Arial"/>
        </w:rPr>
        <w:t xml:space="preserve"> </w:t>
      </w:r>
      <w:r w:rsidRPr="002E78B5">
        <w:rPr>
          <w:rFonts w:ascii="Book Antiqua" w:hAnsi="Book Antiqua" w:cs="Arial"/>
        </w:rPr>
        <w:t>codes pertaining</w:t>
      </w:r>
      <w:r w:rsidR="003902F4" w:rsidRPr="002E78B5">
        <w:rPr>
          <w:rFonts w:ascii="Book Antiqua" w:hAnsi="Book Antiqua" w:cs="Arial"/>
        </w:rPr>
        <w:t xml:space="preserve"> to 130 different outpatient services</w:t>
      </w:r>
      <w:r w:rsidR="00803E43" w:rsidRPr="002E78B5">
        <w:rPr>
          <w:rFonts w:ascii="Book Antiqua" w:hAnsi="Book Antiqua" w:cs="Arial"/>
        </w:rPr>
        <w:t xml:space="preserve"> were identified for included patients.</w:t>
      </w:r>
      <w:r w:rsidR="003902F4" w:rsidRPr="002E78B5">
        <w:rPr>
          <w:rFonts w:ascii="Book Antiqua" w:hAnsi="Book Antiqua" w:cs="Arial"/>
        </w:rPr>
        <w:t xml:space="preserve"> </w:t>
      </w:r>
      <w:r w:rsidR="00A83A9E" w:rsidRPr="002E78B5">
        <w:rPr>
          <w:rFonts w:ascii="Book Antiqua" w:hAnsi="Book Antiqua" w:cs="Arial"/>
        </w:rPr>
        <w:t xml:space="preserve">These </w:t>
      </w:r>
      <w:r w:rsidR="00E24609" w:rsidRPr="002E78B5">
        <w:rPr>
          <w:rFonts w:ascii="Book Antiqua" w:hAnsi="Book Antiqua" w:cs="Arial"/>
        </w:rPr>
        <w:t xml:space="preserve">services </w:t>
      </w:r>
      <w:r w:rsidR="00A83A9E" w:rsidRPr="002E78B5">
        <w:rPr>
          <w:rFonts w:ascii="Book Antiqua" w:hAnsi="Book Antiqua" w:cs="Arial"/>
        </w:rPr>
        <w:t xml:space="preserve">included outpatient consultations and therapies, such as physiotherapy. </w:t>
      </w:r>
      <w:r w:rsidR="003902F4" w:rsidRPr="002E78B5">
        <w:rPr>
          <w:rFonts w:ascii="Book Antiqua" w:hAnsi="Book Antiqua" w:cs="Arial"/>
        </w:rPr>
        <w:t xml:space="preserve">The 20 most common outpatient medical and specialty services that IBD patients consulted with are listed in Table </w:t>
      </w:r>
      <w:r w:rsidR="0079621C" w:rsidRPr="002E78B5">
        <w:rPr>
          <w:rFonts w:ascii="Book Antiqua" w:hAnsi="Book Antiqua" w:cs="Arial"/>
        </w:rPr>
        <w:t>2</w:t>
      </w:r>
      <w:r w:rsidR="003902F4" w:rsidRPr="002E78B5">
        <w:rPr>
          <w:rFonts w:ascii="Book Antiqua" w:hAnsi="Book Antiqua" w:cs="Arial"/>
        </w:rPr>
        <w:t xml:space="preserve">. </w:t>
      </w:r>
      <w:r w:rsidR="00AC401A" w:rsidRPr="002E78B5">
        <w:rPr>
          <w:rFonts w:ascii="Book Antiqua" w:hAnsi="Book Antiqua" w:cs="Arial"/>
        </w:rPr>
        <w:t>Encounters</w:t>
      </w:r>
      <w:r w:rsidR="003902F4" w:rsidRPr="002E78B5">
        <w:rPr>
          <w:rFonts w:ascii="Book Antiqua" w:hAnsi="Book Antiqua" w:cs="Arial"/>
        </w:rPr>
        <w:t xml:space="preserve"> with these </w:t>
      </w:r>
      <w:r w:rsidR="00F003AF" w:rsidRPr="002E78B5">
        <w:rPr>
          <w:rFonts w:ascii="Book Antiqua" w:hAnsi="Book Antiqua" w:cs="Arial"/>
        </w:rPr>
        <w:t xml:space="preserve">20 </w:t>
      </w:r>
      <w:r w:rsidR="003902F4" w:rsidRPr="002E78B5">
        <w:rPr>
          <w:rFonts w:ascii="Book Antiqua" w:hAnsi="Book Antiqua" w:cs="Arial"/>
        </w:rPr>
        <w:t>s</w:t>
      </w:r>
      <w:r w:rsidR="00AC401A" w:rsidRPr="002E78B5">
        <w:rPr>
          <w:rFonts w:ascii="Book Antiqua" w:hAnsi="Book Antiqua" w:cs="Arial"/>
        </w:rPr>
        <w:t>ervices</w:t>
      </w:r>
      <w:r w:rsidR="003902F4" w:rsidRPr="002E78B5">
        <w:rPr>
          <w:rFonts w:ascii="Book Antiqua" w:hAnsi="Book Antiqua" w:cs="Arial"/>
        </w:rPr>
        <w:t xml:space="preserve"> constituted </w:t>
      </w:r>
      <w:r w:rsidR="00AC401A" w:rsidRPr="002E78B5">
        <w:rPr>
          <w:rFonts w:ascii="Book Antiqua" w:hAnsi="Book Antiqua" w:cs="Arial"/>
        </w:rPr>
        <w:t>84.3</w:t>
      </w:r>
      <w:r w:rsidR="003902F4" w:rsidRPr="002E78B5">
        <w:rPr>
          <w:rFonts w:ascii="Book Antiqua" w:hAnsi="Book Antiqua" w:cs="Arial"/>
        </w:rPr>
        <w:t xml:space="preserve">% of </w:t>
      </w:r>
      <w:r w:rsidR="00AC401A" w:rsidRPr="002E78B5">
        <w:rPr>
          <w:rFonts w:ascii="Book Antiqua" w:hAnsi="Book Antiqua" w:cs="Arial"/>
        </w:rPr>
        <w:t xml:space="preserve">total </w:t>
      </w:r>
      <w:r w:rsidR="003902F4" w:rsidRPr="002E78B5">
        <w:rPr>
          <w:rFonts w:ascii="Book Antiqua" w:hAnsi="Book Antiqua" w:cs="Arial"/>
        </w:rPr>
        <w:t xml:space="preserve">outpatient </w:t>
      </w:r>
      <w:r w:rsidR="00AC401A" w:rsidRPr="002E78B5">
        <w:rPr>
          <w:rFonts w:ascii="Book Antiqua" w:hAnsi="Book Antiqua" w:cs="Arial"/>
        </w:rPr>
        <w:t>events</w:t>
      </w:r>
      <w:r w:rsidR="003902F4" w:rsidRPr="002E78B5">
        <w:rPr>
          <w:rFonts w:ascii="Book Antiqua" w:hAnsi="Book Antiqua" w:cs="Arial"/>
        </w:rPr>
        <w:t xml:space="preserve"> for IBD patients. </w:t>
      </w:r>
      <w:r w:rsidR="00A67ED5">
        <w:rPr>
          <w:rFonts w:ascii="Book Antiqua" w:hAnsi="Book Antiqua" w:cs="Arial"/>
        </w:rPr>
        <w:t>There were 546</w:t>
      </w:r>
      <w:r w:rsidR="00AC401A" w:rsidRPr="002E78B5">
        <w:rPr>
          <w:rFonts w:ascii="Book Antiqua" w:hAnsi="Book Antiqua" w:cs="Arial"/>
        </w:rPr>
        <w:t>768 g</w:t>
      </w:r>
      <w:r w:rsidR="003902F4" w:rsidRPr="002E78B5">
        <w:rPr>
          <w:rFonts w:ascii="Book Antiqua" w:hAnsi="Book Antiqua" w:cs="Arial"/>
        </w:rPr>
        <w:t>astroenterology outpatient appointment</w:t>
      </w:r>
      <w:r w:rsidR="00AC401A" w:rsidRPr="002E78B5">
        <w:rPr>
          <w:rFonts w:ascii="Book Antiqua" w:hAnsi="Book Antiqua" w:cs="Arial"/>
        </w:rPr>
        <w:t>s, accounting for 39.8% of all outpatient services accessed in</w:t>
      </w:r>
      <w:r w:rsidRPr="002E78B5">
        <w:rPr>
          <w:rFonts w:ascii="Book Antiqua" w:hAnsi="Book Antiqua" w:cs="Arial"/>
        </w:rPr>
        <w:t xml:space="preserve"> this group of</w:t>
      </w:r>
      <w:r w:rsidR="00AC401A" w:rsidRPr="002E78B5">
        <w:rPr>
          <w:rFonts w:ascii="Book Antiqua" w:hAnsi="Book Antiqua" w:cs="Arial"/>
        </w:rPr>
        <w:t xml:space="preserve"> IBD patients. Between g</w:t>
      </w:r>
      <w:r w:rsidR="00803E43" w:rsidRPr="002E78B5">
        <w:rPr>
          <w:rFonts w:ascii="Book Antiqua" w:hAnsi="Book Antiqua" w:cs="Arial"/>
        </w:rPr>
        <w:t xml:space="preserve">eneral surgery and colorectal surgery </w:t>
      </w:r>
      <w:r w:rsidR="00AC401A" w:rsidRPr="002E78B5">
        <w:rPr>
          <w:rFonts w:ascii="Book Antiqua" w:hAnsi="Book Antiqua" w:cs="Arial"/>
        </w:rPr>
        <w:t>there were 9622</w:t>
      </w:r>
      <w:r w:rsidR="00C425F0" w:rsidRPr="002E78B5">
        <w:rPr>
          <w:rFonts w:ascii="Book Antiqua" w:hAnsi="Book Antiqua" w:cs="Arial"/>
        </w:rPr>
        <w:t>0</w:t>
      </w:r>
      <w:r w:rsidR="00397989" w:rsidRPr="002E78B5">
        <w:rPr>
          <w:rFonts w:ascii="Book Antiqua" w:hAnsi="Book Antiqua" w:cs="Arial"/>
        </w:rPr>
        <w:t xml:space="preserve"> </w:t>
      </w:r>
      <w:r w:rsidR="00AC401A" w:rsidRPr="002E78B5">
        <w:rPr>
          <w:rFonts w:ascii="Book Antiqua" w:hAnsi="Book Antiqua" w:cs="Arial"/>
        </w:rPr>
        <w:t>total outpatient encounters</w:t>
      </w:r>
      <w:r w:rsidR="00397989" w:rsidRPr="002E78B5">
        <w:rPr>
          <w:rFonts w:ascii="Book Antiqua" w:hAnsi="Book Antiqua" w:cs="Arial"/>
        </w:rPr>
        <w:t>, accounting for 7.0% of outpatient encounters in this patient group.</w:t>
      </w:r>
      <w:r w:rsidR="00AC401A" w:rsidRPr="002E78B5">
        <w:rPr>
          <w:rFonts w:ascii="Book Antiqua" w:hAnsi="Book Antiqua" w:cs="Arial"/>
        </w:rPr>
        <w:t xml:space="preserve"> Ophthalmology consulta</w:t>
      </w:r>
      <w:r w:rsidR="00A67ED5">
        <w:rPr>
          <w:rFonts w:ascii="Book Antiqua" w:hAnsi="Book Antiqua" w:cs="Arial"/>
        </w:rPr>
        <w:t>tions were also common, with 53</w:t>
      </w:r>
      <w:r w:rsidR="00AC401A" w:rsidRPr="002E78B5">
        <w:rPr>
          <w:rFonts w:ascii="Book Antiqua" w:hAnsi="Book Antiqua" w:cs="Arial"/>
        </w:rPr>
        <w:t xml:space="preserve">237 </w:t>
      </w:r>
      <w:r w:rsidR="00397989" w:rsidRPr="002E78B5">
        <w:rPr>
          <w:rFonts w:ascii="Book Antiqua" w:hAnsi="Book Antiqua" w:cs="Arial"/>
        </w:rPr>
        <w:t xml:space="preserve">(3.9%) </w:t>
      </w:r>
      <w:r w:rsidR="00AC401A" w:rsidRPr="002E78B5">
        <w:rPr>
          <w:rFonts w:ascii="Book Antiqua" w:hAnsi="Book Antiqua" w:cs="Arial"/>
        </w:rPr>
        <w:t>encounters</w:t>
      </w:r>
      <w:r w:rsidR="00397989" w:rsidRPr="002E78B5">
        <w:rPr>
          <w:rFonts w:ascii="Book Antiqua" w:hAnsi="Book Antiqua" w:cs="Arial"/>
        </w:rPr>
        <w:t>.</w:t>
      </w:r>
    </w:p>
    <w:p w14:paraId="52E6B73A" w14:textId="77777777" w:rsidR="0079621C" w:rsidRPr="002E78B5" w:rsidRDefault="0079621C" w:rsidP="006C577E">
      <w:pPr>
        <w:snapToGrid w:val="0"/>
        <w:spacing w:line="360" w:lineRule="auto"/>
        <w:jc w:val="both"/>
        <w:rPr>
          <w:rFonts w:ascii="Book Antiqua" w:hAnsi="Book Antiqua" w:cs="Arial"/>
        </w:rPr>
      </w:pPr>
    </w:p>
    <w:p w14:paraId="4BC4CFCA" w14:textId="708A4935" w:rsidR="004A38BC" w:rsidRPr="002E78B5" w:rsidRDefault="00D47972" w:rsidP="006C577E">
      <w:pPr>
        <w:snapToGrid w:val="0"/>
        <w:spacing w:line="360" w:lineRule="auto"/>
        <w:jc w:val="both"/>
        <w:rPr>
          <w:rFonts w:ascii="Book Antiqua" w:hAnsi="Book Antiqua" w:cs="Arial"/>
          <w:b/>
        </w:rPr>
      </w:pPr>
      <w:r w:rsidRPr="002E78B5">
        <w:rPr>
          <w:rFonts w:ascii="Book Antiqua" w:hAnsi="Book Antiqua" w:cs="Arial"/>
          <w:b/>
        </w:rPr>
        <w:t>DISCUSSION</w:t>
      </w:r>
    </w:p>
    <w:p w14:paraId="58644CD3" w14:textId="3CA23909" w:rsidR="00D91C0C" w:rsidRPr="002E78B5" w:rsidRDefault="004A38BC" w:rsidP="006C577E">
      <w:pPr>
        <w:snapToGrid w:val="0"/>
        <w:spacing w:line="360" w:lineRule="auto"/>
        <w:jc w:val="both"/>
        <w:rPr>
          <w:rFonts w:ascii="Book Antiqua" w:hAnsi="Book Antiqua" w:cs="Arial"/>
          <w:color w:val="FF0000"/>
        </w:rPr>
      </w:pPr>
      <w:r w:rsidRPr="002E78B5">
        <w:rPr>
          <w:rFonts w:ascii="Book Antiqua" w:hAnsi="Book Antiqua" w:cs="Arial"/>
        </w:rPr>
        <w:t xml:space="preserve">Through retrospective analysis of HES data we </w:t>
      </w:r>
      <w:r w:rsidR="009025DA" w:rsidRPr="002E78B5">
        <w:rPr>
          <w:rFonts w:ascii="Book Antiqua" w:hAnsi="Book Antiqua" w:cs="Arial"/>
        </w:rPr>
        <w:t>reviewed</w:t>
      </w:r>
      <w:r w:rsidR="008B550F" w:rsidRPr="002E78B5">
        <w:rPr>
          <w:rFonts w:ascii="Book Antiqua" w:hAnsi="Book Antiqua" w:cs="Arial"/>
        </w:rPr>
        <w:t xml:space="preserve"> </w:t>
      </w:r>
      <w:r w:rsidR="009025DA" w:rsidRPr="002E78B5">
        <w:rPr>
          <w:rFonts w:ascii="Book Antiqua" w:hAnsi="Book Antiqua" w:cs="Arial"/>
        </w:rPr>
        <w:t>the records of</w:t>
      </w:r>
      <w:r w:rsidR="008B550F" w:rsidRPr="002E78B5">
        <w:rPr>
          <w:rFonts w:ascii="Book Antiqua" w:hAnsi="Book Antiqua" w:cs="Arial"/>
        </w:rPr>
        <w:t xml:space="preserve"> </w:t>
      </w:r>
      <w:r w:rsidR="00246E77">
        <w:rPr>
          <w:rFonts w:ascii="Book Antiqua" w:hAnsi="Book Antiqua" w:cs="Arial"/>
        </w:rPr>
        <w:t>95</w:t>
      </w:r>
      <w:r w:rsidR="00B16F51" w:rsidRPr="002E78B5">
        <w:rPr>
          <w:rFonts w:ascii="Book Antiqua" w:hAnsi="Book Antiqua" w:cs="Arial"/>
        </w:rPr>
        <w:t>055</w:t>
      </w:r>
      <w:r w:rsidRPr="002E78B5">
        <w:rPr>
          <w:rFonts w:ascii="Book Antiqua" w:hAnsi="Book Antiqua" w:cs="Arial"/>
        </w:rPr>
        <w:t xml:space="preserve"> </w:t>
      </w:r>
      <w:r w:rsidR="008B550F" w:rsidRPr="002E78B5">
        <w:rPr>
          <w:rFonts w:ascii="Book Antiqua" w:hAnsi="Book Antiqua" w:cs="Arial"/>
        </w:rPr>
        <w:t xml:space="preserve">patients </w:t>
      </w:r>
      <w:r w:rsidRPr="002E78B5">
        <w:rPr>
          <w:rFonts w:ascii="Book Antiqua" w:hAnsi="Book Antiqua" w:cs="Arial"/>
        </w:rPr>
        <w:t>with IBD and</w:t>
      </w:r>
      <w:r w:rsidR="009C1582" w:rsidRPr="002E78B5">
        <w:rPr>
          <w:rFonts w:ascii="Book Antiqua" w:hAnsi="Book Antiqua" w:cs="Arial"/>
        </w:rPr>
        <w:t xml:space="preserve"> </w:t>
      </w:r>
      <w:r w:rsidR="00DE726E" w:rsidRPr="002E78B5">
        <w:rPr>
          <w:rFonts w:ascii="Book Antiqua" w:hAnsi="Book Antiqua" w:cs="Arial"/>
        </w:rPr>
        <w:t xml:space="preserve">examined their interactions with </w:t>
      </w:r>
      <w:r w:rsidR="00966014" w:rsidRPr="002E78B5">
        <w:rPr>
          <w:rFonts w:ascii="Book Antiqua" w:hAnsi="Book Antiqua" w:cs="Arial"/>
        </w:rPr>
        <w:t>NHS England hospitals</w:t>
      </w:r>
      <w:r w:rsidR="00DE726E" w:rsidRPr="002E78B5">
        <w:rPr>
          <w:rFonts w:ascii="Book Antiqua" w:hAnsi="Book Antiqua" w:cs="Arial"/>
        </w:rPr>
        <w:t xml:space="preserve"> </w:t>
      </w:r>
      <w:r w:rsidR="009025DA" w:rsidRPr="002E78B5">
        <w:rPr>
          <w:rFonts w:ascii="Book Antiqua" w:hAnsi="Book Antiqua" w:cs="Arial"/>
        </w:rPr>
        <w:t>over a 2-</w:t>
      </w:r>
      <w:r w:rsidR="009C1582" w:rsidRPr="002E78B5">
        <w:rPr>
          <w:rFonts w:ascii="Book Antiqua" w:hAnsi="Book Antiqua" w:cs="Arial"/>
        </w:rPr>
        <w:t>y</w:t>
      </w:r>
      <w:r w:rsidR="009025DA" w:rsidRPr="002E78B5">
        <w:rPr>
          <w:rFonts w:ascii="Book Antiqua" w:hAnsi="Book Antiqua" w:cs="Arial"/>
        </w:rPr>
        <w:t>ear period</w:t>
      </w:r>
      <w:r w:rsidR="009C1582" w:rsidRPr="002E78B5">
        <w:rPr>
          <w:rFonts w:ascii="Book Antiqua" w:hAnsi="Book Antiqua" w:cs="Arial"/>
        </w:rPr>
        <w:t>. These patients were involved in a total</w:t>
      </w:r>
      <w:r w:rsidR="00246E77">
        <w:rPr>
          <w:rFonts w:ascii="Book Antiqua" w:hAnsi="Book Antiqua" w:cs="Arial"/>
        </w:rPr>
        <w:t xml:space="preserve"> of 1760</w:t>
      </w:r>
      <w:r w:rsidR="00C425F0" w:rsidRPr="002E78B5">
        <w:rPr>
          <w:rFonts w:ascii="Book Antiqua" w:hAnsi="Book Antiqua" w:cs="Arial"/>
        </w:rPr>
        <w:t xml:space="preserve">156 encounters </w:t>
      </w:r>
      <w:r w:rsidR="003911FB" w:rsidRPr="002E78B5">
        <w:rPr>
          <w:rFonts w:ascii="Book Antiqua" w:hAnsi="Book Antiqua" w:cs="Arial"/>
        </w:rPr>
        <w:t>during the 2-year follow-up period from recruitment</w:t>
      </w:r>
      <w:r w:rsidR="005E440E" w:rsidRPr="002E78B5">
        <w:rPr>
          <w:rFonts w:ascii="Book Antiqua" w:hAnsi="Book Antiqua" w:cs="Arial"/>
        </w:rPr>
        <w:t xml:space="preserve">. A majority of patients accessed accident and emergency, inpatient and outpatient care through the same ‘home provider’ that they attended for </w:t>
      </w:r>
      <w:r w:rsidR="00C425F0" w:rsidRPr="002E78B5">
        <w:rPr>
          <w:rFonts w:ascii="Book Antiqua" w:hAnsi="Book Antiqua" w:cs="Arial"/>
        </w:rPr>
        <w:t>gastroenterology</w:t>
      </w:r>
      <w:r w:rsidR="005E440E" w:rsidRPr="002E78B5">
        <w:rPr>
          <w:rFonts w:ascii="Book Antiqua" w:hAnsi="Book Antiqua" w:cs="Arial"/>
        </w:rPr>
        <w:t xml:space="preserve"> outpatient care. A substan</w:t>
      </w:r>
      <w:r w:rsidR="00C425F0" w:rsidRPr="002E78B5">
        <w:rPr>
          <w:rFonts w:ascii="Book Antiqua" w:hAnsi="Book Antiqua" w:cs="Arial"/>
        </w:rPr>
        <w:t xml:space="preserve">tial proportion of patients, </w:t>
      </w:r>
      <w:r w:rsidR="005E440E" w:rsidRPr="002E78B5">
        <w:rPr>
          <w:rFonts w:ascii="Book Antiqua" w:hAnsi="Book Antiqua" w:cs="Arial"/>
        </w:rPr>
        <w:t>however</w:t>
      </w:r>
      <w:r w:rsidR="00C425F0" w:rsidRPr="002E78B5">
        <w:rPr>
          <w:rFonts w:ascii="Book Antiqua" w:hAnsi="Book Antiqua" w:cs="Arial"/>
        </w:rPr>
        <w:t>,</w:t>
      </w:r>
      <w:r w:rsidR="005E440E" w:rsidRPr="002E78B5">
        <w:rPr>
          <w:rFonts w:ascii="Book Antiqua" w:hAnsi="Book Antiqua" w:cs="Arial"/>
        </w:rPr>
        <w:t xml:space="preserve"> a</w:t>
      </w:r>
      <w:r w:rsidR="00254D68" w:rsidRPr="002E78B5">
        <w:rPr>
          <w:rFonts w:ascii="Book Antiqua" w:hAnsi="Book Antiqua" w:cs="Arial"/>
        </w:rPr>
        <w:t>ccess</w:t>
      </w:r>
      <w:r w:rsidR="00C425F0" w:rsidRPr="002E78B5">
        <w:rPr>
          <w:rFonts w:ascii="Book Antiqua" w:hAnsi="Book Antiqua" w:cs="Arial"/>
        </w:rPr>
        <w:t>ed</w:t>
      </w:r>
      <w:r w:rsidR="00254D68" w:rsidRPr="002E78B5">
        <w:rPr>
          <w:rFonts w:ascii="Book Antiqua" w:hAnsi="Book Antiqua" w:cs="Arial"/>
        </w:rPr>
        <w:t xml:space="preserve"> care from </w:t>
      </w:r>
      <w:r w:rsidR="00AC1EB6" w:rsidRPr="002E78B5">
        <w:rPr>
          <w:rFonts w:ascii="Book Antiqua" w:hAnsi="Book Antiqua" w:cs="Arial"/>
        </w:rPr>
        <w:t xml:space="preserve">different hospital </w:t>
      </w:r>
      <w:r w:rsidR="00254D68" w:rsidRPr="002E78B5">
        <w:rPr>
          <w:rFonts w:ascii="Book Antiqua" w:hAnsi="Book Antiqua" w:cs="Arial"/>
        </w:rPr>
        <w:t>providers</w:t>
      </w:r>
      <w:r w:rsidR="00C67817" w:rsidRPr="002E78B5">
        <w:rPr>
          <w:rFonts w:ascii="Book Antiqua" w:hAnsi="Book Antiqua" w:cs="Arial"/>
        </w:rPr>
        <w:t>, particularly when using accident and emergency services</w:t>
      </w:r>
      <w:r w:rsidR="00B62990" w:rsidRPr="002E78B5">
        <w:rPr>
          <w:rFonts w:ascii="Book Antiqua" w:hAnsi="Book Antiqua" w:cs="Arial"/>
        </w:rPr>
        <w:t xml:space="preserve"> (26.7% of </w:t>
      </w:r>
      <w:r w:rsidR="006643DC" w:rsidRPr="002E78B5">
        <w:rPr>
          <w:rFonts w:ascii="Book Antiqua" w:hAnsi="Book Antiqua" w:cs="Arial"/>
        </w:rPr>
        <w:t>accident and emergency</w:t>
      </w:r>
      <w:r w:rsidR="00B62990" w:rsidRPr="002E78B5">
        <w:rPr>
          <w:rFonts w:ascii="Book Antiqua" w:hAnsi="Book Antiqua" w:cs="Arial"/>
        </w:rPr>
        <w:t xml:space="preserve"> encounters)</w:t>
      </w:r>
      <w:r w:rsidR="00C67817" w:rsidRPr="002E78B5">
        <w:rPr>
          <w:rFonts w:ascii="Book Antiqua" w:hAnsi="Book Antiqua" w:cs="Arial"/>
        </w:rPr>
        <w:t xml:space="preserve">. </w:t>
      </w:r>
      <w:r w:rsidR="005E440E" w:rsidRPr="002E78B5">
        <w:rPr>
          <w:rFonts w:ascii="Book Antiqua" w:hAnsi="Book Antiqua" w:cs="Arial"/>
        </w:rPr>
        <w:t>This is an important finding that</w:t>
      </w:r>
      <w:r w:rsidR="00DA0904" w:rsidRPr="002E78B5">
        <w:rPr>
          <w:rFonts w:ascii="Book Antiqua" w:hAnsi="Book Antiqua" w:cs="Arial"/>
        </w:rPr>
        <w:t xml:space="preserve"> is congruent with previous research on the prevalence of fragmentation in IBD care</w:t>
      </w:r>
      <w:r w:rsidR="00DA0904" w:rsidRPr="002E78B5">
        <w:rPr>
          <w:rFonts w:ascii="Book Antiqua" w:hAnsi="Book Antiqua" w:cs="Arial"/>
        </w:rPr>
        <w:fldChar w:fldCharType="begin" w:fldLock="1"/>
      </w:r>
      <w:r w:rsidR="00255F9B" w:rsidRPr="002E78B5">
        <w:rPr>
          <w:rFonts w:ascii="Book Antiqua" w:hAnsi="Book Antiqua" w:cs="Arial"/>
        </w:rPr>
        <w:instrText>ADDIN CSL_CITATION {"citationItems":[{"id":"ITEM-1","itemData":{"DOI":"10.1038/s41395-018-0417-9","ISBN":"4139501804179","ISSN":"15720241","author":[{"dropping-particle":"","family":"Cohen-Mekelburg","given":"Shirley","non-dropping-particle":"","parse-names":false,"suffix":""},{"dropping-particle":"","family":"Rosenblatt","given":"Russell","non-dropping-particle":"","parse-names":false,"suffix":""},{"dropping-particle":"","family":"Gold","given":"Stephanie","non-dropping-particle":"","parse-names":false,"suffix":""},{"dropping-particle":"","family":"Shen","given":"Nicole","non-dropping-particle":"","parse-names":false,"suffix":""},{"dropping-particle":"","family":"Fortune","given":"Brett","non-dropping-particle":"","parse-names":false,"suffix":""},{"dropping-particle":"","family":"Waljee","given":"Akbar K.","non-dropping-particle":"","parse-names":false,"suffix":""},{"dropping-particle":"","family":"Saini","given":"Sameer","non-dropping-particle":"","parse-names":false,"suffix":""},{"dropping-particle":"","family":"Scherl","given":"Ellen","non-dropping-particle":"","parse-names":false,"suffix":""},{"dropping-particle":"","family":"Burakoff","given":"Robert","non-dropping-particle":"","parse-names":false,"suffix":""},{"dropping-particle":"","family":"Unruh","given":"Mark","non-dropping-particle":"","parse-names":false,"suffix":""}],"container-title":"American Journal of Gastroenterology","id":"ITEM-1","issued":{"date-parts":[["2018"]]},"title":"Fragmented Care is Prevalent among Inflammatory Bowel Disease Readmissions and is Associated with Worse Outcomes","type":"article-newspaper"},"uris":["http://www.mendeley.com/documents/?uuid=8be5ba42-73f5-4f9c-9c32-995e986601fd"]}],"mendeley":{"formattedCitation":"&lt;sup&gt;[16]&lt;/sup&gt;","plainTextFormattedCitation":"[16]","previouslyFormattedCitation":"&lt;sup&gt;[16]&lt;/sup&gt;"},"properties":{"noteIndex":0},"schema":"https://github.com/citation-style-language/schema/raw/master/csl-citation.json"}</w:instrText>
      </w:r>
      <w:r w:rsidR="00DA0904" w:rsidRPr="002E78B5">
        <w:rPr>
          <w:rFonts w:ascii="Book Antiqua" w:hAnsi="Book Antiqua" w:cs="Arial"/>
        </w:rPr>
        <w:fldChar w:fldCharType="separate"/>
      </w:r>
      <w:r w:rsidR="00DA0904" w:rsidRPr="002E78B5">
        <w:rPr>
          <w:rFonts w:ascii="Book Antiqua" w:hAnsi="Book Antiqua" w:cs="Arial"/>
          <w:noProof/>
          <w:vertAlign w:val="superscript"/>
        </w:rPr>
        <w:t>[16]</w:t>
      </w:r>
      <w:r w:rsidR="00DA0904" w:rsidRPr="002E78B5">
        <w:rPr>
          <w:rFonts w:ascii="Book Antiqua" w:hAnsi="Book Antiqua" w:cs="Arial"/>
        </w:rPr>
        <w:fldChar w:fldCharType="end"/>
      </w:r>
      <w:r w:rsidR="00DA0904" w:rsidRPr="002E78B5">
        <w:rPr>
          <w:rFonts w:ascii="Book Antiqua" w:hAnsi="Book Antiqua" w:cs="Arial"/>
        </w:rPr>
        <w:t xml:space="preserve"> and </w:t>
      </w:r>
      <w:r w:rsidR="005E440E" w:rsidRPr="002E78B5">
        <w:rPr>
          <w:rFonts w:ascii="Book Antiqua" w:hAnsi="Book Antiqua" w:cs="Arial"/>
        </w:rPr>
        <w:t>underscores the need for effective systems to manage transitions of care and sharing of patient information between settings.</w:t>
      </w:r>
      <w:r w:rsidR="00C67817" w:rsidRPr="002E78B5">
        <w:rPr>
          <w:rFonts w:ascii="Book Antiqua" w:hAnsi="Book Antiqua" w:cs="Arial"/>
        </w:rPr>
        <w:t xml:space="preserve"> </w:t>
      </w:r>
      <w:r w:rsidR="006643DC" w:rsidRPr="002E78B5">
        <w:rPr>
          <w:rFonts w:ascii="Book Antiqua" w:hAnsi="Book Antiqua" w:cs="Arial"/>
        </w:rPr>
        <w:t xml:space="preserve">Centralisation </w:t>
      </w:r>
      <w:r w:rsidR="00DA0904" w:rsidRPr="002E78B5">
        <w:rPr>
          <w:rFonts w:ascii="Book Antiqua" w:hAnsi="Book Antiqua" w:cs="Arial"/>
        </w:rPr>
        <w:t xml:space="preserve">and </w:t>
      </w:r>
      <w:r w:rsidR="006643DC" w:rsidRPr="002E78B5">
        <w:rPr>
          <w:rFonts w:ascii="Book Antiqua" w:hAnsi="Book Antiqua" w:cs="Arial"/>
        </w:rPr>
        <w:t xml:space="preserve">of care between hospitals is increasingly common in healthcare systems around the world and these findings may be replicated in other systems internationally. </w:t>
      </w:r>
      <w:r w:rsidR="00013BA7" w:rsidRPr="002E78B5">
        <w:rPr>
          <w:rFonts w:ascii="Book Antiqua" w:hAnsi="Book Antiqua" w:cs="Arial"/>
        </w:rPr>
        <w:t xml:space="preserve">Poor interoperability of health record systems between </w:t>
      </w:r>
      <w:r w:rsidR="00966014" w:rsidRPr="002E78B5">
        <w:rPr>
          <w:rFonts w:ascii="Book Antiqua" w:hAnsi="Book Antiqua" w:cs="Arial"/>
          <w:color w:val="000000" w:themeColor="text1"/>
        </w:rPr>
        <w:t>organisations</w:t>
      </w:r>
      <w:r w:rsidR="00013BA7" w:rsidRPr="002E78B5">
        <w:rPr>
          <w:rFonts w:ascii="Book Antiqua" w:hAnsi="Book Antiqua" w:cs="Arial"/>
          <w:color w:val="000000" w:themeColor="text1"/>
        </w:rPr>
        <w:t xml:space="preserve"> remains commonplace in many healthcare systems, </w:t>
      </w:r>
      <w:r w:rsidR="00013BA7" w:rsidRPr="002E78B5">
        <w:rPr>
          <w:rFonts w:ascii="Book Antiqua" w:hAnsi="Book Antiqua" w:cs="Arial"/>
          <w:color w:val="000000" w:themeColor="text1"/>
        </w:rPr>
        <w:lastRenderedPageBreak/>
        <w:t>including NHS England</w:t>
      </w:r>
      <w:r w:rsidR="00013BA7" w:rsidRPr="002E78B5">
        <w:rPr>
          <w:rFonts w:ascii="Book Antiqua" w:hAnsi="Book Antiqua" w:cs="Arial"/>
          <w:color w:val="000000" w:themeColor="text1"/>
        </w:rPr>
        <w:fldChar w:fldCharType="begin" w:fldLock="1"/>
      </w:r>
      <w:r w:rsidR="00657105" w:rsidRPr="002E78B5">
        <w:rPr>
          <w:rFonts w:ascii="Book Antiqua" w:hAnsi="Book Antiqua" w:cs="Arial"/>
          <w:color w:val="000000" w:themeColor="text1"/>
        </w:rPr>
        <w:instrText>ADDIN CSL_CITATION {"citationItems":[{"id":"ITEM-1","itemData":{"URL":"http://www.techuk.org/insights/news/item/5276-techuk-s-interoperability-charter","author":[{"dropping-particle":"","family":"TechUK","given":"","non-dropping-particle":"","parse-names":false,"suffix":""}],"id":"ITEM-1","issued":{"date-parts":[["2015"]]},"title":"techUK's Interoperability Charter","type":"webpage"},"uris":["http://www.mendeley.com/documents/?uuid=6b799d88-6b8d-4ad9-b356-bd37ca2e86df"]},{"id":"ITEM-2","itemData":{"DOI":"10.1001/jama.2016.12337","ISSN":"0098-7484","PMID":"27669026","abstract":"\\nThe past decade has seen strong bipartisan support for health information technology (HIT) as a mechanism for improving efficiency and quality, gaining more accountability and value in purchasing, advancing the role and engagement of consumers in prevention and health decisions, accelerating discovery and dissemination of new treatments and therapies, and sharpening public health monitoring and surveillance. Supported by federal incentives through the Health Information Technology for Economic and Clinical Health Act, information tools such as electronic health records (EHRs) have been implemented in nearly all hospitals and the majority of physician practices, as well as other sites of care. Electronic health records and other point-of-care information tools for clinicians have become an essential component of health care operations.\\n","author":[{"dropping-particle":"","family":"Perlin","given":"JB","non-dropping-particle":"","parse-names":false,"suffix":""}],"container-title":"JAMA","id":"ITEM-2","issue":"16","issued":{"date-parts":[["2016"]]},"page":"1667-1668","title":"Health information technology interoperability and use for better care and evidence","type":"article-journal","volume":"316"},"uris":["http://www.mendeley.com/documents/?uuid=9a323146-92ea-422e-9966-4713852c8ed1"]},{"id":"ITEM-3","itemData":{"DOI":"10.1377/hlthaff.2017.0546","abstract":"Achieving an interoperable health care system remains a top US policy priority. Despite substantial efforts to encourage interoperability, the first set of national data in 2014 suggested that hospitals’ engagement levels were low. With 2015 data now available, we examined the first national trends in engagement in four domains of interoperability: finding, sending, receiving, and integrating electronic patient information from outside providers. We found small gains, with 29.7 percent of hospitals engaging in all four domains in 2015 compared to 24.5 percent in 2014. The two domains with the most progress were sending (with an increase of 8.1 percentage points) and receiving (an increase of 8.4 percentage points) information, while there was no change in integrating systems. Hospitals’ use for patient care of data from outside providers was low, with only 18.7 percent of hospitals reporting that they “often” used these data. Our results reveal that hospitals’ progress toward interoperability is slow and that progress is focused on moving information between hospitals, not on ensuring usability of information in clinical decisions.","author":[{"dropping-particle":"","family":"Holmgren","given":"A Jay","non-dropping-particle":"","parse-names":false,"suffix":""},{"dropping-particle":"","family":"Patel","given":"Vaishali","non-dropping-particle":"","parse-names":false,"suffix":""},{"dropping-particle":"","family":"Adler-Milstein","given":"Julia","non-dropping-particle":"","parse-names":false,"suffix":""}],"container-title":"Health Affairs","id":"ITEM-3","issue":"10","issued":{"date-parts":[["2017"]]},"page":"1820-1827","title":"Progress In Interoperability: Measuring US Hospitals’ Engagement In Sharing Patient Data","type":"article-journal","volume":"36"},"uris":["http://www.mendeley.com/documents/?uuid=e65c5a02-f8d9-4fc1-bc51-5b56192acbd8"]},{"id":"ITEM-4","itemData":{"DOI":"10.2196/medinform.7400","ISSN":"2291-9694","PMID":"28851681","abstract":"Background: Electronic health (eHealth) interventions may improve the quality of care by providing timely, accessible information about one patient or an entire population. Electronic patient care information forms the nucleus of computerized health information systems. However, interoperability among systems depends on the adoption of information standards. Additionally, investing in technology systems requires cost-effectiveness studies to ensure the sustainability of processes for stakeholders. Objective: The objective of this study was to assess cost-effectiveness of the use of electronically available inpatient data systems, health information exchange, or standards to support interoperability among systems. Methods: An overview of systematic reviews was conducted, assessing the MEDLINE, Cochrane Library, LILACS, and IEEE Library databases to identify relevant studies published through February 2016. The search was supplemented by citations from the selected papers. The primary outcome sought the cost-effectiveness, and the secondary outcome was the impact on quality of care. Independent reviewers selected studies, and disagreement was resolved by consensus. The quality of the included studies was evaluated using a measurement tool to assess systematic reviews (AMSTAR). Results: The primary search identified 286 papers, and two papers were manually included. A total of 211 were systematic reviews. From the 20 studies that were selected after screening the title and abstract, 14 were deemed ineligible, and six met the inclusion criteria. The interventions did not show a measurable effect on cost-effectiveness. Despite the limited number of studies, the heterogeneity of electronic systems reported, and the types of intervention in hospital routines, it was possible to identify some preliminary benefits in quality of care. Hospital information systems, along with information sharing, had the potential to improve clinical practice by reducing staff errors or incidents, improving automated harm detection, monitoring infections more effectively, and enhancing the continuity of care during physician handoffs. Conclusions: This review identified some benefits in the quality of care but did not provide evidence that the implementation of eHealth interventions had a measurable impact on cost-effectiveness in hospital settings. However, further evidence is needed to infer the impact of standards adoption or interoperability in cost benefits of health care; th…","author":[{"dropping-particle":"","family":"Reis","given":"Zilma Silveira Nogueira","non-dropping-particle":"","parse-names":false,"suffix":""},{"dropping-particle":"","family":"Maia","given":"Thais Abreu","non-dropping-particle":"","parse-names":false,"suffix":""},{"dropping-particle":"","family":"Marcolino","given":"Milena Soriano","non-dropping-particle":"","parse-names":false,"suffix":""},{"dropping-particle":"","family":"Becerra-Posada","given":"Francisco","non-dropping-particle":"","parse-names":false,"suffix":""},{"dropping-particle":"","family":"Novillo-Ortiz","given":"David","non-dropping-particle":"","parse-names":false,"suffix":""},{"dropping-particle":"","family":"Ribeiro","given":"Antonio Luiz Pinho","non-dropping-particle":"","parse-names":false,"suffix":""}],"container-title":"JMIR Medical Informatics","id":"ITEM-4","issue":"3","issued":{"date-parts":[["2017"]]},"page":"e26","title":"Is There Evidence of Cost Benefits of Electronic Medical Records, Standards, or Interoperability in Hospital Information Systems? Overview of Systematic Reviews","type":"article-journal","volume":"5"},"uris":["http://www.mendeley.com/documents/?uuid=a561e0be-6384-4a16-b3d3-834bafa9f7dd"]}],"mendeley":{"formattedCitation":"&lt;sup&gt;[25–28]&lt;/sup&gt;","plainTextFormattedCitation":"[25–28]","previouslyFormattedCitation":"&lt;sup&gt;[25–28]&lt;/sup&gt;"},"properties":{"noteIndex":0},"schema":"https://github.com/citation-style-language/schema/raw/master/csl-citation.json"}</w:instrText>
      </w:r>
      <w:r w:rsidR="00013BA7" w:rsidRPr="002E78B5">
        <w:rPr>
          <w:rFonts w:ascii="Book Antiqua" w:hAnsi="Book Antiqua" w:cs="Arial"/>
          <w:color w:val="000000" w:themeColor="text1"/>
        </w:rPr>
        <w:fldChar w:fldCharType="separate"/>
      </w:r>
      <w:r w:rsidR="00246E77">
        <w:rPr>
          <w:rFonts w:ascii="Book Antiqua" w:hAnsi="Book Antiqua" w:cs="Arial"/>
          <w:noProof/>
          <w:color w:val="000000" w:themeColor="text1"/>
          <w:vertAlign w:val="superscript"/>
        </w:rPr>
        <w:t>[25</w:t>
      </w:r>
      <w:r w:rsidR="00246E77">
        <w:rPr>
          <w:rFonts w:ascii="Book Antiqua" w:hAnsi="Book Antiqua" w:cs="Arial" w:hint="eastAsia"/>
          <w:noProof/>
          <w:color w:val="000000" w:themeColor="text1"/>
          <w:vertAlign w:val="superscript"/>
          <w:lang w:eastAsia="zh-CN"/>
        </w:rPr>
        <w:t>-</w:t>
      </w:r>
      <w:r w:rsidR="00DA0904" w:rsidRPr="002E78B5">
        <w:rPr>
          <w:rFonts w:ascii="Book Antiqua" w:hAnsi="Book Antiqua" w:cs="Arial"/>
          <w:noProof/>
          <w:color w:val="000000" w:themeColor="text1"/>
          <w:vertAlign w:val="superscript"/>
        </w:rPr>
        <w:t>28]</w:t>
      </w:r>
      <w:r w:rsidR="00013BA7" w:rsidRPr="002E78B5">
        <w:rPr>
          <w:rFonts w:ascii="Book Antiqua" w:hAnsi="Book Antiqua" w:cs="Arial"/>
          <w:color w:val="000000" w:themeColor="text1"/>
        </w:rPr>
        <w:fldChar w:fldCharType="end"/>
      </w:r>
      <w:r w:rsidR="00013BA7" w:rsidRPr="002E78B5">
        <w:rPr>
          <w:rFonts w:ascii="Book Antiqua" w:hAnsi="Book Antiqua" w:cs="Arial"/>
          <w:color w:val="000000" w:themeColor="text1"/>
        </w:rPr>
        <w:t>.</w:t>
      </w:r>
      <w:r w:rsidR="007207A6" w:rsidRPr="002E78B5">
        <w:rPr>
          <w:rFonts w:ascii="Book Antiqua" w:hAnsi="Book Antiqua" w:cs="Arial"/>
          <w:color w:val="000000" w:themeColor="text1"/>
        </w:rPr>
        <w:t xml:space="preserve"> Primary care services traditionally aided in monitoring and guiding care coordination</w:t>
      </w:r>
      <w:r w:rsidR="007207A6" w:rsidRPr="002E78B5">
        <w:rPr>
          <w:rFonts w:ascii="Book Antiqua" w:hAnsi="Book Antiqua" w:cs="Arial"/>
          <w:color w:val="000000" w:themeColor="text1"/>
        </w:rPr>
        <w:fldChar w:fldCharType="begin" w:fldLock="1"/>
      </w:r>
      <w:r w:rsidR="00DA0904" w:rsidRPr="002E78B5">
        <w:rPr>
          <w:rFonts w:ascii="Book Antiqua" w:hAnsi="Book Antiqua" w:cs="Arial"/>
          <w:color w:val="000000" w:themeColor="text1"/>
        </w:rPr>
        <w:instrText>ADDIN CSL_CITATION {"citationItems":[{"id":"ITEM-1","itemData":{"DOI":"10.1016/j.pop.2011.06.001","ISBN":"0095-4543","ISSN":"1558-299X","PMID":"21872089","abstract":"Crohn disease and ulcerative colitis are the most common forms of inflammatory bowel disease (IBD) likely to be encountered in primary care. Patient-centered care is essential for positive outcomes, and should include long-term continuity with an empathetic primary care provider who can provide skillful coordination of the requisite multidisciplinary approach. Early suspicion of the diagnosis and referral to expert gastroenterologists for confirmation and medical management is essential. Coordinating interdisciplinary consultations, including colorectal surgeons, radiologists, stoma therapists, psychologists, and rheumatologists, in combination with comprehensive patient education, is key to decreasing overall morbidity, mortality, and health care costs associated with IBD.","author":[{"dropping-particle":"","family":"Walsh","given":"Anne","non-dropping-particle":"","parse-names":false,"suffix":""},{"dropping-particle":"","family":"Mabee","given":"John","non-dropping-particle":"","parse-names":false,"suffix":""},{"dropping-particle":"","family":"Trivedi","given":"Kashyap","non-dropping-particle":"","parse-names":false,"suffix":""}],"container-title":"Primary care","id":"ITEM-1","issue":"3","issued":{"date-parts":[["2011"]]},"page":"415-32; vii","title":"Inflammatory bowel disease.","type":"article-journal","volume":"38"},"uris":["http://www.mendeley.com/documents/?uuid=60bf329d-541d-46e9-a27e-af5fd881c8aa"]}],"mendeley":{"formattedCitation":"&lt;sup&gt;[29]&lt;/sup&gt;","plainTextFormattedCitation":"[29]","previouslyFormattedCitation":"&lt;sup&gt;[29]&lt;/sup&gt;"},"properties":{"noteIndex":0},"schema":"https://github.com/citation-style-language/schema/raw/master/csl-citation.json"}</w:instrText>
      </w:r>
      <w:r w:rsidR="007207A6" w:rsidRPr="002E78B5">
        <w:rPr>
          <w:rFonts w:ascii="Book Antiqua" w:hAnsi="Book Antiqua" w:cs="Arial"/>
          <w:color w:val="000000" w:themeColor="text1"/>
        </w:rPr>
        <w:fldChar w:fldCharType="separate"/>
      </w:r>
      <w:r w:rsidR="00DA0904" w:rsidRPr="002E78B5">
        <w:rPr>
          <w:rFonts w:ascii="Book Antiqua" w:hAnsi="Book Antiqua" w:cs="Arial"/>
          <w:noProof/>
          <w:color w:val="000000" w:themeColor="text1"/>
          <w:vertAlign w:val="superscript"/>
        </w:rPr>
        <w:t>[29]</w:t>
      </w:r>
      <w:r w:rsidR="007207A6" w:rsidRPr="002E78B5">
        <w:rPr>
          <w:rFonts w:ascii="Book Antiqua" w:hAnsi="Book Antiqua" w:cs="Arial"/>
          <w:color w:val="000000" w:themeColor="text1"/>
        </w:rPr>
        <w:fldChar w:fldCharType="end"/>
      </w:r>
      <w:r w:rsidR="007207A6" w:rsidRPr="002E78B5">
        <w:rPr>
          <w:rFonts w:ascii="Book Antiqua" w:hAnsi="Book Antiqua" w:cs="Arial"/>
          <w:color w:val="000000" w:themeColor="text1"/>
        </w:rPr>
        <w:t xml:space="preserve">, however many patients in England find General </w:t>
      </w:r>
      <w:r w:rsidR="00246E77">
        <w:rPr>
          <w:rFonts w:ascii="Book Antiqua" w:hAnsi="Book Antiqua" w:cs="Arial"/>
          <w:color w:val="000000" w:themeColor="text1"/>
        </w:rPr>
        <w:t>Practitioner</w:t>
      </w:r>
      <w:r w:rsidR="007207A6" w:rsidRPr="002E78B5">
        <w:rPr>
          <w:rFonts w:ascii="Book Antiqua" w:hAnsi="Book Antiqua" w:cs="Arial"/>
          <w:color w:val="000000" w:themeColor="text1"/>
        </w:rPr>
        <w:t xml:space="preserve"> services difficult to access</w:t>
      </w:r>
      <w:r w:rsidR="007207A6" w:rsidRPr="002E78B5">
        <w:rPr>
          <w:rFonts w:ascii="Book Antiqua" w:hAnsi="Book Antiqua" w:cs="Arial"/>
          <w:color w:val="000000" w:themeColor="text1"/>
        </w:rPr>
        <w:fldChar w:fldCharType="begin" w:fldLock="1"/>
      </w:r>
      <w:r w:rsidR="007421CB" w:rsidRPr="002E78B5">
        <w:rPr>
          <w:rFonts w:ascii="Book Antiqua" w:hAnsi="Book Antiqua" w:cs="Arial"/>
          <w:color w:val="000000" w:themeColor="text1"/>
        </w:rPr>
        <w:instrText>ADDIN CSL_CITATION {"citationItems":[{"id":"ITEM-1","itemData":{"URL":"https://www.england.nhs.uk/gp/gpfv/redesign/improving-access/","accessed":{"date-parts":[["2018","3","5"]]},"author":[{"dropping-particle":"","family":"NHS England","given":"","non-dropping-particle":"","parse-names":false,"suffix":""}],"id":"ITEM-1","issued":{"date-parts":[["2016"]]},"title":"Improving access to general practice","type":"webpage"},"uris":["http://www.mendeley.com/documents/?uuid=1ca64af7-4592-4dca-b507-84734a0c300e"]}],"mendeley":{"formattedCitation":"&lt;sup&gt;[8]&lt;/sup&gt;","plainTextFormattedCitation":"[8]","previouslyFormattedCitation":"&lt;sup&gt;[8]&lt;/sup&gt;"},"properties":{"noteIndex":0},"schema":"https://github.com/citation-style-language/schema/raw/master/csl-citation.json"}</w:instrText>
      </w:r>
      <w:r w:rsidR="007207A6" w:rsidRPr="002E78B5">
        <w:rPr>
          <w:rFonts w:ascii="Book Antiqua" w:hAnsi="Book Antiqua" w:cs="Arial"/>
          <w:color w:val="000000" w:themeColor="text1"/>
        </w:rPr>
        <w:fldChar w:fldCharType="separate"/>
      </w:r>
      <w:r w:rsidR="0072600C" w:rsidRPr="002E78B5">
        <w:rPr>
          <w:rFonts w:ascii="Book Antiqua" w:hAnsi="Book Antiqua" w:cs="Arial"/>
          <w:noProof/>
          <w:color w:val="000000" w:themeColor="text1"/>
          <w:vertAlign w:val="superscript"/>
        </w:rPr>
        <w:t>[8]</w:t>
      </w:r>
      <w:r w:rsidR="007207A6" w:rsidRPr="002E78B5">
        <w:rPr>
          <w:rFonts w:ascii="Book Antiqua" w:hAnsi="Book Antiqua" w:cs="Arial"/>
          <w:color w:val="000000" w:themeColor="text1"/>
        </w:rPr>
        <w:fldChar w:fldCharType="end"/>
      </w:r>
      <w:r w:rsidR="007207A6" w:rsidRPr="002E78B5">
        <w:rPr>
          <w:rFonts w:ascii="Book Antiqua" w:hAnsi="Book Antiqua" w:cs="Arial"/>
          <w:color w:val="000000" w:themeColor="text1"/>
        </w:rPr>
        <w:t>. There is increasing momentum towards empowering IBD patients to take control of their own health records and disease management, although this requires infrastructure investment and may n</w:t>
      </w:r>
      <w:r w:rsidR="00246E77">
        <w:rPr>
          <w:rFonts w:ascii="Book Antiqua" w:hAnsi="Book Antiqua" w:cs="Arial"/>
          <w:color w:val="000000" w:themeColor="text1"/>
        </w:rPr>
        <w:t>ot be suitable for all patients</w:t>
      </w:r>
      <w:r w:rsidR="007207A6" w:rsidRPr="002E78B5">
        <w:rPr>
          <w:rFonts w:ascii="Book Antiqua" w:hAnsi="Book Antiqua" w:cs="Arial"/>
          <w:color w:val="000000" w:themeColor="text1"/>
        </w:rPr>
        <w:fldChar w:fldCharType="begin" w:fldLock="1"/>
      </w:r>
      <w:r w:rsidR="00DA0904" w:rsidRPr="002E78B5">
        <w:rPr>
          <w:rFonts w:ascii="Book Antiqua" w:hAnsi="Book Antiqua" w:cs="Arial"/>
          <w:color w:val="000000" w:themeColor="text1"/>
        </w:rPr>
        <w:instrText>ADDIN CSL_CITATION {"citationItems":[{"id":"ITEM-1","itemData":{"DOI":"10.1016/j.crohns.2014.02.022","ISBN":"1873-9946","ISSN":"18764479","PMID":"24713174","abstract":"Background and aims: There are a number of gaps in our current quality of care for patients with inflammatory bowel diseases. This review proposes changes that could be made now to improve inflammatory bowel disease care. Methods: Evidence from the literature and clinical experience are presented that illustrate best practice for improving current quality of care of patients with inflammatory bowel diseases. Results: Best care for inflammatory bowel disease patients will involve services provided by a multidisciplinary team, ideally delivered at a centre of excellence and founded on current guidelines. Dedicated telephone support lines, virtual clinics and networking may also provide models through which to deliver high-quality, expert integrated patient care. Improved physician-patient collaboration may improve treatment adherence, producing tangible improvements in disease outcomes, and may also allow patients to better understand the benefits and risks of a disease management plan. Coaching programmes and tools that improve patient self-management and empowerment are likely to be supported by payers if these can be shown to reduce long-term disability. Conclusions: Halting disease progression before there is widespread bowel damage and disability are ideal goals of inflammatory bowel disease management. Improving patient-physician communication and supporting patients in their understanding of the evidence base are vital for ensuring patient commitment and involvement in the long-term management of their condition. Furthermore, there is a need to create more centres of excellence and to develop inflammatory bowel disease networks to ensure a consistent level of care across different settings. © 2014 European Crohn's and Colitis Organisation.","author":[{"dropping-particle":"","family":"Panés","given":"Julián","non-dropping-particle":"","parse-names":false,"suffix":""},{"dropping-particle":"","family":"O'Connor","given":"Marian","non-dropping-particle":"","parse-names":false,"suffix":""},{"dropping-particle":"","family":"Peyrin-Biroulet","given":"Laurent","non-dropping-particle":"","parse-names":false,"suffix":""},{"dropping-particle":"","family":"Irving","given":"Peter","non-dropping-particle":"","parse-names":false,"suffix":""},{"dropping-particle":"","family":"Petersson","given":"Joel","non-dropping-particle":"","parse-names":false,"suffix":""},{"dropping-particle":"","family":"Colombel","given":"Jean Frédéric","non-dropping-particle":"","parse-names":false,"suffix":""}],"container-title":"Journal of Crohn's and Colitis","id":"ITEM-1","issue":"9","issued":{"date-parts":[["2014"]]},"page":"919-926","title":"Improving quality of care in inflammatory bowel disease: What changes can be made today?","type":"article","volume":"8"},"uris":["http://www.mendeley.com/documents/?uuid=65c6e11a-90d1-4425-a4c3-f10eef4ad23d"]}],"mendeley":{"formattedCitation":"&lt;sup&gt;[30]&lt;/sup&gt;","plainTextFormattedCitation":"[30]","previouslyFormattedCitation":"&lt;sup&gt;[30]&lt;/sup&gt;"},"properties":{"noteIndex":0},"schema":"https://github.com/citation-style-language/schema/raw/master/csl-citation.json"}</w:instrText>
      </w:r>
      <w:r w:rsidR="007207A6" w:rsidRPr="002E78B5">
        <w:rPr>
          <w:rFonts w:ascii="Book Antiqua" w:hAnsi="Book Antiqua" w:cs="Arial"/>
          <w:color w:val="000000" w:themeColor="text1"/>
        </w:rPr>
        <w:fldChar w:fldCharType="separate"/>
      </w:r>
      <w:r w:rsidR="00DA0904" w:rsidRPr="002E78B5">
        <w:rPr>
          <w:rFonts w:ascii="Book Antiqua" w:hAnsi="Book Antiqua" w:cs="Arial"/>
          <w:noProof/>
          <w:color w:val="000000" w:themeColor="text1"/>
          <w:vertAlign w:val="superscript"/>
        </w:rPr>
        <w:t>[30]</w:t>
      </w:r>
      <w:r w:rsidR="007207A6" w:rsidRPr="002E78B5">
        <w:rPr>
          <w:rFonts w:ascii="Book Antiqua" w:hAnsi="Book Antiqua" w:cs="Arial"/>
          <w:color w:val="000000" w:themeColor="text1"/>
        </w:rPr>
        <w:fldChar w:fldCharType="end"/>
      </w:r>
      <w:r w:rsidR="007207A6" w:rsidRPr="002E78B5">
        <w:rPr>
          <w:rFonts w:ascii="Book Antiqua" w:hAnsi="Book Antiqua" w:cs="Arial"/>
          <w:color w:val="000000" w:themeColor="text1"/>
        </w:rPr>
        <w:t>.</w:t>
      </w:r>
      <w:r w:rsidR="00013BA7" w:rsidRPr="002E78B5">
        <w:rPr>
          <w:rFonts w:ascii="Book Antiqua" w:hAnsi="Book Antiqua" w:cs="Arial"/>
          <w:color w:val="000000" w:themeColor="text1"/>
        </w:rPr>
        <w:t xml:space="preserve"> </w:t>
      </w:r>
      <w:r w:rsidR="00966014" w:rsidRPr="002E78B5">
        <w:rPr>
          <w:rFonts w:ascii="Book Antiqua" w:hAnsi="Book Antiqua" w:cs="Arial"/>
          <w:color w:val="000000" w:themeColor="text1"/>
        </w:rPr>
        <w:t>Hospital</w:t>
      </w:r>
      <w:r w:rsidR="00C67817" w:rsidRPr="002E78B5">
        <w:rPr>
          <w:rFonts w:ascii="Book Antiqua" w:hAnsi="Book Antiqua" w:cs="Arial"/>
          <w:color w:val="000000" w:themeColor="text1"/>
        </w:rPr>
        <w:t xml:space="preserve"> providers </w:t>
      </w:r>
      <w:r w:rsidR="00B16F51" w:rsidRPr="002E78B5">
        <w:rPr>
          <w:rFonts w:ascii="Book Antiqua" w:hAnsi="Book Antiqua" w:cs="Arial"/>
          <w:color w:val="000000" w:themeColor="text1"/>
        </w:rPr>
        <w:t xml:space="preserve">therefore </w:t>
      </w:r>
      <w:r w:rsidR="00C67817" w:rsidRPr="002E78B5">
        <w:rPr>
          <w:rFonts w:ascii="Book Antiqua" w:hAnsi="Book Antiqua" w:cs="Arial"/>
          <w:color w:val="000000" w:themeColor="text1"/>
        </w:rPr>
        <w:t xml:space="preserve">need to continue to improve interoperability or </w:t>
      </w:r>
      <w:r w:rsidR="00C67817" w:rsidRPr="002E78B5">
        <w:rPr>
          <w:rFonts w:ascii="Book Antiqua" w:hAnsi="Book Antiqua" w:cs="Arial"/>
        </w:rPr>
        <w:t>provide alternative effective data-sharing capacity to maintain continuity of care for patients using services across settings.</w:t>
      </w:r>
    </w:p>
    <w:p w14:paraId="1AE42FB1" w14:textId="77777777" w:rsidR="006D7853" w:rsidRPr="002E78B5" w:rsidRDefault="006D7853" w:rsidP="006C577E">
      <w:pPr>
        <w:snapToGrid w:val="0"/>
        <w:spacing w:line="360" w:lineRule="auto"/>
        <w:jc w:val="both"/>
        <w:rPr>
          <w:rFonts w:ascii="Book Antiqua" w:hAnsi="Book Antiqua" w:cs="Arial"/>
        </w:rPr>
      </w:pPr>
    </w:p>
    <w:p w14:paraId="73E3D01D" w14:textId="04275A23" w:rsidR="00B676C5" w:rsidRPr="002E78B5" w:rsidRDefault="00B676C5" w:rsidP="006C577E">
      <w:pPr>
        <w:snapToGrid w:val="0"/>
        <w:spacing w:line="360" w:lineRule="auto"/>
        <w:jc w:val="both"/>
        <w:rPr>
          <w:rFonts w:ascii="Book Antiqua" w:hAnsi="Book Antiqua" w:cs="Arial"/>
          <w:b/>
          <w:i/>
        </w:rPr>
      </w:pPr>
      <w:r w:rsidRPr="002E78B5">
        <w:rPr>
          <w:rFonts w:ascii="Book Antiqua" w:hAnsi="Book Antiqua" w:cs="Arial"/>
          <w:b/>
          <w:i/>
        </w:rPr>
        <w:t xml:space="preserve">Regional differences in ‘home provider’ attendance </w:t>
      </w:r>
    </w:p>
    <w:p w14:paraId="05B3CBAB" w14:textId="60480B62" w:rsidR="00B676C5" w:rsidRPr="002E78B5" w:rsidRDefault="00B676C5" w:rsidP="006C577E">
      <w:pPr>
        <w:snapToGrid w:val="0"/>
        <w:spacing w:line="360" w:lineRule="auto"/>
        <w:jc w:val="both"/>
        <w:rPr>
          <w:rFonts w:ascii="Book Antiqua" w:hAnsi="Book Antiqua" w:cs="Arial"/>
        </w:rPr>
      </w:pPr>
      <w:r w:rsidRPr="002E78B5">
        <w:rPr>
          <w:rFonts w:ascii="Book Antiqua" w:hAnsi="Book Antiqua" w:cs="Arial"/>
        </w:rPr>
        <w:t>Analysis of the distribution of ‘home provider’ events by MSOA of participants a</w:t>
      </w:r>
      <w:r w:rsidR="000D1E99" w:rsidRPr="002E78B5">
        <w:rPr>
          <w:rFonts w:ascii="Book Antiqua" w:hAnsi="Book Antiqua" w:cs="Arial"/>
        </w:rPr>
        <w:t>nd provider locations showed a</w:t>
      </w:r>
      <w:r w:rsidRPr="002E78B5">
        <w:rPr>
          <w:rFonts w:ascii="Book Antiqua" w:hAnsi="Book Antiqua" w:cs="Arial"/>
        </w:rPr>
        <w:t xml:space="preserve"> trend towards increased </w:t>
      </w:r>
      <w:r w:rsidR="004D5ACA" w:rsidRPr="002E78B5">
        <w:rPr>
          <w:rFonts w:ascii="Book Antiqua" w:hAnsi="Book Antiqua" w:cs="Arial"/>
        </w:rPr>
        <w:t>non</w:t>
      </w:r>
      <w:proofErr w:type="gramStart"/>
      <w:r w:rsidR="004D5ACA" w:rsidRPr="002E78B5">
        <w:rPr>
          <w:rFonts w:ascii="Book Antiqua" w:hAnsi="Book Antiqua" w:cs="Arial"/>
        </w:rPr>
        <w:t>-</w:t>
      </w:r>
      <w:r w:rsidR="00DE726E" w:rsidRPr="002E78B5">
        <w:rPr>
          <w:rFonts w:ascii="Book Antiqua" w:hAnsi="Book Antiqua" w:cs="Arial"/>
        </w:rPr>
        <w:t>‘</w:t>
      </w:r>
      <w:proofErr w:type="gramEnd"/>
      <w:r w:rsidR="000D1E99" w:rsidRPr="002E78B5">
        <w:rPr>
          <w:rFonts w:ascii="Book Antiqua" w:hAnsi="Book Antiqua" w:cs="Arial"/>
        </w:rPr>
        <w:t>home</w:t>
      </w:r>
      <w:r w:rsidRPr="002E78B5">
        <w:rPr>
          <w:rFonts w:ascii="Book Antiqua" w:hAnsi="Book Antiqua" w:cs="Arial"/>
        </w:rPr>
        <w:t xml:space="preserve"> provider</w:t>
      </w:r>
      <w:r w:rsidR="000D1E99" w:rsidRPr="002E78B5">
        <w:rPr>
          <w:rFonts w:ascii="Book Antiqua" w:hAnsi="Book Antiqua" w:cs="Arial"/>
        </w:rPr>
        <w:t>’</w:t>
      </w:r>
      <w:r w:rsidRPr="002E78B5">
        <w:rPr>
          <w:rFonts w:ascii="Book Antiqua" w:hAnsi="Book Antiqua" w:cs="Arial"/>
        </w:rPr>
        <w:t xml:space="preserve"> attendance in metro</w:t>
      </w:r>
      <w:r w:rsidR="000D1E99" w:rsidRPr="002E78B5">
        <w:rPr>
          <w:rFonts w:ascii="Book Antiqua" w:hAnsi="Book Antiqua" w:cs="Arial"/>
        </w:rPr>
        <w:t xml:space="preserve">politan centres. All </w:t>
      </w:r>
      <w:r w:rsidRPr="002E78B5">
        <w:rPr>
          <w:rFonts w:ascii="Book Antiqua" w:hAnsi="Book Antiqua" w:cs="Arial"/>
        </w:rPr>
        <w:t xml:space="preserve">of the </w:t>
      </w:r>
      <w:r w:rsidR="004D5ACA" w:rsidRPr="002E78B5">
        <w:rPr>
          <w:rFonts w:ascii="Book Antiqua" w:hAnsi="Book Antiqua" w:cs="Arial"/>
        </w:rPr>
        <w:t xml:space="preserve">20 providers with the lowest </w:t>
      </w:r>
      <w:r w:rsidRPr="002E78B5">
        <w:rPr>
          <w:rFonts w:ascii="Book Antiqua" w:hAnsi="Book Antiqua" w:cs="Arial"/>
        </w:rPr>
        <w:t xml:space="preserve">proportion of IBD patients attending that same provider for healthcare were located </w:t>
      </w:r>
      <w:r w:rsidR="000D1E99" w:rsidRPr="002E78B5">
        <w:rPr>
          <w:rFonts w:ascii="Book Antiqua" w:hAnsi="Book Antiqua" w:cs="Arial"/>
        </w:rPr>
        <w:t>in major metropolitan centres</w:t>
      </w:r>
      <w:r w:rsidR="00417849" w:rsidRPr="002E78B5">
        <w:rPr>
          <w:rFonts w:ascii="Book Antiqua" w:hAnsi="Book Antiqua" w:cs="Arial"/>
        </w:rPr>
        <w:t xml:space="preserve"> including London, Manchester, Birmingham and Liverpool. In these areas, the proportion of encounters </w:t>
      </w:r>
      <w:r w:rsidR="00E43E7A" w:rsidRPr="002E78B5">
        <w:rPr>
          <w:rFonts w:ascii="Book Antiqua" w:hAnsi="Book Antiqua" w:cs="Arial"/>
        </w:rPr>
        <w:t xml:space="preserve">with the usual gastroenterology ‘home provider’ was as low as 1 in 3 (37%) for accident and emergency encounters and only half of inpatient (57.2%) or outpatient (55.7%) encounters. </w:t>
      </w:r>
      <w:r w:rsidRPr="002E78B5">
        <w:rPr>
          <w:rFonts w:ascii="Book Antiqua" w:hAnsi="Book Antiqua" w:cs="Arial"/>
        </w:rPr>
        <w:t>Reasons for this may include increased service centralisation in these regions or ease of access to alternative providers for urgent or non-IBD related care. Regardless, this is an important finding as it indicates that within metropolitan centres, there is a</w:t>
      </w:r>
      <w:r w:rsidR="00E43E7A" w:rsidRPr="002E78B5">
        <w:rPr>
          <w:rFonts w:ascii="Book Antiqua" w:hAnsi="Book Antiqua" w:cs="Arial"/>
        </w:rPr>
        <w:t xml:space="preserve"> more dynamic ecosystem of care and</w:t>
      </w:r>
      <w:r w:rsidRPr="002E78B5">
        <w:rPr>
          <w:rFonts w:ascii="Book Antiqua" w:hAnsi="Book Antiqua" w:cs="Arial"/>
        </w:rPr>
        <w:t xml:space="preserve"> </w:t>
      </w:r>
      <w:r w:rsidR="00E43E7A" w:rsidRPr="002E78B5">
        <w:rPr>
          <w:rFonts w:ascii="Book Antiqua" w:hAnsi="Book Antiqua" w:cs="Arial"/>
        </w:rPr>
        <w:t xml:space="preserve">increased </w:t>
      </w:r>
      <w:r w:rsidRPr="002E78B5">
        <w:rPr>
          <w:rFonts w:ascii="Book Antiqua" w:hAnsi="Book Antiqua" w:cs="Arial"/>
        </w:rPr>
        <w:t>need to ensure adequate exchange of health information</w:t>
      </w:r>
      <w:r w:rsidR="00E43E7A" w:rsidRPr="002E78B5">
        <w:rPr>
          <w:rFonts w:ascii="Book Antiqua" w:hAnsi="Book Antiqua" w:cs="Arial"/>
        </w:rPr>
        <w:t>.</w:t>
      </w:r>
    </w:p>
    <w:p w14:paraId="5D991E95" w14:textId="77777777" w:rsidR="003A1FFF" w:rsidRPr="002E78B5" w:rsidRDefault="003A1FFF" w:rsidP="006C577E">
      <w:pPr>
        <w:snapToGrid w:val="0"/>
        <w:spacing w:line="360" w:lineRule="auto"/>
        <w:jc w:val="both"/>
        <w:rPr>
          <w:rFonts w:ascii="Book Antiqua" w:hAnsi="Book Antiqua" w:cs="Arial"/>
        </w:rPr>
      </w:pPr>
    </w:p>
    <w:p w14:paraId="1EE84A83" w14:textId="74B9A922" w:rsidR="00B676C5" w:rsidRPr="002E78B5" w:rsidRDefault="00B676C5" w:rsidP="006C577E">
      <w:pPr>
        <w:snapToGrid w:val="0"/>
        <w:spacing w:line="360" w:lineRule="auto"/>
        <w:jc w:val="both"/>
        <w:rPr>
          <w:rFonts w:ascii="Book Antiqua" w:hAnsi="Book Antiqua" w:cs="Arial"/>
          <w:b/>
          <w:i/>
        </w:rPr>
      </w:pPr>
      <w:r w:rsidRPr="002E78B5">
        <w:rPr>
          <w:rFonts w:ascii="Book Antiqua" w:hAnsi="Book Antiqua" w:cs="Arial"/>
          <w:b/>
          <w:i/>
        </w:rPr>
        <w:t xml:space="preserve">Accident and emergency </w:t>
      </w:r>
      <w:r w:rsidR="00A3784F" w:rsidRPr="002E78B5">
        <w:rPr>
          <w:rFonts w:ascii="Book Antiqua" w:hAnsi="Book Antiqua" w:cs="Arial"/>
          <w:b/>
          <w:i/>
        </w:rPr>
        <w:t>events</w:t>
      </w:r>
    </w:p>
    <w:p w14:paraId="3CEEA7A6" w14:textId="0745F150" w:rsidR="00D91C0C" w:rsidRPr="001D47FA" w:rsidRDefault="00B56794" w:rsidP="006C577E">
      <w:pPr>
        <w:snapToGrid w:val="0"/>
        <w:spacing w:line="360" w:lineRule="auto"/>
        <w:jc w:val="both"/>
        <w:rPr>
          <w:rFonts w:ascii="Book Antiqua" w:eastAsiaTheme="minorEastAsia" w:hAnsi="Book Antiqua" w:cs="Arial"/>
          <w:lang w:eastAsia="zh-CN"/>
        </w:rPr>
      </w:pPr>
      <w:r w:rsidRPr="002E78B5">
        <w:rPr>
          <w:rFonts w:ascii="Book Antiqua" w:hAnsi="Book Antiqua" w:cs="Arial"/>
        </w:rPr>
        <w:t xml:space="preserve">More than one in four (26.7%) accident and emergency </w:t>
      </w:r>
      <w:r w:rsidR="00B62990" w:rsidRPr="002E78B5">
        <w:rPr>
          <w:rFonts w:ascii="Book Antiqua" w:hAnsi="Book Antiqua" w:cs="Arial"/>
        </w:rPr>
        <w:t xml:space="preserve">encounters were with </w:t>
      </w:r>
      <w:r w:rsidRPr="002E78B5">
        <w:rPr>
          <w:rFonts w:ascii="Book Antiqua" w:hAnsi="Book Antiqua" w:cs="Arial"/>
        </w:rPr>
        <w:t xml:space="preserve">a different hospital to </w:t>
      </w:r>
      <w:r w:rsidR="00B62990" w:rsidRPr="002E78B5">
        <w:rPr>
          <w:rFonts w:ascii="Book Antiqua" w:hAnsi="Book Antiqua" w:cs="Arial"/>
        </w:rPr>
        <w:t xml:space="preserve">the patient’s </w:t>
      </w:r>
      <w:r w:rsidR="007C6C30" w:rsidRPr="002E78B5">
        <w:rPr>
          <w:rFonts w:ascii="Book Antiqua" w:hAnsi="Book Antiqua" w:cs="Arial"/>
        </w:rPr>
        <w:t xml:space="preserve">gastroenterology </w:t>
      </w:r>
      <w:r w:rsidR="00AB1FBB" w:rsidRPr="002E78B5">
        <w:rPr>
          <w:rFonts w:ascii="Book Antiqua" w:hAnsi="Book Antiqua" w:cs="Arial"/>
        </w:rPr>
        <w:t xml:space="preserve">‘home provider’. This </w:t>
      </w:r>
      <w:r w:rsidRPr="002E78B5">
        <w:rPr>
          <w:rFonts w:ascii="Book Antiqua" w:hAnsi="Book Antiqua" w:cs="Arial"/>
        </w:rPr>
        <w:t>i</w:t>
      </w:r>
      <w:r w:rsidR="000D1E99" w:rsidRPr="002E78B5">
        <w:rPr>
          <w:rFonts w:ascii="Book Antiqua" w:hAnsi="Book Antiqua" w:cs="Arial"/>
        </w:rPr>
        <w:t xml:space="preserve">s </w:t>
      </w:r>
      <w:r w:rsidRPr="002E78B5">
        <w:rPr>
          <w:rFonts w:ascii="Book Antiqua" w:hAnsi="Book Antiqua" w:cs="Arial"/>
        </w:rPr>
        <w:t xml:space="preserve">more </w:t>
      </w:r>
      <w:r w:rsidR="000D1E99" w:rsidRPr="002E78B5">
        <w:rPr>
          <w:rFonts w:ascii="Book Antiqua" w:hAnsi="Book Antiqua" w:cs="Arial"/>
        </w:rPr>
        <w:t xml:space="preserve">than the proportion of </w:t>
      </w:r>
      <w:r w:rsidRPr="002E78B5">
        <w:rPr>
          <w:rFonts w:ascii="Book Antiqua" w:hAnsi="Book Antiqua" w:cs="Arial"/>
        </w:rPr>
        <w:t>non-</w:t>
      </w:r>
      <w:r w:rsidR="000D1E99" w:rsidRPr="002E78B5">
        <w:rPr>
          <w:rFonts w:ascii="Book Antiqua" w:hAnsi="Book Antiqua" w:cs="Arial"/>
        </w:rPr>
        <w:t xml:space="preserve">‘home provider’ events for inpatient </w:t>
      </w:r>
      <w:r w:rsidRPr="002E78B5">
        <w:rPr>
          <w:rFonts w:ascii="Book Antiqua" w:hAnsi="Book Antiqua" w:cs="Arial"/>
        </w:rPr>
        <w:t xml:space="preserve">(12.2%) and outpatient (16.9%) </w:t>
      </w:r>
      <w:r w:rsidR="000D1E99" w:rsidRPr="002E78B5">
        <w:rPr>
          <w:rFonts w:ascii="Book Antiqua" w:hAnsi="Book Antiqua" w:cs="Arial"/>
        </w:rPr>
        <w:t xml:space="preserve">services. Reasons for </w:t>
      </w:r>
      <w:r w:rsidR="007C6C30" w:rsidRPr="002E78B5">
        <w:rPr>
          <w:rFonts w:ascii="Book Antiqua" w:hAnsi="Book Antiqua" w:cs="Arial"/>
        </w:rPr>
        <w:t>this finding</w:t>
      </w:r>
      <w:r w:rsidR="00B62990" w:rsidRPr="002E78B5">
        <w:rPr>
          <w:rFonts w:ascii="Book Antiqua" w:hAnsi="Book Antiqua" w:cs="Arial"/>
        </w:rPr>
        <w:t xml:space="preserve"> </w:t>
      </w:r>
      <w:r w:rsidR="000D1E99" w:rsidRPr="002E78B5">
        <w:rPr>
          <w:rFonts w:ascii="Book Antiqua" w:hAnsi="Book Antiqua" w:cs="Arial"/>
        </w:rPr>
        <w:t xml:space="preserve">may include a lack of accident and emergency services at the ‘home provider’ Trust, a need for urgent care necessitating presentation to the nearest hospital or patient preference. </w:t>
      </w:r>
      <w:r w:rsidR="00013BA7" w:rsidRPr="002E78B5">
        <w:rPr>
          <w:rFonts w:ascii="Book Antiqua" w:hAnsi="Book Antiqua" w:cs="Arial"/>
        </w:rPr>
        <w:t xml:space="preserve">Importantly, </w:t>
      </w:r>
      <w:r w:rsidR="00013BA7" w:rsidRPr="002E78B5">
        <w:rPr>
          <w:rFonts w:ascii="Book Antiqua" w:hAnsi="Book Antiqua" w:cs="Arial"/>
        </w:rPr>
        <w:lastRenderedPageBreak/>
        <w:t xml:space="preserve">this finding indicates that many patients seen acutely may not have comprehensive or up-to-date medical records held at that organisation. This may impact on the timeliness, effectiveness and safety of their care </w:t>
      </w:r>
      <w:r w:rsidR="00B16F51" w:rsidRPr="002E78B5">
        <w:rPr>
          <w:rFonts w:ascii="Book Antiqua" w:hAnsi="Book Antiqua" w:cs="Arial"/>
        </w:rPr>
        <w:t xml:space="preserve">delivered </w:t>
      </w:r>
      <w:r w:rsidR="00013BA7" w:rsidRPr="002E78B5">
        <w:rPr>
          <w:rFonts w:ascii="Book Antiqua" w:hAnsi="Book Antiqua" w:cs="Arial"/>
        </w:rPr>
        <w:t xml:space="preserve">by that provider. </w:t>
      </w:r>
      <w:r w:rsidR="00A7426C" w:rsidRPr="002E78B5">
        <w:rPr>
          <w:rFonts w:ascii="Book Antiqua" w:hAnsi="Book Antiqua" w:cs="Arial"/>
        </w:rPr>
        <w:t>Additionally, i</w:t>
      </w:r>
      <w:r w:rsidR="00013BA7" w:rsidRPr="002E78B5">
        <w:rPr>
          <w:rFonts w:ascii="Book Antiqua" w:hAnsi="Book Antiqua" w:cs="Arial"/>
        </w:rPr>
        <w:t xml:space="preserve">nformation from </w:t>
      </w:r>
      <w:r w:rsidR="00A7426C" w:rsidRPr="002E78B5">
        <w:rPr>
          <w:rFonts w:ascii="Book Antiqua" w:hAnsi="Book Antiqua" w:cs="Arial"/>
        </w:rPr>
        <w:t>an</w:t>
      </w:r>
      <w:r w:rsidR="00013BA7" w:rsidRPr="002E78B5">
        <w:rPr>
          <w:rFonts w:ascii="Book Antiqua" w:hAnsi="Book Antiqua" w:cs="Arial"/>
        </w:rPr>
        <w:t xml:space="preserve"> acute presentation may not be communicated with their usual ‘home provider’, again contributing to potential downstream transition of care errors.</w:t>
      </w:r>
      <w:r w:rsidR="00D91C0C" w:rsidRPr="002E78B5">
        <w:rPr>
          <w:rFonts w:ascii="Book Antiqua" w:hAnsi="Book Antiqua" w:cs="Arial"/>
        </w:rPr>
        <w:t xml:space="preserve"> </w:t>
      </w:r>
    </w:p>
    <w:p w14:paraId="2AA259AE" w14:textId="21474868" w:rsidR="00A3784F" w:rsidRPr="002E78B5" w:rsidRDefault="00D91C0C" w:rsidP="006C577E">
      <w:pPr>
        <w:snapToGrid w:val="0"/>
        <w:spacing w:line="360" w:lineRule="auto"/>
        <w:ind w:firstLineChars="100" w:firstLine="240"/>
        <w:jc w:val="both"/>
        <w:rPr>
          <w:rFonts w:ascii="Book Antiqua" w:hAnsi="Book Antiqua" w:cs="Arial"/>
        </w:rPr>
      </w:pPr>
      <w:r w:rsidRPr="002E78B5">
        <w:rPr>
          <w:rFonts w:ascii="Book Antiqua" w:hAnsi="Book Antiqua" w:cs="Arial"/>
        </w:rPr>
        <w:t xml:space="preserve">It is also important to note that up to nineteen percent of patients with </w:t>
      </w:r>
      <w:r w:rsidR="00D011DD">
        <w:rPr>
          <w:rFonts w:ascii="Book Antiqua" w:hAnsi="Book Antiqua" w:cs="Arial"/>
        </w:rPr>
        <w:t>IBD</w:t>
      </w:r>
      <w:r w:rsidRPr="002E78B5">
        <w:rPr>
          <w:rFonts w:ascii="Book Antiqua" w:hAnsi="Book Antiqua" w:cs="Arial"/>
        </w:rPr>
        <w:t xml:space="preserve"> treated at a referral centre may be readmitted within 30 d</w:t>
      </w:r>
      <w:r w:rsidRPr="002E78B5">
        <w:rPr>
          <w:rFonts w:ascii="Book Antiqua" w:hAnsi="Book Antiqua" w:cs="Arial"/>
        </w:rPr>
        <w:fldChar w:fldCharType="begin" w:fldLock="1"/>
      </w:r>
      <w:r w:rsidR="00DA0904" w:rsidRPr="002E78B5">
        <w:rPr>
          <w:rFonts w:ascii="Book Antiqua" w:hAnsi="Book Antiqua" w:cs="Arial"/>
        </w:rPr>
        <w:instrText>ADDIN CSL_CITATION {"citationItems":[{"id":"ITEM-1","itemData":{"DOI":"10.1097/MIB.0000000000001213","ISSN":"1536-4844 (Electronic)","PMID":"28837523","abstract":"BACKGROUND: Readmissions are being increasingly used as an indicator of quality of care. We sought to identify risk factors for 30-day readmission in hospitalized patients with inflammatory bowel disease. METHODS: Patients with inflammatory bowel disease hospitalized between 2004 and 2013 at the University of Maryland were identified. Demographic and clinical information were extracted from the medical record for each admission. Multivariate logistic regression was performed to determine the association between these variables and readmission. RESULTS: One thousand two hundred thirteen admissions were identified in 498 patients; 232 (19.1%) index admissions were followed by a 30-day readmission. Mean age was 39.4 +/- 14.5 years. Approximately 70% of the population was white, 60% were women, and 67.5% had Crohn's disease. Concurrent congestive heart failure and chronic obstructive pulmonary disease, history of steroid use, diverting ileostomy, subtotal colectomy, or a thromboembolic event during index admission, and IV antibiotics or restricted diet at discharge were associated with readmission. After adjustment, patients with congestive heart failure or chronic obstructive pulmonary disease were more likely to be readmitted (aOR 4.06 and 2.86, respectively). Underweight or obese patients were nearly twice as likely to be readmitted (aOR 1.81 and 1.72, respectively). Those with past steroid use, new ileostomy, or those who were discharged on hyperalimentation were twice as likely to be readmitted (aOR 1.90, 2.04, and aOR 1.97, respectively). CONCLUSIONS: Nineteen percentage of patients with inflammatory bowel disease treated at a referral center are readmitted within 30 days. Our results suggest that patients with comorbid medical conditions, malnutrition or obesity, a new ileostomy, past steroid use, or those discharged on hyperalimentation are at increased risk for readmission. Research is needed to determine if targeted interventions for high-risk patients decreases readmissions.","author":[{"dropping-particle":"","family":"Christian","given":"Kaci E","non-dropping-particle":"","parse-names":false,"suffix":""},{"dropping-particle":"","family":"Jambaulikar","given":"Guruprasad D","non-dropping-particle":"","parse-names":false,"suffix":""},{"dropping-particle":"","family":"Hagan","given":"Matilda N","non-dropping-particle":"","parse-names":false,"suffix":""},{"dropping-particle":"","family":"Syed","given":"Ali M","non-dropping-particle":"","parse-names":false,"suffix":""},{"dropping-particle":"","family":"Briscoe","given":"Jessica A","non-dropping-particle":"","parse-names":false,"suffix":""},{"dropping-particle":"","family":"Brown","given":"Sara A","non-dropping-particle":"","parse-names":false,"suffix":""},{"dropping-particle":"","family":"Campbell","given":"Earl V 3rd","non-dropping-particle":"","parse-names":false,"suffix":""},{"dropping-particle":"","family":"Gadani","given":"Akash B","non-dropping-particle":"","parse-names":false,"suffix":""},{"dropping-particle":"","family":"Cross","given":"Raymond K","non-dropping-particle":"","parse-names":false,"suffix":""}],"container-title":"Inflammatory bowel diseases","id":"ITEM-1","issued":{"date-parts":[["2017"]]},"title":"Predictors of Early Readmission in Hospitalized Patients with Inflammatory Bowel  Disease.","type":"article-journal"},"uris":["http://www.mendeley.com/documents/?uuid=bd3dff66-ea4e-496c-a688-fc927dddbb7d"]}],"mendeley":{"formattedCitation":"&lt;sup&gt;[31]&lt;/sup&gt;","plainTextFormattedCitation":"[31]","previouslyFormattedCitation":"&lt;sup&gt;[31]&lt;/sup&gt;"},"properties":{"noteIndex":0},"schema":"https://github.com/citation-style-language/schema/raw/master/csl-citation.json"}</w:instrText>
      </w:r>
      <w:r w:rsidRPr="002E78B5">
        <w:rPr>
          <w:rFonts w:ascii="Book Antiqua" w:hAnsi="Book Antiqua" w:cs="Arial"/>
        </w:rPr>
        <w:fldChar w:fldCharType="separate"/>
      </w:r>
      <w:r w:rsidR="00DA0904" w:rsidRPr="002E78B5">
        <w:rPr>
          <w:rFonts w:ascii="Book Antiqua" w:hAnsi="Book Antiqua" w:cs="Arial"/>
          <w:noProof/>
          <w:vertAlign w:val="superscript"/>
        </w:rPr>
        <w:t>[31]</w:t>
      </w:r>
      <w:r w:rsidRPr="002E78B5">
        <w:rPr>
          <w:rFonts w:ascii="Book Antiqua" w:hAnsi="Book Antiqua" w:cs="Arial"/>
        </w:rPr>
        <w:fldChar w:fldCharType="end"/>
      </w:r>
      <w:r w:rsidRPr="002E78B5">
        <w:rPr>
          <w:rFonts w:ascii="Book Antiqua" w:hAnsi="Book Antiqua" w:cs="Arial"/>
        </w:rPr>
        <w:t xml:space="preserve">. </w:t>
      </w:r>
      <w:r w:rsidR="005B2947" w:rsidRPr="002E78B5">
        <w:rPr>
          <w:rFonts w:ascii="Book Antiqua" w:hAnsi="Book Antiqua" w:cs="Arial"/>
        </w:rPr>
        <w:t>S</w:t>
      </w:r>
      <w:r w:rsidRPr="002E78B5">
        <w:rPr>
          <w:rFonts w:ascii="Book Antiqua" w:hAnsi="Book Antiqua" w:cs="Arial"/>
        </w:rPr>
        <w:t xml:space="preserve">ome patients may re-present to a different organisation </w:t>
      </w:r>
      <w:r w:rsidR="005B2947" w:rsidRPr="002E78B5">
        <w:rPr>
          <w:rFonts w:ascii="Book Antiqua" w:hAnsi="Book Antiqua" w:cs="Arial"/>
        </w:rPr>
        <w:t>than</w:t>
      </w:r>
      <w:r w:rsidRPr="002E78B5">
        <w:rPr>
          <w:rFonts w:ascii="Book Antiqua" w:hAnsi="Book Antiqua" w:cs="Arial"/>
        </w:rPr>
        <w:t xml:space="preserve"> the previous provider, and these presentations may not be identified by those hospitals as readmissions. A lack of comprehensive, recent information regarding the patient may impact negatively on care and reduce the likelihood of avoiding preventable admission.</w:t>
      </w:r>
    </w:p>
    <w:p w14:paraId="315741E7" w14:textId="77777777" w:rsidR="00A3784F" w:rsidRPr="002E78B5" w:rsidRDefault="00A3784F" w:rsidP="006C577E">
      <w:pPr>
        <w:snapToGrid w:val="0"/>
        <w:spacing w:line="360" w:lineRule="auto"/>
        <w:jc w:val="both"/>
        <w:rPr>
          <w:rFonts w:ascii="Book Antiqua" w:hAnsi="Book Antiqua" w:cs="Arial"/>
        </w:rPr>
      </w:pPr>
    </w:p>
    <w:p w14:paraId="2B412E4D" w14:textId="119A74F1" w:rsidR="0053316F" w:rsidRPr="002E78B5" w:rsidRDefault="00CE292D" w:rsidP="006C577E">
      <w:pPr>
        <w:snapToGrid w:val="0"/>
        <w:spacing w:line="360" w:lineRule="auto"/>
        <w:jc w:val="both"/>
        <w:rPr>
          <w:rFonts w:ascii="Book Antiqua" w:hAnsi="Book Antiqua" w:cs="Arial"/>
          <w:b/>
          <w:i/>
        </w:rPr>
      </w:pPr>
      <w:r w:rsidRPr="002E78B5">
        <w:rPr>
          <w:rFonts w:ascii="Book Antiqua" w:hAnsi="Book Antiqua" w:cs="Arial"/>
          <w:b/>
          <w:i/>
        </w:rPr>
        <w:t>Transitions of care between specialty services</w:t>
      </w:r>
    </w:p>
    <w:p w14:paraId="7E9A0D85" w14:textId="5F5D10F9" w:rsidR="00A3784F" w:rsidRPr="002E78B5" w:rsidRDefault="007C3C32" w:rsidP="006C577E">
      <w:pPr>
        <w:snapToGrid w:val="0"/>
        <w:spacing w:line="360" w:lineRule="auto"/>
        <w:jc w:val="both"/>
        <w:rPr>
          <w:rFonts w:ascii="Book Antiqua" w:hAnsi="Book Antiqua" w:cs="Arial"/>
        </w:rPr>
      </w:pPr>
      <w:r w:rsidRPr="002E78B5">
        <w:rPr>
          <w:rFonts w:ascii="Book Antiqua" w:hAnsi="Book Antiqua" w:cs="Arial"/>
        </w:rPr>
        <w:t>Improving communicatio</w:t>
      </w:r>
      <w:r w:rsidR="000123EE" w:rsidRPr="002E78B5">
        <w:rPr>
          <w:rFonts w:ascii="Book Antiqua" w:hAnsi="Book Antiqua" w:cs="Arial"/>
        </w:rPr>
        <w:t>n and coordination between specialty</w:t>
      </w:r>
      <w:r w:rsidRPr="002E78B5">
        <w:rPr>
          <w:rFonts w:ascii="Book Antiqua" w:hAnsi="Book Antiqua" w:cs="Arial"/>
        </w:rPr>
        <w:t xml:space="preserve"> services may reduce fragmentation of care and improve continuity for </w:t>
      </w:r>
      <w:r w:rsidR="000123EE" w:rsidRPr="002E78B5">
        <w:rPr>
          <w:rFonts w:ascii="Book Antiqua" w:hAnsi="Book Antiqua" w:cs="Arial"/>
        </w:rPr>
        <w:t xml:space="preserve">IBD </w:t>
      </w:r>
      <w:r w:rsidRPr="002E78B5">
        <w:rPr>
          <w:rFonts w:ascii="Book Antiqua" w:hAnsi="Book Antiqua" w:cs="Arial"/>
        </w:rPr>
        <w:t>patients.</w:t>
      </w:r>
      <w:r w:rsidR="0053316F" w:rsidRPr="002E78B5">
        <w:rPr>
          <w:rFonts w:ascii="Book Antiqua" w:hAnsi="Book Antiqua" w:cs="Arial"/>
        </w:rPr>
        <w:t xml:space="preserve"> </w:t>
      </w:r>
      <w:r w:rsidRPr="002E78B5">
        <w:rPr>
          <w:rFonts w:ascii="Book Antiqua" w:hAnsi="Book Antiqua" w:cs="Arial"/>
        </w:rPr>
        <w:t>S</w:t>
      </w:r>
      <w:r w:rsidR="0053316F" w:rsidRPr="002E78B5">
        <w:rPr>
          <w:rFonts w:ascii="Book Antiqua" w:hAnsi="Book Antiqua" w:cs="Arial"/>
        </w:rPr>
        <w:t xml:space="preserve">pecialty services accessed </w:t>
      </w:r>
      <w:r w:rsidR="007D60FF" w:rsidRPr="002E78B5">
        <w:rPr>
          <w:rFonts w:ascii="Book Antiqua" w:hAnsi="Book Antiqua" w:cs="Arial"/>
        </w:rPr>
        <w:t>by</w:t>
      </w:r>
      <w:r w:rsidRPr="002E78B5">
        <w:rPr>
          <w:rFonts w:ascii="Book Antiqua" w:hAnsi="Book Antiqua" w:cs="Arial"/>
        </w:rPr>
        <w:t xml:space="preserve"> IBD</w:t>
      </w:r>
      <w:r w:rsidR="007D60FF" w:rsidRPr="002E78B5">
        <w:rPr>
          <w:rFonts w:ascii="Book Antiqua" w:hAnsi="Book Antiqua" w:cs="Arial"/>
        </w:rPr>
        <w:t xml:space="preserve"> patients</w:t>
      </w:r>
      <w:r w:rsidRPr="002E78B5">
        <w:rPr>
          <w:rFonts w:ascii="Book Antiqua" w:hAnsi="Book Antiqua" w:cs="Arial"/>
        </w:rPr>
        <w:t xml:space="preserve"> in this study</w:t>
      </w:r>
      <w:r w:rsidR="0053316F" w:rsidRPr="002E78B5">
        <w:rPr>
          <w:rFonts w:ascii="Book Antiqua" w:hAnsi="Book Antiqua" w:cs="Arial"/>
        </w:rPr>
        <w:t xml:space="preserve"> reveals a broad range </w:t>
      </w:r>
      <w:r w:rsidR="005B2947" w:rsidRPr="002E78B5">
        <w:rPr>
          <w:rFonts w:ascii="Book Antiqua" w:hAnsi="Book Antiqua" w:cs="Arial"/>
        </w:rPr>
        <w:t xml:space="preserve">of </w:t>
      </w:r>
      <w:r w:rsidR="0053316F" w:rsidRPr="002E78B5">
        <w:rPr>
          <w:rFonts w:ascii="Book Antiqua" w:hAnsi="Book Antiqua" w:cs="Arial"/>
        </w:rPr>
        <w:t xml:space="preserve">services </w:t>
      </w:r>
      <w:r w:rsidR="006B068B" w:rsidRPr="002E78B5">
        <w:rPr>
          <w:rFonts w:ascii="Book Antiqua" w:hAnsi="Book Antiqua" w:cs="Arial"/>
        </w:rPr>
        <w:t>covering intraluminal and extra</w:t>
      </w:r>
      <w:r w:rsidR="0053316F" w:rsidRPr="002E78B5">
        <w:rPr>
          <w:rFonts w:ascii="Book Antiqua" w:hAnsi="Book Antiqua" w:cs="Arial"/>
        </w:rPr>
        <w:t>luminal</w:t>
      </w:r>
      <w:r w:rsidRPr="002E78B5">
        <w:rPr>
          <w:rFonts w:ascii="Book Antiqua" w:hAnsi="Book Antiqua" w:cs="Arial"/>
        </w:rPr>
        <w:t xml:space="preserve"> disease</w:t>
      </w:r>
      <w:r w:rsidR="007D60FF" w:rsidRPr="002E78B5">
        <w:rPr>
          <w:rFonts w:ascii="Book Antiqua" w:hAnsi="Book Antiqua" w:cs="Arial"/>
        </w:rPr>
        <w:t>. Clearly there is a need for effective information exchange between gastroenterology and general and colorectal surgical services with significant overlap between these specialties in the care of IBD patients. Previous studies estimate that a</w:t>
      </w:r>
      <w:r w:rsidR="0053316F" w:rsidRPr="002E78B5">
        <w:rPr>
          <w:rFonts w:ascii="Book Antiqua" w:hAnsi="Book Antiqua" w:cs="Arial"/>
        </w:rPr>
        <w:t>pproximately 10% of IBD patients experience eye problems such as uveitis, keratopa</w:t>
      </w:r>
      <w:r w:rsidR="001D47FA">
        <w:rPr>
          <w:rFonts w:ascii="Book Antiqua" w:hAnsi="Book Antiqua" w:cs="Arial"/>
        </w:rPr>
        <w:t>thy, episcleritis and dry eyes</w:t>
      </w:r>
      <w:r w:rsidR="00FD7D68" w:rsidRPr="002E78B5">
        <w:rPr>
          <w:rFonts w:ascii="Book Antiqua" w:hAnsi="Book Antiqua" w:cs="Arial"/>
        </w:rPr>
        <w:fldChar w:fldCharType="begin" w:fldLock="1"/>
      </w:r>
      <w:r w:rsidR="00DA0904" w:rsidRPr="002E78B5">
        <w:rPr>
          <w:rFonts w:ascii="Book Antiqua" w:hAnsi="Book Antiqua" w:cs="Arial"/>
        </w:rPr>
        <w:instrText>ADDIN CSL_CITATION {"citationItems":[{"id":"ITEM-1","itemData":{"DOI":"10.1016/j.survophthal.2003.08.004","ISBN":"0039-6257","ISSN":"00396257","PMID":"14609712","abstract":"Inflammatory bowel disease includes Crohn's disease and ulcerative colitis, and is characterized by chronic inflammation of the intestines. The advances in understanding of the inflammatory process have resulted in improved treatment of inflammatory bowel disease. The systemic complications of inflammatory bowel disease involve many organs, eyes included. The ophthalmic complications are usually of inflammatory origin. Some of these complications, like scleritis, may reflect overall disease activity. Treatment of intestinal inflammation - either medical or surgical - usually helps resolution of ophthalmic complications. This review describes recent developments in the diagnosis and management of the inflammatory bowel disease and its ophthalmic complications. © 2003 Elsevier Inc. All rights reserved.","author":[{"dropping-particle":"","family":"Ghanchi","given":"Faruque D.","non-dropping-particle":"","parse-names":false,"suffix":""},{"dropping-particle":"","family":"Rembacken","given":"Bjorn J.","non-dropping-particle":"","parse-names":false,"suffix":""}],"container-title":"Survey of Ophthalmology","id":"ITEM-1","issue":"6","issued":{"date-parts":[["2003"]]},"page":"663-676","title":"Inflammatory bowel disease and the eye","type":"article","volume":"48"},"uris":["http://www.mendeley.com/documents/?uuid=c52db2ff-3ce6-4c49-94a7-9bca1beaa3b7"]}],"mendeley":{"formattedCitation":"&lt;sup&gt;[32]&lt;/sup&gt;","plainTextFormattedCitation":"[32]","previouslyFormattedCitation":"&lt;sup&gt;[32]&lt;/sup&gt;"},"properties":{"noteIndex":0},"schema":"https://github.com/citation-style-language/schema/raw/master/csl-citation.json"}</w:instrText>
      </w:r>
      <w:r w:rsidR="00FD7D68" w:rsidRPr="002E78B5">
        <w:rPr>
          <w:rFonts w:ascii="Book Antiqua" w:hAnsi="Book Antiqua" w:cs="Arial"/>
        </w:rPr>
        <w:fldChar w:fldCharType="separate"/>
      </w:r>
      <w:r w:rsidR="00DA0904" w:rsidRPr="002E78B5">
        <w:rPr>
          <w:rFonts w:ascii="Book Antiqua" w:hAnsi="Book Antiqua" w:cs="Arial"/>
          <w:noProof/>
          <w:vertAlign w:val="superscript"/>
        </w:rPr>
        <w:t>[32</w:t>
      </w:r>
      <w:r w:rsidR="001D47FA">
        <w:rPr>
          <w:rFonts w:ascii="Book Antiqua" w:hAnsi="Book Antiqua" w:cs="Arial" w:hint="eastAsia"/>
          <w:noProof/>
          <w:vertAlign w:val="superscript"/>
          <w:lang w:eastAsia="zh-CN"/>
        </w:rPr>
        <w:t>,33</w:t>
      </w:r>
      <w:r w:rsidR="00DA0904" w:rsidRPr="002E78B5">
        <w:rPr>
          <w:rFonts w:ascii="Book Antiqua" w:hAnsi="Book Antiqua" w:cs="Arial"/>
          <w:noProof/>
          <w:vertAlign w:val="superscript"/>
        </w:rPr>
        <w:t>]</w:t>
      </w:r>
      <w:r w:rsidR="00FD7D68" w:rsidRPr="002E78B5">
        <w:rPr>
          <w:rFonts w:ascii="Book Antiqua" w:hAnsi="Book Antiqua" w:cs="Arial"/>
        </w:rPr>
        <w:fldChar w:fldCharType="end"/>
      </w:r>
      <w:r w:rsidR="001D47FA" w:rsidRPr="002E78B5">
        <w:rPr>
          <w:rFonts w:ascii="Book Antiqua" w:hAnsi="Book Antiqua" w:cs="Arial"/>
        </w:rPr>
        <w:t xml:space="preserve"> </w:t>
      </w:r>
      <w:r w:rsidR="00FD7D68" w:rsidRPr="002E78B5">
        <w:rPr>
          <w:rFonts w:ascii="Book Antiqua" w:hAnsi="Book Antiqua" w:cs="Arial"/>
        </w:rPr>
        <w:t xml:space="preserve">which may contribute, in part to the </w:t>
      </w:r>
      <w:r w:rsidR="00A42E01" w:rsidRPr="002E78B5">
        <w:rPr>
          <w:rFonts w:ascii="Book Antiqua" w:hAnsi="Book Antiqua" w:cs="Arial"/>
        </w:rPr>
        <w:t>frequent</w:t>
      </w:r>
      <w:r w:rsidR="0053316F" w:rsidRPr="002E78B5">
        <w:rPr>
          <w:rFonts w:ascii="Book Antiqua" w:hAnsi="Book Antiqua" w:cs="Arial"/>
        </w:rPr>
        <w:t xml:space="preserve"> </w:t>
      </w:r>
      <w:r w:rsidR="00FD7D68" w:rsidRPr="002E78B5">
        <w:rPr>
          <w:rFonts w:ascii="Book Antiqua" w:hAnsi="Book Antiqua" w:cs="Arial"/>
        </w:rPr>
        <w:t xml:space="preserve">usage of </w:t>
      </w:r>
      <w:r w:rsidR="0053316F" w:rsidRPr="002E78B5">
        <w:rPr>
          <w:rFonts w:ascii="Book Antiqua" w:hAnsi="Book Antiqua" w:cs="Arial"/>
        </w:rPr>
        <w:t xml:space="preserve">ophthalmology </w:t>
      </w:r>
      <w:r w:rsidR="00FD7D68" w:rsidRPr="002E78B5">
        <w:rPr>
          <w:rFonts w:ascii="Book Antiqua" w:hAnsi="Book Antiqua" w:cs="Arial"/>
        </w:rPr>
        <w:t xml:space="preserve">services by patients in this study. Likewise, </w:t>
      </w:r>
      <w:r w:rsidR="005F11C4" w:rsidRPr="002E78B5">
        <w:rPr>
          <w:rFonts w:ascii="Book Antiqua" w:hAnsi="Book Antiqua" w:cs="Arial"/>
        </w:rPr>
        <w:t xml:space="preserve">rheumatology and </w:t>
      </w:r>
      <w:r w:rsidR="007D60FF" w:rsidRPr="002E78B5">
        <w:rPr>
          <w:rFonts w:ascii="Book Antiqua" w:hAnsi="Book Antiqua" w:cs="Arial"/>
        </w:rPr>
        <w:t xml:space="preserve">dermatology </w:t>
      </w:r>
      <w:r w:rsidR="005F11C4" w:rsidRPr="002E78B5">
        <w:rPr>
          <w:rFonts w:ascii="Book Antiqua" w:hAnsi="Book Antiqua" w:cs="Arial"/>
        </w:rPr>
        <w:t>were</w:t>
      </w:r>
      <w:r w:rsidR="007D60FF" w:rsidRPr="002E78B5">
        <w:rPr>
          <w:rFonts w:ascii="Book Antiqua" w:hAnsi="Book Antiqua" w:cs="Arial"/>
        </w:rPr>
        <w:t xml:space="preserve"> </w:t>
      </w:r>
      <w:r w:rsidR="005F11C4" w:rsidRPr="002E78B5">
        <w:rPr>
          <w:rFonts w:ascii="Book Antiqua" w:hAnsi="Book Antiqua" w:cs="Arial"/>
        </w:rPr>
        <w:t>some</w:t>
      </w:r>
      <w:r w:rsidR="007D60FF" w:rsidRPr="002E78B5">
        <w:rPr>
          <w:rFonts w:ascii="Book Antiqua" w:hAnsi="Book Antiqua" w:cs="Arial"/>
        </w:rPr>
        <w:t xml:space="preserve"> of the most common outpatient specialty services accessed by </w:t>
      </w:r>
      <w:r w:rsidR="00A42E01" w:rsidRPr="002E78B5">
        <w:rPr>
          <w:rFonts w:ascii="Book Antiqua" w:hAnsi="Book Antiqua" w:cs="Arial"/>
        </w:rPr>
        <w:t>patients in this study and may r</w:t>
      </w:r>
      <w:r w:rsidR="005F11C4" w:rsidRPr="002E78B5">
        <w:rPr>
          <w:rFonts w:ascii="Book Antiqua" w:hAnsi="Book Antiqua" w:cs="Arial"/>
        </w:rPr>
        <w:t xml:space="preserve">eflect the increased predisposition to rheumatology and </w:t>
      </w:r>
      <w:r w:rsidR="00A42E01" w:rsidRPr="002E78B5">
        <w:rPr>
          <w:rFonts w:ascii="Book Antiqua" w:hAnsi="Book Antiqua" w:cs="Arial"/>
        </w:rPr>
        <w:t xml:space="preserve">skin disease in </w:t>
      </w:r>
      <w:r w:rsidR="007D60FF" w:rsidRPr="002E78B5">
        <w:rPr>
          <w:rFonts w:ascii="Book Antiqua" w:hAnsi="Book Antiqua" w:cs="Arial"/>
        </w:rPr>
        <w:t>IBD patients</w:t>
      </w:r>
      <w:r w:rsidR="005F11C4" w:rsidRPr="002E78B5">
        <w:rPr>
          <w:rFonts w:ascii="Book Antiqua" w:hAnsi="Book Antiqua" w:cs="Arial"/>
        </w:rPr>
        <w:fldChar w:fldCharType="begin" w:fldLock="1"/>
      </w:r>
      <w:r w:rsidR="00DA0904" w:rsidRPr="002E78B5">
        <w:rPr>
          <w:rFonts w:ascii="Book Antiqua" w:hAnsi="Book Antiqua" w:cs="Arial"/>
        </w:rPr>
        <w:instrText>ADDIN CSL_CITATION {"citationItems":[{"id":"ITEM-1","itemData":{"DOI":"10.1016/j.dld.2005.09.020","ISBN":"1590-8658","ISSN":"15908658","PMID":"16280267","abstract":"There are several areas of overlap between gastroenterology and rheumatology, some related to the side effects of drugs but others related to the similarities in probable pathogenic mechanisms and treatments. This is best illustrated by comparison between inflammatory bowel disease and rheumatoid arthritis-conditions of uncertain aetiology that are due to a combination of genetic and environmental factors and are associated with chronic inflammation in the absence of any clearly recognisable pathogen. Medical research is increasingly specialised but careful comparison of the relevant gastroenterological and rheumatological literatures suggests several common areas that are worthy of greater attention than they are currently receiving. These could include studies to address the following questions: (1) What are the functional and antigen-binding differences of the HLA class II alleles that are differently associated with rheumatoid arthritis and ulcerative colitis? (2) Why are both Crohn's disease and rheumatoid arthritis associated with smoking, yet, with one condition (Crohn's disease) increasing recently in incidence and the other (rheumatoid arthritis) becoming less common? (3) Which genetic and/or environmental factors distinguish the Turkish patients with HLA-B51-associated Behcet's disease who tend not to develop colitis and the Japanese patients with HLA-B51-associated Behcet's disease who develop colitis? (4) Is pANCA directly involved in the pathogenesis of ulcerative colitis-given evidence of its direct involvement in the pathogenesis of vasculitis? (5) Given the arguably greater similarity between rheumatoid arthritis and ulcerative colitis than with Crohn's disease, is etanercept effective in ulcerative colitis? (6) Do the very different risks of cancer in chronically inflamed colon and inflamed joints imply that cancer development requires both NFkappaB activation, to inhibit apoptosis, and the presence of agents, such as bacteria, to initiate DNA damage? © 2005 Editrice Gastroenterologica Italiana S.r.l.","author":[{"dropping-particle":"","family":"Rhodes","given":"J. M.","non-dropping-particle":"","parse-names":false,"suffix":""},{"dropping-particle":"","family":"Collins","given":"P.","non-dropping-particle":"","parse-names":false,"suffix":""}],"container-title":"Digestive and Liver Disease","id":"ITEM-1","issue":"3","issued":{"date-parts":[["2006"]]},"page":"157-162","title":"Lessons for inflammatory bowel disease from rheumatology","type":"article","volume":"38"},"uris":["http://www.mendeley.com/documents/?uuid=3433bcc9-f7a3-4942-928b-562dc4ebb71b"]}],"mendeley":{"formattedCitation":"&lt;sup&gt;[34]&lt;/sup&gt;","plainTextFormattedCitation":"[34]","previouslyFormattedCitation":"&lt;sup&gt;[34]&lt;/sup&gt;"},"properties":{"noteIndex":0},"schema":"https://github.com/citation-style-language/schema/raw/master/csl-citation.json"}</w:instrText>
      </w:r>
      <w:r w:rsidR="005F11C4" w:rsidRPr="002E78B5">
        <w:rPr>
          <w:rFonts w:ascii="Book Antiqua" w:hAnsi="Book Antiqua" w:cs="Arial"/>
        </w:rPr>
        <w:fldChar w:fldCharType="separate"/>
      </w:r>
      <w:r w:rsidR="00DA0904" w:rsidRPr="002E78B5">
        <w:rPr>
          <w:rFonts w:ascii="Book Antiqua" w:hAnsi="Book Antiqua" w:cs="Arial"/>
          <w:noProof/>
          <w:vertAlign w:val="superscript"/>
        </w:rPr>
        <w:t>[</w:t>
      </w:r>
      <w:r w:rsidR="001D47FA">
        <w:rPr>
          <w:rFonts w:ascii="Book Antiqua" w:hAnsi="Book Antiqua" w:cs="Arial" w:hint="eastAsia"/>
          <w:noProof/>
          <w:vertAlign w:val="superscript"/>
          <w:lang w:eastAsia="zh-CN"/>
        </w:rPr>
        <w:t>10,</w:t>
      </w:r>
      <w:r w:rsidR="00DA0904" w:rsidRPr="002E78B5">
        <w:rPr>
          <w:rFonts w:ascii="Book Antiqua" w:hAnsi="Book Antiqua" w:cs="Arial"/>
          <w:noProof/>
          <w:vertAlign w:val="superscript"/>
        </w:rPr>
        <w:t>34</w:t>
      </w:r>
      <w:r w:rsidR="001D47FA">
        <w:rPr>
          <w:rFonts w:ascii="Book Antiqua" w:hAnsi="Book Antiqua" w:cs="Arial" w:hint="eastAsia"/>
          <w:noProof/>
          <w:vertAlign w:val="superscript"/>
          <w:lang w:eastAsia="zh-CN"/>
        </w:rPr>
        <w:t>-36</w:t>
      </w:r>
      <w:r w:rsidR="00DA0904" w:rsidRPr="002E78B5">
        <w:rPr>
          <w:rFonts w:ascii="Book Antiqua" w:hAnsi="Book Antiqua" w:cs="Arial"/>
          <w:noProof/>
          <w:vertAlign w:val="superscript"/>
        </w:rPr>
        <w:t>]</w:t>
      </w:r>
      <w:r w:rsidR="005F11C4" w:rsidRPr="002E78B5">
        <w:rPr>
          <w:rFonts w:ascii="Book Antiqua" w:hAnsi="Book Antiqua" w:cs="Arial"/>
        </w:rPr>
        <w:fldChar w:fldCharType="end"/>
      </w:r>
      <w:r w:rsidR="00283B17" w:rsidRPr="002E78B5">
        <w:rPr>
          <w:rFonts w:ascii="Book Antiqua" w:hAnsi="Book Antiqua" w:cs="Arial"/>
        </w:rPr>
        <w:t>.</w:t>
      </w:r>
    </w:p>
    <w:p w14:paraId="7705A771" w14:textId="77777777" w:rsidR="00A3784F" w:rsidRPr="002E78B5" w:rsidRDefault="00A3784F" w:rsidP="006C577E">
      <w:pPr>
        <w:snapToGrid w:val="0"/>
        <w:spacing w:line="360" w:lineRule="auto"/>
        <w:jc w:val="both"/>
        <w:rPr>
          <w:rFonts w:ascii="Book Antiqua" w:hAnsi="Book Antiqua" w:cs="Arial"/>
        </w:rPr>
      </w:pPr>
    </w:p>
    <w:p w14:paraId="1CEC9B3A" w14:textId="6D84F121" w:rsidR="00A3784F" w:rsidRPr="002E78B5" w:rsidRDefault="00A3784F" w:rsidP="006C577E">
      <w:pPr>
        <w:snapToGrid w:val="0"/>
        <w:spacing w:line="360" w:lineRule="auto"/>
        <w:jc w:val="both"/>
        <w:rPr>
          <w:rFonts w:ascii="Book Antiqua" w:hAnsi="Book Antiqua" w:cs="Arial"/>
          <w:b/>
          <w:i/>
        </w:rPr>
      </w:pPr>
      <w:r w:rsidRPr="002E78B5">
        <w:rPr>
          <w:rFonts w:ascii="Book Antiqua" w:hAnsi="Book Antiqua" w:cs="Arial"/>
          <w:b/>
          <w:i/>
        </w:rPr>
        <w:t>Age-related differences in care access</w:t>
      </w:r>
    </w:p>
    <w:p w14:paraId="3C0BCCA6" w14:textId="74943A16" w:rsidR="00A3784F" w:rsidRPr="002E78B5" w:rsidRDefault="00A3784F" w:rsidP="006C577E">
      <w:pPr>
        <w:snapToGrid w:val="0"/>
        <w:spacing w:line="360" w:lineRule="auto"/>
        <w:jc w:val="both"/>
        <w:rPr>
          <w:rFonts w:ascii="Book Antiqua" w:hAnsi="Book Antiqua" w:cs="Arial"/>
        </w:rPr>
      </w:pPr>
      <w:r w:rsidRPr="002E78B5">
        <w:rPr>
          <w:rFonts w:ascii="Book Antiqua" w:hAnsi="Book Antiqua" w:cs="Arial"/>
        </w:rPr>
        <w:t xml:space="preserve">Some differences were seen in the proportion of ‘home provider’ care accessed by IBD patients across </w:t>
      </w:r>
      <w:r w:rsidR="00CE24E4" w:rsidRPr="002E78B5">
        <w:rPr>
          <w:rFonts w:ascii="Book Antiqua" w:hAnsi="Book Antiqua" w:cs="Arial"/>
        </w:rPr>
        <w:t>ages</w:t>
      </w:r>
      <w:r w:rsidRPr="002E78B5">
        <w:rPr>
          <w:rFonts w:ascii="Book Antiqua" w:hAnsi="Book Antiqua" w:cs="Arial"/>
        </w:rPr>
        <w:t xml:space="preserve">. </w:t>
      </w:r>
      <w:r w:rsidR="00545E4F" w:rsidRPr="002E78B5">
        <w:rPr>
          <w:rFonts w:ascii="Book Antiqua" w:hAnsi="Book Antiqua" w:cs="Arial"/>
        </w:rPr>
        <w:t xml:space="preserve">Younger patients had a </w:t>
      </w:r>
      <w:r w:rsidR="00CE24E4" w:rsidRPr="002E78B5">
        <w:rPr>
          <w:rFonts w:ascii="Book Antiqua" w:hAnsi="Book Antiqua" w:cs="Arial"/>
        </w:rPr>
        <w:t xml:space="preserve">significantly </w:t>
      </w:r>
      <w:r w:rsidR="00545E4F" w:rsidRPr="002E78B5">
        <w:rPr>
          <w:rFonts w:ascii="Book Antiqua" w:hAnsi="Book Antiqua" w:cs="Arial"/>
        </w:rPr>
        <w:t>lower</w:t>
      </w:r>
      <w:r w:rsidRPr="002E78B5">
        <w:rPr>
          <w:rFonts w:ascii="Book Antiqua" w:hAnsi="Book Antiqua" w:cs="Arial"/>
        </w:rPr>
        <w:t xml:space="preserve"> proportion </w:t>
      </w:r>
      <w:r w:rsidR="00545E4F" w:rsidRPr="002E78B5">
        <w:rPr>
          <w:rFonts w:ascii="Book Antiqua" w:hAnsi="Book Antiqua" w:cs="Arial"/>
        </w:rPr>
        <w:t xml:space="preserve">of </w:t>
      </w:r>
      <w:r w:rsidRPr="002E78B5">
        <w:rPr>
          <w:rFonts w:ascii="Book Antiqua" w:hAnsi="Book Antiqua" w:cs="Arial"/>
        </w:rPr>
        <w:lastRenderedPageBreak/>
        <w:t>care ev</w:t>
      </w:r>
      <w:r w:rsidR="00545E4F" w:rsidRPr="002E78B5">
        <w:rPr>
          <w:rFonts w:ascii="Book Antiqua" w:hAnsi="Book Antiqua" w:cs="Arial"/>
        </w:rPr>
        <w:t>ents with their ‘home provider’</w:t>
      </w:r>
      <w:r w:rsidRPr="002E78B5">
        <w:rPr>
          <w:rFonts w:ascii="Book Antiqua" w:hAnsi="Book Antiqua" w:cs="Arial"/>
        </w:rPr>
        <w:t>.</w:t>
      </w:r>
      <w:r w:rsidR="00CE24E4" w:rsidRPr="002E78B5">
        <w:rPr>
          <w:rFonts w:ascii="Book Antiqua" w:hAnsi="Book Antiqua" w:cs="Arial"/>
        </w:rPr>
        <w:t xml:space="preserve"> These differences were most </w:t>
      </w:r>
      <w:r w:rsidR="00C43078" w:rsidRPr="002E78B5">
        <w:rPr>
          <w:rFonts w:ascii="Book Antiqua" w:hAnsi="Book Antiqua" w:cs="Arial"/>
        </w:rPr>
        <w:t>prominent</w:t>
      </w:r>
      <w:r w:rsidR="00CE24E4" w:rsidRPr="002E78B5">
        <w:rPr>
          <w:rFonts w:ascii="Book Antiqua" w:hAnsi="Book Antiqua" w:cs="Arial"/>
        </w:rPr>
        <w:t xml:space="preserve"> in accident and emergency encounters where patients under the age of 40 attended their ‘home provider’ for care on 70.</w:t>
      </w:r>
      <w:r w:rsidR="00DE726E" w:rsidRPr="002E78B5">
        <w:rPr>
          <w:rFonts w:ascii="Book Antiqua" w:hAnsi="Book Antiqua" w:cs="Arial"/>
        </w:rPr>
        <w:t>5</w:t>
      </w:r>
      <w:r w:rsidR="00CE24E4" w:rsidRPr="002E78B5">
        <w:rPr>
          <w:rFonts w:ascii="Book Antiqua" w:hAnsi="Book Antiqua" w:cs="Arial"/>
        </w:rPr>
        <w:t>% of occasions, compared with 89.6% in patie</w:t>
      </w:r>
      <w:r w:rsidR="00C43078" w:rsidRPr="002E78B5">
        <w:rPr>
          <w:rFonts w:ascii="Book Antiqua" w:hAnsi="Book Antiqua" w:cs="Arial"/>
        </w:rPr>
        <w:t>nts aged 40-70 and 84.</w:t>
      </w:r>
      <w:r w:rsidR="00DE726E" w:rsidRPr="002E78B5">
        <w:rPr>
          <w:rFonts w:ascii="Book Antiqua" w:hAnsi="Book Antiqua" w:cs="Arial"/>
        </w:rPr>
        <w:t>9</w:t>
      </w:r>
      <w:r w:rsidR="00C43078" w:rsidRPr="002E78B5">
        <w:rPr>
          <w:rFonts w:ascii="Book Antiqua" w:hAnsi="Book Antiqua" w:cs="Arial"/>
        </w:rPr>
        <w:t xml:space="preserve">% aged over </w:t>
      </w:r>
      <w:r w:rsidR="001D47FA">
        <w:rPr>
          <w:rFonts w:ascii="Book Antiqua" w:hAnsi="Book Antiqua" w:cs="Arial"/>
        </w:rPr>
        <w:t xml:space="preserve">70. </w:t>
      </w:r>
      <w:r w:rsidR="00CE24E4" w:rsidRPr="002E78B5">
        <w:rPr>
          <w:rFonts w:ascii="Book Antiqua" w:hAnsi="Book Antiqua" w:cs="Arial"/>
        </w:rPr>
        <w:t>This may be explained, in part, by the increased</w:t>
      </w:r>
      <w:r w:rsidRPr="002E78B5">
        <w:rPr>
          <w:rFonts w:ascii="Book Antiqua" w:hAnsi="Book Antiqua" w:cs="Arial"/>
        </w:rPr>
        <w:t xml:space="preserve"> mobility of younger patients who may be more likely to live, study or work in locations a</w:t>
      </w:r>
      <w:r w:rsidR="00A87832" w:rsidRPr="002E78B5">
        <w:rPr>
          <w:rFonts w:ascii="Book Antiqua" w:hAnsi="Book Antiqua" w:cs="Arial"/>
        </w:rPr>
        <w:t>way from their ‘home provider’.</w:t>
      </w:r>
    </w:p>
    <w:p w14:paraId="03EE1144" w14:textId="77777777" w:rsidR="0040061B" w:rsidRPr="002E78B5" w:rsidRDefault="0040061B" w:rsidP="006C577E">
      <w:pPr>
        <w:snapToGrid w:val="0"/>
        <w:spacing w:line="360" w:lineRule="auto"/>
        <w:jc w:val="both"/>
        <w:rPr>
          <w:rFonts w:ascii="Book Antiqua" w:hAnsi="Book Antiqua" w:cs="Arial"/>
        </w:rPr>
      </w:pPr>
    </w:p>
    <w:p w14:paraId="5F058B45" w14:textId="090A9835" w:rsidR="006D7853" w:rsidRPr="002E78B5" w:rsidRDefault="00FB73E3" w:rsidP="006C577E">
      <w:pPr>
        <w:snapToGrid w:val="0"/>
        <w:spacing w:line="360" w:lineRule="auto"/>
        <w:jc w:val="both"/>
        <w:rPr>
          <w:rFonts w:ascii="Book Antiqua" w:hAnsi="Book Antiqua" w:cs="Arial"/>
          <w:b/>
          <w:i/>
        </w:rPr>
      </w:pPr>
      <w:r w:rsidRPr="002E78B5">
        <w:rPr>
          <w:rFonts w:ascii="Book Antiqua" w:hAnsi="Book Antiqua" w:cs="Arial"/>
          <w:b/>
          <w:i/>
        </w:rPr>
        <w:t>Strengths and weaknesses of study</w:t>
      </w:r>
    </w:p>
    <w:p w14:paraId="4ED16521" w14:textId="75855F64" w:rsidR="005F11C4" w:rsidRPr="001D47FA" w:rsidRDefault="006D7853" w:rsidP="006C577E">
      <w:pPr>
        <w:snapToGrid w:val="0"/>
        <w:spacing w:line="360" w:lineRule="auto"/>
        <w:jc w:val="both"/>
        <w:rPr>
          <w:rFonts w:ascii="Book Antiqua" w:eastAsiaTheme="minorEastAsia" w:hAnsi="Book Antiqua" w:cs="Arial"/>
          <w:lang w:eastAsia="zh-CN"/>
        </w:rPr>
      </w:pPr>
      <w:r w:rsidRPr="002E78B5">
        <w:rPr>
          <w:rFonts w:ascii="Book Antiqua" w:hAnsi="Book Antiqua" w:cs="Arial"/>
        </w:rPr>
        <w:t xml:space="preserve">This was a retrospective observational study using </w:t>
      </w:r>
      <w:r w:rsidR="0069093E" w:rsidRPr="002E78B5">
        <w:rPr>
          <w:rFonts w:ascii="Book Antiqua" w:hAnsi="Book Antiqua" w:cs="Arial"/>
        </w:rPr>
        <w:t>a large</w:t>
      </w:r>
      <w:r w:rsidR="00DE726E" w:rsidRPr="002E78B5">
        <w:rPr>
          <w:rFonts w:ascii="Book Antiqua" w:hAnsi="Book Antiqua" w:cs="Arial"/>
        </w:rPr>
        <w:t xml:space="preserve">, national </w:t>
      </w:r>
      <w:r w:rsidR="00C3370B" w:rsidRPr="002E78B5">
        <w:rPr>
          <w:rFonts w:ascii="Book Antiqua" w:hAnsi="Book Antiqua" w:cs="Arial"/>
        </w:rPr>
        <w:t xml:space="preserve">administrative </w:t>
      </w:r>
      <w:r w:rsidR="0069093E" w:rsidRPr="002E78B5">
        <w:rPr>
          <w:rFonts w:ascii="Book Antiqua" w:hAnsi="Book Antiqua" w:cs="Arial"/>
        </w:rPr>
        <w:t xml:space="preserve">data set from 2013 to 2015. </w:t>
      </w:r>
      <w:r w:rsidR="00C3370B" w:rsidRPr="002E78B5">
        <w:rPr>
          <w:rFonts w:ascii="Book Antiqua" w:hAnsi="Book Antiqua" w:cs="Arial"/>
        </w:rPr>
        <w:t xml:space="preserve">This has facilitated a novel analysis of transitions of care between secondary care settings for IBD patients in England. </w:t>
      </w:r>
      <w:r w:rsidR="00251633" w:rsidRPr="002E78B5">
        <w:rPr>
          <w:rFonts w:ascii="Book Antiqua" w:hAnsi="Book Antiqua" w:cs="Arial"/>
        </w:rPr>
        <w:t>When applying these findings to the current population it is important to note that there may have been c</w:t>
      </w:r>
      <w:r w:rsidRPr="002E78B5">
        <w:rPr>
          <w:rFonts w:ascii="Book Antiqua" w:hAnsi="Book Antiqua" w:cs="Arial"/>
        </w:rPr>
        <w:t xml:space="preserve">hanges to organisational structures and systems in addition to evolving regional demographics in the period since </w:t>
      </w:r>
      <w:r w:rsidR="00251633" w:rsidRPr="002E78B5">
        <w:rPr>
          <w:rFonts w:ascii="Book Antiqua" w:hAnsi="Book Antiqua" w:cs="Arial"/>
        </w:rPr>
        <w:t>collection of this data.</w:t>
      </w:r>
      <w:r w:rsidR="00917098" w:rsidRPr="002E78B5">
        <w:rPr>
          <w:rFonts w:ascii="Book Antiqua" w:hAnsi="Book Antiqua" w:cs="Arial"/>
        </w:rPr>
        <w:t xml:space="preserve"> </w:t>
      </w:r>
      <w:r w:rsidR="009E4A04" w:rsidRPr="002E78B5">
        <w:rPr>
          <w:rFonts w:ascii="Book Antiqua" w:hAnsi="Book Antiqua" w:cs="Arial"/>
        </w:rPr>
        <w:t>It is also important to note the inherent limitations of administrative data due to</w:t>
      </w:r>
      <w:r w:rsidR="00866396" w:rsidRPr="002E78B5">
        <w:rPr>
          <w:rFonts w:ascii="Book Antiqua" w:hAnsi="Book Antiqua" w:cs="Arial"/>
        </w:rPr>
        <w:t xml:space="preserve"> procedure changes, missing data </w:t>
      </w:r>
      <w:r w:rsidR="00917098" w:rsidRPr="002E78B5">
        <w:rPr>
          <w:rFonts w:ascii="Book Antiqua" w:hAnsi="Book Antiqua" w:cs="Arial"/>
        </w:rPr>
        <w:t xml:space="preserve">and miscoding </w:t>
      </w:r>
      <w:r w:rsidR="00866396" w:rsidRPr="002E78B5">
        <w:rPr>
          <w:rFonts w:ascii="Book Antiqua" w:hAnsi="Book Antiqua" w:cs="Arial"/>
        </w:rPr>
        <w:t>issues.</w:t>
      </w:r>
    </w:p>
    <w:p w14:paraId="78DBE425" w14:textId="71A36F94" w:rsidR="00C3370B" w:rsidRPr="001D47FA" w:rsidRDefault="005F11C4" w:rsidP="006C577E">
      <w:pPr>
        <w:snapToGrid w:val="0"/>
        <w:spacing w:line="360" w:lineRule="auto"/>
        <w:ind w:firstLineChars="100" w:firstLine="240"/>
        <w:jc w:val="both"/>
        <w:rPr>
          <w:rFonts w:ascii="Book Antiqua" w:eastAsiaTheme="minorEastAsia" w:hAnsi="Book Antiqua" w:cs="Arial"/>
          <w:lang w:eastAsia="zh-CN"/>
        </w:rPr>
      </w:pPr>
      <w:r w:rsidRPr="002E78B5">
        <w:rPr>
          <w:rFonts w:ascii="Book Antiqua" w:hAnsi="Book Antiqua" w:cs="Arial"/>
        </w:rPr>
        <w:t xml:space="preserve">During patient recruitment and allocation of ‘home providers’ some losses may have resulted from </w:t>
      </w:r>
      <w:r w:rsidR="007B3CAB" w:rsidRPr="002E78B5">
        <w:rPr>
          <w:rFonts w:ascii="Book Antiqua" w:hAnsi="Book Antiqua" w:cs="Arial"/>
        </w:rPr>
        <w:t xml:space="preserve">the limitation of only being able to recruit patients from inpatient encounters. This approach was required as disease-specific codes are not allocated to outpatient and accident and emergency encounters within the data set. Additionally, patients that had existing but inactive disease also may not have been allocated an IBD disease code. In essence, only patients receiving care for 'active' IBD may have been recruited in some settings. </w:t>
      </w:r>
      <w:r w:rsidR="006D7853" w:rsidRPr="002E78B5">
        <w:rPr>
          <w:rFonts w:ascii="Book Antiqua" w:hAnsi="Book Antiqua" w:cs="Arial"/>
        </w:rPr>
        <w:t xml:space="preserve">This paper did not </w:t>
      </w:r>
      <w:r w:rsidR="00C3370B" w:rsidRPr="002E78B5">
        <w:rPr>
          <w:rFonts w:ascii="Book Antiqua" w:hAnsi="Book Antiqua" w:cs="Arial"/>
        </w:rPr>
        <w:t>consider</w:t>
      </w:r>
      <w:r w:rsidR="006D7853" w:rsidRPr="002E78B5">
        <w:rPr>
          <w:rFonts w:ascii="Book Antiqua" w:hAnsi="Book Antiqua" w:cs="Arial"/>
        </w:rPr>
        <w:t xml:space="preserve"> the reasons for </w:t>
      </w:r>
      <w:r w:rsidR="00C3370B" w:rsidRPr="002E78B5">
        <w:rPr>
          <w:rFonts w:ascii="Book Antiqua" w:hAnsi="Book Antiqua" w:cs="Arial"/>
        </w:rPr>
        <w:t xml:space="preserve">the </w:t>
      </w:r>
      <w:r w:rsidR="006D7853" w:rsidRPr="002E78B5">
        <w:rPr>
          <w:rFonts w:ascii="Book Antiqua" w:hAnsi="Book Antiqua" w:cs="Arial"/>
        </w:rPr>
        <w:t xml:space="preserve">hospital </w:t>
      </w:r>
      <w:r w:rsidR="00C3370B" w:rsidRPr="002E78B5">
        <w:rPr>
          <w:rFonts w:ascii="Book Antiqua" w:hAnsi="Book Antiqua" w:cs="Arial"/>
        </w:rPr>
        <w:t xml:space="preserve">events considered beyond the specialty responsible for that care event. This </w:t>
      </w:r>
      <w:r w:rsidR="00251633" w:rsidRPr="002E78B5">
        <w:rPr>
          <w:rFonts w:ascii="Book Antiqua" w:hAnsi="Book Antiqua" w:cs="Arial"/>
        </w:rPr>
        <w:t xml:space="preserve">approach </w:t>
      </w:r>
      <w:r w:rsidR="00C3370B" w:rsidRPr="002E78B5">
        <w:rPr>
          <w:rFonts w:ascii="Book Antiqua" w:hAnsi="Book Antiqua" w:cs="Arial"/>
        </w:rPr>
        <w:t xml:space="preserve">provided a clear overview of </w:t>
      </w:r>
      <w:r w:rsidR="00251633" w:rsidRPr="002E78B5">
        <w:rPr>
          <w:rFonts w:ascii="Book Antiqua" w:hAnsi="Book Antiqua" w:cs="Arial"/>
        </w:rPr>
        <w:t xml:space="preserve">the </w:t>
      </w:r>
      <w:r w:rsidR="00C3370B" w:rsidRPr="002E78B5">
        <w:rPr>
          <w:rFonts w:ascii="Book Antiqua" w:hAnsi="Book Antiqua" w:cs="Arial"/>
        </w:rPr>
        <w:t xml:space="preserve">services accessed but limited more in-depth interpretation of patient events, such as relevance of presentations to IBD and reasons for readmission. </w:t>
      </w:r>
    </w:p>
    <w:p w14:paraId="08561304" w14:textId="23AE913B" w:rsidR="006D7853" w:rsidRPr="001D47FA" w:rsidRDefault="00C3370B" w:rsidP="006C577E">
      <w:pPr>
        <w:snapToGrid w:val="0"/>
        <w:spacing w:line="360" w:lineRule="auto"/>
        <w:ind w:firstLineChars="100" w:firstLine="240"/>
        <w:jc w:val="both"/>
        <w:rPr>
          <w:rFonts w:ascii="Book Antiqua" w:eastAsiaTheme="minorEastAsia" w:hAnsi="Book Antiqua" w:cs="Arial"/>
          <w:lang w:eastAsia="zh-CN"/>
        </w:rPr>
      </w:pPr>
      <w:r w:rsidRPr="002E78B5">
        <w:rPr>
          <w:rFonts w:ascii="Book Antiqua" w:hAnsi="Book Antiqua" w:cs="Arial"/>
        </w:rPr>
        <w:t xml:space="preserve">Transitions of care between </w:t>
      </w:r>
      <w:r w:rsidR="00326417" w:rsidRPr="002E78B5">
        <w:rPr>
          <w:rFonts w:ascii="Book Antiqua" w:hAnsi="Book Antiqua" w:cs="Arial"/>
        </w:rPr>
        <w:t>hospitals and</w:t>
      </w:r>
      <w:r w:rsidRPr="002E78B5">
        <w:rPr>
          <w:rFonts w:ascii="Book Antiqua" w:hAnsi="Book Antiqua" w:cs="Arial"/>
        </w:rPr>
        <w:t xml:space="preserve"> primary care </w:t>
      </w:r>
      <w:r w:rsidR="00326417" w:rsidRPr="002E78B5">
        <w:rPr>
          <w:rFonts w:ascii="Book Antiqua" w:hAnsi="Book Antiqua" w:cs="Arial"/>
        </w:rPr>
        <w:t xml:space="preserve">settings </w:t>
      </w:r>
      <w:r w:rsidRPr="002E78B5">
        <w:rPr>
          <w:rFonts w:ascii="Book Antiqua" w:hAnsi="Book Antiqua" w:cs="Arial"/>
        </w:rPr>
        <w:t xml:space="preserve">was beyond the scope of this study that used only hospital administrative data. Analysis of linked primary </w:t>
      </w:r>
      <w:r w:rsidR="00326417" w:rsidRPr="002E78B5">
        <w:rPr>
          <w:rFonts w:ascii="Book Antiqua" w:hAnsi="Book Antiqua" w:cs="Arial"/>
        </w:rPr>
        <w:t>care and hospital-level</w:t>
      </w:r>
      <w:r w:rsidRPr="002E78B5">
        <w:rPr>
          <w:rFonts w:ascii="Book Antiqua" w:hAnsi="Book Antiqua" w:cs="Arial"/>
        </w:rPr>
        <w:t xml:space="preserve"> databases may provide </w:t>
      </w:r>
      <w:r w:rsidR="00251633" w:rsidRPr="002E78B5">
        <w:rPr>
          <w:rFonts w:ascii="Book Antiqua" w:hAnsi="Book Antiqua" w:cs="Arial"/>
        </w:rPr>
        <w:t xml:space="preserve">additional </w:t>
      </w:r>
      <w:r w:rsidRPr="002E78B5">
        <w:rPr>
          <w:rFonts w:ascii="Book Antiqua" w:hAnsi="Book Antiqua" w:cs="Arial"/>
        </w:rPr>
        <w:t xml:space="preserve">insights into </w:t>
      </w:r>
      <w:r w:rsidR="00326417" w:rsidRPr="002E78B5">
        <w:rPr>
          <w:rFonts w:ascii="Book Antiqua" w:hAnsi="Book Antiqua" w:cs="Arial"/>
        </w:rPr>
        <w:t>hospital</w:t>
      </w:r>
      <w:r w:rsidRPr="002E78B5">
        <w:rPr>
          <w:rFonts w:ascii="Book Antiqua" w:hAnsi="Book Antiqua" w:cs="Arial"/>
        </w:rPr>
        <w:t>-primary transitions of care within this patient group</w:t>
      </w:r>
      <w:r w:rsidR="00251633" w:rsidRPr="002E78B5">
        <w:rPr>
          <w:rFonts w:ascii="Book Antiqua" w:hAnsi="Book Antiqua" w:cs="Arial"/>
        </w:rPr>
        <w:t xml:space="preserve"> and assist the </w:t>
      </w:r>
      <w:r w:rsidR="00251633" w:rsidRPr="002E78B5">
        <w:rPr>
          <w:rFonts w:ascii="Book Antiqua" w:hAnsi="Book Antiqua" w:cs="Arial"/>
        </w:rPr>
        <w:lastRenderedPageBreak/>
        <w:t>important care coordination role played by many primary care providers.</w:t>
      </w:r>
      <w:r w:rsidR="005F11C4" w:rsidRPr="002E78B5">
        <w:rPr>
          <w:rFonts w:ascii="Book Antiqua" w:hAnsi="Book Antiqua" w:cs="Arial"/>
        </w:rPr>
        <w:t xml:space="preserve"> </w:t>
      </w:r>
      <w:r w:rsidR="00251633" w:rsidRPr="002E78B5">
        <w:rPr>
          <w:rFonts w:ascii="Book Antiqua" w:hAnsi="Book Antiqua" w:cs="Arial"/>
        </w:rPr>
        <w:t xml:space="preserve">Patients under the age of 18 were excluded from analysis in this paper. This was necessary to permit an unbiased view of adult IBD patient-sharing. </w:t>
      </w:r>
      <w:r w:rsidR="00C43078" w:rsidRPr="002E78B5">
        <w:rPr>
          <w:rFonts w:ascii="Book Antiqua" w:hAnsi="Book Antiqua" w:cs="Arial"/>
        </w:rPr>
        <w:t xml:space="preserve">Although </w:t>
      </w:r>
      <w:r w:rsidR="000947E9" w:rsidRPr="002E78B5">
        <w:rPr>
          <w:rFonts w:ascii="Book Antiqua" w:hAnsi="Book Antiqua" w:cs="Arial"/>
        </w:rPr>
        <w:t xml:space="preserve">beyond the scope of </w:t>
      </w:r>
      <w:r w:rsidR="00C43078" w:rsidRPr="002E78B5">
        <w:rPr>
          <w:rFonts w:ascii="Book Antiqua" w:hAnsi="Book Antiqua" w:cs="Arial"/>
        </w:rPr>
        <w:t xml:space="preserve">this work, research to identify patterns of </w:t>
      </w:r>
      <w:r w:rsidR="000947E9" w:rsidRPr="002E78B5">
        <w:rPr>
          <w:rFonts w:ascii="Book Antiqua" w:hAnsi="Book Antiqua" w:cs="Arial"/>
        </w:rPr>
        <w:t>care transitions</w:t>
      </w:r>
      <w:r w:rsidR="00C43078" w:rsidRPr="002E78B5">
        <w:rPr>
          <w:rFonts w:ascii="Book Antiqua" w:hAnsi="Book Antiqua" w:cs="Arial"/>
        </w:rPr>
        <w:t xml:space="preserve"> </w:t>
      </w:r>
      <w:r w:rsidR="000947E9" w:rsidRPr="002E78B5">
        <w:rPr>
          <w:rFonts w:ascii="Book Antiqua" w:hAnsi="Book Antiqua" w:cs="Arial"/>
        </w:rPr>
        <w:t>between paediatric and adult services using the methods developed in this paper may improve understanding of this challenging period for many young patients with IBD</w:t>
      </w:r>
      <w:r w:rsidR="000947E9" w:rsidRPr="002E78B5">
        <w:rPr>
          <w:rFonts w:ascii="Book Antiqua" w:hAnsi="Book Antiqua" w:cs="Arial"/>
        </w:rPr>
        <w:fldChar w:fldCharType="begin" w:fldLock="1"/>
      </w:r>
      <w:r w:rsidR="00DA0904" w:rsidRPr="002E78B5">
        <w:rPr>
          <w:rFonts w:ascii="Book Antiqua" w:hAnsi="Book Antiqua" w:cs="Arial"/>
        </w:rPr>
        <w:instrText>ADDIN CSL_CITATION {"citationItems":[{"id":"ITEM-1","itemData":{"DOI":"10.1542/peds.2012-3050.2","ISSN":"21686203","PMID":"23959327","abstract":"Transitions of care are periods of vulnerability and risk in our health care system. The risks for poor clinical outcomes and increased health care costs during transitions increase with poor preparation, planning, communication, and coordination of care as patients move from one care setting to another.1 To a large extent, researchers and policy makers have focused on the care transitions in and out of hospital settings of older adult patients with chronic conditions. However, the transition from pediatric primary and specialty care to adult-focused care presents a more complex array of challenges with life-long consequences.","author":[{"dropping-particle":"","family":"Cooley","given":"W Carl","non-dropping-particle":"","parse-names":false,"suffix":""}],"container-title":"JAMA Pediatrics","id":"ITEM-1","issue":"10","issued":{"date-parts":[["2013"]]},"page":"9-11","title":"Adolescent Health Care Transition in Transition","type":"article-journal","volume":"167"},"uris":["http://www.mendeley.com/documents/?uuid=07160fbc-824b-4f2c-b581-071d2f6d93f8"]}],"mendeley":{"formattedCitation":"&lt;sup&gt;[37]&lt;/sup&gt;","plainTextFormattedCitation":"[37]","previouslyFormattedCitation":"&lt;sup&gt;[37]&lt;/sup&gt;"},"properties":{"noteIndex":0},"schema":"https://github.com/citation-style-language/schema/raw/master/csl-citation.json"}</w:instrText>
      </w:r>
      <w:r w:rsidR="000947E9" w:rsidRPr="002E78B5">
        <w:rPr>
          <w:rFonts w:ascii="Book Antiqua" w:hAnsi="Book Antiqua" w:cs="Arial"/>
        </w:rPr>
        <w:fldChar w:fldCharType="separate"/>
      </w:r>
      <w:r w:rsidR="00DA0904" w:rsidRPr="002E78B5">
        <w:rPr>
          <w:rFonts w:ascii="Book Antiqua" w:hAnsi="Book Antiqua" w:cs="Arial"/>
          <w:noProof/>
          <w:vertAlign w:val="superscript"/>
        </w:rPr>
        <w:t>[37</w:t>
      </w:r>
      <w:r w:rsidR="001D47FA">
        <w:rPr>
          <w:rFonts w:ascii="Book Antiqua" w:hAnsi="Book Antiqua" w:cs="Arial" w:hint="eastAsia"/>
          <w:noProof/>
          <w:vertAlign w:val="superscript"/>
          <w:lang w:eastAsia="zh-CN"/>
        </w:rPr>
        <w:t>,38</w:t>
      </w:r>
      <w:r w:rsidR="00DA0904" w:rsidRPr="002E78B5">
        <w:rPr>
          <w:rFonts w:ascii="Book Antiqua" w:hAnsi="Book Antiqua" w:cs="Arial"/>
          <w:noProof/>
          <w:vertAlign w:val="superscript"/>
        </w:rPr>
        <w:t>]</w:t>
      </w:r>
      <w:r w:rsidR="000947E9" w:rsidRPr="002E78B5">
        <w:rPr>
          <w:rFonts w:ascii="Book Antiqua" w:hAnsi="Book Antiqua" w:cs="Arial"/>
        </w:rPr>
        <w:fldChar w:fldCharType="end"/>
      </w:r>
      <w:r w:rsidR="000947E9" w:rsidRPr="002E78B5">
        <w:rPr>
          <w:rFonts w:ascii="Book Antiqua" w:hAnsi="Book Antiqua" w:cs="Arial"/>
        </w:rPr>
        <w:t xml:space="preserve">. </w:t>
      </w:r>
    </w:p>
    <w:p w14:paraId="692433DA" w14:textId="0A9FE12A" w:rsidR="004A38BC" w:rsidRPr="002E78B5" w:rsidRDefault="006D7853" w:rsidP="006C577E">
      <w:pPr>
        <w:snapToGrid w:val="0"/>
        <w:spacing w:line="360" w:lineRule="auto"/>
        <w:ind w:firstLineChars="100" w:firstLine="240"/>
        <w:jc w:val="both"/>
        <w:rPr>
          <w:rFonts w:ascii="Book Antiqua" w:hAnsi="Book Antiqua" w:cs="Arial"/>
        </w:rPr>
      </w:pPr>
      <w:r w:rsidRPr="002E78B5">
        <w:rPr>
          <w:rFonts w:ascii="Book Antiqua" w:hAnsi="Book Antiqua" w:cs="Arial"/>
        </w:rPr>
        <w:t>This paper has focussed on simple directed inter-organisational patient sharing connections. Previous, more complex healthcare network analysis studies have identified significant heterogeneity within patient sharing networks, with certain actors, whether hospitals, or individual physicians, exercising d</w:t>
      </w:r>
      <w:r w:rsidR="001D47FA">
        <w:rPr>
          <w:rFonts w:ascii="Book Antiqua" w:hAnsi="Book Antiqua" w:cs="Arial"/>
        </w:rPr>
        <w:t>ifferent roles within a network</w:t>
      </w:r>
      <w:r w:rsidR="000947E9" w:rsidRPr="002E78B5">
        <w:rPr>
          <w:rFonts w:ascii="Book Antiqua" w:hAnsi="Book Antiqua" w:cs="Arial"/>
        </w:rPr>
        <w:fldChar w:fldCharType="begin" w:fldLock="1"/>
      </w:r>
      <w:r w:rsidR="00DA0904" w:rsidRPr="002E78B5">
        <w:rPr>
          <w:rFonts w:ascii="Book Antiqua" w:hAnsi="Book Antiqua" w:cs="Arial"/>
        </w:rPr>
        <w:instrText>ADDIN CSL_CITATION {"citationItems":[{"id":"ITEM-1","itemData":{"DOI":"10.2105/AJPH.2010.202754","ISBN":"10.2105/AJPH.2010.202754","ISSN":"15410048","PMID":"21330578","abstract":"OBJECTIVES We applied social network analyses to determine how hospitals within Orange County, California, are interconnected by patient sharing, a system which may have numerous public health implications. METHODS Our analyses considered 2 general patient-sharing networks: uninterrupted patient sharing (UPS; i.e., direct interhospital transfers) and total patient sharing (TPS; i.e., all interhospital patient sharing, including patients with intervening nonhospital stays). We considered these networks at 3 thresholds of patient sharing: at least 1, at least 10, and at least 100 patients shared. RESULTS Geographically proximate hospitals were somewhat more likely to share patients, but many hospitals shared patients with distant hospitals. Number of patient admissions and percentage of cancer patients were associated with greater connectivity across the system. The TPS network revealed numerous connections not seen in the UPS network, meaning that direct transfers only accounted for a fraction of total patient sharing. CONCLUSIONS Our analysis demonstrated that Orange County's 32 hospitals were highly and heterogeneously interconnected by patient sharing. Different hospital populations had different levels of influence over the patient-sharing network.","author":[{"dropping-particle":"","family":"Lee","given":"Bruce Y.","non-dropping-particle":"","parse-names":false,"suffix":""},{"dropping-particle":"","family":"McGlone","given":"Sarah M.","non-dropping-particle":"","parse-names":false,"suffix":""},{"dropping-particle":"","family":"Song","given":"Yeohan","non-dropping-particle":"","parse-names":false,"suffix":""},{"dropping-particle":"","family":"Avery","given":"Taliser R.","non-dropping-particle":"","parse-names":false,"suffix":""},{"dropping-particle":"","family":"Eubank","given":"Stephen","non-dropping-particle":"","parse-names":false,"suffix":""},{"dropping-particle":"","family":"Chang","given":"Chung Chou","non-dropping-particle":"","parse-names":false,"suffix":""},{"dropping-particle":"","family":"Bailey","given":"Rachel R.","non-dropping-particle":"","parse-names":false,"suffix":""},{"dropping-particle":"","family":"Wagener","given":"Diane K.","non-dropping-particle":"","parse-names":false,"suffix":""},{"dropping-particle":"","family":"Burke","given":"Donald S.","non-dropping-particle":"","parse-names":false,"suffix":""},{"dropping-particle":"","family":"Platt","given":"Richard","non-dropping-particle":"","parse-names":false,"suffix":""},{"dropping-particle":"","family":"Huang","given":"Susan S.","non-dropping-particle":"","parse-names":false,"suffix":""}],"container-title":"American journal of public health","id":"ITEM-1","issue":"4","issued":{"date-parts":[["2011"]]},"page":"707-713","title":"Social network analysis of patient sharing among hospitals in Orange County, California.","type":"article-journal","volume":"101"},"uris":["http://www.mendeley.com/documents/?uuid=a28ad987-9ffe-48a0-a481-fc0b69941786"]}],"mendeley":{"formattedCitation":"&lt;sup&gt;[39]&lt;/sup&gt;","plainTextFormattedCitation":"[39]","previouslyFormattedCitation":"&lt;sup&gt;[39]&lt;/sup&gt;"},"properties":{"noteIndex":0},"schema":"https://github.com/citation-style-language/schema/raw/master/csl-citation.json"}</w:instrText>
      </w:r>
      <w:r w:rsidR="000947E9" w:rsidRPr="002E78B5">
        <w:rPr>
          <w:rFonts w:ascii="Book Antiqua" w:hAnsi="Book Antiqua" w:cs="Arial"/>
        </w:rPr>
        <w:fldChar w:fldCharType="separate"/>
      </w:r>
      <w:r w:rsidR="00DA0904" w:rsidRPr="002E78B5">
        <w:rPr>
          <w:rFonts w:ascii="Book Antiqua" w:hAnsi="Book Antiqua" w:cs="Arial"/>
          <w:noProof/>
          <w:vertAlign w:val="superscript"/>
        </w:rPr>
        <w:t>[39</w:t>
      </w:r>
      <w:r w:rsidR="001D47FA">
        <w:rPr>
          <w:rFonts w:ascii="Book Antiqua" w:hAnsi="Book Antiqua" w:cs="Arial" w:hint="eastAsia"/>
          <w:noProof/>
          <w:vertAlign w:val="superscript"/>
          <w:lang w:eastAsia="zh-CN"/>
        </w:rPr>
        <w:t>-41</w:t>
      </w:r>
      <w:r w:rsidR="00DA0904" w:rsidRPr="002E78B5">
        <w:rPr>
          <w:rFonts w:ascii="Book Antiqua" w:hAnsi="Book Antiqua" w:cs="Arial"/>
          <w:noProof/>
          <w:vertAlign w:val="superscript"/>
        </w:rPr>
        <w:t>]</w:t>
      </w:r>
      <w:r w:rsidR="000947E9" w:rsidRPr="002E78B5">
        <w:rPr>
          <w:rFonts w:ascii="Book Antiqua" w:hAnsi="Book Antiqua" w:cs="Arial"/>
        </w:rPr>
        <w:fldChar w:fldCharType="end"/>
      </w:r>
      <w:r w:rsidR="000947E9" w:rsidRPr="002E78B5">
        <w:rPr>
          <w:rFonts w:ascii="Book Antiqua" w:hAnsi="Book Antiqua" w:cs="Arial"/>
        </w:rPr>
        <w:t>.</w:t>
      </w:r>
      <w:r w:rsidRPr="002E78B5">
        <w:rPr>
          <w:rFonts w:ascii="Book Antiqua" w:hAnsi="Book Antiqua" w:cs="Arial"/>
        </w:rPr>
        <w:t xml:space="preserve"> </w:t>
      </w:r>
      <w:r w:rsidR="00251633" w:rsidRPr="002E78B5">
        <w:rPr>
          <w:rFonts w:ascii="Book Antiqua" w:hAnsi="Book Antiqua" w:cs="Arial"/>
        </w:rPr>
        <w:t>More in-depth</w:t>
      </w:r>
      <w:r w:rsidRPr="002E78B5">
        <w:rPr>
          <w:rFonts w:ascii="Book Antiqua" w:hAnsi="Book Antiqua" w:cs="Arial"/>
        </w:rPr>
        <w:t xml:space="preserve"> analysis of the networks studied in this paper may offer further insights into patient sharing within the NHS and further guide interventions.</w:t>
      </w:r>
      <w:r w:rsidR="00F37875" w:rsidRPr="002E78B5">
        <w:rPr>
          <w:rFonts w:ascii="Book Antiqua" w:hAnsi="Book Antiqua" w:cs="Arial"/>
        </w:rPr>
        <w:t xml:space="preserve"> Additional analyses of other hospital-level factors such as hospital size, IBD patient numbers and IBD service availability may provide additional insights in future work.</w:t>
      </w:r>
      <w:r w:rsidR="000947E9" w:rsidRPr="002E78B5">
        <w:rPr>
          <w:rFonts w:ascii="Book Antiqua" w:hAnsi="Book Antiqua" w:cs="Arial"/>
        </w:rPr>
        <w:t xml:space="preserve"> Furthermore, in</w:t>
      </w:r>
      <w:r w:rsidR="00251633" w:rsidRPr="002E78B5">
        <w:rPr>
          <w:rFonts w:ascii="Book Antiqua" w:hAnsi="Book Antiqua" w:cs="Arial"/>
        </w:rPr>
        <w:t xml:space="preserve">clusion of existing </w:t>
      </w:r>
      <w:r w:rsidR="005668C5" w:rsidRPr="002E78B5">
        <w:rPr>
          <w:rFonts w:ascii="Book Antiqua" w:hAnsi="Book Antiqua" w:cs="Arial"/>
        </w:rPr>
        <w:t xml:space="preserve">data-sharing capacity between providers </w:t>
      </w:r>
      <w:r w:rsidR="000947E9" w:rsidRPr="002E78B5">
        <w:rPr>
          <w:rFonts w:ascii="Book Antiqua" w:hAnsi="Book Antiqua" w:cs="Arial"/>
        </w:rPr>
        <w:t xml:space="preserve">in a more complex analysis </w:t>
      </w:r>
      <w:r w:rsidR="005668C5" w:rsidRPr="002E78B5">
        <w:rPr>
          <w:rFonts w:ascii="Book Antiqua" w:hAnsi="Book Antiqua" w:cs="Arial"/>
        </w:rPr>
        <w:t xml:space="preserve">may provide </w:t>
      </w:r>
      <w:r w:rsidR="00251633" w:rsidRPr="002E78B5">
        <w:rPr>
          <w:rFonts w:ascii="Book Antiqua" w:hAnsi="Book Antiqua" w:cs="Arial"/>
        </w:rPr>
        <w:t>additional value to guide future policy development.</w:t>
      </w:r>
    </w:p>
    <w:p w14:paraId="2CE62343" w14:textId="77777777" w:rsidR="00621B7E" w:rsidRPr="002E78B5" w:rsidRDefault="00621B7E" w:rsidP="006C577E">
      <w:pPr>
        <w:snapToGrid w:val="0"/>
        <w:spacing w:line="360" w:lineRule="auto"/>
        <w:jc w:val="both"/>
        <w:rPr>
          <w:rFonts w:ascii="Book Antiqua" w:hAnsi="Book Antiqua" w:cs="Arial"/>
        </w:rPr>
      </w:pPr>
    </w:p>
    <w:p w14:paraId="1E51DF0C" w14:textId="767DF1EE" w:rsidR="00FB73E3" w:rsidRPr="002E78B5" w:rsidRDefault="00FB73E3" w:rsidP="006C577E">
      <w:pPr>
        <w:snapToGrid w:val="0"/>
        <w:spacing w:line="360" w:lineRule="auto"/>
        <w:jc w:val="both"/>
        <w:rPr>
          <w:rFonts w:ascii="Book Antiqua" w:hAnsi="Book Antiqua" w:cs="Arial"/>
          <w:b/>
          <w:i/>
        </w:rPr>
      </w:pPr>
      <w:r w:rsidRPr="002E78B5">
        <w:rPr>
          <w:rFonts w:ascii="Book Antiqua" w:hAnsi="Book Antiqua" w:cs="Arial"/>
          <w:b/>
          <w:i/>
        </w:rPr>
        <w:t>Implications for providers and policy makers</w:t>
      </w:r>
    </w:p>
    <w:p w14:paraId="46E00CB6" w14:textId="31E38FF7" w:rsidR="00CB520C" w:rsidRPr="00603B0A" w:rsidRDefault="007C3C32" w:rsidP="006C577E">
      <w:pPr>
        <w:snapToGrid w:val="0"/>
        <w:spacing w:line="360" w:lineRule="auto"/>
        <w:jc w:val="both"/>
        <w:rPr>
          <w:rFonts w:ascii="Book Antiqua" w:eastAsiaTheme="minorEastAsia" w:hAnsi="Book Antiqua" w:cs="Arial"/>
          <w:lang w:eastAsia="zh-CN"/>
        </w:rPr>
      </w:pPr>
      <w:r w:rsidRPr="002E78B5">
        <w:rPr>
          <w:rFonts w:ascii="Book Antiqua" w:hAnsi="Book Antiqua" w:cs="Arial"/>
        </w:rPr>
        <w:t xml:space="preserve">The burden of disease for IBD patients can be reduced by improvements to care coordination and transitions of care between services. This study has shown that many patients with IBD in England access care from </w:t>
      </w:r>
      <w:r w:rsidR="00326417" w:rsidRPr="002E78B5">
        <w:rPr>
          <w:rFonts w:ascii="Book Antiqua" w:hAnsi="Book Antiqua" w:cs="Arial"/>
        </w:rPr>
        <w:t>hospital</w:t>
      </w:r>
      <w:r w:rsidRPr="002E78B5">
        <w:rPr>
          <w:rFonts w:ascii="Book Antiqua" w:hAnsi="Book Antiqua" w:cs="Arial"/>
        </w:rPr>
        <w:t xml:space="preserve"> providers</w:t>
      </w:r>
      <w:r w:rsidR="006956B3" w:rsidRPr="002E78B5">
        <w:rPr>
          <w:rFonts w:ascii="Book Antiqua" w:hAnsi="Book Antiqua" w:cs="Arial"/>
        </w:rPr>
        <w:t xml:space="preserve"> in multiple settings</w:t>
      </w:r>
      <w:r w:rsidRPr="002E78B5">
        <w:rPr>
          <w:rFonts w:ascii="Book Antiqua" w:hAnsi="Book Antiqua" w:cs="Arial"/>
        </w:rPr>
        <w:t xml:space="preserve">. </w:t>
      </w:r>
      <w:r w:rsidR="009D4578" w:rsidRPr="002E78B5">
        <w:rPr>
          <w:rFonts w:ascii="Book Antiqua" w:hAnsi="Book Antiqua" w:cs="Arial"/>
        </w:rPr>
        <w:t>Younger</w:t>
      </w:r>
      <w:r w:rsidRPr="002E78B5">
        <w:rPr>
          <w:rFonts w:ascii="Book Antiqua" w:hAnsi="Book Antiqua" w:cs="Arial"/>
        </w:rPr>
        <w:t xml:space="preserve"> patients and those residing in metropolitan areas tend to have their care shared between more providers and are at increased risk of transition of care errors</w:t>
      </w:r>
      <w:r w:rsidR="00251633" w:rsidRPr="002E78B5">
        <w:rPr>
          <w:rFonts w:ascii="Book Antiqua" w:hAnsi="Book Antiqua" w:cs="Arial"/>
        </w:rPr>
        <w:t xml:space="preserve"> in the absence of effective data-sharing practices</w:t>
      </w:r>
      <w:r w:rsidRPr="002E78B5">
        <w:rPr>
          <w:rFonts w:ascii="Book Antiqua" w:hAnsi="Book Antiqua" w:cs="Arial"/>
        </w:rPr>
        <w:t xml:space="preserve">. These groups are likely to likely benefit most from </w:t>
      </w:r>
      <w:r w:rsidR="006956B3" w:rsidRPr="002E78B5">
        <w:rPr>
          <w:rFonts w:ascii="Book Antiqua" w:hAnsi="Book Antiqua" w:cs="Arial"/>
        </w:rPr>
        <w:t xml:space="preserve">improvements to systems of health information exchange and care integration. </w:t>
      </w:r>
      <w:r w:rsidR="007F3831" w:rsidRPr="002E78B5">
        <w:rPr>
          <w:rFonts w:ascii="Book Antiqua" w:hAnsi="Book Antiqua" w:cs="Arial"/>
        </w:rPr>
        <w:t>Critically, this younger patient population may be more willing and able to adopt patient-led tools for medical record keeping, and therefore carry their clinical data with them on their mobile devices to be available to clini</w:t>
      </w:r>
      <w:r w:rsidR="00F7456E" w:rsidRPr="002E78B5">
        <w:rPr>
          <w:rFonts w:ascii="Book Antiqua" w:hAnsi="Book Antiqua" w:cs="Arial"/>
        </w:rPr>
        <w:t>ci</w:t>
      </w:r>
      <w:r w:rsidR="007F3831" w:rsidRPr="002E78B5">
        <w:rPr>
          <w:rFonts w:ascii="Book Antiqua" w:hAnsi="Book Antiqua" w:cs="Arial"/>
        </w:rPr>
        <w:t xml:space="preserve">ans wherever they present. </w:t>
      </w:r>
      <w:r w:rsidR="006956B3" w:rsidRPr="002E78B5">
        <w:rPr>
          <w:rFonts w:ascii="Book Antiqua" w:hAnsi="Book Antiqua" w:cs="Arial"/>
        </w:rPr>
        <w:t xml:space="preserve">Similarly, improving transitions of care between specialty services such as gastroenterology, general and colorectal surgery, </w:t>
      </w:r>
      <w:r w:rsidR="0014350A" w:rsidRPr="002E78B5">
        <w:rPr>
          <w:rFonts w:ascii="Book Antiqua" w:hAnsi="Book Antiqua" w:cs="Arial"/>
        </w:rPr>
        <w:t xml:space="preserve">ophthalmology, </w:t>
      </w:r>
      <w:r w:rsidR="006956B3" w:rsidRPr="002E78B5">
        <w:rPr>
          <w:rFonts w:ascii="Book Antiqua" w:hAnsi="Book Antiqua" w:cs="Arial"/>
        </w:rPr>
        <w:lastRenderedPageBreak/>
        <w:t>trauma and orthopaedics, rheumatology and dermatology are likely to benefit IBD patients.</w:t>
      </w:r>
      <w:r w:rsidR="008B550F" w:rsidRPr="002E78B5">
        <w:rPr>
          <w:rFonts w:ascii="Book Antiqua" w:hAnsi="Book Antiqua" w:cs="Arial"/>
        </w:rPr>
        <w:t xml:space="preserve"> Organisations that regularly share IBD patients would benefit most from impr</w:t>
      </w:r>
      <w:r w:rsidR="005E440E" w:rsidRPr="002E78B5">
        <w:rPr>
          <w:rFonts w:ascii="Book Antiqua" w:hAnsi="Book Antiqua" w:cs="Arial"/>
        </w:rPr>
        <w:t>oved community data sharing. F</w:t>
      </w:r>
      <w:r w:rsidR="008B550F" w:rsidRPr="002E78B5">
        <w:rPr>
          <w:rFonts w:ascii="Book Antiqua" w:hAnsi="Book Antiqua" w:cs="Arial"/>
        </w:rPr>
        <w:t xml:space="preserve">urther work to identify these patient-sharing networks </w:t>
      </w:r>
      <w:r w:rsidR="00251633" w:rsidRPr="002E78B5">
        <w:rPr>
          <w:rFonts w:ascii="Book Antiqua" w:hAnsi="Book Antiqua" w:cs="Arial"/>
        </w:rPr>
        <w:t xml:space="preserve">and the important role of primary care services </w:t>
      </w:r>
      <w:r w:rsidR="00AD58CC" w:rsidRPr="002E78B5">
        <w:rPr>
          <w:rFonts w:ascii="Book Antiqua" w:hAnsi="Book Antiqua" w:cs="Arial"/>
        </w:rPr>
        <w:t xml:space="preserve">in these networks </w:t>
      </w:r>
      <w:r w:rsidR="005E440E" w:rsidRPr="002E78B5">
        <w:rPr>
          <w:rFonts w:ascii="Book Antiqua" w:hAnsi="Book Antiqua" w:cs="Arial"/>
        </w:rPr>
        <w:t>would assist in guiding improvements.</w:t>
      </w:r>
      <w:r w:rsidR="002B7143" w:rsidRPr="002E78B5">
        <w:rPr>
          <w:rFonts w:ascii="Book Antiqua" w:hAnsi="Book Antiqua" w:cs="Arial"/>
        </w:rPr>
        <w:t xml:space="preserve"> The approaches used to identify hospitals and specialties that share the care of patents could be applied to other chronic and complex disease processes to better delineate provider care networks across systems.</w:t>
      </w:r>
    </w:p>
    <w:p w14:paraId="670965C3" w14:textId="17BFBDDD" w:rsidR="00CB520C" w:rsidRPr="002E78B5" w:rsidRDefault="00603B0A" w:rsidP="006C577E">
      <w:pPr>
        <w:snapToGrid w:val="0"/>
        <w:spacing w:line="360" w:lineRule="auto"/>
        <w:ind w:firstLineChars="100" w:firstLine="240"/>
        <w:jc w:val="both"/>
        <w:rPr>
          <w:rFonts w:ascii="Book Antiqua" w:hAnsi="Book Antiqua" w:cs="Arial"/>
        </w:rPr>
      </w:pPr>
      <w:r w:rsidRPr="00603B0A">
        <w:rPr>
          <w:rFonts w:ascii="Book Antiqua" w:hAnsi="Book Antiqua" w:cs="Arial"/>
          <w:lang w:eastAsia="zh-CN"/>
        </w:rPr>
        <w:t>I</w:t>
      </w:r>
      <w:r w:rsidRPr="00603B0A">
        <w:rPr>
          <w:rFonts w:ascii="Book Antiqua" w:hAnsi="Book Antiqua" w:cs="Arial" w:hint="eastAsia"/>
          <w:lang w:eastAsia="zh-CN"/>
        </w:rPr>
        <w:t>n conclusion,</w:t>
      </w:r>
      <w:r>
        <w:rPr>
          <w:rFonts w:ascii="Book Antiqua" w:hAnsi="Book Antiqua" w:cs="Arial" w:hint="eastAsia"/>
          <w:b/>
          <w:lang w:eastAsia="zh-CN"/>
        </w:rPr>
        <w:t xml:space="preserve"> </w:t>
      </w:r>
      <w:r w:rsidRPr="002E78B5">
        <w:rPr>
          <w:rFonts w:ascii="Book Antiqua" w:hAnsi="Book Antiqua" w:cs="Arial"/>
        </w:rPr>
        <w:t>t</w:t>
      </w:r>
      <w:r w:rsidR="005246AF" w:rsidRPr="002E78B5">
        <w:rPr>
          <w:rFonts w:ascii="Book Antiqua" w:hAnsi="Book Antiqua" w:cs="Arial"/>
        </w:rPr>
        <w:t xml:space="preserve">o ensure quality and safe care for </w:t>
      </w:r>
      <w:r w:rsidR="00131654" w:rsidRPr="002E78B5">
        <w:rPr>
          <w:rFonts w:ascii="Book Antiqua" w:hAnsi="Book Antiqua" w:cs="Arial"/>
        </w:rPr>
        <w:t xml:space="preserve">patients with IBD, providers should have access to the right information </w:t>
      </w:r>
      <w:r w:rsidR="00113E90" w:rsidRPr="002E78B5">
        <w:rPr>
          <w:rFonts w:ascii="Book Antiqua" w:hAnsi="Book Antiqua" w:cs="Arial"/>
        </w:rPr>
        <w:t xml:space="preserve">about the right patient </w:t>
      </w:r>
      <w:r w:rsidR="00131654" w:rsidRPr="002E78B5">
        <w:rPr>
          <w:rFonts w:ascii="Book Antiqua" w:hAnsi="Book Antiqua" w:cs="Arial"/>
        </w:rPr>
        <w:t>at the right time. Finding</w:t>
      </w:r>
      <w:r w:rsidR="00113E90" w:rsidRPr="002E78B5">
        <w:rPr>
          <w:rFonts w:ascii="Book Antiqua" w:hAnsi="Book Antiqua" w:cs="Arial"/>
        </w:rPr>
        <w:t>s</w:t>
      </w:r>
      <w:r w:rsidR="00131654" w:rsidRPr="002E78B5">
        <w:rPr>
          <w:rFonts w:ascii="Book Antiqua" w:hAnsi="Book Antiqua" w:cs="Arial"/>
        </w:rPr>
        <w:t xml:space="preserve"> from this work have shown that p</w:t>
      </w:r>
      <w:r w:rsidR="00E4034D" w:rsidRPr="002E78B5">
        <w:rPr>
          <w:rFonts w:ascii="Book Antiqua" w:hAnsi="Book Antiqua" w:cs="Arial"/>
        </w:rPr>
        <w:t xml:space="preserve">atients </w:t>
      </w:r>
      <w:r w:rsidR="005246AF" w:rsidRPr="002E78B5">
        <w:rPr>
          <w:rFonts w:ascii="Book Antiqua" w:hAnsi="Book Antiqua" w:cs="Arial"/>
        </w:rPr>
        <w:t>with IBD often</w:t>
      </w:r>
      <w:r w:rsidR="00E4034D" w:rsidRPr="002E78B5">
        <w:rPr>
          <w:rFonts w:ascii="Book Antiqua" w:hAnsi="Book Antiqua" w:cs="Arial"/>
        </w:rPr>
        <w:t xml:space="preserve"> </w:t>
      </w:r>
      <w:r w:rsidR="00B21E90" w:rsidRPr="002E78B5">
        <w:rPr>
          <w:rFonts w:ascii="Book Antiqua" w:hAnsi="Book Antiqua" w:cs="Arial"/>
        </w:rPr>
        <w:t>transition between</w:t>
      </w:r>
      <w:r w:rsidR="00E4034D" w:rsidRPr="002E78B5">
        <w:rPr>
          <w:rFonts w:ascii="Book Antiqua" w:hAnsi="Book Antiqua" w:cs="Arial"/>
        </w:rPr>
        <w:t xml:space="preserve"> different </w:t>
      </w:r>
      <w:r w:rsidR="00326417" w:rsidRPr="002E78B5">
        <w:rPr>
          <w:rFonts w:ascii="Book Antiqua" w:hAnsi="Book Antiqua" w:cs="Arial"/>
        </w:rPr>
        <w:t>hospital</w:t>
      </w:r>
      <w:r w:rsidR="00E4034D" w:rsidRPr="002E78B5">
        <w:rPr>
          <w:rFonts w:ascii="Book Antiqua" w:hAnsi="Book Antiqua" w:cs="Arial"/>
        </w:rPr>
        <w:t xml:space="preserve"> providers in multiple settings</w:t>
      </w:r>
      <w:r w:rsidR="00113E90" w:rsidRPr="002E78B5">
        <w:rPr>
          <w:rFonts w:ascii="Book Antiqua" w:hAnsi="Book Antiqua" w:cs="Arial"/>
        </w:rPr>
        <w:t xml:space="preserve">. This may act as a barrier to </w:t>
      </w:r>
      <w:r w:rsidR="00B21E90" w:rsidRPr="002E78B5">
        <w:rPr>
          <w:rFonts w:ascii="Book Antiqua" w:hAnsi="Book Antiqua" w:cs="Arial"/>
        </w:rPr>
        <w:t>accessing up-to-date</w:t>
      </w:r>
      <w:r w:rsidR="00113E90" w:rsidRPr="002E78B5">
        <w:rPr>
          <w:rFonts w:ascii="Book Antiqua" w:hAnsi="Book Antiqua" w:cs="Arial"/>
        </w:rPr>
        <w:t xml:space="preserve"> </w:t>
      </w:r>
      <w:r w:rsidR="00EC1DB7" w:rsidRPr="002E78B5">
        <w:rPr>
          <w:rFonts w:ascii="Book Antiqua" w:hAnsi="Book Antiqua" w:cs="Arial"/>
        </w:rPr>
        <w:t xml:space="preserve">patient </w:t>
      </w:r>
      <w:r w:rsidR="00113E90" w:rsidRPr="002E78B5">
        <w:rPr>
          <w:rFonts w:ascii="Book Antiqua" w:hAnsi="Book Antiqua" w:cs="Arial"/>
        </w:rPr>
        <w:t>health information and negatively impact care</w:t>
      </w:r>
      <w:r w:rsidR="00E4034D" w:rsidRPr="002E78B5">
        <w:rPr>
          <w:rFonts w:ascii="Book Antiqua" w:hAnsi="Book Antiqua" w:cs="Arial"/>
        </w:rPr>
        <w:t xml:space="preserve">. </w:t>
      </w:r>
      <w:r w:rsidR="00113E90" w:rsidRPr="002E78B5">
        <w:rPr>
          <w:rFonts w:ascii="Book Antiqua" w:hAnsi="Book Antiqua" w:cs="Arial"/>
        </w:rPr>
        <w:t>These findings should encourage and assist the development of m</w:t>
      </w:r>
      <w:r w:rsidR="00131654" w:rsidRPr="002E78B5">
        <w:rPr>
          <w:rFonts w:ascii="Book Antiqua" w:hAnsi="Book Antiqua" w:cs="Arial"/>
        </w:rPr>
        <w:t xml:space="preserve">echanisms to </w:t>
      </w:r>
      <w:r w:rsidR="00113E90" w:rsidRPr="002E78B5">
        <w:rPr>
          <w:rFonts w:ascii="Book Antiqua" w:hAnsi="Book Antiqua" w:cs="Arial"/>
        </w:rPr>
        <w:t xml:space="preserve">enable </w:t>
      </w:r>
      <w:r w:rsidR="00EE662A" w:rsidRPr="002E78B5">
        <w:rPr>
          <w:rFonts w:ascii="Book Antiqua" w:hAnsi="Book Antiqua" w:cs="Arial"/>
        </w:rPr>
        <w:t xml:space="preserve">effective and efficient </w:t>
      </w:r>
      <w:r w:rsidR="00113E90" w:rsidRPr="002E78B5">
        <w:rPr>
          <w:rFonts w:ascii="Book Antiqua" w:hAnsi="Book Antiqua" w:cs="Arial"/>
        </w:rPr>
        <w:t>coordination of care between providers that</w:t>
      </w:r>
      <w:r w:rsidR="00D366BD" w:rsidRPr="002E78B5">
        <w:rPr>
          <w:rFonts w:ascii="Book Antiqua" w:hAnsi="Book Antiqua" w:cs="Arial"/>
        </w:rPr>
        <w:t xml:space="preserve"> share the care of IBD patients.</w:t>
      </w:r>
    </w:p>
    <w:p w14:paraId="09C946AB" w14:textId="71B5D58A" w:rsidR="005A6317" w:rsidRPr="002E78B5" w:rsidRDefault="005A6317" w:rsidP="006C577E">
      <w:pPr>
        <w:snapToGrid w:val="0"/>
        <w:spacing w:line="360" w:lineRule="auto"/>
        <w:jc w:val="both"/>
        <w:rPr>
          <w:rFonts w:ascii="Book Antiqua" w:eastAsiaTheme="minorEastAsia" w:hAnsi="Book Antiqua" w:cs="Arial"/>
          <w:color w:val="000000" w:themeColor="text1"/>
          <w:lang w:eastAsia="zh-CN"/>
        </w:rPr>
      </w:pPr>
    </w:p>
    <w:p w14:paraId="5F331C00" w14:textId="0216D7EB" w:rsidR="00C52159" w:rsidRPr="002E78B5" w:rsidRDefault="00C52159" w:rsidP="006C577E">
      <w:pPr>
        <w:adjustRightInd w:val="0"/>
        <w:snapToGrid w:val="0"/>
        <w:spacing w:line="360" w:lineRule="auto"/>
        <w:jc w:val="both"/>
        <w:rPr>
          <w:rFonts w:ascii="Book Antiqua" w:hAnsi="Book Antiqua"/>
          <w:b/>
          <w:color w:val="000000"/>
          <w:lang w:eastAsia="zh-CN"/>
        </w:rPr>
      </w:pPr>
      <w:r w:rsidRPr="002E78B5">
        <w:rPr>
          <w:rFonts w:ascii="Book Antiqua" w:hAnsi="Book Antiqua" w:cs="Garamond-Bold"/>
          <w:b/>
          <w:bCs/>
        </w:rPr>
        <w:t>ARTICLE HIGHLIGHTS</w:t>
      </w:r>
      <w:r w:rsidRPr="002E78B5">
        <w:rPr>
          <w:rFonts w:ascii="Book Antiqua" w:hAnsi="Book Antiqua" w:cs="Garamond-Bold"/>
          <w:b/>
          <w:bCs/>
          <w:lang w:eastAsia="zh-CN"/>
        </w:rPr>
        <w:t xml:space="preserve"> </w:t>
      </w:r>
    </w:p>
    <w:p w14:paraId="48B39706" w14:textId="491718B7" w:rsidR="00A735B8" w:rsidRPr="00334E63" w:rsidRDefault="00334E63" w:rsidP="006C577E">
      <w:pPr>
        <w:snapToGrid w:val="0"/>
        <w:spacing w:line="360" w:lineRule="auto"/>
        <w:jc w:val="both"/>
        <w:rPr>
          <w:rFonts w:ascii="Book Antiqua" w:eastAsiaTheme="minorEastAsia" w:hAnsi="Book Antiqua" w:cs="Arial"/>
          <w:b/>
          <w:i/>
          <w:color w:val="000000" w:themeColor="text1"/>
          <w:lang w:eastAsia="zh-CN"/>
        </w:rPr>
      </w:pPr>
      <w:r w:rsidRPr="00334E63">
        <w:rPr>
          <w:rFonts w:ascii="Book Antiqua" w:eastAsiaTheme="minorEastAsia" w:hAnsi="Book Antiqua" w:cs="Arial"/>
          <w:b/>
          <w:i/>
          <w:color w:val="000000" w:themeColor="text1"/>
          <w:lang w:eastAsia="zh-CN"/>
        </w:rPr>
        <w:t>Research background</w:t>
      </w:r>
    </w:p>
    <w:p w14:paraId="2DAEB6E6" w14:textId="3007A3B1" w:rsidR="00A735B8" w:rsidRPr="002E78B5" w:rsidRDefault="0063348B" w:rsidP="006C577E">
      <w:pPr>
        <w:snapToGrid w:val="0"/>
        <w:spacing w:line="360" w:lineRule="auto"/>
        <w:jc w:val="both"/>
        <w:rPr>
          <w:rFonts w:ascii="Book Antiqua" w:eastAsiaTheme="minorEastAsia" w:hAnsi="Book Antiqua" w:cs="Arial"/>
          <w:color w:val="000000" w:themeColor="text1"/>
          <w:lang w:eastAsia="zh-CN"/>
        </w:rPr>
      </w:pPr>
      <w:r w:rsidRPr="002E78B5">
        <w:rPr>
          <w:rFonts w:ascii="Book Antiqua" w:eastAsiaTheme="minorEastAsia" w:hAnsi="Book Antiqua" w:cs="Arial"/>
          <w:color w:val="000000" w:themeColor="text1"/>
          <w:lang w:eastAsia="zh-CN"/>
        </w:rPr>
        <w:t>I</w:t>
      </w:r>
      <w:r w:rsidR="00253A8C" w:rsidRPr="002E78B5">
        <w:rPr>
          <w:rFonts w:ascii="Book Antiqua" w:eastAsiaTheme="minorEastAsia" w:hAnsi="Book Antiqua" w:cs="Arial"/>
          <w:color w:val="000000" w:themeColor="text1"/>
          <w:lang w:eastAsia="zh-CN"/>
        </w:rPr>
        <w:t xml:space="preserve">nflammatory bowel disease (IBD) </w:t>
      </w:r>
      <w:r w:rsidRPr="002E78B5">
        <w:rPr>
          <w:rFonts w:ascii="Book Antiqua" w:eastAsiaTheme="minorEastAsia" w:hAnsi="Book Antiqua" w:cs="Arial"/>
          <w:color w:val="000000" w:themeColor="text1"/>
          <w:lang w:eastAsia="zh-CN"/>
        </w:rPr>
        <w:t>is a chronic</w:t>
      </w:r>
      <w:r w:rsidR="00607F93" w:rsidRPr="002E78B5">
        <w:rPr>
          <w:rFonts w:ascii="Book Antiqua" w:eastAsiaTheme="minorEastAsia" w:hAnsi="Book Antiqua" w:cs="Arial"/>
          <w:color w:val="000000" w:themeColor="text1"/>
          <w:lang w:eastAsia="zh-CN"/>
        </w:rPr>
        <w:t>,</w:t>
      </w:r>
      <w:r w:rsidRPr="002E78B5">
        <w:rPr>
          <w:rFonts w:ascii="Book Antiqua" w:eastAsiaTheme="minorEastAsia" w:hAnsi="Book Antiqua" w:cs="Arial"/>
          <w:color w:val="000000" w:themeColor="text1"/>
          <w:lang w:eastAsia="zh-CN"/>
        </w:rPr>
        <w:t xml:space="preserve"> inflammatory disorder </w:t>
      </w:r>
      <w:r w:rsidR="00607F93" w:rsidRPr="002E78B5">
        <w:rPr>
          <w:rFonts w:ascii="Book Antiqua" w:eastAsiaTheme="minorEastAsia" w:hAnsi="Book Antiqua" w:cs="Arial"/>
          <w:color w:val="000000" w:themeColor="text1"/>
          <w:lang w:eastAsia="zh-CN"/>
        </w:rPr>
        <w:t xml:space="preserve">characterised by both intestinal and extra-intestinal pathology. Patients may </w:t>
      </w:r>
      <w:r w:rsidRPr="002E78B5">
        <w:rPr>
          <w:rFonts w:ascii="Book Antiqua" w:eastAsiaTheme="minorEastAsia" w:hAnsi="Book Antiqua" w:cs="Arial"/>
          <w:color w:val="000000" w:themeColor="text1"/>
          <w:lang w:eastAsia="zh-CN"/>
        </w:rPr>
        <w:t>receive</w:t>
      </w:r>
      <w:r w:rsidR="00253A8C" w:rsidRPr="002E78B5">
        <w:rPr>
          <w:rFonts w:ascii="Book Antiqua" w:eastAsiaTheme="minorEastAsia" w:hAnsi="Book Antiqua" w:cs="Arial"/>
          <w:color w:val="000000" w:themeColor="text1"/>
          <w:lang w:eastAsia="zh-CN"/>
        </w:rPr>
        <w:t xml:space="preserve"> </w:t>
      </w:r>
      <w:r w:rsidR="007C6C30" w:rsidRPr="002E78B5">
        <w:rPr>
          <w:rFonts w:ascii="Book Antiqua" w:eastAsiaTheme="minorEastAsia" w:hAnsi="Book Antiqua" w:cs="Arial"/>
          <w:color w:val="000000" w:themeColor="text1"/>
          <w:lang w:eastAsia="zh-CN"/>
        </w:rPr>
        <w:t xml:space="preserve">both emergency and elective </w:t>
      </w:r>
      <w:r w:rsidR="00253A8C" w:rsidRPr="002E78B5">
        <w:rPr>
          <w:rFonts w:ascii="Book Antiqua" w:eastAsiaTheme="minorEastAsia" w:hAnsi="Book Antiqua" w:cs="Arial"/>
          <w:color w:val="000000" w:themeColor="text1"/>
          <w:lang w:eastAsia="zh-CN"/>
        </w:rPr>
        <w:t xml:space="preserve">care from several </w:t>
      </w:r>
      <w:r w:rsidR="00607F93" w:rsidRPr="002E78B5">
        <w:rPr>
          <w:rFonts w:ascii="Book Antiqua" w:eastAsiaTheme="minorEastAsia" w:hAnsi="Book Antiqua" w:cs="Arial"/>
          <w:color w:val="000000" w:themeColor="text1"/>
          <w:lang w:eastAsia="zh-CN"/>
        </w:rPr>
        <w:t>providers, often in different hospital settings</w:t>
      </w:r>
      <w:r w:rsidR="00253A8C" w:rsidRPr="002E78B5">
        <w:rPr>
          <w:rFonts w:ascii="Book Antiqua" w:eastAsiaTheme="minorEastAsia" w:hAnsi="Book Antiqua" w:cs="Arial"/>
          <w:color w:val="000000" w:themeColor="text1"/>
          <w:lang w:eastAsia="zh-CN"/>
        </w:rPr>
        <w:t>. Poorly managed t</w:t>
      </w:r>
      <w:r w:rsidR="00593141" w:rsidRPr="002E78B5">
        <w:rPr>
          <w:rFonts w:ascii="Book Antiqua" w:eastAsiaTheme="minorEastAsia" w:hAnsi="Book Antiqua" w:cs="Arial"/>
          <w:color w:val="000000" w:themeColor="text1"/>
          <w:lang w:eastAsia="zh-CN"/>
        </w:rPr>
        <w:t xml:space="preserve">ransitions of care between </w:t>
      </w:r>
      <w:r w:rsidR="00607F93" w:rsidRPr="002E78B5">
        <w:rPr>
          <w:rFonts w:ascii="Book Antiqua" w:eastAsiaTheme="minorEastAsia" w:hAnsi="Book Antiqua" w:cs="Arial"/>
          <w:color w:val="000000" w:themeColor="text1"/>
          <w:lang w:eastAsia="zh-CN"/>
        </w:rPr>
        <w:t>providers</w:t>
      </w:r>
      <w:r w:rsidR="00593141" w:rsidRPr="002E78B5">
        <w:rPr>
          <w:rFonts w:ascii="Book Antiqua" w:eastAsiaTheme="minorEastAsia" w:hAnsi="Book Antiqua" w:cs="Arial"/>
          <w:color w:val="000000" w:themeColor="text1"/>
          <w:lang w:eastAsia="zh-CN"/>
        </w:rPr>
        <w:t xml:space="preserve"> can lead to inefficiencies in care and patient safety issues.</w:t>
      </w:r>
      <w:r w:rsidR="003444A3" w:rsidRPr="002E78B5">
        <w:rPr>
          <w:rFonts w:ascii="Book Antiqua" w:eastAsiaTheme="minorEastAsia" w:hAnsi="Book Antiqua" w:cs="Arial"/>
          <w:color w:val="000000" w:themeColor="text1"/>
          <w:lang w:eastAsia="zh-CN"/>
        </w:rPr>
        <w:t xml:space="preserve"> To ensure that the sharing of patient information between providers is appropriate, timely, accurate and secure, </w:t>
      </w:r>
      <w:r w:rsidR="00607F93" w:rsidRPr="002E78B5">
        <w:rPr>
          <w:rFonts w:ascii="Book Antiqua" w:eastAsiaTheme="minorEastAsia" w:hAnsi="Book Antiqua" w:cs="Arial"/>
          <w:color w:val="000000" w:themeColor="text1"/>
          <w:lang w:eastAsia="zh-CN"/>
        </w:rPr>
        <w:t xml:space="preserve">effective </w:t>
      </w:r>
      <w:r w:rsidR="003444A3" w:rsidRPr="002E78B5">
        <w:rPr>
          <w:rFonts w:ascii="Book Antiqua" w:eastAsiaTheme="minorEastAsia" w:hAnsi="Book Antiqua" w:cs="Arial"/>
          <w:color w:val="000000" w:themeColor="text1"/>
          <w:lang w:eastAsia="zh-CN"/>
        </w:rPr>
        <w:t xml:space="preserve">data-sharing infrastructure needs to be developed. </w:t>
      </w:r>
      <w:r w:rsidR="00607F93" w:rsidRPr="002E78B5">
        <w:rPr>
          <w:rFonts w:ascii="Book Antiqua" w:eastAsiaTheme="minorEastAsia" w:hAnsi="Book Antiqua" w:cs="Arial"/>
          <w:color w:val="000000" w:themeColor="text1"/>
          <w:lang w:eastAsia="zh-CN"/>
        </w:rPr>
        <w:t>To optimise inter-hospital data-sharing for IBD patients, we need to better understand patterns of hospital encounters in this group.</w:t>
      </w:r>
    </w:p>
    <w:p w14:paraId="50088978" w14:textId="728E9556" w:rsidR="00A735B8" w:rsidRPr="002E78B5" w:rsidRDefault="00A735B8" w:rsidP="006C577E">
      <w:pPr>
        <w:snapToGrid w:val="0"/>
        <w:spacing w:line="360" w:lineRule="auto"/>
        <w:jc w:val="both"/>
        <w:rPr>
          <w:rFonts w:ascii="Book Antiqua" w:eastAsiaTheme="minorEastAsia" w:hAnsi="Book Antiqua" w:cs="Arial"/>
          <w:color w:val="000000" w:themeColor="text1"/>
          <w:lang w:eastAsia="zh-CN"/>
        </w:rPr>
      </w:pPr>
    </w:p>
    <w:p w14:paraId="27BD0DED" w14:textId="29BD0D64" w:rsidR="00A735B8" w:rsidRPr="00334E63" w:rsidRDefault="00334E63" w:rsidP="006C577E">
      <w:pPr>
        <w:snapToGrid w:val="0"/>
        <w:spacing w:line="360" w:lineRule="auto"/>
        <w:jc w:val="both"/>
        <w:rPr>
          <w:rFonts w:ascii="Book Antiqua" w:eastAsiaTheme="minorEastAsia" w:hAnsi="Book Antiqua" w:cs="Arial"/>
          <w:b/>
          <w:i/>
          <w:color w:val="000000" w:themeColor="text1"/>
          <w:lang w:eastAsia="zh-CN"/>
        </w:rPr>
      </w:pPr>
      <w:r w:rsidRPr="00334E63">
        <w:rPr>
          <w:rFonts w:ascii="Book Antiqua" w:eastAsiaTheme="minorEastAsia" w:hAnsi="Book Antiqua" w:cs="Arial"/>
          <w:b/>
          <w:i/>
          <w:color w:val="000000" w:themeColor="text1"/>
          <w:lang w:eastAsia="zh-CN"/>
        </w:rPr>
        <w:t>Research motivation</w:t>
      </w:r>
    </w:p>
    <w:p w14:paraId="2298CD00" w14:textId="4C1214C9" w:rsidR="00A735B8" w:rsidRPr="002E78B5" w:rsidRDefault="00036374" w:rsidP="006C577E">
      <w:pPr>
        <w:snapToGrid w:val="0"/>
        <w:spacing w:line="360" w:lineRule="auto"/>
        <w:jc w:val="both"/>
        <w:rPr>
          <w:rFonts w:ascii="Book Antiqua" w:eastAsiaTheme="minorEastAsia" w:hAnsi="Book Antiqua" w:cs="Arial"/>
          <w:color w:val="000000" w:themeColor="text1"/>
          <w:lang w:eastAsia="zh-CN"/>
        </w:rPr>
      </w:pPr>
      <w:r w:rsidRPr="002E78B5">
        <w:rPr>
          <w:rFonts w:ascii="Book Antiqua" w:eastAsiaTheme="minorEastAsia" w:hAnsi="Book Antiqua" w:cs="Arial"/>
          <w:color w:val="000000" w:themeColor="text1"/>
          <w:lang w:eastAsia="zh-CN"/>
        </w:rPr>
        <w:t xml:space="preserve">There is limited data on the types of hospital services accessed by patients with </w:t>
      </w:r>
      <w:r w:rsidR="00334E63">
        <w:rPr>
          <w:rFonts w:ascii="Book Antiqua" w:eastAsiaTheme="minorEastAsia" w:hAnsi="Book Antiqua" w:cs="Arial"/>
          <w:color w:val="000000" w:themeColor="text1"/>
          <w:lang w:eastAsia="zh-CN"/>
        </w:rPr>
        <w:t>IBD</w:t>
      </w:r>
      <w:r w:rsidRPr="002E78B5">
        <w:rPr>
          <w:rFonts w:ascii="Book Antiqua" w:eastAsiaTheme="minorEastAsia" w:hAnsi="Book Antiqua" w:cs="Arial"/>
          <w:color w:val="000000" w:themeColor="text1"/>
          <w:lang w:eastAsia="zh-CN"/>
        </w:rPr>
        <w:t xml:space="preserve"> and the frequency and location of hospital encounters. Identification of patterns of </w:t>
      </w:r>
      <w:r w:rsidR="00593141" w:rsidRPr="002E78B5">
        <w:rPr>
          <w:rFonts w:ascii="Book Antiqua" w:eastAsiaTheme="minorEastAsia" w:hAnsi="Book Antiqua" w:cs="Arial"/>
          <w:color w:val="000000" w:themeColor="text1"/>
          <w:lang w:eastAsia="zh-CN"/>
        </w:rPr>
        <w:lastRenderedPageBreak/>
        <w:t xml:space="preserve">hospital </w:t>
      </w:r>
      <w:r w:rsidRPr="002E78B5">
        <w:rPr>
          <w:rFonts w:ascii="Book Antiqua" w:eastAsiaTheme="minorEastAsia" w:hAnsi="Book Antiqua" w:cs="Arial"/>
          <w:color w:val="000000" w:themeColor="text1"/>
          <w:lang w:eastAsia="zh-CN"/>
        </w:rPr>
        <w:t>care</w:t>
      </w:r>
      <w:r w:rsidR="00593141" w:rsidRPr="002E78B5">
        <w:rPr>
          <w:rFonts w:ascii="Book Antiqua" w:eastAsiaTheme="minorEastAsia" w:hAnsi="Book Antiqua" w:cs="Arial"/>
          <w:color w:val="000000" w:themeColor="text1"/>
          <w:lang w:eastAsia="zh-CN"/>
        </w:rPr>
        <w:t xml:space="preserve"> </w:t>
      </w:r>
      <w:r w:rsidRPr="002E78B5">
        <w:rPr>
          <w:rFonts w:ascii="Book Antiqua" w:eastAsiaTheme="minorEastAsia" w:hAnsi="Book Antiqua" w:cs="Arial"/>
          <w:color w:val="000000" w:themeColor="text1"/>
          <w:lang w:eastAsia="zh-CN"/>
        </w:rPr>
        <w:t>can guide inter-hospital data</w:t>
      </w:r>
      <w:r w:rsidR="00607F93" w:rsidRPr="002E78B5">
        <w:rPr>
          <w:rFonts w:ascii="Book Antiqua" w:eastAsiaTheme="minorEastAsia" w:hAnsi="Book Antiqua" w:cs="Arial"/>
          <w:color w:val="000000" w:themeColor="text1"/>
          <w:lang w:eastAsia="zh-CN"/>
        </w:rPr>
        <w:t>-</w:t>
      </w:r>
      <w:r w:rsidRPr="002E78B5">
        <w:rPr>
          <w:rFonts w:ascii="Book Antiqua" w:eastAsiaTheme="minorEastAsia" w:hAnsi="Book Antiqua" w:cs="Arial"/>
          <w:color w:val="000000" w:themeColor="text1"/>
          <w:lang w:eastAsia="zh-CN"/>
        </w:rPr>
        <w:t xml:space="preserve">sharing </w:t>
      </w:r>
      <w:r w:rsidR="00593141" w:rsidRPr="002E78B5">
        <w:rPr>
          <w:rFonts w:ascii="Book Antiqua" w:eastAsiaTheme="minorEastAsia" w:hAnsi="Book Antiqua" w:cs="Arial"/>
          <w:color w:val="000000" w:themeColor="text1"/>
          <w:lang w:eastAsia="zh-CN"/>
        </w:rPr>
        <w:t xml:space="preserve">and care coordination </w:t>
      </w:r>
      <w:r w:rsidRPr="002E78B5">
        <w:rPr>
          <w:rFonts w:ascii="Book Antiqua" w:eastAsiaTheme="minorEastAsia" w:hAnsi="Book Antiqua" w:cs="Arial"/>
          <w:color w:val="000000" w:themeColor="text1"/>
          <w:lang w:eastAsia="zh-CN"/>
        </w:rPr>
        <w:t xml:space="preserve">which may </w:t>
      </w:r>
      <w:r w:rsidR="00593141" w:rsidRPr="002E78B5">
        <w:rPr>
          <w:rFonts w:ascii="Book Antiqua" w:eastAsiaTheme="minorEastAsia" w:hAnsi="Book Antiqua" w:cs="Arial"/>
          <w:color w:val="000000" w:themeColor="text1"/>
          <w:lang w:eastAsia="zh-CN"/>
        </w:rPr>
        <w:t xml:space="preserve">improve </w:t>
      </w:r>
      <w:r w:rsidRPr="002E78B5">
        <w:rPr>
          <w:rFonts w:ascii="Book Antiqua" w:eastAsiaTheme="minorEastAsia" w:hAnsi="Book Antiqua" w:cs="Arial"/>
          <w:color w:val="000000" w:themeColor="text1"/>
          <w:lang w:eastAsia="zh-CN"/>
        </w:rPr>
        <w:t>continuity of care for these patients.</w:t>
      </w:r>
    </w:p>
    <w:p w14:paraId="28E6D0F2" w14:textId="39EA8AD6" w:rsidR="00A735B8" w:rsidRPr="002E78B5" w:rsidRDefault="00A735B8" w:rsidP="006C577E">
      <w:pPr>
        <w:snapToGrid w:val="0"/>
        <w:spacing w:line="360" w:lineRule="auto"/>
        <w:jc w:val="both"/>
        <w:rPr>
          <w:rFonts w:ascii="Book Antiqua" w:eastAsiaTheme="minorEastAsia" w:hAnsi="Book Antiqua" w:cs="Arial"/>
          <w:color w:val="000000" w:themeColor="text1"/>
          <w:lang w:eastAsia="zh-CN"/>
        </w:rPr>
      </w:pPr>
    </w:p>
    <w:p w14:paraId="6A001FCE" w14:textId="3FF4794E" w:rsidR="00A735B8" w:rsidRPr="00334E63" w:rsidRDefault="00334E63" w:rsidP="006C577E">
      <w:pPr>
        <w:snapToGrid w:val="0"/>
        <w:spacing w:line="360" w:lineRule="auto"/>
        <w:jc w:val="both"/>
        <w:rPr>
          <w:rFonts w:ascii="Book Antiqua" w:eastAsiaTheme="minorEastAsia" w:hAnsi="Book Antiqua" w:cs="Arial"/>
          <w:b/>
          <w:i/>
          <w:color w:val="000000" w:themeColor="text1"/>
          <w:lang w:eastAsia="zh-CN"/>
        </w:rPr>
      </w:pPr>
      <w:r w:rsidRPr="00334E63">
        <w:rPr>
          <w:rFonts w:ascii="Book Antiqua" w:eastAsiaTheme="minorEastAsia" w:hAnsi="Book Antiqua" w:cs="Arial"/>
          <w:b/>
          <w:i/>
          <w:color w:val="000000" w:themeColor="text1"/>
          <w:lang w:eastAsia="zh-CN"/>
        </w:rPr>
        <w:t>Research objectives</w:t>
      </w:r>
    </w:p>
    <w:p w14:paraId="6DC35A6F" w14:textId="5C35F712" w:rsidR="00A735B8" w:rsidRPr="002E78B5" w:rsidRDefault="00036374" w:rsidP="006C577E">
      <w:pPr>
        <w:snapToGrid w:val="0"/>
        <w:spacing w:line="360" w:lineRule="auto"/>
        <w:jc w:val="both"/>
        <w:rPr>
          <w:rFonts w:ascii="Book Antiqua" w:eastAsiaTheme="minorEastAsia" w:hAnsi="Book Antiqua" w:cs="Arial"/>
          <w:color w:val="000000" w:themeColor="text1"/>
          <w:lang w:eastAsia="zh-CN"/>
        </w:rPr>
      </w:pPr>
      <w:r w:rsidRPr="002E78B5">
        <w:rPr>
          <w:rFonts w:ascii="Book Antiqua" w:eastAsiaTheme="minorEastAsia" w:hAnsi="Book Antiqua" w:cs="Arial"/>
          <w:color w:val="000000" w:themeColor="text1"/>
          <w:lang w:eastAsia="zh-CN"/>
        </w:rPr>
        <w:t xml:space="preserve">This study aimed to identify and quantify the hospital services accessed by patients with </w:t>
      </w:r>
      <w:r w:rsidR="00334E63">
        <w:rPr>
          <w:rFonts w:ascii="Book Antiqua" w:eastAsiaTheme="minorEastAsia" w:hAnsi="Book Antiqua" w:cs="Arial"/>
          <w:color w:val="000000" w:themeColor="text1"/>
          <w:lang w:eastAsia="zh-CN"/>
        </w:rPr>
        <w:t>IBD</w:t>
      </w:r>
      <w:r w:rsidRPr="002E78B5">
        <w:rPr>
          <w:rFonts w:ascii="Book Antiqua" w:eastAsiaTheme="minorEastAsia" w:hAnsi="Book Antiqua" w:cs="Arial"/>
          <w:color w:val="000000" w:themeColor="text1"/>
          <w:lang w:eastAsia="zh-CN"/>
        </w:rPr>
        <w:t xml:space="preserve"> in England.</w:t>
      </w:r>
    </w:p>
    <w:p w14:paraId="3F0D2591" w14:textId="77777777" w:rsidR="00A735B8" w:rsidRPr="002E78B5" w:rsidRDefault="00A735B8" w:rsidP="006C577E">
      <w:pPr>
        <w:snapToGrid w:val="0"/>
        <w:spacing w:line="360" w:lineRule="auto"/>
        <w:jc w:val="both"/>
        <w:rPr>
          <w:rFonts w:ascii="Book Antiqua" w:eastAsiaTheme="minorEastAsia" w:hAnsi="Book Antiqua" w:cs="Arial"/>
          <w:color w:val="000000" w:themeColor="text1"/>
          <w:lang w:eastAsia="zh-CN"/>
        </w:rPr>
      </w:pPr>
    </w:p>
    <w:p w14:paraId="49D00729" w14:textId="124B2286" w:rsidR="00A735B8" w:rsidRPr="00334E63" w:rsidRDefault="00334E63" w:rsidP="006C577E">
      <w:pPr>
        <w:snapToGrid w:val="0"/>
        <w:spacing w:line="360" w:lineRule="auto"/>
        <w:jc w:val="both"/>
        <w:rPr>
          <w:rFonts w:ascii="Book Antiqua" w:eastAsiaTheme="minorEastAsia" w:hAnsi="Book Antiqua" w:cs="Arial"/>
          <w:b/>
          <w:i/>
          <w:color w:val="000000" w:themeColor="text1"/>
          <w:lang w:eastAsia="zh-CN"/>
        </w:rPr>
      </w:pPr>
      <w:r w:rsidRPr="00334E63">
        <w:rPr>
          <w:rFonts w:ascii="Book Antiqua" w:eastAsiaTheme="minorEastAsia" w:hAnsi="Book Antiqua" w:cs="Arial"/>
          <w:b/>
          <w:i/>
          <w:color w:val="000000" w:themeColor="text1"/>
          <w:lang w:eastAsia="zh-CN"/>
        </w:rPr>
        <w:t>Research methods</w:t>
      </w:r>
    </w:p>
    <w:p w14:paraId="06E1B059" w14:textId="71CA6536" w:rsidR="00A735B8" w:rsidRPr="002E78B5" w:rsidRDefault="00593141" w:rsidP="006C577E">
      <w:pPr>
        <w:snapToGrid w:val="0"/>
        <w:spacing w:line="360" w:lineRule="auto"/>
        <w:jc w:val="both"/>
        <w:rPr>
          <w:rFonts w:ascii="Book Antiqua" w:eastAsiaTheme="minorEastAsia" w:hAnsi="Book Antiqua" w:cs="Arial"/>
          <w:color w:val="000000" w:themeColor="text1"/>
          <w:lang w:eastAsia="zh-CN"/>
        </w:rPr>
      </w:pPr>
      <w:r w:rsidRPr="002E78B5">
        <w:rPr>
          <w:rFonts w:ascii="Book Antiqua" w:eastAsiaTheme="minorEastAsia" w:hAnsi="Book Antiqua" w:cs="Arial"/>
          <w:color w:val="000000" w:themeColor="text1"/>
          <w:lang w:eastAsia="zh-CN"/>
        </w:rPr>
        <w:t xml:space="preserve">This retrospective observational study used Hospital Episode Statistics, a large administrative dataset in </w:t>
      </w:r>
      <w:r w:rsidR="00334E63" w:rsidRPr="00334E63">
        <w:rPr>
          <w:rFonts w:ascii="Book Antiqua" w:eastAsiaTheme="minorEastAsia" w:hAnsi="Book Antiqua" w:cs="Arial" w:hint="eastAsia"/>
          <w:color w:val="000000" w:themeColor="text1"/>
          <w:lang w:eastAsia="zh-CN"/>
        </w:rPr>
        <w:t xml:space="preserve">National Health Service </w:t>
      </w:r>
      <w:r w:rsidR="00334E63">
        <w:rPr>
          <w:rFonts w:ascii="Book Antiqua" w:eastAsiaTheme="minorEastAsia" w:hAnsi="Book Antiqua" w:cs="Arial" w:hint="eastAsia"/>
          <w:color w:val="000000" w:themeColor="text1"/>
          <w:lang w:eastAsia="zh-CN"/>
        </w:rPr>
        <w:t xml:space="preserve">in </w:t>
      </w:r>
      <w:r w:rsidRPr="002E78B5">
        <w:rPr>
          <w:rFonts w:ascii="Book Antiqua" w:eastAsiaTheme="minorEastAsia" w:hAnsi="Book Antiqua" w:cs="Arial"/>
          <w:color w:val="000000" w:themeColor="text1"/>
          <w:lang w:eastAsia="zh-CN"/>
        </w:rPr>
        <w:t xml:space="preserve">England, to identify characteristics of hospital care encounters for IBD patients. </w:t>
      </w:r>
      <w:r w:rsidR="00607F93" w:rsidRPr="002E78B5">
        <w:rPr>
          <w:rFonts w:ascii="Book Antiqua" w:eastAsiaTheme="minorEastAsia" w:hAnsi="Book Antiqua" w:cs="Arial"/>
          <w:color w:val="000000" w:themeColor="text1"/>
          <w:lang w:eastAsia="zh-CN"/>
        </w:rPr>
        <w:t>The p</w:t>
      </w:r>
      <w:r w:rsidRPr="002E78B5">
        <w:rPr>
          <w:rFonts w:ascii="Book Antiqua" w:eastAsiaTheme="minorEastAsia" w:hAnsi="Book Antiqua" w:cs="Arial"/>
          <w:color w:val="000000" w:themeColor="text1"/>
          <w:lang w:eastAsia="zh-CN"/>
        </w:rPr>
        <w:t xml:space="preserve">roportion of encounters with providers other than the patients usual ‘home provider’ of IBD care was </w:t>
      </w:r>
      <w:r w:rsidR="00CB5088" w:rsidRPr="002E78B5">
        <w:rPr>
          <w:rFonts w:ascii="Book Antiqua" w:eastAsiaTheme="minorEastAsia" w:hAnsi="Book Antiqua" w:cs="Arial"/>
          <w:color w:val="000000" w:themeColor="text1"/>
          <w:lang w:eastAsia="zh-CN"/>
        </w:rPr>
        <w:t xml:space="preserve">calculated, in addition to associations with patient age, </w:t>
      </w:r>
      <w:r w:rsidR="00607F93" w:rsidRPr="002E78B5">
        <w:rPr>
          <w:rFonts w:ascii="Book Antiqua" w:eastAsiaTheme="minorEastAsia" w:hAnsi="Book Antiqua" w:cs="Arial"/>
          <w:color w:val="000000" w:themeColor="text1"/>
          <w:lang w:eastAsia="zh-CN"/>
        </w:rPr>
        <w:t>location and type of specialist providers</w:t>
      </w:r>
      <w:r w:rsidR="008F1950" w:rsidRPr="002E78B5">
        <w:rPr>
          <w:rFonts w:ascii="Book Antiqua" w:eastAsiaTheme="minorEastAsia" w:hAnsi="Book Antiqua" w:cs="Arial"/>
          <w:color w:val="000000" w:themeColor="text1"/>
          <w:lang w:eastAsia="zh-CN"/>
        </w:rPr>
        <w:t xml:space="preserve"> attended.</w:t>
      </w:r>
    </w:p>
    <w:p w14:paraId="6B4833BB" w14:textId="77777777" w:rsidR="00A735B8" w:rsidRPr="002E78B5" w:rsidRDefault="00A735B8" w:rsidP="006C577E">
      <w:pPr>
        <w:snapToGrid w:val="0"/>
        <w:spacing w:line="360" w:lineRule="auto"/>
        <w:jc w:val="both"/>
        <w:rPr>
          <w:rFonts w:ascii="Book Antiqua" w:eastAsiaTheme="minorEastAsia" w:hAnsi="Book Antiqua" w:cs="Arial"/>
          <w:color w:val="000000" w:themeColor="text1"/>
          <w:lang w:eastAsia="zh-CN"/>
        </w:rPr>
      </w:pPr>
    </w:p>
    <w:p w14:paraId="224D7CBD" w14:textId="2EC33F9D" w:rsidR="00A735B8" w:rsidRPr="00334E63" w:rsidRDefault="00A735B8" w:rsidP="006C577E">
      <w:pPr>
        <w:snapToGrid w:val="0"/>
        <w:spacing w:line="360" w:lineRule="auto"/>
        <w:jc w:val="both"/>
        <w:rPr>
          <w:rFonts w:ascii="Book Antiqua" w:eastAsiaTheme="minorEastAsia" w:hAnsi="Book Antiqua" w:cs="Arial"/>
          <w:b/>
          <w:i/>
          <w:color w:val="000000" w:themeColor="text1"/>
          <w:lang w:eastAsia="zh-CN"/>
        </w:rPr>
      </w:pPr>
      <w:r w:rsidRPr="00334E63">
        <w:rPr>
          <w:rFonts w:ascii="Book Antiqua" w:eastAsiaTheme="minorEastAsia" w:hAnsi="Book Antiqua" w:cs="Arial"/>
          <w:b/>
          <w:i/>
          <w:color w:val="000000" w:themeColor="text1"/>
          <w:lang w:eastAsia="zh-CN"/>
        </w:rPr>
        <w:t>Research results</w:t>
      </w:r>
    </w:p>
    <w:p w14:paraId="4C835170" w14:textId="3AF07FFF" w:rsidR="00D22066" w:rsidRPr="002E78B5" w:rsidRDefault="00E52CE8" w:rsidP="006C577E">
      <w:pPr>
        <w:snapToGrid w:val="0"/>
        <w:spacing w:line="360" w:lineRule="auto"/>
        <w:jc w:val="both"/>
        <w:rPr>
          <w:rFonts w:ascii="Book Antiqua" w:hAnsi="Book Antiqua" w:cs="Arial"/>
        </w:rPr>
      </w:pPr>
      <w:r w:rsidRPr="002E78B5">
        <w:rPr>
          <w:rFonts w:ascii="Book Antiqua" w:hAnsi="Book Antiqua" w:cs="Arial"/>
        </w:rPr>
        <w:t>The proportion of encounters with hospital</w:t>
      </w:r>
      <w:r w:rsidR="00E71FB9" w:rsidRPr="002E78B5">
        <w:rPr>
          <w:rFonts w:ascii="Book Antiqua" w:hAnsi="Book Antiqua" w:cs="Arial"/>
        </w:rPr>
        <w:t>s</w:t>
      </w:r>
      <w:r w:rsidRPr="002E78B5">
        <w:rPr>
          <w:rFonts w:ascii="Book Antiqua" w:hAnsi="Book Antiqua" w:cs="Arial"/>
        </w:rPr>
        <w:t xml:space="preserve"> other than the usual </w:t>
      </w:r>
      <w:r w:rsidR="00E71FB9" w:rsidRPr="002E78B5">
        <w:rPr>
          <w:rFonts w:ascii="Book Antiqua" w:hAnsi="Book Antiqua" w:cs="Arial"/>
        </w:rPr>
        <w:t xml:space="preserve">gastroenterology </w:t>
      </w:r>
      <w:r w:rsidR="00334E63">
        <w:rPr>
          <w:rFonts w:ascii="Book Antiqua" w:hAnsi="Book Antiqua" w:cs="Arial"/>
        </w:rPr>
        <w:t>‘home provider’ for 95</w:t>
      </w:r>
      <w:r w:rsidRPr="002E78B5">
        <w:rPr>
          <w:rFonts w:ascii="Book Antiqua" w:hAnsi="Book Antiqua" w:cs="Arial"/>
        </w:rPr>
        <w:t xml:space="preserve">055 IBD patients </w:t>
      </w:r>
      <w:r w:rsidR="00AF2748" w:rsidRPr="002E78B5">
        <w:rPr>
          <w:rFonts w:ascii="Book Antiqua" w:hAnsi="Book Antiqua" w:cs="Arial"/>
        </w:rPr>
        <w:t>was up to</w:t>
      </w:r>
      <w:r w:rsidRPr="002E78B5">
        <w:rPr>
          <w:rFonts w:ascii="Book Antiqua" w:hAnsi="Book Antiqua" w:cs="Arial"/>
        </w:rPr>
        <w:t xml:space="preserve"> 26.7% for accident and emergency encounters</w:t>
      </w:r>
      <w:r w:rsidR="00E71FB9" w:rsidRPr="002E78B5">
        <w:rPr>
          <w:rFonts w:ascii="Book Antiqua" w:hAnsi="Book Antiqua" w:cs="Arial"/>
        </w:rPr>
        <w:t xml:space="preserve">, followed by 16.9% for outpatient and 12.2% for inpatient encounters. </w:t>
      </w:r>
      <w:r w:rsidR="00D22066" w:rsidRPr="002E78B5">
        <w:rPr>
          <w:rFonts w:ascii="Book Antiqua" w:hAnsi="Book Antiqua" w:cs="Arial"/>
        </w:rPr>
        <w:t xml:space="preserve">Patients living in </w:t>
      </w:r>
      <w:r w:rsidR="00E71FB9" w:rsidRPr="002E78B5">
        <w:rPr>
          <w:rFonts w:ascii="Book Antiqua" w:hAnsi="Book Antiqua" w:cs="Arial"/>
        </w:rPr>
        <w:t>cities</w:t>
      </w:r>
      <w:r w:rsidR="00D22066" w:rsidRPr="002E78B5">
        <w:rPr>
          <w:rFonts w:ascii="Book Antiqua" w:hAnsi="Book Antiqua" w:cs="Arial"/>
        </w:rPr>
        <w:t xml:space="preserve"> and younger patients were less likely to attend their ‘home provider’ for hospital services. The most commonly attended </w:t>
      </w:r>
      <w:r w:rsidR="00E71FB9" w:rsidRPr="002E78B5">
        <w:rPr>
          <w:rFonts w:ascii="Book Antiqua" w:hAnsi="Book Antiqua" w:cs="Arial"/>
        </w:rPr>
        <w:t xml:space="preserve">outpatient </w:t>
      </w:r>
      <w:r w:rsidR="00D22066" w:rsidRPr="002E78B5">
        <w:rPr>
          <w:rFonts w:ascii="Book Antiqua" w:hAnsi="Book Antiqua" w:cs="Arial"/>
        </w:rPr>
        <w:t>specialty services were gastroenterology, general surgery and ophthalmology.</w:t>
      </w:r>
    </w:p>
    <w:p w14:paraId="39114570" w14:textId="66A1A3A4" w:rsidR="00A735B8" w:rsidRPr="002E78B5" w:rsidRDefault="00A735B8" w:rsidP="006C577E">
      <w:pPr>
        <w:snapToGrid w:val="0"/>
        <w:spacing w:line="360" w:lineRule="auto"/>
        <w:jc w:val="both"/>
        <w:rPr>
          <w:rFonts w:ascii="Book Antiqua" w:eastAsiaTheme="minorEastAsia" w:hAnsi="Book Antiqua" w:cs="Arial"/>
          <w:color w:val="000000" w:themeColor="text1"/>
          <w:lang w:eastAsia="zh-CN"/>
        </w:rPr>
      </w:pPr>
    </w:p>
    <w:p w14:paraId="61EFAF72" w14:textId="46202599" w:rsidR="00A735B8" w:rsidRPr="00334E63" w:rsidRDefault="00334E63" w:rsidP="006C577E">
      <w:pPr>
        <w:snapToGrid w:val="0"/>
        <w:spacing w:line="360" w:lineRule="auto"/>
        <w:jc w:val="both"/>
        <w:rPr>
          <w:rFonts w:ascii="Book Antiqua" w:eastAsiaTheme="minorEastAsia" w:hAnsi="Book Antiqua" w:cs="Arial"/>
          <w:b/>
          <w:i/>
          <w:color w:val="000000" w:themeColor="text1"/>
          <w:lang w:eastAsia="zh-CN"/>
        </w:rPr>
      </w:pPr>
      <w:r w:rsidRPr="00334E63">
        <w:rPr>
          <w:rFonts w:ascii="Book Antiqua" w:eastAsiaTheme="minorEastAsia" w:hAnsi="Book Antiqua" w:cs="Arial"/>
          <w:b/>
          <w:i/>
          <w:color w:val="000000" w:themeColor="text1"/>
          <w:lang w:eastAsia="zh-CN"/>
        </w:rPr>
        <w:t>Research conclusions</w:t>
      </w:r>
    </w:p>
    <w:p w14:paraId="66C7FCBD" w14:textId="351DA1B0" w:rsidR="00A735B8" w:rsidRPr="002E78B5" w:rsidRDefault="002607FF" w:rsidP="006C577E">
      <w:pPr>
        <w:snapToGrid w:val="0"/>
        <w:spacing w:line="360" w:lineRule="auto"/>
        <w:jc w:val="both"/>
        <w:rPr>
          <w:rFonts w:ascii="Book Antiqua" w:eastAsiaTheme="minorEastAsia" w:hAnsi="Book Antiqua" w:cs="Arial"/>
          <w:color w:val="000000" w:themeColor="text1"/>
          <w:lang w:eastAsia="zh-CN"/>
        </w:rPr>
      </w:pPr>
      <w:r w:rsidRPr="002E78B5">
        <w:rPr>
          <w:rFonts w:ascii="Book Antiqua" w:eastAsiaTheme="minorEastAsia" w:hAnsi="Book Antiqua" w:cs="Arial"/>
          <w:color w:val="000000" w:themeColor="text1"/>
          <w:lang w:eastAsia="zh-CN"/>
        </w:rPr>
        <w:t>Up to</w:t>
      </w:r>
      <w:r w:rsidR="00CB5088" w:rsidRPr="002E78B5">
        <w:rPr>
          <w:rFonts w:ascii="Book Antiqua" w:eastAsiaTheme="minorEastAsia" w:hAnsi="Book Antiqua" w:cs="Arial"/>
          <w:color w:val="000000" w:themeColor="text1"/>
          <w:lang w:eastAsia="zh-CN"/>
        </w:rPr>
        <w:t xml:space="preserve"> one in f</w:t>
      </w:r>
      <w:r w:rsidR="00E71FB9" w:rsidRPr="002E78B5">
        <w:rPr>
          <w:rFonts w:ascii="Book Antiqua" w:eastAsiaTheme="minorEastAsia" w:hAnsi="Book Antiqua" w:cs="Arial"/>
          <w:color w:val="000000" w:themeColor="text1"/>
          <w:lang w:eastAsia="zh-CN"/>
        </w:rPr>
        <w:t>our</w:t>
      </w:r>
      <w:r w:rsidR="00CB5088" w:rsidRPr="002E78B5">
        <w:rPr>
          <w:rFonts w:ascii="Book Antiqua" w:eastAsiaTheme="minorEastAsia" w:hAnsi="Book Antiqua" w:cs="Arial"/>
          <w:color w:val="000000" w:themeColor="text1"/>
          <w:lang w:eastAsia="zh-CN"/>
        </w:rPr>
        <w:t xml:space="preserve"> </w:t>
      </w:r>
      <w:r w:rsidR="00E71FB9" w:rsidRPr="002E78B5">
        <w:rPr>
          <w:rFonts w:ascii="Book Antiqua" w:eastAsiaTheme="minorEastAsia" w:hAnsi="Book Antiqua" w:cs="Arial"/>
          <w:color w:val="000000" w:themeColor="text1"/>
          <w:lang w:eastAsia="zh-CN"/>
        </w:rPr>
        <w:t xml:space="preserve">accident and emergency </w:t>
      </w:r>
      <w:r w:rsidR="00CB5088" w:rsidRPr="002E78B5">
        <w:rPr>
          <w:rFonts w:ascii="Book Antiqua" w:eastAsiaTheme="minorEastAsia" w:hAnsi="Book Antiqua" w:cs="Arial"/>
          <w:color w:val="000000" w:themeColor="text1"/>
          <w:lang w:eastAsia="zh-CN"/>
        </w:rPr>
        <w:t xml:space="preserve">encounters for patients with IBD </w:t>
      </w:r>
      <w:r w:rsidR="00E71FB9" w:rsidRPr="002E78B5">
        <w:rPr>
          <w:rFonts w:ascii="Book Antiqua" w:eastAsiaTheme="minorEastAsia" w:hAnsi="Book Antiqua" w:cs="Arial"/>
          <w:color w:val="000000" w:themeColor="text1"/>
          <w:lang w:eastAsia="zh-CN"/>
        </w:rPr>
        <w:t xml:space="preserve">in England </w:t>
      </w:r>
      <w:r w:rsidR="00CB5088" w:rsidRPr="002E78B5">
        <w:rPr>
          <w:rFonts w:ascii="Book Antiqua" w:eastAsiaTheme="minorEastAsia" w:hAnsi="Book Antiqua" w:cs="Arial"/>
          <w:color w:val="000000" w:themeColor="text1"/>
          <w:lang w:eastAsia="zh-CN"/>
        </w:rPr>
        <w:t xml:space="preserve">were with a different provider to the patient’s usual </w:t>
      </w:r>
      <w:r w:rsidR="00E71FB9" w:rsidRPr="002E78B5">
        <w:rPr>
          <w:rFonts w:ascii="Book Antiqua" w:eastAsiaTheme="minorEastAsia" w:hAnsi="Book Antiqua" w:cs="Arial"/>
          <w:color w:val="000000" w:themeColor="text1"/>
          <w:lang w:eastAsia="zh-CN"/>
        </w:rPr>
        <w:t xml:space="preserve">gastroenterology </w:t>
      </w:r>
      <w:r w:rsidR="00CB5088" w:rsidRPr="002E78B5">
        <w:rPr>
          <w:rFonts w:ascii="Book Antiqua" w:eastAsiaTheme="minorEastAsia" w:hAnsi="Book Antiqua" w:cs="Arial"/>
          <w:color w:val="000000" w:themeColor="text1"/>
          <w:lang w:eastAsia="zh-CN"/>
        </w:rPr>
        <w:t xml:space="preserve">‘home provider’ of IBD care. </w:t>
      </w:r>
      <w:r w:rsidR="00E71FB9" w:rsidRPr="002E78B5">
        <w:rPr>
          <w:rFonts w:ascii="Book Antiqua" w:eastAsiaTheme="minorEastAsia" w:hAnsi="Book Antiqua" w:cs="Arial"/>
          <w:color w:val="000000" w:themeColor="text1"/>
          <w:lang w:eastAsia="zh-CN"/>
        </w:rPr>
        <w:t>IBD patient</w:t>
      </w:r>
      <w:r w:rsidR="00CB0204" w:rsidRPr="002E78B5">
        <w:rPr>
          <w:rFonts w:ascii="Book Antiqua" w:eastAsiaTheme="minorEastAsia" w:hAnsi="Book Antiqua" w:cs="Arial"/>
          <w:color w:val="000000" w:themeColor="text1"/>
          <w:lang w:eastAsia="zh-CN"/>
        </w:rPr>
        <w:t>s</w:t>
      </w:r>
      <w:r w:rsidR="00E71FB9" w:rsidRPr="002E78B5">
        <w:rPr>
          <w:rFonts w:ascii="Book Antiqua" w:eastAsiaTheme="minorEastAsia" w:hAnsi="Book Antiqua" w:cs="Arial"/>
          <w:color w:val="000000" w:themeColor="text1"/>
          <w:lang w:eastAsia="zh-CN"/>
        </w:rPr>
        <w:t xml:space="preserve"> also often attended other hospitals for </w:t>
      </w:r>
      <w:r w:rsidR="0090499F" w:rsidRPr="002E78B5">
        <w:rPr>
          <w:rFonts w:ascii="Book Antiqua" w:eastAsiaTheme="minorEastAsia" w:hAnsi="Book Antiqua" w:cs="Arial"/>
          <w:color w:val="000000" w:themeColor="text1"/>
          <w:lang w:eastAsia="zh-CN"/>
        </w:rPr>
        <w:t xml:space="preserve">a range of </w:t>
      </w:r>
      <w:r w:rsidR="00E71FB9" w:rsidRPr="002E78B5">
        <w:rPr>
          <w:rFonts w:ascii="Book Antiqua" w:eastAsiaTheme="minorEastAsia" w:hAnsi="Book Antiqua" w:cs="Arial"/>
          <w:color w:val="000000" w:themeColor="text1"/>
          <w:lang w:eastAsia="zh-CN"/>
        </w:rPr>
        <w:t xml:space="preserve">outpatient and inpatient </w:t>
      </w:r>
      <w:r w:rsidR="0090499F" w:rsidRPr="002E78B5">
        <w:rPr>
          <w:rFonts w:ascii="Book Antiqua" w:eastAsiaTheme="minorEastAsia" w:hAnsi="Book Antiqua" w:cs="Arial"/>
          <w:color w:val="000000" w:themeColor="text1"/>
          <w:lang w:eastAsia="zh-CN"/>
        </w:rPr>
        <w:t>services</w:t>
      </w:r>
      <w:r w:rsidR="00E71FB9" w:rsidRPr="002E78B5">
        <w:rPr>
          <w:rFonts w:ascii="Book Antiqua" w:eastAsiaTheme="minorEastAsia" w:hAnsi="Book Antiqua" w:cs="Arial"/>
          <w:color w:val="000000" w:themeColor="text1"/>
          <w:lang w:eastAsia="zh-CN"/>
        </w:rPr>
        <w:t>. These findings emphasise the importance of developing effective data-sharing strategies between hospitals to maintain continuity of information and continuity of care for IBD patients.</w:t>
      </w:r>
      <w:r w:rsidR="00CB0204" w:rsidRPr="002E78B5">
        <w:rPr>
          <w:rFonts w:ascii="Book Antiqua" w:eastAsiaTheme="minorEastAsia" w:hAnsi="Book Antiqua" w:cs="Arial"/>
          <w:color w:val="000000" w:themeColor="text1"/>
          <w:lang w:eastAsia="zh-CN"/>
        </w:rPr>
        <w:t xml:space="preserve"> </w:t>
      </w:r>
    </w:p>
    <w:p w14:paraId="52FE9053" w14:textId="0AF3A3CF" w:rsidR="00A735B8" w:rsidRPr="002E78B5" w:rsidRDefault="00A735B8" w:rsidP="006C577E">
      <w:pPr>
        <w:snapToGrid w:val="0"/>
        <w:spacing w:line="360" w:lineRule="auto"/>
        <w:jc w:val="both"/>
        <w:rPr>
          <w:rFonts w:ascii="Book Antiqua" w:eastAsiaTheme="minorEastAsia" w:hAnsi="Book Antiqua" w:cs="Arial"/>
          <w:color w:val="000000" w:themeColor="text1"/>
          <w:lang w:eastAsia="zh-CN"/>
        </w:rPr>
      </w:pPr>
    </w:p>
    <w:p w14:paraId="3017D6C2" w14:textId="2DF2CC52" w:rsidR="00A735B8" w:rsidRPr="00334E63" w:rsidRDefault="00334E63" w:rsidP="006C577E">
      <w:pPr>
        <w:snapToGrid w:val="0"/>
        <w:spacing w:line="360" w:lineRule="auto"/>
        <w:jc w:val="both"/>
        <w:rPr>
          <w:rFonts w:ascii="Book Antiqua" w:eastAsiaTheme="minorEastAsia" w:hAnsi="Book Antiqua" w:cs="Arial"/>
          <w:b/>
          <w:i/>
          <w:color w:val="000000" w:themeColor="text1"/>
          <w:lang w:eastAsia="zh-CN"/>
        </w:rPr>
      </w:pPr>
      <w:r w:rsidRPr="00334E63">
        <w:rPr>
          <w:rFonts w:ascii="Book Antiqua" w:eastAsiaTheme="minorEastAsia" w:hAnsi="Book Antiqua" w:cs="Arial"/>
          <w:b/>
          <w:i/>
          <w:color w:val="000000" w:themeColor="text1"/>
          <w:lang w:eastAsia="zh-CN"/>
        </w:rPr>
        <w:lastRenderedPageBreak/>
        <w:t>Research perspectives</w:t>
      </w:r>
    </w:p>
    <w:p w14:paraId="28B09A71" w14:textId="58C4AC52" w:rsidR="00CB0204" w:rsidRPr="002E78B5" w:rsidRDefault="00CB0204" w:rsidP="006C577E">
      <w:pPr>
        <w:snapToGrid w:val="0"/>
        <w:spacing w:line="360" w:lineRule="auto"/>
        <w:jc w:val="both"/>
        <w:rPr>
          <w:rFonts w:ascii="Book Antiqua" w:eastAsiaTheme="minorEastAsia" w:hAnsi="Book Antiqua" w:cs="Arial"/>
          <w:color w:val="000000" w:themeColor="text1"/>
          <w:lang w:eastAsia="zh-CN"/>
        </w:rPr>
      </w:pPr>
      <w:r w:rsidRPr="002E78B5">
        <w:rPr>
          <w:rFonts w:ascii="Book Antiqua" w:eastAsiaTheme="minorEastAsia" w:hAnsi="Book Antiqua" w:cs="Arial"/>
          <w:color w:val="000000" w:themeColor="text1"/>
          <w:lang w:eastAsia="zh-CN"/>
        </w:rPr>
        <w:t>Findings from this study provide a national-level view of transitions of care between hospitals for patients with IBD in England. We have shown that certain groups of patients, including younger patients and those based in metropolitan areas, have more frequent transitions of care and may be a suitable target for further research and interventions to improve care continuity. Further qualitative an</w:t>
      </w:r>
      <w:r w:rsidR="0090499F" w:rsidRPr="002E78B5">
        <w:rPr>
          <w:rFonts w:ascii="Book Antiqua" w:eastAsiaTheme="minorEastAsia" w:hAnsi="Book Antiqua" w:cs="Arial"/>
          <w:color w:val="000000" w:themeColor="text1"/>
          <w:lang w:eastAsia="zh-CN"/>
        </w:rPr>
        <w:t>d</w:t>
      </w:r>
      <w:r w:rsidRPr="002E78B5">
        <w:rPr>
          <w:rFonts w:ascii="Book Antiqua" w:eastAsiaTheme="minorEastAsia" w:hAnsi="Book Antiqua" w:cs="Arial"/>
          <w:color w:val="000000" w:themeColor="text1"/>
          <w:lang w:eastAsia="zh-CN"/>
        </w:rPr>
        <w:t xml:space="preserve"> quantitative research </w:t>
      </w:r>
      <w:r w:rsidR="0090499F" w:rsidRPr="002E78B5">
        <w:rPr>
          <w:rFonts w:ascii="Book Antiqua" w:eastAsiaTheme="minorEastAsia" w:hAnsi="Book Antiqua" w:cs="Arial"/>
          <w:color w:val="000000" w:themeColor="text1"/>
          <w:lang w:eastAsia="zh-CN"/>
        </w:rPr>
        <w:t xml:space="preserve">is needed to understand the implications of these findings and improve inter-hospital data-sharing. </w:t>
      </w:r>
    </w:p>
    <w:p w14:paraId="40A714EA" w14:textId="1B3F4290" w:rsidR="00334E63" w:rsidRDefault="00334E63" w:rsidP="006C577E">
      <w:pPr>
        <w:snapToGrid w:val="0"/>
        <w:spacing w:line="360" w:lineRule="auto"/>
        <w:rPr>
          <w:rFonts w:ascii="Book Antiqua" w:eastAsiaTheme="minorEastAsia" w:hAnsi="Book Antiqua" w:cs="Arial"/>
          <w:color w:val="000000" w:themeColor="text1"/>
          <w:lang w:eastAsia="zh-CN"/>
        </w:rPr>
      </w:pPr>
      <w:r>
        <w:rPr>
          <w:rFonts w:ascii="Book Antiqua" w:eastAsiaTheme="minorEastAsia" w:hAnsi="Book Antiqua" w:cs="Arial"/>
          <w:color w:val="000000" w:themeColor="text1"/>
          <w:lang w:eastAsia="zh-CN"/>
        </w:rPr>
        <w:br w:type="page"/>
      </w:r>
    </w:p>
    <w:p w14:paraId="5C7EC442" w14:textId="0CE3FBD9" w:rsidR="004753DB" w:rsidRPr="002E78B5" w:rsidRDefault="005A6317" w:rsidP="006C577E">
      <w:pPr>
        <w:snapToGrid w:val="0"/>
        <w:spacing w:line="360" w:lineRule="auto"/>
        <w:jc w:val="both"/>
        <w:rPr>
          <w:rFonts w:ascii="Book Antiqua" w:hAnsi="Book Antiqua" w:cs="Arial"/>
          <w:b/>
          <w:color w:val="000000" w:themeColor="text1"/>
        </w:rPr>
      </w:pPr>
      <w:r w:rsidRPr="002E78B5">
        <w:rPr>
          <w:rFonts w:ascii="Book Antiqua" w:hAnsi="Book Antiqua" w:cs="Arial"/>
          <w:b/>
          <w:color w:val="000000" w:themeColor="text1"/>
        </w:rPr>
        <w:lastRenderedPageBreak/>
        <w:t>REFERENCES</w:t>
      </w:r>
    </w:p>
    <w:p w14:paraId="2D2F7E6E"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1 </w:t>
      </w:r>
      <w:r w:rsidRPr="00420402">
        <w:rPr>
          <w:rFonts w:ascii="Book Antiqua" w:eastAsia="SimSun" w:hAnsi="Book Antiqua"/>
          <w:b/>
          <w:kern w:val="2"/>
          <w:lang w:val="en-US" w:eastAsia="zh-CN"/>
        </w:rPr>
        <w:t>Khor B</w:t>
      </w:r>
      <w:r w:rsidRPr="00420402">
        <w:rPr>
          <w:rFonts w:ascii="Book Antiqua" w:eastAsia="SimSun" w:hAnsi="Book Antiqua"/>
          <w:kern w:val="2"/>
          <w:lang w:val="en-US" w:eastAsia="zh-CN"/>
        </w:rPr>
        <w:t xml:space="preserve">, </w:t>
      </w:r>
      <w:proofErr w:type="spellStart"/>
      <w:r w:rsidRPr="00420402">
        <w:rPr>
          <w:rFonts w:ascii="Book Antiqua" w:eastAsia="SimSun" w:hAnsi="Book Antiqua"/>
          <w:kern w:val="2"/>
          <w:lang w:val="en-US" w:eastAsia="zh-CN"/>
        </w:rPr>
        <w:t>Gardet</w:t>
      </w:r>
      <w:proofErr w:type="spellEnd"/>
      <w:r w:rsidRPr="00420402">
        <w:rPr>
          <w:rFonts w:ascii="Book Antiqua" w:eastAsia="SimSun" w:hAnsi="Book Antiqua"/>
          <w:kern w:val="2"/>
          <w:lang w:val="en-US" w:eastAsia="zh-CN"/>
        </w:rPr>
        <w:t xml:space="preserve"> A, Xavier RJ. Genetics and pathogenesis of inflammatory bowel disease. </w:t>
      </w:r>
      <w:r w:rsidRPr="00420402">
        <w:rPr>
          <w:rFonts w:ascii="Book Antiqua" w:eastAsia="SimSun" w:hAnsi="Book Antiqua"/>
          <w:i/>
          <w:kern w:val="2"/>
          <w:lang w:val="en-US" w:eastAsia="zh-CN"/>
        </w:rPr>
        <w:t>Nature</w:t>
      </w:r>
      <w:r w:rsidRPr="00420402">
        <w:rPr>
          <w:rFonts w:ascii="Book Antiqua" w:eastAsia="SimSun" w:hAnsi="Book Antiqua"/>
          <w:kern w:val="2"/>
          <w:lang w:val="en-US" w:eastAsia="zh-CN"/>
        </w:rPr>
        <w:t xml:space="preserve"> 2011; </w:t>
      </w:r>
      <w:r w:rsidRPr="00420402">
        <w:rPr>
          <w:rFonts w:ascii="Book Antiqua" w:eastAsia="SimSun" w:hAnsi="Book Antiqua"/>
          <w:b/>
          <w:kern w:val="2"/>
          <w:lang w:val="en-US" w:eastAsia="zh-CN"/>
        </w:rPr>
        <w:t>474</w:t>
      </w:r>
      <w:r w:rsidRPr="00420402">
        <w:rPr>
          <w:rFonts w:ascii="Book Antiqua" w:eastAsia="SimSun" w:hAnsi="Book Antiqua"/>
          <w:kern w:val="2"/>
          <w:lang w:val="en-US" w:eastAsia="zh-CN"/>
        </w:rPr>
        <w:t>: 307-317 [PMID: 21677747 DOI: 10.1038/nature10209]</w:t>
      </w:r>
    </w:p>
    <w:p w14:paraId="1211FDFB"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highlight w:val="yellow"/>
          <w:lang w:val="en-US" w:eastAsia="zh-CN"/>
        </w:rPr>
        <w:t>2 British Society of Gastroenterology. BSG Commissioning Report—Inflammatory Bowel Disease (IBD) [Internet]. 2017 [cited 2018 Mar 5]. Available from: http://www.bsg.org.uk/images/Commissioning_report/BSG_Acute_Inflammatory_Bowel_Disease.pdf</w:t>
      </w:r>
    </w:p>
    <w:p w14:paraId="57494C9D"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3 </w:t>
      </w:r>
      <w:r w:rsidRPr="00420402">
        <w:rPr>
          <w:rFonts w:ascii="Book Antiqua" w:eastAsia="SimSun" w:hAnsi="Book Antiqua"/>
          <w:b/>
          <w:kern w:val="2"/>
          <w:lang w:val="en-US" w:eastAsia="zh-CN"/>
        </w:rPr>
        <w:t>Johnston RD</w:t>
      </w:r>
      <w:r w:rsidRPr="00420402">
        <w:rPr>
          <w:rFonts w:ascii="Book Antiqua" w:eastAsia="SimSun" w:hAnsi="Book Antiqua"/>
          <w:kern w:val="2"/>
          <w:lang w:val="en-US" w:eastAsia="zh-CN"/>
        </w:rPr>
        <w:t xml:space="preserve">, Logan RF. What is the peak age for onset of IBD? </w:t>
      </w:r>
      <w:proofErr w:type="spellStart"/>
      <w:r w:rsidRPr="00420402">
        <w:rPr>
          <w:rFonts w:ascii="Book Antiqua" w:eastAsia="SimSun" w:hAnsi="Book Antiqua"/>
          <w:i/>
          <w:kern w:val="2"/>
          <w:lang w:val="en-US" w:eastAsia="zh-CN"/>
        </w:rPr>
        <w:t>Inflamm</w:t>
      </w:r>
      <w:proofErr w:type="spellEnd"/>
      <w:r w:rsidRPr="00420402">
        <w:rPr>
          <w:rFonts w:ascii="Book Antiqua" w:eastAsia="SimSun" w:hAnsi="Book Antiqua"/>
          <w:i/>
          <w:kern w:val="2"/>
          <w:lang w:val="en-US" w:eastAsia="zh-CN"/>
        </w:rPr>
        <w:t xml:space="preserve"> Bowel Dis</w:t>
      </w:r>
      <w:r w:rsidRPr="00420402">
        <w:rPr>
          <w:rFonts w:ascii="Book Antiqua" w:eastAsia="SimSun" w:hAnsi="Book Antiqua"/>
          <w:kern w:val="2"/>
          <w:lang w:val="en-US" w:eastAsia="zh-CN"/>
        </w:rPr>
        <w:t xml:space="preserve"> 2008; </w:t>
      </w:r>
      <w:r w:rsidRPr="00420402">
        <w:rPr>
          <w:rFonts w:ascii="Book Antiqua" w:eastAsia="SimSun" w:hAnsi="Book Antiqua"/>
          <w:b/>
          <w:kern w:val="2"/>
          <w:lang w:val="en-US" w:eastAsia="zh-CN"/>
        </w:rPr>
        <w:t>14 Suppl 2</w:t>
      </w:r>
      <w:r w:rsidRPr="00420402">
        <w:rPr>
          <w:rFonts w:ascii="Book Antiqua" w:eastAsia="SimSun" w:hAnsi="Book Antiqua"/>
          <w:kern w:val="2"/>
          <w:lang w:val="en-US" w:eastAsia="zh-CN"/>
        </w:rPr>
        <w:t>: S4-S5 [PMID: 18816745 DOI: 10.1002/ibd.20545]</w:t>
      </w:r>
    </w:p>
    <w:p w14:paraId="320D1959"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4 </w:t>
      </w:r>
      <w:proofErr w:type="spellStart"/>
      <w:r w:rsidRPr="00420402">
        <w:rPr>
          <w:rFonts w:ascii="Book Antiqua" w:eastAsia="SimSun" w:hAnsi="Book Antiqua"/>
          <w:b/>
          <w:kern w:val="2"/>
          <w:lang w:val="en-US" w:eastAsia="zh-CN"/>
        </w:rPr>
        <w:t>Burisch</w:t>
      </w:r>
      <w:proofErr w:type="spellEnd"/>
      <w:r w:rsidRPr="00420402">
        <w:rPr>
          <w:rFonts w:ascii="Book Antiqua" w:eastAsia="SimSun" w:hAnsi="Book Antiqua"/>
          <w:b/>
          <w:kern w:val="2"/>
          <w:lang w:val="en-US" w:eastAsia="zh-CN"/>
        </w:rPr>
        <w:t xml:space="preserve"> J</w:t>
      </w:r>
      <w:r w:rsidRPr="00420402">
        <w:rPr>
          <w:rFonts w:ascii="Book Antiqua" w:eastAsia="SimSun" w:hAnsi="Book Antiqua"/>
          <w:kern w:val="2"/>
          <w:lang w:val="en-US" w:eastAsia="zh-CN"/>
        </w:rPr>
        <w:t xml:space="preserve">, Jess T, </w:t>
      </w:r>
      <w:proofErr w:type="spellStart"/>
      <w:r w:rsidRPr="00420402">
        <w:rPr>
          <w:rFonts w:ascii="Book Antiqua" w:eastAsia="SimSun" w:hAnsi="Book Antiqua"/>
          <w:kern w:val="2"/>
          <w:lang w:val="en-US" w:eastAsia="zh-CN"/>
        </w:rPr>
        <w:t>Martinato</w:t>
      </w:r>
      <w:proofErr w:type="spellEnd"/>
      <w:r w:rsidRPr="00420402">
        <w:rPr>
          <w:rFonts w:ascii="Book Antiqua" w:eastAsia="SimSun" w:hAnsi="Book Antiqua"/>
          <w:kern w:val="2"/>
          <w:lang w:val="en-US" w:eastAsia="zh-CN"/>
        </w:rPr>
        <w:t xml:space="preserve"> M, Lakatos PL; ECCO -</w:t>
      </w:r>
      <w:proofErr w:type="spellStart"/>
      <w:r w:rsidRPr="00420402">
        <w:rPr>
          <w:rFonts w:ascii="Book Antiqua" w:eastAsia="SimSun" w:hAnsi="Book Antiqua"/>
          <w:kern w:val="2"/>
          <w:lang w:val="en-US" w:eastAsia="zh-CN"/>
        </w:rPr>
        <w:t>EpiCom</w:t>
      </w:r>
      <w:proofErr w:type="spellEnd"/>
      <w:r w:rsidRPr="00420402">
        <w:rPr>
          <w:rFonts w:ascii="Book Antiqua" w:eastAsia="SimSun" w:hAnsi="Book Antiqua"/>
          <w:kern w:val="2"/>
          <w:lang w:val="en-US" w:eastAsia="zh-CN"/>
        </w:rPr>
        <w:t xml:space="preserve">. The burden of inflammatory bowel disease in Europe. </w:t>
      </w:r>
      <w:r w:rsidRPr="00420402">
        <w:rPr>
          <w:rFonts w:ascii="Book Antiqua" w:eastAsia="SimSun" w:hAnsi="Book Antiqua"/>
          <w:i/>
          <w:kern w:val="2"/>
          <w:lang w:val="en-US" w:eastAsia="zh-CN"/>
        </w:rPr>
        <w:t xml:space="preserve">J </w:t>
      </w:r>
      <w:proofErr w:type="spellStart"/>
      <w:r w:rsidRPr="00420402">
        <w:rPr>
          <w:rFonts w:ascii="Book Antiqua" w:eastAsia="SimSun" w:hAnsi="Book Antiqua"/>
          <w:i/>
          <w:kern w:val="2"/>
          <w:lang w:val="en-US" w:eastAsia="zh-CN"/>
        </w:rPr>
        <w:t>Crohns</w:t>
      </w:r>
      <w:proofErr w:type="spellEnd"/>
      <w:r w:rsidRPr="00420402">
        <w:rPr>
          <w:rFonts w:ascii="Book Antiqua" w:eastAsia="SimSun" w:hAnsi="Book Antiqua"/>
          <w:i/>
          <w:kern w:val="2"/>
          <w:lang w:val="en-US" w:eastAsia="zh-CN"/>
        </w:rPr>
        <w:t xml:space="preserve"> Colitis</w:t>
      </w:r>
      <w:r w:rsidRPr="00420402">
        <w:rPr>
          <w:rFonts w:ascii="Book Antiqua" w:eastAsia="SimSun" w:hAnsi="Book Antiqua"/>
          <w:kern w:val="2"/>
          <w:lang w:val="en-US" w:eastAsia="zh-CN"/>
        </w:rPr>
        <w:t xml:space="preserve"> 2013; </w:t>
      </w:r>
      <w:r w:rsidRPr="00420402">
        <w:rPr>
          <w:rFonts w:ascii="Book Antiqua" w:eastAsia="SimSun" w:hAnsi="Book Antiqua"/>
          <w:b/>
          <w:kern w:val="2"/>
          <w:lang w:val="en-US" w:eastAsia="zh-CN"/>
        </w:rPr>
        <w:t>7</w:t>
      </w:r>
      <w:r w:rsidRPr="00420402">
        <w:rPr>
          <w:rFonts w:ascii="Book Antiqua" w:eastAsia="SimSun" w:hAnsi="Book Antiqua"/>
          <w:kern w:val="2"/>
          <w:lang w:val="en-US" w:eastAsia="zh-CN"/>
        </w:rPr>
        <w:t>: 322-337 [PMID: 23395397 DOI: 10.1016/j.crohns.2013.01.010]</w:t>
      </w:r>
    </w:p>
    <w:p w14:paraId="3B923DE7"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highlight w:val="yellow"/>
          <w:lang w:val="en-US" w:eastAsia="zh-CN"/>
        </w:rPr>
        <w:t xml:space="preserve">5 </w:t>
      </w:r>
      <w:proofErr w:type="spellStart"/>
      <w:r w:rsidRPr="00420402">
        <w:rPr>
          <w:rFonts w:ascii="Book Antiqua" w:eastAsia="SimSun" w:hAnsi="Book Antiqua"/>
          <w:b/>
          <w:kern w:val="2"/>
          <w:highlight w:val="yellow"/>
          <w:lang w:val="en-US" w:eastAsia="zh-CN"/>
        </w:rPr>
        <w:t>Beggs</w:t>
      </w:r>
      <w:proofErr w:type="spellEnd"/>
      <w:r w:rsidRPr="00420402">
        <w:rPr>
          <w:rFonts w:ascii="Book Antiqua" w:eastAsia="SimSun" w:hAnsi="Book Antiqua"/>
          <w:b/>
          <w:kern w:val="2"/>
          <w:highlight w:val="yellow"/>
          <w:lang w:val="en-US" w:eastAsia="zh-CN"/>
        </w:rPr>
        <w:t xml:space="preserve"> AD,</w:t>
      </w:r>
      <w:r w:rsidRPr="00420402">
        <w:rPr>
          <w:rFonts w:ascii="Book Antiqua" w:eastAsia="SimSun" w:hAnsi="Book Antiqua"/>
          <w:kern w:val="2"/>
          <w:highlight w:val="yellow"/>
          <w:lang w:val="en-US" w:eastAsia="zh-CN"/>
        </w:rPr>
        <w:t xml:space="preserve"> </w:t>
      </w:r>
      <w:proofErr w:type="spellStart"/>
      <w:r w:rsidRPr="00420402">
        <w:rPr>
          <w:rFonts w:ascii="Book Antiqua" w:eastAsia="SimSun" w:hAnsi="Book Antiqua"/>
          <w:kern w:val="2"/>
          <w:highlight w:val="yellow"/>
          <w:lang w:val="en-US" w:eastAsia="zh-CN"/>
        </w:rPr>
        <w:t>Mcglone</w:t>
      </w:r>
      <w:proofErr w:type="spellEnd"/>
      <w:r w:rsidRPr="00420402">
        <w:rPr>
          <w:rFonts w:ascii="Book Antiqua" w:eastAsia="SimSun" w:hAnsi="Book Antiqua"/>
          <w:kern w:val="2"/>
          <w:highlight w:val="yellow"/>
          <w:lang w:val="en-US" w:eastAsia="zh-CN"/>
        </w:rPr>
        <w:t xml:space="preserve"> ER, Thomas PRS. Impact of </w:t>
      </w:r>
      <w:proofErr w:type="spellStart"/>
      <w:r w:rsidRPr="00420402">
        <w:rPr>
          <w:rFonts w:ascii="Book Antiqua" w:eastAsia="SimSun" w:hAnsi="Book Antiqua"/>
          <w:kern w:val="2"/>
          <w:highlight w:val="yellow"/>
          <w:lang w:val="en-US" w:eastAsia="zh-CN"/>
        </w:rPr>
        <w:t>centralisation</w:t>
      </w:r>
      <w:proofErr w:type="spellEnd"/>
      <w:r w:rsidRPr="00420402">
        <w:rPr>
          <w:rFonts w:ascii="Book Antiqua" w:eastAsia="SimSun" w:hAnsi="Book Antiqua"/>
          <w:kern w:val="2"/>
          <w:highlight w:val="yellow"/>
          <w:lang w:val="en-US" w:eastAsia="zh-CN"/>
        </w:rPr>
        <w:t xml:space="preserve"> on vascular surgical services. </w:t>
      </w:r>
      <w:r w:rsidRPr="00420402">
        <w:rPr>
          <w:rFonts w:ascii="Book Antiqua" w:eastAsia="SimSun" w:hAnsi="Book Antiqua"/>
          <w:i/>
          <w:kern w:val="2"/>
          <w:highlight w:val="yellow"/>
          <w:lang w:val="en-US" w:eastAsia="zh-CN"/>
        </w:rPr>
        <w:t xml:space="preserve">Br J </w:t>
      </w:r>
      <w:proofErr w:type="spellStart"/>
      <w:r w:rsidRPr="00420402">
        <w:rPr>
          <w:rFonts w:ascii="Book Antiqua" w:eastAsia="SimSun" w:hAnsi="Book Antiqua"/>
          <w:i/>
          <w:kern w:val="2"/>
          <w:highlight w:val="yellow"/>
          <w:lang w:val="en-US" w:eastAsia="zh-CN"/>
        </w:rPr>
        <w:t>Healthc</w:t>
      </w:r>
      <w:proofErr w:type="spellEnd"/>
      <w:r w:rsidRPr="00420402">
        <w:rPr>
          <w:rFonts w:ascii="Book Antiqua" w:eastAsia="SimSun" w:hAnsi="Book Antiqua"/>
          <w:i/>
          <w:kern w:val="2"/>
          <w:highlight w:val="yellow"/>
          <w:lang w:val="en-US" w:eastAsia="zh-CN"/>
        </w:rPr>
        <w:t xml:space="preserve"> </w:t>
      </w:r>
      <w:proofErr w:type="spellStart"/>
      <w:r w:rsidRPr="00420402">
        <w:rPr>
          <w:rFonts w:ascii="Book Antiqua" w:eastAsia="SimSun" w:hAnsi="Book Antiqua"/>
          <w:i/>
          <w:kern w:val="2"/>
          <w:highlight w:val="yellow"/>
          <w:lang w:val="en-US" w:eastAsia="zh-CN"/>
        </w:rPr>
        <w:t>Manag</w:t>
      </w:r>
      <w:proofErr w:type="spellEnd"/>
      <w:r w:rsidRPr="00420402">
        <w:rPr>
          <w:rFonts w:ascii="Book Antiqua" w:eastAsia="SimSun" w:hAnsi="Book Antiqua"/>
          <w:kern w:val="2"/>
          <w:highlight w:val="yellow"/>
          <w:lang w:val="en-US" w:eastAsia="zh-CN"/>
        </w:rPr>
        <w:t xml:space="preserve"> 2012; </w:t>
      </w:r>
      <w:r w:rsidRPr="00420402">
        <w:rPr>
          <w:rFonts w:ascii="Book Antiqua" w:eastAsia="SimSun" w:hAnsi="Book Antiqua"/>
          <w:b/>
          <w:kern w:val="2"/>
          <w:highlight w:val="yellow"/>
          <w:lang w:val="en-US" w:eastAsia="zh-CN"/>
        </w:rPr>
        <w:t>18</w:t>
      </w:r>
      <w:r w:rsidRPr="00420402">
        <w:rPr>
          <w:rFonts w:ascii="Book Antiqua" w:eastAsia="SimSun" w:hAnsi="Book Antiqua"/>
          <w:kern w:val="2"/>
          <w:highlight w:val="yellow"/>
          <w:lang w:val="en-US" w:eastAsia="zh-CN"/>
        </w:rPr>
        <w:t>: 468-473 [DOI: 10.12968/bjhc.2012.18.9.468]</w:t>
      </w:r>
    </w:p>
    <w:p w14:paraId="745DA733"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6 </w:t>
      </w:r>
      <w:r w:rsidRPr="00420402">
        <w:rPr>
          <w:rFonts w:ascii="Book Antiqua" w:eastAsia="SimSun" w:hAnsi="Book Antiqua"/>
          <w:b/>
          <w:kern w:val="2"/>
          <w:lang w:val="en-US" w:eastAsia="zh-CN"/>
        </w:rPr>
        <w:t>Boddy AP</w:t>
      </w:r>
      <w:r w:rsidRPr="00420402">
        <w:rPr>
          <w:rFonts w:ascii="Book Antiqua" w:eastAsia="SimSun" w:hAnsi="Book Antiqua"/>
          <w:kern w:val="2"/>
          <w:lang w:val="en-US" w:eastAsia="zh-CN"/>
        </w:rPr>
        <w:t xml:space="preserve">, Williamson JM, Vipond MN. The effect of </w:t>
      </w:r>
      <w:proofErr w:type="spellStart"/>
      <w:r w:rsidRPr="00420402">
        <w:rPr>
          <w:rFonts w:ascii="Book Antiqua" w:eastAsia="SimSun" w:hAnsi="Book Antiqua"/>
          <w:kern w:val="2"/>
          <w:lang w:val="en-US" w:eastAsia="zh-CN"/>
        </w:rPr>
        <w:t>centralisation</w:t>
      </w:r>
      <w:proofErr w:type="spellEnd"/>
      <w:r w:rsidRPr="00420402">
        <w:rPr>
          <w:rFonts w:ascii="Book Antiqua" w:eastAsia="SimSun" w:hAnsi="Book Antiqua"/>
          <w:kern w:val="2"/>
          <w:lang w:val="en-US" w:eastAsia="zh-CN"/>
        </w:rPr>
        <w:t xml:space="preserve"> on the outcomes of </w:t>
      </w:r>
      <w:proofErr w:type="spellStart"/>
      <w:r w:rsidRPr="00420402">
        <w:rPr>
          <w:rFonts w:ascii="Book Antiqua" w:eastAsia="SimSun" w:hAnsi="Book Antiqua"/>
          <w:kern w:val="2"/>
          <w:lang w:val="en-US" w:eastAsia="zh-CN"/>
        </w:rPr>
        <w:t>oesophagogastric</w:t>
      </w:r>
      <w:proofErr w:type="spellEnd"/>
      <w:r w:rsidRPr="00420402">
        <w:rPr>
          <w:rFonts w:ascii="Book Antiqua" w:eastAsia="SimSun" w:hAnsi="Book Antiqua"/>
          <w:kern w:val="2"/>
          <w:lang w:val="en-US" w:eastAsia="zh-CN"/>
        </w:rPr>
        <w:t xml:space="preserve"> surgery--a </w:t>
      </w:r>
      <w:proofErr w:type="gramStart"/>
      <w:r w:rsidRPr="00420402">
        <w:rPr>
          <w:rFonts w:ascii="Book Antiqua" w:eastAsia="SimSun" w:hAnsi="Book Antiqua"/>
          <w:kern w:val="2"/>
          <w:lang w:val="en-US" w:eastAsia="zh-CN"/>
        </w:rPr>
        <w:t>fifteen year</w:t>
      </w:r>
      <w:proofErr w:type="gramEnd"/>
      <w:r w:rsidRPr="00420402">
        <w:rPr>
          <w:rFonts w:ascii="Book Antiqua" w:eastAsia="SimSun" w:hAnsi="Book Antiqua"/>
          <w:kern w:val="2"/>
          <w:lang w:val="en-US" w:eastAsia="zh-CN"/>
        </w:rPr>
        <w:t xml:space="preserve"> audit. </w:t>
      </w:r>
      <w:r w:rsidRPr="00420402">
        <w:rPr>
          <w:rFonts w:ascii="Book Antiqua" w:eastAsia="SimSun" w:hAnsi="Book Antiqua"/>
          <w:i/>
          <w:kern w:val="2"/>
          <w:lang w:val="en-US" w:eastAsia="zh-CN"/>
        </w:rPr>
        <w:t>Int J Surg</w:t>
      </w:r>
      <w:r w:rsidRPr="00420402">
        <w:rPr>
          <w:rFonts w:ascii="Book Antiqua" w:eastAsia="SimSun" w:hAnsi="Book Antiqua"/>
          <w:kern w:val="2"/>
          <w:lang w:val="en-US" w:eastAsia="zh-CN"/>
        </w:rPr>
        <w:t xml:space="preserve"> 2012; </w:t>
      </w:r>
      <w:r w:rsidRPr="00420402">
        <w:rPr>
          <w:rFonts w:ascii="Book Antiqua" w:eastAsia="SimSun" w:hAnsi="Book Antiqua"/>
          <w:b/>
          <w:kern w:val="2"/>
          <w:lang w:val="en-US" w:eastAsia="zh-CN"/>
        </w:rPr>
        <w:t>10</w:t>
      </w:r>
      <w:r w:rsidRPr="00420402">
        <w:rPr>
          <w:rFonts w:ascii="Book Antiqua" w:eastAsia="SimSun" w:hAnsi="Book Antiqua"/>
          <w:kern w:val="2"/>
          <w:lang w:val="en-US" w:eastAsia="zh-CN"/>
        </w:rPr>
        <w:t>: 360-363 [PMID: 22659313 DOI: 10.1016/j.ijsu.2012.05.012]</w:t>
      </w:r>
    </w:p>
    <w:p w14:paraId="47E43907"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7 </w:t>
      </w:r>
      <w:r w:rsidRPr="00420402">
        <w:rPr>
          <w:rFonts w:ascii="Book Antiqua" w:eastAsia="SimSun" w:hAnsi="Book Antiqua"/>
          <w:b/>
          <w:kern w:val="2"/>
          <w:lang w:val="en-US" w:eastAsia="zh-CN"/>
        </w:rPr>
        <w:t>Woo YL</w:t>
      </w:r>
      <w:r w:rsidRPr="00420402">
        <w:rPr>
          <w:rFonts w:ascii="Book Antiqua" w:eastAsia="SimSun" w:hAnsi="Book Antiqua"/>
          <w:kern w:val="2"/>
          <w:lang w:val="en-US" w:eastAsia="zh-CN"/>
        </w:rPr>
        <w:t xml:space="preserve">, </w:t>
      </w:r>
      <w:proofErr w:type="spellStart"/>
      <w:r w:rsidRPr="00420402">
        <w:rPr>
          <w:rFonts w:ascii="Book Antiqua" w:eastAsia="SimSun" w:hAnsi="Book Antiqua"/>
          <w:kern w:val="2"/>
          <w:lang w:val="en-US" w:eastAsia="zh-CN"/>
        </w:rPr>
        <w:t>Kyrgiou</w:t>
      </w:r>
      <w:proofErr w:type="spellEnd"/>
      <w:r w:rsidRPr="00420402">
        <w:rPr>
          <w:rFonts w:ascii="Book Antiqua" w:eastAsia="SimSun" w:hAnsi="Book Antiqua"/>
          <w:kern w:val="2"/>
          <w:lang w:val="en-US" w:eastAsia="zh-CN"/>
        </w:rPr>
        <w:t xml:space="preserve"> M, Bryant A, Everett T, Dickinson HO. </w:t>
      </w:r>
      <w:proofErr w:type="spellStart"/>
      <w:r w:rsidRPr="00420402">
        <w:rPr>
          <w:rFonts w:ascii="Book Antiqua" w:eastAsia="SimSun" w:hAnsi="Book Antiqua"/>
          <w:kern w:val="2"/>
          <w:lang w:val="en-US" w:eastAsia="zh-CN"/>
        </w:rPr>
        <w:t>Centralisation</w:t>
      </w:r>
      <w:proofErr w:type="spellEnd"/>
      <w:r w:rsidRPr="00420402">
        <w:rPr>
          <w:rFonts w:ascii="Book Antiqua" w:eastAsia="SimSun" w:hAnsi="Book Antiqua"/>
          <w:kern w:val="2"/>
          <w:lang w:val="en-US" w:eastAsia="zh-CN"/>
        </w:rPr>
        <w:t xml:space="preserve"> of services for </w:t>
      </w:r>
      <w:proofErr w:type="spellStart"/>
      <w:r w:rsidRPr="00420402">
        <w:rPr>
          <w:rFonts w:ascii="Book Antiqua" w:eastAsia="SimSun" w:hAnsi="Book Antiqua"/>
          <w:kern w:val="2"/>
          <w:lang w:val="en-US" w:eastAsia="zh-CN"/>
        </w:rPr>
        <w:t>gynaecological</w:t>
      </w:r>
      <w:proofErr w:type="spellEnd"/>
      <w:r w:rsidRPr="00420402">
        <w:rPr>
          <w:rFonts w:ascii="Book Antiqua" w:eastAsia="SimSun" w:hAnsi="Book Antiqua"/>
          <w:kern w:val="2"/>
          <w:lang w:val="en-US" w:eastAsia="zh-CN"/>
        </w:rPr>
        <w:t xml:space="preserve"> cancer. </w:t>
      </w:r>
      <w:r w:rsidRPr="00420402">
        <w:rPr>
          <w:rFonts w:ascii="Book Antiqua" w:eastAsia="SimSun" w:hAnsi="Book Antiqua"/>
          <w:i/>
          <w:kern w:val="2"/>
          <w:lang w:val="en-US" w:eastAsia="zh-CN"/>
        </w:rPr>
        <w:t>Cochrane Database Syst Rev</w:t>
      </w:r>
      <w:r w:rsidRPr="00420402">
        <w:rPr>
          <w:rFonts w:ascii="Book Antiqua" w:eastAsia="SimSun" w:hAnsi="Book Antiqua"/>
          <w:kern w:val="2"/>
          <w:lang w:val="en-US" w:eastAsia="zh-CN"/>
        </w:rPr>
        <w:t xml:space="preserve"> 2012; </w:t>
      </w:r>
      <w:r w:rsidRPr="00420402">
        <w:rPr>
          <w:rFonts w:ascii="Book Antiqua" w:eastAsia="SimSun" w:hAnsi="Book Antiqua" w:hint="eastAsia"/>
          <w:b/>
          <w:kern w:val="2"/>
          <w:lang w:val="en-US" w:eastAsia="zh-CN"/>
        </w:rPr>
        <w:t>(3)</w:t>
      </w:r>
      <w:r w:rsidRPr="00420402">
        <w:rPr>
          <w:rFonts w:ascii="Book Antiqua" w:eastAsia="SimSun" w:hAnsi="Book Antiqua" w:hint="eastAsia"/>
          <w:kern w:val="2"/>
          <w:lang w:val="en-US" w:eastAsia="zh-CN"/>
        </w:rPr>
        <w:t xml:space="preserve">: </w:t>
      </w:r>
      <w:r w:rsidRPr="00420402">
        <w:rPr>
          <w:rFonts w:ascii="Book Antiqua" w:eastAsia="SimSun" w:hAnsi="Book Antiqua"/>
          <w:kern w:val="2"/>
          <w:lang w:val="en-US" w:eastAsia="zh-CN"/>
        </w:rPr>
        <w:t>CD007945 [PMID: 22419327 DOI: 10.1002/14651858.CD007945.pub2]</w:t>
      </w:r>
    </w:p>
    <w:p w14:paraId="196C91CB"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highlight w:val="yellow"/>
          <w:lang w:val="en-US" w:eastAsia="zh-CN"/>
        </w:rPr>
        <w:t>8 NHS England. Improving access to general practice [Internet]. 2016 [cited 2018 Mar 5]. Available from: https://www.england.nhs.uk/gp/gpfv/redesign/improving-access/</w:t>
      </w:r>
    </w:p>
    <w:p w14:paraId="7521E0D3"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9 </w:t>
      </w:r>
      <w:proofErr w:type="spellStart"/>
      <w:r w:rsidRPr="00420402">
        <w:rPr>
          <w:rFonts w:ascii="Book Antiqua" w:eastAsia="SimSun" w:hAnsi="Book Antiqua"/>
          <w:b/>
          <w:kern w:val="2"/>
          <w:lang w:val="en-US" w:eastAsia="zh-CN"/>
        </w:rPr>
        <w:t>Danese</w:t>
      </w:r>
      <w:proofErr w:type="spellEnd"/>
      <w:r w:rsidRPr="00420402">
        <w:rPr>
          <w:rFonts w:ascii="Book Antiqua" w:eastAsia="SimSun" w:hAnsi="Book Antiqua"/>
          <w:b/>
          <w:kern w:val="2"/>
          <w:lang w:val="en-US" w:eastAsia="zh-CN"/>
        </w:rPr>
        <w:t xml:space="preserve"> S</w:t>
      </w:r>
      <w:r w:rsidRPr="00420402">
        <w:rPr>
          <w:rFonts w:ascii="Book Antiqua" w:eastAsia="SimSun" w:hAnsi="Book Antiqua"/>
          <w:kern w:val="2"/>
          <w:lang w:val="en-US" w:eastAsia="zh-CN"/>
        </w:rPr>
        <w:t xml:space="preserve">, Semeraro S, Papa A, Roberto I, </w:t>
      </w:r>
      <w:proofErr w:type="spellStart"/>
      <w:r w:rsidRPr="00420402">
        <w:rPr>
          <w:rFonts w:ascii="Book Antiqua" w:eastAsia="SimSun" w:hAnsi="Book Antiqua"/>
          <w:kern w:val="2"/>
          <w:lang w:val="en-US" w:eastAsia="zh-CN"/>
        </w:rPr>
        <w:t>Scaldaferri</w:t>
      </w:r>
      <w:proofErr w:type="spellEnd"/>
      <w:r w:rsidRPr="00420402">
        <w:rPr>
          <w:rFonts w:ascii="Book Antiqua" w:eastAsia="SimSun" w:hAnsi="Book Antiqua"/>
          <w:kern w:val="2"/>
          <w:lang w:val="en-US" w:eastAsia="zh-CN"/>
        </w:rPr>
        <w:t xml:space="preserve"> F, </w:t>
      </w:r>
      <w:proofErr w:type="spellStart"/>
      <w:r w:rsidRPr="00420402">
        <w:rPr>
          <w:rFonts w:ascii="Book Antiqua" w:eastAsia="SimSun" w:hAnsi="Book Antiqua"/>
          <w:kern w:val="2"/>
          <w:lang w:val="en-US" w:eastAsia="zh-CN"/>
        </w:rPr>
        <w:t>Fedeli</w:t>
      </w:r>
      <w:proofErr w:type="spellEnd"/>
      <w:r w:rsidRPr="00420402">
        <w:rPr>
          <w:rFonts w:ascii="Book Antiqua" w:eastAsia="SimSun" w:hAnsi="Book Antiqua"/>
          <w:kern w:val="2"/>
          <w:lang w:val="en-US" w:eastAsia="zh-CN"/>
        </w:rPr>
        <w:t xml:space="preserve"> G, </w:t>
      </w:r>
      <w:proofErr w:type="spellStart"/>
      <w:r w:rsidRPr="00420402">
        <w:rPr>
          <w:rFonts w:ascii="Book Antiqua" w:eastAsia="SimSun" w:hAnsi="Book Antiqua"/>
          <w:kern w:val="2"/>
          <w:lang w:val="en-US" w:eastAsia="zh-CN"/>
        </w:rPr>
        <w:t>Gasbarrini</w:t>
      </w:r>
      <w:proofErr w:type="spellEnd"/>
      <w:r w:rsidRPr="00420402">
        <w:rPr>
          <w:rFonts w:ascii="Book Antiqua" w:eastAsia="SimSun" w:hAnsi="Book Antiqua"/>
          <w:kern w:val="2"/>
          <w:lang w:val="en-US" w:eastAsia="zh-CN"/>
        </w:rPr>
        <w:t xml:space="preserve"> G, </w:t>
      </w:r>
      <w:proofErr w:type="spellStart"/>
      <w:r w:rsidRPr="00420402">
        <w:rPr>
          <w:rFonts w:ascii="Book Antiqua" w:eastAsia="SimSun" w:hAnsi="Book Antiqua"/>
          <w:kern w:val="2"/>
          <w:lang w:val="en-US" w:eastAsia="zh-CN"/>
        </w:rPr>
        <w:t>Gasbarrini</w:t>
      </w:r>
      <w:proofErr w:type="spellEnd"/>
      <w:r w:rsidRPr="00420402">
        <w:rPr>
          <w:rFonts w:ascii="Book Antiqua" w:eastAsia="SimSun" w:hAnsi="Book Antiqua"/>
          <w:kern w:val="2"/>
          <w:lang w:val="en-US" w:eastAsia="zh-CN"/>
        </w:rPr>
        <w:t xml:space="preserve"> A. Extraintestinal manifestations in inflammatory bowel disease. </w:t>
      </w:r>
      <w:r w:rsidRPr="00420402">
        <w:rPr>
          <w:rFonts w:ascii="Book Antiqua" w:eastAsia="SimSun" w:hAnsi="Book Antiqua"/>
          <w:i/>
          <w:kern w:val="2"/>
          <w:lang w:val="en-US" w:eastAsia="zh-CN"/>
        </w:rPr>
        <w:t>World J Gastroenterol</w:t>
      </w:r>
      <w:r w:rsidRPr="00420402">
        <w:rPr>
          <w:rFonts w:ascii="Book Antiqua" w:eastAsia="SimSun" w:hAnsi="Book Antiqua"/>
          <w:kern w:val="2"/>
          <w:lang w:val="en-US" w:eastAsia="zh-CN"/>
        </w:rPr>
        <w:t xml:space="preserve"> 2005; </w:t>
      </w:r>
      <w:r w:rsidRPr="00420402">
        <w:rPr>
          <w:rFonts w:ascii="Book Antiqua" w:eastAsia="SimSun" w:hAnsi="Book Antiqua"/>
          <w:b/>
          <w:kern w:val="2"/>
          <w:lang w:val="en-US" w:eastAsia="zh-CN"/>
        </w:rPr>
        <w:t>11</w:t>
      </w:r>
      <w:r w:rsidRPr="00420402">
        <w:rPr>
          <w:rFonts w:ascii="Book Antiqua" w:eastAsia="SimSun" w:hAnsi="Book Antiqua"/>
          <w:kern w:val="2"/>
          <w:lang w:val="en-US" w:eastAsia="zh-CN"/>
        </w:rPr>
        <w:t>: 7227-7236 [PMID: 16437620 DOI: 10.3748/wjg.v11.i46.7227]</w:t>
      </w:r>
    </w:p>
    <w:p w14:paraId="2FBAF4D1"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10 </w:t>
      </w:r>
      <w:proofErr w:type="spellStart"/>
      <w:r w:rsidRPr="00420402">
        <w:rPr>
          <w:rFonts w:ascii="Book Antiqua" w:eastAsia="SimSun" w:hAnsi="Book Antiqua"/>
          <w:b/>
          <w:kern w:val="2"/>
          <w:lang w:val="en-US" w:eastAsia="zh-CN"/>
        </w:rPr>
        <w:t>Rothfuss</w:t>
      </w:r>
      <w:proofErr w:type="spellEnd"/>
      <w:r w:rsidRPr="00420402">
        <w:rPr>
          <w:rFonts w:ascii="Book Antiqua" w:eastAsia="SimSun" w:hAnsi="Book Antiqua"/>
          <w:b/>
          <w:kern w:val="2"/>
          <w:lang w:val="en-US" w:eastAsia="zh-CN"/>
        </w:rPr>
        <w:t xml:space="preserve"> KS</w:t>
      </w:r>
      <w:r w:rsidRPr="00420402">
        <w:rPr>
          <w:rFonts w:ascii="Book Antiqua" w:eastAsia="SimSun" w:hAnsi="Book Antiqua"/>
          <w:kern w:val="2"/>
          <w:lang w:val="en-US" w:eastAsia="zh-CN"/>
        </w:rPr>
        <w:t xml:space="preserve">, </w:t>
      </w:r>
      <w:proofErr w:type="spellStart"/>
      <w:r w:rsidRPr="00420402">
        <w:rPr>
          <w:rFonts w:ascii="Book Antiqua" w:eastAsia="SimSun" w:hAnsi="Book Antiqua"/>
          <w:kern w:val="2"/>
          <w:lang w:val="en-US" w:eastAsia="zh-CN"/>
        </w:rPr>
        <w:t>Stange</w:t>
      </w:r>
      <w:proofErr w:type="spellEnd"/>
      <w:r w:rsidRPr="00420402">
        <w:rPr>
          <w:rFonts w:ascii="Book Antiqua" w:eastAsia="SimSun" w:hAnsi="Book Antiqua"/>
          <w:kern w:val="2"/>
          <w:lang w:val="en-US" w:eastAsia="zh-CN"/>
        </w:rPr>
        <w:t xml:space="preserve"> EF, </w:t>
      </w:r>
      <w:proofErr w:type="spellStart"/>
      <w:r w:rsidRPr="00420402">
        <w:rPr>
          <w:rFonts w:ascii="Book Antiqua" w:eastAsia="SimSun" w:hAnsi="Book Antiqua"/>
          <w:kern w:val="2"/>
          <w:lang w:val="en-US" w:eastAsia="zh-CN"/>
        </w:rPr>
        <w:t>Herrlinger</w:t>
      </w:r>
      <w:proofErr w:type="spellEnd"/>
      <w:r w:rsidRPr="00420402">
        <w:rPr>
          <w:rFonts w:ascii="Book Antiqua" w:eastAsia="SimSun" w:hAnsi="Book Antiqua"/>
          <w:kern w:val="2"/>
          <w:lang w:val="en-US" w:eastAsia="zh-CN"/>
        </w:rPr>
        <w:t xml:space="preserve"> KR. Extraintestinal manifestations and complications in inflammatory bowel diseases. </w:t>
      </w:r>
      <w:r w:rsidRPr="00420402">
        <w:rPr>
          <w:rFonts w:ascii="Book Antiqua" w:eastAsia="SimSun" w:hAnsi="Book Antiqua"/>
          <w:i/>
          <w:kern w:val="2"/>
          <w:lang w:val="en-US" w:eastAsia="zh-CN"/>
        </w:rPr>
        <w:t>World J Gastroenterol</w:t>
      </w:r>
      <w:r w:rsidRPr="00420402">
        <w:rPr>
          <w:rFonts w:ascii="Book Antiqua" w:eastAsia="SimSun" w:hAnsi="Book Antiqua"/>
          <w:kern w:val="2"/>
          <w:lang w:val="en-US" w:eastAsia="zh-CN"/>
        </w:rPr>
        <w:t xml:space="preserve"> 2006; </w:t>
      </w:r>
      <w:r w:rsidRPr="00420402">
        <w:rPr>
          <w:rFonts w:ascii="Book Antiqua" w:eastAsia="SimSun" w:hAnsi="Book Antiqua"/>
          <w:b/>
          <w:kern w:val="2"/>
          <w:lang w:val="en-US" w:eastAsia="zh-CN"/>
        </w:rPr>
        <w:t>12</w:t>
      </w:r>
      <w:r w:rsidRPr="00420402">
        <w:rPr>
          <w:rFonts w:ascii="Book Antiqua" w:eastAsia="SimSun" w:hAnsi="Book Antiqua"/>
          <w:kern w:val="2"/>
          <w:lang w:val="en-US" w:eastAsia="zh-CN"/>
        </w:rPr>
        <w:t>: 4819-4831 [PMID: 16937463 DOI: 10.3748/wjg.v12.i30.4819]</w:t>
      </w:r>
    </w:p>
    <w:p w14:paraId="324EBAA3"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11 </w:t>
      </w:r>
      <w:proofErr w:type="spellStart"/>
      <w:r w:rsidRPr="00420402">
        <w:rPr>
          <w:rFonts w:ascii="Book Antiqua" w:eastAsia="SimSun" w:hAnsi="Book Antiqua"/>
          <w:b/>
          <w:kern w:val="2"/>
          <w:lang w:val="en-US" w:eastAsia="zh-CN"/>
        </w:rPr>
        <w:t>Vavricka</w:t>
      </w:r>
      <w:proofErr w:type="spellEnd"/>
      <w:r w:rsidRPr="00420402">
        <w:rPr>
          <w:rFonts w:ascii="Book Antiqua" w:eastAsia="SimSun" w:hAnsi="Book Antiqua"/>
          <w:b/>
          <w:kern w:val="2"/>
          <w:lang w:val="en-US" w:eastAsia="zh-CN"/>
        </w:rPr>
        <w:t xml:space="preserve"> SR</w:t>
      </w:r>
      <w:r w:rsidRPr="00420402">
        <w:rPr>
          <w:rFonts w:ascii="Book Antiqua" w:eastAsia="SimSun" w:hAnsi="Book Antiqua"/>
          <w:kern w:val="2"/>
          <w:lang w:val="en-US" w:eastAsia="zh-CN"/>
        </w:rPr>
        <w:t xml:space="preserve">, </w:t>
      </w:r>
      <w:proofErr w:type="spellStart"/>
      <w:r w:rsidRPr="00420402">
        <w:rPr>
          <w:rFonts w:ascii="Book Antiqua" w:eastAsia="SimSun" w:hAnsi="Book Antiqua"/>
          <w:kern w:val="2"/>
          <w:lang w:val="en-US" w:eastAsia="zh-CN"/>
        </w:rPr>
        <w:t>Schoepfer</w:t>
      </w:r>
      <w:proofErr w:type="spellEnd"/>
      <w:r w:rsidRPr="00420402">
        <w:rPr>
          <w:rFonts w:ascii="Book Antiqua" w:eastAsia="SimSun" w:hAnsi="Book Antiqua"/>
          <w:kern w:val="2"/>
          <w:lang w:val="en-US" w:eastAsia="zh-CN"/>
        </w:rPr>
        <w:t xml:space="preserve"> A, </w:t>
      </w:r>
      <w:proofErr w:type="spellStart"/>
      <w:r w:rsidRPr="00420402">
        <w:rPr>
          <w:rFonts w:ascii="Book Antiqua" w:eastAsia="SimSun" w:hAnsi="Book Antiqua"/>
          <w:kern w:val="2"/>
          <w:lang w:val="en-US" w:eastAsia="zh-CN"/>
        </w:rPr>
        <w:t>Scharl</w:t>
      </w:r>
      <w:proofErr w:type="spellEnd"/>
      <w:r w:rsidRPr="00420402">
        <w:rPr>
          <w:rFonts w:ascii="Book Antiqua" w:eastAsia="SimSun" w:hAnsi="Book Antiqua"/>
          <w:kern w:val="2"/>
          <w:lang w:val="en-US" w:eastAsia="zh-CN"/>
        </w:rPr>
        <w:t xml:space="preserve"> M, Lakatos PL, </w:t>
      </w:r>
      <w:proofErr w:type="spellStart"/>
      <w:r w:rsidRPr="00420402">
        <w:rPr>
          <w:rFonts w:ascii="Book Antiqua" w:eastAsia="SimSun" w:hAnsi="Book Antiqua"/>
          <w:kern w:val="2"/>
          <w:lang w:val="en-US" w:eastAsia="zh-CN"/>
        </w:rPr>
        <w:t>Navarini</w:t>
      </w:r>
      <w:proofErr w:type="spellEnd"/>
      <w:r w:rsidRPr="00420402">
        <w:rPr>
          <w:rFonts w:ascii="Book Antiqua" w:eastAsia="SimSun" w:hAnsi="Book Antiqua"/>
          <w:kern w:val="2"/>
          <w:lang w:val="en-US" w:eastAsia="zh-CN"/>
        </w:rPr>
        <w:t xml:space="preserve"> A, </w:t>
      </w:r>
      <w:proofErr w:type="spellStart"/>
      <w:r w:rsidRPr="00420402">
        <w:rPr>
          <w:rFonts w:ascii="Book Antiqua" w:eastAsia="SimSun" w:hAnsi="Book Antiqua"/>
          <w:kern w:val="2"/>
          <w:lang w:val="en-US" w:eastAsia="zh-CN"/>
        </w:rPr>
        <w:t>Rogler</w:t>
      </w:r>
      <w:proofErr w:type="spellEnd"/>
      <w:r w:rsidRPr="00420402">
        <w:rPr>
          <w:rFonts w:ascii="Book Antiqua" w:eastAsia="SimSun" w:hAnsi="Book Antiqua"/>
          <w:kern w:val="2"/>
          <w:lang w:val="en-US" w:eastAsia="zh-CN"/>
        </w:rPr>
        <w:t xml:space="preserve"> G. Extraintestinal Manifestations of Inflammatory Bowel Disease. </w:t>
      </w:r>
      <w:proofErr w:type="spellStart"/>
      <w:r w:rsidRPr="00420402">
        <w:rPr>
          <w:rFonts w:ascii="Book Antiqua" w:eastAsia="SimSun" w:hAnsi="Book Antiqua"/>
          <w:i/>
          <w:kern w:val="2"/>
          <w:lang w:val="en-US" w:eastAsia="zh-CN"/>
        </w:rPr>
        <w:t>Inflamm</w:t>
      </w:r>
      <w:proofErr w:type="spellEnd"/>
      <w:r w:rsidRPr="00420402">
        <w:rPr>
          <w:rFonts w:ascii="Book Antiqua" w:eastAsia="SimSun" w:hAnsi="Book Antiqua"/>
          <w:i/>
          <w:kern w:val="2"/>
          <w:lang w:val="en-US" w:eastAsia="zh-CN"/>
        </w:rPr>
        <w:t xml:space="preserve"> Bowel Dis</w:t>
      </w:r>
      <w:r w:rsidRPr="00420402">
        <w:rPr>
          <w:rFonts w:ascii="Book Antiqua" w:eastAsia="SimSun" w:hAnsi="Book Antiqua"/>
          <w:kern w:val="2"/>
          <w:lang w:val="en-US" w:eastAsia="zh-CN"/>
        </w:rPr>
        <w:t xml:space="preserve"> </w:t>
      </w:r>
      <w:r w:rsidRPr="00420402">
        <w:rPr>
          <w:rFonts w:ascii="Book Antiqua" w:eastAsia="SimSun" w:hAnsi="Book Antiqua"/>
          <w:kern w:val="2"/>
          <w:lang w:val="en-US" w:eastAsia="zh-CN"/>
        </w:rPr>
        <w:lastRenderedPageBreak/>
        <w:t xml:space="preserve">2015; </w:t>
      </w:r>
      <w:r w:rsidRPr="00420402">
        <w:rPr>
          <w:rFonts w:ascii="Book Antiqua" w:eastAsia="SimSun" w:hAnsi="Book Antiqua"/>
          <w:b/>
          <w:kern w:val="2"/>
          <w:lang w:val="en-US" w:eastAsia="zh-CN"/>
        </w:rPr>
        <w:t>21</w:t>
      </w:r>
      <w:r w:rsidRPr="00420402">
        <w:rPr>
          <w:rFonts w:ascii="Book Antiqua" w:eastAsia="SimSun" w:hAnsi="Book Antiqua"/>
          <w:kern w:val="2"/>
          <w:lang w:val="en-US" w:eastAsia="zh-CN"/>
        </w:rPr>
        <w:t>: 1982-1992 [PMID: 26154136 DOI: 10.1097/MIB.0000000000000392]</w:t>
      </w:r>
    </w:p>
    <w:p w14:paraId="115AC859"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12 </w:t>
      </w:r>
      <w:proofErr w:type="spellStart"/>
      <w:r w:rsidRPr="00420402">
        <w:rPr>
          <w:rFonts w:ascii="Book Antiqua" w:eastAsia="SimSun" w:hAnsi="Book Antiqua"/>
          <w:b/>
          <w:kern w:val="2"/>
          <w:lang w:val="en-US" w:eastAsia="zh-CN"/>
        </w:rPr>
        <w:t>Harbord</w:t>
      </w:r>
      <w:proofErr w:type="spellEnd"/>
      <w:r w:rsidRPr="00420402">
        <w:rPr>
          <w:rFonts w:ascii="Book Antiqua" w:eastAsia="SimSun" w:hAnsi="Book Antiqua"/>
          <w:b/>
          <w:kern w:val="2"/>
          <w:lang w:val="en-US" w:eastAsia="zh-CN"/>
        </w:rPr>
        <w:t xml:space="preserve"> M</w:t>
      </w:r>
      <w:r w:rsidRPr="00420402">
        <w:rPr>
          <w:rFonts w:ascii="Book Antiqua" w:eastAsia="SimSun" w:hAnsi="Book Antiqua"/>
          <w:kern w:val="2"/>
          <w:lang w:val="en-US" w:eastAsia="zh-CN"/>
        </w:rPr>
        <w:t xml:space="preserve">, </w:t>
      </w:r>
      <w:proofErr w:type="spellStart"/>
      <w:r w:rsidRPr="00420402">
        <w:rPr>
          <w:rFonts w:ascii="Book Antiqua" w:eastAsia="SimSun" w:hAnsi="Book Antiqua"/>
          <w:kern w:val="2"/>
          <w:lang w:val="en-US" w:eastAsia="zh-CN"/>
        </w:rPr>
        <w:t>Annese</w:t>
      </w:r>
      <w:proofErr w:type="spellEnd"/>
      <w:r w:rsidRPr="00420402">
        <w:rPr>
          <w:rFonts w:ascii="Book Antiqua" w:eastAsia="SimSun" w:hAnsi="Book Antiqua"/>
          <w:kern w:val="2"/>
          <w:lang w:val="en-US" w:eastAsia="zh-CN"/>
        </w:rPr>
        <w:t xml:space="preserve"> V, </w:t>
      </w:r>
      <w:proofErr w:type="spellStart"/>
      <w:r w:rsidRPr="00420402">
        <w:rPr>
          <w:rFonts w:ascii="Book Antiqua" w:eastAsia="SimSun" w:hAnsi="Book Antiqua"/>
          <w:kern w:val="2"/>
          <w:lang w:val="en-US" w:eastAsia="zh-CN"/>
        </w:rPr>
        <w:t>Vavricka</w:t>
      </w:r>
      <w:proofErr w:type="spellEnd"/>
      <w:r w:rsidRPr="00420402">
        <w:rPr>
          <w:rFonts w:ascii="Book Antiqua" w:eastAsia="SimSun" w:hAnsi="Book Antiqua"/>
          <w:kern w:val="2"/>
          <w:lang w:val="en-US" w:eastAsia="zh-CN"/>
        </w:rPr>
        <w:t xml:space="preserve"> SR, </w:t>
      </w:r>
      <w:proofErr w:type="spellStart"/>
      <w:r w:rsidRPr="00420402">
        <w:rPr>
          <w:rFonts w:ascii="Book Antiqua" w:eastAsia="SimSun" w:hAnsi="Book Antiqua"/>
          <w:kern w:val="2"/>
          <w:lang w:val="en-US" w:eastAsia="zh-CN"/>
        </w:rPr>
        <w:t>Allez</w:t>
      </w:r>
      <w:proofErr w:type="spellEnd"/>
      <w:r w:rsidRPr="00420402">
        <w:rPr>
          <w:rFonts w:ascii="Book Antiqua" w:eastAsia="SimSun" w:hAnsi="Book Antiqua"/>
          <w:kern w:val="2"/>
          <w:lang w:val="en-US" w:eastAsia="zh-CN"/>
        </w:rPr>
        <w:t xml:space="preserve"> M, Barreiro-de Acosta M, </w:t>
      </w:r>
      <w:proofErr w:type="spellStart"/>
      <w:r w:rsidRPr="00420402">
        <w:rPr>
          <w:rFonts w:ascii="Book Antiqua" w:eastAsia="SimSun" w:hAnsi="Book Antiqua"/>
          <w:kern w:val="2"/>
          <w:lang w:val="en-US" w:eastAsia="zh-CN"/>
        </w:rPr>
        <w:t>Boberg</w:t>
      </w:r>
      <w:proofErr w:type="spellEnd"/>
      <w:r w:rsidRPr="00420402">
        <w:rPr>
          <w:rFonts w:ascii="Book Antiqua" w:eastAsia="SimSun" w:hAnsi="Book Antiqua"/>
          <w:kern w:val="2"/>
          <w:lang w:val="en-US" w:eastAsia="zh-CN"/>
        </w:rPr>
        <w:t xml:space="preserve"> KM, </w:t>
      </w:r>
      <w:proofErr w:type="spellStart"/>
      <w:r w:rsidRPr="00420402">
        <w:rPr>
          <w:rFonts w:ascii="Book Antiqua" w:eastAsia="SimSun" w:hAnsi="Book Antiqua"/>
          <w:kern w:val="2"/>
          <w:lang w:val="en-US" w:eastAsia="zh-CN"/>
        </w:rPr>
        <w:t>Burisch</w:t>
      </w:r>
      <w:proofErr w:type="spellEnd"/>
      <w:r w:rsidRPr="00420402">
        <w:rPr>
          <w:rFonts w:ascii="Book Antiqua" w:eastAsia="SimSun" w:hAnsi="Book Antiqua"/>
          <w:kern w:val="2"/>
          <w:lang w:val="en-US" w:eastAsia="zh-CN"/>
        </w:rPr>
        <w:t xml:space="preserve"> J, De Vos M, De Vries AM, Dick AD, </w:t>
      </w:r>
      <w:proofErr w:type="spellStart"/>
      <w:r w:rsidRPr="00420402">
        <w:rPr>
          <w:rFonts w:ascii="Book Antiqua" w:eastAsia="SimSun" w:hAnsi="Book Antiqua"/>
          <w:kern w:val="2"/>
          <w:lang w:val="en-US" w:eastAsia="zh-CN"/>
        </w:rPr>
        <w:t>Juillerat</w:t>
      </w:r>
      <w:proofErr w:type="spellEnd"/>
      <w:r w:rsidRPr="00420402">
        <w:rPr>
          <w:rFonts w:ascii="Book Antiqua" w:eastAsia="SimSun" w:hAnsi="Book Antiqua"/>
          <w:kern w:val="2"/>
          <w:lang w:val="en-US" w:eastAsia="zh-CN"/>
        </w:rPr>
        <w:t xml:space="preserve"> P, Karlsen TH, </w:t>
      </w:r>
      <w:proofErr w:type="spellStart"/>
      <w:r w:rsidRPr="00420402">
        <w:rPr>
          <w:rFonts w:ascii="Book Antiqua" w:eastAsia="SimSun" w:hAnsi="Book Antiqua"/>
          <w:kern w:val="2"/>
          <w:lang w:val="en-US" w:eastAsia="zh-CN"/>
        </w:rPr>
        <w:t>Koutroubakis</w:t>
      </w:r>
      <w:proofErr w:type="spellEnd"/>
      <w:r w:rsidRPr="00420402">
        <w:rPr>
          <w:rFonts w:ascii="Book Antiqua" w:eastAsia="SimSun" w:hAnsi="Book Antiqua"/>
          <w:kern w:val="2"/>
          <w:lang w:val="en-US" w:eastAsia="zh-CN"/>
        </w:rPr>
        <w:t xml:space="preserve"> I, Lakatos PL, Orchard T, </w:t>
      </w:r>
      <w:proofErr w:type="spellStart"/>
      <w:r w:rsidRPr="00420402">
        <w:rPr>
          <w:rFonts w:ascii="Book Antiqua" w:eastAsia="SimSun" w:hAnsi="Book Antiqua"/>
          <w:kern w:val="2"/>
          <w:lang w:val="en-US" w:eastAsia="zh-CN"/>
        </w:rPr>
        <w:t>Papay</w:t>
      </w:r>
      <w:proofErr w:type="spellEnd"/>
      <w:r w:rsidRPr="00420402">
        <w:rPr>
          <w:rFonts w:ascii="Book Antiqua" w:eastAsia="SimSun" w:hAnsi="Book Antiqua"/>
          <w:kern w:val="2"/>
          <w:lang w:val="en-US" w:eastAsia="zh-CN"/>
        </w:rPr>
        <w:t xml:space="preserve"> P, Raine T, </w:t>
      </w:r>
      <w:proofErr w:type="spellStart"/>
      <w:r w:rsidRPr="00420402">
        <w:rPr>
          <w:rFonts w:ascii="Book Antiqua" w:eastAsia="SimSun" w:hAnsi="Book Antiqua"/>
          <w:kern w:val="2"/>
          <w:lang w:val="en-US" w:eastAsia="zh-CN"/>
        </w:rPr>
        <w:t>Reinshagen</w:t>
      </w:r>
      <w:proofErr w:type="spellEnd"/>
      <w:r w:rsidRPr="00420402">
        <w:rPr>
          <w:rFonts w:ascii="Book Antiqua" w:eastAsia="SimSun" w:hAnsi="Book Antiqua"/>
          <w:kern w:val="2"/>
          <w:lang w:val="en-US" w:eastAsia="zh-CN"/>
        </w:rPr>
        <w:t xml:space="preserve"> M, </w:t>
      </w:r>
      <w:proofErr w:type="spellStart"/>
      <w:r w:rsidRPr="00420402">
        <w:rPr>
          <w:rFonts w:ascii="Book Antiqua" w:eastAsia="SimSun" w:hAnsi="Book Antiqua"/>
          <w:kern w:val="2"/>
          <w:lang w:val="en-US" w:eastAsia="zh-CN"/>
        </w:rPr>
        <w:t>Thaci</w:t>
      </w:r>
      <w:proofErr w:type="spellEnd"/>
      <w:r w:rsidRPr="00420402">
        <w:rPr>
          <w:rFonts w:ascii="Book Antiqua" w:eastAsia="SimSun" w:hAnsi="Book Antiqua"/>
          <w:kern w:val="2"/>
          <w:lang w:val="en-US" w:eastAsia="zh-CN"/>
        </w:rPr>
        <w:t xml:space="preserve"> D, </w:t>
      </w:r>
      <w:proofErr w:type="spellStart"/>
      <w:r w:rsidRPr="00420402">
        <w:rPr>
          <w:rFonts w:ascii="Book Antiqua" w:eastAsia="SimSun" w:hAnsi="Book Antiqua"/>
          <w:kern w:val="2"/>
          <w:lang w:val="en-US" w:eastAsia="zh-CN"/>
        </w:rPr>
        <w:t>Tilg</w:t>
      </w:r>
      <w:proofErr w:type="spellEnd"/>
      <w:r w:rsidRPr="00420402">
        <w:rPr>
          <w:rFonts w:ascii="Book Antiqua" w:eastAsia="SimSun" w:hAnsi="Book Antiqua"/>
          <w:kern w:val="2"/>
          <w:lang w:val="en-US" w:eastAsia="zh-CN"/>
        </w:rPr>
        <w:t xml:space="preserve"> H, </w:t>
      </w:r>
      <w:proofErr w:type="spellStart"/>
      <w:r w:rsidRPr="00420402">
        <w:rPr>
          <w:rFonts w:ascii="Book Antiqua" w:eastAsia="SimSun" w:hAnsi="Book Antiqua"/>
          <w:kern w:val="2"/>
          <w:lang w:val="en-US" w:eastAsia="zh-CN"/>
        </w:rPr>
        <w:t>Carbonnel</w:t>
      </w:r>
      <w:proofErr w:type="spellEnd"/>
      <w:r w:rsidRPr="00420402">
        <w:rPr>
          <w:rFonts w:ascii="Book Antiqua" w:eastAsia="SimSun" w:hAnsi="Book Antiqua"/>
          <w:kern w:val="2"/>
          <w:lang w:val="en-US" w:eastAsia="zh-CN"/>
        </w:rPr>
        <w:t xml:space="preserve"> F; European Crohn’s and Colitis </w:t>
      </w:r>
      <w:proofErr w:type="spellStart"/>
      <w:r w:rsidRPr="00420402">
        <w:rPr>
          <w:rFonts w:ascii="Book Antiqua" w:eastAsia="SimSun" w:hAnsi="Book Antiqua"/>
          <w:kern w:val="2"/>
          <w:lang w:val="en-US" w:eastAsia="zh-CN"/>
        </w:rPr>
        <w:t>Organisation</w:t>
      </w:r>
      <w:proofErr w:type="spellEnd"/>
      <w:r w:rsidRPr="00420402">
        <w:rPr>
          <w:rFonts w:ascii="Book Antiqua" w:eastAsia="SimSun" w:hAnsi="Book Antiqua"/>
          <w:kern w:val="2"/>
          <w:lang w:val="en-US" w:eastAsia="zh-CN"/>
        </w:rPr>
        <w:t xml:space="preserve">. The First European Evidence-based Consensus on Extra-intestinal Manifestations in Inflammatory Bowel Disease. </w:t>
      </w:r>
      <w:r w:rsidRPr="00420402">
        <w:rPr>
          <w:rFonts w:ascii="Book Antiqua" w:eastAsia="SimSun" w:hAnsi="Book Antiqua"/>
          <w:i/>
          <w:kern w:val="2"/>
          <w:lang w:val="en-US" w:eastAsia="zh-CN"/>
        </w:rPr>
        <w:t xml:space="preserve">J </w:t>
      </w:r>
      <w:proofErr w:type="spellStart"/>
      <w:r w:rsidRPr="00420402">
        <w:rPr>
          <w:rFonts w:ascii="Book Antiqua" w:eastAsia="SimSun" w:hAnsi="Book Antiqua"/>
          <w:i/>
          <w:kern w:val="2"/>
          <w:lang w:val="en-US" w:eastAsia="zh-CN"/>
        </w:rPr>
        <w:t>Crohns</w:t>
      </w:r>
      <w:proofErr w:type="spellEnd"/>
      <w:r w:rsidRPr="00420402">
        <w:rPr>
          <w:rFonts w:ascii="Book Antiqua" w:eastAsia="SimSun" w:hAnsi="Book Antiqua"/>
          <w:i/>
          <w:kern w:val="2"/>
          <w:lang w:val="en-US" w:eastAsia="zh-CN"/>
        </w:rPr>
        <w:t xml:space="preserve"> Colitis</w:t>
      </w:r>
      <w:r w:rsidRPr="00420402">
        <w:rPr>
          <w:rFonts w:ascii="Book Antiqua" w:eastAsia="SimSun" w:hAnsi="Book Antiqua"/>
          <w:kern w:val="2"/>
          <w:lang w:val="en-US" w:eastAsia="zh-CN"/>
        </w:rPr>
        <w:t xml:space="preserve"> 2016; </w:t>
      </w:r>
      <w:r w:rsidRPr="00420402">
        <w:rPr>
          <w:rFonts w:ascii="Book Antiqua" w:eastAsia="SimSun" w:hAnsi="Book Antiqua"/>
          <w:b/>
          <w:kern w:val="2"/>
          <w:lang w:val="en-US" w:eastAsia="zh-CN"/>
        </w:rPr>
        <w:t>10</w:t>
      </w:r>
      <w:r w:rsidRPr="00420402">
        <w:rPr>
          <w:rFonts w:ascii="Book Antiqua" w:eastAsia="SimSun" w:hAnsi="Book Antiqua"/>
          <w:kern w:val="2"/>
          <w:lang w:val="en-US" w:eastAsia="zh-CN"/>
        </w:rPr>
        <w:t>: 239-254 [PMID: 26614685 DOI: 10.1093/</w:t>
      </w:r>
      <w:proofErr w:type="spellStart"/>
      <w:r w:rsidRPr="00420402">
        <w:rPr>
          <w:rFonts w:ascii="Book Antiqua" w:eastAsia="SimSun" w:hAnsi="Book Antiqua"/>
          <w:kern w:val="2"/>
          <w:lang w:val="en-US" w:eastAsia="zh-CN"/>
        </w:rPr>
        <w:t>ecco-jcc</w:t>
      </w:r>
      <w:proofErr w:type="spellEnd"/>
      <w:r w:rsidRPr="00420402">
        <w:rPr>
          <w:rFonts w:ascii="Book Antiqua" w:eastAsia="SimSun" w:hAnsi="Book Antiqua"/>
          <w:kern w:val="2"/>
          <w:lang w:val="en-US" w:eastAsia="zh-CN"/>
        </w:rPr>
        <w:t>/jjv213]</w:t>
      </w:r>
    </w:p>
    <w:p w14:paraId="62C4BC98"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13 </w:t>
      </w:r>
      <w:r w:rsidRPr="00420402">
        <w:rPr>
          <w:rFonts w:ascii="Book Antiqua" w:eastAsia="SimSun" w:hAnsi="Book Antiqua"/>
          <w:b/>
          <w:kern w:val="2"/>
          <w:lang w:val="en-US" w:eastAsia="zh-CN"/>
        </w:rPr>
        <w:t>Huang M</w:t>
      </w:r>
      <w:r w:rsidRPr="00420402">
        <w:rPr>
          <w:rFonts w:ascii="Book Antiqua" w:eastAsia="SimSun" w:hAnsi="Book Antiqua"/>
          <w:kern w:val="2"/>
          <w:lang w:val="en-US" w:eastAsia="zh-CN"/>
        </w:rPr>
        <w:t xml:space="preserve">, Rose E. Pediatric inflammatory bowel disease in the emergency department: Managing flares and long-term complications. </w:t>
      </w:r>
      <w:proofErr w:type="spellStart"/>
      <w:r w:rsidRPr="00420402">
        <w:rPr>
          <w:rFonts w:ascii="Book Antiqua" w:eastAsia="SimSun" w:hAnsi="Book Antiqua"/>
          <w:i/>
          <w:kern w:val="2"/>
          <w:lang w:val="en-US" w:eastAsia="zh-CN"/>
        </w:rPr>
        <w:t>Pediatr</w:t>
      </w:r>
      <w:proofErr w:type="spellEnd"/>
      <w:r w:rsidRPr="00420402">
        <w:rPr>
          <w:rFonts w:ascii="Book Antiqua" w:eastAsia="SimSun" w:hAnsi="Book Antiqua"/>
          <w:i/>
          <w:kern w:val="2"/>
          <w:lang w:val="en-US" w:eastAsia="zh-CN"/>
        </w:rPr>
        <w:t xml:space="preserve"> </w:t>
      </w:r>
      <w:proofErr w:type="spellStart"/>
      <w:r w:rsidRPr="00420402">
        <w:rPr>
          <w:rFonts w:ascii="Book Antiqua" w:eastAsia="SimSun" w:hAnsi="Book Antiqua"/>
          <w:i/>
          <w:kern w:val="2"/>
          <w:lang w:val="en-US" w:eastAsia="zh-CN"/>
        </w:rPr>
        <w:t>Emerg</w:t>
      </w:r>
      <w:proofErr w:type="spellEnd"/>
      <w:r w:rsidRPr="00420402">
        <w:rPr>
          <w:rFonts w:ascii="Book Antiqua" w:eastAsia="SimSun" w:hAnsi="Book Antiqua"/>
          <w:i/>
          <w:kern w:val="2"/>
          <w:lang w:val="en-US" w:eastAsia="zh-CN"/>
        </w:rPr>
        <w:t xml:space="preserve"> Med </w:t>
      </w:r>
      <w:proofErr w:type="spellStart"/>
      <w:r w:rsidRPr="00420402">
        <w:rPr>
          <w:rFonts w:ascii="Book Antiqua" w:eastAsia="SimSun" w:hAnsi="Book Antiqua"/>
          <w:i/>
          <w:kern w:val="2"/>
          <w:lang w:val="en-US" w:eastAsia="zh-CN"/>
        </w:rPr>
        <w:t>Pract</w:t>
      </w:r>
      <w:proofErr w:type="spellEnd"/>
      <w:r w:rsidRPr="00420402">
        <w:rPr>
          <w:rFonts w:ascii="Book Antiqua" w:eastAsia="SimSun" w:hAnsi="Book Antiqua"/>
          <w:kern w:val="2"/>
          <w:lang w:val="en-US" w:eastAsia="zh-CN"/>
        </w:rPr>
        <w:t xml:space="preserve"> 2014; </w:t>
      </w:r>
      <w:r w:rsidRPr="00420402">
        <w:rPr>
          <w:rFonts w:ascii="Book Antiqua" w:eastAsia="SimSun" w:hAnsi="Book Antiqua"/>
          <w:b/>
          <w:kern w:val="2"/>
          <w:lang w:val="en-US" w:eastAsia="zh-CN"/>
        </w:rPr>
        <w:t>11</w:t>
      </w:r>
      <w:r w:rsidRPr="00420402">
        <w:rPr>
          <w:rFonts w:ascii="Book Antiqua" w:eastAsia="SimSun" w:hAnsi="Book Antiqua"/>
          <w:kern w:val="2"/>
          <w:lang w:val="en-US" w:eastAsia="zh-CN"/>
        </w:rPr>
        <w:t>: 1-16; quiz 17-8 [PMID: 25174137]</w:t>
      </w:r>
    </w:p>
    <w:p w14:paraId="30841140"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14 </w:t>
      </w:r>
      <w:proofErr w:type="spellStart"/>
      <w:r w:rsidRPr="00420402">
        <w:rPr>
          <w:rFonts w:ascii="Book Antiqua" w:eastAsia="SimSun" w:hAnsi="Book Antiqua"/>
          <w:b/>
          <w:kern w:val="2"/>
          <w:lang w:val="en-US" w:eastAsia="zh-CN"/>
        </w:rPr>
        <w:t>Boockvar</w:t>
      </w:r>
      <w:proofErr w:type="spellEnd"/>
      <w:r w:rsidRPr="00420402">
        <w:rPr>
          <w:rFonts w:ascii="Book Antiqua" w:eastAsia="SimSun" w:hAnsi="Book Antiqua"/>
          <w:b/>
          <w:kern w:val="2"/>
          <w:lang w:val="en-US" w:eastAsia="zh-CN"/>
        </w:rPr>
        <w:t xml:space="preserve"> K</w:t>
      </w:r>
      <w:r w:rsidRPr="00420402">
        <w:rPr>
          <w:rFonts w:ascii="Book Antiqua" w:eastAsia="SimSun" w:hAnsi="Book Antiqua"/>
          <w:kern w:val="2"/>
          <w:lang w:val="en-US" w:eastAsia="zh-CN"/>
        </w:rPr>
        <w:t xml:space="preserve">, Vladeck BC. Improving the quality of transitional care for persons with complex care needs. </w:t>
      </w:r>
      <w:r w:rsidRPr="00420402">
        <w:rPr>
          <w:rFonts w:ascii="Book Antiqua" w:eastAsia="SimSun" w:hAnsi="Book Antiqua"/>
          <w:i/>
          <w:kern w:val="2"/>
          <w:lang w:val="en-US" w:eastAsia="zh-CN"/>
        </w:rPr>
        <w:t xml:space="preserve">J Am </w:t>
      </w:r>
      <w:proofErr w:type="spellStart"/>
      <w:r w:rsidRPr="00420402">
        <w:rPr>
          <w:rFonts w:ascii="Book Antiqua" w:eastAsia="SimSun" w:hAnsi="Book Antiqua"/>
          <w:i/>
          <w:kern w:val="2"/>
          <w:lang w:val="en-US" w:eastAsia="zh-CN"/>
        </w:rPr>
        <w:t>Geriatr</w:t>
      </w:r>
      <w:proofErr w:type="spellEnd"/>
      <w:r w:rsidRPr="00420402">
        <w:rPr>
          <w:rFonts w:ascii="Book Antiqua" w:eastAsia="SimSun" w:hAnsi="Book Antiqua"/>
          <w:i/>
          <w:kern w:val="2"/>
          <w:lang w:val="en-US" w:eastAsia="zh-CN"/>
        </w:rPr>
        <w:t xml:space="preserve"> Soc</w:t>
      </w:r>
      <w:r w:rsidRPr="00420402">
        <w:rPr>
          <w:rFonts w:ascii="Book Antiqua" w:eastAsia="SimSun" w:hAnsi="Book Antiqua"/>
          <w:kern w:val="2"/>
          <w:lang w:val="en-US" w:eastAsia="zh-CN"/>
        </w:rPr>
        <w:t xml:space="preserve"> 2004; </w:t>
      </w:r>
      <w:r w:rsidRPr="00420402">
        <w:rPr>
          <w:rFonts w:ascii="Book Antiqua" w:eastAsia="SimSun" w:hAnsi="Book Antiqua"/>
          <w:b/>
          <w:kern w:val="2"/>
          <w:lang w:val="en-US" w:eastAsia="zh-CN"/>
        </w:rPr>
        <w:t>52</w:t>
      </w:r>
      <w:r w:rsidRPr="00420402">
        <w:rPr>
          <w:rFonts w:ascii="Book Antiqua" w:eastAsia="SimSun" w:hAnsi="Book Antiqua"/>
          <w:kern w:val="2"/>
          <w:lang w:val="en-US" w:eastAsia="zh-CN"/>
        </w:rPr>
        <w:t>: 855-6; author reply 856 [PMID: 15086688 DOI: 10.1046/j.1532-5415.2003.51186.x]</w:t>
      </w:r>
    </w:p>
    <w:p w14:paraId="55968BA8"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15 </w:t>
      </w:r>
      <w:r w:rsidRPr="00420402">
        <w:rPr>
          <w:rFonts w:ascii="Book Antiqua" w:eastAsia="SimSun" w:hAnsi="Book Antiqua"/>
          <w:b/>
          <w:kern w:val="2"/>
          <w:lang w:val="en-US" w:eastAsia="zh-CN"/>
        </w:rPr>
        <w:t>Coleman EA</w:t>
      </w:r>
      <w:r w:rsidRPr="00420402">
        <w:rPr>
          <w:rFonts w:ascii="Book Antiqua" w:eastAsia="SimSun" w:hAnsi="Book Antiqua"/>
          <w:kern w:val="2"/>
          <w:lang w:val="en-US" w:eastAsia="zh-CN"/>
        </w:rPr>
        <w:t xml:space="preserve">, Smith JD, </w:t>
      </w:r>
      <w:proofErr w:type="spellStart"/>
      <w:r w:rsidRPr="00420402">
        <w:rPr>
          <w:rFonts w:ascii="Book Antiqua" w:eastAsia="SimSun" w:hAnsi="Book Antiqua"/>
          <w:kern w:val="2"/>
          <w:lang w:val="en-US" w:eastAsia="zh-CN"/>
        </w:rPr>
        <w:t>Raha</w:t>
      </w:r>
      <w:proofErr w:type="spellEnd"/>
      <w:r w:rsidRPr="00420402">
        <w:rPr>
          <w:rFonts w:ascii="Book Antiqua" w:eastAsia="SimSun" w:hAnsi="Book Antiqua"/>
          <w:kern w:val="2"/>
          <w:lang w:val="en-US" w:eastAsia="zh-CN"/>
        </w:rPr>
        <w:t xml:space="preserve"> D, Min SJ. Posthospital medication discrepancies: Prevalence and contributing factors. </w:t>
      </w:r>
      <w:r w:rsidRPr="00420402">
        <w:rPr>
          <w:rFonts w:ascii="Book Antiqua" w:eastAsia="SimSun" w:hAnsi="Book Antiqua"/>
          <w:i/>
          <w:kern w:val="2"/>
          <w:lang w:val="en-US" w:eastAsia="zh-CN"/>
        </w:rPr>
        <w:t>Arch Intern Med</w:t>
      </w:r>
      <w:r w:rsidRPr="00420402">
        <w:rPr>
          <w:rFonts w:ascii="Book Antiqua" w:eastAsia="SimSun" w:hAnsi="Book Antiqua"/>
          <w:kern w:val="2"/>
          <w:lang w:val="en-US" w:eastAsia="zh-CN"/>
        </w:rPr>
        <w:t xml:space="preserve"> 2005; </w:t>
      </w:r>
      <w:r w:rsidRPr="00420402">
        <w:rPr>
          <w:rFonts w:ascii="Book Antiqua" w:eastAsia="SimSun" w:hAnsi="Book Antiqua"/>
          <w:b/>
          <w:kern w:val="2"/>
          <w:lang w:val="en-US" w:eastAsia="zh-CN"/>
        </w:rPr>
        <w:t>165</w:t>
      </w:r>
      <w:r w:rsidRPr="00420402">
        <w:rPr>
          <w:rFonts w:ascii="Book Antiqua" w:eastAsia="SimSun" w:hAnsi="Book Antiqua"/>
          <w:kern w:val="2"/>
          <w:lang w:val="en-US" w:eastAsia="zh-CN"/>
        </w:rPr>
        <w:t>: 1842-1847 [PMID: 16157827 DOI: 10.1001/archinte.165.16.1842]</w:t>
      </w:r>
    </w:p>
    <w:p w14:paraId="0B7889D8"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16 </w:t>
      </w:r>
      <w:r w:rsidRPr="00420402">
        <w:rPr>
          <w:rFonts w:ascii="Book Antiqua" w:eastAsia="SimSun" w:hAnsi="Book Antiqua"/>
          <w:b/>
          <w:kern w:val="2"/>
          <w:lang w:val="en-US" w:eastAsia="zh-CN"/>
        </w:rPr>
        <w:t>Cohen-</w:t>
      </w:r>
      <w:proofErr w:type="spellStart"/>
      <w:r w:rsidRPr="00420402">
        <w:rPr>
          <w:rFonts w:ascii="Book Antiqua" w:eastAsia="SimSun" w:hAnsi="Book Antiqua"/>
          <w:b/>
          <w:kern w:val="2"/>
          <w:lang w:val="en-US" w:eastAsia="zh-CN"/>
        </w:rPr>
        <w:t>Mekelburg</w:t>
      </w:r>
      <w:proofErr w:type="spellEnd"/>
      <w:r w:rsidRPr="00420402">
        <w:rPr>
          <w:rFonts w:ascii="Book Antiqua" w:eastAsia="SimSun" w:hAnsi="Book Antiqua"/>
          <w:b/>
          <w:kern w:val="2"/>
          <w:lang w:val="en-US" w:eastAsia="zh-CN"/>
        </w:rPr>
        <w:t xml:space="preserve"> S</w:t>
      </w:r>
      <w:r w:rsidRPr="00420402">
        <w:rPr>
          <w:rFonts w:ascii="Book Antiqua" w:eastAsia="SimSun" w:hAnsi="Book Antiqua"/>
          <w:kern w:val="2"/>
          <w:lang w:val="en-US" w:eastAsia="zh-CN"/>
        </w:rPr>
        <w:t xml:space="preserve">, Rosenblatt R, Gold S, Shen N, Fortune B, </w:t>
      </w:r>
      <w:proofErr w:type="spellStart"/>
      <w:r w:rsidRPr="00420402">
        <w:rPr>
          <w:rFonts w:ascii="Book Antiqua" w:eastAsia="SimSun" w:hAnsi="Book Antiqua"/>
          <w:kern w:val="2"/>
          <w:lang w:val="en-US" w:eastAsia="zh-CN"/>
        </w:rPr>
        <w:t>Waljee</w:t>
      </w:r>
      <w:proofErr w:type="spellEnd"/>
      <w:r w:rsidRPr="00420402">
        <w:rPr>
          <w:rFonts w:ascii="Book Antiqua" w:eastAsia="SimSun" w:hAnsi="Book Antiqua"/>
          <w:kern w:val="2"/>
          <w:lang w:val="en-US" w:eastAsia="zh-CN"/>
        </w:rPr>
        <w:t xml:space="preserve"> AK, Saini S, </w:t>
      </w:r>
      <w:proofErr w:type="spellStart"/>
      <w:r w:rsidRPr="00420402">
        <w:rPr>
          <w:rFonts w:ascii="Book Antiqua" w:eastAsia="SimSun" w:hAnsi="Book Antiqua"/>
          <w:kern w:val="2"/>
          <w:lang w:val="en-US" w:eastAsia="zh-CN"/>
        </w:rPr>
        <w:t>Scherl</w:t>
      </w:r>
      <w:proofErr w:type="spellEnd"/>
      <w:r w:rsidRPr="00420402">
        <w:rPr>
          <w:rFonts w:ascii="Book Antiqua" w:eastAsia="SimSun" w:hAnsi="Book Antiqua"/>
          <w:kern w:val="2"/>
          <w:lang w:val="en-US" w:eastAsia="zh-CN"/>
        </w:rPr>
        <w:t xml:space="preserve"> E, </w:t>
      </w:r>
      <w:proofErr w:type="spellStart"/>
      <w:r w:rsidRPr="00420402">
        <w:rPr>
          <w:rFonts w:ascii="Book Antiqua" w:eastAsia="SimSun" w:hAnsi="Book Antiqua"/>
          <w:kern w:val="2"/>
          <w:lang w:val="en-US" w:eastAsia="zh-CN"/>
        </w:rPr>
        <w:t>Burakoff</w:t>
      </w:r>
      <w:proofErr w:type="spellEnd"/>
      <w:r w:rsidRPr="00420402">
        <w:rPr>
          <w:rFonts w:ascii="Book Antiqua" w:eastAsia="SimSun" w:hAnsi="Book Antiqua"/>
          <w:kern w:val="2"/>
          <w:lang w:val="en-US" w:eastAsia="zh-CN"/>
        </w:rPr>
        <w:t xml:space="preserve"> R, Unruh M. Fragmented Care is Prevalent Among Inflammatory Bowel Disease Readmissions and is Associated With Worse Outcomes. </w:t>
      </w:r>
      <w:r w:rsidRPr="00420402">
        <w:rPr>
          <w:rFonts w:ascii="Book Antiqua" w:eastAsia="SimSun" w:hAnsi="Book Antiqua"/>
          <w:i/>
          <w:kern w:val="2"/>
          <w:lang w:val="en-US" w:eastAsia="zh-CN"/>
        </w:rPr>
        <w:t>Am J Gastroenterol</w:t>
      </w:r>
      <w:r w:rsidRPr="00420402">
        <w:rPr>
          <w:rFonts w:ascii="Book Antiqua" w:eastAsia="SimSun" w:hAnsi="Book Antiqua"/>
          <w:kern w:val="2"/>
          <w:lang w:val="en-US" w:eastAsia="zh-CN"/>
        </w:rPr>
        <w:t xml:space="preserve"> 2019; </w:t>
      </w:r>
      <w:r w:rsidRPr="00420402">
        <w:rPr>
          <w:rFonts w:ascii="Book Antiqua" w:eastAsia="SimSun" w:hAnsi="Book Antiqua"/>
          <w:b/>
          <w:kern w:val="2"/>
          <w:lang w:val="en-US" w:eastAsia="zh-CN"/>
        </w:rPr>
        <w:t>114</w:t>
      </w:r>
      <w:r w:rsidRPr="00420402">
        <w:rPr>
          <w:rFonts w:ascii="Book Antiqua" w:eastAsia="SimSun" w:hAnsi="Book Antiqua"/>
          <w:kern w:val="2"/>
          <w:lang w:val="en-US" w:eastAsia="zh-CN"/>
        </w:rPr>
        <w:t>: 276-290 [PMID: 30420634 DOI: 10.1038/s41395-018-0417-9]</w:t>
      </w:r>
    </w:p>
    <w:p w14:paraId="2A4CE6D5"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17 </w:t>
      </w:r>
      <w:proofErr w:type="spellStart"/>
      <w:r w:rsidRPr="00420402">
        <w:rPr>
          <w:rFonts w:ascii="Book Antiqua" w:eastAsia="SimSun" w:hAnsi="Book Antiqua"/>
          <w:b/>
          <w:kern w:val="2"/>
          <w:lang w:val="en-US" w:eastAsia="zh-CN"/>
        </w:rPr>
        <w:t>Podolsky</w:t>
      </w:r>
      <w:proofErr w:type="spellEnd"/>
      <w:r w:rsidRPr="00420402">
        <w:rPr>
          <w:rFonts w:ascii="Book Antiqua" w:eastAsia="SimSun" w:hAnsi="Book Antiqua"/>
          <w:b/>
          <w:kern w:val="2"/>
          <w:lang w:val="en-US" w:eastAsia="zh-CN"/>
        </w:rPr>
        <w:t xml:space="preserve"> DK</w:t>
      </w:r>
      <w:r w:rsidRPr="00420402">
        <w:rPr>
          <w:rFonts w:ascii="Book Antiqua" w:eastAsia="SimSun" w:hAnsi="Book Antiqua"/>
          <w:kern w:val="2"/>
          <w:lang w:val="en-US" w:eastAsia="zh-CN"/>
        </w:rPr>
        <w:t xml:space="preserve">. Inflammatory bowel disease. </w:t>
      </w:r>
      <w:r w:rsidRPr="00420402">
        <w:rPr>
          <w:rFonts w:ascii="Book Antiqua" w:eastAsia="SimSun" w:hAnsi="Book Antiqua"/>
          <w:i/>
          <w:kern w:val="2"/>
          <w:lang w:val="en-US" w:eastAsia="zh-CN"/>
        </w:rPr>
        <w:t xml:space="preserve">N </w:t>
      </w:r>
      <w:proofErr w:type="spellStart"/>
      <w:r w:rsidRPr="00420402">
        <w:rPr>
          <w:rFonts w:ascii="Book Antiqua" w:eastAsia="SimSun" w:hAnsi="Book Antiqua"/>
          <w:i/>
          <w:kern w:val="2"/>
          <w:lang w:val="en-US" w:eastAsia="zh-CN"/>
        </w:rPr>
        <w:t>Engl</w:t>
      </w:r>
      <w:proofErr w:type="spellEnd"/>
      <w:r w:rsidRPr="00420402">
        <w:rPr>
          <w:rFonts w:ascii="Book Antiqua" w:eastAsia="SimSun" w:hAnsi="Book Antiqua"/>
          <w:i/>
          <w:kern w:val="2"/>
          <w:lang w:val="en-US" w:eastAsia="zh-CN"/>
        </w:rPr>
        <w:t xml:space="preserve"> J Med</w:t>
      </w:r>
      <w:r w:rsidRPr="00420402">
        <w:rPr>
          <w:rFonts w:ascii="Book Antiqua" w:eastAsia="SimSun" w:hAnsi="Book Antiqua"/>
          <w:kern w:val="2"/>
          <w:lang w:val="en-US" w:eastAsia="zh-CN"/>
        </w:rPr>
        <w:t xml:space="preserve"> 2002; </w:t>
      </w:r>
      <w:r w:rsidRPr="00420402">
        <w:rPr>
          <w:rFonts w:ascii="Book Antiqua" w:eastAsia="SimSun" w:hAnsi="Book Antiqua"/>
          <w:b/>
          <w:kern w:val="2"/>
          <w:lang w:val="en-US" w:eastAsia="zh-CN"/>
        </w:rPr>
        <w:t>347</w:t>
      </w:r>
      <w:r w:rsidRPr="00420402">
        <w:rPr>
          <w:rFonts w:ascii="Book Antiqua" w:eastAsia="SimSun" w:hAnsi="Book Antiqua"/>
          <w:kern w:val="2"/>
          <w:lang w:val="en-US" w:eastAsia="zh-CN"/>
        </w:rPr>
        <w:t>: 417-429 [PMID: 12167685 DOI: 10.1056/NEJMra020831]</w:t>
      </w:r>
    </w:p>
    <w:p w14:paraId="6340382B"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highlight w:val="yellow"/>
          <w:lang w:val="en-US" w:eastAsia="zh-CN"/>
        </w:rPr>
        <w:t>18 National Institute for Health and Care Excellence (NICE). Inflammatory Bowel Disease [Internet]. February 26, 2015 [cited 2018 Mar 11]. Available from: https://www.nice.org.uk/guidance/qs81/resources/inflammatory-bowel-disease-2098903535557</w:t>
      </w:r>
    </w:p>
    <w:p w14:paraId="31B7ABB4"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19 </w:t>
      </w:r>
      <w:r w:rsidRPr="00420402">
        <w:rPr>
          <w:rFonts w:ascii="Book Antiqua" w:eastAsia="SimSun" w:hAnsi="Book Antiqua"/>
          <w:b/>
          <w:kern w:val="2"/>
          <w:lang w:val="en-US" w:eastAsia="zh-CN"/>
        </w:rPr>
        <w:t>Coleman EA</w:t>
      </w:r>
      <w:r w:rsidRPr="00420402">
        <w:rPr>
          <w:rFonts w:ascii="Book Antiqua" w:eastAsia="SimSun" w:hAnsi="Book Antiqua"/>
          <w:kern w:val="2"/>
          <w:lang w:val="en-US" w:eastAsia="zh-CN"/>
        </w:rPr>
        <w:t xml:space="preserve">. Falling through the cracks: Challenges and opportunities for improving transitional care for persons with continuous complex care needs. </w:t>
      </w:r>
      <w:r w:rsidRPr="00420402">
        <w:rPr>
          <w:rFonts w:ascii="Book Antiqua" w:eastAsia="SimSun" w:hAnsi="Book Antiqua"/>
          <w:i/>
          <w:kern w:val="2"/>
          <w:lang w:val="en-US" w:eastAsia="zh-CN"/>
        </w:rPr>
        <w:t xml:space="preserve">J Am </w:t>
      </w:r>
      <w:proofErr w:type="spellStart"/>
      <w:r w:rsidRPr="00420402">
        <w:rPr>
          <w:rFonts w:ascii="Book Antiqua" w:eastAsia="SimSun" w:hAnsi="Book Antiqua"/>
          <w:i/>
          <w:kern w:val="2"/>
          <w:lang w:val="en-US" w:eastAsia="zh-CN"/>
        </w:rPr>
        <w:t>Geriatr</w:t>
      </w:r>
      <w:proofErr w:type="spellEnd"/>
      <w:r w:rsidRPr="00420402">
        <w:rPr>
          <w:rFonts w:ascii="Book Antiqua" w:eastAsia="SimSun" w:hAnsi="Book Antiqua"/>
          <w:i/>
          <w:kern w:val="2"/>
          <w:lang w:val="en-US" w:eastAsia="zh-CN"/>
        </w:rPr>
        <w:t xml:space="preserve"> Soc</w:t>
      </w:r>
      <w:r w:rsidRPr="00420402">
        <w:rPr>
          <w:rFonts w:ascii="Book Antiqua" w:eastAsia="SimSun" w:hAnsi="Book Antiqua"/>
          <w:kern w:val="2"/>
          <w:lang w:val="en-US" w:eastAsia="zh-CN"/>
        </w:rPr>
        <w:t xml:space="preserve"> 2003; </w:t>
      </w:r>
      <w:r w:rsidRPr="00420402">
        <w:rPr>
          <w:rFonts w:ascii="Book Antiqua" w:eastAsia="SimSun" w:hAnsi="Book Antiqua"/>
          <w:b/>
          <w:kern w:val="2"/>
          <w:lang w:val="en-US" w:eastAsia="zh-CN"/>
        </w:rPr>
        <w:t>51</w:t>
      </w:r>
      <w:r w:rsidRPr="00420402">
        <w:rPr>
          <w:rFonts w:ascii="Book Antiqua" w:eastAsia="SimSun" w:hAnsi="Book Antiqua"/>
          <w:kern w:val="2"/>
          <w:lang w:val="en-US" w:eastAsia="zh-CN"/>
        </w:rPr>
        <w:t>: 549-555 [PMID: 12657078 DOI: 10.1046/j.1532-5415.2003.51185.x]</w:t>
      </w:r>
    </w:p>
    <w:p w14:paraId="6E42E950"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highlight w:val="yellow"/>
          <w:lang w:val="en-US" w:eastAsia="zh-CN"/>
        </w:rPr>
        <w:t xml:space="preserve">20 National Audit Office. A Short Guide to the Department of Health and NHS England [Internet]. 2017 [cited 2018 Mar 11]. Available from: </w:t>
      </w:r>
      <w:r w:rsidRPr="00420402">
        <w:rPr>
          <w:rFonts w:ascii="Book Antiqua" w:eastAsia="SimSun" w:hAnsi="Book Antiqua"/>
          <w:kern w:val="2"/>
          <w:highlight w:val="yellow"/>
          <w:lang w:val="en-US" w:eastAsia="zh-CN"/>
        </w:rPr>
        <w:lastRenderedPageBreak/>
        <w:t>https://www.nao.org.uk/wp-content/uploads/2017/09/2017-Short-Guide-to-the-Department-of-Health-and-NHS-England.pdf</w:t>
      </w:r>
    </w:p>
    <w:p w14:paraId="17FD827F"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highlight w:val="yellow"/>
          <w:lang w:val="en-US" w:eastAsia="zh-CN"/>
        </w:rPr>
        <w:t>21 NHS. Middle Layer Super Output Area [Internet]. 2018 [cited 2018 Mar 3]. Available from: http://www.datadictionary.nhs.uk/data_dictionary/nhs_business_definitions/m/middle_layer_super_output_area_de.asp?shownav=1</w:t>
      </w:r>
    </w:p>
    <w:p w14:paraId="73841348"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22 </w:t>
      </w:r>
      <w:proofErr w:type="spellStart"/>
      <w:r w:rsidRPr="00420402">
        <w:rPr>
          <w:rFonts w:ascii="Book Antiqua" w:eastAsia="SimSun" w:hAnsi="Book Antiqua"/>
          <w:b/>
          <w:kern w:val="2"/>
          <w:lang w:val="en-US" w:eastAsia="zh-CN"/>
        </w:rPr>
        <w:t>Molodecky</w:t>
      </w:r>
      <w:proofErr w:type="spellEnd"/>
      <w:r w:rsidRPr="00420402">
        <w:rPr>
          <w:rFonts w:ascii="Book Antiqua" w:eastAsia="SimSun" w:hAnsi="Book Antiqua"/>
          <w:b/>
          <w:kern w:val="2"/>
          <w:lang w:val="en-US" w:eastAsia="zh-CN"/>
        </w:rPr>
        <w:t xml:space="preserve"> NA</w:t>
      </w:r>
      <w:r w:rsidRPr="00420402">
        <w:rPr>
          <w:rFonts w:ascii="Book Antiqua" w:eastAsia="SimSun" w:hAnsi="Book Antiqua"/>
          <w:kern w:val="2"/>
          <w:lang w:val="en-US" w:eastAsia="zh-CN"/>
        </w:rPr>
        <w:t xml:space="preserve">, Soon IS, Rabi DM, </w:t>
      </w:r>
      <w:proofErr w:type="spellStart"/>
      <w:r w:rsidRPr="00420402">
        <w:rPr>
          <w:rFonts w:ascii="Book Antiqua" w:eastAsia="SimSun" w:hAnsi="Book Antiqua"/>
          <w:kern w:val="2"/>
          <w:lang w:val="en-US" w:eastAsia="zh-CN"/>
        </w:rPr>
        <w:t>Ghali</w:t>
      </w:r>
      <w:proofErr w:type="spellEnd"/>
      <w:r w:rsidRPr="00420402">
        <w:rPr>
          <w:rFonts w:ascii="Book Antiqua" w:eastAsia="SimSun" w:hAnsi="Book Antiqua"/>
          <w:kern w:val="2"/>
          <w:lang w:val="en-US" w:eastAsia="zh-CN"/>
        </w:rPr>
        <w:t xml:space="preserve"> WA, Ferris M, Chernoff G, </w:t>
      </w:r>
      <w:proofErr w:type="spellStart"/>
      <w:r w:rsidRPr="00420402">
        <w:rPr>
          <w:rFonts w:ascii="Book Antiqua" w:eastAsia="SimSun" w:hAnsi="Book Antiqua"/>
          <w:kern w:val="2"/>
          <w:lang w:val="en-US" w:eastAsia="zh-CN"/>
        </w:rPr>
        <w:t>Benchimol</w:t>
      </w:r>
      <w:proofErr w:type="spellEnd"/>
      <w:r w:rsidRPr="00420402">
        <w:rPr>
          <w:rFonts w:ascii="Book Antiqua" w:eastAsia="SimSun" w:hAnsi="Book Antiqua"/>
          <w:kern w:val="2"/>
          <w:lang w:val="en-US" w:eastAsia="zh-CN"/>
        </w:rPr>
        <w:t xml:space="preserve"> EI, </w:t>
      </w:r>
      <w:proofErr w:type="spellStart"/>
      <w:r w:rsidRPr="00420402">
        <w:rPr>
          <w:rFonts w:ascii="Book Antiqua" w:eastAsia="SimSun" w:hAnsi="Book Antiqua"/>
          <w:kern w:val="2"/>
          <w:lang w:val="en-US" w:eastAsia="zh-CN"/>
        </w:rPr>
        <w:t>Panaccione</w:t>
      </w:r>
      <w:proofErr w:type="spellEnd"/>
      <w:r w:rsidRPr="00420402">
        <w:rPr>
          <w:rFonts w:ascii="Book Antiqua" w:eastAsia="SimSun" w:hAnsi="Book Antiqua"/>
          <w:kern w:val="2"/>
          <w:lang w:val="en-US" w:eastAsia="zh-CN"/>
        </w:rPr>
        <w:t xml:space="preserve"> R, Ghosh S, </w:t>
      </w:r>
      <w:proofErr w:type="spellStart"/>
      <w:r w:rsidRPr="00420402">
        <w:rPr>
          <w:rFonts w:ascii="Book Antiqua" w:eastAsia="SimSun" w:hAnsi="Book Antiqua"/>
          <w:kern w:val="2"/>
          <w:lang w:val="en-US" w:eastAsia="zh-CN"/>
        </w:rPr>
        <w:t>Barkema</w:t>
      </w:r>
      <w:proofErr w:type="spellEnd"/>
      <w:r w:rsidRPr="00420402">
        <w:rPr>
          <w:rFonts w:ascii="Book Antiqua" w:eastAsia="SimSun" w:hAnsi="Book Antiqua"/>
          <w:kern w:val="2"/>
          <w:lang w:val="en-US" w:eastAsia="zh-CN"/>
        </w:rPr>
        <w:t xml:space="preserve"> HW, Kaplan GG. Increasing incidence and prevalence of the inflammatory bowel diseases with time, based on systematic review. </w:t>
      </w:r>
      <w:r w:rsidRPr="00420402">
        <w:rPr>
          <w:rFonts w:ascii="Book Antiqua" w:eastAsia="SimSun" w:hAnsi="Book Antiqua"/>
          <w:i/>
          <w:kern w:val="2"/>
          <w:lang w:val="en-US" w:eastAsia="zh-CN"/>
        </w:rPr>
        <w:t>Gastroenterology</w:t>
      </w:r>
      <w:r w:rsidRPr="00420402">
        <w:rPr>
          <w:rFonts w:ascii="Book Antiqua" w:eastAsia="SimSun" w:hAnsi="Book Antiqua"/>
          <w:kern w:val="2"/>
          <w:lang w:val="en-US" w:eastAsia="zh-CN"/>
        </w:rPr>
        <w:t xml:space="preserve"> 2012; </w:t>
      </w:r>
      <w:r w:rsidRPr="00420402">
        <w:rPr>
          <w:rFonts w:ascii="Book Antiqua" w:eastAsia="SimSun" w:hAnsi="Book Antiqua"/>
          <w:b/>
          <w:kern w:val="2"/>
          <w:lang w:val="en-US" w:eastAsia="zh-CN"/>
        </w:rPr>
        <w:t>142</w:t>
      </w:r>
      <w:r w:rsidRPr="00420402">
        <w:rPr>
          <w:rFonts w:ascii="Book Antiqua" w:eastAsia="SimSun" w:hAnsi="Book Antiqua"/>
          <w:kern w:val="2"/>
          <w:lang w:val="en-US" w:eastAsia="zh-CN"/>
        </w:rPr>
        <w:t>: 46-54.e42; quiz e30 [PMID: 22001864 DOI: 10.1053/j.gastro.2011.10.001]</w:t>
      </w:r>
    </w:p>
    <w:p w14:paraId="2CE4A67F"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highlight w:val="yellow"/>
          <w:lang w:val="en-US" w:eastAsia="zh-CN"/>
        </w:rPr>
        <w:t>23 NHS. Main Specialty Code [Internet]. 2018 [cited 2018 Mar 14]. Available from: http://www.datadictionary.nhs.uk/data_dictionary/attributes/m/main_specialty_code_de.asp?shownav=1</w:t>
      </w:r>
    </w:p>
    <w:p w14:paraId="5AD41AD8" w14:textId="77777777" w:rsidR="00420402" w:rsidRPr="00420402" w:rsidRDefault="00420402" w:rsidP="006C577E">
      <w:pPr>
        <w:widowControl w:val="0"/>
        <w:snapToGrid w:val="0"/>
        <w:spacing w:line="360" w:lineRule="auto"/>
        <w:jc w:val="both"/>
        <w:rPr>
          <w:rFonts w:ascii="Book Antiqua" w:eastAsia="SimSun" w:hAnsi="Book Antiqua"/>
          <w:kern w:val="2"/>
          <w:highlight w:val="yellow"/>
          <w:lang w:val="en-US" w:eastAsia="zh-CN"/>
        </w:rPr>
      </w:pPr>
      <w:r w:rsidRPr="00420402">
        <w:rPr>
          <w:rFonts w:ascii="Book Antiqua" w:eastAsia="SimSun" w:hAnsi="Book Antiqua"/>
          <w:kern w:val="2"/>
          <w:highlight w:val="yellow"/>
          <w:lang w:val="en-US" w:eastAsia="zh-CN"/>
        </w:rPr>
        <w:t>24 NHS. Treatment Function Code [Internet]. 2018 [cited 2018 Mar 14]. Available from: http://www.datadictionary.nhs.uk/data_dictionary/attributes/t/tran/treatment_function_code_de.asp?shownav=1</w:t>
      </w:r>
    </w:p>
    <w:p w14:paraId="1616BFF7"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highlight w:val="yellow"/>
          <w:lang w:val="en-US" w:eastAsia="zh-CN"/>
        </w:rPr>
        <w:t xml:space="preserve">25 </w:t>
      </w:r>
      <w:proofErr w:type="spellStart"/>
      <w:r w:rsidRPr="00420402">
        <w:rPr>
          <w:rFonts w:ascii="Book Antiqua" w:eastAsia="SimSun" w:hAnsi="Book Antiqua"/>
          <w:kern w:val="2"/>
          <w:highlight w:val="yellow"/>
          <w:lang w:val="en-US" w:eastAsia="zh-CN"/>
        </w:rPr>
        <w:t>TechUK</w:t>
      </w:r>
      <w:proofErr w:type="spellEnd"/>
      <w:r w:rsidRPr="00420402">
        <w:rPr>
          <w:rFonts w:ascii="Book Antiqua" w:eastAsia="SimSun" w:hAnsi="Book Antiqua"/>
          <w:kern w:val="2"/>
          <w:highlight w:val="yellow"/>
          <w:lang w:val="en-US" w:eastAsia="zh-CN"/>
        </w:rPr>
        <w:t xml:space="preserve">. </w:t>
      </w:r>
      <w:proofErr w:type="spellStart"/>
      <w:r w:rsidRPr="00420402">
        <w:rPr>
          <w:rFonts w:ascii="Book Antiqua" w:eastAsia="SimSun" w:hAnsi="Book Antiqua"/>
          <w:kern w:val="2"/>
          <w:highlight w:val="yellow"/>
          <w:lang w:val="en-US" w:eastAsia="zh-CN"/>
        </w:rPr>
        <w:t>techUK’s</w:t>
      </w:r>
      <w:proofErr w:type="spellEnd"/>
      <w:r w:rsidRPr="00420402">
        <w:rPr>
          <w:rFonts w:ascii="Book Antiqua" w:eastAsia="SimSun" w:hAnsi="Book Antiqua"/>
          <w:kern w:val="2"/>
          <w:highlight w:val="yellow"/>
          <w:lang w:val="en-US" w:eastAsia="zh-CN"/>
        </w:rPr>
        <w:t xml:space="preserve"> Interoperability Charter [Internet]. 2015 [cited 2018 Mar 14]. Available from: http://www.techuk.org/insights/news/item/5276-techuk-s-interoperability-charter</w:t>
      </w:r>
    </w:p>
    <w:p w14:paraId="01CF2500"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26 </w:t>
      </w:r>
      <w:r w:rsidRPr="00420402">
        <w:rPr>
          <w:rFonts w:ascii="Book Antiqua" w:eastAsia="SimSun" w:hAnsi="Book Antiqua"/>
          <w:b/>
          <w:kern w:val="2"/>
          <w:lang w:val="en-US" w:eastAsia="zh-CN"/>
        </w:rPr>
        <w:t>Perlin JB</w:t>
      </w:r>
      <w:r w:rsidRPr="00420402">
        <w:rPr>
          <w:rFonts w:ascii="Book Antiqua" w:eastAsia="SimSun" w:hAnsi="Book Antiqua"/>
          <w:kern w:val="2"/>
          <w:lang w:val="en-US" w:eastAsia="zh-CN"/>
        </w:rPr>
        <w:t xml:space="preserve">. Health Information Technology Interoperability and Use for Better Care and Evidence. </w:t>
      </w:r>
      <w:r w:rsidRPr="00420402">
        <w:rPr>
          <w:rFonts w:ascii="Book Antiqua" w:eastAsia="SimSun" w:hAnsi="Book Antiqua"/>
          <w:i/>
          <w:kern w:val="2"/>
          <w:lang w:val="en-US" w:eastAsia="zh-CN"/>
        </w:rPr>
        <w:t>JAMA</w:t>
      </w:r>
      <w:r w:rsidRPr="00420402">
        <w:rPr>
          <w:rFonts w:ascii="Book Antiqua" w:eastAsia="SimSun" w:hAnsi="Book Antiqua"/>
          <w:kern w:val="2"/>
          <w:lang w:val="en-US" w:eastAsia="zh-CN"/>
        </w:rPr>
        <w:t xml:space="preserve"> 2016; </w:t>
      </w:r>
      <w:r w:rsidRPr="00420402">
        <w:rPr>
          <w:rFonts w:ascii="Book Antiqua" w:eastAsia="SimSun" w:hAnsi="Book Antiqua"/>
          <w:b/>
          <w:kern w:val="2"/>
          <w:lang w:val="en-US" w:eastAsia="zh-CN"/>
        </w:rPr>
        <w:t>316</w:t>
      </w:r>
      <w:r w:rsidRPr="00420402">
        <w:rPr>
          <w:rFonts w:ascii="Book Antiqua" w:eastAsia="SimSun" w:hAnsi="Book Antiqua"/>
          <w:kern w:val="2"/>
          <w:lang w:val="en-US" w:eastAsia="zh-CN"/>
        </w:rPr>
        <w:t>: 1667-1668 [PMID: 27669026 DOI: 10.1001/jama.2016.12337]</w:t>
      </w:r>
    </w:p>
    <w:p w14:paraId="02CB224F"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27 </w:t>
      </w:r>
      <w:r w:rsidRPr="00420402">
        <w:rPr>
          <w:rFonts w:ascii="Book Antiqua" w:eastAsia="SimSun" w:hAnsi="Book Antiqua"/>
          <w:b/>
          <w:kern w:val="2"/>
          <w:lang w:val="en-US" w:eastAsia="zh-CN"/>
        </w:rPr>
        <w:t>Holmgren AJ</w:t>
      </w:r>
      <w:r w:rsidRPr="00420402">
        <w:rPr>
          <w:rFonts w:ascii="Book Antiqua" w:eastAsia="SimSun" w:hAnsi="Book Antiqua"/>
          <w:kern w:val="2"/>
          <w:lang w:val="en-US" w:eastAsia="zh-CN"/>
        </w:rPr>
        <w:t xml:space="preserve">, Patel V, Adler-Milstein J. Progress </w:t>
      </w:r>
      <w:proofErr w:type="gramStart"/>
      <w:r w:rsidRPr="00420402">
        <w:rPr>
          <w:rFonts w:ascii="Book Antiqua" w:eastAsia="SimSun" w:hAnsi="Book Antiqua"/>
          <w:kern w:val="2"/>
          <w:lang w:val="en-US" w:eastAsia="zh-CN"/>
        </w:rPr>
        <w:t>In</w:t>
      </w:r>
      <w:proofErr w:type="gramEnd"/>
      <w:r w:rsidRPr="00420402">
        <w:rPr>
          <w:rFonts w:ascii="Book Antiqua" w:eastAsia="SimSun" w:hAnsi="Book Antiqua"/>
          <w:kern w:val="2"/>
          <w:lang w:val="en-US" w:eastAsia="zh-CN"/>
        </w:rPr>
        <w:t xml:space="preserve"> Interoperability: Measuring US Hospitals' Engagement In Sharing Patient Data. </w:t>
      </w:r>
      <w:r w:rsidRPr="00420402">
        <w:rPr>
          <w:rFonts w:ascii="Book Antiqua" w:eastAsia="SimSun" w:hAnsi="Book Antiqua"/>
          <w:i/>
          <w:kern w:val="2"/>
          <w:lang w:val="en-US" w:eastAsia="zh-CN"/>
        </w:rPr>
        <w:t xml:space="preserve">Health </w:t>
      </w:r>
      <w:proofErr w:type="spellStart"/>
      <w:r w:rsidRPr="00420402">
        <w:rPr>
          <w:rFonts w:ascii="Book Antiqua" w:eastAsia="SimSun" w:hAnsi="Book Antiqua"/>
          <w:i/>
          <w:kern w:val="2"/>
          <w:lang w:val="en-US" w:eastAsia="zh-CN"/>
        </w:rPr>
        <w:t>Aff</w:t>
      </w:r>
      <w:proofErr w:type="spellEnd"/>
      <w:r w:rsidRPr="00420402">
        <w:rPr>
          <w:rFonts w:ascii="Book Antiqua" w:eastAsia="SimSun" w:hAnsi="Book Antiqua"/>
          <w:i/>
          <w:kern w:val="2"/>
          <w:lang w:val="en-US" w:eastAsia="zh-CN"/>
        </w:rPr>
        <w:t xml:space="preserve"> (Millwood)</w:t>
      </w:r>
      <w:r w:rsidRPr="00420402">
        <w:rPr>
          <w:rFonts w:ascii="Book Antiqua" w:eastAsia="SimSun" w:hAnsi="Book Antiqua"/>
          <w:kern w:val="2"/>
          <w:lang w:val="en-US" w:eastAsia="zh-CN"/>
        </w:rPr>
        <w:t xml:space="preserve"> 2017; </w:t>
      </w:r>
      <w:r w:rsidRPr="00420402">
        <w:rPr>
          <w:rFonts w:ascii="Book Antiqua" w:eastAsia="SimSun" w:hAnsi="Book Antiqua"/>
          <w:b/>
          <w:kern w:val="2"/>
          <w:lang w:val="en-US" w:eastAsia="zh-CN"/>
        </w:rPr>
        <w:t>36</w:t>
      </w:r>
      <w:r w:rsidRPr="00420402">
        <w:rPr>
          <w:rFonts w:ascii="Book Antiqua" w:eastAsia="SimSun" w:hAnsi="Book Antiqua"/>
          <w:kern w:val="2"/>
          <w:lang w:val="en-US" w:eastAsia="zh-CN"/>
        </w:rPr>
        <w:t>: 1820-1827 [PMID: 28971929 DOI: 10.1377/hlthaff.2017.0546]</w:t>
      </w:r>
    </w:p>
    <w:p w14:paraId="45EFD1BF"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28 </w:t>
      </w:r>
      <w:r w:rsidRPr="00420402">
        <w:rPr>
          <w:rFonts w:ascii="Book Antiqua" w:eastAsia="SimSun" w:hAnsi="Book Antiqua"/>
          <w:b/>
          <w:kern w:val="2"/>
          <w:lang w:val="en-US" w:eastAsia="zh-CN"/>
        </w:rPr>
        <w:t>Reis ZSN</w:t>
      </w:r>
      <w:r w:rsidRPr="00420402">
        <w:rPr>
          <w:rFonts w:ascii="Book Antiqua" w:eastAsia="SimSun" w:hAnsi="Book Antiqua"/>
          <w:kern w:val="2"/>
          <w:lang w:val="en-US" w:eastAsia="zh-CN"/>
        </w:rPr>
        <w:t xml:space="preserve">, Maia TA, </w:t>
      </w:r>
      <w:proofErr w:type="spellStart"/>
      <w:r w:rsidRPr="00420402">
        <w:rPr>
          <w:rFonts w:ascii="Book Antiqua" w:eastAsia="SimSun" w:hAnsi="Book Antiqua"/>
          <w:kern w:val="2"/>
          <w:lang w:val="en-US" w:eastAsia="zh-CN"/>
        </w:rPr>
        <w:t>Marcolino</w:t>
      </w:r>
      <w:proofErr w:type="spellEnd"/>
      <w:r w:rsidRPr="00420402">
        <w:rPr>
          <w:rFonts w:ascii="Book Antiqua" w:eastAsia="SimSun" w:hAnsi="Book Antiqua"/>
          <w:kern w:val="2"/>
          <w:lang w:val="en-US" w:eastAsia="zh-CN"/>
        </w:rPr>
        <w:t xml:space="preserve"> MS, Becerra-Posada F, </w:t>
      </w:r>
      <w:proofErr w:type="spellStart"/>
      <w:r w:rsidRPr="00420402">
        <w:rPr>
          <w:rFonts w:ascii="Book Antiqua" w:eastAsia="SimSun" w:hAnsi="Book Antiqua"/>
          <w:kern w:val="2"/>
          <w:lang w:val="en-US" w:eastAsia="zh-CN"/>
        </w:rPr>
        <w:t>Novillo</w:t>
      </w:r>
      <w:proofErr w:type="spellEnd"/>
      <w:r w:rsidRPr="00420402">
        <w:rPr>
          <w:rFonts w:ascii="Book Antiqua" w:eastAsia="SimSun" w:hAnsi="Book Antiqua"/>
          <w:kern w:val="2"/>
          <w:lang w:val="en-US" w:eastAsia="zh-CN"/>
        </w:rPr>
        <w:t xml:space="preserve">-Ortiz D, Ribeiro ALP. Is There Evidence of Cost Benefits of Electronic Medical Records, Standards, or Interoperability in Hospital Information Systems? Overview of Systematic Reviews. </w:t>
      </w:r>
      <w:r w:rsidRPr="00420402">
        <w:rPr>
          <w:rFonts w:ascii="Book Antiqua" w:eastAsia="SimSun" w:hAnsi="Book Antiqua"/>
          <w:i/>
          <w:kern w:val="2"/>
          <w:lang w:val="en-US" w:eastAsia="zh-CN"/>
        </w:rPr>
        <w:t>JMIR Med Inform</w:t>
      </w:r>
      <w:r w:rsidRPr="00420402">
        <w:rPr>
          <w:rFonts w:ascii="Book Antiqua" w:eastAsia="SimSun" w:hAnsi="Book Antiqua"/>
          <w:kern w:val="2"/>
          <w:lang w:val="en-US" w:eastAsia="zh-CN"/>
        </w:rPr>
        <w:t xml:space="preserve"> 2017; </w:t>
      </w:r>
      <w:r w:rsidRPr="00420402">
        <w:rPr>
          <w:rFonts w:ascii="Book Antiqua" w:eastAsia="SimSun" w:hAnsi="Book Antiqua"/>
          <w:b/>
          <w:kern w:val="2"/>
          <w:lang w:val="en-US" w:eastAsia="zh-CN"/>
        </w:rPr>
        <w:t>5</w:t>
      </w:r>
      <w:r w:rsidRPr="00420402">
        <w:rPr>
          <w:rFonts w:ascii="Book Antiqua" w:eastAsia="SimSun" w:hAnsi="Book Antiqua"/>
          <w:kern w:val="2"/>
          <w:lang w:val="en-US" w:eastAsia="zh-CN"/>
        </w:rPr>
        <w:t>: e26 [PMID: 28851681 DOI: 10.2196/medinform.7400]</w:t>
      </w:r>
    </w:p>
    <w:p w14:paraId="1C4E5AD6"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lastRenderedPageBreak/>
        <w:t xml:space="preserve">29 </w:t>
      </w:r>
      <w:r w:rsidRPr="00420402">
        <w:rPr>
          <w:rFonts w:ascii="Book Antiqua" w:eastAsia="SimSun" w:hAnsi="Book Antiqua"/>
          <w:b/>
          <w:kern w:val="2"/>
          <w:lang w:val="en-US" w:eastAsia="zh-CN"/>
        </w:rPr>
        <w:t>Walsh A</w:t>
      </w:r>
      <w:r w:rsidRPr="00420402">
        <w:rPr>
          <w:rFonts w:ascii="Book Antiqua" w:eastAsia="SimSun" w:hAnsi="Book Antiqua"/>
          <w:kern w:val="2"/>
          <w:lang w:val="en-US" w:eastAsia="zh-CN"/>
        </w:rPr>
        <w:t xml:space="preserve">, </w:t>
      </w:r>
      <w:proofErr w:type="spellStart"/>
      <w:r w:rsidRPr="00420402">
        <w:rPr>
          <w:rFonts w:ascii="Book Antiqua" w:eastAsia="SimSun" w:hAnsi="Book Antiqua"/>
          <w:kern w:val="2"/>
          <w:lang w:val="en-US" w:eastAsia="zh-CN"/>
        </w:rPr>
        <w:t>Mabee</w:t>
      </w:r>
      <w:proofErr w:type="spellEnd"/>
      <w:r w:rsidRPr="00420402">
        <w:rPr>
          <w:rFonts w:ascii="Book Antiqua" w:eastAsia="SimSun" w:hAnsi="Book Antiqua"/>
          <w:kern w:val="2"/>
          <w:lang w:val="en-US" w:eastAsia="zh-CN"/>
        </w:rPr>
        <w:t xml:space="preserve"> J, Trivedi K. Inflammatory bowel disease. </w:t>
      </w:r>
      <w:r w:rsidRPr="00420402">
        <w:rPr>
          <w:rFonts w:ascii="Book Antiqua" w:eastAsia="SimSun" w:hAnsi="Book Antiqua"/>
          <w:i/>
          <w:kern w:val="2"/>
          <w:lang w:val="en-US" w:eastAsia="zh-CN"/>
        </w:rPr>
        <w:t>Prim Care</w:t>
      </w:r>
      <w:r w:rsidRPr="00420402">
        <w:rPr>
          <w:rFonts w:ascii="Book Antiqua" w:eastAsia="SimSun" w:hAnsi="Book Antiqua"/>
          <w:kern w:val="2"/>
          <w:lang w:val="en-US" w:eastAsia="zh-CN"/>
        </w:rPr>
        <w:t xml:space="preserve"> 2011; </w:t>
      </w:r>
      <w:r w:rsidRPr="00420402">
        <w:rPr>
          <w:rFonts w:ascii="Book Antiqua" w:eastAsia="SimSun" w:hAnsi="Book Antiqua"/>
          <w:b/>
          <w:kern w:val="2"/>
          <w:lang w:val="en-US" w:eastAsia="zh-CN"/>
        </w:rPr>
        <w:t>38</w:t>
      </w:r>
      <w:r w:rsidRPr="00420402">
        <w:rPr>
          <w:rFonts w:ascii="Book Antiqua" w:eastAsia="SimSun" w:hAnsi="Book Antiqua"/>
          <w:kern w:val="2"/>
          <w:lang w:val="en-US" w:eastAsia="zh-CN"/>
        </w:rPr>
        <w:t>: 415-32; vii [PMID: 21872089 DOI: 10.1016/j.pop.2011.06.001]</w:t>
      </w:r>
    </w:p>
    <w:p w14:paraId="04FF7666"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30 </w:t>
      </w:r>
      <w:proofErr w:type="spellStart"/>
      <w:r w:rsidRPr="00420402">
        <w:rPr>
          <w:rFonts w:ascii="Book Antiqua" w:eastAsia="SimSun" w:hAnsi="Book Antiqua"/>
          <w:b/>
          <w:kern w:val="2"/>
          <w:lang w:val="en-US" w:eastAsia="zh-CN"/>
        </w:rPr>
        <w:t>Panés</w:t>
      </w:r>
      <w:proofErr w:type="spellEnd"/>
      <w:r w:rsidRPr="00420402">
        <w:rPr>
          <w:rFonts w:ascii="Book Antiqua" w:eastAsia="SimSun" w:hAnsi="Book Antiqua"/>
          <w:b/>
          <w:kern w:val="2"/>
          <w:lang w:val="en-US" w:eastAsia="zh-CN"/>
        </w:rPr>
        <w:t xml:space="preserve"> J</w:t>
      </w:r>
      <w:r w:rsidRPr="00420402">
        <w:rPr>
          <w:rFonts w:ascii="Book Antiqua" w:eastAsia="SimSun" w:hAnsi="Book Antiqua"/>
          <w:kern w:val="2"/>
          <w:lang w:val="en-US" w:eastAsia="zh-CN"/>
        </w:rPr>
        <w:t xml:space="preserve">, O'Connor M, </w:t>
      </w:r>
      <w:proofErr w:type="spellStart"/>
      <w:r w:rsidRPr="00420402">
        <w:rPr>
          <w:rFonts w:ascii="Book Antiqua" w:eastAsia="SimSun" w:hAnsi="Book Antiqua"/>
          <w:kern w:val="2"/>
          <w:lang w:val="en-US" w:eastAsia="zh-CN"/>
        </w:rPr>
        <w:t>Peyrin-Biroulet</w:t>
      </w:r>
      <w:proofErr w:type="spellEnd"/>
      <w:r w:rsidRPr="00420402">
        <w:rPr>
          <w:rFonts w:ascii="Book Antiqua" w:eastAsia="SimSun" w:hAnsi="Book Antiqua"/>
          <w:kern w:val="2"/>
          <w:lang w:val="en-US" w:eastAsia="zh-CN"/>
        </w:rPr>
        <w:t xml:space="preserve"> L, Irving P, </w:t>
      </w:r>
      <w:proofErr w:type="spellStart"/>
      <w:r w:rsidRPr="00420402">
        <w:rPr>
          <w:rFonts w:ascii="Book Antiqua" w:eastAsia="SimSun" w:hAnsi="Book Antiqua"/>
          <w:kern w:val="2"/>
          <w:lang w:val="en-US" w:eastAsia="zh-CN"/>
        </w:rPr>
        <w:t>Petersson</w:t>
      </w:r>
      <w:proofErr w:type="spellEnd"/>
      <w:r w:rsidRPr="00420402">
        <w:rPr>
          <w:rFonts w:ascii="Book Antiqua" w:eastAsia="SimSun" w:hAnsi="Book Antiqua"/>
          <w:kern w:val="2"/>
          <w:lang w:val="en-US" w:eastAsia="zh-CN"/>
        </w:rPr>
        <w:t xml:space="preserve"> J, </w:t>
      </w:r>
      <w:proofErr w:type="spellStart"/>
      <w:r w:rsidRPr="00420402">
        <w:rPr>
          <w:rFonts w:ascii="Book Antiqua" w:eastAsia="SimSun" w:hAnsi="Book Antiqua"/>
          <w:kern w:val="2"/>
          <w:lang w:val="en-US" w:eastAsia="zh-CN"/>
        </w:rPr>
        <w:t>Colombel</w:t>
      </w:r>
      <w:proofErr w:type="spellEnd"/>
      <w:r w:rsidRPr="00420402">
        <w:rPr>
          <w:rFonts w:ascii="Book Antiqua" w:eastAsia="SimSun" w:hAnsi="Book Antiqua"/>
          <w:kern w:val="2"/>
          <w:lang w:val="en-US" w:eastAsia="zh-CN"/>
        </w:rPr>
        <w:t xml:space="preserve"> JF. Improving quality of care in inflammatory bowel disease: what changes can be made today? </w:t>
      </w:r>
      <w:r w:rsidRPr="00420402">
        <w:rPr>
          <w:rFonts w:ascii="Book Antiqua" w:eastAsia="SimSun" w:hAnsi="Book Antiqua"/>
          <w:i/>
          <w:kern w:val="2"/>
          <w:lang w:val="en-US" w:eastAsia="zh-CN"/>
        </w:rPr>
        <w:t xml:space="preserve">J </w:t>
      </w:r>
      <w:proofErr w:type="spellStart"/>
      <w:r w:rsidRPr="00420402">
        <w:rPr>
          <w:rFonts w:ascii="Book Antiqua" w:eastAsia="SimSun" w:hAnsi="Book Antiqua"/>
          <w:i/>
          <w:kern w:val="2"/>
          <w:lang w:val="en-US" w:eastAsia="zh-CN"/>
        </w:rPr>
        <w:t>Crohns</w:t>
      </w:r>
      <w:proofErr w:type="spellEnd"/>
      <w:r w:rsidRPr="00420402">
        <w:rPr>
          <w:rFonts w:ascii="Book Antiqua" w:eastAsia="SimSun" w:hAnsi="Book Antiqua"/>
          <w:i/>
          <w:kern w:val="2"/>
          <w:lang w:val="en-US" w:eastAsia="zh-CN"/>
        </w:rPr>
        <w:t xml:space="preserve"> Colitis</w:t>
      </w:r>
      <w:r w:rsidRPr="00420402">
        <w:rPr>
          <w:rFonts w:ascii="Book Antiqua" w:eastAsia="SimSun" w:hAnsi="Book Antiqua"/>
          <w:kern w:val="2"/>
          <w:lang w:val="en-US" w:eastAsia="zh-CN"/>
        </w:rPr>
        <w:t xml:space="preserve"> 2014; </w:t>
      </w:r>
      <w:r w:rsidRPr="00420402">
        <w:rPr>
          <w:rFonts w:ascii="Book Antiqua" w:eastAsia="SimSun" w:hAnsi="Book Antiqua"/>
          <w:b/>
          <w:kern w:val="2"/>
          <w:lang w:val="en-US" w:eastAsia="zh-CN"/>
        </w:rPr>
        <w:t>8</w:t>
      </w:r>
      <w:r w:rsidRPr="00420402">
        <w:rPr>
          <w:rFonts w:ascii="Book Antiqua" w:eastAsia="SimSun" w:hAnsi="Book Antiqua"/>
          <w:kern w:val="2"/>
          <w:lang w:val="en-US" w:eastAsia="zh-CN"/>
        </w:rPr>
        <w:t>: 919-926 [PMID: 24713174 DOI: 10.1016/j.crohns.2014.02.022]</w:t>
      </w:r>
    </w:p>
    <w:p w14:paraId="576DD270"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31 </w:t>
      </w:r>
      <w:r w:rsidRPr="00420402">
        <w:rPr>
          <w:rFonts w:ascii="Book Antiqua" w:eastAsia="SimSun" w:hAnsi="Book Antiqua"/>
          <w:b/>
          <w:kern w:val="2"/>
          <w:lang w:val="en-US" w:eastAsia="zh-CN"/>
        </w:rPr>
        <w:t>Christian KE</w:t>
      </w:r>
      <w:r w:rsidRPr="00420402">
        <w:rPr>
          <w:rFonts w:ascii="Book Antiqua" w:eastAsia="SimSun" w:hAnsi="Book Antiqua"/>
          <w:kern w:val="2"/>
          <w:lang w:val="en-US" w:eastAsia="zh-CN"/>
        </w:rPr>
        <w:t xml:space="preserve">, </w:t>
      </w:r>
      <w:proofErr w:type="spellStart"/>
      <w:r w:rsidRPr="00420402">
        <w:rPr>
          <w:rFonts w:ascii="Book Antiqua" w:eastAsia="SimSun" w:hAnsi="Book Antiqua"/>
          <w:kern w:val="2"/>
          <w:lang w:val="en-US" w:eastAsia="zh-CN"/>
        </w:rPr>
        <w:t>Jambaulikar</w:t>
      </w:r>
      <w:proofErr w:type="spellEnd"/>
      <w:r w:rsidRPr="00420402">
        <w:rPr>
          <w:rFonts w:ascii="Book Antiqua" w:eastAsia="SimSun" w:hAnsi="Book Antiqua"/>
          <w:kern w:val="2"/>
          <w:lang w:val="en-US" w:eastAsia="zh-CN"/>
        </w:rPr>
        <w:t xml:space="preserve"> GD, Hagan MN, Syed AM, Briscoe JA, Brown SA, Campbell EV 3rd, </w:t>
      </w:r>
      <w:proofErr w:type="spellStart"/>
      <w:r w:rsidRPr="00420402">
        <w:rPr>
          <w:rFonts w:ascii="Book Antiqua" w:eastAsia="SimSun" w:hAnsi="Book Antiqua"/>
          <w:kern w:val="2"/>
          <w:lang w:val="en-US" w:eastAsia="zh-CN"/>
        </w:rPr>
        <w:t>Gadani</w:t>
      </w:r>
      <w:proofErr w:type="spellEnd"/>
      <w:r w:rsidRPr="00420402">
        <w:rPr>
          <w:rFonts w:ascii="Book Antiqua" w:eastAsia="SimSun" w:hAnsi="Book Antiqua"/>
          <w:kern w:val="2"/>
          <w:lang w:val="en-US" w:eastAsia="zh-CN"/>
        </w:rPr>
        <w:t xml:space="preserve"> AB, Cross RK. Predictors of Early Readmission in Hospitalized Patients with Inflammatory Bowel Disease. </w:t>
      </w:r>
      <w:proofErr w:type="spellStart"/>
      <w:r w:rsidRPr="00420402">
        <w:rPr>
          <w:rFonts w:ascii="Book Antiqua" w:eastAsia="SimSun" w:hAnsi="Book Antiqua"/>
          <w:i/>
          <w:kern w:val="2"/>
          <w:lang w:val="en-US" w:eastAsia="zh-CN"/>
        </w:rPr>
        <w:t>Inflamm</w:t>
      </w:r>
      <w:proofErr w:type="spellEnd"/>
      <w:r w:rsidRPr="00420402">
        <w:rPr>
          <w:rFonts w:ascii="Book Antiqua" w:eastAsia="SimSun" w:hAnsi="Book Antiqua"/>
          <w:i/>
          <w:kern w:val="2"/>
          <w:lang w:val="en-US" w:eastAsia="zh-CN"/>
        </w:rPr>
        <w:t xml:space="preserve"> Bowel Dis</w:t>
      </w:r>
      <w:r w:rsidRPr="00420402">
        <w:rPr>
          <w:rFonts w:ascii="Book Antiqua" w:eastAsia="SimSun" w:hAnsi="Book Antiqua"/>
          <w:kern w:val="2"/>
          <w:lang w:val="en-US" w:eastAsia="zh-CN"/>
        </w:rPr>
        <w:t xml:space="preserve"> 2017; </w:t>
      </w:r>
      <w:r w:rsidRPr="00420402">
        <w:rPr>
          <w:rFonts w:ascii="Book Antiqua" w:eastAsia="SimSun" w:hAnsi="Book Antiqua"/>
          <w:b/>
          <w:kern w:val="2"/>
          <w:lang w:val="en-US" w:eastAsia="zh-CN"/>
        </w:rPr>
        <w:t>23</w:t>
      </w:r>
      <w:r w:rsidRPr="00420402">
        <w:rPr>
          <w:rFonts w:ascii="Book Antiqua" w:eastAsia="SimSun" w:hAnsi="Book Antiqua"/>
          <w:kern w:val="2"/>
          <w:lang w:val="en-US" w:eastAsia="zh-CN"/>
        </w:rPr>
        <w:t>: 1891-1897 [PMID: 28837523 DOI: 10.1097/MIB.0000000000001213]</w:t>
      </w:r>
    </w:p>
    <w:p w14:paraId="2B2EF30C"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32 </w:t>
      </w:r>
      <w:proofErr w:type="spellStart"/>
      <w:r w:rsidRPr="00420402">
        <w:rPr>
          <w:rFonts w:ascii="Book Antiqua" w:eastAsia="SimSun" w:hAnsi="Book Antiqua"/>
          <w:b/>
          <w:kern w:val="2"/>
          <w:lang w:val="en-US" w:eastAsia="zh-CN"/>
        </w:rPr>
        <w:t>Ghanchi</w:t>
      </w:r>
      <w:proofErr w:type="spellEnd"/>
      <w:r w:rsidRPr="00420402">
        <w:rPr>
          <w:rFonts w:ascii="Book Antiqua" w:eastAsia="SimSun" w:hAnsi="Book Antiqua"/>
          <w:b/>
          <w:kern w:val="2"/>
          <w:lang w:val="en-US" w:eastAsia="zh-CN"/>
        </w:rPr>
        <w:t xml:space="preserve"> FD</w:t>
      </w:r>
      <w:r w:rsidRPr="00420402">
        <w:rPr>
          <w:rFonts w:ascii="Book Antiqua" w:eastAsia="SimSun" w:hAnsi="Book Antiqua"/>
          <w:kern w:val="2"/>
          <w:lang w:val="en-US" w:eastAsia="zh-CN"/>
        </w:rPr>
        <w:t xml:space="preserve">, </w:t>
      </w:r>
      <w:proofErr w:type="spellStart"/>
      <w:r w:rsidRPr="00420402">
        <w:rPr>
          <w:rFonts w:ascii="Book Antiqua" w:eastAsia="SimSun" w:hAnsi="Book Antiqua"/>
          <w:kern w:val="2"/>
          <w:lang w:val="en-US" w:eastAsia="zh-CN"/>
        </w:rPr>
        <w:t>Rembacken</w:t>
      </w:r>
      <w:proofErr w:type="spellEnd"/>
      <w:r w:rsidRPr="00420402">
        <w:rPr>
          <w:rFonts w:ascii="Book Antiqua" w:eastAsia="SimSun" w:hAnsi="Book Antiqua"/>
          <w:kern w:val="2"/>
          <w:lang w:val="en-US" w:eastAsia="zh-CN"/>
        </w:rPr>
        <w:t xml:space="preserve"> BJ. Inflammatory bowel disease and the eye. </w:t>
      </w:r>
      <w:proofErr w:type="spellStart"/>
      <w:r w:rsidRPr="00420402">
        <w:rPr>
          <w:rFonts w:ascii="Book Antiqua" w:eastAsia="SimSun" w:hAnsi="Book Antiqua"/>
          <w:i/>
          <w:kern w:val="2"/>
          <w:lang w:val="en-US" w:eastAsia="zh-CN"/>
        </w:rPr>
        <w:t>Surv</w:t>
      </w:r>
      <w:proofErr w:type="spellEnd"/>
      <w:r w:rsidRPr="00420402">
        <w:rPr>
          <w:rFonts w:ascii="Book Antiqua" w:eastAsia="SimSun" w:hAnsi="Book Antiqua"/>
          <w:i/>
          <w:kern w:val="2"/>
          <w:lang w:val="en-US" w:eastAsia="zh-CN"/>
        </w:rPr>
        <w:t xml:space="preserve"> </w:t>
      </w:r>
      <w:proofErr w:type="spellStart"/>
      <w:r w:rsidRPr="00420402">
        <w:rPr>
          <w:rFonts w:ascii="Book Antiqua" w:eastAsia="SimSun" w:hAnsi="Book Antiqua"/>
          <w:i/>
          <w:kern w:val="2"/>
          <w:lang w:val="en-US" w:eastAsia="zh-CN"/>
        </w:rPr>
        <w:t>Ophthalmol</w:t>
      </w:r>
      <w:proofErr w:type="spellEnd"/>
      <w:r w:rsidRPr="00420402">
        <w:rPr>
          <w:rFonts w:ascii="Book Antiqua" w:eastAsia="SimSun" w:hAnsi="Book Antiqua"/>
          <w:kern w:val="2"/>
          <w:lang w:val="en-US" w:eastAsia="zh-CN"/>
        </w:rPr>
        <w:t xml:space="preserve"> 2003; </w:t>
      </w:r>
      <w:r w:rsidRPr="00420402">
        <w:rPr>
          <w:rFonts w:ascii="Book Antiqua" w:eastAsia="SimSun" w:hAnsi="Book Antiqua"/>
          <w:b/>
          <w:kern w:val="2"/>
          <w:lang w:val="en-US" w:eastAsia="zh-CN"/>
        </w:rPr>
        <w:t>48</w:t>
      </w:r>
      <w:r w:rsidRPr="00420402">
        <w:rPr>
          <w:rFonts w:ascii="Book Antiqua" w:eastAsia="SimSun" w:hAnsi="Book Antiqua"/>
          <w:kern w:val="2"/>
          <w:lang w:val="en-US" w:eastAsia="zh-CN"/>
        </w:rPr>
        <w:t>: 663-676 [PMID: 14609712 DOI: 10.1016/j.survophthal.2003.08.004]</w:t>
      </w:r>
    </w:p>
    <w:p w14:paraId="432EDD77"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33 </w:t>
      </w:r>
      <w:r w:rsidRPr="00420402">
        <w:rPr>
          <w:rFonts w:ascii="Book Antiqua" w:eastAsia="SimSun" w:hAnsi="Book Antiqua"/>
          <w:b/>
          <w:kern w:val="2"/>
          <w:lang w:val="en-US" w:eastAsia="zh-CN"/>
        </w:rPr>
        <w:t>Rosenbaum JT</w:t>
      </w:r>
      <w:r w:rsidRPr="00420402">
        <w:rPr>
          <w:rFonts w:ascii="Book Antiqua" w:eastAsia="SimSun" w:hAnsi="Book Antiqua"/>
          <w:kern w:val="2"/>
          <w:lang w:val="en-US" w:eastAsia="zh-CN"/>
        </w:rPr>
        <w:t xml:space="preserve">. Uveitis in </w:t>
      </w:r>
      <w:proofErr w:type="spellStart"/>
      <w:r w:rsidRPr="00420402">
        <w:rPr>
          <w:rFonts w:ascii="Book Antiqua" w:eastAsia="SimSun" w:hAnsi="Book Antiqua"/>
          <w:kern w:val="2"/>
          <w:lang w:val="en-US" w:eastAsia="zh-CN"/>
        </w:rPr>
        <w:t>spondyloarthritis</w:t>
      </w:r>
      <w:proofErr w:type="spellEnd"/>
      <w:r w:rsidRPr="00420402">
        <w:rPr>
          <w:rFonts w:ascii="Book Antiqua" w:eastAsia="SimSun" w:hAnsi="Book Antiqua"/>
          <w:kern w:val="2"/>
          <w:lang w:val="en-US" w:eastAsia="zh-CN"/>
        </w:rPr>
        <w:t xml:space="preserve"> including psoriatic arthritis, ankylosing spondylitis, and inflammatory bowel disease. </w:t>
      </w:r>
      <w:r w:rsidRPr="00420402">
        <w:rPr>
          <w:rFonts w:ascii="Book Antiqua" w:eastAsia="SimSun" w:hAnsi="Book Antiqua"/>
          <w:i/>
          <w:kern w:val="2"/>
          <w:lang w:val="en-US" w:eastAsia="zh-CN"/>
        </w:rPr>
        <w:t xml:space="preserve">Clin </w:t>
      </w:r>
      <w:proofErr w:type="spellStart"/>
      <w:r w:rsidRPr="00420402">
        <w:rPr>
          <w:rFonts w:ascii="Book Antiqua" w:eastAsia="SimSun" w:hAnsi="Book Antiqua"/>
          <w:i/>
          <w:kern w:val="2"/>
          <w:lang w:val="en-US" w:eastAsia="zh-CN"/>
        </w:rPr>
        <w:t>Rheumatol</w:t>
      </w:r>
      <w:proofErr w:type="spellEnd"/>
      <w:r w:rsidRPr="00420402">
        <w:rPr>
          <w:rFonts w:ascii="Book Antiqua" w:eastAsia="SimSun" w:hAnsi="Book Antiqua"/>
          <w:kern w:val="2"/>
          <w:lang w:val="en-US" w:eastAsia="zh-CN"/>
        </w:rPr>
        <w:t xml:space="preserve"> 2015; </w:t>
      </w:r>
      <w:r w:rsidRPr="00420402">
        <w:rPr>
          <w:rFonts w:ascii="Book Antiqua" w:eastAsia="SimSun" w:hAnsi="Book Antiqua"/>
          <w:b/>
          <w:kern w:val="2"/>
          <w:lang w:val="en-US" w:eastAsia="zh-CN"/>
        </w:rPr>
        <w:t>34</w:t>
      </w:r>
      <w:r w:rsidRPr="00420402">
        <w:rPr>
          <w:rFonts w:ascii="Book Antiqua" w:eastAsia="SimSun" w:hAnsi="Book Antiqua"/>
          <w:kern w:val="2"/>
          <w:lang w:val="en-US" w:eastAsia="zh-CN"/>
        </w:rPr>
        <w:t>: 999-1002 [PMID: 25953065 DOI: 10.1007/s10067-015-2960-8]</w:t>
      </w:r>
    </w:p>
    <w:p w14:paraId="77F2EA5B"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34 </w:t>
      </w:r>
      <w:r w:rsidRPr="00420402">
        <w:rPr>
          <w:rFonts w:ascii="Book Antiqua" w:eastAsia="SimSun" w:hAnsi="Book Antiqua"/>
          <w:b/>
          <w:kern w:val="2"/>
          <w:lang w:val="en-US" w:eastAsia="zh-CN"/>
        </w:rPr>
        <w:t>Rhodes JM</w:t>
      </w:r>
      <w:r w:rsidRPr="00420402">
        <w:rPr>
          <w:rFonts w:ascii="Book Antiqua" w:eastAsia="SimSun" w:hAnsi="Book Antiqua"/>
          <w:kern w:val="2"/>
          <w:lang w:val="en-US" w:eastAsia="zh-CN"/>
        </w:rPr>
        <w:t xml:space="preserve">, Collins P. Lessons for inflammatory bowel disease from rheumatology. </w:t>
      </w:r>
      <w:r w:rsidRPr="00420402">
        <w:rPr>
          <w:rFonts w:ascii="Book Antiqua" w:eastAsia="SimSun" w:hAnsi="Book Antiqua"/>
          <w:i/>
          <w:kern w:val="2"/>
          <w:lang w:val="en-US" w:eastAsia="zh-CN"/>
        </w:rPr>
        <w:t>Dig Liver Dis</w:t>
      </w:r>
      <w:r w:rsidRPr="00420402">
        <w:rPr>
          <w:rFonts w:ascii="Book Antiqua" w:eastAsia="SimSun" w:hAnsi="Book Antiqua"/>
          <w:kern w:val="2"/>
          <w:lang w:val="en-US" w:eastAsia="zh-CN"/>
        </w:rPr>
        <w:t xml:space="preserve"> 2006; </w:t>
      </w:r>
      <w:r w:rsidRPr="00420402">
        <w:rPr>
          <w:rFonts w:ascii="Book Antiqua" w:eastAsia="SimSun" w:hAnsi="Book Antiqua"/>
          <w:b/>
          <w:kern w:val="2"/>
          <w:lang w:val="en-US" w:eastAsia="zh-CN"/>
        </w:rPr>
        <w:t>38</w:t>
      </w:r>
      <w:r w:rsidRPr="00420402">
        <w:rPr>
          <w:rFonts w:ascii="Book Antiqua" w:eastAsia="SimSun" w:hAnsi="Book Antiqua"/>
          <w:kern w:val="2"/>
          <w:lang w:val="en-US" w:eastAsia="zh-CN"/>
        </w:rPr>
        <w:t>: 157-162 [PMID: 16280267 DOI: 10.1016/j.dld.2005.09.020]</w:t>
      </w:r>
    </w:p>
    <w:p w14:paraId="3D1593E1"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35 </w:t>
      </w:r>
      <w:r w:rsidRPr="00420402">
        <w:rPr>
          <w:rFonts w:ascii="Book Antiqua" w:eastAsia="SimSun" w:hAnsi="Book Antiqua"/>
          <w:b/>
          <w:kern w:val="2"/>
          <w:lang w:val="en-US" w:eastAsia="zh-CN"/>
        </w:rPr>
        <w:t>Levine JS</w:t>
      </w:r>
      <w:r w:rsidRPr="00420402">
        <w:rPr>
          <w:rFonts w:ascii="Book Antiqua" w:eastAsia="SimSun" w:hAnsi="Book Antiqua"/>
          <w:kern w:val="2"/>
          <w:lang w:val="en-US" w:eastAsia="zh-CN"/>
        </w:rPr>
        <w:t xml:space="preserve">, </w:t>
      </w:r>
      <w:proofErr w:type="spellStart"/>
      <w:r w:rsidRPr="00420402">
        <w:rPr>
          <w:rFonts w:ascii="Book Antiqua" w:eastAsia="SimSun" w:hAnsi="Book Antiqua"/>
          <w:kern w:val="2"/>
          <w:lang w:val="en-US" w:eastAsia="zh-CN"/>
        </w:rPr>
        <w:t>Burakoff</w:t>
      </w:r>
      <w:proofErr w:type="spellEnd"/>
      <w:r w:rsidRPr="00420402">
        <w:rPr>
          <w:rFonts w:ascii="Book Antiqua" w:eastAsia="SimSun" w:hAnsi="Book Antiqua"/>
          <w:kern w:val="2"/>
          <w:lang w:val="en-US" w:eastAsia="zh-CN"/>
        </w:rPr>
        <w:t xml:space="preserve"> R. Extraintestinal manifestations of inflammatory bowel disease. </w:t>
      </w:r>
      <w:r w:rsidRPr="00420402">
        <w:rPr>
          <w:rFonts w:ascii="Book Antiqua" w:eastAsia="SimSun" w:hAnsi="Book Antiqua"/>
          <w:i/>
          <w:kern w:val="2"/>
          <w:lang w:val="en-US" w:eastAsia="zh-CN"/>
        </w:rPr>
        <w:t xml:space="preserve">Gastroenterol </w:t>
      </w:r>
      <w:proofErr w:type="spellStart"/>
      <w:r w:rsidRPr="00420402">
        <w:rPr>
          <w:rFonts w:ascii="Book Antiqua" w:eastAsia="SimSun" w:hAnsi="Book Antiqua"/>
          <w:i/>
          <w:kern w:val="2"/>
          <w:lang w:val="en-US" w:eastAsia="zh-CN"/>
        </w:rPr>
        <w:t>Hepatol</w:t>
      </w:r>
      <w:proofErr w:type="spellEnd"/>
      <w:r w:rsidRPr="00420402">
        <w:rPr>
          <w:rFonts w:ascii="Book Antiqua" w:eastAsia="SimSun" w:hAnsi="Book Antiqua"/>
          <w:i/>
          <w:kern w:val="2"/>
          <w:lang w:val="en-US" w:eastAsia="zh-CN"/>
        </w:rPr>
        <w:t xml:space="preserve"> (N Y)</w:t>
      </w:r>
      <w:r w:rsidRPr="00420402">
        <w:rPr>
          <w:rFonts w:ascii="Book Antiqua" w:eastAsia="SimSun" w:hAnsi="Book Antiqua"/>
          <w:kern w:val="2"/>
          <w:lang w:val="en-US" w:eastAsia="zh-CN"/>
        </w:rPr>
        <w:t xml:space="preserve"> 2011; </w:t>
      </w:r>
      <w:r w:rsidRPr="00420402">
        <w:rPr>
          <w:rFonts w:ascii="Book Antiqua" w:eastAsia="SimSun" w:hAnsi="Book Antiqua"/>
          <w:b/>
          <w:kern w:val="2"/>
          <w:lang w:val="en-US" w:eastAsia="zh-CN"/>
        </w:rPr>
        <w:t>7</w:t>
      </w:r>
      <w:r w:rsidRPr="00420402">
        <w:rPr>
          <w:rFonts w:ascii="Book Antiqua" w:eastAsia="SimSun" w:hAnsi="Book Antiqua"/>
          <w:kern w:val="2"/>
          <w:lang w:val="en-US" w:eastAsia="zh-CN"/>
        </w:rPr>
        <w:t>: 235-241 [PMID: 21857821 DOI: 10.1007/978-3-319-26811-8_18]</w:t>
      </w:r>
    </w:p>
    <w:p w14:paraId="7FD6EB16"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36 </w:t>
      </w:r>
      <w:proofErr w:type="spellStart"/>
      <w:r w:rsidRPr="00420402">
        <w:rPr>
          <w:rFonts w:ascii="Book Antiqua" w:eastAsia="SimSun" w:hAnsi="Book Antiqua"/>
          <w:b/>
          <w:kern w:val="2"/>
          <w:lang w:val="en-US" w:eastAsia="zh-CN"/>
        </w:rPr>
        <w:t>Timani</w:t>
      </w:r>
      <w:proofErr w:type="spellEnd"/>
      <w:r w:rsidRPr="00420402">
        <w:rPr>
          <w:rFonts w:ascii="Book Antiqua" w:eastAsia="SimSun" w:hAnsi="Book Antiqua"/>
          <w:b/>
          <w:kern w:val="2"/>
          <w:lang w:val="en-US" w:eastAsia="zh-CN"/>
        </w:rPr>
        <w:t xml:space="preserve"> S</w:t>
      </w:r>
      <w:r w:rsidRPr="00420402">
        <w:rPr>
          <w:rFonts w:ascii="Book Antiqua" w:eastAsia="SimSun" w:hAnsi="Book Antiqua"/>
          <w:kern w:val="2"/>
          <w:lang w:val="en-US" w:eastAsia="zh-CN"/>
        </w:rPr>
        <w:t xml:space="preserve">, </w:t>
      </w:r>
      <w:proofErr w:type="spellStart"/>
      <w:r w:rsidRPr="00420402">
        <w:rPr>
          <w:rFonts w:ascii="Book Antiqua" w:eastAsia="SimSun" w:hAnsi="Book Antiqua"/>
          <w:kern w:val="2"/>
          <w:lang w:val="en-US" w:eastAsia="zh-CN"/>
        </w:rPr>
        <w:t>Mutasim</w:t>
      </w:r>
      <w:proofErr w:type="spellEnd"/>
      <w:r w:rsidRPr="00420402">
        <w:rPr>
          <w:rFonts w:ascii="Book Antiqua" w:eastAsia="SimSun" w:hAnsi="Book Antiqua"/>
          <w:kern w:val="2"/>
          <w:lang w:val="en-US" w:eastAsia="zh-CN"/>
        </w:rPr>
        <w:t xml:space="preserve"> DF. Skin manifestations of inflammatory bowel disease. </w:t>
      </w:r>
      <w:r w:rsidRPr="00420402">
        <w:rPr>
          <w:rFonts w:ascii="Book Antiqua" w:eastAsia="SimSun" w:hAnsi="Book Antiqua"/>
          <w:i/>
          <w:kern w:val="2"/>
          <w:lang w:val="en-US" w:eastAsia="zh-CN"/>
        </w:rPr>
        <w:t>Clin Dermatol</w:t>
      </w:r>
      <w:r w:rsidRPr="00420402">
        <w:rPr>
          <w:rFonts w:ascii="Book Antiqua" w:eastAsia="SimSun" w:hAnsi="Book Antiqua"/>
          <w:kern w:val="2"/>
          <w:lang w:val="en-US" w:eastAsia="zh-CN"/>
        </w:rPr>
        <w:t xml:space="preserve"> 2008; </w:t>
      </w:r>
      <w:r w:rsidRPr="00420402">
        <w:rPr>
          <w:rFonts w:ascii="Book Antiqua" w:eastAsia="SimSun" w:hAnsi="Book Antiqua"/>
          <w:b/>
          <w:kern w:val="2"/>
          <w:lang w:val="en-US" w:eastAsia="zh-CN"/>
        </w:rPr>
        <w:t>26</w:t>
      </w:r>
      <w:r w:rsidRPr="00420402">
        <w:rPr>
          <w:rFonts w:ascii="Book Antiqua" w:eastAsia="SimSun" w:hAnsi="Book Antiqua"/>
          <w:kern w:val="2"/>
          <w:lang w:val="en-US" w:eastAsia="zh-CN"/>
        </w:rPr>
        <w:t>: 265-273 [PMID: 18640523 DOI: 10.1016/j.clindermatol.2007.10.018]</w:t>
      </w:r>
    </w:p>
    <w:p w14:paraId="7305AEB7"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37 </w:t>
      </w:r>
      <w:r w:rsidRPr="00420402">
        <w:rPr>
          <w:rFonts w:ascii="Book Antiqua" w:eastAsia="SimSun" w:hAnsi="Book Antiqua"/>
          <w:b/>
          <w:kern w:val="2"/>
          <w:lang w:val="en-US" w:eastAsia="zh-CN"/>
        </w:rPr>
        <w:t>Cooley WC</w:t>
      </w:r>
      <w:r w:rsidRPr="00420402">
        <w:rPr>
          <w:rFonts w:ascii="Book Antiqua" w:eastAsia="SimSun" w:hAnsi="Book Antiqua"/>
          <w:kern w:val="2"/>
          <w:lang w:val="en-US" w:eastAsia="zh-CN"/>
        </w:rPr>
        <w:t xml:space="preserve">. Adolescent health care transition in transition. </w:t>
      </w:r>
      <w:r w:rsidRPr="00420402">
        <w:rPr>
          <w:rFonts w:ascii="Book Antiqua" w:eastAsia="SimSun" w:hAnsi="Book Antiqua"/>
          <w:i/>
          <w:kern w:val="2"/>
          <w:lang w:val="en-US" w:eastAsia="zh-CN"/>
        </w:rPr>
        <w:t xml:space="preserve">JAMA </w:t>
      </w:r>
      <w:proofErr w:type="spellStart"/>
      <w:r w:rsidRPr="00420402">
        <w:rPr>
          <w:rFonts w:ascii="Book Antiqua" w:eastAsia="SimSun" w:hAnsi="Book Antiqua"/>
          <w:i/>
          <w:kern w:val="2"/>
          <w:lang w:val="en-US" w:eastAsia="zh-CN"/>
        </w:rPr>
        <w:t>Pediatr</w:t>
      </w:r>
      <w:proofErr w:type="spellEnd"/>
      <w:r w:rsidRPr="00420402">
        <w:rPr>
          <w:rFonts w:ascii="Book Antiqua" w:eastAsia="SimSun" w:hAnsi="Book Antiqua"/>
          <w:kern w:val="2"/>
          <w:lang w:val="en-US" w:eastAsia="zh-CN"/>
        </w:rPr>
        <w:t xml:space="preserve"> 2013; </w:t>
      </w:r>
      <w:r w:rsidRPr="00420402">
        <w:rPr>
          <w:rFonts w:ascii="Book Antiqua" w:eastAsia="SimSun" w:hAnsi="Book Antiqua"/>
          <w:b/>
          <w:kern w:val="2"/>
          <w:lang w:val="en-US" w:eastAsia="zh-CN"/>
        </w:rPr>
        <w:t>167</w:t>
      </w:r>
      <w:r w:rsidRPr="00420402">
        <w:rPr>
          <w:rFonts w:ascii="Book Antiqua" w:eastAsia="SimSun" w:hAnsi="Book Antiqua"/>
          <w:kern w:val="2"/>
          <w:lang w:val="en-US" w:eastAsia="zh-CN"/>
        </w:rPr>
        <w:t>: 897-899 [PMID: 23959327 DOI: 10.1001/jamapediatrics.2013.2578]</w:t>
      </w:r>
    </w:p>
    <w:p w14:paraId="3C0C88C2"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38 </w:t>
      </w:r>
      <w:r w:rsidRPr="00420402">
        <w:rPr>
          <w:rFonts w:ascii="Book Antiqua" w:eastAsia="SimSun" w:hAnsi="Book Antiqua"/>
          <w:b/>
          <w:kern w:val="2"/>
          <w:lang w:val="en-US" w:eastAsia="zh-CN"/>
        </w:rPr>
        <w:t>Campbell F</w:t>
      </w:r>
      <w:r w:rsidRPr="00420402">
        <w:rPr>
          <w:rFonts w:ascii="Book Antiqua" w:eastAsia="SimSun" w:hAnsi="Book Antiqua"/>
          <w:kern w:val="2"/>
          <w:lang w:val="en-US" w:eastAsia="zh-CN"/>
        </w:rPr>
        <w:t xml:space="preserve">, Biggs K, Aldiss SK, O'Neill PM, Clowes M, McDonagh J, While A, Gibson F. Transition of care for adolescents from </w:t>
      </w:r>
      <w:proofErr w:type="spellStart"/>
      <w:r w:rsidRPr="00420402">
        <w:rPr>
          <w:rFonts w:ascii="Book Antiqua" w:eastAsia="SimSun" w:hAnsi="Book Antiqua"/>
          <w:kern w:val="2"/>
          <w:lang w:val="en-US" w:eastAsia="zh-CN"/>
        </w:rPr>
        <w:t>paediatric</w:t>
      </w:r>
      <w:proofErr w:type="spellEnd"/>
      <w:r w:rsidRPr="00420402">
        <w:rPr>
          <w:rFonts w:ascii="Book Antiqua" w:eastAsia="SimSun" w:hAnsi="Book Antiqua"/>
          <w:kern w:val="2"/>
          <w:lang w:val="en-US" w:eastAsia="zh-CN"/>
        </w:rPr>
        <w:t xml:space="preserve"> services to adult health services. </w:t>
      </w:r>
      <w:r w:rsidRPr="00420402">
        <w:rPr>
          <w:rFonts w:ascii="Book Antiqua" w:eastAsia="SimSun" w:hAnsi="Book Antiqua"/>
          <w:i/>
          <w:kern w:val="2"/>
          <w:lang w:val="en-US" w:eastAsia="zh-CN"/>
        </w:rPr>
        <w:t>Cochrane Database Syst Rev</w:t>
      </w:r>
      <w:r w:rsidRPr="00420402">
        <w:rPr>
          <w:rFonts w:ascii="Book Antiqua" w:eastAsia="SimSun" w:hAnsi="Book Antiqua"/>
          <w:kern w:val="2"/>
          <w:lang w:val="en-US" w:eastAsia="zh-CN"/>
        </w:rPr>
        <w:t xml:space="preserve"> 2016; </w:t>
      </w:r>
      <w:r w:rsidRPr="00420402">
        <w:rPr>
          <w:rFonts w:ascii="Book Antiqua" w:eastAsia="SimSun" w:hAnsi="Book Antiqua"/>
          <w:b/>
          <w:kern w:val="2"/>
          <w:lang w:val="en-US" w:eastAsia="zh-CN"/>
        </w:rPr>
        <w:t>4</w:t>
      </w:r>
      <w:r w:rsidRPr="00420402">
        <w:rPr>
          <w:rFonts w:ascii="Book Antiqua" w:eastAsia="SimSun" w:hAnsi="Book Antiqua"/>
          <w:kern w:val="2"/>
          <w:lang w:val="en-US" w:eastAsia="zh-CN"/>
        </w:rPr>
        <w:t>: CD009794 [PMID: 27128768 DOI: 10.1002/14651858.CD009794.pub2]</w:t>
      </w:r>
    </w:p>
    <w:p w14:paraId="47E75211"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39 </w:t>
      </w:r>
      <w:r w:rsidRPr="00420402">
        <w:rPr>
          <w:rFonts w:ascii="Book Antiqua" w:eastAsia="SimSun" w:hAnsi="Book Antiqua"/>
          <w:b/>
          <w:kern w:val="2"/>
          <w:lang w:val="en-US" w:eastAsia="zh-CN"/>
        </w:rPr>
        <w:t>Lee BY</w:t>
      </w:r>
      <w:r w:rsidRPr="00420402">
        <w:rPr>
          <w:rFonts w:ascii="Book Antiqua" w:eastAsia="SimSun" w:hAnsi="Book Antiqua"/>
          <w:kern w:val="2"/>
          <w:lang w:val="en-US" w:eastAsia="zh-CN"/>
        </w:rPr>
        <w:t xml:space="preserve">, McGlone SM, Song Y, Avery TR, Eubank S, Chang CC, Bailey RR, </w:t>
      </w:r>
      <w:r w:rsidRPr="00420402">
        <w:rPr>
          <w:rFonts w:ascii="Book Antiqua" w:eastAsia="SimSun" w:hAnsi="Book Antiqua"/>
          <w:kern w:val="2"/>
          <w:lang w:val="en-US" w:eastAsia="zh-CN"/>
        </w:rPr>
        <w:lastRenderedPageBreak/>
        <w:t xml:space="preserve">Wagener DK, Burke DS, Platt R, Huang SS. Social network analysis of patient sharing among hospitals in Orange County, California. </w:t>
      </w:r>
      <w:r w:rsidRPr="00420402">
        <w:rPr>
          <w:rFonts w:ascii="Book Antiqua" w:eastAsia="SimSun" w:hAnsi="Book Antiqua"/>
          <w:i/>
          <w:kern w:val="2"/>
          <w:lang w:val="en-US" w:eastAsia="zh-CN"/>
        </w:rPr>
        <w:t>Am J Public Health</w:t>
      </w:r>
      <w:r w:rsidRPr="00420402">
        <w:rPr>
          <w:rFonts w:ascii="Book Antiqua" w:eastAsia="SimSun" w:hAnsi="Book Antiqua"/>
          <w:kern w:val="2"/>
          <w:lang w:val="en-US" w:eastAsia="zh-CN"/>
        </w:rPr>
        <w:t xml:space="preserve"> 2011; </w:t>
      </w:r>
      <w:r w:rsidRPr="00420402">
        <w:rPr>
          <w:rFonts w:ascii="Book Antiqua" w:eastAsia="SimSun" w:hAnsi="Book Antiqua"/>
          <w:b/>
          <w:kern w:val="2"/>
          <w:lang w:val="en-US" w:eastAsia="zh-CN"/>
        </w:rPr>
        <w:t>101</w:t>
      </w:r>
      <w:r w:rsidRPr="00420402">
        <w:rPr>
          <w:rFonts w:ascii="Book Antiqua" w:eastAsia="SimSun" w:hAnsi="Book Antiqua"/>
          <w:kern w:val="2"/>
          <w:lang w:val="en-US" w:eastAsia="zh-CN"/>
        </w:rPr>
        <w:t>: 707-713 [PMID: 21330578 DOI: 10.2105/AJPH.2010.202754]</w:t>
      </w:r>
    </w:p>
    <w:p w14:paraId="10443CFB"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40 </w:t>
      </w:r>
      <w:r w:rsidRPr="00420402">
        <w:rPr>
          <w:rFonts w:ascii="Book Antiqua" w:eastAsia="SimSun" w:hAnsi="Book Antiqua"/>
          <w:b/>
          <w:kern w:val="2"/>
          <w:lang w:val="en-US" w:eastAsia="zh-CN"/>
        </w:rPr>
        <w:t>Landon BE</w:t>
      </w:r>
      <w:r w:rsidRPr="00420402">
        <w:rPr>
          <w:rFonts w:ascii="Book Antiqua" w:eastAsia="SimSun" w:hAnsi="Book Antiqua"/>
          <w:kern w:val="2"/>
          <w:lang w:val="en-US" w:eastAsia="zh-CN"/>
        </w:rPr>
        <w:t xml:space="preserve">, </w:t>
      </w:r>
      <w:proofErr w:type="spellStart"/>
      <w:r w:rsidRPr="00420402">
        <w:rPr>
          <w:rFonts w:ascii="Book Antiqua" w:eastAsia="SimSun" w:hAnsi="Book Antiqua"/>
          <w:kern w:val="2"/>
          <w:lang w:val="en-US" w:eastAsia="zh-CN"/>
        </w:rPr>
        <w:t>Onnela</w:t>
      </w:r>
      <w:proofErr w:type="spellEnd"/>
      <w:r w:rsidRPr="00420402">
        <w:rPr>
          <w:rFonts w:ascii="Book Antiqua" w:eastAsia="SimSun" w:hAnsi="Book Antiqua"/>
          <w:kern w:val="2"/>
          <w:lang w:val="en-US" w:eastAsia="zh-CN"/>
        </w:rPr>
        <w:t xml:space="preserve"> JP, Keating NL, Barnett ML, Paul S, O'Malley AJ, Keegan T, Christakis NA. Using administrative data to identify naturally occurring networks of physicians. </w:t>
      </w:r>
      <w:r w:rsidRPr="00420402">
        <w:rPr>
          <w:rFonts w:ascii="Book Antiqua" w:eastAsia="SimSun" w:hAnsi="Book Antiqua"/>
          <w:i/>
          <w:kern w:val="2"/>
          <w:lang w:val="en-US" w:eastAsia="zh-CN"/>
        </w:rPr>
        <w:t>Med Care</w:t>
      </w:r>
      <w:r w:rsidRPr="00420402">
        <w:rPr>
          <w:rFonts w:ascii="Book Antiqua" w:eastAsia="SimSun" w:hAnsi="Book Antiqua"/>
          <w:kern w:val="2"/>
          <w:lang w:val="en-US" w:eastAsia="zh-CN"/>
        </w:rPr>
        <w:t xml:space="preserve"> 2013; </w:t>
      </w:r>
      <w:r w:rsidRPr="00420402">
        <w:rPr>
          <w:rFonts w:ascii="Book Antiqua" w:eastAsia="SimSun" w:hAnsi="Book Antiqua"/>
          <w:b/>
          <w:kern w:val="2"/>
          <w:lang w:val="en-US" w:eastAsia="zh-CN"/>
        </w:rPr>
        <w:t>51</w:t>
      </w:r>
      <w:r w:rsidRPr="00420402">
        <w:rPr>
          <w:rFonts w:ascii="Book Antiqua" w:eastAsia="SimSun" w:hAnsi="Book Antiqua"/>
          <w:kern w:val="2"/>
          <w:lang w:val="en-US" w:eastAsia="zh-CN"/>
        </w:rPr>
        <w:t>: 715-721 [PMID: 23807593 DOI: 10.1097/MLR.0b013e3182977991]</w:t>
      </w:r>
    </w:p>
    <w:p w14:paraId="24E424C1" w14:textId="77777777" w:rsidR="00420402" w:rsidRPr="00420402" w:rsidRDefault="00420402" w:rsidP="006C577E">
      <w:pPr>
        <w:widowControl w:val="0"/>
        <w:snapToGrid w:val="0"/>
        <w:spacing w:line="360" w:lineRule="auto"/>
        <w:jc w:val="both"/>
        <w:rPr>
          <w:rFonts w:ascii="Book Antiqua" w:eastAsia="SimSun" w:hAnsi="Book Antiqua"/>
          <w:kern w:val="2"/>
          <w:lang w:val="en-US" w:eastAsia="zh-CN"/>
        </w:rPr>
      </w:pPr>
      <w:r w:rsidRPr="00420402">
        <w:rPr>
          <w:rFonts w:ascii="Book Antiqua" w:eastAsia="SimSun" w:hAnsi="Book Antiqua"/>
          <w:kern w:val="2"/>
          <w:lang w:val="en-US" w:eastAsia="zh-CN"/>
        </w:rPr>
        <w:t xml:space="preserve">41 </w:t>
      </w:r>
      <w:proofErr w:type="spellStart"/>
      <w:r w:rsidRPr="00420402">
        <w:rPr>
          <w:rFonts w:ascii="Book Antiqua" w:eastAsia="SimSun" w:hAnsi="Book Antiqua"/>
          <w:b/>
          <w:kern w:val="2"/>
          <w:lang w:val="en-US" w:eastAsia="zh-CN"/>
        </w:rPr>
        <w:t>Iwashyna</w:t>
      </w:r>
      <w:proofErr w:type="spellEnd"/>
      <w:r w:rsidRPr="00420402">
        <w:rPr>
          <w:rFonts w:ascii="Book Antiqua" w:eastAsia="SimSun" w:hAnsi="Book Antiqua"/>
          <w:b/>
          <w:kern w:val="2"/>
          <w:lang w:val="en-US" w:eastAsia="zh-CN"/>
        </w:rPr>
        <w:t xml:space="preserve"> TJ</w:t>
      </w:r>
      <w:r w:rsidRPr="00420402">
        <w:rPr>
          <w:rFonts w:ascii="Book Antiqua" w:eastAsia="SimSun" w:hAnsi="Book Antiqua"/>
          <w:kern w:val="2"/>
          <w:lang w:val="en-US" w:eastAsia="zh-CN"/>
        </w:rPr>
        <w:t xml:space="preserve">, Christie JD, Moody J, Kahn JM, Asch DA. The structure of critical care transfer networks. </w:t>
      </w:r>
      <w:r w:rsidRPr="00420402">
        <w:rPr>
          <w:rFonts w:ascii="Book Antiqua" w:eastAsia="SimSun" w:hAnsi="Book Antiqua"/>
          <w:i/>
          <w:kern w:val="2"/>
          <w:lang w:val="en-US" w:eastAsia="zh-CN"/>
        </w:rPr>
        <w:t>Med Care</w:t>
      </w:r>
      <w:r w:rsidRPr="00420402">
        <w:rPr>
          <w:rFonts w:ascii="Book Antiqua" w:eastAsia="SimSun" w:hAnsi="Book Antiqua"/>
          <w:kern w:val="2"/>
          <w:lang w:val="en-US" w:eastAsia="zh-CN"/>
        </w:rPr>
        <w:t xml:space="preserve"> 2009; </w:t>
      </w:r>
      <w:r w:rsidRPr="00420402">
        <w:rPr>
          <w:rFonts w:ascii="Book Antiqua" w:eastAsia="SimSun" w:hAnsi="Book Antiqua"/>
          <w:b/>
          <w:kern w:val="2"/>
          <w:lang w:val="en-US" w:eastAsia="zh-CN"/>
        </w:rPr>
        <w:t>47</w:t>
      </w:r>
      <w:r w:rsidRPr="00420402">
        <w:rPr>
          <w:rFonts w:ascii="Book Antiqua" w:eastAsia="SimSun" w:hAnsi="Book Antiqua"/>
          <w:kern w:val="2"/>
          <w:lang w:val="en-US" w:eastAsia="zh-CN"/>
        </w:rPr>
        <w:t>: 787-793 [PMID: 19536030 DOI: 10.1097/MLR.0b013e318197b1f5]</w:t>
      </w:r>
    </w:p>
    <w:p w14:paraId="7898D35B" w14:textId="793C2A56" w:rsidR="00420402" w:rsidRPr="00663BB7" w:rsidRDefault="00420402" w:rsidP="006C577E">
      <w:pPr>
        <w:adjustRightInd w:val="0"/>
        <w:snapToGrid w:val="0"/>
        <w:spacing w:line="360" w:lineRule="auto"/>
        <w:jc w:val="right"/>
        <w:rPr>
          <w:rFonts w:ascii="Book Antiqua" w:hAnsi="Book Antiqua"/>
          <w:color w:val="000000"/>
        </w:rPr>
      </w:pPr>
      <w:bookmarkStart w:id="28" w:name="OLE_LINK139"/>
      <w:bookmarkStart w:id="29" w:name="OLE_LINK140"/>
      <w:bookmarkStart w:id="30" w:name="OLE_LINK287"/>
      <w:bookmarkStart w:id="31" w:name="OLE_LINK288"/>
      <w:bookmarkStart w:id="32" w:name="OLE_LINK70"/>
      <w:bookmarkStart w:id="33" w:name="OLE_LINK110"/>
      <w:bookmarkStart w:id="34" w:name="OLE_LINK109"/>
      <w:bookmarkStart w:id="35" w:name="OLE_LINK138"/>
      <w:bookmarkStart w:id="36" w:name="OLE_LINK72"/>
      <w:bookmarkStart w:id="37" w:name="OLE_LINK116"/>
      <w:bookmarkStart w:id="38" w:name="OLE_LINK95"/>
      <w:bookmarkStart w:id="39" w:name="OLE_LINK118"/>
      <w:bookmarkStart w:id="40" w:name="OLE_LINK198"/>
      <w:bookmarkStart w:id="41" w:name="OLE_LINK154"/>
      <w:bookmarkStart w:id="42" w:name="OLE_LINK251"/>
      <w:bookmarkStart w:id="43" w:name="OLE_LINK167"/>
      <w:bookmarkStart w:id="44" w:name="OLE_LINK126"/>
      <w:bookmarkStart w:id="45" w:name="OLE_LINK234"/>
      <w:bookmarkStart w:id="46" w:name="OLE_LINK157"/>
      <w:bookmarkStart w:id="47" w:name="OLE_LINK187"/>
      <w:bookmarkStart w:id="48" w:name="OLE_LINK204"/>
      <w:bookmarkStart w:id="49" w:name="OLE_LINK255"/>
      <w:bookmarkStart w:id="50" w:name="OLE_LINK229"/>
      <w:bookmarkStart w:id="51" w:name="OLE_LINK268"/>
      <w:bookmarkStart w:id="52" w:name="OLE_LINK310"/>
      <w:bookmarkStart w:id="53" w:name="OLE_LINK338"/>
      <w:bookmarkStart w:id="54" w:name="OLE_LINK340"/>
      <w:bookmarkStart w:id="55" w:name="OLE_LINK264"/>
      <w:bookmarkStart w:id="56" w:name="OLE_LINK345"/>
      <w:bookmarkStart w:id="57" w:name="OLE_LINK256"/>
      <w:bookmarkStart w:id="58" w:name="OLE_LINK299"/>
      <w:bookmarkStart w:id="59" w:name="OLE_LINK265"/>
      <w:bookmarkStart w:id="60" w:name="OLE_LINK254"/>
      <w:bookmarkStart w:id="61" w:name="OLE_LINK357"/>
      <w:bookmarkStart w:id="62" w:name="OLE_LINK382"/>
      <w:bookmarkStart w:id="63" w:name="OLE_LINK333"/>
      <w:bookmarkStart w:id="64" w:name="OLE_LINK334"/>
      <w:bookmarkStart w:id="65" w:name="OLE_LINK400"/>
      <w:bookmarkStart w:id="66" w:name="OLE_LINK365"/>
      <w:bookmarkStart w:id="67" w:name="OLE_LINK467"/>
      <w:r w:rsidRPr="00663BB7">
        <w:rPr>
          <w:rFonts w:ascii="Book Antiqua" w:hAnsi="Book Antiqua"/>
          <w:b/>
          <w:bCs/>
          <w:color w:val="000000"/>
        </w:rPr>
        <w:t>P-Reviewer:</w:t>
      </w:r>
      <w:r w:rsidRPr="00663BB7">
        <w:rPr>
          <w:rFonts w:ascii="Book Antiqua" w:hAnsi="Book Antiqua"/>
          <w:bCs/>
          <w:color w:val="000000"/>
        </w:rPr>
        <w:t xml:space="preserve"> </w:t>
      </w:r>
      <w:proofErr w:type="spellStart"/>
      <w:r w:rsidRPr="00420402">
        <w:rPr>
          <w:rFonts w:ascii="Book Antiqua" w:hAnsi="Book Antiqua"/>
          <w:bCs/>
          <w:color w:val="000000"/>
        </w:rPr>
        <w:t>Ierardi</w:t>
      </w:r>
      <w:proofErr w:type="spellEnd"/>
      <w:r>
        <w:rPr>
          <w:rFonts w:ascii="Book Antiqua" w:hAnsi="Book Antiqua" w:hint="eastAsia"/>
          <w:bCs/>
          <w:color w:val="000000"/>
          <w:lang w:eastAsia="zh-CN"/>
        </w:rPr>
        <w:t xml:space="preserve"> E, </w:t>
      </w:r>
      <w:proofErr w:type="spellStart"/>
      <w:r w:rsidRPr="00420402">
        <w:rPr>
          <w:rFonts w:ascii="Book Antiqua" w:hAnsi="Book Antiqua"/>
          <w:bCs/>
          <w:color w:val="000000"/>
          <w:lang w:eastAsia="zh-CN"/>
        </w:rPr>
        <w:t>Serban</w:t>
      </w:r>
      <w:proofErr w:type="spellEnd"/>
      <w:r>
        <w:rPr>
          <w:rFonts w:ascii="Book Antiqua" w:hAnsi="Book Antiqua" w:hint="eastAsia"/>
          <w:bCs/>
          <w:color w:val="000000"/>
          <w:lang w:eastAsia="zh-CN"/>
        </w:rPr>
        <w:t xml:space="preserve"> ED, </w:t>
      </w:r>
      <w:r w:rsidRPr="00420402">
        <w:rPr>
          <w:rFonts w:ascii="Book Antiqua" w:hAnsi="Book Antiqua"/>
          <w:bCs/>
          <w:color w:val="000000"/>
          <w:lang w:eastAsia="zh-CN"/>
        </w:rPr>
        <w:t>Sipos</w:t>
      </w:r>
      <w:r>
        <w:rPr>
          <w:rFonts w:ascii="Book Antiqua" w:hAnsi="Book Antiqua" w:hint="eastAsia"/>
          <w:bCs/>
          <w:color w:val="000000"/>
          <w:lang w:eastAsia="zh-CN"/>
        </w:rPr>
        <w:t xml:space="preserve"> F, </w:t>
      </w:r>
      <w:r w:rsidRPr="00420402">
        <w:rPr>
          <w:rFonts w:ascii="Book Antiqua" w:hAnsi="Book Antiqua"/>
          <w:bCs/>
          <w:color w:val="000000"/>
          <w:lang w:eastAsia="zh-CN"/>
        </w:rPr>
        <w:t>Suzuki</w:t>
      </w:r>
      <w:r>
        <w:rPr>
          <w:rFonts w:ascii="Book Antiqua" w:hAnsi="Book Antiqua" w:hint="eastAsia"/>
          <w:bCs/>
          <w:color w:val="000000"/>
          <w:lang w:eastAsia="zh-CN"/>
        </w:rPr>
        <w:t xml:space="preserve"> H, </w:t>
      </w:r>
      <w:proofErr w:type="spellStart"/>
      <w:r w:rsidRPr="00420402">
        <w:rPr>
          <w:rFonts w:ascii="Book Antiqua" w:hAnsi="Book Antiqua"/>
          <w:bCs/>
          <w:color w:val="000000"/>
          <w:lang w:eastAsia="zh-CN"/>
        </w:rPr>
        <w:t>Tsujikawa</w:t>
      </w:r>
      <w:proofErr w:type="spellEnd"/>
      <w:r>
        <w:rPr>
          <w:rFonts w:ascii="Book Antiqua" w:hAnsi="Book Antiqua" w:hint="eastAsia"/>
          <w:bCs/>
          <w:color w:val="000000"/>
          <w:lang w:eastAsia="zh-CN"/>
        </w:rPr>
        <w:t xml:space="preserve"> T </w:t>
      </w:r>
      <w:r w:rsidRPr="00663BB7">
        <w:rPr>
          <w:rFonts w:ascii="Book Antiqua" w:hAnsi="Book Antiqua"/>
          <w:b/>
          <w:bCs/>
          <w:color w:val="000000"/>
        </w:rPr>
        <w:t>S-Editor:</w:t>
      </w:r>
      <w:r w:rsidRPr="00663BB7">
        <w:rPr>
          <w:rFonts w:ascii="Book Antiqua" w:hAnsi="Book Antiqua"/>
          <w:color w:val="000000"/>
        </w:rPr>
        <w:t xml:space="preserve"> Yan JP</w:t>
      </w:r>
    </w:p>
    <w:p w14:paraId="19F1356F" w14:textId="77777777" w:rsidR="00420402" w:rsidRPr="00663BB7" w:rsidRDefault="00420402" w:rsidP="006C577E">
      <w:pPr>
        <w:adjustRightInd w:val="0"/>
        <w:snapToGrid w:val="0"/>
        <w:spacing w:line="360" w:lineRule="auto"/>
        <w:jc w:val="right"/>
        <w:rPr>
          <w:rFonts w:ascii="Book Antiqua" w:hAnsi="Book Antiqua"/>
          <w:b/>
          <w:bCs/>
          <w:color w:val="000000"/>
        </w:rPr>
      </w:pPr>
      <w:r w:rsidRPr="00663BB7">
        <w:rPr>
          <w:rFonts w:ascii="Book Antiqua" w:hAnsi="Book Antiqua"/>
          <w:b/>
          <w:bCs/>
          <w:color w:val="000000"/>
        </w:rPr>
        <w:t>L-Editor:</w:t>
      </w:r>
      <w:r w:rsidRPr="00663BB7">
        <w:rPr>
          <w:rFonts w:ascii="Book Antiqua" w:hAnsi="Book Antiqua"/>
          <w:color w:val="000000"/>
        </w:rPr>
        <w:t xml:space="preserve"> </w:t>
      </w:r>
      <w:r w:rsidRPr="00663BB7">
        <w:rPr>
          <w:rFonts w:ascii="Book Antiqua" w:hAnsi="Book Antiqua"/>
          <w:b/>
          <w:bCs/>
          <w:color w:val="000000"/>
        </w:rPr>
        <w:t>E-Editor:</w:t>
      </w:r>
    </w:p>
    <w:bookmarkEnd w:id="28"/>
    <w:bookmarkEnd w:id="29"/>
    <w:p w14:paraId="4EA434BF" w14:textId="1D6DB94F" w:rsidR="00420402" w:rsidRPr="00663BB7" w:rsidRDefault="00420402" w:rsidP="006C577E">
      <w:pPr>
        <w:snapToGrid w:val="0"/>
        <w:spacing w:line="360" w:lineRule="auto"/>
        <w:rPr>
          <w:rFonts w:ascii="Book Antiqua" w:hAnsi="Book Antiqua" w:cs="SimSun"/>
        </w:rPr>
      </w:pPr>
      <w:r w:rsidRPr="00663BB7">
        <w:rPr>
          <w:rFonts w:ascii="Book Antiqua" w:hAnsi="Book Antiqua" w:cs="SimSun"/>
          <w:b/>
        </w:rPr>
        <w:t xml:space="preserve">Specialty type: </w:t>
      </w:r>
      <w:r w:rsidRPr="00663BB7">
        <w:rPr>
          <w:rFonts w:ascii="Book Antiqua" w:eastAsia="Microsoft YaHei" w:hAnsi="Book Antiqua" w:cs="SimSun"/>
        </w:rPr>
        <w:t>Gastroenterology and hepatology</w:t>
      </w:r>
      <w:r w:rsidRPr="00663BB7">
        <w:rPr>
          <w:rFonts w:ascii="Book Antiqua" w:hAnsi="Book Antiqua" w:cs="SimSun"/>
        </w:rPr>
        <w:t xml:space="preserve"> </w:t>
      </w:r>
      <w:r w:rsidRPr="00663BB7">
        <w:rPr>
          <w:rFonts w:ascii="Book Antiqua" w:hAnsi="Book Antiqua" w:cs="SimSun"/>
        </w:rPr>
        <w:br/>
      </w:r>
      <w:r w:rsidRPr="00663BB7">
        <w:rPr>
          <w:rFonts w:ascii="Book Antiqua" w:hAnsi="Book Antiqua" w:cs="SimSun"/>
          <w:b/>
        </w:rPr>
        <w:t xml:space="preserve">Country of origin: </w:t>
      </w:r>
      <w:r w:rsidRPr="00420402">
        <w:rPr>
          <w:rFonts w:ascii="Book Antiqua" w:hAnsi="Book Antiqua" w:cs="SimSun"/>
        </w:rPr>
        <w:t>United Kingdom</w:t>
      </w:r>
      <w:r w:rsidRPr="00663BB7">
        <w:rPr>
          <w:rFonts w:ascii="Book Antiqua" w:hAnsi="Book Antiqua" w:cs="SimSun"/>
        </w:rPr>
        <w:t xml:space="preserve"> </w:t>
      </w:r>
      <w:r w:rsidRPr="00663BB7">
        <w:rPr>
          <w:rFonts w:ascii="Book Antiqua" w:hAnsi="Book Antiqua" w:cs="SimSun"/>
        </w:rPr>
        <w:br/>
      </w:r>
      <w:r w:rsidRPr="00663BB7">
        <w:rPr>
          <w:rFonts w:ascii="Book Antiqua" w:hAnsi="Book Antiqua" w:cs="SimSun"/>
          <w:b/>
        </w:rPr>
        <w:t>Peer-review report classification</w:t>
      </w:r>
      <w:r w:rsidRPr="00663BB7">
        <w:rPr>
          <w:rFonts w:ascii="Book Antiqua" w:hAnsi="Book Antiqua" w:cs="SimSun"/>
        </w:rPr>
        <w:br/>
      </w:r>
      <w:r w:rsidRPr="00663BB7">
        <w:rPr>
          <w:rFonts w:ascii="Book Antiqua" w:hAnsi="Book Antiqua" w:cs="SimSun"/>
          <w:b/>
        </w:rPr>
        <w:t xml:space="preserve">Grade A (Excellent): </w:t>
      </w:r>
      <w:r>
        <w:rPr>
          <w:rFonts w:ascii="Book Antiqua" w:hAnsi="Book Antiqua" w:cs="SimSun" w:hint="eastAsia"/>
          <w:lang w:eastAsia="zh-CN"/>
        </w:rPr>
        <w:t>0</w:t>
      </w:r>
      <w:r w:rsidRPr="00663BB7">
        <w:rPr>
          <w:rFonts w:ascii="Book Antiqua" w:hAnsi="Book Antiqua" w:cs="SimSun"/>
        </w:rPr>
        <w:br/>
      </w:r>
      <w:r w:rsidRPr="00663BB7">
        <w:rPr>
          <w:rFonts w:ascii="Book Antiqua" w:hAnsi="Book Antiqua" w:cs="SimSun"/>
          <w:b/>
        </w:rPr>
        <w:t xml:space="preserve">Grade B (Very good): </w:t>
      </w:r>
      <w:r w:rsidRPr="00663BB7">
        <w:rPr>
          <w:rFonts w:ascii="Book Antiqua" w:hAnsi="Book Antiqua" w:cs="SimSun"/>
        </w:rPr>
        <w:t>B</w:t>
      </w:r>
      <w:r>
        <w:rPr>
          <w:rFonts w:ascii="Book Antiqua" w:hAnsi="Book Antiqua" w:cs="SimSun" w:hint="eastAsia"/>
          <w:lang w:eastAsia="zh-CN"/>
        </w:rPr>
        <w:t>, B, B</w:t>
      </w:r>
      <w:r w:rsidRPr="00663BB7">
        <w:rPr>
          <w:rFonts w:ascii="Book Antiqua" w:hAnsi="Book Antiqua" w:cs="SimSun"/>
        </w:rPr>
        <w:br/>
      </w:r>
      <w:r w:rsidRPr="00663BB7">
        <w:rPr>
          <w:rFonts w:ascii="Book Antiqua" w:hAnsi="Book Antiqua" w:cs="SimSun"/>
          <w:b/>
        </w:rPr>
        <w:t xml:space="preserve">Grade C (Good): </w:t>
      </w:r>
      <w:r>
        <w:rPr>
          <w:rFonts w:ascii="Book Antiqua" w:hAnsi="Book Antiqua" w:cs="SimSun" w:hint="eastAsia"/>
          <w:lang w:eastAsia="zh-CN"/>
        </w:rPr>
        <w:t>C</w:t>
      </w:r>
      <w:r w:rsidRPr="00663BB7">
        <w:rPr>
          <w:rFonts w:ascii="Book Antiqua" w:hAnsi="Book Antiqua" w:cs="SimSun"/>
        </w:rPr>
        <w:br/>
      </w:r>
      <w:r w:rsidRPr="00663BB7">
        <w:rPr>
          <w:rFonts w:ascii="Book Antiqua" w:hAnsi="Book Antiqua" w:cs="SimSun"/>
          <w:b/>
        </w:rPr>
        <w:t xml:space="preserve">Grade D (Fair): </w:t>
      </w:r>
      <w:r>
        <w:rPr>
          <w:rFonts w:ascii="Book Antiqua" w:hAnsi="Book Antiqua" w:cs="SimSun" w:hint="eastAsia"/>
          <w:lang w:eastAsia="zh-CN"/>
        </w:rPr>
        <w:t>D</w:t>
      </w:r>
      <w:r w:rsidRPr="00663BB7">
        <w:rPr>
          <w:rFonts w:ascii="Book Antiqua" w:hAnsi="Book Antiqua" w:cs="SimSun"/>
          <w:b/>
        </w:rPr>
        <w:br/>
        <w:t xml:space="preserve">Grade E (Poor): </w:t>
      </w:r>
      <w:r w:rsidRPr="00663BB7">
        <w:rPr>
          <w:rFonts w:ascii="Book Antiqua" w:hAnsi="Book Antiqua" w:cs="SimSun"/>
        </w:rPr>
        <w:t>0</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14:paraId="5A80A022" w14:textId="77777777" w:rsidR="000F726C" w:rsidRPr="00420402" w:rsidRDefault="000F726C" w:rsidP="006C577E">
      <w:pPr>
        <w:snapToGrid w:val="0"/>
        <w:spacing w:line="360" w:lineRule="auto"/>
        <w:rPr>
          <w:rFonts w:ascii="Book Antiqua" w:eastAsiaTheme="minorEastAsia" w:hAnsi="Book Antiqua"/>
          <w:noProof/>
          <w:lang w:eastAsia="zh-CN"/>
        </w:rPr>
      </w:pPr>
    </w:p>
    <w:p w14:paraId="6275898E" w14:textId="5BF70242" w:rsidR="000F726C" w:rsidRDefault="000F726C" w:rsidP="006C577E">
      <w:pPr>
        <w:snapToGrid w:val="0"/>
        <w:spacing w:line="360" w:lineRule="auto"/>
        <w:rPr>
          <w:rFonts w:ascii="Book Antiqua" w:eastAsiaTheme="minorEastAsia" w:hAnsi="Book Antiqua" w:cs="Arial"/>
          <w:color w:val="000000" w:themeColor="text1"/>
          <w:lang w:eastAsia="zh-CN"/>
        </w:rPr>
      </w:pPr>
      <w:r>
        <w:rPr>
          <w:rFonts w:ascii="Book Antiqua" w:eastAsiaTheme="minorEastAsia" w:hAnsi="Book Antiqua" w:cs="Arial"/>
          <w:color w:val="000000" w:themeColor="text1"/>
          <w:lang w:eastAsia="zh-CN"/>
        </w:rPr>
        <w:br w:type="page"/>
      </w:r>
    </w:p>
    <w:p w14:paraId="00889C39" w14:textId="77777777" w:rsidR="006434B2" w:rsidRPr="002E78B5" w:rsidRDefault="006434B2" w:rsidP="006C577E">
      <w:pPr>
        <w:snapToGrid w:val="0"/>
        <w:spacing w:line="360" w:lineRule="auto"/>
        <w:jc w:val="both"/>
        <w:rPr>
          <w:rFonts w:ascii="Book Antiqua" w:hAnsi="Book Antiqua" w:cs="Arial"/>
          <w:b/>
        </w:rPr>
      </w:pPr>
      <w:r w:rsidRPr="002E78B5">
        <w:rPr>
          <w:rFonts w:ascii="Book Antiqua" w:hAnsi="Book Antiqua" w:cs="Arial"/>
          <w:b/>
          <w:noProof/>
          <w:lang w:val="en-US" w:eastAsia="zh-CN"/>
        </w:rPr>
        <w:lastRenderedPageBreak/>
        <w:drawing>
          <wp:inline distT="0" distB="0" distL="0" distR="0" wp14:anchorId="009135F0" wp14:editId="7BE65835">
            <wp:extent cx="5718428" cy="3133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13 at 2.23.35 pm.png"/>
                    <pic:cNvPicPr/>
                  </pic:nvPicPr>
                  <pic:blipFill>
                    <a:blip r:embed="rId10">
                      <a:extLst>
                        <a:ext uri="{28A0092B-C50C-407E-A947-70E740481C1C}">
                          <a14:useLocalDpi xmlns:a14="http://schemas.microsoft.com/office/drawing/2010/main" val="0"/>
                        </a:ext>
                      </a:extLst>
                    </a:blip>
                    <a:stretch>
                      <a:fillRect/>
                    </a:stretch>
                  </pic:blipFill>
                  <pic:spPr>
                    <a:xfrm>
                      <a:off x="0" y="0"/>
                      <a:ext cx="5766983" cy="3160333"/>
                    </a:xfrm>
                    <a:prstGeom prst="rect">
                      <a:avLst/>
                    </a:prstGeom>
                  </pic:spPr>
                </pic:pic>
              </a:graphicData>
            </a:graphic>
          </wp:inline>
        </w:drawing>
      </w:r>
    </w:p>
    <w:p w14:paraId="13DDF2CD" w14:textId="2C8CD94C" w:rsidR="006434B2" w:rsidRPr="00486333" w:rsidRDefault="006434B2" w:rsidP="006C577E">
      <w:pPr>
        <w:snapToGrid w:val="0"/>
        <w:spacing w:line="360" w:lineRule="auto"/>
        <w:jc w:val="both"/>
        <w:rPr>
          <w:rFonts w:ascii="Book Antiqua" w:hAnsi="Book Antiqua" w:cs="Arial"/>
          <w:b/>
        </w:rPr>
      </w:pPr>
      <w:r w:rsidRPr="00486333">
        <w:rPr>
          <w:rFonts w:ascii="Book Antiqua" w:hAnsi="Book Antiqua" w:cs="Arial"/>
          <w:b/>
        </w:rPr>
        <w:t>Figure 1</w:t>
      </w:r>
      <w:r w:rsidR="00486333" w:rsidRPr="00486333">
        <w:rPr>
          <w:rFonts w:ascii="Book Antiqua" w:hAnsi="Book Antiqua" w:cs="Arial"/>
          <w:b/>
        </w:rPr>
        <w:t xml:space="preserve"> </w:t>
      </w:r>
      <w:r w:rsidRPr="00486333">
        <w:rPr>
          <w:rFonts w:ascii="Book Antiqua" w:hAnsi="Book Antiqua" w:cs="Arial"/>
          <w:b/>
        </w:rPr>
        <w:t xml:space="preserve">Proportion of accident and emergency, inpatient and outpatient presentations to </w:t>
      </w:r>
      <w:r w:rsidR="00A571E4" w:rsidRPr="00486333">
        <w:rPr>
          <w:rFonts w:ascii="Book Antiqua" w:hAnsi="Book Antiqua" w:cs="Arial"/>
          <w:b/>
        </w:rPr>
        <w:t>inflammatory bowel disease</w:t>
      </w:r>
      <w:r w:rsidRPr="00486333">
        <w:rPr>
          <w:rFonts w:ascii="Book Antiqua" w:hAnsi="Book Antiqua" w:cs="Arial"/>
          <w:b/>
        </w:rPr>
        <w:t xml:space="preserve"> care ‘home provider’ by </w:t>
      </w:r>
      <w:r w:rsidR="00A571E4" w:rsidRPr="00486333">
        <w:rPr>
          <w:rFonts w:ascii="Book Antiqua" w:hAnsi="Book Antiqua" w:cs="Arial"/>
          <w:b/>
        </w:rPr>
        <w:t xml:space="preserve">Middle Layer Super Output Area </w:t>
      </w:r>
      <w:r w:rsidRPr="00486333">
        <w:rPr>
          <w:rFonts w:ascii="Book Antiqua" w:hAnsi="Book Antiqua" w:cs="Arial"/>
          <w:b/>
        </w:rPr>
        <w:t>of residence</w:t>
      </w:r>
      <w:r w:rsidR="00A571E4" w:rsidRPr="00486333">
        <w:rPr>
          <w:rFonts w:ascii="Book Antiqua" w:hAnsi="Book Antiqua" w:cs="Arial"/>
          <w:b/>
        </w:rPr>
        <w:t>.</w:t>
      </w:r>
    </w:p>
    <w:p w14:paraId="44B86FE0" w14:textId="1C35E86A" w:rsidR="00C52159" w:rsidRPr="002E78B5" w:rsidRDefault="00C52159" w:rsidP="006C577E">
      <w:pPr>
        <w:snapToGrid w:val="0"/>
        <w:spacing w:line="360" w:lineRule="auto"/>
        <w:jc w:val="both"/>
        <w:rPr>
          <w:rFonts w:ascii="Book Antiqua" w:hAnsi="Book Antiqua" w:cs="Arial"/>
        </w:rPr>
      </w:pPr>
      <w:r w:rsidRPr="002E78B5">
        <w:rPr>
          <w:rFonts w:ascii="Book Antiqua" w:hAnsi="Book Antiqua" w:cs="Arial"/>
        </w:rPr>
        <w:br w:type="page"/>
      </w:r>
    </w:p>
    <w:p w14:paraId="72A8BBB3" w14:textId="6DED8054" w:rsidR="006434B2" w:rsidRPr="002E78B5" w:rsidRDefault="00143FDF" w:rsidP="006C577E">
      <w:pPr>
        <w:snapToGrid w:val="0"/>
        <w:spacing w:line="360" w:lineRule="auto"/>
        <w:jc w:val="both"/>
        <w:rPr>
          <w:rFonts w:ascii="Book Antiqua" w:hAnsi="Book Antiqua" w:cs="Arial"/>
        </w:rPr>
      </w:pPr>
      <w:r w:rsidRPr="002E78B5">
        <w:rPr>
          <w:rFonts w:ascii="Book Antiqua" w:hAnsi="Book Antiqua" w:cs="Arial"/>
          <w:noProof/>
          <w:lang w:val="en-US" w:eastAsia="zh-CN"/>
        </w:rPr>
        <w:lastRenderedPageBreak/>
        <w:drawing>
          <wp:inline distT="0" distB="0" distL="0" distR="0" wp14:anchorId="2D99B412" wp14:editId="581DB777">
            <wp:extent cx="3160213" cy="3295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03 at 1.43.40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9504" cy="3315768"/>
                    </a:xfrm>
                    <a:prstGeom prst="rect">
                      <a:avLst/>
                    </a:prstGeom>
                  </pic:spPr>
                </pic:pic>
              </a:graphicData>
            </a:graphic>
          </wp:inline>
        </w:drawing>
      </w:r>
    </w:p>
    <w:p w14:paraId="4E35C9F2" w14:textId="2C3C3655" w:rsidR="006434B2" w:rsidRPr="002B7C72" w:rsidRDefault="006434B2" w:rsidP="006C577E">
      <w:pPr>
        <w:snapToGrid w:val="0"/>
        <w:spacing w:line="360" w:lineRule="auto"/>
        <w:jc w:val="both"/>
        <w:rPr>
          <w:rFonts w:ascii="Book Antiqua" w:hAnsi="Book Antiqua" w:cs="Arial"/>
          <w:b/>
          <w:lang w:eastAsia="zh-CN"/>
        </w:rPr>
      </w:pPr>
      <w:r w:rsidRPr="002B7C72">
        <w:rPr>
          <w:rFonts w:ascii="Book Antiqua" w:hAnsi="Book Antiqua" w:cs="Arial"/>
          <w:b/>
        </w:rPr>
        <w:t>Figure 2</w:t>
      </w:r>
      <w:r w:rsidR="002B7C72" w:rsidRPr="002B7C72">
        <w:rPr>
          <w:rFonts w:ascii="Book Antiqua" w:hAnsi="Book Antiqua" w:cs="Arial"/>
          <w:b/>
        </w:rPr>
        <w:t xml:space="preserve"> </w:t>
      </w:r>
      <w:r w:rsidRPr="002B7C72">
        <w:rPr>
          <w:rFonts w:ascii="Book Antiqua" w:hAnsi="Book Antiqua" w:cs="Arial"/>
          <w:b/>
        </w:rPr>
        <w:t>Distribution of 20 highest and 20 lowest providers per proportion of encounters with home provider</w:t>
      </w:r>
      <w:r w:rsidR="00513204" w:rsidRPr="002B7C72">
        <w:rPr>
          <w:rFonts w:ascii="Book Antiqua" w:hAnsi="Book Antiqua" w:cs="Arial"/>
          <w:b/>
        </w:rPr>
        <w:t xml:space="preserve"> (from 144 included providers)</w:t>
      </w:r>
      <w:r w:rsidR="002B7C72" w:rsidRPr="002B7C72">
        <w:rPr>
          <w:rFonts w:ascii="Book Antiqua" w:hAnsi="Book Antiqua" w:cs="Arial" w:hint="eastAsia"/>
          <w:b/>
          <w:lang w:eastAsia="zh-CN"/>
        </w:rPr>
        <w:t>.</w:t>
      </w:r>
    </w:p>
    <w:p w14:paraId="31842D81" w14:textId="3A3E00C2" w:rsidR="00C52159" w:rsidRPr="002E78B5" w:rsidRDefault="00C52159" w:rsidP="006C577E">
      <w:pPr>
        <w:snapToGrid w:val="0"/>
        <w:spacing w:line="360" w:lineRule="auto"/>
        <w:jc w:val="both"/>
        <w:rPr>
          <w:rFonts w:ascii="Book Antiqua" w:hAnsi="Book Antiqua" w:cs="Arial"/>
        </w:rPr>
      </w:pPr>
      <w:r w:rsidRPr="002E78B5">
        <w:rPr>
          <w:rFonts w:ascii="Book Antiqua" w:hAnsi="Book Antiqua" w:cs="Arial"/>
        </w:rPr>
        <w:br w:type="page"/>
      </w:r>
    </w:p>
    <w:p w14:paraId="4307AAA0" w14:textId="77777777"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noProof/>
          <w:lang w:val="en-US" w:eastAsia="zh-CN"/>
        </w:rPr>
        <w:lastRenderedPageBreak/>
        <w:drawing>
          <wp:inline distT="0" distB="0" distL="0" distR="0" wp14:anchorId="0C1AD10C" wp14:editId="7FF34F38">
            <wp:extent cx="5263236" cy="3295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8-13 at 2.30.38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16345" cy="3328905"/>
                    </a:xfrm>
                    <a:prstGeom prst="rect">
                      <a:avLst/>
                    </a:prstGeom>
                  </pic:spPr>
                </pic:pic>
              </a:graphicData>
            </a:graphic>
          </wp:inline>
        </w:drawing>
      </w:r>
    </w:p>
    <w:p w14:paraId="5D2F934B" w14:textId="32FC733F" w:rsidR="006434B2" w:rsidRPr="002B7C72" w:rsidRDefault="006434B2" w:rsidP="006C577E">
      <w:pPr>
        <w:snapToGrid w:val="0"/>
        <w:spacing w:line="360" w:lineRule="auto"/>
        <w:jc w:val="both"/>
        <w:rPr>
          <w:rFonts w:ascii="Book Antiqua" w:hAnsi="Book Antiqua" w:cs="Arial"/>
          <w:b/>
          <w:lang w:eastAsia="zh-CN"/>
        </w:rPr>
      </w:pPr>
      <w:r w:rsidRPr="002B7C72">
        <w:rPr>
          <w:rFonts w:ascii="Book Antiqua" w:hAnsi="Book Antiqua" w:cs="Arial"/>
          <w:b/>
        </w:rPr>
        <w:t>Figure 3 Proportion of ‘home provider’ encounters per age for three age bands, &lt;40, 40-70 and &gt;</w:t>
      </w:r>
      <w:r w:rsidR="002B7C72" w:rsidRPr="002B7C72">
        <w:rPr>
          <w:rFonts w:ascii="Book Antiqua" w:hAnsi="Book Antiqua" w:cs="Arial" w:hint="eastAsia"/>
          <w:b/>
          <w:lang w:eastAsia="zh-CN"/>
        </w:rPr>
        <w:t xml:space="preserve"> </w:t>
      </w:r>
      <w:r w:rsidRPr="002B7C72">
        <w:rPr>
          <w:rFonts w:ascii="Book Antiqua" w:hAnsi="Book Antiqua" w:cs="Arial"/>
          <w:b/>
        </w:rPr>
        <w:t>70 years</w:t>
      </w:r>
      <w:r w:rsidR="002B7C72" w:rsidRPr="002B7C72">
        <w:rPr>
          <w:rFonts w:ascii="Book Antiqua" w:hAnsi="Book Antiqua" w:cs="Arial" w:hint="eastAsia"/>
          <w:b/>
          <w:lang w:eastAsia="zh-CN"/>
        </w:rPr>
        <w:t>.</w:t>
      </w:r>
    </w:p>
    <w:p w14:paraId="36D542BB" w14:textId="1823CFE8" w:rsidR="00C52159" w:rsidRPr="002E78B5" w:rsidRDefault="00C52159" w:rsidP="006C577E">
      <w:pPr>
        <w:snapToGrid w:val="0"/>
        <w:spacing w:line="360" w:lineRule="auto"/>
        <w:jc w:val="both"/>
        <w:rPr>
          <w:rFonts w:ascii="Book Antiqua" w:hAnsi="Book Antiqua" w:cs="Arial"/>
          <w:color w:val="000000" w:themeColor="text1"/>
        </w:rPr>
      </w:pPr>
      <w:r w:rsidRPr="002E78B5">
        <w:rPr>
          <w:rFonts w:ascii="Book Antiqua" w:hAnsi="Book Antiqua" w:cs="Arial"/>
          <w:color w:val="000000" w:themeColor="text1"/>
        </w:rPr>
        <w:br w:type="page"/>
      </w:r>
    </w:p>
    <w:p w14:paraId="489A25E0" w14:textId="2D401C2E" w:rsidR="002B7C72" w:rsidRPr="002B7C72" w:rsidRDefault="002B7C72" w:rsidP="006C577E">
      <w:pPr>
        <w:snapToGrid w:val="0"/>
        <w:spacing w:line="360" w:lineRule="auto"/>
        <w:jc w:val="both"/>
        <w:rPr>
          <w:rFonts w:ascii="Book Antiqua" w:hAnsi="Book Antiqua" w:cs="Arial"/>
          <w:b/>
        </w:rPr>
      </w:pPr>
      <w:r w:rsidRPr="002B7C72">
        <w:rPr>
          <w:rFonts w:ascii="Book Antiqua" w:hAnsi="Book Antiqua" w:cs="Arial"/>
          <w:b/>
        </w:rPr>
        <w:lastRenderedPageBreak/>
        <w:t>Table 1 Inflammatory bowel disease patient encounters and proportion that were with the patient’s ‘home provider’</w:t>
      </w:r>
    </w:p>
    <w:tbl>
      <w:tblPr>
        <w:tblStyle w:val="TableGridLight1"/>
        <w:tblW w:w="96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1559"/>
        <w:gridCol w:w="2127"/>
        <w:gridCol w:w="3114"/>
      </w:tblGrid>
      <w:tr w:rsidR="006434B2" w:rsidRPr="002E78B5" w14:paraId="44247436" w14:textId="77777777" w:rsidTr="0094575A">
        <w:trPr>
          <w:trHeight w:val="413"/>
          <w:jc w:val="center"/>
        </w:trPr>
        <w:tc>
          <w:tcPr>
            <w:tcW w:w="2836" w:type="dxa"/>
            <w:tcBorders>
              <w:top w:val="single" w:sz="4" w:space="0" w:color="auto"/>
              <w:bottom w:val="single" w:sz="4" w:space="0" w:color="auto"/>
            </w:tcBorders>
          </w:tcPr>
          <w:p w14:paraId="22775AD6" w14:textId="77777777" w:rsidR="006434B2" w:rsidRPr="002B7C72" w:rsidRDefault="006434B2" w:rsidP="006C577E">
            <w:pPr>
              <w:snapToGrid w:val="0"/>
              <w:spacing w:line="360" w:lineRule="auto"/>
              <w:rPr>
                <w:rFonts w:ascii="Book Antiqua" w:hAnsi="Book Antiqua" w:cs="Arial"/>
                <w:b/>
              </w:rPr>
            </w:pPr>
          </w:p>
        </w:tc>
        <w:tc>
          <w:tcPr>
            <w:tcW w:w="1559" w:type="dxa"/>
            <w:tcBorders>
              <w:top w:val="single" w:sz="4" w:space="0" w:color="auto"/>
              <w:bottom w:val="single" w:sz="4" w:space="0" w:color="auto"/>
            </w:tcBorders>
          </w:tcPr>
          <w:p w14:paraId="57E48AA0" w14:textId="77777777" w:rsidR="006434B2" w:rsidRPr="002B7C72" w:rsidRDefault="006434B2" w:rsidP="006C577E">
            <w:pPr>
              <w:snapToGrid w:val="0"/>
              <w:spacing w:line="360" w:lineRule="auto"/>
              <w:rPr>
                <w:rFonts w:ascii="Book Antiqua" w:hAnsi="Book Antiqua" w:cs="Arial"/>
                <w:b/>
              </w:rPr>
            </w:pPr>
            <w:r w:rsidRPr="002B7C72">
              <w:rPr>
                <w:rFonts w:ascii="Book Antiqua" w:hAnsi="Book Antiqua" w:cs="Arial"/>
                <w:b/>
              </w:rPr>
              <w:t>Total encounters</w:t>
            </w:r>
          </w:p>
        </w:tc>
        <w:tc>
          <w:tcPr>
            <w:tcW w:w="2127" w:type="dxa"/>
            <w:tcBorders>
              <w:top w:val="single" w:sz="4" w:space="0" w:color="auto"/>
              <w:bottom w:val="single" w:sz="4" w:space="0" w:color="auto"/>
            </w:tcBorders>
          </w:tcPr>
          <w:p w14:paraId="75A6EF84" w14:textId="77777777" w:rsidR="006434B2" w:rsidRPr="002B7C72" w:rsidRDefault="006434B2" w:rsidP="006C577E">
            <w:pPr>
              <w:snapToGrid w:val="0"/>
              <w:spacing w:line="360" w:lineRule="auto"/>
              <w:rPr>
                <w:rFonts w:ascii="Book Antiqua" w:hAnsi="Book Antiqua" w:cs="Arial"/>
                <w:b/>
              </w:rPr>
            </w:pPr>
            <w:r w:rsidRPr="002B7C72">
              <w:rPr>
                <w:rFonts w:ascii="Book Antiqua" w:hAnsi="Book Antiqua" w:cs="Arial"/>
                <w:b/>
              </w:rPr>
              <w:t>‘Home provider’ encounters</w:t>
            </w:r>
          </w:p>
        </w:tc>
        <w:tc>
          <w:tcPr>
            <w:tcW w:w="3114" w:type="dxa"/>
            <w:tcBorders>
              <w:top w:val="single" w:sz="4" w:space="0" w:color="auto"/>
              <w:bottom w:val="single" w:sz="4" w:space="0" w:color="auto"/>
            </w:tcBorders>
          </w:tcPr>
          <w:p w14:paraId="203FA187" w14:textId="49B54DAF" w:rsidR="006434B2" w:rsidRPr="002B7C72" w:rsidRDefault="006434B2" w:rsidP="006C577E">
            <w:pPr>
              <w:snapToGrid w:val="0"/>
              <w:spacing w:line="360" w:lineRule="auto"/>
              <w:rPr>
                <w:rFonts w:ascii="Book Antiqua" w:hAnsi="Book Antiqua" w:cs="Arial"/>
                <w:b/>
              </w:rPr>
            </w:pPr>
            <w:r w:rsidRPr="002B7C72">
              <w:rPr>
                <w:rFonts w:ascii="Book Antiqua" w:hAnsi="Book Antiqua" w:cs="Arial"/>
                <w:b/>
              </w:rPr>
              <w:t>‘Home provider’ proportion (%</w:t>
            </w:r>
            <w:r w:rsidR="00A571E4" w:rsidRPr="002B7C72">
              <w:rPr>
                <w:rFonts w:ascii="Book Antiqua" w:hAnsi="Book Antiqua" w:cs="Arial"/>
                <w:b/>
              </w:rPr>
              <w:t>/% provider range</w:t>
            </w:r>
            <w:r w:rsidRPr="002B7C72">
              <w:rPr>
                <w:rFonts w:ascii="Book Antiqua" w:hAnsi="Book Antiqua" w:cs="Arial"/>
                <w:b/>
              </w:rPr>
              <w:t>)</w:t>
            </w:r>
          </w:p>
        </w:tc>
      </w:tr>
      <w:tr w:rsidR="006434B2" w:rsidRPr="002E78B5" w14:paraId="59C59348" w14:textId="77777777" w:rsidTr="0094575A">
        <w:trPr>
          <w:trHeight w:val="305"/>
          <w:jc w:val="center"/>
        </w:trPr>
        <w:tc>
          <w:tcPr>
            <w:tcW w:w="2836" w:type="dxa"/>
            <w:tcBorders>
              <w:top w:val="single" w:sz="4" w:space="0" w:color="auto"/>
            </w:tcBorders>
          </w:tcPr>
          <w:p w14:paraId="458B0FFD" w14:textId="245A1F32"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 xml:space="preserve">Accident and </w:t>
            </w:r>
            <w:r w:rsidR="002B7C72" w:rsidRPr="002E78B5">
              <w:rPr>
                <w:rFonts w:ascii="Book Antiqua" w:hAnsi="Book Antiqua" w:cs="Arial"/>
              </w:rPr>
              <w:t>e</w:t>
            </w:r>
            <w:r w:rsidRPr="002E78B5">
              <w:rPr>
                <w:rFonts w:ascii="Book Antiqua" w:hAnsi="Book Antiqua" w:cs="Arial"/>
              </w:rPr>
              <w:t>mergency</w:t>
            </w:r>
          </w:p>
        </w:tc>
        <w:tc>
          <w:tcPr>
            <w:tcW w:w="1559" w:type="dxa"/>
            <w:tcBorders>
              <w:top w:val="single" w:sz="4" w:space="0" w:color="auto"/>
            </w:tcBorders>
          </w:tcPr>
          <w:p w14:paraId="02F1249F" w14:textId="77777777"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110300</w:t>
            </w:r>
          </w:p>
        </w:tc>
        <w:tc>
          <w:tcPr>
            <w:tcW w:w="2127" w:type="dxa"/>
            <w:tcBorders>
              <w:top w:val="single" w:sz="4" w:space="0" w:color="auto"/>
            </w:tcBorders>
          </w:tcPr>
          <w:p w14:paraId="781694B7" w14:textId="77777777"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80836</w:t>
            </w:r>
          </w:p>
        </w:tc>
        <w:tc>
          <w:tcPr>
            <w:tcW w:w="3114" w:type="dxa"/>
            <w:tcBorders>
              <w:top w:val="single" w:sz="4" w:space="0" w:color="auto"/>
            </w:tcBorders>
          </w:tcPr>
          <w:p w14:paraId="15543017" w14:textId="1AAA2CC4"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73.3</w:t>
            </w:r>
            <w:r w:rsidR="00513204" w:rsidRPr="002E78B5">
              <w:rPr>
                <w:rFonts w:ascii="Book Antiqua" w:hAnsi="Book Antiqua" w:cs="Arial"/>
              </w:rPr>
              <w:t xml:space="preserve"> </w:t>
            </w:r>
            <w:r w:rsidR="00A571E4" w:rsidRPr="002E78B5">
              <w:rPr>
                <w:rFonts w:ascii="Book Antiqua" w:hAnsi="Book Antiqua" w:cs="Arial"/>
              </w:rPr>
              <w:t>(37.0</w:t>
            </w:r>
            <w:r w:rsidR="002B7C72">
              <w:rPr>
                <w:rFonts w:ascii="Book Antiqua" w:hAnsi="Book Antiqua" w:cs="Arial" w:hint="eastAsia"/>
                <w:lang w:eastAsia="zh-CN"/>
              </w:rPr>
              <w:t>-</w:t>
            </w:r>
            <w:r w:rsidR="00A571E4" w:rsidRPr="002E78B5">
              <w:rPr>
                <w:rFonts w:ascii="Book Antiqua" w:hAnsi="Book Antiqua" w:cs="Arial"/>
              </w:rPr>
              <w:t>94.3)</w:t>
            </w:r>
          </w:p>
        </w:tc>
      </w:tr>
      <w:tr w:rsidR="006434B2" w:rsidRPr="002E78B5" w14:paraId="6186F431" w14:textId="77777777" w:rsidTr="0094575A">
        <w:trPr>
          <w:trHeight w:val="305"/>
          <w:jc w:val="center"/>
        </w:trPr>
        <w:tc>
          <w:tcPr>
            <w:tcW w:w="2836" w:type="dxa"/>
          </w:tcPr>
          <w:p w14:paraId="0BB02274" w14:textId="77777777"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Inpatient</w:t>
            </w:r>
          </w:p>
        </w:tc>
        <w:tc>
          <w:tcPr>
            <w:tcW w:w="1559" w:type="dxa"/>
          </w:tcPr>
          <w:p w14:paraId="7F2661D3" w14:textId="77777777"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304996</w:t>
            </w:r>
          </w:p>
        </w:tc>
        <w:tc>
          <w:tcPr>
            <w:tcW w:w="2127" w:type="dxa"/>
          </w:tcPr>
          <w:p w14:paraId="7E83E9DD" w14:textId="77777777"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267540</w:t>
            </w:r>
          </w:p>
        </w:tc>
        <w:tc>
          <w:tcPr>
            <w:tcW w:w="3114" w:type="dxa"/>
          </w:tcPr>
          <w:p w14:paraId="25AFBA33" w14:textId="2078A0C3"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87.8</w:t>
            </w:r>
            <w:r w:rsidR="00A571E4" w:rsidRPr="002E78B5">
              <w:rPr>
                <w:rFonts w:ascii="Book Antiqua" w:hAnsi="Book Antiqua" w:cs="Arial"/>
              </w:rPr>
              <w:t xml:space="preserve"> (57.2</w:t>
            </w:r>
            <w:r w:rsidR="002B7C72">
              <w:rPr>
                <w:rFonts w:ascii="Book Antiqua" w:hAnsi="Book Antiqua" w:cs="Arial" w:hint="eastAsia"/>
                <w:lang w:eastAsia="zh-CN"/>
              </w:rPr>
              <w:t>-</w:t>
            </w:r>
            <w:r w:rsidR="00A571E4" w:rsidRPr="002E78B5">
              <w:rPr>
                <w:rFonts w:ascii="Book Antiqua" w:hAnsi="Book Antiqua" w:cs="Arial"/>
              </w:rPr>
              <w:t>98.5)</w:t>
            </w:r>
          </w:p>
        </w:tc>
      </w:tr>
      <w:tr w:rsidR="006434B2" w:rsidRPr="002E78B5" w14:paraId="7F1CDF34" w14:textId="77777777" w:rsidTr="0094575A">
        <w:trPr>
          <w:trHeight w:val="306"/>
          <w:jc w:val="center"/>
        </w:trPr>
        <w:tc>
          <w:tcPr>
            <w:tcW w:w="2836" w:type="dxa"/>
          </w:tcPr>
          <w:p w14:paraId="1152E873" w14:textId="77777777"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Outpatient</w:t>
            </w:r>
          </w:p>
        </w:tc>
        <w:tc>
          <w:tcPr>
            <w:tcW w:w="1559" w:type="dxa"/>
          </w:tcPr>
          <w:p w14:paraId="34AC45CA" w14:textId="77777777"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1344860</w:t>
            </w:r>
          </w:p>
        </w:tc>
        <w:tc>
          <w:tcPr>
            <w:tcW w:w="2127" w:type="dxa"/>
          </w:tcPr>
          <w:p w14:paraId="4FFE3132" w14:textId="77777777"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1117779</w:t>
            </w:r>
          </w:p>
        </w:tc>
        <w:tc>
          <w:tcPr>
            <w:tcW w:w="3114" w:type="dxa"/>
          </w:tcPr>
          <w:p w14:paraId="65B22AB2" w14:textId="20DABDF6"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83.1</w:t>
            </w:r>
            <w:r w:rsidR="00A571E4" w:rsidRPr="002E78B5">
              <w:rPr>
                <w:rFonts w:ascii="Book Antiqua" w:hAnsi="Book Antiqua" w:cs="Arial"/>
              </w:rPr>
              <w:t xml:space="preserve"> (55.7</w:t>
            </w:r>
            <w:r w:rsidR="002B7C72">
              <w:rPr>
                <w:rFonts w:ascii="Book Antiqua" w:hAnsi="Book Antiqua" w:cs="Arial" w:hint="eastAsia"/>
                <w:lang w:eastAsia="zh-CN"/>
              </w:rPr>
              <w:t>-</w:t>
            </w:r>
            <w:r w:rsidR="00A571E4" w:rsidRPr="002E78B5">
              <w:rPr>
                <w:rFonts w:ascii="Book Antiqua" w:hAnsi="Book Antiqua" w:cs="Arial"/>
              </w:rPr>
              <w:t>96.9)</w:t>
            </w:r>
          </w:p>
        </w:tc>
      </w:tr>
      <w:tr w:rsidR="006434B2" w:rsidRPr="002E78B5" w14:paraId="6B43D148" w14:textId="77777777" w:rsidTr="0094575A">
        <w:trPr>
          <w:trHeight w:val="306"/>
          <w:jc w:val="center"/>
        </w:trPr>
        <w:tc>
          <w:tcPr>
            <w:tcW w:w="2836" w:type="dxa"/>
            <w:tcBorders>
              <w:bottom w:val="single" w:sz="4" w:space="0" w:color="auto"/>
            </w:tcBorders>
          </w:tcPr>
          <w:p w14:paraId="11ABC75A" w14:textId="77777777"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Total</w:t>
            </w:r>
          </w:p>
        </w:tc>
        <w:tc>
          <w:tcPr>
            <w:tcW w:w="1559" w:type="dxa"/>
            <w:tcBorders>
              <w:bottom w:val="single" w:sz="4" w:space="0" w:color="auto"/>
            </w:tcBorders>
          </w:tcPr>
          <w:p w14:paraId="060B8C1C" w14:textId="77777777"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1760156</w:t>
            </w:r>
          </w:p>
        </w:tc>
        <w:tc>
          <w:tcPr>
            <w:tcW w:w="2127" w:type="dxa"/>
            <w:tcBorders>
              <w:bottom w:val="single" w:sz="4" w:space="0" w:color="auto"/>
            </w:tcBorders>
          </w:tcPr>
          <w:p w14:paraId="040ABB6F" w14:textId="77777777"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1466155</w:t>
            </w:r>
          </w:p>
        </w:tc>
        <w:tc>
          <w:tcPr>
            <w:tcW w:w="3114" w:type="dxa"/>
            <w:tcBorders>
              <w:bottom w:val="single" w:sz="4" w:space="0" w:color="auto"/>
            </w:tcBorders>
          </w:tcPr>
          <w:p w14:paraId="2AC539B6" w14:textId="77777777"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83.3</w:t>
            </w:r>
          </w:p>
        </w:tc>
      </w:tr>
    </w:tbl>
    <w:p w14:paraId="5FBCFD70" w14:textId="77777777" w:rsidR="00A571E4" w:rsidRPr="007F7E9C" w:rsidRDefault="00A571E4" w:rsidP="006C577E">
      <w:pPr>
        <w:snapToGrid w:val="0"/>
        <w:spacing w:line="360" w:lineRule="auto"/>
        <w:jc w:val="both"/>
        <w:rPr>
          <w:rFonts w:ascii="Book Antiqua" w:eastAsiaTheme="minorEastAsia" w:hAnsi="Book Antiqua" w:cs="Arial"/>
          <w:lang w:eastAsia="zh-CN"/>
        </w:rPr>
      </w:pPr>
    </w:p>
    <w:p w14:paraId="0FC3F748" w14:textId="6274802B" w:rsidR="00C52159" w:rsidRPr="002E78B5" w:rsidRDefault="00C52159" w:rsidP="006C577E">
      <w:pPr>
        <w:snapToGrid w:val="0"/>
        <w:spacing w:line="360" w:lineRule="auto"/>
        <w:jc w:val="both"/>
        <w:rPr>
          <w:rFonts w:ascii="Book Antiqua" w:hAnsi="Book Antiqua" w:cs="Arial"/>
        </w:rPr>
      </w:pPr>
      <w:r w:rsidRPr="002E78B5">
        <w:rPr>
          <w:rFonts w:ascii="Book Antiqua" w:hAnsi="Book Antiqua" w:cs="Arial"/>
        </w:rPr>
        <w:br w:type="page"/>
      </w:r>
    </w:p>
    <w:p w14:paraId="4750C691" w14:textId="51540172" w:rsidR="00B67A66" w:rsidRPr="00440B30" w:rsidRDefault="00440B30" w:rsidP="006C577E">
      <w:pPr>
        <w:snapToGrid w:val="0"/>
        <w:spacing w:line="360" w:lineRule="auto"/>
        <w:jc w:val="both"/>
        <w:rPr>
          <w:rFonts w:ascii="Book Antiqua" w:eastAsiaTheme="minorEastAsia" w:hAnsi="Book Antiqua" w:cs="Arial"/>
          <w:b/>
          <w:lang w:eastAsia="zh-CN"/>
        </w:rPr>
      </w:pPr>
      <w:r w:rsidRPr="00440B30">
        <w:rPr>
          <w:rFonts w:ascii="Book Antiqua" w:hAnsi="Book Antiqua" w:cs="Arial"/>
          <w:b/>
        </w:rPr>
        <w:lastRenderedPageBreak/>
        <w:t>Table 2</w:t>
      </w:r>
      <w:r>
        <w:rPr>
          <w:rFonts w:ascii="Book Antiqua" w:hAnsi="Book Antiqua" w:cs="Arial"/>
          <w:b/>
        </w:rPr>
        <w:t xml:space="preserve"> </w:t>
      </w:r>
      <w:r w:rsidRPr="00440B30">
        <w:rPr>
          <w:rFonts w:ascii="Book Antiqua" w:hAnsi="Book Antiqua" w:cs="Arial"/>
          <w:b/>
        </w:rPr>
        <w:t>The 20 most frequently accessed outpatient services and corresponding proportion of total outpatient services</w:t>
      </w:r>
    </w:p>
    <w:tbl>
      <w:tblPr>
        <w:tblStyle w:val="GridTable21"/>
        <w:tblW w:w="0" w:type="auto"/>
        <w:jc w:val="center"/>
        <w:tblLook w:val="04A0" w:firstRow="1" w:lastRow="0" w:firstColumn="1" w:lastColumn="0" w:noHBand="0" w:noVBand="1"/>
      </w:tblPr>
      <w:tblGrid>
        <w:gridCol w:w="4178"/>
        <w:gridCol w:w="3485"/>
      </w:tblGrid>
      <w:tr w:rsidR="006434B2" w:rsidRPr="002E78B5" w14:paraId="7EE4AA04" w14:textId="77777777" w:rsidTr="00440B30">
        <w:trPr>
          <w:cnfStyle w:val="100000000000" w:firstRow="1" w:lastRow="0" w:firstColumn="0" w:lastColumn="0" w:oddVBand="0" w:evenVBand="0" w:oddHBand="0" w:evenHBand="0" w:firstRowFirstColumn="0" w:firstRowLastColumn="0" w:lastRowFirstColumn="0" w:lastRowLastColumn="0"/>
          <w:trHeight w:val="824"/>
          <w:jc w:val="center"/>
        </w:trPr>
        <w:tc>
          <w:tcPr>
            <w:cnfStyle w:val="001000000000" w:firstRow="0" w:lastRow="0" w:firstColumn="1" w:lastColumn="0" w:oddVBand="0" w:evenVBand="0" w:oddHBand="0" w:evenHBand="0" w:firstRowFirstColumn="0" w:firstRowLastColumn="0" w:lastRowFirstColumn="0" w:lastRowLastColumn="0"/>
            <w:tcW w:w="4178" w:type="dxa"/>
            <w:tcBorders>
              <w:top w:val="single" w:sz="4" w:space="0" w:color="auto"/>
              <w:bottom w:val="single" w:sz="4" w:space="0" w:color="auto"/>
            </w:tcBorders>
            <w:shd w:val="clear" w:color="auto" w:fill="auto"/>
          </w:tcPr>
          <w:p w14:paraId="04E24ABA" w14:textId="1081BC2C"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 xml:space="preserve">Outpatient </w:t>
            </w:r>
            <w:r w:rsidR="001E5A36" w:rsidRPr="002E78B5">
              <w:rPr>
                <w:rFonts w:ascii="Book Antiqua" w:hAnsi="Book Antiqua" w:cs="Arial"/>
              </w:rPr>
              <w:t>s</w:t>
            </w:r>
            <w:r w:rsidRPr="002E78B5">
              <w:rPr>
                <w:rFonts w:ascii="Book Antiqua" w:hAnsi="Book Antiqua" w:cs="Arial"/>
              </w:rPr>
              <w:t>ervice</w:t>
            </w:r>
          </w:p>
          <w:p w14:paraId="785980E2" w14:textId="77777777" w:rsidR="006434B2" w:rsidRPr="002E78B5" w:rsidRDefault="006434B2" w:rsidP="006C577E">
            <w:pPr>
              <w:snapToGrid w:val="0"/>
              <w:spacing w:line="360" w:lineRule="auto"/>
              <w:jc w:val="both"/>
              <w:rPr>
                <w:rFonts w:ascii="Book Antiqua" w:hAnsi="Book Antiqua" w:cs="Arial"/>
              </w:rPr>
            </w:pPr>
            <w:r w:rsidRPr="002E78B5">
              <w:rPr>
                <w:rFonts w:ascii="Book Antiqua" w:hAnsi="Book Antiqua" w:cs="Arial"/>
              </w:rPr>
              <w:t>(HES Code)</w:t>
            </w:r>
          </w:p>
        </w:tc>
        <w:tc>
          <w:tcPr>
            <w:tcW w:w="3485" w:type="dxa"/>
            <w:tcBorders>
              <w:top w:val="single" w:sz="4" w:space="0" w:color="auto"/>
              <w:bottom w:val="single" w:sz="4" w:space="0" w:color="auto"/>
            </w:tcBorders>
            <w:shd w:val="clear" w:color="auto" w:fill="auto"/>
          </w:tcPr>
          <w:p w14:paraId="1CB24A9A" w14:textId="77777777" w:rsidR="006434B2" w:rsidRPr="002E78B5" w:rsidRDefault="006434B2" w:rsidP="006C577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2E78B5">
              <w:rPr>
                <w:rFonts w:ascii="Book Antiqua" w:hAnsi="Book Antiqua" w:cs="Arial"/>
              </w:rPr>
              <w:t>Frequency (% of total services listed)</w:t>
            </w:r>
          </w:p>
        </w:tc>
      </w:tr>
      <w:tr w:rsidR="006434B2" w:rsidRPr="002E78B5" w14:paraId="436D2C13" w14:textId="77777777" w:rsidTr="00440B30">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4178" w:type="dxa"/>
            <w:tcBorders>
              <w:top w:val="single" w:sz="4" w:space="0" w:color="auto"/>
              <w:bottom w:val="nil"/>
              <w:right w:val="nil"/>
            </w:tcBorders>
            <w:shd w:val="clear" w:color="auto" w:fill="auto"/>
            <w:vAlign w:val="center"/>
          </w:tcPr>
          <w:p w14:paraId="255B64E0" w14:textId="77777777"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Gastroenterology (301)</w:t>
            </w:r>
          </w:p>
        </w:tc>
        <w:tc>
          <w:tcPr>
            <w:tcW w:w="3485" w:type="dxa"/>
            <w:tcBorders>
              <w:top w:val="single" w:sz="4" w:space="0" w:color="auto"/>
              <w:left w:val="nil"/>
              <w:bottom w:val="nil"/>
            </w:tcBorders>
            <w:shd w:val="clear" w:color="auto" w:fill="auto"/>
            <w:vAlign w:val="center"/>
          </w:tcPr>
          <w:p w14:paraId="3E399DF2" w14:textId="77777777" w:rsidR="006434B2" w:rsidRPr="002E78B5" w:rsidRDefault="006434B2" w:rsidP="006C57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78B5">
              <w:rPr>
                <w:rFonts w:ascii="Book Antiqua" w:hAnsi="Book Antiqua" w:cs="Arial"/>
              </w:rPr>
              <w:t>546768 (39.8)</w:t>
            </w:r>
          </w:p>
        </w:tc>
      </w:tr>
      <w:tr w:rsidR="006434B2" w:rsidRPr="002E78B5" w14:paraId="54D303C4" w14:textId="77777777" w:rsidTr="00440B30">
        <w:trPr>
          <w:trHeight w:val="45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4E40A29A" w14:textId="06361EE0"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 xml:space="preserve">General </w:t>
            </w:r>
            <w:r w:rsidR="00440B30" w:rsidRPr="002E78B5">
              <w:rPr>
                <w:rFonts w:ascii="Book Antiqua" w:hAnsi="Book Antiqua" w:cs="Arial"/>
                <w:b w:val="0"/>
              </w:rPr>
              <w:t>s</w:t>
            </w:r>
            <w:r w:rsidRPr="002E78B5">
              <w:rPr>
                <w:rFonts w:ascii="Book Antiqua" w:hAnsi="Book Antiqua" w:cs="Arial"/>
                <w:b w:val="0"/>
              </w:rPr>
              <w:t>urgery (100)</w:t>
            </w:r>
          </w:p>
        </w:tc>
        <w:tc>
          <w:tcPr>
            <w:tcW w:w="3485" w:type="dxa"/>
            <w:tcBorders>
              <w:top w:val="nil"/>
              <w:left w:val="nil"/>
              <w:bottom w:val="nil"/>
            </w:tcBorders>
            <w:shd w:val="clear" w:color="auto" w:fill="auto"/>
            <w:vAlign w:val="center"/>
          </w:tcPr>
          <w:p w14:paraId="20AAD5A6" w14:textId="77777777" w:rsidR="006434B2" w:rsidRPr="002E78B5" w:rsidRDefault="006434B2" w:rsidP="006C57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78B5">
              <w:rPr>
                <w:rFonts w:ascii="Book Antiqua" w:hAnsi="Book Antiqua" w:cs="Arial"/>
              </w:rPr>
              <w:t>55126 (4.0)</w:t>
            </w:r>
          </w:p>
        </w:tc>
      </w:tr>
      <w:tr w:rsidR="006434B2" w:rsidRPr="002E78B5" w14:paraId="01FEEC10" w14:textId="77777777" w:rsidTr="00440B30">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3E445477" w14:textId="77777777"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Ophthalmology (130)</w:t>
            </w:r>
          </w:p>
        </w:tc>
        <w:tc>
          <w:tcPr>
            <w:tcW w:w="3485" w:type="dxa"/>
            <w:tcBorders>
              <w:top w:val="nil"/>
              <w:left w:val="nil"/>
              <w:bottom w:val="nil"/>
            </w:tcBorders>
            <w:shd w:val="clear" w:color="auto" w:fill="auto"/>
            <w:vAlign w:val="center"/>
          </w:tcPr>
          <w:p w14:paraId="5E692009" w14:textId="77777777" w:rsidR="006434B2" w:rsidRPr="002E78B5" w:rsidRDefault="006434B2" w:rsidP="006C57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78B5">
              <w:rPr>
                <w:rFonts w:ascii="Book Antiqua" w:hAnsi="Book Antiqua" w:cs="Arial"/>
              </w:rPr>
              <w:t>53237 (3.9)</w:t>
            </w:r>
          </w:p>
        </w:tc>
      </w:tr>
      <w:tr w:rsidR="006434B2" w:rsidRPr="002E78B5" w14:paraId="0F6DA5AD" w14:textId="77777777" w:rsidTr="00440B30">
        <w:trPr>
          <w:trHeight w:val="44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2BB2DFC8" w14:textId="0DDA9457"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 xml:space="preserve">Trauma and </w:t>
            </w:r>
            <w:r w:rsidR="00440B30" w:rsidRPr="002E78B5">
              <w:rPr>
                <w:rFonts w:ascii="Book Antiqua" w:hAnsi="Book Antiqua" w:cs="Arial"/>
                <w:b w:val="0"/>
              </w:rPr>
              <w:t>o</w:t>
            </w:r>
            <w:r w:rsidRPr="002E78B5">
              <w:rPr>
                <w:rFonts w:ascii="Book Antiqua" w:hAnsi="Book Antiqua" w:cs="Arial"/>
                <w:b w:val="0"/>
              </w:rPr>
              <w:t>rthopaedics (110)</w:t>
            </w:r>
          </w:p>
        </w:tc>
        <w:tc>
          <w:tcPr>
            <w:tcW w:w="3485" w:type="dxa"/>
            <w:tcBorders>
              <w:top w:val="nil"/>
              <w:left w:val="nil"/>
              <w:bottom w:val="nil"/>
            </w:tcBorders>
            <w:shd w:val="clear" w:color="auto" w:fill="auto"/>
            <w:vAlign w:val="center"/>
          </w:tcPr>
          <w:p w14:paraId="083FB775" w14:textId="77777777" w:rsidR="006434B2" w:rsidRPr="002E78B5" w:rsidRDefault="006434B2" w:rsidP="006C57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78B5">
              <w:rPr>
                <w:rFonts w:ascii="Book Antiqua" w:hAnsi="Book Antiqua" w:cs="Arial"/>
              </w:rPr>
              <w:t>52510 (3.8)</w:t>
            </w:r>
          </w:p>
        </w:tc>
      </w:tr>
      <w:tr w:rsidR="006434B2" w:rsidRPr="002E78B5" w14:paraId="754A87CF" w14:textId="77777777" w:rsidTr="00440B30">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7C798ABA" w14:textId="77777777"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Rheumatology (410)</w:t>
            </w:r>
          </w:p>
        </w:tc>
        <w:tc>
          <w:tcPr>
            <w:tcW w:w="3485" w:type="dxa"/>
            <w:tcBorders>
              <w:top w:val="nil"/>
              <w:left w:val="nil"/>
              <w:bottom w:val="nil"/>
            </w:tcBorders>
            <w:shd w:val="clear" w:color="auto" w:fill="auto"/>
            <w:vAlign w:val="center"/>
          </w:tcPr>
          <w:p w14:paraId="5DCBFA34" w14:textId="77777777" w:rsidR="006434B2" w:rsidRPr="002E78B5" w:rsidRDefault="006434B2" w:rsidP="006C57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78B5">
              <w:rPr>
                <w:rFonts w:ascii="Book Antiqua" w:hAnsi="Book Antiqua" w:cs="Arial"/>
              </w:rPr>
              <w:t>50781 (3.7)</w:t>
            </w:r>
          </w:p>
        </w:tc>
      </w:tr>
      <w:tr w:rsidR="006434B2" w:rsidRPr="002E78B5" w14:paraId="5D81D339" w14:textId="77777777" w:rsidTr="00440B30">
        <w:trPr>
          <w:trHeight w:val="45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4749181E" w14:textId="70516032"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 xml:space="preserve">Colorectal </w:t>
            </w:r>
            <w:r w:rsidR="00440B30" w:rsidRPr="002E78B5">
              <w:rPr>
                <w:rFonts w:ascii="Book Antiqua" w:hAnsi="Book Antiqua" w:cs="Arial"/>
                <w:b w:val="0"/>
              </w:rPr>
              <w:t>s</w:t>
            </w:r>
            <w:r w:rsidRPr="002E78B5">
              <w:rPr>
                <w:rFonts w:ascii="Book Antiqua" w:hAnsi="Book Antiqua" w:cs="Arial"/>
                <w:b w:val="0"/>
              </w:rPr>
              <w:t>urgery (104)</w:t>
            </w:r>
          </w:p>
        </w:tc>
        <w:tc>
          <w:tcPr>
            <w:tcW w:w="3485" w:type="dxa"/>
            <w:tcBorders>
              <w:top w:val="nil"/>
              <w:left w:val="nil"/>
              <w:bottom w:val="nil"/>
            </w:tcBorders>
            <w:shd w:val="clear" w:color="auto" w:fill="auto"/>
            <w:vAlign w:val="center"/>
          </w:tcPr>
          <w:p w14:paraId="5A2F23EB" w14:textId="77777777" w:rsidR="006434B2" w:rsidRPr="002E78B5" w:rsidRDefault="006434B2" w:rsidP="006C57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78B5">
              <w:rPr>
                <w:rFonts w:ascii="Book Antiqua" w:hAnsi="Book Antiqua" w:cs="Arial"/>
              </w:rPr>
              <w:t>41094 (3.0)</w:t>
            </w:r>
          </w:p>
        </w:tc>
      </w:tr>
      <w:tr w:rsidR="006434B2" w:rsidRPr="002E78B5" w14:paraId="7F746275" w14:textId="77777777" w:rsidTr="00440B30">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58911E47" w14:textId="77777777"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Dermatology (330)</w:t>
            </w:r>
          </w:p>
        </w:tc>
        <w:tc>
          <w:tcPr>
            <w:tcW w:w="3485" w:type="dxa"/>
            <w:tcBorders>
              <w:top w:val="nil"/>
              <w:left w:val="nil"/>
              <w:bottom w:val="nil"/>
            </w:tcBorders>
            <w:shd w:val="clear" w:color="auto" w:fill="auto"/>
            <w:vAlign w:val="center"/>
          </w:tcPr>
          <w:p w14:paraId="52436B33" w14:textId="77777777" w:rsidR="006434B2" w:rsidRPr="002E78B5" w:rsidRDefault="006434B2" w:rsidP="006C57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78B5">
              <w:rPr>
                <w:rFonts w:ascii="Book Antiqua" w:hAnsi="Book Antiqua" w:cs="Arial"/>
              </w:rPr>
              <w:t>39392 (2.8)</w:t>
            </w:r>
          </w:p>
        </w:tc>
      </w:tr>
      <w:tr w:rsidR="006434B2" w:rsidRPr="002E78B5" w14:paraId="79298BF6" w14:textId="77777777" w:rsidTr="00440B30">
        <w:trPr>
          <w:trHeight w:val="45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2EF22807" w14:textId="77777777"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Physiotherapy (650)</w:t>
            </w:r>
          </w:p>
        </w:tc>
        <w:tc>
          <w:tcPr>
            <w:tcW w:w="3485" w:type="dxa"/>
            <w:tcBorders>
              <w:top w:val="nil"/>
              <w:left w:val="nil"/>
              <w:bottom w:val="nil"/>
            </w:tcBorders>
            <w:shd w:val="clear" w:color="auto" w:fill="auto"/>
            <w:vAlign w:val="center"/>
          </w:tcPr>
          <w:p w14:paraId="1AF66265" w14:textId="77777777" w:rsidR="006434B2" w:rsidRPr="002E78B5" w:rsidRDefault="006434B2" w:rsidP="006C57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78B5">
              <w:rPr>
                <w:rFonts w:ascii="Book Antiqua" w:hAnsi="Book Antiqua" w:cs="Arial"/>
              </w:rPr>
              <w:t>36895 (2.7)</w:t>
            </w:r>
          </w:p>
        </w:tc>
      </w:tr>
      <w:tr w:rsidR="006434B2" w:rsidRPr="002E78B5" w14:paraId="52AA1F89" w14:textId="77777777" w:rsidTr="00440B30">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49EB6350" w14:textId="5F47566E"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 xml:space="preserve">General </w:t>
            </w:r>
            <w:r w:rsidR="00440B30" w:rsidRPr="002E78B5">
              <w:rPr>
                <w:rFonts w:ascii="Book Antiqua" w:hAnsi="Book Antiqua" w:cs="Arial"/>
                <w:b w:val="0"/>
              </w:rPr>
              <w:t>m</w:t>
            </w:r>
            <w:r w:rsidRPr="002E78B5">
              <w:rPr>
                <w:rFonts w:ascii="Book Antiqua" w:hAnsi="Book Antiqua" w:cs="Arial"/>
                <w:b w:val="0"/>
              </w:rPr>
              <w:t>edicine (300)</w:t>
            </w:r>
          </w:p>
        </w:tc>
        <w:tc>
          <w:tcPr>
            <w:tcW w:w="3485" w:type="dxa"/>
            <w:tcBorders>
              <w:top w:val="nil"/>
              <w:left w:val="nil"/>
              <w:bottom w:val="nil"/>
            </w:tcBorders>
            <w:shd w:val="clear" w:color="auto" w:fill="auto"/>
            <w:vAlign w:val="center"/>
          </w:tcPr>
          <w:p w14:paraId="664DD325" w14:textId="77777777" w:rsidR="006434B2" w:rsidRPr="002E78B5" w:rsidRDefault="006434B2" w:rsidP="006C57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78B5">
              <w:rPr>
                <w:rFonts w:ascii="Book Antiqua" w:hAnsi="Book Antiqua" w:cs="Arial"/>
              </w:rPr>
              <w:t>32595 (2.4)</w:t>
            </w:r>
          </w:p>
        </w:tc>
      </w:tr>
      <w:tr w:rsidR="006434B2" w:rsidRPr="002E78B5" w14:paraId="1C0C3D1F" w14:textId="77777777" w:rsidTr="00440B30">
        <w:trPr>
          <w:trHeight w:val="45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6388B697" w14:textId="77777777"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Cardiology (320)</w:t>
            </w:r>
          </w:p>
        </w:tc>
        <w:tc>
          <w:tcPr>
            <w:tcW w:w="3485" w:type="dxa"/>
            <w:tcBorders>
              <w:top w:val="nil"/>
              <w:left w:val="nil"/>
              <w:bottom w:val="nil"/>
            </w:tcBorders>
            <w:shd w:val="clear" w:color="auto" w:fill="auto"/>
            <w:vAlign w:val="center"/>
          </w:tcPr>
          <w:p w14:paraId="0ED1A74F" w14:textId="77777777" w:rsidR="006434B2" w:rsidRPr="002E78B5" w:rsidRDefault="006434B2" w:rsidP="006C57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78B5">
              <w:rPr>
                <w:rFonts w:ascii="Book Antiqua" w:hAnsi="Book Antiqua" w:cs="Arial"/>
              </w:rPr>
              <w:t>29748 (2.2)</w:t>
            </w:r>
          </w:p>
        </w:tc>
      </w:tr>
      <w:tr w:rsidR="006434B2" w:rsidRPr="002E78B5" w14:paraId="39A5A2F9" w14:textId="77777777" w:rsidTr="00440B30">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1C918350" w14:textId="74731FD0"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 xml:space="preserve">Diagnostic </w:t>
            </w:r>
            <w:r w:rsidR="00440B30" w:rsidRPr="002E78B5">
              <w:rPr>
                <w:rFonts w:ascii="Book Antiqua" w:hAnsi="Book Antiqua" w:cs="Arial"/>
                <w:b w:val="0"/>
              </w:rPr>
              <w:t>i</w:t>
            </w:r>
            <w:r w:rsidRPr="002E78B5">
              <w:rPr>
                <w:rFonts w:ascii="Book Antiqua" w:hAnsi="Book Antiqua" w:cs="Arial"/>
                <w:b w:val="0"/>
              </w:rPr>
              <w:t>maging (812)</w:t>
            </w:r>
          </w:p>
        </w:tc>
        <w:tc>
          <w:tcPr>
            <w:tcW w:w="3485" w:type="dxa"/>
            <w:tcBorders>
              <w:top w:val="nil"/>
              <w:left w:val="nil"/>
              <w:bottom w:val="nil"/>
            </w:tcBorders>
            <w:shd w:val="clear" w:color="auto" w:fill="auto"/>
            <w:vAlign w:val="center"/>
          </w:tcPr>
          <w:p w14:paraId="15675E9E" w14:textId="77777777" w:rsidR="006434B2" w:rsidRPr="002E78B5" w:rsidRDefault="006434B2" w:rsidP="006C57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78B5">
              <w:rPr>
                <w:rFonts w:ascii="Book Antiqua" w:hAnsi="Book Antiqua" w:cs="Arial"/>
              </w:rPr>
              <w:t>29454 (2.1)</w:t>
            </w:r>
          </w:p>
        </w:tc>
      </w:tr>
      <w:tr w:rsidR="006434B2" w:rsidRPr="002E78B5" w14:paraId="47315A03" w14:textId="77777777" w:rsidTr="00440B30">
        <w:trPr>
          <w:trHeight w:val="44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226A008D" w14:textId="77777777"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Urology (101)</w:t>
            </w:r>
          </w:p>
        </w:tc>
        <w:tc>
          <w:tcPr>
            <w:tcW w:w="3485" w:type="dxa"/>
            <w:tcBorders>
              <w:top w:val="nil"/>
              <w:left w:val="nil"/>
              <w:bottom w:val="nil"/>
            </w:tcBorders>
            <w:shd w:val="clear" w:color="auto" w:fill="auto"/>
            <w:vAlign w:val="center"/>
          </w:tcPr>
          <w:p w14:paraId="57A3EFBF" w14:textId="77777777" w:rsidR="006434B2" w:rsidRPr="002E78B5" w:rsidRDefault="006434B2" w:rsidP="006C57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78B5">
              <w:rPr>
                <w:rFonts w:ascii="Book Antiqua" w:hAnsi="Book Antiqua" w:cs="Arial"/>
              </w:rPr>
              <w:t>27939 (2.0)</w:t>
            </w:r>
          </w:p>
        </w:tc>
      </w:tr>
      <w:tr w:rsidR="006434B2" w:rsidRPr="002E78B5" w14:paraId="2858AE0B" w14:textId="77777777" w:rsidTr="00440B30">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4B5706F2" w14:textId="77777777"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Gynaecology (502)</w:t>
            </w:r>
          </w:p>
        </w:tc>
        <w:tc>
          <w:tcPr>
            <w:tcW w:w="3485" w:type="dxa"/>
            <w:tcBorders>
              <w:top w:val="nil"/>
              <w:left w:val="nil"/>
              <w:bottom w:val="nil"/>
            </w:tcBorders>
            <w:shd w:val="clear" w:color="auto" w:fill="auto"/>
            <w:vAlign w:val="center"/>
          </w:tcPr>
          <w:p w14:paraId="64B2544B" w14:textId="77777777" w:rsidR="006434B2" w:rsidRPr="002E78B5" w:rsidRDefault="006434B2" w:rsidP="006C57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78B5">
              <w:rPr>
                <w:rFonts w:ascii="Book Antiqua" w:hAnsi="Book Antiqua" w:cs="Arial"/>
              </w:rPr>
              <w:t>25260 (1.8)</w:t>
            </w:r>
          </w:p>
        </w:tc>
      </w:tr>
      <w:tr w:rsidR="006434B2" w:rsidRPr="002E78B5" w14:paraId="769EB67A" w14:textId="77777777" w:rsidTr="00440B30">
        <w:trPr>
          <w:trHeight w:val="45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6D19ABF1" w14:textId="77777777"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Obstetrics (501)</w:t>
            </w:r>
          </w:p>
        </w:tc>
        <w:tc>
          <w:tcPr>
            <w:tcW w:w="3485" w:type="dxa"/>
            <w:tcBorders>
              <w:top w:val="nil"/>
              <w:left w:val="nil"/>
              <w:bottom w:val="nil"/>
            </w:tcBorders>
            <w:shd w:val="clear" w:color="auto" w:fill="auto"/>
            <w:vAlign w:val="center"/>
          </w:tcPr>
          <w:p w14:paraId="0CE6357D" w14:textId="77777777" w:rsidR="006434B2" w:rsidRPr="002E78B5" w:rsidRDefault="006434B2" w:rsidP="006C57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78B5">
              <w:rPr>
                <w:rFonts w:ascii="Book Antiqua" w:hAnsi="Book Antiqua" w:cs="Arial"/>
              </w:rPr>
              <w:t>22805 (1.7)</w:t>
            </w:r>
          </w:p>
        </w:tc>
      </w:tr>
      <w:tr w:rsidR="006434B2" w:rsidRPr="002E78B5" w14:paraId="5F0A549E" w14:textId="77777777" w:rsidTr="00440B30">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41CB5DC2" w14:textId="138841DA"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 xml:space="preserve">Respiratory </w:t>
            </w:r>
            <w:r w:rsidR="00440B30" w:rsidRPr="002E78B5">
              <w:rPr>
                <w:rFonts w:ascii="Book Antiqua" w:hAnsi="Book Antiqua" w:cs="Arial"/>
                <w:b w:val="0"/>
              </w:rPr>
              <w:t>m</w:t>
            </w:r>
            <w:r w:rsidRPr="002E78B5">
              <w:rPr>
                <w:rFonts w:ascii="Book Antiqua" w:hAnsi="Book Antiqua" w:cs="Arial"/>
                <w:b w:val="0"/>
              </w:rPr>
              <w:t>edicine (340)</w:t>
            </w:r>
          </w:p>
        </w:tc>
        <w:tc>
          <w:tcPr>
            <w:tcW w:w="3485" w:type="dxa"/>
            <w:tcBorders>
              <w:top w:val="nil"/>
              <w:left w:val="nil"/>
              <w:bottom w:val="nil"/>
            </w:tcBorders>
            <w:shd w:val="clear" w:color="auto" w:fill="auto"/>
            <w:vAlign w:val="center"/>
          </w:tcPr>
          <w:p w14:paraId="31D8A3A2" w14:textId="77777777" w:rsidR="006434B2" w:rsidRPr="002E78B5" w:rsidRDefault="006434B2" w:rsidP="006C57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78B5">
              <w:rPr>
                <w:rFonts w:ascii="Book Antiqua" w:hAnsi="Book Antiqua" w:cs="Arial"/>
              </w:rPr>
              <w:t>22238 (1.6)</w:t>
            </w:r>
          </w:p>
        </w:tc>
      </w:tr>
      <w:tr w:rsidR="006434B2" w:rsidRPr="002E78B5" w14:paraId="518D61BE" w14:textId="77777777" w:rsidTr="00440B30">
        <w:trPr>
          <w:trHeight w:val="45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2A5D1847" w14:textId="32E13B7E"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E</w:t>
            </w:r>
            <w:r w:rsidR="005E070D" w:rsidRPr="002E78B5">
              <w:rPr>
                <w:rFonts w:ascii="Book Antiqua" w:hAnsi="Book Antiqua" w:cs="Arial"/>
                <w:b w:val="0"/>
              </w:rPr>
              <w:t xml:space="preserve">ar, </w:t>
            </w:r>
            <w:r w:rsidR="00440B30" w:rsidRPr="002E78B5">
              <w:rPr>
                <w:rFonts w:ascii="Book Antiqua" w:hAnsi="Book Antiqua" w:cs="Arial"/>
                <w:b w:val="0"/>
              </w:rPr>
              <w:t>n</w:t>
            </w:r>
            <w:r w:rsidR="005E070D" w:rsidRPr="002E78B5">
              <w:rPr>
                <w:rFonts w:ascii="Book Antiqua" w:hAnsi="Book Antiqua" w:cs="Arial"/>
                <w:b w:val="0"/>
              </w:rPr>
              <w:t xml:space="preserve">ose and </w:t>
            </w:r>
            <w:r w:rsidR="00440B30" w:rsidRPr="002E78B5">
              <w:rPr>
                <w:rFonts w:ascii="Book Antiqua" w:hAnsi="Book Antiqua" w:cs="Arial"/>
                <w:b w:val="0"/>
              </w:rPr>
              <w:t>t</w:t>
            </w:r>
            <w:r w:rsidR="005E070D" w:rsidRPr="002E78B5">
              <w:rPr>
                <w:rFonts w:ascii="Book Antiqua" w:hAnsi="Book Antiqua" w:cs="Arial"/>
                <w:b w:val="0"/>
              </w:rPr>
              <w:t>hroat</w:t>
            </w:r>
            <w:r w:rsidRPr="002E78B5">
              <w:rPr>
                <w:rFonts w:ascii="Book Antiqua" w:hAnsi="Book Antiqua" w:cs="Arial"/>
                <w:b w:val="0"/>
              </w:rPr>
              <w:t xml:space="preserve"> (120)</w:t>
            </w:r>
          </w:p>
        </w:tc>
        <w:tc>
          <w:tcPr>
            <w:tcW w:w="3485" w:type="dxa"/>
            <w:tcBorders>
              <w:top w:val="nil"/>
              <w:left w:val="nil"/>
              <w:bottom w:val="nil"/>
            </w:tcBorders>
            <w:shd w:val="clear" w:color="auto" w:fill="auto"/>
            <w:vAlign w:val="center"/>
          </w:tcPr>
          <w:p w14:paraId="50791E54" w14:textId="77777777" w:rsidR="006434B2" w:rsidRPr="002E78B5" w:rsidRDefault="006434B2" w:rsidP="006C57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78B5">
              <w:rPr>
                <w:rFonts w:ascii="Book Antiqua" w:hAnsi="Book Antiqua" w:cs="Arial"/>
              </w:rPr>
              <w:t>21953 (1.6)</w:t>
            </w:r>
          </w:p>
        </w:tc>
      </w:tr>
      <w:tr w:rsidR="006434B2" w:rsidRPr="002E78B5" w14:paraId="3FB7A233" w14:textId="77777777" w:rsidTr="00440B30">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37EB9F13" w14:textId="685E428A"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 xml:space="preserve">Clinical </w:t>
            </w:r>
            <w:r w:rsidR="00440B30" w:rsidRPr="002E78B5">
              <w:rPr>
                <w:rFonts w:ascii="Book Antiqua" w:hAnsi="Book Antiqua" w:cs="Arial"/>
                <w:b w:val="0"/>
              </w:rPr>
              <w:t>h</w:t>
            </w:r>
            <w:r w:rsidRPr="002E78B5">
              <w:rPr>
                <w:rFonts w:ascii="Book Antiqua" w:hAnsi="Book Antiqua" w:cs="Arial"/>
                <w:b w:val="0"/>
              </w:rPr>
              <w:t>aematology (303)</w:t>
            </w:r>
          </w:p>
        </w:tc>
        <w:tc>
          <w:tcPr>
            <w:tcW w:w="3485" w:type="dxa"/>
            <w:tcBorders>
              <w:top w:val="nil"/>
              <w:left w:val="nil"/>
              <w:bottom w:val="nil"/>
            </w:tcBorders>
            <w:shd w:val="clear" w:color="auto" w:fill="auto"/>
            <w:vAlign w:val="center"/>
          </w:tcPr>
          <w:p w14:paraId="654268B4" w14:textId="77777777" w:rsidR="006434B2" w:rsidRPr="002E78B5" w:rsidRDefault="006434B2" w:rsidP="006C57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78B5">
              <w:rPr>
                <w:rFonts w:ascii="Book Antiqua" w:hAnsi="Book Antiqua" w:cs="Arial"/>
              </w:rPr>
              <w:t>21031 (1.5)</w:t>
            </w:r>
          </w:p>
        </w:tc>
      </w:tr>
      <w:tr w:rsidR="006434B2" w:rsidRPr="002E78B5" w14:paraId="6E637E9C" w14:textId="77777777" w:rsidTr="00440B30">
        <w:trPr>
          <w:trHeight w:val="45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02D64C15" w14:textId="37933A37"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 xml:space="preserve">Anticoagulant </w:t>
            </w:r>
            <w:r w:rsidR="00440B30" w:rsidRPr="002E78B5">
              <w:rPr>
                <w:rFonts w:ascii="Book Antiqua" w:hAnsi="Book Antiqua" w:cs="Arial"/>
                <w:b w:val="0"/>
              </w:rPr>
              <w:t>s</w:t>
            </w:r>
            <w:r w:rsidRPr="002E78B5">
              <w:rPr>
                <w:rFonts w:ascii="Book Antiqua" w:hAnsi="Book Antiqua" w:cs="Arial"/>
                <w:b w:val="0"/>
              </w:rPr>
              <w:t>ervice (324)</w:t>
            </w:r>
          </w:p>
        </w:tc>
        <w:tc>
          <w:tcPr>
            <w:tcW w:w="3485" w:type="dxa"/>
            <w:tcBorders>
              <w:top w:val="nil"/>
              <w:left w:val="nil"/>
              <w:bottom w:val="nil"/>
            </w:tcBorders>
            <w:shd w:val="clear" w:color="auto" w:fill="auto"/>
            <w:vAlign w:val="center"/>
          </w:tcPr>
          <w:p w14:paraId="72317507" w14:textId="77777777" w:rsidR="006434B2" w:rsidRPr="002E78B5" w:rsidRDefault="006434B2" w:rsidP="006C57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78B5">
              <w:rPr>
                <w:rFonts w:ascii="Book Antiqua" w:hAnsi="Book Antiqua" w:cs="Arial"/>
              </w:rPr>
              <w:t>18013 (1.3)</w:t>
            </w:r>
          </w:p>
        </w:tc>
      </w:tr>
      <w:tr w:rsidR="006434B2" w:rsidRPr="002E78B5" w14:paraId="3185CBC1" w14:textId="77777777" w:rsidTr="00440B30">
        <w:trPr>
          <w:cnfStyle w:val="000000100000" w:firstRow="0" w:lastRow="0" w:firstColumn="0" w:lastColumn="0" w:oddVBand="0" w:evenVBand="0" w:oddHBand="1" w:evenHBand="0" w:firstRowFirstColumn="0" w:firstRowLastColumn="0" w:lastRowFirstColumn="0" w:lastRowLastColumn="0"/>
          <w:trHeight w:val="45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nil"/>
              <w:right w:val="nil"/>
            </w:tcBorders>
            <w:shd w:val="clear" w:color="auto" w:fill="auto"/>
            <w:vAlign w:val="center"/>
          </w:tcPr>
          <w:p w14:paraId="79FD1B2F" w14:textId="77777777"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Nephrology (361)</w:t>
            </w:r>
          </w:p>
        </w:tc>
        <w:tc>
          <w:tcPr>
            <w:tcW w:w="3485" w:type="dxa"/>
            <w:tcBorders>
              <w:top w:val="nil"/>
              <w:left w:val="nil"/>
              <w:bottom w:val="nil"/>
            </w:tcBorders>
            <w:shd w:val="clear" w:color="auto" w:fill="auto"/>
            <w:vAlign w:val="center"/>
          </w:tcPr>
          <w:p w14:paraId="7E08C54B" w14:textId="77777777" w:rsidR="006434B2" w:rsidRPr="002E78B5" w:rsidRDefault="006434B2" w:rsidP="006C577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2E78B5">
              <w:rPr>
                <w:rFonts w:ascii="Book Antiqua" w:hAnsi="Book Antiqua" w:cs="Arial"/>
              </w:rPr>
              <w:t>14847 (1.1)</w:t>
            </w:r>
          </w:p>
        </w:tc>
      </w:tr>
      <w:tr w:rsidR="006434B2" w:rsidRPr="002E78B5" w14:paraId="5B683E96" w14:textId="77777777" w:rsidTr="00440B30">
        <w:trPr>
          <w:trHeight w:val="456"/>
          <w:jc w:val="center"/>
        </w:trPr>
        <w:tc>
          <w:tcPr>
            <w:cnfStyle w:val="001000000000" w:firstRow="0" w:lastRow="0" w:firstColumn="1" w:lastColumn="0" w:oddVBand="0" w:evenVBand="0" w:oddHBand="0" w:evenHBand="0" w:firstRowFirstColumn="0" w:firstRowLastColumn="0" w:lastRowFirstColumn="0" w:lastRowLastColumn="0"/>
            <w:tcW w:w="4178" w:type="dxa"/>
            <w:tcBorders>
              <w:top w:val="nil"/>
              <w:bottom w:val="single" w:sz="4" w:space="0" w:color="auto"/>
              <w:right w:val="nil"/>
            </w:tcBorders>
            <w:shd w:val="clear" w:color="auto" w:fill="auto"/>
            <w:vAlign w:val="center"/>
          </w:tcPr>
          <w:p w14:paraId="74E6682D" w14:textId="2D204C2C" w:rsidR="006434B2" w:rsidRPr="002E78B5" w:rsidRDefault="006434B2" w:rsidP="006C577E">
            <w:pPr>
              <w:snapToGrid w:val="0"/>
              <w:spacing w:line="360" w:lineRule="auto"/>
              <w:jc w:val="both"/>
              <w:rPr>
                <w:rFonts w:ascii="Book Antiqua" w:hAnsi="Book Antiqua" w:cs="Arial"/>
                <w:b w:val="0"/>
              </w:rPr>
            </w:pPr>
            <w:r w:rsidRPr="002E78B5">
              <w:rPr>
                <w:rFonts w:ascii="Book Antiqua" w:hAnsi="Book Antiqua" w:cs="Arial"/>
                <w:b w:val="0"/>
              </w:rPr>
              <w:t xml:space="preserve">Clinical </w:t>
            </w:r>
            <w:r w:rsidR="00440B30" w:rsidRPr="002E78B5">
              <w:rPr>
                <w:rFonts w:ascii="Book Antiqua" w:hAnsi="Book Antiqua" w:cs="Arial"/>
                <w:b w:val="0"/>
              </w:rPr>
              <w:t>o</w:t>
            </w:r>
            <w:r w:rsidRPr="002E78B5">
              <w:rPr>
                <w:rFonts w:ascii="Book Antiqua" w:hAnsi="Book Antiqua" w:cs="Arial"/>
                <w:b w:val="0"/>
              </w:rPr>
              <w:t>ncology (800)</w:t>
            </w:r>
          </w:p>
        </w:tc>
        <w:tc>
          <w:tcPr>
            <w:tcW w:w="3485" w:type="dxa"/>
            <w:tcBorders>
              <w:top w:val="nil"/>
              <w:left w:val="nil"/>
              <w:bottom w:val="single" w:sz="4" w:space="0" w:color="auto"/>
            </w:tcBorders>
            <w:shd w:val="clear" w:color="auto" w:fill="auto"/>
            <w:vAlign w:val="center"/>
          </w:tcPr>
          <w:p w14:paraId="463787F9" w14:textId="77777777" w:rsidR="006434B2" w:rsidRPr="002E78B5" w:rsidRDefault="006434B2" w:rsidP="006C577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2E78B5">
              <w:rPr>
                <w:rFonts w:ascii="Book Antiqua" w:hAnsi="Book Antiqua" w:cs="Arial"/>
              </w:rPr>
              <w:t>14522 (1.1)</w:t>
            </w:r>
          </w:p>
        </w:tc>
      </w:tr>
    </w:tbl>
    <w:p w14:paraId="4935E63F" w14:textId="0FB04424" w:rsidR="006434B2" w:rsidRPr="002E78B5" w:rsidRDefault="001E5A36" w:rsidP="006C577E">
      <w:pPr>
        <w:snapToGrid w:val="0"/>
        <w:spacing w:line="360" w:lineRule="auto"/>
        <w:jc w:val="both"/>
        <w:rPr>
          <w:rFonts w:ascii="Book Antiqua" w:hAnsi="Book Antiqua" w:cs="Arial"/>
          <w:lang w:eastAsia="zh-CN"/>
        </w:rPr>
      </w:pPr>
      <w:r>
        <w:rPr>
          <w:rFonts w:ascii="Book Antiqua" w:hAnsi="Book Antiqua" w:cs="Arial" w:hint="eastAsia"/>
          <w:lang w:eastAsia="zh-CN"/>
        </w:rPr>
        <w:t xml:space="preserve">HES: </w:t>
      </w:r>
      <w:r w:rsidRPr="001E5A36">
        <w:rPr>
          <w:rFonts w:ascii="Book Antiqua" w:hAnsi="Book Antiqua" w:cs="Arial"/>
        </w:rPr>
        <w:t>Hospital Episode Statistics</w:t>
      </w:r>
      <w:r>
        <w:rPr>
          <w:rFonts w:ascii="Book Antiqua" w:hAnsi="Book Antiqua" w:cs="Arial" w:hint="eastAsia"/>
          <w:lang w:eastAsia="zh-CN"/>
        </w:rPr>
        <w:t>.</w:t>
      </w:r>
    </w:p>
    <w:p w14:paraId="7A880913" w14:textId="77777777" w:rsidR="006434B2" w:rsidRPr="002E78B5" w:rsidRDefault="006434B2" w:rsidP="006C577E">
      <w:pPr>
        <w:widowControl w:val="0"/>
        <w:autoSpaceDE w:val="0"/>
        <w:autoSpaceDN w:val="0"/>
        <w:adjustRightInd w:val="0"/>
        <w:snapToGrid w:val="0"/>
        <w:spacing w:line="360" w:lineRule="auto"/>
        <w:jc w:val="both"/>
        <w:rPr>
          <w:rFonts w:ascii="Book Antiqua" w:hAnsi="Book Antiqua" w:cs="Arial"/>
          <w:color w:val="000000" w:themeColor="text1"/>
        </w:rPr>
      </w:pPr>
    </w:p>
    <w:sectPr w:rsidR="006434B2" w:rsidRPr="002E78B5" w:rsidSect="00E04FD5">
      <w:headerReference w:type="even" r:id="rId13"/>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729E0" w14:textId="77777777" w:rsidR="006A0D59" w:rsidRDefault="006A0D59" w:rsidP="004753DB">
      <w:r>
        <w:separator/>
      </w:r>
    </w:p>
  </w:endnote>
  <w:endnote w:type="continuationSeparator" w:id="0">
    <w:p w14:paraId="190CECCA" w14:textId="77777777" w:rsidR="006A0D59" w:rsidRDefault="006A0D59" w:rsidP="0047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ouYuan">
    <w:altName w:val="宋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auto"/>
    <w:pitch w:val="variable"/>
    <w:sig w:usb0="E0000AFF" w:usb1="00007843" w:usb2="00000001" w:usb3="00000000" w:csb0="000001B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Garamond-Bold">
    <w:altName w:val="Segoe Print"/>
    <w:charset w:val="00"/>
    <w:family w:val="auto"/>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0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9209B" w14:textId="77777777" w:rsidR="006A0D59" w:rsidRDefault="006A0D59" w:rsidP="004753DB">
      <w:r>
        <w:separator/>
      </w:r>
    </w:p>
  </w:footnote>
  <w:footnote w:type="continuationSeparator" w:id="0">
    <w:p w14:paraId="35770166" w14:textId="77777777" w:rsidR="006A0D59" w:rsidRDefault="006A0D59" w:rsidP="0047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0684936"/>
      <w:docPartObj>
        <w:docPartGallery w:val="Page Numbers (Top of Page)"/>
        <w:docPartUnique/>
      </w:docPartObj>
    </w:sdtPr>
    <w:sdtEndPr>
      <w:rPr>
        <w:rStyle w:val="PageNumber"/>
      </w:rPr>
    </w:sdtEndPr>
    <w:sdtContent>
      <w:p w14:paraId="5FB0C9E3" w14:textId="77777777" w:rsidR="002E78B5" w:rsidRDefault="002E78B5" w:rsidP="004A38B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3DE0C2" w14:textId="77777777" w:rsidR="002E78B5" w:rsidRDefault="002E78B5" w:rsidP="004753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6552138"/>
      <w:docPartObj>
        <w:docPartGallery w:val="Page Numbers (Top of Page)"/>
        <w:docPartUnique/>
      </w:docPartObj>
    </w:sdtPr>
    <w:sdtEndPr>
      <w:rPr>
        <w:rStyle w:val="PageNumber"/>
      </w:rPr>
    </w:sdtEndPr>
    <w:sdtContent>
      <w:p w14:paraId="2B148AD6" w14:textId="77777777" w:rsidR="002E78B5" w:rsidRDefault="002E78B5" w:rsidP="004A38B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55AB9">
          <w:rPr>
            <w:rStyle w:val="PageNumber"/>
            <w:noProof/>
          </w:rPr>
          <w:t>23</w:t>
        </w:r>
        <w:r>
          <w:rPr>
            <w:rStyle w:val="PageNumber"/>
          </w:rPr>
          <w:fldChar w:fldCharType="end"/>
        </w:r>
      </w:p>
    </w:sdtContent>
  </w:sdt>
  <w:p w14:paraId="4E1EF53B" w14:textId="77777777" w:rsidR="002E78B5" w:rsidRDefault="002E78B5" w:rsidP="004753D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86135"/>
    <w:multiLevelType w:val="hybridMultilevel"/>
    <w:tmpl w:val="3112E3C0"/>
    <w:lvl w:ilvl="0" w:tplc="0E3422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53"/>
    <w:rsid w:val="00010803"/>
    <w:rsid w:val="000123EE"/>
    <w:rsid w:val="00013BA7"/>
    <w:rsid w:val="000172BB"/>
    <w:rsid w:val="000240AB"/>
    <w:rsid w:val="00027A2F"/>
    <w:rsid w:val="00036374"/>
    <w:rsid w:val="0004231A"/>
    <w:rsid w:val="00061877"/>
    <w:rsid w:val="00062D16"/>
    <w:rsid w:val="0007522F"/>
    <w:rsid w:val="00080383"/>
    <w:rsid w:val="0008165F"/>
    <w:rsid w:val="00084194"/>
    <w:rsid w:val="000859B8"/>
    <w:rsid w:val="00086BFA"/>
    <w:rsid w:val="000944CF"/>
    <w:rsid w:val="000947E9"/>
    <w:rsid w:val="000C181A"/>
    <w:rsid w:val="000C2FCC"/>
    <w:rsid w:val="000C615F"/>
    <w:rsid w:val="000C64B9"/>
    <w:rsid w:val="000D1BB4"/>
    <w:rsid w:val="000D1E99"/>
    <w:rsid w:val="000D697D"/>
    <w:rsid w:val="000E634E"/>
    <w:rsid w:val="000E6CE5"/>
    <w:rsid w:val="000F0268"/>
    <w:rsid w:val="000F0270"/>
    <w:rsid w:val="000F62A9"/>
    <w:rsid w:val="000F726C"/>
    <w:rsid w:val="0010012B"/>
    <w:rsid w:val="00113E90"/>
    <w:rsid w:val="0011431B"/>
    <w:rsid w:val="001256C1"/>
    <w:rsid w:val="00131654"/>
    <w:rsid w:val="00137C5B"/>
    <w:rsid w:val="0014350A"/>
    <w:rsid w:val="00143FDF"/>
    <w:rsid w:val="00151906"/>
    <w:rsid w:val="001820C1"/>
    <w:rsid w:val="00187270"/>
    <w:rsid w:val="00193E5C"/>
    <w:rsid w:val="001A650C"/>
    <w:rsid w:val="001A71D5"/>
    <w:rsid w:val="001B6FB4"/>
    <w:rsid w:val="001C107F"/>
    <w:rsid w:val="001C68F2"/>
    <w:rsid w:val="001D47FA"/>
    <w:rsid w:val="001D5B26"/>
    <w:rsid w:val="001D6840"/>
    <w:rsid w:val="001E36DA"/>
    <w:rsid w:val="001E459B"/>
    <w:rsid w:val="001E5A36"/>
    <w:rsid w:val="001F05A8"/>
    <w:rsid w:val="001F5C16"/>
    <w:rsid w:val="001F7715"/>
    <w:rsid w:val="00203197"/>
    <w:rsid w:val="00216ADA"/>
    <w:rsid w:val="00220424"/>
    <w:rsid w:val="00225F79"/>
    <w:rsid w:val="00231722"/>
    <w:rsid w:val="00240D5E"/>
    <w:rsid w:val="002445E6"/>
    <w:rsid w:val="00246E77"/>
    <w:rsid w:val="00251633"/>
    <w:rsid w:val="00253A8C"/>
    <w:rsid w:val="00254D68"/>
    <w:rsid w:val="00255F9B"/>
    <w:rsid w:val="002607FF"/>
    <w:rsid w:val="002808B3"/>
    <w:rsid w:val="00283B17"/>
    <w:rsid w:val="0028628C"/>
    <w:rsid w:val="0029320A"/>
    <w:rsid w:val="00294707"/>
    <w:rsid w:val="0029727D"/>
    <w:rsid w:val="002A3314"/>
    <w:rsid w:val="002B7143"/>
    <w:rsid w:val="002B7C72"/>
    <w:rsid w:val="002C66A6"/>
    <w:rsid w:val="002D3C93"/>
    <w:rsid w:val="002E78B5"/>
    <w:rsid w:val="002F0D40"/>
    <w:rsid w:val="00303259"/>
    <w:rsid w:val="003110C8"/>
    <w:rsid w:val="00326417"/>
    <w:rsid w:val="00327ABE"/>
    <w:rsid w:val="00334E63"/>
    <w:rsid w:val="00343E46"/>
    <w:rsid w:val="003444A3"/>
    <w:rsid w:val="00347C4F"/>
    <w:rsid w:val="00355B9E"/>
    <w:rsid w:val="00371D33"/>
    <w:rsid w:val="00373D26"/>
    <w:rsid w:val="003819E7"/>
    <w:rsid w:val="003902F4"/>
    <w:rsid w:val="003911FB"/>
    <w:rsid w:val="003925DE"/>
    <w:rsid w:val="00397989"/>
    <w:rsid w:val="003A0F70"/>
    <w:rsid w:val="003A1FFF"/>
    <w:rsid w:val="003B45D7"/>
    <w:rsid w:val="003B7966"/>
    <w:rsid w:val="003D2802"/>
    <w:rsid w:val="003D4106"/>
    <w:rsid w:val="003E30E0"/>
    <w:rsid w:val="003F1A14"/>
    <w:rsid w:val="0040061B"/>
    <w:rsid w:val="004033A0"/>
    <w:rsid w:val="00403523"/>
    <w:rsid w:val="00403540"/>
    <w:rsid w:val="0041182B"/>
    <w:rsid w:val="00417849"/>
    <w:rsid w:val="00420402"/>
    <w:rsid w:val="004236E8"/>
    <w:rsid w:val="00425A8E"/>
    <w:rsid w:val="00431637"/>
    <w:rsid w:val="004337B1"/>
    <w:rsid w:val="00440B30"/>
    <w:rsid w:val="004434C5"/>
    <w:rsid w:val="00447762"/>
    <w:rsid w:val="004554B2"/>
    <w:rsid w:val="00456220"/>
    <w:rsid w:val="00456EC4"/>
    <w:rsid w:val="004653A3"/>
    <w:rsid w:val="00466700"/>
    <w:rsid w:val="00470C3D"/>
    <w:rsid w:val="00470FC4"/>
    <w:rsid w:val="004753DB"/>
    <w:rsid w:val="00477467"/>
    <w:rsid w:val="00486333"/>
    <w:rsid w:val="004A38BC"/>
    <w:rsid w:val="004B0CB0"/>
    <w:rsid w:val="004C2F9C"/>
    <w:rsid w:val="004C38FE"/>
    <w:rsid w:val="004C4331"/>
    <w:rsid w:val="004D3C74"/>
    <w:rsid w:val="004D5ACA"/>
    <w:rsid w:val="004D6885"/>
    <w:rsid w:val="004F5F75"/>
    <w:rsid w:val="00504CEB"/>
    <w:rsid w:val="0051073D"/>
    <w:rsid w:val="005116E8"/>
    <w:rsid w:val="00513204"/>
    <w:rsid w:val="005246AF"/>
    <w:rsid w:val="00526CE0"/>
    <w:rsid w:val="00531C12"/>
    <w:rsid w:val="0053316F"/>
    <w:rsid w:val="00535920"/>
    <w:rsid w:val="00545E4F"/>
    <w:rsid w:val="00562E8E"/>
    <w:rsid w:val="005668C5"/>
    <w:rsid w:val="005734A3"/>
    <w:rsid w:val="00584150"/>
    <w:rsid w:val="00587701"/>
    <w:rsid w:val="0059029C"/>
    <w:rsid w:val="00593141"/>
    <w:rsid w:val="005A6317"/>
    <w:rsid w:val="005B2947"/>
    <w:rsid w:val="005B4ECF"/>
    <w:rsid w:val="005B772F"/>
    <w:rsid w:val="005C62AE"/>
    <w:rsid w:val="005C6A97"/>
    <w:rsid w:val="005D0881"/>
    <w:rsid w:val="005D3781"/>
    <w:rsid w:val="005D6457"/>
    <w:rsid w:val="005E070D"/>
    <w:rsid w:val="005E3B9D"/>
    <w:rsid w:val="005E440E"/>
    <w:rsid w:val="005E76C2"/>
    <w:rsid w:val="005F11C4"/>
    <w:rsid w:val="005F297C"/>
    <w:rsid w:val="005F6EB7"/>
    <w:rsid w:val="00603B0A"/>
    <w:rsid w:val="00607F93"/>
    <w:rsid w:val="0062114F"/>
    <w:rsid w:val="00621B7E"/>
    <w:rsid w:val="00623F77"/>
    <w:rsid w:val="0063348B"/>
    <w:rsid w:val="006434B2"/>
    <w:rsid w:val="00647AFA"/>
    <w:rsid w:val="00657105"/>
    <w:rsid w:val="00660BB6"/>
    <w:rsid w:val="006643DC"/>
    <w:rsid w:val="00680A11"/>
    <w:rsid w:val="00685273"/>
    <w:rsid w:val="0069093E"/>
    <w:rsid w:val="006956B3"/>
    <w:rsid w:val="006A0D59"/>
    <w:rsid w:val="006A2328"/>
    <w:rsid w:val="006B068B"/>
    <w:rsid w:val="006B0B33"/>
    <w:rsid w:val="006C1A59"/>
    <w:rsid w:val="006C4799"/>
    <w:rsid w:val="006C577E"/>
    <w:rsid w:val="006D7448"/>
    <w:rsid w:val="006D7853"/>
    <w:rsid w:val="006E0020"/>
    <w:rsid w:val="006E4695"/>
    <w:rsid w:val="0071552D"/>
    <w:rsid w:val="007207A6"/>
    <w:rsid w:val="00720C2A"/>
    <w:rsid w:val="007240C2"/>
    <w:rsid w:val="0072600C"/>
    <w:rsid w:val="007307FC"/>
    <w:rsid w:val="0073407C"/>
    <w:rsid w:val="00735EC8"/>
    <w:rsid w:val="00737ECE"/>
    <w:rsid w:val="007421CB"/>
    <w:rsid w:val="00742B65"/>
    <w:rsid w:val="00744AFB"/>
    <w:rsid w:val="0074556E"/>
    <w:rsid w:val="00745C14"/>
    <w:rsid w:val="007463E6"/>
    <w:rsid w:val="007555E4"/>
    <w:rsid w:val="00757294"/>
    <w:rsid w:val="00772D48"/>
    <w:rsid w:val="00774015"/>
    <w:rsid w:val="007809B4"/>
    <w:rsid w:val="00783422"/>
    <w:rsid w:val="0079621C"/>
    <w:rsid w:val="007A2458"/>
    <w:rsid w:val="007A6BA4"/>
    <w:rsid w:val="007B001A"/>
    <w:rsid w:val="007B3CAB"/>
    <w:rsid w:val="007B448F"/>
    <w:rsid w:val="007B736C"/>
    <w:rsid w:val="007C353E"/>
    <w:rsid w:val="007C3C32"/>
    <w:rsid w:val="007C6C30"/>
    <w:rsid w:val="007D0C18"/>
    <w:rsid w:val="007D60FF"/>
    <w:rsid w:val="007D6E62"/>
    <w:rsid w:val="007E4F89"/>
    <w:rsid w:val="007E533D"/>
    <w:rsid w:val="007F2DB2"/>
    <w:rsid w:val="007F3831"/>
    <w:rsid w:val="007F6608"/>
    <w:rsid w:val="007F7E9C"/>
    <w:rsid w:val="00801693"/>
    <w:rsid w:val="00802CE0"/>
    <w:rsid w:val="008033BC"/>
    <w:rsid w:val="00803E43"/>
    <w:rsid w:val="00814E38"/>
    <w:rsid w:val="00820006"/>
    <w:rsid w:val="00830512"/>
    <w:rsid w:val="008507D4"/>
    <w:rsid w:val="00860934"/>
    <w:rsid w:val="00866396"/>
    <w:rsid w:val="0089400A"/>
    <w:rsid w:val="008A27D5"/>
    <w:rsid w:val="008B0F5D"/>
    <w:rsid w:val="008B550F"/>
    <w:rsid w:val="008C3B1B"/>
    <w:rsid w:val="008D26E1"/>
    <w:rsid w:val="008D76FD"/>
    <w:rsid w:val="008E56A8"/>
    <w:rsid w:val="008E7E3C"/>
    <w:rsid w:val="008F1950"/>
    <w:rsid w:val="008F3595"/>
    <w:rsid w:val="008F3E7D"/>
    <w:rsid w:val="008F6CC9"/>
    <w:rsid w:val="008F72D0"/>
    <w:rsid w:val="009025DA"/>
    <w:rsid w:val="00903F35"/>
    <w:rsid w:val="0090445F"/>
    <w:rsid w:val="0090499F"/>
    <w:rsid w:val="00906092"/>
    <w:rsid w:val="00906C0C"/>
    <w:rsid w:val="00914E39"/>
    <w:rsid w:val="00917098"/>
    <w:rsid w:val="00922D3F"/>
    <w:rsid w:val="009313EC"/>
    <w:rsid w:val="009319A0"/>
    <w:rsid w:val="0094212E"/>
    <w:rsid w:val="0094575A"/>
    <w:rsid w:val="00951C4F"/>
    <w:rsid w:val="00966014"/>
    <w:rsid w:val="00976923"/>
    <w:rsid w:val="00995AE7"/>
    <w:rsid w:val="009968A1"/>
    <w:rsid w:val="00996BB3"/>
    <w:rsid w:val="00997C78"/>
    <w:rsid w:val="009A1BA6"/>
    <w:rsid w:val="009A3468"/>
    <w:rsid w:val="009B2147"/>
    <w:rsid w:val="009B6F8A"/>
    <w:rsid w:val="009C1582"/>
    <w:rsid w:val="009D4578"/>
    <w:rsid w:val="009D4D3E"/>
    <w:rsid w:val="009E3920"/>
    <w:rsid w:val="009E4A04"/>
    <w:rsid w:val="009F06F1"/>
    <w:rsid w:val="009F473E"/>
    <w:rsid w:val="00A06CC6"/>
    <w:rsid w:val="00A14D53"/>
    <w:rsid w:val="00A150E2"/>
    <w:rsid w:val="00A16D7C"/>
    <w:rsid w:val="00A20B34"/>
    <w:rsid w:val="00A21A37"/>
    <w:rsid w:val="00A22141"/>
    <w:rsid w:val="00A27E6C"/>
    <w:rsid w:val="00A34022"/>
    <w:rsid w:val="00A3784F"/>
    <w:rsid w:val="00A42E01"/>
    <w:rsid w:val="00A47BBC"/>
    <w:rsid w:val="00A5254F"/>
    <w:rsid w:val="00A571E4"/>
    <w:rsid w:val="00A62A1C"/>
    <w:rsid w:val="00A63F41"/>
    <w:rsid w:val="00A6599D"/>
    <w:rsid w:val="00A67ED5"/>
    <w:rsid w:val="00A735B8"/>
    <w:rsid w:val="00A7426C"/>
    <w:rsid w:val="00A75062"/>
    <w:rsid w:val="00A76DE4"/>
    <w:rsid w:val="00A77920"/>
    <w:rsid w:val="00A81FE2"/>
    <w:rsid w:val="00A83A9E"/>
    <w:rsid w:val="00A84E5C"/>
    <w:rsid w:val="00A87832"/>
    <w:rsid w:val="00AA2BED"/>
    <w:rsid w:val="00AB168A"/>
    <w:rsid w:val="00AB1EDF"/>
    <w:rsid w:val="00AB1FBB"/>
    <w:rsid w:val="00AB51C0"/>
    <w:rsid w:val="00AC1AAF"/>
    <w:rsid w:val="00AC1EB6"/>
    <w:rsid w:val="00AC336D"/>
    <w:rsid w:val="00AC340A"/>
    <w:rsid w:val="00AC401A"/>
    <w:rsid w:val="00AD58CC"/>
    <w:rsid w:val="00AF2748"/>
    <w:rsid w:val="00B03245"/>
    <w:rsid w:val="00B03988"/>
    <w:rsid w:val="00B0619A"/>
    <w:rsid w:val="00B07E27"/>
    <w:rsid w:val="00B145FF"/>
    <w:rsid w:val="00B16F51"/>
    <w:rsid w:val="00B21106"/>
    <w:rsid w:val="00B21E90"/>
    <w:rsid w:val="00B246FC"/>
    <w:rsid w:val="00B2558D"/>
    <w:rsid w:val="00B340CB"/>
    <w:rsid w:val="00B467AA"/>
    <w:rsid w:val="00B54E9B"/>
    <w:rsid w:val="00B56794"/>
    <w:rsid w:val="00B62990"/>
    <w:rsid w:val="00B65470"/>
    <w:rsid w:val="00B676C5"/>
    <w:rsid w:val="00B67A66"/>
    <w:rsid w:val="00B73463"/>
    <w:rsid w:val="00B739CC"/>
    <w:rsid w:val="00B743A4"/>
    <w:rsid w:val="00B74511"/>
    <w:rsid w:val="00B80F1C"/>
    <w:rsid w:val="00B8288B"/>
    <w:rsid w:val="00B82D7D"/>
    <w:rsid w:val="00B8687D"/>
    <w:rsid w:val="00B93A90"/>
    <w:rsid w:val="00B97E3F"/>
    <w:rsid w:val="00BB3A87"/>
    <w:rsid w:val="00BC43C1"/>
    <w:rsid w:val="00BC567A"/>
    <w:rsid w:val="00BC6F1D"/>
    <w:rsid w:val="00BD5801"/>
    <w:rsid w:val="00BD6D13"/>
    <w:rsid w:val="00BE1085"/>
    <w:rsid w:val="00BF0D90"/>
    <w:rsid w:val="00BF5498"/>
    <w:rsid w:val="00BF6A8B"/>
    <w:rsid w:val="00BF6F80"/>
    <w:rsid w:val="00C03726"/>
    <w:rsid w:val="00C159CC"/>
    <w:rsid w:val="00C17755"/>
    <w:rsid w:val="00C3180D"/>
    <w:rsid w:val="00C3370B"/>
    <w:rsid w:val="00C37885"/>
    <w:rsid w:val="00C425F0"/>
    <w:rsid w:val="00C43078"/>
    <w:rsid w:val="00C4559B"/>
    <w:rsid w:val="00C52159"/>
    <w:rsid w:val="00C548CE"/>
    <w:rsid w:val="00C55AB9"/>
    <w:rsid w:val="00C652C3"/>
    <w:rsid w:val="00C67817"/>
    <w:rsid w:val="00C83D9C"/>
    <w:rsid w:val="00C9335C"/>
    <w:rsid w:val="00C93815"/>
    <w:rsid w:val="00C95674"/>
    <w:rsid w:val="00CA3430"/>
    <w:rsid w:val="00CB0204"/>
    <w:rsid w:val="00CB1BD7"/>
    <w:rsid w:val="00CB5088"/>
    <w:rsid w:val="00CB520C"/>
    <w:rsid w:val="00CB543E"/>
    <w:rsid w:val="00CB6349"/>
    <w:rsid w:val="00CD6C49"/>
    <w:rsid w:val="00CE24E4"/>
    <w:rsid w:val="00CE292D"/>
    <w:rsid w:val="00CE30B0"/>
    <w:rsid w:val="00CE32AE"/>
    <w:rsid w:val="00CE782F"/>
    <w:rsid w:val="00D011DD"/>
    <w:rsid w:val="00D22066"/>
    <w:rsid w:val="00D3426E"/>
    <w:rsid w:val="00D366BD"/>
    <w:rsid w:val="00D409D5"/>
    <w:rsid w:val="00D47972"/>
    <w:rsid w:val="00D62F0A"/>
    <w:rsid w:val="00D67CCB"/>
    <w:rsid w:val="00D73EFF"/>
    <w:rsid w:val="00D91C0C"/>
    <w:rsid w:val="00D953B3"/>
    <w:rsid w:val="00DA0904"/>
    <w:rsid w:val="00DD0906"/>
    <w:rsid w:val="00DD39A9"/>
    <w:rsid w:val="00DD5E38"/>
    <w:rsid w:val="00DE4848"/>
    <w:rsid w:val="00DE60AD"/>
    <w:rsid w:val="00DE68F1"/>
    <w:rsid w:val="00DE726E"/>
    <w:rsid w:val="00DF04A8"/>
    <w:rsid w:val="00E04FD5"/>
    <w:rsid w:val="00E06A9A"/>
    <w:rsid w:val="00E2310B"/>
    <w:rsid w:val="00E24609"/>
    <w:rsid w:val="00E24DD8"/>
    <w:rsid w:val="00E339DE"/>
    <w:rsid w:val="00E33E83"/>
    <w:rsid w:val="00E4034D"/>
    <w:rsid w:val="00E42A9E"/>
    <w:rsid w:val="00E43E7A"/>
    <w:rsid w:val="00E44699"/>
    <w:rsid w:val="00E519CB"/>
    <w:rsid w:val="00E52CE8"/>
    <w:rsid w:val="00E535F4"/>
    <w:rsid w:val="00E54F71"/>
    <w:rsid w:val="00E6445E"/>
    <w:rsid w:val="00E71FB9"/>
    <w:rsid w:val="00E76566"/>
    <w:rsid w:val="00E77316"/>
    <w:rsid w:val="00E95663"/>
    <w:rsid w:val="00E95E3F"/>
    <w:rsid w:val="00EA1752"/>
    <w:rsid w:val="00EA7FD5"/>
    <w:rsid w:val="00EB2B85"/>
    <w:rsid w:val="00EC0600"/>
    <w:rsid w:val="00EC15C5"/>
    <w:rsid w:val="00EC1DB7"/>
    <w:rsid w:val="00EE0B96"/>
    <w:rsid w:val="00EE2153"/>
    <w:rsid w:val="00EE662A"/>
    <w:rsid w:val="00EF0DF0"/>
    <w:rsid w:val="00F003AF"/>
    <w:rsid w:val="00F05BEB"/>
    <w:rsid w:val="00F37875"/>
    <w:rsid w:val="00F5374E"/>
    <w:rsid w:val="00F603CC"/>
    <w:rsid w:val="00F6187D"/>
    <w:rsid w:val="00F7456E"/>
    <w:rsid w:val="00F8127A"/>
    <w:rsid w:val="00F8342A"/>
    <w:rsid w:val="00F869E9"/>
    <w:rsid w:val="00F90622"/>
    <w:rsid w:val="00FA0215"/>
    <w:rsid w:val="00FA06CB"/>
    <w:rsid w:val="00FB73E3"/>
    <w:rsid w:val="00FC1A5B"/>
    <w:rsid w:val="00FC1E0E"/>
    <w:rsid w:val="00FC2CF8"/>
    <w:rsid w:val="00FC4327"/>
    <w:rsid w:val="00FD7D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D2453"/>
  <w15:docId w15:val="{94D3C126-B749-44C1-89B4-D0DC5713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273"/>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3DB"/>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753DB"/>
  </w:style>
  <w:style w:type="character" w:styleId="PageNumber">
    <w:name w:val="page number"/>
    <w:basedOn w:val="DefaultParagraphFont"/>
    <w:uiPriority w:val="99"/>
    <w:semiHidden/>
    <w:unhideWhenUsed/>
    <w:rsid w:val="004753DB"/>
  </w:style>
  <w:style w:type="character" w:styleId="Hyperlink">
    <w:name w:val="Hyperlink"/>
    <w:basedOn w:val="DefaultParagraphFont"/>
    <w:uiPriority w:val="99"/>
    <w:unhideWhenUsed/>
    <w:rsid w:val="005734A3"/>
    <w:rPr>
      <w:color w:val="0563C1" w:themeColor="hyperlink"/>
      <w:u w:val="single"/>
    </w:rPr>
  </w:style>
  <w:style w:type="character" w:customStyle="1" w:styleId="UnresolvedMention1">
    <w:name w:val="Unresolved Mention1"/>
    <w:basedOn w:val="DefaultParagraphFont"/>
    <w:uiPriority w:val="99"/>
    <w:rsid w:val="005734A3"/>
    <w:rPr>
      <w:color w:val="808080"/>
      <w:shd w:val="clear" w:color="auto" w:fill="E6E6E6"/>
    </w:rPr>
  </w:style>
  <w:style w:type="table" w:styleId="TableGrid">
    <w:name w:val="Table Grid"/>
    <w:basedOn w:val="TableNormal"/>
    <w:uiPriority w:val="39"/>
    <w:rsid w:val="00F0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F05BE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eNormal"/>
    <w:uiPriority w:val="47"/>
    <w:rsid w:val="00F05BE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772D48"/>
    <w:rPr>
      <w:sz w:val="18"/>
      <w:szCs w:val="18"/>
    </w:rPr>
  </w:style>
  <w:style w:type="character" w:customStyle="1" w:styleId="BalloonTextChar">
    <w:name w:val="Balloon Text Char"/>
    <w:basedOn w:val="DefaultParagraphFont"/>
    <w:link w:val="BalloonText"/>
    <w:uiPriority w:val="99"/>
    <w:semiHidden/>
    <w:rsid w:val="00772D48"/>
    <w:rPr>
      <w:rFonts w:ascii="Times New Roman" w:eastAsia="Times New Roman" w:hAnsi="Times New Roman" w:cs="Times New Roman"/>
      <w:sz w:val="18"/>
      <w:szCs w:val="18"/>
      <w:lang w:val="en-AU" w:eastAsia="en-AU"/>
    </w:rPr>
  </w:style>
  <w:style w:type="table" w:customStyle="1" w:styleId="GridTable4-Accent31">
    <w:name w:val="Grid Table 4 - Accent 31"/>
    <w:basedOn w:val="TableNormal"/>
    <w:uiPriority w:val="49"/>
    <w:rsid w:val="00F9062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31">
    <w:name w:val="Grid Table 3 - Accent 31"/>
    <w:basedOn w:val="TableNormal"/>
    <w:uiPriority w:val="48"/>
    <w:rsid w:val="00F9062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6Colorful-Accent31">
    <w:name w:val="Grid Table 6 Colorful - Accent 31"/>
    <w:basedOn w:val="TableNormal"/>
    <w:uiPriority w:val="51"/>
    <w:rsid w:val="00F9062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TableNormal"/>
    <w:uiPriority w:val="43"/>
    <w:rsid w:val="00456EC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unhideWhenUsed/>
    <w:qFormat/>
    <w:rsid w:val="00216ADA"/>
    <w:rPr>
      <w:sz w:val="16"/>
      <w:szCs w:val="16"/>
    </w:rPr>
  </w:style>
  <w:style w:type="paragraph" w:styleId="CommentText">
    <w:name w:val="annotation text"/>
    <w:basedOn w:val="Normal"/>
    <w:link w:val="CommentTextChar"/>
    <w:uiPriority w:val="99"/>
    <w:unhideWhenUsed/>
    <w:qFormat/>
    <w:rsid w:val="00216ADA"/>
    <w:rPr>
      <w:sz w:val="20"/>
      <w:szCs w:val="20"/>
      <w:lang w:eastAsia="en-AU"/>
    </w:rPr>
  </w:style>
  <w:style w:type="character" w:customStyle="1" w:styleId="CommentTextChar">
    <w:name w:val="Comment Text Char"/>
    <w:basedOn w:val="DefaultParagraphFont"/>
    <w:link w:val="CommentText"/>
    <w:uiPriority w:val="99"/>
    <w:qFormat/>
    <w:rsid w:val="00216ADA"/>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216ADA"/>
    <w:rPr>
      <w:b/>
      <w:bCs/>
    </w:rPr>
  </w:style>
  <w:style w:type="character" w:customStyle="1" w:styleId="CommentSubjectChar">
    <w:name w:val="Comment Subject Char"/>
    <w:basedOn w:val="CommentTextChar"/>
    <w:link w:val="CommentSubject"/>
    <w:uiPriority w:val="99"/>
    <w:semiHidden/>
    <w:rsid w:val="00216ADA"/>
    <w:rPr>
      <w:rFonts w:ascii="Times New Roman" w:eastAsia="Times New Roman" w:hAnsi="Times New Roman" w:cs="Times New Roman"/>
      <w:b/>
      <w:bCs/>
      <w:sz w:val="20"/>
      <w:szCs w:val="20"/>
      <w:lang w:val="en-AU" w:eastAsia="en-AU"/>
    </w:rPr>
  </w:style>
  <w:style w:type="paragraph" w:styleId="Footer">
    <w:name w:val="footer"/>
    <w:basedOn w:val="Normal"/>
    <w:link w:val="FooterChar"/>
    <w:uiPriority w:val="99"/>
    <w:unhideWhenUsed/>
    <w:rsid w:val="00801693"/>
    <w:pPr>
      <w:tabs>
        <w:tab w:val="center" w:pos="4513"/>
        <w:tab w:val="right" w:pos="9026"/>
      </w:tabs>
    </w:pPr>
    <w:rPr>
      <w:lang w:eastAsia="en-AU"/>
    </w:rPr>
  </w:style>
  <w:style w:type="character" w:customStyle="1" w:styleId="FooterChar">
    <w:name w:val="Footer Char"/>
    <w:basedOn w:val="DefaultParagraphFont"/>
    <w:link w:val="Footer"/>
    <w:uiPriority w:val="99"/>
    <w:rsid w:val="00801693"/>
    <w:rPr>
      <w:rFonts w:ascii="Times New Roman" w:eastAsia="Times New Roman" w:hAnsi="Times New Roman" w:cs="Times New Roman"/>
      <w:lang w:val="en-AU" w:eastAsia="en-AU"/>
    </w:rPr>
  </w:style>
  <w:style w:type="table" w:customStyle="1" w:styleId="GridTable1Light-Accent31">
    <w:name w:val="Grid Table 1 Light - Accent 31"/>
    <w:basedOn w:val="TableNormal"/>
    <w:uiPriority w:val="46"/>
    <w:rsid w:val="001D5B2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1D5B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C52159"/>
    <w:rPr>
      <w:b/>
      <w:bCs/>
    </w:rPr>
  </w:style>
  <w:style w:type="character" w:customStyle="1" w:styleId="UnresolvedMention2">
    <w:name w:val="Unresolved Mention2"/>
    <w:basedOn w:val="DefaultParagraphFont"/>
    <w:uiPriority w:val="99"/>
    <w:semiHidden/>
    <w:unhideWhenUsed/>
    <w:rsid w:val="007D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86989">
      <w:bodyDiv w:val="1"/>
      <w:marLeft w:val="0"/>
      <w:marRight w:val="0"/>
      <w:marTop w:val="0"/>
      <w:marBottom w:val="0"/>
      <w:divBdr>
        <w:top w:val="none" w:sz="0" w:space="0" w:color="auto"/>
        <w:left w:val="none" w:sz="0" w:space="0" w:color="auto"/>
        <w:bottom w:val="none" w:sz="0" w:space="0" w:color="auto"/>
        <w:right w:val="none" w:sz="0" w:space="0" w:color="auto"/>
      </w:divBdr>
    </w:div>
    <w:div w:id="687102158">
      <w:bodyDiv w:val="1"/>
      <w:marLeft w:val="0"/>
      <w:marRight w:val="0"/>
      <w:marTop w:val="0"/>
      <w:marBottom w:val="0"/>
      <w:divBdr>
        <w:top w:val="none" w:sz="0" w:space="0" w:color="auto"/>
        <w:left w:val="none" w:sz="0" w:space="0" w:color="auto"/>
        <w:bottom w:val="none" w:sz="0" w:space="0" w:color="auto"/>
        <w:right w:val="none" w:sz="0" w:space="0" w:color="auto"/>
      </w:divBdr>
    </w:div>
    <w:div w:id="868029405">
      <w:bodyDiv w:val="1"/>
      <w:marLeft w:val="0"/>
      <w:marRight w:val="0"/>
      <w:marTop w:val="0"/>
      <w:marBottom w:val="0"/>
      <w:divBdr>
        <w:top w:val="none" w:sz="0" w:space="0" w:color="auto"/>
        <w:left w:val="none" w:sz="0" w:space="0" w:color="auto"/>
        <w:bottom w:val="none" w:sz="0" w:space="0" w:color="auto"/>
        <w:right w:val="none" w:sz="0" w:space="0" w:color="auto"/>
      </w:divBdr>
    </w:div>
    <w:div w:id="950285726">
      <w:bodyDiv w:val="1"/>
      <w:marLeft w:val="0"/>
      <w:marRight w:val="0"/>
      <w:marTop w:val="0"/>
      <w:marBottom w:val="0"/>
      <w:divBdr>
        <w:top w:val="none" w:sz="0" w:space="0" w:color="auto"/>
        <w:left w:val="none" w:sz="0" w:space="0" w:color="auto"/>
        <w:bottom w:val="none" w:sz="0" w:space="0" w:color="auto"/>
        <w:right w:val="none" w:sz="0" w:space="0" w:color="auto"/>
      </w:divBdr>
    </w:div>
    <w:div w:id="1033187308">
      <w:bodyDiv w:val="1"/>
      <w:marLeft w:val="0"/>
      <w:marRight w:val="0"/>
      <w:marTop w:val="0"/>
      <w:marBottom w:val="0"/>
      <w:divBdr>
        <w:top w:val="none" w:sz="0" w:space="0" w:color="auto"/>
        <w:left w:val="none" w:sz="0" w:space="0" w:color="auto"/>
        <w:bottom w:val="none" w:sz="0" w:space="0" w:color="auto"/>
        <w:right w:val="none" w:sz="0" w:space="0" w:color="auto"/>
      </w:divBdr>
    </w:div>
    <w:div w:id="1094668561">
      <w:bodyDiv w:val="1"/>
      <w:marLeft w:val="0"/>
      <w:marRight w:val="0"/>
      <w:marTop w:val="0"/>
      <w:marBottom w:val="0"/>
      <w:divBdr>
        <w:top w:val="none" w:sz="0" w:space="0" w:color="auto"/>
        <w:left w:val="none" w:sz="0" w:space="0" w:color="auto"/>
        <w:bottom w:val="none" w:sz="0" w:space="0" w:color="auto"/>
        <w:right w:val="none" w:sz="0" w:space="0" w:color="auto"/>
      </w:divBdr>
    </w:div>
    <w:div w:id="1149203763">
      <w:bodyDiv w:val="1"/>
      <w:marLeft w:val="0"/>
      <w:marRight w:val="0"/>
      <w:marTop w:val="0"/>
      <w:marBottom w:val="0"/>
      <w:divBdr>
        <w:top w:val="none" w:sz="0" w:space="0" w:color="auto"/>
        <w:left w:val="none" w:sz="0" w:space="0" w:color="auto"/>
        <w:bottom w:val="none" w:sz="0" w:space="0" w:color="auto"/>
        <w:right w:val="none" w:sz="0" w:space="0" w:color="auto"/>
      </w:divBdr>
    </w:div>
    <w:div w:id="1577399834">
      <w:bodyDiv w:val="1"/>
      <w:marLeft w:val="0"/>
      <w:marRight w:val="0"/>
      <w:marTop w:val="0"/>
      <w:marBottom w:val="0"/>
      <w:divBdr>
        <w:top w:val="none" w:sz="0" w:space="0" w:color="auto"/>
        <w:left w:val="none" w:sz="0" w:space="0" w:color="auto"/>
        <w:bottom w:val="none" w:sz="0" w:space="0" w:color="auto"/>
        <w:right w:val="none" w:sz="0" w:space="0" w:color="auto"/>
      </w:divBdr>
    </w:div>
    <w:div w:id="1702978034">
      <w:bodyDiv w:val="1"/>
      <w:marLeft w:val="0"/>
      <w:marRight w:val="0"/>
      <w:marTop w:val="0"/>
      <w:marBottom w:val="0"/>
      <w:divBdr>
        <w:top w:val="none" w:sz="0" w:space="0" w:color="auto"/>
        <w:left w:val="none" w:sz="0" w:space="0" w:color="auto"/>
        <w:bottom w:val="none" w:sz="0" w:space="0" w:color="auto"/>
        <w:right w:val="none" w:sz="0" w:space="0" w:color="auto"/>
      </w:divBdr>
    </w:div>
    <w:div w:id="1814566765">
      <w:bodyDiv w:val="1"/>
      <w:marLeft w:val="0"/>
      <w:marRight w:val="0"/>
      <w:marTop w:val="0"/>
      <w:marBottom w:val="0"/>
      <w:divBdr>
        <w:top w:val="none" w:sz="0" w:space="0" w:color="auto"/>
        <w:left w:val="none" w:sz="0" w:space="0" w:color="auto"/>
        <w:bottom w:val="none" w:sz="0" w:space="0" w:color="auto"/>
        <w:right w:val="none" w:sz="0" w:space="0" w:color="auto"/>
      </w:divBdr>
    </w:div>
    <w:div w:id="190606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DE0E-CC20-4C68-ACBD-C9365070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16461</Words>
  <Characters>93833</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leigh.r.warren leigh.r.warren</dc:creator>
  <cp:keywords/>
  <dc:description/>
  <cp:lastModifiedBy>Lian-Sheng Ma</cp:lastModifiedBy>
  <cp:revision>2</cp:revision>
  <cp:lastPrinted>2018-06-13T13:37:00Z</cp:lastPrinted>
  <dcterms:created xsi:type="dcterms:W3CDTF">2019-02-23T04:20:00Z</dcterms:created>
  <dcterms:modified xsi:type="dcterms:W3CDTF">2019-02-23T04:20:00Z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63439062-d66e-3a99-90e9-c217d1fa1c6e</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http://www.zotero.org/styles/bmj-quality-and-safety</vt:lpwstr>
  </property>
  <property fmtid="{D5CDD505-2E9C-101B-9397-08002B2CF9AE}" pid="9" name="Mendeley Recent Style Name 2_1">
    <vt:lpwstr>BMJ Quality &amp; Safety</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http://www.zotero.org/styles/vancouver</vt:lpwstr>
  </property>
  <property fmtid="{D5CDD505-2E9C-101B-9397-08002B2CF9AE}" pid="19" name="Mendeley Recent Style Name 7_1">
    <vt:lpwstr>Vancouver</vt:lpwstr>
  </property>
  <property fmtid="{D5CDD505-2E9C-101B-9397-08002B2CF9AE}" pid="20" name="Mendeley Recent Style Id 8_1">
    <vt:lpwstr>http://www.zotero.org/styles/vancouver-superscript-brackets-only-year</vt:lpwstr>
  </property>
  <property fmtid="{D5CDD505-2E9C-101B-9397-08002B2CF9AE}" pid="21" name="Mendeley Recent Style Name 8_1">
    <vt:lpwstr>Vancouver (superscript, brackets, only year in date)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