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3F7" w:rsidRDefault="006523F7">
      <w:pPr>
        <w:widowControl/>
        <w:spacing w:line="360" w:lineRule="auto"/>
        <w:outlineLvl w:val="0"/>
        <w:rPr>
          <w:rFonts w:ascii="Book Antiqua" w:hAnsi="Book Antiqua"/>
          <w:b/>
          <w:color w:val="000000"/>
          <w:kern w:val="0"/>
          <w:sz w:val="24"/>
          <w:highlight w:val="white"/>
        </w:rPr>
      </w:pPr>
      <w:bookmarkStart w:id="0" w:name="OLE_LINK373"/>
      <w:bookmarkStart w:id="1" w:name="OLE_LINK887"/>
      <w:bookmarkStart w:id="2" w:name="OLE_LINK707"/>
      <w:bookmarkStart w:id="3" w:name="OLE_LINK708"/>
      <w:bookmarkStart w:id="4" w:name="OLE_LINK709"/>
      <w:bookmarkStart w:id="5" w:name="OLE_LINK737"/>
      <w:bookmarkStart w:id="6" w:name="OLE_LINK840"/>
      <w:bookmarkStart w:id="7" w:name="OLE_LINK866"/>
      <w:bookmarkStart w:id="8" w:name="OLE_LINK923"/>
      <w:bookmarkStart w:id="9" w:name="OLE_LINK970"/>
      <w:bookmarkStart w:id="10" w:name="OLE_LINK987"/>
      <w:bookmarkStart w:id="11" w:name="OLE_LINK1024"/>
      <w:r>
        <w:rPr>
          <w:rFonts w:ascii="Book Antiqua" w:hAnsi="Book Antiqua"/>
          <w:b/>
          <w:color w:val="000000"/>
          <w:kern w:val="0"/>
          <w:sz w:val="24"/>
          <w:highlight w:val="white"/>
        </w:rPr>
        <w:t xml:space="preserve">Name of </w:t>
      </w:r>
      <w:r>
        <w:rPr>
          <w:rFonts w:ascii="Book Antiqua" w:hAnsi="Book Antiqua"/>
          <w:b/>
          <w:caps/>
          <w:color w:val="000000"/>
          <w:kern w:val="0"/>
          <w:sz w:val="24"/>
          <w:highlight w:val="white"/>
        </w:rPr>
        <w:t>j</w:t>
      </w:r>
      <w:r>
        <w:rPr>
          <w:rFonts w:ascii="Book Antiqua" w:hAnsi="Book Antiqua"/>
          <w:b/>
          <w:color w:val="000000"/>
          <w:kern w:val="0"/>
          <w:sz w:val="24"/>
          <w:highlight w:val="white"/>
        </w:rPr>
        <w:t xml:space="preserve">ournal: </w:t>
      </w:r>
      <w:bookmarkStart w:id="12" w:name="OLE_LINK719"/>
      <w:bookmarkStart w:id="13" w:name="OLE_LINK718"/>
      <w:r>
        <w:rPr>
          <w:rFonts w:ascii="Book Antiqua" w:hAnsi="Book Antiqua"/>
          <w:b/>
          <w:i/>
          <w:color w:val="000000"/>
          <w:kern w:val="0"/>
          <w:sz w:val="24"/>
          <w:highlight w:val="white"/>
        </w:rPr>
        <w:t>World Journal of Gastroenterology</w:t>
      </w:r>
      <w:bookmarkEnd w:id="12"/>
      <w:bookmarkEnd w:id="13"/>
    </w:p>
    <w:p w:rsidR="006523F7" w:rsidRDefault="006523F7">
      <w:pPr>
        <w:widowControl/>
        <w:spacing w:line="360" w:lineRule="auto"/>
        <w:outlineLvl w:val="0"/>
        <w:rPr>
          <w:rFonts w:ascii="Book Antiqua" w:hAnsi="Book Antiqua"/>
          <w:b/>
          <w:i/>
          <w:color w:val="000000"/>
          <w:kern w:val="0"/>
          <w:sz w:val="24"/>
          <w:highlight w:val="white"/>
        </w:rPr>
      </w:pPr>
      <w:bookmarkStart w:id="14" w:name="OLE_LINK485"/>
      <w:bookmarkStart w:id="15" w:name="OLE_LINK486"/>
      <w:bookmarkStart w:id="16" w:name="OLE_LINK661"/>
      <w:bookmarkStart w:id="17" w:name="OLE_LINK768"/>
      <w:bookmarkStart w:id="18" w:name="OLE_LINK514"/>
      <w:bookmarkStart w:id="19" w:name="OLE_LINK515"/>
      <w:r>
        <w:rPr>
          <w:rFonts w:ascii="Book Antiqua" w:hAnsi="Book Antiqua"/>
          <w:b/>
          <w:color w:val="000000"/>
          <w:kern w:val="0"/>
          <w:sz w:val="24"/>
          <w:highlight w:val="white"/>
        </w:rPr>
        <w:t>Manuscript NO:</w:t>
      </w:r>
      <w:bookmarkEnd w:id="14"/>
      <w:bookmarkEnd w:id="15"/>
      <w:bookmarkEnd w:id="16"/>
      <w:bookmarkEnd w:id="17"/>
      <w:r>
        <w:rPr>
          <w:rFonts w:ascii="Book Antiqua" w:hAnsi="Book Antiqua"/>
          <w:b/>
          <w:color w:val="000000"/>
          <w:kern w:val="0"/>
          <w:sz w:val="24"/>
          <w:highlight w:val="white"/>
        </w:rPr>
        <w:t xml:space="preserve"> </w:t>
      </w:r>
      <w:r>
        <w:rPr>
          <w:rFonts w:ascii="Book Antiqua" w:hAnsi="Book Antiqua"/>
          <w:b/>
          <w:color w:val="000000"/>
          <w:kern w:val="0"/>
          <w:sz w:val="24"/>
        </w:rPr>
        <w:t>45933</w:t>
      </w:r>
    </w:p>
    <w:bookmarkEnd w:id="18"/>
    <w:bookmarkEnd w:id="19"/>
    <w:p w:rsidR="006523F7" w:rsidRDefault="006523F7">
      <w:pPr>
        <w:widowControl/>
        <w:spacing w:line="360" w:lineRule="auto"/>
        <w:outlineLvl w:val="0"/>
        <w:rPr>
          <w:rFonts w:ascii="Book Antiqua" w:hAnsi="Book Antiqua" w:hint="eastAsia"/>
          <w:b/>
          <w:color w:val="000000"/>
          <w:kern w:val="0"/>
          <w:sz w:val="24"/>
        </w:rPr>
      </w:pPr>
      <w:r>
        <w:rPr>
          <w:rFonts w:ascii="Book Antiqua" w:hAnsi="Book Antiqua"/>
          <w:b/>
          <w:color w:val="000000"/>
          <w:kern w:val="0"/>
          <w:sz w:val="24"/>
          <w:highlight w:val="white"/>
        </w:rPr>
        <w:t xml:space="preserve">Manuscript </w:t>
      </w:r>
      <w:r>
        <w:rPr>
          <w:rFonts w:ascii="Book Antiqua" w:hAnsi="Book Antiqua"/>
          <w:b/>
          <w:caps/>
          <w:color w:val="000000"/>
          <w:kern w:val="0"/>
          <w:sz w:val="24"/>
          <w:highlight w:val="white"/>
        </w:rPr>
        <w:t>t</w:t>
      </w:r>
      <w:r>
        <w:rPr>
          <w:rFonts w:ascii="Book Antiqua" w:hAnsi="Book Antiqua"/>
          <w:b/>
          <w:color w:val="000000"/>
          <w:kern w:val="0"/>
          <w:sz w:val="24"/>
          <w:highlight w:val="white"/>
        </w:rPr>
        <w:t>ype</w:t>
      </w:r>
      <w:r>
        <w:rPr>
          <w:rFonts w:ascii="Book Antiqua" w:hAnsi="Book Antiqua"/>
          <w:b/>
          <w:color w:val="000000"/>
          <w:kern w:val="0"/>
          <w:sz w:val="24"/>
        </w:rPr>
        <w:t>:</w:t>
      </w:r>
      <w:bookmarkEnd w:id="1"/>
      <w:bookmarkEnd w:id="2"/>
      <w:bookmarkEnd w:id="3"/>
      <w:bookmarkEnd w:id="4"/>
      <w:bookmarkEnd w:id="5"/>
      <w:bookmarkEnd w:id="6"/>
      <w:bookmarkEnd w:id="7"/>
      <w:bookmarkEnd w:id="8"/>
      <w:bookmarkEnd w:id="9"/>
      <w:bookmarkEnd w:id="10"/>
      <w:bookmarkEnd w:id="11"/>
      <w:r>
        <w:rPr>
          <w:rFonts w:ascii="Book Antiqua" w:hAnsi="Book Antiqua"/>
          <w:b/>
          <w:color w:val="000000"/>
          <w:kern w:val="0"/>
          <w:sz w:val="24"/>
        </w:rPr>
        <w:t xml:space="preserve"> ORIGINAL ARTICLE</w:t>
      </w:r>
    </w:p>
    <w:p w:rsidR="006523F7" w:rsidRDefault="006523F7">
      <w:pPr>
        <w:widowControl/>
        <w:spacing w:line="360" w:lineRule="auto"/>
        <w:rPr>
          <w:rFonts w:ascii="Book Antiqua" w:hAnsi="Book Antiqua" w:hint="eastAsia"/>
          <w:b/>
          <w:color w:val="000000"/>
          <w:kern w:val="0"/>
          <w:sz w:val="24"/>
        </w:rPr>
      </w:pPr>
    </w:p>
    <w:p w:rsidR="006523F7" w:rsidRDefault="006523F7">
      <w:pPr>
        <w:tabs>
          <w:tab w:val="left" w:pos="7230"/>
        </w:tabs>
        <w:adjustRightInd w:val="0"/>
        <w:snapToGrid w:val="0"/>
        <w:spacing w:line="360" w:lineRule="auto"/>
        <w:outlineLvl w:val="0"/>
        <w:rPr>
          <w:rFonts w:ascii="Book Antiqua" w:hAnsi="Book Antiqua"/>
          <w:color w:val="000000"/>
          <w:sz w:val="24"/>
        </w:rPr>
      </w:pPr>
      <w:r>
        <w:rPr>
          <w:rFonts w:ascii="Book Antiqua" w:eastAsia="幼圆" w:hAnsi="Book Antiqua"/>
          <w:b/>
          <w:i/>
          <w:kern w:val="0"/>
          <w:sz w:val="24"/>
        </w:rPr>
        <w:t>Basic Study</w:t>
      </w:r>
      <w:bookmarkEnd w:id="0"/>
    </w:p>
    <w:p w:rsidR="006523F7" w:rsidRDefault="006523F7">
      <w:pPr>
        <w:tabs>
          <w:tab w:val="left" w:pos="5387"/>
        </w:tabs>
        <w:adjustRightInd w:val="0"/>
        <w:snapToGrid w:val="0"/>
        <w:spacing w:line="360" w:lineRule="auto"/>
        <w:rPr>
          <w:rFonts w:ascii="Book Antiqua" w:hAnsi="Book Antiqua"/>
          <w:b/>
          <w:color w:val="000000"/>
          <w:sz w:val="24"/>
        </w:rPr>
      </w:pPr>
      <w:bookmarkStart w:id="20" w:name="OLE_LINK1"/>
      <w:r>
        <w:rPr>
          <w:rFonts w:ascii="Book Antiqua" w:hAnsi="Book Antiqua"/>
          <w:b/>
          <w:color w:val="000000"/>
          <w:sz w:val="24"/>
        </w:rPr>
        <w:t>Signal transducer and activator of transcription 3 promotes the Warburg effect possibly by inducing pyruvate kinase M2 phosphorylation in liver precancerous lesions</w:t>
      </w:r>
      <w:bookmarkEnd w:id="20"/>
    </w:p>
    <w:p w:rsidR="006523F7" w:rsidRDefault="006523F7">
      <w:pPr>
        <w:tabs>
          <w:tab w:val="left" w:pos="5387"/>
        </w:tabs>
        <w:adjustRightInd w:val="0"/>
        <w:snapToGrid w:val="0"/>
        <w:spacing w:line="360" w:lineRule="auto"/>
        <w:rPr>
          <w:rFonts w:ascii="Book Antiqua" w:hAnsi="Book Antiqua"/>
          <w:color w:val="000000"/>
          <w:sz w:val="24"/>
        </w:rPr>
      </w:pPr>
    </w:p>
    <w:p w:rsidR="006523F7" w:rsidRDefault="006523F7">
      <w:pPr>
        <w:tabs>
          <w:tab w:val="left" w:pos="5387"/>
        </w:tabs>
        <w:adjustRightInd w:val="0"/>
        <w:snapToGrid w:val="0"/>
        <w:spacing w:line="360" w:lineRule="auto"/>
        <w:outlineLvl w:val="0"/>
        <w:rPr>
          <w:rFonts w:ascii="Book Antiqua" w:hAnsi="Book Antiqua"/>
          <w:color w:val="000000"/>
          <w:sz w:val="24"/>
        </w:rPr>
      </w:pPr>
      <w:r>
        <w:rPr>
          <w:rFonts w:ascii="Book Antiqua" w:hAnsi="Book Antiqua"/>
          <w:color w:val="000000"/>
          <w:sz w:val="24"/>
        </w:rPr>
        <w:t xml:space="preserve">Bi YH </w:t>
      </w:r>
      <w:r>
        <w:rPr>
          <w:rFonts w:ascii="Book Antiqua" w:hAnsi="Book Antiqua"/>
          <w:i/>
          <w:color w:val="000000"/>
          <w:sz w:val="24"/>
        </w:rPr>
        <w:t>et al</w:t>
      </w:r>
      <w:r>
        <w:rPr>
          <w:rFonts w:ascii="Book Antiqua" w:hAnsi="Book Antiqua"/>
          <w:color w:val="000000"/>
          <w:sz w:val="24"/>
        </w:rPr>
        <w:t xml:space="preserve">. </w:t>
      </w:r>
      <w:bookmarkStart w:id="21" w:name="OLE_LINK15"/>
      <w:r>
        <w:rPr>
          <w:rFonts w:ascii="Book Antiqua" w:hAnsi="Book Antiqua"/>
          <w:color w:val="000000"/>
          <w:sz w:val="24"/>
        </w:rPr>
        <w:t>STAT3 promotes Warburg effect by p-PKM2</w:t>
      </w:r>
    </w:p>
    <w:bookmarkEnd w:id="21"/>
    <w:p w:rsidR="006523F7" w:rsidRDefault="006523F7">
      <w:pPr>
        <w:tabs>
          <w:tab w:val="left" w:pos="5387"/>
        </w:tabs>
        <w:adjustRightInd w:val="0"/>
        <w:snapToGrid w:val="0"/>
        <w:spacing w:line="360" w:lineRule="auto"/>
        <w:rPr>
          <w:rFonts w:ascii="Book Antiqua" w:hAnsi="Book Antiqua"/>
          <w:color w:val="000000"/>
          <w:sz w:val="24"/>
        </w:rPr>
      </w:pPr>
    </w:p>
    <w:p w:rsidR="006523F7" w:rsidRDefault="006523F7">
      <w:pPr>
        <w:tabs>
          <w:tab w:val="left" w:pos="5387"/>
        </w:tabs>
        <w:adjustRightInd w:val="0"/>
        <w:snapToGrid w:val="0"/>
        <w:spacing w:line="360" w:lineRule="auto"/>
        <w:rPr>
          <w:rFonts w:ascii="Book Antiqua" w:hAnsi="Book Antiqua"/>
          <w:color w:val="000000"/>
          <w:sz w:val="24"/>
        </w:rPr>
      </w:pPr>
      <w:r>
        <w:rPr>
          <w:rFonts w:ascii="Book Antiqua" w:hAnsi="Book Antiqua"/>
          <w:color w:val="000000"/>
          <w:sz w:val="24"/>
        </w:rPr>
        <w:t xml:space="preserve">Yang-Hui Bi, </w:t>
      </w:r>
      <w:bookmarkStart w:id="22" w:name="OLE_LINK654"/>
      <w:r>
        <w:rPr>
          <w:rFonts w:ascii="Book Antiqua" w:hAnsi="Book Antiqua"/>
          <w:color w:val="000000"/>
          <w:sz w:val="24"/>
        </w:rPr>
        <w:t>Wen-Qi</w:t>
      </w:r>
      <w:bookmarkEnd w:id="22"/>
      <w:r>
        <w:rPr>
          <w:rFonts w:ascii="Book Antiqua" w:hAnsi="Book Antiqua"/>
          <w:color w:val="000000"/>
          <w:sz w:val="24"/>
        </w:rPr>
        <w:t xml:space="preserve"> Han, </w:t>
      </w:r>
      <w:bookmarkStart w:id="23" w:name="OLE_LINK655"/>
      <w:r>
        <w:rPr>
          <w:rFonts w:ascii="Book Antiqua" w:hAnsi="Book Antiqua"/>
          <w:color w:val="000000"/>
          <w:sz w:val="24"/>
        </w:rPr>
        <w:t>Ruo-Fei</w:t>
      </w:r>
      <w:bookmarkEnd w:id="23"/>
      <w:r>
        <w:rPr>
          <w:rFonts w:ascii="Book Antiqua" w:hAnsi="Book Antiqua"/>
          <w:color w:val="000000"/>
          <w:sz w:val="24"/>
        </w:rPr>
        <w:t xml:space="preserve"> Li, Yun-Jiao Wang, Zun-Shu Du, Xue-Jiang Wang, Ying Jiang</w:t>
      </w:r>
    </w:p>
    <w:p w:rsidR="006523F7" w:rsidRDefault="006523F7">
      <w:pPr>
        <w:adjustRightInd w:val="0"/>
        <w:snapToGrid w:val="0"/>
        <w:spacing w:line="360" w:lineRule="auto"/>
        <w:rPr>
          <w:rFonts w:ascii="Book Antiqua" w:hAnsi="Book Antiqua"/>
          <w:b/>
          <w:color w:val="000000"/>
          <w:sz w:val="24"/>
        </w:rPr>
      </w:pPr>
    </w:p>
    <w:p w:rsidR="006523F7" w:rsidRDefault="006523F7">
      <w:pPr>
        <w:adjustRightInd w:val="0"/>
        <w:snapToGrid w:val="0"/>
        <w:spacing w:line="360" w:lineRule="auto"/>
        <w:rPr>
          <w:rFonts w:ascii="Book Antiqua" w:hAnsi="Book Antiqua" w:cs="Arial"/>
          <w:bCs/>
          <w:color w:val="000000"/>
          <w:kern w:val="24"/>
          <w:sz w:val="24"/>
        </w:rPr>
      </w:pPr>
      <w:r>
        <w:rPr>
          <w:rFonts w:ascii="Book Antiqua" w:hAnsi="Book Antiqua"/>
          <w:b/>
          <w:color w:val="000000"/>
          <w:sz w:val="24"/>
        </w:rPr>
        <w:t>Yang-Hui Bi, Wen-Qi Han, Ruo-Fei Li, Yun-Jiao Wang, Zun-Shu Du, Xue-Jiang Wang, Ying Jiang,</w:t>
      </w:r>
      <w:r>
        <w:rPr>
          <w:rFonts w:ascii="Book Antiqua" w:hAnsi="Book Antiqua"/>
          <w:b/>
          <w:color w:val="000000"/>
          <w:sz w:val="24"/>
          <w:vertAlign w:val="superscript"/>
        </w:rPr>
        <w:t xml:space="preserve"> </w:t>
      </w:r>
      <w:r>
        <w:rPr>
          <w:rFonts w:ascii="Book Antiqua" w:hAnsi="Book Antiqua" w:cs="Arial"/>
          <w:bCs/>
          <w:color w:val="000000"/>
          <w:kern w:val="24"/>
          <w:sz w:val="24"/>
        </w:rPr>
        <w:t>Department of Physiology and Pathophysiology, School of Basic Medical Sciences, Capital Medical University, Beijing 100069, China</w:t>
      </w:r>
    </w:p>
    <w:p w:rsidR="006523F7" w:rsidRDefault="006523F7">
      <w:pPr>
        <w:pStyle w:val="1"/>
        <w:adjustRightInd w:val="0"/>
        <w:snapToGrid w:val="0"/>
        <w:spacing w:line="360" w:lineRule="auto"/>
        <w:jc w:val="both"/>
        <w:rPr>
          <w:rFonts w:ascii="Book Antiqua" w:hAnsi="Book Antiqua"/>
          <w:b/>
          <w:sz w:val="24"/>
          <w:szCs w:val="24"/>
          <w:lang w:val="en-US"/>
        </w:rPr>
      </w:pPr>
      <w:bookmarkStart w:id="24" w:name="OLE_LINK219"/>
      <w:bookmarkStart w:id="25" w:name="OLE_LINK170"/>
      <w:bookmarkStart w:id="26" w:name="OLE_LINK167"/>
      <w:bookmarkStart w:id="27" w:name="OLE_LINK487"/>
    </w:p>
    <w:p w:rsidR="006523F7" w:rsidRDefault="006523F7">
      <w:pPr>
        <w:pStyle w:val="1"/>
        <w:adjustRightInd w:val="0"/>
        <w:snapToGrid w:val="0"/>
        <w:spacing w:line="360" w:lineRule="auto"/>
        <w:jc w:val="both"/>
        <w:rPr>
          <w:rFonts w:ascii="Book Antiqua" w:hAnsi="Book Antiqua"/>
          <w:bCs/>
          <w:kern w:val="24"/>
          <w:sz w:val="24"/>
          <w:szCs w:val="24"/>
          <w:lang w:val="en-US" w:eastAsia="zh-CN"/>
        </w:rPr>
      </w:pPr>
      <w:r>
        <w:rPr>
          <w:rFonts w:ascii="Book Antiqua" w:hAnsi="Book Antiqua"/>
          <w:b/>
          <w:sz w:val="24"/>
          <w:szCs w:val="24"/>
          <w:lang w:val="en-US"/>
        </w:rPr>
        <w:t>ORCID number:</w:t>
      </w:r>
      <w:r>
        <w:rPr>
          <w:rFonts w:ascii="Book Antiqua" w:hAnsi="Book Antiqua"/>
          <w:b/>
          <w:sz w:val="24"/>
          <w:szCs w:val="24"/>
          <w:lang w:val="en-US" w:eastAsia="zh-CN"/>
        </w:rPr>
        <w:t xml:space="preserve"> </w:t>
      </w:r>
      <w:bookmarkEnd w:id="24"/>
      <w:bookmarkEnd w:id="25"/>
      <w:bookmarkEnd w:id="26"/>
      <w:r>
        <w:rPr>
          <w:rFonts w:ascii="Book Antiqua" w:hAnsi="Book Antiqua"/>
          <w:bCs/>
          <w:kern w:val="24"/>
          <w:sz w:val="24"/>
          <w:szCs w:val="24"/>
          <w:lang w:val="en-US" w:eastAsia="zh-CN"/>
        </w:rPr>
        <w:t>Yang-Hui Bi (0000-0002-3039-6072); Wen-Qi Han (0000-0003-3106-4210); Ruo-Fei Li (0000-0001-6733-1486); Yun-Jiao Wang (0000-0002-1778-5735); Zun-Shu Du (0000-0002-1516-816X); Xue-Jiang Wang (0000-0003-4772-7365); Ying Jiang (0000-0001-5908-0904)</w:t>
      </w:r>
      <w:bookmarkEnd w:id="27"/>
      <w:r>
        <w:rPr>
          <w:rFonts w:ascii="Book Antiqua" w:hAnsi="Book Antiqua"/>
          <w:bCs/>
          <w:kern w:val="24"/>
          <w:sz w:val="24"/>
          <w:szCs w:val="24"/>
          <w:lang w:val="en-US" w:eastAsia="zh-CN"/>
        </w:rPr>
        <w:t>.</w:t>
      </w:r>
    </w:p>
    <w:p w:rsidR="006523F7" w:rsidRDefault="006523F7">
      <w:pPr>
        <w:pStyle w:val="1"/>
        <w:adjustRightInd w:val="0"/>
        <w:snapToGrid w:val="0"/>
        <w:spacing w:line="360" w:lineRule="auto"/>
        <w:jc w:val="both"/>
        <w:rPr>
          <w:rStyle w:val="a4"/>
          <w:rFonts w:ascii="Book Antiqua" w:hAnsi="Book Antiqua" w:cs="Times New Roman"/>
          <w:sz w:val="24"/>
          <w:szCs w:val="24"/>
          <w:lang w:val="en-US" w:eastAsia="zh-CN"/>
        </w:rPr>
      </w:pPr>
    </w:p>
    <w:p w:rsidR="006523F7" w:rsidRDefault="006523F7">
      <w:pPr>
        <w:adjustRightInd w:val="0"/>
        <w:snapToGrid w:val="0"/>
        <w:spacing w:line="360" w:lineRule="auto"/>
        <w:rPr>
          <w:rFonts w:ascii="Book Antiqua" w:hAnsi="Book Antiqua" w:cs="Arial"/>
          <w:bCs/>
          <w:color w:val="000000"/>
          <w:kern w:val="24"/>
          <w:sz w:val="24"/>
        </w:rPr>
      </w:pPr>
      <w:r>
        <w:rPr>
          <w:rFonts w:ascii="Book Antiqua" w:hAnsi="Book Antiqua" w:cs="Arial"/>
          <w:b/>
          <w:bCs/>
          <w:color w:val="000000"/>
          <w:kern w:val="24"/>
          <w:sz w:val="24"/>
        </w:rPr>
        <w:t>Author contributions:</w:t>
      </w:r>
      <w:r>
        <w:rPr>
          <w:rFonts w:ascii="Book Antiqua" w:hAnsi="Book Antiqua" w:cs="Arial"/>
          <w:bCs/>
          <w:color w:val="000000"/>
          <w:kern w:val="24"/>
          <w:sz w:val="24"/>
        </w:rPr>
        <w:t xml:space="preserve"> Bi YH and Han WQ contributed equally to this work; Jiang Y and Wang XJ designed the research; Jiang Y, Bi YH, Han WQ, Li RF, Wang XJ, and Du ZS performed the research; Jiang Y contributed new reagents or analytic tools; Jiang Y, Bi YH, and Han WQ analyzed the data and wrote the paper; all of the authors have read and approved the final manuscript.</w:t>
      </w:r>
    </w:p>
    <w:p w:rsidR="006523F7" w:rsidRDefault="006523F7">
      <w:pPr>
        <w:adjustRightInd w:val="0"/>
        <w:snapToGrid w:val="0"/>
        <w:spacing w:line="360" w:lineRule="auto"/>
        <w:rPr>
          <w:rFonts w:ascii="Book Antiqua" w:hAnsi="Book Antiqua"/>
          <w:color w:val="000000"/>
          <w:sz w:val="24"/>
        </w:rPr>
      </w:pPr>
    </w:p>
    <w:p w:rsidR="006523F7" w:rsidRDefault="006523F7">
      <w:pPr>
        <w:adjustRightInd w:val="0"/>
        <w:snapToGrid w:val="0"/>
        <w:spacing w:line="360" w:lineRule="auto"/>
        <w:rPr>
          <w:rFonts w:ascii="Book Antiqua" w:hAnsi="Book Antiqua" w:cs="Arial"/>
          <w:bCs/>
          <w:color w:val="000000"/>
          <w:kern w:val="24"/>
          <w:sz w:val="24"/>
        </w:rPr>
      </w:pPr>
      <w:r>
        <w:rPr>
          <w:rFonts w:ascii="Book Antiqua" w:hAnsi="Book Antiqua" w:cs="Arial"/>
          <w:b/>
          <w:bCs/>
          <w:color w:val="000000"/>
          <w:kern w:val="24"/>
          <w:sz w:val="24"/>
        </w:rPr>
        <w:lastRenderedPageBreak/>
        <w:t>Supported by</w:t>
      </w:r>
      <w:r>
        <w:rPr>
          <w:rFonts w:ascii="Book Antiqua" w:hAnsi="Book Antiqua"/>
          <w:color w:val="000000"/>
          <w:sz w:val="24"/>
        </w:rPr>
        <w:t xml:space="preserve"> </w:t>
      </w:r>
      <w:r>
        <w:rPr>
          <w:rFonts w:ascii="Book Antiqua" w:hAnsi="Book Antiqua" w:cs="Arial"/>
          <w:bCs/>
          <w:color w:val="000000"/>
          <w:kern w:val="24"/>
          <w:sz w:val="24"/>
        </w:rPr>
        <w:t>the National Natural Science Foundation of China, No. 81070319; the Beijing Natural Science Foundation of China, No. 7102013; and the Beijing Municipal Education Commission Research Program, China, No. KM201610025004.</w:t>
      </w:r>
    </w:p>
    <w:p w:rsidR="006523F7" w:rsidRDefault="006523F7">
      <w:pPr>
        <w:pStyle w:val="1"/>
        <w:adjustRightInd w:val="0"/>
        <w:snapToGrid w:val="0"/>
        <w:spacing w:line="360" w:lineRule="auto"/>
        <w:jc w:val="both"/>
        <w:rPr>
          <w:rFonts w:ascii="Book Antiqua" w:hAnsi="Book Antiqua"/>
          <w:sz w:val="24"/>
          <w:szCs w:val="24"/>
          <w:lang w:val="en-US"/>
        </w:rPr>
      </w:pPr>
    </w:p>
    <w:p w:rsidR="006523F7" w:rsidRDefault="006523F7">
      <w:pPr>
        <w:pStyle w:val="1"/>
        <w:adjustRightInd w:val="0"/>
        <w:snapToGrid w:val="0"/>
        <w:spacing w:line="360" w:lineRule="auto"/>
        <w:jc w:val="both"/>
        <w:rPr>
          <w:rFonts w:ascii="Book Antiqua" w:hAnsi="Book Antiqua" w:cs="Times New Roman"/>
          <w:b/>
          <w:bCs/>
          <w:iCs/>
          <w:sz w:val="24"/>
          <w:szCs w:val="24"/>
          <w:lang w:val="en-US" w:eastAsia="zh-CN"/>
        </w:rPr>
      </w:pPr>
      <w:r>
        <w:rPr>
          <w:rFonts w:ascii="Book Antiqua" w:hAnsi="Book Antiqua" w:cs="Times New Roman"/>
          <w:b/>
          <w:bCs/>
          <w:iCs/>
          <w:sz w:val="24"/>
          <w:szCs w:val="24"/>
          <w:lang w:val="en-US" w:eastAsia="zh-CN"/>
        </w:rPr>
        <w:t>Institutional animal care and use committee statement:</w:t>
      </w:r>
      <w:r>
        <w:rPr>
          <w:rStyle w:val="a4"/>
          <w:rFonts w:ascii="Book Antiqua" w:hAnsi="Book Antiqua"/>
          <w:sz w:val="24"/>
          <w:szCs w:val="24"/>
          <w:lang w:val="en-US" w:eastAsia="zh-CN"/>
        </w:rPr>
        <w:t xml:space="preserve"> </w:t>
      </w:r>
      <w:r>
        <w:rPr>
          <w:rFonts w:ascii="Book Antiqua" w:hAnsi="Book Antiqua"/>
          <w:bCs/>
          <w:sz w:val="24"/>
          <w:szCs w:val="24"/>
          <w:lang w:val="en-US"/>
        </w:rPr>
        <w:t>All procedures involving animals were reviewed and approved by the Institutional Animal Care and Use Committee of the Capital Medical University [IACUC protocol number: (AEEI-2016-118)</w:t>
      </w:r>
      <w:r>
        <w:rPr>
          <w:rStyle w:val="a4"/>
          <w:rFonts w:ascii="Book Antiqua" w:hAnsi="Book Antiqua" w:cs="Times New Roman"/>
          <w:bCs/>
          <w:sz w:val="24"/>
          <w:szCs w:val="24"/>
          <w:lang w:val="en-US"/>
        </w:rPr>
        <w:t xml:space="preserve">]. </w:t>
      </w:r>
      <w:bookmarkStart w:id="28" w:name="OLE_LINK224"/>
      <w:bookmarkStart w:id="29" w:name="OLE_LINK474"/>
      <w:bookmarkStart w:id="30" w:name="OLE_LINK328"/>
      <w:bookmarkStart w:id="31" w:name="OLE_LINK472"/>
    </w:p>
    <w:bookmarkEnd w:id="28"/>
    <w:p w:rsidR="006523F7" w:rsidRDefault="006523F7">
      <w:pPr>
        <w:pStyle w:val="1"/>
        <w:adjustRightInd w:val="0"/>
        <w:snapToGrid w:val="0"/>
        <w:spacing w:line="360" w:lineRule="auto"/>
        <w:jc w:val="both"/>
        <w:rPr>
          <w:rFonts w:ascii="Book Antiqua" w:hAnsi="Book Antiqua" w:cs="Times New Roman"/>
          <w:b/>
          <w:bCs/>
          <w:iCs/>
          <w:sz w:val="24"/>
          <w:szCs w:val="24"/>
          <w:lang w:val="en-US" w:eastAsia="zh-CN"/>
        </w:rPr>
      </w:pPr>
    </w:p>
    <w:p w:rsidR="006523F7" w:rsidRDefault="006523F7">
      <w:pPr>
        <w:pStyle w:val="1"/>
        <w:adjustRightInd w:val="0"/>
        <w:snapToGrid w:val="0"/>
        <w:spacing w:line="360" w:lineRule="auto"/>
        <w:jc w:val="both"/>
        <w:rPr>
          <w:rFonts w:ascii="Book Antiqua" w:hAnsi="Book Antiqua" w:cs="Times New Roman"/>
          <w:b/>
          <w:bCs/>
          <w:iCs/>
          <w:sz w:val="24"/>
          <w:szCs w:val="24"/>
          <w:lang w:val="en-US" w:eastAsia="zh-CN"/>
        </w:rPr>
      </w:pPr>
      <w:bookmarkStart w:id="32" w:name="OLE_LINK236"/>
      <w:bookmarkStart w:id="33" w:name="OLE_LINK235"/>
      <w:bookmarkStart w:id="34" w:name="OLE_LINK796"/>
      <w:bookmarkStart w:id="35" w:name="OLE_LINK795"/>
      <w:bookmarkStart w:id="36" w:name="OLE_LINK684"/>
      <w:bookmarkStart w:id="37" w:name="OLE_LINK725"/>
      <w:bookmarkStart w:id="38" w:name="OLE_LINK724"/>
      <w:r>
        <w:rPr>
          <w:rFonts w:ascii="Book Antiqua" w:hAnsi="Book Antiqua" w:cs="Times New Roman"/>
          <w:b/>
          <w:bCs/>
          <w:iCs/>
          <w:sz w:val="24"/>
          <w:szCs w:val="24"/>
          <w:lang w:val="en-US" w:eastAsia="zh-CN"/>
        </w:rPr>
        <w:t xml:space="preserve">Conflict-of-interest statement: </w:t>
      </w:r>
      <w:r>
        <w:rPr>
          <w:rFonts w:ascii="Book Antiqua" w:hAnsi="Book Antiqua" w:cs="Times New Roman"/>
          <w:iCs/>
          <w:sz w:val="24"/>
          <w:szCs w:val="24"/>
          <w:lang w:val="en-US" w:eastAsia="zh-CN"/>
        </w:rPr>
        <w:t>The authors have no conflicts of interest to declare.</w:t>
      </w:r>
    </w:p>
    <w:bookmarkEnd w:id="32"/>
    <w:bookmarkEnd w:id="33"/>
    <w:bookmarkEnd w:id="36"/>
    <w:p w:rsidR="006523F7" w:rsidRDefault="006523F7">
      <w:pPr>
        <w:pStyle w:val="1"/>
        <w:adjustRightInd w:val="0"/>
        <w:snapToGrid w:val="0"/>
        <w:spacing w:line="360" w:lineRule="auto"/>
        <w:jc w:val="both"/>
        <w:rPr>
          <w:rFonts w:ascii="Book Antiqua" w:hAnsi="Book Antiqua" w:cs="Times New Roman"/>
          <w:b/>
          <w:bCs/>
          <w:iCs/>
          <w:sz w:val="24"/>
          <w:szCs w:val="24"/>
          <w:lang w:val="en-US" w:eastAsia="zh-CN"/>
        </w:rPr>
      </w:pPr>
    </w:p>
    <w:p w:rsidR="006523F7" w:rsidRDefault="006523F7">
      <w:pPr>
        <w:pStyle w:val="1"/>
        <w:adjustRightInd w:val="0"/>
        <w:snapToGrid w:val="0"/>
        <w:spacing w:line="360" w:lineRule="auto"/>
        <w:jc w:val="both"/>
        <w:outlineLvl w:val="0"/>
        <w:rPr>
          <w:rFonts w:ascii="Book Antiqua" w:hAnsi="Book Antiqua" w:cs="Times New Roman"/>
          <w:b/>
          <w:bCs/>
          <w:iCs/>
          <w:sz w:val="24"/>
          <w:szCs w:val="24"/>
          <w:lang w:val="en-US" w:eastAsia="zh-CN"/>
        </w:rPr>
      </w:pPr>
      <w:bookmarkStart w:id="39" w:name="OLE_LINK824"/>
      <w:bookmarkStart w:id="40" w:name="OLE_LINK825"/>
      <w:bookmarkStart w:id="41" w:name="OLE_LINK186"/>
      <w:bookmarkStart w:id="42" w:name="OLE_LINK765"/>
      <w:bookmarkStart w:id="43" w:name="OLE_LINK587"/>
      <w:r>
        <w:rPr>
          <w:rFonts w:ascii="Book Antiqua" w:hAnsi="Book Antiqua" w:cs="Times New Roman"/>
          <w:b/>
          <w:bCs/>
          <w:iCs/>
          <w:sz w:val="24"/>
          <w:szCs w:val="24"/>
          <w:lang w:val="en-US" w:eastAsia="zh-CN"/>
        </w:rPr>
        <w:t>Data sharing statement:</w:t>
      </w:r>
      <w:bookmarkEnd w:id="34"/>
      <w:bookmarkEnd w:id="35"/>
      <w:bookmarkEnd w:id="39"/>
      <w:bookmarkEnd w:id="40"/>
      <w:r>
        <w:rPr>
          <w:rFonts w:ascii="Book Antiqua" w:hAnsi="Book Antiqua" w:cs="Times New Roman"/>
          <w:b/>
          <w:bCs/>
          <w:iCs/>
          <w:sz w:val="24"/>
          <w:szCs w:val="24"/>
          <w:lang w:val="en-US" w:eastAsia="zh-CN"/>
        </w:rPr>
        <w:t xml:space="preserve"> </w:t>
      </w:r>
      <w:r>
        <w:rPr>
          <w:rFonts w:ascii="Book Antiqua" w:hAnsi="Book Antiqua" w:cs="Times New Roman"/>
          <w:iCs/>
          <w:sz w:val="24"/>
          <w:szCs w:val="24"/>
          <w:lang w:val="en-US" w:eastAsia="zh-CN"/>
        </w:rPr>
        <w:t>The manuscript has no additional data available.</w:t>
      </w:r>
    </w:p>
    <w:bookmarkEnd w:id="29"/>
    <w:bookmarkEnd w:id="30"/>
    <w:bookmarkEnd w:id="31"/>
    <w:bookmarkEnd w:id="37"/>
    <w:bookmarkEnd w:id="38"/>
    <w:bookmarkEnd w:id="41"/>
    <w:bookmarkEnd w:id="42"/>
    <w:bookmarkEnd w:id="43"/>
    <w:p w:rsidR="006523F7" w:rsidRDefault="006523F7">
      <w:pPr>
        <w:pStyle w:val="1"/>
        <w:adjustRightInd w:val="0"/>
        <w:snapToGrid w:val="0"/>
        <w:spacing w:line="360" w:lineRule="auto"/>
        <w:jc w:val="both"/>
        <w:rPr>
          <w:rFonts w:ascii="Book Antiqua" w:hAnsi="Book Antiqua" w:cs="Times New Roman"/>
          <w:b/>
          <w:bCs/>
          <w:sz w:val="24"/>
          <w:szCs w:val="24"/>
          <w:lang w:val="en-US" w:eastAsia="zh-CN"/>
        </w:rPr>
      </w:pPr>
    </w:p>
    <w:p w:rsidR="006523F7" w:rsidRDefault="006523F7">
      <w:pPr>
        <w:pStyle w:val="1"/>
        <w:adjustRightInd w:val="0"/>
        <w:snapToGrid w:val="0"/>
        <w:spacing w:line="360" w:lineRule="auto"/>
        <w:jc w:val="both"/>
        <w:rPr>
          <w:rFonts w:ascii="Book Antiqua" w:hAnsi="Book Antiqua"/>
          <w:bCs/>
          <w:sz w:val="24"/>
          <w:szCs w:val="24"/>
          <w:lang w:val="en-US"/>
        </w:rPr>
      </w:pPr>
      <w:r>
        <w:rPr>
          <w:rFonts w:ascii="Book Antiqua" w:hAnsi="Book Antiqua"/>
          <w:b/>
          <w:sz w:val="24"/>
          <w:szCs w:val="24"/>
          <w:lang w:val="en-US"/>
        </w:rPr>
        <w:t>ARRIVE guidelines statement:</w:t>
      </w:r>
      <w:r>
        <w:rPr>
          <w:rFonts w:ascii="Book Antiqua" w:hAnsi="Book Antiqua"/>
          <w:b/>
          <w:sz w:val="24"/>
          <w:szCs w:val="24"/>
          <w:lang w:val="en-US" w:eastAsia="zh-CN"/>
        </w:rPr>
        <w:t xml:space="preserve"> </w:t>
      </w:r>
      <w:r>
        <w:rPr>
          <w:rFonts w:ascii="Book Antiqua" w:hAnsi="Book Antiqua"/>
          <w:bCs/>
          <w:sz w:val="24"/>
          <w:szCs w:val="24"/>
          <w:lang w:val="en-US"/>
        </w:rPr>
        <w:t>The authors have read the ARRIVE guidelines, and the manuscript was prepared and revised according to the ARRIVE guidelines</w:t>
      </w:r>
      <w:r>
        <w:rPr>
          <w:rFonts w:ascii="Book Antiqua" w:hAnsi="Book Antiqua"/>
          <w:bCs/>
          <w:sz w:val="24"/>
          <w:szCs w:val="24"/>
          <w:lang w:val="en-US" w:eastAsia="zh-CN"/>
        </w:rPr>
        <w:t>.</w:t>
      </w:r>
    </w:p>
    <w:p w:rsidR="006523F7" w:rsidRDefault="006523F7">
      <w:pPr>
        <w:pStyle w:val="1"/>
        <w:adjustRightInd w:val="0"/>
        <w:snapToGrid w:val="0"/>
        <w:spacing w:line="360" w:lineRule="auto"/>
        <w:jc w:val="both"/>
        <w:rPr>
          <w:rFonts w:ascii="Book Antiqua" w:hAnsi="Book Antiqua"/>
          <w:b/>
          <w:sz w:val="24"/>
          <w:szCs w:val="24"/>
          <w:lang w:val="en-US"/>
        </w:rPr>
      </w:pPr>
    </w:p>
    <w:p w:rsidR="006523F7" w:rsidRDefault="006523F7">
      <w:pPr>
        <w:widowControl/>
        <w:snapToGrid w:val="0"/>
        <w:spacing w:line="360" w:lineRule="auto"/>
        <w:rPr>
          <w:rFonts w:ascii="Book Antiqua" w:hAnsi="Book Antiqua" w:hint="eastAsia"/>
          <w:kern w:val="0"/>
          <w:sz w:val="24"/>
        </w:rPr>
      </w:pPr>
      <w:bookmarkStart w:id="44" w:name="OLE_LINK375"/>
      <w:bookmarkStart w:id="45" w:name="OLE_LINK381"/>
      <w:bookmarkStart w:id="46" w:name="OLE_LINK413"/>
      <w:bookmarkStart w:id="47" w:name="OLE_LINK146"/>
      <w:bookmarkStart w:id="48" w:name="OLE_LINK568"/>
      <w:bookmarkStart w:id="49" w:name="OLE_LINK594"/>
      <w:r>
        <w:rPr>
          <w:rFonts w:ascii="Book Antiqua" w:hAnsi="Book Antiqua"/>
          <w:b/>
          <w:color w:val="000000"/>
          <w:kern w:val="0"/>
          <w:sz w:val="24"/>
        </w:rPr>
        <w:t xml:space="preserve">Open-Access: </w:t>
      </w:r>
      <w:r>
        <w:rPr>
          <w:rFonts w:ascii="Book Antiqua" w:hAnsi="Book Antiqua"/>
          <w:color w:val="000000"/>
          <w:kern w:val="0"/>
          <w:sz w:val="24"/>
        </w:rPr>
        <w:t xml:space="preserve">This is an </w:t>
      </w:r>
      <w:r>
        <w:rPr>
          <w:rFonts w:ascii="Book Antiqua" w:hAnsi="Book Antiqua" w:cs="宋体"/>
          <w:kern w:val="0"/>
          <w:sz w:val="24"/>
        </w:rPr>
        <w:t xml:space="preserve">open-access article that was </w:t>
      </w:r>
      <w:r>
        <w:rPr>
          <w:rFonts w:ascii="Book Antiqua" w:hAnsi="Book Antiqua"/>
          <w:kern w:val="0"/>
          <w:sz w:val="24"/>
        </w:rPr>
        <w:t xml:space="preserve">selected by an in-house editor and fully peer-reviewed by external reviewers. It is </w:t>
      </w:r>
      <w:r>
        <w:rPr>
          <w:rFonts w:ascii="Book Antiqua" w:hAnsi="Book Antiqua" w:cs="宋体"/>
          <w:kern w:val="0"/>
          <w:sz w:val="24"/>
        </w:rPr>
        <w:t xml:space="preserve">distributed in accordance with </w:t>
      </w:r>
      <w:r>
        <w:rPr>
          <w:rFonts w:ascii="Book Antiqua" w:hAnsi="Book Antiqua"/>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color w:val="0000FF"/>
          <w:kern w:val="0"/>
          <w:sz w:val="24"/>
          <w:u w:val="single"/>
        </w:rPr>
        <w:t>http://creativecommons.org/licenses/by-nc/4.0/</w:t>
      </w:r>
    </w:p>
    <w:p w:rsidR="006523F7" w:rsidRDefault="006523F7">
      <w:pPr>
        <w:widowControl/>
        <w:snapToGrid w:val="0"/>
        <w:spacing w:line="360" w:lineRule="auto"/>
        <w:rPr>
          <w:rFonts w:ascii="Book Antiqua" w:hAnsi="Book Antiqua"/>
          <w:kern w:val="0"/>
          <w:sz w:val="24"/>
        </w:rPr>
      </w:pPr>
    </w:p>
    <w:p w:rsidR="006523F7" w:rsidRDefault="006523F7">
      <w:pPr>
        <w:adjustRightInd w:val="0"/>
        <w:snapToGrid w:val="0"/>
        <w:spacing w:line="360" w:lineRule="auto"/>
        <w:rPr>
          <w:rFonts w:ascii="Book Antiqua" w:hAnsi="Book Antiqua"/>
          <w:bCs/>
          <w:kern w:val="0"/>
          <w:sz w:val="24"/>
        </w:rPr>
      </w:pPr>
      <w:r>
        <w:rPr>
          <w:rFonts w:ascii="Book Antiqua" w:hAnsi="Book Antiqua"/>
          <w:b/>
          <w:bCs/>
          <w:kern w:val="0"/>
          <w:sz w:val="24"/>
          <w:highlight w:val="white"/>
        </w:rPr>
        <w:t>Manuscript source:</w:t>
      </w:r>
      <w:r>
        <w:rPr>
          <w:rFonts w:ascii="Book Antiqua" w:hAnsi="Book Antiqua" w:hint="eastAsia"/>
          <w:b/>
          <w:bCs/>
          <w:kern w:val="0"/>
          <w:sz w:val="24"/>
          <w:highlight w:val="white"/>
        </w:rPr>
        <w:t xml:space="preserve"> </w:t>
      </w:r>
      <w:r>
        <w:rPr>
          <w:rFonts w:ascii="Book Antiqua" w:hAnsi="Book Antiqua"/>
          <w:bCs/>
          <w:kern w:val="0"/>
          <w:sz w:val="24"/>
          <w:highlight w:val="white"/>
        </w:rPr>
        <w:t>Unsolicited manuscript</w:t>
      </w:r>
      <w:bookmarkEnd w:id="44"/>
      <w:bookmarkEnd w:id="45"/>
      <w:bookmarkEnd w:id="46"/>
      <w:bookmarkEnd w:id="47"/>
      <w:bookmarkEnd w:id="48"/>
      <w:bookmarkEnd w:id="49"/>
    </w:p>
    <w:p w:rsidR="006523F7" w:rsidRDefault="006523F7">
      <w:pPr>
        <w:adjustRightInd w:val="0"/>
        <w:snapToGrid w:val="0"/>
        <w:spacing w:line="360" w:lineRule="auto"/>
        <w:rPr>
          <w:rFonts w:ascii="Book Antiqua" w:hAnsi="Book Antiqua" w:cs="Arial"/>
          <w:bCs/>
          <w:color w:val="000000"/>
          <w:kern w:val="0"/>
          <w:sz w:val="24"/>
          <w:lang w:eastAsia="pl-PL"/>
        </w:rPr>
      </w:pPr>
    </w:p>
    <w:p w:rsidR="006523F7" w:rsidRDefault="006523F7">
      <w:pPr>
        <w:adjustRightInd w:val="0"/>
        <w:snapToGrid w:val="0"/>
        <w:spacing w:line="360" w:lineRule="auto"/>
        <w:rPr>
          <w:rFonts w:ascii="Book Antiqua" w:hAnsi="Book Antiqua" w:cs="Arial"/>
          <w:bCs/>
          <w:color w:val="000000"/>
          <w:kern w:val="24"/>
          <w:sz w:val="24"/>
        </w:rPr>
      </w:pPr>
      <w:bookmarkStart w:id="50" w:name="OLE_LINK294"/>
      <w:bookmarkStart w:id="51" w:name="OLE_LINK295"/>
      <w:bookmarkStart w:id="52" w:name="OLE_LINK153"/>
      <w:bookmarkStart w:id="53" w:name="OLE_LINK152"/>
      <w:r>
        <w:rPr>
          <w:rFonts w:ascii="Book Antiqua" w:hAnsi="Book Antiqua"/>
          <w:b/>
          <w:bCs/>
          <w:color w:val="000000"/>
          <w:sz w:val="24"/>
        </w:rPr>
        <w:t>Corresponding author:</w:t>
      </w:r>
      <w:bookmarkEnd w:id="50"/>
      <w:bookmarkEnd w:id="51"/>
      <w:r>
        <w:rPr>
          <w:rFonts w:ascii="Book Antiqua" w:hAnsi="Book Antiqua"/>
          <w:b/>
          <w:bCs/>
          <w:color w:val="000000"/>
          <w:sz w:val="24"/>
        </w:rPr>
        <w:t xml:space="preserve"> </w:t>
      </w:r>
      <w:bookmarkEnd w:id="52"/>
      <w:bookmarkEnd w:id="53"/>
      <w:r>
        <w:rPr>
          <w:rFonts w:ascii="Book Antiqua" w:hAnsi="Book Antiqua" w:cs="Arial"/>
          <w:b/>
          <w:bCs/>
          <w:color w:val="000000"/>
          <w:kern w:val="24"/>
          <w:sz w:val="24"/>
        </w:rPr>
        <w:t>Ying Jiang, PhD, Professor,</w:t>
      </w:r>
      <w:r>
        <w:rPr>
          <w:rFonts w:ascii="Book Antiqua" w:hAnsi="Book Antiqua"/>
          <w:color w:val="000000"/>
          <w:sz w:val="24"/>
        </w:rPr>
        <w:t xml:space="preserve"> </w:t>
      </w:r>
      <w:r>
        <w:rPr>
          <w:rFonts w:ascii="Book Antiqua" w:hAnsi="Book Antiqua" w:cs="Arial"/>
          <w:bCs/>
          <w:color w:val="000000"/>
          <w:kern w:val="24"/>
          <w:sz w:val="24"/>
        </w:rPr>
        <w:t xml:space="preserve">Department of Physiology and Pathophysiology, School of Basic Medical Sciences, Capital </w:t>
      </w:r>
      <w:r>
        <w:rPr>
          <w:rFonts w:ascii="Book Antiqua" w:hAnsi="Book Antiqua" w:cs="Arial"/>
          <w:bCs/>
          <w:color w:val="000000"/>
          <w:kern w:val="24"/>
          <w:sz w:val="24"/>
        </w:rPr>
        <w:lastRenderedPageBreak/>
        <w:t xml:space="preserve">Medical University, No. 10, Xitoutiao, You An Men Wai, Beijing 100069, China. </w:t>
      </w:r>
      <w:r w:rsidRPr="00BB21F7">
        <w:rPr>
          <w:rFonts w:ascii="Book Antiqua" w:hAnsi="Book Antiqua" w:cs="Arial"/>
          <w:bCs/>
          <w:color w:val="000000"/>
          <w:kern w:val="24"/>
          <w:sz w:val="24"/>
        </w:rPr>
        <w:t>jiangy@ccmu.edu.cn</w:t>
      </w:r>
    </w:p>
    <w:p w:rsidR="006523F7" w:rsidRDefault="006523F7">
      <w:pPr>
        <w:adjustRightInd w:val="0"/>
        <w:snapToGrid w:val="0"/>
        <w:spacing w:line="360" w:lineRule="auto"/>
        <w:outlineLvl w:val="0"/>
        <w:rPr>
          <w:rFonts w:ascii="Book Antiqua" w:hAnsi="Book Antiqua"/>
          <w:b/>
          <w:color w:val="000000"/>
          <w:sz w:val="24"/>
        </w:rPr>
      </w:pPr>
      <w:r>
        <w:rPr>
          <w:rFonts w:ascii="Book Antiqua" w:hAnsi="Book Antiqua" w:cs="Arial"/>
          <w:b/>
          <w:bCs/>
          <w:color w:val="000000"/>
          <w:kern w:val="24"/>
          <w:sz w:val="24"/>
        </w:rPr>
        <w:t xml:space="preserve">Telephone: </w:t>
      </w:r>
      <w:r>
        <w:rPr>
          <w:rFonts w:ascii="Book Antiqua" w:hAnsi="Book Antiqua" w:cs="宋体"/>
          <w:color w:val="000000"/>
          <w:sz w:val="24"/>
        </w:rPr>
        <w:t>+86-10-83911687</w:t>
      </w:r>
    </w:p>
    <w:p w:rsidR="006523F7" w:rsidRDefault="006523F7">
      <w:pPr>
        <w:adjustRightInd w:val="0"/>
        <w:snapToGrid w:val="0"/>
        <w:spacing w:line="360" w:lineRule="auto"/>
        <w:rPr>
          <w:rFonts w:ascii="Book Antiqua" w:hAnsi="Book Antiqua"/>
          <w:b/>
          <w:color w:val="000000"/>
          <w:sz w:val="24"/>
        </w:rPr>
      </w:pPr>
    </w:p>
    <w:p w:rsidR="006523F7" w:rsidRDefault="006523F7">
      <w:pPr>
        <w:widowControl/>
        <w:adjustRightInd w:val="0"/>
        <w:snapToGrid w:val="0"/>
        <w:spacing w:line="360" w:lineRule="auto"/>
        <w:rPr>
          <w:rFonts w:ascii="Book Antiqua" w:hAnsi="Book Antiqua"/>
          <w:b/>
          <w:kern w:val="0"/>
          <w:sz w:val="24"/>
        </w:rPr>
      </w:pPr>
      <w:bookmarkStart w:id="54" w:name="OLE_LINK382"/>
      <w:bookmarkStart w:id="55" w:name="OLE_LINK376"/>
      <w:bookmarkStart w:id="56" w:name="OLE_LINK569"/>
      <w:r>
        <w:rPr>
          <w:rFonts w:ascii="Book Antiqua" w:hAnsi="Book Antiqua"/>
          <w:b/>
          <w:kern w:val="0"/>
          <w:sz w:val="24"/>
        </w:rPr>
        <w:t xml:space="preserve">Received: </w:t>
      </w:r>
      <w:r>
        <w:rPr>
          <w:rFonts w:ascii="Book Antiqua" w:hAnsi="Book Antiqua"/>
          <w:kern w:val="0"/>
          <w:sz w:val="24"/>
        </w:rPr>
        <w:t>January</w:t>
      </w:r>
      <w:r>
        <w:rPr>
          <w:rFonts w:ascii="Book Antiqua" w:eastAsia="等线" w:hAnsi="Book Antiqua"/>
          <w:kern w:val="0"/>
          <w:sz w:val="24"/>
        </w:rPr>
        <w:t xml:space="preserve"> 27, 2019</w:t>
      </w:r>
    </w:p>
    <w:p w:rsidR="006523F7" w:rsidRDefault="006523F7">
      <w:pPr>
        <w:widowControl/>
        <w:adjustRightInd w:val="0"/>
        <w:snapToGrid w:val="0"/>
        <w:spacing w:line="360" w:lineRule="auto"/>
        <w:rPr>
          <w:rFonts w:ascii="Book Antiqua" w:eastAsia="等线" w:hAnsi="Book Antiqua"/>
          <w:b/>
          <w:kern w:val="0"/>
          <w:sz w:val="24"/>
        </w:rPr>
      </w:pPr>
      <w:r>
        <w:rPr>
          <w:rFonts w:ascii="Book Antiqua" w:hAnsi="Book Antiqua"/>
          <w:b/>
          <w:kern w:val="0"/>
          <w:sz w:val="24"/>
        </w:rPr>
        <w:t>Peer-review started:</w:t>
      </w:r>
      <w:r>
        <w:rPr>
          <w:rFonts w:ascii="Book Antiqua" w:eastAsia="等线" w:hAnsi="Book Antiqua"/>
          <w:b/>
          <w:kern w:val="0"/>
          <w:sz w:val="24"/>
        </w:rPr>
        <w:t xml:space="preserve"> </w:t>
      </w:r>
      <w:r>
        <w:rPr>
          <w:rFonts w:ascii="Book Antiqua" w:hAnsi="Book Antiqua"/>
          <w:kern w:val="0"/>
          <w:sz w:val="24"/>
        </w:rPr>
        <w:t>January</w:t>
      </w:r>
      <w:r>
        <w:rPr>
          <w:rFonts w:ascii="Book Antiqua" w:eastAsia="等线" w:hAnsi="Book Antiqua"/>
          <w:kern w:val="0"/>
          <w:sz w:val="24"/>
        </w:rPr>
        <w:t xml:space="preserve"> 27, 2019</w:t>
      </w:r>
    </w:p>
    <w:p w:rsidR="006523F7" w:rsidRDefault="006523F7">
      <w:pPr>
        <w:widowControl/>
        <w:adjustRightInd w:val="0"/>
        <w:snapToGrid w:val="0"/>
        <w:spacing w:line="360" w:lineRule="auto"/>
        <w:rPr>
          <w:rFonts w:ascii="Book Antiqua" w:eastAsia="等线" w:hAnsi="Book Antiqua"/>
          <w:b/>
          <w:kern w:val="0"/>
          <w:sz w:val="24"/>
        </w:rPr>
      </w:pPr>
      <w:r>
        <w:rPr>
          <w:rFonts w:ascii="Book Antiqua" w:hAnsi="Book Antiqua"/>
          <w:b/>
          <w:kern w:val="0"/>
          <w:sz w:val="24"/>
        </w:rPr>
        <w:t>First decision:</w:t>
      </w:r>
      <w:r>
        <w:rPr>
          <w:rFonts w:ascii="Book Antiqua" w:eastAsia="等线" w:hAnsi="Book Antiqua"/>
          <w:b/>
          <w:kern w:val="0"/>
          <w:sz w:val="24"/>
        </w:rPr>
        <w:t xml:space="preserve"> </w:t>
      </w:r>
      <w:r>
        <w:rPr>
          <w:rFonts w:ascii="Book Antiqua" w:hAnsi="Book Antiqua"/>
          <w:kern w:val="0"/>
          <w:sz w:val="24"/>
        </w:rPr>
        <w:t>February</w:t>
      </w:r>
      <w:r>
        <w:rPr>
          <w:rFonts w:ascii="Book Antiqua" w:eastAsia="等线" w:hAnsi="Book Antiqua"/>
          <w:kern w:val="0"/>
          <w:sz w:val="24"/>
        </w:rPr>
        <w:t xml:space="preserve"> 26, 2019</w:t>
      </w:r>
    </w:p>
    <w:p w:rsidR="006523F7" w:rsidRDefault="006523F7">
      <w:pPr>
        <w:widowControl/>
        <w:adjustRightInd w:val="0"/>
        <w:snapToGrid w:val="0"/>
        <w:spacing w:line="360" w:lineRule="auto"/>
        <w:rPr>
          <w:rFonts w:ascii="Book Antiqua" w:hAnsi="Book Antiqua"/>
          <w:b/>
          <w:kern w:val="0"/>
          <w:sz w:val="24"/>
        </w:rPr>
      </w:pPr>
      <w:r>
        <w:rPr>
          <w:rFonts w:ascii="Book Antiqua" w:hAnsi="Book Antiqua"/>
          <w:b/>
          <w:kern w:val="0"/>
          <w:sz w:val="24"/>
        </w:rPr>
        <w:t xml:space="preserve">Revised: </w:t>
      </w:r>
      <w:r>
        <w:rPr>
          <w:rFonts w:ascii="Book Antiqua" w:hAnsi="Book Antiqua"/>
          <w:kern w:val="0"/>
          <w:sz w:val="24"/>
        </w:rPr>
        <w:t>March 7, 2019</w:t>
      </w:r>
    </w:p>
    <w:p w:rsidR="006523F7" w:rsidRDefault="006523F7">
      <w:pPr>
        <w:widowControl/>
        <w:adjustRightInd w:val="0"/>
        <w:snapToGrid w:val="0"/>
        <w:spacing w:line="360" w:lineRule="auto"/>
        <w:rPr>
          <w:rFonts w:ascii="Book Antiqua" w:hAnsi="Book Antiqua"/>
          <w:b/>
          <w:kern w:val="0"/>
          <w:sz w:val="24"/>
        </w:rPr>
      </w:pPr>
      <w:r>
        <w:rPr>
          <w:rFonts w:ascii="Book Antiqua" w:hAnsi="Book Antiqua"/>
          <w:b/>
          <w:kern w:val="0"/>
          <w:sz w:val="24"/>
        </w:rPr>
        <w:t>Accepted:</w:t>
      </w:r>
      <w:r>
        <w:t xml:space="preserve"> </w:t>
      </w:r>
      <w:r>
        <w:rPr>
          <w:rFonts w:ascii="Book Antiqua" w:hAnsi="Book Antiqua"/>
          <w:kern w:val="0"/>
          <w:sz w:val="24"/>
        </w:rPr>
        <w:t>March 24, 2019</w:t>
      </w:r>
      <w:r>
        <w:rPr>
          <w:rFonts w:ascii="Book Antiqua" w:hAnsi="Book Antiqua"/>
          <w:b/>
          <w:kern w:val="0"/>
          <w:sz w:val="24"/>
        </w:rPr>
        <w:t xml:space="preserve"> </w:t>
      </w:r>
    </w:p>
    <w:p w:rsidR="006523F7" w:rsidRDefault="006523F7">
      <w:pPr>
        <w:widowControl/>
        <w:adjustRightInd w:val="0"/>
        <w:snapToGrid w:val="0"/>
        <w:spacing w:line="360" w:lineRule="auto"/>
        <w:rPr>
          <w:rFonts w:ascii="Book Antiqua" w:hAnsi="Book Antiqua"/>
          <w:b/>
          <w:kern w:val="0"/>
          <w:sz w:val="24"/>
        </w:rPr>
      </w:pPr>
      <w:r>
        <w:rPr>
          <w:rFonts w:ascii="Book Antiqua" w:hAnsi="Book Antiqua"/>
          <w:b/>
          <w:kern w:val="0"/>
          <w:sz w:val="24"/>
        </w:rPr>
        <w:t>Article in press:</w:t>
      </w:r>
      <w:r w:rsidR="00BB21F7">
        <w:t xml:space="preserve"> </w:t>
      </w:r>
      <w:r w:rsidR="00BB21F7">
        <w:rPr>
          <w:rFonts w:ascii="Book Antiqua" w:hAnsi="Book Antiqua"/>
          <w:kern w:val="0"/>
          <w:sz w:val="24"/>
        </w:rPr>
        <w:t>March 2</w:t>
      </w:r>
      <w:r w:rsidR="00BB21F7">
        <w:rPr>
          <w:rFonts w:ascii="Book Antiqua" w:hAnsi="Book Antiqua"/>
          <w:kern w:val="0"/>
          <w:sz w:val="24"/>
        </w:rPr>
        <w:t>5</w:t>
      </w:r>
      <w:r w:rsidR="00BB21F7">
        <w:rPr>
          <w:rFonts w:ascii="Book Antiqua" w:hAnsi="Book Antiqua"/>
          <w:kern w:val="0"/>
          <w:sz w:val="24"/>
        </w:rPr>
        <w:t>, 2019</w:t>
      </w:r>
    </w:p>
    <w:p w:rsidR="006523F7" w:rsidRDefault="006523F7">
      <w:pPr>
        <w:widowControl/>
        <w:snapToGrid w:val="0"/>
        <w:spacing w:line="360" w:lineRule="auto"/>
        <w:rPr>
          <w:rFonts w:ascii="Book Antiqua" w:hAnsi="Book Antiqua"/>
          <w:color w:val="000000"/>
          <w:kern w:val="0"/>
          <w:sz w:val="24"/>
        </w:rPr>
      </w:pPr>
      <w:r>
        <w:rPr>
          <w:rFonts w:ascii="Book Antiqua" w:hAnsi="Book Antiqua"/>
          <w:b/>
          <w:kern w:val="0"/>
          <w:sz w:val="24"/>
        </w:rPr>
        <w:t>Published online:</w:t>
      </w:r>
      <w:bookmarkEnd w:id="54"/>
      <w:r w:rsidR="00BB21F7">
        <w:t xml:space="preserve"> </w:t>
      </w:r>
      <w:r w:rsidR="00BB21F7">
        <w:rPr>
          <w:rFonts w:ascii="Book Antiqua" w:hAnsi="Book Antiqua" w:hint="eastAsia"/>
          <w:kern w:val="0"/>
          <w:sz w:val="24"/>
        </w:rPr>
        <w:t>April</w:t>
      </w:r>
      <w:r w:rsidR="00BB21F7">
        <w:rPr>
          <w:rFonts w:ascii="Book Antiqua" w:hAnsi="Book Antiqua"/>
          <w:kern w:val="0"/>
          <w:sz w:val="24"/>
        </w:rPr>
        <w:t xml:space="preserve"> </w:t>
      </w:r>
      <w:r w:rsidR="00BB21F7">
        <w:rPr>
          <w:rFonts w:ascii="Book Antiqua" w:hAnsi="Book Antiqua"/>
          <w:kern w:val="0"/>
          <w:sz w:val="24"/>
        </w:rPr>
        <w:t>2</w:t>
      </w:r>
      <w:r w:rsidR="00BB21F7">
        <w:rPr>
          <w:rFonts w:ascii="Book Antiqua" w:hAnsi="Book Antiqua"/>
          <w:kern w:val="0"/>
          <w:sz w:val="24"/>
        </w:rPr>
        <w:t>8</w:t>
      </w:r>
      <w:r w:rsidR="00BB21F7">
        <w:rPr>
          <w:rFonts w:ascii="Book Antiqua" w:hAnsi="Book Antiqua"/>
          <w:kern w:val="0"/>
          <w:sz w:val="24"/>
        </w:rPr>
        <w:t>, 2019</w:t>
      </w:r>
    </w:p>
    <w:bookmarkEnd w:id="55"/>
    <w:bookmarkEnd w:id="56"/>
    <w:p w:rsidR="006523F7" w:rsidRDefault="006523F7">
      <w:pPr>
        <w:adjustRightInd w:val="0"/>
        <w:snapToGrid w:val="0"/>
        <w:spacing w:line="360" w:lineRule="auto"/>
        <w:rPr>
          <w:rFonts w:ascii="Book Antiqua" w:hAnsi="Book Antiqua"/>
          <w:b/>
          <w:color w:val="000000"/>
          <w:sz w:val="24"/>
        </w:rPr>
      </w:pPr>
    </w:p>
    <w:p w:rsidR="006523F7" w:rsidRDefault="006523F7">
      <w:pPr>
        <w:adjustRightInd w:val="0"/>
        <w:snapToGrid w:val="0"/>
        <w:spacing w:line="360" w:lineRule="auto"/>
        <w:outlineLvl w:val="0"/>
        <w:rPr>
          <w:rFonts w:ascii="Book Antiqua" w:hAnsi="Book Antiqua"/>
          <w:b/>
          <w:color w:val="000000"/>
          <w:sz w:val="24"/>
        </w:rPr>
      </w:pPr>
      <w:r>
        <w:rPr>
          <w:rFonts w:ascii="Book Antiqua" w:hAnsi="Book Antiqua"/>
          <w:b/>
          <w:color w:val="000000"/>
          <w:sz w:val="24"/>
        </w:rPr>
        <w:br w:type="page"/>
      </w:r>
      <w:r>
        <w:rPr>
          <w:rFonts w:ascii="Book Antiqua" w:hAnsi="Book Antiqua" w:cs="Book Antiqua"/>
          <w:b/>
          <w:color w:val="000000"/>
          <w:sz w:val="24"/>
        </w:rPr>
        <w:lastRenderedPageBreak/>
        <w:t>Abstract</w:t>
      </w: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BACKGROUND</w:t>
      </w:r>
    </w:p>
    <w:p w:rsidR="006523F7" w:rsidRDefault="006523F7">
      <w:pPr>
        <w:widowControl/>
        <w:adjustRightInd w:val="0"/>
        <w:snapToGrid w:val="0"/>
        <w:spacing w:line="360" w:lineRule="auto"/>
        <w:rPr>
          <w:rFonts w:ascii="Book Antiqua" w:hAnsi="Book Antiqua"/>
          <w:color w:val="000000"/>
          <w:sz w:val="24"/>
        </w:rPr>
      </w:pPr>
      <w:r>
        <w:rPr>
          <w:rFonts w:ascii="Book Antiqua" w:hAnsi="Book Antiqua"/>
          <w:color w:val="000000"/>
          <w:sz w:val="24"/>
        </w:rPr>
        <w:t>Study shows that signal transducer and activator of transcription 3 (STAT3) can increase the Warburg effect by stimulating hexokinase 2 in breast cancer and upregulate lactate dehydrogenase A and pyruvate dehydrogenase kinase 1 in myeloma. STAT3 and pyruvate kinase M2 (PKM2) can also be activated and enhance the Warburg effect in hepatocellular carcinoma. Precancerous lesions are critical to human and rodent hepatocarcinogenesis. However, the underlying molecular mechanism for the development of liver precancerous lesions remains unknown. We hypothesized that STAT3 promotes the Warburg effect possibly by upregulating p-PKM2 in liver precancerous lesions in rats.</w:t>
      </w:r>
    </w:p>
    <w:p w:rsidR="006523F7" w:rsidRDefault="006523F7">
      <w:pPr>
        <w:pStyle w:val="ab"/>
        <w:widowControl/>
        <w:adjustRightInd w:val="0"/>
        <w:snapToGrid w:val="0"/>
        <w:spacing w:line="360" w:lineRule="auto"/>
        <w:jc w:val="both"/>
        <w:rPr>
          <w:rFonts w:ascii="Book Antiqua" w:hAnsi="Book Antiqua"/>
          <w:color w:val="000000"/>
          <w:kern w:val="2"/>
        </w:rPr>
      </w:pPr>
      <w:bookmarkStart w:id="57" w:name="OLE_LINK30"/>
      <w:bookmarkStart w:id="58" w:name="OLE_LINK13"/>
      <w:bookmarkStart w:id="59" w:name="OLE_LINK69"/>
      <w:bookmarkStart w:id="60" w:name="OLE_LINK70"/>
      <w:bookmarkStart w:id="61" w:name="OLE_LINK54"/>
    </w:p>
    <w:p w:rsidR="006523F7" w:rsidRDefault="006523F7">
      <w:pPr>
        <w:pStyle w:val="ab"/>
        <w:widowControl/>
        <w:adjustRightInd w:val="0"/>
        <w:snapToGrid w:val="0"/>
        <w:spacing w:line="360" w:lineRule="auto"/>
        <w:jc w:val="both"/>
        <w:outlineLvl w:val="0"/>
        <w:rPr>
          <w:rFonts w:ascii="Book Antiqua" w:hAnsi="Book Antiqua"/>
          <w:b/>
          <w:bCs/>
          <w:color w:val="000000"/>
          <w:kern w:val="2"/>
        </w:rPr>
      </w:pPr>
      <w:r>
        <w:rPr>
          <w:rFonts w:ascii="Book Antiqua" w:hAnsi="Book Antiqua" w:cs="宋体"/>
          <w:b/>
          <w:i/>
          <w:color w:val="000000"/>
          <w:kern w:val="2"/>
        </w:rPr>
        <w:t>AIM</w:t>
      </w:r>
    </w:p>
    <w:p w:rsidR="006523F7" w:rsidRDefault="006523F7">
      <w:pPr>
        <w:pStyle w:val="ab"/>
        <w:widowControl/>
        <w:adjustRightInd w:val="0"/>
        <w:snapToGrid w:val="0"/>
        <w:spacing w:line="360" w:lineRule="auto"/>
        <w:jc w:val="both"/>
        <w:rPr>
          <w:rFonts w:ascii="Book Antiqua" w:hAnsi="Book Antiqua"/>
          <w:color w:val="000000"/>
          <w:kern w:val="2"/>
        </w:rPr>
      </w:pPr>
      <w:r>
        <w:rPr>
          <w:rFonts w:ascii="Book Antiqua" w:hAnsi="Book Antiqua"/>
          <w:color w:val="000000"/>
          <w:kern w:val="2"/>
        </w:rPr>
        <w:t>To investigate the mechanism of the Warburg effect in liver precancerous lesions in rats.</w:t>
      </w:r>
    </w:p>
    <w:p w:rsidR="006523F7" w:rsidRDefault="006523F7">
      <w:pPr>
        <w:pStyle w:val="ab"/>
        <w:widowControl/>
        <w:adjustRightInd w:val="0"/>
        <w:snapToGrid w:val="0"/>
        <w:spacing w:line="360" w:lineRule="auto"/>
        <w:jc w:val="both"/>
        <w:rPr>
          <w:rFonts w:ascii="Book Antiqua" w:hAnsi="Book Antiqua" w:cs="宋体"/>
          <w:b/>
          <w:i/>
          <w:color w:val="000000"/>
          <w:kern w:val="2"/>
        </w:rPr>
      </w:pPr>
    </w:p>
    <w:p w:rsidR="006523F7" w:rsidRDefault="006523F7">
      <w:pPr>
        <w:pStyle w:val="ab"/>
        <w:widowControl/>
        <w:adjustRightInd w:val="0"/>
        <w:snapToGrid w:val="0"/>
        <w:spacing w:line="360" w:lineRule="auto"/>
        <w:jc w:val="both"/>
        <w:outlineLvl w:val="0"/>
        <w:rPr>
          <w:rFonts w:ascii="Book Antiqua" w:hAnsi="Book Antiqua" w:cs="宋体"/>
          <w:b/>
          <w:i/>
          <w:color w:val="000000"/>
          <w:kern w:val="2"/>
        </w:rPr>
      </w:pPr>
      <w:r>
        <w:rPr>
          <w:rFonts w:ascii="Book Antiqua" w:hAnsi="Book Antiqua" w:cs="宋体"/>
          <w:b/>
          <w:i/>
          <w:color w:val="000000"/>
          <w:kern w:val="2"/>
        </w:rPr>
        <w:t>METHODS</w:t>
      </w:r>
    </w:p>
    <w:p w:rsidR="006523F7" w:rsidRDefault="006523F7">
      <w:pPr>
        <w:widowControl/>
        <w:adjustRightInd w:val="0"/>
        <w:snapToGrid w:val="0"/>
        <w:spacing w:line="360" w:lineRule="auto"/>
        <w:rPr>
          <w:rFonts w:ascii="Book Antiqua" w:hAnsi="Book Antiqua"/>
          <w:color w:val="000000"/>
          <w:sz w:val="24"/>
        </w:rPr>
      </w:pPr>
      <w:r>
        <w:rPr>
          <w:rFonts w:ascii="Book Antiqua" w:hAnsi="Book Antiqua"/>
          <w:color w:val="000000"/>
          <w:sz w:val="24"/>
        </w:rPr>
        <w:t xml:space="preserve">A model of liver precancerous lesions was established by a modified Solt-Farber method. The liver pathological changes were observed by HE staining and immunohistochemistry. The transformation of WB-F344 cells induced with </w:t>
      </w:r>
      <w:r>
        <w:rPr>
          <w:rFonts w:ascii="Book Antiqua" w:hAnsi="Book Antiqua" w:cs="Tahoma"/>
          <w:color w:val="000000"/>
          <w:sz w:val="24"/>
          <w:lang w:eastAsia="ja-JP"/>
        </w:rPr>
        <w:t>N-methyl-N’-nitro-N-nitrosoguanidine and hydrogen peroxide</w:t>
      </w:r>
      <w:r>
        <w:rPr>
          <w:rFonts w:ascii="Book Antiqua" w:hAnsi="Book Antiqua"/>
          <w:color w:val="000000"/>
          <w:sz w:val="24"/>
        </w:rPr>
        <w:t xml:space="preserve"> was evaluated by the soft agar assay and aneuploidy. The levels of glucose and lactate in the tissue and culture medium were detected with a spectrophotometer. The protein levels of glutathione S-transferase-π, </w:t>
      </w:r>
      <w:bookmarkStart w:id="62" w:name="OLE_LINK625"/>
      <w:r>
        <w:rPr>
          <w:rFonts w:ascii="Book Antiqua" w:hAnsi="Book Antiqua"/>
          <w:color w:val="000000"/>
          <w:sz w:val="24"/>
        </w:rPr>
        <w:t>proliferating cell nuclear antigen (PCNA</w:t>
      </w:r>
      <w:bookmarkEnd w:id="62"/>
      <w:r>
        <w:rPr>
          <w:rFonts w:ascii="Book Antiqua" w:hAnsi="Book Antiqua"/>
          <w:color w:val="000000"/>
          <w:sz w:val="24"/>
        </w:rPr>
        <w:t>), STAT3, and PKM2 were examined by Western blot and immunofluorescence.</w:t>
      </w:r>
    </w:p>
    <w:p w:rsidR="006523F7" w:rsidRDefault="006523F7">
      <w:pPr>
        <w:pStyle w:val="ab"/>
        <w:widowControl/>
        <w:adjustRightInd w:val="0"/>
        <w:snapToGrid w:val="0"/>
        <w:spacing w:line="360" w:lineRule="auto"/>
        <w:jc w:val="both"/>
        <w:rPr>
          <w:rFonts w:ascii="Book Antiqua" w:hAnsi="Book Antiqua" w:cs="宋体"/>
          <w:b/>
          <w:i/>
          <w:color w:val="000000"/>
          <w:kern w:val="2"/>
        </w:rPr>
      </w:pPr>
    </w:p>
    <w:p w:rsidR="006523F7" w:rsidRDefault="006523F7">
      <w:pPr>
        <w:pStyle w:val="ab"/>
        <w:widowControl/>
        <w:adjustRightInd w:val="0"/>
        <w:snapToGrid w:val="0"/>
        <w:spacing w:line="360" w:lineRule="auto"/>
        <w:jc w:val="both"/>
        <w:outlineLvl w:val="0"/>
        <w:rPr>
          <w:rFonts w:ascii="Book Antiqua" w:hAnsi="Book Antiqua" w:cs="宋体"/>
          <w:b/>
          <w:i/>
          <w:color w:val="000000"/>
          <w:kern w:val="2"/>
        </w:rPr>
      </w:pPr>
      <w:r>
        <w:rPr>
          <w:rFonts w:ascii="Book Antiqua" w:hAnsi="Book Antiqua" w:cs="宋体"/>
          <w:b/>
          <w:i/>
          <w:color w:val="000000"/>
          <w:kern w:val="2"/>
        </w:rPr>
        <w:t>RESULTS</w:t>
      </w:r>
    </w:p>
    <w:p w:rsidR="006523F7" w:rsidRDefault="006523F7">
      <w:pPr>
        <w:pStyle w:val="ab"/>
        <w:widowControl/>
        <w:adjustRightInd w:val="0"/>
        <w:snapToGrid w:val="0"/>
        <w:spacing w:line="360" w:lineRule="auto"/>
        <w:jc w:val="both"/>
        <w:rPr>
          <w:rFonts w:ascii="Book Antiqua" w:hAnsi="Book Antiqua"/>
          <w:color w:val="000000"/>
          <w:kern w:val="2"/>
        </w:rPr>
      </w:pPr>
      <w:r>
        <w:rPr>
          <w:rFonts w:ascii="Book Antiqua" w:hAnsi="Book Antiqua"/>
          <w:color w:val="000000"/>
          <w:kern w:val="2"/>
        </w:rPr>
        <w:t xml:space="preserve">We found that the Warburg effect was increased in liver precancerous lesions in rats. PKM2 and p-STAT3 were upregulated in activated oval cells in liver </w:t>
      </w:r>
      <w:r>
        <w:rPr>
          <w:rFonts w:ascii="Book Antiqua" w:hAnsi="Book Antiqua"/>
          <w:color w:val="000000"/>
          <w:kern w:val="2"/>
        </w:rPr>
        <w:lastRenderedPageBreak/>
        <w:t xml:space="preserve">precancerous lesions in rats. The Warburg effect, p-PKM2, and p-STAT3 expression were also increased in transformed WB-F344 cells. STAT3 activation promoted the clonal formation rate, aneuploidy, </w:t>
      </w:r>
      <w:r>
        <w:rPr>
          <w:rFonts w:ascii="Book Antiqua" w:hAnsi="Book Antiqua"/>
          <w:color w:val="000000"/>
        </w:rPr>
        <w:t>alpha-fetoprotein</w:t>
      </w:r>
      <w:r>
        <w:rPr>
          <w:rFonts w:ascii="Book Antiqua" w:hAnsi="Book Antiqua"/>
          <w:color w:val="000000"/>
          <w:kern w:val="2"/>
        </w:rPr>
        <w:t xml:space="preserve"> expression, PCNA expression, G1/S phase transition, the Warburg effect, PKM2 phosphorylation, and nuclear translocation in transformed WB-F344 cells. Moreover, the</w:t>
      </w:r>
      <w:r w:rsidR="00593FA5">
        <w:rPr>
          <w:rFonts w:ascii="Book Antiqua" w:hAnsi="Book Antiqua"/>
          <w:color w:val="000000"/>
          <w:kern w:val="2"/>
        </w:rPr>
        <w:t xml:space="preserve"> </w:t>
      </w:r>
      <w:r>
        <w:rPr>
          <w:rFonts w:ascii="Book Antiqua" w:hAnsi="Book Antiqua"/>
          <w:color w:val="000000"/>
          <w:kern w:val="2"/>
        </w:rPr>
        <w:t xml:space="preserve">Warburg effect </w:t>
      </w:r>
      <w:r w:rsidR="00593FA5">
        <w:rPr>
          <w:rFonts w:ascii="Book Antiqua" w:hAnsi="Book Antiqua"/>
          <w:color w:val="000000"/>
          <w:kern w:val="2"/>
        </w:rPr>
        <w:t xml:space="preserve">was inhibited </w:t>
      </w:r>
      <w:r>
        <w:rPr>
          <w:rFonts w:ascii="Book Antiqua" w:hAnsi="Book Antiqua"/>
          <w:color w:val="000000"/>
          <w:kern w:val="2"/>
        </w:rPr>
        <w:t xml:space="preserve">by </w:t>
      </w:r>
      <w:r w:rsidRPr="00593FA5">
        <w:rPr>
          <w:rFonts w:ascii="Book Antiqua" w:hAnsi="Book Antiqua"/>
          <w:color w:val="000000"/>
          <w:kern w:val="2"/>
        </w:rPr>
        <w:t>sta</w:t>
      </w:r>
      <w:r w:rsidRPr="00593FA5">
        <w:rPr>
          <w:rFonts w:ascii="Book Antiqua" w:hAnsi="Book Antiqua" w:hint="eastAsia"/>
          <w:color w:val="000000"/>
          <w:kern w:val="2"/>
        </w:rPr>
        <w:t>t</w:t>
      </w:r>
      <w:r w:rsidRPr="00593FA5">
        <w:rPr>
          <w:rFonts w:ascii="Book Antiqua" w:hAnsi="Book Antiqua"/>
          <w:color w:val="000000"/>
          <w:kern w:val="2"/>
        </w:rPr>
        <w:t xml:space="preserve">tic, </w:t>
      </w:r>
      <w:r w:rsidRPr="00593FA5">
        <w:rPr>
          <w:rFonts w:ascii="Book Antiqua" w:hAnsi="Book Antiqua"/>
          <w:color w:val="000000"/>
        </w:rPr>
        <w:t>a</w:t>
      </w:r>
      <w:r>
        <w:rPr>
          <w:rFonts w:ascii="Book Antiqua" w:hAnsi="Book Antiqua"/>
          <w:color w:val="000000"/>
        </w:rPr>
        <w:t xml:space="preserve"> specific inhibitor of STAT3,</w:t>
      </w:r>
      <w:r>
        <w:rPr>
          <w:rFonts w:ascii="Book Antiqua" w:hAnsi="Book Antiqua"/>
          <w:color w:val="000000"/>
          <w:kern w:val="2"/>
        </w:rPr>
        <w:t xml:space="preserve"> </w:t>
      </w:r>
      <w:r w:rsidR="00593FA5">
        <w:rPr>
          <w:rFonts w:ascii="Book Antiqua" w:hAnsi="Book Antiqua"/>
          <w:color w:val="000000"/>
          <w:kern w:val="2"/>
        </w:rPr>
        <w:t xml:space="preserve">and </w:t>
      </w:r>
      <w:r>
        <w:rPr>
          <w:rFonts w:ascii="Book Antiqua" w:hAnsi="Book Antiqua"/>
          <w:color w:val="000000"/>
          <w:kern w:val="2"/>
        </w:rPr>
        <w:t>further reduced in transformed WB-F344 cells after the intervention for PKM2.</w:t>
      </w:r>
    </w:p>
    <w:p w:rsidR="006523F7" w:rsidRPr="00593FA5" w:rsidRDefault="006523F7">
      <w:pPr>
        <w:pStyle w:val="ab"/>
        <w:widowControl/>
        <w:adjustRightInd w:val="0"/>
        <w:snapToGrid w:val="0"/>
        <w:spacing w:line="360" w:lineRule="auto"/>
        <w:jc w:val="both"/>
        <w:rPr>
          <w:rFonts w:ascii="Book Antiqua" w:hAnsi="Book Antiqua" w:cs="宋体"/>
          <w:b/>
          <w:i/>
          <w:color w:val="000000"/>
          <w:kern w:val="2"/>
        </w:rPr>
      </w:pPr>
    </w:p>
    <w:p w:rsidR="006523F7" w:rsidRDefault="006523F7">
      <w:pPr>
        <w:pStyle w:val="ab"/>
        <w:widowControl/>
        <w:adjustRightInd w:val="0"/>
        <w:snapToGrid w:val="0"/>
        <w:spacing w:line="360" w:lineRule="auto"/>
        <w:jc w:val="both"/>
        <w:outlineLvl w:val="0"/>
        <w:rPr>
          <w:rFonts w:ascii="Book Antiqua" w:hAnsi="Book Antiqua" w:cs="宋体"/>
          <w:b/>
          <w:i/>
          <w:color w:val="000000"/>
          <w:kern w:val="2"/>
        </w:rPr>
      </w:pPr>
      <w:r>
        <w:rPr>
          <w:rFonts w:ascii="Book Antiqua" w:hAnsi="Book Antiqua" w:cs="宋体"/>
          <w:b/>
          <w:i/>
          <w:color w:val="000000"/>
          <w:kern w:val="2"/>
        </w:rPr>
        <w:t>CONCLUSION</w:t>
      </w:r>
    </w:p>
    <w:p w:rsidR="006523F7" w:rsidRDefault="006523F7">
      <w:pPr>
        <w:pStyle w:val="ab"/>
        <w:widowControl/>
        <w:adjustRightInd w:val="0"/>
        <w:snapToGrid w:val="0"/>
        <w:spacing w:line="360" w:lineRule="auto"/>
        <w:jc w:val="both"/>
        <w:rPr>
          <w:rFonts w:ascii="Book Antiqua" w:hAnsi="Book Antiqua"/>
          <w:color w:val="000000"/>
          <w:kern w:val="2"/>
        </w:rPr>
      </w:pPr>
      <w:bookmarkStart w:id="63" w:name="OLE_LINK31"/>
      <w:bookmarkStart w:id="64" w:name="OLE_LINK37"/>
      <w:r>
        <w:rPr>
          <w:rFonts w:ascii="Book Antiqua" w:hAnsi="Book Antiqua"/>
          <w:color w:val="000000"/>
          <w:kern w:val="2"/>
        </w:rPr>
        <w:t>The Warburg effect is initiated in liver precancerous lesions</w:t>
      </w:r>
      <w:bookmarkEnd w:id="63"/>
      <w:bookmarkEnd w:id="64"/>
      <w:r>
        <w:rPr>
          <w:rFonts w:ascii="Book Antiqua" w:hAnsi="Book Antiqua"/>
          <w:color w:val="000000"/>
          <w:kern w:val="2"/>
        </w:rPr>
        <w:t xml:space="preserve"> in rats</w:t>
      </w:r>
      <w:bookmarkStart w:id="65" w:name="OLE_LINK38"/>
      <w:r>
        <w:rPr>
          <w:rFonts w:ascii="Book Antiqua" w:hAnsi="Book Antiqua"/>
          <w:color w:val="000000"/>
          <w:kern w:val="2"/>
        </w:rPr>
        <w:t xml:space="preserve">. </w:t>
      </w:r>
      <w:bookmarkEnd w:id="65"/>
      <w:r>
        <w:rPr>
          <w:rFonts w:ascii="Book Antiqua" w:hAnsi="Book Antiqua"/>
          <w:color w:val="000000"/>
          <w:kern w:val="2"/>
        </w:rPr>
        <w:t>STAT3 activation promotes the Warburg effect by enhancing the phosphorylation of PKM2 in transformed WB-F344 cells.</w:t>
      </w:r>
    </w:p>
    <w:bookmarkEnd w:id="61"/>
    <w:p w:rsidR="006523F7" w:rsidRDefault="006523F7">
      <w:pPr>
        <w:adjustRightInd w:val="0"/>
        <w:snapToGrid w:val="0"/>
        <w:spacing w:line="360" w:lineRule="auto"/>
        <w:rPr>
          <w:rFonts w:ascii="Book Antiqua" w:hAnsi="Book Antiqua" w:cs="宋体"/>
          <w:b/>
          <w:color w:val="000000"/>
          <w:sz w:val="24"/>
        </w:rPr>
      </w:pPr>
    </w:p>
    <w:p w:rsidR="006523F7" w:rsidRDefault="006523F7">
      <w:pPr>
        <w:adjustRightInd w:val="0"/>
        <w:snapToGrid w:val="0"/>
        <w:spacing w:line="360" w:lineRule="auto"/>
        <w:rPr>
          <w:rFonts w:ascii="Book Antiqua" w:hAnsi="Book Antiqua"/>
          <w:color w:val="000000"/>
          <w:sz w:val="24"/>
        </w:rPr>
      </w:pPr>
      <w:r>
        <w:rPr>
          <w:rFonts w:ascii="Book Antiqua" w:hAnsi="Book Antiqua" w:cs="宋体"/>
          <w:b/>
          <w:color w:val="000000"/>
          <w:sz w:val="24"/>
        </w:rPr>
        <w:t xml:space="preserve">Key words: </w:t>
      </w:r>
      <w:bookmarkStart w:id="66" w:name="OLE_LINK56"/>
      <w:r>
        <w:rPr>
          <w:rFonts w:ascii="Book Antiqua" w:hAnsi="Book Antiqua"/>
          <w:color w:val="000000"/>
          <w:sz w:val="24"/>
        </w:rPr>
        <w:t>Warburg effect; Hepatic progenitor cell; Signal transducer and activator of transcription 3; Pyruvate kinase M2; Liver precancerous lesion</w:t>
      </w:r>
    </w:p>
    <w:p w:rsidR="006523F7" w:rsidRDefault="006523F7">
      <w:pPr>
        <w:adjustRightInd w:val="0"/>
        <w:snapToGrid w:val="0"/>
        <w:spacing w:line="360" w:lineRule="auto"/>
        <w:rPr>
          <w:rFonts w:ascii="Book Antiqua" w:hAnsi="Book Antiqua" w:cs="Tahoma"/>
          <w:b/>
          <w:color w:val="000000"/>
          <w:sz w:val="24"/>
          <w:lang w:eastAsia="ja-JP"/>
        </w:rPr>
      </w:pPr>
    </w:p>
    <w:p w:rsidR="006523F7" w:rsidRDefault="006523F7">
      <w:pPr>
        <w:adjustRightInd w:val="0"/>
        <w:snapToGrid w:val="0"/>
        <w:spacing w:line="360" w:lineRule="auto"/>
        <w:rPr>
          <w:rFonts w:ascii="Book Antiqua" w:hAnsi="Book Antiqua" w:cs="Tahoma"/>
          <w:color w:val="000000"/>
          <w:sz w:val="24"/>
        </w:rPr>
      </w:pPr>
      <w:r>
        <w:rPr>
          <w:rFonts w:ascii="Book Antiqua" w:hAnsi="Book Antiqua" w:cs="Tahoma"/>
          <w:b/>
          <w:color w:val="000000"/>
          <w:sz w:val="24"/>
          <w:lang w:eastAsia="ja-JP"/>
        </w:rPr>
        <w:t xml:space="preserve">© The Author(s) 2019. </w:t>
      </w:r>
      <w:r>
        <w:rPr>
          <w:rFonts w:ascii="Book Antiqua" w:hAnsi="Book Antiqua" w:cs="Tahoma"/>
          <w:color w:val="000000"/>
          <w:sz w:val="24"/>
          <w:lang w:eastAsia="ja-JP"/>
        </w:rPr>
        <w:t>Published by Baishideng Publishing Group Inc. All rights reserved</w:t>
      </w:r>
      <w:r>
        <w:rPr>
          <w:rFonts w:ascii="Book Antiqua" w:hAnsi="Book Antiqua" w:cs="Tahoma"/>
          <w:color w:val="000000"/>
          <w:sz w:val="24"/>
        </w:rPr>
        <w:t>.</w:t>
      </w:r>
    </w:p>
    <w:bookmarkEnd w:id="66"/>
    <w:p w:rsidR="006523F7" w:rsidRDefault="006523F7">
      <w:pPr>
        <w:adjustRightInd w:val="0"/>
        <w:snapToGrid w:val="0"/>
        <w:spacing w:line="360" w:lineRule="auto"/>
        <w:rPr>
          <w:rFonts w:ascii="Book Antiqua" w:hAnsi="Book Antiqua"/>
          <w:b/>
          <w:color w:val="000000"/>
          <w:sz w:val="24"/>
        </w:rPr>
      </w:pPr>
    </w:p>
    <w:p w:rsidR="006523F7" w:rsidRDefault="006523F7">
      <w:pPr>
        <w:adjustRightInd w:val="0"/>
        <w:snapToGrid w:val="0"/>
        <w:spacing w:line="360" w:lineRule="auto"/>
        <w:rPr>
          <w:rFonts w:ascii="Book Antiqua" w:hAnsi="Book Antiqua"/>
          <w:bCs/>
          <w:color w:val="000000"/>
          <w:sz w:val="24"/>
        </w:rPr>
      </w:pPr>
      <w:r>
        <w:rPr>
          <w:rFonts w:ascii="Book Antiqua" w:hAnsi="Book Antiqua"/>
          <w:b/>
          <w:color w:val="000000"/>
          <w:sz w:val="24"/>
        </w:rPr>
        <w:t>Core tip:</w:t>
      </w:r>
      <w:r>
        <w:rPr>
          <w:rFonts w:ascii="Book Antiqua" w:hAnsi="Book Antiqua" w:cs="Tahoma"/>
          <w:color w:val="000000"/>
          <w:sz w:val="24"/>
          <w:lang w:eastAsia="ja-JP"/>
        </w:rPr>
        <w:t xml:space="preserve"> </w:t>
      </w:r>
      <w:bookmarkStart w:id="67" w:name="OLE_LINK41"/>
      <w:bookmarkStart w:id="68" w:name="OLE_LINK65"/>
      <w:r>
        <w:rPr>
          <w:rFonts w:ascii="Book Antiqua" w:hAnsi="Book Antiqua" w:cs="Tahoma"/>
          <w:color w:val="000000"/>
          <w:sz w:val="24"/>
          <w:lang w:eastAsia="ja-JP"/>
        </w:rPr>
        <w:t>Signal transducer and activator of transcription 3 (STAT3) is stimulated in hepatocellular carcinoma and regulates the Warburg effect in many tumors. However, whether the activation of STAT3 can enhance the Warburg effect is unclear in liver precancerous lesions. Here, we provide the evidence that the Warburg effect was enhanced in liver precancerous lesions in rats, perhaps through up-regulating the expression of pyruvate kinase M2 (PKM2) and p-STAT3 in activated oval cells. STAT3 activation promotes the Warburg effect by activing PKM2 in transformed WB-F344 cells induced with N-methyl-N’-nitro-N-nitrosoguanidine and hydrogen peroxide.</w:t>
      </w:r>
    </w:p>
    <w:bookmarkEnd w:id="67"/>
    <w:p w:rsidR="006523F7" w:rsidRDefault="006523F7">
      <w:pPr>
        <w:adjustRightInd w:val="0"/>
        <w:snapToGrid w:val="0"/>
        <w:spacing w:line="360" w:lineRule="auto"/>
        <w:rPr>
          <w:rFonts w:ascii="Book Antiqua" w:hAnsi="Book Antiqua"/>
          <w:bCs/>
          <w:color w:val="000000"/>
          <w:sz w:val="24"/>
        </w:rPr>
      </w:pPr>
    </w:p>
    <w:p w:rsidR="00BB21F7" w:rsidRDefault="00BB21F7">
      <w:pPr>
        <w:tabs>
          <w:tab w:val="left" w:pos="5387"/>
        </w:tabs>
        <w:adjustRightInd w:val="0"/>
        <w:snapToGrid w:val="0"/>
        <w:spacing w:line="360" w:lineRule="auto"/>
        <w:rPr>
          <w:rFonts w:ascii="Book Antiqua" w:hAnsi="Book Antiqua"/>
          <w:color w:val="000000"/>
          <w:kern w:val="0"/>
          <w:sz w:val="24"/>
        </w:rPr>
      </w:pPr>
      <w:bookmarkStart w:id="69" w:name="OLE_LINK428"/>
      <w:bookmarkStart w:id="70" w:name="OLE_LINK256"/>
      <w:bookmarkStart w:id="71" w:name="OLE_LINK494"/>
      <w:bookmarkStart w:id="72" w:name="OLE_LINK143"/>
      <w:bookmarkStart w:id="73" w:name="OLE_LINK289"/>
      <w:bookmarkStart w:id="74" w:name="OLE_LINK249"/>
      <w:bookmarkStart w:id="75" w:name="OLE_LINK142"/>
      <w:r w:rsidRPr="00BB21F7">
        <w:rPr>
          <w:rFonts w:ascii="Book Antiqua" w:hAnsi="Book Antiqua" w:cs="宋体"/>
          <w:b/>
          <w:color w:val="000000"/>
          <w:sz w:val="24"/>
        </w:rPr>
        <w:t>C</w:t>
      </w:r>
      <w:r w:rsidRPr="00BB21F7">
        <w:rPr>
          <w:rFonts w:ascii="Book Antiqua" w:hAnsi="Book Antiqua" w:cs="宋体" w:hint="eastAsia"/>
          <w:b/>
          <w:color w:val="000000"/>
          <w:sz w:val="24"/>
        </w:rPr>
        <w:t>itation</w:t>
      </w:r>
      <w:r>
        <w:rPr>
          <w:rFonts w:ascii="Book Antiqua" w:hAnsi="Book Antiqua" w:cs="宋体"/>
          <w:color w:val="000000"/>
          <w:sz w:val="24"/>
        </w:rPr>
        <w:t xml:space="preserve">: </w:t>
      </w:r>
      <w:r w:rsidR="006523F7">
        <w:rPr>
          <w:rFonts w:ascii="Book Antiqua" w:hAnsi="Book Antiqua" w:cs="宋体"/>
          <w:color w:val="000000"/>
          <w:sz w:val="24"/>
        </w:rPr>
        <w:t xml:space="preserve">Bi YH, Han WQ, Li RF, Wang YJ, Du ZS, Wang XJ, Jiang Y. Signal </w:t>
      </w:r>
      <w:r w:rsidR="006523F7">
        <w:rPr>
          <w:rFonts w:ascii="Book Antiqua" w:hAnsi="Book Antiqua" w:cs="宋体"/>
          <w:color w:val="000000"/>
          <w:sz w:val="24"/>
        </w:rPr>
        <w:lastRenderedPageBreak/>
        <w:t xml:space="preserve">transducer and activator of transcription 3 promotes the Warburg effect possibly by inducing pyruvate kinase M2 phosphorylation in liver precancerous lesions. </w:t>
      </w:r>
      <w:bookmarkEnd w:id="69"/>
      <w:bookmarkEnd w:id="70"/>
      <w:bookmarkEnd w:id="71"/>
      <w:bookmarkEnd w:id="72"/>
      <w:bookmarkEnd w:id="73"/>
      <w:bookmarkEnd w:id="74"/>
      <w:bookmarkEnd w:id="75"/>
      <w:r>
        <w:rPr>
          <w:rFonts w:ascii="Book Antiqua" w:hAnsi="Book Antiqua"/>
          <w:i/>
          <w:color w:val="000000"/>
          <w:kern w:val="0"/>
          <w:sz w:val="24"/>
        </w:rPr>
        <w:t xml:space="preserve">World J Gastroenterol </w:t>
      </w:r>
      <w:r>
        <w:rPr>
          <w:rFonts w:ascii="Book Antiqua" w:hAnsi="Book Antiqua"/>
          <w:color w:val="000000"/>
          <w:kern w:val="0"/>
          <w:sz w:val="24"/>
        </w:rPr>
        <w:t xml:space="preserve">2019; 25(16): 1936-1949  </w:t>
      </w:r>
    </w:p>
    <w:p w:rsidR="00BB21F7" w:rsidRDefault="00BB21F7">
      <w:pPr>
        <w:tabs>
          <w:tab w:val="left" w:pos="5387"/>
        </w:tabs>
        <w:adjustRightInd w:val="0"/>
        <w:snapToGrid w:val="0"/>
        <w:spacing w:line="360" w:lineRule="auto"/>
        <w:rPr>
          <w:rFonts w:ascii="Book Antiqua" w:hAnsi="Book Antiqua"/>
          <w:kern w:val="0"/>
          <w:sz w:val="24"/>
        </w:rPr>
      </w:pPr>
      <w:r w:rsidRPr="00BB21F7">
        <w:rPr>
          <w:rFonts w:ascii="Book Antiqua" w:hAnsi="Book Antiqua"/>
          <w:b/>
          <w:color w:val="000000"/>
          <w:kern w:val="0"/>
          <w:sz w:val="24"/>
        </w:rPr>
        <w:t>URL</w:t>
      </w:r>
      <w:r>
        <w:rPr>
          <w:rFonts w:ascii="Book Antiqua" w:hAnsi="Book Antiqua"/>
          <w:color w:val="000000"/>
          <w:kern w:val="0"/>
          <w:sz w:val="24"/>
        </w:rPr>
        <w:t xml:space="preserve">: </w:t>
      </w:r>
      <w:r>
        <w:rPr>
          <w:rFonts w:ascii="Book Antiqua" w:hAnsi="Book Antiqua"/>
          <w:kern w:val="0"/>
          <w:sz w:val="24"/>
        </w:rPr>
        <w:t xml:space="preserve">https://www.wjgnet.com/1007-9327/full/v25/i16/1936.htm  </w:t>
      </w:r>
    </w:p>
    <w:p w:rsidR="006523F7" w:rsidRDefault="00BB21F7">
      <w:pPr>
        <w:tabs>
          <w:tab w:val="left" w:pos="5387"/>
        </w:tabs>
        <w:adjustRightInd w:val="0"/>
        <w:snapToGrid w:val="0"/>
        <w:spacing w:line="360" w:lineRule="auto"/>
        <w:rPr>
          <w:rFonts w:ascii="Book Antiqua" w:hAnsi="Book Antiqua" w:cs="宋体"/>
          <w:color w:val="000000"/>
          <w:sz w:val="24"/>
        </w:rPr>
      </w:pPr>
      <w:r w:rsidRPr="00BB21F7">
        <w:rPr>
          <w:rFonts w:ascii="Book Antiqua" w:hAnsi="Book Antiqua"/>
          <w:b/>
          <w:kern w:val="0"/>
          <w:sz w:val="24"/>
        </w:rPr>
        <w:t>DOI</w:t>
      </w:r>
      <w:r>
        <w:rPr>
          <w:rFonts w:ascii="Book Antiqua" w:hAnsi="Book Antiqua"/>
          <w:kern w:val="0"/>
          <w:sz w:val="24"/>
        </w:rPr>
        <w:t>: https://dx.doi.org/10.3748/wjg.v25.i16.1936</w:t>
      </w:r>
    </w:p>
    <w:bookmarkEnd w:id="57"/>
    <w:bookmarkEnd w:id="58"/>
    <w:bookmarkEnd w:id="59"/>
    <w:bookmarkEnd w:id="60"/>
    <w:bookmarkEnd w:id="68"/>
    <w:p w:rsidR="006523F7" w:rsidRDefault="006523F7">
      <w:pPr>
        <w:adjustRightInd w:val="0"/>
        <w:snapToGrid w:val="0"/>
        <w:spacing w:line="360" w:lineRule="auto"/>
        <w:outlineLvl w:val="0"/>
        <w:rPr>
          <w:rFonts w:ascii="Book Antiqua" w:hAnsi="Book Antiqua"/>
          <w:b/>
          <w:color w:val="000000"/>
          <w:sz w:val="24"/>
        </w:rPr>
      </w:pPr>
      <w:r>
        <w:rPr>
          <w:rFonts w:ascii="Book Antiqua" w:hAnsi="Book Antiqua"/>
          <w:b/>
          <w:color w:val="000000"/>
          <w:sz w:val="24"/>
        </w:rPr>
        <w:br w:type="page"/>
      </w:r>
      <w:r>
        <w:rPr>
          <w:rFonts w:ascii="Book Antiqua" w:hAnsi="Book Antiqua"/>
          <w:b/>
          <w:color w:val="000000"/>
          <w:sz w:val="24"/>
        </w:rPr>
        <w:lastRenderedPageBreak/>
        <w:t xml:space="preserve">INTRODUCTION </w:t>
      </w:r>
    </w:p>
    <w:p w:rsidR="006523F7" w:rsidRDefault="006523F7">
      <w:pPr>
        <w:adjustRightInd w:val="0"/>
        <w:snapToGrid w:val="0"/>
        <w:spacing w:line="360" w:lineRule="auto"/>
        <w:rPr>
          <w:rFonts w:ascii="Book Antiqua" w:hAnsi="Book Antiqua"/>
          <w:color w:val="000000"/>
          <w:sz w:val="24"/>
        </w:rPr>
      </w:pPr>
      <w:bookmarkStart w:id="76" w:name="OLE_LINK8"/>
      <w:bookmarkStart w:id="77" w:name="OLE_LINK73"/>
      <w:r>
        <w:rPr>
          <w:rFonts w:ascii="Book Antiqua" w:hAnsi="Book Antiqua"/>
          <w:color w:val="000000"/>
          <w:sz w:val="24"/>
        </w:rPr>
        <w:t xml:space="preserve">Cancerous cells transform significant amounts of glucose into lactate irrespective of oxygen availability. This phenomenon, also known as aerobic glycolysis or the Warburg effect, meets the energetic demands of tumor cells and provides them with growth and survival advantages. The Warburg effect is frequently enhanced in </w:t>
      </w:r>
      <w:bookmarkStart w:id="78" w:name="OLE_LINK95"/>
      <w:bookmarkStart w:id="79" w:name="OLE_LINK94"/>
      <w:r>
        <w:rPr>
          <w:rFonts w:ascii="Book Antiqua" w:hAnsi="Book Antiqua"/>
          <w:color w:val="000000"/>
          <w:sz w:val="24"/>
        </w:rPr>
        <w:t>hepatocellular carcinoma</w:t>
      </w:r>
      <w:bookmarkEnd w:id="78"/>
      <w:bookmarkEnd w:id="79"/>
      <w:r>
        <w:rPr>
          <w:rFonts w:ascii="Book Antiqua" w:hAnsi="Book Antiqua"/>
          <w:color w:val="000000"/>
          <w:sz w:val="24"/>
        </w:rPr>
        <w:t xml:space="preserve"> (HCC)</w:t>
      </w:r>
      <w:r>
        <w:rPr>
          <w:rFonts w:ascii="Book Antiqua" w:hAnsi="Book Antiqua"/>
          <w:color w:val="000000"/>
          <w:sz w:val="24"/>
          <w:vertAlign w:val="superscript"/>
        </w:rPr>
        <w:t>[1,2]</w:t>
      </w:r>
      <w:bookmarkStart w:id="80" w:name="OLE_LINK91"/>
      <w:bookmarkStart w:id="81" w:name="OLE_LINK57"/>
      <w:bookmarkEnd w:id="76"/>
      <w:r>
        <w:rPr>
          <w:rFonts w:ascii="Book Antiqua" w:hAnsi="Book Antiqua"/>
          <w:color w:val="000000"/>
          <w:sz w:val="24"/>
        </w:rPr>
        <w:t>.</w:t>
      </w:r>
      <w:bookmarkEnd w:id="80"/>
      <w:r>
        <w:rPr>
          <w:rFonts w:ascii="Book Antiqua" w:hAnsi="Book Antiqua"/>
          <w:color w:val="000000"/>
          <w:sz w:val="24"/>
        </w:rPr>
        <w:t xml:space="preserve"> </w:t>
      </w:r>
      <w:bookmarkStart w:id="82" w:name="OLE_LINK25"/>
      <w:r>
        <w:rPr>
          <w:rFonts w:ascii="Book Antiqua" w:hAnsi="Book Antiqua"/>
          <w:color w:val="000000"/>
          <w:sz w:val="24"/>
        </w:rPr>
        <w:t>Many studies have shown that HCC is closely associated with precancerous lesions</w:t>
      </w:r>
      <w:bookmarkEnd w:id="81"/>
      <w:r>
        <w:rPr>
          <w:rFonts w:ascii="Book Antiqua" w:hAnsi="Book Antiqua"/>
          <w:color w:val="000000"/>
          <w:sz w:val="24"/>
        </w:rPr>
        <w:t xml:space="preserve">. Liver precancerous lesions are well-established histopathologically premalignant tissue with the highest risk for tumorigenesis </w:t>
      </w:r>
      <w:bookmarkEnd w:id="82"/>
      <w:r>
        <w:rPr>
          <w:rFonts w:ascii="Book Antiqua" w:hAnsi="Book Antiqua"/>
          <w:color w:val="000000"/>
          <w:sz w:val="24"/>
        </w:rPr>
        <w:t>and are critical for hepatocarcinogenesis in human and rodents</w:t>
      </w:r>
      <w:r>
        <w:rPr>
          <w:rFonts w:ascii="Book Antiqua" w:hAnsi="Book Antiqua"/>
          <w:color w:val="000000"/>
          <w:sz w:val="24"/>
          <w:vertAlign w:val="superscript"/>
        </w:rPr>
        <w:t>[3-5]</w:t>
      </w:r>
      <w:r>
        <w:rPr>
          <w:rFonts w:ascii="Book Antiqua" w:hAnsi="Book Antiqua"/>
          <w:color w:val="000000"/>
          <w:sz w:val="24"/>
        </w:rPr>
        <w:t>. Recognition and treatment at the precancerous stage might reduce the incidence and mortality of HCC. However, the underlying molecular mechanism for the development of liver precancerous lesions remains unclear.</w:t>
      </w:r>
    </w:p>
    <w:p w:rsidR="006523F7" w:rsidRDefault="006523F7">
      <w:pPr>
        <w:adjustRightInd w:val="0"/>
        <w:snapToGrid w:val="0"/>
        <w:spacing w:line="360" w:lineRule="auto"/>
        <w:rPr>
          <w:rFonts w:ascii="Book Antiqua" w:hAnsi="Book Antiqua"/>
          <w:color w:val="000000"/>
          <w:sz w:val="24"/>
        </w:rPr>
      </w:pPr>
      <w:bookmarkStart w:id="83" w:name="OLE_LINK44"/>
      <w:bookmarkStart w:id="84" w:name="OLE_LINK6"/>
      <w:bookmarkStart w:id="85" w:name="OLE_LINK11"/>
      <w:r>
        <w:rPr>
          <w:rFonts w:ascii="Book Antiqua" w:hAnsi="Book Antiqua"/>
          <w:color w:val="000000"/>
          <w:sz w:val="24"/>
        </w:rPr>
        <w:t xml:space="preserve">  The liver stem cell differentiation arrest </w:t>
      </w:r>
      <w:bookmarkEnd w:id="83"/>
      <w:bookmarkEnd w:id="84"/>
      <w:r>
        <w:rPr>
          <w:rFonts w:ascii="Book Antiqua" w:hAnsi="Book Antiqua"/>
          <w:color w:val="000000"/>
          <w:sz w:val="24"/>
        </w:rPr>
        <w:t>theory and the dedifferentiation of mature hepatocytes theory are two widely accepted hypotheses of hepatocarcinogenesis. Studies have noted a progenitor cell phenotype in many HCCs. Alterations in the hepatic niche can lead to the malignant transformation of hepatic progenitor cells</w:t>
      </w:r>
      <w:r>
        <w:rPr>
          <w:rFonts w:ascii="Book Antiqua" w:hAnsi="Book Antiqua"/>
          <w:color w:val="000000"/>
          <w:sz w:val="24"/>
          <w:vertAlign w:val="superscript"/>
        </w:rPr>
        <w:t>[6-8]</w:t>
      </w:r>
      <w:r>
        <w:rPr>
          <w:rFonts w:ascii="Book Antiqua" w:hAnsi="Book Antiqua"/>
          <w:color w:val="000000"/>
          <w:sz w:val="24"/>
        </w:rPr>
        <w:t>. Signal transducer and activator of transcription 3 (STAT3) is a member of the STAT family of transcription factors and is activated in several cancers</w:t>
      </w:r>
      <w:bookmarkStart w:id="86" w:name="OLE_LINK84"/>
      <w:r>
        <w:rPr>
          <w:rFonts w:ascii="Book Antiqua" w:hAnsi="Book Antiqua"/>
          <w:color w:val="000000"/>
          <w:sz w:val="24"/>
        </w:rPr>
        <w:t xml:space="preserve"> with a poor prognosis, such as HCC, breast cancer, and esophageal squamous cell carcinoma</w:t>
      </w:r>
      <w:r>
        <w:rPr>
          <w:rFonts w:ascii="Book Antiqua" w:hAnsi="Book Antiqua"/>
          <w:color w:val="000000"/>
          <w:sz w:val="24"/>
          <w:vertAlign w:val="superscript"/>
        </w:rPr>
        <w:t>[9-11]</w:t>
      </w:r>
      <w:r>
        <w:rPr>
          <w:rFonts w:ascii="Book Antiqua" w:hAnsi="Book Antiqua"/>
          <w:color w:val="000000"/>
          <w:sz w:val="24"/>
        </w:rPr>
        <w:t>.</w:t>
      </w:r>
      <w:bookmarkEnd w:id="86"/>
      <w:r>
        <w:rPr>
          <w:rFonts w:ascii="Book Antiqua" w:hAnsi="Book Antiqua"/>
          <w:color w:val="000000"/>
          <w:sz w:val="24"/>
        </w:rPr>
        <w:t xml:space="preserve"> Once it is activated by tyrosine phosphorylation, STAT3</w:t>
      </w:r>
      <w:bookmarkStart w:id="87" w:name="OLE_LINK52"/>
      <w:r>
        <w:rPr>
          <w:rFonts w:ascii="Book Antiqua" w:hAnsi="Book Antiqua"/>
          <w:color w:val="000000"/>
          <w:sz w:val="24"/>
        </w:rPr>
        <w:t xml:space="preserve"> translocates</w:t>
      </w:r>
      <w:bookmarkEnd w:id="87"/>
      <w:r>
        <w:rPr>
          <w:rFonts w:ascii="Book Antiqua" w:hAnsi="Book Antiqua"/>
          <w:color w:val="000000"/>
          <w:sz w:val="24"/>
        </w:rPr>
        <w:t xml:space="preserve"> into the nucleus and regulates the expression of target genes, mediating numerous aspects of tumorigenesis, including proliferation, angiogenesis, immunity, motility, apoptosis, and cell differentiation</w:t>
      </w:r>
      <w:r>
        <w:rPr>
          <w:rFonts w:ascii="Book Antiqua" w:hAnsi="Book Antiqua"/>
          <w:color w:val="000000"/>
          <w:sz w:val="24"/>
          <w:vertAlign w:val="superscript"/>
        </w:rPr>
        <w:t>[12,13]</w:t>
      </w:r>
      <w:r>
        <w:rPr>
          <w:rFonts w:ascii="Book Antiqua" w:hAnsi="Book Antiqua"/>
          <w:color w:val="000000"/>
          <w:sz w:val="24"/>
        </w:rPr>
        <w:t xml:space="preserve">. In addition, STAT3 can regulate aerobic glycolysis in </w:t>
      </w:r>
      <w:bookmarkStart w:id="88" w:name="OLE_LINK77"/>
      <w:r>
        <w:rPr>
          <w:rFonts w:ascii="Book Antiqua" w:hAnsi="Book Antiqua"/>
          <w:color w:val="000000"/>
          <w:sz w:val="24"/>
        </w:rPr>
        <w:t>breast cancer</w:t>
      </w:r>
      <w:bookmarkEnd w:id="88"/>
      <w:r>
        <w:rPr>
          <w:rFonts w:ascii="Book Antiqua" w:hAnsi="Book Antiqua"/>
          <w:color w:val="000000"/>
          <w:sz w:val="24"/>
        </w:rPr>
        <w:t xml:space="preserve"> cells by stimulating the transcription of hexokinase 2</w:t>
      </w:r>
      <w:r>
        <w:rPr>
          <w:rFonts w:ascii="Book Antiqua" w:hAnsi="Book Antiqua"/>
          <w:color w:val="000000"/>
          <w:sz w:val="24"/>
          <w:vertAlign w:val="superscript"/>
        </w:rPr>
        <w:t>[14]</w:t>
      </w:r>
      <w:r>
        <w:rPr>
          <w:rFonts w:ascii="Book Antiqua" w:hAnsi="Book Antiqua"/>
          <w:color w:val="000000"/>
          <w:sz w:val="24"/>
        </w:rPr>
        <w:t>. STAT3 also upregulates lactate dehydrogenase A and pyruvate dehydrogenase kinase 1 to increase glycolysis in myeloma cells</w:t>
      </w:r>
      <w:r>
        <w:rPr>
          <w:rFonts w:ascii="Book Antiqua" w:hAnsi="Book Antiqua"/>
          <w:color w:val="000000"/>
          <w:sz w:val="24"/>
          <w:vertAlign w:val="superscript"/>
        </w:rPr>
        <w:t>[15]</w:t>
      </w:r>
      <w:r>
        <w:rPr>
          <w:rFonts w:ascii="Book Antiqua" w:hAnsi="Book Antiqua"/>
          <w:color w:val="000000"/>
          <w:sz w:val="24"/>
        </w:rPr>
        <w:t>. However, whether activation of STAT3 enhances the Warburg effect in liver precancerous lesions and the underlying mechanism remain unclear.</w:t>
      </w:r>
    </w:p>
    <w:p w:rsidR="006523F7" w:rsidRDefault="006523F7">
      <w:pPr>
        <w:adjustRightInd w:val="0"/>
        <w:snapToGrid w:val="0"/>
        <w:spacing w:line="360" w:lineRule="auto"/>
        <w:rPr>
          <w:rFonts w:ascii="Book Antiqua" w:hAnsi="Book Antiqua"/>
          <w:color w:val="000000"/>
          <w:sz w:val="24"/>
        </w:rPr>
      </w:pPr>
      <w:bookmarkStart w:id="89" w:name="OLE_LINK58"/>
      <w:r>
        <w:rPr>
          <w:rFonts w:ascii="Book Antiqua" w:hAnsi="Book Antiqua"/>
          <w:color w:val="000000"/>
          <w:sz w:val="24"/>
        </w:rPr>
        <w:t xml:space="preserve">  Pyruvate kinase</w:t>
      </w:r>
      <w:bookmarkEnd w:id="89"/>
      <w:r>
        <w:rPr>
          <w:rFonts w:ascii="Book Antiqua" w:hAnsi="Book Antiqua"/>
          <w:color w:val="000000"/>
          <w:sz w:val="24"/>
        </w:rPr>
        <w:t xml:space="preserve"> (PK)</w:t>
      </w:r>
      <w:bookmarkEnd w:id="85"/>
      <w:r>
        <w:rPr>
          <w:rFonts w:ascii="Book Antiqua" w:hAnsi="Book Antiqua"/>
          <w:color w:val="000000"/>
          <w:sz w:val="24"/>
        </w:rPr>
        <w:t xml:space="preserve">, a key enzyme in glycolysis, catalyzes the synthesis of </w:t>
      </w:r>
      <w:r>
        <w:rPr>
          <w:rFonts w:ascii="Book Antiqua" w:hAnsi="Book Antiqua"/>
          <w:color w:val="000000"/>
          <w:sz w:val="24"/>
        </w:rPr>
        <w:lastRenderedPageBreak/>
        <w:t xml:space="preserve">pyruvate and ATP, using phosphoenolpyruvate (PEP) and ADP as substrates. There are four mammalian </w:t>
      </w:r>
      <w:bookmarkStart w:id="90" w:name="OLE_LINK53"/>
      <w:r>
        <w:rPr>
          <w:rFonts w:ascii="Book Antiqua" w:hAnsi="Book Antiqua"/>
          <w:color w:val="000000"/>
          <w:sz w:val="24"/>
        </w:rPr>
        <w:t>pyruvate kinase</w:t>
      </w:r>
      <w:bookmarkEnd w:id="90"/>
      <w:r>
        <w:rPr>
          <w:rFonts w:ascii="Book Antiqua" w:hAnsi="Book Antiqua"/>
          <w:color w:val="000000"/>
          <w:sz w:val="24"/>
        </w:rPr>
        <w:t xml:space="preserve"> isoforms: PKL, PKR, PKM1, and PKM2. PKL is mainly expressed in the liver and kidney, and PKR is highly expressed in erythrocytes. PKM1 is preferentially expressed in adult tissues, while PKM2 is abundantly expressed in rapidly proliferating tissues, embryos, and tumors</w:t>
      </w:r>
      <w:r>
        <w:rPr>
          <w:rFonts w:ascii="Book Antiqua" w:hAnsi="Book Antiqua"/>
          <w:color w:val="000000"/>
          <w:sz w:val="24"/>
          <w:vertAlign w:val="superscript"/>
        </w:rPr>
        <w:t>[16-18]</w:t>
      </w:r>
      <w:r>
        <w:rPr>
          <w:rFonts w:ascii="Book Antiqua" w:hAnsi="Book Antiqua"/>
          <w:color w:val="000000"/>
          <w:sz w:val="24"/>
        </w:rPr>
        <w:t xml:space="preserve">. Recent studies have shown that PKM1 can promote tumor cell proliferation and activate glucose catabolism in </w:t>
      </w:r>
      <w:bookmarkStart w:id="91" w:name="OLE_LINK628"/>
      <w:r>
        <w:rPr>
          <w:rFonts w:ascii="Book Antiqua" w:hAnsi="Book Antiqua"/>
          <w:color w:val="000000"/>
          <w:sz w:val="24"/>
        </w:rPr>
        <w:t>small-cell lung cancer</w:t>
      </w:r>
      <w:bookmarkEnd w:id="91"/>
      <w:r>
        <w:rPr>
          <w:rFonts w:ascii="Book Antiqua" w:hAnsi="Book Antiqua"/>
          <w:color w:val="000000"/>
          <w:sz w:val="24"/>
        </w:rPr>
        <w:t xml:space="preserve"> (SCLC)</w:t>
      </w:r>
      <w:r>
        <w:rPr>
          <w:rFonts w:ascii="Book Antiqua" w:hAnsi="Book Antiqua"/>
          <w:color w:val="000000"/>
          <w:sz w:val="24"/>
          <w:vertAlign w:val="superscript"/>
        </w:rPr>
        <w:t>[19]</w:t>
      </w:r>
      <w:r>
        <w:rPr>
          <w:rFonts w:ascii="Book Antiqua" w:hAnsi="Book Antiqua"/>
          <w:color w:val="000000"/>
          <w:sz w:val="24"/>
        </w:rPr>
        <w:t>. But more results confirm that among the four mammalian pyruvate kinase isoforms, PKM2 is most closely related to tumor cell proliferation. PKM2 is an important regulator of the Warburg effect and is highly expressed in many tumors. Tetrameric PKM2 has PK activity in normal cells. PKM2 tetramers are tyrosine-phosphorylated at Y105 to transform dimeric PKM2 in tumor cells</w:t>
      </w:r>
      <w:r>
        <w:rPr>
          <w:rFonts w:ascii="Book Antiqua" w:hAnsi="Book Antiqua"/>
          <w:color w:val="000000"/>
          <w:sz w:val="24"/>
          <w:vertAlign w:val="superscript"/>
        </w:rPr>
        <w:t>[20,21]</w:t>
      </w:r>
      <w:r>
        <w:rPr>
          <w:rFonts w:ascii="Book Antiqua" w:hAnsi="Book Antiqua"/>
          <w:color w:val="000000"/>
          <w:sz w:val="24"/>
        </w:rPr>
        <w:t>. Then, PKM2 dimers promote the synthesis of deoxynucleotides, providing tumor cells with a growth and proliferation advantage</w:t>
      </w:r>
      <w:bookmarkStart w:id="92" w:name="OLE_LINK26"/>
      <w:r>
        <w:rPr>
          <w:rFonts w:ascii="Book Antiqua" w:hAnsi="Book Antiqua"/>
          <w:color w:val="000000"/>
          <w:sz w:val="24"/>
        </w:rPr>
        <w:t>. Dimeric PKM2</w:t>
      </w:r>
      <w:bookmarkEnd w:id="92"/>
      <w:r>
        <w:rPr>
          <w:rFonts w:ascii="Book Antiqua" w:hAnsi="Book Antiqua"/>
          <w:color w:val="000000"/>
          <w:sz w:val="24"/>
        </w:rPr>
        <w:t xml:space="preserve"> can enhance aerobic glycolysis, increase lactate production, and regulate the expression of genes that mediate the Warburg effect in many tumors</w:t>
      </w:r>
      <w:r>
        <w:rPr>
          <w:rFonts w:ascii="Book Antiqua" w:hAnsi="Book Antiqua"/>
          <w:color w:val="000000"/>
          <w:sz w:val="24"/>
          <w:vertAlign w:val="superscript"/>
        </w:rPr>
        <w:t>[18,20]</w:t>
      </w:r>
      <w:r>
        <w:rPr>
          <w:rFonts w:ascii="Book Antiqua" w:hAnsi="Book Antiqua"/>
          <w:color w:val="000000"/>
          <w:sz w:val="24"/>
        </w:rPr>
        <w:t>, including HCC</w:t>
      </w:r>
      <w:r>
        <w:rPr>
          <w:rFonts w:ascii="Book Antiqua" w:hAnsi="Book Antiqua"/>
          <w:color w:val="000000"/>
          <w:sz w:val="24"/>
          <w:vertAlign w:val="superscript"/>
        </w:rPr>
        <w:t>[22]</w:t>
      </w:r>
      <w:r>
        <w:rPr>
          <w:rFonts w:ascii="Book Antiqua" w:hAnsi="Book Antiqua"/>
          <w:color w:val="000000"/>
          <w:sz w:val="24"/>
        </w:rPr>
        <w:t>. However, whether STAT3 activation enhances the phosphorylation of PKM2 in cancer is unknown</w:t>
      </w:r>
      <w:bookmarkStart w:id="93" w:name="OLE_LINK45"/>
      <w:r>
        <w:rPr>
          <w:rFonts w:ascii="Book Antiqua" w:hAnsi="Book Antiqua"/>
          <w:color w:val="000000"/>
          <w:sz w:val="24"/>
        </w:rPr>
        <w:t>.</w:t>
      </w:r>
    </w:p>
    <w:bookmarkEnd w:id="93"/>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Here, we show</w:t>
      </w:r>
      <w:r w:rsidR="00593FA5">
        <w:rPr>
          <w:rFonts w:ascii="Book Antiqua" w:hAnsi="Book Antiqua"/>
          <w:color w:val="000000"/>
          <w:sz w:val="24"/>
        </w:rPr>
        <w:t>ed</w:t>
      </w:r>
      <w:r>
        <w:rPr>
          <w:rFonts w:ascii="Book Antiqua" w:hAnsi="Book Antiqua"/>
          <w:color w:val="000000"/>
          <w:sz w:val="24"/>
        </w:rPr>
        <w:t xml:space="preserve"> that Warburg effect was initiated in liver precancerous lesions in rats and STAT3 phosphorylation was involved in liver precancerous lesions probably by </w:t>
      </w:r>
      <w:bookmarkStart w:id="94" w:name="OLE_LINK49"/>
      <w:bookmarkStart w:id="95" w:name="OLE_LINK48"/>
      <w:r>
        <w:rPr>
          <w:rFonts w:ascii="Book Antiqua" w:hAnsi="Book Antiqua"/>
          <w:color w:val="000000"/>
          <w:sz w:val="24"/>
        </w:rPr>
        <w:t xml:space="preserve">activating </w:t>
      </w:r>
      <w:bookmarkStart w:id="96" w:name="OLE_LINK51"/>
      <w:bookmarkStart w:id="97" w:name="OLE_LINK23"/>
      <w:bookmarkStart w:id="98" w:name="OLE_LINK39"/>
      <w:r>
        <w:rPr>
          <w:rFonts w:ascii="Book Antiqua" w:hAnsi="Book Antiqua"/>
          <w:color w:val="000000"/>
          <w:sz w:val="24"/>
        </w:rPr>
        <w:t>hepatic progenitor cell</w:t>
      </w:r>
      <w:bookmarkEnd w:id="94"/>
      <w:bookmarkEnd w:id="95"/>
      <w:r>
        <w:rPr>
          <w:rFonts w:ascii="Book Antiqua" w:hAnsi="Book Antiqua"/>
          <w:color w:val="000000"/>
          <w:sz w:val="24"/>
        </w:rPr>
        <w:t>s</w:t>
      </w:r>
      <w:bookmarkEnd w:id="96"/>
      <w:bookmarkEnd w:id="97"/>
      <w:bookmarkEnd w:id="98"/>
      <w:r>
        <w:rPr>
          <w:rFonts w:ascii="Book Antiqua" w:hAnsi="Book Antiqua"/>
          <w:color w:val="000000"/>
          <w:sz w:val="24"/>
        </w:rPr>
        <w:t xml:space="preserve"> in the Solt-Farber model. Furthermore, we confirm that STAT3 activation promoted the Warburg effect by upregulating p-PKM2 in transformed hepatic progenitor cells in rats</w:t>
      </w:r>
      <w:bookmarkStart w:id="99" w:name="OLE_LINK68"/>
      <w:r>
        <w:rPr>
          <w:rFonts w:ascii="Book Antiqua" w:hAnsi="Book Antiqua"/>
          <w:color w:val="000000"/>
          <w:sz w:val="24"/>
        </w:rPr>
        <w:t xml:space="preserve">. </w:t>
      </w:r>
      <w:bookmarkEnd w:id="99"/>
      <w:r>
        <w:rPr>
          <w:rFonts w:ascii="Book Antiqua" w:hAnsi="Book Antiqua"/>
          <w:color w:val="000000"/>
          <w:sz w:val="24"/>
        </w:rPr>
        <w:t>Our study can help better understand the role of STAT3 and PKM2 in HCC formation.</w:t>
      </w:r>
    </w:p>
    <w:bookmarkEnd w:id="77"/>
    <w:p w:rsidR="006523F7" w:rsidRDefault="006523F7">
      <w:pPr>
        <w:adjustRightInd w:val="0"/>
        <w:snapToGrid w:val="0"/>
        <w:spacing w:line="360" w:lineRule="auto"/>
        <w:rPr>
          <w:rFonts w:ascii="Book Antiqua" w:hAnsi="Book Antiqua"/>
          <w:b/>
          <w:color w:val="000000"/>
          <w:sz w:val="24"/>
        </w:rPr>
      </w:pPr>
    </w:p>
    <w:p w:rsidR="006523F7" w:rsidRDefault="006523F7">
      <w:pPr>
        <w:adjustRightInd w:val="0"/>
        <w:snapToGrid w:val="0"/>
        <w:spacing w:line="360" w:lineRule="auto"/>
        <w:outlineLvl w:val="0"/>
        <w:rPr>
          <w:rFonts w:ascii="Book Antiqua" w:hAnsi="Book Antiqua"/>
          <w:b/>
          <w:color w:val="000000"/>
          <w:sz w:val="24"/>
        </w:rPr>
      </w:pPr>
      <w:r>
        <w:rPr>
          <w:rFonts w:ascii="Book Antiqua" w:hAnsi="Book Antiqua"/>
          <w:b/>
          <w:color w:val="000000"/>
          <w:sz w:val="24"/>
        </w:rPr>
        <w:t>MATERIALS AND METHODS</w:t>
      </w:r>
    </w:p>
    <w:p w:rsidR="006523F7" w:rsidRDefault="006523F7">
      <w:pPr>
        <w:adjustRightInd w:val="0"/>
        <w:snapToGrid w:val="0"/>
        <w:spacing w:line="360" w:lineRule="auto"/>
        <w:outlineLvl w:val="0"/>
        <w:rPr>
          <w:rFonts w:ascii="Book Antiqua" w:hAnsi="Book Antiqua"/>
          <w:b/>
          <w:i/>
          <w:color w:val="000000"/>
          <w:sz w:val="24"/>
        </w:rPr>
      </w:pPr>
      <w:bookmarkStart w:id="100" w:name="OLE_LINK74"/>
      <w:r>
        <w:rPr>
          <w:rFonts w:ascii="Book Antiqua" w:hAnsi="Book Antiqua"/>
          <w:b/>
          <w:i/>
          <w:color w:val="000000"/>
          <w:sz w:val="24"/>
        </w:rPr>
        <w:t>Experimental animals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Sixty adult male Wistar rats (6 wk old), weighing 180-200 g, were purchased from Beijing Vital River Laboratory Animal Technology Co. Ltd (Beijing, </w:t>
      </w:r>
      <w:r>
        <w:rPr>
          <w:rFonts w:ascii="Book Antiqua" w:hAnsi="Book Antiqua"/>
          <w:color w:val="000000"/>
          <w:sz w:val="24"/>
        </w:rPr>
        <w:lastRenderedPageBreak/>
        <w:t xml:space="preserve">China). All animal feeding and experimental procedures were approved by the Ethical Committee of Capital Medical University and were performed according to National Institutes of Health (NIH) Guidelines. A </w:t>
      </w:r>
      <w:bookmarkStart w:id="101" w:name="OLE_LINK93"/>
      <w:r>
        <w:rPr>
          <w:rFonts w:ascii="Book Antiqua" w:hAnsi="Book Antiqua"/>
          <w:color w:val="000000"/>
          <w:sz w:val="24"/>
        </w:rPr>
        <w:t xml:space="preserve">modified Solt-Farber model </w:t>
      </w:r>
      <w:bookmarkEnd w:id="101"/>
      <w:r>
        <w:rPr>
          <w:rFonts w:ascii="Book Antiqua" w:hAnsi="Book Antiqua"/>
          <w:color w:val="000000"/>
          <w:sz w:val="24"/>
        </w:rPr>
        <w:t>of liver precancerous lesions was generated as described</w:t>
      </w:r>
      <w:r>
        <w:rPr>
          <w:rFonts w:ascii="Book Antiqua" w:hAnsi="Book Antiqua"/>
          <w:color w:val="000000"/>
          <w:sz w:val="24"/>
          <w:vertAlign w:val="superscript"/>
        </w:rPr>
        <w:t>[23,24]</w:t>
      </w:r>
      <w:r>
        <w:rPr>
          <w:rFonts w:ascii="Book Antiqua" w:hAnsi="Book Antiqua"/>
          <w:color w:val="000000"/>
          <w:sz w:val="24"/>
        </w:rPr>
        <w:t xml:space="preserve">. The animals were acclimatized to laboratory conditions (23 </w:t>
      </w:r>
      <w:bookmarkStart w:id="102" w:name="OLE_LINK630"/>
      <w:bookmarkStart w:id="103" w:name="OLE_LINK629"/>
      <w:r>
        <w:rPr>
          <w:rFonts w:ascii="MS Mincho" w:eastAsia="MS Mincho" w:hAnsi="MS Mincho" w:cs="MS Mincho"/>
          <w:color w:val="000000"/>
          <w:sz w:val="24"/>
        </w:rPr>
        <w:t>℃</w:t>
      </w:r>
      <w:bookmarkEnd w:id="102"/>
      <w:bookmarkEnd w:id="103"/>
      <w:r>
        <w:rPr>
          <w:rFonts w:ascii="Book Antiqua" w:hAnsi="Book Antiqua"/>
          <w:color w:val="000000"/>
          <w:sz w:val="24"/>
        </w:rPr>
        <w:t xml:space="preserve">, 12 h/12 h light/dark, 50% humidity, </w:t>
      </w:r>
      <w:r w:rsidRPr="00BF7942">
        <w:rPr>
          <w:rFonts w:ascii="Book Antiqua" w:hAnsi="Book Antiqua"/>
          <w:i/>
          <w:color w:val="000000"/>
          <w:sz w:val="24"/>
        </w:rPr>
        <w:t>ad libitum</w:t>
      </w:r>
      <w:r>
        <w:rPr>
          <w:rFonts w:ascii="Book Antiqua" w:hAnsi="Book Antiqua"/>
          <w:color w:val="000000"/>
          <w:sz w:val="24"/>
        </w:rPr>
        <w:t xml:space="preserve"> access to food and water) for 1 wk prior to experimentation. Then, a single dose of diethylnitrosamine (DEN, 200 mg/kg body weight; Sigma, St. Louis, MO, United States) was injected intraperitoneally. After a two-week recovery, the rats were subcutaneously inserted with 2-</w:t>
      </w:r>
      <w:bookmarkStart w:id="104" w:name="OLE_LINK103"/>
      <w:bookmarkStart w:id="105" w:name="OLE_LINK102"/>
      <w:bookmarkStart w:id="106" w:name="OLE_LINK101"/>
      <w:r>
        <w:rPr>
          <w:rFonts w:ascii="Book Antiqua" w:hAnsi="Book Antiqua"/>
          <w:color w:val="000000"/>
          <w:sz w:val="24"/>
        </w:rPr>
        <w:t>acetylamino</w:t>
      </w:r>
      <w:bookmarkEnd w:id="104"/>
      <w:bookmarkEnd w:id="105"/>
      <w:r>
        <w:rPr>
          <w:rFonts w:ascii="Book Antiqua" w:hAnsi="Book Antiqua"/>
          <w:color w:val="000000"/>
          <w:sz w:val="24"/>
        </w:rPr>
        <w:t>fluorene</w:t>
      </w:r>
      <w:bookmarkEnd w:id="106"/>
      <w:r>
        <w:rPr>
          <w:rFonts w:ascii="Book Antiqua" w:hAnsi="Book Antiqua"/>
          <w:color w:val="000000"/>
          <w:sz w:val="24"/>
        </w:rPr>
        <w:t xml:space="preserve"> (2-AAF; Innovative Research, </w:t>
      </w:r>
      <w:bookmarkStart w:id="107" w:name="OLE_LINK33"/>
      <w:r>
        <w:rPr>
          <w:rFonts w:ascii="Book Antiqua" w:hAnsi="Book Antiqua"/>
          <w:color w:val="000000"/>
          <w:sz w:val="24"/>
        </w:rPr>
        <w:t>Miami, FL</w:t>
      </w:r>
      <w:bookmarkEnd w:id="107"/>
      <w:r>
        <w:rPr>
          <w:rFonts w:ascii="Book Antiqua" w:hAnsi="Book Antiqua"/>
          <w:color w:val="000000"/>
          <w:sz w:val="24"/>
        </w:rPr>
        <w:t>, United States) pellets (50 mg/pellet over a 21-d release) for 1 wk followed by a two-thirds partial hepatectomy (PH). The animals were then euthanized nine days after PH. The livers of the rats were removed rapidly and dissected. Rats with no treatment, rats exposed to DEN and PH, and rats exposed to AAF and PH were used as controls.</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Cell culture</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The WB-F344 rat hepatic progenitor cell line (a gift from Dr. Geng-Tao Liu, </w:t>
      </w:r>
      <w:bookmarkStart w:id="108" w:name="OLE_LINK17"/>
      <w:r>
        <w:rPr>
          <w:rFonts w:ascii="Book Antiqua" w:hAnsi="Book Antiqua"/>
          <w:color w:val="000000"/>
          <w:sz w:val="24"/>
        </w:rPr>
        <w:t>Peking</w:t>
      </w:r>
      <w:bookmarkEnd w:id="108"/>
      <w:r>
        <w:rPr>
          <w:rFonts w:ascii="Book Antiqua" w:hAnsi="Book Antiqua"/>
          <w:color w:val="000000"/>
          <w:sz w:val="24"/>
        </w:rPr>
        <w:t xml:space="preserve"> Union Medical College) was cultured in Dulbecco’s Modified Eagle Medium and Nutrient Mixture F-12 (DMEM/F12) (Hyclone) with 100 U/mL penicillin and 100 μg/mL streptomycin with or without 10% fetal bovine serum (FBS</w:t>
      </w:r>
      <w:bookmarkStart w:id="109" w:name="OLE_LINK40"/>
      <w:r>
        <w:rPr>
          <w:rFonts w:ascii="Book Antiqua" w:hAnsi="Book Antiqua"/>
          <w:color w:val="000000"/>
          <w:sz w:val="24"/>
        </w:rPr>
        <w:t>; Corning</w:t>
      </w:r>
      <w:bookmarkEnd w:id="109"/>
      <w:r>
        <w:rPr>
          <w:rFonts w:ascii="Book Antiqua" w:hAnsi="Book Antiqua"/>
          <w:color w:val="000000"/>
          <w:sz w:val="24"/>
        </w:rPr>
        <w:t xml:space="preserve">, KS, United States). The cells were maintained in the logarithmic growth phase at 37 </w:t>
      </w:r>
      <w:r>
        <w:rPr>
          <w:rFonts w:ascii="MS Mincho" w:eastAsia="MS Mincho" w:hAnsi="MS Mincho" w:cs="MS Mincho"/>
          <w:color w:val="000000"/>
          <w:sz w:val="24"/>
        </w:rPr>
        <w:t>℃</w:t>
      </w:r>
      <w:r>
        <w:rPr>
          <w:rFonts w:ascii="Book Antiqua" w:hAnsi="Book Antiqua"/>
          <w:color w:val="000000"/>
          <w:sz w:val="24"/>
        </w:rPr>
        <w:t xml:space="preserve"> in 5% CO</w:t>
      </w:r>
      <w:r>
        <w:rPr>
          <w:rFonts w:ascii="Book Antiqua" w:hAnsi="Book Antiqua"/>
          <w:color w:val="000000"/>
          <w:sz w:val="24"/>
          <w:vertAlign w:val="subscript"/>
        </w:rPr>
        <w:t>2</w:t>
      </w:r>
      <w:r>
        <w:rPr>
          <w:rFonts w:ascii="Book Antiqua" w:hAnsi="Book Antiqua"/>
          <w:color w:val="000000"/>
          <w:sz w:val="24"/>
        </w:rPr>
        <w:t>. We induced the malignant transformation of WB-F344 cells according to a previous study</w:t>
      </w:r>
      <w:r>
        <w:rPr>
          <w:rFonts w:ascii="Book Antiqua" w:hAnsi="Book Antiqua"/>
          <w:color w:val="000000"/>
          <w:sz w:val="24"/>
          <w:vertAlign w:val="superscript"/>
        </w:rPr>
        <w:t>[25,26]</w:t>
      </w:r>
      <w:r>
        <w:rPr>
          <w:rFonts w:ascii="Book Antiqua" w:hAnsi="Book Antiqua"/>
          <w:color w:val="000000"/>
          <w:sz w:val="24"/>
        </w:rPr>
        <w:t xml:space="preserve">. Briefly, WB-F344 cells were exposed to 3 μg/mL </w:t>
      </w:r>
      <w:bookmarkStart w:id="110" w:name="OLE_LINK631"/>
      <w:bookmarkStart w:id="111" w:name="OLE_LINK632"/>
      <w:r>
        <w:rPr>
          <w:rFonts w:ascii="Book Antiqua" w:hAnsi="Book Antiqua" w:cs="Tahoma"/>
          <w:color w:val="000000"/>
          <w:sz w:val="24"/>
          <w:lang w:eastAsia="ja-JP"/>
        </w:rPr>
        <w:t>N-methyl-N’-nitro-N-nitrosoguanidine</w:t>
      </w:r>
      <w:r>
        <w:rPr>
          <w:rFonts w:ascii="Book Antiqua" w:hAnsi="Book Antiqua"/>
          <w:color w:val="000000"/>
          <w:sz w:val="24"/>
        </w:rPr>
        <w:t xml:space="preserve"> (MNNG</w:t>
      </w:r>
      <w:bookmarkEnd w:id="110"/>
      <w:bookmarkEnd w:id="111"/>
      <w:r>
        <w:rPr>
          <w:rFonts w:ascii="Book Antiqua" w:hAnsi="Book Antiqua"/>
          <w:color w:val="000000"/>
          <w:sz w:val="24"/>
        </w:rPr>
        <w:t>) for 24 h, and then the cells were treated with 7 × 10</w:t>
      </w:r>
      <w:r>
        <w:rPr>
          <w:rFonts w:ascii="Book Antiqua" w:hAnsi="Book Antiqua"/>
          <w:color w:val="000000"/>
          <w:sz w:val="24"/>
          <w:vertAlign w:val="superscript"/>
        </w:rPr>
        <w:t>-7</w:t>
      </w:r>
      <w:r>
        <w:rPr>
          <w:rFonts w:ascii="Book Antiqua" w:hAnsi="Book Antiqua"/>
          <w:color w:val="000000"/>
          <w:sz w:val="24"/>
        </w:rPr>
        <w:t xml:space="preserve"> mol/L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for 12 h per day for 21 d. WB-F344 cells with no treatment was cultured as controls.</w:t>
      </w:r>
    </w:p>
    <w:p w:rsidR="006523F7" w:rsidRPr="00BF7942" w:rsidRDefault="006523F7">
      <w:pPr>
        <w:adjustRightInd w:val="0"/>
        <w:snapToGrid w:val="0"/>
        <w:spacing w:line="360" w:lineRule="auto"/>
        <w:rPr>
          <w:rFonts w:ascii="Book Antiqua" w:hAnsi="Book Antiqua"/>
          <w:b/>
          <w:i/>
          <w:color w:val="000000"/>
          <w:sz w:val="24"/>
        </w:rPr>
      </w:pPr>
      <w:bookmarkStart w:id="112" w:name="OLE_LINK36"/>
      <w:bookmarkStart w:id="113" w:name="OLE_LINK35"/>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Histopathology</w:t>
      </w:r>
      <w:bookmarkEnd w:id="112"/>
      <w:bookmarkEnd w:id="113"/>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Rat livers were fixed in formalin for 24 h, paraffin-embedded, and sectioned </w:t>
      </w:r>
      <w:r>
        <w:rPr>
          <w:rFonts w:ascii="Book Antiqua" w:hAnsi="Book Antiqua"/>
          <w:color w:val="000000"/>
          <w:sz w:val="24"/>
        </w:rPr>
        <w:lastRenderedPageBreak/>
        <w:t>into 5-μm-thick slices for hematoxylin and eosin (HE) staining.</w:t>
      </w:r>
    </w:p>
    <w:p w:rsidR="006523F7" w:rsidRDefault="006523F7">
      <w:pPr>
        <w:adjustRightInd w:val="0"/>
        <w:snapToGrid w:val="0"/>
        <w:spacing w:line="360" w:lineRule="auto"/>
        <w:rPr>
          <w:rFonts w:ascii="Book Antiqua" w:hAnsi="Book Antiqua"/>
          <w:b/>
          <w:i/>
          <w:color w:val="000000"/>
          <w:sz w:val="24"/>
        </w:rPr>
      </w:pPr>
      <w:bookmarkStart w:id="114" w:name="OLE_LINK106"/>
      <w:bookmarkStart w:id="115" w:name="OLE_LINK104"/>
      <w:bookmarkStart w:id="116" w:name="OLE_LINK105"/>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Immunohistochemistry</w:t>
      </w:r>
      <w:bookmarkEnd w:id="114"/>
      <w:bookmarkEnd w:id="115"/>
      <w:bookmarkEnd w:id="116"/>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Immunohistochemistry was performed as previously described. Sections were incubated with rabbit anti-PKM2 (1:800</w:t>
      </w:r>
      <w:r w:rsidR="00593FA5">
        <w:rPr>
          <w:rFonts w:ascii="Book Antiqua" w:hAnsi="Book Antiqua"/>
          <w:color w:val="000000"/>
          <w:sz w:val="24"/>
        </w:rPr>
        <w:t xml:space="preserve">; </w:t>
      </w:r>
      <w:r>
        <w:rPr>
          <w:rFonts w:ascii="Book Antiqua" w:hAnsi="Book Antiqua"/>
          <w:color w:val="000000"/>
          <w:sz w:val="24"/>
        </w:rPr>
        <w:t xml:space="preserve">CST, MA, </w:t>
      </w:r>
      <w:r w:rsidRPr="00593FA5">
        <w:rPr>
          <w:rFonts w:ascii="Book Antiqua" w:hAnsi="Book Antiqua"/>
          <w:color w:val="000000"/>
          <w:sz w:val="24"/>
        </w:rPr>
        <w:t>United</w:t>
      </w:r>
      <w:r>
        <w:rPr>
          <w:rFonts w:ascii="Book Antiqua" w:hAnsi="Book Antiqua"/>
          <w:color w:val="000000"/>
          <w:sz w:val="24"/>
        </w:rPr>
        <w:t xml:space="preserve"> States) and rabbit anti-glutathione S-transferase-π (GST-π</w:t>
      </w:r>
      <w:r w:rsidR="00593FA5">
        <w:rPr>
          <w:rFonts w:ascii="Book Antiqua" w:hAnsi="Book Antiqua"/>
          <w:color w:val="000000"/>
          <w:sz w:val="24"/>
        </w:rPr>
        <w:t xml:space="preserve">; </w:t>
      </w:r>
      <w:r>
        <w:rPr>
          <w:rFonts w:ascii="Book Antiqua" w:hAnsi="Book Antiqua"/>
          <w:color w:val="000000"/>
          <w:sz w:val="24"/>
        </w:rPr>
        <w:t>1:1000</w:t>
      </w:r>
      <w:bookmarkStart w:id="117" w:name="OLE_LINK18"/>
      <w:r w:rsidR="00593FA5">
        <w:rPr>
          <w:rFonts w:ascii="Book Antiqua" w:hAnsi="Book Antiqua"/>
          <w:color w:val="000000"/>
          <w:sz w:val="24"/>
        </w:rPr>
        <w:t xml:space="preserve">; </w:t>
      </w:r>
      <w:r>
        <w:rPr>
          <w:rFonts w:ascii="Book Antiqua" w:hAnsi="Book Antiqua"/>
          <w:color w:val="000000"/>
          <w:sz w:val="24"/>
        </w:rPr>
        <w:t>MBL</w:t>
      </w:r>
      <w:bookmarkEnd w:id="117"/>
      <w:r>
        <w:rPr>
          <w:rFonts w:ascii="Book Antiqua" w:hAnsi="Book Antiqua"/>
          <w:color w:val="000000"/>
          <w:sz w:val="24"/>
        </w:rPr>
        <w:t xml:space="preserve">, Nagoya, Japan) overnight at 4 </w:t>
      </w:r>
      <w:r>
        <w:rPr>
          <w:rFonts w:ascii="MS Mincho" w:eastAsia="MS Mincho" w:hAnsi="MS Mincho" w:cs="MS Mincho"/>
          <w:color w:val="000000"/>
          <w:sz w:val="24"/>
        </w:rPr>
        <w:t>℃</w:t>
      </w:r>
      <w:r>
        <w:rPr>
          <w:rFonts w:ascii="Book Antiqua" w:hAnsi="Book Antiqua"/>
          <w:color w:val="000000"/>
          <w:sz w:val="24"/>
        </w:rPr>
        <w:t>. The appropriate secondary antibody (goat anti-rabbit IgG, ZSGB-BIO, Beijing, China) was applied for 30 min, and 3,3’-diaminobenzidine was used as the chromogen. Negative controls were run for each antibody, using PBS instead of the primary antibody. Representative images were captured with an Axio Imager 2 (Zeiss, OBK, Germany).</w:t>
      </w:r>
    </w:p>
    <w:p w:rsidR="006523F7" w:rsidRDefault="006523F7">
      <w:pPr>
        <w:adjustRightInd w:val="0"/>
        <w:snapToGrid w:val="0"/>
        <w:spacing w:line="360" w:lineRule="auto"/>
        <w:rPr>
          <w:rFonts w:ascii="Book Antiqua" w:hAnsi="Book Antiqua"/>
          <w:b/>
          <w:i/>
          <w:color w:val="000000"/>
          <w:sz w:val="24"/>
        </w:rPr>
      </w:pPr>
      <w:bookmarkStart w:id="118" w:name="OLE_LINK107"/>
      <w:bookmarkStart w:id="119" w:name="OLE_LINK108"/>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Immunofluorescence</w:t>
      </w:r>
      <w:bookmarkEnd w:id="118"/>
      <w:bookmarkEnd w:id="119"/>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Immunofluorescence was conducted as described. The slices were incubated at 4 </w:t>
      </w:r>
      <w:r>
        <w:rPr>
          <w:rFonts w:ascii="MS Mincho" w:eastAsia="MS Mincho" w:hAnsi="MS Mincho" w:cs="MS Mincho"/>
          <w:color w:val="000000"/>
          <w:sz w:val="24"/>
        </w:rPr>
        <w:t>℃</w:t>
      </w:r>
      <w:r>
        <w:rPr>
          <w:rFonts w:ascii="Book Antiqua" w:hAnsi="Book Antiqua"/>
          <w:color w:val="000000"/>
          <w:sz w:val="24"/>
        </w:rPr>
        <w:t xml:space="preserve"> overnight with mouse anti-OV-6 antibody (1:150</w:t>
      </w:r>
      <w:bookmarkStart w:id="120" w:name="OLE_LINK19"/>
      <w:r>
        <w:rPr>
          <w:rFonts w:ascii="Book Antiqua" w:hAnsi="Book Antiqua"/>
          <w:color w:val="000000"/>
          <w:sz w:val="24"/>
        </w:rPr>
        <w:t>; Roche</w:t>
      </w:r>
      <w:bookmarkStart w:id="121" w:name="OLE_LINK29"/>
      <w:bookmarkEnd w:id="120"/>
      <w:r>
        <w:rPr>
          <w:rFonts w:ascii="Book Antiqua" w:hAnsi="Book Antiqua"/>
          <w:color w:val="000000"/>
          <w:sz w:val="24"/>
        </w:rPr>
        <w:t>, Basel</w:t>
      </w:r>
      <w:bookmarkEnd w:id="121"/>
      <w:r>
        <w:rPr>
          <w:rFonts w:ascii="Book Antiqua" w:hAnsi="Book Antiqua"/>
          <w:color w:val="000000"/>
          <w:sz w:val="24"/>
        </w:rPr>
        <w:t>, Switzerland) and rabbit anti-PKM2 antibody (1:50; CST) or rabbit anti-p-STAT3 antibody (1:100; CST), followed by fluorescent staining with FITC-conjugated anti-mouse IgG and Alexa Fluor 594-conjugated anti-rabbit IgG (</w:t>
      </w:r>
      <w:bookmarkStart w:id="122" w:name="OLE_LINK24"/>
      <w:r>
        <w:rPr>
          <w:rFonts w:ascii="Book Antiqua" w:hAnsi="Book Antiqua"/>
          <w:color w:val="000000"/>
          <w:sz w:val="24"/>
        </w:rPr>
        <w:t>Jackson</w:t>
      </w:r>
      <w:bookmarkEnd w:id="122"/>
      <w:r>
        <w:rPr>
          <w:rFonts w:ascii="Book Antiqua" w:hAnsi="Book Antiqua"/>
          <w:color w:val="000000"/>
          <w:sz w:val="24"/>
        </w:rPr>
        <w:t>, PA, United States). DAPI was used to stain the nuclei in the tissue samples. Images were captured with an Axio Imager 2.</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Soft agar assay</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Cell were assessed for colony formation in soft agar assays using a Cell Biolabs Cytosolic Cell Transformation Assay kit (Cell Biolabs, CA, United States) as per manufacturer’s instructions.</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Analysis of glucose consumption and lactate production</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Liver tissue samples were lysed in ice-cold normal saline (0.3%). Cells were seeded in 6-well plates (8.5 × 10</w:t>
      </w:r>
      <w:r>
        <w:rPr>
          <w:rFonts w:ascii="Book Antiqua" w:hAnsi="Book Antiqua"/>
          <w:color w:val="000000"/>
          <w:sz w:val="24"/>
          <w:vertAlign w:val="superscript"/>
        </w:rPr>
        <w:t>5</w:t>
      </w:r>
      <w:r>
        <w:rPr>
          <w:rFonts w:ascii="Book Antiqua" w:hAnsi="Book Antiqua"/>
          <w:color w:val="000000"/>
          <w:sz w:val="24"/>
        </w:rPr>
        <w:t xml:space="preserve"> cells/well). The glucose </w:t>
      </w:r>
      <w:bookmarkStart w:id="123" w:name="OLE_LINK46"/>
      <w:bookmarkStart w:id="124" w:name="OLE_LINK47"/>
      <w:r>
        <w:rPr>
          <w:rFonts w:ascii="Book Antiqua" w:hAnsi="Book Antiqua"/>
          <w:color w:val="000000"/>
          <w:sz w:val="24"/>
        </w:rPr>
        <w:t>and lactate concentration</w:t>
      </w:r>
      <w:bookmarkEnd w:id="123"/>
      <w:bookmarkEnd w:id="124"/>
      <w:r>
        <w:rPr>
          <w:rFonts w:ascii="Book Antiqua" w:hAnsi="Book Antiqua"/>
          <w:color w:val="000000"/>
          <w:sz w:val="24"/>
        </w:rPr>
        <w:t>s in the medium and liver tissue homogenate w</w:t>
      </w:r>
      <w:r w:rsidR="00593FA5">
        <w:rPr>
          <w:rFonts w:ascii="Book Antiqua" w:hAnsi="Book Antiqua"/>
          <w:color w:val="000000"/>
          <w:sz w:val="24"/>
        </w:rPr>
        <w:t>ere</w:t>
      </w:r>
      <w:r>
        <w:rPr>
          <w:rFonts w:ascii="Book Antiqua" w:hAnsi="Book Antiqua"/>
          <w:color w:val="000000"/>
          <w:sz w:val="24"/>
        </w:rPr>
        <w:t xml:space="preserve"> measured by the glucose-oxidase method (Applygen Technologies, Beijing, China) and </w:t>
      </w:r>
      <w:r>
        <w:rPr>
          <w:rFonts w:ascii="Book Antiqua" w:hAnsi="Book Antiqua"/>
          <w:color w:val="000000"/>
          <w:sz w:val="24"/>
        </w:rPr>
        <w:lastRenderedPageBreak/>
        <w:t>with a lactic acid assay kit (Nanjing Jiancheng Biotechnology, Nanjing, China), separately. The glucose consumption and lactate production were normalized to protein concentration and cell numbers.</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Cell cycle and aneuploidy cells assay</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The cell cycle was examined by flow cytometry. Cells (10</w:t>
      </w:r>
      <w:r>
        <w:rPr>
          <w:rFonts w:ascii="Book Antiqua" w:hAnsi="Book Antiqua"/>
          <w:color w:val="000000"/>
          <w:sz w:val="24"/>
          <w:vertAlign w:val="superscript"/>
        </w:rPr>
        <w:t>6</w:t>
      </w:r>
      <w:r>
        <w:rPr>
          <w:rFonts w:ascii="Book Antiqua" w:hAnsi="Book Antiqua"/>
          <w:color w:val="000000"/>
          <w:sz w:val="24"/>
        </w:rPr>
        <w:t xml:space="preserve"> cell/mL) were harvested and fixed in 75% alcohol at 4 </w:t>
      </w:r>
      <w:r>
        <w:rPr>
          <w:rFonts w:ascii="MS Mincho" w:eastAsia="MS Mincho" w:hAnsi="MS Mincho" w:cs="MS Mincho"/>
          <w:color w:val="000000"/>
          <w:sz w:val="24"/>
        </w:rPr>
        <w:t>℃</w:t>
      </w:r>
      <w:r>
        <w:rPr>
          <w:rFonts w:ascii="Book Antiqua" w:hAnsi="Book Antiqua"/>
          <w:color w:val="000000"/>
          <w:sz w:val="24"/>
        </w:rPr>
        <w:t xml:space="preserve"> overnight. After a wash step in PBS, 500 </w:t>
      </w:r>
      <w:r>
        <w:rPr>
          <w:rFonts w:ascii="Book Antiqua" w:hAnsi="Book Antiqua"/>
          <w:color w:val="000000"/>
          <w:sz w:val="24"/>
          <w:lang w:val="el-GR"/>
        </w:rPr>
        <w:t>μ</w:t>
      </w:r>
      <w:r>
        <w:rPr>
          <w:rFonts w:ascii="Book Antiqua" w:hAnsi="Book Antiqua"/>
          <w:color w:val="000000"/>
          <w:sz w:val="24"/>
        </w:rPr>
        <w:t>L of cell cycle reagent propidium iodide (PI)/RNase staining solution (CST, MA, United States) was added to each tube and incubated for 30 min at room temperature in the dark. DNA content was analyzed on an EPICS@XL flow cytometer (Beckman Coulter, CA, United States). DNA content of diploid cells in WB-F344 cells was used as an internal standard to determine DNA index (DI). Cells with a DI = 0.95-1.05 were defined as diploid, cells with a DI = 1.92-2.04 were defined as tetraploid, and cells with a DI &gt; 2.04 was considered as aneuploid</w:t>
      </w:r>
      <w:r>
        <w:rPr>
          <w:rFonts w:ascii="Book Antiqua" w:hAnsi="Book Antiqua"/>
          <w:color w:val="000000"/>
          <w:sz w:val="24"/>
          <w:vertAlign w:val="superscript"/>
        </w:rPr>
        <w:t>[27]</w:t>
      </w:r>
      <w:r>
        <w:rPr>
          <w:rFonts w:ascii="Book Antiqua" w:hAnsi="Book Antiqua"/>
          <w:color w:val="000000"/>
          <w:sz w:val="24"/>
        </w:rPr>
        <w:t>. Three independent experiments were performed for each assay condition.</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Cellular ATP level</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Cells were seeded in 96-well plates (5 × 10</w:t>
      </w:r>
      <w:r>
        <w:rPr>
          <w:rFonts w:ascii="Book Antiqua" w:hAnsi="Book Antiqua"/>
          <w:color w:val="000000"/>
          <w:sz w:val="24"/>
          <w:vertAlign w:val="superscript"/>
        </w:rPr>
        <w:t>4</w:t>
      </w:r>
      <w:r>
        <w:rPr>
          <w:rFonts w:ascii="Book Antiqua" w:hAnsi="Book Antiqua"/>
          <w:color w:val="000000"/>
          <w:sz w:val="24"/>
        </w:rPr>
        <w:t xml:space="preserve"> cells/well). At the end of the treatments, the cell resuspension solution was collected. ATP content was measured using the CellTiter-Glo2.0 assay kit (</w:t>
      </w:r>
      <w:bookmarkStart w:id="125" w:name="OLE_LINK59"/>
      <w:r>
        <w:rPr>
          <w:rFonts w:ascii="Book Antiqua" w:hAnsi="Book Antiqua"/>
          <w:color w:val="000000"/>
          <w:sz w:val="24"/>
        </w:rPr>
        <w:t>Promega</w:t>
      </w:r>
      <w:bookmarkEnd w:id="125"/>
      <w:r>
        <w:rPr>
          <w:rFonts w:ascii="Book Antiqua" w:hAnsi="Book Antiqua"/>
          <w:color w:val="000000"/>
          <w:sz w:val="24"/>
        </w:rPr>
        <w:t>, WI, United States) and normalized to cell numbers. Three independent experiments were performed for each assay condition.</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Western blot analysis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Liver tissue samples were lysed in ice-cold RIPA buffer that was supplemented with protease inhibitors. Protein concentrations were determined using a bicinchoninic acid protein assay kit (</w:t>
      </w:r>
      <w:bookmarkStart w:id="126" w:name="OLE_LINK60"/>
      <w:r>
        <w:rPr>
          <w:rFonts w:ascii="Book Antiqua" w:hAnsi="Book Antiqua"/>
          <w:color w:val="000000"/>
          <w:sz w:val="24"/>
        </w:rPr>
        <w:t>Thermo</w:t>
      </w:r>
      <w:bookmarkEnd w:id="126"/>
      <w:r>
        <w:rPr>
          <w:rFonts w:ascii="Book Antiqua" w:hAnsi="Book Antiqua"/>
          <w:color w:val="000000"/>
          <w:sz w:val="24"/>
        </w:rPr>
        <w:t xml:space="preserve">, MA, United States). The protein extracts from liver tissue (50-100 μg) and cell lysates (40-60 μg) were separated by 10% </w:t>
      </w:r>
      <w:bookmarkStart w:id="127" w:name="OLE_LINK633"/>
      <w:r>
        <w:rPr>
          <w:rFonts w:ascii="Book Antiqua" w:hAnsi="Book Antiqua"/>
          <w:color w:val="000000"/>
          <w:sz w:val="24"/>
        </w:rPr>
        <w:t>sodium dodecyl sulfate-polyacrylamide gel electrophoresis</w:t>
      </w:r>
      <w:bookmarkEnd w:id="127"/>
      <w:r>
        <w:rPr>
          <w:rFonts w:ascii="Book Antiqua" w:hAnsi="Book Antiqua"/>
          <w:color w:val="000000"/>
          <w:sz w:val="24"/>
        </w:rPr>
        <w:t xml:space="preserve"> and transferred to polyvinylidene difluoride membranes </w:t>
      </w:r>
      <w:r>
        <w:rPr>
          <w:rFonts w:ascii="Book Antiqua" w:hAnsi="Book Antiqua"/>
          <w:color w:val="000000"/>
          <w:sz w:val="24"/>
        </w:rPr>
        <w:lastRenderedPageBreak/>
        <w:t>(</w:t>
      </w:r>
      <w:bookmarkStart w:id="128" w:name="OLE_LINK62"/>
      <w:r>
        <w:rPr>
          <w:rFonts w:ascii="Book Antiqua" w:hAnsi="Book Antiqua"/>
          <w:color w:val="000000"/>
          <w:sz w:val="24"/>
        </w:rPr>
        <w:t>Millipore</w:t>
      </w:r>
      <w:bookmarkEnd w:id="128"/>
      <w:r>
        <w:rPr>
          <w:rFonts w:ascii="Book Antiqua" w:hAnsi="Book Antiqua"/>
          <w:color w:val="000000"/>
          <w:sz w:val="24"/>
        </w:rPr>
        <w:t xml:space="preserve">, MA, United States) for </w:t>
      </w:r>
      <w:r w:rsidR="00A41EC2">
        <w:rPr>
          <w:rFonts w:ascii="Book Antiqua" w:hAnsi="Book Antiqua"/>
          <w:color w:val="000000"/>
          <w:sz w:val="24"/>
        </w:rPr>
        <w:t>W</w:t>
      </w:r>
      <w:r>
        <w:rPr>
          <w:rFonts w:ascii="Book Antiqua" w:hAnsi="Book Antiqua"/>
          <w:color w:val="000000"/>
          <w:sz w:val="24"/>
        </w:rPr>
        <w:t xml:space="preserve">estern blot analysis. The membranes were incubated with primary antibodies at 4 </w:t>
      </w:r>
      <w:r>
        <w:rPr>
          <w:rFonts w:ascii="MS Mincho" w:eastAsia="MS Mincho" w:hAnsi="MS Mincho" w:cs="MS Mincho"/>
          <w:color w:val="000000"/>
          <w:sz w:val="24"/>
        </w:rPr>
        <w:t>℃</w:t>
      </w:r>
      <w:r>
        <w:rPr>
          <w:rFonts w:ascii="Book Antiqua" w:hAnsi="Book Antiqua"/>
          <w:color w:val="000000"/>
          <w:sz w:val="24"/>
        </w:rPr>
        <w:t xml:space="preserve"> overnight and then were incubated with the appropriate secondary antibodies at room temperature. </w:t>
      </w:r>
      <w:r w:rsidR="00A41EC2">
        <w:rPr>
          <w:rFonts w:ascii="Book Antiqua" w:hAnsi="Book Antiqua"/>
          <w:color w:val="000000"/>
          <w:sz w:val="24"/>
        </w:rPr>
        <w:t>The p</w:t>
      </w:r>
      <w:r>
        <w:rPr>
          <w:rFonts w:ascii="Book Antiqua" w:hAnsi="Book Antiqua"/>
          <w:color w:val="000000"/>
          <w:sz w:val="24"/>
        </w:rPr>
        <w:t xml:space="preserve">rimary antibodies included antibodies against GST-π (MBL, Nagoya, Japan), </w:t>
      </w:r>
      <w:bookmarkStart w:id="129" w:name="OLE_LINK634"/>
      <w:r>
        <w:rPr>
          <w:rFonts w:ascii="Book Antiqua" w:hAnsi="Book Antiqua"/>
          <w:color w:val="000000"/>
          <w:sz w:val="24"/>
        </w:rPr>
        <w:t>alpha-fetoprotein (AFP</w:t>
      </w:r>
      <w:bookmarkEnd w:id="129"/>
      <w:r w:rsidR="00A41EC2">
        <w:rPr>
          <w:rFonts w:ascii="Book Antiqua" w:hAnsi="Book Antiqua"/>
          <w:color w:val="000000"/>
          <w:sz w:val="24"/>
        </w:rPr>
        <w:t xml:space="preserve">; </w:t>
      </w:r>
      <w:r>
        <w:rPr>
          <w:rFonts w:ascii="Book Antiqua" w:hAnsi="Book Antiqua"/>
          <w:color w:val="000000"/>
          <w:sz w:val="24"/>
        </w:rPr>
        <w:t xml:space="preserve">Proteintech, Chicago, </w:t>
      </w:r>
      <w:bookmarkStart w:id="130" w:name="OLE_LINK636"/>
      <w:r>
        <w:rPr>
          <w:rFonts w:ascii="Book Antiqua" w:hAnsi="Book Antiqua"/>
          <w:color w:val="000000"/>
          <w:sz w:val="24"/>
        </w:rPr>
        <w:t>United States</w:t>
      </w:r>
      <w:bookmarkEnd w:id="130"/>
      <w:r>
        <w:rPr>
          <w:rFonts w:ascii="Book Antiqua" w:hAnsi="Book Antiqua"/>
          <w:color w:val="000000"/>
          <w:sz w:val="24"/>
        </w:rPr>
        <w:t>), GAPDH (GXY, Beijing, China), cytokeratin 19 (CK19), PKM2, p-PKM2, STAT3, p-STAT3, proliferating cell nuclear antigen (PCNA), β-tubulin, and β-actin (CST, MA, United States). The protein bands were visualized using enhanced chemiluminescence detection reagents (Applygen, Beijing, China) and scanned on a FlourChem HD2 System (</w:t>
      </w:r>
      <w:bookmarkStart w:id="131" w:name="OLE_LINK66"/>
      <w:r>
        <w:rPr>
          <w:rFonts w:ascii="Book Antiqua" w:hAnsi="Book Antiqua"/>
          <w:color w:val="000000"/>
          <w:sz w:val="24"/>
        </w:rPr>
        <w:t>Protein Simple</w:t>
      </w:r>
      <w:bookmarkEnd w:id="131"/>
      <w:r>
        <w:rPr>
          <w:rFonts w:ascii="Book Antiqua" w:hAnsi="Book Antiqua"/>
          <w:color w:val="000000"/>
          <w:sz w:val="24"/>
        </w:rPr>
        <w:t>, CA, United States).</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Cell transfection with siRNA</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Cells were seeded into 6-well plates (1.0 × 10</w:t>
      </w:r>
      <w:r>
        <w:rPr>
          <w:rFonts w:ascii="Book Antiqua" w:hAnsi="Book Antiqua"/>
          <w:color w:val="000000"/>
          <w:sz w:val="24"/>
          <w:vertAlign w:val="superscript"/>
        </w:rPr>
        <w:t xml:space="preserve">5 </w:t>
      </w:r>
      <w:r>
        <w:rPr>
          <w:rFonts w:ascii="Book Antiqua" w:hAnsi="Book Antiqua"/>
          <w:color w:val="000000"/>
          <w:sz w:val="24"/>
        </w:rPr>
        <w:t>cells/well) on the day before the transfection. The siRNA for PKM2 (Invitrogen, Carlsbad, CA, United States) was used for the transfection of the cells, which was achieved by using LipofectamineTM RNAiMAX (Invitrogen, Carlsbad, CA, United States), according to the manufacturer's lipofection protocol. The sequence of siRNA for PKM2 was 5'-GCAGCUUUGAUAGUUCUGATT-3'. The nonspecific miRNA (Invitrogen, Carlsbad, CA, United States) was used as a control for nonspecific effects. The effects manifested after the introduction of the mature siRNA into the cells were assayed at 72 h after the transfection.</w:t>
      </w:r>
    </w:p>
    <w:p w:rsidR="006523F7" w:rsidRPr="00BF7942"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
          <w:color w:val="000000"/>
          <w:sz w:val="24"/>
        </w:rPr>
      </w:pPr>
      <w:r>
        <w:rPr>
          <w:rFonts w:ascii="Book Antiqua" w:hAnsi="Book Antiqua"/>
          <w:b/>
          <w:i/>
          <w:color w:val="000000"/>
          <w:sz w:val="24"/>
        </w:rPr>
        <w:t>Statistical analysis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Data are expressed as the mean ± SEM. Statistical significance was determined by one-way ANOVA using SPSS 17.0 (SPSS, Chicago, IL, United States). </w:t>
      </w:r>
      <w:r>
        <w:rPr>
          <w:rFonts w:ascii="Book Antiqua" w:hAnsi="Book Antiqua"/>
          <w:i/>
          <w:color w:val="000000"/>
          <w:sz w:val="24"/>
        </w:rPr>
        <w:t xml:space="preserve">P </w:t>
      </w:r>
      <w:r>
        <w:rPr>
          <w:rFonts w:ascii="Book Antiqua" w:hAnsi="Book Antiqua"/>
          <w:color w:val="000000"/>
          <w:sz w:val="24"/>
        </w:rPr>
        <w:t>&lt; 0.05 was considered statistically significant.</w:t>
      </w:r>
      <w:bookmarkEnd w:id="100"/>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b/>
          <w:iCs/>
          <w:color w:val="000000"/>
          <w:sz w:val="24"/>
        </w:rPr>
      </w:pPr>
      <w:r>
        <w:rPr>
          <w:rFonts w:ascii="Book Antiqua" w:hAnsi="Book Antiqua"/>
          <w:b/>
          <w:iCs/>
          <w:color w:val="000000"/>
          <w:sz w:val="24"/>
        </w:rPr>
        <w:t>RESULTS</w:t>
      </w:r>
    </w:p>
    <w:p w:rsidR="006523F7" w:rsidRDefault="006523F7">
      <w:pPr>
        <w:adjustRightInd w:val="0"/>
        <w:snapToGrid w:val="0"/>
        <w:spacing w:line="360" w:lineRule="auto"/>
        <w:rPr>
          <w:rFonts w:ascii="Book Antiqua" w:hAnsi="Book Antiqua"/>
          <w:b/>
          <w:i/>
          <w:color w:val="000000"/>
          <w:sz w:val="24"/>
        </w:rPr>
      </w:pPr>
      <w:bookmarkStart w:id="132" w:name="OLE_LINK75"/>
      <w:r>
        <w:rPr>
          <w:rFonts w:ascii="Book Antiqua" w:hAnsi="Book Antiqua"/>
          <w:b/>
          <w:i/>
          <w:color w:val="000000"/>
          <w:sz w:val="24"/>
        </w:rPr>
        <w:t>p-STAT3 participates in the formation of liver precancerous lesions in rats by activating hepatic progenitor cells</w:t>
      </w:r>
    </w:p>
    <w:p w:rsidR="006523F7" w:rsidRDefault="006523F7">
      <w:pPr>
        <w:adjustRightInd w:val="0"/>
        <w:snapToGrid w:val="0"/>
        <w:spacing w:line="360" w:lineRule="auto"/>
        <w:rPr>
          <w:rFonts w:ascii="Book Antiqua" w:hAnsi="Book Antiqua"/>
          <w:color w:val="000000"/>
          <w:sz w:val="24"/>
        </w:rPr>
      </w:pPr>
      <w:bookmarkStart w:id="133" w:name="OLE_LINK76"/>
      <w:bookmarkEnd w:id="132"/>
      <w:r>
        <w:rPr>
          <w:rFonts w:ascii="Book Antiqua" w:hAnsi="Book Antiqua"/>
          <w:color w:val="000000"/>
          <w:sz w:val="24"/>
        </w:rPr>
        <w:t xml:space="preserve">By HE staining, many heterocellular clusters in the liver parenchyma and </w:t>
      </w:r>
      <w:r>
        <w:rPr>
          <w:rFonts w:ascii="Book Antiqua" w:hAnsi="Book Antiqua"/>
          <w:color w:val="000000"/>
          <w:sz w:val="24"/>
        </w:rPr>
        <w:lastRenderedPageBreak/>
        <w:t>portal area were observed in Solt-Farber model rats, the cells in the heterocellular clusters were characterized by deep nuclear staining, nuclear atypia, large karyoplasmic ratio, disordered arrangement of hepatocyte cords, and inflammatory cell infiltration. Compared with the model group, heterocellular clusters were hardly observed in the DEN + PH or normal group. In addition, significant proliferation of hepatic oval cells was observed in the liver tissues of rats both in the model group and AAF + PH group (Figure 1A)</w:t>
      </w:r>
      <w:bookmarkStart w:id="134" w:name="OLE_LINK4"/>
      <w:bookmarkStart w:id="135" w:name="OLE_LINK61"/>
      <w:bookmarkStart w:id="136" w:name="OLE_LINK9"/>
      <w:bookmarkStart w:id="137" w:name="OLE_LINK5"/>
      <w:r>
        <w:rPr>
          <w:rFonts w:ascii="Book Antiqua" w:hAnsi="Book Antiqua"/>
          <w:color w:val="000000"/>
          <w:sz w:val="24"/>
        </w:rPr>
        <w:t xml:space="preserve">. </w:t>
      </w:r>
      <w:bookmarkEnd w:id="134"/>
      <w:bookmarkEnd w:id="135"/>
      <w:bookmarkEnd w:id="136"/>
      <w:bookmarkEnd w:id="137"/>
      <w:r>
        <w:rPr>
          <w:rFonts w:ascii="Book Antiqua" w:hAnsi="Book Antiqua"/>
          <w:color w:val="000000"/>
          <w:sz w:val="24"/>
        </w:rPr>
        <w:t>By immunohistochemistry, GST-π, a neoplastic marker in the early stages of carcinogenesis in HCC</w:t>
      </w:r>
      <w:r>
        <w:rPr>
          <w:rFonts w:ascii="Book Antiqua" w:hAnsi="Book Antiqua"/>
          <w:color w:val="000000"/>
          <w:sz w:val="24"/>
          <w:vertAlign w:val="superscript"/>
        </w:rPr>
        <w:t>[28]</w:t>
      </w:r>
      <w:r>
        <w:rPr>
          <w:rFonts w:ascii="Book Antiqua" w:hAnsi="Book Antiqua"/>
          <w:color w:val="000000"/>
          <w:sz w:val="24"/>
        </w:rPr>
        <w:t>, was clearly stained in the heterocellular clusters in the model group (Figure 1B). In contrast, GST-π was hardly expressed in the DEN + PH</w:t>
      </w:r>
      <w:bookmarkStart w:id="138" w:name="OLE_LINK111"/>
      <w:r>
        <w:rPr>
          <w:rFonts w:ascii="Book Antiqua" w:hAnsi="Book Antiqua"/>
          <w:color w:val="000000"/>
          <w:sz w:val="24"/>
        </w:rPr>
        <w:t>, AAF + PH</w:t>
      </w:r>
      <w:bookmarkEnd w:id="138"/>
      <w:r>
        <w:rPr>
          <w:rFonts w:ascii="Book Antiqua" w:hAnsi="Book Antiqua"/>
          <w:color w:val="000000"/>
          <w:sz w:val="24"/>
        </w:rPr>
        <w:t>, or normal group, except in the portal area (Figure 1B)</w:t>
      </w:r>
      <w:bookmarkStart w:id="139" w:name="OLE_LINK50"/>
      <w:r>
        <w:rPr>
          <w:rFonts w:ascii="Book Antiqua" w:hAnsi="Book Antiqua"/>
          <w:color w:val="000000"/>
          <w:sz w:val="24"/>
        </w:rPr>
        <w:t xml:space="preserve">. This result was also shown by Western blot (Figure 1C). </w:t>
      </w:r>
      <w:bookmarkEnd w:id="139"/>
      <w:r>
        <w:rPr>
          <w:rFonts w:ascii="Book Antiqua" w:hAnsi="Book Antiqua"/>
          <w:color w:val="000000"/>
          <w:sz w:val="24"/>
        </w:rPr>
        <w:t>Oval cell 6 (OV6)</w:t>
      </w:r>
      <w:bookmarkStart w:id="140" w:name="OLE_LINK3"/>
      <w:r>
        <w:rPr>
          <w:rFonts w:ascii="Book Antiqua" w:hAnsi="Book Antiqua"/>
          <w:color w:val="000000"/>
          <w:sz w:val="24"/>
        </w:rPr>
        <w:t xml:space="preserve"> and cytokeratin 19 (CK19) are molecular markers of </w:t>
      </w:r>
      <w:bookmarkStart w:id="141" w:name="OLE_LINK109"/>
      <w:r>
        <w:rPr>
          <w:rFonts w:ascii="Book Antiqua" w:hAnsi="Book Antiqua"/>
          <w:color w:val="000000"/>
          <w:sz w:val="24"/>
        </w:rPr>
        <w:t>hepatic progenitor cells</w:t>
      </w:r>
      <w:bookmarkEnd w:id="141"/>
      <w:r>
        <w:rPr>
          <w:rFonts w:ascii="Book Antiqua" w:hAnsi="Book Antiqua"/>
          <w:color w:val="000000"/>
          <w:sz w:val="24"/>
        </w:rPr>
        <w:t xml:space="preserve"> in rats</w:t>
      </w:r>
      <w:bookmarkEnd w:id="140"/>
      <w:r>
        <w:rPr>
          <w:rFonts w:ascii="Book Antiqua" w:hAnsi="Book Antiqua"/>
          <w:color w:val="000000"/>
          <w:sz w:val="24"/>
        </w:rPr>
        <w:t>. By immunofluorescence, OV6 was strongly expressed in the</w:t>
      </w:r>
      <w:bookmarkStart w:id="142" w:name="OLE_LINK20"/>
      <w:r>
        <w:rPr>
          <w:rFonts w:ascii="Book Antiqua" w:hAnsi="Book Antiqua"/>
          <w:color w:val="000000"/>
          <w:sz w:val="24"/>
        </w:rPr>
        <w:t xml:space="preserve"> heterocellular clusters</w:t>
      </w:r>
      <w:bookmarkEnd w:id="142"/>
      <w:r>
        <w:rPr>
          <w:rFonts w:ascii="Book Antiqua" w:hAnsi="Book Antiqua"/>
          <w:color w:val="000000"/>
          <w:sz w:val="24"/>
        </w:rPr>
        <w:t xml:space="preserve"> in the model group (Figure 1D), consistent with the studies of Solt and Dunsford</w:t>
      </w:r>
      <w:r>
        <w:rPr>
          <w:rFonts w:ascii="Book Antiqua" w:hAnsi="Book Antiqua"/>
          <w:color w:val="000000"/>
          <w:sz w:val="24"/>
          <w:vertAlign w:val="superscript"/>
        </w:rPr>
        <w:t>[23,29]</w:t>
      </w:r>
      <w:r>
        <w:rPr>
          <w:rFonts w:ascii="Book Antiqua" w:hAnsi="Book Antiqua"/>
          <w:color w:val="000000"/>
          <w:sz w:val="24"/>
        </w:rPr>
        <w:t>. Western blot analysis also showed that the expression of CK19 in the model group was elevated (Figure 1F)</w:t>
      </w:r>
      <w:r>
        <w:rPr>
          <w:rFonts w:ascii="Book Antiqua" w:hAnsi="Book Antiqua"/>
          <w:color w:val="000000"/>
          <w:sz w:val="24"/>
          <w:vertAlign w:val="superscript"/>
        </w:rPr>
        <w:t>[30]</w:t>
      </w:r>
      <w:r>
        <w:rPr>
          <w:rFonts w:ascii="Book Antiqua" w:hAnsi="Book Antiqua"/>
          <w:color w:val="000000"/>
          <w:sz w:val="24"/>
        </w:rPr>
        <w:t xml:space="preserve">. These results suggest that the hepatic progenitor cells are activated in liver precancerous lesions in rats. Then, we further evaluated p-STAT3 expression in liver precancerous lesions. The expression of p-STAT3 in the model group was significantly higher than that in the DEN + PH, AAF + PH, </w:t>
      </w:r>
      <w:bookmarkStart w:id="143" w:name="OLE_LINK32"/>
      <w:r>
        <w:rPr>
          <w:rFonts w:ascii="Book Antiqua" w:hAnsi="Book Antiqua"/>
          <w:color w:val="000000"/>
          <w:sz w:val="24"/>
        </w:rPr>
        <w:t>and normal</w:t>
      </w:r>
      <w:bookmarkEnd w:id="143"/>
      <w:r>
        <w:rPr>
          <w:rFonts w:ascii="Book Antiqua" w:hAnsi="Book Antiqua"/>
          <w:color w:val="000000"/>
          <w:sz w:val="24"/>
        </w:rPr>
        <w:t xml:space="preserve"> groups (Figure 1D and E). Notably, OV6 and p-STAT3 were co-expressed in the same heterocellular clusters </w:t>
      </w:r>
      <w:bookmarkStart w:id="144" w:name="OLE_LINK110"/>
      <w:r>
        <w:rPr>
          <w:rFonts w:ascii="Book Antiqua" w:hAnsi="Book Antiqua"/>
          <w:color w:val="000000"/>
          <w:sz w:val="24"/>
        </w:rPr>
        <w:t>(Figure 1D)</w:t>
      </w:r>
      <w:bookmarkEnd w:id="144"/>
      <w:r>
        <w:rPr>
          <w:rFonts w:ascii="Book Antiqua" w:hAnsi="Book Antiqua"/>
          <w:color w:val="000000"/>
          <w:sz w:val="24"/>
        </w:rPr>
        <w:t>. These results suggest that the activation of STAT3 is closely related to the activation of hepatic progenitor cells in the progression of liver precancerous lesions in rats.</w:t>
      </w:r>
    </w:p>
    <w:p w:rsidR="006523F7" w:rsidRDefault="006523F7">
      <w:pPr>
        <w:pStyle w:val="ae"/>
        <w:adjustRightInd w:val="0"/>
        <w:snapToGrid w:val="0"/>
        <w:spacing w:line="360" w:lineRule="auto"/>
        <w:ind w:firstLineChars="0" w:firstLine="0"/>
        <w:rPr>
          <w:rFonts w:ascii="Book Antiqua" w:hAnsi="Book Antiqua"/>
          <w:b/>
          <w:i/>
          <w:color w:val="000000"/>
          <w:sz w:val="24"/>
        </w:rPr>
      </w:pPr>
      <w:bookmarkStart w:id="145" w:name="OLE_LINK79"/>
      <w:bookmarkEnd w:id="133"/>
    </w:p>
    <w:p w:rsidR="006523F7" w:rsidRDefault="006523F7">
      <w:pPr>
        <w:pStyle w:val="ae"/>
        <w:adjustRightInd w:val="0"/>
        <w:snapToGrid w:val="0"/>
        <w:spacing w:line="360" w:lineRule="auto"/>
        <w:ind w:firstLineChars="0" w:firstLine="0"/>
        <w:rPr>
          <w:rFonts w:ascii="Book Antiqua" w:hAnsi="Book Antiqua"/>
          <w:b/>
          <w:i/>
          <w:color w:val="000000"/>
          <w:sz w:val="24"/>
        </w:rPr>
      </w:pPr>
      <w:r>
        <w:rPr>
          <w:rFonts w:ascii="Book Antiqua" w:hAnsi="Book Antiqua"/>
          <w:b/>
          <w:i/>
          <w:color w:val="000000"/>
          <w:sz w:val="24"/>
        </w:rPr>
        <w:t>The Warburg effect is increased in liver precancerous lesions in rats, and PKM2 in activated hepatic progenitor cells is associated with liver precancerous lesions</w:t>
      </w:r>
      <w:bookmarkEnd w:id="145"/>
    </w:p>
    <w:p w:rsidR="006523F7" w:rsidRDefault="006523F7">
      <w:pPr>
        <w:adjustRightInd w:val="0"/>
        <w:snapToGrid w:val="0"/>
        <w:spacing w:line="360" w:lineRule="auto"/>
        <w:rPr>
          <w:rFonts w:ascii="Book Antiqua" w:hAnsi="Book Antiqua"/>
          <w:color w:val="000000"/>
          <w:sz w:val="24"/>
        </w:rPr>
      </w:pPr>
      <w:bookmarkStart w:id="146" w:name="OLE_LINK81"/>
      <w:bookmarkStart w:id="147" w:name="OLE_LINK80"/>
      <w:r>
        <w:rPr>
          <w:rFonts w:ascii="Book Antiqua" w:hAnsi="Book Antiqua"/>
          <w:color w:val="000000"/>
          <w:sz w:val="24"/>
        </w:rPr>
        <w:t xml:space="preserve">We detected glucose and lactate concentrations in liver tissue to determine </w:t>
      </w:r>
      <w:r>
        <w:rPr>
          <w:rFonts w:ascii="Book Antiqua" w:hAnsi="Book Antiqua"/>
          <w:color w:val="000000"/>
          <w:sz w:val="24"/>
        </w:rPr>
        <w:lastRenderedPageBreak/>
        <w:t xml:space="preserve">whether the Warburg effect was initiated at the stage of liver precancerous lesions. The residual concentration of glucose in the model group was markedly decreased (Figure 2A). Likewise, the concentration of lactate in </w:t>
      </w:r>
      <w:bookmarkStart w:id="148" w:name="OLE_LINK21"/>
      <w:r>
        <w:rPr>
          <w:rFonts w:ascii="Book Antiqua" w:hAnsi="Book Antiqua"/>
          <w:color w:val="000000"/>
          <w:sz w:val="24"/>
        </w:rPr>
        <w:t xml:space="preserve">the </w:t>
      </w:r>
      <w:bookmarkEnd w:id="148"/>
      <w:r>
        <w:rPr>
          <w:rFonts w:ascii="Book Antiqua" w:hAnsi="Book Antiqua"/>
          <w:color w:val="000000"/>
          <w:sz w:val="24"/>
        </w:rPr>
        <w:t>model group was elevated (Figure 2B). These results illustrate that the Warburg effect has been initiated at the stage of the liver precancerous lesions in rats.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PKM2 plays a vital role in the Warburg effect of tumors</w:t>
      </w:r>
      <w:r>
        <w:rPr>
          <w:rFonts w:ascii="Book Antiqua" w:hAnsi="Book Antiqua"/>
          <w:color w:val="000000"/>
          <w:sz w:val="24"/>
          <w:vertAlign w:val="superscript"/>
        </w:rPr>
        <w:t>[31]</w:t>
      </w:r>
      <w:r>
        <w:rPr>
          <w:rFonts w:ascii="Book Antiqua" w:hAnsi="Book Antiqua"/>
          <w:color w:val="000000"/>
          <w:sz w:val="24"/>
        </w:rPr>
        <w:t>. We detected the expression of PKM2 in liver precancerous lesions. The result showed that the expression of PKM2 in the model group was significantly higher than that in the DEN + PH, AAF + PH, or normal group, and there were a large number of PKM2-positive cells around the portal area in the model group (Figure 2C and D). Especially, PKM2 was elevated in activated hepatic progenitor cells in the model group (Figure 2E). These results suggest that PKM2 is involved in the progression of activated hepatic progenitor cells in the liver precancerous lesions in rats</w:t>
      </w:r>
      <w:bookmarkStart w:id="149" w:name="OLE_LINK88"/>
      <w:r>
        <w:rPr>
          <w:rFonts w:ascii="Book Antiqua" w:hAnsi="Book Antiqua"/>
          <w:color w:val="000000"/>
          <w:sz w:val="24"/>
        </w:rPr>
        <w:t>.</w:t>
      </w:r>
    </w:p>
    <w:p w:rsidR="006523F7" w:rsidRDefault="006523F7">
      <w:pPr>
        <w:adjustRightInd w:val="0"/>
        <w:snapToGrid w:val="0"/>
        <w:spacing w:line="360" w:lineRule="auto"/>
        <w:rPr>
          <w:rFonts w:ascii="Book Antiqua" w:hAnsi="Book Antiqua"/>
          <w:b/>
          <w:i/>
          <w:color w:val="000000"/>
          <w:sz w:val="24"/>
        </w:rPr>
      </w:pPr>
      <w:bookmarkStart w:id="150" w:name="OLE_LINK83"/>
      <w:bookmarkEnd w:id="146"/>
      <w:bookmarkEnd w:id="147"/>
      <w:bookmarkEnd w:id="149"/>
    </w:p>
    <w:p w:rsidR="006523F7" w:rsidRDefault="006523F7">
      <w:pPr>
        <w:adjustRightInd w:val="0"/>
        <w:snapToGrid w:val="0"/>
        <w:spacing w:line="360" w:lineRule="auto"/>
        <w:rPr>
          <w:rFonts w:ascii="Book Antiqua" w:hAnsi="Book Antiqua"/>
          <w:b/>
          <w:i/>
          <w:color w:val="000000"/>
          <w:sz w:val="24"/>
        </w:rPr>
      </w:pPr>
      <w:r>
        <w:rPr>
          <w:rFonts w:ascii="Book Antiqua" w:hAnsi="Book Antiqua"/>
          <w:b/>
          <w:i/>
          <w:color w:val="000000"/>
          <w:sz w:val="24"/>
        </w:rPr>
        <w:t>p-STAT3 promotes malignant transformation of rat hepatic progenitor cells by enhancing cell proliferation</w:t>
      </w:r>
      <w:bookmarkEnd w:id="150"/>
    </w:p>
    <w:p w:rsidR="006523F7" w:rsidRDefault="006523F7">
      <w:pPr>
        <w:adjustRightInd w:val="0"/>
        <w:snapToGrid w:val="0"/>
        <w:spacing w:line="360" w:lineRule="auto"/>
        <w:rPr>
          <w:rFonts w:ascii="Book Antiqua" w:hAnsi="Book Antiqua"/>
          <w:color w:val="000000"/>
          <w:sz w:val="24"/>
        </w:rPr>
      </w:pPr>
      <w:bookmarkStart w:id="151" w:name="OLE_LINK85"/>
      <w:bookmarkStart w:id="152" w:name="OLE_LINK86"/>
      <w:r>
        <w:rPr>
          <w:rFonts w:ascii="Book Antiqua" w:hAnsi="Book Antiqua"/>
          <w:color w:val="000000"/>
          <w:sz w:val="24"/>
        </w:rPr>
        <w:t xml:space="preserve">In order to explore the mechanism of STAT3 involvement in liver precancerous lesions, we replicated a model of transformed hepatic progenitor cells </w:t>
      </w:r>
      <w:r w:rsidRPr="00BF7942">
        <w:rPr>
          <w:rFonts w:ascii="Book Antiqua" w:hAnsi="Book Antiqua"/>
          <w:i/>
          <w:color w:val="000000"/>
          <w:sz w:val="24"/>
        </w:rPr>
        <w:t>in vitro</w:t>
      </w:r>
      <w:r>
        <w:rPr>
          <w:rFonts w:ascii="Book Antiqua" w:hAnsi="Book Antiqua"/>
          <w:color w:val="000000"/>
          <w:sz w:val="24"/>
        </w:rPr>
        <w:t xml:space="preserve"> using MNNG and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in light of previous findings</w:t>
      </w:r>
      <w:r>
        <w:rPr>
          <w:rFonts w:ascii="Book Antiqua" w:hAnsi="Book Antiqua"/>
          <w:color w:val="000000"/>
          <w:sz w:val="24"/>
          <w:vertAlign w:val="superscript"/>
        </w:rPr>
        <w:t>[25,26]</w:t>
      </w:r>
      <w:r>
        <w:rPr>
          <w:rFonts w:ascii="Book Antiqua" w:hAnsi="Book Antiqua"/>
          <w:color w:val="000000"/>
          <w:sz w:val="24"/>
        </w:rPr>
        <w:t>. Transformed WB-F344 cells became anomalous and changed in size, and contact inhibition disappeared compared with wild WB-F344 cells. The rate of aneuploidy in transformed WB-F344 cells increased to 24% compared with wild-type WB-F344 cells (Figure 3A). Furthermore, the results of soft agar assay showed that clonal formation rate of transformed WB-F344 cells was increased compared with the control group (Figure 3B). This indicates that the transformed cells ha</w:t>
      </w:r>
      <w:r w:rsidR="00A41EC2">
        <w:rPr>
          <w:rFonts w:ascii="Book Antiqua" w:hAnsi="Book Antiqua"/>
          <w:color w:val="000000"/>
          <w:sz w:val="24"/>
        </w:rPr>
        <w:t>d</w:t>
      </w:r>
      <w:r>
        <w:rPr>
          <w:rFonts w:ascii="Book Antiqua" w:hAnsi="Book Antiqua"/>
          <w:color w:val="000000"/>
          <w:sz w:val="24"/>
        </w:rPr>
        <w:t xml:space="preserve"> the characteristics of anchorage-independent growth, which is considered the most accurate and stringent </w:t>
      </w:r>
      <w:r w:rsidRPr="00BF7942">
        <w:rPr>
          <w:rFonts w:ascii="Book Antiqua" w:hAnsi="Book Antiqua"/>
          <w:i/>
          <w:color w:val="000000"/>
          <w:sz w:val="24"/>
        </w:rPr>
        <w:t>in vitro</w:t>
      </w:r>
      <w:r>
        <w:rPr>
          <w:rFonts w:ascii="Book Antiqua" w:hAnsi="Book Antiqua"/>
          <w:color w:val="000000"/>
          <w:sz w:val="24"/>
        </w:rPr>
        <w:t xml:space="preserve"> assay for detecting malignant transformation of cells. AFP expression further supported the conclusion above (Figure 3C). These results </w:t>
      </w:r>
      <w:r>
        <w:rPr>
          <w:rFonts w:ascii="Book Antiqua" w:hAnsi="Book Antiqua"/>
          <w:color w:val="000000"/>
          <w:sz w:val="24"/>
        </w:rPr>
        <w:lastRenderedPageBreak/>
        <w:t>suggest that the WB-F344 cells induced with MNNG and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gained the characteristics of transformed cells.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In addition, p-STAT3 expression in transformed WB-F344 cells was higher than that in wild-type WB-F344 cells (Figure 3D). Next, we used stattic (MedChem Express, Monmouth Junction, NJ, United States), a specific inhibitor of STAT3, to suppress the activation of STAT3 in transformed hepatic progenitor cells. Compared with transformed WB-F344 cells, p-STAT3, aneuploidy, the clonal formation rate, and AFP expression decreased following 4 μmol/L stattic treatment (results of cell viability are not shown) (Figure 3A-D). These results indicate that STAT3 promotes malignant transformation of hepatic progenitor cells in rats</w:t>
      </w:r>
      <w:bookmarkEnd w:id="151"/>
      <w:bookmarkEnd w:id="152"/>
      <w:r>
        <w:rPr>
          <w:rFonts w:ascii="Book Antiqua" w:hAnsi="Book Antiqua"/>
          <w:color w:val="000000"/>
          <w:sz w:val="24"/>
        </w:rPr>
        <w:t>.</w:t>
      </w:r>
    </w:p>
    <w:p w:rsidR="006523F7" w:rsidRDefault="006523F7">
      <w:pPr>
        <w:adjustRightInd w:val="0"/>
        <w:snapToGrid w:val="0"/>
        <w:spacing w:line="360" w:lineRule="auto"/>
        <w:rPr>
          <w:rFonts w:ascii="Book Antiqua" w:hAnsi="Book Antiqua"/>
          <w:color w:val="000000"/>
          <w:sz w:val="24"/>
        </w:rPr>
      </w:pPr>
      <w:bookmarkStart w:id="153" w:name="OLE_LINK96"/>
      <w:r>
        <w:rPr>
          <w:rFonts w:ascii="Book Antiqua" w:hAnsi="Book Antiqua"/>
          <w:color w:val="000000"/>
          <w:sz w:val="24"/>
        </w:rPr>
        <w:t xml:space="preserve">  To determine the mechanism by which STAT3 promotes malignant transformation of hepatic progenitor cells in rats, we measured PCNA expression and the cell cycle in transformed WB-F344 cells. As shown in Figure 3E, PCNA was highly expressed in transformed WB-F344 cells compared with wild-type WB-F344 cells, and PCNA was inhibited following stattic treatment. The percentage of transformed WB-F344 cells in S phase was increased </w:t>
      </w:r>
      <w:bookmarkStart w:id="154" w:name="OLE_LINK43"/>
      <w:r>
        <w:rPr>
          <w:rFonts w:ascii="Book Antiqua" w:hAnsi="Book Antiqua"/>
          <w:color w:val="000000"/>
          <w:sz w:val="24"/>
        </w:rPr>
        <w:t>compared with wild-type WB-F344 cells</w:t>
      </w:r>
      <w:bookmarkEnd w:id="154"/>
      <w:r>
        <w:rPr>
          <w:rFonts w:ascii="Book Antiqua" w:hAnsi="Book Antiqua"/>
          <w:color w:val="000000"/>
          <w:sz w:val="24"/>
        </w:rPr>
        <w:t>. STAT3 inhibition by stattic also significantly mitigated the increase in transformed WB-F344 cells in S phase (Figure 3F). These results suggest that STAT3 promotes malignant transformation of hepatic progenitor cells by enhancing cell proliferation.</w:t>
      </w:r>
    </w:p>
    <w:p w:rsidR="006523F7" w:rsidRDefault="006523F7">
      <w:pPr>
        <w:pStyle w:val="ae"/>
        <w:adjustRightInd w:val="0"/>
        <w:snapToGrid w:val="0"/>
        <w:spacing w:line="360" w:lineRule="auto"/>
        <w:ind w:firstLineChars="0" w:firstLine="0"/>
        <w:rPr>
          <w:rFonts w:ascii="Book Antiqua" w:hAnsi="Book Antiqua"/>
          <w:b/>
          <w:i/>
          <w:color w:val="000000"/>
          <w:sz w:val="24"/>
        </w:rPr>
      </w:pPr>
      <w:bookmarkStart w:id="155" w:name="OLE_LINK97"/>
      <w:bookmarkEnd w:id="153"/>
    </w:p>
    <w:p w:rsidR="006523F7" w:rsidRDefault="006523F7">
      <w:pPr>
        <w:pStyle w:val="ae"/>
        <w:adjustRightInd w:val="0"/>
        <w:snapToGrid w:val="0"/>
        <w:spacing w:line="360" w:lineRule="auto"/>
        <w:ind w:firstLineChars="0" w:firstLine="0"/>
        <w:rPr>
          <w:rFonts w:ascii="Book Antiqua" w:hAnsi="Book Antiqua"/>
          <w:b/>
          <w:i/>
          <w:color w:val="000000"/>
          <w:sz w:val="24"/>
        </w:rPr>
      </w:pPr>
      <w:r>
        <w:rPr>
          <w:rFonts w:ascii="Book Antiqua" w:hAnsi="Book Antiqua"/>
          <w:b/>
          <w:i/>
          <w:color w:val="000000"/>
          <w:sz w:val="24"/>
        </w:rPr>
        <w:t>STAT3 promotes the Warburg effect by enhancing p-PKM2 in transformed hepatic progenitor cell</w:t>
      </w:r>
      <w:bookmarkEnd w:id="155"/>
      <w:r>
        <w:rPr>
          <w:rFonts w:ascii="Book Antiqua" w:hAnsi="Book Antiqua"/>
          <w:b/>
          <w:i/>
          <w:color w:val="000000"/>
          <w:sz w:val="24"/>
        </w:rPr>
        <w:t>s in rats</w:t>
      </w:r>
    </w:p>
    <w:p w:rsidR="006523F7" w:rsidRDefault="006523F7">
      <w:pPr>
        <w:adjustRightInd w:val="0"/>
        <w:snapToGrid w:val="0"/>
        <w:spacing w:line="360" w:lineRule="auto"/>
        <w:rPr>
          <w:rFonts w:ascii="Book Antiqua" w:hAnsi="Book Antiqua"/>
          <w:color w:val="000000"/>
          <w:sz w:val="24"/>
        </w:rPr>
      </w:pPr>
      <w:bookmarkStart w:id="156" w:name="OLE_LINK98"/>
      <w:bookmarkStart w:id="157" w:name="OLE_LINK22"/>
      <w:r>
        <w:rPr>
          <w:rFonts w:ascii="Book Antiqua" w:hAnsi="Book Antiqua"/>
          <w:color w:val="000000"/>
          <w:sz w:val="24"/>
        </w:rPr>
        <w:t>As shown in Figure 4A, transformed WB-F344 cells took up much higher amounts of glucose than wild-type WB-F344 cells. Similarly, lactate production in transformed WB-F344 cells was higher than that in wild-type WB-F344 cells (Figure 4B). These results suggest that the Warburg effect was initiated in transformed hepatic progenitor cells. The production of ATP in transformed WB-F344 cells was steady compared with wild-type WB-F344 cells (Figure 4C), in accordance with a previous study</w:t>
      </w:r>
      <w:bookmarkStart w:id="158" w:name="OLE_LINK12"/>
      <w:r>
        <w:rPr>
          <w:rFonts w:ascii="Book Antiqua" w:hAnsi="Book Antiqua"/>
          <w:color w:val="000000"/>
          <w:sz w:val="24"/>
          <w:vertAlign w:val="superscript"/>
        </w:rPr>
        <w:t>[32</w:t>
      </w:r>
      <w:bookmarkEnd w:id="158"/>
      <w:r>
        <w:rPr>
          <w:rFonts w:ascii="Book Antiqua" w:hAnsi="Book Antiqua"/>
          <w:color w:val="000000"/>
          <w:sz w:val="24"/>
          <w:vertAlign w:val="superscript"/>
        </w:rPr>
        <w:t>]</w:t>
      </w:r>
      <w:r>
        <w:rPr>
          <w:rFonts w:ascii="Book Antiqua" w:hAnsi="Book Antiqua"/>
          <w:color w:val="000000"/>
          <w:sz w:val="24"/>
        </w:rPr>
        <w:t xml:space="preserve">. In addition, in order </w:t>
      </w:r>
      <w:r>
        <w:rPr>
          <w:rFonts w:ascii="Book Antiqua" w:hAnsi="Book Antiqua"/>
          <w:color w:val="000000"/>
          <w:sz w:val="24"/>
        </w:rPr>
        <w:lastRenderedPageBreak/>
        <w:t xml:space="preserve">to investigate the effect of PKM2 on the Warburg effect in transformed hepatic progenitor cells, we also measured the expression of p-PKM2. By Western blot analysis, </w:t>
      </w:r>
      <w:r w:rsidR="00A41EC2">
        <w:rPr>
          <w:rFonts w:ascii="Book Antiqua" w:hAnsi="Book Antiqua"/>
          <w:color w:val="000000"/>
          <w:sz w:val="24"/>
        </w:rPr>
        <w:t xml:space="preserve">it was discovered that </w:t>
      </w:r>
      <w:r>
        <w:rPr>
          <w:rFonts w:ascii="Book Antiqua" w:hAnsi="Book Antiqua"/>
          <w:color w:val="000000"/>
          <w:sz w:val="24"/>
        </w:rPr>
        <w:t xml:space="preserve">the expression of p-PKM2 </w:t>
      </w:r>
      <w:bookmarkStart w:id="159" w:name="OLE_LINK112"/>
      <w:r>
        <w:rPr>
          <w:rFonts w:ascii="Book Antiqua" w:hAnsi="Book Antiqua"/>
          <w:color w:val="000000"/>
          <w:sz w:val="24"/>
        </w:rPr>
        <w:t>in transformed WB-F344 cells</w:t>
      </w:r>
      <w:bookmarkEnd w:id="159"/>
      <w:r>
        <w:rPr>
          <w:rFonts w:ascii="Book Antiqua" w:hAnsi="Book Antiqua"/>
          <w:color w:val="000000"/>
          <w:sz w:val="24"/>
        </w:rPr>
        <w:t xml:space="preserve"> was significantly higher than that in wild-type WB-F344 cells (Figure 4D). The same results were obtained by immunofluorescence assay, and the expression of PKM2 in the nucleus was significantly increased in transformed WB-F344 cells (Figure 4E).</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To determine the function and mechanism of STAT3 in the Warburg effect in transformed hepatic progenitor cells, we measured the influence of stattic treatment on the Warburg effect. The consumption of glucose, the production of lactate, and ATP levels were decreased following STAT3 inhibition by stattic (Figure 4A-C). These results indicate that STAT3 promotes the Warburg effect in transformed hepatic progenitor cells. And after STAT3 inhibition by stattic, p-PKM2 expression and nuclear translocation were also decreased (Figure 4D and E). These results indicate that STAT3 promotes the PKM2 expression and nuclear translocation in transformed hepatic progenitor cells.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To explore whether STAT3 works through PKM2, TEPP-46 (MedChem Express, Monmouth Junction, NJ, United States), a potent and selective activator of PKM2 that promotes the formation of PKM2 tetramers, was used to act on the malignant transformed WB-F344 cells after stattic treatment</w:t>
      </w:r>
      <w:r>
        <w:rPr>
          <w:rFonts w:ascii="Book Antiqua" w:hAnsi="Book Antiqua"/>
          <w:color w:val="000000"/>
          <w:sz w:val="24"/>
          <w:vertAlign w:val="superscript"/>
        </w:rPr>
        <w:t>[33]</w:t>
      </w:r>
      <w:r>
        <w:rPr>
          <w:rFonts w:ascii="Book Antiqua" w:hAnsi="Book Antiqua"/>
          <w:color w:val="000000"/>
          <w:sz w:val="24"/>
        </w:rPr>
        <w:t>. The results showed that the suppressed Warburg effect by stattic was further reduced in transformed WB-F344 cells. Further use of PKM2 siRNA also resulted in the similar phenomenon (Figure 4A-C). These results suggest that STAT3 promotes the Warburg effect in transformed hepatic progenitor cells probably by upregulating p-PKM2.</w:t>
      </w:r>
    </w:p>
    <w:bookmarkEnd w:id="156"/>
    <w:p w:rsidR="006523F7" w:rsidRDefault="006523F7">
      <w:pPr>
        <w:adjustRightInd w:val="0"/>
        <w:snapToGrid w:val="0"/>
        <w:spacing w:line="360" w:lineRule="auto"/>
        <w:rPr>
          <w:rFonts w:ascii="Book Antiqua" w:hAnsi="Book Antiqua"/>
          <w:b/>
          <w:i/>
          <w:color w:val="000000"/>
          <w:sz w:val="24"/>
        </w:rPr>
      </w:pPr>
    </w:p>
    <w:bookmarkEnd w:id="157"/>
    <w:p w:rsidR="006523F7" w:rsidRDefault="006523F7">
      <w:pPr>
        <w:adjustRightInd w:val="0"/>
        <w:snapToGrid w:val="0"/>
        <w:spacing w:line="360" w:lineRule="auto"/>
        <w:outlineLvl w:val="0"/>
        <w:rPr>
          <w:rFonts w:ascii="Book Antiqua" w:hAnsi="Book Antiqua"/>
          <w:b/>
          <w:iCs/>
          <w:color w:val="000000"/>
          <w:sz w:val="24"/>
        </w:rPr>
      </w:pPr>
      <w:r>
        <w:rPr>
          <w:rFonts w:ascii="Book Antiqua" w:hAnsi="Book Antiqua"/>
          <w:b/>
          <w:iCs/>
          <w:color w:val="000000"/>
          <w:sz w:val="24"/>
        </w:rPr>
        <w:t>DISCSSION</w:t>
      </w:r>
    </w:p>
    <w:p w:rsidR="006523F7" w:rsidRDefault="006523F7">
      <w:pPr>
        <w:adjustRightInd w:val="0"/>
        <w:snapToGrid w:val="0"/>
        <w:spacing w:line="360" w:lineRule="auto"/>
        <w:rPr>
          <w:rFonts w:ascii="Book Antiqua" w:hAnsi="Book Antiqua"/>
          <w:color w:val="000000"/>
          <w:sz w:val="24"/>
        </w:rPr>
      </w:pPr>
      <w:bookmarkStart w:id="160" w:name="OLE_LINK55"/>
      <w:bookmarkStart w:id="161" w:name="OLE_LINK100"/>
      <w:bookmarkStart w:id="162" w:name="OLE_LINK99"/>
      <w:r>
        <w:rPr>
          <w:rFonts w:ascii="Book Antiqua" w:hAnsi="Book Antiqua"/>
          <w:color w:val="000000"/>
          <w:sz w:val="24"/>
        </w:rPr>
        <w:t>Recent studies have shown that STAT3 plays a vital role in the Warburg effect and adjusts the activity of key enzymes in the glycolytic pathway in tumor cells</w:t>
      </w:r>
      <w:bookmarkEnd w:id="160"/>
      <w:r>
        <w:rPr>
          <w:rFonts w:ascii="Book Antiqua" w:hAnsi="Book Antiqua"/>
          <w:color w:val="000000"/>
          <w:sz w:val="24"/>
          <w:vertAlign w:val="superscript"/>
        </w:rPr>
        <w:t>[34]</w:t>
      </w:r>
      <w:r>
        <w:rPr>
          <w:rFonts w:ascii="Book Antiqua" w:hAnsi="Book Antiqua"/>
          <w:color w:val="000000"/>
          <w:sz w:val="24"/>
        </w:rPr>
        <w:t xml:space="preserve">. STAT3 regulates aerobic glycolysis in breast cancer cells by </w:t>
      </w:r>
      <w:r>
        <w:rPr>
          <w:rFonts w:ascii="Book Antiqua" w:hAnsi="Book Antiqua"/>
          <w:color w:val="000000"/>
          <w:sz w:val="24"/>
        </w:rPr>
        <w:lastRenderedPageBreak/>
        <w:t>stimulating hexokinase 2 transcription</w:t>
      </w:r>
      <w:r>
        <w:rPr>
          <w:rFonts w:ascii="Book Antiqua" w:hAnsi="Book Antiqua"/>
          <w:color w:val="000000"/>
          <w:sz w:val="24"/>
          <w:vertAlign w:val="superscript"/>
        </w:rPr>
        <w:t>[14]</w:t>
      </w:r>
      <w:r>
        <w:rPr>
          <w:rFonts w:ascii="Book Antiqua" w:hAnsi="Book Antiqua"/>
          <w:color w:val="000000"/>
          <w:sz w:val="24"/>
        </w:rPr>
        <w:t>. STAT3 also increased glycolysis in myeloma cells by upregulating lactate dehydrogenase A and pyruvate dehydrogenase kinase 1</w:t>
      </w:r>
      <w:r>
        <w:rPr>
          <w:rFonts w:ascii="Book Antiqua" w:hAnsi="Book Antiqua"/>
          <w:color w:val="000000"/>
          <w:sz w:val="24"/>
          <w:vertAlign w:val="superscript"/>
        </w:rPr>
        <w:t>[15]</w:t>
      </w:r>
      <w:r>
        <w:rPr>
          <w:rFonts w:ascii="Book Antiqua" w:hAnsi="Book Antiqua"/>
          <w:color w:val="000000"/>
          <w:sz w:val="24"/>
        </w:rPr>
        <w:t>. However, little work has been performed to determine the mechanism of STAT3 in promoting the Warburg effect in hepatocarcinogenesis. In our study, we observed that the Warburg effect was initiated at the stage of liver precancerous lesions, likely through activation of STAT3 and PKM2, in the Solt-Farber model. What’s more, STAT3 promoted the Warburg effect possibly by enhancing p-PKM2 in transformed hepatic progenitor cells in rats.</w:t>
      </w:r>
    </w:p>
    <w:p w:rsidR="006523F7" w:rsidRDefault="006523F7">
      <w:pPr>
        <w:adjustRightInd w:val="0"/>
        <w:snapToGrid w:val="0"/>
        <w:spacing w:line="360" w:lineRule="auto"/>
        <w:rPr>
          <w:rFonts w:ascii="Book Antiqua" w:hAnsi="Book Antiqua"/>
          <w:color w:val="000000"/>
          <w:sz w:val="24"/>
        </w:rPr>
      </w:pPr>
      <w:bookmarkStart w:id="163" w:name="_Hlk2559311"/>
      <w:r>
        <w:rPr>
          <w:rFonts w:ascii="Book Antiqua" w:hAnsi="Book Antiqua"/>
          <w:color w:val="000000"/>
          <w:sz w:val="24"/>
        </w:rPr>
        <w:t xml:space="preserve">  The theory of dedifferentiation of mature hepatocytes and the theory of abnormal differentiation of liver stem cells are two widely accepted hypotheses about the origin of liver cancer. The carcinoma might originate from mature liver cells or progenitor cells. Molecular studies have identified that adult hepatocytes are the source of HCC because they can directly degenerate into HCC following sequential genomic alterations. Alternatively, hepatic progenitor cells might generate HCC and intrahepatic cholangiocarcinoma with markers of progenitor cells</w:t>
      </w:r>
      <w:r>
        <w:rPr>
          <w:rFonts w:ascii="Book Antiqua" w:hAnsi="Book Antiqua"/>
          <w:color w:val="000000"/>
          <w:sz w:val="24"/>
          <w:vertAlign w:val="superscript"/>
        </w:rPr>
        <w:t>[35]</w:t>
      </w:r>
      <w:r>
        <w:rPr>
          <w:rFonts w:ascii="Book Antiqua" w:hAnsi="Book Antiqua"/>
          <w:color w:val="000000"/>
          <w:sz w:val="24"/>
        </w:rPr>
        <w:t>, because hepatocytes and cholangiocytes each arise from a common progenitor (hepatoblasts) during liver development. Studies have noted a progenitor cell phenotype in many HCCs</w:t>
      </w:r>
      <w:r>
        <w:rPr>
          <w:rFonts w:ascii="Book Antiqua" w:hAnsi="Book Antiqua"/>
          <w:color w:val="000000"/>
          <w:sz w:val="24"/>
          <w:vertAlign w:val="superscript"/>
        </w:rPr>
        <w:t>[36]</w:t>
      </w:r>
      <w:r>
        <w:rPr>
          <w:rFonts w:ascii="Book Antiqua" w:hAnsi="Book Antiqua"/>
          <w:color w:val="000000"/>
          <w:sz w:val="24"/>
        </w:rPr>
        <w:t>. And liver cancers with stem cell features have more aggressive clinical behavior and a worse prognosis than those without stem cell features.</w:t>
      </w:r>
      <w:bookmarkEnd w:id="163"/>
      <w:r>
        <w:rPr>
          <w:rFonts w:ascii="Book Antiqua" w:hAnsi="Book Antiqua"/>
          <w:color w:val="000000"/>
          <w:sz w:val="24"/>
        </w:rPr>
        <w:t xml:space="preserve"> The Solt-Farber model is an established hepatic precancerous animal model. GST-π detoxifies electrophiles through conjugation to thiol-reduced glutathione (GSH) and is overexpressed in the early stages of carcinogenesis, including hepatic precancerous lesions. Our results confirmed that many heterocellular clusters were present in the liver parenchyma and portal area and that GST-π was highly expressed in liver precancerous lesions in Solt-Farber model rats (Figure 1C). In addition, our results revealed that OV6, a marker of hepatic progenitor cells in rats, was strongly expressed in the heterocellular clusters of the liver in the model group. As another marker of liver progenitor cells, the expression of CK19 was also elevated in the </w:t>
      </w:r>
      <w:r>
        <w:rPr>
          <w:rFonts w:ascii="Book Antiqua" w:hAnsi="Book Antiqua"/>
          <w:color w:val="000000"/>
          <w:sz w:val="24"/>
        </w:rPr>
        <w:lastRenderedPageBreak/>
        <w:t>model group, suggesting that hepatic progenitor cells were activated (Figure 1D and F).</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STAT3 is activated in HCC, but its effects in hepatic progenitor cells are not entirely clear. Our results revealed that p-STAT3 was strongly expressed in activated hepatic progenitor cells in the model group (Figure 1D and E), suggesting that STAT3 activation is involved in the stimulation of hepatic progenitor cells in the progression of</w:t>
      </w:r>
      <w:bookmarkStart w:id="164" w:name="OLE_LINK63"/>
      <w:r>
        <w:rPr>
          <w:rFonts w:ascii="Book Antiqua" w:hAnsi="Book Antiqua"/>
          <w:color w:val="000000"/>
          <w:sz w:val="24"/>
        </w:rPr>
        <w:t xml:space="preserve"> liver precancerous lesion</w:t>
      </w:r>
      <w:bookmarkEnd w:id="164"/>
      <w:r>
        <w:rPr>
          <w:rFonts w:ascii="Book Antiqua" w:hAnsi="Book Antiqua"/>
          <w:color w:val="000000"/>
          <w:sz w:val="24"/>
        </w:rPr>
        <w:t>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In a previous study, </w:t>
      </w:r>
      <w:bookmarkStart w:id="165" w:name="OLE_LINK16"/>
      <w:r>
        <w:rPr>
          <w:rFonts w:ascii="Book Antiqua" w:hAnsi="Book Antiqua"/>
          <w:color w:val="000000"/>
          <w:sz w:val="24"/>
        </w:rPr>
        <w:t>PKM2 promoted the Warburg effect in HCC</w:t>
      </w:r>
      <w:bookmarkEnd w:id="165"/>
      <w:r>
        <w:rPr>
          <w:rFonts w:ascii="Book Antiqua" w:hAnsi="Book Antiqua"/>
          <w:color w:val="000000"/>
          <w:sz w:val="24"/>
        </w:rPr>
        <w:t>, which provides the tumor with many advantages for cell growth and survival</w:t>
      </w:r>
      <w:r>
        <w:rPr>
          <w:rFonts w:ascii="Book Antiqua" w:hAnsi="Book Antiqua"/>
          <w:color w:val="000000"/>
          <w:sz w:val="24"/>
          <w:vertAlign w:val="superscript"/>
        </w:rPr>
        <w:t>[37]</w:t>
      </w:r>
      <w:r>
        <w:rPr>
          <w:rFonts w:ascii="Book Antiqua" w:hAnsi="Book Antiqua"/>
          <w:color w:val="000000"/>
          <w:sz w:val="24"/>
        </w:rPr>
        <w:t xml:space="preserve">. However, the mechanism of PKM2 in the Warburg effect in HCC and liver precancerous lesions remains poorly understood. Our results indicate that the Warburg effect </w:t>
      </w:r>
      <w:r w:rsidR="00632B21">
        <w:rPr>
          <w:rFonts w:ascii="Book Antiqua" w:hAnsi="Book Antiqua"/>
          <w:color w:val="000000"/>
          <w:sz w:val="24"/>
        </w:rPr>
        <w:t>i</w:t>
      </w:r>
      <w:r>
        <w:rPr>
          <w:rFonts w:ascii="Book Antiqua" w:hAnsi="Book Antiqua"/>
          <w:color w:val="000000"/>
          <w:sz w:val="24"/>
        </w:rPr>
        <w:t>s initiated at the stage of liver precancerous lesions in rats (Figure 2A and B) and enhanced probably by PKM2 in activated hepatic progenitor cells (Figure 2C-E).</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To further explore the mechanism of STAT3 in liver precancerous lesions in rats, we observed the effect of STAT3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Increased aneuploidy and anchorage-independent growth are vital feature of tumor cells</w:t>
      </w:r>
      <w:r>
        <w:rPr>
          <w:rFonts w:ascii="Book Antiqua" w:hAnsi="Book Antiqua"/>
          <w:color w:val="000000"/>
          <w:sz w:val="24"/>
          <w:vertAlign w:val="superscript"/>
        </w:rPr>
        <w:t>[38]</w:t>
      </w:r>
      <w:bookmarkStart w:id="166" w:name="OLE_LINK64"/>
      <w:r>
        <w:rPr>
          <w:rFonts w:ascii="Book Antiqua" w:hAnsi="Book Antiqua"/>
          <w:color w:val="000000"/>
          <w:sz w:val="24"/>
        </w:rPr>
        <w:t>. The size and shape of transformed WB-F344 cells changed, contact inhibition vanished, and aneuploidy</w:t>
      </w:r>
      <w:bookmarkEnd w:id="166"/>
      <w:r>
        <w:rPr>
          <w:rFonts w:ascii="Book Antiqua" w:hAnsi="Book Antiqua"/>
          <w:color w:val="000000"/>
          <w:sz w:val="24"/>
        </w:rPr>
        <w:t>, clonal formation rate, and AFP expression increased (Figure 3A-C), indicating that hepatic progenitor cells were transformed extensively. The transformed WB-F344 cells were treated with stattic, which inhibited the activation of STAT3, to observe the function of STAT3 during the malignant transformation of hepatic progenitor cells. The results showed that clonal formation rate, AFP expression, and aneuploidy fell significantly (Figure 3A-C), suggesting that STAT3 promotes malignant transformation of hepatic progenitor cells in rats. Intracellular STAT3 activation is closely associated with the cell cycle and proliferation in HCC cells. Our results also showed that STAT3 enhances malignant transformation of hepatic progenitor cells by promoting the expression of PCNA and accelerating G1/S phase transition (Figure 3E and F).</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lastRenderedPageBreak/>
        <w:t xml:space="preserve">  Dimeric PKM2 promotes cell proliferation and the Warburg effect in HCC</w:t>
      </w:r>
      <w:r>
        <w:rPr>
          <w:rFonts w:ascii="Book Antiqua" w:hAnsi="Book Antiqua"/>
          <w:color w:val="000000"/>
          <w:sz w:val="24"/>
          <w:vertAlign w:val="superscript"/>
        </w:rPr>
        <w:t>[22]</w:t>
      </w:r>
      <w:r>
        <w:rPr>
          <w:rFonts w:ascii="Book Antiqua" w:hAnsi="Book Antiqua"/>
          <w:color w:val="000000"/>
          <w:sz w:val="24"/>
        </w:rPr>
        <w:t xml:space="preserve">, but its effects in hepatic progenitor cells are still unknown. Our results show that the Warburg effect was initiated and the p-PKM2 expression and nuclear translocation were increased in transformed WB-F344 cells (Figure 4A-E). This result implies that p-PKM2 probably promotes the Warburg effect in transformed WB-F344 cells. In addition, in the Solt-Farber model, the total protein expression of PKM2 in the liver was also higher, which may be due to the complexity of the internal environment in rats compared with that in cell culture. Following stattic treatment, p-PKM2 expression and nuclear translocation decreased, and the Warburg effect was suppressed (Figure 4A-E). Further use of PKM2 siRNA on the basis of stattic </w:t>
      </w:r>
      <w:r w:rsidR="00B668C9">
        <w:rPr>
          <w:rFonts w:ascii="Book Antiqua" w:hAnsi="Book Antiqua"/>
          <w:color w:val="000000"/>
          <w:sz w:val="24"/>
        </w:rPr>
        <w:t xml:space="preserve">treatment </w:t>
      </w:r>
      <w:r>
        <w:rPr>
          <w:rFonts w:ascii="Book Antiqua" w:hAnsi="Book Antiqua"/>
          <w:color w:val="000000"/>
          <w:sz w:val="24"/>
        </w:rPr>
        <w:t>in transformed WB-F344 cells further reduced the Warburg effect (Figure 4A-C). An interesting result is that, treatment with TEPP-46, a potent and selective activator of PKM2, in transformed WB-F344 cells after treatment with stattic, further reduced the production of lactate, increased ATP level, but had no significant impact on glucose consumption, which is consistent with previous studies</w:t>
      </w:r>
      <w:r>
        <w:rPr>
          <w:rFonts w:ascii="Book Antiqua" w:hAnsi="Book Antiqua"/>
          <w:color w:val="000000"/>
          <w:sz w:val="24"/>
          <w:vertAlign w:val="superscript"/>
        </w:rPr>
        <w:t>[39,40]</w:t>
      </w:r>
      <w:r>
        <w:rPr>
          <w:rFonts w:ascii="Book Antiqua" w:hAnsi="Book Antiqua"/>
          <w:color w:val="000000"/>
          <w:sz w:val="24"/>
        </w:rPr>
        <w:t xml:space="preserve">. The reasons are that TEPP-46 promotes the formation of PKM2 tetramer and forms an enzyme with high pyruvate kinase activity as well as mediates the last step of glycolysis by promoting glycolysis flux, and then inhibits the formation of PKM2 dimer. That is to say, TEPP-46 in fact inhibits the Warburg effect. These results indicate that STAT3 promotes the Warburg effect possibly by enhancing p-PKM2 expression in transformed hepatic progenitor cells in rats. Previous studies have demonstrated that </w:t>
      </w:r>
      <w:bookmarkStart w:id="167" w:name="OLE_LINK14"/>
      <w:r>
        <w:rPr>
          <w:rFonts w:ascii="Book Antiqua" w:hAnsi="Book Antiqua"/>
          <w:color w:val="000000"/>
          <w:sz w:val="24"/>
        </w:rPr>
        <w:t>PKM2 promoted oncogenesis probably by phosphorylating STAT3</w:t>
      </w:r>
      <w:bookmarkEnd w:id="167"/>
      <w:r>
        <w:rPr>
          <w:rFonts w:ascii="Book Antiqua" w:hAnsi="Book Antiqua"/>
          <w:color w:val="000000"/>
          <w:sz w:val="24"/>
          <w:vertAlign w:val="superscript"/>
        </w:rPr>
        <w:t>[41]</w:t>
      </w:r>
      <w:r>
        <w:rPr>
          <w:rFonts w:ascii="Book Antiqua" w:hAnsi="Book Antiqua"/>
          <w:color w:val="000000"/>
          <w:sz w:val="24"/>
        </w:rPr>
        <w:t>. Hence, whether there is positive feedback between STAT3 and PKM2 in malignant transformation of hepatic progenitor cells remains to be further studied.</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  In summary, our results provide the evidence that </w:t>
      </w:r>
      <w:bookmarkStart w:id="168" w:name="OLE_LINK27"/>
      <w:bookmarkStart w:id="169" w:name="OLE_LINK7"/>
      <w:r>
        <w:rPr>
          <w:rFonts w:ascii="Book Antiqua" w:hAnsi="Book Antiqua"/>
          <w:color w:val="000000"/>
          <w:sz w:val="24"/>
        </w:rPr>
        <w:t>the Warburg effect</w:t>
      </w:r>
      <w:bookmarkEnd w:id="168"/>
      <w:bookmarkEnd w:id="169"/>
      <w:r>
        <w:rPr>
          <w:rFonts w:ascii="Book Antiqua" w:hAnsi="Book Antiqua"/>
          <w:color w:val="000000"/>
          <w:sz w:val="24"/>
        </w:rPr>
        <w:t xml:space="preserve"> has been initiated at the stage of the liver precancerous lesions in rats, perhaps through high expression of PKM2 and p-STAT3 in activated hepatic progenitor cells in rats. Furthermore, STAT3 promotes the Warburg effect </w:t>
      </w:r>
      <w:r>
        <w:rPr>
          <w:rFonts w:ascii="Book Antiqua" w:hAnsi="Book Antiqua"/>
          <w:color w:val="000000"/>
          <w:sz w:val="24"/>
        </w:rPr>
        <w:lastRenderedPageBreak/>
        <w:t xml:space="preserve">possibly by upregulating p-PKM2 expression and leading to malignant transformation of hepatic progenitor cells in rats. </w:t>
      </w:r>
      <w:bookmarkStart w:id="170" w:name="OLE_LINK82"/>
      <w:r>
        <w:rPr>
          <w:rFonts w:ascii="Book Antiqua" w:hAnsi="Book Antiqua"/>
          <w:color w:val="000000"/>
          <w:sz w:val="24"/>
        </w:rPr>
        <w:t>These results can help better understand the role of PKM2 and STAT3 in the formation of HCC.</w:t>
      </w:r>
    </w:p>
    <w:p w:rsidR="006523F7" w:rsidRDefault="006523F7">
      <w:pPr>
        <w:adjustRightInd w:val="0"/>
        <w:snapToGrid w:val="0"/>
        <w:spacing w:line="360" w:lineRule="auto"/>
        <w:rPr>
          <w:rFonts w:ascii="Book Antiqua" w:hAnsi="Book Antiqua"/>
          <w:b/>
          <w:i/>
          <w:color w:val="000000"/>
          <w:sz w:val="24"/>
        </w:rPr>
      </w:pPr>
      <w:bookmarkStart w:id="171" w:name="OLE_LINK151"/>
      <w:bookmarkStart w:id="172" w:name="OLE_LINK259"/>
      <w:bookmarkStart w:id="173" w:name="OLE_LINK521"/>
      <w:bookmarkStart w:id="174" w:name="OLE_LINK245"/>
      <w:bookmarkStart w:id="175" w:name="OLE_LINK332"/>
      <w:bookmarkStart w:id="176" w:name="OLE_LINK403"/>
      <w:bookmarkStart w:id="177" w:name="OLE_LINK244"/>
      <w:bookmarkStart w:id="178" w:name="OLE_LINK206"/>
      <w:bookmarkStart w:id="179" w:name="OLE_LINK159"/>
      <w:bookmarkStart w:id="180" w:name="OLE_LINK158"/>
      <w:bookmarkStart w:id="181" w:name="OLE_LINK205"/>
      <w:bookmarkStart w:id="182" w:name="OLE_LINK316"/>
      <w:bookmarkStart w:id="183" w:name="OLE_LINK67"/>
      <w:bookmarkStart w:id="184" w:name="OLE_LINK71"/>
      <w:bookmarkStart w:id="185" w:name="OLE_LINK72"/>
      <w:bookmarkEnd w:id="161"/>
      <w:bookmarkEnd w:id="162"/>
      <w:bookmarkEnd w:id="170"/>
    </w:p>
    <w:p w:rsidR="006523F7" w:rsidRDefault="006523F7">
      <w:pPr>
        <w:adjustRightInd w:val="0"/>
        <w:snapToGrid w:val="0"/>
        <w:spacing w:line="360" w:lineRule="auto"/>
        <w:outlineLvl w:val="0"/>
        <w:rPr>
          <w:rFonts w:ascii="Book Antiqua" w:hAnsi="Book Antiqua"/>
          <w:b/>
          <w:color w:val="000000"/>
          <w:sz w:val="24"/>
        </w:rPr>
      </w:pPr>
      <w:r>
        <w:rPr>
          <w:rFonts w:ascii="Book Antiqua" w:hAnsi="Book Antiqua"/>
          <w:b/>
          <w:color w:val="000000"/>
          <w:sz w:val="24"/>
        </w:rPr>
        <w:t>ARTICLE HIGHLIGHTS</w:t>
      </w: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Research background</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Hepatocellular carcinoma (HCC) is the fifth common malignant tumor worldwide and has a poor prognosis. HCC is closely associated with the potential precancerous lesions. Early treatment at the precancerous stage could significantly prevent the occurrence of HCC. Signal transducer and activator of transcription 3 (STAT3) and pyruvate kinase M2 (PKM2) can be activated and enhance the Warburg effect in HCC. However, whether activation of STAT3 enhances the Warburg effect in liver precancerous lesions in rats, and the relationship between STAT3 and PKM2 remain unclear. Hence, clarifying the mechanism of liver precancerous lesion of HCC are very important.</w:t>
      </w:r>
    </w:p>
    <w:p w:rsidR="006523F7" w:rsidRDefault="006523F7">
      <w:pPr>
        <w:adjustRightInd w:val="0"/>
        <w:snapToGrid w:val="0"/>
        <w:spacing w:line="360" w:lineRule="auto"/>
        <w:rPr>
          <w:rFonts w:ascii="Book Antiqua" w:hAnsi="Book Antiqua"/>
          <w:color w:val="000000"/>
          <w:sz w:val="24"/>
        </w:rPr>
      </w:pP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Research motivation</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Investigating the mechanism of STAT3 and the Warburg effect in liver precancerous lesions in rats may suggest potential molecular mechanisms of hepatocellular carcinogenesis, and further offer the potential for developing novel therapeutic strategies for HCC treatment.</w:t>
      </w:r>
    </w:p>
    <w:p w:rsidR="006523F7" w:rsidRDefault="006523F7">
      <w:pPr>
        <w:adjustRightInd w:val="0"/>
        <w:snapToGrid w:val="0"/>
        <w:spacing w:line="360" w:lineRule="auto"/>
        <w:rPr>
          <w:rFonts w:ascii="Book Antiqua" w:hAnsi="Book Antiqua"/>
          <w:color w:val="000000"/>
          <w:sz w:val="24"/>
        </w:rPr>
      </w:pP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Research objectives</w:t>
      </w:r>
    </w:p>
    <w:p w:rsidR="006523F7" w:rsidRDefault="006523F7">
      <w:pPr>
        <w:adjustRightInd w:val="0"/>
        <w:snapToGrid w:val="0"/>
        <w:spacing w:line="360" w:lineRule="auto"/>
        <w:rPr>
          <w:rFonts w:ascii="Book Antiqua" w:hAnsi="Book Antiqua"/>
          <w:color w:val="000000"/>
          <w:sz w:val="24"/>
          <w:highlight w:val="yellow"/>
        </w:rPr>
      </w:pPr>
      <w:r>
        <w:rPr>
          <w:rFonts w:ascii="Book Antiqua" w:hAnsi="Book Antiqua"/>
          <w:color w:val="000000"/>
          <w:sz w:val="24"/>
        </w:rPr>
        <w:t>To measure the expression of STAT3 and PKM2, and the Warburg effect in liver precancerous lesions in rats and in transformed WB-F344 cells, and to investigate the possible molecular mechanisms of STAT3 in liver precancerous lesions.</w:t>
      </w:r>
    </w:p>
    <w:p w:rsidR="006523F7" w:rsidRDefault="006523F7">
      <w:pPr>
        <w:adjustRightInd w:val="0"/>
        <w:snapToGrid w:val="0"/>
        <w:spacing w:line="360" w:lineRule="auto"/>
        <w:rPr>
          <w:rFonts w:ascii="Book Antiqua" w:hAnsi="Book Antiqua"/>
          <w:color w:val="000000"/>
          <w:sz w:val="24"/>
          <w:highlight w:val="yellow"/>
        </w:rPr>
      </w:pP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Research methods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The Solt-Farber model is an established hepatic precancerous animal model. </w:t>
      </w:r>
      <w:r>
        <w:rPr>
          <w:rFonts w:ascii="Book Antiqua" w:hAnsi="Book Antiqua"/>
          <w:color w:val="000000"/>
          <w:sz w:val="24"/>
        </w:rPr>
        <w:lastRenderedPageBreak/>
        <w:t>The transformed WB-F344 cells were induced with N-methyl-N</w:t>
      </w:r>
      <w:r>
        <w:rPr>
          <w:rFonts w:ascii="Book Antiqua" w:hAnsi="Book Antiqua"/>
          <w:color w:val="000000"/>
          <w:sz w:val="24"/>
          <w:vertAlign w:val="superscript"/>
        </w:rPr>
        <w:t>’</w:t>
      </w:r>
      <w:r>
        <w:rPr>
          <w:rFonts w:ascii="Book Antiqua" w:hAnsi="Book Antiqua"/>
          <w:color w:val="000000"/>
          <w:sz w:val="24"/>
        </w:rPr>
        <w:t>-nitro-N-nitrosoguanidine (MNNG) and hydrogen peroxide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The contents of glucose and lactate in the tissue and culture medium of the cells were detected with a spectrophotometer. The protein levels were examined by Western blot and immunofluorescence.</w:t>
      </w:r>
    </w:p>
    <w:p w:rsidR="006523F7" w:rsidRDefault="006523F7">
      <w:pPr>
        <w:adjustRightInd w:val="0"/>
        <w:snapToGrid w:val="0"/>
        <w:spacing w:line="360" w:lineRule="auto"/>
        <w:rPr>
          <w:rFonts w:ascii="Book Antiqua" w:hAnsi="Book Antiqua"/>
          <w:b/>
          <w:i/>
          <w:color w:val="000000"/>
          <w:sz w:val="24"/>
        </w:rPr>
      </w:pPr>
    </w:p>
    <w:p w:rsidR="006523F7" w:rsidRDefault="006523F7">
      <w:pPr>
        <w:adjustRightInd w:val="0"/>
        <w:snapToGrid w:val="0"/>
        <w:spacing w:line="360" w:lineRule="auto"/>
        <w:outlineLvl w:val="0"/>
        <w:rPr>
          <w:rFonts w:ascii="Book Antiqua" w:hAnsi="Book Antiqua" w:cs="宋体"/>
          <w:b/>
          <w:i/>
          <w:color w:val="000000"/>
          <w:sz w:val="24"/>
        </w:rPr>
      </w:pPr>
      <w:r>
        <w:rPr>
          <w:rFonts w:ascii="Book Antiqua" w:hAnsi="Book Antiqua" w:cs="宋体"/>
          <w:b/>
          <w:i/>
          <w:color w:val="000000"/>
          <w:sz w:val="24"/>
        </w:rPr>
        <w:t>Research results</w:t>
      </w:r>
    </w:p>
    <w:p w:rsidR="006523F7" w:rsidRDefault="006523F7">
      <w:pPr>
        <w:autoSpaceDE w:val="0"/>
        <w:autoSpaceDN w:val="0"/>
        <w:adjustRightInd w:val="0"/>
        <w:snapToGrid w:val="0"/>
        <w:spacing w:line="360" w:lineRule="auto"/>
        <w:rPr>
          <w:rFonts w:ascii="Book Antiqua" w:hAnsi="Book Antiqua"/>
          <w:b/>
          <w:bCs/>
          <w:color w:val="000000"/>
          <w:kern w:val="0"/>
          <w:sz w:val="24"/>
        </w:rPr>
      </w:pPr>
      <w:r>
        <w:rPr>
          <w:rFonts w:ascii="Book Antiqua" w:hAnsi="Book Antiqua" w:cs="Tahoma"/>
          <w:color w:val="000000"/>
          <w:sz w:val="24"/>
          <w:lang w:eastAsia="ja-JP"/>
        </w:rPr>
        <w:t>Here, we provide the evidence that the Warburg effect was enhanced in liver precancerous lesions in rats, perhaps through high expression of</w:t>
      </w:r>
      <w:r>
        <w:rPr>
          <w:rFonts w:ascii="Book Antiqua" w:hAnsi="Book Antiqua" w:cs="Tahoma"/>
          <w:color w:val="000000"/>
          <w:sz w:val="24"/>
        </w:rPr>
        <w:t xml:space="preserve"> </w:t>
      </w:r>
      <w:r>
        <w:rPr>
          <w:rFonts w:ascii="Book Antiqua" w:hAnsi="Book Antiqua" w:cs="Tahoma"/>
          <w:color w:val="000000"/>
          <w:sz w:val="24"/>
          <w:lang w:eastAsia="ja-JP"/>
        </w:rPr>
        <w:t>PKM2 and p-STAT3 in activated oval cells. STAT3 activation promotes the Warburg effect by activating PKM2 in transformed WB-F344 cells induced with MNNG and H</w:t>
      </w:r>
      <w:r>
        <w:rPr>
          <w:rFonts w:ascii="Book Antiqua" w:hAnsi="Book Antiqua" w:cs="Tahoma"/>
          <w:color w:val="000000"/>
          <w:sz w:val="24"/>
          <w:vertAlign w:val="subscript"/>
          <w:lang w:eastAsia="ja-JP"/>
        </w:rPr>
        <w:t>2</w:t>
      </w:r>
      <w:r>
        <w:rPr>
          <w:rFonts w:ascii="Book Antiqua" w:hAnsi="Book Antiqua" w:cs="Tahoma"/>
          <w:color w:val="000000"/>
          <w:sz w:val="24"/>
          <w:lang w:eastAsia="ja-JP"/>
        </w:rPr>
        <w:t>O</w:t>
      </w:r>
      <w:r>
        <w:rPr>
          <w:rFonts w:ascii="Book Antiqua" w:hAnsi="Book Antiqua" w:cs="Tahoma"/>
          <w:color w:val="000000"/>
          <w:sz w:val="24"/>
          <w:vertAlign w:val="subscript"/>
          <w:lang w:eastAsia="ja-JP"/>
        </w:rPr>
        <w:t>2</w:t>
      </w:r>
      <w:r>
        <w:rPr>
          <w:rFonts w:ascii="Book Antiqua" w:hAnsi="Book Antiqua" w:cs="Tahoma"/>
          <w:color w:val="000000"/>
          <w:sz w:val="24"/>
          <w:lang w:eastAsia="ja-JP"/>
        </w:rPr>
        <w:t>.</w:t>
      </w:r>
    </w:p>
    <w:p w:rsidR="006523F7" w:rsidRDefault="006523F7">
      <w:pPr>
        <w:adjustRightInd w:val="0"/>
        <w:snapToGrid w:val="0"/>
        <w:spacing w:line="360" w:lineRule="auto"/>
        <w:rPr>
          <w:rFonts w:ascii="Book Antiqua" w:hAnsi="Book Antiqua"/>
          <w:color w:val="000000"/>
          <w:sz w:val="24"/>
        </w:rPr>
      </w:pPr>
    </w:p>
    <w:p w:rsidR="006523F7" w:rsidRDefault="006523F7">
      <w:pPr>
        <w:adjustRightInd w:val="0"/>
        <w:snapToGrid w:val="0"/>
        <w:spacing w:line="360" w:lineRule="auto"/>
        <w:outlineLvl w:val="0"/>
        <w:rPr>
          <w:rFonts w:ascii="Book Antiqua" w:hAnsi="Book Antiqua" w:cs="Segoe UI"/>
          <w:color w:val="000000"/>
          <w:sz w:val="24"/>
          <w:shd w:val="clear" w:color="auto" w:fill="FFFFFF"/>
        </w:rPr>
      </w:pPr>
      <w:r>
        <w:rPr>
          <w:rFonts w:ascii="Book Antiqua" w:hAnsi="Book Antiqua" w:cs="宋体"/>
          <w:b/>
          <w:i/>
          <w:color w:val="000000"/>
          <w:sz w:val="24"/>
        </w:rPr>
        <w:t>Research conclusions</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STAT3 activation promotes the Warburg effect by enhancing the phosphorylation of PKM2 in transformed WB-F344 cells. The Warburg effect, PKM2 and STAT3 expression were increased in liver precancerous lesions in rats.</w:t>
      </w:r>
    </w:p>
    <w:p w:rsidR="006523F7" w:rsidRDefault="006523F7">
      <w:pPr>
        <w:adjustRightInd w:val="0"/>
        <w:snapToGrid w:val="0"/>
        <w:spacing w:line="360" w:lineRule="auto"/>
        <w:rPr>
          <w:rFonts w:ascii="Book Antiqua" w:hAnsi="Book Antiqua"/>
          <w:color w:val="000000"/>
          <w:sz w:val="24"/>
        </w:rPr>
      </w:pPr>
    </w:p>
    <w:p w:rsidR="006523F7" w:rsidRDefault="006523F7">
      <w:pPr>
        <w:adjustRightInd w:val="0"/>
        <w:snapToGrid w:val="0"/>
        <w:spacing w:line="360" w:lineRule="auto"/>
        <w:outlineLvl w:val="0"/>
        <w:rPr>
          <w:rFonts w:ascii="Book Antiqua" w:hAnsi="Book Antiqua" w:cs="Segoe UI"/>
          <w:color w:val="000000"/>
          <w:sz w:val="24"/>
          <w:shd w:val="clear" w:color="auto" w:fill="FFFFFF"/>
        </w:rPr>
      </w:pPr>
      <w:r>
        <w:rPr>
          <w:rFonts w:ascii="Book Antiqua" w:hAnsi="Book Antiqua" w:cs="宋体"/>
          <w:b/>
          <w:i/>
          <w:color w:val="000000"/>
          <w:sz w:val="24"/>
        </w:rPr>
        <w:t>Research perspectives</w:t>
      </w:r>
    </w:p>
    <w:bookmarkEnd w:id="171"/>
    <w:bookmarkEnd w:id="172"/>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t xml:space="preserve">We have carried out some rat experiments and </w:t>
      </w:r>
      <w:r w:rsidRPr="00BF7942">
        <w:rPr>
          <w:rFonts w:ascii="Book Antiqua" w:hAnsi="Book Antiqua"/>
          <w:i/>
          <w:color w:val="000000"/>
          <w:sz w:val="24"/>
        </w:rPr>
        <w:t>in vitro</w:t>
      </w:r>
      <w:r>
        <w:rPr>
          <w:rFonts w:ascii="Book Antiqua" w:hAnsi="Book Antiqua"/>
          <w:color w:val="000000"/>
          <w:sz w:val="24"/>
        </w:rPr>
        <w:t xml:space="preserve"> cell experiments, but further studies are needed to explore the mechanism of liver precancerous lesions. We also need to collect clinical samples for further validation. STAT3 and PKM2 may be potential diagnostic or therapeutic targets and used for clinical diagnosis and therapy in the future.</w:t>
      </w:r>
    </w:p>
    <w:bookmarkEnd w:id="173"/>
    <w:bookmarkEnd w:id="174"/>
    <w:bookmarkEnd w:id="175"/>
    <w:bookmarkEnd w:id="176"/>
    <w:bookmarkEnd w:id="177"/>
    <w:bookmarkEnd w:id="178"/>
    <w:bookmarkEnd w:id="179"/>
    <w:bookmarkEnd w:id="180"/>
    <w:bookmarkEnd w:id="181"/>
    <w:bookmarkEnd w:id="182"/>
    <w:p w:rsidR="006523F7" w:rsidRDefault="006523F7">
      <w:pPr>
        <w:autoSpaceDE w:val="0"/>
        <w:autoSpaceDN w:val="0"/>
        <w:adjustRightInd w:val="0"/>
        <w:snapToGrid w:val="0"/>
        <w:spacing w:line="360" w:lineRule="auto"/>
        <w:outlineLvl w:val="0"/>
        <w:rPr>
          <w:rFonts w:ascii="Book Antiqua" w:hAnsi="Book Antiqua"/>
          <w:color w:val="000000"/>
          <w:sz w:val="24"/>
        </w:rPr>
      </w:pPr>
      <w:r>
        <w:rPr>
          <w:rFonts w:ascii="Book Antiqua" w:hAnsi="Book Antiqua"/>
          <w:b/>
          <w:bCs/>
          <w:color w:val="000000"/>
          <w:kern w:val="0"/>
          <w:sz w:val="24"/>
        </w:rPr>
        <w:br w:type="page"/>
      </w:r>
      <w:r>
        <w:rPr>
          <w:rFonts w:ascii="Book Antiqua" w:hAnsi="Book Antiqua"/>
          <w:b/>
          <w:color w:val="000000"/>
          <w:sz w:val="24"/>
        </w:rPr>
        <w:lastRenderedPageBreak/>
        <w:t>REFERENCES</w:t>
      </w:r>
      <w:bookmarkEnd w:id="183"/>
      <w:bookmarkEnd w:id="184"/>
      <w:bookmarkEnd w:id="185"/>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1 </w:t>
      </w:r>
      <w:r>
        <w:rPr>
          <w:rFonts w:ascii="Book Antiqua" w:hAnsi="Book Antiqua" w:cs="宋体"/>
          <w:b/>
          <w:bCs/>
          <w:color w:val="000000"/>
          <w:sz w:val="24"/>
        </w:rPr>
        <w:t>Beyoğlu D</w:t>
      </w:r>
      <w:r>
        <w:rPr>
          <w:rFonts w:ascii="Book Antiqua" w:hAnsi="Book Antiqua" w:cs="宋体"/>
          <w:color w:val="000000"/>
          <w:sz w:val="24"/>
        </w:rPr>
        <w:t>, Imbeaud S, Maurhofer O, Bioulac-Sage P, Zucman-Rossi J, Dufour JF, Idle JR. Tissue metabolomics of hepatocellular carcinoma: tumor energy metabolism and the role of transcriptomic classification.</w:t>
      </w:r>
      <w:r>
        <w:rPr>
          <w:rFonts w:ascii="Book Antiqua" w:hAnsi="Book Antiqua" w:cs="宋体" w:hint="eastAsia"/>
          <w:color w:val="000000"/>
          <w:sz w:val="24"/>
        </w:rPr>
        <w:t xml:space="preserve"> </w:t>
      </w:r>
      <w:r>
        <w:rPr>
          <w:rFonts w:ascii="Book Antiqua" w:hAnsi="Book Antiqua" w:cs="宋体"/>
          <w:i/>
          <w:iCs/>
          <w:color w:val="000000"/>
          <w:sz w:val="24"/>
        </w:rPr>
        <w:t>Hepatology</w:t>
      </w:r>
      <w:r>
        <w:rPr>
          <w:rFonts w:ascii="Book Antiqua" w:hAnsi="Book Antiqua" w:cs="宋体" w:hint="eastAsia"/>
          <w:color w:val="000000"/>
          <w:sz w:val="24"/>
        </w:rPr>
        <w:t xml:space="preserve"> </w:t>
      </w:r>
      <w:r>
        <w:rPr>
          <w:rFonts w:ascii="Book Antiqua" w:hAnsi="Book Antiqua" w:cs="宋体"/>
          <w:color w:val="000000"/>
          <w:sz w:val="24"/>
        </w:rPr>
        <w:t>2013; </w:t>
      </w:r>
      <w:r>
        <w:rPr>
          <w:rFonts w:ascii="Book Antiqua" w:hAnsi="Book Antiqua" w:cs="宋体"/>
          <w:b/>
          <w:bCs/>
          <w:color w:val="000000"/>
          <w:sz w:val="24"/>
        </w:rPr>
        <w:t>58</w:t>
      </w:r>
      <w:r>
        <w:rPr>
          <w:rFonts w:ascii="Book Antiqua" w:hAnsi="Book Antiqua" w:cs="宋体"/>
          <w:color w:val="000000"/>
          <w:sz w:val="24"/>
        </w:rPr>
        <w:t>: 229-238 [PMID: 23463346 DOI: 10.1002/hep.26350]</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2 </w:t>
      </w:r>
      <w:r>
        <w:rPr>
          <w:rFonts w:ascii="Book Antiqua" w:hAnsi="Book Antiqua" w:cs="宋体"/>
          <w:b/>
          <w:bCs/>
          <w:color w:val="000000"/>
          <w:sz w:val="24"/>
        </w:rPr>
        <w:t>Sun L</w:t>
      </w:r>
      <w:r>
        <w:rPr>
          <w:rFonts w:ascii="Book Antiqua" w:hAnsi="Book Antiqua" w:cs="宋体"/>
          <w:color w:val="000000"/>
          <w:sz w:val="24"/>
        </w:rPr>
        <w:t>, Suo C, Li ST, Zhang H, Gao P. Metabolic reprogramming for cancer cells and their microenvironment: Beyond the Warburg Effect. </w:t>
      </w:r>
      <w:r>
        <w:rPr>
          <w:rFonts w:ascii="Book Antiqua" w:hAnsi="Book Antiqua" w:cs="宋体"/>
          <w:i/>
          <w:iCs/>
          <w:color w:val="000000"/>
          <w:sz w:val="24"/>
        </w:rPr>
        <w:t xml:space="preserve">Biochim Biophys Acta Rev Cancer </w:t>
      </w:r>
      <w:r>
        <w:rPr>
          <w:rFonts w:ascii="Book Antiqua" w:hAnsi="Book Antiqua" w:cs="宋体"/>
          <w:color w:val="000000"/>
          <w:sz w:val="24"/>
        </w:rPr>
        <w:t>2018; </w:t>
      </w:r>
      <w:r>
        <w:rPr>
          <w:rFonts w:ascii="Book Antiqua" w:hAnsi="Book Antiqua" w:cs="宋体"/>
          <w:b/>
          <w:bCs/>
          <w:color w:val="000000"/>
          <w:sz w:val="24"/>
        </w:rPr>
        <w:t>1870</w:t>
      </w:r>
      <w:r>
        <w:rPr>
          <w:rFonts w:ascii="Book Antiqua" w:hAnsi="Book Antiqua" w:cs="宋体"/>
          <w:color w:val="000000"/>
          <w:sz w:val="24"/>
        </w:rPr>
        <w:t>: 51-66 [PMID: 29959989 DOI: 10.1016/j.bbcan.2018.06.005]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3 </w:t>
      </w:r>
      <w:r>
        <w:rPr>
          <w:rFonts w:ascii="Book Antiqua" w:hAnsi="Book Antiqua" w:cs="宋体"/>
          <w:b/>
          <w:bCs/>
          <w:color w:val="000000"/>
          <w:sz w:val="24"/>
        </w:rPr>
        <w:t>Song P</w:t>
      </w:r>
      <w:r>
        <w:rPr>
          <w:rFonts w:ascii="Book Antiqua" w:hAnsi="Book Antiqua" w:cs="宋体"/>
          <w:color w:val="000000"/>
          <w:sz w:val="24"/>
        </w:rPr>
        <w:t>, Cai Y, Tang H, Li C, Huang J. The clinical management of hepatocellular carcinoma worldwide: A concise review and comparison of current guidelines from 2001 to 2017. </w:t>
      </w:r>
      <w:r>
        <w:rPr>
          <w:rFonts w:ascii="Book Antiqua" w:hAnsi="Book Antiqua" w:cs="宋体"/>
          <w:i/>
          <w:iCs/>
          <w:color w:val="000000"/>
          <w:sz w:val="24"/>
        </w:rPr>
        <w:t>Biosci Trends</w:t>
      </w:r>
      <w:r>
        <w:rPr>
          <w:rFonts w:ascii="Book Antiqua" w:hAnsi="Book Antiqua" w:cs="宋体"/>
          <w:color w:val="000000"/>
          <w:sz w:val="24"/>
        </w:rPr>
        <w:t> 2017; </w:t>
      </w:r>
      <w:r>
        <w:rPr>
          <w:rFonts w:ascii="Book Antiqua" w:hAnsi="Book Antiqua" w:cs="宋体"/>
          <w:b/>
          <w:bCs/>
          <w:color w:val="000000"/>
          <w:sz w:val="24"/>
        </w:rPr>
        <w:t>11</w:t>
      </w:r>
      <w:r>
        <w:rPr>
          <w:rFonts w:ascii="Book Antiqua" w:hAnsi="Book Antiqua" w:cs="宋体"/>
          <w:color w:val="000000"/>
          <w:sz w:val="24"/>
        </w:rPr>
        <w:t>: 389-398 [PMID: 28904327 DOI: 10.5582/bst.2017.01202]</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4 </w:t>
      </w:r>
      <w:r>
        <w:rPr>
          <w:rFonts w:ascii="Book Antiqua" w:hAnsi="Book Antiqua" w:cs="宋体"/>
          <w:b/>
          <w:bCs/>
          <w:color w:val="000000"/>
          <w:sz w:val="24"/>
        </w:rPr>
        <w:t>Muramatsu S</w:t>
      </w:r>
      <w:r>
        <w:rPr>
          <w:rFonts w:ascii="Book Antiqua" w:hAnsi="Book Antiqua" w:cs="宋体"/>
          <w:color w:val="000000"/>
          <w:sz w:val="24"/>
        </w:rPr>
        <w:t>, Tanaka S, Mogushi K, Adikrisna R, Aihara A, Ban D, Ochiai T, Irie T, Kudo A, Nakamura N, Nakayama K, Tanaka H, Yamaoka S, Arii S. Visualization of stem cell features in human hepatocellular carcinoma reveals in vivo significance of tumor-host interaction and clinical course. </w:t>
      </w:r>
      <w:r>
        <w:rPr>
          <w:rFonts w:ascii="Book Antiqua" w:hAnsi="Book Antiqua" w:cs="宋体"/>
          <w:i/>
          <w:iCs/>
          <w:color w:val="000000"/>
          <w:sz w:val="24"/>
        </w:rPr>
        <w:t>Hepatology</w:t>
      </w:r>
      <w:r>
        <w:rPr>
          <w:rFonts w:ascii="Book Antiqua" w:hAnsi="Book Antiqua" w:cs="宋体"/>
          <w:color w:val="000000"/>
          <w:sz w:val="24"/>
        </w:rPr>
        <w:t> 2013; </w:t>
      </w:r>
      <w:r>
        <w:rPr>
          <w:rFonts w:ascii="Book Antiqua" w:hAnsi="Book Antiqua" w:cs="宋体"/>
          <w:b/>
          <w:bCs/>
          <w:color w:val="000000"/>
          <w:sz w:val="24"/>
        </w:rPr>
        <w:t>58</w:t>
      </w:r>
      <w:r>
        <w:rPr>
          <w:rFonts w:ascii="Book Antiqua" w:hAnsi="Book Antiqua" w:cs="宋体"/>
          <w:color w:val="000000"/>
          <w:sz w:val="24"/>
        </w:rPr>
        <w:t>: 218-228 [PMID: 23447025 DOI: 10.1002/hep.26345]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5 </w:t>
      </w:r>
      <w:r>
        <w:rPr>
          <w:rFonts w:ascii="Book Antiqua" w:hAnsi="Book Antiqua" w:cs="宋体"/>
          <w:b/>
          <w:bCs/>
          <w:color w:val="000000"/>
          <w:sz w:val="24"/>
        </w:rPr>
        <w:t>Yang Y</w:t>
      </w:r>
      <w:r>
        <w:rPr>
          <w:rFonts w:ascii="Book Antiqua" w:hAnsi="Book Antiqua" w:cs="宋体"/>
          <w:color w:val="000000"/>
          <w:sz w:val="24"/>
        </w:rPr>
        <w:t>, Lin X, Lu X, Luo G, Zeng T, Tang J, Jiang F, Li L, Cui X, Huang W, Hou G, Chen X, Ouyang Q, Tang S, Sun H, Chen L, Gonzalez FJ, Wu M, Cong W, Chen L, Wang H. Interferon-microRNA signalling drives liver precancerous lesion formation and hepatocarcinogenesis. </w:t>
      </w:r>
      <w:r>
        <w:rPr>
          <w:rFonts w:ascii="Book Antiqua" w:hAnsi="Book Antiqua" w:cs="宋体"/>
          <w:i/>
          <w:iCs/>
          <w:color w:val="000000"/>
          <w:sz w:val="24"/>
        </w:rPr>
        <w:t>Gut</w:t>
      </w:r>
      <w:r>
        <w:rPr>
          <w:rFonts w:ascii="Book Antiqua" w:hAnsi="Book Antiqua" w:cs="宋体"/>
          <w:color w:val="000000"/>
          <w:sz w:val="24"/>
        </w:rPr>
        <w:t> 2016; </w:t>
      </w:r>
      <w:r>
        <w:rPr>
          <w:rFonts w:ascii="Book Antiqua" w:hAnsi="Book Antiqua" w:cs="宋体"/>
          <w:b/>
          <w:bCs/>
          <w:color w:val="000000"/>
          <w:sz w:val="24"/>
        </w:rPr>
        <w:t>65</w:t>
      </w:r>
      <w:r>
        <w:rPr>
          <w:rFonts w:ascii="Book Antiqua" w:hAnsi="Book Antiqua" w:cs="宋体"/>
          <w:color w:val="000000"/>
          <w:sz w:val="24"/>
        </w:rPr>
        <w:t>: 1186-1201 [PMID: 26860770 DOI: 10.1136/gutjnl-2015-310318]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6 </w:t>
      </w:r>
      <w:r>
        <w:rPr>
          <w:rFonts w:ascii="Book Antiqua" w:hAnsi="Book Antiqua" w:cs="宋体"/>
          <w:b/>
          <w:bCs/>
          <w:color w:val="000000"/>
          <w:sz w:val="24"/>
        </w:rPr>
        <w:t>Mishra L</w:t>
      </w:r>
      <w:r>
        <w:rPr>
          <w:rFonts w:ascii="Book Antiqua" w:hAnsi="Book Antiqua" w:cs="宋体"/>
          <w:color w:val="000000"/>
          <w:sz w:val="24"/>
        </w:rPr>
        <w:t>, Banker T, Murray J, Byers S, Thenappan A, He AR, Shetty K, Johnson L, Reddy EP. Liver stem cells and hepatocellular carcinoma.</w:t>
      </w:r>
      <w:r>
        <w:rPr>
          <w:rFonts w:ascii="Book Antiqua" w:hAnsi="Book Antiqua" w:cs="宋体" w:hint="eastAsia"/>
          <w:color w:val="000000"/>
          <w:sz w:val="24"/>
        </w:rPr>
        <w:t xml:space="preserve"> </w:t>
      </w:r>
      <w:r>
        <w:rPr>
          <w:rFonts w:ascii="Book Antiqua" w:hAnsi="Book Antiqua" w:cs="宋体"/>
          <w:i/>
          <w:iCs/>
          <w:color w:val="000000"/>
          <w:sz w:val="24"/>
        </w:rPr>
        <w:t>Hepatology</w:t>
      </w:r>
      <w:r>
        <w:rPr>
          <w:rFonts w:ascii="Book Antiqua" w:hAnsi="Book Antiqua" w:cs="宋体"/>
          <w:color w:val="000000"/>
          <w:sz w:val="24"/>
        </w:rPr>
        <w:t> 2009; </w:t>
      </w:r>
      <w:r>
        <w:rPr>
          <w:rFonts w:ascii="Book Antiqua" w:hAnsi="Book Antiqua" w:cs="宋体"/>
          <w:b/>
          <w:bCs/>
          <w:color w:val="000000"/>
          <w:sz w:val="24"/>
        </w:rPr>
        <w:t>49</w:t>
      </w:r>
      <w:r>
        <w:rPr>
          <w:rFonts w:ascii="Book Antiqua" w:hAnsi="Book Antiqua" w:cs="宋体"/>
          <w:color w:val="000000"/>
          <w:sz w:val="24"/>
        </w:rPr>
        <w:t>: 318-329 [PMID: 19111019 DOI: 10.1002/hep.22704]</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7 </w:t>
      </w:r>
      <w:r>
        <w:rPr>
          <w:rFonts w:ascii="Book Antiqua" w:hAnsi="Book Antiqua" w:cs="宋体"/>
          <w:b/>
          <w:bCs/>
          <w:color w:val="000000"/>
          <w:sz w:val="24"/>
        </w:rPr>
        <w:t>Sell S</w:t>
      </w:r>
      <w:r>
        <w:rPr>
          <w:rFonts w:ascii="Book Antiqua" w:hAnsi="Book Antiqua" w:cs="宋体"/>
          <w:color w:val="000000"/>
          <w:sz w:val="24"/>
        </w:rPr>
        <w:t>. On the stem cell origin of cancer. </w:t>
      </w:r>
      <w:r>
        <w:rPr>
          <w:rFonts w:ascii="Book Antiqua" w:hAnsi="Book Antiqua" w:cs="宋体"/>
          <w:i/>
          <w:iCs/>
          <w:color w:val="000000"/>
          <w:sz w:val="24"/>
        </w:rPr>
        <w:t>Am J Pathol</w:t>
      </w:r>
      <w:r>
        <w:rPr>
          <w:rFonts w:ascii="Book Antiqua" w:hAnsi="Book Antiqua" w:cs="宋体"/>
          <w:color w:val="000000"/>
          <w:sz w:val="24"/>
        </w:rPr>
        <w:t> 2010; </w:t>
      </w:r>
      <w:r>
        <w:rPr>
          <w:rFonts w:ascii="Book Antiqua" w:hAnsi="Book Antiqua" w:cs="宋体"/>
          <w:b/>
          <w:bCs/>
          <w:color w:val="000000"/>
          <w:sz w:val="24"/>
        </w:rPr>
        <w:t>176</w:t>
      </w:r>
      <w:r>
        <w:rPr>
          <w:rFonts w:ascii="Book Antiqua" w:hAnsi="Book Antiqua" w:cs="宋体"/>
          <w:color w:val="000000"/>
          <w:sz w:val="24"/>
        </w:rPr>
        <w:t>: 2584-2494 [PMID: 20431026 DOI: 10.2353/ajpath.2010.091064]</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8 </w:t>
      </w:r>
      <w:r>
        <w:rPr>
          <w:rFonts w:ascii="Book Antiqua" w:hAnsi="Book Antiqua" w:cs="宋体"/>
          <w:b/>
          <w:bCs/>
          <w:color w:val="000000"/>
          <w:sz w:val="24"/>
        </w:rPr>
        <w:t>Sangan CB</w:t>
      </w:r>
      <w:r>
        <w:rPr>
          <w:rFonts w:ascii="Book Antiqua" w:hAnsi="Book Antiqua" w:cs="宋体"/>
          <w:color w:val="000000"/>
          <w:sz w:val="24"/>
        </w:rPr>
        <w:t>, Tosh D. Hepatic progenitor cells. </w:t>
      </w:r>
      <w:r>
        <w:rPr>
          <w:rFonts w:ascii="Book Antiqua" w:hAnsi="Book Antiqua" w:cs="宋体"/>
          <w:i/>
          <w:iCs/>
          <w:color w:val="000000"/>
          <w:sz w:val="24"/>
        </w:rPr>
        <w:t>Cell Tissue Res</w:t>
      </w:r>
      <w:r>
        <w:rPr>
          <w:rFonts w:ascii="Book Antiqua" w:hAnsi="Book Antiqua" w:cs="宋体"/>
          <w:color w:val="000000"/>
          <w:sz w:val="24"/>
        </w:rPr>
        <w:t> 2010; </w:t>
      </w:r>
      <w:r>
        <w:rPr>
          <w:rFonts w:ascii="Book Antiqua" w:hAnsi="Book Antiqua" w:cs="宋体"/>
          <w:b/>
          <w:bCs/>
          <w:color w:val="000000"/>
          <w:sz w:val="24"/>
        </w:rPr>
        <w:t>342</w:t>
      </w:r>
      <w:r>
        <w:rPr>
          <w:rFonts w:ascii="Book Antiqua" w:hAnsi="Book Antiqua" w:cs="宋体"/>
          <w:color w:val="000000"/>
          <w:sz w:val="24"/>
        </w:rPr>
        <w:t>: 131-137 [PMID: 20957497 DOI: 10.1007/s00441-010-1055-8]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9 </w:t>
      </w:r>
      <w:r>
        <w:rPr>
          <w:rFonts w:ascii="Book Antiqua" w:hAnsi="Book Antiqua" w:cs="宋体"/>
          <w:b/>
          <w:bCs/>
          <w:color w:val="000000"/>
          <w:sz w:val="24"/>
        </w:rPr>
        <w:t>Lu Y</w:t>
      </w:r>
      <w:r>
        <w:rPr>
          <w:rFonts w:ascii="Book Antiqua" w:hAnsi="Book Antiqua" w:cs="宋体"/>
          <w:color w:val="000000"/>
          <w:sz w:val="24"/>
        </w:rPr>
        <w:t xml:space="preserve">, Yue X, Cui Y, Zhang J, Wang K. MicroRNA-124 suppresses growth of </w:t>
      </w:r>
      <w:r>
        <w:rPr>
          <w:rFonts w:ascii="Book Antiqua" w:hAnsi="Book Antiqua" w:cs="宋体"/>
          <w:color w:val="000000"/>
          <w:sz w:val="24"/>
        </w:rPr>
        <w:lastRenderedPageBreak/>
        <w:t>human hepatocellular carcinoma by targeting STAT3. </w:t>
      </w:r>
      <w:r>
        <w:rPr>
          <w:rFonts w:ascii="Book Antiqua" w:hAnsi="Book Antiqua" w:cs="宋体"/>
          <w:i/>
          <w:iCs/>
          <w:color w:val="000000"/>
          <w:sz w:val="24"/>
        </w:rPr>
        <w:t>Biochem Biophys Res Commun</w:t>
      </w:r>
      <w:r>
        <w:rPr>
          <w:rFonts w:ascii="Book Antiqua" w:hAnsi="Book Antiqua" w:cs="宋体"/>
          <w:color w:val="000000"/>
          <w:sz w:val="24"/>
        </w:rPr>
        <w:t> 2013; </w:t>
      </w:r>
      <w:r>
        <w:rPr>
          <w:rFonts w:ascii="Book Antiqua" w:hAnsi="Book Antiqua" w:cs="宋体"/>
          <w:b/>
          <w:bCs/>
          <w:color w:val="000000"/>
          <w:sz w:val="24"/>
        </w:rPr>
        <w:t>441</w:t>
      </w:r>
      <w:r>
        <w:rPr>
          <w:rFonts w:ascii="Book Antiqua" w:hAnsi="Book Antiqua" w:cs="宋体"/>
          <w:color w:val="000000"/>
          <w:sz w:val="24"/>
        </w:rPr>
        <w:t>: 873-879 [PMID: 24211205 DOI: 10.1016/j.bbrc.2013.10.157]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10 </w:t>
      </w:r>
      <w:r>
        <w:rPr>
          <w:rFonts w:ascii="Book Antiqua" w:hAnsi="Book Antiqua" w:cs="宋体"/>
          <w:b/>
          <w:bCs/>
          <w:color w:val="000000"/>
          <w:sz w:val="24"/>
        </w:rPr>
        <w:t>Marotta LL</w:t>
      </w:r>
      <w:r>
        <w:rPr>
          <w:rFonts w:ascii="Book Antiqua" w:hAnsi="Book Antiqua" w:cs="宋体"/>
          <w:color w:val="000000"/>
          <w:sz w:val="24"/>
        </w:rPr>
        <w:t>, Almendro V, Marusyk A, Shipitsin M, Schemme J, Walker SR, Bloushtain-Qimron N, Kim JJ, Choudhury SA, Maruyama R, Wu Z, Gönen M, Mulvey LA, Bessarabova MO, Huh SJ, Silver SJ, Kim SY, Park SY, Lee HE, Anderson KS, Richardson AL, Nikolskaya T, Nikolsky Y, Liu XS, Root DE, Hahn WC, Frank DA, Polyak K. The JAK2/STAT3 signaling pathway is required for growth of CD44</w:t>
      </w:r>
      <w:r>
        <w:rPr>
          <w:rFonts w:eastAsia="Calibri" w:cs="Calibri"/>
          <w:color w:val="000000"/>
          <w:sz w:val="24"/>
        </w:rPr>
        <w:t>⁺</w:t>
      </w:r>
      <w:r>
        <w:rPr>
          <w:rFonts w:ascii="Book Antiqua" w:hAnsi="Book Antiqua" w:cs="宋体"/>
          <w:color w:val="000000"/>
          <w:sz w:val="24"/>
        </w:rPr>
        <w:t>CD24</w:t>
      </w:r>
      <w:r>
        <w:rPr>
          <w:rFonts w:eastAsia="Calibri" w:cs="Calibri"/>
          <w:color w:val="000000"/>
          <w:sz w:val="24"/>
        </w:rPr>
        <w:t>⁻</w:t>
      </w:r>
      <w:r>
        <w:rPr>
          <w:rFonts w:ascii="Book Antiqua" w:hAnsi="Book Antiqua" w:cs="宋体"/>
          <w:color w:val="000000"/>
          <w:sz w:val="24"/>
        </w:rPr>
        <w:t xml:space="preserve"> stem cell-like breast cancer cells in human tumors. </w:t>
      </w:r>
      <w:r>
        <w:rPr>
          <w:rFonts w:ascii="Book Antiqua" w:hAnsi="Book Antiqua" w:cs="宋体"/>
          <w:i/>
          <w:iCs/>
          <w:color w:val="000000"/>
          <w:sz w:val="24"/>
        </w:rPr>
        <w:t>J Clin Invest</w:t>
      </w:r>
      <w:r>
        <w:rPr>
          <w:rFonts w:ascii="Book Antiqua" w:hAnsi="Book Antiqua" w:cs="宋体"/>
          <w:color w:val="000000"/>
          <w:sz w:val="24"/>
        </w:rPr>
        <w:t> 2011; </w:t>
      </w:r>
      <w:r>
        <w:rPr>
          <w:rFonts w:ascii="Book Antiqua" w:hAnsi="Book Antiqua" w:cs="宋体"/>
          <w:b/>
          <w:bCs/>
          <w:color w:val="000000"/>
          <w:sz w:val="24"/>
        </w:rPr>
        <w:t>121</w:t>
      </w:r>
      <w:r>
        <w:rPr>
          <w:rFonts w:ascii="Book Antiqua" w:hAnsi="Book Antiqua" w:cs="宋体"/>
          <w:color w:val="000000"/>
          <w:sz w:val="24"/>
        </w:rPr>
        <w:t>: 2723-2735 [PMID: 21633165 DOI: 10.1172/JCI44745]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11 </w:t>
      </w:r>
      <w:r>
        <w:rPr>
          <w:rFonts w:ascii="Book Antiqua" w:hAnsi="Book Antiqua" w:cs="宋体"/>
          <w:b/>
          <w:bCs/>
          <w:color w:val="000000"/>
          <w:sz w:val="24"/>
        </w:rPr>
        <w:t>Sugimura K</w:t>
      </w:r>
      <w:r>
        <w:rPr>
          <w:rFonts w:ascii="Book Antiqua" w:hAnsi="Book Antiqua" w:cs="宋体"/>
          <w:color w:val="000000"/>
          <w:sz w:val="24"/>
        </w:rPr>
        <w:t>, Miyata H, Tanaka K, Hamano R, Takahashi T, Kurokawa Y, Yamasaki M, Nakajima K, Takiguchi S, Mori M, Doki Y. Let-7 expression is a significant determinant of response to chemotherapy through the regulation of IL-6/STAT3 pathway in esophageal squamous cell carcinoma. </w:t>
      </w:r>
      <w:r>
        <w:rPr>
          <w:rFonts w:ascii="Book Antiqua" w:hAnsi="Book Antiqua" w:cs="宋体"/>
          <w:i/>
          <w:iCs/>
          <w:color w:val="000000"/>
          <w:sz w:val="24"/>
        </w:rPr>
        <w:t>Clin Cancer Res</w:t>
      </w:r>
      <w:r>
        <w:rPr>
          <w:rFonts w:ascii="Book Antiqua" w:hAnsi="Book Antiqua" w:cs="宋体" w:hint="eastAsia"/>
          <w:color w:val="000000"/>
          <w:sz w:val="24"/>
        </w:rPr>
        <w:t xml:space="preserve"> </w:t>
      </w:r>
      <w:r>
        <w:rPr>
          <w:rFonts w:ascii="Book Antiqua" w:hAnsi="Book Antiqua" w:cs="宋体"/>
          <w:color w:val="000000"/>
          <w:sz w:val="24"/>
        </w:rPr>
        <w:t>2012;</w:t>
      </w:r>
      <w:r>
        <w:rPr>
          <w:rFonts w:ascii="Book Antiqua" w:hAnsi="Book Antiqua" w:cs="宋体" w:hint="eastAsia"/>
          <w:color w:val="000000"/>
          <w:sz w:val="24"/>
        </w:rPr>
        <w:t xml:space="preserve"> </w:t>
      </w:r>
      <w:r>
        <w:rPr>
          <w:rFonts w:ascii="Book Antiqua" w:hAnsi="Book Antiqua" w:cs="宋体"/>
          <w:b/>
          <w:bCs/>
          <w:color w:val="000000"/>
          <w:sz w:val="24"/>
        </w:rPr>
        <w:t>18</w:t>
      </w:r>
      <w:r>
        <w:rPr>
          <w:rFonts w:ascii="Book Antiqua" w:hAnsi="Book Antiqua" w:cs="宋体"/>
          <w:color w:val="000000"/>
          <w:sz w:val="24"/>
        </w:rPr>
        <w:t>: 5144-5153 [PMID: 22847808 DOI: 10.1158/1078-0432.CCR-12-0701]</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12 </w:t>
      </w:r>
      <w:r>
        <w:rPr>
          <w:rFonts w:ascii="Book Antiqua" w:hAnsi="Book Antiqua" w:cs="宋体"/>
          <w:b/>
          <w:bCs/>
          <w:color w:val="000000"/>
          <w:sz w:val="24"/>
        </w:rPr>
        <w:t>Schindler C</w:t>
      </w:r>
      <w:r>
        <w:rPr>
          <w:rFonts w:ascii="Book Antiqua" w:hAnsi="Book Antiqua" w:cs="宋体"/>
          <w:color w:val="000000"/>
          <w:sz w:val="24"/>
        </w:rPr>
        <w:t>, Levy DE, Decker T. JAK-STAT signaling: from interferons to cytokines. </w:t>
      </w:r>
      <w:r>
        <w:rPr>
          <w:rFonts w:ascii="Book Antiqua" w:hAnsi="Book Antiqua" w:cs="宋体"/>
          <w:i/>
          <w:iCs/>
          <w:color w:val="000000"/>
          <w:sz w:val="24"/>
        </w:rPr>
        <w:t>J Biol Chem</w:t>
      </w:r>
      <w:r>
        <w:rPr>
          <w:rFonts w:ascii="Book Antiqua" w:hAnsi="Book Antiqua" w:cs="宋体"/>
          <w:color w:val="000000"/>
          <w:sz w:val="24"/>
        </w:rPr>
        <w:t> 2007; </w:t>
      </w:r>
      <w:r>
        <w:rPr>
          <w:rFonts w:ascii="Book Antiqua" w:hAnsi="Book Antiqua" w:cs="宋体"/>
          <w:b/>
          <w:bCs/>
          <w:color w:val="000000"/>
          <w:sz w:val="24"/>
        </w:rPr>
        <w:t>282</w:t>
      </w:r>
      <w:r>
        <w:rPr>
          <w:rFonts w:ascii="Book Antiqua" w:hAnsi="Book Antiqua" w:cs="宋体"/>
          <w:color w:val="000000"/>
          <w:sz w:val="24"/>
        </w:rPr>
        <w:t>: 20059-20063 [PMID: 17502367 DOI: 10.1074/jbc.R700016200]</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13 </w:t>
      </w:r>
      <w:r>
        <w:rPr>
          <w:rFonts w:ascii="Book Antiqua" w:hAnsi="Book Antiqua" w:cs="宋体"/>
          <w:b/>
          <w:bCs/>
          <w:color w:val="000000"/>
          <w:sz w:val="24"/>
        </w:rPr>
        <w:t>Yu H</w:t>
      </w:r>
      <w:r>
        <w:rPr>
          <w:rFonts w:ascii="Book Antiqua" w:hAnsi="Book Antiqua" w:cs="宋体"/>
          <w:color w:val="000000"/>
          <w:sz w:val="24"/>
        </w:rPr>
        <w:t>, Lee H, Herrmann A, Buettner R, Jove R. Revisiting STAT3 signalling in cancer: new and unexpected biological functions. </w:t>
      </w:r>
      <w:r>
        <w:rPr>
          <w:rFonts w:ascii="Book Antiqua" w:hAnsi="Book Antiqua" w:cs="宋体"/>
          <w:i/>
          <w:iCs/>
          <w:color w:val="000000"/>
          <w:sz w:val="24"/>
        </w:rPr>
        <w:t>Nat Rev Cancer</w:t>
      </w:r>
      <w:r>
        <w:rPr>
          <w:rFonts w:ascii="Book Antiqua" w:hAnsi="Book Antiqua" w:cs="宋体"/>
          <w:color w:val="000000"/>
          <w:sz w:val="24"/>
        </w:rPr>
        <w:t> 2014; </w:t>
      </w:r>
      <w:r>
        <w:rPr>
          <w:rFonts w:ascii="Book Antiqua" w:hAnsi="Book Antiqua" w:cs="宋体"/>
          <w:b/>
          <w:bCs/>
          <w:color w:val="000000"/>
          <w:sz w:val="24"/>
        </w:rPr>
        <w:t>14</w:t>
      </w:r>
      <w:r>
        <w:rPr>
          <w:rFonts w:ascii="Book Antiqua" w:hAnsi="Book Antiqua" w:cs="宋体"/>
          <w:color w:val="000000"/>
          <w:sz w:val="24"/>
        </w:rPr>
        <w:t>: 736-746 [PMID: 25342631 DOI: 10.1038/nrc3818]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14 </w:t>
      </w:r>
      <w:r>
        <w:rPr>
          <w:rFonts w:ascii="Book Antiqua" w:hAnsi="Book Antiqua" w:cs="宋体"/>
          <w:b/>
          <w:bCs/>
          <w:color w:val="000000"/>
          <w:sz w:val="24"/>
        </w:rPr>
        <w:t>Jiang S</w:t>
      </w:r>
      <w:r>
        <w:rPr>
          <w:rFonts w:ascii="Book Antiqua" w:hAnsi="Book Antiqua" w:cs="宋体"/>
          <w:color w:val="000000"/>
          <w:sz w:val="24"/>
        </w:rPr>
        <w:t>, Zhang LF, Zhang HW, Hu S, Lu MH, Liang S, Li B, Li Y, Li D, Wang ED, Liu MF. A novel miR-155/miR-143 cascade controls glycolysis by regulating hexokinase 2 in breast cancer cells. </w:t>
      </w:r>
      <w:r>
        <w:rPr>
          <w:rFonts w:ascii="Book Antiqua" w:hAnsi="Book Antiqua" w:cs="宋体"/>
          <w:i/>
          <w:iCs/>
          <w:color w:val="000000"/>
          <w:sz w:val="24"/>
        </w:rPr>
        <w:t>EMBO J</w:t>
      </w:r>
      <w:r>
        <w:rPr>
          <w:rFonts w:ascii="Book Antiqua" w:hAnsi="Book Antiqua" w:cs="宋体"/>
          <w:color w:val="000000"/>
          <w:sz w:val="24"/>
        </w:rPr>
        <w:t> 2012; </w:t>
      </w:r>
      <w:r>
        <w:rPr>
          <w:rFonts w:ascii="Book Antiqua" w:hAnsi="Book Antiqua" w:cs="宋体"/>
          <w:b/>
          <w:bCs/>
          <w:color w:val="000000"/>
          <w:sz w:val="24"/>
        </w:rPr>
        <w:t>31</w:t>
      </w:r>
      <w:r>
        <w:rPr>
          <w:rFonts w:ascii="Book Antiqua" w:hAnsi="Book Antiqua" w:cs="宋体"/>
          <w:color w:val="000000"/>
          <w:sz w:val="24"/>
        </w:rPr>
        <w:t>: 1985-1998 [PMID: 22354042 DOI: 10.1038/emboj.2012.45]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15 </w:t>
      </w:r>
      <w:r>
        <w:rPr>
          <w:rFonts w:ascii="Book Antiqua" w:hAnsi="Book Antiqua" w:cs="宋体"/>
          <w:b/>
          <w:bCs/>
          <w:color w:val="000000"/>
          <w:sz w:val="24"/>
        </w:rPr>
        <w:t>Qin X</w:t>
      </w:r>
      <w:r>
        <w:rPr>
          <w:rFonts w:ascii="Book Antiqua" w:hAnsi="Book Antiqua" w:cs="宋体"/>
          <w:color w:val="000000"/>
          <w:sz w:val="24"/>
        </w:rPr>
        <w:t>, Lin L, Cao L, Zhang X, Song X, Hao J, Zhang Y, Wei R, Huang X, Lu J, Ge Q. Extracellular matrix protein Reelin promotes myeloma progression by facilitating tumor cell proliferation and glycolysis. </w:t>
      </w:r>
      <w:r>
        <w:rPr>
          <w:rFonts w:ascii="Book Antiqua" w:hAnsi="Book Antiqua" w:cs="宋体"/>
          <w:i/>
          <w:iCs/>
          <w:color w:val="000000"/>
          <w:sz w:val="24"/>
        </w:rPr>
        <w:t>Sci Rep</w:t>
      </w:r>
      <w:r>
        <w:rPr>
          <w:rFonts w:ascii="Book Antiqua" w:hAnsi="Book Antiqua" w:cs="宋体"/>
          <w:color w:val="000000"/>
          <w:sz w:val="24"/>
        </w:rPr>
        <w:t> 2017; </w:t>
      </w:r>
      <w:r>
        <w:rPr>
          <w:rFonts w:ascii="Book Antiqua" w:hAnsi="Book Antiqua" w:cs="宋体"/>
          <w:b/>
          <w:bCs/>
          <w:color w:val="000000"/>
          <w:sz w:val="24"/>
        </w:rPr>
        <w:t>7</w:t>
      </w:r>
      <w:r>
        <w:rPr>
          <w:rFonts w:ascii="Book Antiqua" w:hAnsi="Book Antiqua" w:cs="宋体"/>
          <w:color w:val="000000"/>
          <w:sz w:val="24"/>
        </w:rPr>
        <w:t>: 45305 [PMID: 28345605 DOI: 10.1038/srep45305]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16 </w:t>
      </w:r>
      <w:r>
        <w:rPr>
          <w:rFonts w:ascii="Book Antiqua" w:hAnsi="Book Antiqua" w:cs="宋体"/>
          <w:b/>
          <w:bCs/>
          <w:color w:val="000000"/>
          <w:sz w:val="24"/>
        </w:rPr>
        <w:t>Israelsen WJ</w:t>
      </w:r>
      <w:r>
        <w:rPr>
          <w:rFonts w:ascii="Book Antiqua" w:hAnsi="Book Antiqua" w:cs="宋体"/>
          <w:color w:val="000000"/>
          <w:sz w:val="24"/>
        </w:rPr>
        <w:t xml:space="preserve">, Dayton TL, Davidson SM, Fiske BP, Hosios AM, Bellinger G, </w:t>
      </w:r>
      <w:r>
        <w:rPr>
          <w:rFonts w:ascii="Book Antiqua" w:hAnsi="Book Antiqua" w:cs="宋体"/>
          <w:color w:val="000000"/>
          <w:sz w:val="24"/>
        </w:rPr>
        <w:lastRenderedPageBreak/>
        <w:t>Li J, Yu Y, Sasaki M, Horner JW, Burga LN, Xie J, Jurczak MJ, DePinho RA, Clish CB, Jacks T, Kibbey RG, Wulf GM, Di Vizio D, Mills GB, Cantley LC, Vander Heiden MG. PKM2 isoform-specific deletion reveals a differential requirement for pyruvate kinase in tumor cells. </w:t>
      </w:r>
      <w:r>
        <w:rPr>
          <w:rFonts w:ascii="Book Antiqua" w:hAnsi="Book Antiqua" w:cs="宋体"/>
          <w:i/>
          <w:iCs/>
          <w:color w:val="000000"/>
          <w:sz w:val="24"/>
        </w:rPr>
        <w:t>Cell</w:t>
      </w:r>
      <w:r>
        <w:rPr>
          <w:rFonts w:ascii="Book Antiqua" w:hAnsi="Book Antiqua" w:cs="宋体"/>
          <w:color w:val="000000"/>
          <w:sz w:val="24"/>
        </w:rPr>
        <w:t> 2013; </w:t>
      </w:r>
      <w:r>
        <w:rPr>
          <w:rFonts w:ascii="Book Antiqua" w:hAnsi="Book Antiqua" w:cs="宋体"/>
          <w:b/>
          <w:bCs/>
          <w:color w:val="000000"/>
          <w:sz w:val="24"/>
        </w:rPr>
        <w:t>155</w:t>
      </w:r>
      <w:r>
        <w:rPr>
          <w:rFonts w:ascii="Book Antiqua" w:hAnsi="Book Antiqua" w:cs="宋体"/>
          <w:color w:val="000000"/>
          <w:sz w:val="24"/>
        </w:rPr>
        <w:t>: 397-409 [PMID: 24120138 DOI: 10.1016/j.cell.2013.09.025]</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17 </w:t>
      </w:r>
      <w:r>
        <w:rPr>
          <w:rFonts w:ascii="Book Antiqua" w:hAnsi="Book Antiqua" w:cs="宋体"/>
          <w:b/>
          <w:bCs/>
          <w:color w:val="000000"/>
          <w:sz w:val="24"/>
        </w:rPr>
        <w:t>Sradhanjali S</w:t>
      </w:r>
      <w:r>
        <w:rPr>
          <w:rFonts w:ascii="Book Antiqua" w:hAnsi="Book Antiqua" w:cs="宋体"/>
          <w:color w:val="000000"/>
          <w:sz w:val="24"/>
        </w:rPr>
        <w:t>, Reddy MM. Inhibition of Pyruvate Dehydrogenase Kinase as a Therapeutic Strategy against Cancer. </w:t>
      </w:r>
      <w:r>
        <w:rPr>
          <w:rFonts w:ascii="Book Antiqua" w:hAnsi="Book Antiqua" w:cs="宋体"/>
          <w:i/>
          <w:iCs/>
          <w:color w:val="000000"/>
          <w:sz w:val="24"/>
        </w:rPr>
        <w:t>Curr Top Med Chem</w:t>
      </w:r>
      <w:r>
        <w:rPr>
          <w:rFonts w:ascii="Book Antiqua" w:hAnsi="Book Antiqua" w:cs="宋体"/>
          <w:color w:val="000000"/>
          <w:sz w:val="24"/>
        </w:rPr>
        <w:t> 2018; </w:t>
      </w:r>
      <w:r>
        <w:rPr>
          <w:rFonts w:ascii="Book Antiqua" w:hAnsi="Book Antiqua" w:cs="宋体"/>
          <w:b/>
          <w:bCs/>
          <w:color w:val="000000"/>
          <w:sz w:val="24"/>
        </w:rPr>
        <w:t>18</w:t>
      </w:r>
      <w:r>
        <w:rPr>
          <w:rFonts w:ascii="Book Antiqua" w:hAnsi="Book Antiqua" w:cs="宋体"/>
          <w:color w:val="000000"/>
          <w:sz w:val="24"/>
        </w:rPr>
        <w:t>: 444-453 [PMID: 29788890 DOI: 10.2174/1568026618666180523105756]</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18 </w:t>
      </w:r>
      <w:r>
        <w:rPr>
          <w:rFonts w:ascii="Book Antiqua" w:hAnsi="Book Antiqua" w:cs="宋体"/>
          <w:b/>
          <w:bCs/>
          <w:color w:val="000000"/>
          <w:sz w:val="24"/>
        </w:rPr>
        <w:t>Israelsen WJ</w:t>
      </w:r>
      <w:r>
        <w:rPr>
          <w:rFonts w:ascii="Book Antiqua" w:hAnsi="Book Antiqua" w:cs="宋体"/>
          <w:color w:val="000000"/>
          <w:sz w:val="24"/>
        </w:rPr>
        <w:t>, Vander Heiden MG. Pyruvate kinase: Function, regulation and role in cancer. </w:t>
      </w:r>
      <w:r>
        <w:rPr>
          <w:rFonts w:ascii="Book Antiqua" w:hAnsi="Book Antiqua" w:cs="宋体"/>
          <w:i/>
          <w:iCs/>
          <w:color w:val="000000"/>
          <w:sz w:val="24"/>
        </w:rPr>
        <w:t>Semin Cell Dev Biol</w:t>
      </w:r>
      <w:r>
        <w:rPr>
          <w:rFonts w:ascii="Book Antiqua" w:hAnsi="Book Antiqua" w:cs="宋体"/>
          <w:color w:val="000000"/>
          <w:sz w:val="24"/>
        </w:rPr>
        <w:t> 2015; </w:t>
      </w:r>
      <w:r>
        <w:rPr>
          <w:rFonts w:ascii="Book Antiqua" w:hAnsi="Book Antiqua" w:cs="宋体"/>
          <w:b/>
          <w:bCs/>
          <w:color w:val="000000"/>
          <w:sz w:val="24"/>
        </w:rPr>
        <w:t>43</w:t>
      </w:r>
      <w:r>
        <w:rPr>
          <w:rFonts w:ascii="Book Antiqua" w:hAnsi="Book Antiqua" w:cs="宋体"/>
          <w:color w:val="000000"/>
          <w:sz w:val="24"/>
        </w:rPr>
        <w:t>: 43-51 [PMID: 26277545 DOI: 10.1016/j.semcdb.2015.08.004]</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19 </w:t>
      </w:r>
      <w:r>
        <w:rPr>
          <w:rFonts w:ascii="Book Antiqua" w:hAnsi="Book Antiqua" w:cs="宋体"/>
          <w:b/>
          <w:bCs/>
          <w:color w:val="000000"/>
          <w:sz w:val="24"/>
        </w:rPr>
        <w:t>Morita M</w:t>
      </w:r>
      <w:r>
        <w:rPr>
          <w:rFonts w:ascii="Book Antiqua" w:hAnsi="Book Antiqua" w:cs="宋体"/>
          <w:color w:val="000000"/>
          <w:sz w:val="24"/>
        </w:rPr>
        <w:t>, Sato T, Nomura M, Sakamoto Y, Inoue Y, Tanaka R, Ito S, Kurosawa K, Yamaguchi K, Sugiura Y, Takizaki H, Yamashita Y, Katakura R, Sato I, Kawai M, Okada Y, Watanabe H, Kondoh G, Matsumoto S, Kishimoto A, Obata M, Matsumoto M, Fukuhara T, Motohashi H, Suematsu M, Komatsu M, Nakayama KI, Watanabe T, Soga T, Shima H, Maemondo M, Tanuma N. PKM1 Confers Metabolic Advantages and Promotes Cell-Autonomous Tumor Cell Growth. </w:t>
      </w:r>
      <w:r>
        <w:rPr>
          <w:rFonts w:ascii="Book Antiqua" w:hAnsi="Book Antiqua" w:cs="宋体"/>
          <w:i/>
          <w:iCs/>
          <w:color w:val="000000"/>
          <w:sz w:val="24"/>
        </w:rPr>
        <w:t>Cancer Cell</w:t>
      </w:r>
      <w:r>
        <w:rPr>
          <w:rFonts w:ascii="Book Antiqua" w:hAnsi="Book Antiqua" w:cs="宋体"/>
          <w:color w:val="000000"/>
          <w:sz w:val="24"/>
        </w:rPr>
        <w:t> 2018; </w:t>
      </w:r>
      <w:r>
        <w:rPr>
          <w:rFonts w:ascii="Book Antiqua" w:hAnsi="Book Antiqua" w:cs="宋体"/>
          <w:b/>
          <w:bCs/>
          <w:color w:val="000000"/>
          <w:sz w:val="24"/>
        </w:rPr>
        <w:t>33</w:t>
      </w:r>
      <w:r>
        <w:rPr>
          <w:rFonts w:ascii="Book Antiqua" w:hAnsi="Book Antiqua" w:cs="宋体"/>
          <w:color w:val="000000"/>
          <w:sz w:val="24"/>
        </w:rPr>
        <w:t>: 355-367.e7 [PMID: 29533781 DOI: 10.1016/j.ccell.2018.02.004]</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20 </w:t>
      </w:r>
      <w:r>
        <w:rPr>
          <w:rFonts w:ascii="Book Antiqua" w:hAnsi="Book Antiqua" w:cs="宋体"/>
          <w:b/>
          <w:bCs/>
          <w:color w:val="000000"/>
          <w:sz w:val="24"/>
        </w:rPr>
        <w:t>Yang W</w:t>
      </w:r>
      <w:r>
        <w:rPr>
          <w:rFonts w:ascii="Book Antiqua" w:hAnsi="Book Antiqua" w:cs="宋体"/>
          <w:color w:val="000000"/>
          <w:sz w:val="24"/>
        </w:rPr>
        <w:t>, Lu Z. Pyruvate kinase M2 at a glance. </w:t>
      </w:r>
      <w:r>
        <w:rPr>
          <w:rFonts w:ascii="Book Antiqua" w:hAnsi="Book Antiqua" w:cs="宋体"/>
          <w:i/>
          <w:iCs/>
          <w:color w:val="000000"/>
          <w:sz w:val="24"/>
        </w:rPr>
        <w:t>J Cell Sci</w:t>
      </w:r>
      <w:r>
        <w:rPr>
          <w:rFonts w:ascii="Book Antiqua" w:hAnsi="Book Antiqua" w:cs="宋体"/>
          <w:color w:val="000000"/>
          <w:sz w:val="24"/>
        </w:rPr>
        <w:t> 2015; </w:t>
      </w:r>
      <w:r>
        <w:rPr>
          <w:rFonts w:ascii="Book Antiqua" w:hAnsi="Book Antiqua" w:cs="宋体"/>
          <w:b/>
          <w:bCs/>
          <w:color w:val="000000"/>
          <w:sz w:val="24"/>
        </w:rPr>
        <w:t>128</w:t>
      </w:r>
      <w:r>
        <w:rPr>
          <w:rFonts w:ascii="Book Antiqua" w:hAnsi="Book Antiqua" w:cs="宋体"/>
          <w:color w:val="000000"/>
          <w:sz w:val="24"/>
        </w:rPr>
        <w:t>: 1655-1660 [PMID: 25770102 DOI: 10.1242/jcs.166629]</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21 </w:t>
      </w:r>
      <w:r>
        <w:rPr>
          <w:rFonts w:ascii="Book Antiqua" w:hAnsi="Book Antiqua" w:cs="宋体"/>
          <w:b/>
          <w:bCs/>
          <w:color w:val="000000"/>
          <w:sz w:val="24"/>
        </w:rPr>
        <w:t>Christofk HR</w:t>
      </w:r>
      <w:r>
        <w:rPr>
          <w:rFonts w:ascii="Book Antiqua" w:hAnsi="Book Antiqua" w:cs="宋体"/>
          <w:color w:val="000000"/>
          <w:sz w:val="24"/>
        </w:rPr>
        <w:t>, Vander Heiden MG, Wu N, Asara JM, Cantley LC. Pyruvate kinase M2 is a phosphotyrosine-binding protein. </w:t>
      </w:r>
      <w:r>
        <w:rPr>
          <w:rFonts w:ascii="Book Antiqua" w:hAnsi="Book Antiqua" w:cs="宋体"/>
          <w:i/>
          <w:iCs/>
          <w:color w:val="000000"/>
          <w:sz w:val="24"/>
        </w:rPr>
        <w:t>Nature</w:t>
      </w:r>
      <w:r>
        <w:rPr>
          <w:rFonts w:ascii="Book Antiqua" w:hAnsi="Book Antiqua" w:cs="宋体"/>
          <w:color w:val="000000"/>
          <w:sz w:val="24"/>
        </w:rPr>
        <w:t> 2008; </w:t>
      </w:r>
      <w:r>
        <w:rPr>
          <w:rFonts w:ascii="Book Antiqua" w:hAnsi="Book Antiqua" w:cs="宋体"/>
          <w:b/>
          <w:bCs/>
          <w:color w:val="000000"/>
          <w:sz w:val="24"/>
        </w:rPr>
        <w:t>452</w:t>
      </w:r>
      <w:r>
        <w:rPr>
          <w:rFonts w:ascii="Book Antiqua" w:hAnsi="Book Antiqua" w:cs="宋体"/>
          <w:color w:val="000000"/>
          <w:sz w:val="24"/>
        </w:rPr>
        <w:t>: 181-186 [PMID: 18337815 DOI: 10.1038/nature06667]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22 </w:t>
      </w:r>
      <w:r>
        <w:rPr>
          <w:rFonts w:ascii="Book Antiqua" w:hAnsi="Book Antiqua" w:cs="宋体"/>
          <w:b/>
          <w:bCs/>
          <w:color w:val="000000"/>
          <w:sz w:val="24"/>
        </w:rPr>
        <w:t>Iansante V</w:t>
      </w:r>
      <w:r>
        <w:rPr>
          <w:rFonts w:ascii="Book Antiqua" w:hAnsi="Book Antiqua" w:cs="宋体"/>
          <w:color w:val="000000"/>
          <w:sz w:val="24"/>
        </w:rPr>
        <w:t>, Choy PM, Fung SW, Liu Y, Chai JG, Dyson J, Del Rio A, D'Santos C, Williams R, Chokshi S, Anders RA, Bubici C, Papa S. PARP14 promotes the Warburg effect in hepatocellular carcinoma by inhibiting JNK1-dependent PKM2 phosphorylation and activation. </w:t>
      </w:r>
      <w:r>
        <w:rPr>
          <w:rFonts w:ascii="Book Antiqua" w:hAnsi="Book Antiqua" w:cs="宋体"/>
          <w:i/>
          <w:iCs/>
          <w:color w:val="000000"/>
          <w:sz w:val="24"/>
        </w:rPr>
        <w:t>Nat Commun</w:t>
      </w:r>
      <w:r>
        <w:rPr>
          <w:rFonts w:ascii="Book Antiqua" w:hAnsi="Book Antiqua" w:cs="宋体"/>
          <w:color w:val="000000"/>
          <w:sz w:val="24"/>
        </w:rPr>
        <w:t> 2015; </w:t>
      </w:r>
      <w:r>
        <w:rPr>
          <w:rFonts w:ascii="Book Antiqua" w:hAnsi="Book Antiqua" w:cs="宋体"/>
          <w:b/>
          <w:bCs/>
          <w:color w:val="000000"/>
          <w:sz w:val="24"/>
        </w:rPr>
        <w:t>6</w:t>
      </w:r>
      <w:r>
        <w:rPr>
          <w:rFonts w:ascii="Book Antiqua" w:hAnsi="Book Antiqua" w:cs="宋体"/>
          <w:color w:val="000000"/>
          <w:sz w:val="24"/>
        </w:rPr>
        <w:t>: 7882 [PMID: 26258887 DOI: 10.1038/ncomms8882]</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23 </w:t>
      </w:r>
      <w:r>
        <w:rPr>
          <w:rFonts w:ascii="Book Antiqua" w:hAnsi="Book Antiqua" w:cs="宋体"/>
          <w:b/>
          <w:bCs/>
          <w:color w:val="000000"/>
          <w:sz w:val="24"/>
        </w:rPr>
        <w:t>Solt DB</w:t>
      </w:r>
      <w:r>
        <w:rPr>
          <w:rFonts w:ascii="Book Antiqua" w:hAnsi="Book Antiqua" w:cs="宋体"/>
          <w:color w:val="000000"/>
          <w:sz w:val="24"/>
        </w:rPr>
        <w:t xml:space="preserve">, Medline A, Farber E. Rapid emergence of carcinogen-induced hyperplastic lesions in a new model for the sequential analysis of liver </w:t>
      </w:r>
      <w:r>
        <w:rPr>
          <w:rFonts w:ascii="Book Antiqua" w:hAnsi="Book Antiqua" w:cs="宋体"/>
          <w:color w:val="000000"/>
          <w:sz w:val="24"/>
        </w:rPr>
        <w:lastRenderedPageBreak/>
        <w:t>carcinogenesis. </w:t>
      </w:r>
      <w:r>
        <w:rPr>
          <w:rFonts w:ascii="Book Antiqua" w:hAnsi="Book Antiqua" w:cs="宋体"/>
          <w:i/>
          <w:iCs/>
          <w:color w:val="000000"/>
          <w:sz w:val="24"/>
        </w:rPr>
        <w:t>Am J Pathol</w:t>
      </w:r>
      <w:r>
        <w:rPr>
          <w:rFonts w:ascii="Book Antiqua" w:hAnsi="Book Antiqua" w:cs="宋体"/>
          <w:color w:val="000000"/>
          <w:sz w:val="24"/>
        </w:rPr>
        <w:t>1977; </w:t>
      </w:r>
      <w:r>
        <w:rPr>
          <w:rFonts w:ascii="Book Antiqua" w:hAnsi="Book Antiqua" w:cs="宋体"/>
          <w:b/>
          <w:bCs/>
          <w:color w:val="000000"/>
          <w:sz w:val="24"/>
        </w:rPr>
        <w:t>88</w:t>
      </w:r>
      <w:r>
        <w:rPr>
          <w:rFonts w:ascii="Book Antiqua" w:hAnsi="Book Antiqua" w:cs="宋体"/>
          <w:color w:val="000000"/>
          <w:sz w:val="24"/>
        </w:rPr>
        <w:t>: 595-618 [PMID: 18937]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24 </w:t>
      </w:r>
      <w:r>
        <w:rPr>
          <w:rFonts w:ascii="Book Antiqua" w:hAnsi="Book Antiqua" w:cs="宋体"/>
          <w:b/>
          <w:bCs/>
          <w:color w:val="000000"/>
          <w:sz w:val="24"/>
        </w:rPr>
        <w:t>Luo Q</w:t>
      </w:r>
      <w:r>
        <w:rPr>
          <w:rFonts w:ascii="Book Antiqua" w:hAnsi="Book Antiqua" w:cs="宋体"/>
          <w:color w:val="000000"/>
          <w:sz w:val="24"/>
        </w:rPr>
        <w:t>, Siconolfi-Baez L, Annamaneni P, Bielawski MT, Novikoff PM, Angeletti RH. Altered protein expression at early-stage rat hepatic neoplasia.</w:t>
      </w:r>
      <w:r>
        <w:rPr>
          <w:rFonts w:ascii="Book Antiqua" w:hAnsi="Book Antiqua" w:cs="宋体" w:hint="eastAsia"/>
          <w:color w:val="000000"/>
          <w:sz w:val="24"/>
        </w:rPr>
        <w:t xml:space="preserve"> </w:t>
      </w:r>
      <w:r>
        <w:rPr>
          <w:rFonts w:ascii="Book Antiqua" w:hAnsi="Book Antiqua" w:cs="宋体"/>
          <w:i/>
          <w:iCs/>
          <w:color w:val="000000"/>
          <w:sz w:val="24"/>
        </w:rPr>
        <w:t>Am J Physiol Gastrointest Liver Physiol</w:t>
      </w:r>
      <w:r>
        <w:rPr>
          <w:rFonts w:ascii="Book Antiqua" w:hAnsi="Book Antiqua" w:cs="宋体"/>
          <w:color w:val="000000"/>
          <w:sz w:val="24"/>
        </w:rPr>
        <w:t> 2007; </w:t>
      </w:r>
      <w:r>
        <w:rPr>
          <w:rFonts w:ascii="Book Antiqua" w:hAnsi="Book Antiqua" w:cs="宋体"/>
          <w:b/>
          <w:bCs/>
          <w:color w:val="000000"/>
          <w:sz w:val="24"/>
        </w:rPr>
        <w:t>292</w:t>
      </w:r>
      <w:r>
        <w:rPr>
          <w:rFonts w:ascii="Book Antiqua" w:hAnsi="Book Antiqua" w:cs="宋体"/>
          <w:color w:val="000000"/>
          <w:sz w:val="24"/>
        </w:rPr>
        <w:t>: G1272-G1282 [PMID: 17272515 DOI: 10.1152/ajpgi.00474.2006]</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25 </w:t>
      </w:r>
      <w:r>
        <w:rPr>
          <w:rFonts w:ascii="Book Antiqua" w:hAnsi="Book Antiqua" w:cs="宋体"/>
          <w:b/>
          <w:bCs/>
          <w:color w:val="000000"/>
          <w:sz w:val="24"/>
        </w:rPr>
        <w:t>Han YY</w:t>
      </w:r>
      <w:r>
        <w:rPr>
          <w:rFonts w:ascii="Book Antiqua" w:hAnsi="Book Antiqua" w:cs="宋体"/>
          <w:color w:val="000000"/>
          <w:sz w:val="24"/>
        </w:rPr>
        <w:t>, Xue XW, Shi ZM, Wang PY, Wu XR, Wang XJ. Oleanolic acid and ursolic acid inhibit proliferation in transformed rat hepatic oval cells. </w:t>
      </w:r>
      <w:r>
        <w:rPr>
          <w:rFonts w:ascii="Book Antiqua" w:hAnsi="Book Antiqua" w:cs="宋体"/>
          <w:i/>
          <w:iCs/>
          <w:color w:val="000000"/>
          <w:sz w:val="24"/>
        </w:rPr>
        <w:t>World J Gastroenterol</w:t>
      </w:r>
      <w:r>
        <w:rPr>
          <w:rFonts w:ascii="Book Antiqua" w:hAnsi="Book Antiqua" w:cs="宋体"/>
          <w:color w:val="000000"/>
          <w:sz w:val="24"/>
        </w:rPr>
        <w:t> 2014; </w:t>
      </w:r>
      <w:r>
        <w:rPr>
          <w:rFonts w:ascii="Book Antiqua" w:hAnsi="Book Antiqua" w:cs="宋体"/>
          <w:b/>
          <w:bCs/>
          <w:color w:val="000000"/>
          <w:sz w:val="24"/>
        </w:rPr>
        <w:t>20</w:t>
      </w:r>
      <w:r>
        <w:rPr>
          <w:rFonts w:ascii="Book Antiqua" w:hAnsi="Book Antiqua" w:cs="宋体"/>
          <w:color w:val="000000"/>
          <w:sz w:val="24"/>
        </w:rPr>
        <w:t>: 1348-1356 [PMID: 24574810 DOI: 10.3748/wjg.v20.i5.1348]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26 </w:t>
      </w:r>
      <w:r>
        <w:rPr>
          <w:rFonts w:ascii="Book Antiqua" w:hAnsi="Book Antiqua" w:cs="宋体"/>
          <w:b/>
          <w:bCs/>
          <w:color w:val="000000"/>
          <w:sz w:val="24"/>
        </w:rPr>
        <w:t>Ding L</w:t>
      </w:r>
      <w:r>
        <w:rPr>
          <w:rFonts w:ascii="Book Antiqua" w:hAnsi="Book Antiqua" w:cs="宋体"/>
          <w:color w:val="000000"/>
          <w:sz w:val="24"/>
        </w:rPr>
        <w:t>, Ding YN, Lin Y, Wen JM, Xue L. Proteins related to early changes in carcinogenesis of hepatic oval cells after treatment with methylnitronitrosoguanidine.</w:t>
      </w:r>
      <w:r>
        <w:rPr>
          <w:rFonts w:ascii="Book Antiqua" w:hAnsi="Book Antiqua" w:cs="宋体" w:hint="eastAsia"/>
          <w:color w:val="000000"/>
          <w:sz w:val="24"/>
        </w:rPr>
        <w:t xml:space="preserve"> </w:t>
      </w:r>
      <w:r>
        <w:rPr>
          <w:rFonts w:ascii="Book Antiqua" w:hAnsi="Book Antiqua" w:cs="宋体"/>
          <w:i/>
          <w:iCs/>
          <w:color w:val="000000"/>
          <w:sz w:val="24"/>
        </w:rPr>
        <w:t>Exp Toxicol Pathol</w:t>
      </w:r>
      <w:r>
        <w:rPr>
          <w:rFonts w:ascii="Book Antiqua" w:hAnsi="Book Antiqua" w:cs="宋体"/>
          <w:color w:val="000000"/>
          <w:sz w:val="24"/>
        </w:rPr>
        <w:t> 2014; </w:t>
      </w:r>
      <w:r>
        <w:rPr>
          <w:rFonts w:ascii="Book Antiqua" w:hAnsi="Book Antiqua" w:cs="宋体"/>
          <w:b/>
          <w:bCs/>
          <w:color w:val="000000"/>
          <w:sz w:val="24"/>
        </w:rPr>
        <w:t>66</w:t>
      </w:r>
      <w:r>
        <w:rPr>
          <w:rFonts w:ascii="Book Antiqua" w:hAnsi="Book Antiqua" w:cs="宋体"/>
          <w:color w:val="000000"/>
          <w:sz w:val="24"/>
        </w:rPr>
        <w:t>: 139-146 [PMID: 24360059 DOI: 10.1016/j.etp.2013.11.007]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27 </w:t>
      </w:r>
      <w:r>
        <w:rPr>
          <w:rFonts w:ascii="Book Antiqua" w:hAnsi="Book Antiqua" w:cs="宋体"/>
          <w:b/>
          <w:bCs/>
          <w:color w:val="000000"/>
          <w:sz w:val="24"/>
        </w:rPr>
        <w:t>Ganem NJ</w:t>
      </w:r>
      <w:r>
        <w:rPr>
          <w:rFonts w:ascii="Book Antiqua" w:hAnsi="Book Antiqua" w:cs="宋体"/>
          <w:color w:val="000000"/>
          <w:sz w:val="24"/>
        </w:rPr>
        <w:t>, Storchova Z, Pellman D. Tetraploidy, aneuploidy and cancer. </w:t>
      </w:r>
      <w:r>
        <w:rPr>
          <w:rFonts w:ascii="Book Antiqua" w:hAnsi="Book Antiqua" w:cs="宋体"/>
          <w:i/>
          <w:iCs/>
          <w:color w:val="000000"/>
          <w:sz w:val="24"/>
        </w:rPr>
        <w:t>Curr Opin Genet Dev</w:t>
      </w:r>
      <w:r>
        <w:rPr>
          <w:rFonts w:ascii="Book Antiqua" w:hAnsi="Book Antiqua" w:cs="宋体"/>
          <w:color w:val="000000"/>
          <w:sz w:val="24"/>
        </w:rPr>
        <w:t> 2007; </w:t>
      </w:r>
      <w:r>
        <w:rPr>
          <w:rFonts w:ascii="Book Antiqua" w:hAnsi="Book Antiqua" w:cs="宋体"/>
          <w:b/>
          <w:bCs/>
          <w:color w:val="000000"/>
          <w:sz w:val="24"/>
        </w:rPr>
        <w:t>17</w:t>
      </w:r>
      <w:r>
        <w:rPr>
          <w:rFonts w:ascii="Book Antiqua" w:hAnsi="Book Antiqua" w:cs="宋体"/>
          <w:color w:val="000000"/>
          <w:sz w:val="24"/>
        </w:rPr>
        <w:t>: 157-162 [PMID: 17324569 DOI: 10.1016/j.gde.2007.02.011]</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28 </w:t>
      </w:r>
      <w:r>
        <w:rPr>
          <w:rFonts w:ascii="Book Antiqua" w:hAnsi="Book Antiqua" w:cs="宋体"/>
          <w:b/>
          <w:bCs/>
          <w:color w:val="000000"/>
          <w:sz w:val="24"/>
        </w:rPr>
        <w:t>Soma Y</w:t>
      </w:r>
      <w:r>
        <w:rPr>
          <w:rFonts w:ascii="Book Antiqua" w:hAnsi="Book Antiqua" w:cs="宋体"/>
          <w:color w:val="000000"/>
          <w:sz w:val="24"/>
        </w:rPr>
        <w:t>, Satoh K, Sato K. Purification and subunit-structural and immunological characterization of five glutathione S-transferases in human liver, and the acidic form as a hepatic tumor marker. </w:t>
      </w:r>
      <w:r>
        <w:rPr>
          <w:rFonts w:ascii="Book Antiqua" w:hAnsi="Book Antiqua" w:cs="宋体"/>
          <w:i/>
          <w:iCs/>
          <w:color w:val="000000"/>
          <w:sz w:val="24"/>
        </w:rPr>
        <w:t>Biochim Biophys Acta</w:t>
      </w:r>
      <w:r>
        <w:rPr>
          <w:rFonts w:ascii="Book Antiqua" w:hAnsi="Book Antiqua" w:cs="宋体"/>
          <w:color w:val="000000"/>
          <w:sz w:val="24"/>
        </w:rPr>
        <w:t> 1986; </w:t>
      </w:r>
      <w:r>
        <w:rPr>
          <w:rFonts w:ascii="Book Antiqua" w:hAnsi="Book Antiqua" w:cs="宋体"/>
          <w:b/>
          <w:bCs/>
          <w:color w:val="000000"/>
          <w:sz w:val="24"/>
        </w:rPr>
        <w:t>869</w:t>
      </w:r>
      <w:r>
        <w:rPr>
          <w:rFonts w:ascii="Book Antiqua" w:hAnsi="Book Antiqua" w:cs="宋体"/>
          <w:color w:val="000000"/>
          <w:sz w:val="24"/>
        </w:rPr>
        <w:t>: 247-258 [PMID: 2418879]</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29 </w:t>
      </w:r>
      <w:r>
        <w:rPr>
          <w:rFonts w:ascii="Book Antiqua" w:hAnsi="Book Antiqua" w:cs="宋体"/>
          <w:b/>
          <w:bCs/>
          <w:color w:val="000000"/>
          <w:sz w:val="24"/>
        </w:rPr>
        <w:t>Dunsford HA</w:t>
      </w:r>
      <w:r>
        <w:rPr>
          <w:rFonts w:ascii="Book Antiqua" w:hAnsi="Book Antiqua" w:cs="宋体"/>
          <w:color w:val="000000"/>
          <w:sz w:val="24"/>
        </w:rPr>
        <w:t>, Karnasuta C, Hunt JM, Sell S. Different lineages of chemically induced hepatocellular carcinoma in rats defined by monoclonal antibodies. </w:t>
      </w:r>
      <w:r>
        <w:rPr>
          <w:rFonts w:ascii="Book Antiqua" w:hAnsi="Book Antiqua" w:cs="宋体"/>
          <w:i/>
          <w:iCs/>
          <w:color w:val="000000"/>
          <w:sz w:val="24"/>
        </w:rPr>
        <w:t>Cancer Res</w:t>
      </w:r>
      <w:r>
        <w:rPr>
          <w:rFonts w:ascii="Book Antiqua" w:hAnsi="Book Antiqua" w:cs="宋体"/>
          <w:color w:val="000000"/>
          <w:sz w:val="24"/>
        </w:rPr>
        <w:t> 1989; </w:t>
      </w:r>
      <w:r>
        <w:rPr>
          <w:rFonts w:ascii="Book Antiqua" w:hAnsi="Book Antiqua" w:cs="宋体"/>
          <w:b/>
          <w:bCs/>
          <w:color w:val="000000"/>
          <w:sz w:val="24"/>
        </w:rPr>
        <w:t>49</w:t>
      </w:r>
      <w:r>
        <w:rPr>
          <w:rFonts w:ascii="Book Antiqua" w:hAnsi="Book Antiqua" w:cs="宋体"/>
          <w:color w:val="000000"/>
          <w:sz w:val="24"/>
        </w:rPr>
        <w:t>: 4894-4900 [PMID: 2474377]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30 </w:t>
      </w:r>
      <w:r>
        <w:rPr>
          <w:rFonts w:ascii="Book Antiqua" w:hAnsi="Book Antiqua" w:cs="宋体"/>
          <w:b/>
          <w:bCs/>
          <w:color w:val="000000"/>
          <w:sz w:val="24"/>
        </w:rPr>
        <w:t>Li XF</w:t>
      </w:r>
      <w:r>
        <w:rPr>
          <w:rFonts w:ascii="Book Antiqua" w:hAnsi="Book Antiqua" w:cs="宋体"/>
          <w:color w:val="000000"/>
          <w:sz w:val="24"/>
        </w:rPr>
        <w:t>, Chen C, Xiang DM, Qu L, Sun W, Lu XY, Zhou TF, Chen SZ, Ning BF, Cheng Z, Xia MY, Shen WF, Yang W, Wen W, Lee TKW, Cong WM, Wang HY, Ding J. Chronic inflammation-elicited liver progenitor cell conversion to liver cancer stem cell with clinical significance. </w:t>
      </w:r>
      <w:r>
        <w:rPr>
          <w:rFonts w:ascii="Book Antiqua" w:hAnsi="Book Antiqua" w:cs="宋体"/>
          <w:i/>
          <w:iCs/>
          <w:color w:val="000000"/>
          <w:sz w:val="24"/>
        </w:rPr>
        <w:t>Hepatology</w:t>
      </w:r>
      <w:r>
        <w:rPr>
          <w:rFonts w:ascii="Book Antiqua" w:hAnsi="Book Antiqua" w:cs="宋体"/>
          <w:color w:val="000000"/>
          <w:sz w:val="24"/>
        </w:rPr>
        <w:t> 2017; </w:t>
      </w:r>
      <w:r>
        <w:rPr>
          <w:rFonts w:ascii="Book Antiqua" w:hAnsi="Book Antiqua" w:cs="宋体"/>
          <w:b/>
          <w:bCs/>
          <w:color w:val="000000"/>
          <w:sz w:val="24"/>
        </w:rPr>
        <w:t>66</w:t>
      </w:r>
      <w:r>
        <w:rPr>
          <w:rFonts w:ascii="Book Antiqua" w:hAnsi="Book Antiqua" w:cs="宋体"/>
          <w:color w:val="000000"/>
          <w:sz w:val="24"/>
        </w:rPr>
        <w:t>: 1934-1951 [PMID: 28714104 DOI: 10.1002/hep.29372]</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31 </w:t>
      </w:r>
      <w:r>
        <w:rPr>
          <w:rFonts w:ascii="Book Antiqua" w:hAnsi="Book Antiqua" w:cs="宋体"/>
          <w:b/>
          <w:bCs/>
          <w:color w:val="000000"/>
          <w:sz w:val="24"/>
        </w:rPr>
        <w:t>Christofk HR</w:t>
      </w:r>
      <w:r>
        <w:rPr>
          <w:rFonts w:ascii="Book Antiqua" w:hAnsi="Book Antiqua" w:cs="宋体"/>
          <w:color w:val="000000"/>
          <w:sz w:val="24"/>
        </w:rPr>
        <w:t>, Vander Heiden MG, Harris MH, Ramanathan A, Gerszten RE, Wei R, Fleming MD, Schreiber SL, Cantley LC. The M2 splice isoform of pyruvate kinase is important for cancer metabolism and tumour growth.</w:t>
      </w:r>
      <w:r>
        <w:rPr>
          <w:rFonts w:ascii="Book Antiqua" w:hAnsi="Book Antiqua" w:cs="宋体" w:hint="eastAsia"/>
          <w:color w:val="000000"/>
          <w:sz w:val="24"/>
        </w:rPr>
        <w:t xml:space="preserve"> </w:t>
      </w:r>
      <w:r>
        <w:rPr>
          <w:rFonts w:ascii="Book Antiqua" w:hAnsi="Book Antiqua" w:cs="宋体"/>
          <w:i/>
          <w:iCs/>
          <w:color w:val="000000"/>
          <w:sz w:val="24"/>
        </w:rPr>
        <w:lastRenderedPageBreak/>
        <w:t>Nature</w:t>
      </w:r>
      <w:r>
        <w:rPr>
          <w:rFonts w:ascii="Book Antiqua" w:hAnsi="Book Antiqua" w:cs="宋体" w:hint="eastAsia"/>
          <w:color w:val="000000"/>
          <w:sz w:val="24"/>
        </w:rPr>
        <w:t xml:space="preserve"> </w:t>
      </w:r>
      <w:r>
        <w:rPr>
          <w:rFonts w:ascii="Book Antiqua" w:hAnsi="Book Antiqua" w:cs="宋体"/>
          <w:color w:val="000000"/>
          <w:sz w:val="24"/>
        </w:rPr>
        <w:t>2008; </w:t>
      </w:r>
      <w:r>
        <w:rPr>
          <w:rFonts w:ascii="Book Antiqua" w:hAnsi="Book Antiqua" w:cs="宋体"/>
          <w:b/>
          <w:bCs/>
          <w:color w:val="000000"/>
          <w:sz w:val="24"/>
        </w:rPr>
        <w:t>452</w:t>
      </w:r>
      <w:r>
        <w:rPr>
          <w:rFonts w:ascii="Book Antiqua" w:hAnsi="Book Antiqua" w:cs="宋体"/>
          <w:color w:val="000000"/>
          <w:sz w:val="24"/>
        </w:rPr>
        <w:t>: 230-233 [PMID: 18337823 DOI: 10.1038/nature06734]</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32 </w:t>
      </w:r>
      <w:r>
        <w:rPr>
          <w:rFonts w:ascii="Book Antiqua" w:hAnsi="Book Antiqua" w:cs="宋体"/>
          <w:b/>
          <w:bCs/>
          <w:color w:val="000000"/>
          <w:sz w:val="24"/>
        </w:rPr>
        <w:t>Ferguson EC</w:t>
      </w:r>
      <w:r>
        <w:rPr>
          <w:rFonts w:ascii="Book Antiqua" w:hAnsi="Book Antiqua" w:cs="宋体"/>
          <w:color w:val="000000"/>
          <w:sz w:val="24"/>
        </w:rPr>
        <w:t>, Rathmell JC. New roles for pyruvate kinase M2: working out the Warburg effect. </w:t>
      </w:r>
      <w:r>
        <w:rPr>
          <w:rFonts w:ascii="Book Antiqua" w:hAnsi="Book Antiqua" w:cs="宋体"/>
          <w:i/>
          <w:iCs/>
          <w:color w:val="000000"/>
          <w:sz w:val="24"/>
        </w:rPr>
        <w:t>Trends Biochem Sci</w:t>
      </w:r>
      <w:r>
        <w:rPr>
          <w:rFonts w:ascii="Book Antiqua" w:hAnsi="Book Antiqua" w:cs="宋体"/>
          <w:color w:val="000000"/>
          <w:sz w:val="24"/>
        </w:rPr>
        <w:t> 2008; </w:t>
      </w:r>
      <w:r>
        <w:rPr>
          <w:rFonts w:ascii="Book Antiqua" w:hAnsi="Book Antiqua" w:cs="宋体"/>
          <w:b/>
          <w:bCs/>
          <w:color w:val="000000"/>
          <w:sz w:val="24"/>
        </w:rPr>
        <w:t>33</w:t>
      </w:r>
      <w:r>
        <w:rPr>
          <w:rFonts w:ascii="Book Antiqua" w:hAnsi="Book Antiqua" w:cs="宋体"/>
          <w:color w:val="000000"/>
          <w:sz w:val="24"/>
        </w:rPr>
        <w:t>: 359-362 [PMID: 18603432 DOI: 10.1016/j.tibs.2008.05.006]</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33 </w:t>
      </w:r>
      <w:r>
        <w:rPr>
          <w:rFonts w:ascii="Book Antiqua" w:hAnsi="Book Antiqua" w:cs="宋体"/>
          <w:b/>
          <w:bCs/>
          <w:color w:val="000000"/>
          <w:sz w:val="24"/>
        </w:rPr>
        <w:t>Palsson-McDermott EM</w:t>
      </w:r>
      <w:r>
        <w:rPr>
          <w:rFonts w:ascii="Book Antiqua" w:hAnsi="Book Antiqua" w:cs="宋体"/>
          <w:color w:val="000000"/>
          <w:sz w:val="24"/>
        </w:rPr>
        <w:t>, Curtis AM, Goel G, Lauterbach MAR, Sheedy FJ, Gleeson LE, van den Bosch MWM, Quinn SR, Domingo-Fernandez R, Johnston DGW, Jiang JK, Israelsen WJ, Keane J, Thomas C, Clish C, Vander Heiden M, Xavier RJ, O'Neill LAJ. Pyruvate Kinase M2 Regulates Hif-1α Activity and IL-1β Induction and Is a Critical Determinant of the Warburg Effect in LPS-Activated Macrophages. </w:t>
      </w:r>
      <w:r>
        <w:rPr>
          <w:rFonts w:ascii="Book Antiqua" w:hAnsi="Book Antiqua" w:cs="宋体"/>
          <w:i/>
          <w:iCs/>
          <w:color w:val="000000"/>
          <w:sz w:val="24"/>
        </w:rPr>
        <w:t>Cell Metab</w:t>
      </w:r>
      <w:r>
        <w:rPr>
          <w:rFonts w:ascii="Book Antiqua" w:hAnsi="Book Antiqua" w:cs="宋体"/>
          <w:color w:val="000000"/>
          <w:sz w:val="24"/>
        </w:rPr>
        <w:t> 2015; </w:t>
      </w:r>
      <w:r>
        <w:rPr>
          <w:rFonts w:ascii="Book Antiqua" w:hAnsi="Book Antiqua" w:cs="宋体"/>
          <w:b/>
          <w:bCs/>
          <w:color w:val="000000"/>
          <w:sz w:val="24"/>
        </w:rPr>
        <w:t>21</w:t>
      </w:r>
      <w:r>
        <w:rPr>
          <w:rFonts w:ascii="Book Antiqua" w:hAnsi="Book Antiqua" w:cs="宋体"/>
          <w:color w:val="000000"/>
          <w:sz w:val="24"/>
        </w:rPr>
        <w:t>: 347 [PMID: 29510100 DOI: 10.1016/j.cmet.2015.01.017]</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34 </w:t>
      </w:r>
      <w:r>
        <w:rPr>
          <w:rFonts w:ascii="Book Antiqua" w:hAnsi="Book Antiqua" w:cs="宋体"/>
          <w:b/>
          <w:bCs/>
          <w:color w:val="000000"/>
          <w:sz w:val="24"/>
        </w:rPr>
        <w:t>Darnell JE Jr</w:t>
      </w:r>
      <w:r>
        <w:rPr>
          <w:rFonts w:ascii="Book Antiqua" w:hAnsi="Book Antiqua" w:cs="宋体"/>
          <w:color w:val="000000"/>
          <w:sz w:val="24"/>
        </w:rPr>
        <w:t>. STAT3, HIF-1, glucose addiction and Warburg effect. </w:t>
      </w:r>
      <w:r>
        <w:rPr>
          <w:rFonts w:ascii="Book Antiqua" w:hAnsi="Book Antiqua" w:cs="宋体"/>
          <w:i/>
          <w:iCs/>
          <w:color w:val="000000"/>
          <w:sz w:val="24"/>
        </w:rPr>
        <w:t>Aging (Albany NY)</w:t>
      </w:r>
      <w:r>
        <w:rPr>
          <w:rFonts w:ascii="Book Antiqua" w:hAnsi="Book Antiqua" w:cs="宋体"/>
          <w:color w:val="000000"/>
          <w:sz w:val="24"/>
        </w:rPr>
        <w:t> 2010; </w:t>
      </w:r>
      <w:r>
        <w:rPr>
          <w:rFonts w:ascii="Book Antiqua" w:hAnsi="Book Antiqua" w:cs="宋体"/>
          <w:b/>
          <w:bCs/>
          <w:color w:val="000000"/>
          <w:sz w:val="24"/>
        </w:rPr>
        <w:t>2</w:t>
      </w:r>
      <w:r>
        <w:rPr>
          <w:rFonts w:ascii="Book Antiqua" w:hAnsi="Book Antiqua" w:cs="宋体"/>
          <w:color w:val="000000"/>
          <w:sz w:val="24"/>
        </w:rPr>
        <w:t>: 890-891 [PMID: 21149895 DOI: 10.18632/aging.100239]</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35 </w:t>
      </w:r>
      <w:r>
        <w:rPr>
          <w:rFonts w:ascii="Book Antiqua" w:hAnsi="Book Antiqua" w:cs="宋体"/>
          <w:b/>
          <w:bCs/>
          <w:color w:val="000000"/>
          <w:sz w:val="24"/>
        </w:rPr>
        <w:t>Sia D</w:t>
      </w:r>
      <w:r>
        <w:rPr>
          <w:rFonts w:ascii="Book Antiqua" w:hAnsi="Book Antiqua" w:cs="宋体"/>
          <w:color w:val="000000"/>
          <w:sz w:val="24"/>
        </w:rPr>
        <w:t>, Villanueva A, Friedman SL, Llovet JM. Liver Cancer Cell of Origin, Molecular Class, and Effects on Patient Prognosis. </w:t>
      </w:r>
      <w:r>
        <w:rPr>
          <w:rFonts w:ascii="Book Antiqua" w:hAnsi="Book Antiqua" w:cs="宋体"/>
          <w:i/>
          <w:iCs/>
          <w:color w:val="000000"/>
          <w:sz w:val="24"/>
        </w:rPr>
        <w:t>Gastroenterology</w:t>
      </w:r>
      <w:r>
        <w:rPr>
          <w:rFonts w:ascii="Book Antiqua" w:hAnsi="Book Antiqua" w:cs="宋体"/>
          <w:color w:val="000000"/>
          <w:sz w:val="24"/>
        </w:rPr>
        <w:t> 2017; </w:t>
      </w:r>
      <w:r>
        <w:rPr>
          <w:rFonts w:ascii="Book Antiqua" w:hAnsi="Book Antiqua" w:cs="宋体"/>
          <w:b/>
          <w:bCs/>
          <w:color w:val="000000"/>
          <w:sz w:val="24"/>
        </w:rPr>
        <w:t>152</w:t>
      </w:r>
      <w:r>
        <w:rPr>
          <w:rFonts w:ascii="Book Antiqua" w:hAnsi="Book Antiqua" w:cs="宋体"/>
          <w:color w:val="000000"/>
          <w:sz w:val="24"/>
        </w:rPr>
        <w:t>: 745-761 [PMID: 28043904 DOI: 10.1053/j.gastro.2016.11.048]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36 </w:t>
      </w:r>
      <w:r>
        <w:rPr>
          <w:rFonts w:ascii="Book Antiqua" w:hAnsi="Book Antiqua" w:cs="宋体"/>
          <w:b/>
          <w:bCs/>
          <w:color w:val="000000"/>
          <w:sz w:val="24"/>
        </w:rPr>
        <w:t>Qiu L</w:t>
      </w:r>
      <w:r>
        <w:rPr>
          <w:rFonts w:ascii="Book Antiqua" w:hAnsi="Book Antiqua" w:cs="宋体"/>
          <w:color w:val="000000"/>
          <w:sz w:val="24"/>
        </w:rPr>
        <w:t>, Li H, Fu S, Chen X, Lu L. Surface markers of liver cancer stem cells and innovative targeted-therapy strategies for HCC. </w:t>
      </w:r>
      <w:r>
        <w:rPr>
          <w:rFonts w:ascii="Book Antiqua" w:hAnsi="Book Antiqua" w:cs="宋体"/>
          <w:i/>
          <w:iCs/>
          <w:color w:val="000000"/>
          <w:sz w:val="24"/>
        </w:rPr>
        <w:t>Oncol Lett</w:t>
      </w:r>
      <w:r>
        <w:rPr>
          <w:rFonts w:ascii="Book Antiqua" w:hAnsi="Book Antiqua" w:cs="宋体"/>
          <w:color w:val="000000"/>
          <w:sz w:val="24"/>
        </w:rPr>
        <w:t> 2018; </w:t>
      </w:r>
      <w:r>
        <w:rPr>
          <w:rFonts w:ascii="Book Antiqua" w:hAnsi="Book Antiqua" w:cs="宋体"/>
          <w:b/>
          <w:bCs/>
          <w:color w:val="000000"/>
          <w:sz w:val="24"/>
        </w:rPr>
        <w:t>15</w:t>
      </w:r>
      <w:r>
        <w:rPr>
          <w:rFonts w:ascii="Book Antiqua" w:hAnsi="Book Antiqua" w:cs="宋体"/>
          <w:color w:val="000000"/>
          <w:sz w:val="24"/>
        </w:rPr>
        <w:t>: 2039-2048 [PMID: 29434903 DOI: 10.3892/ol.2017.7568]</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37 </w:t>
      </w:r>
      <w:r>
        <w:rPr>
          <w:rFonts w:ascii="Book Antiqua" w:hAnsi="Book Antiqua" w:cs="宋体"/>
          <w:b/>
          <w:bCs/>
          <w:color w:val="000000"/>
          <w:sz w:val="24"/>
        </w:rPr>
        <w:t>Xu Q</w:t>
      </w:r>
      <w:r>
        <w:rPr>
          <w:rFonts w:ascii="Book Antiqua" w:hAnsi="Book Antiqua" w:cs="宋体"/>
          <w:color w:val="000000"/>
          <w:sz w:val="24"/>
        </w:rPr>
        <w:t>, Tu J, Dou C, Zhang J, Yang L, Liu X, Lei K, Liu Z, Wang Y, Li L, Bao H, Wang J, Tu K. HSP90 promotes cell glycolysis, proliferation and inhibits apoptosis by regulating PKM2 abundance via Thr-328 phosphorylation in hepatocellular carcinoma. </w:t>
      </w:r>
      <w:r>
        <w:rPr>
          <w:rFonts w:ascii="Book Antiqua" w:hAnsi="Book Antiqua" w:cs="宋体"/>
          <w:i/>
          <w:iCs/>
          <w:color w:val="000000"/>
          <w:sz w:val="24"/>
        </w:rPr>
        <w:t>Mol Cancer</w:t>
      </w:r>
      <w:r>
        <w:rPr>
          <w:rFonts w:ascii="Book Antiqua" w:hAnsi="Book Antiqua" w:cs="宋体"/>
          <w:color w:val="000000"/>
          <w:sz w:val="24"/>
        </w:rPr>
        <w:t> 2017; </w:t>
      </w:r>
      <w:r>
        <w:rPr>
          <w:rFonts w:ascii="Book Antiqua" w:hAnsi="Book Antiqua" w:cs="宋体"/>
          <w:b/>
          <w:bCs/>
          <w:color w:val="000000"/>
          <w:sz w:val="24"/>
        </w:rPr>
        <w:t>16</w:t>
      </w:r>
      <w:r>
        <w:rPr>
          <w:rFonts w:ascii="Book Antiqua" w:hAnsi="Book Antiqua" w:cs="宋体"/>
          <w:color w:val="000000"/>
          <w:sz w:val="24"/>
        </w:rPr>
        <w:t>: 178 [PMID: 29262861 DOI: 10.1186/s12943-017-0748-y]</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38 </w:t>
      </w:r>
      <w:r>
        <w:rPr>
          <w:rFonts w:ascii="Book Antiqua" w:hAnsi="Book Antiqua" w:cs="宋体"/>
          <w:b/>
          <w:bCs/>
          <w:color w:val="000000"/>
          <w:sz w:val="24"/>
        </w:rPr>
        <w:t>Fang X</w:t>
      </w:r>
      <w:r>
        <w:rPr>
          <w:rFonts w:ascii="Book Antiqua" w:hAnsi="Book Antiqua" w:cs="宋体"/>
          <w:color w:val="000000"/>
          <w:sz w:val="24"/>
        </w:rPr>
        <w:t>, Zhang P. Aneuploidy and tumorigenesis. </w:t>
      </w:r>
      <w:r>
        <w:rPr>
          <w:rFonts w:ascii="Book Antiqua" w:hAnsi="Book Antiqua" w:cs="宋体"/>
          <w:i/>
          <w:iCs/>
          <w:color w:val="000000"/>
          <w:sz w:val="24"/>
        </w:rPr>
        <w:t>Semin Cell Dev Biol</w:t>
      </w:r>
      <w:r>
        <w:rPr>
          <w:rFonts w:ascii="Book Antiqua" w:hAnsi="Book Antiqua" w:cs="宋体"/>
          <w:color w:val="000000"/>
          <w:sz w:val="24"/>
        </w:rPr>
        <w:t> 2011; </w:t>
      </w:r>
      <w:r>
        <w:rPr>
          <w:rFonts w:ascii="Book Antiqua" w:hAnsi="Book Antiqua" w:cs="宋体"/>
          <w:b/>
          <w:bCs/>
          <w:color w:val="000000"/>
          <w:sz w:val="24"/>
        </w:rPr>
        <w:t>22</w:t>
      </w:r>
      <w:r>
        <w:rPr>
          <w:rFonts w:ascii="Book Antiqua" w:hAnsi="Book Antiqua" w:cs="宋体"/>
          <w:color w:val="000000"/>
          <w:sz w:val="24"/>
        </w:rPr>
        <w:t>: 595-601 [PMID: 21392584 DOI: 10.1016/j.semcdb.2011.03.002]</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39 </w:t>
      </w:r>
      <w:r>
        <w:rPr>
          <w:rFonts w:ascii="Book Antiqua" w:hAnsi="Book Antiqua" w:cs="宋体"/>
          <w:b/>
          <w:bCs/>
          <w:color w:val="000000"/>
          <w:sz w:val="24"/>
        </w:rPr>
        <w:t>Anastasiou D</w:t>
      </w:r>
      <w:r>
        <w:rPr>
          <w:rFonts w:ascii="Book Antiqua" w:hAnsi="Book Antiqua" w:cs="宋体"/>
          <w:color w:val="000000"/>
          <w:sz w:val="24"/>
        </w:rPr>
        <w:t xml:space="preserve">, Yu Y, Israelsen WJ, Jiang JK, Boxer MB, Hong BS, Tempel W, Dimov S, Shen M, Jha A, Yang H, Mattaini KR, Metallo CM, Fiske BP, Courtney KD, Malstrom S, Khan TM, Kung C, Skoumbourdis AP, Veith H, Southall N, Walsh MJ, Brimacombe KR, Leister W, Lunt SY, Johnson ZR, Yen KE, Kunii K, Davidson SM, Christofk HR, Austin CP, Inglese J, Harris MH, </w:t>
      </w:r>
      <w:r>
        <w:rPr>
          <w:rFonts w:ascii="Book Antiqua" w:hAnsi="Book Antiqua" w:cs="宋体"/>
          <w:color w:val="000000"/>
          <w:sz w:val="24"/>
        </w:rPr>
        <w:lastRenderedPageBreak/>
        <w:t>Asara JM, Stephanopoulos G, Salituro FG, Jin S, Dang L, Auld DS, Park HW, Cantley LC, Thomas CJ, Vander Heiden MG. Pyruvate kinase M2 activators promote tetramer formation and suppress tumorigenesis. </w:t>
      </w:r>
      <w:r>
        <w:rPr>
          <w:rFonts w:ascii="Book Antiqua" w:hAnsi="Book Antiqua" w:cs="宋体"/>
          <w:i/>
          <w:iCs/>
          <w:color w:val="000000"/>
          <w:sz w:val="24"/>
        </w:rPr>
        <w:t>Nat Chem Biol</w:t>
      </w:r>
      <w:r>
        <w:rPr>
          <w:rFonts w:ascii="Book Antiqua" w:hAnsi="Book Antiqua" w:cs="宋体"/>
          <w:color w:val="000000"/>
          <w:sz w:val="24"/>
        </w:rPr>
        <w:t> 2012; </w:t>
      </w:r>
      <w:r>
        <w:rPr>
          <w:rFonts w:ascii="Book Antiqua" w:hAnsi="Book Antiqua" w:cs="宋体"/>
          <w:b/>
          <w:bCs/>
          <w:color w:val="000000"/>
          <w:sz w:val="24"/>
        </w:rPr>
        <w:t>8</w:t>
      </w:r>
      <w:r>
        <w:rPr>
          <w:rFonts w:ascii="Book Antiqua" w:hAnsi="Book Antiqua" w:cs="宋体"/>
          <w:color w:val="000000"/>
          <w:sz w:val="24"/>
        </w:rPr>
        <w:t>: 839-847 [PMID: 22922757 DOI: 10.1038/nchembio.1060]</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40 </w:t>
      </w:r>
      <w:r>
        <w:rPr>
          <w:rFonts w:ascii="Book Antiqua" w:hAnsi="Book Antiqua" w:cs="宋体"/>
          <w:b/>
          <w:bCs/>
          <w:color w:val="000000"/>
          <w:sz w:val="24"/>
        </w:rPr>
        <w:t>Nakatsu D</w:t>
      </w:r>
      <w:r>
        <w:rPr>
          <w:rFonts w:ascii="Book Antiqua" w:hAnsi="Book Antiqua" w:cs="宋体"/>
          <w:color w:val="000000"/>
          <w:sz w:val="24"/>
        </w:rPr>
        <w:t>, Horiuchi Y, Kano F, Noguchi Y, Sugawara T, Takamoto I, Kubota N, Kadowaki T, Murata M. L-cysteine reversibly inhibits glucose-induced biphasic insulin secretion and ATP production by inactivating PKM2. </w:t>
      </w:r>
      <w:r>
        <w:rPr>
          <w:rFonts w:ascii="Book Antiqua" w:hAnsi="Book Antiqua" w:cs="宋体"/>
          <w:i/>
          <w:iCs/>
          <w:color w:val="000000"/>
          <w:sz w:val="24"/>
        </w:rPr>
        <w:t>Proc Natl Acad Sci USA</w:t>
      </w:r>
      <w:r>
        <w:rPr>
          <w:rFonts w:ascii="Book Antiqua" w:hAnsi="Book Antiqua" w:cs="宋体"/>
          <w:color w:val="000000"/>
          <w:sz w:val="24"/>
        </w:rPr>
        <w:t> 2015; </w:t>
      </w:r>
      <w:r>
        <w:rPr>
          <w:rFonts w:ascii="Book Antiqua" w:hAnsi="Book Antiqua" w:cs="宋体"/>
          <w:b/>
          <w:bCs/>
          <w:color w:val="000000"/>
          <w:sz w:val="24"/>
        </w:rPr>
        <w:t>112</w:t>
      </w:r>
      <w:r>
        <w:rPr>
          <w:rFonts w:ascii="Book Antiqua" w:hAnsi="Book Antiqua" w:cs="宋体"/>
          <w:color w:val="000000"/>
          <w:sz w:val="24"/>
        </w:rPr>
        <w:t>: E1067-E1076 [PMID: 25713368 DOI: 10.1073/pnas.1417197112]</w:t>
      </w:r>
    </w:p>
    <w:p w:rsidR="006523F7" w:rsidRDefault="006523F7">
      <w:pPr>
        <w:adjustRightInd w:val="0"/>
        <w:snapToGrid w:val="0"/>
        <w:spacing w:line="360" w:lineRule="auto"/>
        <w:rPr>
          <w:rFonts w:ascii="Book Antiqua" w:hAnsi="Book Antiqua" w:cs="宋体"/>
          <w:color w:val="000000"/>
          <w:sz w:val="24"/>
        </w:rPr>
      </w:pPr>
      <w:r>
        <w:rPr>
          <w:rFonts w:ascii="Book Antiqua" w:hAnsi="Book Antiqua" w:cs="宋体"/>
          <w:color w:val="000000"/>
          <w:sz w:val="24"/>
        </w:rPr>
        <w:t>41 </w:t>
      </w:r>
      <w:r>
        <w:rPr>
          <w:rFonts w:ascii="Book Antiqua" w:hAnsi="Book Antiqua" w:cs="宋体"/>
          <w:b/>
          <w:bCs/>
          <w:color w:val="000000"/>
          <w:sz w:val="24"/>
        </w:rPr>
        <w:t>Tamada M</w:t>
      </w:r>
      <w:r>
        <w:rPr>
          <w:rFonts w:ascii="Book Antiqua" w:hAnsi="Book Antiqua" w:cs="宋体"/>
          <w:color w:val="000000"/>
          <w:sz w:val="24"/>
        </w:rPr>
        <w:t>, Suematsu M, Saya H. Pyruvate kinase M2: multiple faces for conferring benefits on cancer cells. </w:t>
      </w:r>
      <w:r>
        <w:rPr>
          <w:rFonts w:ascii="Book Antiqua" w:hAnsi="Book Antiqua" w:cs="宋体"/>
          <w:i/>
          <w:iCs/>
          <w:color w:val="000000"/>
          <w:sz w:val="24"/>
        </w:rPr>
        <w:t>Clin Cancer Res</w:t>
      </w:r>
      <w:r>
        <w:rPr>
          <w:rFonts w:ascii="Book Antiqua" w:hAnsi="Book Antiqua" w:cs="宋体"/>
          <w:color w:val="000000"/>
          <w:sz w:val="24"/>
        </w:rPr>
        <w:t> 2012; </w:t>
      </w:r>
      <w:r>
        <w:rPr>
          <w:rFonts w:ascii="Book Antiqua" w:hAnsi="Book Antiqua" w:cs="宋体"/>
          <w:b/>
          <w:bCs/>
          <w:color w:val="000000"/>
          <w:sz w:val="24"/>
        </w:rPr>
        <w:t>18</w:t>
      </w:r>
      <w:r>
        <w:rPr>
          <w:rFonts w:ascii="Book Antiqua" w:hAnsi="Book Antiqua" w:cs="宋体"/>
          <w:color w:val="000000"/>
          <w:sz w:val="24"/>
        </w:rPr>
        <w:t>: 5554-5561 [PMID: 23071357 DOI: 10.1158/1078-0432.CCR-12-0859]</w:t>
      </w:r>
    </w:p>
    <w:p w:rsidR="006523F7" w:rsidRDefault="006523F7">
      <w:pPr>
        <w:widowControl/>
        <w:wordWrap w:val="0"/>
        <w:snapToGrid w:val="0"/>
        <w:spacing w:line="360" w:lineRule="auto"/>
        <w:jc w:val="right"/>
        <w:rPr>
          <w:rFonts w:ascii="Book Antiqua" w:hAnsi="Book Antiqua"/>
          <w:b/>
          <w:bCs/>
          <w:kern w:val="0"/>
          <w:sz w:val="24"/>
        </w:rPr>
      </w:pPr>
      <w:bookmarkStart w:id="186" w:name="OLE_LINK148"/>
      <w:bookmarkStart w:id="187" w:name="OLE_LINK320"/>
      <w:bookmarkStart w:id="188" w:name="OLE_LINK387"/>
      <w:bookmarkStart w:id="189" w:name="OLE_LINK254"/>
      <w:bookmarkStart w:id="190" w:name="OLE_LINK149"/>
      <w:bookmarkStart w:id="191" w:name="OLE_LINK225"/>
      <w:bookmarkStart w:id="192" w:name="OLE_LINK207"/>
      <w:bookmarkStart w:id="193" w:name="OLE_LINK226"/>
      <w:bookmarkStart w:id="194" w:name="OLE_LINK212"/>
      <w:bookmarkStart w:id="195" w:name="OLE_LINK250"/>
      <w:bookmarkStart w:id="196" w:name="OLE_LINK281"/>
      <w:bookmarkStart w:id="197" w:name="OLE_LINK282"/>
      <w:bookmarkStart w:id="198" w:name="OLE_LINK313"/>
      <w:bookmarkStart w:id="199" w:name="OLE_LINK304"/>
      <w:bookmarkStart w:id="200" w:name="OLE_LINK321"/>
      <w:bookmarkStart w:id="201" w:name="OLE_LINK385"/>
      <w:bookmarkStart w:id="202" w:name="OLE_LINK400"/>
      <w:bookmarkStart w:id="203" w:name="OLE_LINK346"/>
      <w:bookmarkStart w:id="204" w:name="OLE_LINK371"/>
      <w:bookmarkStart w:id="205" w:name="OLE_LINK334"/>
      <w:bookmarkStart w:id="206" w:name="OLE_LINK1830"/>
      <w:bookmarkStart w:id="207" w:name="OLE_LINK457"/>
      <w:bookmarkStart w:id="208" w:name="OLE_LINK288"/>
      <w:bookmarkStart w:id="209" w:name="OLE_LINK384"/>
      <w:bookmarkStart w:id="210" w:name="OLE_LINK379"/>
      <w:bookmarkStart w:id="211" w:name="OLE_LINK303"/>
      <w:bookmarkStart w:id="212" w:name="OLE_LINK450"/>
      <w:bookmarkStart w:id="213" w:name="OLE_LINK489"/>
      <w:bookmarkStart w:id="214" w:name="OLE_LINK535"/>
      <w:bookmarkStart w:id="215" w:name="OLE_LINK648"/>
      <w:bookmarkStart w:id="216" w:name="OLE_LINK686"/>
      <w:bookmarkStart w:id="217" w:name="OLE_LINK471"/>
      <w:bookmarkStart w:id="218" w:name="OLE_LINK462"/>
      <w:bookmarkStart w:id="219" w:name="OLE_LINK519"/>
      <w:bookmarkStart w:id="220" w:name="OLE_LINK575"/>
      <w:bookmarkStart w:id="221" w:name="OLE_LINK491"/>
      <w:bookmarkStart w:id="222" w:name="OLE_LINK532"/>
      <w:bookmarkStart w:id="223" w:name="OLE_LINK572"/>
      <w:bookmarkStart w:id="224" w:name="OLE_LINK574"/>
      <w:bookmarkStart w:id="225" w:name="OLE_LINK480"/>
      <w:bookmarkStart w:id="226" w:name="OLE_LINK567"/>
      <w:bookmarkStart w:id="227" w:name="OLE_LINK2700"/>
      <w:bookmarkStart w:id="228" w:name="OLE_LINK581"/>
      <w:bookmarkStart w:id="229" w:name="OLE_LINK639"/>
      <w:bookmarkStart w:id="230" w:name="OLE_LINK688"/>
      <w:bookmarkStart w:id="231" w:name="OLE_LINK722"/>
      <w:bookmarkStart w:id="232" w:name="OLE_LINK542"/>
      <w:bookmarkStart w:id="233" w:name="OLE_LINK589"/>
      <w:bookmarkStart w:id="234" w:name="OLE_LINK582"/>
      <w:bookmarkStart w:id="235" w:name="OLE_LINK640"/>
      <w:bookmarkStart w:id="236" w:name="OLE_LINK714"/>
      <w:bookmarkStart w:id="237" w:name="OLE_LINK593"/>
      <w:bookmarkStart w:id="238" w:name="OLE_LINK716"/>
      <w:bookmarkStart w:id="239" w:name="OLE_LINK770"/>
      <w:bookmarkStart w:id="240" w:name="OLE_LINK801"/>
      <w:bookmarkStart w:id="241" w:name="OLE_LINK660"/>
      <w:bookmarkStart w:id="242" w:name="OLE_LINK781"/>
      <w:bookmarkStart w:id="243" w:name="OLE_LINK833"/>
      <w:bookmarkStart w:id="244" w:name="OLE_LINK642"/>
      <w:bookmarkStart w:id="245" w:name="OLE_LINK700"/>
      <w:bookmarkStart w:id="246" w:name="OLE_LINK792"/>
      <w:bookmarkStart w:id="247" w:name="OLE_LINK2882"/>
      <w:bookmarkStart w:id="248" w:name="OLE_LINK836"/>
      <w:bookmarkStart w:id="249" w:name="OLE_LINK889"/>
      <w:bookmarkStart w:id="250" w:name="OLE_LINK782"/>
      <w:bookmarkStart w:id="251" w:name="OLE_LINK826"/>
      <w:bookmarkStart w:id="252" w:name="OLE_LINK865"/>
      <w:bookmarkStart w:id="253" w:name="OLE_LINK856"/>
      <w:bookmarkStart w:id="254" w:name="OLE_LINK908"/>
      <w:bookmarkStart w:id="255" w:name="OLE_LINK980"/>
      <w:bookmarkStart w:id="256" w:name="OLE_LINK1018"/>
      <w:bookmarkStart w:id="257" w:name="OLE_LINK1049"/>
      <w:bookmarkStart w:id="258" w:name="OLE_LINK1076"/>
      <w:bookmarkStart w:id="259" w:name="OLE_LINK1106"/>
      <w:bookmarkStart w:id="260" w:name="OLE_LINK891"/>
      <w:bookmarkStart w:id="261" w:name="OLE_LINK943"/>
      <w:bookmarkStart w:id="262" w:name="OLE_LINK981"/>
      <w:bookmarkStart w:id="263" w:name="OLE_LINK1030"/>
      <w:bookmarkStart w:id="264" w:name="OLE_LINK847"/>
      <w:bookmarkStart w:id="265" w:name="OLE_LINK909"/>
      <w:bookmarkStart w:id="266" w:name="OLE_LINK906"/>
      <w:bookmarkStart w:id="267" w:name="OLE_LINK992"/>
      <w:bookmarkStart w:id="268" w:name="OLE_LINK993"/>
      <w:bookmarkStart w:id="269" w:name="OLE_LINK1052"/>
      <w:bookmarkStart w:id="270" w:name="OLE_LINK946"/>
      <w:bookmarkStart w:id="271" w:name="OLE_LINK911"/>
      <w:bookmarkStart w:id="272" w:name="OLE_LINK930"/>
      <w:bookmarkStart w:id="273" w:name="OLE_LINK1059"/>
      <w:bookmarkStart w:id="274" w:name="OLE_LINK1174"/>
      <w:bookmarkStart w:id="275" w:name="OLE_LINK1137"/>
      <w:bookmarkStart w:id="276" w:name="OLE_LINK1167"/>
      <w:bookmarkStart w:id="277" w:name="OLE_LINK1200"/>
      <w:bookmarkStart w:id="278" w:name="OLE_LINK1241"/>
      <w:bookmarkStart w:id="279" w:name="OLE_LINK1288"/>
      <w:bookmarkStart w:id="280" w:name="OLE_LINK1056"/>
      <w:bookmarkStart w:id="281" w:name="OLE_LINK1158"/>
      <w:bookmarkStart w:id="282" w:name="OLE_LINK1175"/>
      <w:bookmarkStart w:id="283" w:name="OLE_LINK1074"/>
      <w:bookmarkStart w:id="284" w:name="OLE_LINK1169"/>
      <w:bookmarkStart w:id="285" w:name="OLE_LINK386"/>
      <w:bookmarkStart w:id="286" w:name="OLE_LINK34"/>
      <w:bookmarkStart w:id="287" w:name="OLE_LINK164"/>
      <w:bookmarkStart w:id="288" w:name="OLE_LINK580"/>
      <w:r>
        <w:rPr>
          <w:rFonts w:ascii="Book Antiqua" w:hAnsi="Book Antiqua"/>
          <w:b/>
          <w:bCs/>
          <w:kern w:val="0"/>
          <w:sz w:val="24"/>
        </w:rPr>
        <w:t>P-Reviewer:</w:t>
      </w:r>
      <w:r>
        <w:rPr>
          <w:rFonts w:ascii="Book Antiqua" w:hAnsi="Book Antiqua" w:hint="eastAsia"/>
          <w:b/>
          <w:bCs/>
          <w:kern w:val="0"/>
          <w:sz w:val="24"/>
        </w:rPr>
        <w:t xml:space="preserve"> </w:t>
      </w:r>
      <w:r>
        <w:rPr>
          <w:rFonts w:ascii="Book Antiqua" w:hAnsi="Book Antiqua"/>
          <w:bCs/>
          <w:kern w:val="0"/>
          <w:sz w:val="24"/>
        </w:rPr>
        <w:t>Baddour N, Lu WY</w:t>
      </w:r>
    </w:p>
    <w:p w:rsidR="006523F7" w:rsidRDefault="006523F7" w:rsidP="00BF7942">
      <w:pPr>
        <w:widowControl/>
        <w:wordWrap w:val="0"/>
        <w:snapToGrid w:val="0"/>
        <w:spacing w:line="360" w:lineRule="auto"/>
        <w:jc w:val="right"/>
        <w:rPr>
          <w:rFonts w:ascii="Book Antiqua" w:hAnsi="Book Antiqua"/>
          <w:kern w:val="0"/>
          <w:sz w:val="24"/>
        </w:rPr>
      </w:pPr>
      <w:r>
        <w:rPr>
          <w:rFonts w:ascii="Book Antiqua" w:hAnsi="Book Antiqua"/>
          <w:b/>
          <w:bCs/>
          <w:kern w:val="0"/>
          <w:sz w:val="24"/>
        </w:rPr>
        <w:t>S-Editor:</w:t>
      </w:r>
      <w:r>
        <w:rPr>
          <w:rFonts w:ascii="Book Antiqua" w:hAnsi="Book Antiqua" w:hint="eastAsia"/>
          <w:kern w:val="0"/>
          <w:sz w:val="24"/>
        </w:rPr>
        <w:t xml:space="preserve"> </w:t>
      </w:r>
      <w:r>
        <w:rPr>
          <w:rFonts w:ascii="Book Antiqua" w:hAnsi="Book Antiqua"/>
          <w:kern w:val="0"/>
          <w:sz w:val="24"/>
        </w:rPr>
        <w:t>Ma</w:t>
      </w:r>
      <w:r>
        <w:rPr>
          <w:rFonts w:ascii="Book Antiqua" w:hAnsi="Book Antiqua" w:hint="eastAsia"/>
          <w:kern w:val="0"/>
          <w:sz w:val="24"/>
        </w:rPr>
        <w:t xml:space="preserve"> </w:t>
      </w:r>
      <w:r>
        <w:rPr>
          <w:rFonts w:ascii="Book Antiqua" w:hAnsi="Book Antiqua"/>
          <w:kern w:val="0"/>
          <w:sz w:val="24"/>
        </w:rPr>
        <w:t>RY</w:t>
      </w:r>
      <w:r>
        <w:rPr>
          <w:rFonts w:ascii="Book Antiqua" w:hAnsi="Book Antiqua" w:hint="eastAsia"/>
          <w:kern w:val="0"/>
          <w:sz w:val="24"/>
        </w:rPr>
        <w:t xml:space="preserve"> </w:t>
      </w:r>
      <w:r>
        <w:rPr>
          <w:rFonts w:ascii="Book Antiqua" w:hAnsi="Book Antiqua"/>
          <w:b/>
          <w:bCs/>
          <w:kern w:val="0"/>
          <w:sz w:val="24"/>
        </w:rPr>
        <w:t>L-Editor:</w:t>
      </w:r>
      <w:r>
        <w:rPr>
          <w:rFonts w:ascii="Book Antiqua" w:hAnsi="Book Antiqua"/>
          <w:kern w:val="0"/>
          <w:sz w:val="24"/>
        </w:rPr>
        <w:t xml:space="preserve"> Wang TQ </w:t>
      </w:r>
      <w:r>
        <w:rPr>
          <w:rFonts w:ascii="Book Antiqua" w:hAnsi="Book Antiqua"/>
          <w:b/>
          <w:bCs/>
          <w:kern w:val="0"/>
          <w:sz w:val="24"/>
        </w:rPr>
        <w:t>E-Editor:</w:t>
      </w:r>
      <w:r w:rsidR="00BB21F7">
        <w:rPr>
          <w:rFonts w:ascii="Book Antiqua" w:hAnsi="Book Antiqua"/>
          <w:b/>
          <w:bCs/>
          <w:kern w:val="0"/>
          <w:sz w:val="24"/>
        </w:rPr>
        <w:t xml:space="preserve"> </w:t>
      </w:r>
      <w:r w:rsidR="00BB21F7" w:rsidRPr="00BB21F7">
        <w:rPr>
          <w:rFonts w:ascii="Book Antiqua" w:hAnsi="Book Antiqua"/>
          <w:bCs/>
          <w:kern w:val="0"/>
          <w:sz w:val="24"/>
        </w:rPr>
        <w:t xml:space="preserve">Song </w:t>
      </w:r>
      <w:bookmarkStart w:id="289" w:name="_GoBack"/>
      <w:bookmarkEnd w:id="289"/>
      <w:r w:rsidR="00BB21F7" w:rsidRPr="00BB21F7">
        <w:rPr>
          <w:rFonts w:ascii="Book Antiqua" w:hAnsi="Book Antiqua"/>
          <w:bCs/>
          <w:kern w:val="0"/>
          <w:sz w:val="24"/>
        </w:rPr>
        <w:t>H</w:t>
      </w:r>
    </w:p>
    <w:p w:rsidR="006523F7" w:rsidRDefault="006523F7">
      <w:pPr>
        <w:widowControl/>
        <w:shd w:val="clear" w:color="auto" w:fill="FFFFFF"/>
        <w:snapToGrid w:val="0"/>
        <w:spacing w:line="360" w:lineRule="auto"/>
        <w:rPr>
          <w:rFonts w:ascii="Book Antiqua" w:hAnsi="Book Antiqua" w:cs="Helvetica"/>
          <w:b/>
          <w:kern w:val="0"/>
          <w:sz w:val="24"/>
        </w:rPr>
      </w:pPr>
      <w:bookmarkStart w:id="290" w:name="OLE_LINK881"/>
      <w:bookmarkStart w:id="291" w:name="OLE_LINK88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ascii="Book Antiqua" w:hAnsi="Book Antiqua" w:cs="Helvetica"/>
          <w:b/>
          <w:kern w:val="0"/>
          <w:sz w:val="24"/>
        </w:rPr>
        <w:t xml:space="preserve">Specialty type: </w:t>
      </w:r>
      <w:r>
        <w:rPr>
          <w:rFonts w:ascii="Book Antiqua" w:hAnsi="Book Antiqua" w:cs="Helvetica"/>
          <w:kern w:val="0"/>
          <w:sz w:val="24"/>
        </w:rPr>
        <w:t>Gastroenterology and</w:t>
      </w:r>
      <w:r>
        <w:rPr>
          <w:rFonts w:ascii="Book Antiqua" w:hAnsi="Book Antiqua" w:cs="Helvetica" w:hint="eastAsia"/>
          <w:kern w:val="0"/>
          <w:sz w:val="24"/>
        </w:rPr>
        <w:t xml:space="preserve"> </w:t>
      </w:r>
      <w:r>
        <w:rPr>
          <w:rFonts w:ascii="Book Antiqua" w:hAnsi="Book Antiqua" w:cs="Helvetica"/>
          <w:kern w:val="0"/>
          <w:sz w:val="24"/>
        </w:rPr>
        <w:t>hepatology</w:t>
      </w:r>
    </w:p>
    <w:p w:rsidR="006523F7" w:rsidRDefault="006523F7">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kern w:val="0"/>
          <w:sz w:val="24"/>
        </w:rPr>
        <w:t>China</w:t>
      </w:r>
    </w:p>
    <w:p w:rsidR="006523F7" w:rsidRDefault="006523F7">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6523F7" w:rsidRDefault="006523F7">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A (Excellent): </w:t>
      </w:r>
      <w:r>
        <w:rPr>
          <w:rFonts w:ascii="Book Antiqua" w:hAnsi="Book Antiqua" w:cs="Helvetica" w:hint="eastAsia"/>
          <w:kern w:val="0"/>
          <w:sz w:val="24"/>
        </w:rPr>
        <w:t>0</w:t>
      </w:r>
    </w:p>
    <w:p w:rsidR="006523F7" w:rsidRDefault="006523F7">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B (Very good): </w:t>
      </w:r>
      <w:r>
        <w:rPr>
          <w:rFonts w:ascii="Book Antiqua" w:hAnsi="Book Antiqua" w:cs="Helvetica" w:hint="eastAsia"/>
          <w:kern w:val="0"/>
          <w:sz w:val="24"/>
        </w:rPr>
        <w:t>0</w:t>
      </w:r>
    </w:p>
    <w:p w:rsidR="006523F7" w:rsidRDefault="006523F7">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C (Good): </w:t>
      </w:r>
      <w:r>
        <w:rPr>
          <w:rFonts w:ascii="Book Antiqua" w:hAnsi="Book Antiqua" w:cs="Helvetica" w:hint="eastAsia"/>
          <w:kern w:val="0"/>
          <w:sz w:val="24"/>
        </w:rPr>
        <w:t>C, C</w:t>
      </w:r>
    </w:p>
    <w:p w:rsidR="006523F7" w:rsidRDefault="006523F7">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D (Fair): </w:t>
      </w:r>
      <w:r>
        <w:rPr>
          <w:rFonts w:ascii="Book Antiqua" w:hAnsi="Book Antiqua" w:cs="Helvetica" w:hint="eastAsia"/>
          <w:kern w:val="0"/>
          <w:sz w:val="24"/>
        </w:rPr>
        <w:t>0</w:t>
      </w:r>
    </w:p>
    <w:p w:rsidR="006523F7" w:rsidRDefault="006523F7">
      <w:pPr>
        <w:widowControl/>
        <w:snapToGrid w:val="0"/>
        <w:spacing w:line="360" w:lineRule="auto"/>
        <w:rPr>
          <w:rFonts w:ascii="Book Antiqua" w:hAnsi="Book Antiqua"/>
          <w:b/>
          <w:iCs/>
          <w:kern w:val="0"/>
          <w:sz w:val="24"/>
        </w:rPr>
      </w:pPr>
      <w:r>
        <w:rPr>
          <w:rFonts w:ascii="Book Antiqua" w:hAnsi="Book Antiqua" w:cs="Helvetica"/>
          <w:kern w:val="0"/>
          <w:sz w:val="24"/>
        </w:rPr>
        <w:t xml:space="preserve">Grade E (Poor): </w:t>
      </w:r>
      <w:r>
        <w:rPr>
          <w:rFonts w:ascii="Book Antiqua" w:hAnsi="Book Antiqua" w:cs="Helvetica" w:hint="eastAsia"/>
          <w:kern w:val="0"/>
          <w:sz w:val="24"/>
        </w:rPr>
        <w:t>0</w:t>
      </w:r>
      <w:bookmarkEnd w:id="285"/>
      <w:bookmarkEnd w:id="290"/>
      <w:bookmarkEnd w:id="291"/>
    </w:p>
    <w:bookmarkEnd w:id="286"/>
    <w:bookmarkEnd w:id="287"/>
    <w:bookmarkEnd w:id="288"/>
    <w:p w:rsidR="006523F7" w:rsidRDefault="006523F7">
      <w:pPr>
        <w:adjustRightInd w:val="0"/>
        <w:snapToGrid w:val="0"/>
        <w:spacing w:line="360" w:lineRule="auto"/>
        <w:rPr>
          <w:rFonts w:ascii="Book Antiqua" w:hAnsi="Book Antiqua"/>
          <w:color w:val="000000"/>
          <w:sz w:val="24"/>
        </w:rPr>
      </w:pPr>
      <w:r>
        <w:rPr>
          <w:rFonts w:ascii="Book Antiqua" w:hAnsi="Book Antiqua" w:cs="宋体"/>
          <w:color w:val="000000"/>
          <w:sz w:val="24"/>
        </w:rPr>
        <w:br w:type="page"/>
      </w:r>
      <w:r w:rsidR="00BB21F7">
        <w:rPr>
          <w:rFonts w:ascii="Book Antiqua" w:hAnsi="Book Antiqua" w:cs="宋体"/>
          <w:noProof/>
          <w:color w:val="000000"/>
          <w:sz w:val="24"/>
          <w:lang w:val="en-US" w:eastAsia="zh-CN"/>
        </w:rPr>
        <w:lastRenderedPageBreak/>
        <w:drawing>
          <wp:inline distT="0" distB="0" distL="0" distR="0">
            <wp:extent cx="5267325" cy="3952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523F7" w:rsidRDefault="006523F7">
      <w:pPr>
        <w:adjustRightInd w:val="0"/>
        <w:snapToGrid w:val="0"/>
        <w:spacing w:line="360" w:lineRule="auto"/>
        <w:rPr>
          <w:rFonts w:ascii="Book Antiqua" w:hAnsi="Book Antiqua"/>
          <w:color w:val="000000"/>
          <w:sz w:val="24"/>
        </w:rPr>
      </w:pPr>
      <w:r>
        <w:rPr>
          <w:rFonts w:ascii="Book Antiqua" w:hAnsi="Book Antiqua"/>
          <w:b/>
          <w:bCs/>
          <w:color w:val="000000"/>
          <w:sz w:val="24"/>
        </w:rPr>
        <w:t>Figure 1 Pathological changes in liver precancerous lesions in rats.</w:t>
      </w:r>
      <w:r>
        <w:rPr>
          <w:rFonts w:ascii="Book Antiqua" w:hAnsi="Book Antiqua"/>
          <w:color w:val="000000"/>
          <w:sz w:val="24"/>
        </w:rPr>
        <w:t xml:space="preserve"> A: Heterocellular clusters were observed in the model group by hematoxylin and eosin staining. Scale bars: 100 μm. B and C: Glutathione S-transferase-π was highly expressed in the model group, as revealed by immunohistochemistry and Western blot. Scale bars: 100 μm. D: Immunofluorescence images showing that p-signal transducer and activator of transcription 3 (STAT3) was highly expressed in activated oval cells in the model group compared with </w:t>
      </w:r>
      <w:bookmarkStart w:id="292" w:name="OLE_LINK638"/>
      <w:bookmarkStart w:id="293" w:name="OLE_LINK641"/>
      <w:r>
        <w:rPr>
          <w:rFonts w:ascii="Book Antiqua" w:hAnsi="Book Antiqua"/>
          <w:color w:val="000000"/>
          <w:sz w:val="24"/>
        </w:rPr>
        <w:t>the diethylnitrosamine (DEN</w:t>
      </w:r>
      <w:bookmarkEnd w:id="292"/>
      <w:bookmarkEnd w:id="293"/>
      <w:r>
        <w:rPr>
          <w:rFonts w:ascii="Book Antiqua" w:hAnsi="Book Antiqua"/>
          <w:color w:val="000000"/>
          <w:sz w:val="24"/>
        </w:rPr>
        <w:t xml:space="preserve">) + partial hepatectomy (PH), </w:t>
      </w:r>
      <w:bookmarkStart w:id="294" w:name="OLE_LINK643"/>
      <w:bookmarkStart w:id="295" w:name="OLE_LINK644"/>
      <w:r>
        <w:rPr>
          <w:rFonts w:ascii="Book Antiqua" w:hAnsi="Book Antiqua"/>
          <w:color w:val="000000"/>
          <w:sz w:val="24"/>
        </w:rPr>
        <w:t xml:space="preserve">acetylaminofluorene (AAF) </w:t>
      </w:r>
      <w:bookmarkEnd w:id="294"/>
      <w:bookmarkEnd w:id="295"/>
      <w:r>
        <w:rPr>
          <w:rFonts w:ascii="Book Antiqua" w:hAnsi="Book Antiqua"/>
          <w:color w:val="000000"/>
          <w:sz w:val="24"/>
        </w:rPr>
        <w:t>+ PH, and normal groups. Scale bars: 50 μm. E: Western blot analysis showed that p-STAT3 was highly expressed in the model group compared with the DEN + PH, AAF + PH, and normal groups. F: Western blot analysis showed that cytokeratin 19 was highly expressed in the model group compared with the DEN + PH, AAF + PH, and normal groups. All values are the mean ± SEM derived from three independent experiments (</w:t>
      </w:r>
      <w:r>
        <w:rPr>
          <w:rFonts w:ascii="Book Antiqua" w:hAnsi="Book Antiqua"/>
          <w:color w:val="000000"/>
          <w:sz w:val="24"/>
          <w:vertAlign w:val="superscript"/>
        </w:rPr>
        <w:t>a</w:t>
      </w:r>
      <w:r>
        <w:rPr>
          <w:rFonts w:ascii="Book Antiqua" w:hAnsi="Book Antiqua"/>
          <w:i/>
          <w:color w:val="000000"/>
          <w:sz w:val="24"/>
        </w:rPr>
        <w:t>P</w:t>
      </w:r>
      <w:r>
        <w:rPr>
          <w:rFonts w:ascii="Book Antiqua" w:hAnsi="Book Antiqua"/>
          <w:color w:val="000000"/>
          <w:sz w:val="24"/>
        </w:rPr>
        <w:t xml:space="preserve"> &lt; 0.05, </w:t>
      </w:r>
      <w:r>
        <w:rPr>
          <w:rFonts w:ascii="Book Antiqua" w:hAnsi="Book Antiqua"/>
          <w:color w:val="000000"/>
          <w:sz w:val="24"/>
          <w:vertAlign w:val="superscript"/>
        </w:rPr>
        <w:t>b</w:t>
      </w:r>
      <w:r>
        <w:rPr>
          <w:rFonts w:ascii="Book Antiqua" w:hAnsi="Book Antiqua"/>
          <w:i/>
          <w:color w:val="000000"/>
          <w:sz w:val="24"/>
        </w:rPr>
        <w:t>P</w:t>
      </w:r>
      <w:r>
        <w:rPr>
          <w:rFonts w:ascii="Book Antiqua" w:hAnsi="Book Antiqua"/>
          <w:color w:val="000000"/>
          <w:sz w:val="24"/>
        </w:rPr>
        <w:t xml:space="preserve"> &lt; 0.01). GST-π: </w:t>
      </w:r>
      <w:bookmarkStart w:id="296" w:name="OLE_LINK624"/>
      <w:r>
        <w:rPr>
          <w:rFonts w:ascii="Book Antiqua" w:hAnsi="Book Antiqua"/>
          <w:color w:val="000000"/>
          <w:sz w:val="24"/>
        </w:rPr>
        <w:t>Glutathione S-transferase-π</w:t>
      </w:r>
      <w:bookmarkEnd w:id="296"/>
      <w:r>
        <w:rPr>
          <w:rFonts w:ascii="Book Antiqua" w:hAnsi="Book Antiqua"/>
          <w:color w:val="000000"/>
          <w:sz w:val="24"/>
        </w:rPr>
        <w:t xml:space="preserve">; STAT3: Signal transducer and activator of transcription 3; CK19: Cytokeratin 19; DEN: Diethylnitrosamine; PH: Partial hepatectomy; </w:t>
      </w:r>
      <w:r>
        <w:rPr>
          <w:rFonts w:ascii="Book Antiqua" w:hAnsi="Book Antiqua"/>
          <w:color w:val="000000"/>
          <w:sz w:val="24"/>
        </w:rPr>
        <w:lastRenderedPageBreak/>
        <w:t>AAF: Acetylaminofluorene; HE: Hematoxylin and eosin; OV6: Oval cell 6.</w:t>
      </w:r>
    </w:p>
    <w:p w:rsidR="006523F7" w:rsidRDefault="006523F7">
      <w:pPr>
        <w:adjustRightInd w:val="0"/>
        <w:snapToGrid w:val="0"/>
        <w:spacing w:line="360" w:lineRule="auto"/>
        <w:rPr>
          <w:rFonts w:ascii="Book Antiqua" w:hAnsi="Book Antiqua"/>
          <w:color w:val="000000"/>
          <w:sz w:val="24"/>
        </w:rPr>
      </w:pPr>
    </w:p>
    <w:p w:rsidR="006523F7" w:rsidRDefault="00BB21F7">
      <w:pPr>
        <w:adjustRightInd w:val="0"/>
        <w:snapToGrid w:val="0"/>
        <w:spacing w:line="360" w:lineRule="auto"/>
        <w:rPr>
          <w:rFonts w:ascii="Book Antiqua" w:hAnsi="Book Antiqua"/>
          <w:color w:val="000000"/>
          <w:sz w:val="24"/>
        </w:rPr>
      </w:pPr>
      <w:r>
        <w:rPr>
          <w:rFonts w:ascii="Book Antiqua" w:hAnsi="Book Antiqua"/>
          <w:noProof/>
          <w:color w:val="000000"/>
          <w:sz w:val="24"/>
          <w:lang w:val="en-US" w:eastAsia="zh-CN"/>
        </w:rPr>
        <w:drawing>
          <wp:inline distT="0" distB="0" distL="0" distR="0">
            <wp:extent cx="5267325" cy="39528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523F7" w:rsidRDefault="006523F7">
      <w:pPr>
        <w:adjustRightInd w:val="0"/>
        <w:snapToGrid w:val="0"/>
        <w:spacing w:line="360" w:lineRule="auto"/>
        <w:rPr>
          <w:rFonts w:ascii="Book Antiqua" w:hAnsi="Book Antiqua"/>
          <w:color w:val="000000"/>
          <w:sz w:val="24"/>
        </w:rPr>
      </w:pPr>
      <w:r>
        <w:rPr>
          <w:rFonts w:ascii="Book Antiqua" w:hAnsi="Book Antiqua"/>
          <w:b/>
          <w:bCs/>
          <w:color w:val="000000"/>
          <w:sz w:val="24"/>
        </w:rPr>
        <w:t>Figure 2 The Warburg effect is initiated in liver precancerous lesions in rats.</w:t>
      </w:r>
      <w:r>
        <w:rPr>
          <w:rFonts w:ascii="Book Antiqua" w:hAnsi="Book Antiqua"/>
          <w:color w:val="000000"/>
          <w:sz w:val="24"/>
        </w:rPr>
        <w:t xml:space="preserve"> A and B: The glucose consumption and lactate production in the model group were elevated compared with </w:t>
      </w:r>
      <w:r w:rsidR="00233FA4">
        <w:rPr>
          <w:rFonts w:ascii="Book Antiqua" w:hAnsi="Book Antiqua"/>
          <w:color w:val="000000"/>
          <w:sz w:val="24"/>
        </w:rPr>
        <w:t xml:space="preserve">those in </w:t>
      </w:r>
      <w:r>
        <w:rPr>
          <w:rFonts w:ascii="Book Antiqua" w:hAnsi="Book Antiqua"/>
          <w:color w:val="000000"/>
          <w:sz w:val="24"/>
        </w:rPr>
        <w:t xml:space="preserve">the diethylnitrosamine (DEN) + partial hepatectomy (PH) and normal groups. C and D: Immunohistochemistry and Western blot analysis showed that pyruvate kinase M2 (PKM2) was highly expressed in the model group compared with </w:t>
      </w:r>
      <w:r w:rsidR="00233FA4">
        <w:rPr>
          <w:rFonts w:ascii="Book Antiqua" w:hAnsi="Book Antiqua"/>
          <w:color w:val="000000"/>
          <w:sz w:val="24"/>
        </w:rPr>
        <w:t xml:space="preserve">that in </w:t>
      </w:r>
      <w:r>
        <w:rPr>
          <w:rFonts w:ascii="Book Antiqua" w:hAnsi="Book Antiqua"/>
          <w:color w:val="000000"/>
          <w:sz w:val="24"/>
        </w:rPr>
        <w:t>the DEN + PH, acetylaminofluorene (AAF) + PH, and normal groups. Scale bars: 50 μm. All values are the mean ± SEM derived from three independent experiments (</w:t>
      </w:r>
      <w:r>
        <w:rPr>
          <w:rFonts w:ascii="Book Antiqua" w:hAnsi="Book Antiqua"/>
          <w:color w:val="000000"/>
          <w:sz w:val="24"/>
          <w:vertAlign w:val="superscript"/>
        </w:rPr>
        <w:t>a</w:t>
      </w:r>
      <w:r>
        <w:rPr>
          <w:rFonts w:ascii="Book Antiqua" w:hAnsi="Book Antiqua"/>
          <w:i/>
          <w:color w:val="000000"/>
          <w:sz w:val="24"/>
        </w:rPr>
        <w:t xml:space="preserve">P </w:t>
      </w:r>
      <w:r>
        <w:rPr>
          <w:rFonts w:ascii="Book Antiqua" w:hAnsi="Book Antiqua"/>
          <w:color w:val="000000"/>
          <w:sz w:val="24"/>
        </w:rPr>
        <w:t xml:space="preserve">&lt; 0.05, </w:t>
      </w:r>
      <w:r>
        <w:rPr>
          <w:rFonts w:ascii="Book Antiqua" w:hAnsi="Book Antiqua"/>
          <w:color w:val="000000"/>
          <w:sz w:val="24"/>
          <w:vertAlign w:val="superscript"/>
        </w:rPr>
        <w:t>b</w:t>
      </w:r>
      <w:r>
        <w:rPr>
          <w:rFonts w:ascii="Book Antiqua" w:hAnsi="Book Antiqua"/>
          <w:i/>
          <w:color w:val="000000"/>
          <w:sz w:val="24"/>
        </w:rPr>
        <w:t xml:space="preserve">P </w:t>
      </w:r>
      <w:r>
        <w:rPr>
          <w:rFonts w:ascii="Book Antiqua" w:hAnsi="Book Antiqua"/>
          <w:color w:val="000000"/>
          <w:sz w:val="24"/>
        </w:rPr>
        <w:t>&lt; 0.01). E: Immunofluorescence images showing that PKM2 was highly expressed in activated oval cells in the model group compared with the DEN + PH, AAF + PH, and normal groups. Scale bars: 75 μm. PKM2: Pyruvate kinase M2; DEN: Diethylnitrosamine; PH: Partial hepatectomy; AAF: Acetylaminofluorene; OV6: Oval cell 6.</w:t>
      </w:r>
    </w:p>
    <w:p w:rsidR="006523F7" w:rsidRDefault="006523F7">
      <w:pPr>
        <w:adjustRightInd w:val="0"/>
        <w:snapToGrid w:val="0"/>
        <w:spacing w:line="360" w:lineRule="auto"/>
        <w:rPr>
          <w:rFonts w:ascii="Book Antiqua" w:hAnsi="Book Antiqua"/>
          <w:color w:val="000000"/>
          <w:sz w:val="24"/>
        </w:rPr>
      </w:pPr>
      <w:r>
        <w:rPr>
          <w:rFonts w:ascii="Book Antiqua" w:hAnsi="Book Antiqua"/>
          <w:color w:val="000000"/>
          <w:sz w:val="24"/>
        </w:rPr>
        <w:br w:type="page"/>
      </w:r>
      <w:r w:rsidR="00BB21F7">
        <w:rPr>
          <w:rFonts w:ascii="Book Antiqua" w:hAnsi="Book Antiqua"/>
          <w:noProof/>
          <w:color w:val="000000"/>
          <w:sz w:val="24"/>
          <w:lang w:val="en-US" w:eastAsia="zh-CN"/>
        </w:rPr>
        <w:lastRenderedPageBreak/>
        <w:drawing>
          <wp:inline distT="0" distB="0" distL="0" distR="0">
            <wp:extent cx="5267325" cy="3952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523F7" w:rsidRDefault="006523F7">
      <w:pPr>
        <w:adjustRightInd w:val="0"/>
        <w:snapToGrid w:val="0"/>
        <w:spacing w:line="360" w:lineRule="auto"/>
        <w:rPr>
          <w:rFonts w:ascii="Book Antiqua" w:hAnsi="Book Antiqua"/>
          <w:color w:val="000000"/>
          <w:sz w:val="24"/>
        </w:rPr>
      </w:pPr>
      <w:r>
        <w:rPr>
          <w:rFonts w:ascii="Book Antiqua" w:hAnsi="Book Antiqua"/>
          <w:b/>
          <w:bCs/>
          <w:color w:val="000000"/>
          <w:sz w:val="24"/>
        </w:rPr>
        <w:t xml:space="preserve">Figure 3 </w:t>
      </w:r>
      <w:r w:rsidR="00BF7942" w:rsidRPr="00233FA4">
        <w:rPr>
          <w:rFonts w:ascii="Book Antiqua" w:hAnsi="Book Antiqua"/>
          <w:b/>
          <w:bCs/>
          <w:color w:val="000000"/>
          <w:sz w:val="24"/>
        </w:rPr>
        <w:t>Activated</w:t>
      </w:r>
      <w:r w:rsidR="00BF7942" w:rsidDel="00BF7942">
        <w:rPr>
          <w:rFonts w:ascii="Book Antiqua" w:hAnsi="Book Antiqua"/>
          <w:b/>
          <w:bCs/>
          <w:color w:val="000000"/>
          <w:sz w:val="24"/>
        </w:rPr>
        <w:t xml:space="preserve"> </w:t>
      </w:r>
      <w:r>
        <w:rPr>
          <w:rFonts w:ascii="Book Antiqua" w:hAnsi="Book Antiqua"/>
          <w:b/>
          <w:bCs/>
          <w:color w:val="000000"/>
          <w:sz w:val="24"/>
        </w:rPr>
        <w:t>signal transducer and activator of transcription 3 promotes malignant transformation and cell proliferation in WB-F344 cells.</w:t>
      </w:r>
      <w:r>
        <w:rPr>
          <w:rFonts w:ascii="Book Antiqua" w:hAnsi="Book Antiqua"/>
          <w:color w:val="000000"/>
          <w:sz w:val="24"/>
        </w:rPr>
        <w:t xml:space="preserve"> A-D: Aneuploid</w:t>
      </w:r>
      <w:r w:rsidR="00233FA4">
        <w:rPr>
          <w:rFonts w:ascii="Book Antiqua" w:hAnsi="Book Antiqua"/>
          <w:color w:val="000000"/>
          <w:sz w:val="24"/>
        </w:rPr>
        <w:t>y</w:t>
      </w:r>
      <w:r>
        <w:rPr>
          <w:rFonts w:ascii="Book Antiqua" w:hAnsi="Book Antiqua"/>
          <w:color w:val="000000"/>
          <w:sz w:val="24"/>
        </w:rPr>
        <w:t>, the soft agar colony formation rate, alpha-fetoprotein expression</w:t>
      </w:r>
      <w:r w:rsidR="00233FA4">
        <w:rPr>
          <w:rFonts w:ascii="Book Antiqua" w:hAnsi="Book Antiqua"/>
          <w:color w:val="000000"/>
          <w:sz w:val="24"/>
        </w:rPr>
        <w:t>,</w:t>
      </w:r>
      <w:r>
        <w:rPr>
          <w:rFonts w:ascii="Book Antiqua" w:hAnsi="Book Antiqua"/>
          <w:color w:val="000000"/>
          <w:sz w:val="24"/>
        </w:rPr>
        <w:t xml:space="preserve"> and p-signal transducer and activator of transcription 3 expression in transformed WB-F344 cells induced with N-methyl-N'-nitro-N-nitroso-guanidine (MNNG) + hydrogen peroxide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were increased compared with</w:t>
      </w:r>
      <w:r w:rsidR="00233FA4">
        <w:rPr>
          <w:rFonts w:ascii="Book Antiqua" w:hAnsi="Book Antiqua"/>
          <w:color w:val="000000"/>
          <w:sz w:val="24"/>
        </w:rPr>
        <w:t xml:space="preserve"> those in</w:t>
      </w:r>
      <w:r>
        <w:rPr>
          <w:rFonts w:ascii="Book Antiqua" w:hAnsi="Book Antiqua"/>
          <w:color w:val="000000"/>
          <w:sz w:val="24"/>
        </w:rPr>
        <w:t xml:space="preserve"> control WB-F344 cells and decreased following stattic treatment. E-G: Proliferating cell nuclear antigen expression and the percentage of cells in S phase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were higher than those in control WB-F344 cells and decreased following stattic treatment. Data are expressed as the mean ± SEM (</w:t>
      </w:r>
      <w:r>
        <w:rPr>
          <w:rFonts w:ascii="Book Antiqua" w:hAnsi="Book Antiqua"/>
          <w:color w:val="000000"/>
          <w:sz w:val="24"/>
          <w:vertAlign w:val="superscript"/>
        </w:rPr>
        <w:t>a</w:t>
      </w:r>
      <w:r>
        <w:rPr>
          <w:rFonts w:ascii="Book Antiqua" w:hAnsi="Book Antiqua"/>
          <w:i/>
          <w:color w:val="000000"/>
          <w:sz w:val="24"/>
        </w:rPr>
        <w:t>P</w:t>
      </w:r>
      <w:r>
        <w:rPr>
          <w:rFonts w:ascii="Book Antiqua" w:hAnsi="Book Antiqua"/>
          <w:color w:val="000000"/>
          <w:sz w:val="24"/>
        </w:rPr>
        <w:t xml:space="preserve"> &lt; 0.05, </w:t>
      </w:r>
      <w:r>
        <w:rPr>
          <w:rFonts w:ascii="Book Antiqua" w:hAnsi="Book Antiqua"/>
          <w:color w:val="000000"/>
          <w:sz w:val="24"/>
          <w:vertAlign w:val="superscript"/>
        </w:rPr>
        <w:t>b</w:t>
      </w:r>
      <w:r>
        <w:rPr>
          <w:rFonts w:ascii="Book Antiqua" w:hAnsi="Book Antiqua"/>
          <w:i/>
          <w:color w:val="000000"/>
          <w:sz w:val="24"/>
        </w:rPr>
        <w:t xml:space="preserve">P </w:t>
      </w:r>
      <w:r>
        <w:rPr>
          <w:rFonts w:ascii="Book Antiqua" w:hAnsi="Book Antiqua"/>
          <w:color w:val="000000"/>
          <w:sz w:val="24"/>
        </w:rPr>
        <w:t xml:space="preserve">&lt; 0.01). (stattic: 4 μmol/L, 48 h). AFP: </w:t>
      </w:r>
      <w:bookmarkStart w:id="297" w:name="OLE_LINK635"/>
      <w:r>
        <w:rPr>
          <w:rFonts w:ascii="Book Antiqua" w:hAnsi="Book Antiqua"/>
          <w:color w:val="000000"/>
          <w:sz w:val="24"/>
        </w:rPr>
        <w:t>Alpha-fetoprotein</w:t>
      </w:r>
      <w:bookmarkEnd w:id="297"/>
      <w:r>
        <w:rPr>
          <w:rFonts w:ascii="Book Antiqua" w:hAnsi="Book Antiqua"/>
          <w:color w:val="000000"/>
          <w:sz w:val="24"/>
        </w:rPr>
        <w:t>; STAT3: Signal transducer and activator of transcription 3; MNNG: N-methyl-N'-nitro-N-nitroso-guanidine;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w:t>
      </w:r>
      <w:bookmarkStart w:id="298" w:name="OLE_LINK645"/>
      <w:bookmarkStart w:id="299" w:name="OLE_LINK646"/>
      <w:r>
        <w:rPr>
          <w:rFonts w:ascii="Book Antiqua" w:hAnsi="Book Antiqua"/>
          <w:color w:val="000000"/>
          <w:sz w:val="24"/>
        </w:rPr>
        <w:t>Hydrogen peroxide</w:t>
      </w:r>
      <w:bookmarkEnd w:id="298"/>
      <w:bookmarkEnd w:id="299"/>
      <w:r>
        <w:rPr>
          <w:rFonts w:ascii="Book Antiqua" w:hAnsi="Book Antiqua"/>
          <w:color w:val="000000"/>
          <w:sz w:val="24"/>
        </w:rPr>
        <w:t xml:space="preserve">; PCNA: </w:t>
      </w:r>
      <w:bookmarkStart w:id="300" w:name="OLE_LINK647"/>
      <w:bookmarkStart w:id="301" w:name="OLE_LINK649"/>
      <w:r>
        <w:rPr>
          <w:rFonts w:ascii="Book Antiqua" w:hAnsi="Book Antiqua"/>
          <w:color w:val="000000"/>
          <w:sz w:val="24"/>
        </w:rPr>
        <w:t>Proliferating cell nuclear antigen</w:t>
      </w:r>
      <w:bookmarkEnd w:id="300"/>
      <w:bookmarkEnd w:id="301"/>
      <w:r>
        <w:rPr>
          <w:rFonts w:ascii="Book Antiqua" w:hAnsi="Book Antiqua"/>
          <w:color w:val="000000"/>
          <w:sz w:val="24"/>
        </w:rPr>
        <w:t>.</w:t>
      </w:r>
    </w:p>
    <w:p w:rsidR="006523F7" w:rsidRDefault="006523F7">
      <w:pPr>
        <w:adjustRightInd w:val="0"/>
        <w:snapToGrid w:val="0"/>
        <w:spacing w:line="360" w:lineRule="auto"/>
        <w:rPr>
          <w:rFonts w:ascii="Book Antiqua" w:hAnsi="Book Antiqua"/>
          <w:color w:val="000000"/>
          <w:sz w:val="24"/>
        </w:rPr>
      </w:pPr>
    </w:p>
    <w:p w:rsidR="006523F7" w:rsidRDefault="006523F7">
      <w:pPr>
        <w:tabs>
          <w:tab w:val="left" w:pos="7560"/>
        </w:tabs>
        <w:adjustRightInd w:val="0"/>
        <w:snapToGrid w:val="0"/>
        <w:spacing w:line="360" w:lineRule="auto"/>
        <w:rPr>
          <w:rFonts w:ascii="Book Antiqua" w:hAnsi="Book Antiqua"/>
          <w:color w:val="000000"/>
          <w:sz w:val="24"/>
        </w:rPr>
      </w:pPr>
    </w:p>
    <w:p w:rsidR="006523F7" w:rsidRDefault="00BB21F7">
      <w:pPr>
        <w:adjustRightInd w:val="0"/>
        <w:snapToGrid w:val="0"/>
        <w:spacing w:line="360" w:lineRule="auto"/>
        <w:rPr>
          <w:rFonts w:ascii="Book Antiqua" w:hAnsi="Book Antiqua"/>
          <w:color w:val="000000"/>
          <w:sz w:val="24"/>
        </w:rPr>
      </w:pPr>
      <w:r>
        <w:rPr>
          <w:rFonts w:ascii="Book Antiqua" w:hAnsi="Book Antiqua"/>
          <w:noProof/>
          <w:color w:val="000000"/>
          <w:sz w:val="24"/>
          <w:lang w:val="en-US" w:eastAsia="zh-CN"/>
        </w:rPr>
        <w:lastRenderedPageBreak/>
        <w:drawing>
          <wp:inline distT="0" distB="0" distL="0" distR="0">
            <wp:extent cx="5267325" cy="39528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523F7" w:rsidRDefault="006523F7">
      <w:pPr>
        <w:adjustRightInd w:val="0"/>
        <w:snapToGrid w:val="0"/>
        <w:spacing w:line="360" w:lineRule="auto"/>
        <w:rPr>
          <w:rFonts w:ascii="Book Antiqua" w:hAnsi="Book Antiqua"/>
          <w:color w:val="000000"/>
          <w:sz w:val="24"/>
        </w:rPr>
      </w:pPr>
      <w:r>
        <w:rPr>
          <w:rFonts w:ascii="Book Antiqua" w:hAnsi="Book Antiqua"/>
          <w:b/>
          <w:bCs/>
          <w:color w:val="000000"/>
          <w:sz w:val="24"/>
        </w:rPr>
        <w:t>Figure 4 Activated signal transducer and activator of transcription 3 promotes the Warburg effect by enhancing p-</w:t>
      </w:r>
      <w:r>
        <w:rPr>
          <w:rFonts w:ascii="Book Antiqua" w:hAnsi="Book Antiqua"/>
          <w:b/>
          <w:sz w:val="24"/>
        </w:rPr>
        <w:t>p</w:t>
      </w:r>
      <w:r>
        <w:rPr>
          <w:rFonts w:ascii="Book Antiqua" w:hAnsi="Book Antiqua"/>
          <w:b/>
          <w:bCs/>
          <w:color w:val="000000"/>
          <w:sz w:val="24"/>
        </w:rPr>
        <w:t>yruvate kinase M2 in transformed WB-F344 cells.</w:t>
      </w:r>
      <w:r>
        <w:rPr>
          <w:rFonts w:ascii="Book Antiqua" w:hAnsi="Book Antiqua"/>
          <w:color w:val="000000"/>
          <w:sz w:val="24"/>
        </w:rPr>
        <w:t xml:space="preserve"> A-C: The glucose concentration in medium in transformed WB-F344 cells induced with N-methyl-N'-nitro-N-nitroso-guanidine (MNNG) + hydrogen peroxide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was lower than that in control WB-F344 cells. The lactate concentration in medium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was higher than that in control WB-F344 cells. Inhibition of p-signal transducer and activator of transcription 3 resulted in suppression of glucose consumption, lactate production, and ATP level. TEPP-46 and pyruvate kinase M2 (PKM2) siRNA further reduced the Warburg effect. D: The activation of p-PKM2 was elevated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and was inhibited following stattic treatment. Stattic, </w:t>
      </w:r>
      <w:bookmarkStart w:id="302" w:name="OLE_LINK652"/>
      <w:bookmarkStart w:id="303" w:name="OLE_LINK653"/>
      <w:r>
        <w:rPr>
          <w:rFonts w:ascii="Book Antiqua" w:hAnsi="Book Antiqua"/>
          <w:color w:val="000000"/>
          <w:sz w:val="24"/>
        </w:rPr>
        <w:t>TEPP-46</w:t>
      </w:r>
      <w:bookmarkEnd w:id="302"/>
      <w:bookmarkEnd w:id="303"/>
      <w:r>
        <w:rPr>
          <w:rFonts w:ascii="Book Antiqua" w:hAnsi="Book Antiqua"/>
          <w:color w:val="000000"/>
          <w:sz w:val="24"/>
        </w:rPr>
        <w:t>, and PKM2 siRNA inhibited the expression of p-PKM2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E: The expression and nuclear translocation of PKM2 were elevated in transformed WB-F344 cells induced with MNNG +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and were inhibited following stattic </w:t>
      </w:r>
      <w:r>
        <w:rPr>
          <w:rFonts w:ascii="Book Antiqua" w:hAnsi="Book Antiqua"/>
          <w:color w:val="000000"/>
          <w:sz w:val="24"/>
        </w:rPr>
        <w:lastRenderedPageBreak/>
        <w:t>treatment. (</w:t>
      </w:r>
      <w:r>
        <w:rPr>
          <w:rFonts w:ascii="Book Antiqua" w:hAnsi="Book Antiqua"/>
          <w:color w:val="000000"/>
          <w:sz w:val="24"/>
          <w:vertAlign w:val="superscript"/>
        </w:rPr>
        <w:t>a</w:t>
      </w:r>
      <w:r>
        <w:rPr>
          <w:rFonts w:ascii="Book Antiqua" w:hAnsi="Book Antiqua"/>
          <w:i/>
          <w:color w:val="000000"/>
          <w:sz w:val="24"/>
        </w:rPr>
        <w:t>P</w:t>
      </w:r>
      <w:r>
        <w:rPr>
          <w:rFonts w:ascii="Book Antiqua" w:hAnsi="Book Antiqua"/>
          <w:color w:val="000000"/>
          <w:sz w:val="24"/>
        </w:rPr>
        <w:t xml:space="preserve"> &lt; 0.05, </w:t>
      </w:r>
      <w:r>
        <w:rPr>
          <w:rFonts w:ascii="Book Antiqua" w:hAnsi="Book Antiqua"/>
          <w:color w:val="000000"/>
          <w:sz w:val="24"/>
          <w:vertAlign w:val="superscript"/>
        </w:rPr>
        <w:t>b</w:t>
      </w:r>
      <w:r>
        <w:rPr>
          <w:rFonts w:ascii="Book Antiqua" w:hAnsi="Book Antiqua"/>
          <w:i/>
          <w:color w:val="000000"/>
          <w:sz w:val="24"/>
        </w:rPr>
        <w:t>P</w:t>
      </w:r>
      <w:r>
        <w:rPr>
          <w:rFonts w:ascii="Book Antiqua" w:hAnsi="Book Antiqua"/>
          <w:color w:val="000000"/>
          <w:sz w:val="24"/>
        </w:rPr>
        <w:t xml:space="preserve"> &lt; 0.01) (stattic: 4 </w:t>
      </w:r>
      <w:r>
        <w:rPr>
          <w:rFonts w:ascii="Book Antiqua" w:hAnsi="Book Antiqua"/>
          <w:color w:val="000000"/>
          <w:sz w:val="24"/>
          <w:lang w:val="el-GR"/>
        </w:rPr>
        <w:t>μ</w:t>
      </w:r>
      <w:r>
        <w:rPr>
          <w:rFonts w:ascii="Book Antiqua" w:hAnsi="Book Antiqua"/>
          <w:color w:val="000000"/>
          <w:sz w:val="24"/>
        </w:rPr>
        <w:t xml:space="preserve">mol/L, 48 h; TEPP-46: 25 </w:t>
      </w:r>
      <w:r>
        <w:rPr>
          <w:rFonts w:ascii="Book Antiqua" w:hAnsi="Book Antiqua"/>
          <w:color w:val="000000"/>
          <w:sz w:val="24"/>
          <w:lang w:val="el-GR"/>
        </w:rPr>
        <w:t>μ</w:t>
      </w:r>
      <w:r>
        <w:rPr>
          <w:rFonts w:ascii="Book Antiqua" w:hAnsi="Book Antiqua"/>
          <w:color w:val="000000"/>
          <w:sz w:val="24"/>
        </w:rPr>
        <w:t>mol/L, 24 h). MNNG: N-methyl-N'-nitro-N-nitroso-guanidine; H</w:t>
      </w:r>
      <w:r>
        <w:rPr>
          <w:rFonts w:ascii="Book Antiqua" w:hAnsi="Book Antiqua"/>
          <w:color w:val="000000"/>
          <w:sz w:val="24"/>
          <w:vertAlign w:val="subscript"/>
        </w:rPr>
        <w:t>2</w:t>
      </w:r>
      <w:r>
        <w:rPr>
          <w:rFonts w:ascii="Book Antiqua" w:hAnsi="Book Antiqua"/>
          <w:color w:val="000000"/>
          <w:sz w:val="24"/>
        </w:rPr>
        <w:t>O</w:t>
      </w:r>
      <w:r>
        <w:rPr>
          <w:rFonts w:ascii="Book Antiqua" w:hAnsi="Book Antiqua"/>
          <w:color w:val="000000"/>
          <w:sz w:val="24"/>
          <w:vertAlign w:val="subscript"/>
        </w:rPr>
        <w:t>2</w:t>
      </w:r>
      <w:r>
        <w:rPr>
          <w:rFonts w:ascii="Book Antiqua" w:hAnsi="Book Antiqua"/>
          <w:color w:val="000000"/>
          <w:sz w:val="24"/>
        </w:rPr>
        <w:t xml:space="preserve">: Hydrogen peroxide; STAT3: Signal transducer and activator of transcription 3; PKM2: </w:t>
      </w:r>
      <w:bookmarkStart w:id="304" w:name="OLE_LINK650"/>
      <w:bookmarkStart w:id="305" w:name="OLE_LINK651"/>
      <w:r>
        <w:rPr>
          <w:rFonts w:ascii="Book Antiqua" w:hAnsi="Book Antiqua"/>
          <w:color w:val="000000"/>
          <w:sz w:val="24"/>
        </w:rPr>
        <w:t>Pyruvate kinase M2</w:t>
      </w:r>
      <w:bookmarkEnd w:id="304"/>
      <w:bookmarkEnd w:id="305"/>
      <w:r>
        <w:rPr>
          <w:rFonts w:ascii="Book Antiqua" w:hAnsi="Book Antiqua"/>
          <w:color w:val="000000"/>
          <w:sz w:val="24"/>
        </w:rPr>
        <w:t>.</w:t>
      </w:r>
    </w:p>
    <w:sectPr w:rsidR="006523F7">
      <w:pgSz w:w="11900" w:h="16840"/>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4DB"/>
    <w:rsid w:val="00093B9A"/>
    <w:rsid w:val="000B59A6"/>
    <w:rsid w:val="000B6021"/>
    <w:rsid w:val="000F27F2"/>
    <w:rsid w:val="0017472A"/>
    <w:rsid w:val="00193C57"/>
    <w:rsid w:val="001A5D1A"/>
    <w:rsid w:val="00201CDE"/>
    <w:rsid w:val="00233FA4"/>
    <w:rsid w:val="002739BF"/>
    <w:rsid w:val="00295565"/>
    <w:rsid w:val="002C23DB"/>
    <w:rsid w:val="002C49C9"/>
    <w:rsid w:val="003207F1"/>
    <w:rsid w:val="00331DE1"/>
    <w:rsid w:val="003A1D7F"/>
    <w:rsid w:val="003F6A59"/>
    <w:rsid w:val="0040130E"/>
    <w:rsid w:val="00424F85"/>
    <w:rsid w:val="004A38C7"/>
    <w:rsid w:val="004E6BBA"/>
    <w:rsid w:val="005125CA"/>
    <w:rsid w:val="00544642"/>
    <w:rsid w:val="0054773F"/>
    <w:rsid w:val="00573977"/>
    <w:rsid w:val="0057408E"/>
    <w:rsid w:val="00593FA5"/>
    <w:rsid w:val="00632B21"/>
    <w:rsid w:val="006523F7"/>
    <w:rsid w:val="0067261C"/>
    <w:rsid w:val="00677CD0"/>
    <w:rsid w:val="00690F4F"/>
    <w:rsid w:val="006D4A9A"/>
    <w:rsid w:val="00703B27"/>
    <w:rsid w:val="00721BE9"/>
    <w:rsid w:val="007630D2"/>
    <w:rsid w:val="00786CC2"/>
    <w:rsid w:val="007C474B"/>
    <w:rsid w:val="0087410C"/>
    <w:rsid w:val="008B400B"/>
    <w:rsid w:val="008E5869"/>
    <w:rsid w:val="00903659"/>
    <w:rsid w:val="00903E76"/>
    <w:rsid w:val="009528AF"/>
    <w:rsid w:val="009615AB"/>
    <w:rsid w:val="00A41EC2"/>
    <w:rsid w:val="00A86D08"/>
    <w:rsid w:val="00AA08A0"/>
    <w:rsid w:val="00AD27EE"/>
    <w:rsid w:val="00AE422C"/>
    <w:rsid w:val="00B668C9"/>
    <w:rsid w:val="00B86A20"/>
    <w:rsid w:val="00BB21F7"/>
    <w:rsid w:val="00BB7266"/>
    <w:rsid w:val="00BD6F69"/>
    <w:rsid w:val="00BF7942"/>
    <w:rsid w:val="00C42228"/>
    <w:rsid w:val="00C802D0"/>
    <w:rsid w:val="00D426F5"/>
    <w:rsid w:val="00D637FD"/>
    <w:rsid w:val="00E10326"/>
    <w:rsid w:val="00E219F9"/>
    <w:rsid w:val="00E450F9"/>
    <w:rsid w:val="00E8109A"/>
    <w:rsid w:val="00EA2C64"/>
    <w:rsid w:val="00EC7D4C"/>
    <w:rsid w:val="00EF5D39"/>
    <w:rsid w:val="00F03227"/>
    <w:rsid w:val="00F23CA6"/>
    <w:rsid w:val="00F377A1"/>
    <w:rsid w:val="00F60565"/>
    <w:rsid w:val="00F65AEE"/>
    <w:rsid w:val="00FB0715"/>
    <w:rsid w:val="03787F90"/>
    <w:rsid w:val="063016C6"/>
    <w:rsid w:val="0CE23E5A"/>
    <w:rsid w:val="0D1311C2"/>
    <w:rsid w:val="146C67BB"/>
    <w:rsid w:val="15275139"/>
    <w:rsid w:val="174027B2"/>
    <w:rsid w:val="18AC394E"/>
    <w:rsid w:val="1A373E7D"/>
    <w:rsid w:val="21D7048E"/>
    <w:rsid w:val="253C6B23"/>
    <w:rsid w:val="25F53871"/>
    <w:rsid w:val="2954422F"/>
    <w:rsid w:val="29CD4916"/>
    <w:rsid w:val="2B0E5D8A"/>
    <w:rsid w:val="2C661557"/>
    <w:rsid w:val="2EF62CC6"/>
    <w:rsid w:val="323E1F7B"/>
    <w:rsid w:val="331A4A62"/>
    <w:rsid w:val="377B57E7"/>
    <w:rsid w:val="390D582E"/>
    <w:rsid w:val="3ACE2AEF"/>
    <w:rsid w:val="3C5E6C2F"/>
    <w:rsid w:val="41D507DD"/>
    <w:rsid w:val="42417CFE"/>
    <w:rsid w:val="428C13D8"/>
    <w:rsid w:val="47DA7346"/>
    <w:rsid w:val="4B586C0B"/>
    <w:rsid w:val="4D3C17AB"/>
    <w:rsid w:val="4F6B4983"/>
    <w:rsid w:val="57A6048E"/>
    <w:rsid w:val="57F97223"/>
    <w:rsid w:val="5AD90883"/>
    <w:rsid w:val="5BFA4A56"/>
    <w:rsid w:val="5EF30BB4"/>
    <w:rsid w:val="62886662"/>
    <w:rsid w:val="62F30D45"/>
    <w:rsid w:val="63191B2E"/>
    <w:rsid w:val="654B6C6D"/>
    <w:rsid w:val="6693547F"/>
    <w:rsid w:val="68305AC3"/>
    <w:rsid w:val="700077B1"/>
    <w:rsid w:val="704050BB"/>
    <w:rsid w:val="7C9149F7"/>
    <w:rsid w:val="7CB139AF"/>
    <w:rsid w:val="7EA00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46B410"/>
  <w15:chartTrackingRefBased/>
  <w15:docId w15:val="{C21C776F-C634-4A9E-ADFB-C3E96AD1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uiPriority="99" w:unhideWhenUsed="1" w:qFormat="1"/>
    <w:lsdException w:name="header" w:qFormat="1"/>
    <w:lsdException w:name="footer" w:qFormat="1"/>
    <w:lsdException w:name="caption" w:semiHidden="1" w:unhideWhenUsed="1" w:qFormat="1"/>
    <w:lsdException w:name="footnote reference" w:qFormat="1"/>
    <w:lsdException w:name="annotation reference" w:uiPriority="99" w:unhideWhenUsed="1" w:qFormat="1"/>
    <w:lsdException w:name="Title" w:qFormat="1"/>
    <w:lsdException w:name="Default Paragraph Font"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styleId="a4">
    <w:name w:val="annotation reference"/>
    <w:uiPriority w:val="99"/>
    <w:unhideWhenUsed/>
    <w:qFormat/>
    <w:rPr>
      <w:sz w:val="21"/>
      <w:szCs w:val="21"/>
    </w:rPr>
  </w:style>
  <w:style w:type="character" w:styleId="a5">
    <w:name w:val="footnote reference"/>
    <w:qFormat/>
    <w:rPr>
      <w:vertAlign w:val="superscript"/>
    </w:rPr>
  </w:style>
  <w:style w:type="character" w:styleId="a6">
    <w:name w:val="FollowedHyperlink"/>
    <w:qFormat/>
    <w:rPr>
      <w:color w:val="0F3F6F"/>
      <w:u w:val="none"/>
    </w:rPr>
  </w:style>
  <w:style w:type="character" w:customStyle="1" w:styleId="Char">
    <w:name w:val="批注框文本 Char"/>
    <w:link w:val="a7"/>
    <w:qFormat/>
    <w:rPr>
      <w:rFonts w:ascii="宋体"/>
      <w:kern w:val="2"/>
      <w:sz w:val="18"/>
      <w:szCs w:val="18"/>
    </w:rPr>
  </w:style>
  <w:style w:type="character" w:customStyle="1" w:styleId="Char0">
    <w:name w:val="批注文字 Char"/>
    <w:link w:val="a8"/>
    <w:uiPriority w:val="99"/>
    <w:qFormat/>
    <w:rPr>
      <w:rFonts w:ascii="Arial" w:hAnsi="Arial" w:cs="Arial"/>
      <w:color w:val="000000"/>
      <w:sz w:val="22"/>
      <w:lang w:val="pl-PL" w:eastAsia="pl-PL"/>
    </w:rPr>
  </w:style>
  <w:style w:type="character" w:customStyle="1" w:styleId="Char1">
    <w:name w:val="页脚 Char"/>
    <w:link w:val="a9"/>
    <w:rPr>
      <w:rFonts w:ascii="Calibri" w:hAnsi="Calibri"/>
      <w:kern w:val="2"/>
      <w:sz w:val="18"/>
      <w:szCs w:val="18"/>
    </w:rPr>
  </w:style>
  <w:style w:type="character" w:customStyle="1" w:styleId="Char2">
    <w:name w:val="批注主题 Char"/>
    <w:link w:val="aa"/>
    <w:qFormat/>
    <w:rPr>
      <w:rFonts w:ascii="Arial" w:hAnsi="Arial" w:cs="Arial"/>
      <w:b/>
      <w:bCs/>
      <w:color w:val="000000"/>
      <w:kern w:val="2"/>
      <w:sz w:val="21"/>
      <w:szCs w:val="24"/>
      <w:lang w:val="pl-PL" w:eastAsia="pl-PL"/>
    </w:rPr>
  </w:style>
  <w:style w:type="paragraph" w:styleId="aa">
    <w:name w:val="annotation subject"/>
    <w:basedOn w:val="a8"/>
    <w:next w:val="a8"/>
    <w:link w:val="Char2"/>
    <w:qFormat/>
    <w:pPr>
      <w:widowControl w:val="0"/>
      <w:spacing w:line="240" w:lineRule="auto"/>
    </w:pPr>
    <w:rPr>
      <w:rFonts w:ascii="Calibri" w:hAnsi="Calibri" w:cs="Times New Roman"/>
      <w:b/>
      <w:bCs/>
      <w:color w:val="auto"/>
      <w:kern w:val="2"/>
      <w:sz w:val="21"/>
      <w:szCs w:val="24"/>
      <w:lang w:val="en-US" w:eastAsia="zh-CN"/>
    </w:rPr>
  </w:style>
  <w:style w:type="paragraph" w:styleId="ab">
    <w:name w:val="Normal (Web)"/>
    <w:basedOn w:val="a"/>
    <w:qFormat/>
    <w:pPr>
      <w:jc w:val="left"/>
    </w:pPr>
    <w:rPr>
      <w:kern w:val="0"/>
      <w:sz w:val="24"/>
    </w:rPr>
  </w:style>
  <w:style w:type="paragraph" w:styleId="ac">
    <w:name w:val="footnote text"/>
    <w:basedOn w:val="a"/>
    <w:qFormat/>
    <w:pPr>
      <w:snapToGrid w:val="0"/>
      <w:jc w:val="left"/>
    </w:pPr>
    <w:rPr>
      <w:sz w:val="18"/>
    </w:rPr>
  </w:style>
  <w:style w:type="paragraph" w:styleId="ad">
    <w:name w:val="header"/>
    <w:basedOn w:val="a"/>
    <w:qFormat/>
    <w:pPr>
      <w:tabs>
        <w:tab w:val="center" w:pos="4153"/>
        <w:tab w:val="right" w:pos="8306"/>
      </w:tabs>
      <w:snapToGrid w:val="0"/>
      <w:jc w:val="center"/>
    </w:pPr>
    <w:rPr>
      <w:sz w:val="18"/>
      <w:szCs w:val="18"/>
    </w:rPr>
  </w:style>
  <w:style w:type="paragraph" w:styleId="a7">
    <w:name w:val="Balloon Text"/>
    <w:basedOn w:val="a"/>
    <w:link w:val="Char"/>
    <w:qFormat/>
    <w:rPr>
      <w:rFonts w:ascii="宋体"/>
      <w:sz w:val="18"/>
      <w:szCs w:val="18"/>
    </w:rPr>
  </w:style>
  <w:style w:type="paragraph" w:styleId="a9">
    <w:name w:val="footer"/>
    <w:basedOn w:val="a"/>
    <w:link w:val="Char1"/>
    <w:qFormat/>
    <w:pPr>
      <w:tabs>
        <w:tab w:val="center" w:pos="4153"/>
        <w:tab w:val="right" w:pos="8306"/>
      </w:tabs>
      <w:snapToGrid w:val="0"/>
      <w:jc w:val="left"/>
    </w:pPr>
    <w:rPr>
      <w:sz w:val="18"/>
      <w:szCs w:val="18"/>
    </w:rPr>
  </w:style>
  <w:style w:type="paragraph" w:styleId="a8">
    <w:name w:val="annotation text"/>
    <w:basedOn w:val="a"/>
    <w:link w:val="Char0"/>
    <w:uiPriority w:val="99"/>
    <w:unhideWhenUsed/>
    <w:qFormat/>
    <w:pPr>
      <w:widowControl/>
      <w:spacing w:line="276" w:lineRule="auto"/>
      <w:jc w:val="left"/>
    </w:pPr>
    <w:rPr>
      <w:rFonts w:ascii="Arial" w:hAnsi="Arial" w:cs="Arial"/>
      <w:color w:val="000000"/>
      <w:kern w:val="0"/>
      <w:sz w:val="22"/>
      <w:szCs w:val="20"/>
      <w:lang w:val="pl-PL" w:eastAsia="pl-PL"/>
    </w:rPr>
  </w:style>
  <w:style w:type="paragraph" w:customStyle="1" w:styleId="p1">
    <w:name w:val="p1"/>
    <w:basedOn w:val="a"/>
    <w:qFormat/>
    <w:pPr>
      <w:widowControl/>
      <w:jc w:val="left"/>
    </w:pPr>
    <w:rPr>
      <w:rFonts w:ascii="Helvetica" w:hAnsi="Helvetica"/>
      <w:kern w:val="0"/>
      <w:sz w:val="18"/>
      <w:szCs w:val="18"/>
    </w:rPr>
  </w:style>
  <w:style w:type="paragraph" w:styleId="ae">
    <w:name w:val="列出段落"/>
    <w:basedOn w:val="a"/>
    <w:uiPriority w:val="34"/>
    <w:qFormat/>
    <w:pPr>
      <w:ind w:firstLineChars="200" w:firstLine="420"/>
    </w:pPr>
  </w:style>
  <w:style w:type="paragraph" w:customStyle="1" w:styleId="EndNoteBibliography">
    <w:name w:val="EndNote Bibliography"/>
    <w:basedOn w:val="a"/>
    <w:qFormat/>
    <w:rPr>
      <w:rFonts w:cs="Calibri"/>
      <w:sz w:val="20"/>
    </w:rPr>
  </w:style>
  <w:style w:type="paragraph" w:customStyle="1" w:styleId="1">
    <w:name w:val="正文1"/>
    <w:uiPriority w:val="99"/>
    <w:qFormat/>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7702</Words>
  <Characters>43905</Characters>
  <Application>Microsoft Office Word</Application>
  <DocSecurity>0</DocSecurity>
  <Lines>365</Lines>
  <Paragraphs>103</Paragraphs>
  <ScaleCrop>false</ScaleCrop>
  <Company/>
  <LinksUpToDate>false</LinksUpToDate>
  <CharactersWithSpaces>51504</CharactersWithSpaces>
  <SharedDoc>false</SharedDoc>
  <HLinks>
    <vt:vector size="12" baseType="variant">
      <vt:variant>
        <vt:i4>2818142</vt:i4>
      </vt:variant>
      <vt:variant>
        <vt:i4>3</vt:i4>
      </vt:variant>
      <vt:variant>
        <vt:i4>0</vt:i4>
      </vt:variant>
      <vt:variant>
        <vt:i4>5</vt:i4>
      </vt:variant>
      <vt:variant>
        <vt:lpwstr>mailto:jiangy@ccmu.edu.cn</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梦萱蟾雪</dc:creator>
  <cp:keywords/>
  <cp:lastModifiedBy>宋 涵</cp:lastModifiedBy>
  <cp:revision>2</cp:revision>
  <cp:lastPrinted>2019-03-05T09:28:00Z</cp:lastPrinted>
  <dcterms:created xsi:type="dcterms:W3CDTF">2019-04-24T08:40:00Z</dcterms:created>
  <dcterms:modified xsi:type="dcterms:W3CDTF">2019-04-24T08:40:00Z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