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60" w:lineRule="auto"/>
        <w:rPr>
          <w:rFonts w:ascii="Book Antiqua" w:hAnsi="Book Antiqua"/>
          <w:b/>
          <w:color w:val="000000"/>
          <w:kern w:val="0"/>
          <w:sz w:val="24"/>
          <w:highlight w:val="none"/>
        </w:rPr>
      </w:pPr>
      <w:bookmarkStart w:id="278" w:name="_GoBack"/>
      <w:bookmarkEnd w:id="278"/>
      <w:bookmarkStart w:id="0" w:name="OLE_LINK1024"/>
      <w:bookmarkStart w:id="1" w:name="OLE_LINK987"/>
      <w:bookmarkStart w:id="2" w:name="OLE_LINK970"/>
      <w:bookmarkStart w:id="3" w:name="OLE_LINK887"/>
      <w:bookmarkStart w:id="4" w:name="OLE_LINK866"/>
      <w:bookmarkStart w:id="5" w:name="OLE_LINK923"/>
      <w:bookmarkStart w:id="6" w:name="OLE_LINK840"/>
      <w:bookmarkStart w:id="7" w:name="OLE_LINK737"/>
      <w:bookmarkStart w:id="8" w:name="OLE_LINK709"/>
      <w:bookmarkStart w:id="9" w:name="OLE_LINK708"/>
      <w:bookmarkStart w:id="10" w:name="OLE_LINK707"/>
      <w:bookmarkStart w:id="11" w:name="OLE_LINK31"/>
      <w:bookmarkStart w:id="12" w:name="OLE_LINK373"/>
      <w:bookmarkStart w:id="13" w:name="OLE_LINK103"/>
      <w:r>
        <w:rPr>
          <w:rFonts w:ascii="Book Antiqua" w:hAnsi="Book Antiqua"/>
          <w:b/>
          <w:color w:val="000000"/>
          <w:kern w:val="0"/>
          <w:sz w:val="24"/>
          <w:highlight w:val="none"/>
        </w:rPr>
        <w:t xml:space="preserve">Name of </w:t>
      </w:r>
      <w:r>
        <w:rPr>
          <w:rFonts w:ascii="Book Antiqua" w:hAnsi="Book Antiqua"/>
          <w:b/>
          <w:caps/>
          <w:color w:val="000000"/>
          <w:kern w:val="0"/>
          <w:sz w:val="24"/>
          <w:highlight w:val="none"/>
        </w:rPr>
        <w:t>j</w:t>
      </w:r>
      <w:r>
        <w:rPr>
          <w:rFonts w:ascii="Book Antiqua" w:hAnsi="Book Antiqua"/>
          <w:b/>
          <w:color w:val="000000"/>
          <w:kern w:val="0"/>
          <w:sz w:val="24"/>
          <w:highlight w:val="none"/>
        </w:rPr>
        <w:t xml:space="preserve">ournal: </w:t>
      </w:r>
      <w:bookmarkStart w:id="14" w:name="OLE_LINK719"/>
      <w:bookmarkStart w:id="15" w:name="OLE_LINK718"/>
      <w:r>
        <w:rPr>
          <w:rFonts w:ascii="Book Antiqua" w:hAnsi="Book Antiqua"/>
          <w:b/>
          <w:i/>
          <w:color w:val="000000"/>
          <w:kern w:val="0"/>
          <w:sz w:val="24"/>
          <w:highlight w:val="none"/>
        </w:rPr>
        <w:t>World Journal of Gastroenterology</w:t>
      </w:r>
      <w:bookmarkEnd w:id="14"/>
      <w:bookmarkEnd w:id="15"/>
    </w:p>
    <w:p>
      <w:pPr>
        <w:widowControl/>
        <w:snapToGrid w:val="0"/>
        <w:spacing w:line="360" w:lineRule="auto"/>
        <w:rPr>
          <w:rFonts w:ascii="Book Antiqua" w:hAnsi="Book Antiqua"/>
          <w:b/>
          <w:i/>
          <w:color w:val="000000"/>
          <w:kern w:val="0"/>
          <w:sz w:val="24"/>
          <w:highlight w:val="none"/>
        </w:rPr>
      </w:pPr>
      <w:bookmarkStart w:id="16" w:name="OLE_LINK768"/>
      <w:bookmarkStart w:id="17" w:name="OLE_LINK661"/>
      <w:bookmarkStart w:id="18" w:name="OLE_LINK486"/>
      <w:bookmarkStart w:id="19" w:name="OLE_LINK485"/>
      <w:bookmarkStart w:id="20" w:name="OLE_LINK515"/>
      <w:bookmarkStart w:id="21" w:name="OLE_LINK514"/>
      <w:r>
        <w:rPr>
          <w:rFonts w:ascii="Book Antiqua" w:hAnsi="Book Antiqua"/>
          <w:b/>
          <w:color w:val="000000"/>
          <w:kern w:val="0"/>
          <w:sz w:val="24"/>
          <w:highlight w:val="none"/>
        </w:rPr>
        <w:t>Manuscript NO:</w:t>
      </w:r>
      <w:bookmarkEnd w:id="16"/>
      <w:bookmarkEnd w:id="17"/>
      <w:bookmarkEnd w:id="18"/>
      <w:bookmarkEnd w:id="19"/>
      <w:r>
        <w:rPr>
          <w:rFonts w:ascii="Book Antiqua" w:hAnsi="Book Antiqua"/>
          <w:b/>
          <w:color w:val="000000"/>
          <w:kern w:val="0"/>
          <w:sz w:val="24"/>
          <w:highlight w:val="none"/>
        </w:rPr>
        <w:t xml:space="preserve"> </w:t>
      </w:r>
      <w:r>
        <w:rPr>
          <w:rFonts w:ascii="Book Antiqua" w:hAnsi="Book Antiqua"/>
          <w:b/>
          <w:color w:val="000000"/>
          <w:kern w:val="0"/>
          <w:sz w:val="24"/>
        </w:rPr>
        <w:t>45961</w:t>
      </w:r>
    </w:p>
    <w:bookmarkEnd w:id="20"/>
    <w:bookmarkEnd w:id="21"/>
    <w:p>
      <w:pPr>
        <w:widowControl/>
        <w:snapToGrid w:val="0"/>
        <w:spacing w:line="360" w:lineRule="auto"/>
        <w:rPr>
          <w:rFonts w:ascii="Book Antiqua" w:hAnsi="Book Antiqua"/>
          <w:b/>
          <w:color w:val="000000"/>
          <w:kern w:val="0"/>
          <w:sz w:val="24"/>
        </w:rPr>
      </w:pPr>
      <w:r>
        <w:rPr>
          <w:rFonts w:ascii="Book Antiqua" w:hAnsi="Book Antiqua"/>
          <w:b/>
          <w:color w:val="000000"/>
          <w:kern w:val="0"/>
          <w:sz w:val="24"/>
          <w:highlight w:val="none"/>
        </w:rPr>
        <w:t xml:space="preserve">Manuscript </w:t>
      </w:r>
      <w:r>
        <w:rPr>
          <w:rFonts w:ascii="Book Antiqua" w:hAnsi="Book Antiqua"/>
          <w:b/>
          <w:caps/>
          <w:color w:val="000000"/>
          <w:kern w:val="0"/>
          <w:sz w:val="24"/>
          <w:highlight w:val="none"/>
        </w:rPr>
        <w:t>t</w:t>
      </w:r>
      <w:r>
        <w:rPr>
          <w:rFonts w:ascii="Book Antiqua" w:hAnsi="Book Antiqua"/>
          <w:b/>
          <w:color w:val="000000"/>
          <w:kern w:val="0"/>
          <w:sz w:val="24"/>
          <w:highlight w:val="none"/>
        </w:rPr>
        <w:t>ype</w:t>
      </w:r>
      <w:r>
        <w:rPr>
          <w:rFonts w:ascii="Book Antiqua" w:hAnsi="Book Antiqua"/>
          <w:b/>
          <w:color w:val="000000"/>
          <w:kern w:val="0"/>
          <w:sz w:val="24"/>
        </w:rPr>
        <w:t>:</w:t>
      </w:r>
      <w:bookmarkEnd w:id="0"/>
      <w:bookmarkEnd w:id="1"/>
      <w:bookmarkEnd w:id="2"/>
      <w:bookmarkEnd w:id="3"/>
      <w:bookmarkEnd w:id="4"/>
      <w:bookmarkEnd w:id="5"/>
      <w:bookmarkEnd w:id="6"/>
      <w:bookmarkEnd w:id="7"/>
      <w:bookmarkEnd w:id="8"/>
      <w:bookmarkEnd w:id="9"/>
      <w:bookmarkEnd w:id="10"/>
      <w:r>
        <w:rPr>
          <w:rFonts w:ascii="Book Antiqua" w:hAnsi="Book Antiqua"/>
          <w:b/>
          <w:color w:val="000000"/>
          <w:kern w:val="0"/>
          <w:sz w:val="24"/>
        </w:rPr>
        <w:t xml:space="preserve"> ORIGINAL ARTICLE</w:t>
      </w:r>
      <w:bookmarkEnd w:id="11"/>
    </w:p>
    <w:p>
      <w:pPr>
        <w:widowControl/>
        <w:snapToGrid w:val="0"/>
        <w:spacing w:line="360" w:lineRule="auto"/>
        <w:rPr>
          <w:rFonts w:ascii="Book Antiqua" w:hAnsi="Book Antiqua"/>
          <w:b/>
          <w:color w:val="000000"/>
          <w:kern w:val="0"/>
          <w:sz w:val="24"/>
        </w:rPr>
      </w:pPr>
    </w:p>
    <w:p>
      <w:pPr>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eastAsia="YouYuan"/>
          <w:b/>
          <w:i/>
          <w:kern w:val="0"/>
          <w:sz w:val="24"/>
        </w:rPr>
        <w:t>Basic Study</w:t>
      </w:r>
      <w:bookmarkEnd w:id="12"/>
    </w:p>
    <w:p>
      <w:pPr>
        <w:adjustRightInd w:val="0"/>
        <w:snapToGrid w:val="0"/>
        <w:spacing w:line="360" w:lineRule="auto"/>
        <w:rPr>
          <w:rFonts w:ascii="Book Antiqua" w:hAnsi="Book Antiqua"/>
          <w:b/>
          <w:bCs/>
          <w:color w:val="000000" w:themeColor="text1"/>
          <w:sz w:val="24"/>
          <w14:textFill>
            <w14:solidFill>
              <w14:schemeClr w14:val="tx1"/>
            </w14:solidFill>
          </w14:textFill>
        </w:rPr>
      </w:pPr>
      <w:bookmarkStart w:id="22" w:name="OLE_LINK115"/>
      <w:bookmarkStart w:id="23" w:name="OLE_LINK79"/>
      <w:bookmarkStart w:id="24" w:name="OLE_LINK186"/>
      <w:bookmarkStart w:id="25" w:name="OLE_LINK142"/>
      <w:bookmarkStart w:id="26" w:name="OLE_LINK141"/>
      <w:r>
        <w:rPr>
          <w:rFonts w:ascii="Book Antiqua" w:hAnsi="Book Antiqua"/>
          <w:b/>
          <w:bCs/>
          <w:color w:val="000000" w:themeColor="text1"/>
          <w:sz w:val="24"/>
          <w14:textFill>
            <w14:solidFill>
              <w14:schemeClr w14:val="tx1"/>
            </w14:solidFill>
          </w14:textFill>
        </w:rPr>
        <w:t xml:space="preserve">Freeze-dried Si-Ni-San powder can </w:t>
      </w:r>
      <w:bookmarkStart w:id="27" w:name="OLE_LINK6"/>
      <w:r>
        <w:rPr>
          <w:rFonts w:ascii="Book Antiqua" w:hAnsi="Book Antiqua"/>
          <w:b/>
          <w:bCs/>
          <w:color w:val="000000" w:themeColor="text1"/>
          <w:sz w:val="24"/>
          <w14:textFill>
            <w14:solidFill>
              <w14:schemeClr w14:val="tx1"/>
            </w14:solidFill>
          </w14:textFill>
        </w:rPr>
        <w:t>ameliorate</w:t>
      </w:r>
      <w:bookmarkEnd w:id="27"/>
      <w:r>
        <w:rPr>
          <w:rFonts w:ascii="Book Antiqua" w:hAnsi="Book Antiqua"/>
          <w:b/>
          <w:bCs/>
          <w:color w:val="000000" w:themeColor="text1"/>
          <w:sz w:val="24"/>
          <w14:textFill>
            <w14:solidFill>
              <w14:schemeClr w14:val="tx1"/>
            </w14:solidFill>
          </w14:textFill>
        </w:rPr>
        <w:t xml:space="preserve"> high fat diet-induced </w:t>
      </w:r>
      <w:bookmarkEnd w:id="22"/>
      <w:bookmarkEnd w:id="23"/>
      <w:r>
        <w:rPr>
          <w:rFonts w:ascii="Book Antiqua" w:hAnsi="Book Antiqua"/>
          <w:b/>
          <w:bCs/>
          <w:color w:val="000000" w:themeColor="text1"/>
          <w:sz w:val="24"/>
          <w14:textFill>
            <w14:solidFill>
              <w14:schemeClr w14:val="tx1"/>
            </w14:solidFill>
          </w14:textFill>
        </w:rPr>
        <w:t>non-alcoholic fatty liver disease</w:t>
      </w:r>
      <w:bookmarkEnd w:id="24"/>
      <w:bookmarkEnd w:id="25"/>
      <w:bookmarkEnd w:id="26"/>
    </w:p>
    <w:p>
      <w:pPr>
        <w:adjustRightInd w:val="0"/>
        <w:snapToGrid w:val="0"/>
        <w:spacing w:line="360" w:lineRule="auto"/>
        <w:rPr>
          <w:rFonts w:ascii="Book Antiqua" w:hAnsi="Book Antiqua"/>
          <w:b/>
          <w:bCs/>
          <w:color w:val="000000" w:themeColor="text1"/>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color w:val="000000" w:themeColor="text1"/>
          <w:kern w:val="0"/>
          <w:sz w:val="24"/>
          <w14:textFill>
            <w14:solidFill>
              <w14:schemeClr w14:val="tx1"/>
            </w14:solidFill>
          </w14:textFill>
        </w:rPr>
        <w:t>Zhu F</w:t>
      </w:r>
      <w:r>
        <w:rPr>
          <w:rFonts w:ascii="Book Antiqua" w:hAnsi="Book Antiqua"/>
          <w:i/>
          <w:iCs/>
          <w:color w:val="000000" w:themeColor="text1"/>
          <w:kern w:val="0"/>
          <w:sz w:val="24"/>
          <w14:textFill>
            <w14:solidFill>
              <w14:schemeClr w14:val="tx1"/>
            </w14:solidFill>
          </w14:textFill>
        </w:rPr>
        <w:t xml:space="preserve"> et al</w:t>
      </w:r>
      <w:r>
        <w:rPr>
          <w:rFonts w:ascii="Book Antiqua" w:hAnsi="Book Antiqua"/>
          <w:color w:val="000000" w:themeColor="text1"/>
          <w:kern w:val="0"/>
          <w:sz w:val="24"/>
          <w14:textFill>
            <w14:solidFill>
              <w14:schemeClr w14:val="tx1"/>
            </w14:solidFill>
          </w14:textFill>
        </w:rPr>
        <w:t xml:space="preserve">. </w:t>
      </w:r>
      <w:bookmarkStart w:id="28" w:name="OLE_LINK188"/>
      <w:bookmarkStart w:id="29" w:name="OLE_LINK187"/>
      <w:r>
        <w:rPr>
          <w:rFonts w:ascii="Book Antiqua" w:hAnsi="Book Antiqua"/>
          <w:color w:val="000000" w:themeColor="text1"/>
          <w:kern w:val="0"/>
          <w:sz w:val="24"/>
          <w14:textFill>
            <w14:solidFill>
              <w14:schemeClr w14:val="tx1"/>
            </w14:solidFill>
          </w14:textFill>
        </w:rPr>
        <w:t>Si-Ni-San ameliorates NAFLD</w:t>
      </w:r>
      <w:bookmarkEnd w:id="28"/>
      <w:bookmarkEnd w:id="29"/>
    </w:p>
    <w:p>
      <w:pPr>
        <w:autoSpaceDE w:val="0"/>
        <w:autoSpaceDN w:val="0"/>
        <w:adjustRightInd w:val="0"/>
        <w:snapToGrid w:val="0"/>
        <w:spacing w:line="360" w:lineRule="auto"/>
        <w:rPr>
          <w:rFonts w:ascii="Book Antiqua" w:hAnsi="Book Antiqua"/>
          <w:bCs/>
          <w:color w:val="000000" w:themeColor="text1"/>
          <w:kern w:val="0"/>
          <w:sz w:val="24"/>
          <w14:textFill>
            <w14:solidFill>
              <w14:schemeClr w14:val="tx1"/>
            </w14:solidFill>
          </w14:textFill>
        </w:rPr>
      </w:pPr>
    </w:p>
    <w:p>
      <w:pPr>
        <w:adjustRightInd w:val="0"/>
        <w:snapToGrid w:val="0"/>
        <w:spacing w:line="360" w:lineRule="auto"/>
        <w:rPr>
          <w:rFonts w:ascii="Book Antiqua" w:hAnsi="Book Antiqua"/>
          <w:b/>
          <w:bCs/>
          <w:sz w:val="24"/>
        </w:rPr>
      </w:pPr>
      <w:bookmarkStart w:id="30" w:name="OLE_LINK97"/>
      <w:r>
        <w:rPr>
          <w:rFonts w:ascii="Book Antiqua" w:hAnsi="Book Antiqua"/>
          <w:b/>
          <w:bCs/>
          <w:sz w:val="24"/>
        </w:rPr>
        <w:t>Feng Zhu, Yong-Min Li, Ting-Ting Feng, Yue Wu, Hai-Xia Zhang, Guo-Yin Jin, Jian-Ping Liu</w:t>
      </w:r>
      <w:bookmarkEnd w:id="30"/>
    </w:p>
    <w:p>
      <w:pPr>
        <w:adjustRightInd w:val="0"/>
        <w:snapToGrid w:val="0"/>
        <w:spacing w:line="360" w:lineRule="auto"/>
        <w:rPr>
          <w:rFonts w:ascii="Book Antiqua" w:hAnsi="Book Antiqua"/>
          <w:sz w:val="24"/>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color w:val="000000" w:themeColor="text1"/>
          <w:kern w:val="0"/>
          <w:sz w:val="24"/>
          <w14:textFill>
            <w14:solidFill>
              <w14:schemeClr w14:val="tx1"/>
            </w14:solidFill>
          </w14:textFill>
        </w:rPr>
        <w:t>Feng Zhu</w:t>
      </w:r>
      <w:r>
        <w:rPr>
          <w:rFonts w:ascii="Book Antiqua" w:hAnsi="Book Antiqua"/>
          <w:b/>
          <w:bCs/>
          <w:color w:val="000000" w:themeColor="text1"/>
          <w:kern w:val="0"/>
          <w:sz w:val="24"/>
          <w14:textFill>
            <w14:solidFill>
              <w14:schemeClr w14:val="tx1"/>
            </w14:solidFill>
          </w14:textFill>
        </w:rPr>
        <w:t xml:space="preserve">, </w:t>
      </w:r>
      <w:r>
        <w:rPr>
          <w:rFonts w:ascii="Book Antiqua" w:hAnsi="Book Antiqua"/>
          <w:b/>
          <w:color w:val="000000" w:themeColor="text1"/>
          <w:kern w:val="0"/>
          <w:sz w:val="24"/>
          <w14:textFill>
            <w14:solidFill>
              <w14:schemeClr w14:val="tx1"/>
            </w14:solidFill>
          </w14:textFill>
        </w:rPr>
        <w:t>Yong-Min Li, Ting-Ting Feng, Yue Wu</w:t>
      </w:r>
      <w:r>
        <w:rPr>
          <w:rFonts w:ascii="Book Antiqua" w:hAnsi="Book Antiqua"/>
          <w:b/>
          <w:bCs/>
          <w:color w:val="000000" w:themeColor="text1"/>
          <w:kern w:val="0"/>
          <w:sz w:val="24"/>
          <w14:textFill>
            <w14:solidFill>
              <w14:schemeClr w14:val="tx1"/>
            </w14:solidFill>
          </w14:textFill>
        </w:rPr>
        <w:t xml:space="preserve">, </w:t>
      </w:r>
      <w:r>
        <w:rPr>
          <w:rFonts w:ascii="Book Antiqua" w:hAnsi="Book Antiqua"/>
          <w:b/>
          <w:color w:val="000000" w:themeColor="text1"/>
          <w:kern w:val="0"/>
          <w:sz w:val="24"/>
          <w14:textFill>
            <w14:solidFill>
              <w14:schemeClr w14:val="tx1"/>
            </w14:solidFill>
          </w14:textFill>
        </w:rPr>
        <w:t xml:space="preserve">Hai-Xia Zhang, Guo-Yin Jin, </w:t>
      </w:r>
      <w:bookmarkStart w:id="31" w:name="OLE_LINK75"/>
      <w:bookmarkStart w:id="32" w:name="OLE_LINK86"/>
      <w:r>
        <w:rPr>
          <w:rFonts w:ascii="Book Antiqua" w:hAnsi="Book Antiqua"/>
          <w:color w:val="000000" w:themeColor="text1"/>
          <w:kern w:val="0"/>
          <w:sz w:val="24"/>
          <w14:textFill>
            <w14:solidFill>
              <w14:schemeClr w14:val="tx1"/>
            </w14:solidFill>
          </w14:textFill>
        </w:rPr>
        <w:t xml:space="preserve">Department of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Traditional</w:t>
      </w:r>
      <w:r>
        <w:rPr>
          <w:rFonts w:ascii="Book Antiqua" w:hAnsi="Book Antiqua"/>
          <w:color w:val="000000" w:themeColor="text1"/>
          <w:kern w:val="0"/>
          <w:sz w:val="24"/>
          <w14:textFill>
            <w14:solidFill>
              <w14:schemeClr w14:val="tx1"/>
            </w14:solidFill>
          </w14:textFill>
        </w:rPr>
        <w:fldChar w:fldCharType="end"/>
      </w:r>
      <w:r>
        <w:rPr>
          <w:rFonts w:ascii="Book Antiqua" w:hAnsi="Book Antiqua"/>
          <w:color w:val="000000" w:themeColor="text1"/>
          <w:kern w:val="0"/>
          <w:sz w:val="24"/>
          <w14:textFill>
            <w14:solidFill>
              <w14:schemeClr w14:val="tx1"/>
            </w14:solidFill>
          </w14:textFill>
        </w:rPr>
        <w:t xml:space="preserve">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Chinese</w:t>
      </w:r>
      <w:r>
        <w:rPr>
          <w:rFonts w:ascii="Book Antiqua" w:hAnsi="Book Antiqua"/>
          <w:color w:val="000000" w:themeColor="text1"/>
          <w:kern w:val="0"/>
          <w:sz w:val="24"/>
          <w14:textFill>
            <w14:solidFill>
              <w14:schemeClr w14:val="tx1"/>
            </w14:solidFill>
          </w14:textFill>
        </w:rPr>
        <w:fldChar w:fldCharType="end"/>
      </w:r>
      <w:r>
        <w:rPr>
          <w:rFonts w:ascii="Book Antiqua" w:hAnsi="Book Antiqua"/>
          <w:color w:val="000000" w:themeColor="text1"/>
          <w:kern w:val="0"/>
          <w:sz w:val="24"/>
          <w14:textFill>
            <w14:solidFill>
              <w14:schemeClr w14:val="tx1"/>
            </w14:solidFill>
          </w14:textFill>
        </w:rPr>
        <w:t xml:space="preserve">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Medicine</w:t>
      </w:r>
      <w:r>
        <w:rPr>
          <w:rFonts w:ascii="Book Antiqua" w:hAnsi="Book Antiqua"/>
          <w:color w:val="000000" w:themeColor="text1"/>
          <w:kern w:val="0"/>
          <w:sz w:val="24"/>
          <w14:textFill>
            <w14:solidFill>
              <w14:schemeClr w14:val="tx1"/>
            </w14:solidFill>
          </w14:textFill>
        </w:rPr>
        <w:fldChar w:fldCharType="end"/>
      </w:r>
      <w:bookmarkEnd w:id="31"/>
      <w:r>
        <w:rPr>
          <w:rFonts w:ascii="Book Antiqua" w:hAnsi="Book Antiqua"/>
          <w:color w:val="000000" w:themeColor="text1"/>
          <w:kern w:val="0"/>
          <w:sz w:val="24"/>
          <w14:textFill>
            <w14:solidFill>
              <w14:schemeClr w14:val="tx1"/>
            </w14:solidFill>
          </w14:textFill>
        </w:rPr>
        <w:t xml:space="preserve">, </w:t>
      </w:r>
      <w:bookmarkStart w:id="33" w:name="OLE_LINK76"/>
      <w:r>
        <w:rPr>
          <w:rFonts w:ascii="Book Antiqua" w:hAnsi="Book Antiqua"/>
          <w:color w:val="000000" w:themeColor="text1"/>
          <w:kern w:val="0"/>
          <w:sz w:val="24"/>
          <w14:textFill>
            <w14:solidFill>
              <w14:schemeClr w14:val="tx1"/>
            </w14:solidFill>
          </w14:textFill>
        </w:rPr>
        <w:t>Hebei North University</w:t>
      </w:r>
      <w:bookmarkEnd w:id="33"/>
      <w:r>
        <w:rPr>
          <w:rFonts w:ascii="Book Antiqua" w:hAnsi="Book Antiqua"/>
          <w:color w:val="000000" w:themeColor="text1"/>
          <w:kern w:val="0"/>
          <w:sz w:val="24"/>
          <w14:textFill>
            <w14:solidFill>
              <w14:schemeClr w14:val="tx1"/>
            </w14:solidFill>
          </w14:textFill>
        </w:rPr>
        <w:t xml:space="preserve">, </w:t>
      </w:r>
      <w:bookmarkStart w:id="34" w:name="OLE_LINK78"/>
      <w:bookmarkStart w:id="35" w:name="OLE_LINK77"/>
      <w:r>
        <w:rPr>
          <w:rFonts w:ascii="Book Antiqua" w:hAnsi="Book Antiqua"/>
          <w:color w:val="000000" w:themeColor="text1"/>
          <w:kern w:val="0"/>
          <w:sz w:val="24"/>
          <w14:textFill>
            <w14:solidFill>
              <w14:schemeClr w14:val="tx1"/>
            </w14:solidFill>
          </w14:textFill>
        </w:rPr>
        <w:t>Zhangjiakou</w:t>
      </w:r>
      <w:bookmarkEnd w:id="34"/>
      <w:r>
        <w:rPr>
          <w:rFonts w:ascii="Book Antiqua" w:hAnsi="Book Antiqua"/>
          <w:color w:val="000000" w:themeColor="text1"/>
          <w:kern w:val="0"/>
          <w:sz w:val="24"/>
          <w14:textFill>
            <w14:solidFill>
              <w14:schemeClr w14:val="tx1"/>
            </w14:solidFill>
          </w14:textFill>
        </w:rPr>
        <w:t xml:space="preserve"> </w:t>
      </w:r>
      <w:bookmarkEnd w:id="35"/>
      <w:r>
        <w:rPr>
          <w:rFonts w:ascii="Book Antiqua" w:hAnsi="Book Antiqua"/>
          <w:color w:val="000000" w:themeColor="text1"/>
          <w:kern w:val="0"/>
          <w:sz w:val="24"/>
          <w14:textFill>
            <w14:solidFill>
              <w14:schemeClr w14:val="tx1"/>
            </w14:solidFill>
          </w14:textFill>
        </w:rPr>
        <w:t>075000, Hebei Province, China</w:t>
      </w:r>
      <w:bookmarkEnd w:id="32"/>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color w:val="000000" w:themeColor="text1"/>
          <w:kern w:val="0"/>
          <w:sz w:val="24"/>
          <w14:textFill>
            <w14:solidFill>
              <w14:schemeClr w14:val="tx1"/>
            </w14:solidFill>
          </w14:textFill>
        </w:rPr>
        <w:t xml:space="preserve">Jian-Ping Liu, </w:t>
      </w:r>
      <w:bookmarkStart w:id="36" w:name="OLE_LINK87"/>
      <w:r>
        <w:rPr>
          <w:rFonts w:ascii="Book Antiqua" w:hAnsi="Book Antiqua"/>
          <w:color w:val="000000" w:themeColor="text1"/>
          <w:kern w:val="0"/>
          <w:sz w:val="24"/>
          <w14:textFill>
            <w14:solidFill>
              <w14:schemeClr w14:val="tx1"/>
            </w14:solidFill>
          </w14:textFill>
        </w:rPr>
        <w:t>Department</w:t>
      </w:r>
      <w:bookmarkEnd w:id="36"/>
      <w:r>
        <w:rPr>
          <w:rFonts w:ascii="Book Antiqua" w:hAnsi="Book Antiqua"/>
          <w:color w:val="000000" w:themeColor="text1"/>
          <w:kern w:val="0"/>
          <w:sz w:val="24"/>
          <w14:textFill>
            <w14:solidFill>
              <w14:schemeClr w14:val="tx1"/>
            </w14:solidFill>
          </w14:textFill>
        </w:rPr>
        <w:t xml:space="preserve"> of Gastroenterology, People’s Hospital of Changshou District, Chongqing 401220, China</w:t>
      </w: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 xml:space="preserve">ORCID number: </w:t>
      </w:r>
      <w:r>
        <w:rPr>
          <w:rFonts w:ascii="Book Antiqua" w:hAnsi="Book Antiqua"/>
          <w:color w:val="000000" w:themeColor="text1"/>
          <w:kern w:val="0"/>
          <w:sz w:val="24"/>
          <w14:textFill>
            <w14:solidFill>
              <w14:schemeClr w14:val="tx1"/>
            </w14:solidFill>
          </w14:textFill>
        </w:rPr>
        <w:t xml:space="preserve">Feng Zhu </w:t>
      </w:r>
      <w:bookmarkStart w:id="37" w:name="OLE_LINK98"/>
      <w:r>
        <w:rPr>
          <w:rFonts w:ascii="Book Antiqua" w:hAnsi="Book Antiqua"/>
          <w:color w:val="000000" w:themeColor="text1"/>
          <w:kern w:val="0"/>
          <w:sz w:val="24"/>
          <w14:textFill>
            <w14:solidFill>
              <w14:schemeClr w14:val="tx1"/>
            </w14:solidFill>
          </w14:textFill>
        </w:rPr>
        <w:t>(0000-0002-4582-0550)</w:t>
      </w:r>
      <w:bookmarkEnd w:id="37"/>
      <w:r>
        <w:rPr>
          <w:rFonts w:ascii="Book Antiqua" w:hAnsi="Book Antiqua"/>
          <w:color w:val="000000" w:themeColor="text1"/>
          <w:kern w:val="0"/>
          <w:sz w:val="24"/>
          <w14:textFill>
            <w14:solidFill>
              <w14:schemeClr w14:val="tx1"/>
            </w14:solidFill>
          </w14:textFill>
        </w:rPr>
        <w:t xml:space="preserve">; Yong-Min Li </w:t>
      </w:r>
      <w:bookmarkStart w:id="38" w:name="OLE_LINK99"/>
      <w:r>
        <w:rPr>
          <w:rFonts w:ascii="Book Antiqua" w:hAnsi="Book Antiqua"/>
          <w:color w:val="000000" w:themeColor="text1"/>
          <w:kern w:val="0"/>
          <w:sz w:val="24"/>
          <w14:textFill>
            <w14:solidFill>
              <w14:schemeClr w14:val="tx1"/>
            </w14:solidFill>
          </w14:textFill>
        </w:rPr>
        <w:t>(0000-0002-1199-9011)</w:t>
      </w:r>
      <w:bookmarkEnd w:id="38"/>
      <w:r>
        <w:rPr>
          <w:rFonts w:ascii="Book Antiqua" w:hAnsi="Book Antiqua"/>
          <w:color w:val="000000" w:themeColor="text1"/>
          <w:kern w:val="0"/>
          <w:sz w:val="24"/>
          <w14:textFill>
            <w14:solidFill>
              <w14:schemeClr w14:val="tx1"/>
            </w14:solidFill>
          </w14:textFill>
        </w:rPr>
        <w:t>; Ting-Ting Feng (0000-0002-5283-0482); Yue Wu (0000-0002-0243-5935); Hai-Xia Zhang (0000-0001-8443-2633); Guo-Yin Jin (0000-0001-9281-8333); Jian-Ping Liu (0000-0003-4445-1287).</w:t>
      </w:r>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 xml:space="preserve">Author contributions: </w:t>
      </w:r>
      <w:r>
        <w:rPr>
          <w:rFonts w:ascii="Book Antiqua" w:hAnsi="Book Antiqua"/>
          <w:bCs/>
          <w:color w:val="000000" w:themeColor="text1"/>
          <w:kern w:val="0"/>
          <w:sz w:val="24"/>
          <w14:textFill>
            <w14:solidFill>
              <w14:schemeClr w14:val="tx1"/>
            </w14:solidFill>
          </w14:textFill>
        </w:rPr>
        <w:t xml:space="preserve">Li YM </w:t>
      </w:r>
      <w:r>
        <w:rPr>
          <w:rFonts w:ascii="Book Antiqua" w:hAnsi="Book Antiqua"/>
          <w:color w:val="000000" w:themeColor="text1"/>
          <w:kern w:val="0"/>
          <w:sz w:val="24"/>
          <w14:textFill>
            <w14:solidFill>
              <w14:schemeClr w14:val="tx1"/>
            </w14:solidFill>
          </w14:textFill>
        </w:rPr>
        <w:t xml:space="preserve">designed the research; </w:t>
      </w:r>
      <w:r>
        <w:rPr>
          <w:rFonts w:ascii="Book Antiqua" w:hAnsi="Book Antiqua"/>
          <w:bCs/>
          <w:color w:val="000000" w:themeColor="text1"/>
          <w:kern w:val="0"/>
          <w:sz w:val="24"/>
          <w14:textFill>
            <w14:solidFill>
              <w14:schemeClr w14:val="tx1"/>
            </w14:solidFill>
          </w14:textFill>
        </w:rPr>
        <w:t xml:space="preserve">Zhu F, </w:t>
      </w:r>
      <w:r>
        <w:rPr>
          <w:rFonts w:ascii="Book Antiqua" w:hAnsi="Book Antiqua"/>
          <w:color w:val="000000" w:themeColor="text1"/>
          <w:kern w:val="0"/>
          <w:sz w:val="24"/>
          <w14:textFill>
            <w14:solidFill>
              <w14:schemeClr w14:val="tx1"/>
            </w14:solidFill>
          </w14:textFill>
        </w:rPr>
        <w:t xml:space="preserve">Feng TT, Wu Y and Jin GY performed the research; Liu JP analyzed and interpreted the data; Liu JP and </w:t>
      </w:r>
      <w:r>
        <w:rPr>
          <w:rFonts w:ascii="Book Antiqua" w:hAnsi="Book Antiqua"/>
          <w:bCs/>
          <w:color w:val="000000" w:themeColor="text1"/>
          <w:kern w:val="0"/>
          <w:sz w:val="24"/>
          <w14:textFill>
            <w14:solidFill>
              <w14:schemeClr w14:val="tx1"/>
            </w14:solidFill>
          </w14:textFill>
        </w:rPr>
        <w:t xml:space="preserve">Zhang HX </w:t>
      </w:r>
      <w:r>
        <w:rPr>
          <w:rFonts w:ascii="Book Antiqua" w:hAnsi="Book Antiqua"/>
          <w:color w:val="000000" w:themeColor="text1"/>
          <w:kern w:val="0"/>
          <w:sz w:val="24"/>
          <w14:textFill>
            <w14:solidFill>
              <w14:schemeClr w14:val="tx1"/>
            </w14:solidFill>
          </w14:textFill>
        </w:rPr>
        <w:t>wrote the paper.</w:t>
      </w: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Institutional animal care and use committee statement:</w:t>
      </w:r>
      <w:r>
        <w:rPr>
          <w:rFonts w:ascii="Book Antiqua" w:hAnsi="Book Antiqua"/>
          <w:color w:val="000000" w:themeColor="text1"/>
          <w:kern w:val="0"/>
          <w:sz w:val="24"/>
          <w14:textFill>
            <w14:solidFill>
              <w14:schemeClr w14:val="tx1"/>
            </w14:solidFill>
          </w14:textFill>
        </w:rPr>
        <w:t xml:space="preserve"> All procedures involving animals were reviewed and approved by the animal ethics committee of Hebei North University, Zhangjiakou, China (No.2016-1-0-06).</w:t>
      </w:r>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 xml:space="preserve">Conflict-of-interest statement: </w:t>
      </w:r>
      <w:r>
        <w:rPr>
          <w:rFonts w:ascii="Book Antiqua" w:hAnsi="Book Antiqua"/>
          <w:color w:val="000000" w:themeColor="text1"/>
          <w:kern w:val="0"/>
          <w:sz w:val="24"/>
          <w14:textFill>
            <w14:solidFill>
              <w14:schemeClr w14:val="tx1"/>
            </w14:solidFill>
          </w14:textFill>
        </w:rPr>
        <w:t>The authors declare that there is no conflict of interest related to this study.</w:t>
      </w: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 xml:space="preserve">Data sharing statement: </w:t>
      </w:r>
      <w:r>
        <w:rPr>
          <w:rFonts w:ascii="Book Antiqua" w:hAnsi="Book Antiqua"/>
          <w:color w:val="000000" w:themeColor="text1"/>
          <w:kern w:val="0"/>
          <w:sz w:val="24"/>
          <w14:textFill>
            <w14:solidFill>
              <w14:schemeClr w14:val="tx1"/>
            </w14:solidFill>
          </w14:textFill>
        </w:rPr>
        <w:t>Raw sequencing data are available from the corresponding author. Participants gave informed consent for data sharing.</w:t>
      </w:r>
      <w:r>
        <w:rPr>
          <w:rFonts w:ascii="Book Antiqua" w:hAnsi="Book Antiqua"/>
          <w:b/>
          <w:bCs/>
          <w:color w:val="000000" w:themeColor="text1"/>
          <w:kern w:val="0"/>
          <w:sz w:val="24"/>
          <w14:textFill>
            <w14:solidFill>
              <w14:schemeClr w14:val="tx1"/>
            </w14:solidFill>
          </w14:textFill>
        </w:rPr>
        <w:t xml:space="preserve"> </w:t>
      </w:r>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 xml:space="preserve">ARRIVE guidelines statement: </w:t>
      </w:r>
      <w:r>
        <w:rPr>
          <w:rFonts w:ascii="Book Antiqua" w:hAnsi="Book Antiqua"/>
          <w:color w:val="000000" w:themeColor="text1"/>
          <w:kern w:val="0"/>
          <w:sz w:val="24"/>
          <w14:textFill>
            <w14:solidFill>
              <w14:schemeClr w14:val="tx1"/>
            </w14:solidFill>
          </w14:textFill>
        </w:rPr>
        <w:t>The authors have read the ARRIVE guidelines, and the manuscript was prepared and revised according to the ARRIVE guidelines.</w:t>
      </w: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Open-Access:</w:t>
      </w:r>
      <w:r>
        <w:rPr>
          <w:rFonts w:ascii="Book Antiqua" w:hAnsi="Book Antiqua"/>
          <w:color w:val="000000" w:themeColor="text1"/>
          <w:kern w:val="0"/>
          <w:sz w:val="24"/>
          <w14:textFill>
            <w14:solidFill>
              <w14:schemeClr w14:val="tx1"/>
            </w14:solidFill>
          </w14:textFill>
        </w:rPr>
        <w:t xml:space="preserve"> </w:t>
      </w:r>
      <w:bookmarkStart w:id="39" w:name="OLE_LINK193"/>
      <w:bookmarkStart w:id="40" w:name="OLE_LINK194"/>
      <w:r>
        <w:rPr>
          <w:rFonts w:ascii="Book Antiqua" w:hAnsi="Book Antiqua"/>
          <w:color w:val="000000" w:themeColor="text1"/>
          <w:kern w:val="0"/>
          <w:sz w:val="24"/>
          <w14:textFill>
            <w14:solidFill>
              <w14:schemeClr w14:val="tx1"/>
            </w14:solidFill>
          </w14:textFill>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sz w:val="24"/>
        </w:rPr>
        <w:fldChar w:fldCharType="begin"/>
      </w:r>
      <w:r>
        <w:rPr>
          <w:rFonts w:ascii="Book Antiqua" w:hAnsi="Book Antiqua"/>
          <w:sz w:val="24"/>
        </w:rPr>
        <w:instrText xml:space="preserve"> HYPERLINK "http://creativecommons.org/licenses/by-nc/4.0/"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http://creativecommons.org/licenses/by-nc/4.0/</w:t>
      </w:r>
      <w:r>
        <w:rPr>
          <w:rFonts w:ascii="Book Antiqua" w:hAnsi="Book Antiqua"/>
          <w:color w:val="000000" w:themeColor="text1"/>
          <w:kern w:val="0"/>
          <w:sz w:val="24"/>
          <w14:textFill>
            <w14:solidFill>
              <w14:schemeClr w14:val="tx1"/>
            </w14:solidFill>
          </w14:textFill>
        </w:rPr>
        <w:fldChar w:fldCharType="end"/>
      </w:r>
    </w:p>
    <w:bookmarkEnd w:id="39"/>
    <w:bookmarkEnd w:id="40"/>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widowControl/>
        <w:adjustRightInd w:val="0"/>
        <w:snapToGrid w:val="0"/>
        <w:spacing w:line="360" w:lineRule="auto"/>
        <w:rPr>
          <w:rFonts w:ascii="Book Antiqua" w:hAnsi="Book Antiqua"/>
          <w:b/>
          <w:bCs/>
          <w:kern w:val="0"/>
          <w:sz w:val="24"/>
          <w:highlight w:val="none"/>
          <w:lang w:eastAsia="pl-PL"/>
        </w:rPr>
      </w:pPr>
      <w:r>
        <w:rPr>
          <w:rFonts w:ascii="Book Antiqua" w:hAnsi="Book Antiqua"/>
          <w:b/>
          <w:bCs/>
          <w:kern w:val="0"/>
          <w:sz w:val="24"/>
          <w:highlight w:val="none"/>
          <w:lang w:eastAsia="pl-PL"/>
        </w:rPr>
        <w:t>Manuscript source:</w:t>
      </w:r>
      <w:r>
        <w:rPr>
          <w:rFonts w:ascii="Book Antiqua" w:hAnsi="Book Antiqua"/>
          <w:b/>
          <w:bCs/>
          <w:kern w:val="0"/>
          <w:sz w:val="24"/>
          <w:highlight w:val="none"/>
        </w:rPr>
        <w:t xml:space="preserve"> </w:t>
      </w:r>
      <w:r>
        <w:rPr>
          <w:rFonts w:ascii="Book Antiqua" w:hAnsi="Book Antiqua"/>
          <w:bCs/>
          <w:kern w:val="0"/>
          <w:sz w:val="24"/>
          <w:highlight w:val="none"/>
          <w:lang w:eastAsia="pl-PL"/>
        </w:rPr>
        <w:t xml:space="preserve">Unsolicited manuscript </w:t>
      </w: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Corresponding author</w:t>
      </w:r>
      <w:r>
        <w:rPr>
          <w:rFonts w:ascii="Book Antiqua" w:hAnsi="Book Antiqua"/>
          <w:b/>
          <w:bCs/>
          <w:color w:val="000000" w:themeColor="text1"/>
          <w:kern w:val="0"/>
          <w:sz w:val="24"/>
          <w14:textFill>
            <w14:solidFill>
              <w14:schemeClr w14:val="tx1"/>
            </w14:solidFill>
          </w14:textFill>
        </w:rPr>
        <w:t>:</w:t>
      </w:r>
      <w:r>
        <w:rPr>
          <w:rFonts w:ascii="Book Antiqua" w:hAnsi="Book Antiqua"/>
          <w:color w:val="000000" w:themeColor="text1"/>
          <w:kern w:val="0"/>
          <w:sz w:val="24"/>
          <w14:textFill>
            <w14:solidFill>
              <w14:schemeClr w14:val="tx1"/>
            </w14:solidFill>
          </w14:textFill>
        </w:rPr>
        <w:t xml:space="preserve"> </w:t>
      </w:r>
      <w:r>
        <w:rPr>
          <w:rFonts w:ascii="Book Antiqua" w:hAnsi="Book Antiqua"/>
          <w:b/>
          <w:color w:val="000000" w:themeColor="text1"/>
          <w:kern w:val="0"/>
          <w:sz w:val="24"/>
          <w14:textFill>
            <w14:solidFill>
              <w14:schemeClr w14:val="tx1"/>
            </w14:solidFill>
          </w14:textFill>
        </w:rPr>
        <w:t>Yong-Min Li, MD, PhD, Full Professor,</w:t>
      </w:r>
      <w:bookmarkStart w:id="41" w:name="OLE_LINK88"/>
      <w:r>
        <w:rPr>
          <w:rFonts w:ascii="Book Antiqua" w:hAnsi="Book Antiqua"/>
          <w:b/>
          <w:color w:val="000000" w:themeColor="text1"/>
          <w:kern w:val="0"/>
          <w:sz w:val="24"/>
          <w14:textFill>
            <w14:solidFill>
              <w14:schemeClr w14:val="tx1"/>
            </w14:solidFill>
          </w14:textFill>
        </w:rPr>
        <w:t xml:space="preserve"> </w:t>
      </w:r>
      <w:r>
        <w:rPr>
          <w:rFonts w:ascii="Book Antiqua" w:hAnsi="Book Antiqua"/>
          <w:color w:val="000000" w:themeColor="text1"/>
          <w:kern w:val="0"/>
          <w:sz w:val="24"/>
          <w14:textFill>
            <w14:solidFill>
              <w14:schemeClr w14:val="tx1"/>
            </w14:solidFill>
          </w14:textFill>
        </w:rPr>
        <w:t xml:space="preserve">Department of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Traditional</w:t>
      </w:r>
      <w:r>
        <w:rPr>
          <w:rFonts w:ascii="Book Antiqua" w:hAnsi="Book Antiqua"/>
          <w:color w:val="000000" w:themeColor="text1"/>
          <w:kern w:val="0"/>
          <w:sz w:val="24"/>
          <w14:textFill>
            <w14:solidFill>
              <w14:schemeClr w14:val="tx1"/>
            </w14:solidFill>
          </w14:textFill>
        </w:rPr>
        <w:fldChar w:fldCharType="end"/>
      </w:r>
      <w:r>
        <w:rPr>
          <w:rFonts w:ascii="Book Antiqua" w:hAnsi="Book Antiqua"/>
          <w:color w:val="000000" w:themeColor="text1"/>
          <w:kern w:val="0"/>
          <w:sz w:val="24"/>
          <w14:textFill>
            <w14:solidFill>
              <w14:schemeClr w14:val="tx1"/>
            </w14:solidFill>
          </w14:textFill>
        </w:rPr>
        <w:t xml:space="preserve">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Chinese</w:t>
      </w:r>
      <w:r>
        <w:rPr>
          <w:rFonts w:ascii="Book Antiqua" w:hAnsi="Book Antiqua"/>
          <w:color w:val="000000" w:themeColor="text1"/>
          <w:kern w:val="0"/>
          <w:sz w:val="24"/>
          <w14:textFill>
            <w14:solidFill>
              <w14:schemeClr w14:val="tx1"/>
            </w14:solidFill>
          </w14:textFill>
        </w:rPr>
        <w:fldChar w:fldCharType="end"/>
      </w:r>
      <w:r>
        <w:rPr>
          <w:rFonts w:ascii="Book Antiqua" w:hAnsi="Book Antiqua"/>
          <w:color w:val="000000" w:themeColor="text1"/>
          <w:kern w:val="0"/>
          <w:sz w:val="24"/>
          <w14:textFill>
            <w14:solidFill>
              <w14:schemeClr w14:val="tx1"/>
            </w14:solidFill>
          </w14:textFill>
        </w:rPr>
        <w:t xml:space="preserve">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kern w:val="0"/>
          <w:sz w:val="24"/>
          <w14:textFill>
            <w14:solidFill>
              <w14:schemeClr w14:val="tx1"/>
            </w14:solidFill>
          </w14:textFill>
        </w:rPr>
        <w:t>Medicine</w:t>
      </w:r>
      <w:r>
        <w:rPr>
          <w:rFonts w:ascii="Book Antiqua" w:hAnsi="Book Antiqua"/>
          <w:color w:val="000000" w:themeColor="text1"/>
          <w:kern w:val="0"/>
          <w:sz w:val="24"/>
          <w14:textFill>
            <w14:solidFill>
              <w14:schemeClr w14:val="tx1"/>
            </w14:solidFill>
          </w14:textFill>
        </w:rPr>
        <w:fldChar w:fldCharType="end"/>
      </w:r>
      <w:r>
        <w:rPr>
          <w:rFonts w:ascii="Book Antiqua" w:hAnsi="Book Antiqua"/>
          <w:color w:val="000000" w:themeColor="text1"/>
          <w:kern w:val="0"/>
          <w:sz w:val="24"/>
          <w14:textFill>
            <w14:solidFill>
              <w14:schemeClr w14:val="tx1"/>
            </w14:solidFill>
          </w14:textFill>
        </w:rPr>
        <w:t xml:space="preserve">, </w:t>
      </w:r>
      <w:bookmarkStart w:id="42" w:name="OLE_LINK1"/>
      <w:r>
        <w:rPr>
          <w:rFonts w:ascii="Book Antiqua" w:hAnsi="Book Antiqua"/>
          <w:color w:val="000000" w:themeColor="text1"/>
          <w:kern w:val="0"/>
          <w:sz w:val="24"/>
          <w14:textFill>
            <w14:solidFill>
              <w14:schemeClr w14:val="tx1"/>
            </w14:solidFill>
          </w14:textFill>
        </w:rPr>
        <w:t>Hebei North University</w:t>
      </w:r>
      <w:bookmarkEnd w:id="42"/>
      <w:r>
        <w:rPr>
          <w:rFonts w:ascii="Book Antiqua" w:hAnsi="Book Antiqua"/>
          <w:color w:val="000000" w:themeColor="text1"/>
          <w:kern w:val="0"/>
          <w:sz w:val="24"/>
          <w14:textFill>
            <w14:solidFill>
              <w14:schemeClr w14:val="tx1"/>
            </w14:solidFill>
          </w14:textFill>
        </w:rPr>
        <w:t xml:space="preserve">, No. 11, Diamond South Road, Zhangjiakou 075000, </w:t>
      </w:r>
      <w:bookmarkStart w:id="43" w:name="OLE_LINK189"/>
      <w:bookmarkStart w:id="44" w:name="OLE_LINK190"/>
      <w:r>
        <w:rPr>
          <w:rFonts w:ascii="Book Antiqua" w:hAnsi="Book Antiqua"/>
          <w:color w:val="000000" w:themeColor="text1"/>
          <w:kern w:val="0"/>
          <w:sz w:val="24"/>
          <w14:textFill>
            <w14:solidFill>
              <w14:schemeClr w14:val="tx1"/>
            </w14:solidFill>
          </w14:textFill>
        </w:rPr>
        <w:t>Hebei Province</w:t>
      </w:r>
      <w:bookmarkEnd w:id="43"/>
      <w:bookmarkEnd w:id="44"/>
      <w:r>
        <w:rPr>
          <w:rFonts w:ascii="Book Antiqua" w:hAnsi="Book Antiqua"/>
          <w:color w:val="000000" w:themeColor="text1"/>
          <w:kern w:val="0"/>
          <w:sz w:val="24"/>
          <w14:textFill>
            <w14:solidFill>
              <w14:schemeClr w14:val="tx1"/>
            </w14:solidFill>
          </w14:textFill>
        </w:rPr>
        <w:t xml:space="preserve">, China. </w:t>
      </w:r>
      <w:bookmarkStart w:id="45" w:name="OLE_LINK104"/>
      <w:r>
        <w:rPr>
          <w:rFonts w:ascii="Book Antiqua" w:hAnsi="Book Antiqua"/>
          <w:color w:val="000000" w:themeColor="text1"/>
          <w:kern w:val="0"/>
          <w:sz w:val="24"/>
          <w14:textFill>
            <w14:solidFill>
              <w14:schemeClr w14:val="tx1"/>
            </w14:solidFill>
          </w14:textFill>
        </w:rPr>
        <w:t>zyxylym@hebeinu.edu.cn</w:t>
      </w:r>
      <w:bookmarkEnd w:id="45"/>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Telephone:</w:t>
      </w:r>
      <w:r>
        <w:rPr>
          <w:rFonts w:ascii="Book Antiqua" w:hAnsi="Book Antiqua"/>
          <w:color w:val="000000" w:themeColor="text1"/>
          <w:kern w:val="0"/>
          <w:sz w:val="24"/>
          <w14:textFill>
            <w14:solidFill>
              <w14:schemeClr w14:val="tx1"/>
            </w14:solidFill>
          </w14:textFill>
        </w:rPr>
        <w:t xml:space="preserve"> </w:t>
      </w:r>
      <w:bookmarkStart w:id="46" w:name="OLE_LINK192"/>
      <w:bookmarkStart w:id="47" w:name="OLE_LINK191"/>
      <w:r>
        <w:rPr>
          <w:rFonts w:ascii="Book Antiqua" w:hAnsi="Book Antiqua"/>
          <w:color w:val="000000" w:themeColor="text1"/>
          <w:kern w:val="0"/>
          <w:sz w:val="24"/>
          <w14:textFill>
            <w14:solidFill>
              <w14:schemeClr w14:val="tx1"/>
            </w14:solidFill>
          </w14:textFill>
        </w:rPr>
        <w:t>+86-313-4029228</w:t>
      </w:r>
      <w:bookmarkEnd w:id="46"/>
      <w:bookmarkEnd w:id="47"/>
    </w:p>
    <w:p>
      <w:pPr>
        <w:autoSpaceDE w:val="0"/>
        <w:autoSpaceDN w:val="0"/>
        <w:adjustRightInd w:val="0"/>
        <w:snapToGrid w:val="0"/>
        <w:spacing w:line="360" w:lineRule="auto"/>
        <w:rPr>
          <w:rFonts w:ascii="Book Antiqua" w:hAnsi="Book Antiqua"/>
          <w:color w:val="000000" w:themeColor="text1"/>
          <w:kern w:val="0"/>
          <w:sz w:val="24"/>
          <w14:textFill>
            <w14:solidFill>
              <w14:schemeClr w14:val="tx1"/>
            </w14:solidFill>
          </w14:textFill>
        </w:rPr>
      </w:pPr>
      <w:r>
        <w:rPr>
          <w:rFonts w:ascii="Book Antiqua" w:hAnsi="Book Antiqua"/>
          <w:b/>
          <w:bCs/>
          <w:color w:val="000000" w:themeColor="text1"/>
          <w:kern w:val="0"/>
          <w:sz w:val="24"/>
          <w14:textFill>
            <w14:solidFill>
              <w14:schemeClr w14:val="tx1"/>
            </w14:solidFill>
          </w14:textFill>
        </w:rPr>
        <w:t>Fax:</w:t>
      </w:r>
      <w:r>
        <w:rPr>
          <w:rFonts w:ascii="Book Antiqua" w:hAnsi="Book Antiqua"/>
          <w:color w:val="000000" w:themeColor="text1"/>
          <w:kern w:val="0"/>
          <w:sz w:val="24"/>
          <w14:textFill>
            <w14:solidFill>
              <w14:schemeClr w14:val="tx1"/>
            </w14:solidFill>
          </w14:textFill>
        </w:rPr>
        <w:t xml:space="preserve"> +86-313-</w:t>
      </w:r>
      <w:bookmarkStart w:id="48" w:name="OLE_LINK23"/>
      <w:r>
        <w:rPr>
          <w:rFonts w:ascii="Book Antiqua" w:hAnsi="Book Antiqua"/>
          <w:color w:val="000000" w:themeColor="text1"/>
          <w:kern w:val="0"/>
          <w:sz w:val="24"/>
          <w14:textFill>
            <w14:solidFill>
              <w14:schemeClr w14:val="tx1"/>
            </w14:solidFill>
          </w14:textFill>
        </w:rPr>
        <w:t>4029228</w:t>
      </w:r>
      <w:bookmarkEnd w:id="48"/>
    </w:p>
    <w:bookmarkEnd w:id="41"/>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p>
    <w:p>
      <w:pPr>
        <w:widowControl/>
        <w:adjustRightInd w:val="0"/>
        <w:snapToGrid w:val="0"/>
        <w:spacing w:line="360" w:lineRule="auto"/>
        <w:rPr>
          <w:rFonts w:ascii="Book Antiqua" w:hAnsi="Book Antiqua"/>
          <w:b/>
          <w:kern w:val="0"/>
          <w:sz w:val="24"/>
        </w:rPr>
      </w:pPr>
      <w:bookmarkStart w:id="49" w:name="OLE_LINK382"/>
      <w:bookmarkStart w:id="50" w:name="OLE_LINK376"/>
      <w:r>
        <w:rPr>
          <w:rFonts w:ascii="Book Antiqua" w:hAnsi="Book Antiqua"/>
          <w:b/>
          <w:kern w:val="0"/>
          <w:sz w:val="24"/>
        </w:rPr>
        <w:t xml:space="preserve">Received: </w:t>
      </w:r>
      <w:bookmarkStart w:id="51" w:name="OLE_LINK137"/>
      <w:bookmarkStart w:id="52" w:name="OLE_LINK136"/>
      <w:r>
        <w:rPr>
          <w:rFonts w:ascii="Book Antiqua" w:hAnsi="Book Antiqua"/>
          <w:kern w:val="0"/>
          <w:sz w:val="24"/>
        </w:rPr>
        <w:t>February</w:t>
      </w:r>
      <w:r>
        <w:rPr>
          <w:rFonts w:ascii="Book Antiqua" w:hAnsi="Book Antiqua" w:eastAsia="DengXian"/>
          <w:kern w:val="0"/>
          <w:sz w:val="24"/>
        </w:rPr>
        <w:t xml:space="preserve"> 21, 2019</w:t>
      </w:r>
      <w:bookmarkEnd w:id="51"/>
      <w:bookmarkEnd w:id="52"/>
    </w:p>
    <w:p>
      <w:pPr>
        <w:widowControl/>
        <w:adjustRightInd w:val="0"/>
        <w:snapToGrid w:val="0"/>
        <w:spacing w:line="360" w:lineRule="auto"/>
        <w:rPr>
          <w:rFonts w:ascii="Book Antiqua" w:hAnsi="Book Antiqua" w:eastAsia="DengXian"/>
          <w:b/>
          <w:kern w:val="0"/>
          <w:sz w:val="24"/>
        </w:rPr>
      </w:pPr>
      <w:r>
        <w:rPr>
          <w:rFonts w:ascii="Book Antiqua" w:hAnsi="Book Antiqua"/>
          <w:b/>
          <w:kern w:val="0"/>
          <w:sz w:val="24"/>
        </w:rPr>
        <w:t>Peer-review started:</w:t>
      </w:r>
      <w:r>
        <w:rPr>
          <w:rFonts w:ascii="Book Antiqua" w:hAnsi="Book Antiqua" w:eastAsia="DengXian"/>
          <w:b/>
          <w:kern w:val="0"/>
          <w:sz w:val="24"/>
        </w:rPr>
        <w:t xml:space="preserve"> </w:t>
      </w:r>
      <w:bookmarkStart w:id="53" w:name="OLE_LINK139"/>
      <w:bookmarkStart w:id="54" w:name="OLE_LINK138"/>
      <w:r>
        <w:rPr>
          <w:rFonts w:ascii="Book Antiqua" w:hAnsi="Book Antiqua"/>
          <w:kern w:val="0"/>
          <w:sz w:val="24"/>
        </w:rPr>
        <w:t>February</w:t>
      </w:r>
      <w:r>
        <w:rPr>
          <w:rFonts w:ascii="Book Antiqua" w:hAnsi="Book Antiqua" w:eastAsia="DengXian"/>
          <w:kern w:val="0"/>
          <w:sz w:val="24"/>
        </w:rPr>
        <w:t xml:space="preserve"> 22, 2019</w:t>
      </w:r>
      <w:bookmarkEnd w:id="53"/>
      <w:bookmarkEnd w:id="54"/>
    </w:p>
    <w:p>
      <w:pPr>
        <w:widowControl/>
        <w:adjustRightInd w:val="0"/>
        <w:snapToGrid w:val="0"/>
        <w:spacing w:line="360" w:lineRule="auto"/>
        <w:rPr>
          <w:rFonts w:ascii="Book Antiqua" w:hAnsi="Book Antiqua" w:eastAsia="DengXian"/>
          <w:b/>
          <w:kern w:val="0"/>
          <w:sz w:val="24"/>
        </w:rPr>
      </w:pPr>
      <w:r>
        <w:rPr>
          <w:rFonts w:ascii="Book Antiqua" w:hAnsi="Book Antiqua"/>
          <w:b/>
          <w:kern w:val="0"/>
          <w:sz w:val="24"/>
        </w:rPr>
        <w:t>First decision:</w:t>
      </w:r>
      <w:r>
        <w:rPr>
          <w:rFonts w:ascii="Book Antiqua" w:hAnsi="Book Antiqua" w:eastAsia="DengXian"/>
          <w:b/>
          <w:kern w:val="0"/>
          <w:sz w:val="24"/>
        </w:rPr>
        <w:t xml:space="preserve"> </w:t>
      </w:r>
      <w:r>
        <w:rPr>
          <w:rFonts w:ascii="Book Antiqua" w:hAnsi="Book Antiqua"/>
          <w:kern w:val="0"/>
          <w:sz w:val="24"/>
        </w:rPr>
        <w:t>February</w:t>
      </w:r>
      <w:r>
        <w:rPr>
          <w:rFonts w:ascii="Book Antiqua" w:hAnsi="Book Antiqua" w:eastAsia="DengXian"/>
          <w:kern w:val="0"/>
          <w:sz w:val="24"/>
        </w:rPr>
        <w:t xml:space="preserve"> 26, 2019</w:t>
      </w:r>
    </w:p>
    <w:p>
      <w:pPr>
        <w:widowControl/>
        <w:adjustRightInd w:val="0"/>
        <w:snapToGrid w:val="0"/>
        <w:spacing w:line="360" w:lineRule="auto"/>
        <w:rPr>
          <w:rFonts w:ascii="Book Antiqua" w:hAnsi="Book Antiqua"/>
          <w:b/>
          <w:kern w:val="0"/>
          <w:sz w:val="24"/>
        </w:rPr>
      </w:pPr>
      <w:r>
        <w:rPr>
          <w:rFonts w:ascii="Book Antiqua" w:hAnsi="Book Antiqua"/>
          <w:b/>
          <w:kern w:val="0"/>
          <w:sz w:val="24"/>
        </w:rPr>
        <w:t xml:space="preserve">Revised: </w:t>
      </w:r>
      <w:r>
        <w:rPr>
          <w:rFonts w:ascii="Book Antiqua" w:hAnsi="Book Antiqua"/>
          <w:kern w:val="0"/>
          <w:sz w:val="24"/>
        </w:rPr>
        <w:t>May</w:t>
      </w:r>
      <w:r>
        <w:rPr>
          <w:rFonts w:ascii="Book Antiqua" w:hAnsi="Book Antiqua" w:eastAsia="DengXian"/>
          <w:kern w:val="0"/>
          <w:sz w:val="24"/>
        </w:rPr>
        <w:t xml:space="preserve"> 28, 2019</w:t>
      </w:r>
    </w:p>
    <w:p>
      <w:pPr>
        <w:widowControl/>
        <w:adjustRightInd w:val="0"/>
        <w:snapToGrid w:val="0"/>
        <w:spacing w:line="360" w:lineRule="auto"/>
        <w:rPr>
          <w:rFonts w:ascii="Book Antiqua" w:hAnsi="Book Antiqua"/>
          <w:b/>
          <w:kern w:val="0"/>
          <w:sz w:val="24"/>
        </w:rPr>
      </w:pPr>
      <w:r>
        <w:rPr>
          <w:rFonts w:ascii="Book Antiqua" w:hAnsi="Book Antiqua"/>
          <w:b/>
          <w:kern w:val="0"/>
          <w:sz w:val="24"/>
        </w:rPr>
        <w:t>Accepted:</w:t>
      </w:r>
      <w:r>
        <w:rPr>
          <w:rFonts w:ascii="Book Antiqua" w:hAnsi="Book Antiqua"/>
          <w:sz w:val="24"/>
        </w:rPr>
        <w:t xml:space="preserve"> </w:t>
      </w:r>
      <w:r>
        <w:rPr>
          <w:rFonts w:ascii="Book Antiqua" w:hAnsi="Book Antiqua"/>
          <w:kern w:val="0"/>
          <w:sz w:val="24"/>
        </w:rPr>
        <w:t>May 31, 2019</w:t>
      </w:r>
      <w:r>
        <w:rPr>
          <w:rFonts w:ascii="Book Antiqua" w:hAnsi="Book Antiqua"/>
          <w:b/>
          <w:kern w:val="0"/>
          <w:sz w:val="24"/>
        </w:rPr>
        <w:t xml:space="preserve"> </w:t>
      </w:r>
    </w:p>
    <w:p>
      <w:pPr>
        <w:widowControl/>
        <w:adjustRightInd w:val="0"/>
        <w:snapToGrid w:val="0"/>
        <w:spacing w:line="360" w:lineRule="auto"/>
        <w:rPr>
          <w:rFonts w:ascii="Book Antiqua" w:hAnsi="Book Antiqua"/>
          <w:b/>
          <w:kern w:val="0"/>
          <w:sz w:val="24"/>
        </w:rPr>
      </w:pPr>
      <w:r>
        <w:rPr>
          <w:rFonts w:ascii="Book Antiqua" w:hAnsi="Book Antiqua"/>
          <w:b/>
          <w:kern w:val="0"/>
          <w:sz w:val="24"/>
        </w:rPr>
        <w:t>Article in press:</w:t>
      </w:r>
    </w:p>
    <w:p>
      <w:pPr>
        <w:widowControl/>
        <w:snapToGrid w:val="0"/>
        <w:spacing w:line="360" w:lineRule="auto"/>
        <w:rPr>
          <w:rFonts w:ascii="Book Antiqua" w:hAnsi="Book Antiqua"/>
          <w:color w:val="000000"/>
          <w:kern w:val="0"/>
          <w:sz w:val="24"/>
        </w:rPr>
      </w:pPr>
      <w:r>
        <w:rPr>
          <w:rFonts w:ascii="Book Antiqua" w:hAnsi="Book Antiqua"/>
          <w:b/>
          <w:kern w:val="0"/>
          <w:sz w:val="24"/>
        </w:rPr>
        <w:t>Published online:</w:t>
      </w:r>
      <w:bookmarkEnd w:id="49"/>
      <w:bookmarkEnd w:id="50"/>
    </w:p>
    <w:p>
      <w:pPr>
        <w:widowControl/>
        <w:snapToGrid w:val="0"/>
        <w:spacing w:line="360" w:lineRule="auto"/>
        <w:jc w:val="left"/>
        <w:rPr>
          <w:rFonts w:ascii="Book Antiqua" w:hAnsi="Book Antiqua"/>
          <w:b/>
          <w:bCs/>
          <w:color w:val="000000" w:themeColor="text1"/>
          <w:sz w:val="24"/>
          <w14:textFill>
            <w14:solidFill>
              <w14:schemeClr w14:val="tx1"/>
            </w14:solidFill>
          </w14:textFill>
        </w:rPr>
      </w:pPr>
      <w:bookmarkStart w:id="55" w:name="OLE_LINK116"/>
      <w:r>
        <w:rPr>
          <w:rFonts w:ascii="Book Antiqua" w:hAnsi="Book Antiqua"/>
          <w:b/>
          <w:bCs/>
          <w:color w:val="000000" w:themeColor="text1"/>
          <w:sz w:val="24"/>
          <w14:textFill>
            <w14:solidFill>
              <w14:schemeClr w14:val="tx1"/>
            </w14:solidFill>
          </w14:textFill>
        </w:rPr>
        <w:br w:type="page"/>
      </w:r>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Abstract</w:t>
      </w: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bookmarkStart w:id="56" w:name="OLE_LINK105"/>
      <w:r>
        <w:rPr>
          <w:rFonts w:ascii="Book Antiqua" w:hAnsi="Book Antiqua"/>
          <w:b/>
          <w:bCs/>
          <w:i/>
          <w:iCs/>
          <w:color w:val="000000" w:themeColor="text1"/>
          <w:sz w:val="24"/>
          <w14:textFill>
            <w14:solidFill>
              <w14:schemeClr w14:val="tx1"/>
            </w14:solidFill>
          </w14:textFill>
        </w:rPr>
        <w:t>BACKGROUND</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bookmarkStart w:id="57" w:name="OLE_LINK109"/>
      <w:bookmarkStart w:id="58" w:name="OLE_LINK117"/>
      <w:r>
        <w:rPr>
          <w:rFonts w:ascii="Book Antiqua" w:hAnsi="Book Antiqua"/>
          <w:color w:val="000000" w:themeColor="text1"/>
          <w:sz w:val="24"/>
          <w14:textFill>
            <w14:solidFill>
              <w14:schemeClr w14:val="tx1"/>
            </w14:solidFill>
          </w14:textFill>
        </w:rPr>
        <w:t>Non-alcoholic fatty liver disease</w:t>
      </w:r>
      <w:bookmarkEnd w:id="57"/>
      <w:bookmarkEnd w:id="58"/>
      <w:r>
        <w:rPr>
          <w:rFonts w:ascii="Book Antiqua" w:hAnsi="Book Antiqua"/>
          <w:color w:val="000000" w:themeColor="text1"/>
          <w:sz w:val="24"/>
          <w14:textFill>
            <w14:solidFill>
              <w14:schemeClr w14:val="tx1"/>
            </w14:solidFill>
          </w14:textFill>
        </w:rPr>
        <w:t xml:space="preserve"> (NAFLD) is a common chronic liver disease worldwide. However, to date, </w:t>
      </w:r>
      <w:bookmarkStart w:id="59" w:name="OLE_LINK90"/>
      <w:r>
        <w:rPr>
          <w:rFonts w:ascii="Book Antiqua" w:hAnsi="Book Antiqua"/>
          <w:color w:val="000000" w:themeColor="text1"/>
          <w:sz w:val="24"/>
          <w14:textFill>
            <w14:solidFill>
              <w14:schemeClr w14:val="tx1"/>
            </w14:solidFill>
          </w14:textFill>
        </w:rPr>
        <w:t>there is no ideal therapy for this disease.</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bookmarkEnd w:id="56"/>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bookmarkStart w:id="60" w:name="OLE_LINK106"/>
      <w:r>
        <w:rPr>
          <w:rFonts w:ascii="Book Antiqua" w:hAnsi="Book Antiqua"/>
          <w:b/>
          <w:bCs/>
          <w:i/>
          <w:iCs/>
          <w:color w:val="000000" w:themeColor="text1"/>
          <w:sz w:val="24"/>
          <w14:textFill>
            <w14:solidFill>
              <w14:schemeClr w14:val="tx1"/>
            </w14:solidFill>
          </w14:textFill>
        </w:rPr>
        <w:t>AIM</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To study </w:t>
      </w:r>
      <w:bookmarkStart w:id="61" w:name="OLE_LINK80"/>
      <w:r>
        <w:rPr>
          <w:rFonts w:ascii="Book Antiqua" w:hAnsi="Book Antiqua"/>
          <w:color w:val="000000" w:themeColor="text1"/>
          <w:sz w:val="24"/>
          <w14:textFill>
            <w14:solidFill>
              <w14:schemeClr w14:val="tx1"/>
            </w14:solidFill>
          </w14:textFill>
        </w:rPr>
        <w:t>the effects of Si-Ni-San freeze-dried powder on high fat diet-induced NAFLD in mice.</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bookmarkEnd w:id="59"/>
    <w:bookmarkEnd w:id="60"/>
    <w:bookmarkEnd w:id="61"/>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bookmarkStart w:id="62" w:name="OLE_LINK91"/>
      <w:r>
        <w:rPr>
          <w:rFonts w:ascii="Book Antiqua" w:hAnsi="Book Antiqua"/>
          <w:b/>
          <w:bCs/>
          <w:i/>
          <w:iCs/>
          <w:color w:val="000000" w:themeColor="text1"/>
          <w:sz w:val="24"/>
          <w14:textFill>
            <w14:solidFill>
              <w14:schemeClr w14:val="tx1"/>
            </w14:solidFill>
          </w14:textFill>
        </w:rPr>
        <w:t>METHODS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Twenty-four male C57BL/6 mice were randomized into three groups of eight. The control group (CON) was allowed </w:t>
      </w:r>
      <w:r>
        <w:rPr>
          <w:rFonts w:ascii="Book Antiqua" w:hAnsi="Book Antiqua"/>
          <w:i/>
          <w:iCs/>
          <w:color w:val="000000" w:themeColor="text1"/>
          <w:sz w:val="24"/>
          <w14:textFill>
            <w14:solidFill>
              <w14:schemeClr w14:val="tx1"/>
            </w14:solidFill>
          </w14:textFill>
        </w:rPr>
        <w:t>ad libitum</w:t>
      </w:r>
      <w:r>
        <w:rPr>
          <w:rFonts w:ascii="Book Antiqua" w:hAnsi="Book Antiqua"/>
          <w:color w:val="000000" w:themeColor="text1"/>
          <w:sz w:val="24"/>
          <w14:textFill>
            <w14:solidFill>
              <w14:schemeClr w14:val="tx1"/>
            </w14:solidFill>
          </w14:textFill>
        </w:rPr>
        <w:t xml:space="preserve"> access to a normal chow diet. The high fat diet group (FAT) and </w:t>
      </w:r>
      <w:bookmarkStart w:id="63" w:name="OLE_LINK102"/>
      <w:r>
        <w:rPr>
          <w:rFonts w:ascii="Book Antiqua" w:hAnsi="Book Antiqua"/>
          <w:color w:val="000000" w:themeColor="text1"/>
          <w:sz w:val="24"/>
          <w14:textFill>
            <w14:solidFill>
              <w14:schemeClr w14:val="tx1"/>
            </w14:solidFill>
          </w14:textFill>
        </w:rPr>
        <w:t>Si-Ni-San</w:t>
      </w:r>
      <w:bookmarkEnd w:id="63"/>
      <w:r>
        <w:rPr>
          <w:rFonts w:ascii="Book Antiqua" w:hAnsi="Book Antiqua"/>
          <w:color w:val="000000" w:themeColor="text1"/>
          <w:sz w:val="24"/>
          <w14:textFill>
            <w14:solidFill>
              <w14:schemeClr w14:val="tx1"/>
            </w14:solidFill>
          </w14:textFill>
        </w:rPr>
        <w:t xml:space="preserve"> group (SNS) were allowed </w:t>
      </w:r>
      <w:r>
        <w:rPr>
          <w:rFonts w:ascii="Book Antiqua" w:hAnsi="Book Antiqua"/>
          <w:i/>
          <w:iCs/>
          <w:color w:val="000000" w:themeColor="text1"/>
          <w:sz w:val="24"/>
          <w14:textFill>
            <w14:solidFill>
              <w14:schemeClr w14:val="tx1"/>
            </w14:solidFill>
          </w14:textFill>
        </w:rPr>
        <w:t>ad libitum</w:t>
      </w:r>
      <w:r>
        <w:rPr>
          <w:rFonts w:ascii="Book Antiqua" w:hAnsi="Book Antiqua"/>
          <w:color w:val="000000" w:themeColor="text1"/>
          <w:sz w:val="24"/>
          <w14:textFill>
            <w14:solidFill>
              <w14:schemeClr w14:val="tx1"/>
            </w14:solidFill>
          </w14:textFill>
        </w:rPr>
        <w:t xml:space="preserve"> access to a high fat diet. The SNS group was intragastrically administered Si-Ni-San freeze-dried powder (5.0 g/kg) once daily, and the CON and FAT groups were intragastrically administered distilled water. After 12 wk, body weight, liver index, visceral fat index, serum </w:t>
      </w:r>
      <w:bookmarkStart w:id="64" w:name="OLE_LINK162"/>
      <w:bookmarkStart w:id="65" w:name="OLE_LINK163"/>
      <w:r>
        <w:rPr>
          <w:rFonts w:ascii="Book Antiqua" w:hAnsi="Book Antiqua"/>
          <w:color w:val="000000" w:themeColor="text1"/>
          <w:sz w:val="24"/>
          <w14:textFill>
            <w14:solidFill>
              <w14:schemeClr w14:val="tx1"/>
            </w14:solidFill>
          </w14:textFill>
        </w:rPr>
        <w:t>alanine aminotransferase (ALT), portal lipopolysaccharide (LPS)</w:t>
      </w:r>
      <w:bookmarkEnd w:id="64"/>
      <w:bookmarkEnd w:id="65"/>
      <w:r>
        <w:rPr>
          <w:rFonts w:ascii="Book Antiqua" w:hAnsi="Book Antiqua"/>
          <w:color w:val="000000" w:themeColor="text1"/>
          <w:sz w:val="24"/>
          <w14:textFill>
            <w14:solidFill>
              <w14:schemeClr w14:val="tx1"/>
            </w14:solidFill>
          </w14:textFill>
        </w:rPr>
        <w:t>, liver tumor necrosis factor (TNF)-α and liver triglycerides were measured. Intestinal microbiota were analyzed using a 16S r DNA sequencing technique.</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bookmarkEnd w:id="62"/>
    <w:p>
      <w:pPr>
        <w:adjustRightInd w:val="0"/>
        <w:snapToGrid w:val="0"/>
        <w:spacing w:line="360" w:lineRule="auto"/>
        <w:rPr>
          <w:rFonts w:ascii="Book Antiqua" w:hAnsi="Book Antiqua"/>
          <w:b/>
          <w:bCs/>
          <w:color w:val="000000" w:themeColor="text1"/>
          <w:sz w:val="24"/>
          <w14:textFill>
            <w14:solidFill>
              <w14:schemeClr w14:val="tx1"/>
            </w14:solidFill>
          </w14:textFill>
        </w:rPr>
      </w:pPr>
      <w:bookmarkStart w:id="66" w:name="OLE_LINK92"/>
      <w:r>
        <w:rPr>
          <w:rFonts w:ascii="Book Antiqua" w:hAnsi="Book Antiqua"/>
          <w:b/>
          <w:bCs/>
          <w:i/>
          <w:iCs/>
          <w:color w:val="000000" w:themeColor="text1"/>
          <w:sz w:val="24"/>
          <w14:textFill>
            <w14:solidFill>
              <w14:schemeClr w14:val="tx1"/>
            </w14:solidFill>
          </w14:textFill>
        </w:rPr>
        <w:t>RESULTS</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Compared with the FAT group, the SNS group exhibited decreased body weight, liver index, visceral fat index, serum ALT, portal LPS, liver TNF-α and liver triglycerides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Intestinal microbiota analysis showed that the SNS group had different bacterial composition and function compared with the FAT group. </w:t>
      </w:r>
      <w:bookmarkStart w:id="67" w:name="OLE_LINK82"/>
      <w:r>
        <w:rPr>
          <w:rFonts w:ascii="Book Antiqua" w:hAnsi="Book Antiqua"/>
          <w:color w:val="000000" w:themeColor="text1"/>
          <w:sz w:val="24"/>
          <w14:textFill>
            <w14:solidFill>
              <w14:schemeClr w14:val="tx1"/>
            </w14:solidFill>
          </w14:textFill>
        </w:rPr>
        <w:t xml:space="preserve">In particular,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genus was a bacterial biomarker of SNS group samples.</w:t>
      </w:r>
    </w:p>
    <w:p>
      <w:pPr>
        <w:adjustRightInd w:val="0"/>
        <w:snapToGrid w:val="0"/>
        <w:spacing w:line="360" w:lineRule="auto"/>
        <w:rPr>
          <w:rFonts w:ascii="Book Antiqua" w:hAnsi="Book Antiqua"/>
          <w:color w:val="000000" w:themeColor="text1"/>
          <w:sz w:val="24"/>
          <w14:textFill>
            <w14:solidFill>
              <w14:schemeClr w14:val="tx1"/>
            </w14:solidFill>
          </w14:textFill>
        </w:rPr>
      </w:pPr>
    </w:p>
    <w:bookmarkEnd w:id="66"/>
    <w:bookmarkEnd w:id="67"/>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bookmarkStart w:id="68" w:name="OLE_LINK93"/>
      <w:r>
        <w:rPr>
          <w:rFonts w:ascii="Book Antiqua" w:hAnsi="Book Antiqua"/>
          <w:b/>
          <w:bCs/>
          <w:i/>
          <w:iCs/>
          <w:color w:val="000000" w:themeColor="text1"/>
          <w:sz w:val="24"/>
          <w14:textFill>
            <w14:solidFill>
              <w14:schemeClr w14:val="tx1"/>
            </w14:solidFill>
          </w14:textFill>
        </w:rPr>
        <w:t>CONCLUSION</w:t>
      </w:r>
      <w:bookmarkStart w:id="69" w:name="OLE_LINK81"/>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The beneficial effects of Si-Ni-San freeze-dried powder on high fat diet-induced NAFLD in mice may be associated with its anti-inflammatory and changing intestinal microbiota effects</w:t>
      </w:r>
      <w:bookmarkEnd w:id="69"/>
      <w:r>
        <w:rPr>
          <w:rFonts w:ascii="Book Antiqua" w:hAnsi="Book Antiqua"/>
          <w:color w:val="000000" w:themeColor="text1"/>
          <w:sz w:val="24"/>
          <w14:textFill>
            <w14:solidFill>
              <w14:schemeClr w14:val="tx1"/>
            </w14:solidFill>
          </w14:textFill>
        </w:rPr>
        <w:t>.</w:t>
      </w:r>
      <w:bookmarkEnd w:id="68"/>
      <w:r>
        <w:rPr>
          <w:rFonts w:ascii="Book Antiqua" w:hAnsi="Book Antiqua"/>
          <w:color w:val="000000" w:themeColor="text1"/>
          <w:sz w:val="24"/>
          <w14:textFill>
            <w14:solidFill>
              <w14:schemeClr w14:val="tx1"/>
            </w14:solidFill>
          </w14:textFill>
        </w:rPr>
        <w:t xml:space="preserve"> </w:t>
      </w:r>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 xml:space="preserve">Key words: </w:t>
      </w:r>
      <w:bookmarkStart w:id="70" w:name="OLE_LINK94"/>
      <w:bookmarkStart w:id="71" w:name="OLE_LINK196"/>
      <w:bookmarkStart w:id="72" w:name="OLE_LINK195"/>
      <w:r>
        <w:rPr>
          <w:rFonts w:ascii="Book Antiqua" w:hAnsi="Book Antiqua"/>
          <w:color w:val="000000" w:themeColor="text1"/>
          <w:sz w:val="24"/>
          <w14:textFill>
            <w14:solidFill>
              <w14:schemeClr w14:val="tx1"/>
            </w14:solidFill>
          </w14:textFill>
        </w:rPr>
        <w:t>Nonalcoholic fatty liver disease; Si-Ni-San; High fat diet;</w:t>
      </w:r>
      <w:bookmarkEnd w:id="70"/>
      <w:r>
        <w:rPr>
          <w:rFonts w:ascii="Book Antiqua" w:hAnsi="Book Antiqua"/>
          <w:color w:val="000000" w:themeColor="text1"/>
          <w:sz w:val="24"/>
          <w14:textFill>
            <w14:solidFill>
              <w14:schemeClr w14:val="tx1"/>
            </w14:solidFill>
          </w14:textFill>
        </w:rPr>
        <w:t xml:space="preserve"> </w:t>
      </w:r>
      <w:bookmarkStart w:id="73" w:name="OLE_LINK95"/>
      <w:r>
        <w:rPr>
          <w:rFonts w:ascii="Book Antiqua" w:hAnsi="Book Antiqua"/>
          <w:color w:val="000000" w:themeColor="text1"/>
          <w:sz w:val="24"/>
          <w14:textFill>
            <w14:solidFill>
              <w14:schemeClr w14:val="tx1"/>
            </w14:solidFill>
          </w14:textFill>
        </w:rPr>
        <w:t>Intestinal microbiota; Inflammation</w:t>
      </w:r>
      <w:bookmarkEnd w:id="71"/>
      <w:bookmarkEnd w:id="72"/>
      <w:bookmarkEnd w:id="73"/>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p>
    <w:p>
      <w:pPr>
        <w:widowControl/>
        <w:adjustRightInd w:val="0"/>
        <w:snapToGrid w:val="0"/>
        <w:spacing w:line="360" w:lineRule="auto"/>
        <w:rPr>
          <w:rFonts w:ascii="Book Antiqua" w:hAnsi="Book Antiqua"/>
          <w:kern w:val="0"/>
          <w:sz w:val="24"/>
        </w:rPr>
      </w:pPr>
      <w:bookmarkStart w:id="74" w:name="OLE_LINK197"/>
      <w:bookmarkStart w:id="75" w:name="OLE_LINK198"/>
      <w:r>
        <w:rPr>
          <w:rFonts w:ascii="Book Antiqua" w:hAnsi="Book Antiqua"/>
          <w:b/>
          <w:kern w:val="0"/>
          <w:sz w:val="24"/>
        </w:rPr>
        <w:t xml:space="preserve">© The Author(s) 2019. </w:t>
      </w:r>
      <w:r>
        <w:rPr>
          <w:rFonts w:ascii="Book Antiqua" w:hAnsi="Book Antiqua"/>
          <w:kern w:val="0"/>
          <w:sz w:val="24"/>
        </w:rPr>
        <w:t>Published by Baishideng Publishing Group Inc. All rights reserved.</w:t>
      </w:r>
    </w:p>
    <w:bookmarkEnd w:id="74"/>
    <w:bookmarkEnd w:id="75"/>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Core tip:</w:t>
      </w:r>
      <w:r>
        <w:rPr>
          <w:rFonts w:ascii="Book Antiqua" w:hAnsi="Book Antiqua"/>
          <w:color w:val="000000" w:themeColor="text1"/>
          <w:sz w:val="24"/>
          <w14:textFill>
            <w14:solidFill>
              <w14:schemeClr w14:val="tx1"/>
            </w14:solidFill>
          </w14:textFill>
        </w:rPr>
        <w:t xml:space="preserve"> </w:t>
      </w:r>
      <w:bookmarkStart w:id="76" w:name="OLE_LINK96"/>
      <w:bookmarkStart w:id="77" w:name="OLE_LINK199"/>
      <w:r>
        <w:rPr>
          <w:rFonts w:ascii="Book Antiqua" w:hAnsi="Book Antiqua"/>
          <w:color w:val="000000" w:themeColor="text1"/>
          <w:sz w:val="24"/>
          <w14:textFill>
            <w14:solidFill>
              <w14:schemeClr w14:val="tx1"/>
            </w14:solidFill>
          </w14:textFill>
        </w:rPr>
        <w:t>We studied the effects of Si-Ni-San freeze-dried powder on high fat diet-induced nonalcoholic fatty liver disease (NAFLD) in mice. We found that Si-Ni-San freeze-dried powder ameliorated high fat diet-induced NAFLD in mice, and the mechanism of action of Si-Ni-San freeze-dried powder against NAFLD may be associated with its anti-inflammatory and changing intestinal microbiota effects. Our findings provide some useful information for therapy of NAFLD.</w:t>
      </w:r>
      <w:bookmarkEnd w:id="76"/>
      <w:bookmarkEnd w:id="77"/>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bookmarkStart w:id="78" w:name="OLE_LINK200"/>
      <w:bookmarkStart w:id="79" w:name="OLE_LINK201"/>
      <w:r>
        <w:rPr>
          <w:rFonts w:ascii="Book Antiqua" w:hAnsi="Book Antiqua"/>
          <w:color w:val="000000" w:themeColor="text1"/>
          <w:sz w:val="24"/>
          <w14:textFill>
            <w14:solidFill>
              <w14:schemeClr w14:val="tx1"/>
            </w14:solidFill>
          </w14:textFill>
        </w:rPr>
        <w:t xml:space="preserve">Zhu F, Li YM, Feng TT, Wu Y, Zhang HX, Liu JP. Freeze-dried Si-Ni-San powder can ameliorate high fat diet-induced non-alcoholic fatty liver disease. </w:t>
      </w:r>
      <w:bookmarkStart w:id="80" w:name="OLE_LINK1105"/>
      <w:bookmarkStart w:id="81" w:name="OLE_LINK1107"/>
      <w:bookmarkStart w:id="82" w:name="OLE_LINK380"/>
      <w:r>
        <w:rPr>
          <w:rFonts w:ascii="Book Antiqua" w:hAnsi="Book Antiqua"/>
          <w:i/>
          <w:color w:val="000000"/>
          <w:kern w:val="0"/>
          <w:sz w:val="24"/>
        </w:rPr>
        <w:t xml:space="preserve">World J Gastroenterol </w:t>
      </w:r>
      <w:r>
        <w:rPr>
          <w:rFonts w:ascii="Book Antiqua" w:hAnsi="Book Antiqua"/>
          <w:color w:val="000000"/>
          <w:kern w:val="0"/>
          <w:sz w:val="24"/>
        </w:rPr>
        <w:t>2019; In press</w:t>
      </w:r>
      <w:bookmarkEnd w:id="80"/>
      <w:bookmarkEnd w:id="81"/>
      <w:bookmarkEnd w:id="82"/>
    </w:p>
    <w:p>
      <w:pPr>
        <w:autoSpaceDE w:val="0"/>
        <w:autoSpaceDN w:val="0"/>
        <w:adjustRightInd w:val="0"/>
        <w:snapToGrid w:val="0"/>
        <w:spacing w:line="360" w:lineRule="auto"/>
        <w:rPr>
          <w:rFonts w:ascii="Book Antiqua" w:hAnsi="Book Antiqua"/>
          <w:b/>
          <w:bCs/>
          <w:color w:val="000000" w:themeColor="text1"/>
          <w:kern w:val="0"/>
          <w:sz w:val="24"/>
          <w14:textFill>
            <w14:solidFill>
              <w14:schemeClr w14:val="tx1"/>
            </w14:solidFill>
          </w14:textFill>
        </w:rPr>
      </w:pPr>
    </w:p>
    <w:bookmarkEnd w:id="78"/>
    <w:bookmarkEnd w:id="79"/>
    <w:p>
      <w:pPr>
        <w:widowControl/>
        <w:snapToGrid w:val="0"/>
        <w:spacing w:line="360" w:lineRule="auto"/>
        <w:jc w:val="left"/>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br w:type="page"/>
      </w:r>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INTRODUCTION</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Nonalcoholic fatty liver disease (NAFLD) is a condition of excess fat accumulation in the liver without significant alcohol consumption, and it consists of liver damage, ranging from steatosis to steatohepatitis, advanced fibrosis and cirrhosis. Obesity, hypertriglyceridemia, hyperglycemia, and type 2 diabetes are the best-known </w:t>
      </w:r>
      <w:bookmarkStart w:id="83" w:name="OLE_LINK110"/>
      <w:r>
        <w:rPr>
          <w:rFonts w:ascii="Book Antiqua" w:hAnsi="Book Antiqua"/>
          <w:color w:val="000000" w:themeColor="text1"/>
          <w:sz w:val="24"/>
          <w14:textFill>
            <w14:solidFill>
              <w14:schemeClr w14:val="tx1"/>
            </w14:solidFill>
          </w14:textFill>
        </w:rPr>
        <w:t>risk</w:t>
      </w:r>
      <w:bookmarkEnd w:id="83"/>
      <w:r>
        <w:rPr>
          <w:rFonts w:ascii="Book Antiqua" w:hAnsi="Book Antiqua"/>
          <w:color w:val="000000" w:themeColor="text1"/>
          <w:sz w:val="24"/>
          <w14:textFill>
            <w14:solidFill>
              <w14:schemeClr w14:val="tx1"/>
            </w14:solidFill>
          </w14:textFill>
        </w:rPr>
        <w:t xml:space="preserve"> factors for NAFLD</w:t>
      </w:r>
      <w:r>
        <w:rPr>
          <w:rFonts w:ascii="Book Antiqua" w:hAnsi="Book Antiqua"/>
          <w:color w:val="000000" w:themeColor="text1"/>
          <w:sz w:val="24"/>
          <w:vertAlign w:val="superscript"/>
          <w14:textFill>
            <w14:solidFill>
              <w14:schemeClr w14:val="tx1"/>
            </w14:solidFill>
          </w14:textFill>
        </w:rPr>
        <w:t>[1,2]</w:t>
      </w:r>
      <w:r>
        <w:rPr>
          <w:rFonts w:ascii="Book Antiqua" w:hAnsi="Book Antiqua"/>
          <w:color w:val="000000" w:themeColor="text1"/>
          <w:sz w:val="24"/>
          <w14:textFill>
            <w14:solidFill>
              <w14:schemeClr w14:val="tx1"/>
            </w14:solidFill>
          </w14:textFill>
        </w:rPr>
        <w:t>. Besides these risk factors, plus-size clothing and sleep shortage may also be associated with NAFLD</w:t>
      </w:r>
      <w:r>
        <w:rPr>
          <w:rFonts w:ascii="Book Antiqua" w:hAnsi="Book Antiqua"/>
          <w:color w:val="000000" w:themeColor="text1"/>
          <w:sz w:val="24"/>
          <w:vertAlign w:val="superscript"/>
          <w14:textFill>
            <w14:solidFill>
              <w14:schemeClr w14:val="tx1"/>
            </w14:solidFill>
          </w14:textFill>
        </w:rPr>
        <w:t>[3]</w:t>
      </w:r>
      <w:r>
        <w:rPr>
          <w:rFonts w:ascii="Book Antiqua" w:hAnsi="Book Antiqua"/>
          <w:color w:val="000000" w:themeColor="text1"/>
          <w:sz w:val="24"/>
          <w14:textFill>
            <w14:solidFill>
              <w14:schemeClr w14:val="tx1"/>
            </w14:solidFill>
          </w14:textFill>
        </w:rPr>
        <w:t>.</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Over recent decades, we have witnessed a markedly increasing incidence of</w:t>
      </w:r>
      <w:bookmarkStart w:id="84" w:name="OLE_LINK108"/>
      <w:r>
        <w:rPr>
          <w:rFonts w:ascii="Book Antiqua" w:hAnsi="Book Antiqua"/>
          <w:color w:val="000000" w:themeColor="text1"/>
          <w:sz w:val="24"/>
          <w14:textFill>
            <w14:solidFill>
              <w14:schemeClr w14:val="tx1"/>
            </w14:solidFill>
          </w14:textFill>
        </w:rPr>
        <w:t xml:space="preserve"> </w:t>
      </w:r>
      <w:bookmarkStart w:id="85" w:name="OLE_LINK100"/>
      <w:r>
        <w:rPr>
          <w:rFonts w:ascii="Book Antiqua" w:hAnsi="Book Antiqua"/>
          <w:color w:val="000000" w:themeColor="text1"/>
          <w:sz w:val="24"/>
          <w14:textFill>
            <w14:solidFill>
              <w14:schemeClr w14:val="tx1"/>
            </w14:solidFill>
          </w14:textFill>
        </w:rPr>
        <w:t>NAFLD</w:t>
      </w:r>
      <w:bookmarkEnd w:id="84"/>
      <w:r>
        <w:rPr>
          <w:rFonts w:ascii="Book Antiqua" w:hAnsi="Book Antiqua"/>
          <w:color w:val="000000" w:themeColor="text1"/>
          <w:sz w:val="24"/>
          <w14:textFill>
            <w14:solidFill>
              <w14:schemeClr w14:val="tx1"/>
            </w14:solidFill>
          </w14:textFill>
        </w:rPr>
        <w:t>, and it has become one of the most common chronic liver diseases worldwide</w:t>
      </w:r>
      <w:bookmarkEnd w:id="85"/>
      <w:r>
        <w:rPr>
          <w:rFonts w:ascii="Book Antiqua" w:hAnsi="Book Antiqua"/>
          <w:color w:val="000000" w:themeColor="text1"/>
          <w:sz w:val="24"/>
          <w:vertAlign w:val="superscript"/>
          <w14:textFill>
            <w14:solidFill>
              <w14:schemeClr w14:val="tx1"/>
            </w14:solidFill>
          </w14:textFill>
        </w:rPr>
        <w:t>[4,5]</w:t>
      </w:r>
      <w:r>
        <w:rPr>
          <w:rFonts w:ascii="Book Antiqua" w:hAnsi="Book Antiqua"/>
          <w:color w:val="000000" w:themeColor="text1"/>
          <w:sz w:val="24"/>
          <w14:textFill>
            <w14:solidFill>
              <w14:schemeClr w14:val="tx1"/>
            </w14:solidFill>
          </w14:textFill>
        </w:rPr>
        <w:t xml:space="preserve">. In the United States, the </w:t>
      </w:r>
      <w:bookmarkStart w:id="86" w:name="OLE_LINK17"/>
      <w:r>
        <w:rPr>
          <w:rFonts w:ascii="Book Antiqua" w:hAnsi="Book Antiqua"/>
          <w:color w:val="000000" w:themeColor="text1"/>
          <w:sz w:val="24"/>
          <w14:textFill>
            <w14:solidFill>
              <w14:schemeClr w14:val="tx1"/>
            </w14:solidFill>
          </w14:textFill>
        </w:rPr>
        <w:t>proportion</w:t>
      </w:r>
      <w:bookmarkEnd w:id="86"/>
      <w:r>
        <w:rPr>
          <w:rFonts w:ascii="Book Antiqua" w:hAnsi="Book Antiqua"/>
          <w:color w:val="000000" w:themeColor="text1"/>
          <w:sz w:val="24"/>
          <w14:textFill>
            <w14:solidFill>
              <w14:schemeClr w14:val="tx1"/>
            </w14:solidFill>
          </w14:textFill>
        </w:rPr>
        <w:t xml:space="preserve"> of patients with this chronic liver diseases rose from 47%-75%</w:t>
      </w:r>
      <w:r>
        <w:rPr>
          <w:rFonts w:ascii="Book Antiqua" w:hAnsi="Book Antiqua"/>
          <w:color w:val="000000" w:themeColor="text1"/>
          <w:sz w:val="24"/>
          <w:vertAlign w:val="superscript"/>
          <w14:textFill>
            <w14:solidFill>
              <w14:schemeClr w14:val="tx1"/>
            </w14:solidFill>
          </w14:textFill>
        </w:rPr>
        <w:t>[6]</w:t>
      </w:r>
      <w:r>
        <w:rPr>
          <w:rFonts w:ascii="Book Antiqua" w:hAnsi="Book Antiqua"/>
          <w:color w:val="000000" w:themeColor="text1"/>
          <w:sz w:val="24"/>
          <w14:textFill>
            <w14:solidFill>
              <w14:schemeClr w14:val="tx1"/>
            </w14:solidFill>
          </w14:textFill>
        </w:rPr>
        <w:t>. With the prevalent use of hepatitis vaccine and unchanged lifestyle, we can foresee that this proportion will continue to rise in the future. Nonalcoholic steatohepatitis (NASH), a more severe form of NAFLD, can lead to cirrhosis, liver failure, hepatocellular carcinoma and liver-related death</w:t>
      </w:r>
      <w:r>
        <w:rPr>
          <w:rFonts w:ascii="Book Antiqua" w:hAnsi="Book Antiqua"/>
          <w:color w:val="000000" w:themeColor="text1"/>
          <w:sz w:val="24"/>
          <w:vertAlign w:val="superscript"/>
          <w14:textFill>
            <w14:solidFill>
              <w14:schemeClr w14:val="tx1"/>
            </w14:solidFill>
          </w14:textFill>
        </w:rPr>
        <w:t>[7-9]</w:t>
      </w:r>
      <w:r>
        <w:rPr>
          <w:rFonts w:ascii="Book Antiqua" w:hAnsi="Book Antiqua"/>
          <w:color w:val="000000" w:themeColor="text1"/>
          <w:sz w:val="24"/>
          <w14:textFill>
            <w14:solidFill>
              <w14:schemeClr w14:val="tx1"/>
            </w14:solidFill>
          </w14:textFill>
        </w:rPr>
        <w:t>. In addition, NAFLD is a risk factor for cardiovascular diseases, diabetes and chronic kidney disease, and it also causes a high level of non-liver-related mortality</w:t>
      </w:r>
      <w:r>
        <w:rPr>
          <w:rFonts w:ascii="Book Antiqua" w:hAnsi="Book Antiqua"/>
          <w:color w:val="000000" w:themeColor="text1"/>
          <w:sz w:val="24"/>
          <w:vertAlign w:val="superscript"/>
          <w14:textFill>
            <w14:solidFill>
              <w14:schemeClr w14:val="tx1"/>
            </w14:solidFill>
          </w14:textFill>
        </w:rPr>
        <w:t>[10,11]</w:t>
      </w:r>
      <w:r>
        <w:rPr>
          <w:rFonts w:ascii="Book Antiqua" w:hAnsi="Book Antiqua"/>
          <w:color w:val="000000" w:themeColor="text1"/>
          <w:sz w:val="24"/>
          <w14:textFill>
            <w14:solidFill>
              <w14:schemeClr w14:val="tx1"/>
            </w14:solidFill>
          </w14:textFill>
        </w:rPr>
        <w:t>. Although NAFLD poses a threat to human health, the exact pathogenesis of this disease remains unclear. Moreover, until now, there are no approved medications for NAFLD treatment. Despite guidelines</w:t>
      </w:r>
      <w:r>
        <w:rPr>
          <w:rFonts w:ascii="Book Antiqua" w:hAnsi="Book Antiqua"/>
          <w:color w:val="000000" w:themeColor="text1"/>
          <w:sz w:val="24"/>
          <w:vertAlign w:val="superscript"/>
          <w14:textFill>
            <w14:solidFill>
              <w14:schemeClr w14:val="tx1"/>
            </w14:solidFill>
          </w14:textFill>
        </w:rPr>
        <w:t>[12,13]</w:t>
      </w:r>
      <w:r>
        <w:rPr>
          <w:rFonts w:ascii="Book Antiqua" w:hAnsi="Book Antiqua"/>
          <w:color w:val="000000" w:themeColor="text1"/>
          <w:sz w:val="24"/>
          <w14:textFill>
            <w14:solidFill>
              <w14:schemeClr w14:val="tx1"/>
            </w14:solidFill>
          </w14:textFill>
        </w:rPr>
        <w:t xml:space="preserve"> recommending lifestyle modification as the first line treatment for NAFLD, compliance is a challenge. Therefore, it is important to look for new drug therapies.</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Si-Ni-San, first recorded by Zhong-Jing Zhang during the Eastern Han Dynasty, is a </w:t>
      </w:r>
      <w:bookmarkStart w:id="87" w:name="OLE_LINK20"/>
      <w:r>
        <w:rPr>
          <w:rFonts w:ascii="Book Antiqua" w:hAnsi="Book Antiqua"/>
          <w:color w:val="000000" w:themeColor="text1"/>
          <w:sz w:val="24"/>
          <w14:textFill>
            <w14:solidFill>
              <w14:schemeClr w14:val="tx1"/>
            </w14:solidFill>
          </w14:textFill>
        </w:rPr>
        <w:t>famous</w:t>
      </w:r>
      <w:bookmarkEnd w:id="87"/>
      <w:r>
        <w:rPr>
          <w:rFonts w:ascii="Book Antiqua" w:hAnsi="Book Antiqua"/>
          <w:color w:val="000000" w:themeColor="text1"/>
          <w:sz w:val="24"/>
          <w14:textFill>
            <w14:solidFill>
              <w14:schemeClr w14:val="tx1"/>
            </w14:solidFill>
          </w14:textFill>
        </w:rPr>
        <w:t xml:space="preserve"> </w:t>
      </w:r>
      <w:bookmarkStart w:id="88" w:name="OLE_LINK21"/>
      <w:r>
        <w:rPr>
          <w:rFonts w:ascii="Book Antiqua" w:hAnsi="Book Antiqua"/>
          <w:color w:val="000000" w:themeColor="text1"/>
          <w:sz w:val="24"/>
          <w14:textFill>
            <w14:solidFill>
              <w14:schemeClr w14:val="tx1"/>
            </w14:solidFill>
          </w14:textFill>
        </w:rPr>
        <w:t>prescription</w:t>
      </w:r>
      <w:bookmarkEnd w:id="88"/>
      <w:r>
        <w:rPr>
          <w:rFonts w:ascii="Book Antiqua" w:hAnsi="Book Antiqua"/>
          <w:color w:val="000000" w:themeColor="text1"/>
          <w:sz w:val="24"/>
          <w14:textFill>
            <w14:solidFill>
              <w14:schemeClr w14:val="tx1"/>
            </w14:solidFill>
          </w14:textFill>
        </w:rPr>
        <w:t xml:space="preserve"> of traditional Chinese medicine to coordinate </w:t>
      </w:r>
      <w:bookmarkStart w:id="89" w:name="OLE_LINK18"/>
      <w:r>
        <w:rPr>
          <w:rFonts w:ascii="Book Antiqua" w:hAnsi="Book Antiqua"/>
          <w:color w:val="000000" w:themeColor="text1"/>
          <w:sz w:val="24"/>
          <w14:textFill>
            <w14:solidFill>
              <w14:schemeClr w14:val="tx1"/>
            </w14:solidFill>
          </w14:textFill>
        </w:rPr>
        <w:t>the function</w:t>
      </w:r>
      <w:bookmarkEnd w:id="89"/>
      <w:r>
        <w:rPr>
          <w:rFonts w:ascii="Book Antiqua" w:hAnsi="Book Antiqua"/>
          <w:color w:val="000000" w:themeColor="text1"/>
          <w:sz w:val="24"/>
          <w14:textFill>
            <w14:solidFill>
              <w14:schemeClr w14:val="tx1"/>
            </w14:solidFill>
          </w14:textFill>
        </w:rPr>
        <w:t>s of liver and spleen, and it has been used in China for thousands of years. This prescription consists of four herbal medicines: Bupleuri Radix, Paeoniae Alba Radix, Aurantii Immaturus Fructus, and Honey-fried Licorice Root in equal proportions. Si-Ni-San can alleviate liver injury through protecting hepatocyte membranes, increasing NO release and facilitating apoptosis of liver-infiltrating cells</w:t>
      </w:r>
      <w:r>
        <w:rPr>
          <w:rFonts w:ascii="Book Antiqua" w:hAnsi="Book Antiqua"/>
          <w:color w:val="000000" w:themeColor="text1"/>
          <w:sz w:val="24"/>
          <w:vertAlign w:val="superscript"/>
          <w14:textFill>
            <w14:solidFill>
              <w14:schemeClr w14:val="tx1"/>
            </w14:solidFill>
          </w14:textFill>
        </w:rPr>
        <w:t>[14]</w:t>
      </w:r>
      <w:r>
        <w:rPr>
          <w:rFonts w:ascii="Book Antiqua" w:hAnsi="Book Antiqua"/>
          <w:color w:val="000000" w:themeColor="text1"/>
          <w:sz w:val="24"/>
          <w14:textFill>
            <w14:solidFill>
              <w14:schemeClr w14:val="tx1"/>
            </w14:solidFill>
          </w14:textFill>
        </w:rPr>
        <w:t>, and modified Si-Ni-San also has hepatoprotective effects</w:t>
      </w:r>
      <w:r>
        <w:rPr>
          <w:rFonts w:ascii="Book Antiqua" w:hAnsi="Book Antiqua"/>
          <w:color w:val="000000" w:themeColor="text1"/>
          <w:sz w:val="24"/>
          <w:vertAlign w:val="superscript"/>
          <w14:textFill>
            <w14:solidFill>
              <w14:schemeClr w14:val="tx1"/>
            </w14:solidFill>
          </w14:textFill>
        </w:rPr>
        <w:t>[15]</w:t>
      </w:r>
      <w:r>
        <w:rPr>
          <w:rFonts w:ascii="Book Antiqua" w:hAnsi="Book Antiqua"/>
          <w:color w:val="000000" w:themeColor="text1"/>
          <w:sz w:val="24"/>
          <w14:textFill>
            <w14:solidFill>
              <w14:schemeClr w14:val="tx1"/>
            </w14:solidFill>
          </w14:textFill>
        </w:rPr>
        <w:t>. Moreover, glycyrrhizin</w:t>
      </w:r>
      <w:r>
        <w:rPr>
          <w:rFonts w:ascii="Book Antiqua" w:hAnsi="Book Antiqua"/>
          <w:color w:val="000000" w:themeColor="text1"/>
          <w:sz w:val="24"/>
          <w:vertAlign w:val="superscript"/>
          <w14:textFill>
            <w14:solidFill>
              <w14:schemeClr w14:val="tx1"/>
            </w14:solidFill>
          </w14:textFill>
        </w:rPr>
        <w:t>[16]</w:t>
      </w:r>
      <w:r>
        <w:rPr>
          <w:rFonts w:ascii="Book Antiqua" w:hAnsi="Book Antiqua"/>
          <w:color w:val="000000" w:themeColor="text1"/>
          <w:sz w:val="24"/>
          <w14:textFill>
            <w14:solidFill>
              <w14:schemeClr w14:val="tx1"/>
            </w14:solidFill>
          </w14:textFill>
        </w:rPr>
        <w:t xml:space="preserve"> and paeoniflorin</w:t>
      </w:r>
      <w:r>
        <w:rPr>
          <w:rFonts w:ascii="Book Antiqua" w:hAnsi="Book Antiqua"/>
          <w:color w:val="000000" w:themeColor="text1"/>
          <w:sz w:val="24"/>
          <w:vertAlign w:val="superscript"/>
          <w14:textFill>
            <w14:solidFill>
              <w14:schemeClr w14:val="tx1"/>
            </w14:solidFill>
          </w14:textFill>
        </w:rPr>
        <w:t>[17]</w:t>
      </w:r>
      <w:r>
        <w:rPr>
          <w:rFonts w:ascii="Book Antiqua" w:hAnsi="Book Antiqua"/>
          <w:color w:val="000000" w:themeColor="text1"/>
          <w:sz w:val="24"/>
          <w14:textFill>
            <w14:solidFill>
              <w14:schemeClr w14:val="tx1"/>
            </w14:solidFill>
          </w14:textFill>
        </w:rPr>
        <w:t>, two components of Si-Ni-San, have shown beneficial effects on NAFLD. Therefore, we hypothesize that Si-Ni-San may have some beneficial effects against NAFLD.</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The human intestine harbors 10-100 trillion microorganisms, mainly bacteria, collectively referred to as the intestinal microbiota</w:t>
      </w:r>
      <w:r>
        <w:rPr>
          <w:rFonts w:ascii="Book Antiqua" w:hAnsi="Book Antiqua"/>
          <w:color w:val="000000" w:themeColor="text1"/>
          <w:sz w:val="24"/>
          <w:vertAlign w:val="superscript"/>
          <w14:textFill>
            <w14:solidFill>
              <w14:schemeClr w14:val="tx1"/>
            </w14:solidFill>
          </w14:textFill>
        </w:rPr>
        <w:t>[18,19]</w:t>
      </w:r>
      <w:r>
        <w:rPr>
          <w:rFonts w:ascii="Book Antiqua" w:hAnsi="Book Antiqua"/>
          <w:color w:val="000000" w:themeColor="text1"/>
          <w:sz w:val="24"/>
          <w14:textFill>
            <w14:solidFill>
              <w14:schemeClr w14:val="tx1"/>
            </w14:solidFill>
          </w14:textFill>
        </w:rPr>
        <w:t xml:space="preserve">. The </w:t>
      </w:r>
      <w:bookmarkStart w:id="90" w:name="OLE_LINK22"/>
      <w:r>
        <w:rPr>
          <w:rFonts w:ascii="Book Antiqua" w:hAnsi="Book Antiqua"/>
          <w:color w:val="000000" w:themeColor="text1"/>
          <w:sz w:val="24"/>
          <w14:textFill>
            <w14:solidFill>
              <w14:schemeClr w14:val="tx1"/>
            </w14:solidFill>
          </w14:textFill>
        </w:rPr>
        <w:t>intestinal microbiota</w:t>
      </w:r>
      <w:bookmarkEnd w:id="90"/>
      <w:r>
        <w:rPr>
          <w:rFonts w:ascii="Book Antiqua" w:hAnsi="Book Antiqua"/>
          <w:color w:val="000000" w:themeColor="text1"/>
          <w:sz w:val="24"/>
          <w14:textFill>
            <w14:solidFill>
              <w14:schemeClr w14:val="tx1"/>
            </w14:solidFill>
          </w14:textFill>
        </w:rPr>
        <w:t xml:space="preserve"> carries 150-fold more genes than the human genome, and these vast number of genes endow our body with special functions that we have not acquired during evolution, such as digesting plant polysaccharides</w:t>
      </w:r>
      <w:r>
        <w:rPr>
          <w:rFonts w:ascii="Book Antiqua" w:hAnsi="Book Antiqua"/>
          <w:color w:val="000000" w:themeColor="text1"/>
          <w:sz w:val="24"/>
          <w:vertAlign w:val="superscript"/>
          <w14:textFill>
            <w14:solidFill>
              <w14:schemeClr w14:val="tx1"/>
            </w14:solidFill>
          </w14:textFill>
        </w:rPr>
        <w:t>[20,21]</w:t>
      </w:r>
      <w:r>
        <w:rPr>
          <w:rFonts w:ascii="Book Antiqua" w:hAnsi="Book Antiqua"/>
          <w:color w:val="000000" w:themeColor="text1"/>
          <w:sz w:val="24"/>
          <w14:textFill>
            <w14:solidFill>
              <w14:schemeClr w14:val="tx1"/>
            </w14:solidFill>
          </w14:textFill>
        </w:rPr>
        <w:t>. Although the homeostasis of the intestinal microbiota is important for human health, dysbiosis of intestinal microbiota may cause disease. Previous studies have demonstrated that intestinal microbiota play a crucial role in the development of NAFLD</w:t>
      </w:r>
      <w:r>
        <w:rPr>
          <w:rFonts w:ascii="Book Antiqua" w:hAnsi="Book Antiqua"/>
          <w:color w:val="000000" w:themeColor="text1"/>
          <w:sz w:val="24"/>
          <w:vertAlign w:val="superscript"/>
          <w14:textFill>
            <w14:solidFill>
              <w14:schemeClr w14:val="tx1"/>
            </w14:solidFill>
          </w14:textFill>
        </w:rPr>
        <w:t>[22-24]</w:t>
      </w:r>
      <w:r>
        <w:rPr>
          <w:rFonts w:ascii="Book Antiqua" w:hAnsi="Book Antiqua"/>
          <w:color w:val="000000" w:themeColor="text1"/>
          <w:sz w:val="24"/>
          <w14:textFill>
            <w14:solidFill>
              <w14:schemeClr w14:val="tx1"/>
            </w14:solidFill>
          </w14:textFill>
        </w:rPr>
        <w:t xml:space="preserve">, and patients with NAFLD have a different </w:t>
      </w:r>
      <w:bookmarkStart w:id="91" w:name="OLE_LINK24"/>
      <w:r>
        <w:rPr>
          <w:rFonts w:ascii="Book Antiqua" w:hAnsi="Book Antiqua"/>
          <w:color w:val="000000" w:themeColor="text1"/>
          <w:sz w:val="24"/>
          <w14:textFill>
            <w14:solidFill>
              <w14:schemeClr w14:val="tx1"/>
            </w14:solidFill>
          </w14:textFill>
        </w:rPr>
        <w:t>intestinal microbiota</w:t>
      </w:r>
      <w:bookmarkEnd w:id="91"/>
      <w:r>
        <w:rPr>
          <w:rFonts w:ascii="Book Antiqua" w:hAnsi="Book Antiqua"/>
          <w:color w:val="000000" w:themeColor="text1"/>
          <w:sz w:val="24"/>
          <w14:textFill>
            <w14:solidFill>
              <w14:schemeClr w14:val="tx1"/>
            </w14:solidFill>
          </w14:textFill>
        </w:rPr>
        <w:t xml:space="preserve"> composition compared with healthy controls</w:t>
      </w:r>
      <w:r>
        <w:rPr>
          <w:rFonts w:ascii="Book Antiqua" w:hAnsi="Book Antiqua"/>
          <w:color w:val="000000" w:themeColor="text1"/>
          <w:sz w:val="24"/>
          <w:vertAlign w:val="superscript"/>
          <w14:textFill>
            <w14:solidFill>
              <w14:schemeClr w14:val="tx1"/>
            </w14:solidFill>
          </w14:textFill>
        </w:rPr>
        <w:t>[25]</w:t>
      </w:r>
      <w:r>
        <w:rPr>
          <w:rFonts w:ascii="Book Antiqua" w:hAnsi="Book Antiqua"/>
          <w:color w:val="000000" w:themeColor="text1"/>
          <w:sz w:val="24"/>
          <w14:textFill>
            <w14:solidFill>
              <w14:schemeClr w14:val="tx1"/>
            </w14:solidFill>
          </w14:textFill>
        </w:rPr>
        <w:t xml:space="preserve">. After oral administration, herbal medicines are exposed to the </w:t>
      </w:r>
      <w:bookmarkStart w:id="92" w:name="OLE_LINK27"/>
      <w:r>
        <w:rPr>
          <w:rFonts w:ascii="Book Antiqua" w:hAnsi="Book Antiqua"/>
          <w:color w:val="000000" w:themeColor="text1"/>
          <w:sz w:val="24"/>
          <w14:textFill>
            <w14:solidFill>
              <w14:schemeClr w14:val="tx1"/>
            </w14:solidFill>
          </w14:textFill>
        </w:rPr>
        <w:t>intestinal</w:t>
      </w:r>
      <w:bookmarkEnd w:id="92"/>
      <w:r>
        <w:rPr>
          <w:rFonts w:ascii="Book Antiqua" w:hAnsi="Book Antiqua"/>
          <w:color w:val="000000" w:themeColor="text1"/>
          <w:sz w:val="24"/>
          <w14:textFill>
            <w14:solidFill>
              <w14:schemeClr w14:val="tx1"/>
            </w14:solidFill>
          </w14:textFill>
        </w:rPr>
        <w:t xml:space="preserve"> microbiota, and interactions are inevitable. Emerging studies have found that some </w:t>
      </w:r>
      <w:bookmarkStart w:id="93" w:name="OLE_LINK26"/>
      <w:r>
        <w:rPr>
          <w:rFonts w:ascii="Book Antiqua" w:hAnsi="Book Antiqua"/>
          <w:color w:val="000000" w:themeColor="text1"/>
          <w:sz w:val="24"/>
          <w14:textFill>
            <w14:solidFill>
              <w14:schemeClr w14:val="tx1"/>
            </w14:solidFill>
          </w14:textFill>
        </w:rPr>
        <w:t>herbal medicines</w:t>
      </w:r>
      <w:bookmarkEnd w:id="93"/>
      <w:r>
        <w:rPr>
          <w:rFonts w:ascii="Book Antiqua" w:hAnsi="Book Antiqua"/>
          <w:color w:val="000000" w:themeColor="text1"/>
          <w:sz w:val="24"/>
          <w14:textFill>
            <w14:solidFill>
              <w14:schemeClr w14:val="tx1"/>
            </w14:solidFill>
          </w14:textFill>
        </w:rPr>
        <w:t xml:space="preserve"> can change the composition of </w:t>
      </w:r>
      <w:bookmarkStart w:id="94" w:name="OLE_LINK25"/>
      <w:r>
        <w:rPr>
          <w:rFonts w:ascii="Book Antiqua" w:hAnsi="Book Antiqua"/>
          <w:color w:val="000000" w:themeColor="text1"/>
          <w:sz w:val="24"/>
          <w14:textFill>
            <w14:solidFill>
              <w14:schemeClr w14:val="tx1"/>
            </w14:solidFill>
          </w14:textFill>
        </w:rPr>
        <w:t>the intestinal microbiota</w:t>
      </w:r>
      <w:bookmarkEnd w:id="94"/>
      <w:r>
        <w:rPr>
          <w:rFonts w:ascii="Book Antiqua" w:hAnsi="Book Antiqua"/>
          <w:color w:val="000000" w:themeColor="text1"/>
          <w:sz w:val="24"/>
          <w14:textFill>
            <w14:solidFill>
              <w14:schemeClr w14:val="tx1"/>
            </w14:solidFill>
          </w14:textFill>
        </w:rPr>
        <w:t>, which is viewed as an underlying therapeutic mechanism of herbal medicines</w:t>
      </w:r>
      <w:r>
        <w:rPr>
          <w:rFonts w:ascii="Book Antiqua" w:hAnsi="Book Antiqua"/>
          <w:color w:val="000000" w:themeColor="text1"/>
          <w:sz w:val="24"/>
          <w:vertAlign w:val="superscript"/>
          <w14:textFill>
            <w14:solidFill>
              <w14:schemeClr w14:val="tx1"/>
            </w14:solidFill>
          </w14:textFill>
        </w:rPr>
        <w:t>[26,27]</w:t>
      </w:r>
      <w:r>
        <w:rPr>
          <w:rFonts w:ascii="Book Antiqua" w:hAnsi="Book Antiqua"/>
          <w:color w:val="000000" w:themeColor="text1"/>
          <w:sz w:val="24"/>
          <w14:textFill>
            <w14:solidFill>
              <w14:schemeClr w14:val="tx1"/>
            </w14:solidFill>
          </w14:textFill>
        </w:rPr>
        <w:t>. In contrast, for other herbal medicines, such as berberine</w:t>
      </w:r>
      <w:r>
        <w:rPr>
          <w:rFonts w:ascii="Book Antiqua" w:hAnsi="Book Antiqua"/>
          <w:color w:val="000000" w:themeColor="text1"/>
          <w:sz w:val="24"/>
          <w:vertAlign w:val="superscript"/>
          <w14:textFill>
            <w14:solidFill>
              <w14:schemeClr w14:val="tx1"/>
            </w14:solidFill>
          </w14:textFill>
        </w:rPr>
        <w:t>[28]</w:t>
      </w:r>
      <w:r>
        <w:rPr>
          <w:rFonts w:ascii="Book Antiqua" w:hAnsi="Book Antiqua"/>
          <w:color w:val="000000" w:themeColor="text1"/>
          <w:sz w:val="24"/>
          <w14:textFill>
            <w14:solidFill>
              <w14:schemeClr w14:val="tx1"/>
            </w14:solidFill>
          </w14:textFill>
        </w:rPr>
        <w:t xml:space="preserve"> and hesperidin</w:t>
      </w:r>
      <w:r>
        <w:rPr>
          <w:rFonts w:ascii="Book Antiqua" w:hAnsi="Book Antiqua"/>
          <w:color w:val="000000" w:themeColor="text1"/>
          <w:sz w:val="24"/>
          <w:vertAlign w:val="superscript"/>
          <w14:textFill>
            <w14:solidFill>
              <w14:schemeClr w14:val="tx1"/>
            </w14:solidFill>
          </w14:textFill>
        </w:rPr>
        <w:t>[29]</w:t>
      </w:r>
      <w:r>
        <w:rPr>
          <w:rFonts w:ascii="Book Antiqua" w:hAnsi="Book Antiqua"/>
          <w:color w:val="000000" w:themeColor="text1"/>
          <w:sz w:val="24"/>
          <w14:textFill>
            <w14:solidFill>
              <w14:schemeClr w14:val="tx1"/>
            </w14:solidFill>
          </w14:textFill>
        </w:rPr>
        <w:t>,</w:t>
      </w:r>
      <w:r>
        <w:rPr>
          <w:rFonts w:ascii="Book Antiqua" w:hAnsi="Book Antiqua"/>
          <w:color w:val="000000" w:themeColor="text1"/>
          <w:sz w:val="24"/>
          <w:vertAlign w:val="superscript"/>
          <w14:textFill>
            <w14:solidFill>
              <w14:schemeClr w14:val="tx1"/>
            </w14:solidFill>
          </w14:textFill>
        </w:rPr>
        <w:t xml:space="preserve"> </w:t>
      </w:r>
      <w:r>
        <w:rPr>
          <w:rFonts w:ascii="Book Antiqua" w:hAnsi="Book Antiqua"/>
          <w:color w:val="000000" w:themeColor="text1"/>
          <w:sz w:val="24"/>
          <w14:textFill>
            <w14:solidFill>
              <w14:schemeClr w14:val="tx1"/>
            </w14:solidFill>
          </w14:textFill>
        </w:rPr>
        <w:t>the intestinal microbiota play a critical role in mediating their therapeutic effects.</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The purpose of the present study was to preliminarily investigate the therapeutic effect of Si-Ni-San freeze-dried powder on high fat diet-induced NAFLD in a mouse model, and its effect on the composition and function of the intestinal microbiota, which will provide us with a deeper understanding of the therapeutic mechanism of Si-Ni-San freeze-dried powder.</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MATERIALS AND METHODS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 xml:space="preserve">Preparation of </w:t>
      </w:r>
      <w:bookmarkStart w:id="95" w:name="OLE_LINK9"/>
      <w:bookmarkStart w:id="96" w:name="OLE_LINK60"/>
      <w:r>
        <w:rPr>
          <w:rFonts w:ascii="Book Antiqua" w:hAnsi="Book Antiqua"/>
          <w:b/>
          <w:bCs/>
          <w:i/>
          <w:iCs/>
          <w:color w:val="000000" w:themeColor="text1"/>
          <w:sz w:val="24"/>
          <w14:textFill>
            <w14:solidFill>
              <w14:schemeClr w14:val="tx1"/>
            </w14:solidFill>
          </w14:textFill>
        </w:rPr>
        <w:t>Si-Ni-San freeze-dried powder</w:t>
      </w:r>
      <w:bookmarkEnd w:id="95"/>
      <w:bookmarkEnd w:id="96"/>
    </w:p>
    <w:p>
      <w:pPr>
        <w:widowControl/>
        <w:adjustRightInd w:val="0"/>
        <w:snapToGrid w:val="0"/>
        <w:spacing w:line="360" w:lineRule="auto"/>
        <w:rPr>
          <w:rFonts w:ascii="Book Antiqua" w:hAnsi="Book Antiqua"/>
          <w:color w:val="000000" w:themeColor="text1"/>
          <w:sz w:val="24"/>
          <w14:textFill>
            <w14:solidFill>
              <w14:schemeClr w14:val="tx1"/>
            </w14:solidFill>
          </w14:textFill>
        </w:rPr>
      </w:pPr>
      <w:bookmarkStart w:id="97" w:name="OLE_LINK19"/>
      <w:r>
        <w:rPr>
          <w:rFonts w:ascii="Book Antiqua" w:hAnsi="Book Antiqua"/>
          <w:color w:val="000000" w:themeColor="text1"/>
          <w:sz w:val="24"/>
          <w14:textFill>
            <w14:solidFill>
              <w14:schemeClr w14:val="tx1"/>
            </w14:solidFill>
          </w14:textFill>
        </w:rPr>
        <w:t xml:space="preserve">Bupleuri Radix, </w:t>
      </w:r>
      <w:bookmarkStart w:id="98" w:name="OLE_LINK5"/>
      <w:r>
        <w:rPr>
          <w:rFonts w:ascii="Book Antiqua" w:hAnsi="Book Antiqua"/>
          <w:color w:val="000000" w:themeColor="text1"/>
          <w:sz w:val="24"/>
          <w14:textFill>
            <w14:solidFill>
              <w14:schemeClr w14:val="tx1"/>
            </w14:solidFill>
          </w14:textFill>
        </w:rPr>
        <w:t>Paeoniae Alba</w:t>
      </w:r>
      <w:bookmarkEnd w:id="98"/>
      <w:r>
        <w:rPr>
          <w:rFonts w:ascii="Book Antiqua" w:hAnsi="Book Antiqua"/>
          <w:color w:val="000000" w:themeColor="text1"/>
          <w:sz w:val="24"/>
          <w14:textFill>
            <w14:solidFill>
              <w14:schemeClr w14:val="tx1"/>
            </w14:solidFill>
          </w14:textFill>
        </w:rPr>
        <w:t xml:space="preserve"> Radix, Aurantii Immaturus Fructus, and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sz w:val="24"/>
          <w14:textFill>
            <w14:solidFill>
              <w14:schemeClr w14:val="tx1"/>
            </w14:solidFill>
          </w14:textFill>
        </w:rPr>
        <w:t>Honey-fried</w:t>
      </w:r>
      <w:r>
        <w:rPr>
          <w:rFonts w:ascii="Book Antiqua" w:hAnsi="Book Antiqua"/>
          <w:color w:val="000000" w:themeColor="text1"/>
          <w:sz w:val="24"/>
          <w14:textFill>
            <w14:solidFill>
              <w14:schemeClr w14:val="tx1"/>
            </w14:solidFill>
          </w14:textFill>
        </w:rPr>
        <w:fldChar w:fldCharType="end"/>
      </w:r>
      <w:r>
        <w:rPr>
          <w:rFonts w:ascii="Book Antiqua" w:hAnsi="Book Antiqua"/>
          <w:color w:val="000000" w:themeColor="text1"/>
          <w:sz w:val="24"/>
          <w14:textFill>
            <w14:solidFill>
              <w14:schemeClr w14:val="tx1"/>
            </w14:solidFill>
          </w14:textFill>
        </w:rPr>
        <w:t xml:space="preserve"> </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sz w:val="24"/>
          <w14:textFill>
            <w14:solidFill>
              <w14:schemeClr w14:val="tx1"/>
            </w14:solidFill>
          </w14:textFill>
        </w:rPr>
        <w:t>Licorice</w:t>
      </w:r>
      <w:r>
        <w:rPr>
          <w:rFonts w:ascii="Book Antiqua" w:hAnsi="Book Antiqua"/>
          <w:color w:val="000000" w:themeColor="text1"/>
          <w:sz w:val="24"/>
          <w14:textFill>
            <w14:solidFill>
              <w14:schemeClr w14:val="tx1"/>
            </w14:solidFill>
          </w14:textFill>
        </w:rPr>
        <w:fldChar w:fldCharType="end"/>
      </w:r>
      <w:r>
        <w:rPr>
          <w:rFonts w:ascii="Book Antiqua" w:hAnsi="Book Antiqua"/>
          <w:color w:val="000000" w:themeColor="text1"/>
          <w:sz w:val="24"/>
          <w14:textFill>
            <w14:solidFill>
              <w14:schemeClr w14:val="tx1"/>
            </w14:solidFill>
          </w14:textFill>
        </w:rPr>
        <w:t xml:space="preserve"> R</w:t>
      </w:r>
      <w:r>
        <w:rPr>
          <w:rFonts w:ascii="Book Antiqua" w:hAnsi="Book Antiqua"/>
          <w:sz w:val="24"/>
        </w:rPr>
        <w:fldChar w:fldCharType="begin"/>
      </w:r>
      <w:r>
        <w:rPr>
          <w:rFonts w:ascii="Book Antiqua" w:hAnsi="Book Antiqua"/>
          <w:sz w:val="24"/>
        </w:rPr>
        <w:instrText xml:space="preserve"> HYPERLINK "D:/Dict/6.3.69.8341/resultui/frame/javascript:void(0);" </w:instrText>
      </w:r>
      <w:r>
        <w:rPr>
          <w:rFonts w:ascii="Book Antiqua" w:hAnsi="Book Antiqua"/>
          <w:sz w:val="24"/>
        </w:rPr>
        <w:fldChar w:fldCharType="separate"/>
      </w:r>
      <w:r>
        <w:rPr>
          <w:rFonts w:ascii="Book Antiqua" w:hAnsi="Book Antiqua"/>
          <w:color w:val="000000" w:themeColor="text1"/>
          <w:sz w:val="24"/>
          <w14:textFill>
            <w14:solidFill>
              <w14:schemeClr w14:val="tx1"/>
            </w14:solidFill>
          </w14:textFill>
        </w:rPr>
        <w:t>oot</w:t>
      </w:r>
      <w:r>
        <w:rPr>
          <w:rFonts w:ascii="Book Antiqua" w:hAnsi="Book Antiqua"/>
          <w:color w:val="000000" w:themeColor="text1"/>
          <w:sz w:val="24"/>
          <w14:textFill>
            <w14:solidFill>
              <w14:schemeClr w14:val="tx1"/>
            </w14:solidFill>
          </w14:textFill>
        </w:rPr>
        <w:fldChar w:fldCharType="end"/>
      </w:r>
      <w:bookmarkEnd w:id="97"/>
      <w:r>
        <w:rPr>
          <w:rFonts w:ascii="Book Antiqua" w:hAnsi="Book Antiqua"/>
          <w:color w:val="000000" w:themeColor="text1"/>
          <w:sz w:val="24"/>
          <w14:textFill>
            <w14:solidFill>
              <w14:schemeClr w14:val="tx1"/>
            </w14:solidFill>
          </w14:textFill>
        </w:rPr>
        <w:t xml:space="preserve"> were purchased from Beijing Tongrentang (Beijing, China) and were authenticated by our team. The herbs were mixed at a mass ratio of 1:1:1:1, and the mixture (2000 g) was decocted with distilled water and then filtered. The filtrate was prepared by freeze-drying, and five</w:t>
      </w:r>
      <w:bookmarkStart w:id="99" w:name="OLE_LINK61"/>
      <w:r>
        <w:rPr>
          <w:rFonts w:ascii="Book Antiqua" w:hAnsi="Book Antiqua"/>
          <w:color w:val="000000" w:themeColor="text1"/>
          <w:sz w:val="24"/>
          <w14:textFill>
            <w14:solidFill>
              <w14:schemeClr w14:val="tx1"/>
            </w14:solidFill>
          </w14:textFill>
        </w:rPr>
        <w:t xml:space="preserve"> major</w:t>
      </w:r>
      <w:bookmarkEnd w:id="99"/>
      <w:r>
        <w:rPr>
          <w:rFonts w:ascii="Book Antiqua" w:hAnsi="Book Antiqua"/>
          <w:color w:val="000000" w:themeColor="text1"/>
          <w:sz w:val="24"/>
          <w14:textFill>
            <w14:solidFill>
              <w14:schemeClr w14:val="tx1"/>
            </w14:solidFill>
          </w14:textFill>
        </w:rPr>
        <w:t xml:space="preserve"> constituents in the freeze-dried powder were quantified by HPLC (Table 1).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Animals, diets, and treatments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Twenty-four male 5-wk-old </w:t>
      </w:r>
      <w:bookmarkStart w:id="100" w:name="OLE_LINK14"/>
      <w:r>
        <w:rPr>
          <w:rFonts w:ascii="Book Antiqua" w:hAnsi="Book Antiqua"/>
          <w:color w:val="000000" w:themeColor="text1"/>
          <w:sz w:val="24"/>
          <w14:textFill>
            <w14:solidFill>
              <w14:schemeClr w14:val="tx1"/>
            </w14:solidFill>
          </w14:textFill>
        </w:rPr>
        <w:t xml:space="preserve">C57BL/6 </w:t>
      </w:r>
      <w:bookmarkEnd w:id="100"/>
      <w:r>
        <w:rPr>
          <w:rFonts w:ascii="Book Antiqua" w:hAnsi="Book Antiqua"/>
          <w:color w:val="000000" w:themeColor="text1"/>
          <w:sz w:val="24"/>
          <w14:textFill>
            <w14:solidFill>
              <w14:schemeClr w14:val="tx1"/>
            </w14:solidFill>
          </w14:textFill>
        </w:rPr>
        <w:t xml:space="preserve">mice (Beijing Vital River Laboratory Animal Technology Co. Ltd., Beijing, China) were acclimated for 1 wk at a temperature of 20-22 °C and humidity of 40%-45% in controlled rooms with an alternating 12-h light and dark cycle. After acclimation, mice were randomized into three groups of eight. The control group (CON) was allowed </w:t>
      </w:r>
      <w:r>
        <w:rPr>
          <w:rFonts w:ascii="Book Antiqua" w:hAnsi="Book Antiqua"/>
          <w:i/>
          <w:iCs/>
          <w:color w:val="000000" w:themeColor="text1"/>
          <w:sz w:val="24"/>
          <w14:textFill>
            <w14:solidFill>
              <w14:schemeClr w14:val="tx1"/>
            </w14:solidFill>
          </w14:textFill>
        </w:rPr>
        <w:t>ad libitum</w:t>
      </w:r>
      <w:r>
        <w:rPr>
          <w:rFonts w:ascii="Book Antiqua" w:hAnsi="Book Antiqua"/>
          <w:color w:val="000000" w:themeColor="text1"/>
          <w:sz w:val="24"/>
          <w14:textFill>
            <w14:solidFill>
              <w14:schemeClr w14:val="tx1"/>
            </w14:solidFill>
          </w14:textFill>
        </w:rPr>
        <w:t xml:space="preserve"> access to a </w:t>
      </w:r>
      <w:bookmarkStart w:id="101" w:name="OLE_LINK3"/>
      <w:r>
        <w:rPr>
          <w:rFonts w:ascii="Book Antiqua" w:hAnsi="Book Antiqua"/>
          <w:color w:val="000000" w:themeColor="text1"/>
          <w:sz w:val="24"/>
          <w14:textFill>
            <w14:solidFill>
              <w14:schemeClr w14:val="tx1"/>
            </w14:solidFill>
          </w14:textFill>
        </w:rPr>
        <w:t>normal chow diet for 12 wk.</w:t>
      </w:r>
      <w:bookmarkEnd w:id="101"/>
      <w:r>
        <w:rPr>
          <w:rFonts w:ascii="Book Antiqua" w:hAnsi="Book Antiqua"/>
          <w:color w:val="000000" w:themeColor="text1"/>
          <w:sz w:val="24"/>
          <w14:textFill>
            <w14:solidFill>
              <w14:schemeClr w14:val="tx1"/>
            </w14:solidFill>
          </w14:textFill>
        </w:rPr>
        <w:t xml:space="preserve"> The high fat diet group (FAT) and Si-Ni-San group (SNS) were allowed </w:t>
      </w:r>
      <w:r>
        <w:rPr>
          <w:rFonts w:ascii="Book Antiqua" w:hAnsi="Book Antiqua"/>
          <w:i/>
          <w:iCs/>
          <w:color w:val="000000" w:themeColor="text1"/>
          <w:sz w:val="24"/>
          <w14:textFill>
            <w14:solidFill>
              <w14:schemeClr w14:val="tx1"/>
            </w14:solidFill>
          </w14:textFill>
        </w:rPr>
        <w:t>ad libitum</w:t>
      </w:r>
      <w:r>
        <w:rPr>
          <w:rFonts w:ascii="Book Antiqua" w:hAnsi="Book Antiqua"/>
          <w:color w:val="000000" w:themeColor="text1"/>
          <w:sz w:val="24"/>
          <w14:textFill>
            <w14:solidFill>
              <w14:schemeClr w14:val="tx1"/>
            </w14:solidFill>
          </w14:textFill>
        </w:rPr>
        <w:t xml:space="preserve"> access to a high fat diet for 12 wk. </w:t>
      </w:r>
      <w:bookmarkStart w:id="102" w:name="OLE_LINK2"/>
      <w:r>
        <w:rPr>
          <w:rFonts w:ascii="Book Antiqua" w:hAnsi="Book Antiqua"/>
          <w:color w:val="000000" w:themeColor="text1"/>
          <w:sz w:val="24"/>
          <w14:textFill>
            <w14:solidFill>
              <w14:schemeClr w14:val="tx1"/>
            </w14:solidFill>
          </w14:textFill>
        </w:rPr>
        <w:t>The composition of</w:t>
      </w:r>
      <w:bookmarkEnd w:id="102"/>
      <w:r>
        <w:rPr>
          <w:rFonts w:ascii="Book Antiqua" w:hAnsi="Book Antiqua"/>
          <w:color w:val="000000" w:themeColor="text1"/>
          <w:sz w:val="24"/>
          <w14:textFill>
            <w14:solidFill>
              <w14:schemeClr w14:val="tx1"/>
            </w14:solidFill>
          </w14:textFill>
        </w:rPr>
        <w:t xml:space="preserve"> normal chow diet and high fat diet are shown in Table 2. SNS group mice were intragastrically administered Si-Ni-San freeze-dried powder (5.0 g/kg) once daily. The CON and FAT groups were intragastrically administered distilled water once daily. The study was approved by the Animal Ethics Committee of Hebei North University (No. 2016-1-0-06).</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 xml:space="preserve">Liver index and </w:t>
      </w:r>
      <w:bookmarkStart w:id="103" w:name="OLE_LINK10"/>
      <w:r>
        <w:rPr>
          <w:rFonts w:ascii="Book Antiqua" w:hAnsi="Book Antiqua"/>
          <w:b/>
          <w:bCs/>
          <w:i/>
          <w:iCs/>
          <w:color w:val="000000" w:themeColor="text1"/>
          <w:sz w:val="24"/>
          <w14:textFill>
            <w14:solidFill>
              <w14:schemeClr w14:val="tx1"/>
            </w14:solidFill>
          </w14:textFill>
        </w:rPr>
        <w:t>visceral fat index</w:t>
      </w:r>
      <w:bookmarkEnd w:id="103"/>
      <w:r>
        <w:rPr>
          <w:rFonts w:ascii="Book Antiqua" w:hAnsi="Book Antiqua"/>
          <w:b/>
          <w:bCs/>
          <w:i/>
          <w:iCs/>
          <w:color w:val="000000" w:themeColor="text1"/>
          <w:sz w:val="24"/>
          <w14:textFill>
            <w14:solidFill>
              <w14:schemeClr w14:val="tx1"/>
            </w14:solidFill>
          </w14:textFill>
        </w:rPr>
        <w:t xml:space="preserve"> assays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After </w:t>
      </w:r>
      <w:bookmarkStart w:id="104" w:name="OLE_LINK37"/>
      <w:r>
        <w:rPr>
          <w:rFonts w:ascii="Book Antiqua" w:hAnsi="Book Antiqua"/>
          <w:color w:val="000000" w:themeColor="text1"/>
          <w:sz w:val="24"/>
          <w14:textFill>
            <w14:solidFill>
              <w14:schemeClr w14:val="tx1"/>
            </w14:solidFill>
          </w14:textFill>
        </w:rPr>
        <w:t>12 wk treatment</w:t>
      </w:r>
      <w:bookmarkEnd w:id="104"/>
      <w:r>
        <w:rPr>
          <w:rFonts w:ascii="Book Antiqua" w:hAnsi="Book Antiqua"/>
          <w:color w:val="000000" w:themeColor="text1"/>
          <w:sz w:val="24"/>
          <w14:textFill>
            <w14:solidFill>
              <w14:schemeClr w14:val="tx1"/>
            </w14:solidFill>
          </w14:textFill>
        </w:rPr>
        <w:t xml:space="preserve">, all mice were anesthetized with </w:t>
      </w:r>
      <w:bookmarkStart w:id="105" w:name="OLE_LINK107"/>
      <w:r>
        <w:rPr>
          <w:rFonts w:ascii="Book Antiqua" w:hAnsi="Book Antiqua"/>
          <w:color w:val="000000" w:themeColor="text1"/>
          <w:sz w:val="24"/>
          <w14:textFill>
            <w14:solidFill>
              <w14:schemeClr w14:val="tx1"/>
            </w14:solidFill>
          </w14:textFill>
        </w:rPr>
        <w:t>ketamine (80 mg/kg) and xylazin</w:t>
      </w:r>
      <w:bookmarkEnd w:id="105"/>
      <w:r>
        <w:rPr>
          <w:rFonts w:ascii="Book Antiqua" w:hAnsi="Book Antiqua"/>
          <w:color w:val="000000" w:themeColor="text1"/>
          <w:sz w:val="24"/>
          <w14:textFill>
            <w14:solidFill>
              <w14:schemeClr w14:val="tx1"/>
            </w14:solidFill>
          </w14:textFill>
        </w:rPr>
        <w:t xml:space="preserve">e (6 mg/kg). The liver, </w:t>
      </w:r>
      <w:bookmarkStart w:id="106" w:name="OLE_LINK11"/>
      <w:bookmarkStart w:id="107" w:name="OLE_LINK71"/>
      <w:r>
        <w:rPr>
          <w:rFonts w:ascii="Book Antiqua" w:hAnsi="Book Antiqua"/>
          <w:color w:val="000000" w:themeColor="text1"/>
          <w:sz w:val="24"/>
          <w14:textFill>
            <w14:solidFill>
              <w14:schemeClr w14:val="tx1"/>
            </w14:solidFill>
          </w14:textFill>
        </w:rPr>
        <w:t>mesenteric fat</w:t>
      </w:r>
      <w:bookmarkEnd w:id="106"/>
      <w:r>
        <w:rPr>
          <w:rFonts w:ascii="Book Antiqua" w:hAnsi="Book Antiqua"/>
          <w:color w:val="000000" w:themeColor="text1"/>
          <w:sz w:val="24"/>
          <w14:textFill>
            <w14:solidFill>
              <w14:schemeClr w14:val="tx1"/>
            </w14:solidFill>
          </w14:textFill>
        </w:rPr>
        <w:t>, retroperitoneal fat and epididymal fat</w:t>
      </w:r>
      <w:bookmarkEnd w:id="107"/>
      <w:r>
        <w:rPr>
          <w:rFonts w:ascii="Book Antiqua" w:hAnsi="Book Antiqua"/>
          <w:color w:val="000000" w:themeColor="text1"/>
          <w:sz w:val="24"/>
          <w14:textFill>
            <w14:solidFill>
              <w14:schemeClr w14:val="tx1"/>
            </w14:solidFill>
          </w14:textFill>
        </w:rPr>
        <w:t xml:space="preserve"> were isolated and weighed. Liver index was calculated as the ratio of liver to body weight. The visceral fat index was calculated as the ratio of visceral fat (mesenteric, retroperitoneal and epididymal fat) to body weight.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 xml:space="preserve">Hepatic lipid </w:t>
      </w:r>
      <w:bookmarkStart w:id="108" w:name="OLE_LINK7"/>
      <w:r>
        <w:rPr>
          <w:rFonts w:ascii="Book Antiqua" w:hAnsi="Book Antiqua"/>
          <w:b/>
          <w:bCs/>
          <w:i/>
          <w:iCs/>
          <w:color w:val="000000" w:themeColor="text1"/>
          <w:sz w:val="24"/>
          <w14:textFill>
            <w14:solidFill>
              <w14:schemeClr w14:val="tx1"/>
            </w14:solidFill>
          </w14:textFill>
        </w:rPr>
        <w:t>measurement</w:t>
      </w:r>
      <w:bookmarkEnd w:id="108"/>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Liver lipid was extracted as previously described</w:t>
      </w:r>
      <w:r>
        <w:rPr>
          <w:rFonts w:ascii="Book Antiqua" w:hAnsi="Book Antiqua"/>
          <w:color w:val="000000" w:themeColor="text1"/>
          <w:sz w:val="24"/>
          <w:vertAlign w:val="superscript"/>
          <w14:textFill>
            <w14:solidFill>
              <w14:schemeClr w14:val="tx1"/>
            </w14:solidFill>
          </w14:textFill>
        </w:rPr>
        <w:t>[30]</w:t>
      </w:r>
      <w:r>
        <w:rPr>
          <w:rFonts w:ascii="Book Antiqua" w:hAnsi="Book Antiqua"/>
          <w:color w:val="000000" w:themeColor="text1"/>
          <w:sz w:val="24"/>
          <w14:textFill>
            <w14:solidFill>
              <w14:schemeClr w14:val="tx1"/>
            </w14:solidFill>
          </w14:textFill>
        </w:rPr>
        <w:t>, and liver triglycerides were measured using a Triglyceride Reagent Kit (Dongou, Wenzhou, China). Frozen sections stained with Oil Red O were also used for hepatic lipid detection.</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 xml:space="preserve">Biochemical </w:t>
      </w:r>
      <w:bookmarkStart w:id="109" w:name="OLE_LINK8"/>
      <w:r>
        <w:rPr>
          <w:rFonts w:ascii="Book Antiqua" w:hAnsi="Book Antiqua"/>
          <w:b/>
          <w:bCs/>
          <w:i/>
          <w:iCs/>
          <w:color w:val="000000" w:themeColor="text1"/>
          <w:sz w:val="24"/>
          <w14:textFill>
            <w14:solidFill>
              <w14:schemeClr w14:val="tx1"/>
            </w14:solidFill>
          </w14:textFill>
        </w:rPr>
        <w:t>assays</w:t>
      </w:r>
      <w:bookmarkEnd w:id="109"/>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When the mice were killed, blood samples were collected </w:t>
      </w:r>
      <w:r>
        <w:rPr>
          <w:rFonts w:ascii="Book Antiqua" w:hAnsi="Book Antiqua"/>
          <w:i/>
          <w:iCs/>
          <w:color w:val="000000" w:themeColor="text1"/>
          <w:sz w:val="24"/>
          <w14:textFill>
            <w14:solidFill>
              <w14:schemeClr w14:val="tx1"/>
            </w14:solidFill>
          </w14:textFill>
        </w:rPr>
        <w:t>via</w:t>
      </w:r>
      <w:r>
        <w:rPr>
          <w:rFonts w:ascii="Book Antiqua" w:hAnsi="Book Antiqua"/>
          <w:color w:val="000000" w:themeColor="text1"/>
          <w:sz w:val="24"/>
          <w14:textFill>
            <w14:solidFill>
              <w14:schemeClr w14:val="tx1"/>
            </w14:solidFill>
          </w14:textFill>
        </w:rPr>
        <w:t xml:space="preserve"> cardiac puncture and centrifuged. Serum alanine aminotransferase (ALT) was measured by standard procedures. One milliliter of portal blood was collected for analysis by lipopolysaccharide (LPS) assay. The level of portal LPS was measured using a chromogenic limulus amoebocyte lysate test kit (Bokang, Zhanjiang, China) according to the manufacturer’s instructions.</w:t>
      </w: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Liver TNF-</w:t>
      </w:r>
      <w:r>
        <w:rPr>
          <w:rFonts w:ascii="Symbol" w:hAnsi="Symbol"/>
          <w:b/>
          <w:bCs/>
          <w:i/>
          <w:iCs/>
          <w:color w:val="000000" w:themeColor="text1"/>
          <w:sz w:val="24"/>
          <w14:textFill>
            <w14:solidFill>
              <w14:schemeClr w14:val="tx1"/>
            </w14:solidFill>
          </w14:textFill>
        </w:rPr>
        <w:t></w:t>
      </w:r>
      <w:r>
        <w:rPr>
          <w:rFonts w:ascii="Book Antiqua" w:hAnsi="Book Antiqua"/>
          <w:color w:val="000000" w:themeColor="text1"/>
          <w:sz w:val="24"/>
          <w14:textFill>
            <w14:solidFill>
              <w14:schemeClr w14:val="tx1"/>
            </w14:solidFill>
          </w14:textFill>
        </w:rPr>
        <w:t xml:space="preserve">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Portions of liver tissues were homogenized (100 mg/mL) in </w:t>
      </w:r>
      <w:bookmarkStart w:id="110" w:name="OLE_LINK16"/>
      <w:r>
        <w:rPr>
          <w:rFonts w:ascii="Book Antiqua" w:hAnsi="Book Antiqua"/>
          <w:color w:val="000000" w:themeColor="text1"/>
          <w:sz w:val="24"/>
          <w14:textFill>
            <w14:solidFill>
              <w14:schemeClr w14:val="tx1"/>
            </w14:solidFill>
          </w14:textFill>
        </w:rPr>
        <w:t xml:space="preserve">RIPA </w:t>
      </w:r>
      <w:bookmarkEnd w:id="110"/>
      <w:r>
        <w:rPr>
          <w:rFonts w:ascii="Book Antiqua" w:hAnsi="Book Antiqua"/>
          <w:color w:val="000000" w:themeColor="text1"/>
          <w:sz w:val="24"/>
          <w14:textFill>
            <w14:solidFill>
              <w14:schemeClr w14:val="tx1"/>
            </w14:solidFill>
          </w14:textFill>
        </w:rPr>
        <w:t xml:space="preserve">lysis buffer (Beyotime, Shanghai, China). Liver TNF-α was measured using Mouse TNF-alpha Quantikine ELISA Kit (R&amp;D Systems, Minneapolis, MN, </w:t>
      </w:r>
      <w:bookmarkStart w:id="111" w:name="OLE_LINK148"/>
      <w:bookmarkStart w:id="112" w:name="OLE_LINK149"/>
      <w:r>
        <w:rPr>
          <w:rFonts w:ascii="Book Antiqua" w:hAnsi="Book Antiqua"/>
          <w:color w:val="000000" w:themeColor="text1"/>
          <w:sz w:val="24"/>
          <w14:textFill>
            <w14:solidFill>
              <w14:schemeClr w14:val="tx1"/>
            </w14:solidFill>
          </w14:textFill>
        </w:rPr>
        <w:t>United States</w:t>
      </w:r>
      <w:bookmarkEnd w:id="111"/>
      <w:bookmarkEnd w:id="112"/>
      <w:r>
        <w:rPr>
          <w:rFonts w:ascii="Book Antiqua" w:hAnsi="Book Antiqua"/>
          <w:color w:val="000000" w:themeColor="text1"/>
          <w:sz w:val="24"/>
          <w14:textFill>
            <w14:solidFill>
              <w14:schemeClr w14:val="tx1"/>
            </w14:solidFill>
          </w14:textFill>
        </w:rPr>
        <w:t>)</w:t>
      </w:r>
      <w:bookmarkStart w:id="113" w:name="OLE_LINK72"/>
      <w:r>
        <w:rPr>
          <w:rFonts w:ascii="Book Antiqua" w:hAnsi="Book Antiqua"/>
          <w:color w:val="000000" w:themeColor="text1"/>
          <w:sz w:val="24"/>
          <w14:textFill>
            <w14:solidFill>
              <w14:schemeClr w14:val="tx1"/>
            </w14:solidFill>
          </w14:textFill>
        </w:rPr>
        <w:t>.</w:t>
      </w:r>
    </w:p>
    <w:bookmarkEnd w:id="113"/>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Intestinal microbiota analysis</w:t>
      </w:r>
      <w:r>
        <w:rPr>
          <w:rFonts w:ascii="Book Antiqua" w:hAnsi="Book Antiqua"/>
          <w:color w:val="000000" w:themeColor="text1"/>
          <w:sz w:val="24"/>
          <w14:textFill>
            <w14:solidFill>
              <w14:schemeClr w14:val="tx1"/>
            </w14:solidFill>
          </w14:textFill>
        </w:rPr>
        <w:t xml:space="preserve">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One week before the mice were killed, fecal samples were collected and stored at </w:t>
      </w:r>
      <w:r>
        <w:rPr>
          <w:rFonts w:ascii="Book Antiqua" w:hAnsi="Book Antiqua" w:eastAsia="MS Gothic"/>
          <w:color w:val="000000" w:themeColor="text1"/>
          <w:sz w:val="24"/>
          <w14:textFill>
            <w14:solidFill>
              <w14:schemeClr w14:val="tx1"/>
            </w14:solidFill>
          </w14:textFill>
        </w:rPr>
        <w:t>-</w:t>
      </w:r>
      <w:r>
        <w:rPr>
          <w:rFonts w:ascii="Book Antiqua" w:hAnsi="Book Antiqua"/>
          <w:color w:val="000000" w:themeColor="text1"/>
          <w:sz w:val="24"/>
          <w14:textFill>
            <w14:solidFill>
              <w14:schemeClr w14:val="tx1"/>
            </w14:solidFill>
          </w14:textFill>
        </w:rPr>
        <w:t xml:space="preserve">80 °C. The total fecal DNA was extracted using QIAamp Fast DNA Stool Mini Kit (QIAGEN, Valencia, CA, United States). V4 hypervariable region of 16S rRNA genes was amplified using specific primers (515F: 5'-GTGCCAGCMGCCGCGGTAA-3', 806R: 5'-GGACTACHVGGGTWTCTAAT-3'). PCR products were mixed in equidensity ratios. Sequencing libraries were prepared using the TruSeq DNA PCR-Free Sample Preparation Kit (Illumina, San Diego, CA, United States). The library was sequenced on an Illumina HiSeq2500 platform and paired-end reads were </w:t>
      </w:r>
      <w:bookmarkStart w:id="114" w:name="OLE_LINK15"/>
      <w:r>
        <w:rPr>
          <w:rFonts w:ascii="Book Antiqua" w:hAnsi="Book Antiqua"/>
          <w:color w:val="000000" w:themeColor="text1"/>
          <w:sz w:val="24"/>
          <w14:textFill>
            <w14:solidFill>
              <w14:schemeClr w14:val="tx1"/>
            </w14:solidFill>
          </w14:textFill>
        </w:rPr>
        <w:t>generated</w:t>
      </w:r>
      <w:bookmarkEnd w:id="114"/>
      <w:r>
        <w:rPr>
          <w:rFonts w:ascii="Book Antiqua" w:hAnsi="Book Antiqua"/>
          <w:color w:val="000000" w:themeColor="text1"/>
          <w:sz w:val="24"/>
          <w14:textFill>
            <w14:solidFill>
              <w14:schemeClr w14:val="tx1"/>
            </w14:solidFill>
          </w14:textFill>
        </w:rPr>
        <w:t xml:space="preserve">. </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QIIME pipeline (1.9.1) was used to process and analyze the raw data</w:t>
      </w:r>
      <w:r>
        <w:rPr>
          <w:rFonts w:ascii="Book Antiqua" w:hAnsi="Book Antiqua"/>
          <w:color w:val="000000" w:themeColor="text1"/>
          <w:sz w:val="24"/>
          <w:vertAlign w:val="superscript"/>
          <w14:textFill>
            <w14:solidFill>
              <w14:schemeClr w14:val="tx1"/>
            </w14:solidFill>
          </w14:textFill>
        </w:rPr>
        <w:t>[31]</w:t>
      </w:r>
      <w:r>
        <w:rPr>
          <w:rFonts w:ascii="Book Antiqua" w:hAnsi="Book Antiqua"/>
          <w:color w:val="000000" w:themeColor="text1"/>
          <w:sz w:val="24"/>
          <w14:textFill>
            <w14:solidFill>
              <w14:schemeClr w14:val="tx1"/>
            </w14:solidFill>
          </w14:textFill>
        </w:rPr>
        <w:t xml:space="preserve">. The main </w:t>
      </w:r>
      <w:bookmarkStart w:id="115" w:name="OLE_LINK29"/>
      <w:r>
        <w:rPr>
          <w:rFonts w:ascii="Book Antiqua" w:hAnsi="Book Antiqua"/>
          <w:color w:val="000000" w:themeColor="text1"/>
          <w:sz w:val="24"/>
          <w14:textFill>
            <w14:solidFill>
              <w14:schemeClr w14:val="tx1"/>
            </w14:solidFill>
          </w14:textFill>
        </w:rPr>
        <w:t>script</w:t>
      </w:r>
      <w:bookmarkEnd w:id="115"/>
      <w:r>
        <w:rPr>
          <w:rFonts w:ascii="Book Antiqua" w:hAnsi="Book Antiqua"/>
          <w:color w:val="000000" w:themeColor="text1"/>
          <w:sz w:val="24"/>
          <w14:textFill>
            <w14:solidFill>
              <w14:schemeClr w14:val="tx1"/>
            </w14:solidFill>
          </w14:textFill>
        </w:rPr>
        <w:t xml:space="preserve">s used in our study were as follows: join_paired_ends.py, split_libraries_fastq.py, pick_open_reference_otus.py and </w:t>
      </w:r>
      <w:bookmarkStart w:id="116" w:name="OLE_LINK28"/>
      <w:r>
        <w:rPr>
          <w:rFonts w:ascii="Book Antiqua" w:hAnsi="Book Antiqua"/>
          <w:color w:val="000000" w:themeColor="text1"/>
          <w:sz w:val="24"/>
          <w14:textFill>
            <w14:solidFill>
              <w14:schemeClr w14:val="tx1"/>
            </w14:solidFill>
          </w14:textFill>
        </w:rPr>
        <w:t>core_diversity_analyses.py</w:t>
      </w:r>
      <w:bookmarkEnd w:id="116"/>
      <w:r>
        <w:rPr>
          <w:rFonts w:ascii="Book Antiqua" w:hAnsi="Book Antiqua"/>
          <w:color w:val="000000" w:themeColor="text1"/>
          <w:sz w:val="24"/>
          <w14:textFill>
            <w14:solidFill>
              <w14:schemeClr w14:val="tx1"/>
            </w14:solidFill>
          </w14:textFill>
        </w:rPr>
        <w:t xml:space="preserve">. Operational taxonomic units (OTUs) were clustered at 97% similarity, and sequences were taxonomically assigned against the Greengenes database (gg_13_8). The results of α diversity, β diversity and </w:t>
      </w:r>
      <w:bookmarkStart w:id="117" w:name="OLE_LINK30"/>
      <w:r>
        <w:rPr>
          <w:rFonts w:ascii="Book Antiqua" w:hAnsi="Book Antiqua"/>
          <w:color w:val="000000" w:themeColor="text1"/>
          <w:sz w:val="24"/>
          <w14:textFill>
            <w14:solidFill>
              <w14:schemeClr w14:val="tx1"/>
            </w14:solidFill>
          </w14:textFill>
        </w:rPr>
        <w:t>bacterial taxon</w:t>
      </w:r>
      <w:bookmarkEnd w:id="117"/>
      <w:r>
        <w:rPr>
          <w:rFonts w:ascii="Book Antiqua" w:hAnsi="Book Antiqua"/>
          <w:color w:val="000000" w:themeColor="text1"/>
          <w:sz w:val="24"/>
          <w14:textFill>
            <w14:solidFill>
              <w14:schemeClr w14:val="tx1"/>
            </w14:solidFill>
          </w14:textFill>
        </w:rPr>
        <w:t xml:space="preserve">omy were generated by core_diversity_analyses.py script. We used the </w:t>
      </w:r>
      <w:bookmarkStart w:id="118" w:name="OLE_LINK175"/>
      <w:bookmarkStart w:id="119" w:name="OLE_LINK174"/>
      <w:bookmarkStart w:id="120" w:name="OLE_LINK177"/>
      <w:bookmarkStart w:id="121" w:name="OLE_LINK176"/>
      <w:bookmarkStart w:id="122" w:name="OLE_LINK178"/>
      <w:r>
        <w:rPr>
          <w:rFonts w:ascii="Book Antiqua" w:hAnsi="Book Antiqua"/>
          <w:color w:val="000000" w:themeColor="text1"/>
          <w:sz w:val="24"/>
          <w14:textFill>
            <w14:solidFill>
              <w14:schemeClr w14:val="tx1"/>
            </w14:solidFill>
          </w14:textFill>
        </w:rPr>
        <w:t>linear discriminant analysis</w:t>
      </w:r>
      <w:bookmarkEnd w:id="118"/>
      <w:bookmarkEnd w:id="119"/>
      <w:r>
        <w:rPr>
          <w:rFonts w:ascii="Book Antiqua" w:hAnsi="Book Antiqua"/>
          <w:color w:val="000000" w:themeColor="text1"/>
          <w:sz w:val="24"/>
          <w14:textFill>
            <w14:solidFill>
              <w14:schemeClr w14:val="tx1"/>
            </w14:solidFill>
          </w14:textFill>
        </w:rPr>
        <w:t xml:space="preserve"> (LDA) effect size (LEfSe)</w:t>
      </w:r>
      <w:bookmarkEnd w:id="120"/>
      <w:bookmarkEnd w:id="121"/>
      <w:bookmarkEnd w:id="122"/>
      <w:r>
        <w:rPr>
          <w:rFonts w:ascii="Book Antiqua" w:hAnsi="Book Antiqua"/>
          <w:color w:val="000000" w:themeColor="text1"/>
          <w:sz w:val="24"/>
          <w14:textFill>
            <w14:solidFill>
              <w14:schemeClr w14:val="tx1"/>
            </w14:solidFill>
          </w14:textFill>
        </w:rPr>
        <w:t xml:space="preserve"> method to identify bacterial biomarkers in different groups</w:t>
      </w:r>
      <w:r>
        <w:rPr>
          <w:rFonts w:ascii="Book Antiqua" w:hAnsi="Book Antiqua"/>
          <w:color w:val="000000" w:themeColor="text1"/>
          <w:sz w:val="24"/>
          <w:vertAlign w:val="superscript"/>
          <w14:textFill>
            <w14:solidFill>
              <w14:schemeClr w14:val="tx1"/>
            </w14:solidFill>
          </w14:textFill>
        </w:rPr>
        <w:t>[32]</w:t>
      </w:r>
      <w:r>
        <w:rPr>
          <w:rFonts w:ascii="Book Antiqua" w:hAnsi="Book Antiqua"/>
          <w:color w:val="000000" w:themeColor="text1"/>
          <w:sz w:val="24"/>
          <w14:textFill>
            <w14:solidFill>
              <w14:schemeClr w14:val="tx1"/>
            </w14:solidFill>
          </w14:textFill>
        </w:rPr>
        <w:t xml:space="preserve">. We predicted </w:t>
      </w:r>
      <w:bookmarkStart w:id="123" w:name="OLE_LINK34"/>
      <w:r>
        <w:rPr>
          <w:rFonts w:ascii="Book Antiqua" w:hAnsi="Book Antiqua"/>
          <w:color w:val="000000" w:themeColor="text1"/>
          <w:sz w:val="24"/>
          <w14:textFill>
            <w14:solidFill>
              <w14:schemeClr w14:val="tx1"/>
            </w14:solidFill>
          </w14:textFill>
        </w:rPr>
        <w:t>the bacterial functions</w:t>
      </w:r>
      <w:bookmarkEnd w:id="123"/>
      <w:r>
        <w:rPr>
          <w:rFonts w:ascii="Book Antiqua" w:hAnsi="Book Antiqua"/>
          <w:color w:val="000000" w:themeColor="text1"/>
          <w:sz w:val="24"/>
          <w14:textFill>
            <w14:solidFill>
              <w14:schemeClr w14:val="tx1"/>
            </w14:solidFill>
          </w14:textFill>
        </w:rPr>
        <w:t xml:space="preserve"> of different groups. For functional</w:t>
      </w:r>
      <w:r>
        <w:rPr>
          <w:rFonts w:ascii="Times New Roman" w:hAnsi="Times New Roman"/>
          <w:color w:val="000000" w:themeColor="text1"/>
          <w:sz w:val="24"/>
          <w14:textFill>
            <w14:solidFill>
              <w14:schemeClr w14:val="tx1"/>
            </w14:solidFill>
          </w14:textFill>
        </w:rPr>
        <w:t> </w:t>
      </w:r>
      <w:r>
        <w:rPr>
          <w:rFonts w:ascii="Book Antiqua" w:hAnsi="Book Antiqua"/>
          <w:color w:val="000000" w:themeColor="text1"/>
          <w:sz w:val="24"/>
          <w14:textFill>
            <w14:solidFill>
              <w14:schemeClr w14:val="tx1"/>
            </w14:solidFill>
          </w14:textFill>
        </w:rPr>
        <w:t>prediction, we re</w:t>
      </w:r>
      <w:bookmarkStart w:id="124" w:name="OLE_LINK33"/>
      <w:r>
        <w:rPr>
          <w:rFonts w:ascii="Book Antiqua" w:hAnsi="Book Antiqua"/>
          <w:color w:val="000000" w:themeColor="text1"/>
          <w:sz w:val="24"/>
          <w14:textFill>
            <w14:solidFill>
              <w14:schemeClr w14:val="tx1"/>
            </w14:solidFill>
          </w14:textFill>
        </w:rPr>
        <w:t>cluster</w:t>
      </w:r>
      <w:bookmarkEnd w:id="124"/>
      <w:r>
        <w:rPr>
          <w:rFonts w:ascii="Book Antiqua" w:hAnsi="Book Antiqua"/>
          <w:color w:val="000000" w:themeColor="text1"/>
          <w:sz w:val="24"/>
          <w14:textFill>
            <w14:solidFill>
              <w14:schemeClr w14:val="tx1"/>
            </w14:solidFill>
          </w14:textFill>
        </w:rPr>
        <w:t>ed sequences into OTUs (97% similarity) against the Greengenes database (gg_13_5) using pick_closed_reference_otus.py script, and then the PICRUSt pipeline</w:t>
      </w:r>
      <w:r>
        <w:rPr>
          <w:rFonts w:ascii="Book Antiqua" w:hAnsi="Book Antiqua"/>
          <w:color w:val="000000" w:themeColor="text1"/>
          <w:sz w:val="24"/>
          <w:vertAlign w:val="superscript"/>
          <w14:textFill>
            <w14:solidFill>
              <w14:schemeClr w14:val="tx1"/>
            </w14:solidFill>
          </w14:textFill>
        </w:rPr>
        <w:t>[33]</w:t>
      </w:r>
      <w:r>
        <w:rPr>
          <w:rFonts w:ascii="Book Antiqua" w:hAnsi="Book Antiqua"/>
          <w:color w:val="000000" w:themeColor="text1"/>
          <w:sz w:val="24"/>
          <w14:textFill>
            <w14:solidFill>
              <w14:schemeClr w14:val="tx1"/>
            </w14:solidFill>
          </w14:textFill>
        </w:rPr>
        <w:t xml:space="preserve"> was used to predict bacterial functions. After using the normalize_by_copy_number.py script, the predict_metagenomes.py script was used to generate Kyoto Encyclopedia of Genes and Genomes (KEGG) ortholog predictions. We also applied the LEfSe method to find functional biomarkers in different groups.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Statistical analysis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Data are presented as mean ± SD. The differences in data were statistically analyzed by one-way analysis of variance with Bonferroni’s multiple-comparison test as </w:t>
      </w:r>
      <w:r>
        <w:rPr>
          <w:rFonts w:ascii="Book Antiqua" w:hAnsi="Book Antiqua"/>
          <w:i/>
          <w:color w:val="000000" w:themeColor="text1"/>
          <w:sz w:val="24"/>
          <w14:textFill>
            <w14:solidFill>
              <w14:schemeClr w14:val="tx1"/>
            </w14:solidFill>
          </w14:textFill>
        </w:rPr>
        <w:t>post hoc</w:t>
      </w:r>
      <w:r>
        <w:rPr>
          <w:rFonts w:ascii="Book Antiqua" w:hAnsi="Book Antiqua"/>
          <w:color w:val="000000" w:themeColor="text1"/>
          <w:sz w:val="24"/>
          <w14:textFill>
            <w14:solidFill>
              <w14:schemeClr w14:val="tx1"/>
            </w14:solidFill>
          </w14:textFill>
        </w:rPr>
        <w:t xml:space="preserve"> analysis. SPSS version 20.0 was used for statistical analysis, and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was considered statistically significant. </w:t>
      </w:r>
    </w:p>
    <w:p>
      <w:pPr>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RESULTS</w:t>
      </w:r>
    </w:p>
    <w:p>
      <w:pPr>
        <w:widowControl/>
        <w:adjustRightInd w:val="0"/>
        <w:snapToGrid w:val="0"/>
        <w:spacing w:line="360" w:lineRule="auto"/>
        <w:rPr>
          <w:rFonts w:ascii="Book Antiqua" w:hAnsi="Book Antiqua"/>
          <w:b/>
          <w:bCs/>
          <w:i/>
          <w:iCs/>
          <w:color w:val="000000" w:themeColor="text1"/>
          <w:sz w:val="24"/>
          <w14:textFill>
            <w14:solidFill>
              <w14:schemeClr w14:val="tx1"/>
            </w14:solidFill>
          </w14:textFill>
        </w:rPr>
      </w:pPr>
      <w:bookmarkStart w:id="125" w:name="OLE_LINK12"/>
      <w:r>
        <w:rPr>
          <w:rFonts w:ascii="Book Antiqua" w:hAnsi="Book Antiqua"/>
          <w:b/>
          <w:bCs/>
          <w:i/>
          <w:iCs/>
          <w:color w:val="000000" w:themeColor="text1"/>
          <w:sz w:val="24"/>
          <w14:textFill>
            <w14:solidFill>
              <w14:schemeClr w14:val="tx1"/>
            </w14:solidFill>
          </w14:textFill>
        </w:rPr>
        <w:t>Effect</w:t>
      </w:r>
      <w:bookmarkEnd w:id="125"/>
      <w:r>
        <w:rPr>
          <w:rFonts w:ascii="Book Antiqua" w:hAnsi="Book Antiqua"/>
          <w:b/>
          <w:bCs/>
          <w:i/>
          <w:iCs/>
          <w:color w:val="000000" w:themeColor="text1"/>
          <w:sz w:val="24"/>
          <w14:textFill>
            <w14:solidFill>
              <w14:schemeClr w14:val="tx1"/>
            </w14:solidFill>
          </w14:textFill>
        </w:rPr>
        <w:t xml:space="preserve">s of </w:t>
      </w:r>
      <w:bookmarkStart w:id="126" w:name="OLE_LINK13"/>
      <w:r>
        <w:rPr>
          <w:rFonts w:ascii="Book Antiqua" w:hAnsi="Book Antiqua"/>
          <w:b/>
          <w:bCs/>
          <w:i/>
          <w:iCs/>
          <w:color w:val="000000" w:themeColor="text1"/>
          <w:sz w:val="24"/>
          <w14:textFill>
            <w14:solidFill>
              <w14:schemeClr w14:val="tx1"/>
            </w14:solidFill>
          </w14:textFill>
        </w:rPr>
        <w:t xml:space="preserve">Si-Ni-San </w:t>
      </w:r>
      <w:r>
        <w:rPr>
          <w:rFonts w:ascii="Book Antiqua" w:hAnsi="Book Antiqua"/>
          <w:b/>
          <w:bCs/>
          <w:i/>
          <w:color w:val="000000" w:themeColor="text1"/>
          <w:sz w:val="24"/>
          <w14:textFill>
            <w14:solidFill>
              <w14:schemeClr w14:val="tx1"/>
            </w14:solidFill>
          </w14:textFill>
        </w:rPr>
        <w:t>freeze-dried powder</w:t>
      </w:r>
      <w:bookmarkEnd w:id="126"/>
      <w:r>
        <w:rPr>
          <w:rFonts w:ascii="Book Antiqua" w:hAnsi="Book Antiqua"/>
          <w:b/>
          <w:bCs/>
          <w:i/>
          <w:color w:val="000000" w:themeColor="text1"/>
          <w:sz w:val="24"/>
          <w14:textFill>
            <w14:solidFill>
              <w14:schemeClr w14:val="tx1"/>
            </w14:solidFill>
          </w14:textFill>
        </w:rPr>
        <w:t xml:space="preserve"> on</w:t>
      </w:r>
      <w:r>
        <w:rPr>
          <w:rFonts w:ascii="Book Antiqua" w:hAnsi="Book Antiqua"/>
          <w:b/>
          <w:bCs/>
          <w:i/>
          <w:iCs/>
          <w:color w:val="000000" w:themeColor="text1"/>
          <w:sz w:val="24"/>
          <w14:textFill>
            <w14:solidFill>
              <w14:schemeClr w14:val="tx1"/>
            </w14:solidFill>
          </w14:textFill>
        </w:rPr>
        <w:t xml:space="preserve"> </w:t>
      </w:r>
      <w:bookmarkStart w:id="127" w:name="OLE_LINK35"/>
      <w:r>
        <w:rPr>
          <w:rFonts w:ascii="Book Antiqua" w:hAnsi="Book Antiqua"/>
          <w:b/>
          <w:bCs/>
          <w:i/>
          <w:iCs/>
          <w:color w:val="000000" w:themeColor="text1"/>
          <w:sz w:val="24"/>
          <w14:textFill>
            <w14:solidFill>
              <w14:schemeClr w14:val="tx1"/>
            </w14:solidFill>
          </w14:textFill>
        </w:rPr>
        <w:t>body weight</w:t>
      </w:r>
      <w:bookmarkEnd w:id="127"/>
      <w:r>
        <w:rPr>
          <w:rFonts w:ascii="Book Antiqua" w:hAnsi="Book Antiqua"/>
          <w:b/>
          <w:bCs/>
          <w:i/>
          <w:iCs/>
          <w:color w:val="000000" w:themeColor="text1"/>
          <w:sz w:val="24"/>
          <w14:textFill>
            <w14:solidFill>
              <w14:schemeClr w14:val="tx1"/>
            </w14:solidFill>
          </w14:textFill>
        </w:rPr>
        <w:t>, liver index and visceral fat index</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At the beginning of the </w:t>
      </w:r>
      <w:bookmarkStart w:id="128" w:name="OLE_LINK38"/>
      <w:r>
        <w:rPr>
          <w:rFonts w:ascii="Book Antiqua" w:hAnsi="Book Antiqua"/>
          <w:color w:val="000000" w:themeColor="text1"/>
          <w:sz w:val="24"/>
          <w14:textFill>
            <w14:solidFill>
              <w14:schemeClr w14:val="tx1"/>
            </w14:solidFill>
          </w14:textFill>
        </w:rPr>
        <w:t>experiment</w:t>
      </w:r>
      <w:bookmarkEnd w:id="128"/>
      <w:r>
        <w:rPr>
          <w:rFonts w:ascii="Book Antiqua" w:hAnsi="Book Antiqua"/>
          <w:color w:val="000000" w:themeColor="text1"/>
          <w:sz w:val="24"/>
          <w14:textFill>
            <w14:solidFill>
              <w14:schemeClr w14:val="tx1"/>
            </w14:solidFill>
          </w14:textFill>
        </w:rPr>
        <w:t xml:space="preserve">, </w:t>
      </w:r>
      <w:bookmarkStart w:id="129" w:name="OLE_LINK49"/>
      <w:r>
        <w:rPr>
          <w:rFonts w:ascii="Book Antiqua" w:hAnsi="Book Antiqua"/>
          <w:color w:val="000000" w:themeColor="text1"/>
          <w:sz w:val="24"/>
          <w14:textFill>
            <w14:solidFill>
              <w14:schemeClr w14:val="tx1"/>
            </w14:solidFill>
          </w14:textFill>
        </w:rPr>
        <w:t>the body weight of the three groups of mice did not differ significantly (</w:t>
      </w:r>
      <w:bookmarkStart w:id="130" w:name="OLE_LINK36"/>
      <w:r>
        <w:rPr>
          <w:rFonts w:ascii="Book Antiqua" w:hAnsi="Book Antiqua"/>
          <w:color w:val="000000" w:themeColor="text1"/>
          <w:sz w:val="24"/>
          <w14:textFill>
            <w14:solidFill>
              <w14:schemeClr w14:val="tx1"/>
            </w14:solidFill>
          </w14:textFill>
        </w:rPr>
        <w:t>data not show</w:t>
      </w:r>
      <w:bookmarkEnd w:id="130"/>
      <w:r>
        <w:rPr>
          <w:rFonts w:ascii="Book Antiqua" w:hAnsi="Book Antiqua"/>
          <w:color w:val="000000" w:themeColor="text1"/>
          <w:sz w:val="24"/>
          <w14:textFill>
            <w14:solidFill>
              <w14:schemeClr w14:val="tx1"/>
            </w14:solidFill>
          </w14:textFill>
        </w:rPr>
        <w:t>n)</w:t>
      </w:r>
      <w:bookmarkEnd w:id="129"/>
      <w:r>
        <w:rPr>
          <w:rFonts w:ascii="Book Antiqua" w:hAnsi="Book Antiqua"/>
          <w:color w:val="000000" w:themeColor="text1"/>
          <w:sz w:val="24"/>
          <w14:textFill>
            <w14:solidFill>
              <w14:schemeClr w14:val="tx1"/>
            </w14:solidFill>
          </w14:textFill>
        </w:rPr>
        <w:t xml:space="preserve">. After 12 wk, the FAT and SNS groups exhibited higher body weight, liver index and visceral fat index compared with the CON group (Figure 1A-C,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respectively). However, the SNS group, compared with the FAT group, showed decreased body weight, liver index and visceral fat index (Figure 1A-C,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respectively).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 xml:space="preserve">Si-Ni-San </w:t>
      </w:r>
      <w:r>
        <w:rPr>
          <w:rFonts w:ascii="Book Antiqua" w:hAnsi="Book Antiqua"/>
          <w:b/>
          <w:bCs/>
          <w:i/>
          <w:color w:val="000000" w:themeColor="text1"/>
          <w:sz w:val="24"/>
          <w14:textFill>
            <w14:solidFill>
              <w14:schemeClr w14:val="tx1"/>
            </w14:solidFill>
          </w14:textFill>
        </w:rPr>
        <w:t xml:space="preserve">freeze-dried powder </w:t>
      </w:r>
      <w:bookmarkStart w:id="131" w:name="OLE_LINK47"/>
      <w:r>
        <w:rPr>
          <w:rFonts w:ascii="Book Antiqua" w:hAnsi="Book Antiqua"/>
          <w:b/>
          <w:bCs/>
          <w:i/>
          <w:color w:val="000000" w:themeColor="text1"/>
          <w:sz w:val="24"/>
          <w14:textFill>
            <w14:solidFill>
              <w14:schemeClr w14:val="tx1"/>
            </w14:solidFill>
          </w14:textFill>
        </w:rPr>
        <w:t>ameliorates</w:t>
      </w:r>
      <w:bookmarkEnd w:id="131"/>
      <w:r>
        <w:rPr>
          <w:rFonts w:ascii="Book Antiqua" w:hAnsi="Book Antiqua"/>
          <w:b/>
          <w:bCs/>
          <w:i/>
          <w:color w:val="000000" w:themeColor="text1"/>
          <w:sz w:val="24"/>
          <w14:textFill>
            <w14:solidFill>
              <w14:schemeClr w14:val="tx1"/>
            </w14:solidFill>
          </w14:textFill>
        </w:rPr>
        <w:t xml:space="preserve"> high fat diet-induced inflammation and liver injury </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After 12 wk of eating the high fat diet, the FAT group had significantly increased levels of portal LPS, liver TNF-α and ALT compared with the CON group (Figure 2A-C,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respectively). However, compared with the FAT group, the SNS group, which was intragastrically administered </w:t>
      </w:r>
      <w:bookmarkStart w:id="132" w:name="OLE_LINK41"/>
      <w:r>
        <w:rPr>
          <w:rFonts w:ascii="Book Antiqua" w:hAnsi="Book Antiqua"/>
          <w:color w:val="000000" w:themeColor="text1"/>
          <w:sz w:val="24"/>
          <w14:textFill>
            <w14:solidFill>
              <w14:schemeClr w14:val="tx1"/>
            </w14:solidFill>
          </w14:textFill>
        </w:rPr>
        <w:t>Si-Ni-San freeze-dried powder</w:t>
      </w:r>
      <w:bookmarkEnd w:id="132"/>
      <w:r>
        <w:rPr>
          <w:rFonts w:ascii="Book Antiqua" w:hAnsi="Book Antiqua"/>
          <w:color w:val="000000" w:themeColor="text1"/>
          <w:sz w:val="24"/>
          <w14:textFill>
            <w14:solidFill>
              <w14:schemeClr w14:val="tx1"/>
            </w14:solidFill>
          </w14:textFill>
        </w:rPr>
        <w:t xml:space="preserve"> every day for 12 wk, significantly decreased levels of portal LPS, liver TNF-α and ALT (Figure 2A-C,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respectively). Compared with the CON group, </w:t>
      </w:r>
      <w:bookmarkStart w:id="133" w:name="OLE_LINK74"/>
      <w:r>
        <w:rPr>
          <w:rFonts w:ascii="Book Antiqua" w:hAnsi="Book Antiqua"/>
          <w:color w:val="000000" w:themeColor="text1"/>
          <w:sz w:val="24"/>
          <w14:textFill>
            <w14:solidFill>
              <w14:schemeClr w14:val="tx1"/>
            </w14:solidFill>
          </w14:textFill>
        </w:rPr>
        <w:t>the SNS group only exhibited higher levels of liver TNF-α and ALT</w:t>
      </w:r>
      <w:bookmarkEnd w:id="133"/>
      <w:r>
        <w:rPr>
          <w:rFonts w:ascii="Book Antiqua" w:hAnsi="Book Antiqua"/>
          <w:color w:val="000000" w:themeColor="text1"/>
          <w:sz w:val="24"/>
          <w14:textFill>
            <w14:solidFill>
              <w14:schemeClr w14:val="tx1"/>
            </w14:solidFill>
          </w14:textFill>
        </w:rPr>
        <w:t xml:space="preserve"> (Figure 2B and C,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respectively).</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p>
    <w:p>
      <w:pPr>
        <w:adjustRightInd w:val="0"/>
        <w:snapToGrid w:val="0"/>
        <w:spacing w:line="360" w:lineRule="auto"/>
        <w:rPr>
          <w:rFonts w:ascii="Book Antiqua" w:hAnsi="Book Antiqua"/>
          <w:color w:val="000000" w:themeColor="text1"/>
          <w:sz w:val="24"/>
          <w14:textFill>
            <w14:solidFill>
              <w14:schemeClr w14:val="tx1"/>
            </w14:solidFill>
          </w14:textFill>
        </w:rPr>
      </w:pPr>
      <w:bookmarkStart w:id="134" w:name="OLE_LINK40"/>
      <w:bookmarkStart w:id="135" w:name="OLE_LINK46"/>
      <w:r>
        <w:rPr>
          <w:rFonts w:ascii="Book Antiqua" w:hAnsi="Book Antiqua"/>
          <w:b/>
          <w:bCs/>
          <w:i/>
          <w:iCs/>
          <w:color w:val="000000" w:themeColor="text1"/>
          <w:sz w:val="24"/>
          <w14:textFill>
            <w14:solidFill>
              <w14:schemeClr w14:val="tx1"/>
            </w14:solidFill>
          </w14:textFill>
        </w:rPr>
        <w:t>Si-Ni-San freeze-dried powder</w:t>
      </w:r>
      <w:bookmarkEnd w:id="134"/>
      <w:r>
        <w:rPr>
          <w:rFonts w:ascii="Book Antiqua" w:hAnsi="Book Antiqua"/>
          <w:b/>
          <w:bCs/>
          <w:i/>
          <w:iCs/>
          <w:color w:val="000000" w:themeColor="text1"/>
          <w:sz w:val="24"/>
          <w14:textFill>
            <w14:solidFill>
              <w14:schemeClr w14:val="tx1"/>
            </w14:solidFill>
          </w14:textFill>
        </w:rPr>
        <w:t xml:space="preserve"> reduces high fat diet-induced triglyceride accumulation in the liver</w:t>
      </w:r>
    </w:p>
    <w:bookmarkEnd w:id="135"/>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Oil Red O staining was used to morphologically observe </w:t>
      </w:r>
      <w:bookmarkStart w:id="136" w:name="OLE_LINK39"/>
      <w:r>
        <w:rPr>
          <w:rFonts w:ascii="Book Antiqua" w:hAnsi="Book Antiqua"/>
          <w:color w:val="000000" w:themeColor="text1"/>
          <w:sz w:val="24"/>
          <w14:textFill>
            <w14:solidFill>
              <w14:schemeClr w14:val="tx1"/>
            </w14:solidFill>
          </w14:textFill>
        </w:rPr>
        <w:t>triglyceride</w:t>
      </w:r>
      <w:bookmarkEnd w:id="136"/>
      <w:r>
        <w:rPr>
          <w:rFonts w:ascii="Book Antiqua" w:hAnsi="Book Antiqua"/>
          <w:color w:val="000000" w:themeColor="text1"/>
          <w:sz w:val="24"/>
          <w14:textFill>
            <w14:solidFill>
              <w14:schemeClr w14:val="tx1"/>
            </w14:solidFill>
          </w14:textFill>
        </w:rPr>
        <w:t xml:space="preserve"> accumulation in the livers of mice. The CON group nearly had no triglyceride accumulation in the liver; however, the FAT group had obvious triglyceride accumulation (Figure 3A). The SNS group exhibited less triglyceride accumulation compared with the FAT group (Figure 3A). Triglyceride accumulation was measured using a colorimetric method, and the results were consistent with the findings of Oil Red O staining. The levels of </w:t>
      </w:r>
      <w:bookmarkStart w:id="137" w:name="OLE_LINK42"/>
      <w:r>
        <w:rPr>
          <w:rFonts w:ascii="Book Antiqua" w:hAnsi="Book Antiqua"/>
          <w:color w:val="000000" w:themeColor="text1"/>
          <w:sz w:val="24"/>
          <w14:textFill>
            <w14:solidFill>
              <w14:schemeClr w14:val="tx1"/>
            </w14:solidFill>
          </w14:textFill>
        </w:rPr>
        <w:t>triglycerides</w:t>
      </w:r>
      <w:bookmarkEnd w:id="137"/>
      <w:r>
        <w:rPr>
          <w:rFonts w:ascii="Book Antiqua" w:hAnsi="Book Antiqua"/>
          <w:color w:val="000000" w:themeColor="text1"/>
          <w:sz w:val="24"/>
          <w14:textFill>
            <w14:solidFill>
              <w14:schemeClr w14:val="tx1"/>
            </w14:solidFill>
          </w14:textFill>
        </w:rPr>
        <w:t xml:space="preserve"> were significantly increased </w:t>
      </w:r>
      <w:bookmarkStart w:id="138" w:name="OLE_LINK43"/>
      <w:r>
        <w:rPr>
          <w:rFonts w:ascii="Book Antiqua" w:hAnsi="Book Antiqua"/>
          <w:color w:val="000000" w:themeColor="text1"/>
          <w:sz w:val="24"/>
          <w14:textFill>
            <w14:solidFill>
              <w14:schemeClr w14:val="tx1"/>
            </w14:solidFill>
          </w14:textFill>
        </w:rPr>
        <w:t>in the liver</w:t>
      </w:r>
      <w:bookmarkEnd w:id="138"/>
      <w:r>
        <w:rPr>
          <w:rFonts w:ascii="Book Antiqua" w:hAnsi="Book Antiqua"/>
          <w:color w:val="000000" w:themeColor="text1"/>
          <w:sz w:val="24"/>
          <w14:textFill>
            <w14:solidFill>
              <w14:schemeClr w14:val="tx1"/>
            </w14:solidFill>
          </w14:textFill>
        </w:rPr>
        <w:t xml:space="preserve"> of the FAT </w:t>
      </w:r>
      <w:bookmarkStart w:id="139" w:name="OLE_LINK44"/>
      <w:r>
        <w:rPr>
          <w:rFonts w:ascii="Book Antiqua" w:hAnsi="Book Antiqua"/>
          <w:color w:val="000000" w:themeColor="text1"/>
          <w:sz w:val="24"/>
          <w14:textFill>
            <w14:solidFill>
              <w14:schemeClr w14:val="tx1"/>
            </w14:solidFill>
          </w14:textFill>
        </w:rPr>
        <w:t>and SNS groups compared with the CON group</w:t>
      </w:r>
      <w:bookmarkEnd w:id="139"/>
      <w:bookmarkStart w:id="140" w:name="OLE_LINK45"/>
      <w:r>
        <w:rPr>
          <w:rFonts w:ascii="Book Antiqua" w:hAnsi="Book Antiqua"/>
          <w:color w:val="000000" w:themeColor="text1"/>
          <w:sz w:val="24"/>
          <w14:textFill>
            <w14:solidFill>
              <w14:schemeClr w14:val="tx1"/>
            </w14:solidFill>
          </w14:textFill>
        </w:rPr>
        <w:t xml:space="preserve"> (Figure 3B, </w:t>
      </w:r>
      <w:r>
        <w:rPr>
          <w:rFonts w:ascii="Book Antiqua" w:hAnsi="Book Antiqua"/>
          <w:i/>
          <w:iCs/>
          <w:color w:val="000000" w:themeColor="text1"/>
          <w:sz w:val="24"/>
          <w14:textFill>
            <w14:solidFill>
              <w14:schemeClr w14:val="tx1"/>
            </w14:solidFill>
          </w14:textFill>
        </w:rPr>
        <w:t xml:space="preserve">P </w:t>
      </w:r>
      <w:r>
        <w:rPr>
          <w:rFonts w:ascii="Book Antiqua" w:hAnsi="Book Antiqua"/>
          <w:color w:val="000000" w:themeColor="text1"/>
          <w:sz w:val="24"/>
          <w14:textFill>
            <w14:solidFill>
              <w14:schemeClr w14:val="tx1"/>
            </w14:solidFill>
          </w14:textFill>
        </w:rPr>
        <w:t>&lt; 0.05)</w:t>
      </w:r>
      <w:bookmarkEnd w:id="140"/>
      <w:r>
        <w:rPr>
          <w:rFonts w:ascii="Book Antiqua" w:hAnsi="Book Antiqua"/>
          <w:color w:val="000000" w:themeColor="text1"/>
          <w:sz w:val="24"/>
          <w14:textFill>
            <w14:solidFill>
              <w14:schemeClr w14:val="tx1"/>
            </w14:solidFill>
          </w14:textFill>
        </w:rPr>
        <w:t xml:space="preserve">. Si-Ni-San freeze-dried powder significantly decreased the levels of triglycerides in the SNS group compared with the FAT group (Figure 3B, </w:t>
      </w:r>
      <w:r>
        <w:rPr>
          <w:rFonts w:ascii="Book Antiqua" w:hAnsi="Book Antiqua"/>
          <w:i/>
          <w:iCs/>
          <w:color w:val="000000" w:themeColor="text1"/>
          <w:sz w:val="24"/>
          <w14:textFill>
            <w14:solidFill>
              <w14:schemeClr w14:val="tx1"/>
            </w14:solidFill>
          </w14:textFill>
        </w:rPr>
        <w:t xml:space="preserve">P </w:t>
      </w:r>
      <w:r>
        <w:rPr>
          <w:rFonts w:ascii="Book Antiqua" w:hAnsi="Book Antiqua"/>
          <w:color w:val="000000" w:themeColor="text1"/>
          <w:sz w:val="24"/>
          <w14:textFill>
            <w14:solidFill>
              <w14:schemeClr w14:val="tx1"/>
            </w14:solidFill>
          </w14:textFill>
        </w:rPr>
        <w:t>&lt; 0.05).</w:t>
      </w:r>
    </w:p>
    <w:p>
      <w:pPr>
        <w:adjustRightInd w:val="0"/>
        <w:snapToGrid w:val="0"/>
        <w:spacing w:line="360" w:lineRule="auto"/>
        <w:rPr>
          <w:rFonts w:ascii="Book Antiqua" w:hAnsi="Book Antiqua"/>
          <w:color w:val="000000" w:themeColor="text1"/>
          <w:sz w:val="24"/>
          <w14:textFill>
            <w14:solidFill>
              <w14:schemeClr w14:val="tx1"/>
            </w14:solidFill>
          </w14:textFill>
        </w:rPr>
      </w:pPr>
    </w:p>
    <w:p>
      <w:pPr>
        <w:adjustRightInd w:val="0"/>
        <w:snapToGrid w:val="0"/>
        <w:spacing w:line="360" w:lineRule="auto"/>
        <w:rPr>
          <w:rFonts w:ascii="Book Antiqua" w:hAnsi="Book Antiqua"/>
          <w:b/>
          <w:bCs/>
          <w:i/>
          <w:iCs/>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Intestinal microbiota composition in different group samples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A total of 1,380,651 high-quality reads (average of 57,527 ± 14,266 sequences per sample) were used for biological information analysis, and 15,253 OTUs were clustered at 97% similarity (</w:t>
      </w:r>
      <w:bookmarkStart w:id="141" w:name="OLE_LINK67"/>
      <w:r>
        <w:rPr>
          <w:rFonts w:ascii="Book Antiqua" w:hAnsi="Book Antiqua"/>
          <w:color w:val="000000" w:themeColor="text1"/>
          <w:sz w:val="24"/>
          <w14:textFill>
            <w14:solidFill>
              <w14:schemeClr w14:val="tx1"/>
            </w14:solidFill>
          </w14:textFill>
        </w:rPr>
        <w:t>Figure 4A</w:t>
      </w:r>
      <w:bookmarkEnd w:id="141"/>
      <w:r>
        <w:rPr>
          <w:rFonts w:ascii="Book Antiqua" w:hAnsi="Book Antiqua"/>
          <w:color w:val="000000" w:themeColor="text1"/>
          <w:sz w:val="24"/>
          <w14:textFill>
            <w14:solidFill>
              <w14:schemeClr w14:val="tx1"/>
            </w14:solidFill>
          </w14:textFill>
        </w:rPr>
        <w:t>). Good coverage, which was &gt; 0.96, and the rarefaction curves of all samples indicated that we obtained sufficient OTUs to reflect the bacterial composition of different samples accurately (</w:t>
      </w:r>
      <w:bookmarkStart w:id="142" w:name="OLE_LINK68"/>
      <w:r>
        <w:rPr>
          <w:rFonts w:ascii="Book Antiqua" w:hAnsi="Book Antiqua"/>
          <w:color w:val="000000" w:themeColor="text1"/>
          <w:sz w:val="24"/>
          <w14:textFill>
            <w14:solidFill>
              <w14:schemeClr w14:val="tx1"/>
            </w14:solidFill>
          </w14:textFill>
        </w:rPr>
        <w:t>Figure 4B</w:t>
      </w:r>
      <w:bookmarkEnd w:id="142"/>
      <w:r>
        <w:rPr>
          <w:rFonts w:ascii="Book Antiqua" w:hAnsi="Book Antiqua"/>
          <w:color w:val="000000" w:themeColor="text1"/>
          <w:sz w:val="24"/>
          <w14:textFill>
            <w14:solidFill>
              <w14:schemeClr w14:val="tx1"/>
            </w14:solidFill>
          </w14:textFill>
        </w:rPr>
        <w:t xml:space="preserve">). Although we calculated the </w:t>
      </w:r>
      <w:bookmarkStart w:id="143" w:name="OLE_LINK48"/>
      <w:r>
        <w:rPr>
          <w:rFonts w:ascii="Book Antiqua" w:hAnsi="Book Antiqua"/>
          <w:color w:val="000000" w:themeColor="text1"/>
          <w:sz w:val="24"/>
          <w14:textFill>
            <w14:solidFill>
              <w14:schemeClr w14:val="tx1"/>
            </w14:solidFill>
          </w14:textFill>
        </w:rPr>
        <w:t>value</w:t>
      </w:r>
      <w:bookmarkEnd w:id="143"/>
      <w:r>
        <w:rPr>
          <w:rFonts w:ascii="Book Antiqua" w:hAnsi="Book Antiqua"/>
          <w:color w:val="000000" w:themeColor="text1"/>
          <w:sz w:val="24"/>
          <w14:textFill>
            <w14:solidFill>
              <w14:schemeClr w14:val="tx1"/>
            </w14:solidFill>
          </w14:textFill>
        </w:rPr>
        <w:t xml:space="preserve">s of Shannon Index and Chao 1, the three groups of mice showed no significant differences (date not shown). To observe the β diversity of different groups of mice, we used Unweighted UniFrac PCoA, and the result of this evolutionary distance-based method showed that the </w:t>
      </w:r>
      <w:bookmarkStart w:id="144" w:name="OLE_LINK51"/>
      <w:r>
        <w:rPr>
          <w:rFonts w:ascii="Book Antiqua" w:hAnsi="Book Antiqua"/>
          <w:color w:val="000000" w:themeColor="text1"/>
          <w:sz w:val="24"/>
          <w14:textFill>
            <w14:solidFill>
              <w14:schemeClr w14:val="tx1"/>
            </w14:solidFill>
          </w14:textFill>
        </w:rPr>
        <w:t xml:space="preserve">intestinal microbiota of the </w:t>
      </w:r>
      <w:bookmarkStart w:id="145" w:name="OLE_LINK50"/>
      <w:r>
        <w:rPr>
          <w:rFonts w:ascii="Book Antiqua" w:hAnsi="Book Antiqua"/>
          <w:color w:val="000000" w:themeColor="text1"/>
          <w:sz w:val="24"/>
          <w14:textFill>
            <w14:solidFill>
              <w14:schemeClr w14:val="tx1"/>
            </w14:solidFill>
          </w14:textFill>
        </w:rPr>
        <w:t xml:space="preserve">CON group </w:t>
      </w:r>
      <w:bookmarkEnd w:id="144"/>
      <w:bookmarkEnd w:id="145"/>
      <w:r>
        <w:rPr>
          <w:rFonts w:ascii="Book Antiqua" w:hAnsi="Book Antiqua"/>
          <w:color w:val="000000" w:themeColor="text1"/>
          <w:sz w:val="24"/>
          <w14:textFill>
            <w14:solidFill>
              <w14:schemeClr w14:val="tx1"/>
            </w14:solidFill>
          </w14:textFill>
        </w:rPr>
        <w:t xml:space="preserve">was obviously separated from that of the FAT and </w:t>
      </w:r>
      <w:bookmarkStart w:id="146" w:name="OLE_LINK52"/>
      <w:r>
        <w:rPr>
          <w:rFonts w:ascii="Book Antiqua" w:hAnsi="Book Antiqua"/>
          <w:color w:val="000000" w:themeColor="text1"/>
          <w:sz w:val="24"/>
          <w14:textFill>
            <w14:solidFill>
              <w14:schemeClr w14:val="tx1"/>
            </w14:solidFill>
          </w14:textFill>
        </w:rPr>
        <w:t xml:space="preserve">SNS groups </w:t>
      </w:r>
      <w:bookmarkEnd w:id="146"/>
      <w:r>
        <w:rPr>
          <w:rFonts w:ascii="Book Antiqua" w:hAnsi="Book Antiqua"/>
          <w:color w:val="000000" w:themeColor="text1"/>
          <w:sz w:val="24"/>
          <w14:textFill>
            <w14:solidFill>
              <w14:schemeClr w14:val="tx1"/>
            </w14:solidFill>
          </w14:textFill>
        </w:rPr>
        <w:t xml:space="preserve">(Figure 4C). Despite partially overlapping, the intestinal </w:t>
      </w:r>
      <w:bookmarkStart w:id="147" w:name="OLE_LINK53"/>
      <w:r>
        <w:rPr>
          <w:rFonts w:ascii="Book Antiqua" w:hAnsi="Book Antiqua"/>
          <w:color w:val="000000" w:themeColor="text1"/>
          <w:sz w:val="24"/>
          <w14:textFill>
            <w14:solidFill>
              <w14:schemeClr w14:val="tx1"/>
            </w14:solidFill>
          </w14:textFill>
        </w:rPr>
        <w:t>microbiota</w:t>
      </w:r>
      <w:bookmarkEnd w:id="147"/>
      <w:r>
        <w:rPr>
          <w:rFonts w:ascii="Book Antiqua" w:hAnsi="Book Antiqua"/>
          <w:color w:val="000000" w:themeColor="text1"/>
          <w:sz w:val="24"/>
          <w14:textFill>
            <w14:solidFill>
              <w14:schemeClr w14:val="tx1"/>
            </w14:solidFill>
          </w14:textFill>
        </w:rPr>
        <w:t xml:space="preserve"> of the FAT and SNS groups were roughly separated (Figure 4C). Analysis of molecular variance was used to further assess the spatial separation, and revealed that samples from the three groups differed significantly (CON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FAT group,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0.001; FAT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SNS group,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0.001; CON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SNS group, </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0.001).</w:t>
      </w:r>
    </w:p>
    <w:p>
      <w:pPr>
        <w:widowControl/>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At the phylum level, 27 bacterial phyla </w:t>
      </w:r>
      <w:bookmarkStart w:id="148" w:name="OLE_LINK55"/>
      <w:r>
        <w:rPr>
          <w:rFonts w:ascii="Book Antiqua" w:hAnsi="Book Antiqua"/>
          <w:color w:val="000000" w:themeColor="text1"/>
          <w:sz w:val="24"/>
          <w14:textFill>
            <w14:solidFill>
              <w14:schemeClr w14:val="tx1"/>
            </w14:solidFill>
          </w14:textFill>
        </w:rPr>
        <w:t>were</w:t>
      </w:r>
      <w:bookmarkEnd w:id="148"/>
      <w:r>
        <w:rPr>
          <w:rFonts w:ascii="Book Antiqua" w:hAnsi="Book Antiqua"/>
          <w:color w:val="000000" w:themeColor="text1"/>
          <w:sz w:val="24"/>
          <w14:textFill>
            <w14:solidFill>
              <w14:schemeClr w14:val="tx1"/>
            </w14:solidFill>
          </w14:textFill>
        </w:rPr>
        <w:t xml:space="preserve"> </w:t>
      </w:r>
      <w:bookmarkStart w:id="149" w:name="OLE_LINK56"/>
      <w:r>
        <w:rPr>
          <w:rFonts w:ascii="Book Antiqua" w:hAnsi="Book Antiqua"/>
          <w:color w:val="000000" w:themeColor="text1"/>
          <w:sz w:val="24"/>
          <w14:textFill>
            <w14:solidFill>
              <w14:schemeClr w14:val="tx1"/>
            </w14:solidFill>
          </w14:textFill>
        </w:rPr>
        <w:t>identified</w:t>
      </w:r>
      <w:bookmarkEnd w:id="149"/>
      <w:r>
        <w:rPr>
          <w:rFonts w:ascii="Book Antiqua" w:hAnsi="Book Antiqua"/>
          <w:color w:val="000000" w:themeColor="text1"/>
          <w:sz w:val="24"/>
          <w14:textFill>
            <w14:solidFill>
              <w14:schemeClr w14:val="tx1"/>
            </w14:solidFill>
          </w14:textFill>
        </w:rPr>
        <w:t xml:space="preserve">, and the top five were Firmicutes, Bacteroidetes, Proteobacteria, Deferribacteres and Actinobacteria. The phyla of BRC1, Chlamydiae, Chlorobi, Fibrobacteres, GN04 and OP3 were only found in the CON and SNS groups. Moreover, the bacterial phyla of Synergistetes and TM6 were only found in the SNS group. The FAT group samples increased the ratio of Firmicutes to Bacteroidetes compared with the CON group samples; however, this ratio in the SNS group samples did not differ significantly compared with the CON and FAT group samples. At the genus level, 227 genera were identified. To find taxon differences, we used the LEfSe method and showed that S24-7 (family level), Bacteroidales (order level), Bacteroidia (class level), Bacteroidetes (phylum level), </w:t>
      </w:r>
      <w:r>
        <w:rPr>
          <w:rFonts w:ascii="Book Antiqua" w:hAnsi="Book Antiqua"/>
          <w:i/>
          <w:iCs/>
          <w:color w:val="000000" w:themeColor="text1"/>
          <w:sz w:val="24"/>
          <w14:textFill>
            <w14:solidFill>
              <w14:schemeClr w14:val="tx1"/>
            </w14:solidFill>
          </w14:textFill>
        </w:rPr>
        <w:t>Mucispirillum</w:t>
      </w:r>
      <w:r>
        <w:rPr>
          <w:rFonts w:ascii="Book Antiqua" w:hAnsi="Book Antiqua"/>
          <w:color w:val="000000" w:themeColor="text1"/>
          <w:sz w:val="24"/>
          <w14:textFill>
            <w14:solidFill>
              <w14:schemeClr w14:val="tx1"/>
            </w14:solidFill>
          </w14:textFill>
        </w:rPr>
        <w:t xml:space="preserve"> (genus level), Deferribacteraceae (family level), Deferribacterales (order level), Deferribacteres (class level), Deferribacteres (phylum level), Erysipelotrichaceae (family level), Erysipelotrichales (order level), Erysipelotrichi (class level), Desulfovibrionaceae (family level), Desulfovibrionales (order level), Deltaproteobacteria (class level), and Proteobacteria (phylum level) were </w:t>
      </w:r>
      <w:bookmarkStart w:id="150" w:name="OLE_LINK65"/>
      <w:r>
        <w:rPr>
          <w:rFonts w:ascii="Book Antiqua" w:hAnsi="Book Antiqua"/>
          <w:color w:val="000000" w:themeColor="text1"/>
          <w:sz w:val="24"/>
          <w14:textFill>
            <w14:solidFill>
              <w14:schemeClr w14:val="tx1"/>
            </w14:solidFill>
          </w14:textFill>
        </w:rPr>
        <w:t xml:space="preserve">biomarkers </w:t>
      </w:r>
      <w:bookmarkEnd w:id="150"/>
      <w:r>
        <w:rPr>
          <w:rFonts w:ascii="Book Antiqua" w:hAnsi="Book Antiqua"/>
          <w:color w:val="000000" w:themeColor="text1"/>
          <w:sz w:val="24"/>
          <w14:textFill>
            <w14:solidFill>
              <w14:schemeClr w14:val="tx1"/>
            </w14:solidFill>
          </w14:textFill>
        </w:rPr>
        <w:t xml:space="preserve">in the CON group samples </w:t>
      </w:r>
      <w:bookmarkStart w:id="151" w:name="OLE_LINK69"/>
      <w:r>
        <w:rPr>
          <w:rFonts w:ascii="Book Antiqua" w:hAnsi="Book Antiqua"/>
          <w:color w:val="000000" w:themeColor="text1"/>
          <w:sz w:val="24"/>
          <w14:textFill>
            <w14:solidFill>
              <w14:schemeClr w14:val="tx1"/>
            </w14:solidFill>
          </w14:textFill>
        </w:rPr>
        <w:t>(Figure 5A and B)</w:t>
      </w:r>
      <w:bookmarkEnd w:id="151"/>
      <w:r>
        <w:rPr>
          <w:rFonts w:ascii="Book Antiqua" w:hAnsi="Book Antiqua"/>
          <w:color w:val="000000" w:themeColor="text1"/>
          <w:sz w:val="24"/>
          <w14:textFill>
            <w14:solidFill>
              <w14:schemeClr w14:val="tx1"/>
            </w14:solidFill>
          </w14:textFill>
        </w:rPr>
        <w:t xml:space="preserve">. </w:t>
      </w:r>
      <w:r>
        <w:rPr>
          <w:rFonts w:ascii="Book Antiqua" w:hAnsi="Book Antiqua"/>
          <w:i/>
          <w:iCs/>
          <w:color w:val="000000" w:themeColor="text1"/>
          <w:sz w:val="24"/>
          <w14:textFill>
            <w14:solidFill>
              <w14:schemeClr w14:val="tx1"/>
            </w14:solidFill>
          </w14:textFill>
        </w:rPr>
        <w:t>Lactobacillus</w:t>
      </w:r>
      <w:r>
        <w:rPr>
          <w:rFonts w:ascii="Book Antiqua" w:hAnsi="Book Antiqua"/>
          <w:color w:val="000000" w:themeColor="text1"/>
          <w:sz w:val="24"/>
          <w14:textFill>
            <w14:solidFill>
              <w14:schemeClr w14:val="tx1"/>
            </w14:solidFill>
          </w14:textFill>
        </w:rPr>
        <w:t xml:space="preserve"> (genus level), Lactobacillaceae (family level), </w:t>
      </w:r>
      <w:r>
        <w:rPr>
          <w:rFonts w:ascii="Book Antiqua" w:hAnsi="Book Antiqua"/>
          <w:i/>
          <w:iCs/>
          <w:color w:val="000000" w:themeColor="text1"/>
          <w:sz w:val="24"/>
          <w14:textFill>
            <w14:solidFill>
              <w14:schemeClr w14:val="tx1"/>
            </w14:solidFill>
          </w14:textFill>
        </w:rPr>
        <w:t>Lactococcus</w:t>
      </w:r>
      <w:r>
        <w:rPr>
          <w:rFonts w:ascii="Book Antiqua" w:hAnsi="Book Antiqua"/>
          <w:color w:val="000000" w:themeColor="text1"/>
          <w:sz w:val="24"/>
          <w14:textFill>
            <w14:solidFill>
              <w14:schemeClr w14:val="tx1"/>
            </w14:solidFill>
          </w14:textFill>
        </w:rPr>
        <w:t xml:space="preserve"> (genus level), Streptococcaceae (family level), Lactobacillales (order level), Bacilli (class level), and Firmicutes (phylum level) were biomarkers in the FAT group samples (Figure 5A and B).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(genus level), Ruminococcaceae (family level), Clostridiales (order level), and Clostridia (class level) were biomarkers in the SNS group samples (Figure 5A and B). </w:t>
      </w:r>
    </w:p>
    <w:p>
      <w:pPr>
        <w:adjustRightInd w:val="0"/>
        <w:snapToGrid w:val="0"/>
        <w:spacing w:line="360" w:lineRule="auto"/>
        <w:rPr>
          <w:rFonts w:ascii="Book Antiqua" w:hAnsi="Book Antiqua"/>
          <w:color w:val="000000" w:themeColor="text1"/>
          <w:sz w:val="24"/>
          <w14:textFill>
            <w14:solidFill>
              <w14:schemeClr w14:val="tx1"/>
            </w14:solidFill>
          </w14:textFill>
        </w:rPr>
      </w:pP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i/>
          <w:iCs/>
          <w:color w:val="000000" w:themeColor="text1"/>
          <w:sz w:val="24"/>
          <w14:textFill>
            <w14:solidFill>
              <w14:schemeClr w14:val="tx1"/>
            </w14:solidFill>
          </w14:textFill>
        </w:rPr>
        <w:t>Intestinal microbiota functions in different group samples</w:t>
      </w:r>
    </w:p>
    <w:p>
      <w:pPr>
        <w:widowControl/>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We used PICRUSt to predict the functions of bacterial microbiota using KEGG database at level 3, and then the LEfSe method to find functional biomarkers in different group samples. LEfSe showed that metabolism, genetic information processing, glycan biosynthesis and metabolism, energy metabolism, translation, amino acid metabolism, and replication and repair were functional biomarkers of the CON group samples (Figure 6A and B). Transcription and carbohydrate metabolism were functional biomarkers of the SNS group samples (Figure 6A and B). Environmental information processing, transporters, ABC transporters and transcription factors were functional biomarkers of the FAT group samples (Figure 6A and B).</w:t>
      </w:r>
    </w:p>
    <w:p>
      <w:pPr>
        <w:adjustRightInd w:val="0"/>
        <w:snapToGrid w:val="0"/>
        <w:spacing w:line="360" w:lineRule="auto"/>
        <w:rPr>
          <w:rFonts w:ascii="Book Antiqua" w:hAnsi="Book Antiqua"/>
          <w:color w:val="000000" w:themeColor="text1"/>
          <w:sz w:val="24"/>
          <w14:textFill>
            <w14:solidFill>
              <w14:schemeClr w14:val="tx1"/>
            </w14:solidFill>
          </w14:textFill>
        </w:rPr>
      </w:pP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DISCUSSION</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The present study preliminarily investigated the effects of Si-Ni-San freeze-dried powder on high fat diet-induced NAFLD in mice. We demonstrated that Si-Ni-San freeze-dried powder ameliorates high fat diet-induced high levels of body weight, liver index, visceral fat index, portal LPS, serum ALT, liver TNF-α and liver triglyceride accumulation in mice. We also found that Si-Ni-San freeze-dried powder can alter intestinal microbiota composition and function in mice.</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Previous research has studied the effects of Si-Ni-San on NAFLD, and found that Si-Ni-San can reduce the liver concentration of total cholesterol, triglyceride, free fatty acid and interleukin (IL)-6 in rats with NAFLD</w:t>
      </w:r>
      <w:r>
        <w:rPr>
          <w:rFonts w:ascii="Book Antiqua" w:hAnsi="Book Antiqua"/>
          <w:color w:val="000000" w:themeColor="text1"/>
          <w:sz w:val="24"/>
          <w:vertAlign w:val="superscript"/>
          <w14:textFill>
            <w14:solidFill>
              <w14:schemeClr w14:val="tx1"/>
            </w14:solidFill>
          </w14:textFill>
        </w:rPr>
        <w:t>[34]</w:t>
      </w:r>
      <w:r>
        <w:rPr>
          <w:rFonts w:ascii="Book Antiqua" w:hAnsi="Book Antiqua"/>
          <w:color w:val="000000" w:themeColor="text1"/>
          <w:sz w:val="24"/>
          <w14:textFill>
            <w14:solidFill>
              <w14:schemeClr w14:val="tx1"/>
            </w14:solidFill>
          </w14:textFill>
        </w:rPr>
        <w:t>. However, animal models of NAFLD, in this research, were induced using a long-term chronic stress method that is not widely used in NAFLD studies. In addition, this method caused a decrease in body weight compared with control rats, which does not match the real-life situation. In the present study, we adopted a high fat diet to induce animal models of NAFLD, which is a stable and widely used method in NAFLD studies. This method always induces obesity, insulin resistance, dyslipidemia and liver triglyceride accumulation, which more accurately reflect real-life situations. Thus, our present study has a wider practical significance.</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NAFLD is</w:t>
      </w:r>
      <w:bookmarkStart w:id="152" w:name="OLE_LINK58"/>
      <w:r>
        <w:rPr>
          <w:rFonts w:ascii="Book Antiqua" w:hAnsi="Book Antiqua"/>
          <w:color w:val="000000" w:themeColor="text1"/>
          <w:sz w:val="24"/>
          <w14:textFill>
            <w14:solidFill>
              <w14:schemeClr w14:val="tx1"/>
            </w14:solidFill>
          </w14:textFill>
        </w:rPr>
        <w:t xml:space="preserve"> always</w:t>
      </w:r>
      <w:bookmarkEnd w:id="152"/>
      <w:r>
        <w:rPr>
          <w:rFonts w:ascii="Book Antiqua" w:hAnsi="Book Antiqua"/>
          <w:color w:val="000000" w:themeColor="text1"/>
          <w:sz w:val="24"/>
          <w14:textFill>
            <w14:solidFill>
              <w14:schemeClr w14:val="tx1"/>
            </w14:solidFill>
          </w14:textFill>
        </w:rPr>
        <w:t xml:space="preserve"> considered to be the hepatic manifestation of metabolic syndrome, and insulin resistance plays an important role in the pathogenesis of NAFLD</w:t>
      </w:r>
      <w:r>
        <w:rPr>
          <w:rFonts w:ascii="Book Antiqua" w:hAnsi="Book Antiqua"/>
          <w:color w:val="000000" w:themeColor="text1"/>
          <w:sz w:val="24"/>
          <w:vertAlign w:val="superscript"/>
          <w14:textFill>
            <w14:solidFill>
              <w14:schemeClr w14:val="tx1"/>
            </w14:solidFill>
          </w14:textFill>
        </w:rPr>
        <w:t>[35-37]</w:t>
      </w:r>
      <w:r>
        <w:rPr>
          <w:rFonts w:ascii="Book Antiqua" w:hAnsi="Book Antiqua"/>
          <w:color w:val="000000" w:themeColor="text1"/>
          <w:sz w:val="24"/>
          <w14:textFill>
            <w14:solidFill>
              <w14:schemeClr w14:val="tx1"/>
            </w14:solidFill>
          </w14:textFill>
        </w:rPr>
        <w:t xml:space="preserve">. In the present study, although the level of insulin resistance in the SNS group exhibited a decreased trend compared with the FAT group, the difference was not significant (data not shown), suggesting that improving insulin resistance is not a mechanism of </w:t>
      </w:r>
      <w:bookmarkStart w:id="153" w:name="OLE_LINK57"/>
      <w:r>
        <w:rPr>
          <w:rFonts w:ascii="Book Antiqua" w:hAnsi="Book Antiqua"/>
          <w:color w:val="000000" w:themeColor="text1"/>
          <w:sz w:val="24"/>
          <w14:textFill>
            <w14:solidFill>
              <w14:schemeClr w14:val="tx1"/>
            </w14:solidFill>
          </w14:textFill>
        </w:rPr>
        <w:t>action of Si-Ni-San freeze-dried</w:t>
      </w:r>
      <w:bookmarkEnd w:id="153"/>
      <w:r>
        <w:rPr>
          <w:rFonts w:ascii="Book Antiqua" w:hAnsi="Book Antiqua"/>
          <w:color w:val="000000" w:themeColor="text1"/>
          <w:sz w:val="24"/>
          <w14:textFill>
            <w14:solidFill>
              <w14:schemeClr w14:val="tx1"/>
            </w14:solidFill>
          </w14:textFill>
        </w:rPr>
        <w:t xml:space="preserve"> powder, or its improvement of insulin resistance is not due to small sample size. Thus, additional large-sample studies addressing the effect of Si-Ni-San freeze-dried powder on insulin resistance are warranted.</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Previous studies have revealed the key role of LPS, a constituent of Gram-negative bacteria and main constituent of endotoxemia, in the development of metabolic diseases, and elevated LPS has been observed in patients with NAFLD</w:t>
      </w:r>
      <w:r>
        <w:rPr>
          <w:rFonts w:ascii="Book Antiqua" w:hAnsi="Book Antiqua"/>
          <w:color w:val="000000" w:themeColor="text1"/>
          <w:sz w:val="24"/>
          <w:vertAlign w:val="superscript"/>
          <w14:textFill>
            <w14:solidFill>
              <w14:schemeClr w14:val="tx1"/>
            </w14:solidFill>
          </w14:textFill>
        </w:rPr>
        <w:t>[25,38]</w:t>
      </w:r>
      <w:r>
        <w:rPr>
          <w:rFonts w:ascii="Book Antiqua" w:hAnsi="Book Antiqua"/>
          <w:color w:val="000000" w:themeColor="text1"/>
          <w:sz w:val="24"/>
          <w14:textFill>
            <w14:solidFill>
              <w14:schemeClr w14:val="tx1"/>
            </w14:solidFill>
          </w14:textFill>
        </w:rPr>
        <w:t xml:space="preserve">. LPS is an inflammatory trigger, and it can promote the secretion of proinflammatory cytokines, such as tumor necrosis factor (TNF)-α, IL-1 and IL-6. In the present study, we found that high fat diet increased the levels of </w:t>
      </w:r>
      <w:bookmarkStart w:id="154" w:name="OLE_LINK73"/>
      <w:r>
        <w:rPr>
          <w:rFonts w:ascii="Book Antiqua" w:hAnsi="Book Antiqua"/>
          <w:color w:val="000000" w:themeColor="text1"/>
          <w:sz w:val="24"/>
          <w14:textFill>
            <w14:solidFill>
              <w14:schemeClr w14:val="tx1"/>
            </w14:solidFill>
          </w14:textFill>
        </w:rPr>
        <w:t>portal LPS</w:t>
      </w:r>
      <w:bookmarkEnd w:id="154"/>
      <w:r>
        <w:rPr>
          <w:rFonts w:ascii="Book Antiqua" w:hAnsi="Book Antiqua"/>
          <w:color w:val="000000" w:themeColor="text1"/>
          <w:sz w:val="24"/>
          <w14:textFill>
            <w14:solidFill>
              <w14:schemeClr w14:val="tx1"/>
            </w14:solidFill>
          </w14:textFill>
        </w:rPr>
        <w:t xml:space="preserve"> and liver TNF-α compared with normal chow diet; however, Si-Ni-San freeze-dried powder reduced these increases, suggesting that the anti-inflammatory effect of Si-Ni-San freeze-dried powder may be a mechanism underlying its beneficial effect. Although the portal LPS of the CON and SNS groups did not differ significantly, the SNS group only exhibited higher levels of liver TNF-α and ALT, suggesting that in addition to LPS, there may be other proinflammatory factors.</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The important role of intestinal microbiota in the pathogenesis of NAFLD has been revealed in previous studies</w:t>
      </w:r>
      <w:r>
        <w:rPr>
          <w:rFonts w:ascii="Book Antiqua" w:hAnsi="Book Antiqua"/>
          <w:color w:val="000000" w:themeColor="text1"/>
          <w:sz w:val="24"/>
          <w:vertAlign w:val="superscript"/>
          <w14:textFill>
            <w14:solidFill>
              <w14:schemeClr w14:val="tx1"/>
            </w14:solidFill>
          </w14:textFill>
        </w:rPr>
        <w:t>[22,39]</w:t>
      </w:r>
      <w:r>
        <w:rPr>
          <w:rFonts w:ascii="Book Antiqua" w:hAnsi="Book Antiqua"/>
          <w:color w:val="000000" w:themeColor="text1"/>
          <w:sz w:val="24"/>
          <w14:textFill>
            <w14:solidFill>
              <w14:schemeClr w14:val="tx1"/>
            </w14:solidFill>
          </w14:textFill>
        </w:rPr>
        <w:t>. Given the tight links between intestinal microbiota and NAFLD, manipulation of the intestinal microbiota of NAFLD is a promising therapeutic strategy</w:t>
      </w:r>
      <w:r>
        <w:rPr>
          <w:rFonts w:ascii="Book Antiqua" w:hAnsi="Book Antiqua"/>
          <w:color w:val="000000" w:themeColor="text1"/>
          <w:sz w:val="24"/>
          <w:vertAlign w:val="superscript"/>
          <w14:textFill>
            <w14:solidFill>
              <w14:schemeClr w14:val="tx1"/>
            </w14:solidFill>
          </w14:textFill>
        </w:rPr>
        <w:t>[40-42]</w:t>
      </w:r>
      <w:r>
        <w:rPr>
          <w:rFonts w:ascii="Book Antiqua" w:hAnsi="Book Antiqua"/>
          <w:color w:val="000000" w:themeColor="text1"/>
          <w:sz w:val="24"/>
          <w14:textFill>
            <w14:solidFill>
              <w14:schemeClr w14:val="tx1"/>
            </w14:solidFill>
          </w14:textFill>
        </w:rPr>
        <w:t xml:space="preserve">. Thus, in the present study, we investigated the effect of Si-Ni-San freeze-dried powder on intestinal microbiota, and found that the intestinal microbiota composition and function in the SNS group differed clearly from those in the FAT group, suggesting that Si-Ni-San freeze-dried powder alters high fat diet-induced intestinal microbiota dysbiosis. So, the therapeutic effect of Si-Ni-San freeze-dried powder on high fat diet-induced NAFLD may be achieved by changing the intestinal microbiota. The fact </w:t>
      </w:r>
      <w:bookmarkStart w:id="155" w:name="OLE_LINK83"/>
      <w:r>
        <w:rPr>
          <w:rFonts w:ascii="Book Antiqua" w:hAnsi="Book Antiqua"/>
          <w:color w:val="000000" w:themeColor="text1"/>
          <w:sz w:val="24"/>
          <w14:textFill>
            <w14:solidFill>
              <w14:schemeClr w14:val="tx1"/>
            </w14:solidFill>
          </w14:textFill>
        </w:rPr>
        <w:t xml:space="preserve">that the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genus was a bacterial biomarker in the SNS group samples</w:t>
      </w:r>
      <w:bookmarkEnd w:id="155"/>
      <w:r>
        <w:rPr>
          <w:rFonts w:ascii="Book Antiqua" w:hAnsi="Book Antiqua"/>
          <w:color w:val="000000" w:themeColor="text1"/>
          <w:sz w:val="24"/>
          <w14:textFill>
            <w14:solidFill>
              <w14:schemeClr w14:val="tx1"/>
            </w14:solidFill>
          </w14:textFill>
        </w:rPr>
        <w:t xml:space="preserve"> demands our further attention. Up to now, there has been little knowledge about this genus, mainly because it has never been cultured. Our former study found that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is associated with a high protein diet, </w:t>
      </w:r>
      <w:bookmarkStart w:id="156" w:name="OLE_LINK85"/>
      <w:r>
        <w:rPr>
          <w:rFonts w:ascii="Book Antiqua" w:hAnsi="Book Antiqua"/>
          <w:color w:val="000000" w:themeColor="text1"/>
          <w:sz w:val="24"/>
          <w14:textFill>
            <w14:solidFill>
              <w14:schemeClr w14:val="tx1"/>
            </w14:solidFill>
          </w14:textFill>
        </w:rPr>
        <w:t>which has beneficial effects on NAFLD</w:t>
      </w:r>
      <w:bookmarkEnd w:id="156"/>
      <w:r>
        <w:rPr>
          <w:rFonts w:ascii="Book Antiqua" w:hAnsi="Book Antiqua"/>
          <w:color w:val="000000" w:themeColor="text1"/>
          <w:sz w:val="24"/>
          <w:vertAlign w:val="superscript"/>
          <w14:textFill>
            <w14:solidFill>
              <w14:schemeClr w14:val="tx1"/>
            </w14:solidFill>
          </w14:textFill>
        </w:rPr>
        <w:t>[30]</w:t>
      </w:r>
      <w:r>
        <w:rPr>
          <w:rFonts w:ascii="Book Antiqua" w:hAnsi="Book Antiqua"/>
          <w:color w:val="000000" w:themeColor="text1"/>
          <w:sz w:val="24"/>
          <w14:textFill>
            <w14:solidFill>
              <w14:schemeClr w14:val="tx1"/>
            </w14:solidFill>
          </w14:textFill>
        </w:rPr>
        <w:t xml:space="preserve">. Other studies have found that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is significantly reduced in patients with NASH or inflammatory bowel disease</w:t>
      </w:r>
      <w:r>
        <w:rPr>
          <w:rFonts w:ascii="Book Antiqua" w:hAnsi="Book Antiqua"/>
          <w:color w:val="000000" w:themeColor="text1"/>
          <w:sz w:val="24"/>
          <w:vertAlign w:val="superscript"/>
          <w14:textFill>
            <w14:solidFill>
              <w14:schemeClr w14:val="tx1"/>
            </w14:solidFill>
          </w14:textFill>
        </w:rPr>
        <w:t>[43-45]</w:t>
      </w:r>
      <w:r>
        <w:rPr>
          <w:rFonts w:ascii="Book Antiqua" w:hAnsi="Book Antiqua"/>
          <w:color w:val="000000" w:themeColor="text1"/>
          <w:sz w:val="24"/>
          <w14:textFill>
            <w14:solidFill>
              <w14:schemeClr w14:val="tx1"/>
            </w14:solidFill>
          </w14:textFill>
        </w:rPr>
        <w:t>, and is positively associated with leanness</w:t>
      </w:r>
      <w:r>
        <w:rPr>
          <w:rFonts w:ascii="Book Antiqua" w:hAnsi="Book Antiqua"/>
          <w:color w:val="000000" w:themeColor="text1"/>
          <w:sz w:val="24"/>
          <w:vertAlign w:val="superscript"/>
          <w14:textFill>
            <w14:solidFill>
              <w14:schemeClr w14:val="tx1"/>
            </w14:solidFill>
          </w14:textFill>
        </w:rPr>
        <w:t>[46]</w:t>
      </w:r>
      <w:r>
        <w:rPr>
          <w:rFonts w:ascii="Book Antiqua" w:hAnsi="Book Antiqua"/>
          <w:color w:val="000000" w:themeColor="text1"/>
          <w:sz w:val="24"/>
          <w14:textFill>
            <w14:solidFill>
              <w14:schemeClr w14:val="tx1"/>
            </w14:solidFill>
          </w14:textFill>
        </w:rPr>
        <w:t xml:space="preserve">. A </w:t>
      </w:r>
      <w:bookmarkStart w:id="157" w:name="OLE_LINK59"/>
      <w:r>
        <w:rPr>
          <w:rFonts w:ascii="Book Antiqua" w:hAnsi="Book Antiqua"/>
          <w:color w:val="000000" w:themeColor="text1"/>
          <w:sz w:val="24"/>
          <w14:textFill>
            <w14:solidFill>
              <w14:schemeClr w14:val="tx1"/>
            </w14:solidFill>
          </w14:textFill>
        </w:rPr>
        <w:t>recent</w:t>
      </w:r>
      <w:bookmarkEnd w:id="157"/>
      <w:r>
        <w:rPr>
          <w:rFonts w:ascii="Book Antiqua" w:hAnsi="Book Antiqua"/>
          <w:color w:val="000000" w:themeColor="text1"/>
          <w:sz w:val="24"/>
          <w14:textFill>
            <w14:solidFill>
              <w14:schemeClr w14:val="tx1"/>
            </w14:solidFill>
          </w14:textFill>
        </w:rPr>
        <w:t xml:space="preserve"> study has found that some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species may be able to utilize glycans to secrete butyrate</w:t>
      </w:r>
      <w:r>
        <w:rPr>
          <w:rFonts w:ascii="Book Antiqua" w:hAnsi="Book Antiqua"/>
          <w:color w:val="000000" w:themeColor="text1"/>
          <w:sz w:val="24"/>
          <w:vertAlign w:val="superscript"/>
          <w14:textFill>
            <w14:solidFill>
              <w14:schemeClr w14:val="tx1"/>
            </w14:solidFill>
          </w14:textFill>
        </w:rPr>
        <w:t>[47]</w:t>
      </w:r>
      <w:r>
        <w:rPr>
          <w:rFonts w:ascii="Book Antiqua" w:hAnsi="Book Antiqua"/>
          <w:color w:val="000000" w:themeColor="text1"/>
          <w:sz w:val="24"/>
          <w14:textFill>
            <w14:solidFill>
              <w14:schemeClr w14:val="tx1"/>
            </w14:solidFill>
          </w14:textFill>
        </w:rPr>
        <w:t>, which can prevent inflammation</w:t>
      </w:r>
      <w:r>
        <w:rPr>
          <w:rFonts w:ascii="Book Antiqua" w:hAnsi="Book Antiqua"/>
          <w:color w:val="000000" w:themeColor="text1"/>
          <w:sz w:val="24"/>
          <w:vertAlign w:val="superscript"/>
          <w14:textFill>
            <w14:solidFill>
              <w14:schemeClr w14:val="tx1"/>
            </w14:solidFill>
          </w14:textFill>
        </w:rPr>
        <w:t>[48]</w:t>
      </w:r>
      <w:r>
        <w:rPr>
          <w:rFonts w:ascii="Book Antiqua" w:hAnsi="Book Antiqua"/>
          <w:color w:val="000000" w:themeColor="text1"/>
          <w:sz w:val="24"/>
          <w:vertAlign w:val="baseline"/>
          <w14:textFill>
            <w14:solidFill>
              <w14:schemeClr w14:val="tx1"/>
            </w14:solidFill>
          </w14:textFill>
        </w:rPr>
        <w:t>,</w:t>
      </w:r>
      <w:r>
        <w:rPr>
          <w:rFonts w:ascii="Book Antiqua" w:hAnsi="Book Antiqua"/>
          <w:color w:val="000000" w:themeColor="text1"/>
          <w:sz w:val="24"/>
          <w:vertAlign w:val="superscript"/>
          <w14:textFill>
            <w14:solidFill>
              <w14:schemeClr w14:val="tx1"/>
            </w14:solidFill>
          </w14:textFill>
        </w:rPr>
        <w:t xml:space="preserve"> </w:t>
      </w:r>
      <w:r>
        <w:rPr>
          <w:rFonts w:ascii="Book Antiqua" w:hAnsi="Book Antiqua"/>
          <w:color w:val="000000" w:themeColor="text1"/>
          <w:sz w:val="24"/>
          <w14:textFill>
            <w14:solidFill>
              <w14:schemeClr w14:val="tx1"/>
            </w14:solidFill>
          </w14:textFill>
        </w:rPr>
        <w:t>and plays an important role in metabolic diseases</w:t>
      </w:r>
      <w:r>
        <w:rPr>
          <w:rFonts w:ascii="Book Antiqua" w:hAnsi="Book Antiqua"/>
          <w:color w:val="000000" w:themeColor="text1"/>
          <w:sz w:val="24"/>
          <w:vertAlign w:val="superscript"/>
          <w14:textFill>
            <w14:solidFill>
              <w14:schemeClr w14:val="tx1"/>
            </w14:solidFill>
          </w14:textFill>
        </w:rPr>
        <w:t>[49-51]</w:t>
      </w:r>
      <w:r>
        <w:rPr>
          <w:rFonts w:ascii="Book Antiqua" w:hAnsi="Book Antiqua"/>
          <w:color w:val="000000" w:themeColor="text1"/>
          <w:sz w:val="24"/>
          <w14:textFill>
            <w14:solidFill>
              <w14:schemeClr w14:val="tx1"/>
            </w14:solidFill>
          </w14:textFill>
        </w:rPr>
        <w:t xml:space="preserve">. Using a combination of our results with those of former studies, we infer that Si-Ni-San freeze-dried powder may achieve its beneficial effect by providing more special glycans to </w:t>
      </w:r>
      <w:r>
        <w:rPr>
          <w:rFonts w:ascii="Book Antiqua" w:hAnsi="Book Antiqua"/>
          <w:i/>
          <w:iCs/>
          <w:color w:val="000000" w:themeColor="text1"/>
          <w:sz w:val="24"/>
          <w14:textFill>
            <w14:solidFill>
              <w14:schemeClr w14:val="tx1"/>
            </w14:solidFill>
          </w14:textFill>
        </w:rPr>
        <w:t>Oscillospira</w:t>
      </w:r>
      <w:r>
        <w:rPr>
          <w:rFonts w:ascii="Book Antiqua" w:hAnsi="Book Antiqua"/>
          <w:color w:val="000000" w:themeColor="text1"/>
          <w:sz w:val="24"/>
          <w14:textFill>
            <w14:solidFill>
              <w14:schemeClr w14:val="tx1"/>
            </w14:solidFill>
          </w14:textFill>
        </w:rPr>
        <w:t xml:space="preserve"> bacteria and then producing more butyrate, which has multiple beneficial effects on host health. The result that carbohydrate metabolism was a functional biomarker in the SNS group partly supports our inference, and further studies are warranted to confirm our hypothesis. </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An interesting finding in our study was that </w:t>
      </w:r>
      <w:r>
        <w:rPr>
          <w:rFonts w:ascii="Book Antiqua" w:hAnsi="Book Antiqua"/>
          <w:i/>
          <w:color w:val="000000" w:themeColor="text1"/>
          <w:sz w:val="24"/>
          <w14:textFill>
            <w14:solidFill>
              <w14:schemeClr w14:val="tx1"/>
            </w14:solidFill>
          </w14:textFill>
        </w:rPr>
        <w:t>Lactobacillus</w:t>
      </w:r>
      <w:r>
        <w:rPr>
          <w:rFonts w:ascii="Book Antiqua" w:hAnsi="Book Antiqua"/>
          <w:color w:val="000000" w:themeColor="text1"/>
          <w:sz w:val="24"/>
          <w14:textFill>
            <w14:solidFill>
              <w14:schemeClr w14:val="tx1"/>
            </w14:solidFill>
          </w14:textFill>
        </w:rPr>
        <w:t xml:space="preserve"> genus was a bacterial biomarker of the FAT group. Some strains of </w:t>
      </w:r>
      <w:r>
        <w:rPr>
          <w:rFonts w:ascii="Book Antiqua" w:hAnsi="Book Antiqua"/>
          <w:i/>
          <w:color w:val="000000" w:themeColor="text1"/>
          <w:sz w:val="24"/>
          <w14:textFill>
            <w14:solidFill>
              <w14:schemeClr w14:val="tx1"/>
            </w14:solidFill>
          </w14:textFill>
        </w:rPr>
        <w:t>Lactobacillus</w:t>
      </w:r>
      <w:r>
        <w:rPr>
          <w:rFonts w:ascii="Book Antiqua" w:hAnsi="Book Antiqua"/>
          <w:color w:val="000000" w:themeColor="text1"/>
          <w:sz w:val="24"/>
          <w14:textFill>
            <w14:solidFill>
              <w14:schemeClr w14:val="tx1"/>
            </w14:solidFill>
          </w14:textFill>
        </w:rPr>
        <w:t xml:space="preserve"> are frequently used as probiotics</w:t>
      </w:r>
      <w:r>
        <w:rPr>
          <w:rFonts w:ascii="Book Antiqua" w:hAnsi="Book Antiqua"/>
          <w:color w:val="000000" w:themeColor="text1"/>
          <w:sz w:val="24"/>
          <w:vertAlign w:val="superscript"/>
          <w14:textFill>
            <w14:solidFill>
              <w14:schemeClr w14:val="tx1"/>
            </w14:solidFill>
          </w14:textFill>
        </w:rPr>
        <w:t>[52]</w:t>
      </w:r>
      <w:r>
        <w:rPr>
          <w:rFonts w:ascii="Book Antiqua" w:hAnsi="Book Antiqua"/>
          <w:color w:val="000000" w:themeColor="text1"/>
          <w:sz w:val="24"/>
          <w14:textFill>
            <w14:solidFill>
              <w14:schemeClr w14:val="tx1"/>
            </w14:solidFill>
          </w14:textFill>
        </w:rPr>
        <w:t>. Thus, our finding needs confirmation by further studies.</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There were several limitations to the present study. First, there was a lack of metabonomics analysis, so the effects of Si-Ni-San freeze-dried powder on the metabolism of intestinal microbiota are not known. Second, we did not administer Si-Ni-San freeze-dried powder to normal chow diet mice, so the effects of Si-Ni-San freeze-dried powder on normal chow diet mice are not known. Third, the sample size was small, so our results need further studies for confirmation. Fourth, the change in some </w:t>
      </w:r>
      <w:bookmarkStart w:id="158" w:name="OLE_LINK114"/>
      <w:r>
        <w:rPr>
          <w:rFonts w:ascii="Book Antiqua" w:hAnsi="Book Antiqua"/>
          <w:color w:val="000000" w:themeColor="text1"/>
          <w:sz w:val="24"/>
          <w14:textFill>
            <w14:solidFill>
              <w14:schemeClr w14:val="tx1"/>
            </w14:solidFill>
          </w14:textFill>
        </w:rPr>
        <w:t>cytokine</w:t>
      </w:r>
      <w:bookmarkEnd w:id="158"/>
      <w:r>
        <w:rPr>
          <w:rFonts w:ascii="Book Antiqua" w:hAnsi="Book Antiqua"/>
          <w:color w:val="000000" w:themeColor="text1"/>
          <w:sz w:val="24"/>
          <w14:textFill>
            <w14:solidFill>
              <w14:schemeClr w14:val="tx1"/>
            </w14:solidFill>
          </w14:textFill>
        </w:rPr>
        <w:t>s, such as IL-1 and IL-6, was not detected in the present study. These limitations will be addressed in our future studies.</w:t>
      </w:r>
    </w:p>
    <w:p>
      <w:pPr>
        <w:adjustRightInd w:val="0"/>
        <w:snapToGrid w:val="0"/>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In conclusion, our present study preliminarily confirmed the beneficial effects of </w:t>
      </w:r>
      <w:bookmarkStart w:id="159" w:name="OLE_LINK111"/>
      <w:bookmarkStart w:id="160" w:name="OLE_LINK112"/>
      <w:r>
        <w:rPr>
          <w:rFonts w:ascii="Book Antiqua" w:hAnsi="Book Antiqua"/>
          <w:color w:val="000000" w:themeColor="text1"/>
          <w:sz w:val="24"/>
          <w14:textFill>
            <w14:solidFill>
              <w14:schemeClr w14:val="tx1"/>
            </w14:solidFill>
          </w14:textFill>
        </w:rPr>
        <w:t>Si-Ni-San</w:t>
      </w:r>
      <w:bookmarkEnd w:id="159"/>
      <w:r>
        <w:rPr>
          <w:rFonts w:ascii="Book Antiqua" w:hAnsi="Book Antiqua"/>
          <w:color w:val="000000" w:themeColor="text1"/>
          <w:sz w:val="24"/>
          <w14:textFill>
            <w14:solidFill>
              <w14:schemeClr w14:val="tx1"/>
            </w14:solidFill>
          </w14:textFill>
        </w:rPr>
        <w:t xml:space="preserve"> freeze-dried powder</w:t>
      </w:r>
      <w:bookmarkEnd w:id="160"/>
      <w:r>
        <w:rPr>
          <w:rFonts w:ascii="Book Antiqua" w:hAnsi="Book Antiqua"/>
          <w:color w:val="000000" w:themeColor="text1"/>
          <w:sz w:val="24"/>
          <w14:textFill>
            <w14:solidFill>
              <w14:schemeClr w14:val="tx1"/>
            </w14:solidFill>
          </w14:textFill>
        </w:rPr>
        <w:t xml:space="preserve"> on high fat diet-induced NAFLD in mice, and that the mechanisms of action of Si-Ni-San freeze-dried powder against NAFLD may be associated with its anti-inflammatory effects and its changes to the intestinal microbiota. Our findings </w:t>
      </w:r>
      <w:bookmarkStart w:id="161" w:name="OLE_LINK113"/>
      <w:r>
        <w:rPr>
          <w:rFonts w:ascii="Book Antiqua" w:hAnsi="Book Antiqua"/>
          <w:color w:val="000000" w:themeColor="text1"/>
          <w:sz w:val="24"/>
          <w14:textFill>
            <w14:solidFill>
              <w14:schemeClr w14:val="tx1"/>
            </w14:solidFill>
          </w14:textFill>
        </w:rPr>
        <w:t>provide</w:t>
      </w:r>
      <w:bookmarkEnd w:id="161"/>
      <w:r>
        <w:rPr>
          <w:rFonts w:ascii="Book Antiqua" w:hAnsi="Book Antiqua"/>
          <w:color w:val="000000" w:themeColor="text1"/>
          <w:sz w:val="24"/>
          <w14:textFill>
            <w14:solidFill>
              <w14:schemeClr w14:val="tx1"/>
            </w14:solidFill>
          </w14:textFill>
        </w:rPr>
        <w:t xml:space="preserve"> some useful information for NAFLD therapy. We provide the basis for the clinical use of Si-Ni-San freeze-dried powder and some underlying mechanisms of its action. Although more in-depth research is needed in the future, Si-Ni-San freeze-dried powder may also be a clinical option for NAFLD treatment. </w:t>
      </w:r>
    </w:p>
    <w:bookmarkEnd w:id="55"/>
    <w:p>
      <w:pPr>
        <w:adjustRightInd w:val="0"/>
        <w:snapToGrid w:val="0"/>
        <w:spacing w:line="360" w:lineRule="auto"/>
        <w:rPr>
          <w:rFonts w:ascii="Book Antiqua" w:hAnsi="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color w:val="000000" w:themeColor="text1"/>
          <w:sz w:val="24"/>
          <w14:textFill>
            <w14:solidFill>
              <w14:schemeClr w14:val="tx1"/>
            </w14:solidFill>
          </w14:textFill>
        </w:rPr>
      </w:pPr>
      <w:r>
        <w:rPr>
          <w:rFonts w:ascii="Book Antiqua" w:hAnsi="Book Antiqua" w:cs="Book Antiqua"/>
          <w:b/>
          <w:bCs/>
          <w:color w:val="000000" w:themeColor="text1"/>
          <w:sz w:val="24"/>
          <w14:textFill>
            <w14:solidFill>
              <w14:schemeClr w14:val="tx1"/>
            </w14:solidFill>
          </w14:textFill>
        </w:rPr>
        <w:t>ARTICLE HIGHLIGHTS</w:t>
      </w:r>
    </w:p>
    <w:p>
      <w:pPr>
        <w:adjustRightInd w:val="0"/>
        <w:snapToGrid w:val="0"/>
        <w:spacing w:line="360" w:lineRule="auto"/>
        <w:rPr>
          <w:rFonts w:ascii="Book Antiqua" w:hAnsi="Book Antiqua" w:cs="Book Antiqua"/>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background</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The incidence of nonalcoholic fatty liver disease (NAFLD) dramatically increased in the last few decades. Unfortunately, until now, the clinical treatment of this common chronic liver disease is difficult, and some new effective therapies are needed.</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motivation</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Some herbal medicines have hepatoprotective effects, so we want to know if some famous prescriptions of traditional Chinese medicine can provide beneficial effects on NAFLD.</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objectives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To explore the effects of Si-Ni-San, a famous prescription of traditional Chinese medicine, on NAFLD and intestinal microbiota.</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methods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We intragastrically administered Si-Ni-San freeze-dried powder (5.0 g/kg) to mice, which were allowed ad libitum access to a high fat diet. After 12 wk of treatment, we measured body weight, liver index, visceral fat index, serum alanine aminotransferase (ALT), portal lipopolysaccharide (LPS), liver tumor necrosis factor (TNF)-α, liver triglycerides and intestinal microbiota, and we compared the results of these parameters with mice in another group to find whether Si-Ni-San freeze-dried powder have some beneficial effects on NAFLD.</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results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After Si-Ni-San freeze-dried powder treatment, the levels of body weight, liver index, visceral fat index, serum ALT, portal LPS, liver TNF-α and liver triglycerides were improved. The composition of intestinal microbiota was also changed, especially the</w:t>
      </w:r>
      <w:r>
        <w:rPr>
          <w:rFonts w:ascii="Book Antiqua" w:hAnsi="Book Antiqua" w:cs="Book Antiqua"/>
          <w:i/>
          <w:iCs/>
          <w:color w:val="000000" w:themeColor="text1"/>
          <w:sz w:val="24"/>
          <w14:textFill>
            <w14:solidFill>
              <w14:schemeClr w14:val="tx1"/>
            </w14:solidFill>
          </w14:textFill>
        </w:rPr>
        <w:t xml:space="preserve"> Oscillospira</w:t>
      </w:r>
      <w:r>
        <w:rPr>
          <w:rFonts w:ascii="Book Antiqua" w:hAnsi="Book Antiqua" w:cs="Book Antiqua"/>
          <w:color w:val="000000" w:themeColor="text1"/>
          <w:sz w:val="24"/>
          <w14:textFill>
            <w14:solidFill>
              <w14:schemeClr w14:val="tx1"/>
            </w14:solidFill>
          </w14:textFill>
        </w:rPr>
        <w:t xml:space="preserve"> genus.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conclusions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Si-Ni-San freeze-dried powder can ameliorate NAFLD by an anti-inflammatory action and intestinal microbiota-changing effect.</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p>
    <w:p>
      <w:pPr>
        <w:adjustRightInd w:val="0"/>
        <w:snapToGrid w:val="0"/>
        <w:spacing w:line="360" w:lineRule="auto"/>
        <w:rPr>
          <w:rFonts w:ascii="Book Antiqua" w:hAnsi="Book Antiqua" w:cs="Book Antiqua"/>
          <w:b/>
          <w:bCs/>
          <w:i/>
          <w:iCs/>
          <w:color w:val="000000" w:themeColor="text1"/>
          <w:sz w:val="24"/>
          <w14:textFill>
            <w14:solidFill>
              <w14:schemeClr w14:val="tx1"/>
            </w14:solidFill>
          </w14:textFill>
        </w:rPr>
      </w:pPr>
      <w:r>
        <w:rPr>
          <w:rFonts w:ascii="Book Antiqua" w:hAnsi="Book Antiqua" w:cs="Book Antiqua"/>
          <w:b/>
          <w:bCs/>
          <w:i/>
          <w:iCs/>
          <w:color w:val="000000" w:themeColor="text1"/>
          <w:sz w:val="24"/>
          <w14:textFill>
            <w14:solidFill>
              <w14:schemeClr w14:val="tx1"/>
            </w14:solidFill>
          </w14:textFill>
        </w:rPr>
        <w:t>Research perspectives</w:t>
      </w:r>
    </w:p>
    <w:p>
      <w:pPr>
        <w:adjustRightInd w:val="0"/>
        <w:snapToGrid w:val="0"/>
        <w:spacing w:line="360" w:lineRule="auto"/>
        <w:rPr>
          <w:rFonts w:ascii="Book Antiqua" w:hAnsi="Book Antiqua" w:cs="Book Antiqua"/>
          <w:color w:val="000000" w:themeColor="text1"/>
          <w:sz w:val="24"/>
          <w14:textFill>
            <w14:solidFill>
              <w14:schemeClr w14:val="tx1"/>
            </w14:solidFill>
          </w14:textFill>
        </w:rPr>
      </w:pPr>
      <w:r>
        <w:rPr>
          <w:rFonts w:ascii="Book Antiqua" w:hAnsi="Book Antiqua" w:cs="Book Antiqua"/>
          <w:color w:val="000000" w:themeColor="text1"/>
          <w:sz w:val="24"/>
          <w14:textFill>
            <w14:solidFill>
              <w14:schemeClr w14:val="tx1"/>
            </w14:solidFill>
          </w14:textFill>
        </w:rPr>
        <w:t>Although we provide basis for the clinical use of Si-Ni-San freeze-dried powder and some underlying mechanisms of its action, the effects of Si-Ni-San freeze-dried powder on the metabolism of intestinal microbiota and some cytokines, such as interleukin (IL)-1 and IL-6, need to be addressed in future studies.</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 xml:space="preserve">REFERENCES </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1 </w:t>
      </w:r>
      <w:r>
        <w:rPr>
          <w:rFonts w:ascii="Book Antiqua" w:hAnsi="Book Antiqua"/>
          <w:b/>
          <w:bCs/>
          <w:color w:val="000000" w:themeColor="text1"/>
          <w:sz w:val="24"/>
          <w14:textFill>
            <w14:solidFill>
              <w14:schemeClr w14:val="tx1"/>
            </w14:solidFill>
          </w14:textFill>
        </w:rPr>
        <w:t>Angulo P</w:t>
      </w:r>
      <w:r>
        <w:rPr>
          <w:rFonts w:ascii="Book Antiqua" w:hAnsi="Book Antiqua"/>
          <w:color w:val="000000" w:themeColor="text1"/>
          <w:sz w:val="24"/>
          <w14:textFill>
            <w14:solidFill>
              <w14:schemeClr w14:val="tx1"/>
            </w14:solidFill>
          </w14:textFill>
        </w:rPr>
        <w:t xml:space="preserve">. Nonalcoholic fatty liver disease. </w:t>
      </w:r>
      <w:r>
        <w:rPr>
          <w:rFonts w:ascii="Book Antiqua" w:hAnsi="Book Antiqua"/>
          <w:i/>
          <w:iCs/>
          <w:color w:val="000000" w:themeColor="text1"/>
          <w:sz w:val="24"/>
          <w14:textFill>
            <w14:solidFill>
              <w14:schemeClr w14:val="tx1"/>
            </w14:solidFill>
          </w14:textFill>
        </w:rPr>
        <w:t>N Engl J Med</w:t>
      </w:r>
      <w:r>
        <w:rPr>
          <w:rFonts w:ascii="Book Antiqua" w:hAnsi="Book Antiqua"/>
          <w:color w:val="000000" w:themeColor="text1"/>
          <w:sz w:val="24"/>
          <w14:textFill>
            <w14:solidFill>
              <w14:schemeClr w14:val="tx1"/>
            </w14:solidFill>
          </w14:textFill>
        </w:rPr>
        <w:t xml:space="preserve"> 2002; </w:t>
      </w:r>
      <w:r>
        <w:rPr>
          <w:rFonts w:ascii="Book Antiqua" w:hAnsi="Book Antiqua"/>
          <w:b/>
          <w:bCs/>
          <w:color w:val="000000" w:themeColor="text1"/>
          <w:sz w:val="24"/>
          <w14:textFill>
            <w14:solidFill>
              <w14:schemeClr w14:val="tx1"/>
            </w14:solidFill>
          </w14:textFill>
        </w:rPr>
        <w:t>16</w:t>
      </w:r>
      <w:r>
        <w:rPr>
          <w:rFonts w:ascii="Book Antiqua" w:hAnsi="Book Antiqua"/>
          <w:color w:val="000000" w:themeColor="text1"/>
          <w:sz w:val="24"/>
          <w14:textFill>
            <w14:solidFill>
              <w14:schemeClr w14:val="tx1"/>
            </w14:solidFill>
          </w14:textFill>
        </w:rPr>
        <w:t>: 1221-1231 [PMID: 11961152 DOI: 10.1056/NEJMra011775]</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2 </w:t>
      </w:r>
      <w:r>
        <w:rPr>
          <w:rFonts w:ascii="Book Antiqua" w:hAnsi="Book Antiqua"/>
          <w:b/>
          <w:bCs/>
          <w:color w:val="000000" w:themeColor="text1"/>
          <w:sz w:val="24"/>
          <w14:textFill>
            <w14:solidFill>
              <w14:schemeClr w14:val="tx1"/>
            </w14:solidFill>
          </w14:textFill>
        </w:rPr>
        <w:t>Clark JM</w:t>
      </w:r>
      <w:r>
        <w:rPr>
          <w:rFonts w:ascii="Book Antiqua" w:hAnsi="Book Antiqua"/>
          <w:color w:val="000000" w:themeColor="text1"/>
          <w:sz w:val="24"/>
          <w14:textFill>
            <w14:solidFill>
              <w14:schemeClr w14:val="tx1"/>
            </w14:solidFill>
          </w14:textFill>
        </w:rPr>
        <w:t xml:space="preserve">, Brancati FL, Diehl AM. Nonalcoholic fatty liver disease. </w:t>
      </w:r>
      <w:r>
        <w:rPr>
          <w:rFonts w:ascii="Book Antiqua" w:hAnsi="Book Antiqua"/>
          <w:i/>
          <w:iCs/>
          <w:color w:val="000000" w:themeColor="text1"/>
          <w:sz w:val="24"/>
          <w14:textFill>
            <w14:solidFill>
              <w14:schemeClr w14:val="tx1"/>
            </w14:solidFill>
          </w14:textFill>
        </w:rPr>
        <w:t>Gastroenterology</w:t>
      </w:r>
      <w:r>
        <w:rPr>
          <w:rFonts w:ascii="Book Antiqua" w:hAnsi="Book Antiqua"/>
          <w:color w:val="000000" w:themeColor="text1"/>
          <w:sz w:val="24"/>
          <w14:textFill>
            <w14:solidFill>
              <w14:schemeClr w14:val="tx1"/>
            </w14:solidFill>
          </w14:textFill>
        </w:rPr>
        <w:t xml:space="preserve"> 2002; </w:t>
      </w:r>
      <w:r>
        <w:rPr>
          <w:rFonts w:ascii="Book Antiqua" w:hAnsi="Book Antiqua"/>
          <w:b/>
          <w:bCs/>
          <w:color w:val="000000" w:themeColor="text1"/>
          <w:sz w:val="24"/>
          <w14:textFill>
            <w14:solidFill>
              <w14:schemeClr w14:val="tx1"/>
            </w14:solidFill>
          </w14:textFill>
        </w:rPr>
        <w:t>122</w:t>
      </w:r>
      <w:r>
        <w:rPr>
          <w:rFonts w:ascii="Book Antiqua" w:hAnsi="Book Antiqua"/>
          <w:color w:val="000000" w:themeColor="text1"/>
          <w:sz w:val="24"/>
          <w14:textFill>
            <w14:solidFill>
              <w14:schemeClr w14:val="tx1"/>
            </w14:solidFill>
          </w14:textFill>
        </w:rPr>
        <w:t>: 1649-1657 [PMID: 12016429]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3 </w:t>
      </w:r>
      <w:r>
        <w:rPr>
          <w:rFonts w:ascii="Book Antiqua" w:hAnsi="Book Antiqua"/>
          <w:b/>
          <w:bCs/>
          <w:color w:val="000000" w:themeColor="text1"/>
          <w:sz w:val="24"/>
          <w14:textFill>
            <w14:solidFill>
              <w14:schemeClr w14:val="tx1"/>
            </w14:solidFill>
          </w14:textFill>
        </w:rPr>
        <w:t>Trovato FM</w:t>
      </w:r>
      <w:r>
        <w:rPr>
          <w:rFonts w:ascii="Book Antiqua" w:hAnsi="Book Antiqua"/>
          <w:color w:val="000000" w:themeColor="text1"/>
          <w:sz w:val="24"/>
          <w14:textFill>
            <w14:solidFill>
              <w14:schemeClr w14:val="tx1"/>
            </w14:solidFill>
          </w14:textFill>
        </w:rPr>
        <w:t>, Martines GF, Brischetto D, Catalano D, Musumeci G, Trovato GM. Fatty liver disease and lifestyle in youngsters: diet, food intake frequency, exercise, sleep shortage and fashion. </w:t>
      </w:r>
      <w:r>
        <w:rPr>
          <w:rFonts w:ascii="Book Antiqua" w:hAnsi="Book Antiqua"/>
          <w:i/>
          <w:iCs/>
          <w:color w:val="000000" w:themeColor="text1"/>
          <w:sz w:val="24"/>
          <w14:textFill>
            <w14:solidFill>
              <w14:schemeClr w14:val="tx1"/>
            </w14:solidFill>
          </w14:textFill>
        </w:rPr>
        <w:t>Liver Int</w:t>
      </w:r>
      <w:r>
        <w:rPr>
          <w:rFonts w:ascii="Book Antiqua" w:hAnsi="Book Antiqua"/>
          <w:color w:val="000000" w:themeColor="text1"/>
          <w:sz w:val="24"/>
          <w14:textFill>
            <w14:solidFill>
              <w14:schemeClr w14:val="tx1"/>
            </w14:solidFill>
          </w14:textFill>
        </w:rPr>
        <w:t> 2016; </w:t>
      </w:r>
      <w:r>
        <w:rPr>
          <w:rFonts w:ascii="Book Antiqua" w:hAnsi="Book Antiqua"/>
          <w:b/>
          <w:bCs/>
          <w:color w:val="000000" w:themeColor="text1"/>
          <w:sz w:val="24"/>
          <w14:textFill>
            <w14:solidFill>
              <w14:schemeClr w14:val="tx1"/>
            </w14:solidFill>
          </w14:textFill>
        </w:rPr>
        <w:t>36</w:t>
      </w:r>
      <w:r>
        <w:rPr>
          <w:rFonts w:ascii="Book Antiqua" w:hAnsi="Book Antiqua"/>
          <w:color w:val="000000" w:themeColor="text1"/>
          <w:sz w:val="24"/>
          <w14:textFill>
            <w14:solidFill>
              <w14:schemeClr w14:val="tx1"/>
            </w14:solidFill>
          </w14:textFill>
        </w:rPr>
        <w:t>: 427-433 [PMID: 26346413 DOI: 10.1111/liv.12957]</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4 </w:t>
      </w:r>
      <w:r>
        <w:rPr>
          <w:rFonts w:ascii="Book Antiqua" w:hAnsi="Book Antiqua"/>
          <w:b/>
          <w:bCs/>
          <w:color w:val="000000" w:themeColor="text1"/>
          <w:sz w:val="24"/>
          <w14:textFill>
            <w14:solidFill>
              <w14:schemeClr w14:val="tx1"/>
            </w14:solidFill>
          </w14:textFill>
        </w:rPr>
        <w:t>Ray K</w:t>
      </w:r>
      <w:r>
        <w:rPr>
          <w:rFonts w:ascii="Book Antiqua" w:hAnsi="Book Antiqua"/>
          <w:color w:val="000000" w:themeColor="text1"/>
          <w:sz w:val="24"/>
          <w14:textFill>
            <w14:solidFill>
              <w14:schemeClr w14:val="tx1"/>
            </w14:solidFill>
          </w14:textFill>
        </w:rPr>
        <w:t>. NAFLD-the next global epidemic. </w:t>
      </w:r>
      <w:r>
        <w:rPr>
          <w:rFonts w:ascii="Book Antiqua" w:hAnsi="Book Antiqua"/>
          <w:i/>
          <w:iCs/>
          <w:color w:val="000000" w:themeColor="text1"/>
          <w:sz w:val="24"/>
          <w14:textFill>
            <w14:solidFill>
              <w14:schemeClr w14:val="tx1"/>
            </w14:solidFill>
          </w14:textFill>
        </w:rPr>
        <w:t>Nat Rev Gastroenterol Hepatol</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10</w:t>
      </w:r>
      <w:r>
        <w:rPr>
          <w:rFonts w:ascii="Book Antiqua" w:hAnsi="Book Antiqua"/>
          <w:color w:val="000000" w:themeColor="text1"/>
          <w:sz w:val="24"/>
          <w14:textFill>
            <w14:solidFill>
              <w14:schemeClr w14:val="tx1"/>
            </w14:solidFill>
          </w14:textFill>
        </w:rPr>
        <w:t>: 621 [PMID: 24185985 DOI: 10.1038/nrgastro.2013.197]</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5 </w:t>
      </w:r>
      <w:r>
        <w:rPr>
          <w:rFonts w:ascii="Book Antiqua" w:hAnsi="Book Antiqua"/>
          <w:b/>
          <w:bCs/>
          <w:color w:val="000000" w:themeColor="text1"/>
          <w:sz w:val="24"/>
          <w14:textFill>
            <w14:solidFill>
              <w14:schemeClr w14:val="tx1"/>
            </w14:solidFill>
          </w14:textFill>
        </w:rPr>
        <w:t>Loomba R</w:t>
      </w:r>
      <w:r>
        <w:rPr>
          <w:rFonts w:ascii="Book Antiqua" w:hAnsi="Book Antiqua"/>
          <w:color w:val="000000" w:themeColor="text1"/>
          <w:sz w:val="24"/>
          <w14:textFill>
            <w14:solidFill>
              <w14:schemeClr w14:val="tx1"/>
            </w14:solidFill>
          </w14:textFill>
        </w:rPr>
        <w:t>, Sanyal AJ. The global NAFLD epidemic. </w:t>
      </w:r>
      <w:r>
        <w:rPr>
          <w:rFonts w:ascii="Book Antiqua" w:hAnsi="Book Antiqua"/>
          <w:i/>
          <w:iCs/>
          <w:color w:val="000000" w:themeColor="text1"/>
          <w:sz w:val="24"/>
          <w14:textFill>
            <w14:solidFill>
              <w14:schemeClr w14:val="tx1"/>
            </w14:solidFill>
          </w14:textFill>
        </w:rPr>
        <w:t>Nat Rev Gastroenterol Hepatol</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10</w:t>
      </w:r>
      <w:r>
        <w:rPr>
          <w:rFonts w:ascii="Book Antiqua" w:hAnsi="Book Antiqua"/>
          <w:color w:val="000000" w:themeColor="text1"/>
          <w:sz w:val="24"/>
          <w14:textFill>
            <w14:solidFill>
              <w14:schemeClr w14:val="tx1"/>
            </w14:solidFill>
          </w14:textFill>
        </w:rPr>
        <w:t>: 686-690 [PMID: 24042449 DOI: 10.1038/nrgastro.2013.171]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6 </w:t>
      </w:r>
      <w:r>
        <w:rPr>
          <w:rFonts w:ascii="Book Antiqua" w:hAnsi="Book Antiqua"/>
          <w:b/>
          <w:bCs/>
          <w:color w:val="000000" w:themeColor="text1"/>
          <w:sz w:val="24"/>
          <w14:textFill>
            <w14:solidFill>
              <w14:schemeClr w14:val="tx1"/>
            </w14:solidFill>
          </w14:textFill>
        </w:rPr>
        <w:t>Younossi ZM</w:t>
      </w:r>
      <w:r>
        <w:rPr>
          <w:rFonts w:ascii="Book Antiqua" w:hAnsi="Book Antiqua"/>
          <w:color w:val="000000" w:themeColor="text1"/>
          <w:sz w:val="24"/>
          <w14:textFill>
            <w14:solidFill>
              <w14:schemeClr w14:val="tx1"/>
            </w14:solidFill>
          </w14:textFill>
        </w:rPr>
        <w:t>, Stepanova M, Afendy M, Fang Y, Younossi Y, Mir H, Srishord M. Changes in the prevalence of the most common causes of chronic liver diseases in the United States from 1988 to 2008. </w:t>
      </w:r>
      <w:r>
        <w:rPr>
          <w:rFonts w:ascii="Book Antiqua" w:hAnsi="Book Antiqua"/>
          <w:i/>
          <w:iCs/>
          <w:color w:val="000000" w:themeColor="text1"/>
          <w:sz w:val="24"/>
          <w14:textFill>
            <w14:solidFill>
              <w14:schemeClr w14:val="tx1"/>
            </w14:solidFill>
          </w14:textFill>
        </w:rPr>
        <w:t>Clin Gastroenterol Hepatol</w:t>
      </w:r>
      <w:r>
        <w:rPr>
          <w:rFonts w:ascii="Book Antiqua" w:hAnsi="Book Antiqua"/>
          <w:color w:val="000000" w:themeColor="text1"/>
          <w:sz w:val="24"/>
          <w14:textFill>
            <w14:solidFill>
              <w14:schemeClr w14:val="tx1"/>
            </w14:solidFill>
          </w14:textFill>
        </w:rPr>
        <w:t> 2011; </w:t>
      </w:r>
      <w:r>
        <w:rPr>
          <w:rFonts w:ascii="Book Antiqua" w:hAnsi="Book Antiqua"/>
          <w:b/>
          <w:bCs/>
          <w:color w:val="000000" w:themeColor="text1"/>
          <w:sz w:val="24"/>
          <w14:textFill>
            <w14:solidFill>
              <w14:schemeClr w14:val="tx1"/>
            </w14:solidFill>
          </w14:textFill>
        </w:rPr>
        <w:t>9</w:t>
      </w:r>
      <w:r>
        <w:rPr>
          <w:rFonts w:ascii="Book Antiqua" w:hAnsi="Book Antiqua"/>
          <w:color w:val="000000" w:themeColor="text1"/>
          <w:sz w:val="24"/>
          <w14:textFill>
            <w14:solidFill>
              <w14:schemeClr w14:val="tx1"/>
            </w14:solidFill>
          </w14:textFill>
        </w:rPr>
        <w:t>: 524-530.e1; quiz e60 [PMID: 21440669 DOI: 10.1016/j.cgh.2011.03.020]</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7 </w:t>
      </w:r>
      <w:r>
        <w:rPr>
          <w:rFonts w:ascii="Book Antiqua" w:hAnsi="Book Antiqua"/>
          <w:b/>
          <w:bCs/>
          <w:color w:val="000000" w:themeColor="text1"/>
          <w:sz w:val="24"/>
          <w14:textFill>
            <w14:solidFill>
              <w14:schemeClr w14:val="tx1"/>
            </w14:solidFill>
          </w14:textFill>
        </w:rPr>
        <w:t>Gariani K</w:t>
      </w:r>
      <w:r>
        <w:rPr>
          <w:rFonts w:ascii="Book Antiqua" w:hAnsi="Book Antiqua"/>
          <w:color w:val="000000" w:themeColor="text1"/>
          <w:sz w:val="24"/>
          <w14:textFill>
            <w14:solidFill>
              <w14:schemeClr w14:val="tx1"/>
            </w14:solidFill>
          </w14:textFill>
        </w:rPr>
        <w:t>, Philippe J, Jornayvaz FR. Non-alcoholic fatty liver disease and insulin resistance: from bench to bedside. </w:t>
      </w:r>
      <w:r>
        <w:rPr>
          <w:rFonts w:ascii="Book Antiqua" w:hAnsi="Book Antiqua"/>
          <w:i/>
          <w:iCs/>
          <w:color w:val="000000" w:themeColor="text1"/>
          <w:sz w:val="24"/>
          <w14:textFill>
            <w14:solidFill>
              <w14:schemeClr w14:val="tx1"/>
            </w14:solidFill>
          </w14:textFill>
        </w:rPr>
        <w:t>Diabetes Metab</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39</w:t>
      </w:r>
      <w:r>
        <w:rPr>
          <w:rFonts w:ascii="Book Antiqua" w:hAnsi="Book Antiqua"/>
          <w:color w:val="000000" w:themeColor="text1"/>
          <w:sz w:val="24"/>
          <w14:textFill>
            <w14:solidFill>
              <w14:schemeClr w14:val="tx1"/>
            </w14:solidFill>
          </w14:textFill>
        </w:rPr>
        <w:t>: 16-26 [PMID: 23266468 DOI: 10.1016/j.diabet.2012.11.002]</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8 </w:t>
      </w:r>
      <w:r>
        <w:rPr>
          <w:rFonts w:ascii="Book Antiqua" w:hAnsi="Book Antiqua"/>
          <w:b/>
          <w:bCs/>
          <w:color w:val="000000" w:themeColor="text1"/>
          <w:sz w:val="24"/>
          <w14:textFill>
            <w14:solidFill>
              <w14:schemeClr w14:val="tx1"/>
            </w14:solidFill>
          </w14:textFill>
        </w:rPr>
        <w:t>Neuschwander-Tetri BA</w:t>
      </w:r>
      <w:r>
        <w:rPr>
          <w:rFonts w:ascii="Book Antiqua" w:hAnsi="Book Antiqua"/>
          <w:color w:val="000000" w:themeColor="text1"/>
          <w:sz w:val="24"/>
          <w14:textFill>
            <w14:solidFill>
              <w14:schemeClr w14:val="tx1"/>
            </w14:solidFill>
          </w14:textFill>
        </w:rPr>
        <w:t>, Caldwell SH. Nonalcoholic steatohepatitis: summary of an AASLD Single Topic Conference. </w:t>
      </w:r>
      <w:r>
        <w:rPr>
          <w:rFonts w:ascii="Book Antiqua" w:hAnsi="Book Antiqua"/>
          <w:i/>
          <w:iCs/>
          <w:color w:val="000000" w:themeColor="text1"/>
          <w:sz w:val="24"/>
          <w14:textFill>
            <w14:solidFill>
              <w14:schemeClr w14:val="tx1"/>
            </w14:solidFill>
          </w14:textFill>
        </w:rPr>
        <w:t>Hepatology</w:t>
      </w:r>
      <w:r>
        <w:rPr>
          <w:rFonts w:ascii="Book Antiqua" w:hAnsi="Book Antiqua"/>
          <w:color w:val="000000" w:themeColor="text1"/>
          <w:sz w:val="24"/>
          <w14:textFill>
            <w14:solidFill>
              <w14:schemeClr w14:val="tx1"/>
            </w14:solidFill>
          </w14:textFill>
        </w:rPr>
        <w:t> 2003; </w:t>
      </w:r>
      <w:r>
        <w:rPr>
          <w:rFonts w:ascii="Book Antiqua" w:hAnsi="Book Antiqua"/>
          <w:b/>
          <w:bCs/>
          <w:color w:val="000000" w:themeColor="text1"/>
          <w:sz w:val="24"/>
          <w14:textFill>
            <w14:solidFill>
              <w14:schemeClr w14:val="tx1"/>
            </w14:solidFill>
          </w14:textFill>
        </w:rPr>
        <w:t>37</w:t>
      </w:r>
      <w:r>
        <w:rPr>
          <w:rFonts w:ascii="Book Antiqua" w:hAnsi="Book Antiqua"/>
          <w:color w:val="000000" w:themeColor="text1"/>
          <w:sz w:val="24"/>
          <w14:textFill>
            <w14:solidFill>
              <w14:schemeClr w14:val="tx1"/>
            </w14:solidFill>
          </w14:textFill>
        </w:rPr>
        <w:t>: 1202-1219 [PMID: 12717402 DOI: 10.1053/jhep.2003.50193]</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9 </w:t>
      </w:r>
      <w:r>
        <w:rPr>
          <w:rFonts w:ascii="Book Antiqua" w:hAnsi="Book Antiqua"/>
          <w:b/>
          <w:bCs/>
          <w:color w:val="000000" w:themeColor="text1"/>
          <w:sz w:val="24"/>
          <w14:textFill>
            <w14:solidFill>
              <w14:schemeClr w14:val="tx1"/>
            </w14:solidFill>
          </w14:textFill>
        </w:rPr>
        <w:t>Scalera A</w:t>
      </w:r>
      <w:r>
        <w:rPr>
          <w:rFonts w:ascii="Book Antiqua" w:hAnsi="Book Antiqua"/>
          <w:color w:val="000000" w:themeColor="text1"/>
          <w:sz w:val="24"/>
          <w14:textFill>
            <w14:solidFill>
              <w14:schemeClr w14:val="tx1"/>
            </w14:solidFill>
          </w14:textFill>
        </w:rPr>
        <w:t>, Tarantino G. Could metabolic syndrome lead to hepatocarcinoma via non-alcoholic fatty liver disease? </w:t>
      </w:r>
      <w:r>
        <w:rPr>
          <w:rFonts w:ascii="Book Antiqua" w:hAnsi="Book Antiqua"/>
          <w:i/>
          <w:iCs/>
          <w:color w:val="000000" w:themeColor="text1"/>
          <w:sz w:val="24"/>
          <w14:textFill>
            <w14:solidFill>
              <w14:schemeClr w14:val="tx1"/>
            </w14:solidFill>
          </w14:textFill>
        </w:rPr>
        <w:t>World J Gastroenterol</w:t>
      </w:r>
      <w:r>
        <w:rPr>
          <w:rFonts w:ascii="Book Antiqua" w:hAnsi="Book Antiqua"/>
          <w:color w:val="000000" w:themeColor="text1"/>
          <w:sz w:val="24"/>
          <w14:textFill>
            <w14:solidFill>
              <w14:schemeClr w14:val="tx1"/>
            </w14:solidFill>
          </w14:textFill>
        </w:rPr>
        <w:t> 2014; </w:t>
      </w:r>
      <w:r>
        <w:rPr>
          <w:rFonts w:ascii="Book Antiqua" w:hAnsi="Book Antiqua"/>
          <w:b/>
          <w:bCs/>
          <w:color w:val="000000" w:themeColor="text1"/>
          <w:sz w:val="24"/>
          <w14:textFill>
            <w14:solidFill>
              <w14:schemeClr w14:val="tx1"/>
            </w14:solidFill>
          </w14:textFill>
        </w:rPr>
        <w:t>20</w:t>
      </w:r>
      <w:r>
        <w:rPr>
          <w:rFonts w:ascii="Book Antiqua" w:hAnsi="Book Antiqua"/>
          <w:color w:val="000000" w:themeColor="text1"/>
          <w:sz w:val="24"/>
          <w14:textFill>
            <w14:solidFill>
              <w14:schemeClr w14:val="tx1"/>
            </w14:solidFill>
          </w14:textFill>
        </w:rPr>
        <w:t>: 9217-9228 [PMID: 25071314 DOI: 10.3748/wjg.v20.i28.9217]</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highlight w:val="none"/>
          <w14:textFill>
            <w14:solidFill>
              <w14:schemeClr w14:val="tx1"/>
            </w14:solidFill>
          </w14:textFill>
        </w:rPr>
        <w:t>10 </w:t>
      </w:r>
      <w:r>
        <w:rPr>
          <w:rFonts w:ascii="Book Antiqua" w:hAnsi="Book Antiqua"/>
          <w:b/>
          <w:bCs/>
          <w:color w:val="000000" w:themeColor="text1"/>
          <w:sz w:val="24"/>
          <w:highlight w:val="none"/>
          <w14:textFill>
            <w14:solidFill>
              <w14:schemeClr w14:val="tx1"/>
            </w14:solidFill>
          </w14:textFill>
        </w:rPr>
        <w:t>Kwak MS</w:t>
      </w:r>
      <w:r>
        <w:rPr>
          <w:rFonts w:ascii="Book Antiqua" w:hAnsi="Book Antiqua"/>
          <w:color w:val="000000" w:themeColor="text1"/>
          <w:sz w:val="24"/>
          <w:highlight w:val="none"/>
          <w14:textFill>
            <w14:solidFill>
              <w14:schemeClr w14:val="tx1"/>
            </w14:solidFill>
          </w14:textFill>
        </w:rPr>
        <w:t>, Kim D. Long-term outcomes of nonalcoholic fatty liver disease.</w:t>
      </w:r>
      <w:r>
        <w:rPr>
          <w:rFonts w:ascii="Book Antiqua" w:hAnsi="Book Antiqua"/>
          <w:i/>
          <w:iCs/>
          <w:color w:val="000000" w:themeColor="text1"/>
          <w:sz w:val="24"/>
          <w:highlight w:val="none"/>
          <w14:textFill>
            <w14:solidFill>
              <w14:schemeClr w14:val="tx1"/>
            </w14:solidFill>
          </w14:textFill>
        </w:rPr>
        <w:t xml:space="preserve"> Curr Hepatol Rep</w:t>
      </w:r>
      <w:r>
        <w:rPr>
          <w:rFonts w:ascii="Book Antiqua" w:hAnsi="Book Antiqua"/>
          <w:color w:val="000000" w:themeColor="text1"/>
          <w:sz w:val="24"/>
          <w:highlight w:val="none"/>
          <w14:textFill>
            <w14:solidFill>
              <w14:schemeClr w14:val="tx1"/>
            </w14:solidFill>
          </w14:textFill>
        </w:rPr>
        <w:t xml:space="preserve"> 2015; </w:t>
      </w:r>
      <w:r>
        <w:rPr>
          <w:rFonts w:ascii="Book Antiqua" w:hAnsi="Book Antiqua"/>
          <w:b/>
          <w:bCs/>
          <w:color w:val="000000" w:themeColor="text1"/>
          <w:sz w:val="24"/>
          <w:highlight w:val="none"/>
          <w14:textFill>
            <w14:solidFill>
              <w14:schemeClr w14:val="tx1"/>
            </w14:solidFill>
          </w14:textFill>
        </w:rPr>
        <w:t>14</w:t>
      </w:r>
      <w:r>
        <w:rPr>
          <w:rFonts w:ascii="Book Antiqua" w:hAnsi="Book Antiqua"/>
          <w:color w:val="000000" w:themeColor="text1"/>
          <w:sz w:val="24"/>
          <w:highlight w:val="none"/>
          <w14:textFill>
            <w14:solidFill>
              <w14:schemeClr w14:val="tx1"/>
            </w14:solidFill>
          </w14:textFill>
        </w:rPr>
        <w:t>: 69-76 [DOI: 10.1007/s11901-015-0258-6]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11 </w:t>
      </w:r>
      <w:r>
        <w:rPr>
          <w:rFonts w:ascii="Book Antiqua" w:hAnsi="Book Antiqua"/>
          <w:b/>
          <w:bCs/>
          <w:color w:val="000000" w:themeColor="text1"/>
          <w:sz w:val="24"/>
          <w14:textFill>
            <w14:solidFill>
              <w14:schemeClr w14:val="tx1"/>
            </w14:solidFill>
          </w14:textFill>
        </w:rPr>
        <w:t>Levene AP</w:t>
      </w:r>
      <w:r>
        <w:rPr>
          <w:rFonts w:ascii="Book Antiqua" w:hAnsi="Book Antiqua"/>
          <w:color w:val="000000" w:themeColor="text1"/>
          <w:sz w:val="24"/>
          <w14:textFill>
            <w14:solidFill>
              <w14:schemeClr w14:val="tx1"/>
            </w14:solidFill>
          </w14:textFill>
        </w:rPr>
        <w:t>, Goldin RD. The epidemiology, pathogenesis and histopathology of fatty liver disease. </w:t>
      </w:r>
      <w:r>
        <w:rPr>
          <w:rFonts w:ascii="Book Antiqua" w:hAnsi="Book Antiqua"/>
          <w:i/>
          <w:iCs/>
          <w:color w:val="000000" w:themeColor="text1"/>
          <w:sz w:val="24"/>
          <w14:textFill>
            <w14:solidFill>
              <w14:schemeClr w14:val="tx1"/>
            </w14:solidFill>
          </w14:textFill>
        </w:rPr>
        <w:t>Histopathology</w:t>
      </w:r>
      <w:r>
        <w:rPr>
          <w:rFonts w:ascii="Book Antiqua" w:hAnsi="Book Antiqua"/>
          <w:color w:val="000000" w:themeColor="text1"/>
          <w:sz w:val="24"/>
          <w14:textFill>
            <w14:solidFill>
              <w14:schemeClr w14:val="tx1"/>
            </w14:solidFill>
          </w14:textFill>
        </w:rPr>
        <w:t> 2012; </w:t>
      </w:r>
      <w:r>
        <w:rPr>
          <w:rFonts w:ascii="Book Antiqua" w:hAnsi="Book Antiqua"/>
          <w:b/>
          <w:bCs/>
          <w:color w:val="000000" w:themeColor="text1"/>
          <w:sz w:val="24"/>
          <w14:textFill>
            <w14:solidFill>
              <w14:schemeClr w14:val="tx1"/>
            </w14:solidFill>
          </w14:textFill>
        </w:rPr>
        <w:t>61</w:t>
      </w:r>
      <w:r>
        <w:rPr>
          <w:rFonts w:ascii="Book Antiqua" w:hAnsi="Book Antiqua"/>
          <w:color w:val="000000" w:themeColor="text1"/>
          <w:sz w:val="24"/>
          <w14:textFill>
            <w14:solidFill>
              <w14:schemeClr w14:val="tx1"/>
            </w14:solidFill>
          </w14:textFill>
        </w:rPr>
        <w:t>: 141-152 [PMID: 22372457 DOI: 10.1111/j.1365-2559.2011.04145.x]</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12 </w:t>
      </w:r>
      <w:r>
        <w:rPr>
          <w:rFonts w:ascii="Book Antiqua" w:hAnsi="Book Antiqua"/>
          <w:b/>
          <w:bCs/>
          <w:color w:val="000000" w:themeColor="text1"/>
          <w:sz w:val="24"/>
          <w14:textFill>
            <w14:solidFill>
              <w14:schemeClr w14:val="tx1"/>
            </w14:solidFill>
          </w14:textFill>
        </w:rPr>
        <w:t>Chalasani N</w:t>
      </w:r>
      <w:r>
        <w:rPr>
          <w:rFonts w:ascii="Book Antiqua" w:hAnsi="Book Antiqua"/>
          <w:color w:val="000000" w:themeColor="text1"/>
          <w:sz w:val="24"/>
          <w14:textFill>
            <w14:solidFill>
              <w14:schemeClr w14:val="tx1"/>
            </w14:solidFill>
          </w14:textFill>
        </w:rPr>
        <w:t>, Younossi Z, Lavine JE, Charlton M, Cusi K, Rinella M, Harrison SA, Brunt EM, Sanyal AJ. The diagnosis and management of nonalcoholic fatty liver disease: Practice guidance from the American Association for the Study of Liver Diseases. </w:t>
      </w:r>
      <w:r>
        <w:rPr>
          <w:rFonts w:ascii="Book Antiqua" w:hAnsi="Book Antiqua"/>
          <w:i/>
          <w:iCs/>
          <w:color w:val="000000" w:themeColor="text1"/>
          <w:sz w:val="24"/>
          <w14:textFill>
            <w14:solidFill>
              <w14:schemeClr w14:val="tx1"/>
            </w14:solidFill>
          </w14:textFill>
        </w:rPr>
        <w:t>Hepatology</w:t>
      </w:r>
      <w:r>
        <w:rPr>
          <w:rFonts w:ascii="Book Antiqua" w:hAnsi="Book Antiqua"/>
          <w:color w:val="000000" w:themeColor="text1"/>
          <w:sz w:val="24"/>
          <w14:textFill>
            <w14:solidFill>
              <w14:schemeClr w14:val="tx1"/>
            </w14:solidFill>
          </w14:textFill>
        </w:rPr>
        <w:t> 2018; </w:t>
      </w:r>
      <w:r>
        <w:rPr>
          <w:rFonts w:ascii="Book Antiqua" w:hAnsi="Book Antiqua"/>
          <w:b/>
          <w:bCs/>
          <w:color w:val="000000" w:themeColor="text1"/>
          <w:sz w:val="24"/>
          <w14:textFill>
            <w14:solidFill>
              <w14:schemeClr w14:val="tx1"/>
            </w14:solidFill>
          </w14:textFill>
        </w:rPr>
        <w:t>67</w:t>
      </w:r>
      <w:r>
        <w:rPr>
          <w:rFonts w:ascii="Book Antiqua" w:hAnsi="Book Antiqua"/>
          <w:color w:val="000000" w:themeColor="text1"/>
          <w:sz w:val="24"/>
          <w14:textFill>
            <w14:solidFill>
              <w14:schemeClr w14:val="tx1"/>
            </w14:solidFill>
          </w14:textFill>
        </w:rPr>
        <w:t>: 328-357 [PMID: 28714183 DOI: 10.1002/hep.29367]</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13 </w:t>
      </w:r>
      <w:r>
        <w:rPr>
          <w:rFonts w:ascii="Book Antiqua" w:hAnsi="Book Antiqua"/>
          <w:b/>
          <w:bCs/>
          <w:color w:val="000000" w:themeColor="text1"/>
          <w:sz w:val="24"/>
          <w14:textFill>
            <w14:solidFill>
              <w14:schemeClr w14:val="tx1"/>
            </w14:solidFill>
          </w14:textFill>
        </w:rPr>
        <w:t>European Association for the Study of the Liver</w:t>
      </w:r>
      <w:r>
        <w:rPr>
          <w:rFonts w:ascii="Book Antiqua" w:hAnsi="Book Antiqua"/>
          <w:color w:val="000000" w:themeColor="text1"/>
          <w:sz w:val="24"/>
          <w14:textFill>
            <w14:solidFill>
              <w14:schemeClr w14:val="tx1"/>
            </w14:solidFill>
          </w14:textFill>
        </w:rPr>
        <w:t>; European Association for the Study of Diabetes (EASD); European Association for the Study of Obesity (EASO). EASL-EASD-EASO Clinical Practice Guidelines for the management of non-alcoholic fatty liver disease. </w:t>
      </w:r>
      <w:r>
        <w:rPr>
          <w:rFonts w:ascii="Book Antiqua" w:hAnsi="Book Antiqua"/>
          <w:i/>
          <w:iCs/>
          <w:color w:val="000000" w:themeColor="text1"/>
          <w:sz w:val="24"/>
          <w14:textFill>
            <w14:solidFill>
              <w14:schemeClr w14:val="tx1"/>
            </w14:solidFill>
          </w14:textFill>
        </w:rPr>
        <w:t>Diabetologia</w:t>
      </w:r>
      <w:r>
        <w:rPr>
          <w:rFonts w:ascii="Book Antiqua" w:hAnsi="Book Antiqua"/>
          <w:color w:val="000000" w:themeColor="text1"/>
          <w:sz w:val="24"/>
          <w14:textFill>
            <w14:solidFill>
              <w14:schemeClr w14:val="tx1"/>
            </w14:solidFill>
          </w14:textFill>
        </w:rPr>
        <w:t> 2016; </w:t>
      </w:r>
      <w:r>
        <w:rPr>
          <w:rFonts w:ascii="Book Antiqua" w:hAnsi="Book Antiqua"/>
          <w:b/>
          <w:bCs/>
          <w:color w:val="000000" w:themeColor="text1"/>
          <w:sz w:val="24"/>
          <w14:textFill>
            <w14:solidFill>
              <w14:schemeClr w14:val="tx1"/>
            </w14:solidFill>
          </w14:textFill>
        </w:rPr>
        <w:t>59</w:t>
      </w:r>
      <w:r>
        <w:rPr>
          <w:rFonts w:ascii="Book Antiqua" w:hAnsi="Book Antiqua"/>
          <w:color w:val="000000" w:themeColor="text1"/>
          <w:sz w:val="24"/>
          <w14:textFill>
            <w14:solidFill>
              <w14:schemeClr w14:val="tx1"/>
            </w14:solidFill>
          </w14:textFill>
        </w:rPr>
        <w:t>: 1121-1140 [PMID: 27053230 DOI: 10.1007/s00125-016-3902-y]</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14 </w:t>
      </w:r>
      <w:r>
        <w:rPr>
          <w:rFonts w:ascii="Book Antiqua" w:hAnsi="Book Antiqua"/>
          <w:b/>
          <w:bCs/>
          <w:color w:val="000000" w:themeColor="text1"/>
          <w:sz w:val="24"/>
          <w14:textFill>
            <w14:solidFill>
              <w14:schemeClr w14:val="tx1"/>
            </w14:solidFill>
          </w14:textFill>
        </w:rPr>
        <w:t>Jiang J</w:t>
      </w:r>
      <w:r>
        <w:rPr>
          <w:rFonts w:ascii="Book Antiqua" w:hAnsi="Book Antiqua"/>
          <w:color w:val="000000" w:themeColor="text1"/>
          <w:sz w:val="24"/>
          <w14:textFill>
            <w14:solidFill>
              <w14:schemeClr w14:val="tx1"/>
            </w14:solidFill>
          </w14:textFill>
        </w:rPr>
        <w:t>, Zhou C, Xu Q. Alleviating effects of si-ni-san, a traditional Chinese prescription, on experimental liver injury and its mechanisms. </w:t>
      </w:r>
      <w:r>
        <w:rPr>
          <w:rFonts w:ascii="Book Antiqua" w:hAnsi="Book Antiqua"/>
          <w:i/>
          <w:iCs/>
          <w:color w:val="000000" w:themeColor="text1"/>
          <w:sz w:val="24"/>
          <w14:textFill>
            <w14:solidFill>
              <w14:schemeClr w14:val="tx1"/>
            </w14:solidFill>
          </w14:textFill>
        </w:rPr>
        <w:t>Biol Pharm Bull</w:t>
      </w:r>
      <w:r>
        <w:rPr>
          <w:rFonts w:ascii="Book Antiqua" w:hAnsi="Book Antiqua"/>
          <w:color w:val="000000" w:themeColor="text1"/>
          <w:sz w:val="24"/>
          <w14:textFill>
            <w14:solidFill>
              <w14:schemeClr w14:val="tx1"/>
            </w14:solidFill>
          </w14:textFill>
        </w:rPr>
        <w:t> 2003; </w:t>
      </w:r>
      <w:r>
        <w:rPr>
          <w:rFonts w:ascii="Book Antiqua" w:hAnsi="Book Antiqua"/>
          <w:b/>
          <w:bCs/>
          <w:color w:val="000000" w:themeColor="text1"/>
          <w:sz w:val="24"/>
          <w14:textFill>
            <w14:solidFill>
              <w14:schemeClr w14:val="tx1"/>
            </w14:solidFill>
          </w14:textFill>
        </w:rPr>
        <w:t>26</w:t>
      </w:r>
      <w:r>
        <w:rPr>
          <w:rFonts w:ascii="Book Antiqua" w:hAnsi="Book Antiqua"/>
          <w:color w:val="000000" w:themeColor="text1"/>
          <w:sz w:val="24"/>
          <w14:textFill>
            <w14:solidFill>
              <w14:schemeClr w14:val="tx1"/>
            </w14:solidFill>
          </w14:textFill>
        </w:rPr>
        <w:t>: 1089-1094 [PMID: 12913256]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15 </w:t>
      </w:r>
      <w:r>
        <w:rPr>
          <w:rFonts w:ascii="Book Antiqua" w:hAnsi="Book Antiqua"/>
          <w:b/>
          <w:bCs/>
          <w:color w:val="000000" w:themeColor="text1"/>
          <w:sz w:val="24"/>
          <w14:textFill>
            <w14:solidFill>
              <w14:schemeClr w14:val="tx1"/>
            </w14:solidFill>
          </w14:textFill>
        </w:rPr>
        <w:t>Liu CG</w:t>
      </w:r>
      <w:r>
        <w:rPr>
          <w:rFonts w:ascii="Book Antiqua" w:hAnsi="Book Antiqua"/>
          <w:color w:val="000000" w:themeColor="text1"/>
          <w:sz w:val="24"/>
          <w14:textFill>
            <w14:solidFill>
              <w14:schemeClr w14:val="tx1"/>
            </w14:solidFill>
          </w14:textFill>
        </w:rPr>
        <w:t>, Wang XL, Du XW, Jiang DY, Geng NZ, Zhang SX, Zhou YY, Kuang HX. Metabolomic profiling for identification of potential biomarkers in the protective effects of modified Sinisan against liver injury in dimethylnitrosamine treated rats. </w:t>
      </w:r>
      <w:r>
        <w:rPr>
          <w:rFonts w:ascii="Book Antiqua" w:hAnsi="Book Antiqua"/>
          <w:i/>
          <w:iCs/>
          <w:color w:val="000000" w:themeColor="text1"/>
          <w:sz w:val="24"/>
          <w14:textFill>
            <w14:solidFill>
              <w14:schemeClr w14:val="tx1"/>
            </w14:solidFill>
          </w14:textFill>
        </w:rPr>
        <w:t>Biol Pharm Bull</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36</w:t>
      </w:r>
      <w:r>
        <w:rPr>
          <w:rFonts w:ascii="Book Antiqua" w:hAnsi="Book Antiqua"/>
          <w:color w:val="000000" w:themeColor="text1"/>
          <w:sz w:val="24"/>
          <w14:textFill>
            <w14:solidFill>
              <w14:schemeClr w14:val="tx1"/>
            </w14:solidFill>
          </w14:textFill>
        </w:rPr>
        <w:t>: 1700-1707 [PMID: 24189414]</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16 </w:t>
      </w:r>
      <w:r>
        <w:rPr>
          <w:rFonts w:ascii="Book Antiqua" w:hAnsi="Book Antiqua"/>
          <w:b/>
          <w:bCs/>
          <w:color w:val="000000" w:themeColor="text1"/>
          <w:sz w:val="24"/>
          <w14:textFill>
            <w14:solidFill>
              <w14:schemeClr w14:val="tx1"/>
            </w14:solidFill>
          </w14:textFill>
        </w:rPr>
        <w:t>Wu X</w:t>
      </w:r>
      <w:r>
        <w:rPr>
          <w:rFonts w:ascii="Book Antiqua" w:hAnsi="Book Antiqua"/>
          <w:color w:val="000000" w:themeColor="text1"/>
          <w:sz w:val="24"/>
          <w14:textFill>
            <w14:solidFill>
              <w14:schemeClr w14:val="tx1"/>
            </w14:solidFill>
          </w14:textFill>
        </w:rPr>
        <w:t>, Zhang L, Gurley E, Studer E, Shang J, Wang T, Wang C, Yan M, Jiang Z, Hylemon PB, Sanyal AJ, Pandak WM Jr, Zhou H. Prevention of free fatty acid-induced hepatic lipotoxicity by 18beta-glycyrrhetinic acid through lysosomal and mitochondrial pathways. </w:t>
      </w:r>
      <w:r>
        <w:rPr>
          <w:rFonts w:ascii="Book Antiqua" w:hAnsi="Book Antiqua"/>
          <w:i/>
          <w:iCs/>
          <w:color w:val="000000" w:themeColor="text1"/>
          <w:sz w:val="24"/>
          <w14:textFill>
            <w14:solidFill>
              <w14:schemeClr w14:val="tx1"/>
            </w14:solidFill>
          </w14:textFill>
        </w:rPr>
        <w:t>Hepatology</w:t>
      </w:r>
      <w:r>
        <w:rPr>
          <w:rFonts w:ascii="Book Antiqua" w:hAnsi="Book Antiqua"/>
          <w:color w:val="000000" w:themeColor="text1"/>
          <w:sz w:val="24"/>
          <w14:textFill>
            <w14:solidFill>
              <w14:schemeClr w14:val="tx1"/>
            </w14:solidFill>
          </w14:textFill>
        </w:rPr>
        <w:t> 2008; </w:t>
      </w:r>
      <w:r>
        <w:rPr>
          <w:rFonts w:ascii="Book Antiqua" w:hAnsi="Book Antiqua"/>
          <w:b/>
          <w:bCs/>
          <w:color w:val="000000" w:themeColor="text1"/>
          <w:sz w:val="24"/>
          <w14:textFill>
            <w14:solidFill>
              <w14:schemeClr w14:val="tx1"/>
            </w14:solidFill>
          </w14:textFill>
        </w:rPr>
        <w:t>47</w:t>
      </w:r>
      <w:r>
        <w:rPr>
          <w:rFonts w:ascii="Book Antiqua" w:hAnsi="Book Antiqua"/>
          <w:color w:val="000000" w:themeColor="text1"/>
          <w:sz w:val="24"/>
          <w14:textFill>
            <w14:solidFill>
              <w14:schemeClr w14:val="tx1"/>
            </w14:solidFill>
          </w14:textFill>
        </w:rPr>
        <w:t>: 1905-1915 [PMID: 18452148 DOI: 10.1002/hep.22239]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17 </w:t>
      </w:r>
      <w:r>
        <w:rPr>
          <w:rFonts w:ascii="Book Antiqua" w:hAnsi="Book Antiqua"/>
          <w:b/>
          <w:bCs/>
          <w:color w:val="000000" w:themeColor="text1"/>
          <w:sz w:val="24"/>
          <w14:textFill>
            <w14:solidFill>
              <w14:schemeClr w14:val="tx1"/>
            </w14:solidFill>
          </w14:textFill>
        </w:rPr>
        <w:t>Zhang L</w:t>
      </w:r>
      <w:r>
        <w:rPr>
          <w:rFonts w:ascii="Book Antiqua" w:hAnsi="Book Antiqua"/>
          <w:color w:val="000000" w:themeColor="text1"/>
          <w:sz w:val="24"/>
          <w14:textFill>
            <w14:solidFill>
              <w14:schemeClr w14:val="tx1"/>
            </w14:solidFill>
          </w14:textFill>
        </w:rPr>
        <w:t>, Yang B, Yu B. Paeoniflorin Protects against Nonalcoholic Fatty Liver Disease Induced by a High-Fat Diet in Mice. </w:t>
      </w:r>
      <w:r>
        <w:rPr>
          <w:rFonts w:ascii="Book Antiqua" w:hAnsi="Book Antiqua"/>
          <w:i/>
          <w:iCs/>
          <w:color w:val="000000" w:themeColor="text1"/>
          <w:sz w:val="24"/>
          <w14:textFill>
            <w14:solidFill>
              <w14:schemeClr w14:val="tx1"/>
            </w14:solidFill>
          </w14:textFill>
        </w:rPr>
        <w:t>Biol Pharm Bull</w:t>
      </w:r>
      <w:r>
        <w:rPr>
          <w:rFonts w:ascii="Book Antiqua" w:hAnsi="Book Antiqua"/>
          <w:color w:val="000000" w:themeColor="text1"/>
          <w:sz w:val="24"/>
          <w14:textFill>
            <w14:solidFill>
              <w14:schemeClr w14:val="tx1"/>
            </w14:solidFill>
          </w14:textFill>
        </w:rPr>
        <w:t> 2015; </w:t>
      </w:r>
      <w:r>
        <w:rPr>
          <w:rFonts w:ascii="Book Antiqua" w:hAnsi="Book Antiqua"/>
          <w:b/>
          <w:bCs/>
          <w:color w:val="000000" w:themeColor="text1"/>
          <w:sz w:val="24"/>
          <w14:textFill>
            <w14:solidFill>
              <w14:schemeClr w14:val="tx1"/>
            </w14:solidFill>
          </w14:textFill>
        </w:rPr>
        <w:t>38</w:t>
      </w:r>
      <w:r>
        <w:rPr>
          <w:rFonts w:ascii="Book Antiqua" w:hAnsi="Book Antiqua"/>
          <w:color w:val="000000" w:themeColor="text1"/>
          <w:sz w:val="24"/>
          <w14:textFill>
            <w14:solidFill>
              <w14:schemeClr w14:val="tx1"/>
            </w14:solidFill>
          </w14:textFill>
        </w:rPr>
        <w:t>: 1005-1011 [PMID: 25972092 DOI: 10.1248/bpb.b14-00892]</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18 </w:t>
      </w:r>
      <w:r>
        <w:rPr>
          <w:rFonts w:ascii="Book Antiqua" w:hAnsi="Book Antiqua"/>
          <w:b/>
          <w:bCs/>
          <w:color w:val="000000" w:themeColor="text1"/>
          <w:sz w:val="24"/>
          <w14:textFill>
            <w14:solidFill>
              <w14:schemeClr w14:val="tx1"/>
            </w14:solidFill>
          </w14:textFill>
        </w:rPr>
        <w:t>Clemente JC</w:t>
      </w:r>
      <w:r>
        <w:rPr>
          <w:rFonts w:ascii="Book Antiqua" w:hAnsi="Book Antiqua"/>
          <w:color w:val="000000" w:themeColor="text1"/>
          <w:sz w:val="24"/>
          <w14:textFill>
            <w14:solidFill>
              <w14:schemeClr w14:val="tx1"/>
            </w14:solidFill>
          </w14:textFill>
        </w:rPr>
        <w:t>, Ursell LK, Parfrey LW, Knight R. The impact of the gut microbiota on human health: an integrative view. </w:t>
      </w:r>
      <w:r>
        <w:rPr>
          <w:rFonts w:ascii="Book Antiqua" w:hAnsi="Book Antiqua"/>
          <w:i/>
          <w:iCs/>
          <w:color w:val="000000" w:themeColor="text1"/>
          <w:sz w:val="24"/>
          <w14:textFill>
            <w14:solidFill>
              <w14:schemeClr w14:val="tx1"/>
            </w14:solidFill>
          </w14:textFill>
        </w:rPr>
        <w:t>Cell</w:t>
      </w:r>
      <w:r>
        <w:rPr>
          <w:rFonts w:ascii="Book Antiqua" w:hAnsi="Book Antiqua"/>
          <w:color w:val="000000" w:themeColor="text1"/>
          <w:sz w:val="24"/>
          <w14:textFill>
            <w14:solidFill>
              <w14:schemeClr w14:val="tx1"/>
            </w14:solidFill>
          </w14:textFill>
        </w:rPr>
        <w:t> 2012; </w:t>
      </w:r>
      <w:r>
        <w:rPr>
          <w:rFonts w:ascii="Book Antiqua" w:hAnsi="Book Antiqua"/>
          <w:b/>
          <w:bCs/>
          <w:color w:val="000000" w:themeColor="text1"/>
          <w:sz w:val="24"/>
          <w14:textFill>
            <w14:solidFill>
              <w14:schemeClr w14:val="tx1"/>
            </w14:solidFill>
          </w14:textFill>
        </w:rPr>
        <w:t>148</w:t>
      </w:r>
      <w:r>
        <w:rPr>
          <w:rFonts w:ascii="Book Antiqua" w:hAnsi="Book Antiqua"/>
          <w:color w:val="000000" w:themeColor="text1"/>
          <w:sz w:val="24"/>
          <w14:textFill>
            <w14:solidFill>
              <w14:schemeClr w14:val="tx1"/>
            </w14:solidFill>
          </w14:textFill>
        </w:rPr>
        <w:t>: 1258-1270 [PMID: 22424233 DOI: 10.1016/j.cell.2012.01.035]</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19 </w:t>
      </w:r>
      <w:r>
        <w:rPr>
          <w:rFonts w:ascii="Book Antiqua" w:hAnsi="Book Antiqua"/>
          <w:b/>
          <w:bCs/>
          <w:color w:val="000000" w:themeColor="text1"/>
          <w:sz w:val="24"/>
          <w14:textFill>
            <w14:solidFill>
              <w14:schemeClr w14:val="tx1"/>
            </w14:solidFill>
          </w14:textFill>
        </w:rPr>
        <w:t>Qin J</w:t>
      </w:r>
      <w:r>
        <w:rPr>
          <w:rFonts w:ascii="Book Antiqua" w:hAnsi="Book Antiqua"/>
          <w:color w:val="000000" w:themeColor="text1"/>
          <w:sz w:val="24"/>
          <w14:textFill>
            <w14:solidFill>
              <w14:schemeClr w14:val="tx1"/>
            </w14:solidFill>
          </w14:textFill>
        </w:rPr>
        <w:t>,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J. A human gut microbial gene catalogue established by metagenomic sequencing. </w:t>
      </w:r>
      <w:r>
        <w:rPr>
          <w:rFonts w:ascii="Book Antiqua" w:hAnsi="Book Antiqua"/>
          <w:i/>
          <w:iCs/>
          <w:color w:val="000000" w:themeColor="text1"/>
          <w:sz w:val="24"/>
          <w14:textFill>
            <w14:solidFill>
              <w14:schemeClr w14:val="tx1"/>
            </w14:solidFill>
          </w14:textFill>
        </w:rPr>
        <w:t>Nature</w:t>
      </w:r>
      <w:r>
        <w:rPr>
          <w:rFonts w:ascii="Book Antiqua" w:hAnsi="Book Antiqua"/>
          <w:color w:val="000000" w:themeColor="text1"/>
          <w:sz w:val="24"/>
          <w14:textFill>
            <w14:solidFill>
              <w14:schemeClr w14:val="tx1"/>
            </w14:solidFill>
          </w14:textFill>
        </w:rPr>
        <w:t> 2010; </w:t>
      </w:r>
      <w:r>
        <w:rPr>
          <w:rFonts w:ascii="Book Antiqua" w:hAnsi="Book Antiqua"/>
          <w:b/>
          <w:bCs/>
          <w:color w:val="000000" w:themeColor="text1"/>
          <w:sz w:val="24"/>
          <w14:textFill>
            <w14:solidFill>
              <w14:schemeClr w14:val="tx1"/>
            </w14:solidFill>
          </w14:textFill>
        </w:rPr>
        <w:t>464</w:t>
      </w:r>
      <w:r>
        <w:rPr>
          <w:rFonts w:ascii="Book Antiqua" w:hAnsi="Book Antiqua"/>
          <w:color w:val="000000" w:themeColor="text1"/>
          <w:sz w:val="24"/>
          <w14:textFill>
            <w14:solidFill>
              <w14:schemeClr w14:val="tx1"/>
            </w14:solidFill>
          </w14:textFill>
        </w:rPr>
        <w:t>: 59-65 [PMID: 20203603 DOI: 10.1038/nature08821]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20 </w:t>
      </w:r>
      <w:r>
        <w:rPr>
          <w:rFonts w:ascii="Book Antiqua" w:hAnsi="Book Antiqua"/>
          <w:b/>
          <w:bCs/>
          <w:color w:val="000000" w:themeColor="text1"/>
          <w:sz w:val="24"/>
          <w14:textFill>
            <w14:solidFill>
              <w14:schemeClr w14:val="tx1"/>
            </w14:solidFill>
          </w14:textFill>
        </w:rPr>
        <w:t>Whitman WB</w:t>
      </w:r>
      <w:r>
        <w:rPr>
          <w:rFonts w:ascii="Book Antiqua" w:hAnsi="Book Antiqua"/>
          <w:color w:val="000000" w:themeColor="text1"/>
          <w:sz w:val="24"/>
          <w14:textFill>
            <w14:solidFill>
              <w14:schemeClr w14:val="tx1"/>
            </w14:solidFill>
          </w14:textFill>
        </w:rPr>
        <w:t>, Coleman DC, Wiebe WJ. Prokaryotes: the unseen majority. </w:t>
      </w:r>
      <w:r>
        <w:rPr>
          <w:rFonts w:ascii="Book Antiqua" w:hAnsi="Book Antiqua"/>
          <w:i/>
          <w:iCs/>
          <w:color w:val="000000" w:themeColor="text1"/>
          <w:sz w:val="24"/>
          <w14:textFill>
            <w14:solidFill>
              <w14:schemeClr w14:val="tx1"/>
            </w14:solidFill>
          </w14:textFill>
        </w:rPr>
        <w:t>Proc Natl Acad Sci USA</w:t>
      </w:r>
      <w:r>
        <w:rPr>
          <w:rFonts w:ascii="Book Antiqua" w:hAnsi="Book Antiqua"/>
          <w:color w:val="000000" w:themeColor="text1"/>
          <w:sz w:val="24"/>
          <w14:textFill>
            <w14:solidFill>
              <w14:schemeClr w14:val="tx1"/>
            </w14:solidFill>
          </w14:textFill>
        </w:rPr>
        <w:t> 1998; </w:t>
      </w:r>
      <w:r>
        <w:rPr>
          <w:rFonts w:ascii="Book Antiqua" w:hAnsi="Book Antiqua"/>
          <w:b/>
          <w:bCs/>
          <w:color w:val="000000" w:themeColor="text1"/>
          <w:sz w:val="24"/>
          <w14:textFill>
            <w14:solidFill>
              <w14:schemeClr w14:val="tx1"/>
            </w14:solidFill>
          </w14:textFill>
        </w:rPr>
        <w:t>95</w:t>
      </w:r>
      <w:r>
        <w:rPr>
          <w:rFonts w:ascii="Book Antiqua" w:hAnsi="Book Antiqua"/>
          <w:color w:val="000000" w:themeColor="text1"/>
          <w:sz w:val="24"/>
          <w14:textFill>
            <w14:solidFill>
              <w14:schemeClr w14:val="tx1"/>
            </w14:solidFill>
          </w14:textFill>
        </w:rPr>
        <w:t>: 6578-6583 [PMID: 9618454]</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21 </w:t>
      </w:r>
      <w:r>
        <w:rPr>
          <w:rFonts w:ascii="Book Antiqua" w:hAnsi="Book Antiqua"/>
          <w:b/>
          <w:bCs/>
          <w:color w:val="000000" w:themeColor="text1"/>
          <w:sz w:val="24"/>
          <w14:textFill>
            <w14:solidFill>
              <w14:schemeClr w14:val="tx1"/>
            </w14:solidFill>
          </w14:textFill>
        </w:rPr>
        <w:t>Arumugam M</w:t>
      </w:r>
      <w:r>
        <w:rPr>
          <w:rFonts w:ascii="Book Antiqua" w:hAnsi="Book Antiqua"/>
          <w:color w:val="000000" w:themeColor="text1"/>
          <w:sz w:val="24"/>
          <w14:textFill>
            <w14:solidFill>
              <w14:schemeClr w14:val="tx1"/>
            </w14:solidFill>
          </w14:textFill>
        </w:rPr>
        <w:t>, Raes J, Pelletier E, Le Paslier D, Yamada T, Mende DR, Fernandes GR, Tap J, Bruls T, Batto JM, Bertalan M, Borruel N, Casellas F, Fernandez L, Gautier L, Hansen T, Hattori M, Hayashi T, Kleerebezem M, Kurokawa K, Leclerc M, Levenez F, Manichanh C, Nielsen HB, Nielsen T, Pons N, Poulain J, Qin J, Sicheritz-Ponten T, Tims S, Torrents D, Ugarte E, Zoetendal EG, Wang J, Guarner F, Pedersen O, de Vos WM, Brunak S, Doré J; MetaHIT Consortium, Antolín M, Artiguenave F, Blottiere HM, Almeida M, Brechot C, Cara C, Chervaux C, Cultrone A, Delorme C, Denariaz G, Dervyn R, Foerstner KU, Friss C, van de Guchte M, Guedon E, Haimet F, Huber W, van Hylckama-Vlieg J, Jamet A, Juste C, Kaci G, Knol J, Lakhdari O, Layec S, Le Roux K, Maguin E, Mérieux A, Melo Minardi R, M'rini C, Muller J, Oozeer R, Parkhill J, Renault P, Rescigno M, Sanchez N, Sunagawa S, Torrejon A, Turner K, Vandemeulebrouck G, Varela E, Winogradsky Y, Zeller G, Weissenbach J, Ehrlich SD, Bork P. Enterotypes of the human gut microbiome. </w:t>
      </w:r>
      <w:r>
        <w:rPr>
          <w:rFonts w:ascii="Book Antiqua" w:hAnsi="Book Antiqua"/>
          <w:i/>
          <w:iCs/>
          <w:color w:val="000000" w:themeColor="text1"/>
          <w:sz w:val="24"/>
          <w14:textFill>
            <w14:solidFill>
              <w14:schemeClr w14:val="tx1"/>
            </w14:solidFill>
          </w14:textFill>
        </w:rPr>
        <w:t>Nature</w:t>
      </w:r>
      <w:r>
        <w:rPr>
          <w:rFonts w:ascii="Book Antiqua" w:hAnsi="Book Antiqua"/>
          <w:color w:val="000000" w:themeColor="text1"/>
          <w:sz w:val="24"/>
          <w14:textFill>
            <w14:solidFill>
              <w14:schemeClr w14:val="tx1"/>
            </w14:solidFill>
          </w14:textFill>
        </w:rPr>
        <w:t> 2011; </w:t>
      </w:r>
      <w:r>
        <w:rPr>
          <w:rFonts w:ascii="Book Antiqua" w:hAnsi="Book Antiqua"/>
          <w:b/>
          <w:bCs/>
          <w:color w:val="000000" w:themeColor="text1"/>
          <w:sz w:val="24"/>
          <w14:textFill>
            <w14:solidFill>
              <w14:schemeClr w14:val="tx1"/>
            </w14:solidFill>
          </w14:textFill>
        </w:rPr>
        <w:t>473</w:t>
      </w:r>
      <w:r>
        <w:rPr>
          <w:rFonts w:ascii="Book Antiqua" w:hAnsi="Book Antiqua"/>
          <w:color w:val="000000" w:themeColor="text1"/>
          <w:sz w:val="24"/>
          <w14:textFill>
            <w14:solidFill>
              <w14:schemeClr w14:val="tx1"/>
            </w14:solidFill>
          </w14:textFill>
        </w:rPr>
        <w:t>: 174-180 [PMID: 21508958 DOI: 10.1038/nature09944]</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22 </w:t>
      </w:r>
      <w:r>
        <w:rPr>
          <w:rFonts w:ascii="Book Antiqua" w:hAnsi="Book Antiqua"/>
          <w:b/>
          <w:bCs/>
          <w:color w:val="000000" w:themeColor="text1"/>
          <w:sz w:val="24"/>
          <w14:textFill>
            <w14:solidFill>
              <w14:schemeClr w14:val="tx1"/>
            </w14:solidFill>
          </w14:textFill>
        </w:rPr>
        <w:t>Bäckhed F</w:t>
      </w:r>
      <w:r>
        <w:rPr>
          <w:rFonts w:ascii="Book Antiqua" w:hAnsi="Book Antiqua"/>
          <w:color w:val="000000" w:themeColor="text1"/>
          <w:sz w:val="24"/>
          <w14:textFill>
            <w14:solidFill>
              <w14:schemeClr w14:val="tx1"/>
            </w14:solidFill>
          </w14:textFill>
        </w:rPr>
        <w:t>, Ding H, Wang T, Hooper LV, Koh GY, Nagy A, Semenkovich CF, Gordon JI. The gut microbiota as an environmental factor that regulates fat storage. </w:t>
      </w:r>
      <w:r>
        <w:rPr>
          <w:rFonts w:ascii="Book Antiqua" w:hAnsi="Book Antiqua"/>
          <w:i/>
          <w:iCs/>
          <w:color w:val="000000" w:themeColor="text1"/>
          <w:sz w:val="24"/>
          <w14:textFill>
            <w14:solidFill>
              <w14:schemeClr w14:val="tx1"/>
            </w14:solidFill>
          </w14:textFill>
        </w:rPr>
        <w:t>Proc Natl Acad Sci USA</w:t>
      </w:r>
      <w:r>
        <w:rPr>
          <w:rFonts w:ascii="Book Antiqua" w:hAnsi="Book Antiqua"/>
          <w:color w:val="000000" w:themeColor="text1"/>
          <w:sz w:val="24"/>
          <w14:textFill>
            <w14:solidFill>
              <w14:schemeClr w14:val="tx1"/>
            </w14:solidFill>
          </w14:textFill>
        </w:rPr>
        <w:t> 2004; </w:t>
      </w:r>
      <w:r>
        <w:rPr>
          <w:rFonts w:ascii="Book Antiqua" w:hAnsi="Book Antiqua"/>
          <w:b/>
          <w:bCs/>
          <w:color w:val="000000" w:themeColor="text1"/>
          <w:sz w:val="24"/>
          <w14:textFill>
            <w14:solidFill>
              <w14:schemeClr w14:val="tx1"/>
            </w14:solidFill>
          </w14:textFill>
        </w:rPr>
        <w:t>101</w:t>
      </w:r>
      <w:r>
        <w:rPr>
          <w:rFonts w:ascii="Book Antiqua" w:hAnsi="Book Antiqua"/>
          <w:color w:val="000000" w:themeColor="text1"/>
          <w:sz w:val="24"/>
          <w14:textFill>
            <w14:solidFill>
              <w14:schemeClr w14:val="tx1"/>
            </w14:solidFill>
          </w14:textFill>
        </w:rPr>
        <w:t>: 15718-15723 [PMID: 15505215 DOI: 10.1073/pnas.0407076101]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23 </w:t>
      </w:r>
      <w:r>
        <w:rPr>
          <w:rFonts w:ascii="Book Antiqua" w:hAnsi="Book Antiqua"/>
          <w:b/>
          <w:bCs/>
          <w:color w:val="000000" w:themeColor="text1"/>
          <w:sz w:val="24"/>
          <w14:textFill>
            <w14:solidFill>
              <w14:schemeClr w14:val="tx1"/>
            </w14:solidFill>
          </w14:textFill>
        </w:rPr>
        <w:t>Bäckhed F</w:t>
      </w:r>
      <w:r>
        <w:rPr>
          <w:rFonts w:ascii="Book Antiqua" w:hAnsi="Book Antiqua"/>
          <w:color w:val="000000" w:themeColor="text1"/>
          <w:sz w:val="24"/>
          <w14:textFill>
            <w14:solidFill>
              <w14:schemeClr w14:val="tx1"/>
            </w14:solidFill>
          </w14:textFill>
        </w:rPr>
        <w:t>, Manchester JK, Semenkovich CF, Gordon JI. Mechanisms underlying the resistance to diet-induced obesity in germ-free mice. </w:t>
      </w:r>
      <w:r>
        <w:rPr>
          <w:rFonts w:ascii="Book Antiqua" w:hAnsi="Book Antiqua"/>
          <w:i/>
          <w:iCs/>
          <w:color w:val="000000" w:themeColor="text1"/>
          <w:sz w:val="24"/>
          <w14:textFill>
            <w14:solidFill>
              <w14:schemeClr w14:val="tx1"/>
            </w14:solidFill>
          </w14:textFill>
        </w:rPr>
        <w:t>Proc Natl Acad Sci USA</w:t>
      </w:r>
      <w:r>
        <w:rPr>
          <w:rFonts w:ascii="Book Antiqua" w:hAnsi="Book Antiqua"/>
          <w:color w:val="000000" w:themeColor="text1"/>
          <w:sz w:val="24"/>
          <w14:textFill>
            <w14:solidFill>
              <w14:schemeClr w14:val="tx1"/>
            </w14:solidFill>
          </w14:textFill>
        </w:rPr>
        <w:t> 2007; </w:t>
      </w:r>
      <w:r>
        <w:rPr>
          <w:rFonts w:ascii="Book Antiqua" w:hAnsi="Book Antiqua"/>
          <w:b/>
          <w:bCs/>
          <w:color w:val="000000" w:themeColor="text1"/>
          <w:sz w:val="24"/>
          <w14:textFill>
            <w14:solidFill>
              <w14:schemeClr w14:val="tx1"/>
            </w14:solidFill>
          </w14:textFill>
        </w:rPr>
        <w:t>104</w:t>
      </w:r>
      <w:r>
        <w:rPr>
          <w:rFonts w:ascii="Book Antiqua" w:hAnsi="Book Antiqua"/>
          <w:color w:val="000000" w:themeColor="text1"/>
          <w:sz w:val="24"/>
          <w14:textFill>
            <w14:solidFill>
              <w14:schemeClr w14:val="tx1"/>
            </w14:solidFill>
          </w14:textFill>
        </w:rPr>
        <w:t>: 979-984 [PMID: 17210919 DOI: 10.1073/pnas.0605374104]</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24 </w:t>
      </w:r>
      <w:r>
        <w:rPr>
          <w:rFonts w:ascii="Book Antiqua" w:hAnsi="Book Antiqua"/>
          <w:b/>
          <w:bCs/>
          <w:color w:val="000000" w:themeColor="text1"/>
          <w:sz w:val="24"/>
          <w14:textFill>
            <w14:solidFill>
              <w14:schemeClr w14:val="tx1"/>
            </w14:solidFill>
          </w14:textFill>
        </w:rPr>
        <w:t>Rabot S</w:t>
      </w:r>
      <w:r>
        <w:rPr>
          <w:rFonts w:ascii="Book Antiqua" w:hAnsi="Book Antiqua"/>
          <w:color w:val="000000" w:themeColor="text1"/>
          <w:sz w:val="24"/>
          <w14:textFill>
            <w14:solidFill>
              <w14:schemeClr w14:val="tx1"/>
            </w14:solidFill>
          </w14:textFill>
        </w:rPr>
        <w:t>, Membrez M, Bruneau A, Gérard P, Harach T, Moser M, Raymond F, Mansourian R, Chou CJ. Germ-free C57BL/6J mice are resistant to high-fat-diet-induced insulin resistance and have altered cholesterol metabolism. </w:t>
      </w:r>
      <w:r>
        <w:rPr>
          <w:rFonts w:ascii="Book Antiqua" w:hAnsi="Book Antiqua"/>
          <w:i/>
          <w:iCs/>
          <w:color w:val="000000" w:themeColor="text1"/>
          <w:sz w:val="24"/>
          <w14:textFill>
            <w14:solidFill>
              <w14:schemeClr w14:val="tx1"/>
            </w14:solidFill>
          </w14:textFill>
        </w:rPr>
        <w:t>FASEB J</w:t>
      </w:r>
      <w:r>
        <w:rPr>
          <w:rFonts w:ascii="Book Antiqua" w:hAnsi="Book Antiqua"/>
          <w:color w:val="000000" w:themeColor="text1"/>
          <w:sz w:val="24"/>
          <w14:textFill>
            <w14:solidFill>
              <w14:schemeClr w14:val="tx1"/>
            </w14:solidFill>
          </w14:textFill>
        </w:rPr>
        <w:t> 2010; </w:t>
      </w:r>
      <w:r>
        <w:rPr>
          <w:rFonts w:ascii="Book Antiqua" w:hAnsi="Book Antiqua"/>
          <w:b/>
          <w:bCs/>
          <w:color w:val="000000" w:themeColor="text1"/>
          <w:sz w:val="24"/>
          <w14:textFill>
            <w14:solidFill>
              <w14:schemeClr w14:val="tx1"/>
            </w14:solidFill>
          </w14:textFill>
        </w:rPr>
        <w:t>24</w:t>
      </w:r>
      <w:r>
        <w:rPr>
          <w:rFonts w:ascii="Book Antiqua" w:hAnsi="Book Antiqua"/>
          <w:color w:val="000000" w:themeColor="text1"/>
          <w:sz w:val="24"/>
          <w14:textFill>
            <w14:solidFill>
              <w14:schemeClr w14:val="tx1"/>
            </w14:solidFill>
          </w14:textFill>
        </w:rPr>
        <w:t>: 4948-4959 [PMID: 20724524 DOI: 10.1096/fj.10-164921]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25 </w:t>
      </w:r>
      <w:r>
        <w:rPr>
          <w:rFonts w:ascii="Book Antiqua" w:hAnsi="Book Antiqua"/>
          <w:b/>
          <w:bCs/>
          <w:color w:val="000000" w:themeColor="text1"/>
          <w:sz w:val="24"/>
          <w14:textFill>
            <w14:solidFill>
              <w14:schemeClr w14:val="tx1"/>
            </w14:solidFill>
          </w14:textFill>
        </w:rPr>
        <w:t>Mouzaki M</w:t>
      </w:r>
      <w:r>
        <w:rPr>
          <w:rFonts w:ascii="Book Antiqua" w:hAnsi="Book Antiqua"/>
          <w:color w:val="000000" w:themeColor="text1"/>
          <w:sz w:val="24"/>
          <w14:textFill>
            <w14:solidFill>
              <w14:schemeClr w14:val="tx1"/>
            </w14:solidFill>
          </w14:textFill>
        </w:rPr>
        <w:t>, Comelli EM, Arendt BM, Bonengel J, Fung SK, Fischer SE, McGilvray ID, Allard JP. Intestinal microbiota in patients with nonalcoholic fatty liver disease. </w:t>
      </w:r>
      <w:r>
        <w:rPr>
          <w:rFonts w:ascii="Book Antiqua" w:hAnsi="Book Antiqua"/>
          <w:i/>
          <w:iCs/>
          <w:color w:val="000000" w:themeColor="text1"/>
          <w:sz w:val="24"/>
          <w14:textFill>
            <w14:solidFill>
              <w14:schemeClr w14:val="tx1"/>
            </w14:solidFill>
          </w14:textFill>
        </w:rPr>
        <w:t xml:space="preserve">Hepatology </w:t>
      </w:r>
      <w:r>
        <w:rPr>
          <w:rFonts w:ascii="Book Antiqua" w:hAnsi="Book Antiqua"/>
          <w:color w:val="000000" w:themeColor="text1"/>
          <w:sz w:val="24"/>
          <w14:textFill>
            <w14:solidFill>
              <w14:schemeClr w14:val="tx1"/>
            </w14:solidFill>
          </w14:textFill>
        </w:rPr>
        <w:t>2013; </w:t>
      </w:r>
      <w:r>
        <w:rPr>
          <w:rFonts w:ascii="Book Antiqua" w:hAnsi="Book Antiqua"/>
          <w:b/>
          <w:bCs/>
          <w:color w:val="000000" w:themeColor="text1"/>
          <w:sz w:val="24"/>
          <w14:textFill>
            <w14:solidFill>
              <w14:schemeClr w14:val="tx1"/>
            </w14:solidFill>
          </w14:textFill>
        </w:rPr>
        <w:t>58</w:t>
      </w:r>
      <w:r>
        <w:rPr>
          <w:rFonts w:ascii="Book Antiqua" w:hAnsi="Book Antiqua"/>
          <w:color w:val="000000" w:themeColor="text1"/>
          <w:sz w:val="24"/>
          <w14:textFill>
            <w14:solidFill>
              <w14:schemeClr w14:val="tx1"/>
            </w14:solidFill>
          </w14:textFill>
        </w:rPr>
        <w:t>: 120-127 [PMID: 23401313 DOI: 10.1002/hep.26319]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26 </w:t>
      </w:r>
      <w:r>
        <w:rPr>
          <w:rFonts w:ascii="Book Antiqua" w:hAnsi="Book Antiqua"/>
          <w:b/>
          <w:bCs/>
          <w:color w:val="000000" w:themeColor="text1"/>
          <w:sz w:val="24"/>
          <w14:textFill>
            <w14:solidFill>
              <w14:schemeClr w14:val="tx1"/>
            </w14:solidFill>
          </w14:textFill>
        </w:rPr>
        <w:t>Xie W</w:t>
      </w:r>
      <w:r>
        <w:rPr>
          <w:rFonts w:ascii="Book Antiqua" w:hAnsi="Book Antiqua"/>
          <w:color w:val="000000" w:themeColor="text1"/>
          <w:sz w:val="24"/>
          <w14:textFill>
            <w14:solidFill>
              <w14:schemeClr w14:val="tx1"/>
            </w14:solidFill>
          </w14:textFill>
        </w:rPr>
        <w:t>, Gu D, Li J, Cui K, Zhang Y. Effects and action mechanisms of berberine and Rhizoma coptidis on gut microbes and obesity in high-fat diet-fed C57BL/6J mice. </w:t>
      </w:r>
      <w:r>
        <w:rPr>
          <w:rFonts w:ascii="Book Antiqua" w:hAnsi="Book Antiqua"/>
          <w:i/>
          <w:iCs/>
          <w:color w:val="000000" w:themeColor="text1"/>
          <w:sz w:val="24"/>
          <w14:textFill>
            <w14:solidFill>
              <w14:schemeClr w14:val="tx1"/>
            </w14:solidFill>
          </w14:textFill>
        </w:rPr>
        <w:t>PLoS One</w:t>
      </w:r>
      <w:r>
        <w:rPr>
          <w:rFonts w:ascii="Book Antiqua" w:hAnsi="Book Antiqua"/>
          <w:color w:val="000000" w:themeColor="text1"/>
          <w:sz w:val="24"/>
          <w14:textFill>
            <w14:solidFill>
              <w14:schemeClr w14:val="tx1"/>
            </w14:solidFill>
          </w14:textFill>
        </w:rPr>
        <w:t>2011; </w:t>
      </w:r>
      <w:r>
        <w:rPr>
          <w:rFonts w:ascii="Book Antiqua" w:hAnsi="Book Antiqua"/>
          <w:b/>
          <w:bCs/>
          <w:color w:val="000000" w:themeColor="text1"/>
          <w:sz w:val="24"/>
          <w14:textFill>
            <w14:solidFill>
              <w14:schemeClr w14:val="tx1"/>
            </w14:solidFill>
          </w14:textFill>
        </w:rPr>
        <w:t>6</w:t>
      </w:r>
      <w:r>
        <w:rPr>
          <w:rFonts w:ascii="Book Antiqua" w:hAnsi="Book Antiqua"/>
          <w:color w:val="000000" w:themeColor="text1"/>
          <w:sz w:val="24"/>
          <w14:textFill>
            <w14:solidFill>
              <w14:schemeClr w14:val="tx1"/>
            </w14:solidFill>
          </w14:textFill>
        </w:rPr>
        <w:t>: e24520 [PMID: 21915347 DOI: 10.1371/journal.pone.0024520]</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27 </w:t>
      </w:r>
      <w:r>
        <w:rPr>
          <w:rFonts w:ascii="Book Antiqua" w:hAnsi="Book Antiqua"/>
          <w:b/>
          <w:bCs/>
          <w:color w:val="000000" w:themeColor="text1"/>
          <w:sz w:val="24"/>
          <w14:textFill>
            <w14:solidFill>
              <w14:schemeClr w14:val="tx1"/>
            </w14:solidFill>
          </w14:textFill>
        </w:rPr>
        <w:t>Yin X</w:t>
      </w:r>
      <w:r>
        <w:rPr>
          <w:rFonts w:ascii="Book Antiqua" w:hAnsi="Book Antiqua"/>
          <w:color w:val="000000" w:themeColor="text1"/>
          <w:sz w:val="24"/>
          <w14:textFill>
            <w14:solidFill>
              <w14:schemeClr w14:val="tx1"/>
            </w14:solidFill>
          </w14:textFill>
        </w:rPr>
        <w:t>, Peng J, Zhao L, Yu Y, Zhang X, Liu P, Feng Q, Hu Y, Pang X. Structural changes of gut microbiota in a rat non-alcoholic fatty liver disease model treated with a Chinese herbal formula. </w:t>
      </w:r>
      <w:r>
        <w:rPr>
          <w:rFonts w:ascii="Book Antiqua" w:hAnsi="Book Antiqua"/>
          <w:i/>
          <w:iCs/>
          <w:color w:val="000000" w:themeColor="text1"/>
          <w:sz w:val="24"/>
          <w14:textFill>
            <w14:solidFill>
              <w14:schemeClr w14:val="tx1"/>
            </w14:solidFill>
          </w14:textFill>
        </w:rPr>
        <w:t>Syst Appl Microbiol</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36</w:t>
      </w:r>
      <w:r>
        <w:rPr>
          <w:rFonts w:ascii="Book Antiqua" w:hAnsi="Book Antiqua"/>
          <w:color w:val="000000" w:themeColor="text1"/>
          <w:sz w:val="24"/>
          <w14:textFill>
            <w14:solidFill>
              <w14:schemeClr w14:val="tx1"/>
            </w14:solidFill>
          </w14:textFill>
        </w:rPr>
        <w:t>: 188-196 [PMID: 23453736 DOI: 10.1016/j.syapm.2012.12.009]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28 </w:t>
      </w:r>
      <w:r>
        <w:rPr>
          <w:rFonts w:ascii="Book Antiqua" w:hAnsi="Book Antiqua"/>
          <w:b/>
          <w:bCs/>
          <w:color w:val="000000" w:themeColor="text1"/>
          <w:sz w:val="24"/>
          <w14:textFill>
            <w14:solidFill>
              <w14:schemeClr w14:val="tx1"/>
            </w14:solidFill>
          </w14:textFill>
        </w:rPr>
        <w:t>Feng R</w:t>
      </w:r>
      <w:r>
        <w:rPr>
          <w:rFonts w:ascii="Book Antiqua" w:hAnsi="Book Antiqua"/>
          <w:color w:val="000000" w:themeColor="text1"/>
          <w:sz w:val="24"/>
          <w14:textFill>
            <w14:solidFill>
              <w14:schemeClr w14:val="tx1"/>
            </w14:solidFill>
          </w14:textFill>
        </w:rPr>
        <w:t>, Shou JW, Zhao ZX, He CY, Ma C, Huang M, Fu J, Tan XS, Li XY, Wen BY, Chen X, Yang XY, Ren G, Lin Y, Chen Y, You XF, Wang Y, Jiang JD. Transforming berberine into its intestine-absorbable form by the gut microbiota. </w:t>
      </w:r>
      <w:r>
        <w:rPr>
          <w:rFonts w:ascii="Book Antiqua" w:hAnsi="Book Antiqua"/>
          <w:i/>
          <w:iCs/>
          <w:color w:val="000000" w:themeColor="text1"/>
          <w:sz w:val="24"/>
          <w14:textFill>
            <w14:solidFill>
              <w14:schemeClr w14:val="tx1"/>
            </w14:solidFill>
          </w14:textFill>
        </w:rPr>
        <w:t>Sci Rep</w:t>
      </w:r>
      <w:r>
        <w:rPr>
          <w:rFonts w:ascii="Book Antiqua" w:hAnsi="Book Antiqua"/>
          <w:color w:val="000000" w:themeColor="text1"/>
          <w:sz w:val="24"/>
          <w14:textFill>
            <w14:solidFill>
              <w14:schemeClr w14:val="tx1"/>
            </w14:solidFill>
          </w14:textFill>
        </w:rPr>
        <w:t> 2015; </w:t>
      </w:r>
      <w:r>
        <w:rPr>
          <w:rFonts w:ascii="Book Antiqua" w:hAnsi="Book Antiqua"/>
          <w:b/>
          <w:bCs/>
          <w:color w:val="000000" w:themeColor="text1"/>
          <w:sz w:val="24"/>
          <w14:textFill>
            <w14:solidFill>
              <w14:schemeClr w14:val="tx1"/>
            </w14:solidFill>
          </w14:textFill>
        </w:rPr>
        <w:t>5</w:t>
      </w:r>
      <w:r>
        <w:rPr>
          <w:rFonts w:ascii="Book Antiqua" w:hAnsi="Book Antiqua"/>
          <w:color w:val="000000" w:themeColor="text1"/>
          <w:sz w:val="24"/>
          <w14:textFill>
            <w14:solidFill>
              <w14:schemeClr w14:val="tx1"/>
            </w14:solidFill>
          </w14:textFill>
        </w:rPr>
        <w:t>: 12155 [PMID: 26174047 DOI: 10.1038/srep12155]</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29 </w:t>
      </w:r>
      <w:r>
        <w:rPr>
          <w:rFonts w:ascii="Book Antiqua" w:hAnsi="Book Antiqua"/>
          <w:b/>
          <w:bCs/>
          <w:color w:val="000000" w:themeColor="text1"/>
          <w:sz w:val="24"/>
          <w14:textFill>
            <w14:solidFill>
              <w14:schemeClr w14:val="tx1"/>
            </w14:solidFill>
          </w14:textFill>
        </w:rPr>
        <w:t>Amaretti A</w:t>
      </w:r>
      <w:r>
        <w:rPr>
          <w:rFonts w:ascii="Book Antiqua" w:hAnsi="Book Antiqua"/>
          <w:color w:val="000000" w:themeColor="text1"/>
          <w:sz w:val="24"/>
          <w14:textFill>
            <w14:solidFill>
              <w14:schemeClr w14:val="tx1"/>
            </w14:solidFill>
          </w14:textFill>
        </w:rPr>
        <w:t>, Raimondi S, Leonardi A, Quartieri A, Rossi M. Hydrolysis of the rutinose-conjugates flavonoids rutin and hesperidin by the gut microbiota and bifidobacteria. </w:t>
      </w:r>
      <w:r>
        <w:rPr>
          <w:rFonts w:ascii="Book Antiqua" w:hAnsi="Book Antiqua"/>
          <w:i/>
          <w:iCs/>
          <w:color w:val="000000" w:themeColor="text1"/>
          <w:sz w:val="24"/>
          <w14:textFill>
            <w14:solidFill>
              <w14:schemeClr w14:val="tx1"/>
            </w14:solidFill>
          </w14:textFill>
        </w:rPr>
        <w:t>Nutrients</w:t>
      </w:r>
      <w:r>
        <w:rPr>
          <w:rFonts w:ascii="Book Antiqua" w:hAnsi="Book Antiqua"/>
          <w:color w:val="000000" w:themeColor="text1"/>
          <w:sz w:val="24"/>
          <w14:textFill>
            <w14:solidFill>
              <w14:schemeClr w14:val="tx1"/>
            </w14:solidFill>
          </w14:textFill>
        </w:rPr>
        <w:t>2015; </w:t>
      </w:r>
      <w:r>
        <w:rPr>
          <w:rFonts w:ascii="Book Antiqua" w:hAnsi="Book Antiqua"/>
          <w:b/>
          <w:bCs/>
          <w:color w:val="000000" w:themeColor="text1"/>
          <w:sz w:val="24"/>
          <w14:textFill>
            <w14:solidFill>
              <w14:schemeClr w14:val="tx1"/>
            </w14:solidFill>
          </w14:textFill>
        </w:rPr>
        <w:t>7</w:t>
      </w:r>
      <w:r>
        <w:rPr>
          <w:rFonts w:ascii="Book Antiqua" w:hAnsi="Book Antiqua"/>
          <w:color w:val="000000" w:themeColor="text1"/>
          <w:sz w:val="24"/>
          <w14:textFill>
            <w14:solidFill>
              <w14:schemeClr w14:val="tx1"/>
            </w14:solidFill>
          </w14:textFill>
        </w:rPr>
        <w:t>: 2788-2800 [PMID: 25875120 DOI: 10.3390/nu7042788]</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30 </w:t>
      </w:r>
      <w:r>
        <w:rPr>
          <w:rFonts w:ascii="Book Antiqua" w:hAnsi="Book Antiqua"/>
          <w:b/>
          <w:bCs/>
          <w:color w:val="000000" w:themeColor="text1"/>
          <w:sz w:val="24"/>
          <w14:textFill>
            <w14:solidFill>
              <w14:schemeClr w14:val="tx1"/>
            </w14:solidFill>
          </w14:textFill>
        </w:rPr>
        <w:t>Liu JP</w:t>
      </w:r>
      <w:r>
        <w:rPr>
          <w:rFonts w:ascii="Book Antiqua" w:hAnsi="Book Antiqua"/>
          <w:color w:val="000000" w:themeColor="text1"/>
          <w:sz w:val="24"/>
          <w14:textFill>
            <w14:solidFill>
              <w14:schemeClr w14:val="tx1"/>
            </w14:solidFill>
          </w14:textFill>
        </w:rPr>
        <w:t>, Zou WL, Chen SJ, Wei HY, Yin YN, Zou YY, Lu FG. Effects of different diets on intestinal microbiota and nonalcoholic fatty liver disease development. </w:t>
      </w:r>
      <w:r>
        <w:rPr>
          <w:rFonts w:ascii="Book Antiqua" w:hAnsi="Book Antiqua"/>
          <w:i/>
          <w:iCs/>
          <w:color w:val="000000" w:themeColor="text1"/>
          <w:sz w:val="24"/>
          <w14:textFill>
            <w14:solidFill>
              <w14:schemeClr w14:val="tx1"/>
            </w14:solidFill>
          </w14:textFill>
        </w:rPr>
        <w:t>World J Gastroenterol</w:t>
      </w:r>
      <w:r>
        <w:rPr>
          <w:rFonts w:ascii="Book Antiqua" w:hAnsi="Book Antiqua"/>
          <w:color w:val="000000" w:themeColor="text1"/>
          <w:sz w:val="24"/>
          <w14:textFill>
            <w14:solidFill>
              <w14:schemeClr w14:val="tx1"/>
            </w14:solidFill>
          </w14:textFill>
        </w:rPr>
        <w:t>2016; </w:t>
      </w:r>
      <w:r>
        <w:rPr>
          <w:rFonts w:ascii="Book Antiqua" w:hAnsi="Book Antiqua"/>
          <w:b/>
          <w:bCs/>
          <w:color w:val="000000" w:themeColor="text1"/>
          <w:sz w:val="24"/>
          <w14:textFill>
            <w14:solidFill>
              <w14:schemeClr w14:val="tx1"/>
            </w14:solidFill>
          </w14:textFill>
        </w:rPr>
        <w:t>22</w:t>
      </w:r>
      <w:r>
        <w:rPr>
          <w:rFonts w:ascii="Book Antiqua" w:hAnsi="Book Antiqua"/>
          <w:color w:val="000000" w:themeColor="text1"/>
          <w:sz w:val="24"/>
          <w14:textFill>
            <w14:solidFill>
              <w14:schemeClr w14:val="tx1"/>
            </w14:solidFill>
          </w14:textFill>
        </w:rPr>
        <w:t>: 7353-7364 [PMID: 27621581 DOI: 10.3748/wjg.v22.i32.7353]</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31 </w:t>
      </w:r>
      <w:r>
        <w:rPr>
          <w:rFonts w:ascii="Book Antiqua" w:hAnsi="Book Antiqua"/>
          <w:b/>
          <w:bCs/>
          <w:color w:val="000000" w:themeColor="text1"/>
          <w:sz w:val="24"/>
          <w14:textFill>
            <w14:solidFill>
              <w14:schemeClr w14:val="tx1"/>
            </w14:solidFill>
          </w14:textFill>
        </w:rPr>
        <w:t>Caporaso JG</w:t>
      </w:r>
      <w:r>
        <w:rPr>
          <w:rFonts w:ascii="Book Antiqua" w:hAnsi="Book Antiqua"/>
          <w:color w:val="000000" w:themeColor="text1"/>
          <w:sz w:val="24"/>
          <w14:textFill>
            <w14:solidFill>
              <w14:schemeClr w14:val="tx1"/>
            </w14:solidFill>
          </w14:textFill>
        </w:rPr>
        <w:t>,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Pr>
          <w:rFonts w:ascii="Book Antiqua" w:hAnsi="Book Antiqua"/>
          <w:i/>
          <w:iCs/>
          <w:color w:val="000000" w:themeColor="text1"/>
          <w:sz w:val="24"/>
          <w14:textFill>
            <w14:solidFill>
              <w14:schemeClr w14:val="tx1"/>
            </w14:solidFill>
          </w14:textFill>
        </w:rPr>
        <w:t>Nat Methods</w:t>
      </w:r>
      <w:r>
        <w:rPr>
          <w:rFonts w:ascii="Book Antiqua" w:hAnsi="Book Antiqua"/>
          <w:color w:val="000000" w:themeColor="text1"/>
          <w:sz w:val="24"/>
          <w14:textFill>
            <w14:solidFill>
              <w14:schemeClr w14:val="tx1"/>
            </w14:solidFill>
          </w14:textFill>
        </w:rPr>
        <w:t> 2010; </w:t>
      </w:r>
      <w:r>
        <w:rPr>
          <w:rFonts w:ascii="Book Antiqua" w:hAnsi="Book Antiqua"/>
          <w:b/>
          <w:bCs/>
          <w:color w:val="000000" w:themeColor="text1"/>
          <w:sz w:val="24"/>
          <w14:textFill>
            <w14:solidFill>
              <w14:schemeClr w14:val="tx1"/>
            </w14:solidFill>
          </w14:textFill>
        </w:rPr>
        <w:t>7</w:t>
      </w:r>
      <w:r>
        <w:rPr>
          <w:rFonts w:ascii="Book Antiqua" w:hAnsi="Book Antiqua"/>
          <w:color w:val="000000" w:themeColor="text1"/>
          <w:sz w:val="24"/>
          <w14:textFill>
            <w14:solidFill>
              <w14:schemeClr w14:val="tx1"/>
            </w14:solidFill>
          </w14:textFill>
        </w:rPr>
        <w:t>: 335-336 [PMID: 20383131 DOI: 10.1038/nmeth.f.303]</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32 </w:t>
      </w:r>
      <w:r>
        <w:rPr>
          <w:rFonts w:ascii="Book Antiqua" w:hAnsi="Book Antiqua"/>
          <w:b/>
          <w:bCs/>
          <w:color w:val="000000" w:themeColor="text1"/>
          <w:sz w:val="24"/>
          <w14:textFill>
            <w14:solidFill>
              <w14:schemeClr w14:val="tx1"/>
            </w14:solidFill>
          </w14:textFill>
        </w:rPr>
        <w:t>Segata N</w:t>
      </w:r>
      <w:r>
        <w:rPr>
          <w:rFonts w:ascii="Book Antiqua" w:hAnsi="Book Antiqua"/>
          <w:color w:val="000000" w:themeColor="text1"/>
          <w:sz w:val="24"/>
          <w14:textFill>
            <w14:solidFill>
              <w14:schemeClr w14:val="tx1"/>
            </w14:solidFill>
          </w14:textFill>
        </w:rPr>
        <w:t>, Izard J, Waldron L, Gevers D, Miropolsky L, Garrett WS, Huttenhower C. Metagenomic biomarker discovery and explanation. </w:t>
      </w:r>
      <w:r>
        <w:rPr>
          <w:rFonts w:ascii="Book Antiqua" w:hAnsi="Book Antiqua"/>
          <w:i/>
          <w:iCs/>
          <w:color w:val="000000" w:themeColor="text1"/>
          <w:sz w:val="24"/>
          <w14:textFill>
            <w14:solidFill>
              <w14:schemeClr w14:val="tx1"/>
            </w14:solidFill>
          </w14:textFill>
        </w:rPr>
        <w:t>Genome Biol</w:t>
      </w:r>
      <w:r>
        <w:rPr>
          <w:rFonts w:ascii="Book Antiqua" w:hAnsi="Book Antiqua"/>
          <w:color w:val="000000" w:themeColor="text1"/>
          <w:sz w:val="24"/>
          <w14:textFill>
            <w14:solidFill>
              <w14:schemeClr w14:val="tx1"/>
            </w14:solidFill>
          </w14:textFill>
        </w:rPr>
        <w:t> 2011; </w:t>
      </w:r>
      <w:r>
        <w:rPr>
          <w:rFonts w:ascii="Book Antiqua" w:hAnsi="Book Antiqua"/>
          <w:b/>
          <w:bCs/>
          <w:color w:val="000000" w:themeColor="text1"/>
          <w:sz w:val="24"/>
          <w14:textFill>
            <w14:solidFill>
              <w14:schemeClr w14:val="tx1"/>
            </w14:solidFill>
          </w14:textFill>
        </w:rPr>
        <w:t>12</w:t>
      </w:r>
      <w:r>
        <w:rPr>
          <w:rFonts w:ascii="Book Antiqua" w:hAnsi="Book Antiqua"/>
          <w:color w:val="000000" w:themeColor="text1"/>
          <w:sz w:val="24"/>
          <w14:textFill>
            <w14:solidFill>
              <w14:schemeClr w14:val="tx1"/>
            </w14:solidFill>
          </w14:textFill>
        </w:rPr>
        <w:t>: R60 [PMID: 21702898 DOI: 10.1186/gb-2011-12-6-r60]</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33 </w:t>
      </w:r>
      <w:r>
        <w:rPr>
          <w:rFonts w:ascii="Book Antiqua" w:hAnsi="Book Antiqua"/>
          <w:b/>
          <w:bCs/>
          <w:color w:val="000000" w:themeColor="text1"/>
          <w:sz w:val="24"/>
          <w14:textFill>
            <w14:solidFill>
              <w14:schemeClr w14:val="tx1"/>
            </w14:solidFill>
          </w14:textFill>
        </w:rPr>
        <w:t>Langille MG</w:t>
      </w:r>
      <w:r>
        <w:rPr>
          <w:rFonts w:ascii="Book Antiqua" w:hAnsi="Book Antiqua"/>
          <w:color w:val="000000" w:themeColor="text1"/>
          <w:sz w:val="24"/>
          <w14:textFill>
            <w14:solidFill>
              <w14:schemeClr w14:val="tx1"/>
            </w14:solidFill>
          </w14:textFill>
        </w:rPr>
        <w:t>, Zaneveld J, Caporaso JG, McDonald D, Knights D, Reyes JA, Clemente JC, Burkepile DE, Vega Thurber RL, Knight R, Beiko RG, Huttenhower C. Predictive functional profiling of microbial communities using 16S rRNA marker gene sequences. </w:t>
      </w:r>
      <w:r>
        <w:rPr>
          <w:rFonts w:ascii="Book Antiqua" w:hAnsi="Book Antiqua"/>
          <w:i/>
          <w:iCs/>
          <w:color w:val="000000" w:themeColor="text1"/>
          <w:sz w:val="24"/>
          <w14:textFill>
            <w14:solidFill>
              <w14:schemeClr w14:val="tx1"/>
            </w14:solidFill>
          </w14:textFill>
        </w:rPr>
        <w:t>Nat Biotechnol</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31</w:t>
      </w:r>
      <w:r>
        <w:rPr>
          <w:rFonts w:ascii="Book Antiqua" w:hAnsi="Book Antiqua"/>
          <w:color w:val="000000" w:themeColor="text1"/>
          <w:sz w:val="24"/>
          <w14:textFill>
            <w14:solidFill>
              <w14:schemeClr w14:val="tx1"/>
            </w14:solidFill>
          </w14:textFill>
        </w:rPr>
        <w:t>: 814-821 [PMID: 23975157 DOI: 10.1038/nbt.2676]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34 </w:t>
      </w:r>
      <w:r>
        <w:rPr>
          <w:rFonts w:ascii="Book Antiqua" w:hAnsi="Book Antiqua"/>
          <w:b/>
          <w:bCs/>
          <w:color w:val="000000" w:themeColor="text1"/>
          <w:sz w:val="24"/>
          <w14:textFill>
            <w14:solidFill>
              <w14:schemeClr w14:val="tx1"/>
            </w14:solidFill>
          </w14:textFill>
        </w:rPr>
        <w:t>Cheng F</w:t>
      </w:r>
      <w:r>
        <w:rPr>
          <w:rFonts w:ascii="Book Antiqua" w:hAnsi="Book Antiqua"/>
          <w:color w:val="000000" w:themeColor="text1"/>
          <w:sz w:val="24"/>
          <w14:textFill>
            <w14:solidFill>
              <w14:schemeClr w14:val="tx1"/>
            </w14:solidFill>
          </w14:textFill>
        </w:rPr>
        <w:t>, Ma C, Wang X, Zhai C, Wang G, Xu X, Mu J, Li C, Wang Z, Zhang X, Yue W, Du X, Lian Y, Zhu W, Yin X, Wei Z, Song W, Wang Q. Effect of traditional Chinese medicine formula Sinisan on chronic restraint stress-induced nonalcoholic fatty liver disease: a rat study. </w:t>
      </w:r>
      <w:r>
        <w:rPr>
          <w:rFonts w:ascii="Book Antiqua" w:hAnsi="Book Antiqua"/>
          <w:i/>
          <w:iCs/>
          <w:color w:val="000000" w:themeColor="text1"/>
          <w:sz w:val="24"/>
          <w14:textFill>
            <w14:solidFill>
              <w14:schemeClr w14:val="tx1"/>
            </w14:solidFill>
          </w14:textFill>
        </w:rPr>
        <w:t>BMC Complement Altern Med</w:t>
      </w:r>
      <w:r>
        <w:rPr>
          <w:rFonts w:ascii="Book Antiqua" w:hAnsi="Book Antiqua"/>
          <w:color w:val="000000" w:themeColor="text1"/>
          <w:sz w:val="24"/>
          <w14:textFill>
            <w14:solidFill>
              <w14:schemeClr w14:val="tx1"/>
            </w14:solidFill>
          </w14:textFill>
        </w:rPr>
        <w:t> 2017; </w:t>
      </w:r>
      <w:r>
        <w:rPr>
          <w:rFonts w:ascii="Book Antiqua" w:hAnsi="Book Antiqua"/>
          <w:b/>
          <w:bCs/>
          <w:color w:val="000000" w:themeColor="text1"/>
          <w:sz w:val="24"/>
          <w14:textFill>
            <w14:solidFill>
              <w14:schemeClr w14:val="tx1"/>
            </w14:solidFill>
          </w14:textFill>
        </w:rPr>
        <w:t>17</w:t>
      </w:r>
      <w:r>
        <w:rPr>
          <w:rFonts w:ascii="Book Antiqua" w:hAnsi="Book Antiqua"/>
          <w:color w:val="000000" w:themeColor="text1"/>
          <w:sz w:val="24"/>
          <w14:textFill>
            <w14:solidFill>
              <w14:schemeClr w14:val="tx1"/>
            </w14:solidFill>
          </w14:textFill>
        </w:rPr>
        <w:t>: 203 [PMID: 28388904 DOI: 10.1186/s12906-017-1707-2]</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35 </w:t>
      </w:r>
      <w:r>
        <w:rPr>
          <w:rFonts w:ascii="Book Antiqua" w:hAnsi="Book Antiqua"/>
          <w:b/>
          <w:bCs/>
          <w:color w:val="000000" w:themeColor="text1"/>
          <w:sz w:val="24"/>
          <w14:textFill>
            <w14:solidFill>
              <w14:schemeClr w14:val="tx1"/>
            </w14:solidFill>
          </w14:textFill>
        </w:rPr>
        <w:t>Marchesini G</w:t>
      </w:r>
      <w:r>
        <w:rPr>
          <w:rFonts w:ascii="Book Antiqua" w:hAnsi="Book Antiqua"/>
          <w:color w:val="000000" w:themeColor="text1"/>
          <w:sz w:val="24"/>
          <w14:textFill>
            <w14:solidFill>
              <w14:schemeClr w14:val="tx1"/>
            </w14:solidFill>
          </w14:textFill>
        </w:rPr>
        <w:t>, Brizi M, Bianchi G, Tomassetti S, Bugianesi E, Lenzi M, McCullough AJ, Natale S, Forlani G, Melchionda N. Nonalcoholic fatty liver disease: a feature of the metabolic syndrome. </w:t>
      </w:r>
      <w:r>
        <w:rPr>
          <w:rFonts w:ascii="Book Antiqua" w:hAnsi="Book Antiqua"/>
          <w:i/>
          <w:iCs/>
          <w:color w:val="000000" w:themeColor="text1"/>
          <w:sz w:val="24"/>
          <w14:textFill>
            <w14:solidFill>
              <w14:schemeClr w14:val="tx1"/>
            </w14:solidFill>
          </w14:textFill>
        </w:rPr>
        <w:t>Diabetes</w:t>
      </w:r>
      <w:r>
        <w:rPr>
          <w:rFonts w:ascii="Book Antiqua" w:hAnsi="Book Antiqua"/>
          <w:color w:val="000000" w:themeColor="text1"/>
          <w:sz w:val="24"/>
          <w14:textFill>
            <w14:solidFill>
              <w14:schemeClr w14:val="tx1"/>
            </w14:solidFill>
          </w14:textFill>
        </w:rPr>
        <w:t> 2001; </w:t>
      </w:r>
      <w:r>
        <w:rPr>
          <w:rFonts w:ascii="Book Antiqua" w:hAnsi="Book Antiqua"/>
          <w:b/>
          <w:bCs/>
          <w:color w:val="000000" w:themeColor="text1"/>
          <w:sz w:val="24"/>
          <w14:textFill>
            <w14:solidFill>
              <w14:schemeClr w14:val="tx1"/>
            </w14:solidFill>
          </w14:textFill>
        </w:rPr>
        <w:t>50</w:t>
      </w:r>
      <w:r>
        <w:rPr>
          <w:rFonts w:ascii="Book Antiqua" w:hAnsi="Book Antiqua"/>
          <w:color w:val="000000" w:themeColor="text1"/>
          <w:sz w:val="24"/>
          <w14:textFill>
            <w14:solidFill>
              <w14:schemeClr w14:val="tx1"/>
            </w14:solidFill>
          </w14:textFill>
        </w:rPr>
        <w:t>: 1844-1850 [PMID: 11473047]</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36 </w:t>
      </w:r>
      <w:r>
        <w:rPr>
          <w:rFonts w:ascii="Book Antiqua" w:hAnsi="Book Antiqua"/>
          <w:b/>
          <w:bCs/>
          <w:color w:val="000000" w:themeColor="text1"/>
          <w:sz w:val="24"/>
          <w14:textFill>
            <w14:solidFill>
              <w14:schemeClr w14:val="tx1"/>
            </w14:solidFill>
          </w14:textFill>
        </w:rPr>
        <w:t>Marchesini G</w:t>
      </w:r>
      <w:r>
        <w:rPr>
          <w:rFonts w:ascii="Book Antiqua" w:hAnsi="Book Antiqua"/>
          <w:color w:val="000000" w:themeColor="text1"/>
          <w:sz w:val="24"/>
          <w14:textFill>
            <w14:solidFill>
              <w14:schemeClr w14:val="tx1"/>
            </w14:solidFill>
          </w14:textFill>
        </w:rPr>
        <w:t>, Brizi M, Morselli-Labate AM, Bianchi G, Bugianesi E, McCullough AJ, Forlani G, Melchionda N. Association of nonalcoholic fatty liver disease with insulin resistance. </w:t>
      </w:r>
      <w:r>
        <w:rPr>
          <w:rFonts w:ascii="Book Antiqua" w:hAnsi="Book Antiqua"/>
          <w:i/>
          <w:iCs/>
          <w:color w:val="000000" w:themeColor="text1"/>
          <w:sz w:val="24"/>
          <w14:textFill>
            <w14:solidFill>
              <w14:schemeClr w14:val="tx1"/>
            </w14:solidFill>
          </w14:textFill>
        </w:rPr>
        <w:t>Am J Med</w:t>
      </w:r>
      <w:r>
        <w:rPr>
          <w:rFonts w:ascii="Book Antiqua" w:hAnsi="Book Antiqua"/>
          <w:color w:val="000000" w:themeColor="text1"/>
          <w:sz w:val="24"/>
          <w14:textFill>
            <w14:solidFill>
              <w14:schemeClr w14:val="tx1"/>
            </w14:solidFill>
          </w14:textFill>
        </w:rPr>
        <w:t> 1999; </w:t>
      </w:r>
      <w:r>
        <w:rPr>
          <w:rFonts w:ascii="Book Antiqua" w:hAnsi="Book Antiqua"/>
          <w:b/>
          <w:bCs/>
          <w:color w:val="000000" w:themeColor="text1"/>
          <w:sz w:val="24"/>
          <w14:textFill>
            <w14:solidFill>
              <w14:schemeClr w14:val="tx1"/>
            </w14:solidFill>
          </w14:textFill>
        </w:rPr>
        <w:t>107</w:t>
      </w:r>
      <w:r>
        <w:rPr>
          <w:rFonts w:ascii="Book Antiqua" w:hAnsi="Book Antiqua"/>
          <w:color w:val="000000" w:themeColor="text1"/>
          <w:sz w:val="24"/>
          <w14:textFill>
            <w14:solidFill>
              <w14:schemeClr w14:val="tx1"/>
            </w14:solidFill>
          </w14:textFill>
        </w:rPr>
        <w:t>: 450-455 [PMID: 10569299]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37 </w:t>
      </w:r>
      <w:r>
        <w:rPr>
          <w:rFonts w:ascii="Book Antiqua" w:hAnsi="Book Antiqua"/>
          <w:b/>
          <w:bCs/>
          <w:color w:val="000000" w:themeColor="text1"/>
          <w:sz w:val="24"/>
          <w14:textFill>
            <w14:solidFill>
              <w14:schemeClr w14:val="tx1"/>
            </w14:solidFill>
          </w14:textFill>
        </w:rPr>
        <w:t>Choudhury J</w:t>
      </w:r>
      <w:r>
        <w:rPr>
          <w:rFonts w:ascii="Book Antiqua" w:hAnsi="Book Antiqua"/>
          <w:color w:val="000000" w:themeColor="text1"/>
          <w:sz w:val="24"/>
          <w14:textFill>
            <w14:solidFill>
              <w14:schemeClr w14:val="tx1"/>
            </w14:solidFill>
          </w14:textFill>
        </w:rPr>
        <w:t>, Sanyal AJ. Insulin resistance and the pathogenesis of nonalcoholic fatty liver disease. </w:t>
      </w:r>
      <w:r>
        <w:rPr>
          <w:rFonts w:ascii="Book Antiqua" w:hAnsi="Book Antiqua"/>
          <w:i/>
          <w:iCs/>
          <w:color w:val="000000" w:themeColor="text1"/>
          <w:sz w:val="24"/>
          <w14:textFill>
            <w14:solidFill>
              <w14:schemeClr w14:val="tx1"/>
            </w14:solidFill>
          </w14:textFill>
        </w:rPr>
        <w:t>Clin Liver Dis</w:t>
      </w:r>
      <w:r>
        <w:rPr>
          <w:rFonts w:ascii="Book Antiqua" w:hAnsi="Book Antiqua"/>
          <w:color w:val="000000" w:themeColor="text1"/>
          <w:sz w:val="24"/>
          <w14:textFill>
            <w14:solidFill>
              <w14:schemeClr w14:val="tx1"/>
            </w14:solidFill>
          </w14:textFill>
        </w:rPr>
        <w:t> 2004; </w:t>
      </w:r>
      <w:r>
        <w:rPr>
          <w:rFonts w:ascii="Book Antiqua" w:hAnsi="Book Antiqua"/>
          <w:b/>
          <w:bCs/>
          <w:color w:val="000000" w:themeColor="text1"/>
          <w:sz w:val="24"/>
          <w14:textFill>
            <w14:solidFill>
              <w14:schemeClr w14:val="tx1"/>
            </w14:solidFill>
          </w14:textFill>
        </w:rPr>
        <w:t>8</w:t>
      </w:r>
      <w:r>
        <w:rPr>
          <w:rFonts w:ascii="Book Antiqua" w:hAnsi="Book Antiqua"/>
          <w:color w:val="000000" w:themeColor="text1"/>
          <w:sz w:val="24"/>
          <w14:textFill>
            <w14:solidFill>
              <w14:schemeClr w14:val="tx1"/>
            </w14:solidFill>
          </w14:textFill>
        </w:rPr>
        <w:t>: 575-594, ix [PMID: 15331065 DOI: 10.1016/j.cld.2004.04.006]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38 </w:t>
      </w:r>
      <w:r>
        <w:rPr>
          <w:rFonts w:ascii="Book Antiqua" w:hAnsi="Book Antiqua"/>
          <w:b/>
          <w:bCs/>
          <w:color w:val="000000" w:themeColor="text1"/>
          <w:sz w:val="24"/>
          <w14:textFill>
            <w14:solidFill>
              <w14:schemeClr w14:val="tx1"/>
            </w14:solidFill>
          </w14:textFill>
        </w:rPr>
        <w:t>Cani PD</w:t>
      </w:r>
      <w:r>
        <w:rPr>
          <w:rFonts w:ascii="Book Antiqua" w:hAnsi="Book Antiqua"/>
          <w:color w:val="000000" w:themeColor="text1"/>
          <w:sz w:val="24"/>
          <w14:textFill>
            <w14:solidFill>
              <w14:schemeClr w14:val="tx1"/>
            </w14:solidFill>
          </w14:textFill>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 </w:t>
      </w:r>
      <w:r>
        <w:rPr>
          <w:rFonts w:ascii="Book Antiqua" w:hAnsi="Book Antiqua"/>
          <w:i/>
          <w:iCs/>
          <w:color w:val="000000" w:themeColor="text1"/>
          <w:sz w:val="24"/>
          <w14:textFill>
            <w14:solidFill>
              <w14:schemeClr w14:val="tx1"/>
            </w14:solidFill>
          </w14:textFill>
        </w:rPr>
        <w:t>Diabetes</w:t>
      </w:r>
      <w:r>
        <w:rPr>
          <w:rFonts w:ascii="Book Antiqua" w:hAnsi="Book Antiqua"/>
          <w:color w:val="000000" w:themeColor="text1"/>
          <w:sz w:val="24"/>
          <w14:textFill>
            <w14:solidFill>
              <w14:schemeClr w14:val="tx1"/>
            </w14:solidFill>
          </w14:textFill>
        </w:rPr>
        <w:t> 2007; </w:t>
      </w:r>
      <w:r>
        <w:rPr>
          <w:rFonts w:ascii="Book Antiqua" w:hAnsi="Book Antiqua"/>
          <w:b/>
          <w:bCs/>
          <w:color w:val="000000" w:themeColor="text1"/>
          <w:sz w:val="24"/>
          <w14:textFill>
            <w14:solidFill>
              <w14:schemeClr w14:val="tx1"/>
            </w14:solidFill>
          </w14:textFill>
        </w:rPr>
        <w:t>56</w:t>
      </w:r>
      <w:r>
        <w:rPr>
          <w:rFonts w:ascii="Book Antiqua" w:hAnsi="Book Antiqua"/>
          <w:color w:val="000000" w:themeColor="text1"/>
          <w:sz w:val="24"/>
          <w14:textFill>
            <w14:solidFill>
              <w14:schemeClr w14:val="tx1"/>
            </w14:solidFill>
          </w14:textFill>
        </w:rPr>
        <w:t>: 1761-1772 [PMID: 17456850 DOI: 10.2337/db06-1491]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39 </w:t>
      </w:r>
      <w:r>
        <w:rPr>
          <w:rFonts w:ascii="Book Antiqua" w:hAnsi="Book Antiqua"/>
          <w:b/>
          <w:bCs/>
          <w:color w:val="000000" w:themeColor="text1"/>
          <w:sz w:val="24"/>
          <w14:textFill>
            <w14:solidFill>
              <w14:schemeClr w14:val="tx1"/>
            </w14:solidFill>
          </w14:textFill>
        </w:rPr>
        <w:t>Le Roy T</w:t>
      </w:r>
      <w:r>
        <w:rPr>
          <w:rFonts w:ascii="Book Antiqua" w:hAnsi="Book Antiqua"/>
          <w:color w:val="000000" w:themeColor="text1"/>
          <w:sz w:val="24"/>
          <w14:textFill>
            <w14:solidFill>
              <w14:schemeClr w14:val="tx1"/>
            </w14:solidFill>
          </w14:textFill>
        </w:rPr>
        <w:t>, Llopis M, Lepage P, Bruneau A, Rabot S, Bevilacqua C, Martin P, Philippe C, Walker F, Bado A, Perlemuter G, Cassard-Doulcier AM, Gérard P. Intestinal microbiota determines development of non-alcoholic fatty liver disease in mice. </w:t>
      </w:r>
      <w:r>
        <w:rPr>
          <w:rFonts w:ascii="Book Antiqua" w:hAnsi="Book Antiqua"/>
          <w:i/>
          <w:iCs/>
          <w:color w:val="000000" w:themeColor="text1"/>
          <w:sz w:val="24"/>
          <w14:textFill>
            <w14:solidFill>
              <w14:schemeClr w14:val="tx1"/>
            </w14:solidFill>
          </w14:textFill>
        </w:rPr>
        <w:t>Gut</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62</w:t>
      </w:r>
      <w:r>
        <w:rPr>
          <w:rFonts w:ascii="Book Antiqua" w:hAnsi="Book Antiqua"/>
          <w:color w:val="000000" w:themeColor="text1"/>
          <w:sz w:val="24"/>
          <w14:textFill>
            <w14:solidFill>
              <w14:schemeClr w14:val="tx1"/>
            </w14:solidFill>
          </w14:textFill>
        </w:rPr>
        <w:t>: 1787-1794 [PMID: 23197411 DOI: 10.1136/gutjnl-2012-303816]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40 </w:t>
      </w:r>
      <w:r>
        <w:rPr>
          <w:rFonts w:ascii="Book Antiqua" w:hAnsi="Book Antiqua"/>
          <w:b/>
          <w:bCs/>
          <w:color w:val="000000" w:themeColor="text1"/>
          <w:sz w:val="24"/>
          <w14:textFill>
            <w14:solidFill>
              <w14:schemeClr w14:val="tx1"/>
            </w14:solidFill>
          </w14:textFill>
        </w:rPr>
        <w:t>Xue L</w:t>
      </w:r>
      <w:r>
        <w:rPr>
          <w:rFonts w:ascii="Book Antiqua" w:hAnsi="Book Antiqua"/>
          <w:color w:val="000000" w:themeColor="text1"/>
          <w:sz w:val="24"/>
          <w14:textFill>
            <w14:solidFill>
              <w14:schemeClr w14:val="tx1"/>
            </w14:solidFill>
          </w14:textFill>
        </w:rPr>
        <w:t>, He J, Gao N, Lu X, Li M, Wu X, Liu Z, Jin Y, Liu J, Xu J, Geng Y. Probiotics may delay the progression of nonalcoholic fatty liver disease by restoring the gut microbiota structure and improving intestinal endotoxemia. </w:t>
      </w:r>
      <w:r>
        <w:rPr>
          <w:rFonts w:ascii="Book Antiqua" w:hAnsi="Book Antiqua"/>
          <w:i/>
          <w:iCs/>
          <w:color w:val="000000" w:themeColor="text1"/>
          <w:sz w:val="24"/>
          <w14:textFill>
            <w14:solidFill>
              <w14:schemeClr w14:val="tx1"/>
            </w14:solidFill>
          </w14:textFill>
        </w:rPr>
        <w:t>Sci Rep</w:t>
      </w:r>
      <w:r>
        <w:rPr>
          <w:rFonts w:ascii="Book Antiqua" w:hAnsi="Book Antiqua"/>
          <w:color w:val="000000" w:themeColor="text1"/>
          <w:sz w:val="24"/>
          <w14:textFill>
            <w14:solidFill>
              <w14:schemeClr w14:val="tx1"/>
            </w14:solidFill>
          </w14:textFill>
        </w:rPr>
        <w:t> 2017; </w:t>
      </w:r>
      <w:r>
        <w:rPr>
          <w:rFonts w:ascii="Book Antiqua" w:hAnsi="Book Antiqua"/>
          <w:b/>
          <w:bCs/>
          <w:color w:val="000000" w:themeColor="text1"/>
          <w:sz w:val="24"/>
          <w14:textFill>
            <w14:solidFill>
              <w14:schemeClr w14:val="tx1"/>
            </w14:solidFill>
          </w14:textFill>
        </w:rPr>
        <w:t>7</w:t>
      </w:r>
      <w:r>
        <w:rPr>
          <w:rFonts w:ascii="Book Antiqua" w:hAnsi="Book Antiqua"/>
          <w:color w:val="000000" w:themeColor="text1"/>
          <w:sz w:val="24"/>
          <w14:textFill>
            <w14:solidFill>
              <w14:schemeClr w14:val="tx1"/>
            </w14:solidFill>
          </w14:textFill>
        </w:rPr>
        <w:t>: 45176 [PMID: 28349964 DOI: 10.1038/srep45176]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41 </w:t>
      </w:r>
      <w:r>
        <w:rPr>
          <w:rFonts w:ascii="Book Antiqua" w:hAnsi="Book Antiqua"/>
          <w:b/>
          <w:bCs/>
          <w:color w:val="000000" w:themeColor="text1"/>
          <w:sz w:val="24"/>
          <w14:textFill>
            <w14:solidFill>
              <w14:schemeClr w14:val="tx1"/>
            </w14:solidFill>
          </w14:textFill>
        </w:rPr>
        <w:t>Zhou D</w:t>
      </w:r>
      <w:r>
        <w:rPr>
          <w:rFonts w:ascii="Book Antiqua" w:hAnsi="Book Antiqua"/>
          <w:color w:val="000000" w:themeColor="text1"/>
          <w:sz w:val="24"/>
          <w14:textFill>
            <w14:solidFill>
              <w14:schemeClr w14:val="tx1"/>
            </w14:solidFill>
          </w14:textFill>
        </w:rPr>
        <w:t>, Pan Q, Xin FZ, Zhang RN, He CX, Chen GY, Liu C, Chen YW, Fan JG. Sodium butyrate attenuates high-fat diet-induced steatohepatitis in mice by improving gut microbiota and gastrointestinal barrier. </w:t>
      </w:r>
      <w:r>
        <w:rPr>
          <w:rFonts w:ascii="Book Antiqua" w:hAnsi="Book Antiqua"/>
          <w:i/>
          <w:iCs/>
          <w:color w:val="000000" w:themeColor="text1"/>
          <w:sz w:val="24"/>
          <w14:textFill>
            <w14:solidFill>
              <w14:schemeClr w14:val="tx1"/>
            </w14:solidFill>
          </w14:textFill>
        </w:rPr>
        <w:t>World J Gastroenterol</w:t>
      </w:r>
      <w:r>
        <w:rPr>
          <w:rFonts w:ascii="Book Antiqua" w:hAnsi="Book Antiqua"/>
          <w:color w:val="000000" w:themeColor="text1"/>
          <w:sz w:val="24"/>
          <w14:textFill>
            <w14:solidFill>
              <w14:schemeClr w14:val="tx1"/>
            </w14:solidFill>
          </w14:textFill>
        </w:rPr>
        <w:t> 2017; </w:t>
      </w:r>
      <w:r>
        <w:rPr>
          <w:rFonts w:ascii="Book Antiqua" w:hAnsi="Book Antiqua"/>
          <w:b/>
          <w:bCs/>
          <w:color w:val="000000" w:themeColor="text1"/>
          <w:sz w:val="24"/>
          <w14:textFill>
            <w14:solidFill>
              <w14:schemeClr w14:val="tx1"/>
            </w14:solidFill>
          </w14:textFill>
        </w:rPr>
        <w:t>23</w:t>
      </w:r>
      <w:r>
        <w:rPr>
          <w:rFonts w:ascii="Book Antiqua" w:hAnsi="Book Antiqua"/>
          <w:color w:val="000000" w:themeColor="text1"/>
          <w:sz w:val="24"/>
          <w14:textFill>
            <w14:solidFill>
              <w14:schemeClr w14:val="tx1"/>
            </w14:solidFill>
          </w14:textFill>
        </w:rPr>
        <w:t>: 60-75 [PMID: 28104981 DOI: 10.3748/wjg.v23.i1.60]</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42 </w:t>
      </w:r>
      <w:r>
        <w:rPr>
          <w:rFonts w:ascii="Book Antiqua" w:hAnsi="Book Antiqua"/>
          <w:b/>
          <w:bCs/>
          <w:color w:val="000000" w:themeColor="text1"/>
          <w:sz w:val="24"/>
          <w14:textFill>
            <w14:solidFill>
              <w14:schemeClr w14:val="tx1"/>
            </w14:solidFill>
          </w14:textFill>
        </w:rPr>
        <w:t>Cao Y</w:t>
      </w:r>
      <w:r>
        <w:rPr>
          <w:rFonts w:ascii="Book Antiqua" w:hAnsi="Book Antiqua"/>
          <w:color w:val="000000" w:themeColor="text1"/>
          <w:sz w:val="24"/>
          <w14:textFill>
            <w14:solidFill>
              <w14:schemeClr w14:val="tx1"/>
            </w14:solidFill>
          </w14:textFill>
        </w:rPr>
        <w:t>, Pan Q, Cai W, Shen F, Chen GY, Xu LM, Fan JG. Modulation of Gut Microbiota by Berberine Improves Steatohepatitis in High-Fat Diet-Fed BALB/C Mice. </w:t>
      </w:r>
      <w:r>
        <w:rPr>
          <w:rFonts w:ascii="Book Antiqua" w:hAnsi="Book Antiqua"/>
          <w:i/>
          <w:iCs/>
          <w:color w:val="000000" w:themeColor="text1"/>
          <w:sz w:val="24"/>
          <w14:textFill>
            <w14:solidFill>
              <w14:schemeClr w14:val="tx1"/>
            </w14:solidFill>
          </w14:textFill>
        </w:rPr>
        <w:t>Arch Iran Med</w:t>
      </w:r>
      <w:r>
        <w:rPr>
          <w:rFonts w:ascii="Book Antiqua" w:hAnsi="Book Antiqua"/>
          <w:color w:val="000000" w:themeColor="text1"/>
          <w:sz w:val="24"/>
          <w14:textFill>
            <w14:solidFill>
              <w14:schemeClr w14:val="tx1"/>
            </w14:solidFill>
          </w14:textFill>
        </w:rPr>
        <w:t> 2016; </w:t>
      </w:r>
      <w:r>
        <w:rPr>
          <w:rFonts w:ascii="Book Antiqua" w:hAnsi="Book Antiqua"/>
          <w:b/>
          <w:bCs/>
          <w:color w:val="000000" w:themeColor="text1"/>
          <w:sz w:val="24"/>
          <w14:textFill>
            <w14:solidFill>
              <w14:schemeClr w14:val="tx1"/>
            </w14:solidFill>
          </w14:textFill>
        </w:rPr>
        <w:t>19</w:t>
      </w:r>
      <w:r>
        <w:rPr>
          <w:rFonts w:ascii="Book Antiqua" w:hAnsi="Book Antiqua"/>
          <w:color w:val="000000" w:themeColor="text1"/>
          <w:sz w:val="24"/>
          <w14:textFill>
            <w14:solidFill>
              <w14:schemeClr w14:val="tx1"/>
            </w14:solidFill>
          </w14:textFill>
        </w:rPr>
        <w:t>: 197-203 [PMID: 26923892 DOI: 0161903/AIM.008]</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43 </w:t>
      </w:r>
      <w:r>
        <w:rPr>
          <w:rFonts w:ascii="Book Antiqua" w:hAnsi="Book Antiqua"/>
          <w:b/>
          <w:bCs/>
          <w:color w:val="000000" w:themeColor="text1"/>
          <w:sz w:val="24"/>
          <w14:textFill>
            <w14:solidFill>
              <w14:schemeClr w14:val="tx1"/>
            </w14:solidFill>
          </w14:textFill>
        </w:rPr>
        <w:t>Zhu L</w:t>
      </w:r>
      <w:r>
        <w:rPr>
          <w:rFonts w:ascii="Book Antiqua" w:hAnsi="Book Antiqua"/>
          <w:color w:val="000000" w:themeColor="text1"/>
          <w:sz w:val="24"/>
          <w14:textFill>
            <w14:solidFill>
              <w14:schemeClr w14:val="tx1"/>
            </w14:solidFill>
          </w14:textFill>
        </w:rPr>
        <w:t>, Baker SS, Gill C, Liu W, Alkhouri R, Baker RD, Gill SR. Characterization of gut microbiomes in nonalcoholic steatohepatitis (NASH) patients: a connection between endogenous alcohol and NASH. </w:t>
      </w:r>
      <w:r>
        <w:rPr>
          <w:rFonts w:ascii="Book Antiqua" w:hAnsi="Book Antiqua"/>
          <w:i/>
          <w:iCs/>
          <w:color w:val="000000" w:themeColor="text1"/>
          <w:sz w:val="24"/>
          <w14:textFill>
            <w14:solidFill>
              <w14:schemeClr w14:val="tx1"/>
            </w14:solidFill>
          </w14:textFill>
        </w:rPr>
        <w:t>Hepatology</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57</w:t>
      </w:r>
      <w:r>
        <w:rPr>
          <w:rFonts w:ascii="Book Antiqua" w:hAnsi="Book Antiqua"/>
          <w:color w:val="000000" w:themeColor="text1"/>
          <w:sz w:val="24"/>
          <w14:textFill>
            <w14:solidFill>
              <w14:schemeClr w14:val="tx1"/>
            </w14:solidFill>
          </w14:textFill>
        </w:rPr>
        <w:t>: 601-609 [PMID: 23055155 DOI: 10.1002/hep.26093]</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44 </w:t>
      </w:r>
      <w:r>
        <w:rPr>
          <w:rFonts w:ascii="Book Antiqua" w:hAnsi="Book Antiqua"/>
          <w:b/>
          <w:bCs/>
          <w:color w:val="000000" w:themeColor="text1"/>
          <w:sz w:val="24"/>
          <w14:textFill>
            <w14:solidFill>
              <w14:schemeClr w14:val="tx1"/>
            </w14:solidFill>
          </w14:textFill>
        </w:rPr>
        <w:t>Del Chierico F</w:t>
      </w:r>
      <w:r>
        <w:rPr>
          <w:rFonts w:ascii="Book Antiqua" w:hAnsi="Book Antiqua"/>
          <w:color w:val="000000" w:themeColor="text1"/>
          <w:sz w:val="24"/>
          <w14:textFill>
            <w14:solidFill>
              <w14:schemeClr w14:val="tx1"/>
            </w14:solidFill>
          </w14:textFill>
        </w:rPr>
        <w:t>, Nobili V, Vernocchi P, Russo A, Stefanis C, Gnani D, Furlanello C, Zandonà A, Paci P, Capuani G, Dallapiccola B, Miccheli A, Alisi A, Putignani L. Gut microbiota profiling of pediatric nonalcoholic fatty liver disease and obese patients unveiled by an integrated meta-omics-based approach. </w:t>
      </w:r>
      <w:r>
        <w:rPr>
          <w:rFonts w:ascii="Book Antiqua" w:hAnsi="Book Antiqua"/>
          <w:i/>
          <w:iCs/>
          <w:color w:val="000000" w:themeColor="text1"/>
          <w:sz w:val="24"/>
          <w14:textFill>
            <w14:solidFill>
              <w14:schemeClr w14:val="tx1"/>
            </w14:solidFill>
          </w14:textFill>
        </w:rPr>
        <w:t>Hepatology</w:t>
      </w:r>
      <w:r>
        <w:rPr>
          <w:rFonts w:ascii="Book Antiqua" w:hAnsi="Book Antiqua"/>
          <w:color w:val="000000" w:themeColor="text1"/>
          <w:sz w:val="24"/>
          <w14:textFill>
            <w14:solidFill>
              <w14:schemeClr w14:val="tx1"/>
            </w14:solidFill>
          </w14:textFill>
        </w:rPr>
        <w:t> 2017; </w:t>
      </w:r>
      <w:r>
        <w:rPr>
          <w:rFonts w:ascii="Book Antiqua" w:hAnsi="Book Antiqua"/>
          <w:b/>
          <w:bCs/>
          <w:color w:val="000000" w:themeColor="text1"/>
          <w:sz w:val="24"/>
          <w14:textFill>
            <w14:solidFill>
              <w14:schemeClr w14:val="tx1"/>
            </w14:solidFill>
          </w14:textFill>
        </w:rPr>
        <w:t>65</w:t>
      </w:r>
      <w:r>
        <w:rPr>
          <w:rFonts w:ascii="Book Antiqua" w:hAnsi="Book Antiqua"/>
          <w:color w:val="000000" w:themeColor="text1"/>
          <w:sz w:val="24"/>
          <w14:textFill>
            <w14:solidFill>
              <w14:schemeClr w14:val="tx1"/>
            </w14:solidFill>
          </w14:textFill>
        </w:rPr>
        <w:t>: 451-464 [PMID: 27028797 DOI: 10.1002/hep.28572]</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45 </w:t>
      </w:r>
      <w:r>
        <w:rPr>
          <w:rFonts w:ascii="Book Antiqua" w:hAnsi="Book Antiqua"/>
          <w:b/>
          <w:bCs/>
          <w:color w:val="000000" w:themeColor="text1"/>
          <w:sz w:val="24"/>
          <w14:textFill>
            <w14:solidFill>
              <w14:schemeClr w14:val="tx1"/>
            </w14:solidFill>
          </w14:textFill>
        </w:rPr>
        <w:t>Walters WA</w:t>
      </w:r>
      <w:r>
        <w:rPr>
          <w:rFonts w:ascii="Book Antiqua" w:hAnsi="Book Antiqua"/>
          <w:color w:val="000000" w:themeColor="text1"/>
          <w:sz w:val="24"/>
          <w14:textFill>
            <w14:solidFill>
              <w14:schemeClr w14:val="tx1"/>
            </w14:solidFill>
          </w14:textFill>
        </w:rPr>
        <w:t>, Xu Z, Knight R. Meta-analyses of human gut microbes associated with obesity and IBD. </w:t>
      </w:r>
      <w:r>
        <w:rPr>
          <w:rFonts w:ascii="Book Antiqua" w:hAnsi="Book Antiqua"/>
          <w:i/>
          <w:iCs/>
          <w:color w:val="000000" w:themeColor="text1"/>
          <w:sz w:val="24"/>
          <w14:textFill>
            <w14:solidFill>
              <w14:schemeClr w14:val="tx1"/>
            </w14:solidFill>
          </w14:textFill>
        </w:rPr>
        <w:t>FEBS Lett</w:t>
      </w:r>
      <w:r>
        <w:rPr>
          <w:rFonts w:ascii="Book Antiqua" w:hAnsi="Book Antiqua"/>
          <w:color w:val="000000" w:themeColor="text1"/>
          <w:sz w:val="24"/>
          <w14:textFill>
            <w14:solidFill>
              <w14:schemeClr w14:val="tx1"/>
            </w14:solidFill>
          </w14:textFill>
        </w:rPr>
        <w:t> 2014; </w:t>
      </w:r>
      <w:r>
        <w:rPr>
          <w:rFonts w:ascii="Book Antiqua" w:hAnsi="Book Antiqua"/>
          <w:b/>
          <w:bCs/>
          <w:color w:val="000000" w:themeColor="text1"/>
          <w:sz w:val="24"/>
          <w14:textFill>
            <w14:solidFill>
              <w14:schemeClr w14:val="tx1"/>
            </w14:solidFill>
          </w14:textFill>
        </w:rPr>
        <w:t>588</w:t>
      </w:r>
      <w:r>
        <w:rPr>
          <w:rFonts w:ascii="Book Antiqua" w:hAnsi="Book Antiqua"/>
          <w:color w:val="000000" w:themeColor="text1"/>
          <w:sz w:val="24"/>
          <w14:textFill>
            <w14:solidFill>
              <w14:schemeClr w14:val="tx1"/>
            </w14:solidFill>
          </w14:textFill>
        </w:rPr>
        <w:t>: 4223-4233 [PMID: 25307765 DOI: 10.1016/j.febslet.2014.09.039]</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46 </w:t>
      </w:r>
      <w:r>
        <w:rPr>
          <w:rFonts w:ascii="Book Antiqua" w:hAnsi="Book Antiqua"/>
          <w:b/>
          <w:bCs/>
          <w:color w:val="000000" w:themeColor="text1"/>
          <w:sz w:val="24"/>
          <w14:textFill>
            <w14:solidFill>
              <w14:schemeClr w14:val="tx1"/>
            </w14:solidFill>
          </w14:textFill>
        </w:rPr>
        <w:t>Verdam FJ</w:t>
      </w:r>
      <w:r>
        <w:rPr>
          <w:rFonts w:ascii="Book Antiqua" w:hAnsi="Book Antiqua"/>
          <w:color w:val="000000" w:themeColor="text1"/>
          <w:sz w:val="24"/>
          <w14:textFill>
            <w14:solidFill>
              <w14:schemeClr w14:val="tx1"/>
            </w14:solidFill>
          </w14:textFill>
        </w:rPr>
        <w:t>, Fuentes S, de Jonge C, Zoetendal EG, Erbil R, Greve JW, Buurman WA, de Vos WM, Rensen SS. Human intestinal microbiota composition is associated with local and systemic inflammation in obesity. </w:t>
      </w:r>
      <w:r>
        <w:rPr>
          <w:rFonts w:ascii="Book Antiqua" w:hAnsi="Book Antiqua"/>
          <w:i/>
          <w:iCs/>
          <w:color w:val="000000" w:themeColor="text1"/>
          <w:sz w:val="24"/>
          <w14:textFill>
            <w14:solidFill>
              <w14:schemeClr w14:val="tx1"/>
            </w14:solidFill>
          </w14:textFill>
        </w:rPr>
        <w:t xml:space="preserve">Obesity </w:t>
      </w:r>
      <w:r>
        <w:rPr>
          <w:rFonts w:ascii="Book Antiqua" w:hAnsi="Book Antiqua"/>
          <w:color w:val="000000" w:themeColor="text1"/>
          <w:sz w:val="24"/>
          <w14:textFill>
            <w14:solidFill>
              <w14:schemeClr w14:val="tx1"/>
            </w14:solidFill>
          </w14:textFill>
        </w:rPr>
        <w:t>(Silver Spring) 2013; </w:t>
      </w:r>
      <w:r>
        <w:rPr>
          <w:rFonts w:ascii="Book Antiqua" w:hAnsi="Book Antiqua"/>
          <w:b/>
          <w:bCs/>
          <w:color w:val="000000" w:themeColor="text1"/>
          <w:sz w:val="24"/>
          <w14:textFill>
            <w14:solidFill>
              <w14:schemeClr w14:val="tx1"/>
            </w14:solidFill>
          </w14:textFill>
        </w:rPr>
        <w:t>21</w:t>
      </w:r>
      <w:r>
        <w:rPr>
          <w:rFonts w:ascii="Book Antiqua" w:hAnsi="Book Antiqua"/>
          <w:color w:val="000000" w:themeColor="text1"/>
          <w:sz w:val="24"/>
          <w14:textFill>
            <w14:solidFill>
              <w14:schemeClr w14:val="tx1"/>
            </w14:solidFill>
          </w14:textFill>
        </w:rPr>
        <w:t>: E607-E615 [PMID: 23526699 DOI: 10.1002/oby.20466]</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47 </w:t>
      </w:r>
      <w:r>
        <w:rPr>
          <w:rFonts w:ascii="Book Antiqua" w:hAnsi="Book Antiqua"/>
          <w:b/>
          <w:bCs/>
          <w:color w:val="000000" w:themeColor="text1"/>
          <w:sz w:val="24"/>
          <w14:textFill>
            <w14:solidFill>
              <w14:schemeClr w14:val="tx1"/>
            </w14:solidFill>
          </w14:textFill>
        </w:rPr>
        <w:t>Gophna U</w:t>
      </w:r>
      <w:r>
        <w:rPr>
          <w:rFonts w:ascii="Book Antiqua" w:hAnsi="Book Antiqua"/>
          <w:color w:val="000000" w:themeColor="text1"/>
          <w:sz w:val="24"/>
          <w14:textFill>
            <w14:solidFill>
              <w14:schemeClr w14:val="tx1"/>
            </w14:solidFill>
          </w14:textFill>
        </w:rPr>
        <w:t>, Konikoff T, Nielsen HB. Oscillospira and related bacteria - From metagenomic species to metabolic features. </w:t>
      </w:r>
      <w:r>
        <w:rPr>
          <w:rFonts w:ascii="Book Antiqua" w:hAnsi="Book Antiqua"/>
          <w:i/>
          <w:iCs/>
          <w:color w:val="000000" w:themeColor="text1"/>
          <w:sz w:val="24"/>
          <w14:textFill>
            <w14:solidFill>
              <w14:schemeClr w14:val="tx1"/>
            </w14:solidFill>
          </w14:textFill>
        </w:rPr>
        <w:t>Environ Microbiol</w:t>
      </w:r>
      <w:r>
        <w:rPr>
          <w:rFonts w:ascii="Book Antiqua" w:hAnsi="Book Antiqua"/>
          <w:color w:val="000000" w:themeColor="text1"/>
          <w:sz w:val="24"/>
          <w14:textFill>
            <w14:solidFill>
              <w14:schemeClr w14:val="tx1"/>
            </w14:solidFill>
          </w14:textFill>
        </w:rPr>
        <w:t> 2017; </w:t>
      </w:r>
      <w:r>
        <w:rPr>
          <w:rFonts w:ascii="Book Antiqua" w:hAnsi="Book Antiqua"/>
          <w:b/>
          <w:bCs/>
          <w:color w:val="000000" w:themeColor="text1"/>
          <w:sz w:val="24"/>
          <w14:textFill>
            <w14:solidFill>
              <w14:schemeClr w14:val="tx1"/>
            </w14:solidFill>
          </w14:textFill>
        </w:rPr>
        <w:t>19</w:t>
      </w:r>
      <w:r>
        <w:rPr>
          <w:rFonts w:ascii="Book Antiqua" w:hAnsi="Book Antiqua"/>
          <w:color w:val="000000" w:themeColor="text1"/>
          <w:sz w:val="24"/>
          <w14:textFill>
            <w14:solidFill>
              <w14:schemeClr w14:val="tx1"/>
            </w14:solidFill>
          </w14:textFill>
        </w:rPr>
        <w:t>: 835-841 [PMID: 28028921 DOI: 10.1111/1462-2920.13658]</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48 </w:t>
      </w:r>
      <w:r>
        <w:rPr>
          <w:rFonts w:ascii="Book Antiqua" w:hAnsi="Book Antiqua"/>
          <w:b/>
          <w:bCs/>
          <w:color w:val="000000" w:themeColor="text1"/>
          <w:sz w:val="24"/>
          <w14:textFill>
            <w14:solidFill>
              <w14:schemeClr w14:val="tx1"/>
            </w14:solidFill>
          </w14:textFill>
        </w:rPr>
        <w:t>Cushing K</w:t>
      </w:r>
      <w:r>
        <w:rPr>
          <w:rFonts w:ascii="Book Antiqua" w:hAnsi="Book Antiqua"/>
          <w:color w:val="000000" w:themeColor="text1"/>
          <w:sz w:val="24"/>
          <w14:textFill>
            <w14:solidFill>
              <w14:schemeClr w14:val="tx1"/>
            </w14:solidFill>
          </w14:textFill>
        </w:rPr>
        <w:t>, Alvarado DM, Ciorba MA. Butyrate and Mucosal Inflammation: New Scientific Evidence Supports Clinical Observation. </w:t>
      </w:r>
      <w:r>
        <w:rPr>
          <w:rFonts w:ascii="Book Antiqua" w:hAnsi="Book Antiqua"/>
          <w:i/>
          <w:iCs/>
          <w:color w:val="000000" w:themeColor="text1"/>
          <w:sz w:val="24"/>
          <w14:textFill>
            <w14:solidFill>
              <w14:schemeClr w14:val="tx1"/>
            </w14:solidFill>
          </w14:textFill>
        </w:rPr>
        <w:t>Clin Transl Gastroenterol</w:t>
      </w:r>
      <w:r>
        <w:rPr>
          <w:rFonts w:ascii="Book Antiqua" w:hAnsi="Book Antiqua"/>
          <w:color w:val="000000" w:themeColor="text1"/>
          <w:sz w:val="24"/>
          <w14:textFill>
            <w14:solidFill>
              <w14:schemeClr w14:val="tx1"/>
            </w14:solidFill>
          </w14:textFill>
        </w:rPr>
        <w:t> 2015; </w:t>
      </w:r>
      <w:r>
        <w:rPr>
          <w:rFonts w:ascii="Book Antiqua" w:hAnsi="Book Antiqua"/>
          <w:b/>
          <w:bCs/>
          <w:color w:val="000000" w:themeColor="text1"/>
          <w:sz w:val="24"/>
          <w14:textFill>
            <w14:solidFill>
              <w14:schemeClr w14:val="tx1"/>
            </w14:solidFill>
          </w14:textFill>
        </w:rPr>
        <w:t>6</w:t>
      </w:r>
      <w:r>
        <w:rPr>
          <w:rFonts w:ascii="Book Antiqua" w:hAnsi="Book Antiqua"/>
          <w:color w:val="000000" w:themeColor="text1"/>
          <w:sz w:val="24"/>
          <w14:textFill>
            <w14:solidFill>
              <w14:schemeClr w14:val="tx1"/>
            </w14:solidFill>
          </w14:textFill>
        </w:rPr>
        <w:t>: e108 [PMID: 26312412 DOI: 10.1038/ctg.2015.34]</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49 </w:t>
      </w:r>
      <w:r>
        <w:rPr>
          <w:rFonts w:ascii="Book Antiqua" w:hAnsi="Book Antiqua"/>
          <w:b/>
          <w:bCs/>
          <w:color w:val="000000" w:themeColor="text1"/>
          <w:sz w:val="24"/>
          <w14:textFill>
            <w14:solidFill>
              <w14:schemeClr w14:val="tx1"/>
            </w14:solidFill>
          </w14:textFill>
        </w:rPr>
        <w:t>Qin J</w:t>
      </w:r>
      <w:r>
        <w:rPr>
          <w:rFonts w:ascii="Book Antiqua" w:hAnsi="Book Antiqua"/>
          <w:color w:val="000000" w:themeColor="text1"/>
          <w:sz w:val="24"/>
          <w14:textFill>
            <w14:solidFill>
              <w14:schemeClr w14:val="tx1"/>
            </w14:solidFill>
          </w14:textFill>
        </w:rPr>
        <w:t>,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Pr>
          <w:rFonts w:ascii="Book Antiqua" w:hAnsi="Book Antiqua"/>
          <w:i/>
          <w:iCs/>
          <w:color w:val="000000" w:themeColor="text1"/>
          <w:sz w:val="24"/>
          <w14:textFill>
            <w14:solidFill>
              <w14:schemeClr w14:val="tx1"/>
            </w14:solidFill>
          </w14:textFill>
        </w:rPr>
        <w:t>Nature</w:t>
      </w:r>
      <w:r>
        <w:rPr>
          <w:rFonts w:ascii="Book Antiqua" w:hAnsi="Book Antiqua"/>
          <w:color w:val="000000" w:themeColor="text1"/>
          <w:sz w:val="24"/>
          <w14:textFill>
            <w14:solidFill>
              <w14:schemeClr w14:val="tx1"/>
            </w14:solidFill>
          </w14:textFill>
        </w:rPr>
        <w:t> 2012; </w:t>
      </w:r>
      <w:r>
        <w:rPr>
          <w:rFonts w:ascii="Book Antiqua" w:hAnsi="Book Antiqua"/>
          <w:b/>
          <w:bCs/>
          <w:color w:val="000000" w:themeColor="text1"/>
          <w:sz w:val="24"/>
          <w14:textFill>
            <w14:solidFill>
              <w14:schemeClr w14:val="tx1"/>
            </w14:solidFill>
          </w14:textFill>
        </w:rPr>
        <w:t>490</w:t>
      </w:r>
      <w:r>
        <w:rPr>
          <w:rFonts w:ascii="Book Antiqua" w:hAnsi="Book Antiqua"/>
          <w:color w:val="000000" w:themeColor="text1"/>
          <w:sz w:val="24"/>
          <w14:textFill>
            <w14:solidFill>
              <w14:schemeClr w14:val="tx1"/>
            </w14:solidFill>
          </w14:textFill>
        </w:rPr>
        <w:t>: 55-60 [PMID: 23023125 DOI: 10.1038/nature11450]</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50 </w:t>
      </w:r>
      <w:r>
        <w:rPr>
          <w:rFonts w:ascii="Book Antiqua" w:hAnsi="Book Antiqua"/>
          <w:b/>
          <w:bCs/>
          <w:color w:val="000000" w:themeColor="text1"/>
          <w:sz w:val="24"/>
          <w14:textFill>
            <w14:solidFill>
              <w14:schemeClr w14:val="tx1"/>
            </w14:solidFill>
          </w14:textFill>
        </w:rPr>
        <w:t>Karlsson FH</w:t>
      </w:r>
      <w:r>
        <w:rPr>
          <w:rFonts w:ascii="Book Antiqua" w:hAnsi="Book Antiqua"/>
          <w:color w:val="000000" w:themeColor="text1"/>
          <w:sz w:val="24"/>
          <w14:textFill>
            <w14:solidFill>
              <w14:schemeClr w14:val="tx1"/>
            </w14:solidFill>
          </w14:textFill>
        </w:rPr>
        <w:t>, Tremaroli V, Nookaew I, Bergström G, Behre CJ, Fagerberg B, Nielsen J, Bäckhed F. Gut metagenome in European women with normal, impaired and diabetic glucose control. </w:t>
      </w:r>
      <w:r>
        <w:rPr>
          <w:rFonts w:ascii="Book Antiqua" w:hAnsi="Book Antiqua"/>
          <w:i/>
          <w:iCs/>
          <w:color w:val="000000" w:themeColor="text1"/>
          <w:sz w:val="24"/>
          <w14:textFill>
            <w14:solidFill>
              <w14:schemeClr w14:val="tx1"/>
            </w14:solidFill>
          </w14:textFill>
        </w:rPr>
        <w:t>Nature</w:t>
      </w:r>
      <w:r>
        <w:rPr>
          <w:rFonts w:ascii="Book Antiqua" w:hAnsi="Book Antiqua"/>
          <w:color w:val="000000" w:themeColor="text1"/>
          <w:sz w:val="24"/>
          <w14:textFill>
            <w14:solidFill>
              <w14:schemeClr w14:val="tx1"/>
            </w14:solidFill>
          </w14:textFill>
        </w:rPr>
        <w:t> 2013; </w:t>
      </w:r>
      <w:r>
        <w:rPr>
          <w:rFonts w:ascii="Book Antiqua" w:hAnsi="Book Antiqua"/>
          <w:b/>
          <w:bCs/>
          <w:color w:val="000000" w:themeColor="text1"/>
          <w:sz w:val="24"/>
          <w14:textFill>
            <w14:solidFill>
              <w14:schemeClr w14:val="tx1"/>
            </w14:solidFill>
          </w14:textFill>
        </w:rPr>
        <w:t>498</w:t>
      </w:r>
      <w:r>
        <w:rPr>
          <w:rFonts w:ascii="Book Antiqua" w:hAnsi="Book Antiqua"/>
          <w:color w:val="000000" w:themeColor="text1"/>
          <w:sz w:val="24"/>
          <w14:textFill>
            <w14:solidFill>
              <w14:schemeClr w14:val="tx1"/>
            </w14:solidFill>
          </w14:textFill>
        </w:rPr>
        <w:t>: 99-103 [PMID: 23719380 DOI: 10.1038/nature12198]</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51 </w:t>
      </w:r>
      <w:r>
        <w:rPr>
          <w:rFonts w:ascii="Book Antiqua" w:hAnsi="Book Antiqua"/>
          <w:b/>
          <w:bCs/>
          <w:color w:val="000000" w:themeColor="text1"/>
          <w:sz w:val="24"/>
          <w14:textFill>
            <w14:solidFill>
              <w14:schemeClr w14:val="tx1"/>
            </w14:solidFill>
          </w14:textFill>
        </w:rPr>
        <w:t>Arora T</w:t>
      </w:r>
      <w:r>
        <w:rPr>
          <w:rFonts w:ascii="Book Antiqua" w:hAnsi="Book Antiqua"/>
          <w:color w:val="000000" w:themeColor="text1"/>
          <w:sz w:val="24"/>
          <w14:textFill>
            <w14:solidFill>
              <w14:schemeClr w14:val="tx1"/>
            </w14:solidFill>
          </w14:textFill>
        </w:rPr>
        <w:t>, Bäckhed F. The gut microbiota and metabolic disease: current understanding and future perspectives. </w:t>
      </w:r>
      <w:r>
        <w:rPr>
          <w:rFonts w:ascii="Book Antiqua" w:hAnsi="Book Antiqua"/>
          <w:i/>
          <w:iCs/>
          <w:color w:val="000000" w:themeColor="text1"/>
          <w:sz w:val="24"/>
          <w14:textFill>
            <w14:solidFill>
              <w14:schemeClr w14:val="tx1"/>
            </w14:solidFill>
          </w14:textFill>
        </w:rPr>
        <w:t>J Intern Med</w:t>
      </w:r>
      <w:r>
        <w:rPr>
          <w:rFonts w:ascii="Book Antiqua" w:hAnsi="Book Antiqua"/>
          <w:color w:val="000000" w:themeColor="text1"/>
          <w:sz w:val="24"/>
          <w14:textFill>
            <w14:solidFill>
              <w14:schemeClr w14:val="tx1"/>
            </w14:solidFill>
          </w14:textFill>
        </w:rPr>
        <w:t> 2016; </w:t>
      </w:r>
      <w:r>
        <w:rPr>
          <w:rFonts w:ascii="Book Antiqua" w:hAnsi="Book Antiqua"/>
          <w:b/>
          <w:bCs/>
          <w:color w:val="000000" w:themeColor="text1"/>
          <w:sz w:val="24"/>
          <w14:textFill>
            <w14:solidFill>
              <w14:schemeClr w14:val="tx1"/>
            </w14:solidFill>
          </w14:textFill>
        </w:rPr>
        <w:t>280</w:t>
      </w:r>
      <w:r>
        <w:rPr>
          <w:rFonts w:ascii="Book Antiqua" w:hAnsi="Book Antiqua"/>
          <w:color w:val="000000" w:themeColor="text1"/>
          <w:sz w:val="24"/>
          <w14:textFill>
            <w14:solidFill>
              <w14:schemeClr w14:val="tx1"/>
            </w14:solidFill>
          </w14:textFill>
        </w:rPr>
        <w:t>: 339-349 [PMID: 27071815 DOI: 10.1111/joim.12508]</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52 </w:t>
      </w:r>
      <w:r>
        <w:rPr>
          <w:rFonts w:ascii="Book Antiqua" w:hAnsi="Book Antiqua"/>
          <w:b/>
          <w:bCs/>
          <w:color w:val="000000" w:themeColor="text1"/>
          <w:sz w:val="24"/>
          <w14:textFill>
            <w14:solidFill>
              <w14:schemeClr w14:val="tx1"/>
            </w14:solidFill>
          </w14:textFill>
        </w:rPr>
        <w:t>Bermudez-Brito M</w:t>
      </w:r>
      <w:r>
        <w:rPr>
          <w:rFonts w:ascii="Book Antiqua" w:hAnsi="Book Antiqua"/>
          <w:color w:val="000000" w:themeColor="text1"/>
          <w:sz w:val="24"/>
          <w14:textFill>
            <w14:solidFill>
              <w14:schemeClr w14:val="tx1"/>
            </w14:solidFill>
          </w14:textFill>
        </w:rPr>
        <w:t>, Plaza-Díaz J, Muñoz-Quezada S, Gómez-Llorente C, Gil A. Probiotic mechanisms of action. </w:t>
      </w:r>
      <w:r>
        <w:rPr>
          <w:rFonts w:ascii="Book Antiqua" w:hAnsi="Book Antiqua"/>
          <w:i/>
          <w:iCs/>
          <w:color w:val="000000" w:themeColor="text1"/>
          <w:sz w:val="24"/>
          <w14:textFill>
            <w14:solidFill>
              <w14:schemeClr w14:val="tx1"/>
            </w14:solidFill>
          </w14:textFill>
        </w:rPr>
        <w:t>Ann Nutr Metab</w:t>
      </w:r>
      <w:r>
        <w:rPr>
          <w:rFonts w:ascii="Book Antiqua" w:hAnsi="Book Antiqua"/>
          <w:color w:val="000000" w:themeColor="text1"/>
          <w:sz w:val="24"/>
          <w14:textFill>
            <w14:solidFill>
              <w14:schemeClr w14:val="tx1"/>
            </w14:solidFill>
          </w14:textFill>
        </w:rPr>
        <w:t> 2012; </w:t>
      </w:r>
      <w:r>
        <w:rPr>
          <w:rFonts w:ascii="Book Antiqua" w:hAnsi="Book Antiqua"/>
          <w:b/>
          <w:bCs/>
          <w:color w:val="000000" w:themeColor="text1"/>
          <w:sz w:val="24"/>
          <w14:textFill>
            <w14:solidFill>
              <w14:schemeClr w14:val="tx1"/>
            </w14:solidFill>
          </w14:textFill>
        </w:rPr>
        <w:t>61</w:t>
      </w:r>
      <w:r>
        <w:rPr>
          <w:rFonts w:ascii="Book Antiqua" w:hAnsi="Book Antiqua"/>
          <w:color w:val="000000" w:themeColor="text1"/>
          <w:sz w:val="24"/>
          <w14:textFill>
            <w14:solidFill>
              <w14:schemeClr w14:val="tx1"/>
            </w14:solidFill>
          </w14:textFill>
        </w:rPr>
        <w:t>: 160-174 [PMID: 23037511 DOI: 10.1159/000342079]</w:t>
      </w:r>
    </w:p>
    <w:p>
      <w:pPr>
        <w:adjustRightInd w:val="0"/>
        <w:snapToGrid w:val="0"/>
        <w:spacing w:line="360" w:lineRule="auto"/>
        <w:rPr>
          <w:rFonts w:ascii="Book Antiqua" w:hAnsi="Book Antiqua"/>
          <w:color w:val="000000" w:themeColor="text1"/>
          <w:sz w:val="24"/>
          <w14:textFill>
            <w14:solidFill>
              <w14:schemeClr w14:val="tx1"/>
            </w14:solidFill>
          </w14:textFill>
        </w:rPr>
      </w:pPr>
    </w:p>
    <w:p>
      <w:pPr>
        <w:widowControl/>
        <w:wordWrap/>
        <w:snapToGrid w:val="0"/>
        <w:spacing w:line="360" w:lineRule="auto"/>
        <w:jc w:val="right"/>
        <w:rPr>
          <w:rFonts w:ascii="Book Antiqua" w:hAnsi="Book Antiqua"/>
          <w:b/>
          <w:bCs/>
          <w:kern w:val="0"/>
          <w:sz w:val="24"/>
        </w:rPr>
      </w:pPr>
      <w:bookmarkStart w:id="162" w:name="OLE_LINK320"/>
      <w:bookmarkStart w:id="163" w:name="OLE_LINK387"/>
      <w:bookmarkStart w:id="164" w:name="OLE_LINK254"/>
      <w:bookmarkStart w:id="165" w:name="OLE_LINK225"/>
      <w:bookmarkStart w:id="166" w:name="OLE_LINK207"/>
      <w:bookmarkStart w:id="167" w:name="OLE_LINK226"/>
      <w:bookmarkStart w:id="168" w:name="OLE_LINK212"/>
      <w:bookmarkStart w:id="169" w:name="OLE_LINK250"/>
      <w:bookmarkStart w:id="170" w:name="OLE_LINK281"/>
      <w:bookmarkStart w:id="171" w:name="OLE_LINK282"/>
      <w:bookmarkStart w:id="172" w:name="OLE_LINK313"/>
      <w:bookmarkStart w:id="173" w:name="OLE_LINK304"/>
      <w:bookmarkStart w:id="174" w:name="OLE_LINK321"/>
      <w:bookmarkStart w:id="175" w:name="OLE_LINK385"/>
      <w:bookmarkStart w:id="176" w:name="OLE_LINK400"/>
      <w:bookmarkStart w:id="177" w:name="OLE_LINK346"/>
      <w:bookmarkStart w:id="178" w:name="OLE_LINK371"/>
      <w:bookmarkStart w:id="179" w:name="OLE_LINK334"/>
      <w:bookmarkStart w:id="180" w:name="OLE_LINK1830"/>
      <w:bookmarkStart w:id="181" w:name="OLE_LINK457"/>
      <w:bookmarkStart w:id="182" w:name="OLE_LINK288"/>
      <w:bookmarkStart w:id="183" w:name="OLE_LINK384"/>
      <w:bookmarkStart w:id="184" w:name="OLE_LINK379"/>
      <w:bookmarkStart w:id="185" w:name="OLE_LINK303"/>
      <w:bookmarkStart w:id="186" w:name="OLE_LINK450"/>
      <w:bookmarkStart w:id="187" w:name="OLE_LINK489"/>
      <w:bookmarkStart w:id="188" w:name="OLE_LINK535"/>
      <w:bookmarkStart w:id="189" w:name="OLE_LINK648"/>
      <w:bookmarkStart w:id="190" w:name="OLE_LINK686"/>
      <w:bookmarkStart w:id="191" w:name="OLE_LINK471"/>
      <w:bookmarkStart w:id="192" w:name="OLE_LINK462"/>
      <w:bookmarkStart w:id="193" w:name="OLE_LINK519"/>
      <w:bookmarkStart w:id="194" w:name="OLE_LINK575"/>
      <w:bookmarkStart w:id="195" w:name="OLE_LINK491"/>
      <w:bookmarkStart w:id="196" w:name="OLE_LINK532"/>
      <w:bookmarkStart w:id="197" w:name="OLE_LINK572"/>
      <w:bookmarkStart w:id="198" w:name="OLE_LINK574"/>
      <w:bookmarkStart w:id="199" w:name="OLE_LINK480"/>
      <w:bookmarkStart w:id="200" w:name="OLE_LINK567"/>
      <w:bookmarkStart w:id="201" w:name="OLE_LINK2700"/>
      <w:bookmarkStart w:id="202" w:name="OLE_LINK581"/>
      <w:bookmarkStart w:id="203" w:name="OLE_LINK639"/>
      <w:bookmarkStart w:id="204" w:name="OLE_LINK688"/>
      <w:bookmarkStart w:id="205" w:name="OLE_LINK722"/>
      <w:bookmarkStart w:id="206" w:name="OLE_LINK542"/>
      <w:bookmarkStart w:id="207" w:name="OLE_LINK589"/>
      <w:bookmarkStart w:id="208" w:name="OLE_LINK582"/>
      <w:bookmarkStart w:id="209" w:name="OLE_LINK640"/>
      <w:bookmarkStart w:id="210" w:name="OLE_LINK714"/>
      <w:bookmarkStart w:id="211" w:name="OLE_LINK593"/>
      <w:bookmarkStart w:id="212" w:name="OLE_LINK716"/>
      <w:bookmarkStart w:id="213" w:name="OLE_LINK770"/>
      <w:bookmarkStart w:id="214" w:name="OLE_LINK801"/>
      <w:bookmarkStart w:id="215" w:name="OLE_LINK660"/>
      <w:bookmarkStart w:id="216" w:name="OLE_LINK781"/>
      <w:bookmarkStart w:id="217" w:name="OLE_LINK833"/>
      <w:bookmarkStart w:id="218" w:name="OLE_LINK642"/>
      <w:bookmarkStart w:id="219" w:name="OLE_LINK700"/>
      <w:bookmarkStart w:id="220" w:name="OLE_LINK792"/>
      <w:bookmarkStart w:id="221" w:name="OLE_LINK2882"/>
      <w:bookmarkStart w:id="222" w:name="OLE_LINK836"/>
      <w:bookmarkStart w:id="223" w:name="OLE_LINK889"/>
      <w:bookmarkStart w:id="224" w:name="OLE_LINK782"/>
      <w:bookmarkStart w:id="225" w:name="OLE_LINK826"/>
      <w:bookmarkStart w:id="226" w:name="OLE_LINK865"/>
      <w:bookmarkStart w:id="227" w:name="OLE_LINK856"/>
      <w:bookmarkStart w:id="228" w:name="OLE_LINK908"/>
      <w:bookmarkStart w:id="229" w:name="OLE_LINK980"/>
      <w:bookmarkStart w:id="230" w:name="OLE_LINK1018"/>
      <w:bookmarkStart w:id="231" w:name="OLE_LINK1049"/>
      <w:bookmarkStart w:id="232" w:name="OLE_LINK1076"/>
      <w:bookmarkStart w:id="233" w:name="OLE_LINK1106"/>
      <w:bookmarkStart w:id="234" w:name="OLE_LINK891"/>
      <w:bookmarkStart w:id="235" w:name="OLE_LINK943"/>
      <w:bookmarkStart w:id="236" w:name="OLE_LINK981"/>
      <w:bookmarkStart w:id="237" w:name="OLE_LINK1030"/>
      <w:bookmarkStart w:id="238" w:name="OLE_LINK847"/>
      <w:bookmarkStart w:id="239" w:name="OLE_LINK909"/>
      <w:bookmarkStart w:id="240" w:name="OLE_LINK906"/>
      <w:bookmarkStart w:id="241" w:name="OLE_LINK992"/>
      <w:bookmarkStart w:id="242" w:name="OLE_LINK993"/>
      <w:bookmarkStart w:id="243" w:name="OLE_LINK1052"/>
      <w:bookmarkStart w:id="244" w:name="OLE_LINK946"/>
      <w:bookmarkStart w:id="245" w:name="OLE_LINK911"/>
      <w:bookmarkStart w:id="246" w:name="OLE_LINK930"/>
      <w:bookmarkStart w:id="247" w:name="OLE_LINK1059"/>
      <w:bookmarkStart w:id="248" w:name="OLE_LINK1174"/>
      <w:bookmarkStart w:id="249" w:name="OLE_LINK1137"/>
      <w:bookmarkStart w:id="250" w:name="OLE_LINK1167"/>
      <w:bookmarkStart w:id="251" w:name="OLE_LINK1200"/>
      <w:bookmarkStart w:id="252" w:name="OLE_LINK1241"/>
      <w:bookmarkStart w:id="253" w:name="OLE_LINK1288"/>
      <w:bookmarkStart w:id="254" w:name="OLE_LINK1056"/>
      <w:bookmarkStart w:id="255" w:name="OLE_LINK1158"/>
      <w:bookmarkStart w:id="256" w:name="OLE_LINK1175"/>
      <w:bookmarkStart w:id="257" w:name="OLE_LINK1074"/>
      <w:bookmarkStart w:id="258" w:name="OLE_LINK1169"/>
      <w:bookmarkStart w:id="259" w:name="OLE_LINK386"/>
      <w:r>
        <w:rPr>
          <w:rFonts w:ascii="Book Antiqua" w:hAnsi="Book Antiqua"/>
          <w:b/>
          <w:bCs/>
          <w:kern w:val="0"/>
          <w:sz w:val="24"/>
        </w:rPr>
        <w:t xml:space="preserve">P-Reviewer: </w:t>
      </w:r>
      <w:r>
        <w:rPr>
          <w:rFonts w:ascii="Book Antiqua" w:hAnsi="Book Antiqua"/>
          <w:bCs/>
          <w:kern w:val="0"/>
          <w:sz w:val="24"/>
        </w:rPr>
        <w:t>Musumeci G, Tarantino G</w:t>
      </w:r>
    </w:p>
    <w:p>
      <w:pPr>
        <w:widowControl/>
        <w:snapToGrid w:val="0"/>
        <w:spacing w:line="360" w:lineRule="auto"/>
        <w:jc w:val="right"/>
        <w:rPr>
          <w:rFonts w:ascii="Book Antiqua" w:hAnsi="Book Antiqua"/>
          <w:kern w:val="0"/>
          <w:sz w:val="24"/>
        </w:rPr>
      </w:pPr>
      <w:r>
        <w:rPr>
          <w:rFonts w:ascii="Book Antiqua" w:hAnsi="Book Antiqua"/>
          <w:b/>
          <w:bCs/>
          <w:kern w:val="0"/>
          <w:sz w:val="24"/>
        </w:rPr>
        <w:t>S-Editor:</w:t>
      </w:r>
      <w:r>
        <w:rPr>
          <w:rFonts w:ascii="Book Antiqua" w:hAnsi="Book Antiqua"/>
          <w:kern w:val="0"/>
          <w:sz w:val="24"/>
        </w:rPr>
        <w:t xml:space="preserve"> Ma RY </w:t>
      </w:r>
      <w:r>
        <w:rPr>
          <w:rFonts w:ascii="Book Antiqua" w:hAnsi="Book Antiqua"/>
          <w:b/>
          <w:bCs/>
          <w:kern w:val="0"/>
          <w:sz w:val="24"/>
        </w:rPr>
        <w:t>L-Editor:</w:t>
      </w:r>
      <w:r>
        <w:rPr>
          <w:rFonts w:ascii="Book Antiqua" w:hAnsi="Book Antiqua"/>
          <w:kern w:val="0"/>
          <w:sz w:val="24"/>
        </w:rPr>
        <w:t xml:space="preserve"> Filipodia </w:t>
      </w:r>
      <w:r>
        <w:rPr>
          <w:rFonts w:ascii="Book Antiqua" w:hAnsi="Book Antiqua"/>
          <w:b/>
          <w:bCs/>
          <w:kern w:val="0"/>
          <w:sz w:val="24"/>
        </w:rPr>
        <w:t>E-Editor:</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Pr>
        <w:widowControl/>
        <w:shd w:val="clear" w:color="auto" w:fill="FFFFFF"/>
        <w:snapToGrid w:val="0"/>
        <w:spacing w:line="360" w:lineRule="auto"/>
        <w:rPr>
          <w:rFonts w:ascii="Book Antiqua" w:hAnsi="Book Antiqua" w:cs="Helvetica"/>
          <w:b/>
          <w:kern w:val="0"/>
          <w:sz w:val="24"/>
        </w:rPr>
      </w:pPr>
      <w:bookmarkStart w:id="260" w:name="OLE_LINK880"/>
      <w:bookmarkStart w:id="261" w:name="OLE_LINK881"/>
      <w:r>
        <w:rPr>
          <w:rFonts w:ascii="Book Antiqua" w:hAnsi="Book Antiqua" w:cs="Helvetica"/>
          <w:b/>
          <w:kern w:val="0"/>
          <w:sz w:val="24"/>
        </w:rPr>
        <w:t xml:space="preserve">Specialty type: </w:t>
      </w:r>
      <w:r>
        <w:rPr>
          <w:rFonts w:ascii="Book Antiqua" w:hAnsi="Book Antiqua" w:cs="Helvetica"/>
          <w:kern w:val="0"/>
          <w:sz w:val="24"/>
        </w:rPr>
        <w:t>Gastroenterology and hepatology</w:t>
      </w:r>
    </w:p>
    <w:p>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kern w:val="0"/>
          <w:sz w:val="24"/>
        </w:rPr>
        <w:t>China</w:t>
      </w:r>
    </w:p>
    <w:p>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A (Excellent): 0</w:t>
      </w:r>
    </w:p>
    <w:p>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B (Very good): B</w:t>
      </w:r>
    </w:p>
    <w:p>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C (Good): C</w:t>
      </w:r>
    </w:p>
    <w:p>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D (Fair): 0</w:t>
      </w:r>
    </w:p>
    <w:p>
      <w:pPr>
        <w:widowControl/>
        <w:snapToGrid w:val="0"/>
        <w:spacing w:line="360" w:lineRule="auto"/>
        <w:rPr>
          <w:rFonts w:ascii="Book Antiqua" w:hAnsi="Book Antiqua"/>
          <w:b/>
          <w:iCs/>
          <w:kern w:val="0"/>
          <w:sz w:val="24"/>
        </w:rPr>
      </w:pPr>
      <w:r>
        <w:rPr>
          <w:rFonts w:ascii="Book Antiqua" w:hAnsi="Book Antiqua" w:cs="Helvetica"/>
          <w:kern w:val="0"/>
          <w:sz w:val="24"/>
        </w:rPr>
        <w:t>Grade E (Poor): 0</w:t>
      </w:r>
      <w:bookmarkEnd w:id="259"/>
      <w:bookmarkEnd w:id="260"/>
      <w:bookmarkEnd w:id="261"/>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 xml:space="preserve">Table 1 Five major constituents in Si-Ni-San freeze-dried powder </w:t>
      </w:r>
    </w:p>
    <w:tbl>
      <w:tblPr>
        <w:tblStyle w:val="8"/>
        <w:tblW w:w="8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485"/>
        <w:gridCol w:w="1485"/>
        <w:gridCol w:w="1380"/>
        <w:gridCol w:w="1440"/>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1486" w:type="dxa"/>
            <w:tcBorders>
              <w:left w:val="nil"/>
              <w:right w:val="nil"/>
            </w:tcBorders>
            <w:shd w:val="clear" w:color="auto" w:fill="auto"/>
          </w:tcPr>
          <w:p>
            <w:pPr>
              <w:adjustRightInd w:val="0"/>
              <w:snapToGrid w:val="0"/>
              <w:spacing w:line="360" w:lineRule="auto"/>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Compound</w:t>
            </w:r>
          </w:p>
        </w:tc>
        <w:tc>
          <w:tcPr>
            <w:tcW w:w="1485" w:type="dxa"/>
            <w:tcBorders>
              <w:left w:val="nil"/>
              <w:right w:val="nil"/>
            </w:tcBorders>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Saikoside A</w:t>
            </w:r>
          </w:p>
        </w:tc>
        <w:tc>
          <w:tcPr>
            <w:tcW w:w="1485" w:type="dxa"/>
            <w:tcBorders>
              <w:left w:val="nil"/>
              <w:right w:val="nil"/>
            </w:tcBorders>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Paeonilorin</w:t>
            </w:r>
          </w:p>
        </w:tc>
        <w:tc>
          <w:tcPr>
            <w:tcW w:w="1380" w:type="dxa"/>
            <w:tcBorders>
              <w:left w:val="nil"/>
              <w:right w:val="nil"/>
            </w:tcBorders>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Naringin</w:t>
            </w:r>
          </w:p>
        </w:tc>
        <w:tc>
          <w:tcPr>
            <w:tcW w:w="1440" w:type="dxa"/>
            <w:tcBorders>
              <w:left w:val="nil"/>
              <w:right w:val="nil"/>
            </w:tcBorders>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Hesperidin</w:t>
            </w:r>
          </w:p>
        </w:tc>
        <w:tc>
          <w:tcPr>
            <w:tcW w:w="1507" w:type="dxa"/>
            <w:tcBorders>
              <w:left w:val="nil"/>
              <w:right w:val="nil"/>
            </w:tcBorders>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Licorice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tcBorders>
              <w:left w:val="nil"/>
              <w:right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Contents</w:t>
            </w:r>
            <w:r>
              <w:rPr>
                <w:rFonts w:ascii="Book Antiqua" w:hAnsi="Book Antiqua"/>
                <w:color w:val="000000" w:themeColor="text1"/>
                <w:sz w:val="24"/>
                <w:vertAlign w:val="superscript"/>
                <w14:textFill>
                  <w14:solidFill>
                    <w14:schemeClr w14:val="tx1"/>
                  </w14:solidFill>
                </w14:textFill>
              </w:rPr>
              <w:t>1</w:t>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In mg/g</w:t>
            </w:r>
          </w:p>
        </w:tc>
        <w:tc>
          <w:tcPr>
            <w:tcW w:w="1485" w:type="dxa"/>
            <w:tcBorders>
              <w:left w:val="nil"/>
              <w:right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89.5 ± 0.02</w:t>
            </w:r>
          </w:p>
        </w:tc>
        <w:tc>
          <w:tcPr>
            <w:tcW w:w="1485" w:type="dxa"/>
            <w:tcBorders>
              <w:left w:val="nil"/>
              <w:right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458.2</w:t>
            </w:r>
            <w:bookmarkStart w:id="262" w:name="OLE_LINK63"/>
            <w:r>
              <w:rPr>
                <w:rFonts w:ascii="Book Antiqua" w:hAnsi="Book Antiqua"/>
                <w:color w:val="000000" w:themeColor="text1"/>
                <w:sz w:val="24"/>
                <w14:textFill>
                  <w14:solidFill>
                    <w14:schemeClr w14:val="tx1"/>
                  </w14:solidFill>
                </w14:textFill>
              </w:rPr>
              <w:t xml:space="preserve"> ±</w:t>
            </w:r>
            <w:bookmarkEnd w:id="262"/>
            <w:r>
              <w:rPr>
                <w:rFonts w:ascii="Book Antiqua" w:hAnsi="Book Antiqua"/>
                <w:color w:val="000000" w:themeColor="text1"/>
                <w:sz w:val="24"/>
                <w14:textFill>
                  <w14:solidFill>
                    <w14:schemeClr w14:val="tx1"/>
                  </w14:solidFill>
                </w14:textFill>
              </w:rPr>
              <w:t xml:space="preserve"> 0.03</w:t>
            </w:r>
          </w:p>
        </w:tc>
        <w:tc>
          <w:tcPr>
            <w:tcW w:w="1380" w:type="dxa"/>
            <w:tcBorders>
              <w:left w:val="nil"/>
              <w:right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143.4 ± 0.03</w:t>
            </w:r>
          </w:p>
        </w:tc>
        <w:tc>
          <w:tcPr>
            <w:tcW w:w="1440" w:type="dxa"/>
            <w:tcBorders>
              <w:left w:val="nil"/>
              <w:right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138.3 ± 0.02</w:t>
            </w:r>
          </w:p>
        </w:tc>
        <w:tc>
          <w:tcPr>
            <w:tcW w:w="1507" w:type="dxa"/>
            <w:tcBorders>
              <w:left w:val="nil"/>
              <w:right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140.3 ± 0.01</w:t>
            </w:r>
          </w:p>
        </w:tc>
      </w:tr>
    </w:tbl>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vertAlign w:val="superscript"/>
          <w14:textFill>
            <w14:solidFill>
              <w14:schemeClr w14:val="tx1"/>
            </w14:solidFill>
          </w14:textFill>
        </w:rPr>
        <w:t>1</w:t>
      </w:r>
      <w:r>
        <w:rPr>
          <w:rFonts w:ascii="Book Antiqua" w:hAnsi="Book Antiqua"/>
          <w:color w:val="000000" w:themeColor="text1"/>
          <w:sz w:val="24"/>
          <w14:textFill>
            <w14:solidFill>
              <w14:schemeClr w14:val="tx1"/>
            </w14:solidFill>
          </w14:textFill>
        </w:rPr>
        <w:t>Data expressed as mean</w:t>
      </w:r>
      <w:bookmarkStart w:id="263" w:name="OLE_LINK62"/>
      <w:r>
        <w:rPr>
          <w:rFonts w:ascii="Book Antiqua" w:hAnsi="Book Antiqua"/>
          <w:color w:val="000000" w:themeColor="text1"/>
          <w:sz w:val="24"/>
          <w14:textFill>
            <w14:solidFill>
              <w14:schemeClr w14:val="tx1"/>
            </w14:solidFill>
          </w14:textFill>
        </w:rPr>
        <w:t xml:space="preserve"> ±</w:t>
      </w:r>
      <w:bookmarkEnd w:id="263"/>
      <w:r>
        <w:rPr>
          <w:rFonts w:ascii="Book Antiqua" w:hAnsi="Book Antiqua"/>
          <w:color w:val="000000" w:themeColor="text1"/>
          <w:sz w:val="24"/>
          <w14:textFill>
            <w14:solidFill>
              <w14:schemeClr w14:val="tx1"/>
            </w14:solidFill>
          </w14:textFill>
        </w:rPr>
        <w:t xml:space="preserve"> SD (</w:t>
      </w:r>
      <w:r>
        <w:rPr>
          <w:rFonts w:ascii="Book Antiqua" w:hAnsi="Book Antiqua"/>
          <w:i/>
          <w:iCs/>
          <w:color w:val="000000" w:themeColor="text1"/>
          <w:sz w:val="24"/>
          <w14:textFill>
            <w14:solidFill>
              <w14:schemeClr w14:val="tx1"/>
            </w14:solidFill>
          </w14:textFill>
        </w:rPr>
        <w:t>n</w:t>
      </w:r>
      <w:r>
        <w:rPr>
          <w:rFonts w:ascii="Book Antiqua" w:hAnsi="Book Antiqua"/>
          <w:color w:val="000000" w:themeColor="text1"/>
          <w:sz w:val="24"/>
          <w14:textFill>
            <w14:solidFill>
              <w14:schemeClr w14:val="tx1"/>
            </w14:solidFill>
          </w14:textFill>
        </w:rPr>
        <w:t xml:space="preserve"> = 5).</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pStyle w:val="6"/>
        <w:widowControl/>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Table 2 Composition of diets </w:t>
      </w:r>
    </w:p>
    <w:tbl>
      <w:tblPr>
        <w:tblStyle w:val="8"/>
        <w:tblW w:w="8085"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655"/>
        <w:gridCol w:w="2970"/>
        <w:gridCol w:w="246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79" w:hRule="atLeast"/>
        </w:trPr>
        <w:tc>
          <w:tcPr>
            <w:tcW w:w="2655" w:type="dxa"/>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p>
        </w:tc>
        <w:tc>
          <w:tcPr>
            <w:tcW w:w="2970" w:type="dxa"/>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Normal chow diet</w:t>
            </w:r>
            <w:bookmarkStart w:id="264" w:name="OLE_LINK4"/>
            <w:r>
              <w:rPr>
                <w:rFonts w:ascii="Book Antiqua" w:hAnsi="Book Antiqua"/>
                <w:b/>
                <w:bCs/>
                <w:color w:val="000000" w:themeColor="text1"/>
                <w:sz w:val="24"/>
                <w14:textFill>
                  <w14:solidFill>
                    <w14:schemeClr w14:val="tx1"/>
                  </w14:solidFill>
                </w14:textFill>
              </w:rPr>
              <w:t xml:space="preserve"> in g/kg</w:t>
            </w:r>
            <w:bookmarkEnd w:id="264"/>
          </w:p>
        </w:tc>
        <w:tc>
          <w:tcPr>
            <w:tcW w:w="2460" w:type="dxa"/>
            <w:shd w:val="clear" w:color="auto" w:fill="auto"/>
          </w:tcPr>
          <w:p>
            <w:pPr>
              <w:adjustRightInd w:val="0"/>
              <w:snapToGrid w:val="0"/>
              <w:spacing w:line="360" w:lineRule="auto"/>
              <w:jc w:val="center"/>
              <w:rPr>
                <w:rFonts w:ascii="Book Antiqua" w:hAnsi="Book Antiqua"/>
                <w:b/>
                <w:bCs/>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High fat diet in g/kg</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504" w:hRule="atLeast"/>
        </w:trPr>
        <w:tc>
          <w:tcPr>
            <w:tcW w:w="2655" w:type="dxa"/>
            <w:tcBorders>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Casein</w:t>
            </w:r>
          </w:p>
        </w:tc>
        <w:tc>
          <w:tcPr>
            <w:tcW w:w="2970" w:type="dxa"/>
            <w:tcBorders>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212.33</w:t>
            </w:r>
          </w:p>
        </w:tc>
        <w:tc>
          <w:tcPr>
            <w:tcW w:w="2460" w:type="dxa"/>
            <w:tcBorders>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261.02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46"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L-Cystine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2.84</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5"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Corn starch</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275.84</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56.87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78"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Maltodextrin</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33.18</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116.53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38"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Sucrose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331.77</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201.36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2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Cellulose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47.40</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58.26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Soybean oil</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23.70</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29.13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Lard</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18.96</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206.84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Mineral mix</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9.84</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11.65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Dicalcium phosphate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12.32</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15.15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Calcium carbonate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5.21</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6.41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Potassium citrate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15.64</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19.23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Vitamin mix</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9.48</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11.56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nil"/>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Choline bitartrate</w:t>
            </w:r>
          </w:p>
        </w:tc>
        <w:tc>
          <w:tcPr>
            <w:tcW w:w="297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1.90</w:t>
            </w:r>
          </w:p>
        </w:tc>
        <w:tc>
          <w:tcPr>
            <w:tcW w:w="2460" w:type="dxa"/>
            <w:tcBorders>
              <w:top w:val="nil"/>
              <w:bottom w:val="nil"/>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2.33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93" w:hRule="atLeast"/>
        </w:trPr>
        <w:tc>
          <w:tcPr>
            <w:tcW w:w="2655" w:type="dxa"/>
            <w:tcBorders>
              <w:top w:val="nil"/>
              <w:bottom w:val="single" w:color="auto" w:sz="4" w:space="0"/>
            </w:tcBorders>
            <w:shd w:val="clear" w:color="auto" w:fill="auto"/>
          </w:tcPr>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FD&amp;C dye</w:t>
            </w:r>
          </w:p>
        </w:tc>
        <w:tc>
          <w:tcPr>
            <w:tcW w:w="2970" w:type="dxa"/>
            <w:tcBorders>
              <w:top w:val="nil"/>
              <w:bottom w:val="single" w:color="auto" w:sz="4" w:space="0"/>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0.047</w:t>
            </w:r>
          </w:p>
        </w:tc>
        <w:tc>
          <w:tcPr>
            <w:tcW w:w="2460" w:type="dxa"/>
            <w:tcBorders>
              <w:top w:val="nil"/>
              <w:bottom w:val="single" w:color="auto" w:sz="4" w:space="0"/>
            </w:tcBorders>
            <w:shd w:val="clear" w:color="auto" w:fill="auto"/>
          </w:tcPr>
          <w:p>
            <w:pPr>
              <w:adjustRightInd w:val="0"/>
              <w:snapToGrid w:val="0"/>
              <w:spacing w:line="360" w:lineRule="auto"/>
              <w:jc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0.058</w:t>
            </w:r>
          </w:p>
        </w:tc>
      </w:tr>
      <w:bookmarkEnd w:id="13"/>
    </w:tbl>
    <w:p>
      <w:pPr>
        <w:adjustRightInd w:val="0"/>
        <w:snapToGrid w:val="0"/>
        <w:spacing w:line="360" w:lineRule="auto"/>
        <w:rPr>
          <w:rFonts w:ascii="Book Antiqua" w:hAnsi="Book Antiqua"/>
          <w:color w:val="000000" w:themeColor="text1"/>
          <w:sz w:val="24"/>
          <w14:textFill>
            <w14:solidFill>
              <w14:schemeClr w14:val="tx1"/>
            </w14:solidFill>
          </w14:textFill>
        </w:rPr>
      </w:pP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185801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9450" cy="1858010"/>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1 Effects of Si-Ni-San freeze-dried powder on body weight, liver index and visceral fat index.</w:t>
      </w:r>
      <w:r>
        <w:rPr>
          <w:rFonts w:ascii="Book Antiqua" w:hAnsi="Book Antiqua"/>
          <w:color w:val="000000" w:themeColor="text1"/>
          <w:sz w:val="24"/>
          <w14:textFill>
            <w14:solidFill>
              <w14:schemeClr w14:val="tx1"/>
            </w14:solidFill>
          </w14:textFill>
        </w:rPr>
        <w:t xml:space="preserve"> A: Body weight at 12 wk; B: Liver index (liver weight/body weight); C: Visceral fat index (visceral fat weight/body weight). </w:t>
      </w:r>
      <w:r>
        <w:rPr>
          <w:rFonts w:ascii="Book Antiqua" w:hAnsi="Book Antiqua"/>
          <w:color w:val="000000" w:themeColor="text1"/>
          <w:sz w:val="24"/>
          <w:vertAlign w:val="superscript"/>
          <w14:textFill>
            <w14:solidFill>
              <w14:schemeClr w14:val="tx1"/>
            </w14:solidFill>
          </w14:textFill>
        </w:rPr>
        <w:t>a</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CON group mice, </w:t>
      </w:r>
      <w:r>
        <w:rPr>
          <w:rFonts w:ascii="Book Antiqua" w:hAnsi="Book Antiqua"/>
          <w:color w:val="000000" w:themeColor="text1"/>
          <w:sz w:val="24"/>
          <w:vertAlign w:val="superscript"/>
          <w14:textFill>
            <w14:solidFill>
              <w14:schemeClr w14:val="tx1"/>
            </w14:solidFill>
          </w14:textFill>
        </w:rPr>
        <w:t>b</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FAT group mice.</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20675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2067560"/>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2 Si-Ni-San freeze-dried powder ameliorates liver inflammation and injury.</w:t>
      </w:r>
      <w:r>
        <w:rPr>
          <w:rFonts w:ascii="Book Antiqua" w:hAnsi="Book Antiqua"/>
          <w:color w:val="000000" w:themeColor="text1"/>
          <w:sz w:val="24"/>
          <w14:textFill>
            <w14:solidFill>
              <w14:schemeClr w14:val="tx1"/>
            </w14:solidFill>
          </w14:textFill>
        </w:rPr>
        <w:t xml:space="preserve"> A: Portal lipopolysaccharide; B: Liver tumor necrosis factor-α; C: Serum alanine aminotransferase. </w:t>
      </w:r>
      <w:r>
        <w:rPr>
          <w:rFonts w:ascii="Book Antiqua" w:hAnsi="Book Antiqua"/>
          <w:color w:val="000000" w:themeColor="text1"/>
          <w:sz w:val="24"/>
          <w:vertAlign w:val="superscript"/>
          <w14:textFill>
            <w14:solidFill>
              <w14:schemeClr w14:val="tx1"/>
            </w14:solidFill>
          </w14:textFill>
        </w:rPr>
        <w:t>a</w:t>
      </w:r>
      <w:r>
        <w:rPr>
          <w:rFonts w:ascii="Book Antiqua" w:hAnsi="Book Antiqua"/>
          <w:i/>
          <w:iCs/>
          <w:color w:val="000000" w:themeColor="text1"/>
          <w:sz w:val="24"/>
          <w14:textFill>
            <w14:solidFill>
              <w14:schemeClr w14:val="tx1"/>
            </w14:solidFill>
          </w14:textFill>
        </w:rPr>
        <w:t xml:space="preserve">P </w:t>
      </w:r>
      <w:r>
        <w:rPr>
          <w:rFonts w:ascii="Book Antiqua" w:hAnsi="Book Antiqua"/>
          <w:color w:val="000000" w:themeColor="text1"/>
          <w:sz w:val="24"/>
          <w14:textFill>
            <w14:solidFill>
              <w14:schemeClr w14:val="tx1"/>
            </w14:solidFill>
          </w14:textFill>
        </w:rPr>
        <w:t xml:space="preserve">&lt;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CON group mice, </w:t>
      </w:r>
      <w:r>
        <w:rPr>
          <w:rFonts w:ascii="Book Antiqua" w:hAnsi="Book Antiqua"/>
          <w:color w:val="000000" w:themeColor="text1"/>
          <w:sz w:val="24"/>
          <w:vertAlign w:val="superscript"/>
          <w14:textFill>
            <w14:solidFill>
              <w14:schemeClr w14:val="tx1"/>
            </w14:solidFill>
          </w14:textFill>
        </w:rPr>
        <w:t>b</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FAT group mice. ALT: Alanine aminotransferase; LPS: Lipopolysaccharide; TNF</w:t>
      </w:r>
      <w:bookmarkStart w:id="265" w:name="OLE_LINK158"/>
      <w:bookmarkStart w:id="266" w:name="OLE_LINK159"/>
      <w:r>
        <w:rPr>
          <w:rFonts w:ascii="Book Antiqua" w:hAnsi="Book Antiqua"/>
          <w:color w:val="000000" w:themeColor="text1"/>
          <w:sz w:val="24"/>
          <w14:textFill>
            <w14:solidFill>
              <w14:schemeClr w14:val="tx1"/>
            </w14:solidFill>
          </w14:textFill>
        </w:rPr>
        <w:t>-α</w:t>
      </w:r>
      <w:bookmarkEnd w:id="265"/>
      <w:bookmarkEnd w:id="266"/>
      <w:r>
        <w:rPr>
          <w:rFonts w:ascii="Book Antiqua" w:hAnsi="Book Antiqua"/>
          <w:color w:val="000000" w:themeColor="text1"/>
          <w:sz w:val="24"/>
          <w14:textFill>
            <w14:solidFill>
              <w14:schemeClr w14:val="tx1"/>
            </w14:solidFill>
          </w14:textFill>
        </w:rPr>
        <w:t xml:space="preserve">: </w:t>
      </w:r>
      <w:bookmarkStart w:id="267" w:name="OLE_LINK164"/>
      <w:bookmarkStart w:id="268" w:name="OLE_LINK165"/>
      <w:r>
        <w:rPr>
          <w:rFonts w:ascii="Book Antiqua" w:hAnsi="Book Antiqua"/>
          <w:color w:val="000000" w:themeColor="text1"/>
          <w:sz w:val="24"/>
          <w14:textFill>
            <w14:solidFill>
              <w14:schemeClr w14:val="tx1"/>
            </w14:solidFill>
          </w14:textFill>
        </w:rPr>
        <w:t>Tumor necrosis factor-α</w:t>
      </w:r>
      <w:bookmarkEnd w:id="267"/>
      <w:bookmarkEnd w:id="268"/>
      <w:r>
        <w:rPr>
          <w:rFonts w:ascii="Book Antiqua" w:hAnsi="Book Antiqua"/>
          <w:color w:val="000000" w:themeColor="text1"/>
          <w:sz w:val="24"/>
          <w14:textFill>
            <w14:solidFill>
              <w14:schemeClr w14:val="tx1"/>
            </w14:solidFill>
          </w14:textFill>
        </w:rPr>
        <w:t xml:space="preserve">. </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4104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59450" cy="4104005"/>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3 Si-Ni-San freeze-dried powder ameliorates high fat diet-induced hepatic triglyceride accumulation.</w:t>
      </w:r>
      <w:r>
        <w:rPr>
          <w:rFonts w:ascii="Book Antiqua" w:hAnsi="Book Antiqua"/>
          <w:color w:val="000000" w:themeColor="text1"/>
          <w:sz w:val="24"/>
          <w14:textFill>
            <w14:solidFill>
              <w14:schemeClr w14:val="tx1"/>
            </w14:solidFill>
          </w14:textFill>
        </w:rPr>
        <w:t xml:space="preserve"> A: Representative Oil Red O staining (magnification 200 ×); B: Liver triglycerides. </w:t>
      </w:r>
      <w:r>
        <w:rPr>
          <w:rFonts w:ascii="Book Antiqua" w:hAnsi="Book Antiqua"/>
          <w:color w:val="000000" w:themeColor="text1"/>
          <w:sz w:val="24"/>
          <w:vertAlign w:val="superscript"/>
          <w14:textFill>
            <w14:solidFill>
              <w14:schemeClr w14:val="tx1"/>
            </w14:solidFill>
          </w14:textFill>
        </w:rPr>
        <w:t>a</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CON group mice,</w:t>
      </w:r>
      <w:r>
        <w:rPr>
          <w:rFonts w:ascii="Book Antiqua" w:hAnsi="Book Antiqua"/>
          <w:color w:val="000000" w:themeColor="text1"/>
          <w:sz w:val="24"/>
          <w:vertAlign w:val="superscript"/>
          <w14:textFill>
            <w14:solidFill>
              <w14:schemeClr w14:val="tx1"/>
            </w14:solidFill>
          </w14:textFill>
        </w:rPr>
        <w:t xml:space="preserve"> b</w:t>
      </w:r>
      <w:r>
        <w:rPr>
          <w:rFonts w:ascii="Book Antiqua" w:hAnsi="Book Antiqua"/>
          <w:i/>
          <w:iCs/>
          <w:color w:val="000000" w:themeColor="text1"/>
          <w:sz w:val="24"/>
          <w14:textFill>
            <w14:solidFill>
              <w14:schemeClr w14:val="tx1"/>
            </w14:solidFill>
          </w14:textFill>
        </w:rPr>
        <w:t>P</w:t>
      </w:r>
      <w:r>
        <w:rPr>
          <w:rFonts w:ascii="Book Antiqua" w:hAnsi="Book Antiqua"/>
          <w:color w:val="000000" w:themeColor="text1"/>
          <w:sz w:val="24"/>
          <w14:textFill>
            <w14:solidFill>
              <w14:schemeClr w14:val="tx1"/>
            </w14:solidFill>
          </w14:textFill>
        </w:rPr>
        <w:t xml:space="preserve"> &lt; 0.05 </w:t>
      </w:r>
      <w:r>
        <w:rPr>
          <w:rFonts w:ascii="Book Antiqua" w:hAnsi="Book Antiqua"/>
          <w:i/>
          <w:iCs/>
          <w:color w:val="000000" w:themeColor="text1"/>
          <w:sz w:val="24"/>
          <w14:textFill>
            <w14:solidFill>
              <w14:schemeClr w14:val="tx1"/>
            </w14:solidFill>
          </w14:textFill>
        </w:rPr>
        <w:t>vs</w:t>
      </w:r>
      <w:r>
        <w:rPr>
          <w:rFonts w:ascii="Book Antiqua" w:hAnsi="Book Antiqua"/>
          <w:color w:val="000000" w:themeColor="text1"/>
          <w:sz w:val="24"/>
          <w14:textFill>
            <w14:solidFill>
              <w14:schemeClr w14:val="tx1"/>
            </w14:solidFill>
          </w14:textFill>
        </w:rPr>
        <w:t xml:space="preserve"> FAT group mice.</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2066290"/>
            <wp:effectExtent l="0" t="0" r="635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066290"/>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4 Intestinal microbiota composition in different group samples.</w:t>
      </w:r>
      <w:r>
        <w:rPr>
          <w:rFonts w:ascii="Book Antiqua" w:hAnsi="Book Antiqua"/>
          <w:color w:val="000000" w:themeColor="text1"/>
          <w:sz w:val="24"/>
          <w14:textFill>
            <w14:solidFill>
              <w14:schemeClr w14:val="tx1"/>
            </w14:solidFill>
          </w14:textFill>
        </w:rPr>
        <w:t xml:space="preserve"> A: Venn diagram of </w:t>
      </w:r>
      <w:bookmarkStart w:id="269" w:name="OLE_LINK170"/>
      <w:bookmarkStart w:id="270" w:name="OLE_LINK171"/>
      <w:r>
        <w:rPr>
          <w:rFonts w:ascii="Book Antiqua" w:hAnsi="Book Antiqua"/>
          <w:color w:val="000000" w:themeColor="text1"/>
          <w:sz w:val="24"/>
          <w14:textFill>
            <w14:solidFill>
              <w14:schemeClr w14:val="tx1"/>
            </w14:solidFill>
          </w14:textFill>
        </w:rPr>
        <w:t>operational taxonomic units</w:t>
      </w:r>
      <w:bookmarkEnd w:id="269"/>
      <w:bookmarkEnd w:id="270"/>
      <w:r>
        <w:rPr>
          <w:rFonts w:ascii="Book Antiqua" w:hAnsi="Book Antiqua"/>
          <w:color w:val="000000" w:themeColor="text1"/>
          <w:sz w:val="24"/>
          <w14:textFill>
            <w14:solidFill>
              <w14:schemeClr w14:val="tx1"/>
            </w14:solidFill>
          </w14:textFill>
        </w:rPr>
        <w:t>; B: Rarefaction curves; C: Unweighted Uni Frac PCo A. OUTs: Operational taxonomic units.</w:t>
      </w:r>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203898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038985"/>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5 Bacterial biomarkers of different group samples.</w:t>
      </w:r>
      <w:r>
        <w:rPr>
          <w:rFonts w:ascii="Book Antiqua" w:hAnsi="Book Antiqua"/>
          <w:color w:val="000000" w:themeColor="text1"/>
          <w:sz w:val="24"/>
          <w14:textFill>
            <w14:solidFill>
              <w14:schemeClr w14:val="tx1"/>
            </w14:solidFill>
          </w14:textFill>
        </w:rPr>
        <w:t xml:space="preserve"> A: Bacterial biomarkers found by </w:t>
      </w:r>
      <w:bookmarkStart w:id="271" w:name="OLE_LINK181"/>
      <w:bookmarkStart w:id="272" w:name="OLE_LINK182"/>
      <w:r>
        <w:rPr>
          <w:rFonts w:ascii="Book Antiqua" w:hAnsi="Book Antiqua"/>
          <w:color w:val="000000" w:themeColor="text1"/>
          <w:sz w:val="24"/>
          <w14:textFill>
            <w14:solidFill>
              <w14:schemeClr w14:val="tx1"/>
            </w14:solidFill>
          </w14:textFill>
        </w:rPr>
        <w:t>linear discriminant analysis effect size (LEfSe)</w:t>
      </w:r>
      <w:bookmarkEnd w:id="271"/>
      <w:bookmarkEnd w:id="272"/>
      <w:r>
        <w:rPr>
          <w:rFonts w:ascii="Book Antiqua" w:hAnsi="Book Antiqua"/>
          <w:color w:val="000000" w:themeColor="text1"/>
          <w:sz w:val="24"/>
          <w14:textFill>
            <w14:solidFill>
              <w14:schemeClr w14:val="tx1"/>
            </w14:solidFill>
          </w14:textFill>
        </w:rPr>
        <w:t xml:space="preserve">; B: Taxonomic cladogram obtained from LEfSe. Taxa meeting an </w:t>
      </w:r>
      <w:bookmarkStart w:id="273" w:name="OLE_LINK179"/>
      <w:bookmarkStart w:id="274" w:name="OLE_LINK180"/>
      <w:bookmarkStart w:id="275" w:name="OLE_LINK183"/>
      <w:r>
        <w:rPr>
          <w:rFonts w:ascii="Book Antiqua" w:hAnsi="Book Antiqua"/>
          <w:color w:val="000000" w:themeColor="text1"/>
          <w:sz w:val="24"/>
          <w14:textFill>
            <w14:solidFill>
              <w14:schemeClr w14:val="tx1"/>
            </w14:solidFill>
          </w14:textFill>
        </w:rPr>
        <w:t>linear discriminant analysis</w:t>
      </w:r>
      <w:bookmarkEnd w:id="273"/>
      <w:bookmarkEnd w:id="274"/>
      <w:bookmarkEnd w:id="275"/>
      <w:r>
        <w:rPr>
          <w:rFonts w:ascii="Book Antiqua" w:hAnsi="Book Antiqua"/>
          <w:color w:val="000000" w:themeColor="text1"/>
          <w:sz w:val="24"/>
          <w14:textFill>
            <w14:solidFill>
              <w14:schemeClr w14:val="tx1"/>
            </w14:solidFill>
          </w14:textFill>
        </w:rPr>
        <w:t xml:space="preserve"> significant threshold &gt; 4 are shown. c: class level; f: family level; g: genus level; o: order level; p: phylum level. </w:t>
      </w:r>
      <w:bookmarkStart w:id="276" w:name="OLE_LINK184"/>
      <w:bookmarkStart w:id="277" w:name="OLE_LINK185"/>
      <w:r>
        <w:rPr>
          <w:rFonts w:ascii="Book Antiqua" w:hAnsi="Book Antiqua"/>
          <w:color w:val="000000" w:themeColor="text1"/>
          <w:sz w:val="24"/>
          <w14:textFill>
            <w14:solidFill>
              <w14:schemeClr w14:val="tx1"/>
            </w14:solidFill>
          </w14:textFill>
        </w:rPr>
        <w:t>LDA: Linear discriminant analysis.</w:t>
      </w:r>
      <w:bookmarkEnd w:id="276"/>
      <w:bookmarkEnd w:id="277"/>
    </w:p>
    <w:p>
      <w:pPr>
        <w:widowControl/>
        <w:snapToGrid w:val="0"/>
        <w:spacing w:line="360" w:lineRule="auto"/>
        <w:jc w:val="left"/>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lang w:eastAsia="en-US"/>
          <w14:textFill>
            <w14:solidFill>
              <w14:schemeClr w14:val="tx1"/>
            </w14:solidFill>
          </w14:textFill>
        </w:rPr>
        <w:drawing>
          <wp:inline distT="0" distB="0" distL="0" distR="0">
            <wp:extent cx="5759450" cy="173164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731645"/>
                    </a:xfrm>
                    <a:prstGeom prst="rect">
                      <a:avLst/>
                    </a:prstGeom>
                  </pic:spPr>
                </pic:pic>
              </a:graphicData>
            </a:graphic>
          </wp:inline>
        </w:drawing>
      </w:r>
    </w:p>
    <w:p>
      <w:pPr>
        <w:adjustRightInd w:val="0"/>
        <w:snapToGrid w:val="0"/>
        <w:spacing w:line="360" w:lineRule="auto"/>
        <w:rPr>
          <w:rFonts w:ascii="Book Antiqua" w:hAnsi="Book Antiqua"/>
          <w:color w:val="000000" w:themeColor="text1"/>
          <w:sz w:val="24"/>
          <w14:textFill>
            <w14:solidFill>
              <w14:schemeClr w14:val="tx1"/>
            </w14:solidFill>
          </w14:textFill>
        </w:rPr>
      </w:pPr>
      <w:r>
        <w:rPr>
          <w:rFonts w:ascii="Book Antiqua" w:hAnsi="Book Antiqua"/>
          <w:b/>
          <w:bCs/>
          <w:color w:val="000000" w:themeColor="text1"/>
          <w:sz w:val="24"/>
          <w14:textFill>
            <w14:solidFill>
              <w14:schemeClr w14:val="tx1"/>
            </w14:solidFill>
          </w14:textFill>
        </w:rPr>
        <w:t>Figure 6 Intestinal microbiota functions in different group samples.</w:t>
      </w:r>
      <w:r>
        <w:rPr>
          <w:rFonts w:ascii="Book Antiqua" w:hAnsi="Book Antiqua"/>
          <w:color w:val="000000" w:themeColor="text1"/>
          <w:sz w:val="24"/>
          <w14:textFill>
            <w14:solidFill>
              <w14:schemeClr w14:val="tx1"/>
            </w14:solidFill>
          </w14:textFill>
        </w:rPr>
        <w:t xml:space="preserve"> A: Functional biomarkers found by linear discriminant analysis effect size (LEfSe); B: Functional cladogram obtained from LEfSe. Functions meeting an linear discriminant analysis significant threshold &gt; 3.1 are shown. LDA: Linear discriminant analysis.</w:t>
      </w:r>
    </w:p>
    <w:sectPr>
      <w:footerReference r:id="rId3" w:type="default"/>
      <w:footerReference r:id="rId4" w:type="even"/>
      <w:pgSz w:w="11906" w:h="16838"/>
      <w:pgMar w:top="1440" w:right="1440" w:bottom="1440" w:left="1440" w:header="850" w:footer="9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004C5832-0B0E-4D0C-AE63-6BA2D6700A52}"/>
  </w:font>
  <w:font w:name="Calibri">
    <w:panose1 w:val="020F0502020204030204"/>
    <w:charset w:val="00"/>
    <w:family w:val="swiss"/>
    <w:pitch w:val="default"/>
    <w:sig w:usb0="E00002FF" w:usb1="4000ACFF" w:usb2="00000001" w:usb3="00000000" w:csb0="2000019F" w:csb1="00000000"/>
  </w:font>
  <w:font w:name="Lucida Grande">
    <w:altName w:val="Courier New"/>
    <w:panose1 w:val="020B0600040502020204"/>
    <w:charset w:val="00"/>
    <w:family w:val="swiss"/>
    <w:pitch w:val="default"/>
    <w:sig w:usb0="00000000" w:usb1="00000000" w:usb2="00000000" w:usb3="00000000" w:csb0="000001BF" w:csb1="00000000"/>
  </w:font>
  <w:font w:name="Book Antiqua">
    <w:panose1 w:val="02040602050305030304"/>
    <w:charset w:val="00"/>
    <w:family w:val="roman"/>
    <w:pitch w:val="default"/>
    <w:sig w:usb0="00000003" w:usb1="00000000" w:usb2="00000000" w:usb3="00000000" w:csb0="20000001" w:csb1="00000000"/>
    <w:embedRegular r:id="rId2" w:fontKey="{9F7A78EA-A2A3-463F-83A0-0B4AE653D012}"/>
  </w:font>
  <w:font w:name="YouYuan">
    <w:altName w:val="宋体"/>
    <w:panose1 w:val="020B0604020202020204"/>
    <w:charset w:val="86"/>
    <w:family w:val="modern"/>
    <w:pitch w:val="default"/>
    <w:sig w:usb0="00000000" w:usb1="00000000" w:usb2="00000010" w:usb3="00000000" w:csb0="00040000" w:csb1="00000000"/>
    <w:embedRegular r:id="rId3" w:fontKey="{8291155B-56A5-4E32-BD4F-12A0BDADEB43}"/>
  </w:font>
  <w:font w:name="DengXian">
    <w:altName w:val="宋体"/>
    <w:panose1 w:val="02010600030101010101"/>
    <w:charset w:val="86"/>
    <w:family w:val="auto"/>
    <w:pitch w:val="default"/>
    <w:sig w:usb0="00000000" w:usb1="00000000" w:usb2="00000016" w:usb3="00000000" w:csb0="0004000F" w:csb1="00000000"/>
    <w:embedRegular r:id="rId4" w:fontKey="{798D98E7-9E79-4541-AD63-ECB5322D0653}"/>
  </w:font>
  <w:font w:name="MS Gothic">
    <w:panose1 w:val="020B0609070205080204"/>
    <w:charset w:val="80"/>
    <w:family w:val="modern"/>
    <w:pitch w:val="default"/>
    <w:sig w:usb0="E00002FF" w:usb1="6AC7FDFB" w:usb2="00000012" w:usb3="00000000" w:csb0="4002009F" w:csb1="DFD70000"/>
    <w:embedRegular r:id="rId5" w:fontKey="{6313D9F2-B2F3-41BC-99D8-F64967C7059D}"/>
  </w:font>
  <w:font w:name="Helvetica">
    <w:altName w:val="Arial"/>
    <w:panose1 w:val="00000000000000000000"/>
    <w:charset w:val="00"/>
    <w:family w:val="auto"/>
    <w:pitch w:val="default"/>
    <w:sig w:usb0="00000000" w:usb1="00000000" w:usb2="00000000" w:usb3="00000000" w:csb0="0000019F" w:csb1="00000000"/>
    <w:embedRegular r:id="rId6" w:fontKey="{9325E2C4-410A-46F1-8F7C-58CCC3C34F5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Fonts w:ascii="Book Antiqua" w:hAnsi="Book Antiqua"/>
        <w:sz w:val="24"/>
        <w:szCs w:val="24"/>
      </w:rPr>
      <w:id w:val="-1272932820"/>
      <w:docPartObj>
        <w:docPartGallery w:val="AutoText"/>
      </w:docPartObj>
    </w:sdtPr>
    <w:sdtEndPr>
      <w:rPr>
        <w:rStyle w:val="11"/>
        <w:rFonts w:ascii="Book Antiqua" w:hAnsi="Book Antiqua"/>
        <w:sz w:val="24"/>
        <w:szCs w:val="24"/>
      </w:rPr>
    </w:sdtEndPr>
    <w:sdtContent>
      <w:p>
        <w:pPr>
          <w:pStyle w:val="4"/>
          <w:framePr w:wrap="around" w:vAnchor="text" w:hAnchor="margin" w:xAlign="center" w:y="1"/>
          <w:rPr>
            <w:rStyle w:val="11"/>
            <w:rFonts w:ascii="Book Antiqua" w:hAnsi="Book Antiqua"/>
            <w:sz w:val="24"/>
            <w:szCs w:val="24"/>
          </w:rPr>
        </w:pPr>
        <w:r>
          <w:rPr>
            <w:rStyle w:val="11"/>
            <w:rFonts w:ascii="Book Antiqua" w:hAnsi="Book Antiqua"/>
            <w:sz w:val="24"/>
            <w:szCs w:val="24"/>
          </w:rPr>
          <w:fldChar w:fldCharType="begin"/>
        </w:r>
        <w:r>
          <w:rPr>
            <w:rStyle w:val="11"/>
            <w:rFonts w:ascii="Book Antiqua" w:hAnsi="Book Antiqua"/>
            <w:sz w:val="24"/>
            <w:szCs w:val="24"/>
          </w:rPr>
          <w:instrText xml:space="preserve"> PAGE </w:instrText>
        </w:r>
        <w:r>
          <w:rPr>
            <w:rStyle w:val="11"/>
            <w:rFonts w:ascii="Book Antiqua" w:hAnsi="Book Antiqua"/>
            <w:sz w:val="24"/>
            <w:szCs w:val="24"/>
          </w:rPr>
          <w:fldChar w:fldCharType="separate"/>
        </w:r>
        <w:r>
          <w:rPr>
            <w:rStyle w:val="11"/>
            <w:rFonts w:ascii="Book Antiqua" w:hAnsi="Book Antiqua"/>
            <w:sz w:val="24"/>
            <w:szCs w:val="24"/>
          </w:rPr>
          <w:t>2</w:t>
        </w:r>
        <w:r>
          <w:rPr>
            <w:rStyle w:val="11"/>
            <w:rFonts w:ascii="Book Antiqua" w:hAnsi="Book Antiqua"/>
            <w:sz w:val="24"/>
            <w:szCs w:val="24"/>
          </w:rPr>
          <w:fldChar w:fldCharType="end"/>
        </w:r>
      </w:p>
    </w:sdtContent>
  </w:sdt>
  <w:p>
    <w:pPr>
      <w:pStyle w:val="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Pr>
      <w:id w:val="527381531"/>
      <w:docPartObj>
        <w:docPartGallery w:val="AutoText"/>
      </w:docPartObj>
    </w:sdtPr>
    <w:sdtEndPr>
      <w:rPr>
        <w:rStyle w:val="11"/>
      </w:rPr>
    </w:sdtEndPr>
    <w:sdtContent>
      <w:p>
        <w:pPr>
          <w:pStyle w:val="4"/>
          <w:framePr w:wrap="around" w:vAnchor="text" w:hAnchor="margin" w:xAlign="center" w:y="1"/>
          <w:rPr>
            <w:rStyle w:val="11"/>
          </w:rPr>
        </w:pPr>
        <w:r>
          <w:rPr>
            <w:rStyle w:val="11"/>
          </w:rPr>
          <w:fldChar w:fldCharType="begin"/>
        </w:r>
        <w:r>
          <w:rPr>
            <w:rStyle w:val="11"/>
          </w:rPr>
          <w:instrText xml:space="preserve"> PAGE </w:instrText>
        </w:r>
        <w:r>
          <w:rPr>
            <w:rStyle w:val="11"/>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embedTrueTypeFonts/>
  <w:saveSubsetFonts/>
  <w:bordersDoNotSurroundHeader w:val="1"/>
  <w:bordersDoNotSurroundFooter w:val="1"/>
  <w:attachedTemplate r:id="rId1"/>
  <w:trackRevision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5B7477"/>
    <w:rsid w:val="00017A49"/>
    <w:rsid w:val="00020FDA"/>
    <w:rsid w:val="00033CE5"/>
    <w:rsid w:val="000419A7"/>
    <w:rsid w:val="00045013"/>
    <w:rsid w:val="00067564"/>
    <w:rsid w:val="00075B45"/>
    <w:rsid w:val="000E231B"/>
    <w:rsid w:val="000E682D"/>
    <w:rsid w:val="000F7AD1"/>
    <w:rsid w:val="00115F4F"/>
    <w:rsid w:val="00116DBC"/>
    <w:rsid w:val="0015251F"/>
    <w:rsid w:val="0015550A"/>
    <w:rsid w:val="00167640"/>
    <w:rsid w:val="00184E4D"/>
    <w:rsid w:val="00185C5D"/>
    <w:rsid w:val="001A03DD"/>
    <w:rsid w:val="001E6685"/>
    <w:rsid w:val="001F3FEC"/>
    <w:rsid w:val="00211941"/>
    <w:rsid w:val="0021462A"/>
    <w:rsid w:val="0021640D"/>
    <w:rsid w:val="00236A35"/>
    <w:rsid w:val="002513A6"/>
    <w:rsid w:val="00256EEC"/>
    <w:rsid w:val="00270E02"/>
    <w:rsid w:val="00274B81"/>
    <w:rsid w:val="002F4AD9"/>
    <w:rsid w:val="002F4C6D"/>
    <w:rsid w:val="00302C3C"/>
    <w:rsid w:val="00316044"/>
    <w:rsid w:val="003332C8"/>
    <w:rsid w:val="003401A4"/>
    <w:rsid w:val="00360CEF"/>
    <w:rsid w:val="0038631B"/>
    <w:rsid w:val="00391D7A"/>
    <w:rsid w:val="00395353"/>
    <w:rsid w:val="003B1E61"/>
    <w:rsid w:val="004026E8"/>
    <w:rsid w:val="0045624A"/>
    <w:rsid w:val="00492456"/>
    <w:rsid w:val="00503EDB"/>
    <w:rsid w:val="005056A2"/>
    <w:rsid w:val="00512960"/>
    <w:rsid w:val="00570B2F"/>
    <w:rsid w:val="005830E7"/>
    <w:rsid w:val="005858C7"/>
    <w:rsid w:val="005951B2"/>
    <w:rsid w:val="005D1E55"/>
    <w:rsid w:val="005D36B3"/>
    <w:rsid w:val="005E3871"/>
    <w:rsid w:val="005E675F"/>
    <w:rsid w:val="005F195C"/>
    <w:rsid w:val="005F4044"/>
    <w:rsid w:val="00663090"/>
    <w:rsid w:val="006822B4"/>
    <w:rsid w:val="006866B9"/>
    <w:rsid w:val="0069373C"/>
    <w:rsid w:val="006A332B"/>
    <w:rsid w:val="006C1E9B"/>
    <w:rsid w:val="006C66A4"/>
    <w:rsid w:val="006C7175"/>
    <w:rsid w:val="006D53B1"/>
    <w:rsid w:val="006F0CFA"/>
    <w:rsid w:val="006F5923"/>
    <w:rsid w:val="00706FC1"/>
    <w:rsid w:val="00721973"/>
    <w:rsid w:val="00723917"/>
    <w:rsid w:val="007329B3"/>
    <w:rsid w:val="0074092D"/>
    <w:rsid w:val="007442CD"/>
    <w:rsid w:val="00782BA1"/>
    <w:rsid w:val="00784C3D"/>
    <w:rsid w:val="0079222A"/>
    <w:rsid w:val="007E2A64"/>
    <w:rsid w:val="007E3208"/>
    <w:rsid w:val="007E65B0"/>
    <w:rsid w:val="007F4F3D"/>
    <w:rsid w:val="007F5C09"/>
    <w:rsid w:val="008154E1"/>
    <w:rsid w:val="00860E3A"/>
    <w:rsid w:val="008717DF"/>
    <w:rsid w:val="008B6790"/>
    <w:rsid w:val="008D6B6D"/>
    <w:rsid w:val="008E4168"/>
    <w:rsid w:val="00900AE0"/>
    <w:rsid w:val="009246AC"/>
    <w:rsid w:val="00937E70"/>
    <w:rsid w:val="00953EF8"/>
    <w:rsid w:val="009658AC"/>
    <w:rsid w:val="009E6E3F"/>
    <w:rsid w:val="00A42EBC"/>
    <w:rsid w:val="00A542CD"/>
    <w:rsid w:val="00A565F0"/>
    <w:rsid w:val="00A624F1"/>
    <w:rsid w:val="00A654D3"/>
    <w:rsid w:val="00A71CB3"/>
    <w:rsid w:val="00A956AF"/>
    <w:rsid w:val="00A95C60"/>
    <w:rsid w:val="00AB5646"/>
    <w:rsid w:val="00AD18AF"/>
    <w:rsid w:val="00B13BE8"/>
    <w:rsid w:val="00B31909"/>
    <w:rsid w:val="00B3194A"/>
    <w:rsid w:val="00B3703A"/>
    <w:rsid w:val="00B518A7"/>
    <w:rsid w:val="00B5577D"/>
    <w:rsid w:val="00B8162D"/>
    <w:rsid w:val="00BA1F56"/>
    <w:rsid w:val="00BC7FA0"/>
    <w:rsid w:val="00BD673C"/>
    <w:rsid w:val="00BE154F"/>
    <w:rsid w:val="00C01F91"/>
    <w:rsid w:val="00C153E7"/>
    <w:rsid w:val="00C50A8C"/>
    <w:rsid w:val="00C57E20"/>
    <w:rsid w:val="00CA3299"/>
    <w:rsid w:val="00CA6E3B"/>
    <w:rsid w:val="00D14107"/>
    <w:rsid w:val="00D25191"/>
    <w:rsid w:val="00D30C4D"/>
    <w:rsid w:val="00D5668C"/>
    <w:rsid w:val="00D871F4"/>
    <w:rsid w:val="00D90A53"/>
    <w:rsid w:val="00D9646E"/>
    <w:rsid w:val="00DB5291"/>
    <w:rsid w:val="00DB6561"/>
    <w:rsid w:val="00DE2055"/>
    <w:rsid w:val="00DE4D67"/>
    <w:rsid w:val="00E128F8"/>
    <w:rsid w:val="00E30E4D"/>
    <w:rsid w:val="00E3147B"/>
    <w:rsid w:val="00E361F7"/>
    <w:rsid w:val="00E73954"/>
    <w:rsid w:val="00E9550F"/>
    <w:rsid w:val="00ED3A5B"/>
    <w:rsid w:val="00EF17CE"/>
    <w:rsid w:val="00EF47E5"/>
    <w:rsid w:val="00EF4E89"/>
    <w:rsid w:val="00F15E45"/>
    <w:rsid w:val="00F54BD3"/>
    <w:rsid w:val="00F568A4"/>
    <w:rsid w:val="00F66AB7"/>
    <w:rsid w:val="00FA1B5F"/>
    <w:rsid w:val="00FD5E47"/>
    <w:rsid w:val="00FF6EE5"/>
    <w:rsid w:val="010475B0"/>
    <w:rsid w:val="0106089D"/>
    <w:rsid w:val="010D0554"/>
    <w:rsid w:val="011917C6"/>
    <w:rsid w:val="011C38A1"/>
    <w:rsid w:val="011E4DCC"/>
    <w:rsid w:val="012E2E25"/>
    <w:rsid w:val="01342589"/>
    <w:rsid w:val="01453163"/>
    <w:rsid w:val="01487F14"/>
    <w:rsid w:val="015237DE"/>
    <w:rsid w:val="015C165B"/>
    <w:rsid w:val="016B7855"/>
    <w:rsid w:val="01725E20"/>
    <w:rsid w:val="017404D3"/>
    <w:rsid w:val="017A684B"/>
    <w:rsid w:val="017F14F9"/>
    <w:rsid w:val="018010C4"/>
    <w:rsid w:val="01A932A3"/>
    <w:rsid w:val="01B647B4"/>
    <w:rsid w:val="01C12A04"/>
    <w:rsid w:val="01E35D9C"/>
    <w:rsid w:val="01F444A5"/>
    <w:rsid w:val="02161A40"/>
    <w:rsid w:val="021D0886"/>
    <w:rsid w:val="02214CC0"/>
    <w:rsid w:val="022173B9"/>
    <w:rsid w:val="02255DB6"/>
    <w:rsid w:val="022C3574"/>
    <w:rsid w:val="0231312D"/>
    <w:rsid w:val="028F1762"/>
    <w:rsid w:val="0290511F"/>
    <w:rsid w:val="02A00E10"/>
    <w:rsid w:val="02AA2784"/>
    <w:rsid w:val="02BB31E9"/>
    <w:rsid w:val="02C34B1F"/>
    <w:rsid w:val="02C84074"/>
    <w:rsid w:val="02DB57CB"/>
    <w:rsid w:val="02DD61D1"/>
    <w:rsid w:val="02F57BB0"/>
    <w:rsid w:val="02F8722C"/>
    <w:rsid w:val="03000C6B"/>
    <w:rsid w:val="030A2DAD"/>
    <w:rsid w:val="03540703"/>
    <w:rsid w:val="035D091A"/>
    <w:rsid w:val="03640554"/>
    <w:rsid w:val="03664376"/>
    <w:rsid w:val="03703823"/>
    <w:rsid w:val="038E41BE"/>
    <w:rsid w:val="038E53D6"/>
    <w:rsid w:val="039E4A4A"/>
    <w:rsid w:val="039F2507"/>
    <w:rsid w:val="03A507A8"/>
    <w:rsid w:val="03AC4284"/>
    <w:rsid w:val="03BD04E6"/>
    <w:rsid w:val="03C715AB"/>
    <w:rsid w:val="03CD4446"/>
    <w:rsid w:val="03E11A72"/>
    <w:rsid w:val="03EC09FC"/>
    <w:rsid w:val="040F195E"/>
    <w:rsid w:val="041138C2"/>
    <w:rsid w:val="04295472"/>
    <w:rsid w:val="042D5220"/>
    <w:rsid w:val="042D61A6"/>
    <w:rsid w:val="043B5423"/>
    <w:rsid w:val="04446366"/>
    <w:rsid w:val="045631D7"/>
    <w:rsid w:val="045B7477"/>
    <w:rsid w:val="046941A2"/>
    <w:rsid w:val="04745DB5"/>
    <w:rsid w:val="047E7B75"/>
    <w:rsid w:val="048B78E0"/>
    <w:rsid w:val="04914B84"/>
    <w:rsid w:val="049514FB"/>
    <w:rsid w:val="04A85CBE"/>
    <w:rsid w:val="04C3491B"/>
    <w:rsid w:val="04C873FC"/>
    <w:rsid w:val="04CE6188"/>
    <w:rsid w:val="04D51885"/>
    <w:rsid w:val="04DA457A"/>
    <w:rsid w:val="05047AED"/>
    <w:rsid w:val="050C79AD"/>
    <w:rsid w:val="0522027D"/>
    <w:rsid w:val="05252F63"/>
    <w:rsid w:val="05272046"/>
    <w:rsid w:val="05812963"/>
    <w:rsid w:val="05836627"/>
    <w:rsid w:val="059B4B1B"/>
    <w:rsid w:val="05A032A8"/>
    <w:rsid w:val="05AE4B9D"/>
    <w:rsid w:val="05B859F0"/>
    <w:rsid w:val="05EC02A2"/>
    <w:rsid w:val="05ED0D16"/>
    <w:rsid w:val="05F303CF"/>
    <w:rsid w:val="05F63577"/>
    <w:rsid w:val="05FF715F"/>
    <w:rsid w:val="061E163B"/>
    <w:rsid w:val="06205396"/>
    <w:rsid w:val="06240116"/>
    <w:rsid w:val="06356555"/>
    <w:rsid w:val="06496AC3"/>
    <w:rsid w:val="064C6C72"/>
    <w:rsid w:val="065C4EB0"/>
    <w:rsid w:val="065E235E"/>
    <w:rsid w:val="06776FFF"/>
    <w:rsid w:val="06A31DE4"/>
    <w:rsid w:val="06BF72FA"/>
    <w:rsid w:val="06C20B00"/>
    <w:rsid w:val="06CA43DD"/>
    <w:rsid w:val="06D613B9"/>
    <w:rsid w:val="06D83276"/>
    <w:rsid w:val="06DB64E2"/>
    <w:rsid w:val="06E375F4"/>
    <w:rsid w:val="06F1163D"/>
    <w:rsid w:val="06FB220C"/>
    <w:rsid w:val="06FD7259"/>
    <w:rsid w:val="07116B1E"/>
    <w:rsid w:val="0731010C"/>
    <w:rsid w:val="073C34E4"/>
    <w:rsid w:val="0741621A"/>
    <w:rsid w:val="074C66C4"/>
    <w:rsid w:val="07600920"/>
    <w:rsid w:val="076962CC"/>
    <w:rsid w:val="079A3CA3"/>
    <w:rsid w:val="079B6F1B"/>
    <w:rsid w:val="07C905E1"/>
    <w:rsid w:val="07CD020E"/>
    <w:rsid w:val="07DC1E79"/>
    <w:rsid w:val="07DF6A5E"/>
    <w:rsid w:val="07F2334C"/>
    <w:rsid w:val="07FD2A24"/>
    <w:rsid w:val="082C48E6"/>
    <w:rsid w:val="083B4196"/>
    <w:rsid w:val="084B0F60"/>
    <w:rsid w:val="08520C30"/>
    <w:rsid w:val="086070A7"/>
    <w:rsid w:val="08630F3F"/>
    <w:rsid w:val="08644F2A"/>
    <w:rsid w:val="087564C8"/>
    <w:rsid w:val="087B7D09"/>
    <w:rsid w:val="08AA2BDB"/>
    <w:rsid w:val="08AA5579"/>
    <w:rsid w:val="08B41434"/>
    <w:rsid w:val="08B5627B"/>
    <w:rsid w:val="08BF3015"/>
    <w:rsid w:val="08C1684E"/>
    <w:rsid w:val="08C30CFB"/>
    <w:rsid w:val="08CE3E9D"/>
    <w:rsid w:val="08E0795A"/>
    <w:rsid w:val="08E237A4"/>
    <w:rsid w:val="09217612"/>
    <w:rsid w:val="092F225C"/>
    <w:rsid w:val="093A6C7B"/>
    <w:rsid w:val="093B6CB7"/>
    <w:rsid w:val="093E57D6"/>
    <w:rsid w:val="09464D29"/>
    <w:rsid w:val="0947294B"/>
    <w:rsid w:val="0949149D"/>
    <w:rsid w:val="096665D2"/>
    <w:rsid w:val="096A6A88"/>
    <w:rsid w:val="097433F7"/>
    <w:rsid w:val="09961A6F"/>
    <w:rsid w:val="09C637DB"/>
    <w:rsid w:val="09C85B60"/>
    <w:rsid w:val="09D27014"/>
    <w:rsid w:val="09D67D70"/>
    <w:rsid w:val="09DB0403"/>
    <w:rsid w:val="09DE41B2"/>
    <w:rsid w:val="09E82CB5"/>
    <w:rsid w:val="09EC5A2E"/>
    <w:rsid w:val="0A032A08"/>
    <w:rsid w:val="0A204CCE"/>
    <w:rsid w:val="0A445CBF"/>
    <w:rsid w:val="0A49185D"/>
    <w:rsid w:val="0A4A70EE"/>
    <w:rsid w:val="0A4F4B81"/>
    <w:rsid w:val="0A5F2F4F"/>
    <w:rsid w:val="0A8370CA"/>
    <w:rsid w:val="0A9509EC"/>
    <w:rsid w:val="0AA01D0D"/>
    <w:rsid w:val="0AA9667A"/>
    <w:rsid w:val="0ABC4929"/>
    <w:rsid w:val="0AC54568"/>
    <w:rsid w:val="0AE3503B"/>
    <w:rsid w:val="0AF170C3"/>
    <w:rsid w:val="0AFB295E"/>
    <w:rsid w:val="0B150300"/>
    <w:rsid w:val="0B1C2C50"/>
    <w:rsid w:val="0B54798F"/>
    <w:rsid w:val="0B582CDC"/>
    <w:rsid w:val="0B5F35C8"/>
    <w:rsid w:val="0B7527BE"/>
    <w:rsid w:val="0B885BD4"/>
    <w:rsid w:val="0B9E2082"/>
    <w:rsid w:val="0BA311AD"/>
    <w:rsid w:val="0BA70802"/>
    <w:rsid w:val="0BAA0B5F"/>
    <w:rsid w:val="0BAA2648"/>
    <w:rsid w:val="0BB137D5"/>
    <w:rsid w:val="0BC11CAA"/>
    <w:rsid w:val="0BC161C8"/>
    <w:rsid w:val="0BC6771A"/>
    <w:rsid w:val="0BCA5BB6"/>
    <w:rsid w:val="0BCC0F7E"/>
    <w:rsid w:val="0BCC5F6D"/>
    <w:rsid w:val="0BCE3831"/>
    <w:rsid w:val="0BD4532F"/>
    <w:rsid w:val="0C1E480A"/>
    <w:rsid w:val="0C1F6F1F"/>
    <w:rsid w:val="0C2116E2"/>
    <w:rsid w:val="0C280955"/>
    <w:rsid w:val="0C2A3A35"/>
    <w:rsid w:val="0C5210E2"/>
    <w:rsid w:val="0C6055FE"/>
    <w:rsid w:val="0CB50367"/>
    <w:rsid w:val="0CC15836"/>
    <w:rsid w:val="0CCA1EF7"/>
    <w:rsid w:val="0CFC6BD6"/>
    <w:rsid w:val="0CFD6C95"/>
    <w:rsid w:val="0D076A91"/>
    <w:rsid w:val="0D137ECC"/>
    <w:rsid w:val="0D1F62B9"/>
    <w:rsid w:val="0D3401DA"/>
    <w:rsid w:val="0D39302B"/>
    <w:rsid w:val="0D4A659E"/>
    <w:rsid w:val="0D605F91"/>
    <w:rsid w:val="0D654D6A"/>
    <w:rsid w:val="0D664887"/>
    <w:rsid w:val="0D7430D9"/>
    <w:rsid w:val="0D751B1F"/>
    <w:rsid w:val="0D837A0C"/>
    <w:rsid w:val="0D8A6912"/>
    <w:rsid w:val="0D8C2137"/>
    <w:rsid w:val="0D926B7E"/>
    <w:rsid w:val="0DB8068C"/>
    <w:rsid w:val="0DBD18E9"/>
    <w:rsid w:val="0DC201CD"/>
    <w:rsid w:val="0DCB71AC"/>
    <w:rsid w:val="0DE574F9"/>
    <w:rsid w:val="0DF80287"/>
    <w:rsid w:val="0DFD50CB"/>
    <w:rsid w:val="0DFD64FC"/>
    <w:rsid w:val="0E010691"/>
    <w:rsid w:val="0E0B47C9"/>
    <w:rsid w:val="0E0F42A7"/>
    <w:rsid w:val="0E135D9F"/>
    <w:rsid w:val="0E25690A"/>
    <w:rsid w:val="0E2F4266"/>
    <w:rsid w:val="0E30312A"/>
    <w:rsid w:val="0E3463F8"/>
    <w:rsid w:val="0E3C4C54"/>
    <w:rsid w:val="0E412B9E"/>
    <w:rsid w:val="0E4C6817"/>
    <w:rsid w:val="0E51141E"/>
    <w:rsid w:val="0E530037"/>
    <w:rsid w:val="0E531596"/>
    <w:rsid w:val="0E8D6D51"/>
    <w:rsid w:val="0EA552E3"/>
    <w:rsid w:val="0EAD5E17"/>
    <w:rsid w:val="0EAF0F19"/>
    <w:rsid w:val="0EAF3162"/>
    <w:rsid w:val="0ECE60D5"/>
    <w:rsid w:val="0ED42749"/>
    <w:rsid w:val="0ED90FD1"/>
    <w:rsid w:val="0EE7412A"/>
    <w:rsid w:val="0EEB21C0"/>
    <w:rsid w:val="0EED4273"/>
    <w:rsid w:val="0F0839A2"/>
    <w:rsid w:val="0F0C58C0"/>
    <w:rsid w:val="0F4360A1"/>
    <w:rsid w:val="0F4E25B8"/>
    <w:rsid w:val="0F4F1ECE"/>
    <w:rsid w:val="0F512F2C"/>
    <w:rsid w:val="0F58122C"/>
    <w:rsid w:val="0F6138FB"/>
    <w:rsid w:val="0F7B1310"/>
    <w:rsid w:val="0F853D74"/>
    <w:rsid w:val="0F8C6B9F"/>
    <w:rsid w:val="0F944B60"/>
    <w:rsid w:val="0FA24F45"/>
    <w:rsid w:val="0FB15904"/>
    <w:rsid w:val="0FB5655D"/>
    <w:rsid w:val="0FB95228"/>
    <w:rsid w:val="0FB97701"/>
    <w:rsid w:val="0FBB341C"/>
    <w:rsid w:val="0FCA7DEA"/>
    <w:rsid w:val="0FD07E11"/>
    <w:rsid w:val="0FD2199A"/>
    <w:rsid w:val="0FD31640"/>
    <w:rsid w:val="0FD66328"/>
    <w:rsid w:val="0FDD48DB"/>
    <w:rsid w:val="100742FA"/>
    <w:rsid w:val="101133D1"/>
    <w:rsid w:val="10272C4E"/>
    <w:rsid w:val="10352DBC"/>
    <w:rsid w:val="105826DA"/>
    <w:rsid w:val="10602A53"/>
    <w:rsid w:val="10867D19"/>
    <w:rsid w:val="1094474A"/>
    <w:rsid w:val="10A64324"/>
    <w:rsid w:val="10AE5CA1"/>
    <w:rsid w:val="10B23F0C"/>
    <w:rsid w:val="10C5368C"/>
    <w:rsid w:val="10D24F03"/>
    <w:rsid w:val="10DD4AEC"/>
    <w:rsid w:val="113E522A"/>
    <w:rsid w:val="114D35FE"/>
    <w:rsid w:val="115E2D17"/>
    <w:rsid w:val="1199389A"/>
    <w:rsid w:val="11B20BFA"/>
    <w:rsid w:val="11C1658D"/>
    <w:rsid w:val="11D043B3"/>
    <w:rsid w:val="11DF5B82"/>
    <w:rsid w:val="11E77856"/>
    <w:rsid w:val="11E77CAA"/>
    <w:rsid w:val="11F6387F"/>
    <w:rsid w:val="120C31F7"/>
    <w:rsid w:val="121B61DB"/>
    <w:rsid w:val="1223727D"/>
    <w:rsid w:val="122C602E"/>
    <w:rsid w:val="12593317"/>
    <w:rsid w:val="1267350F"/>
    <w:rsid w:val="127D5604"/>
    <w:rsid w:val="12AD6372"/>
    <w:rsid w:val="12BD3CDC"/>
    <w:rsid w:val="12C90CA1"/>
    <w:rsid w:val="12CE7A3B"/>
    <w:rsid w:val="12D9392B"/>
    <w:rsid w:val="12D97E37"/>
    <w:rsid w:val="12E8289F"/>
    <w:rsid w:val="12ED0C6C"/>
    <w:rsid w:val="12ED7D29"/>
    <w:rsid w:val="12FB58A4"/>
    <w:rsid w:val="13023B87"/>
    <w:rsid w:val="133053BA"/>
    <w:rsid w:val="133427CE"/>
    <w:rsid w:val="133D741F"/>
    <w:rsid w:val="135E37E8"/>
    <w:rsid w:val="137B0931"/>
    <w:rsid w:val="137B1381"/>
    <w:rsid w:val="138252AD"/>
    <w:rsid w:val="13885BC4"/>
    <w:rsid w:val="13A25BE2"/>
    <w:rsid w:val="13A64ADA"/>
    <w:rsid w:val="13A838BA"/>
    <w:rsid w:val="13F75072"/>
    <w:rsid w:val="13FB267D"/>
    <w:rsid w:val="13FF55D7"/>
    <w:rsid w:val="14281C26"/>
    <w:rsid w:val="144F2B76"/>
    <w:rsid w:val="14523D9D"/>
    <w:rsid w:val="14610867"/>
    <w:rsid w:val="146A7F12"/>
    <w:rsid w:val="147A773C"/>
    <w:rsid w:val="147F5733"/>
    <w:rsid w:val="14A23593"/>
    <w:rsid w:val="14BE0D6F"/>
    <w:rsid w:val="14D10455"/>
    <w:rsid w:val="14DE3098"/>
    <w:rsid w:val="14E316C6"/>
    <w:rsid w:val="15023F25"/>
    <w:rsid w:val="15040907"/>
    <w:rsid w:val="151E67E0"/>
    <w:rsid w:val="15221741"/>
    <w:rsid w:val="15325215"/>
    <w:rsid w:val="154923F4"/>
    <w:rsid w:val="15500608"/>
    <w:rsid w:val="15542A61"/>
    <w:rsid w:val="15587516"/>
    <w:rsid w:val="15587FED"/>
    <w:rsid w:val="155A14F1"/>
    <w:rsid w:val="155A360F"/>
    <w:rsid w:val="15655D2A"/>
    <w:rsid w:val="156D25EB"/>
    <w:rsid w:val="1572386F"/>
    <w:rsid w:val="15777E1F"/>
    <w:rsid w:val="15832F38"/>
    <w:rsid w:val="15A21794"/>
    <w:rsid w:val="15B94756"/>
    <w:rsid w:val="15F458A6"/>
    <w:rsid w:val="15FB0EC2"/>
    <w:rsid w:val="15FD338F"/>
    <w:rsid w:val="16012315"/>
    <w:rsid w:val="16102A23"/>
    <w:rsid w:val="162B580F"/>
    <w:rsid w:val="163E19FA"/>
    <w:rsid w:val="1650662D"/>
    <w:rsid w:val="16561EC4"/>
    <w:rsid w:val="167A5125"/>
    <w:rsid w:val="168724F7"/>
    <w:rsid w:val="168D5283"/>
    <w:rsid w:val="1691197A"/>
    <w:rsid w:val="16A2673B"/>
    <w:rsid w:val="16E3778E"/>
    <w:rsid w:val="16E44FB5"/>
    <w:rsid w:val="16EC331A"/>
    <w:rsid w:val="16EE6017"/>
    <w:rsid w:val="170B4F1C"/>
    <w:rsid w:val="1739441A"/>
    <w:rsid w:val="174C2AAA"/>
    <w:rsid w:val="174E788B"/>
    <w:rsid w:val="175D478B"/>
    <w:rsid w:val="176E320F"/>
    <w:rsid w:val="178D433D"/>
    <w:rsid w:val="17913C63"/>
    <w:rsid w:val="17A107B6"/>
    <w:rsid w:val="17A3347A"/>
    <w:rsid w:val="17BA79F8"/>
    <w:rsid w:val="17C445D8"/>
    <w:rsid w:val="17C449A2"/>
    <w:rsid w:val="17EA3BCD"/>
    <w:rsid w:val="18032B8D"/>
    <w:rsid w:val="18043D90"/>
    <w:rsid w:val="180F0A8B"/>
    <w:rsid w:val="1821358F"/>
    <w:rsid w:val="1843363B"/>
    <w:rsid w:val="18486FA4"/>
    <w:rsid w:val="184B52AB"/>
    <w:rsid w:val="18525551"/>
    <w:rsid w:val="185A04BC"/>
    <w:rsid w:val="186569E0"/>
    <w:rsid w:val="18755C38"/>
    <w:rsid w:val="188810DC"/>
    <w:rsid w:val="18987B0E"/>
    <w:rsid w:val="189F73A7"/>
    <w:rsid w:val="18AD1836"/>
    <w:rsid w:val="18CD5216"/>
    <w:rsid w:val="18D77334"/>
    <w:rsid w:val="18DC1DF5"/>
    <w:rsid w:val="18E461B3"/>
    <w:rsid w:val="18ED60E4"/>
    <w:rsid w:val="18F41FF0"/>
    <w:rsid w:val="18F73AED"/>
    <w:rsid w:val="19043E6E"/>
    <w:rsid w:val="19084E6C"/>
    <w:rsid w:val="190A09E8"/>
    <w:rsid w:val="190B1352"/>
    <w:rsid w:val="19176353"/>
    <w:rsid w:val="191E5FF5"/>
    <w:rsid w:val="19383FC5"/>
    <w:rsid w:val="193870C9"/>
    <w:rsid w:val="193D185F"/>
    <w:rsid w:val="194464ED"/>
    <w:rsid w:val="195072BC"/>
    <w:rsid w:val="195B71F7"/>
    <w:rsid w:val="196C2277"/>
    <w:rsid w:val="19705C10"/>
    <w:rsid w:val="19722CDC"/>
    <w:rsid w:val="19793915"/>
    <w:rsid w:val="19857C7B"/>
    <w:rsid w:val="198671AD"/>
    <w:rsid w:val="198F51F5"/>
    <w:rsid w:val="19B953BD"/>
    <w:rsid w:val="19CF093E"/>
    <w:rsid w:val="19F205D0"/>
    <w:rsid w:val="19F65BA7"/>
    <w:rsid w:val="1A002E9B"/>
    <w:rsid w:val="1A0119D0"/>
    <w:rsid w:val="1A18157E"/>
    <w:rsid w:val="1A29238C"/>
    <w:rsid w:val="1A375232"/>
    <w:rsid w:val="1A4A2205"/>
    <w:rsid w:val="1A560702"/>
    <w:rsid w:val="1A5C5EE3"/>
    <w:rsid w:val="1A6B341E"/>
    <w:rsid w:val="1A6D1B41"/>
    <w:rsid w:val="1A710675"/>
    <w:rsid w:val="1A9116C7"/>
    <w:rsid w:val="1AAE4668"/>
    <w:rsid w:val="1AB52788"/>
    <w:rsid w:val="1AB54C4E"/>
    <w:rsid w:val="1AC34C1B"/>
    <w:rsid w:val="1ADF2548"/>
    <w:rsid w:val="1AE0717F"/>
    <w:rsid w:val="1AEF046E"/>
    <w:rsid w:val="1AFA5E9F"/>
    <w:rsid w:val="1AFC020A"/>
    <w:rsid w:val="1B024F2F"/>
    <w:rsid w:val="1B06692B"/>
    <w:rsid w:val="1B185842"/>
    <w:rsid w:val="1B321581"/>
    <w:rsid w:val="1B3624B9"/>
    <w:rsid w:val="1B3F797E"/>
    <w:rsid w:val="1B41321F"/>
    <w:rsid w:val="1B4A16E1"/>
    <w:rsid w:val="1B4C4811"/>
    <w:rsid w:val="1B5D4661"/>
    <w:rsid w:val="1B602CB1"/>
    <w:rsid w:val="1B9703BA"/>
    <w:rsid w:val="1B9E284A"/>
    <w:rsid w:val="1B9F7B82"/>
    <w:rsid w:val="1BC5292F"/>
    <w:rsid w:val="1BD15798"/>
    <w:rsid w:val="1BDA1D25"/>
    <w:rsid w:val="1C0E77FC"/>
    <w:rsid w:val="1C1118AE"/>
    <w:rsid w:val="1C14371A"/>
    <w:rsid w:val="1C2719C4"/>
    <w:rsid w:val="1C293597"/>
    <w:rsid w:val="1C33237B"/>
    <w:rsid w:val="1C5D34AA"/>
    <w:rsid w:val="1C5E290E"/>
    <w:rsid w:val="1C6045B1"/>
    <w:rsid w:val="1C6C1A8B"/>
    <w:rsid w:val="1C7823B9"/>
    <w:rsid w:val="1C7D4305"/>
    <w:rsid w:val="1C8D0144"/>
    <w:rsid w:val="1C985D11"/>
    <w:rsid w:val="1C9C3139"/>
    <w:rsid w:val="1CAC63E3"/>
    <w:rsid w:val="1CBA3C84"/>
    <w:rsid w:val="1CC87670"/>
    <w:rsid w:val="1CFB1FCC"/>
    <w:rsid w:val="1D053BE5"/>
    <w:rsid w:val="1D0D71DC"/>
    <w:rsid w:val="1D1E590F"/>
    <w:rsid w:val="1D204B40"/>
    <w:rsid w:val="1D2B5274"/>
    <w:rsid w:val="1D2E4DA8"/>
    <w:rsid w:val="1D3125A4"/>
    <w:rsid w:val="1D363DB7"/>
    <w:rsid w:val="1D4B311E"/>
    <w:rsid w:val="1D4E5E92"/>
    <w:rsid w:val="1D57173D"/>
    <w:rsid w:val="1D57282A"/>
    <w:rsid w:val="1D601A5C"/>
    <w:rsid w:val="1D74279D"/>
    <w:rsid w:val="1DCD44B9"/>
    <w:rsid w:val="1DCF1B58"/>
    <w:rsid w:val="1DD04048"/>
    <w:rsid w:val="1DD110AA"/>
    <w:rsid w:val="1DD420AA"/>
    <w:rsid w:val="1DD82C82"/>
    <w:rsid w:val="1E012414"/>
    <w:rsid w:val="1E2D10C3"/>
    <w:rsid w:val="1E3E6999"/>
    <w:rsid w:val="1E410B62"/>
    <w:rsid w:val="1E49727B"/>
    <w:rsid w:val="1E5B53E4"/>
    <w:rsid w:val="1E5C077F"/>
    <w:rsid w:val="1E5F4811"/>
    <w:rsid w:val="1E742069"/>
    <w:rsid w:val="1E7E1A7B"/>
    <w:rsid w:val="1E8E2F83"/>
    <w:rsid w:val="1E966A18"/>
    <w:rsid w:val="1E976B17"/>
    <w:rsid w:val="1EA84E94"/>
    <w:rsid w:val="1EAC036E"/>
    <w:rsid w:val="1EAC5E50"/>
    <w:rsid w:val="1ECA5856"/>
    <w:rsid w:val="1ED76C4A"/>
    <w:rsid w:val="1EE74405"/>
    <w:rsid w:val="1F047AE2"/>
    <w:rsid w:val="1F0F4F3F"/>
    <w:rsid w:val="1F19741F"/>
    <w:rsid w:val="1F1F5CDE"/>
    <w:rsid w:val="1F2F2D18"/>
    <w:rsid w:val="1F351634"/>
    <w:rsid w:val="1F4A3E63"/>
    <w:rsid w:val="1F5903AF"/>
    <w:rsid w:val="1F612692"/>
    <w:rsid w:val="1F68044B"/>
    <w:rsid w:val="1F6B4C12"/>
    <w:rsid w:val="1F6C2750"/>
    <w:rsid w:val="1F870DAC"/>
    <w:rsid w:val="1F8C5B7E"/>
    <w:rsid w:val="1F8F5994"/>
    <w:rsid w:val="1F90374D"/>
    <w:rsid w:val="1F943331"/>
    <w:rsid w:val="1F947183"/>
    <w:rsid w:val="1F9935AA"/>
    <w:rsid w:val="1F9D0FC4"/>
    <w:rsid w:val="1FA2562B"/>
    <w:rsid w:val="1FC15CE2"/>
    <w:rsid w:val="1FD80898"/>
    <w:rsid w:val="1FD93277"/>
    <w:rsid w:val="1FFB6F85"/>
    <w:rsid w:val="2003320A"/>
    <w:rsid w:val="200E2159"/>
    <w:rsid w:val="20156700"/>
    <w:rsid w:val="202162F0"/>
    <w:rsid w:val="203A39A4"/>
    <w:rsid w:val="205B2769"/>
    <w:rsid w:val="206C7E10"/>
    <w:rsid w:val="208665B5"/>
    <w:rsid w:val="20943061"/>
    <w:rsid w:val="209D3C54"/>
    <w:rsid w:val="20A26A44"/>
    <w:rsid w:val="20A92E8C"/>
    <w:rsid w:val="20AB6BAD"/>
    <w:rsid w:val="20C3508B"/>
    <w:rsid w:val="20D301E6"/>
    <w:rsid w:val="20D93A69"/>
    <w:rsid w:val="20DA372E"/>
    <w:rsid w:val="20E0596E"/>
    <w:rsid w:val="20ED68F1"/>
    <w:rsid w:val="20F42255"/>
    <w:rsid w:val="211C532D"/>
    <w:rsid w:val="21255583"/>
    <w:rsid w:val="21332169"/>
    <w:rsid w:val="213B103A"/>
    <w:rsid w:val="213E6062"/>
    <w:rsid w:val="21410C6F"/>
    <w:rsid w:val="21510AB7"/>
    <w:rsid w:val="215378F1"/>
    <w:rsid w:val="21677C5D"/>
    <w:rsid w:val="21890279"/>
    <w:rsid w:val="21AB30D6"/>
    <w:rsid w:val="21AC31A5"/>
    <w:rsid w:val="21AD4CCF"/>
    <w:rsid w:val="21C01A53"/>
    <w:rsid w:val="21C24CD8"/>
    <w:rsid w:val="21D1527B"/>
    <w:rsid w:val="21D750ED"/>
    <w:rsid w:val="21DD1118"/>
    <w:rsid w:val="2211471B"/>
    <w:rsid w:val="222C2F98"/>
    <w:rsid w:val="224C45BF"/>
    <w:rsid w:val="224E60A5"/>
    <w:rsid w:val="22523866"/>
    <w:rsid w:val="22633018"/>
    <w:rsid w:val="22677CD0"/>
    <w:rsid w:val="22871D9D"/>
    <w:rsid w:val="229A1BB2"/>
    <w:rsid w:val="22A30C21"/>
    <w:rsid w:val="22A373AD"/>
    <w:rsid w:val="22A4277B"/>
    <w:rsid w:val="22BF34A3"/>
    <w:rsid w:val="231B4455"/>
    <w:rsid w:val="231D1E8A"/>
    <w:rsid w:val="233C3A02"/>
    <w:rsid w:val="23417516"/>
    <w:rsid w:val="23473E83"/>
    <w:rsid w:val="23532D3F"/>
    <w:rsid w:val="23560531"/>
    <w:rsid w:val="236629DE"/>
    <w:rsid w:val="236C4F80"/>
    <w:rsid w:val="23792A8D"/>
    <w:rsid w:val="238F68DA"/>
    <w:rsid w:val="23903F22"/>
    <w:rsid w:val="239149B9"/>
    <w:rsid w:val="23AA6E52"/>
    <w:rsid w:val="23B9390D"/>
    <w:rsid w:val="23C55B38"/>
    <w:rsid w:val="23CF6183"/>
    <w:rsid w:val="23FE57D8"/>
    <w:rsid w:val="24045CE0"/>
    <w:rsid w:val="240D77B8"/>
    <w:rsid w:val="24174706"/>
    <w:rsid w:val="244933D8"/>
    <w:rsid w:val="24532836"/>
    <w:rsid w:val="245F5B12"/>
    <w:rsid w:val="246D7CC1"/>
    <w:rsid w:val="248819B5"/>
    <w:rsid w:val="24A44154"/>
    <w:rsid w:val="24D70581"/>
    <w:rsid w:val="24DF0878"/>
    <w:rsid w:val="24FF2976"/>
    <w:rsid w:val="2508651B"/>
    <w:rsid w:val="251422C0"/>
    <w:rsid w:val="25250FAC"/>
    <w:rsid w:val="25273B77"/>
    <w:rsid w:val="252775F7"/>
    <w:rsid w:val="25346CEE"/>
    <w:rsid w:val="254643F6"/>
    <w:rsid w:val="254F0EB4"/>
    <w:rsid w:val="25515193"/>
    <w:rsid w:val="25625CE7"/>
    <w:rsid w:val="25842FC0"/>
    <w:rsid w:val="25943218"/>
    <w:rsid w:val="259C427C"/>
    <w:rsid w:val="25D9779D"/>
    <w:rsid w:val="25DA57C5"/>
    <w:rsid w:val="25E06104"/>
    <w:rsid w:val="25EE4D57"/>
    <w:rsid w:val="25EE5BBB"/>
    <w:rsid w:val="25F6050D"/>
    <w:rsid w:val="26061419"/>
    <w:rsid w:val="26116424"/>
    <w:rsid w:val="261242DA"/>
    <w:rsid w:val="2620038A"/>
    <w:rsid w:val="26397961"/>
    <w:rsid w:val="26551BF8"/>
    <w:rsid w:val="266043C4"/>
    <w:rsid w:val="26750BB5"/>
    <w:rsid w:val="267A1957"/>
    <w:rsid w:val="268F3C00"/>
    <w:rsid w:val="26A05A4F"/>
    <w:rsid w:val="26A113D3"/>
    <w:rsid w:val="26A40862"/>
    <w:rsid w:val="26B13697"/>
    <w:rsid w:val="26B40175"/>
    <w:rsid w:val="26B9612A"/>
    <w:rsid w:val="26BE7B1E"/>
    <w:rsid w:val="26C15E01"/>
    <w:rsid w:val="26CB2969"/>
    <w:rsid w:val="26E259EA"/>
    <w:rsid w:val="26E6088A"/>
    <w:rsid w:val="26E878FB"/>
    <w:rsid w:val="26EA7D6F"/>
    <w:rsid w:val="26F80399"/>
    <w:rsid w:val="270A43B8"/>
    <w:rsid w:val="272F4AEE"/>
    <w:rsid w:val="274B082A"/>
    <w:rsid w:val="275B3779"/>
    <w:rsid w:val="27617356"/>
    <w:rsid w:val="276B4DFA"/>
    <w:rsid w:val="27896301"/>
    <w:rsid w:val="278D0627"/>
    <w:rsid w:val="279F5F47"/>
    <w:rsid w:val="27A31598"/>
    <w:rsid w:val="27AD152E"/>
    <w:rsid w:val="27AD75A3"/>
    <w:rsid w:val="27AE2435"/>
    <w:rsid w:val="27BC5DBC"/>
    <w:rsid w:val="27BD6E41"/>
    <w:rsid w:val="27C33749"/>
    <w:rsid w:val="27CE34A9"/>
    <w:rsid w:val="27DF121F"/>
    <w:rsid w:val="27FA5D0E"/>
    <w:rsid w:val="280844E6"/>
    <w:rsid w:val="28102BEE"/>
    <w:rsid w:val="28153BB7"/>
    <w:rsid w:val="283614D0"/>
    <w:rsid w:val="28390EAD"/>
    <w:rsid w:val="283952FB"/>
    <w:rsid w:val="28406059"/>
    <w:rsid w:val="28424B5A"/>
    <w:rsid w:val="284730B9"/>
    <w:rsid w:val="284C3FCE"/>
    <w:rsid w:val="285F2FAB"/>
    <w:rsid w:val="287066AA"/>
    <w:rsid w:val="288A32A8"/>
    <w:rsid w:val="28A60924"/>
    <w:rsid w:val="28B0429A"/>
    <w:rsid w:val="28BA185B"/>
    <w:rsid w:val="28C84FFD"/>
    <w:rsid w:val="28CB0FE9"/>
    <w:rsid w:val="28D274E0"/>
    <w:rsid w:val="28DB3587"/>
    <w:rsid w:val="28EE49EB"/>
    <w:rsid w:val="28FA680C"/>
    <w:rsid w:val="28FF54ED"/>
    <w:rsid w:val="293C332F"/>
    <w:rsid w:val="293C7218"/>
    <w:rsid w:val="294732E9"/>
    <w:rsid w:val="295B04E2"/>
    <w:rsid w:val="295F4E67"/>
    <w:rsid w:val="29612919"/>
    <w:rsid w:val="296D73D8"/>
    <w:rsid w:val="297827E2"/>
    <w:rsid w:val="29842E86"/>
    <w:rsid w:val="29935BD5"/>
    <w:rsid w:val="29C90B44"/>
    <w:rsid w:val="29D65F43"/>
    <w:rsid w:val="29E06322"/>
    <w:rsid w:val="29E46A61"/>
    <w:rsid w:val="29F5134F"/>
    <w:rsid w:val="29FE7350"/>
    <w:rsid w:val="2A26444C"/>
    <w:rsid w:val="2A4040A0"/>
    <w:rsid w:val="2A494A52"/>
    <w:rsid w:val="2A51618E"/>
    <w:rsid w:val="2A625FFA"/>
    <w:rsid w:val="2A667A60"/>
    <w:rsid w:val="2A6D6D10"/>
    <w:rsid w:val="2A6E0925"/>
    <w:rsid w:val="2AB37625"/>
    <w:rsid w:val="2AC10E98"/>
    <w:rsid w:val="2AC87C7A"/>
    <w:rsid w:val="2AFA0968"/>
    <w:rsid w:val="2B1C5FD3"/>
    <w:rsid w:val="2B344653"/>
    <w:rsid w:val="2B3B6853"/>
    <w:rsid w:val="2B3F3751"/>
    <w:rsid w:val="2B533679"/>
    <w:rsid w:val="2B534DC3"/>
    <w:rsid w:val="2B545CB3"/>
    <w:rsid w:val="2B597B45"/>
    <w:rsid w:val="2B605480"/>
    <w:rsid w:val="2B6C0633"/>
    <w:rsid w:val="2B8636E4"/>
    <w:rsid w:val="2B872427"/>
    <w:rsid w:val="2B8E3E8A"/>
    <w:rsid w:val="2B9D258B"/>
    <w:rsid w:val="2BA3042F"/>
    <w:rsid w:val="2BAC6979"/>
    <w:rsid w:val="2BBE3B2C"/>
    <w:rsid w:val="2BEF576C"/>
    <w:rsid w:val="2BF47839"/>
    <w:rsid w:val="2BFB2E8B"/>
    <w:rsid w:val="2C072C52"/>
    <w:rsid w:val="2C2870B6"/>
    <w:rsid w:val="2C322304"/>
    <w:rsid w:val="2C3D1CC8"/>
    <w:rsid w:val="2C7F18CD"/>
    <w:rsid w:val="2C8246DB"/>
    <w:rsid w:val="2C997BA7"/>
    <w:rsid w:val="2CA66996"/>
    <w:rsid w:val="2CBB1170"/>
    <w:rsid w:val="2CE24F38"/>
    <w:rsid w:val="2CEA4F4A"/>
    <w:rsid w:val="2CF636C7"/>
    <w:rsid w:val="2D026C23"/>
    <w:rsid w:val="2D166C83"/>
    <w:rsid w:val="2D17152C"/>
    <w:rsid w:val="2D386A69"/>
    <w:rsid w:val="2D4A3F11"/>
    <w:rsid w:val="2D4B40DD"/>
    <w:rsid w:val="2D52470F"/>
    <w:rsid w:val="2D571805"/>
    <w:rsid w:val="2D6E5E41"/>
    <w:rsid w:val="2D7A743F"/>
    <w:rsid w:val="2D870AB3"/>
    <w:rsid w:val="2D8A231D"/>
    <w:rsid w:val="2D8D5CBE"/>
    <w:rsid w:val="2D961703"/>
    <w:rsid w:val="2DC754E1"/>
    <w:rsid w:val="2DD04B11"/>
    <w:rsid w:val="2DD72E4F"/>
    <w:rsid w:val="2DDE6DC8"/>
    <w:rsid w:val="2E055B1C"/>
    <w:rsid w:val="2E0C656C"/>
    <w:rsid w:val="2E1030E7"/>
    <w:rsid w:val="2E116D91"/>
    <w:rsid w:val="2E342730"/>
    <w:rsid w:val="2E483136"/>
    <w:rsid w:val="2E577416"/>
    <w:rsid w:val="2E5D7AC3"/>
    <w:rsid w:val="2E7A399B"/>
    <w:rsid w:val="2E9C7636"/>
    <w:rsid w:val="2EA003B9"/>
    <w:rsid w:val="2EA6696C"/>
    <w:rsid w:val="2EB33636"/>
    <w:rsid w:val="2ED73065"/>
    <w:rsid w:val="2ED94AA6"/>
    <w:rsid w:val="2EE36849"/>
    <w:rsid w:val="2F03528E"/>
    <w:rsid w:val="2F1633EE"/>
    <w:rsid w:val="2F1914F8"/>
    <w:rsid w:val="2F1A5D23"/>
    <w:rsid w:val="2F2344D2"/>
    <w:rsid w:val="2F3334F1"/>
    <w:rsid w:val="2F343849"/>
    <w:rsid w:val="2F440B39"/>
    <w:rsid w:val="2F665162"/>
    <w:rsid w:val="2F7E417E"/>
    <w:rsid w:val="2F8042A7"/>
    <w:rsid w:val="2F813532"/>
    <w:rsid w:val="2F8A64E5"/>
    <w:rsid w:val="2FA37D85"/>
    <w:rsid w:val="2FAB36E9"/>
    <w:rsid w:val="2FDF3CA7"/>
    <w:rsid w:val="2FE648B3"/>
    <w:rsid w:val="2FE874D2"/>
    <w:rsid w:val="2FF17A9B"/>
    <w:rsid w:val="30306C35"/>
    <w:rsid w:val="303D7C10"/>
    <w:rsid w:val="30432547"/>
    <w:rsid w:val="304D424C"/>
    <w:rsid w:val="30553E02"/>
    <w:rsid w:val="305A3EF6"/>
    <w:rsid w:val="306401B7"/>
    <w:rsid w:val="307A6417"/>
    <w:rsid w:val="30843FB4"/>
    <w:rsid w:val="30884596"/>
    <w:rsid w:val="308C2216"/>
    <w:rsid w:val="30924F2C"/>
    <w:rsid w:val="30983E9B"/>
    <w:rsid w:val="30A97FA0"/>
    <w:rsid w:val="30B1649A"/>
    <w:rsid w:val="30B95F87"/>
    <w:rsid w:val="30BF2C24"/>
    <w:rsid w:val="30C22290"/>
    <w:rsid w:val="30D40A77"/>
    <w:rsid w:val="312A212B"/>
    <w:rsid w:val="313666F5"/>
    <w:rsid w:val="315F456B"/>
    <w:rsid w:val="317D620C"/>
    <w:rsid w:val="319B3F10"/>
    <w:rsid w:val="319D2BE0"/>
    <w:rsid w:val="31A17CD5"/>
    <w:rsid w:val="31A44F05"/>
    <w:rsid w:val="31CA2052"/>
    <w:rsid w:val="31DA2143"/>
    <w:rsid w:val="31DB6C4B"/>
    <w:rsid w:val="31E4674B"/>
    <w:rsid w:val="31E77FA0"/>
    <w:rsid w:val="31E934AA"/>
    <w:rsid w:val="31F73468"/>
    <w:rsid w:val="31FB141B"/>
    <w:rsid w:val="32020B1A"/>
    <w:rsid w:val="322A7E39"/>
    <w:rsid w:val="322E25C3"/>
    <w:rsid w:val="325C5B66"/>
    <w:rsid w:val="326B21D1"/>
    <w:rsid w:val="327E690E"/>
    <w:rsid w:val="328476A6"/>
    <w:rsid w:val="329F24F9"/>
    <w:rsid w:val="32A86241"/>
    <w:rsid w:val="32B4588F"/>
    <w:rsid w:val="32C8014F"/>
    <w:rsid w:val="32D1178C"/>
    <w:rsid w:val="32F40EFA"/>
    <w:rsid w:val="32F50C8A"/>
    <w:rsid w:val="33060E64"/>
    <w:rsid w:val="33086D5B"/>
    <w:rsid w:val="330E712E"/>
    <w:rsid w:val="33230D4E"/>
    <w:rsid w:val="332F31DB"/>
    <w:rsid w:val="334A3881"/>
    <w:rsid w:val="338620B1"/>
    <w:rsid w:val="338B26E4"/>
    <w:rsid w:val="33A70FE5"/>
    <w:rsid w:val="33A97624"/>
    <w:rsid w:val="33C0485C"/>
    <w:rsid w:val="33C51AE3"/>
    <w:rsid w:val="33C643F7"/>
    <w:rsid w:val="33CC5455"/>
    <w:rsid w:val="33E02AFA"/>
    <w:rsid w:val="33E34C6D"/>
    <w:rsid w:val="33EA7887"/>
    <w:rsid w:val="33FA2C22"/>
    <w:rsid w:val="34025DB6"/>
    <w:rsid w:val="340C422C"/>
    <w:rsid w:val="34231AA9"/>
    <w:rsid w:val="3437163A"/>
    <w:rsid w:val="34393495"/>
    <w:rsid w:val="3442175D"/>
    <w:rsid w:val="345269EB"/>
    <w:rsid w:val="34605D41"/>
    <w:rsid w:val="34756366"/>
    <w:rsid w:val="34886308"/>
    <w:rsid w:val="34891645"/>
    <w:rsid w:val="34AA628A"/>
    <w:rsid w:val="34BB475D"/>
    <w:rsid w:val="34D1575F"/>
    <w:rsid w:val="34D21D73"/>
    <w:rsid w:val="34D44665"/>
    <w:rsid w:val="34DA5484"/>
    <w:rsid w:val="34E96F74"/>
    <w:rsid w:val="350C5750"/>
    <w:rsid w:val="350F3592"/>
    <w:rsid w:val="351013EE"/>
    <w:rsid w:val="35422891"/>
    <w:rsid w:val="354B0F31"/>
    <w:rsid w:val="354F40BE"/>
    <w:rsid w:val="35503404"/>
    <w:rsid w:val="355A1A86"/>
    <w:rsid w:val="35732044"/>
    <w:rsid w:val="359116E4"/>
    <w:rsid w:val="35A908A2"/>
    <w:rsid w:val="35B75C74"/>
    <w:rsid w:val="35DA56F1"/>
    <w:rsid w:val="35DF0610"/>
    <w:rsid w:val="35F666AB"/>
    <w:rsid w:val="362013EF"/>
    <w:rsid w:val="362201A0"/>
    <w:rsid w:val="362B3584"/>
    <w:rsid w:val="36302BD6"/>
    <w:rsid w:val="36491CEA"/>
    <w:rsid w:val="365601F9"/>
    <w:rsid w:val="365F0169"/>
    <w:rsid w:val="3675366A"/>
    <w:rsid w:val="367B6819"/>
    <w:rsid w:val="367C3EE9"/>
    <w:rsid w:val="36905F84"/>
    <w:rsid w:val="369E0322"/>
    <w:rsid w:val="36A7122D"/>
    <w:rsid w:val="36D40087"/>
    <w:rsid w:val="36DB2866"/>
    <w:rsid w:val="36F173FF"/>
    <w:rsid w:val="36FA07A3"/>
    <w:rsid w:val="36FF184F"/>
    <w:rsid w:val="3725358E"/>
    <w:rsid w:val="373B4091"/>
    <w:rsid w:val="376D3D24"/>
    <w:rsid w:val="377712C1"/>
    <w:rsid w:val="377B2BE0"/>
    <w:rsid w:val="378D1CE2"/>
    <w:rsid w:val="37962A91"/>
    <w:rsid w:val="37995553"/>
    <w:rsid w:val="37A607C0"/>
    <w:rsid w:val="37B84FDA"/>
    <w:rsid w:val="37FD0308"/>
    <w:rsid w:val="38014563"/>
    <w:rsid w:val="38156FC7"/>
    <w:rsid w:val="381F155F"/>
    <w:rsid w:val="3822355A"/>
    <w:rsid w:val="38234D51"/>
    <w:rsid w:val="382E0F38"/>
    <w:rsid w:val="3837419B"/>
    <w:rsid w:val="383B4E87"/>
    <w:rsid w:val="38460B8E"/>
    <w:rsid w:val="38475E61"/>
    <w:rsid w:val="385C6743"/>
    <w:rsid w:val="38727EBE"/>
    <w:rsid w:val="38906C8B"/>
    <w:rsid w:val="38A6203A"/>
    <w:rsid w:val="38BF75CB"/>
    <w:rsid w:val="38C00340"/>
    <w:rsid w:val="38C2173A"/>
    <w:rsid w:val="38C842B6"/>
    <w:rsid w:val="38CC5188"/>
    <w:rsid w:val="38D14122"/>
    <w:rsid w:val="38D81D4E"/>
    <w:rsid w:val="38D87C96"/>
    <w:rsid w:val="38E0505E"/>
    <w:rsid w:val="38E55796"/>
    <w:rsid w:val="38F41B64"/>
    <w:rsid w:val="38F74D6B"/>
    <w:rsid w:val="38F8629A"/>
    <w:rsid w:val="39084D0E"/>
    <w:rsid w:val="39595936"/>
    <w:rsid w:val="396472BE"/>
    <w:rsid w:val="39685AEB"/>
    <w:rsid w:val="39A0565E"/>
    <w:rsid w:val="39A21E34"/>
    <w:rsid w:val="39B81467"/>
    <w:rsid w:val="39B8450F"/>
    <w:rsid w:val="39CE0ECF"/>
    <w:rsid w:val="39D5554F"/>
    <w:rsid w:val="39DA41E5"/>
    <w:rsid w:val="39E61FE5"/>
    <w:rsid w:val="3A0A49CD"/>
    <w:rsid w:val="3A165669"/>
    <w:rsid w:val="3A186C63"/>
    <w:rsid w:val="3A1E068B"/>
    <w:rsid w:val="3A4D4DFA"/>
    <w:rsid w:val="3A5831FE"/>
    <w:rsid w:val="3A6C0064"/>
    <w:rsid w:val="3A7A46D9"/>
    <w:rsid w:val="3A822693"/>
    <w:rsid w:val="3A835474"/>
    <w:rsid w:val="3A88595A"/>
    <w:rsid w:val="3A8C1F29"/>
    <w:rsid w:val="3A926EBB"/>
    <w:rsid w:val="3A94543E"/>
    <w:rsid w:val="3AA93089"/>
    <w:rsid w:val="3AAC728E"/>
    <w:rsid w:val="3AB12CF4"/>
    <w:rsid w:val="3AD217CB"/>
    <w:rsid w:val="3AF35A30"/>
    <w:rsid w:val="3AF92D3C"/>
    <w:rsid w:val="3AFD77C2"/>
    <w:rsid w:val="3B290BA1"/>
    <w:rsid w:val="3B361CD1"/>
    <w:rsid w:val="3B5354CF"/>
    <w:rsid w:val="3B9660FB"/>
    <w:rsid w:val="3B9C1358"/>
    <w:rsid w:val="3BB81FD7"/>
    <w:rsid w:val="3BD64547"/>
    <w:rsid w:val="3BF21F3A"/>
    <w:rsid w:val="3C011D70"/>
    <w:rsid w:val="3C23243A"/>
    <w:rsid w:val="3C3A44A7"/>
    <w:rsid w:val="3C471769"/>
    <w:rsid w:val="3C552F16"/>
    <w:rsid w:val="3C596504"/>
    <w:rsid w:val="3C656472"/>
    <w:rsid w:val="3C6E3F06"/>
    <w:rsid w:val="3C847698"/>
    <w:rsid w:val="3C920A6F"/>
    <w:rsid w:val="3C952039"/>
    <w:rsid w:val="3C9D23A8"/>
    <w:rsid w:val="3CA401DD"/>
    <w:rsid w:val="3CA45CBB"/>
    <w:rsid w:val="3CAF39E6"/>
    <w:rsid w:val="3CB85AA9"/>
    <w:rsid w:val="3CBE2C30"/>
    <w:rsid w:val="3CE12885"/>
    <w:rsid w:val="3CE13D8C"/>
    <w:rsid w:val="3CEA1D92"/>
    <w:rsid w:val="3CEE6A6B"/>
    <w:rsid w:val="3CFB0CA5"/>
    <w:rsid w:val="3CFF44C7"/>
    <w:rsid w:val="3D035DF9"/>
    <w:rsid w:val="3D2208E4"/>
    <w:rsid w:val="3D286540"/>
    <w:rsid w:val="3D2D1F6B"/>
    <w:rsid w:val="3D320111"/>
    <w:rsid w:val="3D6E288F"/>
    <w:rsid w:val="3D7828D5"/>
    <w:rsid w:val="3D8612C3"/>
    <w:rsid w:val="3DB949B0"/>
    <w:rsid w:val="3DC66E05"/>
    <w:rsid w:val="3DD02649"/>
    <w:rsid w:val="3DDB7E12"/>
    <w:rsid w:val="3DDC5360"/>
    <w:rsid w:val="3DDD6D3E"/>
    <w:rsid w:val="3DE95019"/>
    <w:rsid w:val="3DF96F95"/>
    <w:rsid w:val="3E0E382C"/>
    <w:rsid w:val="3E235CEE"/>
    <w:rsid w:val="3E240079"/>
    <w:rsid w:val="3E3403F8"/>
    <w:rsid w:val="3E36728E"/>
    <w:rsid w:val="3E3D525B"/>
    <w:rsid w:val="3E4A1F85"/>
    <w:rsid w:val="3E5825DB"/>
    <w:rsid w:val="3E672FB2"/>
    <w:rsid w:val="3E6A5174"/>
    <w:rsid w:val="3E8F5A28"/>
    <w:rsid w:val="3E8F6044"/>
    <w:rsid w:val="3EA838B3"/>
    <w:rsid w:val="3EB35863"/>
    <w:rsid w:val="3ECF1D3A"/>
    <w:rsid w:val="3ED61B12"/>
    <w:rsid w:val="3EEC4ACC"/>
    <w:rsid w:val="3EEE64B8"/>
    <w:rsid w:val="3EFA6A73"/>
    <w:rsid w:val="3EFC205C"/>
    <w:rsid w:val="3F297E97"/>
    <w:rsid w:val="3F2B2C56"/>
    <w:rsid w:val="3F2E7D66"/>
    <w:rsid w:val="3F62563E"/>
    <w:rsid w:val="3F7E06BF"/>
    <w:rsid w:val="3F831D9C"/>
    <w:rsid w:val="3F873C85"/>
    <w:rsid w:val="3F9727D7"/>
    <w:rsid w:val="3FA36147"/>
    <w:rsid w:val="3FBC120C"/>
    <w:rsid w:val="3FE257A0"/>
    <w:rsid w:val="3FF7465A"/>
    <w:rsid w:val="401C7917"/>
    <w:rsid w:val="4023219F"/>
    <w:rsid w:val="404E25DC"/>
    <w:rsid w:val="4074599C"/>
    <w:rsid w:val="40932E63"/>
    <w:rsid w:val="40B927CE"/>
    <w:rsid w:val="40C12D72"/>
    <w:rsid w:val="40D02501"/>
    <w:rsid w:val="40D04F5B"/>
    <w:rsid w:val="40E14C45"/>
    <w:rsid w:val="411661B3"/>
    <w:rsid w:val="411B5900"/>
    <w:rsid w:val="411D1B1C"/>
    <w:rsid w:val="41331F79"/>
    <w:rsid w:val="413B1E34"/>
    <w:rsid w:val="415D74D3"/>
    <w:rsid w:val="416D74FE"/>
    <w:rsid w:val="41963EAF"/>
    <w:rsid w:val="419B56A1"/>
    <w:rsid w:val="41AA05A0"/>
    <w:rsid w:val="41AA644E"/>
    <w:rsid w:val="41AB272B"/>
    <w:rsid w:val="41BD5D2E"/>
    <w:rsid w:val="41C23AED"/>
    <w:rsid w:val="41C33637"/>
    <w:rsid w:val="41C76438"/>
    <w:rsid w:val="41D62FDA"/>
    <w:rsid w:val="41DB2CAD"/>
    <w:rsid w:val="41E051F7"/>
    <w:rsid w:val="41E77005"/>
    <w:rsid w:val="41E85AA6"/>
    <w:rsid w:val="41EA4BC7"/>
    <w:rsid w:val="41EE3A1E"/>
    <w:rsid w:val="41FC0FB6"/>
    <w:rsid w:val="42012181"/>
    <w:rsid w:val="42066728"/>
    <w:rsid w:val="420936DB"/>
    <w:rsid w:val="422B0938"/>
    <w:rsid w:val="423978A2"/>
    <w:rsid w:val="42567CCF"/>
    <w:rsid w:val="425E6B97"/>
    <w:rsid w:val="426A4D59"/>
    <w:rsid w:val="426E047E"/>
    <w:rsid w:val="42991A06"/>
    <w:rsid w:val="429D1BC9"/>
    <w:rsid w:val="42CD119B"/>
    <w:rsid w:val="42D60CF7"/>
    <w:rsid w:val="42D97088"/>
    <w:rsid w:val="42EB548A"/>
    <w:rsid w:val="42F67F68"/>
    <w:rsid w:val="43000B89"/>
    <w:rsid w:val="431A36C9"/>
    <w:rsid w:val="433D6C0E"/>
    <w:rsid w:val="43516EF9"/>
    <w:rsid w:val="437B0868"/>
    <w:rsid w:val="439050BE"/>
    <w:rsid w:val="43A11E89"/>
    <w:rsid w:val="43B161D7"/>
    <w:rsid w:val="43BF111A"/>
    <w:rsid w:val="43CA02E9"/>
    <w:rsid w:val="43E1223E"/>
    <w:rsid w:val="441A2298"/>
    <w:rsid w:val="442D6250"/>
    <w:rsid w:val="446F420F"/>
    <w:rsid w:val="447D1140"/>
    <w:rsid w:val="44AF2921"/>
    <w:rsid w:val="44B176CE"/>
    <w:rsid w:val="44D63E6A"/>
    <w:rsid w:val="44E8149E"/>
    <w:rsid w:val="45055D54"/>
    <w:rsid w:val="45076448"/>
    <w:rsid w:val="450C1D83"/>
    <w:rsid w:val="45161CE1"/>
    <w:rsid w:val="451A374C"/>
    <w:rsid w:val="451B45B7"/>
    <w:rsid w:val="451D246B"/>
    <w:rsid w:val="45240797"/>
    <w:rsid w:val="452B62B0"/>
    <w:rsid w:val="453463EE"/>
    <w:rsid w:val="453722E3"/>
    <w:rsid w:val="453F60CF"/>
    <w:rsid w:val="456C3DFC"/>
    <w:rsid w:val="456D365C"/>
    <w:rsid w:val="456F2403"/>
    <w:rsid w:val="4592715D"/>
    <w:rsid w:val="45962A36"/>
    <w:rsid w:val="45B73D76"/>
    <w:rsid w:val="45D44378"/>
    <w:rsid w:val="45FF3A8E"/>
    <w:rsid w:val="461E6107"/>
    <w:rsid w:val="46522F31"/>
    <w:rsid w:val="46595B51"/>
    <w:rsid w:val="466407F8"/>
    <w:rsid w:val="4673445D"/>
    <w:rsid w:val="46872D5A"/>
    <w:rsid w:val="46AF56C6"/>
    <w:rsid w:val="46DA513B"/>
    <w:rsid w:val="46DD5F17"/>
    <w:rsid w:val="46E53747"/>
    <w:rsid w:val="46EE7988"/>
    <w:rsid w:val="46F321F3"/>
    <w:rsid w:val="46F71AF0"/>
    <w:rsid w:val="47034F54"/>
    <w:rsid w:val="4705039D"/>
    <w:rsid w:val="470A7BF6"/>
    <w:rsid w:val="470D5FE5"/>
    <w:rsid w:val="47232A85"/>
    <w:rsid w:val="472A40C8"/>
    <w:rsid w:val="4744545F"/>
    <w:rsid w:val="476F5560"/>
    <w:rsid w:val="47711C44"/>
    <w:rsid w:val="47720286"/>
    <w:rsid w:val="477C0432"/>
    <w:rsid w:val="478A3BF0"/>
    <w:rsid w:val="478E3042"/>
    <w:rsid w:val="47B248E3"/>
    <w:rsid w:val="47BD3FB7"/>
    <w:rsid w:val="47F11709"/>
    <w:rsid w:val="481D25E6"/>
    <w:rsid w:val="481D5531"/>
    <w:rsid w:val="482435AC"/>
    <w:rsid w:val="48292B79"/>
    <w:rsid w:val="483B7560"/>
    <w:rsid w:val="484619A8"/>
    <w:rsid w:val="484E229D"/>
    <w:rsid w:val="488F47A6"/>
    <w:rsid w:val="489F63BB"/>
    <w:rsid w:val="48A0622F"/>
    <w:rsid w:val="48A65D7D"/>
    <w:rsid w:val="48A6733B"/>
    <w:rsid w:val="48B761AC"/>
    <w:rsid w:val="48BF3047"/>
    <w:rsid w:val="48C64A20"/>
    <w:rsid w:val="48CC3521"/>
    <w:rsid w:val="48CC6B5C"/>
    <w:rsid w:val="48D542F6"/>
    <w:rsid w:val="48DC4EC1"/>
    <w:rsid w:val="48E567EA"/>
    <w:rsid w:val="48F33101"/>
    <w:rsid w:val="48F84EE1"/>
    <w:rsid w:val="49447EB1"/>
    <w:rsid w:val="494962B6"/>
    <w:rsid w:val="496030BD"/>
    <w:rsid w:val="496F5827"/>
    <w:rsid w:val="49882CCA"/>
    <w:rsid w:val="498B070B"/>
    <w:rsid w:val="498B426E"/>
    <w:rsid w:val="49A5630D"/>
    <w:rsid w:val="49A948DA"/>
    <w:rsid w:val="49BB06B1"/>
    <w:rsid w:val="49C241B9"/>
    <w:rsid w:val="49C24320"/>
    <w:rsid w:val="49C5090F"/>
    <w:rsid w:val="49C7609E"/>
    <w:rsid w:val="49D8636A"/>
    <w:rsid w:val="49DD09DB"/>
    <w:rsid w:val="4A000A9A"/>
    <w:rsid w:val="4A0058CC"/>
    <w:rsid w:val="4A0828D8"/>
    <w:rsid w:val="4A213D24"/>
    <w:rsid w:val="4A371DA2"/>
    <w:rsid w:val="4A3D4FD3"/>
    <w:rsid w:val="4A47115F"/>
    <w:rsid w:val="4A4E1BBA"/>
    <w:rsid w:val="4A58400C"/>
    <w:rsid w:val="4A691F6C"/>
    <w:rsid w:val="4A6F0D74"/>
    <w:rsid w:val="4A717130"/>
    <w:rsid w:val="4A7F42AF"/>
    <w:rsid w:val="4A827B51"/>
    <w:rsid w:val="4A832AF2"/>
    <w:rsid w:val="4A9D2FD4"/>
    <w:rsid w:val="4AA578D1"/>
    <w:rsid w:val="4AAA6685"/>
    <w:rsid w:val="4AD673F7"/>
    <w:rsid w:val="4AE34E08"/>
    <w:rsid w:val="4B050E43"/>
    <w:rsid w:val="4B211B09"/>
    <w:rsid w:val="4B282B22"/>
    <w:rsid w:val="4B3178B9"/>
    <w:rsid w:val="4B457F12"/>
    <w:rsid w:val="4B494FEA"/>
    <w:rsid w:val="4B4E69F2"/>
    <w:rsid w:val="4B552BB8"/>
    <w:rsid w:val="4B613098"/>
    <w:rsid w:val="4B63132C"/>
    <w:rsid w:val="4B7628D2"/>
    <w:rsid w:val="4B771E6A"/>
    <w:rsid w:val="4B800ED6"/>
    <w:rsid w:val="4B8E26B4"/>
    <w:rsid w:val="4B94234F"/>
    <w:rsid w:val="4B963CCF"/>
    <w:rsid w:val="4BB34382"/>
    <w:rsid w:val="4BCA4CCD"/>
    <w:rsid w:val="4BD7609D"/>
    <w:rsid w:val="4BE717B4"/>
    <w:rsid w:val="4BE7557B"/>
    <w:rsid w:val="4BF33190"/>
    <w:rsid w:val="4C0438D2"/>
    <w:rsid w:val="4C0C6591"/>
    <w:rsid w:val="4C274659"/>
    <w:rsid w:val="4C365D0B"/>
    <w:rsid w:val="4C544F04"/>
    <w:rsid w:val="4C586CC5"/>
    <w:rsid w:val="4C707E76"/>
    <w:rsid w:val="4C7339FD"/>
    <w:rsid w:val="4C802C5A"/>
    <w:rsid w:val="4C9B57D3"/>
    <w:rsid w:val="4C9B7AF9"/>
    <w:rsid w:val="4CAD58EE"/>
    <w:rsid w:val="4CC20D30"/>
    <w:rsid w:val="4CC46E53"/>
    <w:rsid w:val="4CC83588"/>
    <w:rsid w:val="4CDD5D30"/>
    <w:rsid w:val="4CE42327"/>
    <w:rsid w:val="4CEE1BED"/>
    <w:rsid w:val="4CFB3E96"/>
    <w:rsid w:val="4D3125BD"/>
    <w:rsid w:val="4D3B51D1"/>
    <w:rsid w:val="4D4A479E"/>
    <w:rsid w:val="4D591E58"/>
    <w:rsid w:val="4D5B1E99"/>
    <w:rsid w:val="4D5E465C"/>
    <w:rsid w:val="4D625FED"/>
    <w:rsid w:val="4D6843A0"/>
    <w:rsid w:val="4D6943D5"/>
    <w:rsid w:val="4D6A2AAE"/>
    <w:rsid w:val="4D6A672B"/>
    <w:rsid w:val="4D720FA0"/>
    <w:rsid w:val="4D83318A"/>
    <w:rsid w:val="4D8653EF"/>
    <w:rsid w:val="4D9F319B"/>
    <w:rsid w:val="4DA71F35"/>
    <w:rsid w:val="4DAE0738"/>
    <w:rsid w:val="4DCB1BE5"/>
    <w:rsid w:val="4DCC57E1"/>
    <w:rsid w:val="4DDE5430"/>
    <w:rsid w:val="4DF32FDE"/>
    <w:rsid w:val="4DFD23A9"/>
    <w:rsid w:val="4E056F6C"/>
    <w:rsid w:val="4E11178F"/>
    <w:rsid w:val="4E4F59EA"/>
    <w:rsid w:val="4E75687B"/>
    <w:rsid w:val="4E9E3D52"/>
    <w:rsid w:val="4EA94635"/>
    <w:rsid w:val="4EF456E0"/>
    <w:rsid w:val="4EFB73D1"/>
    <w:rsid w:val="4F1F77BB"/>
    <w:rsid w:val="4F234511"/>
    <w:rsid w:val="4F29433C"/>
    <w:rsid w:val="4F2A6FE7"/>
    <w:rsid w:val="4F500509"/>
    <w:rsid w:val="4F606417"/>
    <w:rsid w:val="4F6865EF"/>
    <w:rsid w:val="4F730C11"/>
    <w:rsid w:val="4F7B79CC"/>
    <w:rsid w:val="4F7D71E7"/>
    <w:rsid w:val="4F7F1DAD"/>
    <w:rsid w:val="4F835D34"/>
    <w:rsid w:val="4F842FAF"/>
    <w:rsid w:val="4F90420A"/>
    <w:rsid w:val="4FBD1CFD"/>
    <w:rsid w:val="4FD149D3"/>
    <w:rsid w:val="4FE53FC4"/>
    <w:rsid w:val="4FEC1281"/>
    <w:rsid w:val="4FFC6E07"/>
    <w:rsid w:val="50026A29"/>
    <w:rsid w:val="5010041F"/>
    <w:rsid w:val="5010479B"/>
    <w:rsid w:val="50236666"/>
    <w:rsid w:val="503653B1"/>
    <w:rsid w:val="503B3714"/>
    <w:rsid w:val="503D7652"/>
    <w:rsid w:val="50462F95"/>
    <w:rsid w:val="504A6769"/>
    <w:rsid w:val="505E7298"/>
    <w:rsid w:val="50693E7A"/>
    <w:rsid w:val="507714A7"/>
    <w:rsid w:val="507A04C9"/>
    <w:rsid w:val="507B3C58"/>
    <w:rsid w:val="50944E7A"/>
    <w:rsid w:val="50963FA8"/>
    <w:rsid w:val="50AB7780"/>
    <w:rsid w:val="50C16493"/>
    <w:rsid w:val="50D816AF"/>
    <w:rsid w:val="51031B0B"/>
    <w:rsid w:val="511A1635"/>
    <w:rsid w:val="512279F7"/>
    <w:rsid w:val="512961D1"/>
    <w:rsid w:val="513909B2"/>
    <w:rsid w:val="5144598C"/>
    <w:rsid w:val="51456F83"/>
    <w:rsid w:val="51487E74"/>
    <w:rsid w:val="514A565A"/>
    <w:rsid w:val="515070C3"/>
    <w:rsid w:val="51610FA9"/>
    <w:rsid w:val="51676E38"/>
    <w:rsid w:val="516D1A71"/>
    <w:rsid w:val="51752AE2"/>
    <w:rsid w:val="5189425B"/>
    <w:rsid w:val="51CC5E14"/>
    <w:rsid w:val="51DD59B2"/>
    <w:rsid w:val="51DF681D"/>
    <w:rsid w:val="51E17147"/>
    <w:rsid w:val="51E8457E"/>
    <w:rsid w:val="51FE5586"/>
    <w:rsid w:val="51FF71E2"/>
    <w:rsid w:val="520F46DF"/>
    <w:rsid w:val="522A6B9E"/>
    <w:rsid w:val="52417233"/>
    <w:rsid w:val="52601063"/>
    <w:rsid w:val="527D0CD8"/>
    <w:rsid w:val="52BA1799"/>
    <w:rsid w:val="52D12385"/>
    <w:rsid w:val="52E720E1"/>
    <w:rsid w:val="52EC56B5"/>
    <w:rsid w:val="52EF3B05"/>
    <w:rsid w:val="52F30980"/>
    <w:rsid w:val="530D3852"/>
    <w:rsid w:val="5310309D"/>
    <w:rsid w:val="531335FD"/>
    <w:rsid w:val="531B5EDB"/>
    <w:rsid w:val="531F3832"/>
    <w:rsid w:val="532B5422"/>
    <w:rsid w:val="534E2747"/>
    <w:rsid w:val="536318E4"/>
    <w:rsid w:val="53657A5E"/>
    <w:rsid w:val="536639DC"/>
    <w:rsid w:val="538E65E0"/>
    <w:rsid w:val="539D7236"/>
    <w:rsid w:val="539E7E02"/>
    <w:rsid w:val="53A0531D"/>
    <w:rsid w:val="53AD1F3E"/>
    <w:rsid w:val="53C736F2"/>
    <w:rsid w:val="53CB0BFA"/>
    <w:rsid w:val="53D21E8B"/>
    <w:rsid w:val="53D549E9"/>
    <w:rsid w:val="53E63CDC"/>
    <w:rsid w:val="53F96C7E"/>
    <w:rsid w:val="54071C55"/>
    <w:rsid w:val="54141E8D"/>
    <w:rsid w:val="54162635"/>
    <w:rsid w:val="54185351"/>
    <w:rsid w:val="54242545"/>
    <w:rsid w:val="545D76E3"/>
    <w:rsid w:val="547330EC"/>
    <w:rsid w:val="547608A6"/>
    <w:rsid w:val="54837873"/>
    <w:rsid w:val="549A28EC"/>
    <w:rsid w:val="549D3FF4"/>
    <w:rsid w:val="54AF6F79"/>
    <w:rsid w:val="54B206A1"/>
    <w:rsid w:val="54BA69AA"/>
    <w:rsid w:val="54C05383"/>
    <w:rsid w:val="54D825DC"/>
    <w:rsid w:val="54DD6668"/>
    <w:rsid w:val="54E21D8E"/>
    <w:rsid w:val="54E81240"/>
    <w:rsid w:val="54F300E6"/>
    <w:rsid w:val="5505777B"/>
    <w:rsid w:val="55094D4A"/>
    <w:rsid w:val="552A1C91"/>
    <w:rsid w:val="55312022"/>
    <w:rsid w:val="553A0FA2"/>
    <w:rsid w:val="55496989"/>
    <w:rsid w:val="55500FA1"/>
    <w:rsid w:val="556652B3"/>
    <w:rsid w:val="557767BA"/>
    <w:rsid w:val="557F11AC"/>
    <w:rsid w:val="55852641"/>
    <w:rsid w:val="55883C91"/>
    <w:rsid w:val="5594479A"/>
    <w:rsid w:val="55AB22AF"/>
    <w:rsid w:val="55B83D48"/>
    <w:rsid w:val="55E402E7"/>
    <w:rsid w:val="55EC2707"/>
    <w:rsid w:val="56017941"/>
    <w:rsid w:val="5616377C"/>
    <w:rsid w:val="562E02C5"/>
    <w:rsid w:val="56304671"/>
    <w:rsid w:val="56396CD1"/>
    <w:rsid w:val="564E20E4"/>
    <w:rsid w:val="56597972"/>
    <w:rsid w:val="566965D7"/>
    <w:rsid w:val="56801450"/>
    <w:rsid w:val="56852255"/>
    <w:rsid w:val="56A83884"/>
    <w:rsid w:val="56D72FD8"/>
    <w:rsid w:val="56DB57BA"/>
    <w:rsid w:val="56DC407E"/>
    <w:rsid w:val="56DE3E6F"/>
    <w:rsid w:val="56EB7838"/>
    <w:rsid w:val="57006EF0"/>
    <w:rsid w:val="571D6CE6"/>
    <w:rsid w:val="57580BFA"/>
    <w:rsid w:val="57586E17"/>
    <w:rsid w:val="578078AD"/>
    <w:rsid w:val="578425A2"/>
    <w:rsid w:val="57881A1D"/>
    <w:rsid w:val="578D6229"/>
    <w:rsid w:val="5798623B"/>
    <w:rsid w:val="57A55B58"/>
    <w:rsid w:val="57C34216"/>
    <w:rsid w:val="57C67F7E"/>
    <w:rsid w:val="57D76AFF"/>
    <w:rsid w:val="57DA424B"/>
    <w:rsid w:val="57EF166D"/>
    <w:rsid w:val="57F24C6F"/>
    <w:rsid w:val="57F44963"/>
    <w:rsid w:val="58300DB5"/>
    <w:rsid w:val="58541B51"/>
    <w:rsid w:val="58585FFF"/>
    <w:rsid w:val="5862099E"/>
    <w:rsid w:val="58645868"/>
    <w:rsid w:val="58764846"/>
    <w:rsid w:val="587A5617"/>
    <w:rsid w:val="587E3C54"/>
    <w:rsid w:val="588D0080"/>
    <w:rsid w:val="589A7479"/>
    <w:rsid w:val="589F070B"/>
    <w:rsid w:val="58AF6EC2"/>
    <w:rsid w:val="58BB640C"/>
    <w:rsid w:val="58CC091A"/>
    <w:rsid w:val="58DB0754"/>
    <w:rsid w:val="58E47FDA"/>
    <w:rsid w:val="59046B80"/>
    <w:rsid w:val="591E5823"/>
    <w:rsid w:val="59262F33"/>
    <w:rsid w:val="5926732E"/>
    <w:rsid w:val="593B6851"/>
    <w:rsid w:val="594D6301"/>
    <w:rsid w:val="595712A4"/>
    <w:rsid w:val="59595BC0"/>
    <w:rsid w:val="59740174"/>
    <w:rsid w:val="597820EB"/>
    <w:rsid w:val="597E5682"/>
    <w:rsid w:val="598F09FD"/>
    <w:rsid w:val="598F7BE6"/>
    <w:rsid w:val="59B05254"/>
    <w:rsid w:val="59DA26EF"/>
    <w:rsid w:val="59FB75BB"/>
    <w:rsid w:val="5A190474"/>
    <w:rsid w:val="5A225DF1"/>
    <w:rsid w:val="5A2D3D6A"/>
    <w:rsid w:val="5A41576D"/>
    <w:rsid w:val="5A4E567B"/>
    <w:rsid w:val="5A5257DE"/>
    <w:rsid w:val="5A545E3C"/>
    <w:rsid w:val="5A681BAA"/>
    <w:rsid w:val="5A6953D1"/>
    <w:rsid w:val="5A755883"/>
    <w:rsid w:val="5A8034D0"/>
    <w:rsid w:val="5A972B95"/>
    <w:rsid w:val="5AB052FA"/>
    <w:rsid w:val="5AD93203"/>
    <w:rsid w:val="5ADD6EFD"/>
    <w:rsid w:val="5AE748AE"/>
    <w:rsid w:val="5AEB2BE9"/>
    <w:rsid w:val="5AEE1D9C"/>
    <w:rsid w:val="5AFB3C56"/>
    <w:rsid w:val="5B061445"/>
    <w:rsid w:val="5B0B462B"/>
    <w:rsid w:val="5B166525"/>
    <w:rsid w:val="5B1C76B3"/>
    <w:rsid w:val="5B241275"/>
    <w:rsid w:val="5B251B64"/>
    <w:rsid w:val="5B3B3BCF"/>
    <w:rsid w:val="5B405F43"/>
    <w:rsid w:val="5B451BFA"/>
    <w:rsid w:val="5B4A4B05"/>
    <w:rsid w:val="5B4E2C6A"/>
    <w:rsid w:val="5B596C11"/>
    <w:rsid w:val="5B5E3B08"/>
    <w:rsid w:val="5B7268B0"/>
    <w:rsid w:val="5B91122F"/>
    <w:rsid w:val="5BA269D8"/>
    <w:rsid w:val="5BB25890"/>
    <w:rsid w:val="5BC63FCE"/>
    <w:rsid w:val="5BC81C2F"/>
    <w:rsid w:val="5BCD7207"/>
    <w:rsid w:val="5BF80EE9"/>
    <w:rsid w:val="5C042FCF"/>
    <w:rsid w:val="5C100196"/>
    <w:rsid w:val="5C103F91"/>
    <w:rsid w:val="5C121764"/>
    <w:rsid w:val="5C15286B"/>
    <w:rsid w:val="5C1D4354"/>
    <w:rsid w:val="5C23283C"/>
    <w:rsid w:val="5C2541F6"/>
    <w:rsid w:val="5C286F5D"/>
    <w:rsid w:val="5C2941D5"/>
    <w:rsid w:val="5C320A5B"/>
    <w:rsid w:val="5C32448A"/>
    <w:rsid w:val="5C33642E"/>
    <w:rsid w:val="5C336C14"/>
    <w:rsid w:val="5C48730A"/>
    <w:rsid w:val="5C4F5C63"/>
    <w:rsid w:val="5C590ED3"/>
    <w:rsid w:val="5C755F6D"/>
    <w:rsid w:val="5C8F30F0"/>
    <w:rsid w:val="5C9F2D54"/>
    <w:rsid w:val="5CAC7A94"/>
    <w:rsid w:val="5CB67B49"/>
    <w:rsid w:val="5CBA0998"/>
    <w:rsid w:val="5CBC3761"/>
    <w:rsid w:val="5CC802C3"/>
    <w:rsid w:val="5CC83F76"/>
    <w:rsid w:val="5CCE61B3"/>
    <w:rsid w:val="5CD9154A"/>
    <w:rsid w:val="5CEC6E02"/>
    <w:rsid w:val="5CF12BCC"/>
    <w:rsid w:val="5CF53E33"/>
    <w:rsid w:val="5D155115"/>
    <w:rsid w:val="5D423C56"/>
    <w:rsid w:val="5D4E1EA6"/>
    <w:rsid w:val="5D5833AD"/>
    <w:rsid w:val="5D5B2B81"/>
    <w:rsid w:val="5D646853"/>
    <w:rsid w:val="5D75491A"/>
    <w:rsid w:val="5D775536"/>
    <w:rsid w:val="5D834A53"/>
    <w:rsid w:val="5D8C7B70"/>
    <w:rsid w:val="5D970E59"/>
    <w:rsid w:val="5DA560E8"/>
    <w:rsid w:val="5DB50669"/>
    <w:rsid w:val="5DCB1E81"/>
    <w:rsid w:val="5DD0684A"/>
    <w:rsid w:val="5DE8037A"/>
    <w:rsid w:val="5DED5E58"/>
    <w:rsid w:val="5E0B7483"/>
    <w:rsid w:val="5E105E83"/>
    <w:rsid w:val="5E177726"/>
    <w:rsid w:val="5E560D6D"/>
    <w:rsid w:val="5E590B94"/>
    <w:rsid w:val="5E80164C"/>
    <w:rsid w:val="5E806EAA"/>
    <w:rsid w:val="5E9A00A2"/>
    <w:rsid w:val="5EB32AD1"/>
    <w:rsid w:val="5EC14166"/>
    <w:rsid w:val="5EC8205F"/>
    <w:rsid w:val="5EC9103D"/>
    <w:rsid w:val="5ECD30AD"/>
    <w:rsid w:val="5EDB2B4D"/>
    <w:rsid w:val="5EE326E3"/>
    <w:rsid w:val="5F0A4151"/>
    <w:rsid w:val="5F0C45B6"/>
    <w:rsid w:val="5F0D782D"/>
    <w:rsid w:val="5F194D10"/>
    <w:rsid w:val="5F24042B"/>
    <w:rsid w:val="5F2E6CB0"/>
    <w:rsid w:val="5F2F1E76"/>
    <w:rsid w:val="5F5E1FAE"/>
    <w:rsid w:val="5F7626AA"/>
    <w:rsid w:val="5F8555A1"/>
    <w:rsid w:val="5F9A58F5"/>
    <w:rsid w:val="5FB860FD"/>
    <w:rsid w:val="5FDE217C"/>
    <w:rsid w:val="601C0EAD"/>
    <w:rsid w:val="6024512E"/>
    <w:rsid w:val="602874F3"/>
    <w:rsid w:val="60291F0E"/>
    <w:rsid w:val="602F4F61"/>
    <w:rsid w:val="60433923"/>
    <w:rsid w:val="604C71B1"/>
    <w:rsid w:val="605909A1"/>
    <w:rsid w:val="60651777"/>
    <w:rsid w:val="607118A2"/>
    <w:rsid w:val="607965C6"/>
    <w:rsid w:val="60A97640"/>
    <w:rsid w:val="60AD59E2"/>
    <w:rsid w:val="60AF60AB"/>
    <w:rsid w:val="61314CE4"/>
    <w:rsid w:val="613E0FA2"/>
    <w:rsid w:val="614864A8"/>
    <w:rsid w:val="614919DD"/>
    <w:rsid w:val="614D03D5"/>
    <w:rsid w:val="616545C5"/>
    <w:rsid w:val="61760341"/>
    <w:rsid w:val="618468D1"/>
    <w:rsid w:val="61A169E1"/>
    <w:rsid w:val="61B970FD"/>
    <w:rsid w:val="61C53C8A"/>
    <w:rsid w:val="61CB4D1B"/>
    <w:rsid w:val="61DC2A46"/>
    <w:rsid w:val="62004D26"/>
    <w:rsid w:val="62022F0C"/>
    <w:rsid w:val="62252D63"/>
    <w:rsid w:val="622633D8"/>
    <w:rsid w:val="62266661"/>
    <w:rsid w:val="6227466E"/>
    <w:rsid w:val="624E49D2"/>
    <w:rsid w:val="627239F0"/>
    <w:rsid w:val="62727DC8"/>
    <w:rsid w:val="627C3707"/>
    <w:rsid w:val="628103D2"/>
    <w:rsid w:val="62924CA6"/>
    <w:rsid w:val="629F2356"/>
    <w:rsid w:val="62A42DE3"/>
    <w:rsid w:val="62AF6182"/>
    <w:rsid w:val="62C90A3B"/>
    <w:rsid w:val="62DB3172"/>
    <w:rsid w:val="63024722"/>
    <w:rsid w:val="631629DF"/>
    <w:rsid w:val="631E5388"/>
    <w:rsid w:val="63273155"/>
    <w:rsid w:val="63274B99"/>
    <w:rsid w:val="632B4015"/>
    <w:rsid w:val="632E5B30"/>
    <w:rsid w:val="633233F5"/>
    <w:rsid w:val="633D039E"/>
    <w:rsid w:val="635164BC"/>
    <w:rsid w:val="636A0D7C"/>
    <w:rsid w:val="637146E9"/>
    <w:rsid w:val="639B7EAB"/>
    <w:rsid w:val="63A150FD"/>
    <w:rsid w:val="63A679A7"/>
    <w:rsid w:val="63B156CA"/>
    <w:rsid w:val="63C276D0"/>
    <w:rsid w:val="63C77B86"/>
    <w:rsid w:val="63C968C0"/>
    <w:rsid w:val="63D163BE"/>
    <w:rsid w:val="63EA0D55"/>
    <w:rsid w:val="63F051CC"/>
    <w:rsid w:val="63FC4129"/>
    <w:rsid w:val="641025AE"/>
    <w:rsid w:val="646000BB"/>
    <w:rsid w:val="64973F93"/>
    <w:rsid w:val="64C02B26"/>
    <w:rsid w:val="64C476A2"/>
    <w:rsid w:val="64D67DDE"/>
    <w:rsid w:val="64E30F49"/>
    <w:rsid w:val="64E71535"/>
    <w:rsid w:val="64E8049A"/>
    <w:rsid w:val="64EE7730"/>
    <w:rsid w:val="64FB1CBE"/>
    <w:rsid w:val="651443D2"/>
    <w:rsid w:val="652D7E27"/>
    <w:rsid w:val="6541577C"/>
    <w:rsid w:val="654350DF"/>
    <w:rsid w:val="654E03C3"/>
    <w:rsid w:val="655F027A"/>
    <w:rsid w:val="656768D6"/>
    <w:rsid w:val="656A4B6E"/>
    <w:rsid w:val="65757D8A"/>
    <w:rsid w:val="6578511D"/>
    <w:rsid w:val="657A27DC"/>
    <w:rsid w:val="657C35D0"/>
    <w:rsid w:val="65A4354B"/>
    <w:rsid w:val="65A55072"/>
    <w:rsid w:val="65AC6A5C"/>
    <w:rsid w:val="65AE34E2"/>
    <w:rsid w:val="65E64419"/>
    <w:rsid w:val="65E85582"/>
    <w:rsid w:val="65EE5BBE"/>
    <w:rsid w:val="65F62684"/>
    <w:rsid w:val="65F9376B"/>
    <w:rsid w:val="664928ED"/>
    <w:rsid w:val="667F5ED2"/>
    <w:rsid w:val="6697131F"/>
    <w:rsid w:val="66AD3745"/>
    <w:rsid w:val="66AE40FB"/>
    <w:rsid w:val="66B736C7"/>
    <w:rsid w:val="66BD2086"/>
    <w:rsid w:val="66CE7A1A"/>
    <w:rsid w:val="66E36E55"/>
    <w:rsid w:val="66EB4750"/>
    <w:rsid w:val="66F30E09"/>
    <w:rsid w:val="67011531"/>
    <w:rsid w:val="673779F3"/>
    <w:rsid w:val="673A40D5"/>
    <w:rsid w:val="67871D99"/>
    <w:rsid w:val="678746B2"/>
    <w:rsid w:val="679309C4"/>
    <w:rsid w:val="67960FBF"/>
    <w:rsid w:val="67967D14"/>
    <w:rsid w:val="67B87221"/>
    <w:rsid w:val="67D61D15"/>
    <w:rsid w:val="67E23AF6"/>
    <w:rsid w:val="67E25B34"/>
    <w:rsid w:val="67F10DDF"/>
    <w:rsid w:val="683607F4"/>
    <w:rsid w:val="683B3290"/>
    <w:rsid w:val="68583BE8"/>
    <w:rsid w:val="685D786E"/>
    <w:rsid w:val="68913614"/>
    <w:rsid w:val="68BC5DE8"/>
    <w:rsid w:val="68C43C7A"/>
    <w:rsid w:val="68D5309D"/>
    <w:rsid w:val="68E12D13"/>
    <w:rsid w:val="690D1827"/>
    <w:rsid w:val="690F4EB6"/>
    <w:rsid w:val="69196564"/>
    <w:rsid w:val="692738EF"/>
    <w:rsid w:val="69305C5E"/>
    <w:rsid w:val="69351EA9"/>
    <w:rsid w:val="693D1FBC"/>
    <w:rsid w:val="693E08E3"/>
    <w:rsid w:val="6948390D"/>
    <w:rsid w:val="695A5201"/>
    <w:rsid w:val="696843BF"/>
    <w:rsid w:val="69781184"/>
    <w:rsid w:val="697D062D"/>
    <w:rsid w:val="697D6D48"/>
    <w:rsid w:val="69850E8D"/>
    <w:rsid w:val="69BA629D"/>
    <w:rsid w:val="69EC7051"/>
    <w:rsid w:val="6A030518"/>
    <w:rsid w:val="6A17794F"/>
    <w:rsid w:val="6A2420A6"/>
    <w:rsid w:val="6A251A64"/>
    <w:rsid w:val="6A285638"/>
    <w:rsid w:val="6A2D5908"/>
    <w:rsid w:val="6A341EC1"/>
    <w:rsid w:val="6A61537A"/>
    <w:rsid w:val="6A76789F"/>
    <w:rsid w:val="6A9C65E5"/>
    <w:rsid w:val="6AB50CE9"/>
    <w:rsid w:val="6ADE09D3"/>
    <w:rsid w:val="6AE23619"/>
    <w:rsid w:val="6AE855C0"/>
    <w:rsid w:val="6AEC245E"/>
    <w:rsid w:val="6AEE736C"/>
    <w:rsid w:val="6AEF7BEE"/>
    <w:rsid w:val="6AF01AC1"/>
    <w:rsid w:val="6B1564D5"/>
    <w:rsid w:val="6B1D3B68"/>
    <w:rsid w:val="6B35292B"/>
    <w:rsid w:val="6B38483E"/>
    <w:rsid w:val="6B3F0B09"/>
    <w:rsid w:val="6B4E3457"/>
    <w:rsid w:val="6B500972"/>
    <w:rsid w:val="6B544E7D"/>
    <w:rsid w:val="6B5D125A"/>
    <w:rsid w:val="6B6E730E"/>
    <w:rsid w:val="6B7F59B8"/>
    <w:rsid w:val="6B9356F4"/>
    <w:rsid w:val="6B942F5B"/>
    <w:rsid w:val="6B944F4B"/>
    <w:rsid w:val="6BBC33EC"/>
    <w:rsid w:val="6BBE4B91"/>
    <w:rsid w:val="6BCF2C9A"/>
    <w:rsid w:val="6BE57714"/>
    <w:rsid w:val="6BE93380"/>
    <w:rsid w:val="6BEA7B46"/>
    <w:rsid w:val="6C00321B"/>
    <w:rsid w:val="6C047BC8"/>
    <w:rsid w:val="6C1D6D3B"/>
    <w:rsid w:val="6C2135E1"/>
    <w:rsid w:val="6C5F1E59"/>
    <w:rsid w:val="6C7034F5"/>
    <w:rsid w:val="6C7500BA"/>
    <w:rsid w:val="6C9623B1"/>
    <w:rsid w:val="6CB620E6"/>
    <w:rsid w:val="6CD52A7A"/>
    <w:rsid w:val="6CDC75C1"/>
    <w:rsid w:val="6CDF12D0"/>
    <w:rsid w:val="6CE50999"/>
    <w:rsid w:val="6CEB0B1A"/>
    <w:rsid w:val="6CEE2C4E"/>
    <w:rsid w:val="6CFC2ED8"/>
    <w:rsid w:val="6D053F37"/>
    <w:rsid w:val="6D065481"/>
    <w:rsid w:val="6D094FB0"/>
    <w:rsid w:val="6D2F6976"/>
    <w:rsid w:val="6D307C76"/>
    <w:rsid w:val="6D5C28A5"/>
    <w:rsid w:val="6D624466"/>
    <w:rsid w:val="6D655203"/>
    <w:rsid w:val="6D7A09B7"/>
    <w:rsid w:val="6D811B5B"/>
    <w:rsid w:val="6D845292"/>
    <w:rsid w:val="6D870195"/>
    <w:rsid w:val="6D95210C"/>
    <w:rsid w:val="6D9B2703"/>
    <w:rsid w:val="6D9B3CA7"/>
    <w:rsid w:val="6D9C162F"/>
    <w:rsid w:val="6D9D6FDB"/>
    <w:rsid w:val="6DA54DE6"/>
    <w:rsid w:val="6DA74DDD"/>
    <w:rsid w:val="6DBF6D8E"/>
    <w:rsid w:val="6DC13C89"/>
    <w:rsid w:val="6DC3488F"/>
    <w:rsid w:val="6DC914D4"/>
    <w:rsid w:val="6DC9413C"/>
    <w:rsid w:val="6DCB66DF"/>
    <w:rsid w:val="6DE84640"/>
    <w:rsid w:val="6DFC2BE8"/>
    <w:rsid w:val="6DFF5BCD"/>
    <w:rsid w:val="6E072807"/>
    <w:rsid w:val="6E1D2B5C"/>
    <w:rsid w:val="6E2C0740"/>
    <w:rsid w:val="6E351279"/>
    <w:rsid w:val="6E4E5AE4"/>
    <w:rsid w:val="6E6743CA"/>
    <w:rsid w:val="6E696A1B"/>
    <w:rsid w:val="6E91782C"/>
    <w:rsid w:val="6E942BED"/>
    <w:rsid w:val="6EA051F5"/>
    <w:rsid w:val="6EAB570C"/>
    <w:rsid w:val="6ECE3800"/>
    <w:rsid w:val="6EF013D3"/>
    <w:rsid w:val="6F080128"/>
    <w:rsid w:val="6F132450"/>
    <w:rsid w:val="6F1E618F"/>
    <w:rsid w:val="6F2035C2"/>
    <w:rsid w:val="6F257F04"/>
    <w:rsid w:val="6F3F5EAB"/>
    <w:rsid w:val="6F6530EC"/>
    <w:rsid w:val="6F6B7A29"/>
    <w:rsid w:val="6F711EDC"/>
    <w:rsid w:val="6F74785B"/>
    <w:rsid w:val="6F7C622D"/>
    <w:rsid w:val="6F863DEF"/>
    <w:rsid w:val="6F9819C1"/>
    <w:rsid w:val="6FBD1773"/>
    <w:rsid w:val="6FCB2616"/>
    <w:rsid w:val="6FE40B01"/>
    <w:rsid w:val="6FE42DDC"/>
    <w:rsid w:val="6FE45F0D"/>
    <w:rsid w:val="6FF0397B"/>
    <w:rsid w:val="7008374D"/>
    <w:rsid w:val="7013410D"/>
    <w:rsid w:val="7025577D"/>
    <w:rsid w:val="702A2591"/>
    <w:rsid w:val="704D28AB"/>
    <w:rsid w:val="704E0FC9"/>
    <w:rsid w:val="706A1E55"/>
    <w:rsid w:val="706D7BC3"/>
    <w:rsid w:val="70712562"/>
    <w:rsid w:val="70765BB6"/>
    <w:rsid w:val="70792379"/>
    <w:rsid w:val="707D55C1"/>
    <w:rsid w:val="708A1D9D"/>
    <w:rsid w:val="709B0378"/>
    <w:rsid w:val="70A117DF"/>
    <w:rsid w:val="70A94CA3"/>
    <w:rsid w:val="70AC6B52"/>
    <w:rsid w:val="70AD6FCB"/>
    <w:rsid w:val="70CF5B4F"/>
    <w:rsid w:val="70D87795"/>
    <w:rsid w:val="70E36EA8"/>
    <w:rsid w:val="70E65115"/>
    <w:rsid w:val="70EC091F"/>
    <w:rsid w:val="71190B45"/>
    <w:rsid w:val="711F7A19"/>
    <w:rsid w:val="71212672"/>
    <w:rsid w:val="7133094D"/>
    <w:rsid w:val="713F31E3"/>
    <w:rsid w:val="71422EBD"/>
    <w:rsid w:val="7145754D"/>
    <w:rsid w:val="715A1F48"/>
    <w:rsid w:val="715E22CC"/>
    <w:rsid w:val="71875210"/>
    <w:rsid w:val="718C0E33"/>
    <w:rsid w:val="719E63B3"/>
    <w:rsid w:val="71BD4C25"/>
    <w:rsid w:val="71E13CF7"/>
    <w:rsid w:val="71E82C84"/>
    <w:rsid w:val="72142261"/>
    <w:rsid w:val="72270B6E"/>
    <w:rsid w:val="722F31FB"/>
    <w:rsid w:val="7231312D"/>
    <w:rsid w:val="723765C0"/>
    <w:rsid w:val="72414806"/>
    <w:rsid w:val="727B750C"/>
    <w:rsid w:val="727C0BAA"/>
    <w:rsid w:val="727E104E"/>
    <w:rsid w:val="72B2379D"/>
    <w:rsid w:val="73000987"/>
    <w:rsid w:val="73183AFA"/>
    <w:rsid w:val="731B5A14"/>
    <w:rsid w:val="73211D6C"/>
    <w:rsid w:val="7354328D"/>
    <w:rsid w:val="73554448"/>
    <w:rsid w:val="735D5B35"/>
    <w:rsid w:val="73603C42"/>
    <w:rsid w:val="73A5408C"/>
    <w:rsid w:val="73B05994"/>
    <w:rsid w:val="73C96417"/>
    <w:rsid w:val="73D13FA3"/>
    <w:rsid w:val="73EC41AD"/>
    <w:rsid w:val="73EE495D"/>
    <w:rsid w:val="73F62AB9"/>
    <w:rsid w:val="73FC4F16"/>
    <w:rsid w:val="740E330E"/>
    <w:rsid w:val="74154F23"/>
    <w:rsid w:val="742C0A15"/>
    <w:rsid w:val="743A4EEA"/>
    <w:rsid w:val="743F0907"/>
    <w:rsid w:val="744573CB"/>
    <w:rsid w:val="747237B4"/>
    <w:rsid w:val="747E649C"/>
    <w:rsid w:val="747F725E"/>
    <w:rsid w:val="748D69F0"/>
    <w:rsid w:val="74C420E5"/>
    <w:rsid w:val="74EC5A1F"/>
    <w:rsid w:val="74ED3963"/>
    <w:rsid w:val="74F426B0"/>
    <w:rsid w:val="75001C71"/>
    <w:rsid w:val="750A34E8"/>
    <w:rsid w:val="75212AB8"/>
    <w:rsid w:val="75254D22"/>
    <w:rsid w:val="754F18AD"/>
    <w:rsid w:val="755C12DE"/>
    <w:rsid w:val="756F50FD"/>
    <w:rsid w:val="757E609B"/>
    <w:rsid w:val="758175EB"/>
    <w:rsid w:val="7587131D"/>
    <w:rsid w:val="75956C29"/>
    <w:rsid w:val="759F1E79"/>
    <w:rsid w:val="75CD57ED"/>
    <w:rsid w:val="75DA020B"/>
    <w:rsid w:val="75DA3D24"/>
    <w:rsid w:val="75E116E3"/>
    <w:rsid w:val="75E37D69"/>
    <w:rsid w:val="75E61D20"/>
    <w:rsid w:val="75F613AB"/>
    <w:rsid w:val="75F63E18"/>
    <w:rsid w:val="760E37B7"/>
    <w:rsid w:val="76245CB4"/>
    <w:rsid w:val="76280375"/>
    <w:rsid w:val="76415B61"/>
    <w:rsid w:val="76451370"/>
    <w:rsid w:val="76470626"/>
    <w:rsid w:val="765534B7"/>
    <w:rsid w:val="76573DB7"/>
    <w:rsid w:val="767307DD"/>
    <w:rsid w:val="767A1893"/>
    <w:rsid w:val="76C27E1D"/>
    <w:rsid w:val="76DA6216"/>
    <w:rsid w:val="76EA6EC8"/>
    <w:rsid w:val="77026111"/>
    <w:rsid w:val="7717631B"/>
    <w:rsid w:val="771C5C53"/>
    <w:rsid w:val="77264FCF"/>
    <w:rsid w:val="773D1F6D"/>
    <w:rsid w:val="77453670"/>
    <w:rsid w:val="774A6051"/>
    <w:rsid w:val="774D2195"/>
    <w:rsid w:val="775832B8"/>
    <w:rsid w:val="776E469C"/>
    <w:rsid w:val="77745385"/>
    <w:rsid w:val="77813DC2"/>
    <w:rsid w:val="77875101"/>
    <w:rsid w:val="779444B8"/>
    <w:rsid w:val="77AF7A3B"/>
    <w:rsid w:val="77B276A2"/>
    <w:rsid w:val="77B77562"/>
    <w:rsid w:val="77C2441B"/>
    <w:rsid w:val="77CA4CF1"/>
    <w:rsid w:val="77D31A34"/>
    <w:rsid w:val="77DF2FA6"/>
    <w:rsid w:val="77F12E80"/>
    <w:rsid w:val="77F15A5C"/>
    <w:rsid w:val="77F364AE"/>
    <w:rsid w:val="78043B41"/>
    <w:rsid w:val="780451DA"/>
    <w:rsid w:val="780860AC"/>
    <w:rsid w:val="78186CB0"/>
    <w:rsid w:val="783C764F"/>
    <w:rsid w:val="78472860"/>
    <w:rsid w:val="784A23F7"/>
    <w:rsid w:val="784E5BCE"/>
    <w:rsid w:val="78596D8E"/>
    <w:rsid w:val="78863C94"/>
    <w:rsid w:val="78901147"/>
    <w:rsid w:val="78C55092"/>
    <w:rsid w:val="78D87548"/>
    <w:rsid w:val="78DC6229"/>
    <w:rsid w:val="78FB5D02"/>
    <w:rsid w:val="791233CF"/>
    <w:rsid w:val="79150774"/>
    <w:rsid w:val="79177609"/>
    <w:rsid w:val="791D6863"/>
    <w:rsid w:val="79275914"/>
    <w:rsid w:val="793E3AFD"/>
    <w:rsid w:val="796C2740"/>
    <w:rsid w:val="7978294D"/>
    <w:rsid w:val="7992181F"/>
    <w:rsid w:val="79A25816"/>
    <w:rsid w:val="79B30B0F"/>
    <w:rsid w:val="79D075A1"/>
    <w:rsid w:val="7A302064"/>
    <w:rsid w:val="7A386A06"/>
    <w:rsid w:val="7A4E48E2"/>
    <w:rsid w:val="7A5170F2"/>
    <w:rsid w:val="7A526156"/>
    <w:rsid w:val="7A7F4FBB"/>
    <w:rsid w:val="7A806674"/>
    <w:rsid w:val="7A813973"/>
    <w:rsid w:val="7A84672E"/>
    <w:rsid w:val="7ABD5448"/>
    <w:rsid w:val="7AC45C33"/>
    <w:rsid w:val="7AC63A47"/>
    <w:rsid w:val="7AD2041B"/>
    <w:rsid w:val="7AD71243"/>
    <w:rsid w:val="7ADE1D24"/>
    <w:rsid w:val="7B2641C5"/>
    <w:rsid w:val="7B292833"/>
    <w:rsid w:val="7B3531DA"/>
    <w:rsid w:val="7B445403"/>
    <w:rsid w:val="7B543F32"/>
    <w:rsid w:val="7B7159BB"/>
    <w:rsid w:val="7B90340D"/>
    <w:rsid w:val="7B94325B"/>
    <w:rsid w:val="7BAD21AD"/>
    <w:rsid w:val="7BBF5F92"/>
    <w:rsid w:val="7BC17C57"/>
    <w:rsid w:val="7BDB4627"/>
    <w:rsid w:val="7BF975F9"/>
    <w:rsid w:val="7C0B5D06"/>
    <w:rsid w:val="7C177118"/>
    <w:rsid w:val="7C1F2F02"/>
    <w:rsid w:val="7C1F7690"/>
    <w:rsid w:val="7C220482"/>
    <w:rsid w:val="7C236439"/>
    <w:rsid w:val="7C2A55DC"/>
    <w:rsid w:val="7C3A0837"/>
    <w:rsid w:val="7C3A581D"/>
    <w:rsid w:val="7C56420C"/>
    <w:rsid w:val="7C65272F"/>
    <w:rsid w:val="7C681D0F"/>
    <w:rsid w:val="7C717880"/>
    <w:rsid w:val="7C77261C"/>
    <w:rsid w:val="7C783ECC"/>
    <w:rsid w:val="7C7C22A9"/>
    <w:rsid w:val="7C7E15B2"/>
    <w:rsid w:val="7C86229C"/>
    <w:rsid w:val="7C8F05BC"/>
    <w:rsid w:val="7CA626E0"/>
    <w:rsid w:val="7CB92951"/>
    <w:rsid w:val="7D010858"/>
    <w:rsid w:val="7D23002D"/>
    <w:rsid w:val="7D2840A6"/>
    <w:rsid w:val="7D3C21AD"/>
    <w:rsid w:val="7D44000E"/>
    <w:rsid w:val="7D555F9B"/>
    <w:rsid w:val="7D587DD1"/>
    <w:rsid w:val="7D695745"/>
    <w:rsid w:val="7D8B0C1A"/>
    <w:rsid w:val="7DA56BB0"/>
    <w:rsid w:val="7DA84F13"/>
    <w:rsid w:val="7DB17324"/>
    <w:rsid w:val="7DB63087"/>
    <w:rsid w:val="7DB9107F"/>
    <w:rsid w:val="7DB97B5F"/>
    <w:rsid w:val="7DBB1629"/>
    <w:rsid w:val="7DC4382A"/>
    <w:rsid w:val="7DC527BC"/>
    <w:rsid w:val="7DD81B23"/>
    <w:rsid w:val="7DEC7B48"/>
    <w:rsid w:val="7E0068E3"/>
    <w:rsid w:val="7E154BDC"/>
    <w:rsid w:val="7E1B15C5"/>
    <w:rsid w:val="7E393D36"/>
    <w:rsid w:val="7E453174"/>
    <w:rsid w:val="7E49563D"/>
    <w:rsid w:val="7E7F45F8"/>
    <w:rsid w:val="7E812F90"/>
    <w:rsid w:val="7E854B61"/>
    <w:rsid w:val="7EAB26B7"/>
    <w:rsid w:val="7EBC0F6E"/>
    <w:rsid w:val="7EDD5D15"/>
    <w:rsid w:val="7EE37441"/>
    <w:rsid w:val="7EE975B4"/>
    <w:rsid w:val="7EF1034D"/>
    <w:rsid w:val="7EF66E94"/>
    <w:rsid w:val="7EFB5A1F"/>
    <w:rsid w:val="7EFF1954"/>
    <w:rsid w:val="7F0822F9"/>
    <w:rsid w:val="7F167842"/>
    <w:rsid w:val="7F3157BB"/>
    <w:rsid w:val="7F3D0E2C"/>
    <w:rsid w:val="7F4F1320"/>
    <w:rsid w:val="7F4F5BD7"/>
    <w:rsid w:val="7F550850"/>
    <w:rsid w:val="7F5E4491"/>
    <w:rsid w:val="7F5E4CEB"/>
    <w:rsid w:val="7F721217"/>
    <w:rsid w:val="7F8253F9"/>
    <w:rsid w:val="7F8F7E14"/>
    <w:rsid w:val="7FB62BC2"/>
    <w:rsid w:val="7FC21D5A"/>
    <w:rsid w:val="7FC42125"/>
    <w:rsid w:val="7FD90C5E"/>
    <w:rsid w:val="7FDA46BB"/>
    <w:rsid w:val="7FE7595B"/>
    <w:rsid w:val="7FF4567F"/>
    <w:rsid w:val="7FF64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qFormat="1"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7"/>
    <w:uiPriority w:val="99"/>
    <w:rPr>
      <w:sz w:val="24"/>
    </w:rPr>
  </w:style>
  <w:style w:type="paragraph" w:styleId="3">
    <w:name w:val="Balloon Text"/>
    <w:basedOn w:val="1"/>
    <w:link w:val="16"/>
    <w:uiPriority w:val="0"/>
    <w:rPr>
      <w:rFonts w:ascii="Lucida Grande" w:hAnsi="Lucida Grande" w:cs="Lucida Grande"/>
      <w:sz w:val="18"/>
      <w:szCs w:val="18"/>
    </w:rPr>
  </w:style>
  <w:style w:type="paragraph" w:styleId="4">
    <w:name w:val="footer"/>
    <w:basedOn w:val="1"/>
    <w:link w:val="20"/>
    <w:uiPriority w:val="0"/>
    <w:pPr>
      <w:tabs>
        <w:tab w:val="center" w:pos="4153"/>
        <w:tab w:val="right" w:pos="8306"/>
      </w:tabs>
      <w:snapToGrid w:val="0"/>
      <w:jc w:val="left"/>
    </w:pPr>
    <w:rPr>
      <w:sz w:val="18"/>
      <w:szCs w:val="18"/>
    </w:rPr>
  </w:style>
  <w:style w:type="paragraph" w:styleId="5">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jc w:val="left"/>
    </w:pPr>
    <w:rPr>
      <w:kern w:val="0"/>
      <w:sz w:val="24"/>
    </w:rPr>
  </w:style>
  <w:style w:type="paragraph" w:styleId="7">
    <w:name w:val="annotation subject"/>
    <w:basedOn w:val="2"/>
    <w:next w:val="2"/>
    <w:link w:val="18"/>
    <w:uiPriority w:val="0"/>
    <w:rPr>
      <w:b/>
      <w:bCs/>
      <w:sz w:val="20"/>
      <w:szCs w:val="20"/>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page number"/>
    <w:basedOn w:val="10"/>
    <w:semiHidden/>
    <w:unhideWhenUsed/>
    <w:qFormat/>
    <w:uiPriority w:val="0"/>
  </w:style>
  <w:style w:type="character" w:styleId="12">
    <w:name w:val="Emphasis"/>
    <w:qFormat/>
    <w:uiPriority w:val="0"/>
    <w:rPr>
      <w:color w:val="CC0000"/>
    </w:rPr>
  </w:style>
  <w:style w:type="character" w:styleId="13">
    <w:name w:val="Hyperlink"/>
    <w:qFormat/>
    <w:uiPriority w:val="0"/>
    <w:rPr>
      <w:color w:val="0000FF"/>
      <w:u w:val="single"/>
    </w:rPr>
  </w:style>
  <w:style w:type="character" w:styleId="14">
    <w:name w:val="annotation reference"/>
    <w:uiPriority w:val="0"/>
    <w:rPr>
      <w:sz w:val="18"/>
      <w:szCs w:val="18"/>
    </w:rPr>
  </w:style>
  <w:style w:type="character" w:styleId="15">
    <w:name w:val="HTML Cite"/>
    <w:qFormat/>
    <w:uiPriority w:val="0"/>
    <w:rPr>
      <w:color w:val="008000"/>
    </w:rPr>
  </w:style>
  <w:style w:type="character" w:customStyle="1" w:styleId="16">
    <w:name w:val="Balloon Text Char"/>
    <w:link w:val="3"/>
    <w:uiPriority w:val="0"/>
    <w:rPr>
      <w:rFonts w:ascii="Lucida Grande" w:hAnsi="Lucida Grande" w:eastAsia="宋体" w:cs="Lucida Grande"/>
      <w:kern w:val="2"/>
      <w:sz w:val="18"/>
      <w:szCs w:val="18"/>
      <w:lang w:val="en-US" w:eastAsia="zh-CN"/>
    </w:rPr>
  </w:style>
  <w:style w:type="character" w:customStyle="1" w:styleId="17">
    <w:name w:val="Comment Text Char"/>
    <w:link w:val="2"/>
    <w:uiPriority w:val="99"/>
    <w:rPr>
      <w:rFonts w:ascii="Calibri" w:hAnsi="Calibri" w:eastAsia="宋体" w:cs="Times New Roman"/>
      <w:kern w:val="2"/>
      <w:sz w:val="24"/>
      <w:szCs w:val="24"/>
      <w:lang w:val="en-US" w:eastAsia="zh-CN"/>
    </w:rPr>
  </w:style>
  <w:style w:type="character" w:customStyle="1" w:styleId="18">
    <w:name w:val="Comment Subject Char"/>
    <w:link w:val="7"/>
    <w:qFormat/>
    <w:uiPriority w:val="0"/>
    <w:rPr>
      <w:rFonts w:ascii="Calibri" w:hAnsi="Calibri" w:eastAsia="宋体" w:cs="Times New Roman"/>
      <w:b/>
      <w:bCs/>
      <w:kern w:val="2"/>
      <w:sz w:val="24"/>
      <w:szCs w:val="24"/>
      <w:lang w:val="en-US" w:eastAsia="zh-CN"/>
    </w:rPr>
  </w:style>
  <w:style w:type="character" w:customStyle="1" w:styleId="19">
    <w:name w:val="Header Char"/>
    <w:link w:val="5"/>
    <w:qFormat/>
    <w:uiPriority w:val="0"/>
    <w:rPr>
      <w:rFonts w:ascii="Calibri" w:hAnsi="Calibri" w:eastAsia="宋体" w:cs="Times New Roman"/>
      <w:kern w:val="2"/>
      <w:sz w:val="18"/>
      <w:szCs w:val="18"/>
      <w:lang w:val="en-US" w:eastAsia="zh-CN"/>
    </w:rPr>
  </w:style>
  <w:style w:type="character" w:customStyle="1" w:styleId="20">
    <w:name w:val="Footer Char"/>
    <w:link w:val="4"/>
    <w:qFormat/>
    <w:uiPriority w:val="0"/>
    <w:rPr>
      <w:rFonts w:ascii="Calibri" w:hAnsi="Calibri" w:eastAsia="宋体" w:cs="Times New Roman"/>
      <w:kern w:val="2"/>
      <w:sz w:val="18"/>
      <w:szCs w:val="18"/>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Users\Administrator\Desktop\MS2019040411-Edited-QCc.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C:\Users\Administrator\Desktop\MS2019040411-Edited-QCc.dot</Template>
  <Pages>31</Pages>
  <Words>6949</Words>
  <Characters>39610</Characters>
  <Lines>330</Lines>
  <Paragraphs>92</Paragraphs>
  <TotalTime>2</TotalTime>
  <ScaleCrop>false</ScaleCrop>
  <LinksUpToDate>false</LinksUpToDate>
  <CharactersWithSpaces>46467</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2019-06-01T04:28:00Z</dcterms:created>
  <dcterms:modified xsi:type="dcterms:W3CDTF">2019-06-11T09:11:51Z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