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80" w:rsidRPr="00177880" w:rsidRDefault="00177880" w:rsidP="00330DC5">
      <w:pPr>
        <w:adjustRightInd w:val="0"/>
        <w:snapToGrid w:val="0"/>
        <w:spacing w:line="360" w:lineRule="auto"/>
        <w:ind w:right="0"/>
        <w:outlineLvl w:val="0"/>
        <w:rPr>
          <w:rFonts w:ascii="Book Antiqua" w:eastAsia="宋体" w:hAnsi="Book Antiqua"/>
          <w:b/>
          <w:color w:val="000000"/>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_GoBack"/>
      <w:bookmarkEnd w:id="12"/>
      <w:r w:rsidRPr="00177880">
        <w:rPr>
          <w:rFonts w:ascii="Book Antiqua" w:eastAsia="宋体" w:hAnsi="Book Antiqua"/>
          <w:b/>
          <w:color w:val="000000"/>
          <w:highlight w:val="white"/>
          <w:lang w:val="en-US" w:eastAsia="zh-CN"/>
        </w:rPr>
        <w:t xml:space="preserve">Name of </w:t>
      </w:r>
      <w:r w:rsidRPr="00177880">
        <w:rPr>
          <w:rFonts w:ascii="Book Antiqua" w:eastAsia="宋体" w:hAnsi="Book Antiqua"/>
          <w:b/>
          <w:caps/>
          <w:color w:val="000000"/>
          <w:highlight w:val="white"/>
          <w:lang w:val="en-US" w:eastAsia="zh-CN"/>
        </w:rPr>
        <w:t>j</w:t>
      </w:r>
      <w:r w:rsidRPr="00177880">
        <w:rPr>
          <w:rFonts w:ascii="Book Antiqua" w:eastAsia="宋体" w:hAnsi="Book Antiqua"/>
          <w:b/>
          <w:color w:val="000000"/>
          <w:highlight w:val="white"/>
          <w:lang w:val="en-US" w:eastAsia="zh-CN"/>
        </w:rPr>
        <w:t xml:space="preserve">ournal: </w:t>
      </w:r>
      <w:bookmarkStart w:id="13" w:name="OLE_LINK718"/>
      <w:bookmarkStart w:id="14" w:name="OLE_LINK719"/>
      <w:r w:rsidRPr="00177880">
        <w:rPr>
          <w:rFonts w:ascii="Book Antiqua" w:eastAsia="宋体" w:hAnsi="Book Antiqua"/>
          <w:b/>
          <w:i/>
          <w:color w:val="000000"/>
          <w:highlight w:val="white"/>
          <w:lang w:val="en-US" w:eastAsia="zh-CN"/>
        </w:rPr>
        <w:t>World Journal of Gastroenterology</w:t>
      </w:r>
      <w:bookmarkEnd w:id="13"/>
      <w:bookmarkEnd w:id="14"/>
    </w:p>
    <w:p w:rsidR="00177880" w:rsidRPr="00177880" w:rsidRDefault="00177880" w:rsidP="00330DC5">
      <w:pPr>
        <w:adjustRightInd w:val="0"/>
        <w:snapToGrid w:val="0"/>
        <w:spacing w:line="360" w:lineRule="auto"/>
        <w:ind w:right="0"/>
        <w:outlineLvl w:val="0"/>
        <w:rPr>
          <w:rFonts w:ascii="Book Antiqua" w:eastAsia="宋体" w:hAnsi="Book Antiqua"/>
          <w:b/>
          <w:i/>
          <w:color w:val="000000"/>
          <w:highlight w:val="white"/>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177880">
        <w:rPr>
          <w:rFonts w:ascii="Book Antiqua" w:eastAsia="宋体" w:hAnsi="Book Antiqua"/>
          <w:b/>
          <w:color w:val="000000"/>
          <w:highlight w:val="white"/>
          <w:lang w:val="en-US" w:eastAsia="zh-CN"/>
        </w:rPr>
        <w:t>Manuscript NO:</w:t>
      </w:r>
      <w:bookmarkEnd w:id="15"/>
      <w:bookmarkEnd w:id="16"/>
      <w:bookmarkEnd w:id="17"/>
      <w:bookmarkEnd w:id="18"/>
      <w:r w:rsidRPr="00177880">
        <w:rPr>
          <w:rFonts w:ascii="Book Antiqua" w:eastAsia="宋体" w:hAnsi="Book Antiqua"/>
          <w:b/>
          <w:color w:val="000000"/>
          <w:highlight w:val="white"/>
          <w:lang w:val="en-US" w:eastAsia="zh-CN"/>
        </w:rPr>
        <w:t xml:space="preserve"> </w:t>
      </w:r>
      <w:r>
        <w:rPr>
          <w:rFonts w:ascii="Book Antiqua" w:eastAsia="宋体" w:hAnsi="Book Antiqua"/>
          <w:b/>
          <w:color w:val="000000"/>
          <w:lang w:val="en-US" w:eastAsia="zh-CN"/>
        </w:rPr>
        <w:t>45973</w:t>
      </w:r>
    </w:p>
    <w:bookmarkEnd w:id="19"/>
    <w:bookmarkEnd w:id="20"/>
    <w:p w:rsidR="00177880" w:rsidRDefault="00177880" w:rsidP="00330DC5">
      <w:pPr>
        <w:adjustRightInd w:val="0"/>
        <w:snapToGrid w:val="0"/>
        <w:spacing w:line="360" w:lineRule="auto"/>
        <w:ind w:right="0"/>
        <w:outlineLvl w:val="0"/>
        <w:rPr>
          <w:rFonts w:ascii="Book Antiqua" w:hAnsi="Book Antiqua"/>
          <w:b/>
          <w:lang w:val="en-US"/>
        </w:rPr>
      </w:pPr>
      <w:r w:rsidRPr="00177880">
        <w:rPr>
          <w:rFonts w:ascii="Book Antiqua" w:eastAsia="宋体" w:hAnsi="Book Antiqua"/>
          <w:b/>
          <w:color w:val="000000"/>
          <w:highlight w:val="white"/>
          <w:lang w:val="en-US" w:eastAsia="zh-CN"/>
        </w:rPr>
        <w:t xml:space="preserve">Manuscript </w:t>
      </w:r>
      <w:r w:rsidRPr="00177880">
        <w:rPr>
          <w:rFonts w:ascii="Book Antiqua" w:eastAsia="宋体" w:hAnsi="Book Antiqua"/>
          <w:b/>
          <w:caps/>
          <w:color w:val="000000"/>
          <w:highlight w:val="white"/>
          <w:lang w:val="en-US" w:eastAsia="zh-CN"/>
        </w:rPr>
        <w:t>t</w:t>
      </w:r>
      <w:r w:rsidRPr="00177880">
        <w:rPr>
          <w:rFonts w:ascii="Book Antiqua" w:eastAsia="宋体" w:hAnsi="Book Antiqua"/>
          <w:b/>
          <w:color w:val="000000"/>
          <w:highlight w:val="white"/>
          <w:lang w:val="en-US" w:eastAsia="zh-CN"/>
        </w:rPr>
        <w:t>ype</w:t>
      </w:r>
      <w:r w:rsidRPr="00177880">
        <w:rPr>
          <w:rFonts w:ascii="Book Antiqua" w:eastAsia="宋体" w:hAnsi="Book Antiqua"/>
          <w:b/>
          <w:color w:val="000000"/>
          <w:lang w:val="en-US" w:eastAsia="zh-CN"/>
        </w:rPr>
        <w:t>:</w:t>
      </w:r>
      <w:bookmarkEnd w:id="0"/>
      <w:bookmarkEnd w:id="1"/>
      <w:bookmarkEnd w:id="2"/>
      <w:bookmarkEnd w:id="3"/>
      <w:bookmarkEnd w:id="4"/>
      <w:bookmarkEnd w:id="5"/>
      <w:bookmarkEnd w:id="6"/>
      <w:bookmarkEnd w:id="7"/>
      <w:bookmarkEnd w:id="8"/>
      <w:bookmarkEnd w:id="9"/>
      <w:bookmarkEnd w:id="10"/>
      <w:r w:rsidRPr="00177880">
        <w:rPr>
          <w:rFonts w:ascii="Book Antiqua" w:eastAsia="宋体" w:hAnsi="Book Antiqua"/>
          <w:b/>
          <w:color w:val="000000"/>
          <w:lang w:val="en-US" w:eastAsia="zh-CN"/>
        </w:rPr>
        <w:t xml:space="preserve"> </w:t>
      </w:r>
      <w:bookmarkEnd w:id="11"/>
      <w:r>
        <w:rPr>
          <w:rFonts w:ascii="Book Antiqua" w:eastAsia="宋体" w:hAnsi="Book Antiqua"/>
          <w:b/>
          <w:color w:val="000000"/>
          <w:lang w:val="en-US" w:eastAsia="zh-CN"/>
        </w:rPr>
        <w:t>SYSTEMATIC REVIEWS</w:t>
      </w:r>
    </w:p>
    <w:p w:rsidR="00177880" w:rsidRDefault="00177880" w:rsidP="00177880">
      <w:pPr>
        <w:adjustRightInd w:val="0"/>
        <w:snapToGrid w:val="0"/>
        <w:spacing w:line="360" w:lineRule="auto"/>
        <w:ind w:right="0"/>
        <w:rPr>
          <w:rFonts w:ascii="Book Antiqua" w:hAnsi="Book Antiqua"/>
          <w:b/>
          <w:lang w:val="en-US" w:eastAsia="zh-CN"/>
        </w:rPr>
      </w:pPr>
    </w:p>
    <w:p w:rsidR="006A50E0" w:rsidRPr="00786942" w:rsidRDefault="001B65AC" w:rsidP="00177880">
      <w:pPr>
        <w:adjustRightInd w:val="0"/>
        <w:snapToGrid w:val="0"/>
        <w:spacing w:line="360" w:lineRule="auto"/>
        <w:ind w:right="0"/>
        <w:rPr>
          <w:rFonts w:ascii="Book Antiqua" w:hAnsi="Book Antiqua"/>
          <w:b/>
          <w:lang w:val="en-US"/>
        </w:rPr>
      </w:pPr>
      <w:r>
        <w:rPr>
          <w:rFonts w:ascii="Book Antiqua" w:hAnsi="Book Antiqua"/>
          <w:b/>
          <w:lang w:val="en-US"/>
        </w:rPr>
        <w:t>Systematic review: R</w:t>
      </w:r>
      <w:r w:rsidRPr="00786942">
        <w:rPr>
          <w:rFonts w:ascii="Book Antiqua" w:hAnsi="Book Antiqua"/>
          <w:b/>
          <w:lang w:val="en-US"/>
        </w:rPr>
        <w:t>enin-angiotensin</w:t>
      </w:r>
      <w:r w:rsidR="004B66F4" w:rsidRPr="00786942">
        <w:rPr>
          <w:rFonts w:ascii="Book Antiqua" w:hAnsi="Book Antiqua"/>
          <w:b/>
          <w:lang w:val="en-US"/>
        </w:rPr>
        <w:t xml:space="preserve"> </w:t>
      </w:r>
      <w:r w:rsidRPr="00786942">
        <w:rPr>
          <w:rFonts w:ascii="Book Antiqua" w:hAnsi="Book Antiqua"/>
          <w:b/>
          <w:lang w:val="en-US"/>
        </w:rPr>
        <w:t>system inhibitors in chemoprevention of hepatocellular carcinoma</w:t>
      </w:r>
    </w:p>
    <w:p w:rsidR="00AA07DE" w:rsidRPr="00786942" w:rsidRDefault="00AA07DE" w:rsidP="00786942">
      <w:pPr>
        <w:adjustRightInd w:val="0"/>
        <w:snapToGrid w:val="0"/>
        <w:spacing w:line="360" w:lineRule="auto"/>
        <w:ind w:right="0"/>
        <w:rPr>
          <w:rFonts w:ascii="Book Antiqua" w:hAnsi="Book Antiqua"/>
          <w:bCs/>
          <w:iCs/>
          <w:lang w:val="en-US"/>
        </w:rPr>
      </w:pPr>
    </w:p>
    <w:p w:rsidR="00786942" w:rsidRPr="00786942" w:rsidRDefault="00786942" w:rsidP="00330DC5">
      <w:pPr>
        <w:adjustRightInd w:val="0"/>
        <w:snapToGrid w:val="0"/>
        <w:spacing w:line="360" w:lineRule="auto"/>
        <w:ind w:right="0"/>
        <w:outlineLvl w:val="0"/>
        <w:rPr>
          <w:rFonts w:ascii="Book Antiqua" w:hAnsi="Book Antiqua"/>
          <w:bCs/>
          <w:iCs/>
          <w:lang w:val="en-US"/>
        </w:rPr>
      </w:pPr>
      <w:r w:rsidRPr="00786942">
        <w:rPr>
          <w:rFonts w:ascii="Book Antiqua" w:hAnsi="Book Antiqua"/>
          <w:bCs/>
          <w:iCs/>
          <w:lang w:val="en-US"/>
        </w:rPr>
        <w:t xml:space="preserve">Barone M </w:t>
      </w:r>
      <w:r w:rsidRPr="00786942">
        <w:rPr>
          <w:rFonts w:ascii="Book Antiqua" w:hAnsi="Book Antiqua"/>
          <w:bCs/>
          <w:i/>
          <w:iCs/>
          <w:lang w:val="en-US"/>
        </w:rPr>
        <w:t>et al</w:t>
      </w:r>
      <w:r w:rsidRPr="00786942">
        <w:rPr>
          <w:rFonts w:ascii="Book Antiqua" w:hAnsi="Book Antiqua"/>
          <w:bCs/>
          <w:iCs/>
          <w:lang w:val="en-US"/>
        </w:rPr>
        <w:t>. RAS inhibitors for HCC</w:t>
      </w:r>
    </w:p>
    <w:p w:rsidR="00786942" w:rsidRDefault="00786942" w:rsidP="00786942">
      <w:pPr>
        <w:adjustRightInd w:val="0"/>
        <w:snapToGrid w:val="0"/>
        <w:spacing w:line="360" w:lineRule="auto"/>
        <w:ind w:right="0"/>
        <w:rPr>
          <w:rFonts w:ascii="Book Antiqua" w:hAnsi="Book Antiqua"/>
          <w:bCs/>
          <w:iCs/>
          <w:lang w:val="en-US"/>
        </w:rPr>
      </w:pPr>
    </w:p>
    <w:p w:rsidR="001B65AC" w:rsidRPr="001B65AC" w:rsidRDefault="001B65AC" w:rsidP="00786942">
      <w:pPr>
        <w:adjustRightInd w:val="0"/>
        <w:snapToGrid w:val="0"/>
        <w:spacing w:line="360" w:lineRule="auto"/>
        <w:ind w:right="0"/>
        <w:rPr>
          <w:rFonts w:ascii="Book Antiqua" w:hAnsi="Book Antiqua"/>
          <w:bCs/>
          <w:iCs/>
          <w:lang w:val="en-US"/>
        </w:rPr>
      </w:pPr>
      <w:r w:rsidRPr="001B65AC">
        <w:rPr>
          <w:rFonts w:ascii="Book Antiqua" w:hAnsi="Book Antiqua"/>
          <w:bCs/>
          <w:iCs/>
          <w:lang w:val="en-US"/>
        </w:rPr>
        <w:t>Michele Barone, Maria Teresa Viggiani, Giuseppe Losurdo, Mariabeatrice Principi, Alfredo Di Leo</w:t>
      </w:r>
    </w:p>
    <w:p w:rsidR="001B65AC" w:rsidRPr="00786942" w:rsidRDefault="001B65AC" w:rsidP="00786942">
      <w:pPr>
        <w:adjustRightInd w:val="0"/>
        <w:snapToGrid w:val="0"/>
        <w:spacing w:line="360" w:lineRule="auto"/>
        <w:ind w:right="0"/>
        <w:rPr>
          <w:rFonts w:ascii="Book Antiqua" w:hAnsi="Book Antiqua"/>
          <w:bCs/>
          <w:iCs/>
          <w:lang w:val="en-US"/>
        </w:rPr>
      </w:pPr>
    </w:p>
    <w:p w:rsidR="006A50E0" w:rsidRPr="00786942" w:rsidRDefault="006A50E0" w:rsidP="00786942">
      <w:pPr>
        <w:adjustRightInd w:val="0"/>
        <w:snapToGrid w:val="0"/>
        <w:spacing w:line="360" w:lineRule="auto"/>
        <w:ind w:right="0"/>
        <w:rPr>
          <w:rFonts w:ascii="Book Antiqua" w:hAnsi="Book Antiqua"/>
          <w:lang w:val="en-US"/>
        </w:rPr>
      </w:pPr>
      <w:bookmarkStart w:id="21" w:name="OLE_LINK657"/>
      <w:bookmarkStart w:id="22" w:name="OLE_LINK658"/>
      <w:r w:rsidRPr="00786942">
        <w:rPr>
          <w:rFonts w:ascii="Book Antiqua" w:hAnsi="Book Antiqua"/>
          <w:b/>
          <w:bCs/>
          <w:iCs/>
          <w:lang w:val="en-US"/>
        </w:rPr>
        <w:t>Michele Barone, Maria Teresa Viggiani, Giuseppe Losurdo, Mariabeatrice Principi, Alfredo Di Leo</w:t>
      </w:r>
      <w:r w:rsidR="000E0881" w:rsidRPr="001B65AC">
        <w:rPr>
          <w:rFonts w:ascii="Book Antiqua" w:hAnsi="Book Antiqua"/>
          <w:b/>
          <w:bCs/>
          <w:iCs/>
          <w:lang w:val="en-US"/>
        </w:rPr>
        <w:t>,</w:t>
      </w:r>
      <w:bookmarkEnd w:id="21"/>
      <w:bookmarkEnd w:id="22"/>
      <w:r w:rsidR="000E0881" w:rsidRPr="00786942">
        <w:rPr>
          <w:rFonts w:ascii="Book Antiqua" w:hAnsi="Book Antiqua"/>
          <w:bCs/>
          <w:iCs/>
          <w:lang w:val="en-US"/>
        </w:rPr>
        <w:t xml:space="preserve"> </w:t>
      </w:r>
      <w:r w:rsidRPr="00786942">
        <w:rPr>
          <w:rFonts w:ascii="Book Antiqua" w:hAnsi="Book Antiqua"/>
          <w:bCs/>
          <w:iCs/>
          <w:lang w:val="en-US"/>
        </w:rPr>
        <w:t xml:space="preserve">Gastroenterology </w:t>
      </w:r>
      <w:r w:rsidR="000E0881" w:rsidRPr="00786942">
        <w:rPr>
          <w:rFonts w:ascii="Book Antiqua" w:hAnsi="Book Antiqua"/>
          <w:bCs/>
          <w:iCs/>
          <w:lang w:val="en-US"/>
        </w:rPr>
        <w:t>Section</w:t>
      </w:r>
      <w:r w:rsidRPr="00786942">
        <w:rPr>
          <w:rFonts w:ascii="Book Antiqua" w:hAnsi="Book Antiqua"/>
          <w:bCs/>
          <w:iCs/>
          <w:lang w:val="en-US"/>
        </w:rPr>
        <w:t>, Dep</w:t>
      </w:r>
      <w:r w:rsidR="001B65AC">
        <w:rPr>
          <w:rFonts w:ascii="Book Antiqua" w:hAnsi="Book Antiqua"/>
          <w:bCs/>
          <w:iCs/>
          <w:lang w:val="en-US"/>
        </w:rPr>
        <w:t>artment</w:t>
      </w:r>
      <w:r w:rsidRPr="00786942">
        <w:rPr>
          <w:rFonts w:ascii="Book Antiqua" w:hAnsi="Book Antiqua"/>
          <w:bCs/>
          <w:iCs/>
          <w:lang w:val="en-US"/>
        </w:rPr>
        <w:t xml:space="preserve"> of Emergency and Organ Transplantation</w:t>
      </w:r>
      <w:r w:rsidR="004B66F4" w:rsidRPr="00786942">
        <w:rPr>
          <w:rFonts w:ascii="Book Antiqua" w:hAnsi="Book Antiqua"/>
          <w:bCs/>
          <w:iCs/>
          <w:lang w:val="en-US"/>
        </w:rPr>
        <w:t>, University of Bari</w:t>
      </w:r>
      <w:r w:rsidR="000E0881" w:rsidRPr="00786942">
        <w:rPr>
          <w:rFonts w:ascii="Book Antiqua" w:hAnsi="Book Antiqua"/>
          <w:bCs/>
          <w:iCs/>
          <w:lang w:val="en-US"/>
        </w:rPr>
        <w:t xml:space="preserve"> Aldo Moro</w:t>
      </w:r>
      <w:r w:rsidR="004B66F4" w:rsidRPr="00786942">
        <w:rPr>
          <w:rFonts w:ascii="Book Antiqua" w:hAnsi="Book Antiqua"/>
          <w:bCs/>
          <w:iCs/>
          <w:lang w:val="en-US"/>
        </w:rPr>
        <w:t>,</w:t>
      </w:r>
      <w:r w:rsidR="000E0881" w:rsidRPr="00786942">
        <w:rPr>
          <w:rFonts w:ascii="Book Antiqua" w:hAnsi="Book Antiqua"/>
          <w:bCs/>
          <w:iCs/>
          <w:lang w:val="en-US"/>
        </w:rPr>
        <w:t xml:space="preserve"> </w:t>
      </w:r>
      <w:bookmarkStart w:id="23" w:name="OLE_LINK659"/>
      <w:bookmarkStart w:id="24" w:name="OLE_LINK660"/>
      <w:r w:rsidR="000E0881" w:rsidRPr="00786942">
        <w:rPr>
          <w:rFonts w:ascii="Book Antiqua" w:hAnsi="Book Antiqua"/>
          <w:bCs/>
          <w:iCs/>
          <w:lang w:val="en-US"/>
        </w:rPr>
        <w:t>Bari</w:t>
      </w:r>
      <w:r w:rsidR="001B65AC">
        <w:rPr>
          <w:rFonts w:ascii="Book Antiqua" w:hAnsi="Book Antiqua"/>
          <w:bCs/>
          <w:iCs/>
          <w:lang w:val="en-US"/>
        </w:rPr>
        <w:t xml:space="preserve"> </w:t>
      </w:r>
      <w:r w:rsidR="001B65AC" w:rsidRPr="00786942">
        <w:rPr>
          <w:rFonts w:ascii="Book Antiqua" w:hAnsi="Book Antiqua"/>
          <w:bCs/>
          <w:iCs/>
          <w:lang w:val="en-US"/>
        </w:rPr>
        <w:t>70124</w:t>
      </w:r>
      <w:r w:rsidR="000E0881" w:rsidRPr="00786942">
        <w:rPr>
          <w:rFonts w:ascii="Book Antiqua" w:hAnsi="Book Antiqua"/>
          <w:bCs/>
          <w:iCs/>
          <w:lang w:val="en-US"/>
        </w:rPr>
        <w:t>,</w:t>
      </w:r>
      <w:r w:rsidR="004B66F4" w:rsidRPr="00786942">
        <w:rPr>
          <w:rFonts w:ascii="Book Antiqua" w:hAnsi="Book Antiqua"/>
          <w:bCs/>
          <w:iCs/>
          <w:lang w:val="en-US"/>
        </w:rPr>
        <w:t xml:space="preserve"> </w:t>
      </w:r>
      <w:r w:rsidR="001B65AC">
        <w:rPr>
          <w:rFonts w:ascii="Book Antiqua" w:hAnsi="Book Antiqua"/>
          <w:bCs/>
          <w:iCs/>
          <w:lang w:val="en-US"/>
        </w:rPr>
        <w:t>Italy</w:t>
      </w:r>
      <w:bookmarkEnd w:id="23"/>
      <w:bookmarkEnd w:id="24"/>
    </w:p>
    <w:p w:rsidR="006A50E0" w:rsidRPr="00786942" w:rsidRDefault="006A50E0" w:rsidP="00786942">
      <w:pPr>
        <w:adjustRightInd w:val="0"/>
        <w:snapToGrid w:val="0"/>
        <w:spacing w:line="360" w:lineRule="auto"/>
        <w:ind w:right="0"/>
        <w:rPr>
          <w:rFonts w:ascii="Book Antiqua" w:hAnsi="Book Antiqua"/>
          <w:lang w:val="en-US"/>
        </w:rPr>
      </w:pPr>
    </w:p>
    <w:p w:rsidR="0067174C" w:rsidRDefault="00D166DE" w:rsidP="00786942">
      <w:pPr>
        <w:pStyle w:val="a3"/>
        <w:adjustRightInd w:val="0"/>
        <w:snapToGrid w:val="0"/>
        <w:spacing w:line="360" w:lineRule="auto"/>
        <w:ind w:right="0"/>
        <w:rPr>
          <w:rFonts w:ascii="Book Antiqua" w:hAnsi="Book Antiqua" w:cs="Times New Roman"/>
          <w:szCs w:val="24"/>
        </w:rPr>
      </w:pPr>
      <w:r w:rsidRPr="00786942">
        <w:rPr>
          <w:rFonts w:ascii="Book Antiqua" w:hAnsi="Book Antiqua" w:cs="Times New Roman"/>
          <w:b/>
          <w:szCs w:val="24"/>
        </w:rPr>
        <w:t xml:space="preserve">ORCID number: </w:t>
      </w:r>
      <w:r w:rsidRPr="00786942">
        <w:rPr>
          <w:rFonts w:ascii="Book Antiqua" w:hAnsi="Book Antiqua" w:cs="Times New Roman"/>
          <w:szCs w:val="24"/>
        </w:rPr>
        <w:t xml:space="preserve">Michele Barone </w:t>
      </w:r>
      <w:r w:rsidR="000E0881" w:rsidRPr="00786942">
        <w:rPr>
          <w:rFonts w:ascii="Book Antiqua" w:hAnsi="Book Antiqua" w:cs="Times New Roman"/>
          <w:szCs w:val="24"/>
        </w:rPr>
        <w:t>(</w:t>
      </w:r>
      <w:r w:rsidRPr="00786942">
        <w:rPr>
          <w:rFonts w:ascii="Book Antiqua" w:hAnsi="Book Antiqua" w:cs="Times New Roman"/>
          <w:szCs w:val="24"/>
        </w:rPr>
        <w:t>0000-0001-8284-5127</w:t>
      </w:r>
      <w:r w:rsidR="000E0881" w:rsidRPr="00786942">
        <w:rPr>
          <w:rFonts w:ascii="Book Antiqua" w:hAnsi="Book Antiqua" w:cs="Times New Roman"/>
          <w:szCs w:val="24"/>
        </w:rPr>
        <w:t>)</w:t>
      </w:r>
      <w:r w:rsidRPr="00786942">
        <w:rPr>
          <w:rFonts w:ascii="Book Antiqua" w:hAnsi="Book Antiqua" w:cs="Times New Roman"/>
          <w:szCs w:val="24"/>
        </w:rPr>
        <w:t xml:space="preserve">; Maria Teresa Viggiani </w:t>
      </w:r>
      <w:r w:rsidR="000E0881" w:rsidRPr="00786942">
        <w:rPr>
          <w:rFonts w:ascii="Book Antiqua" w:hAnsi="Book Antiqua" w:cs="Times New Roman"/>
          <w:szCs w:val="24"/>
        </w:rPr>
        <w:t>(</w:t>
      </w:r>
      <w:r w:rsidRPr="00786942">
        <w:rPr>
          <w:rFonts w:ascii="Book Antiqua" w:hAnsi="Book Antiqua" w:cs="Times New Roman"/>
          <w:szCs w:val="24"/>
        </w:rPr>
        <w:t>0000-0002-8689-9103</w:t>
      </w:r>
      <w:r w:rsidR="000E0881" w:rsidRPr="00786942">
        <w:rPr>
          <w:rFonts w:ascii="Book Antiqua" w:hAnsi="Book Antiqua" w:cs="Times New Roman"/>
          <w:szCs w:val="24"/>
        </w:rPr>
        <w:t>)</w:t>
      </w:r>
      <w:r w:rsidRPr="00786942">
        <w:rPr>
          <w:rFonts w:ascii="Book Antiqua" w:hAnsi="Book Antiqua" w:cs="Times New Roman"/>
          <w:szCs w:val="24"/>
        </w:rPr>
        <w:t xml:space="preserve">; Giuseppe Losurdo </w:t>
      </w:r>
      <w:r w:rsidR="000E0881" w:rsidRPr="00786942">
        <w:rPr>
          <w:rFonts w:ascii="Book Antiqua" w:hAnsi="Book Antiqua" w:cs="Times New Roman"/>
          <w:szCs w:val="24"/>
        </w:rPr>
        <w:t>(</w:t>
      </w:r>
      <w:r w:rsidRPr="00786942">
        <w:rPr>
          <w:rFonts w:ascii="Book Antiqua" w:hAnsi="Book Antiqua" w:cs="Times New Roman"/>
          <w:szCs w:val="24"/>
        </w:rPr>
        <w:t>0000-0001-7038-3287</w:t>
      </w:r>
      <w:r w:rsidR="000E0881" w:rsidRPr="00786942">
        <w:rPr>
          <w:rFonts w:ascii="Book Antiqua" w:hAnsi="Book Antiqua" w:cs="Times New Roman"/>
          <w:szCs w:val="24"/>
        </w:rPr>
        <w:t>)</w:t>
      </w:r>
      <w:r w:rsidRPr="00786942">
        <w:rPr>
          <w:rFonts w:ascii="Book Antiqua" w:hAnsi="Book Antiqua" w:cs="Times New Roman"/>
          <w:szCs w:val="24"/>
        </w:rPr>
        <w:t xml:space="preserve">; Mariabeatrice Principi </w:t>
      </w:r>
      <w:r w:rsidR="00556F78" w:rsidRPr="00786942">
        <w:rPr>
          <w:rFonts w:ascii="Book Antiqua" w:hAnsi="Book Antiqua" w:cs="Times New Roman"/>
          <w:szCs w:val="24"/>
        </w:rPr>
        <w:t>(</w:t>
      </w:r>
      <w:r w:rsidRPr="00786942">
        <w:rPr>
          <w:rFonts w:ascii="Book Antiqua" w:hAnsi="Book Antiqua" w:cs="Times New Roman"/>
          <w:szCs w:val="24"/>
        </w:rPr>
        <w:t>0000-0003-0545-5656</w:t>
      </w:r>
      <w:r w:rsidR="00556F78" w:rsidRPr="00786942">
        <w:rPr>
          <w:rFonts w:ascii="Book Antiqua" w:hAnsi="Book Antiqua" w:cs="Times New Roman"/>
          <w:szCs w:val="24"/>
        </w:rPr>
        <w:t>)</w:t>
      </w:r>
      <w:r w:rsidRPr="00786942">
        <w:rPr>
          <w:rFonts w:ascii="Book Antiqua" w:hAnsi="Book Antiqua" w:cs="Times New Roman"/>
          <w:szCs w:val="24"/>
        </w:rPr>
        <w:t xml:space="preserve">; Alfredo Di Leo </w:t>
      </w:r>
      <w:r w:rsidR="00556F78" w:rsidRPr="00786942">
        <w:rPr>
          <w:rFonts w:ascii="Book Antiqua" w:hAnsi="Book Antiqua" w:cs="Times New Roman"/>
          <w:szCs w:val="24"/>
        </w:rPr>
        <w:t>(</w:t>
      </w:r>
      <w:r w:rsidRPr="00786942">
        <w:rPr>
          <w:rFonts w:ascii="Book Antiqua" w:hAnsi="Book Antiqua" w:cs="Times New Roman"/>
          <w:szCs w:val="24"/>
        </w:rPr>
        <w:t>0000-0003-2026-1200</w:t>
      </w:r>
      <w:r w:rsidR="00556F78" w:rsidRPr="00786942">
        <w:rPr>
          <w:rFonts w:ascii="Book Antiqua" w:hAnsi="Book Antiqua" w:cs="Times New Roman"/>
          <w:szCs w:val="24"/>
        </w:rPr>
        <w:t>)</w:t>
      </w:r>
      <w:r w:rsidR="001B65AC">
        <w:rPr>
          <w:rFonts w:ascii="Book Antiqua" w:hAnsi="Book Antiqua" w:cs="Times New Roman"/>
          <w:szCs w:val="24"/>
        </w:rPr>
        <w:t>.</w:t>
      </w:r>
    </w:p>
    <w:p w:rsidR="001B65AC" w:rsidRPr="00786942" w:rsidRDefault="001B65AC" w:rsidP="00786942">
      <w:pPr>
        <w:pStyle w:val="a3"/>
        <w:adjustRightInd w:val="0"/>
        <w:snapToGrid w:val="0"/>
        <w:spacing w:line="360" w:lineRule="auto"/>
        <w:ind w:right="0"/>
        <w:rPr>
          <w:rFonts w:ascii="Book Antiqua" w:hAnsi="Book Antiqua" w:cs="Times New Roman"/>
          <w:szCs w:val="24"/>
        </w:rPr>
      </w:pPr>
    </w:p>
    <w:p w:rsidR="00D166DE" w:rsidRPr="00786942" w:rsidRDefault="00D166DE" w:rsidP="00786942">
      <w:pPr>
        <w:pStyle w:val="a3"/>
        <w:adjustRightInd w:val="0"/>
        <w:snapToGrid w:val="0"/>
        <w:spacing w:line="360" w:lineRule="auto"/>
        <w:ind w:right="0"/>
        <w:rPr>
          <w:rFonts w:ascii="Book Antiqua" w:hAnsi="Book Antiqua" w:cs="Times New Roman"/>
          <w:b/>
          <w:szCs w:val="24"/>
        </w:rPr>
      </w:pPr>
      <w:r w:rsidRPr="00786942">
        <w:rPr>
          <w:rFonts w:ascii="Book Antiqua" w:hAnsi="Book Antiqua" w:cs="Times New Roman"/>
          <w:b/>
          <w:szCs w:val="24"/>
        </w:rPr>
        <w:t xml:space="preserve">Author contributions: </w:t>
      </w:r>
      <w:r w:rsidR="0067174C" w:rsidRPr="00786942">
        <w:rPr>
          <w:rFonts w:ascii="Book Antiqua" w:hAnsi="Book Antiqua" w:cs="Times New Roman"/>
          <w:szCs w:val="24"/>
        </w:rPr>
        <w:t>Barone M and Di Leo A conceived and planned the study</w:t>
      </w:r>
      <w:r w:rsidR="0067174C" w:rsidRPr="00786942">
        <w:rPr>
          <w:rFonts w:ascii="Book Antiqua" w:hAnsi="Book Antiqua" w:cs="Times New Roman"/>
          <w:b/>
          <w:szCs w:val="24"/>
        </w:rPr>
        <w:t xml:space="preserve">. </w:t>
      </w:r>
      <w:r w:rsidR="0067174C" w:rsidRPr="00786942">
        <w:rPr>
          <w:rFonts w:ascii="Book Antiqua" w:hAnsi="Book Antiqua" w:cs="Times New Roman"/>
          <w:szCs w:val="24"/>
        </w:rPr>
        <w:t>Viggiani MT, Barone M, Losurdo G and Principi M c</w:t>
      </w:r>
      <w:r w:rsidR="000B22AB" w:rsidRPr="00786942">
        <w:rPr>
          <w:rFonts w:ascii="Book Antiqua" w:hAnsi="Book Antiqua" w:cs="Times New Roman"/>
          <w:szCs w:val="24"/>
        </w:rPr>
        <w:t>o</w:t>
      </w:r>
      <w:r w:rsidR="0067174C" w:rsidRPr="00786942">
        <w:rPr>
          <w:rFonts w:ascii="Book Antiqua" w:hAnsi="Book Antiqua" w:cs="Times New Roman"/>
          <w:szCs w:val="24"/>
        </w:rPr>
        <w:t xml:space="preserve">llected the data. Barone M and Losurdo G wrote the manuscript. </w:t>
      </w:r>
      <w:r w:rsidR="006A217A" w:rsidRPr="00786942">
        <w:rPr>
          <w:rFonts w:ascii="Book Antiqua" w:hAnsi="Book Antiqua" w:cs="Times New Roman"/>
          <w:szCs w:val="24"/>
        </w:rPr>
        <w:t>Viggiani MT and Principi M revised the draft. All authors read and approved the final version of the manuscript.</w:t>
      </w:r>
      <w:r w:rsidR="0067174C" w:rsidRPr="00786942">
        <w:rPr>
          <w:rFonts w:ascii="Book Antiqua" w:hAnsi="Book Antiqua" w:cs="Times New Roman"/>
          <w:b/>
          <w:szCs w:val="24"/>
        </w:rPr>
        <w:t xml:space="preserve"> </w:t>
      </w:r>
    </w:p>
    <w:p w:rsidR="001B65AC" w:rsidRDefault="001B65AC" w:rsidP="00786942">
      <w:pPr>
        <w:pStyle w:val="a3"/>
        <w:adjustRightInd w:val="0"/>
        <w:snapToGrid w:val="0"/>
        <w:spacing w:line="360" w:lineRule="auto"/>
        <w:ind w:right="0"/>
        <w:rPr>
          <w:rFonts w:ascii="Book Antiqua" w:hAnsi="Book Antiqua" w:cs="Times New Roman"/>
          <w:b/>
          <w:szCs w:val="24"/>
        </w:rPr>
      </w:pPr>
    </w:p>
    <w:p w:rsidR="00D166DE" w:rsidRDefault="00D166DE" w:rsidP="00786942">
      <w:pPr>
        <w:pStyle w:val="a3"/>
        <w:adjustRightInd w:val="0"/>
        <w:snapToGrid w:val="0"/>
        <w:spacing w:line="360" w:lineRule="auto"/>
        <w:ind w:right="0"/>
        <w:rPr>
          <w:rFonts w:ascii="Book Antiqua" w:hAnsi="Book Antiqua"/>
          <w:szCs w:val="24"/>
        </w:rPr>
      </w:pPr>
      <w:r w:rsidRPr="00786942">
        <w:rPr>
          <w:rFonts w:ascii="Book Antiqua" w:hAnsi="Book Antiqua" w:cs="Times New Roman"/>
          <w:b/>
          <w:szCs w:val="24"/>
        </w:rPr>
        <w:t>Conflict</w:t>
      </w:r>
      <w:r w:rsidR="001B65AC">
        <w:rPr>
          <w:rFonts w:ascii="Book Antiqua" w:hAnsi="Book Antiqua" w:cs="Times New Roman"/>
          <w:b/>
          <w:szCs w:val="24"/>
        </w:rPr>
        <w:t>-</w:t>
      </w:r>
      <w:r w:rsidRPr="00786942">
        <w:rPr>
          <w:rFonts w:ascii="Book Antiqua" w:hAnsi="Book Antiqua" w:cs="Times New Roman"/>
          <w:b/>
          <w:szCs w:val="24"/>
        </w:rPr>
        <w:t>of</w:t>
      </w:r>
      <w:r w:rsidR="001B65AC">
        <w:rPr>
          <w:rFonts w:ascii="Book Antiqua" w:hAnsi="Book Antiqua" w:cs="Times New Roman"/>
          <w:b/>
          <w:szCs w:val="24"/>
        </w:rPr>
        <w:t>-</w:t>
      </w:r>
      <w:r w:rsidRPr="00786942">
        <w:rPr>
          <w:rFonts w:ascii="Book Antiqua" w:hAnsi="Book Antiqua" w:cs="Times New Roman"/>
          <w:b/>
          <w:szCs w:val="24"/>
        </w:rPr>
        <w:t>interest statement:</w:t>
      </w:r>
      <w:r w:rsidR="006A217A" w:rsidRPr="00786942">
        <w:rPr>
          <w:rFonts w:ascii="Book Antiqua" w:hAnsi="Book Antiqua" w:cs="Times New Roman"/>
          <w:b/>
          <w:szCs w:val="24"/>
        </w:rPr>
        <w:t xml:space="preserve"> </w:t>
      </w:r>
      <w:r w:rsidR="001B65AC">
        <w:rPr>
          <w:rFonts w:ascii="Book Antiqua" w:hAnsi="Book Antiqua"/>
          <w:szCs w:val="24"/>
        </w:rPr>
        <w:t>A</w:t>
      </w:r>
      <w:r w:rsidR="006A217A" w:rsidRPr="00786942">
        <w:rPr>
          <w:rFonts w:ascii="Book Antiqua" w:hAnsi="Book Antiqua"/>
          <w:szCs w:val="24"/>
        </w:rPr>
        <w:t>ll authors declare no conflict of interest (</w:t>
      </w:r>
      <w:r w:rsidR="00DB5CE9" w:rsidRPr="001B65AC">
        <w:rPr>
          <w:rFonts w:ascii="Book Antiqua" w:hAnsi="Book Antiqua"/>
          <w:i/>
          <w:szCs w:val="24"/>
        </w:rPr>
        <w:t>e.g.</w:t>
      </w:r>
      <w:r w:rsidR="006A217A" w:rsidRPr="00786942">
        <w:rPr>
          <w:rFonts w:ascii="Book Antiqua" w:hAnsi="Book Antiqua"/>
          <w:szCs w:val="24"/>
        </w:rPr>
        <w:t>, employment, consultancies, honoraria, stock ownership or options, expert testimony, grants/patents received, or royalties).</w:t>
      </w:r>
    </w:p>
    <w:p w:rsidR="001B65AC" w:rsidRPr="00786942" w:rsidRDefault="001B65AC" w:rsidP="00786942">
      <w:pPr>
        <w:pStyle w:val="a3"/>
        <w:adjustRightInd w:val="0"/>
        <w:snapToGrid w:val="0"/>
        <w:spacing w:line="360" w:lineRule="auto"/>
        <w:ind w:right="0"/>
        <w:rPr>
          <w:rFonts w:ascii="Book Antiqua" w:hAnsi="Book Antiqua" w:cs="Times New Roman"/>
          <w:b/>
          <w:szCs w:val="24"/>
        </w:rPr>
      </w:pPr>
    </w:p>
    <w:p w:rsidR="006A50E0" w:rsidRDefault="00D166DE" w:rsidP="00786942">
      <w:pPr>
        <w:pStyle w:val="a3"/>
        <w:adjustRightInd w:val="0"/>
        <w:snapToGrid w:val="0"/>
        <w:spacing w:line="360" w:lineRule="auto"/>
        <w:ind w:right="0"/>
        <w:rPr>
          <w:rFonts w:ascii="Book Antiqua" w:hAnsi="Book Antiqua" w:cs="Times New Roman"/>
          <w:szCs w:val="24"/>
        </w:rPr>
      </w:pPr>
      <w:r w:rsidRPr="00786942">
        <w:rPr>
          <w:rFonts w:ascii="Book Antiqua" w:hAnsi="Book Antiqua" w:cs="Times New Roman"/>
          <w:b/>
          <w:szCs w:val="24"/>
        </w:rPr>
        <w:t>PRISMA 2009 Checklist statement:</w:t>
      </w:r>
      <w:r w:rsidR="006A217A" w:rsidRPr="00786942">
        <w:rPr>
          <w:rFonts w:ascii="Book Antiqua" w:hAnsi="Book Antiqua" w:cs="Times New Roman"/>
          <w:b/>
          <w:szCs w:val="24"/>
        </w:rPr>
        <w:t xml:space="preserve"> </w:t>
      </w:r>
      <w:r w:rsidR="001B65AC">
        <w:rPr>
          <w:rFonts w:ascii="Book Antiqua" w:hAnsi="Book Antiqua" w:cs="Times New Roman"/>
          <w:szCs w:val="24"/>
        </w:rPr>
        <w:t>The manuscript was prepared according to the PRISMA 2009 Checklist</w:t>
      </w:r>
      <w:r w:rsidR="006A217A" w:rsidRPr="00786942">
        <w:rPr>
          <w:rFonts w:ascii="Book Antiqua" w:hAnsi="Book Antiqua" w:cs="Times New Roman"/>
          <w:szCs w:val="24"/>
        </w:rPr>
        <w:t>.</w:t>
      </w:r>
    </w:p>
    <w:p w:rsidR="001B65AC" w:rsidRDefault="001B65AC" w:rsidP="00786942">
      <w:pPr>
        <w:pStyle w:val="a3"/>
        <w:adjustRightInd w:val="0"/>
        <w:snapToGrid w:val="0"/>
        <w:spacing w:line="360" w:lineRule="auto"/>
        <w:ind w:right="0"/>
        <w:rPr>
          <w:rFonts w:ascii="Book Antiqua" w:hAnsi="Book Antiqua" w:cs="Times New Roman"/>
          <w:b/>
          <w:szCs w:val="24"/>
        </w:rPr>
      </w:pPr>
    </w:p>
    <w:p w:rsidR="005D1F94" w:rsidRPr="005D1F94" w:rsidRDefault="005D1F94" w:rsidP="005D1F94">
      <w:pPr>
        <w:snapToGrid w:val="0"/>
        <w:spacing w:line="360" w:lineRule="auto"/>
        <w:ind w:right="0"/>
        <w:rPr>
          <w:rFonts w:ascii="Book Antiqua" w:eastAsia="宋体" w:hAnsi="Book Antiqua" w:hint="eastAsia"/>
          <w:lang w:val="en-US" w:eastAsia="zh-CN"/>
        </w:rPr>
      </w:pPr>
      <w:bookmarkStart w:id="25" w:name="OLE_LINK25"/>
      <w:bookmarkStart w:id="26" w:name="OLE_LINK26"/>
      <w:bookmarkStart w:id="27" w:name="OLE_LINK375"/>
      <w:bookmarkStart w:id="28" w:name="OLE_LINK32"/>
      <w:bookmarkStart w:id="29" w:name="OLE_LINK381"/>
      <w:bookmarkStart w:id="30" w:name="OLE_LINK413"/>
      <w:bookmarkStart w:id="31" w:name="OLE_LINK146"/>
      <w:bookmarkStart w:id="32" w:name="OLE_LINK568"/>
      <w:bookmarkStart w:id="33" w:name="OLE_LINK594"/>
      <w:r w:rsidRPr="005D1F94">
        <w:rPr>
          <w:rFonts w:ascii="Book Antiqua" w:eastAsia="宋体" w:hAnsi="Book Antiqua"/>
          <w:b/>
          <w:color w:val="000000"/>
          <w:lang w:val="en-US" w:eastAsia="zh-CN"/>
        </w:rPr>
        <w:lastRenderedPageBreak/>
        <w:t xml:space="preserve">Open-Access: </w:t>
      </w:r>
      <w:r w:rsidRPr="005D1F94">
        <w:rPr>
          <w:rFonts w:ascii="Book Antiqua" w:eastAsia="宋体" w:hAnsi="Book Antiqua"/>
          <w:color w:val="000000"/>
          <w:lang w:val="en-US" w:eastAsia="zh-CN"/>
        </w:rPr>
        <w:t xml:space="preserve">This is an </w:t>
      </w:r>
      <w:r w:rsidRPr="005D1F94">
        <w:rPr>
          <w:rFonts w:ascii="Book Antiqua" w:eastAsia="宋体" w:hAnsi="Book Antiqua" w:cs="宋体"/>
          <w:lang w:val="en-US" w:eastAsia="zh-CN"/>
        </w:rPr>
        <w:t xml:space="preserve">open-access article that was </w:t>
      </w:r>
      <w:r w:rsidRPr="005D1F94">
        <w:rPr>
          <w:rFonts w:ascii="Book Antiqua" w:eastAsia="宋体" w:hAnsi="Book Antiqua"/>
          <w:lang w:val="en-US" w:eastAsia="zh-CN"/>
        </w:rPr>
        <w:t xml:space="preserve">selected by an in-house editor and fully peer-reviewed by external reviewers. It is </w:t>
      </w:r>
      <w:r w:rsidRPr="005D1F94">
        <w:rPr>
          <w:rFonts w:ascii="Book Antiqua" w:eastAsia="宋体" w:hAnsi="Book Antiqua" w:cs="宋体"/>
          <w:lang w:val="en-US" w:eastAsia="zh-CN"/>
        </w:rPr>
        <w:t xml:space="preserve">distributed in accordance with </w:t>
      </w:r>
      <w:r w:rsidRPr="005D1F94">
        <w:rPr>
          <w:rFonts w:ascii="Book Antiqua" w:eastAsia="宋体" w:hAnsi="Book Antiqua"/>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D1F94">
          <w:rPr>
            <w:rFonts w:ascii="Book Antiqua" w:eastAsia="宋体" w:hAnsi="Book Antiqua"/>
            <w:color w:val="0000FF"/>
            <w:u w:val="single"/>
            <w:lang w:val="en-US" w:eastAsia="zh-CN"/>
          </w:rPr>
          <w:t>http://creativecommons.org/licenses/by-nc/4.0/</w:t>
        </w:r>
      </w:hyperlink>
    </w:p>
    <w:p w:rsidR="005D1F94" w:rsidRPr="005D1F94" w:rsidRDefault="005D1F94" w:rsidP="005D1F94">
      <w:pPr>
        <w:snapToGrid w:val="0"/>
        <w:spacing w:line="360" w:lineRule="auto"/>
        <w:ind w:right="0"/>
        <w:rPr>
          <w:rFonts w:ascii="Book Antiqua" w:eastAsia="宋体" w:hAnsi="Book Antiqua"/>
          <w:lang w:val="en-US" w:eastAsia="zh-CN"/>
        </w:rPr>
      </w:pPr>
    </w:p>
    <w:p w:rsidR="001B65AC" w:rsidRDefault="005D1F94" w:rsidP="00330DC5">
      <w:pPr>
        <w:pStyle w:val="a3"/>
        <w:adjustRightInd w:val="0"/>
        <w:snapToGrid w:val="0"/>
        <w:spacing w:line="360" w:lineRule="auto"/>
        <w:ind w:right="0"/>
        <w:outlineLvl w:val="0"/>
        <w:rPr>
          <w:rFonts w:ascii="Book Antiqua" w:eastAsia="宋体" w:hAnsi="Book Antiqua" w:cs="Times New Roman"/>
          <w:bCs/>
          <w:szCs w:val="24"/>
          <w:lang w:eastAsia="zh-CN"/>
        </w:rPr>
      </w:pPr>
      <w:bookmarkStart w:id="34" w:name="OLE_LINK11"/>
      <w:r w:rsidRPr="005D1F94">
        <w:rPr>
          <w:rFonts w:ascii="Book Antiqua" w:eastAsia="宋体" w:hAnsi="Book Antiqua" w:cs="Times New Roman"/>
          <w:b/>
          <w:bCs/>
          <w:szCs w:val="24"/>
          <w:highlight w:val="white"/>
          <w:lang w:eastAsia="zh-CN"/>
        </w:rPr>
        <w:t>Manuscript source:</w:t>
      </w:r>
      <w:r w:rsidRPr="005D1F94">
        <w:rPr>
          <w:rFonts w:ascii="Book Antiqua" w:eastAsia="宋体" w:hAnsi="Book Antiqua" w:cs="Times New Roman" w:hint="eastAsia"/>
          <w:b/>
          <w:bCs/>
          <w:szCs w:val="24"/>
          <w:highlight w:val="white"/>
          <w:lang w:eastAsia="zh-CN"/>
        </w:rPr>
        <w:t xml:space="preserve"> </w:t>
      </w:r>
      <w:r w:rsidRPr="005D1F94">
        <w:rPr>
          <w:rFonts w:ascii="Book Antiqua" w:eastAsia="宋体" w:hAnsi="Book Antiqua" w:cs="Times New Roman"/>
          <w:bCs/>
          <w:szCs w:val="24"/>
          <w:highlight w:val="white"/>
          <w:lang w:eastAsia="zh-CN"/>
        </w:rPr>
        <w:t>Unsolicited manuscript</w:t>
      </w:r>
      <w:bookmarkEnd w:id="25"/>
      <w:bookmarkEnd w:id="26"/>
      <w:bookmarkEnd w:id="27"/>
      <w:bookmarkEnd w:id="28"/>
      <w:bookmarkEnd w:id="29"/>
      <w:bookmarkEnd w:id="30"/>
      <w:bookmarkEnd w:id="31"/>
      <w:bookmarkEnd w:id="32"/>
      <w:bookmarkEnd w:id="33"/>
      <w:bookmarkEnd w:id="34"/>
    </w:p>
    <w:p w:rsidR="005D1F94" w:rsidRPr="00786942" w:rsidRDefault="005D1F94" w:rsidP="005D1F94">
      <w:pPr>
        <w:pStyle w:val="a3"/>
        <w:adjustRightInd w:val="0"/>
        <w:snapToGrid w:val="0"/>
        <w:spacing w:line="360" w:lineRule="auto"/>
        <w:ind w:right="0"/>
        <w:rPr>
          <w:rFonts w:ascii="Book Antiqua" w:hAnsi="Book Antiqua" w:cs="Times New Roman"/>
          <w:b/>
          <w:szCs w:val="24"/>
        </w:rPr>
      </w:pPr>
    </w:p>
    <w:p w:rsidR="006A50E0" w:rsidRPr="00786942" w:rsidRDefault="006A50E0" w:rsidP="00786942">
      <w:pPr>
        <w:pStyle w:val="a3"/>
        <w:adjustRightInd w:val="0"/>
        <w:snapToGrid w:val="0"/>
        <w:spacing w:line="360" w:lineRule="auto"/>
        <w:ind w:right="0"/>
        <w:rPr>
          <w:rFonts w:ascii="Book Antiqua" w:hAnsi="Book Antiqua" w:cs="Times New Roman"/>
          <w:szCs w:val="24"/>
        </w:rPr>
      </w:pPr>
      <w:r w:rsidRPr="00786942">
        <w:rPr>
          <w:rFonts w:ascii="Book Antiqua" w:hAnsi="Book Antiqua" w:cs="Times New Roman"/>
          <w:b/>
          <w:szCs w:val="24"/>
        </w:rPr>
        <w:t>Corresponding author:</w:t>
      </w:r>
      <w:r w:rsidR="00382477">
        <w:rPr>
          <w:rFonts w:ascii="Book Antiqua" w:hAnsi="Book Antiqua" w:cs="Times New Roman"/>
          <w:szCs w:val="24"/>
        </w:rPr>
        <w:t xml:space="preserve"> </w:t>
      </w:r>
      <w:r w:rsidR="005D1F94" w:rsidRPr="005D1F94">
        <w:rPr>
          <w:rFonts w:ascii="Book Antiqua" w:hAnsi="Book Antiqua" w:cs="Times New Roman"/>
          <w:b/>
          <w:szCs w:val="24"/>
        </w:rPr>
        <w:t>Michele Barone, MD, PhD, Adjunct Professor,</w:t>
      </w:r>
      <w:r w:rsidR="005D1F94">
        <w:rPr>
          <w:rFonts w:ascii="Book Antiqua" w:hAnsi="Book Antiqua" w:cs="Times New Roman"/>
          <w:szCs w:val="24"/>
        </w:rPr>
        <w:t xml:space="preserve"> </w:t>
      </w:r>
      <w:bookmarkStart w:id="35" w:name="OLE_LINK706"/>
      <w:r w:rsidR="005D1F94" w:rsidRPr="00786942">
        <w:rPr>
          <w:rFonts w:ascii="Book Antiqua" w:hAnsi="Book Antiqua"/>
          <w:bCs/>
          <w:iCs/>
          <w:szCs w:val="24"/>
        </w:rPr>
        <w:t>Gastroenterology Section, Dep</w:t>
      </w:r>
      <w:r w:rsidR="005D1F94">
        <w:rPr>
          <w:rFonts w:ascii="Book Antiqua" w:hAnsi="Book Antiqua"/>
          <w:bCs/>
          <w:iCs/>
        </w:rPr>
        <w:t>artment</w:t>
      </w:r>
      <w:r w:rsidR="005D1F94" w:rsidRPr="00786942">
        <w:rPr>
          <w:rFonts w:ascii="Book Antiqua" w:hAnsi="Book Antiqua"/>
          <w:bCs/>
          <w:iCs/>
          <w:szCs w:val="24"/>
        </w:rPr>
        <w:t xml:space="preserve"> of Emergency and Organ Transplantation</w:t>
      </w:r>
      <w:bookmarkEnd w:id="35"/>
      <w:r w:rsidR="005D1F94" w:rsidRPr="00786942">
        <w:rPr>
          <w:rFonts w:ascii="Book Antiqua" w:hAnsi="Book Antiqua"/>
          <w:bCs/>
          <w:iCs/>
          <w:szCs w:val="24"/>
        </w:rPr>
        <w:t>, University of Bari Aldo Moro</w:t>
      </w:r>
      <w:r w:rsidR="005D1F94">
        <w:rPr>
          <w:rFonts w:ascii="Book Antiqua" w:hAnsi="Book Antiqua"/>
          <w:bCs/>
          <w:iCs/>
          <w:szCs w:val="24"/>
        </w:rPr>
        <w:t>,</w:t>
      </w:r>
      <w:r w:rsidR="005D1F94" w:rsidRPr="00786942">
        <w:rPr>
          <w:rFonts w:ascii="Book Antiqua" w:hAnsi="Book Antiqua" w:cs="Times New Roman"/>
          <w:szCs w:val="24"/>
        </w:rPr>
        <w:t xml:space="preserve"> </w:t>
      </w:r>
      <w:r w:rsidR="004152D2" w:rsidRPr="004152D2">
        <w:rPr>
          <w:rFonts w:ascii="Book Antiqua" w:hAnsi="Book Antiqua" w:cs="Times New Roman"/>
          <w:szCs w:val="24"/>
        </w:rPr>
        <w:t>Piazza Giulio Cesare</w:t>
      </w:r>
      <w:r w:rsidRPr="00786942">
        <w:rPr>
          <w:rFonts w:ascii="Book Antiqua" w:hAnsi="Book Antiqua" w:cs="Times New Roman"/>
          <w:szCs w:val="24"/>
        </w:rPr>
        <w:t xml:space="preserve"> 11</w:t>
      </w:r>
      <w:r w:rsidR="005D1F94">
        <w:rPr>
          <w:rFonts w:ascii="Book Antiqua" w:hAnsi="Book Antiqua" w:cs="Times New Roman"/>
          <w:szCs w:val="24"/>
        </w:rPr>
        <w:t xml:space="preserve">, </w:t>
      </w:r>
      <w:r w:rsidR="005D1F94" w:rsidRPr="00786942">
        <w:rPr>
          <w:rFonts w:ascii="Book Antiqua" w:hAnsi="Book Antiqua"/>
          <w:bCs/>
          <w:iCs/>
          <w:szCs w:val="24"/>
        </w:rPr>
        <w:t>Bari</w:t>
      </w:r>
      <w:r w:rsidR="005D1F94">
        <w:rPr>
          <w:rFonts w:ascii="Book Antiqua" w:hAnsi="Book Antiqua"/>
          <w:bCs/>
          <w:iCs/>
        </w:rPr>
        <w:t xml:space="preserve"> </w:t>
      </w:r>
      <w:r w:rsidR="005D1F94" w:rsidRPr="00786942">
        <w:rPr>
          <w:rFonts w:ascii="Book Antiqua" w:hAnsi="Book Antiqua"/>
          <w:bCs/>
          <w:iCs/>
          <w:szCs w:val="24"/>
        </w:rPr>
        <w:t xml:space="preserve">70124, </w:t>
      </w:r>
      <w:r w:rsidR="005D1F94">
        <w:rPr>
          <w:rFonts w:ascii="Book Antiqua" w:hAnsi="Book Antiqua"/>
          <w:bCs/>
          <w:iCs/>
        </w:rPr>
        <w:t xml:space="preserve">Italy. </w:t>
      </w:r>
      <w:hyperlink r:id="rId10" w:history="1">
        <w:r w:rsidRPr="00786942">
          <w:rPr>
            <w:rFonts w:ascii="Book Antiqua" w:hAnsi="Book Antiqua" w:cs="Times New Roman"/>
            <w:szCs w:val="24"/>
          </w:rPr>
          <w:t>michele.barone@uniba.it</w:t>
        </w:r>
      </w:hyperlink>
    </w:p>
    <w:p w:rsidR="006A50E0" w:rsidRPr="00786942" w:rsidRDefault="006A50E0" w:rsidP="00786942">
      <w:pPr>
        <w:pStyle w:val="a3"/>
        <w:adjustRightInd w:val="0"/>
        <w:snapToGrid w:val="0"/>
        <w:spacing w:line="360" w:lineRule="auto"/>
        <w:ind w:right="0"/>
        <w:rPr>
          <w:rFonts w:ascii="Book Antiqua" w:hAnsi="Book Antiqua"/>
          <w:szCs w:val="24"/>
        </w:rPr>
      </w:pPr>
      <w:r w:rsidRPr="005D1F94">
        <w:rPr>
          <w:rFonts w:ascii="Book Antiqua" w:hAnsi="Book Antiqua" w:cs="Times New Roman"/>
          <w:b/>
          <w:szCs w:val="24"/>
        </w:rPr>
        <w:t>Tel</w:t>
      </w:r>
      <w:r w:rsidR="005D1F94" w:rsidRPr="005D1F94">
        <w:rPr>
          <w:rFonts w:ascii="Book Antiqua" w:hAnsi="Book Antiqua" w:cs="Times New Roman"/>
          <w:b/>
          <w:szCs w:val="24"/>
        </w:rPr>
        <w:t xml:space="preserve">ephone: </w:t>
      </w:r>
      <w:r w:rsidR="005D1F94">
        <w:rPr>
          <w:rFonts w:ascii="Book Antiqua" w:hAnsi="Book Antiqua" w:cs="Times New Roman"/>
          <w:szCs w:val="24"/>
        </w:rPr>
        <w:t>+39-</w:t>
      </w:r>
      <w:r w:rsidRPr="00786942">
        <w:rPr>
          <w:rFonts w:ascii="Book Antiqua" w:hAnsi="Book Antiqua" w:cs="Times New Roman"/>
          <w:szCs w:val="24"/>
        </w:rPr>
        <w:t>80-5593514</w:t>
      </w:r>
    </w:p>
    <w:p w:rsidR="006A50E0" w:rsidRPr="00786942" w:rsidRDefault="005D1F94" w:rsidP="00786942">
      <w:pPr>
        <w:adjustRightInd w:val="0"/>
        <w:snapToGrid w:val="0"/>
        <w:spacing w:line="360" w:lineRule="auto"/>
        <w:ind w:right="0"/>
        <w:rPr>
          <w:rFonts w:ascii="Book Antiqua" w:hAnsi="Book Antiqua"/>
          <w:lang w:val="en-US"/>
        </w:rPr>
      </w:pPr>
      <w:r w:rsidRPr="005D1F94">
        <w:rPr>
          <w:rFonts w:ascii="Book Antiqua" w:hAnsi="Book Antiqua"/>
          <w:b/>
          <w:lang w:val="en-US"/>
        </w:rPr>
        <w:t>Fax:</w:t>
      </w:r>
      <w:r>
        <w:rPr>
          <w:rFonts w:ascii="Book Antiqua" w:hAnsi="Book Antiqua"/>
          <w:lang w:val="en-US"/>
        </w:rPr>
        <w:t xml:space="preserve"> +39-</w:t>
      </w:r>
      <w:r w:rsidR="006A50E0" w:rsidRPr="00786942">
        <w:rPr>
          <w:rFonts w:ascii="Book Antiqua" w:hAnsi="Book Antiqua"/>
          <w:lang w:val="en-US"/>
        </w:rPr>
        <w:t>80-5593177</w:t>
      </w:r>
    </w:p>
    <w:p w:rsidR="006A50E0" w:rsidRPr="00786942" w:rsidRDefault="006A50E0" w:rsidP="00786942">
      <w:pPr>
        <w:adjustRightInd w:val="0"/>
        <w:snapToGrid w:val="0"/>
        <w:spacing w:line="360" w:lineRule="auto"/>
        <w:ind w:right="0"/>
        <w:rPr>
          <w:rFonts w:ascii="Book Antiqua" w:hAnsi="Book Antiqua"/>
          <w:lang w:val="en-US"/>
        </w:rPr>
      </w:pPr>
    </w:p>
    <w:p w:rsidR="005D1F94" w:rsidRPr="005D1F94" w:rsidRDefault="005D1F94" w:rsidP="00330DC5">
      <w:pPr>
        <w:adjustRightInd w:val="0"/>
        <w:snapToGrid w:val="0"/>
        <w:spacing w:line="360" w:lineRule="auto"/>
        <w:ind w:right="0"/>
        <w:outlineLvl w:val="0"/>
        <w:rPr>
          <w:rFonts w:ascii="Book Antiqua" w:eastAsia="宋体" w:hAnsi="Book Antiqua"/>
          <w:b/>
          <w:lang w:val="en-US" w:eastAsia="zh-CN"/>
        </w:rPr>
      </w:pPr>
      <w:bookmarkStart w:id="36" w:name="OLE_LINK14"/>
      <w:bookmarkStart w:id="37" w:name="OLE_LINK16"/>
      <w:bookmarkStart w:id="38" w:name="OLE_LINK51"/>
      <w:bookmarkStart w:id="39" w:name="OLE_LINK30"/>
      <w:bookmarkStart w:id="40" w:name="OLE_LINK27"/>
      <w:bookmarkStart w:id="41" w:name="OLE_LINK376"/>
      <w:bookmarkStart w:id="42" w:name="OLE_LINK382"/>
      <w:bookmarkStart w:id="43" w:name="OLE_LINK35"/>
      <w:bookmarkStart w:id="44" w:name="OLE_LINK569"/>
      <w:bookmarkStart w:id="45" w:name="OLE_LINK623"/>
      <w:r w:rsidRPr="005D1F94">
        <w:rPr>
          <w:rFonts w:ascii="Book Antiqua" w:eastAsia="宋体" w:hAnsi="Book Antiqua"/>
          <w:b/>
          <w:lang w:val="en-US" w:eastAsia="zh-CN"/>
        </w:rPr>
        <w:t xml:space="preserve">Received: </w:t>
      </w:r>
      <w:r>
        <w:rPr>
          <w:rFonts w:ascii="Book Antiqua" w:eastAsia="宋体" w:hAnsi="Book Antiqua"/>
          <w:lang w:val="en-US" w:eastAsia="zh-CN"/>
        </w:rPr>
        <w:t>January</w:t>
      </w:r>
      <w:r>
        <w:rPr>
          <w:rFonts w:ascii="Book Antiqua" w:eastAsia="DengXian" w:hAnsi="Book Antiqua"/>
          <w:lang w:val="en-US" w:eastAsia="zh-CN"/>
        </w:rPr>
        <w:t xml:space="preserve"> 23</w:t>
      </w:r>
      <w:r w:rsidRPr="005D1F94">
        <w:rPr>
          <w:rFonts w:ascii="Book Antiqua" w:eastAsia="DengXian" w:hAnsi="Book Antiqua"/>
          <w:lang w:val="en-US" w:eastAsia="zh-CN"/>
        </w:rPr>
        <w:t>, 201</w:t>
      </w:r>
      <w:r>
        <w:rPr>
          <w:rFonts w:ascii="Book Antiqua" w:eastAsia="DengXian" w:hAnsi="Book Antiqua"/>
          <w:lang w:val="en-US" w:eastAsia="zh-CN"/>
        </w:rPr>
        <w:t>9</w:t>
      </w:r>
    </w:p>
    <w:p w:rsidR="005D1F94" w:rsidRPr="005D1F94" w:rsidRDefault="005D1F94" w:rsidP="00330DC5">
      <w:pPr>
        <w:adjustRightInd w:val="0"/>
        <w:snapToGrid w:val="0"/>
        <w:spacing w:line="360" w:lineRule="auto"/>
        <w:ind w:right="0"/>
        <w:outlineLvl w:val="0"/>
        <w:rPr>
          <w:rFonts w:ascii="Book Antiqua" w:eastAsia="DengXian" w:hAnsi="Book Antiqua"/>
          <w:b/>
          <w:lang w:val="en-US" w:eastAsia="zh-CN"/>
        </w:rPr>
      </w:pPr>
      <w:r w:rsidRPr="005D1F94">
        <w:rPr>
          <w:rFonts w:ascii="Book Antiqua" w:eastAsia="宋体" w:hAnsi="Book Antiqua"/>
          <w:b/>
          <w:lang w:val="en-US" w:eastAsia="zh-CN"/>
        </w:rPr>
        <w:t>Peer-review started:</w:t>
      </w:r>
      <w:r w:rsidRPr="005D1F94">
        <w:rPr>
          <w:rFonts w:ascii="Book Antiqua" w:eastAsia="DengXian" w:hAnsi="Book Antiqua"/>
          <w:b/>
          <w:lang w:val="en-US" w:eastAsia="zh-CN"/>
        </w:rPr>
        <w:t xml:space="preserve"> </w:t>
      </w:r>
      <w:r>
        <w:rPr>
          <w:rFonts w:ascii="Book Antiqua" w:eastAsia="宋体" w:hAnsi="Book Antiqua"/>
          <w:lang w:val="en-US" w:eastAsia="zh-CN"/>
        </w:rPr>
        <w:t>January</w:t>
      </w:r>
      <w:r>
        <w:rPr>
          <w:rFonts w:ascii="Book Antiqua" w:eastAsia="DengXian" w:hAnsi="Book Antiqua"/>
          <w:lang w:val="en-US" w:eastAsia="zh-CN"/>
        </w:rPr>
        <w:t xml:space="preserve"> 23</w:t>
      </w:r>
      <w:r w:rsidRPr="005D1F94">
        <w:rPr>
          <w:rFonts w:ascii="Book Antiqua" w:eastAsia="DengXian" w:hAnsi="Book Antiqua"/>
          <w:lang w:val="en-US" w:eastAsia="zh-CN"/>
        </w:rPr>
        <w:t>, 201</w:t>
      </w:r>
      <w:r>
        <w:rPr>
          <w:rFonts w:ascii="Book Antiqua" w:eastAsia="DengXian" w:hAnsi="Book Antiqua"/>
          <w:lang w:val="en-US" w:eastAsia="zh-CN"/>
        </w:rPr>
        <w:t>9</w:t>
      </w:r>
    </w:p>
    <w:p w:rsidR="005D1F94" w:rsidRPr="005D1F94" w:rsidRDefault="005D1F94" w:rsidP="00330DC5">
      <w:pPr>
        <w:adjustRightInd w:val="0"/>
        <w:snapToGrid w:val="0"/>
        <w:spacing w:line="360" w:lineRule="auto"/>
        <w:ind w:right="0"/>
        <w:outlineLvl w:val="0"/>
        <w:rPr>
          <w:rFonts w:ascii="Book Antiqua" w:eastAsia="DengXian" w:hAnsi="Book Antiqua"/>
          <w:b/>
          <w:lang w:val="en-US" w:eastAsia="zh-CN"/>
        </w:rPr>
      </w:pPr>
      <w:r w:rsidRPr="005D1F94">
        <w:rPr>
          <w:rFonts w:ascii="Book Antiqua" w:eastAsia="宋体" w:hAnsi="Book Antiqua"/>
          <w:b/>
          <w:lang w:val="en-US" w:eastAsia="zh-CN"/>
        </w:rPr>
        <w:t>First decision:</w:t>
      </w:r>
      <w:r w:rsidRPr="005D1F94">
        <w:rPr>
          <w:rFonts w:ascii="Book Antiqua" w:eastAsia="DengXian" w:hAnsi="Book Antiqua"/>
          <w:b/>
          <w:lang w:val="en-US" w:eastAsia="zh-CN"/>
        </w:rPr>
        <w:t xml:space="preserve"> </w:t>
      </w:r>
      <w:r>
        <w:rPr>
          <w:rFonts w:ascii="Book Antiqua" w:eastAsia="宋体" w:hAnsi="Book Antiqua"/>
          <w:lang w:val="en-US" w:eastAsia="zh-CN"/>
        </w:rPr>
        <w:t>February</w:t>
      </w:r>
      <w:r>
        <w:rPr>
          <w:rFonts w:ascii="Book Antiqua" w:eastAsia="DengXian" w:hAnsi="Book Antiqua"/>
          <w:lang w:val="en-US" w:eastAsia="zh-CN"/>
        </w:rPr>
        <w:t xml:space="preserve"> 21</w:t>
      </w:r>
      <w:r w:rsidRPr="005D1F94">
        <w:rPr>
          <w:rFonts w:ascii="Book Antiqua" w:eastAsia="DengXian" w:hAnsi="Book Antiqua"/>
          <w:lang w:val="en-US" w:eastAsia="zh-CN"/>
        </w:rPr>
        <w:t>, 201</w:t>
      </w:r>
      <w:r>
        <w:rPr>
          <w:rFonts w:ascii="Book Antiqua" w:eastAsia="DengXian" w:hAnsi="Book Antiqua"/>
          <w:lang w:val="en-US" w:eastAsia="zh-CN"/>
        </w:rPr>
        <w:t>9</w:t>
      </w:r>
    </w:p>
    <w:p w:rsidR="005D1F94" w:rsidRPr="005D1F94" w:rsidRDefault="005D1F94" w:rsidP="005D1F94">
      <w:pPr>
        <w:adjustRightInd w:val="0"/>
        <w:snapToGrid w:val="0"/>
        <w:spacing w:line="360" w:lineRule="auto"/>
        <w:ind w:right="0"/>
        <w:rPr>
          <w:rFonts w:ascii="Book Antiqua" w:eastAsia="宋体" w:hAnsi="Book Antiqua"/>
          <w:b/>
          <w:lang w:val="en-US" w:eastAsia="zh-CN"/>
        </w:rPr>
      </w:pPr>
      <w:r w:rsidRPr="005D1F94">
        <w:rPr>
          <w:rFonts w:ascii="Book Antiqua" w:eastAsia="宋体" w:hAnsi="Book Antiqua"/>
          <w:b/>
          <w:lang w:val="en-US" w:eastAsia="zh-CN"/>
        </w:rPr>
        <w:t xml:space="preserve">Revised: </w:t>
      </w:r>
      <w:r>
        <w:rPr>
          <w:rFonts w:ascii="Book Antiqua" w:eastAsia="宋体" w:hAnsi="Book Antiqua"/>
          <w:lang w:val="en-US" w:eastAsia="zh-CN"/>
        </w:rPr>
        <w:t>March 6</w:t>
      </w:r>
      <w:r w:rsidRPr="005D1F94">
        <w:rPr>
          <w:rFonts w:ascii="Book Antiqua" w:eastAsia="宋体" w:hAnsi="Book Antiqua"/>
          <w:lang w:val="en-US" w:eastAsia="zh-CN"/>
        </w:rPr>
        <w:t>, 201</w:t>
      </w:r>
      <w:r>
        <w:rPr>
          <w:rFonts w:ascii="Book Antiqua" w:eastAsia="宋体" w:hAnsi="Book Antiqua"/>
          <w:lang w:val="en-US" w:eastAsia="zh-CN"/>
        </w:rPr>
        <w:t>9</w:t>
      </w:r>
    </w:p>
    <w:p w:rsidR="005D1F94" w:rsidRPr="005D1F94" w:rsidRDefault="005D1F94" w:rsidP="00330DC5">
      <w:pPr>
        <w:adjustRightInd w:val="0"/>
        <w:snapToGrid w:val="0"/>
        <w:spacing w:line="360" w:lineRule="auto"/>
        <w:ind w:right="0"/>
        <w:outlineLvl w:val="0"/>
        <w:rPr>
          <w:rFonts w:ascii="Book Antiqua" w:eastAsia="宋体" w:hAnsi="Book Antiqua"/>
          <w:b/>
          <w:lang w:val="en-US" w:eastAsia="zh-CN"/>
        </w:rPr>
      </w:pPr>
      <w:r w:rsidRPr="005D1F94">
        <w:rPr>
          <w:rFonts w:ascii="Book Antiqua" w:eastAsia="宋体" w:hAnsi="Book Antiqua"/>
          <w:b/>
          <w:lang w:val="en-US" w:eastAsia="zh-CN"/>
        </w:rPr>
        <w:t>Accepted:</w:t>
      </w:r>
      <w:r w:rsidR="001E6398" w:rsidRPr="001E6398">
        <w:t xml:space="preserve"> </w:t>
      </w:r>
      <w:r w:rsidR="001E6398" w:rsidRPr="00651FBA">
        <w:rPr>
          <w:rFonts w:ascii="Book Antiqua" w:eastAsia="宋体" w:hAnsi="Book Antiqua"/>
          <w:lang w:val="en-US" w:eastAsia="zh-CN"/>
        </w:rPr>
        <w:t>March 24, 2019</w:t>
      </w:r>
      <w:r w:rsidRPr="005D1F94">
        <w:rPr>
          <w:rFonts w:ascii="Book Antiqua" w:eastAsia="宋体" w:hAnsi="Book Antiqua"/>
          <w:b/>
          <w:lang w:val="en-US" w:eastAsia="zh-CN"/>
        </w:rPr>
        <w:t xml:space="preserve"> </w:t>
      </w:r>
    </w:p>
    <w:p w:rsidR="005D1F94" w:rsidRPr="005D1F94" w:rsidRDefault="005D1F94" w:rsidP="00330DC5">
      <w:pPr>
        <w:adjustRightInd w:val="0"/>
        <w:snapToGrid w:val="0"/>
        <w:spacing w:line="360" w:lineRule="auto"/>
        <w:ind w:right="0"/>
        <w:outlineLvl w:val="0"/>
        <w:rPr>
          <w:rFonts w:ascii="Book Antiqua" w:eastAsia="宋体" w:hAnsi="Book Antiqua"/>
          <w:b/>
          <w:lang w:val="en-US" w:eastAsia="zh-CN"/>
        </w:rPr>
      </w:pPr>
      <w:r w:rsidRPr="005D1F94">
        <w:rPr>
          <w:rFonts w:ascii="Book Antiqua" w:eastAsia="宋体" w:hAnsi="Book Antiqua"/>
          <w:b/>
          <w:lang w:val="en-US" w:eastAsia="zh-CN"/>
        </w:rPr>
        <w:t>Article in press:</w:t>
      </w:r>
      <w:r w:rsidR="00740233">
        <w:rPr>
          <w:rFonts w:ascii="Book Antiqua" w:eastAsia="宋体" w:hAnsi="Book Antiqua" w:hint="eastAsia"/>
          <w:b/>
          <w:lang w:val="en-US" w:eastAsia="zh-CN"/>
        </w:rPr>
        <w:t xml:space="preserve"> </w:t>
      </w:r>
      <w:r w:rsidR="00740233" w:rsidRPr="00740233">
        <w:rPr>
          <w:rFonts w:ascii="Book Antiqua" w:eastAsia="宋体" w:hAnsi="Book Antiqua"/>
          <w:lang w:val="en-US" w:eastAsia="zh-CN"/>
        </w:rPr>
        <w:t>March 25, 2019</w:t>
      </w:r>
    </w:p>
    <w:p w:rsidR="005D1F94" w:rsidRPr="00740233" w:rsidRDefault="005D1F94" w:rsidP="00330DC5">
      <w:pPr>
        <w:snapToGrid w:val="0"/>
        <w:spacing w:line="360" w:lineRule="auto"/>
        <w:ind w:right="0"/>
        <w:outlineLvl w:val="0"/>
        <w:rPr>
          <w:rFonts w:ascii="Book Antiqua" w:eastAsia="宋体" w:hAnsi="Book Antiqua"/>
          <w:color w:val="000000"/>
          <w:lang w:val="en-US" w:eastAsia="zh-CN"/>
        </w:rPr>
      </w:pPr>
      <w:r w:rsidRPr="005D1F94">
        <w:rPr>
          <w:rFonts w:ascii="Book Antiqua" w:eastAsia="宋体" w:hAnsi="Book Antiqua"/>
          <w:b/>
          <w:lang w:val="en-US" w:eastAsia="zh-CN"/>
        </w:rPr>
        <w:t>Published online:</w:t>
      </w:r>
      <w:bookmarkEnd w:id="36"/>
      <w:bookmarkEnd w:id="37"/>
      <w:bookmarkEnd w:id="38"/>
      <w:bookmarkEnd w:id="40"/>
      <w:bookmarkEnd w:id="42"/>
      <w:r w:rsidR="00740233">
        <w:rPr>
          <w:rFonts w:ascii="Book Antiqua" w:eastAsia="宋体" w:hAnsi="Book Antiqua" w:hint="eastAsia"/>
          <w:b/>
          <w:lang w:val="en-US" w:eastAsia="zh-CN"/>
        </w:rPr>
        <w:t xml:space="preserve"> </w:t>
      </w:r>
      <w:r w:rsidR="00740233" w:rsidRPr="00740233">
        <w:rPr>
          <w:rFonts w:ascii="Book Antiqua" w:eastAsia="宋体" w:hAnsi="Book Antiqua"/>
          <w:lang w:val="en-US" w:eastAsia="zh-CN"/>
        </w:rPr>
        <w:t>May 28, 2019</w:t>
      </w:r>
    </w:p>
    <w:bookmarkEnd w:id="39"/>
    <w:bookmarkEnd w:id="41"/>
    <w:bookmarkEnd w:id="43"/>
    <w:bookmarkEnd w:id="44"/>
    <w:bookmarkEnd w:id="45"/>
    <w:p w:rsidR="006A50E0" w:rsidRPr="00786942" w:rsidRDefault="006A50E0" w:rsidP="00786942">
      <w:pPr>
        <w:adjustRightInd w:val="0"/>
        <w:snapToGrid w:val="0"/>
        <w:spacing w:line="360" w:lineRule="auto"/>
        <w:ind w:right="0"/>
        <w:rPr>
          <w:rFonts w:ascii="Book Antiqua" w:hAnsi="Book Antiqua"/>
          <w:lang w:val="en-US"/>
        </w:rPr>
      </w:pPr>
    </w:p>
    <w:p w:rsidR="00BC249B" w:rsidRPr="00786942" w:rsidRDefault="00EE0DB5" w:rsidP="00330DC5">
      <w:pPr>
        <w:adjustRightInd w:val="0"/>
        <w:snapToGrid w:val="0"/>
        <w:spacing w:line="360" w:lineRule="auto"/>
        <w:ind w:right="0"/>
        <w:outlineLvl w:val="0"/>
        <w:rPr>
          <w:rFonts w:ascii="Book Antiqua" w:hAnsi="Book Antiqua" w:cs="Calibri"/>
          <w:b/>
          <w:lang w:val="en-US"/>
        </w:rPr>
      </w:pPr>
      <w:r w:rsidRPr="00786942">
        <w:rPr>
          <w:rFonts w:ascii="Book Antiqua" w:hAnsi="Book Antiqua" w:cs="Calibri"/>
          <w:b/>
          <w:lang w:val="en-US"/>
        </w:rPr>
        <w:br w:type="page"/>
      </w:r>
      <w:r w:rsidR="005D2E87" w:rsidRPr="00786942">
        <w:rPr>
          <w:rFonts w:ascii="Book Antiqua" w:hAnsi="Book Antiqua" w:cs="Calibri"/>
          <w:b/>
          <w:lang w:val="en-US"/>
        </w:rPr>
        <w:t>A</w:t>
      </w:r>
      <w:r w:rsidR="005D1F94" w:rsidRPr="00786942">
        <w:rPr>
          <w:rFonts w:ascii="Book Antiqua" w:hAnsi="Book Antiqua" w:cs="Calibri"/>
          <w:b/>
          <w:lang w:val="en-US"/>
        </w:rPr>
        <w:t>bstract</w:t>
      </w:r>
    </w:p>
    <w:p w:rsidR="005D1F94" w:rsidRPr="005D1F94" w:rsidRDefault="005D1F94" w:rsidP="00330DC5">
      <w:pPr>
        <w:pStyle w:val="a3"/>
        <w:adjustRightInd w:val="0"/>
        <w:snapToGrid w:val="0"/>
        <w:spacing w:line="360" w:lineRule="auto"/>
        <w:ind w:right="0"/>
        <w:outlineLvl w:val="0"/>
        <w:rPr>
          <w:rFonts w:ascii="Book Antiqua" w:eastAsia="MS Mincho" w:hAnsi="Book Antiqua"/>
          <w:i/>
          <w:szCs w:val="24"/>
        </w:rPr>
      </w:pPr>
      <w:r w:rsidRPr="005D1F94">
        <w:rPr>
          <w:rFonts w:ascii="Book Antiqua" w:eastAsia="MS Mincho" w:hAnsi="Book Antiqua"/>
          <w:b/>
          <w:i/>
          <w:szCs w:val="24"/>
        </w:rPr>
        <w:t>BACKGROUND</w:t>
      </w:r>
    </w:p>
    <w:p w:rsidR="006A217A" w:rsidRDefault="00541E48" w:rsidP="00786942">
      <w:pPr>
        <w:pStyle w:val="a3"/>
        <w:adjustRightInd w:val="0"/>
        <w:snapToGrid w:val="0"/>
        <w:spacing w:line="360" w:lineRule="auto"/>
        <w:ind w:right="0"/>
        <w:rPr>
          <w:rFonts w:ascii="Book Antiqua" w:eastAsia="MS Mincho" w:hAnsi="Book Antiqua"/>
          <w:szCs w:val="24"/>
        </w:rPr>
      </w:pPr>
      <w:r w:rsidRPr="00786942">
        <w:rPr>
          <w:rFonts w:ascii="Book Antiqua" w:eastAsia="MS Mincho" w:hAnsi="Book Antiqua"/>
          <w:szCs w:val="24"/>
        </w:rPr>
        <w:t>Neoangiogenesis is one of t</w:t>
      </w:r>
      <w:r w:rsidR="00EE0DB5" w:rsidRPr="00786942">
        <w:rPr>
          <w:rFonts w:ascii="Book Antiqua" w:eastAsia="MS Mincho" w:hAnsi="Book Antiqua"/>
          <w:szCs w:val="24"/>
        </w:rPr>
        <w:t>he key pathogenetic mechanisms</w:t>
      </w:r>
      <w:r w:rsidRPr="00786942">
        <w:rPr>
          <w:rFonts w:ascii="Book Antiqua" w:eastAsia="MS Mincho" w:hAnsi="Book Antiqua"/>
          <w:szCs w:val="24"/>
        </w:rPr>
        <w:t xml:space="preserve"> in hepatocellular carcinoma (HCC). Modulation of the </w:t>
      </w:r>
      <w:bookmarkStart w:id="46" w:name="OLE_LINK662"/>
      <w:r w:rsidRPr="00786942">
        <w:rPr>
          <w:rFonts w:ascii="Book Antiqua" w:eastAsia="MS Mincho" w:hAnsi="Book Antiqua"/>
          <w:szCs w:val="24"/>
        </w:rPr>
        <w:t>renin-angiotensin system</w:t>
      </w:r>
      <w:bookmarkEnd w:id="46"/>
      <w:r w:rsidRPr="00786942">
        <w:rPr>
          <w:rFonts w:ascii="Book Antiqua" w:eastAsia="MS Mincho" w:hAnsi="Book Antiqua"/>
          <w:szCs w:val="24"/>
        </w:rPr>
        <w:t xml:space="preserve"> (RAS) by angiotensin-converting enzyme inhibitors (ACE-Is) and angiotensin receptor blockers (ARBs) seems to be a possible adjuvant therap</w:t>
      </w:r>
      <w:r w:rsidR="008360DC" w:rsidRPr="00786942">
        <w:rPr>
          <w:rFonts w:ascii="Book Antiqua" w:eastAsia="MS Mincho" w:hAnsi="Book Antiqua"/>
          <w:szCs w:val="24"/>
        </w:rPr>
        <w:t>y</w:t>
      </w:r>
      <w:r w:rsidRPr="00786942">
        <w:rPr>
          <w:rFonts w:ascii="Book Antiqua" w:eastAsia="MS Mincho" w:hAnsi="Book Antiqua"/>
          <w:szCs w:val="24"/>
        </w:rPr>
        <w:t xml:space="preserve"> for HCC, due </w:t>
      </w:r>
      <w:r w:rsidR="00DF1C98" w:rsidRPr="00786942">
        <w:rPr>
          <w:rFonts w:ascii="Book Antiqua" w:eastAsia="MS Mincho" w:hAnsi="Book Antiqua"/>
          <w:szCs w:val="24"/>
        </w:rPr>
        <w:t xml:space="preserve">to the </w:t>
      </w:r>
      <w:r w:rsidRPr="00786942">
        <w:rPr>
          <w:rFonts w:ascii="Book Antiqua" w:eastAsia="MS Mincho" w:hAnsi="Book Antiqua"/>
          <w:szCs w:val="24"/>
        </w:rPr>
        <w:t>anti-angiogenic and anti-fibrogenic activity</w:t>
      </w:r>
      <w:r w:rsidR="008360DC" w:rsidRPr="00786942">
        <w:rPr>
          <w:rFonts w:ascii="Book Antiqua" w:eastAsia="MS Mincho" w:hAnsi="Book Antiqua"/>
          <w:szCs w:val="24"/>
        </w:rPr>
        <w:t xml:space="preserve"> of these drugs</w:t>
      </w:r>
      <w:r w:rsidRPr="00786942">
        <w:rPr>
          <w:rFonts w:ascii="Book Antiqua" w:eastAsia="MS Mincho" w:hAnsi="Book Antiqua"/>
          <w:szCs w:val="24"/>
        </w:rPr>
        <w:t xml:space="preserve">. </w:t>
      </w:r>
    </w:p>
    <w:p w:rsidR="00330DC5" w:rsidRPr="00786942" w:rsidRDefault="00330DC5" w:rsidP="00786942">
      <w:pPr>
        <w:pStyle w:val="a3"/>
        <w:adjustRightInd w:val="0"/>
        <w:snapToGrid w:val="0"/>
        <w:spacing w:line="360" w:lineRule="auto"/>
        <w:ind w:right="0"/>
        <w:rPr>
          <w:rFonts w:ascii="Book Antiqua" w:eastAsia="MS Mincho" w:hAnsi="Book Antiqua"/>
          <w:szCs w:val="24"/>
        </w:rPr>
      </w:pPr>
    </w:p>
    <w:p w:rsidR="00330DC5" w:rsidRPr="00330DC5" w:rsidRDefault="00330DC5" w:rsidP="00786942">
      <w:pPr>
        <w:pStyle w:val="a3"/>
        <w:adjustRightInd w:val="0"/>
        <w:snapToGrid w:val="0"/>
        <w:spacing w:line="360" w:lineRule="auto"/>
        <w:ind w:right="0"/>
        <w:rPr>
          <w:rFonts w:ascii="Book Antiqua" w:eastAsia="MS Mincho" w:hAnsi="Book Antiqua"/>
          <w:i/>
          <w:szCs w:val="24"/>
        </w:rPr>
      </w:pPr>
      <w:r w:rsidRPr="00330DC5">
        <w:rPr>
          <w:rFonts w:ascii="Book Antiqua" w:eastAsia="MS Mincho" w:hAnsi="Book Antiqua"/>
          <w:b/>
          <w:i/>
          <w:szCs w:val="24"/>
        </w:rPr>
        <w:t>AIM</w:t>
      </w:r>
    </w:p>
    <w:p w:rsidR="006A217A" w:rsidRDefault="00330DC5" w:rsidP="00786942">
      <w:pPr>
        <w:pStyle w:val="a3"/>
        <w:adjustRightInd w:val="0"/>
        <w:snapToGrid w:val="0"/>
        <w:spacing w:line="360" w:lineRule="auto"/>
        <w:ind w:right="0"/>
        <w:rPr>
          <w:rFonts w:ascii="Book Antiqua" w:eastAsia="MS Mincho" w:hAnsi="Book Antiqua"/>
          <w:szCs w:val="24"/>
        </w:rPr>
      </w:pPr>
      <w:r>
        <w:rPr>
          <w:rFonts w:ascii="Book Antiqua" w:eastAsia="MS Mincho" w:hAnsi="Book Antiqua"/>
          <w:szCs w:val="24"/>
        </w:rPr>
        <w:t>T</w:t>
      </w:r>
      <w:r w:rsidR="006A217A" w:rsidRPr="00786942">
        <w:rPr>
          <w:rFonts w:ascii="Book Antiqua" w:eastAsia="MS Mincho" w:hAnsi="Book Antiqua"/>
          <w:szCs w:val="24"/>
        </w:rPr>
        <w:t>o elucidate the role of ARBs and ACE-Is in HCC.</w:t>
      </w:r>
    </w:p>
    <w:p w:rsidR="00330DC5" w:rsidRPr="00786942" w:rsidRDefault="00330DC5" w:rsidP="00786942">
      <w:pPr>
        <w:pStyle w:val="a3"/>
        <w:adjustRightInd w:val="0"/>
        <w:snapToGrid w:val="0"/>
        <w:spacing w:line="360" w:lineRule="auto"/>
        <w:ind w:right="0"/>
        <w:rPr>
          <w:rFonts w:ascii="Book Antiqua" w:eastAsia="MS Mincho" w:hAnsi="Book Antiqua"/>
          <w:szCs w:val="24"/>
        </w:rPr>
      </w:pPr>
    </w:p>
    <w:p w:rsidR="00330DC5" w:rsidRPr="00330DC5" w:rsidRDefault="00330DC5" w:rsidP="00786942">
      <w:pPr>
        <w:adjustRightInd w:val="0"/>
        <w:snapToGrid w:val="0"/>
        <w:spacing w:line="360" w:lineRule="auto"/>
        <w:ind w:right="0"/>
        <w:rPr>
          <w:rFonts w:ascii="Book Antiqua" w:hAnsi="Book Antiqua"/>
          <w:i/>
          <w:lang w:val="en-US"/>
        </w:rPr>
      </w:pPr>
      <w:r w:rsidRPr="00330DC5">
        <w:rPr>
          <w:rFonts w:ascii="Book Antiqua" w:hAnsi="Book Antiqua"/>
          <w:b/>
          <w:i/>
          <w:lang w:val="en-US"/>
        </w:rPr>
        <w:t>METHODS</w:t>
      </w:r>
    </w:p>
    <w:p w:rsidR="006A217A" w:rsidRDefault="00541E48" w:rsidP="00786942">
      <w:pPr>
        <w:adjustRightInd w:val="0"/>
        <w:snapToGrid w:val="0"/>
        <w:spacing w:line="360" w:lineRule="auto"/>
        <w:ind w:right="0"/>
        <w:rPr>
          <w:rFonts w:ascii="Book Antiqua" w:hAnsi="Book Antiqua"/>
          <w:lang w:val="en-US"/>
        </w:rPr>
      </w:pPr>
      <w:r w:rsidRPr="00786942">
        <w:rPr>
          <w:rFonts w:ascii="Book Antiqua" w:hAnsi="Book Antiqua"/>
          <w:lang w:val="en-US"/>
        </w:rPr>
        <w:t xml:space="preserve">We performed an electronic search of the literature using the most accessed online databases </w:t>
      </w:r>
      <w:r w:rsidR="006A217A" w:rsidRPr="00786942">
        <w:rPr>
          <w:rFonts w:ascii="Book Antiqua" w:hAnsi="Book Antiqua"/>
          <w:lang w:val="en-US"/>
        </w:rPr>
        <w:t xml:space="preserve">(PubMed, Cochrane library, Scopus and Web of Science), entering the query terms "angiotensin-converting enzyme inhibitors" OR "ACE inhibitors" OR "ACE-I" AND "hepatocarcinoma*" OR "hepatocellular carcinoma; moreover "angiotensin II type 1 receptor blockers" OR "ARBs" AND "hepatocarcinoma*" OR "hepatocellular carcinoma". Eligibility criteria were: </w:t>
      </w:r>
      <w:r w:rsidR="00330DC5">
        <w:rPr>
          <w:rFonts w:ascii="Book Antiqua" w:hAnsi="Book Antiqua"/>
          <w:lang w:val="en-US"/>
        </w:rPr>
        <w:t>(</w:t>
      </w:r>
      <w:r w:rsidR="006A217A" w:rsidRPr="00786942">
        <w:rPr>
          <w:rFonts w:ascii="Book Antiqua" w:hAnsi="Book Antiqua"/>
          <w:lang w:val="en-US"/>
        </w:rPr>
        <w:t>1) prospective or retrospective clinical studies</w:t>
      </w:r>
      <w:r w:rsidR="00DB5CE9" w:rsidRPr="00786942">
        <w:rPr>
          <w:rFonts w:ascii="Book Antiqua" w:hAnsi="Book Antiqua"/>
          <w:lang w:val="en-US"/>
        </w:rPr>
        <w:t xml:space="preserve">; </w:t>
      </w:r>
      <w:r w:rsidR="00330DC5">
        <w:rPr>
          <w:rFonts w:ascii="Book Antiqua" w:hAnsi="Book Antiqua"/>
          <w:lang w:val="en-US"/>
        </w:rPr>
        <w:t>(</w:t>
      </w:r>
      <w:r w:rsidR="00DB5CE9" w:rsidRPr="00786942">
        <w:rPr>
          <w:rFonts w:ascii="Book Antiqua" w:hAnsi="Book Antiqua"/>
          <w:lang w:val="en-US"/>
        </w:rPr>
        <w:t>2</w:t>
      </w:r>
      <w:r w:rsidR="006A217A" w:rsidRPr="00786942">
        <w:rPr>
          <w:rFonts w:ascii="Book Antiqua" w:hAnsi="Book Antiqua"/>
          <w:lang w:val="en-US"/>
        </w:rPr>
        <w:t xml:space="preserve">) epidemiological studies; </w:t>
      </w:r>
      <w:r w:rsidR="00330DC5">
        <w:rPr>
          <w:rFonts w:ascii="Book Antiqua" w:hAnsi="Book Antiqua"/>
          <w:lang w:val="en-US"/>
        </w:rPr>
        <w:t>and (</w:t>
      </w:r>
      <w:r w:rsidR="006A217A" w:rsidRPr="00786942">
        <w:rPr>
          <w:rFonts w:ascii="Book Antiqua" w:hAnsi="Book Antiqua"/>
          <w:lang w:val="en-US"/>
        </w:rPr>
        <w:t xml:space="preserve">3) experimental studies conducted </w:t>
      </w:r>
      <w:r w:rsidR="006A217A" w:rsidRPr="00330DC5">
        <w:rPr>
          <w:rFonts w:ascii="Book Antiqua" w:hAnsi="Book Antiqua"/>
          <w:i/>
          <w:lang w:val="en-US"/>
        </w:rPr>
        <w:t>in vivo</w:t>
      </w:r>
      <w:r w:rsidR="006A217A" w:rsidRPr="00786942">
        <w:rPr>
          <w:rFonts w:ascii="Book Antiqua" w:hAnsi="Book Antiqua"/>
          <w:lang w:val="en-US"/>
        </w:rPr>
        <w:t xml:space="preserve"> or </w:t>
      </w:r>
      <w:r w:rsidR="006A217A" w:rsidRPr="00330DC5">
        <w:rPr>
          <w:rFonts w:ascii="Book Antiqua" w:hAnsi="Book Antiqua"/>
          <w:i/>
          <w:lang w:val="en-US"/>
        </w:rPr>
        <w:t>in vitro</w:t>
      </w:r>
      <w:r w:rsidR="006A217A" w:rsidRPr="00786942">
        <w:rPr>
          <w:rFonts w:ascii="Book Antiqua" w:hAnsi="Book Antiqua"/>
          <w:lang w:val="en-US"/>
        </w:rPr>
        <w:t xml:space="preserve">. Abstracts, conference papers, and reviews were excluded a priori. We limited our literature search to articles published in English, in peer-reviewed journals. </w:t>
      </w:r>
    </w:p>
    <w:p w:rsidR="00330DC5" w:rsidRPr="00786942" w:rsidRDefault="00330DC5" w:rsidP="00786942">
      <w:pPr>
        <w:adjustRightInd w:val="0"/>
        <w:snapToGrid w:val="0"/>
        <w:spacing w:line="360" w:lineRule="auto"/>
        <w:ind w:right="0"/>
        <w:rPr>
          <w:rFonts w:ascii="Book Antiqua" w:hAnsi="Book Antiqua"/>
          <w:lang w:val="en-US"/>
        </w:rPr>
      </w:pPr>
    </w:p>
    <w:p w:rsidR="00330DC5" w:rsidRPr="00330DC5" w:rsidRDefault="00330DC5" w:rsidP="00786942">
      <w:pPr>
        <w:pStyle w:val="a3"/>
        <w:adjustRightInd w:val="0"/>
        <w:snapToGrid w:val="0"/>
        <w:spacing w:line="360" w:lineRule="auto"/>
        <w:ind w:right="0"/>
        <w:rPr>
          <w:rFonts w:ascii="Book Antiqua" w:eastAsia="MS Mincho" w:hAnsi="Book Antiqua"/>
          <w:i/>
          <w:szCs w:val="24"/>
        </w:rPr>
      </w:pPr>
      <w:r w:rsidRPr="00330DC5">
        <w:rPr>
          <w:rFonts w:ascii="Book Antiqua" w:eastAsia="MS Mincho" w:hAnsi="Book Antiqua"/>
          <w:b/>
          <w:i/>
          <w:szCs w:val="24"/>
        </w:rPr>
        <w:t>RESULTS</w:t>
      </w:r>
    </w:p>
    <w:p w:rsidR="006A217A" w:rsidRDefault="00541E48" w:rsidP="00786942">
      <w:pPr>
        <w:pStyle w:val="a3"/>
        <w:adjustRightInd w:val="0"/>
        <w:snapToGrid w:val="0"/>
        <w:spacing w:line="360" w:lineRule="auto"/>
        <w:ind w:right="0"/>
        <w:rPr>
          <w:rFonts w:ascii="Book Antiqua" w:eastAsia="MS Mincho" w:hAnsi="Book Antiqua"/>
          <w:szCs w:val="24"/>
        </w:rPr>
      </w:pPr>
      <w:r w:rsidRPr="00786942">
        <w:rPr>
          <w:rFonts w:ascii="Book Antiqua" w:eastAsia="MS Mincho" w:hAnsi="Book Antiqua"/>
          <w:szCs w:val="24"/>
        </w:rPr>
        <w:t xml:space="preserve">Thirty-one studies were selected. Three interventional studies showed that ACE-Is had a significant protective effect on HCC recurrence only when used in combination with vitamin K or branched chain aminoacids, without a significant increase </w:t>
      </w:r>
      <w:r w:rsidR="008017EF" w:rsidRPr="00786942">
        <w:rPr>
          <w:rFonts w:ascii="Book Antiqua" w:eastAsia="MS Mincho" w:hAnsi="Book Antiqua"/>
          <w:szCs w:val="24"/>
        </w:rPr>
        <w:t xml:space="preserve">in </w:t>
      </w:r>
      <w:r w:rsidRPr="00786942">
        <w:rPr>
          <w:rFonts w:ascii="Book Antiqua" w:eastAsia="MS Mincho" w:hAnsi="Book Antiqua"/>
          <w:szCs w:val="24"/>
        </w:rPr>
        <w:t xml:space="preserve">overall survival. </w:t>
      </w:r>
      <w:r w:rsidR="008017EF" w:rsidRPr="00786942">
        <w:rPr>
          <w:rFonts w:ascii="Book Antiqua" w:eastAsia="MS Mincho" w:hAnsi="Book Antiqua"/>
          <w:szCs w:val="24"/>
        </w:rPr>
        <w:t xml:space="preserve">Of </w:t>
      </w:r>
      <w:r w:rsidRPr="00786942">
        <w:rPr>
          <w:rFonts w:ascii="Book Antiqua" w:eastAsia="MS Mincho" w:hAnsi="Book Antiqua"/>
          <w:szCs w:val="24"/>
        </w:rPr>
        <w:t>six retrospective observational studies</w:t>
      </w:r>
      <w:r w:rsidR="008360DC" w:rsidRPr="00786942">
        <w:rPr>
          <w:rFonts w:ascii="Book Antiqua" w:eastAsia="MS Mincho" w:hAnsi="Book Antiqua"/>
          <w:szCs w:val="24"/>
        </w:rPr>
        <w:t xml:space="preserve">, mainly </w:t>
      </w:r>
      <w:r w:rsidR="008360DC" w:rsidRPr="00786942">
        <w:rPr>
          <w:rFonts w:ascii="Book Antiqua" w:hAnsi="Book Antiqua"/>
          <w:szCs w:val="24"/>
        </w:rPr>
        <w:t>focused on overall survival</w:t>
      </w:r>
      <w:r w:rsidR="008360DC" w:rsidRPr="00786942">
        <w:rPr>
          <w:rFonts w:ascii="Book Antiqua" w:eastAsia="MS Mincho" w:hAnsi="Book Antiqua"/>
          <w:szCs w:val="24"/>
        </w:rPr>
        <w:t xml:space="preserve">, </w:t>
      </w:r>
      <w:r w:rsidRPr="00786942">
        <w:rPr>
          <w:rFonts w:ascii="Book Antiqua" w:eastAsia="MS Mincho" w:hAnsi="Book Antiqua"/>
          <w:szCs w:val="24"/>
        </w:rPr>
        <w:t>only one demonstrated a pro</w:t>
      </w:r>
      <w:r w:rsidR="008360DC" w:rsidRPr="00786942">
        <w:rPr>
          <w:rFonts w:ascii="Book Antiqua" w:eastAsia="MS Mincho" w:hAnsi="Book Antiqua"/>
          <w:szCs w:val="24"/>
        </w:rPr>
        <w:t xml:space="preserve">longed survival in </w:t>
      </w:r>
      <w:r w:rsidR="008017EF" w:rsidRPr="00786942">
        <w:rPr>
          <w:rFonts w:ascii="Book Antiqua" w:eastAsia="MS Mincho" w:hAnsi="Book Antiqua"/>
          <w:szCs w:val="24"/>
        </w:rPr>
        <w:t xml:space="preserve">the </w:t>
      </w:r>
      <w:r w:rsidR="008360DC" w:rsidRPr="00786942">
        <w:rPr>
          <w:rFonts w:ascii="Book Antiqua" w:eastAsia="MS Mincho" w:hAnsi="Book Antiqua"/>
          <w:szCs w:val="24"/>
        </w:rPr>
        <w:t xml:space="preserve">ACE-Is group, whereas the </w:t>
      </w:r>
      <w:r w:rsidR="008360DC" w:rsidRPr="00786942">
        <w:rPr>
          <w:rFonts w:ascii="Book Antiqua" w:hAnsi="Book Antiqua"/>
          <w:szCs w:val="24"/>
        </w:rPr>
        <w:t>two that also evaluated tumor recurrence</w:t>
      </w:r>
      <w:r w:rsidRPr="00786942">
        <w:rPr>
          <w:rFonts w:ascii="Book Antiqua" w:eastAsia="MS Mincho" w:hAnsi="Book Antiqua"/>
          <w:szCs w:val="24"/>
        </w:rPr>
        <w:t xml:space="preserve"> </w:t>
      </w:r>
      <w:r w:rsidR="008360DC" w:rsidRPr="00786942">
        <w:rPr>
          <w:rFonts w:ascii="Book Antiqua" w:eastAsia="MS Mincho" w:hAnsi="Book Antiqua"/>
          <w:szCs w:val="24"/>
        </w:rPr>
        <w:t>showed conflicting results.</w:t>
      </w:r>
      <w:r w:rsidR="00330DC5">
        <w:rPr>
          <w:rFonts w:ascii="Book Antiqua" w:eastAsia="MS Mincho" w:hAnsi="Book Antiqua"/>
          <w:szCs w:val="24"/>
        </w:rPr>
        <w:t xml:space="preserve"> </w:t>
      </w:r>
      <w:r w:rsidR="00EB08B8" w:rsidRPr="00786942">
        <w:rPr>
          <w:rFonts w:ascii="Book Antiqua" w:eastAsia="MS Mincho" w:hAnsi="Book Antiqua"/>
          <w:szCs w:val="24"/>
        </w:rPr>
        <w:t>All experimental studies displayed beneficial effects of RAS inhibitors on hepatocarcinogenesis. Numerous</w:t>
      </w:r>
      <w:r w:rsidRPr="00786942">
        <w:rPr>
          <w:rFonts w:ascii="Book Antiqua" w:eastAsia="MS Mincho" w:hAnsi="Book Antiqua"/>
          <w:szCs w:val="24"/>
        </w:rPr>
        <w:t xml:space="preserve"> experimental studies, conducted either </w:t>
      </w:r>
      <w:r w:rsidR="003F0B41" w:rsidRPr="00786942">
        <w:rPr>
          <w:rFonts w:ascii="Book Antiqua" w:eastAsia="MS Mincho" w:hAnsi="Book Antiqua"/>
          <w:szCs w:val="24"/>
        </w:rPr>
        <w:t xml:space="preserve">on </w:t>
      </w:r>
      <w:r w:rsidRPr="00786942">
        <w:rPr>
          <w:rFonts w:ascii="Book Antiqua" w:eastAsia="MS Mincho" w:hAnsi="Book Antiqua"/>
          <w:szCs w:val="24"/>
        </w:rPr>
        <w:t xml:space="preserve">animals and cell </w:t>
      </w:r>
      <w:r w:rsidR="00674FDE" w:rsidRPr="00786942">
        <w:rPr>
          <w:rFonts w:ascii="Book Antiqua" w:eastAsia="MS Mincho" w:hAnsi="Book Antiqua"/>
          <w:szCs w:val="24"/>
        </w:rPr>
        <w:t>cultures, demonstrated the anti-</w:t>
      </w:r>
      <w:r w:rsidRPr="00786942">
        <w:rPr>
          <w:rFonts w:ascii="Book Antiqua" w:eastAsia="MS Mincho" w:hAnsi="Book Antiqua"/>
          <w:szCs w:val="24"/>
        </w:rPr>
        <w:t xml:space="preserve">angiogenetic and antifibrotic effect of ACE-Is and ARBs, thanks to the suppression of some cytokines such as vascular endothelial growth factor, hypoxia-inducible factor-1a, transforming growth factor-beta and tumor necrosis factor alpha. </w:t>
      </w:r>
      <w:r w:rsidR="00EB08B8" w:rsidRPr="00786942">
        <w:rPr>
          <w:rFonts w:ascii="Book Antiqua" w:eastAsia="MS Mincho" w:hAnsi="Book Antiqua"/>
          <w:szCs w:val="24"/>
        </w:rPr>
        <w:t xml:space="preserve">All or </w:t>
      </w:r>
      <w:r w:rsidR="00DB5CE9" w:rsidRPr="00786942">
        <w:rPr>
          <w:rFonts w:ascii="Book Antiqua" w:eastAsia="MS Mincho" w:hAnsi="Book Antiqua"/>
          <w:szCs w:val="24"/>
        </w:rPr>
        <w:t>parts of these mechanisms were</w:t>
      </w:r>
      <w:r w:rsidR="00EB08B8" w:rsidRPr="00786942">
        <w:rPr>
          <w:rFonts w:ascii="Book Antiqua" w:eastAsia="MS Mincho" w:hAnsi="Book Antiqua"/>
          <w:szCs w:val="24"/>
        </w:rPr>
        <w:t xml:space="preserve"> demonstrated in rodents</w:t>
      </w:r>
      <w:r w:rsidRPr="00786942">
        <w:rPr>
          <w:rFonts w:ascii="Book Antiqua" w:eastAsia="MS Mincho" w:hAnsi="Book Antiqua"/>
          <w:szCs w:val="24"/>
        </w:rPr>
        <w:t xml:space="preserve"> develop</w:t>
      </w:r>
      <w:r w:rsidR="00EB08B8" w:rsidRPr="00786942">
        <w:rPr>
          <w:rFonts w:ascii="Book Antiqua" w:eastAsia="MS Mincho" w:hAnsi="Book Antiqua"/>
          <w:szCs w:val="24"/>
        </w:rPr>
        <w:t>ing</w:t>
      </w:r>
      <w:r w:rsidRPr="00786942">
        <w:rPr>
          <w:rFonts w:ascii="Book Antiqua" w:eastAsia="MS Mincho" w:hAnsi="Book Antiqua"/>
          <w:szCs w:val="24"/>
        </w:rPr>
        <w:t xml:space="preserve"> </w:t>
      </w:r>
      <w:r w:rsidR="003F0B41" w:rsidRPr="00786942">
        <w:rPr>
          <w:rFonts w:ascii="Book Antiqua" w:eastAsia="MS Mincho" w:hAnsi="Book Antiqua"/>
          <w:szCs w:val="24"/>
        </w:rPr>
        <w:t xml:space="preserve">fewer </w:t>
      </w:r>
      <w:r w:rsidRPr="00786942">
        <w:rPr>
          <w:rFonts w:ascii="Book Antiqua" w:eastAsia="MS Mincho" w:hAnsi="Book Antiqua"/>
          <w:szCs w:val="24"/>
        </w:rPr>
        <w:t>HCC and preneoplastic lesions</w:t>
      </w:r>
      <w:r w:rsidR="00EB08B8" w:rsidRPr="00786942">
        <w:rPr>
          <w:rFonts w:ascii="Book Antiqua" w:eastAsia="MS Mincho" w:hAnsi="Book Antiqua"/>
          <w:szCs w:val="24"/>
        </w:rPr>
        <w:t xml:space="preserve"> after receiving such drugs</w:t>
      </w:r>
      <w:r w:rsidRPr="00786942">
        <w:rPr>
          <w:rFonts w:ascii="Book Antiqua" w:eastAsia="MS Mincho" w:hAnsi="Book Antiqua"/>
          <w:szCs w:val="24"/>
        </w:rPr>
        <w:t>.</w:t>
      </w:r>
    </w:p>
    <w:p w:rsidR="00330DC5" w:rsidRPr="00786942" w:rsidRDefault="00330DC5" w:rsidP="00786942">
      <w:pPr>
        <w:pStyle w:val="a3"/>
        <w:adjustRightInd w:val="0"/>
        <w:snapToGrid w:val="0"/>
        <w:spacing w:line="360" w:lineRule="auto"/>
        <w:ind w:right="0"/>
        <w:rPr>
          <w:rFonts w:ascii="Book Antiqua" w:eastAsia="MS Mincho" w:hAnsi="Book Antiqua"/>
          <w:szCs w:val="24"/>
        </w:rPr>
      </w:pPr>
    </w:p>
    <w:p w:rsidR="00330DC5" w:rsidRPr="00330DC5" w:rsidRDefault="00330DC5" w:rsidP="00786942">
      <w:pPr>
        <w:pStyle w:val="a3"/>
        <w:adjustRightInd w:val="0"/>
        <w:snapToGrid w:val="0"/>
        <w:spacing w:line="360" w:lineRule="auto"/>
        <w:ind w:right="0"/>
        <w:rPr>
          <w:rFonts w:ascii="Book Antiqua" w:eastAsia="MS Mincho" w:hAnsi="Book Antiqua"/>
          <w:b/>
          <w:i/>
          <w:szCs w:val="24"/>
        </w:rPr>
      </w:pPr>
      <w:r w:rsidRPr="00330DC5">
        <w:rPr>
          <w:rFonts w:ascii="Book Antiqua" w:eastAsia="MS Mincho" w:hAnsi="Book Antiqua"/>
          <w:b/>
          <w:i/>
          <w:szCs w:val="24"/>
        </w:rPr>
        <w:t>CONCLUSION</w:t>
      </w:r>
    </w:p>
    <w:p w:rsidR="00541E48" w:rsidRDefault="00541E48" w:rsidP="00786942">
      <w:pPr>
        <w:pStyle w:val="a3"/>
        <w:adjustRightInd w:val="0"/>
        <w:snapToGrid w:val="0"/>
        <w:spacing w:line="360" w:lineRule="auto"/>
        <w:ind w:right="0"/>
        <w:rPr>
          <w:rFonts w:ascii="Book Antiqua" w:eastAsia="MS Mincho" w:hAnsi="Book Antiqua"/>
          <w:szCs w:val="24"/>
        </w:rPr>
      </w:pPr>
      <w:r w:rsidRPr="00786942">
        <w:rPr>
          <w:rFonts w:ascii="Book Antiqua" w:eastAsia="MS Mincho" w:hAnsi="Book Antiqua"/>
          <w:szCs w:val="24"/>
        </w:rPr>
        <w:t>In humans, RAS inhibitors</w:t>
      </w:r>
      <w:r w:rsidR="003F0B41" w:rsidRPr="00786942">
        <w:rPr>
          <w:rFonts w:ascii="Book Antiqua" w:eastAsia="MS Mincho" w:hAnsi="Book Antiqua"/>
          <w:szCs w:val="24"/>
        </w:rPr>
        <w:t xml:space="preserve"> -</w:t>
      </w:r>
      <w:r w:rsidRPr="00786942">
        <w:rPr>
          <w:rFonts w:ascii="Book Antiqua" w:eastAsia="MS Mincho" w:hAnsi="Book Antiqua"/>
          <w:szCs w:val="24"/>
        </w:rPr>
        <w:t xml:space="preserve"> alone or in combination</w:t>
      </w:r>
      <w:r w:rsidR="003F0B41" w:rsidRPr="00786942">
        <w:rPr>
          <w:rFonts w:ascii="Book Antiqua" w:eastAsia="MS Mincho" w:hAnsi="Book Antiqua"/>
          <w:szCs w:val="24"/>
        </w:rPr>
        <w:t xml:space="preserve"> -</w:t>
      </w:r>
      <w:r w:rsidRPr="00786942">
        <w:rPr>
          <w:rFonts w:ascii="Book Antiqua" w:eastAsia="MS Mincho" w:hAnsi="Book Antiqua"/>
          <w:szCs w:val="24"/>
        </w:rPr>
        <w:t xml:space="preserve"> significantly suppressed the cumulative HCC recurrence, without prolonging patient survival, but </w:t>
      </w:r>
      <w:r w:rsidR="00152ECC" w:rsidRPr="00786942">
        <w:rPr>
          <w:rFonts w:ascii="Book Antiqua" w:eastAsia="MS Mincho" w:hAnsi="Book Antiqua"/>
          <w:szCs w:val="24"/>
        </w:rPr>
        <w:t>some</w:t>
      </w:r>
      <w:r w:rsidRPr="00786942">
        <w:rPr>
          <w:rFonts w:ascii="Book Antiqua" w:eastAsia="MS Mincho" w:hAnsi="Book Antiqua"/>
          <w:szCs w:val="24"/>
        </w:rPr>
        <w:t xml:space="preserve"> limitations intrinsic to the</w:t>
      </w:r>
      <w:r w:rsidR="00674FDE" w:rsidRPr="00786942">
        <w:rPr>
          <w:rFonts w:ascii="Book Antiqua" w:eastAsia="MS Mincho" w:hAnsi="Book Antiqua"/>
          <w:szCs w:val="24"/>
        </w:rPr>
        <w:t>se</w:t>
      </w:r>
      <w:r w:rsidRPr="00786942">
        <w:rPr>
          <w:rFonts w:ascii="Book Antiqua" w:eastAsia="MS Mincho" w:hAnsi="Book Antiqua"/>
          <w:szCs w:val="24"/>
        </w:rPr>
        <w:t xml:space="preserve"> stud</w:t>
      </w:r>
      <w:r w:rsidR="003A54D4" w:rsidRPr="00786942">
        <w:rPr>
          <w:rFonts w:ascii="Book Antiqua" w:eastAsia="MS Mincho" w:hAnsi="Book Antiqua"/>
          <w:szCs w:val="24"/>
        </w:rPr>
        <w:t>ies</w:t>
      </w:r>
      <w:r w:rsidRPr="00786942">
        <w:rPr>
          <w:rFonts w:ascii="Book Antiqua" w:eastAsia="MS Mincho" w:hAnsi="Book Antiqua"/>
          <w:szCs w:val="24"/>
        </w:rPr>
        <w:t xml:space="preserve"> prompt further investigations.</w:t>
      </w:r>
    </w:p>
    <w:p w:rsidR="00330DC5" w:rsidRPr="00786942" w:rsidRDefault="00330DC5" w:rsidP="00786942">
      <w:pPr>
        <w:pStyle w:val="a3"/>
        <w:adjustRightInd w:val="0"/>
        <w:snapToGrid w:val="0"/>
        <w:spacing w:line="360" w:lineRule="auto"/>
        <w:ind w:right="0"/>
        <w:rPr>
          <w:rFonts w:ascii="Book Antiqua" w:eastAsia="MS Mincho" w:hAnsi="Book Antiqua"/>
          <w:szCs w:val="24"/>
        </w:rPr>
      </w:pPr>
    </w:p>
    <w:p w:rsidR="005D2E87" w:rsidRPr="00786942" w:rsidRDefault="005D2E87" w:rsidP="00786942">
      <w:pPr>
        <w:pStyle w:val="a3"/>
        <w:adjustRightInd w:val="0"/>
        <w:snapToGrid w:val="0"/>
        <w:spacing w:line="360" w:lineRule="auto"/>
        <w:ind w:right="0"/>
        <w:rPr>
          <w:rFonts w:ascii="Book Antiqua" w:hAnsi="Book Antiqua" w:cs="Times New Roman"/>
          <w:szCs w:val="24"/>
        </w:rPr>
      </w:pPr>
      <w:r w:rsidRPr="00786942">
        <w:rPr>
          <w:rFonts w:ascii="Book Antiqua" w:hAnsi="Book Antiqua" w:cs="Times New Roman"/>
          <w:b/>
          <w:szCs w:val="24"/>
        </w:rPr>
        <w:t>Key words</w:t>
      </w:r>
      <w:r w:rsidRPr="00786942">
        <w:rPr>
          <w:rFonts w:ascii="Book Antiqua" w:hAnsi="Book Antiqua" w:cs="Times New Roman"/>
          <w:szCs w:val="24"/>
        </w:rPr>
        <w:t xml:space="preserve">: </w:t>
      </w:r>
      <w:r w:rsidR="00556F78" w:rsidRPr="00786942">
        <w:rPr>
          <w:rFonts w:ascii="Book Antiqua" w:hAnsi="Book Antiqua" w:cs="Times New Roman"/>
          <w:szCs w:val="24"/>
        </w:rPr>
        <w:t>C</w:t>
      </w:r>
      <w:r w:rsidRPr="00786942">
        <w:rPr>
          <w:rFonts w:ascii="Book Antiqua" w:hAnsi="Book Antiqua" w:cs="Times New Roman"/>
          <w:szCs w:val="24"/>
        </w:rPr>
        <w:t>irrhosis</w:t>
      </w:r>
      <w:r w:rsidR="00556F78" w:rsidRPr="00786942">
        <w:rPr>
          <w:rFonts w:ascii="Book Antiqua" w:hAnsi="Book Antiqua" w:cs="Times New Roman"/>
          <w:szCs w:val="24"/>
        </w:rPr>
        <w:t>;</w:t>
      </w:r>
      <w:r w:rsidRPr="00786942">
        <w:rPr>
          <w:rFonts w:ascii="Book Antiqua" w:hAnsi="Book Antiqua" w:cs="Times New Roman"/>
          <w:szCs w:val="24"/>
        </w:rPr>
        <w:t xml:space="preserve"> </w:t>
      </w:r>
      <w:r w:rsidR="00556F78" w:rsidRPr="00786942">
        <w:rPr>
          <w:rFonts w:ascii="Book Antiqua" w:hAnsi="Book Antiqua" w:cs="Times New Roman"/>
          <w:szCs w:val="24"/>
        </w:rPr>
        <w:t>R</w:t>
      </w:r>
      <w:r w:rsidRPr="00786942">
        <w:rPr>
          <w:rFonts w:ascii="Book Antiqua" w:hAnsi="Book Antiqua" w:cs="Times New Roman"/>
          <w:szCs w:val="24"/>
        </w:rPr>
        <w:t>enin</w:t>
      </w:r>
      <w:r w:rsidR="00556F78" w:rsidRPr="00786942">
        <w:rPr>
          <w:rFonts w:ascii="Book Antiqua" w:hAnsi="Book Antiqua" w:cs="Times New Roman"/>
          <w:szCs w:val="24"/>
        </w:rPr>
        <w:t>;</w:t>
      </w:r>
      <w:r w:rsidRPr="00786942">
        <w:rPr>
          <w:rFonts w:ascii="Book Antiqua" w:hAnsi="Book Antiqua" w:cs="Times New Roman"/>
          <w:szCs w:val="24"/>
        </w:rPr>
        <w:t xml:space="preserve"> </w:t>
      </w:r>
      <w:r w:rsidR="00556F78" w:rsidRPr="00786942">
        <w:rPr>
          <w:rFonts w:ascii="Book Antiqua" w:hAnsi="Book Antiqua" w:cs="Times New Roman"/>
          <w:szCs w:val="24"/>
        </w:rPr>
        <w:t>A</w:t>
      </w:r>
      <w:r w:rsidRPr="00786942">
        <w:rPr>
          <w:rFonts w:ascii="Book Antiqua" w:hAnsi="Book Antiqua" w:cs="Times New Roman"/>
          <w:szCs w:val="24"/>
        </w:rPr>
        <w:t>ngiotensin</w:t>
      </w:r>
      <w:r w:rsidR="00556F78" w:rsidRPr="00786942">
        <w:rPr>
          <w:rFonts w:ascii="Book Antiqua" w:hAnsi="Book Antiqua" w:cs="Times New Roman"/>
          <w:szCs w:val="24"/>
        </w:rPr>
        <w:t>;</w:t>
      </w:r>
      <w:r w:rsidRPr="00786942">
        <w:rPr>
          <w:rFonts w:ascii="Book Antiqua" w:hAnsi="Book Antiqua" w:cs="Times New Roman"/>
          <w:szCs w:val="24"/>
        </w:rPr>
        <w:t xml:space="preserve"> </w:t>
      </w:r>
      <w:r w:rsidR="00556F78" w:rsidRPr="00786942">
        <w:rPr>
          <w:rFonts w:ascii="Book Antiqua" w:hAnsi="Book Antiqua" w:cs="Times New Roman"/>
          <w:szCs w:val="24"/>
        </w:rPr>
        <w:t>S</w:t>
      </w:r>
      <w:r w:rsidRPr="00786942">
        <w:rPr>
          <w:rFonts w:ascii="Book Antiqua" w:hAnsi="Book Antiqua" w:cs="Times New Roman"/>
          <w:szCs w:val="24"/>
        </w:rPr>
        <w:t>urvival</w:t>
      </w:r>
      <w:r w:rsidR="00556F78" w:rsidRPr="00786942">
        <w:rPr>
          <w:rFonts w:ascii="Book Antiqua" w:hAnsi="Book Antiqua" w:cs="Times New Roman"/>
          <w:szCs w:val="24"/>
        </w:rPr>
        <w:t>;</w:t>
      </w:r>
      <w:r w:rsidRPr="00786942">
        <w:rPr>
          <w:rFonts w:ascii="Book Antiqua" w:hAnsi="Book Antiqua" w:cs="Times New Roman"/>
          <w:szCs w:val="24"/>
        </w:rPr>
        <w:t xml:space="preserve"> </w:t>
      </w:r>
      <w:r w:rsidR="00556F78" w:rsidRPr="00786942">
        <w:rPr>
          <w:rFonts w:ascii="Book Antiqua" w:hAnsi="Book Antiqua" w:cs="Times New Roman"/>
          <w:szCs w:val="24"/>
        </w:rPr>
        <w:t>C</w:t>
      </w:r>
      <w:r w:rsidRPr="00786942">
        <w:rPr>
          <w:rFonts w:ascii="Book Antiqua" w:hAnsi="Book Antiqua" w:cs="Times New Roman"/>
          <w:szCs w:val="24"/>
        </w:rPr>
        <w:t>ancer prevention</w:t>
      </w:r>
      <w:r w:rsidR="00556F78" w:rsidRPr="00786942">
        <w:rPr>
          <w:rFonts w:ascii="Book Antiqua" w:hAnsi="Book Antiqua" w:cs="Times New Roman"/>
          <w:szCs w:val="24"/>
        </w:rPr>
        <w:t>; Hepatocarcinoma</w:t>
      </w:r>
      <w:r w:rsidRPr="00786942">
        <w:rPr>
          <w:rFonts w:ascii="Book Antiqua" w:hAnsi="Book Antiqua" w:cs="Times New Roman"/>
          <w:szCs w:val="24"/>
        </w:rPr>
        <w:t xml:space="preserve"> </w:t>
      </w:r>
    </w:p>
    <w:p w:rsidR="00556F78" w:rsidRPr="00330DC5" w:rsidRDefault="00556F78" w:rsidP="00786942">
      <w:pPr>
        <w:adjustRightInd w:val="0"/>
        <w:snapToGrid w:val="0"/>
        <w:spacing w:line="360" w:lineRule="auto"/>
        <w:ind w:right="0"/>
        <w:rPr>
          <w:rFonts w:ascii="Book Antiqua" w:hAnsi="Book Antiqua"/>
          <w:b/>
          <w:lang w:val="en-US"/>
        </w:rPr>
      </w:pPr>
    </w:p>
    <w:p w:rsidR="00330DC5" w:rsidRPr="00330DC5" w:rsidRDefault="00330DC5" w:rsidP="00786942">
      <w:pPr>
        <w:adjustRightInd w:val="0"/>
        <w:snapToGrid w:val="0"/>
        <w:spacing w:line="360" w:lineRule="auto"/>
        <w:ind w:right="0"/>
        <w:rPr>
          <w:rFonts w:ascii="Book Antiqua" w:hAnsi="Book Antiqua"/>
          <w:lang w:val="en-US"/>
        </w:rPr>
      </w:pPr>
      <w:bookmarkStart w:id="47" w:name="OLE_LINK43"/>
      <w:bookmarkStart w:id="48" w:name="OLE_LINK44"/>
      <w:r w:rsidRPr="00330DC5">
        <w:rPr>
          <w:rFonts w:ascii="Book Antiqua" w:hAnsi="Book Antiqua"/>
          <w:b/>
          <w:lang w:val="en-US"/>
        </w:rPr>
        <w:t>© The Author(s) 201</w:t>
      </w:r>
      <w:r w:rsidRPr="00330DC5">
        <w:rPr>
          <w:rFonts w:ascii="Book Antiqua" w:hAnsi="Book Antiqua" w:hint="eastAsia"/>
          <w:b/>
          <w:lang w:val="en-US"/>
        </w:rPr>
        <w:t>9</w:t>
      </w:r>
      <w:r w:rsidRPr="00330DC5">
        <w:rPr>
          <w:rFonts w:ascii="Book Antiqua" w:hAnsi="Book Antiqua"/>
          <w:b/>
          <w:lang w:val="en-US"/>
        </w:rPr>
        <w:t xml:space="preserve">. </w:t>
      </w:r>
      <w:r w:rsidRPr="00330DC5">
        <w:rPr>
          <w:rFonts w:ascii="Book Antiqua" w:hAnsi="Book Antiqua"/>
          <w:lang w:val="en-US"/>
        </w:rPr>
        <w:t>Published by Baishideng Publishing Group Inc. All rights reserved.</w:t>
      </w:r>
      <w:bookmarkEnd w:id="47"/>
      <w:bookmarkEnd w:id="48"/>
    </w:p>
    <w:p w:rsidR="00330DC5" w:rsidRPr="00786942" w:rsidRDefault="00330DC5" w:rsidP="00786942">
      <w:pPr>
        <w:adjustRightInd w:val="0"/>
        <w:snapToGrid w:val="0"/>
        <w:spacing w:line="360" w:lineRule="auto"/>
        <w:ind w:right="0"/>
        <w:rPr>
          <w:rFonts w:ascii="Book Antiqua" w:hAnsi="Book Antiqua"/>
          <w:b/>
          <w:lang w:val="en-US"/>
        </w:rPr>
      </w:pPr>
    </w:p>
    <w:p w:rsidR="00674FDE" w:rsidRDefault="009B2880" w:rsidP="00786942">
      <w:pPr>
        <w:adjustRightInd w:val="0"/>
        <w:snapToGrid w:val="0"/>
        <w:spacing w:line="360" w:lineRule="auto"/>
        <w:ind w:right="0"/>
        <w:rPr>
          <w:rFonts w:ascii="Book Antiqua" w:hAnsi="Book Antiqua"/>
          <w:lang w:val="en-US"/>
        </w:rPr>
      </w:pPr>
      <w:r w:rsidRPr="00786942">
        <w:rPr>
          <w:rFonts w:ascii="Book Antiqua" w:hAnsi="Book Antiqua"/>
          <w:b/>
          <w:lang w:val="en-US"/>
        </w:rPr>
        <w:t>Core tip:</w:t>
      </w:r>
      <w:r w:rsidR="00C22624" w:rsidRPr="00786942">
        <w:rPr>
          <w:rFonts w:ascii="Book Antiqua" w:hAnsi="Book Antiqua"/>
          <w:b/>
          <w:lang w:val="en-US"/>
        </w:rPr>
        <w:t xml:space="preserve"> </w:t>
      </w:r>
      <w:r w:rsidR="00674FDE" w:rsidRPr="00786942">
        <w:rPr>
          <w:rFonts w:ascii="Book Antiqua" w:hAnsi="Book Antiqua"/>
          <w:lang w:val="en-US"/>
        </w:rPr>
        <w:t xml:space="preserve">All experimental studies strongly support the ability of </w:t>
      </w:r>
      <w:r w:rsidR="00330DC5" w:rsidRPr="00786942">
        <w:rPr>
          <w:rFonts w:ascii="Book Antiqua" w:hAnsi="Book Antiqua"/>
          <w:lang w:val="en-US"/>
        </w:rPr>
        <w:t>renin-angiotensin system (RAS)</w:t>
      </w:r>
      <w:r w:rsidR="00674FDE" w:rsidRPr="00786942">
        <w:rPr>
          <w:rFonts w:ascii="Book Antiqua" w:hAnsi="Book Antiqua"/>
          <w:lang w:val="en-US"/>
        </w:rPr>
        <w:t xml:space="preserve"> inhibitors to counteract carcinogenesis essentially by inhibit</w:t>
      </w:r>
      <w:r w:rsidR="003F0B41" w:rsidRPr="00786942">
        <w:rPr>
          <w:rFonts w:ascii="Book Antiqua" w:hAnsi="Book Antiqua"/>
          <w:lang w:val="en-US"/>
        </w:rPr>
        <w:t>ing</w:t>
      </w:r>
      <w:r w:rsidR="00674FDE" w:rsidRPr="00786942">
        <w:rPr>
          <w:rFonts w:ascii="Book Antiqua" w:hAnsi="Book Antiqua"/>
          <w:lang w:val="en-US"/>
        </w:rPr>
        <w:t xml:space="preserve"> angiogenesis and possibly fibrogenesis in chemically</w:t>
      </w:r>
      <w:r w:rsidR="003F0B41" w:rsidRPr="00786942">
        <w:rPr>
          <w:rFonts w:ascii="Book Antiqua" w:hAnsi="Book Antiqua"/>
          <w:lang w:val="en-US"/>
        </w:rPr>
        <w:t>-</w:t>
      </w:r>
      <w:r w:rsidR="00674FDE" w:rsidRPr="00786942">
        <w:rPr>
          <w:rFonts w:ascii="Book Antiqua" w:hAnsi="Book Antiqua"/>
          <w:lang w:val="en-US"/>
        </w:rPr>
        <w:t>induced or xeno</w:t>
      </w:r>
      <w:r w:rsidR="003F0B41" w:rsidRPr="00786942">
        <w:rPr>
          <w:rFonts w:ascii="Book Antiqua" w:hAnsi="Book Antiqua"/>
          <w:lang w:val="en-US"/>
        </w:rPr>
        <w:t>-</w:t>
      </w:r>
      <w:r w:rsidR="00674FDE" w:rsidRPr="00786942">
        <w:rPr>
          <w:rFonts w:ascii="Book Antiqua" w:hAnsi="Book Antiqua"/>
          <w:lang w:val="en-US"/>
        </w:rPr>
        <w:t>transplanted hepatocarcinomas, whereas additional pathogenetic mechanisms using animal models that mimic the progression of liver disease in humans and have been barely considered. In all randomized clinical trials, RAS inhibitors</w:t>
      </w:r>
      <w:r w:rsidR="003F0B41" w:rsidRPr="00786942">
        <w:rPr>
          <w:rFonts w:ascii="Book Antiqua" w:hAnsi="Book Antiqua"/>
          <w:lang w:val="en-US"/>
        </w:rPr>
        <w:t xml:space="preserve"> -</w:t>
      </w:r>
      <w:r w:rsidR="00674FDE" w:rsidRPr="00786942">
        <w:rPr>
          <w:rFonts w:ascii="Book Antiqua" w:hAnsi="Book Antiqua"/>
          <w:lang w:val="en-US"/>
        </w:rPr>
        <w:t xml:space="preserve"> in combination with other therapie</w:t>
      </w:r>
      <w:r w:rsidR="004672F6" w:rsidRPr="00786942">
        <w:rPr>
          <w:rFonts w:ascii="Book Antiqua" w:hAnsi="Book Antiqua"/>
          <w:lang w:val="en-US"/>
        </w:rPr>
        <w:t>s</w:t>
      </w:r>
      <w:r w:rsidR="003F0B41" w:rsidRPr="00786942">
        <w:rPr>
          <w:rFonts w:ascii="Book Antiqua" w:hAnsi="Book Antiqua"/>
          <w:lang w:val="en-US"/>
        </w:rPr>
        <w:t xml:space="preserve"> -</w:t>
      </w:r>
      <w:r w:rsidR="004672F6" w:rsidRPr="00786942">
        <w:rPr>
          <w:rFonts w:ascii="Book Antiqua" w:hAnsi="Book Antiqua"/>
          <w:lang w:val="en-US"/>
        </w:rPr>
        <w:t xml:space="preserve"> </w:t>
      </w:r>
      <w:r w:rsidR="00674FDE" w:rsidRPr="00786942">
        <w:rPr>
          <w:rFonts w:ascii="Book Antiqua" w:hAnsi="Book Antiqua"/>
          <w:lang w:val="en-US"/>
        </w:rPr>
        <w:t xml:space="preserve">significantly reduced cumulative hepatocarcinoma recurrence. However, the data on patient survival obtained by these studies and several observational studies are not conclusive. The beneficial effect of </w:t>
      </w:r>
      <w:r w:rsidR="003F0B41" w:rsidRPr="00786942">
        <w:rPr>
          <w:rFonts w:ascii="Book Antiqua" w:hAnsi="Book Antiqua"/>
          <w:lang w:val="en-US"/>
        </w:rPr>
        <w:t xml:space="preserve">the </w:t>
      </w:r>
      <w:r w:rsidR="00674FDE" w:rsidRPr="00786942">
        <w:rPr>
          <w:rFonts w:ascii="Book Antiqua" w:hAnsi="Book Antiqua"/>
          <w:lang w:val="en-US"/>
        </w:rPr>
        <w:t>early use of RAS inhibitors on the progression of cirrhosis toward hepatocarcinoma cannot be excluded.</w:t>
      </w:r>
    </w:p>
    <w:p w:rsidR="000A1732" w:rsidRPr="000A1732" w:rsidRDefault="000A1732" w:rsidP="00786942">
      <w:pPr>
        <w:adjustRightInd w:val="0"/>
        <w:snapToGrid w:val="0"/>
        <w:spacing w:line="360" w:lineRule="auto"/>
        <w:ind w:right="0"/>
        <w:rPr>
          <w:rFonts w:ascii="Book Antiqua" w:hAnsi="Book Antiqua"/>
          <w:lang w:val="en-US"/>
        </w:rPr>
      </w:pPr>
    </w:p>
    <w:p w:rsidR="00740233" w:rsidRPr="00CE19CD" w:rsidRDefault="000A1732" w:rsidP="00786942">
      <w:pPr>
        <w:adjustRightInd w:val="0"/>
        <w:snapToGrid w:val="0"/>
        <w:spacing w:line="360" w:lineRule="auto"/>
        <w:ind w:right="0"/>
        <w:rPr>
          <w:rFonts w:ascii="Book Antiqua" w:eastAsia="宋体" w:hAnsi="Book Antiqua" w:hint="eastAsia"/>
          <w:bCs/>
          <w:iCs/>
          <w:lang w:val="en-US" w:eastAsia="zh-CN"/>
        </w:rPr>
      </w:pPr>
      <w:r w:rsidRPr="000A1732">
        <w:rPr>
          <w:rFonts w:ascii="Book Antiqua" w:hAnsi="Book Antiqua"/>
          <w:bCs/>
          <w:iCs/>
          <w:lang w:val="en-US"/>
        </w:rPr>
        <w:t xml:space="preserve">Barone M, Viggiani MT, </w:t>
      </w:r>
      <w:bookmarkStart w:id="49" w:name="OLE_LINK667"/>
      <w:r w:rsidRPr="000A1732">
        <w:rPr>
          <w:rFonts w:ascii="Book Antiqua" w:hAnsi="Book Antiqua"/>
          <w:bCs/>
          <w:iCs/>
          <w:lang w:val="en-US"/>
        </w:rPr>
        <w:t>Losurdo G</w:t>
      </w:r>
      <w:bookmarkEnd w:id="49"/>
      <w:r w:rsidRPr="000A1732">
        <w:rPr>
          <w:rFonts w:ascii="Book Antiqua" w:hAnsi="Book Antiqua"/>
          <w:bCs/>
          <w:iCs/>
          <w:lang w:val="en-US"/>
        </w:rPr>
        <w:t xml:space="preserve">, Principi M, Di Leo A. Systematic review: Renin-angiotensin system inhibitors in chemoprevention of hepatocellular carcinoma. </w:t>
      </w:r>
      <w:bookmarkStart w:id="50" w:name="OLE_LINK1105"/>
      <w:bookmarkStart w:id="51" w:name="OLE_LINK1107"/>
      <w:bookmarkStart w:id="52" w:name="OLE_LINK380"/>
      <w:bookmarkStart w:id="53" w:name="OLE_LINK46"/>
      <w:r w:rsidRPr="000A1732">
        <w:rPr>
          <w:rFonts w:ascii="Book Antiqua" w:hAnsi="Book Antiqua"/>
          <w:i/>
          <w:color w:val="000000"/>
          <w:lang w:val="en-US"/>
        </w:rPr>
        <w:t xml:space="preserve">World J Gastroenterol </w:t>
      </w:r>
      <w:bookmarkEnd w:id="50"/>
      <w:bookmarkEnd w:id="51"/>
      <w:bookmarkEnd w:id="52"/>
      <w:bookmarkEnd w:id="53"/>
      <w:r w:rsidR="00740233" w:rsidRPr="00740233">
        <w:rPr>
          <w:rFonts w:ascii="Book Antiqua" w:hAnsi="Book Antiqua"/>
          <w:color w:val="000000"/>
          <w:lang w:val="en-US"/>
        </w:rPr>
        <w:t xml:space="preserve">2019; </w:t>
      </w:r>
      <w:r w:rsidR="00740233" w:rsidRPr="00740233">
        <w:rPr>
          <w:rFonts w:ascii="Book Antiqua" w:hAnsi="Book Antiqua"/>
          <w:bCs/>
          <w:iCs/>
          <w:lang w:val="en-US"/>
        </w:rPr>
        <w:t xml:space="preserve">25(20): </w:t>
      </w:r>
      <w:r w:rsidR="00740233" w:rsidRPr="00CE19CD">
        <w:rPr>
          <w:rFonts w:ascii="Book Antiqua" w:eastAsia="宋体" w:hAnsi="Book Antiqua" w:hint="eastAsia"/>
          <w:bCs/>
          <w:iCs/>
          <w:lang w:val="en-US" w:eastAsia="zh-CN"/>
        </w:rPr>
        <w:t>2524</w:t>
      </w:r>
      <w:r w:rsidR="00740233" w:rsidRPr="00740233">
        <w:rPr>
          <w:rFonts w:ascii="Book Antiqua" w:hAnsi="Book Antiqua"/>
          <w:bCs/>
          <w:iCs/>
          <w:lang w:val="en-US"/>
        </w:rPr>
        <w:t>-</w:t>
      </w:r>
      <w:r w:rsidR="00740233" w:rsidRPr="00CE19CD">
        <w:rPr>
          <w:rFonts w:ascii="Book Antiqua" w:eastAsia="宋体" w:hAnsi="Book Antiqua" w:hint="eastAsia"/>
          <w:bCs/>
          <w:iCs/>
          <w:lang w:val="en-US" w:eastAsia="zh-CN"/>
        </w:rPr>
        <w:t>2538</w:t>
      </w:r>
    </w:p>
    <w:p w:rsidR="00740233" w:rsidRPr="00CE19CD" w:rsidRDefault="00740233" w:rsidP="00786942">
      <w:pPr>
        <w:adjustRightInd w:val="0"/>
        <w:snapToGrid w:val="0"/>
        <w:spacing w:line="360" w:lineRule="auto"/>
        <w:ind w:right="0"/>
        <w:rPr>
          <w:rFonts w:ascii="Book Antiqua" w:eastAsia="宋体" w:hAnsi="Book Antiqua" w:hint="eastAsia"/>
          <w:bCs/>
          <w:iCs/>
          <w:lang w:val="en-US" w:eastAsia="zh-CN"/>
        </w:rPr>
      </w:pPr>
      <w:r w:rsidRPr="00A15DA7">
        <w:rPr>
          <w:rFonts w:ascii="Book Antiqua" w:hAnsi="Book Antiqua"/>
          <w:b/>
          <w:bCs/>
          <w:iCs/>
          <w:lang w:val="en-US"/>
        </w:rPr>
        <w:t>URL:</w:t>
      </w:r>
      <w:r w:rsidRPr="00740233">
        <w:rPr>
          <w:rFonts w:ascii="Book Antiqua" w:hAnsi="Book Antiqua"/>
          <w:bCs/>
          <w:iCs/>
          <w:lang w:val="en-US"/>
        </w:rPr>
        <w:t xml:space="preserve"> https://www.wjgnet.com/1007-9327/full/v25/i20/</w:t>
      </w:r>
      <w:r w:rsidRPr="00CE19CD">
        <w:rPr>
          <w:rFonts w:ascii="Book Antiqua" w:eastAsia="宋体" w:hAnsi="Book Antiqua" w:hint="eastAsia"/>
          <w:bCs/>
          <w:iCs/>
          <w:lang w:val="en-US" w:eastAsia="zh-CN"/>
        </w:rPr>
        <w:t>2524</w:t>
      </w:r>
      <w:r w:rsidRPr="00740233">
        <w:rPr>
          <w:rFonts w:ascii="Book Antiqua" w:hAnsi="Book Antiqua"/>
          <w:bCs/>
          <w:iCs/>
          <w:lang w:val="en-US"/>
        </w:rPr>
        <w:t>.htm</w:t>
      </w:r>
    </w:p>
    <w:p w:rsidR="000A1732" w:rsidRPr="00CE19CD" w:rsidRDefault="00740233" w:rsidP="00786942">
      <w:pPr>
        <w:adjustRightInd w:val="0"/>
        <w:snapToGrid w:val="0"/>
        <w:spacing w:line="360" w:lineRule="auto"/>
        <w:ind w:right="0"/>
        <w:rPr>
          <w:rFonts w:ascii="Book Antiqua" w:eastAsia="宋体" w:hAnsi="Book Antiqua" w:hint="eastAsia"/>
          <w:bCs/>
          <w:iCs/>
          <w:lang w:val="en-US" w:eastAsia="zh-CN"/>
        </w:rPr>
      </w:pPr>
      <w:r w:rsidRPr="00A15DA7">
        <w:rPr>
          <w:rFonts w:ascii="Book Antiqua" w:hAnsi="Book Antiqua"/>
          <w:b/>
          <w:bCs/>
          <w:iCs/>
          <w:lang w:val="en-US"/>
        </w:rPr>
        <w:t xml:space="preserve">DOI: </w:t>
      </w:r>
      <w:r w:rsidRPr="00740233">
        <w:rPr>
          <w:rFonts w:ascii="Book Antiqua" w:hAnsi="Book Antiqua"/>
          <w:bCs/>
          <w:iCs/>
          <w:lang w:val="en-US"/>
        </w:rPr>
        <w:t>https://dx.doi.org/10.3748/wjg.v25.i20.</w:t>
      </w:r>
      <w:r w:rsidRPr="00CE19CD">
        <w:rPr>
          <w:rFonts w:ascii="Book Antiqua" w:eastAsia="宋体" w:hAnsi="Book Antiqua" w:hint="eastAsia"/>
          <w:bCs/>
          <w:iCs/>
          <w:lang w:val="en-US" w:eastAsia="zh-CN"/>
        </w:rPr>
        <w:t>2524</w:t>
      </w:r>
    </w:p>
    <w:p w:rsidR="00544861" w:rsidRPr="00786942" w:rsidRDefault="00544861" w:rsidP="00330DC5">
      <w:pPr>
        <w:adjustRightInd w:val="0"/>
        <w:snapToGrid w:val="0"/>
        <w:spacing w:line="360" w:lineRule="auto"/>
        <w:ind w:right="0"/>
        <w:outlineLvl w:val="0"/>
        <w:rPr>
          <w:rFonts w:ascii="Book Antiqua" w:hAnsi="Book Antiqua"/>
          <w:lang w:val="en-US"/>
        </w:rPr>
      </w:pPr>
      <w:r w:rsidRPr="00786942">
        <w:rPr>
          <w:rFonts w:ascii="Book Antiqua" w:hAnsi="Book Antiqua"/>
          <w:b/>
          <w:lang w:val="en-US"/>
        </w:rPr>
        <w:br w:type="page"/>
        <w:t>INTRODUCTION</w:t>
      </w:r>
    </w:p>
    <w:p w:rsidR="00DF1C98" w:rsidRPr="00786942" w:rsidRDefault="00DF1C98" w:rsidP="00786942">
      <w:pPr>
        <w:widowControl w:val="0"/>
        <w:adjustRightInd w:val="0"/>
        <w:snapToGrid w:val="0"/>
        <w:spacing w:line="360" w:lineRule="auto"/>
        <w:ind w:right="0"/>
        <w:rPr>
          <w:rFonts w:ascii="Book Antiqua" w:hAnsi="Book Antiqua"/>
          <w:lang w:val="en-US"/>
        </w:rPr>
      </w:pPr>
      <w:r w:rsidRPr="00786942">
        <w:rPr>
          <w:rFonts w:ascii="Book Antiqua" w:hAnsi="Book Antiqua"/>
          <w:lang w:val="en-US"/>
        </w:rPr>
        <w:t>Liver cancer is the fifth most common cancer and the second most frequent cause o</w:t>
      </w:r>
      <w:r w:rsidR="0099677A">
        <w:rPr>
          <w:rFonts w:ascii="Book Antiqua" w:hAnsi="Book Antiqua"/>
          <w:lang w:val="en-US"/>
        </w:rPr>
        <w:t>f cancer-related death globally</w:t>
      </w:r>
      <w:r w:rsidRPr="0099677A">
        <w:rPr>
          <w:rFonts w:ascii="Book Antiqua" w:hAnsi="Book Antiqua"/>
          <w:vertAlign w:val="superscript"/>
          <w:lang w:val="en-US"/>
        </w:rPr>
        <w:t>[1]</w:t>
      </w:r>
      <w:r w:rsidRPr="00786942">
        <w:rPr>
          <w:rFonts w:ascii="Book Antiqua" w:hAnsi="Book Antiqua"/>
          <w:lang w:val="en-US"/>
        </w:rPr>
        <w:t>. In particular, it is much more common in men than in women, and if we refer</w:t>
      </w:r>
      <w:r w:rsidR="003F0B41" w:rsidRPr="00786942">
        <w:rPr>
          <w:rFonts w:ascii="Book Antiqua" w:hAnsi="Book Antiqua"/>
          <w:lang w:val="en-US"/>
        </w:rPr>
        <w:t xml:space="preserve"> solely</w:t>
      </w:r>
      <w:r w:rsidRPr="00786942">
        <w:rPr>
          <w:rFonts w:ascii="Book Antiqua" w:hAnsi="Book Antiqua"/>
          <w:lang w:val="en-US"/>
        </w:rPr>
        <w:t xml:space="preserve"> to more developed countries, it is the sixth leading cause of cancer death in men</w:t>
      </w:r>
      <w:r w:rsidRPr="0099677A">
        <w:rPr>
          <w:rFonts w:ascii="Book Antiqua" w:hAnsi="Book Antiqua"/>
          <w:vertAlign w:val="superscript"/>
          <w:lang w:val="en-US"/>
        </w:rPr>
        <w:t>[2]</w:t>
      </w:r>
      <w:r w:rsidRPr="00786942">
        <w:rPr>
          <w:rFonts w:ascii="Book Antiqua" w:hAnsi="Book Antiqua"/>
          <w:lang w:val="en-US"/>
        </w:rPr>
        <w:t>.</w:t>
      </w:r>
    </w:p>
    <w:p w:rsidR="00DF1C98" w:rsidRPr="00786942" w:rsidRDefault="0099677A" w:rsidP="00786942">
      <w:pPr>
        <w:widowControl w:val="0"/>
        <w:adjustRightInd w:val="0"/>
        <w:snapToGrid w:val="0"/>
        <w:spacing w:line="360" w:lineRule="auto"/>
        <w:ind w:right="0"/>
        <w:rPr>
          <w:rFonts w:ascii="Book Antiqua" w:hAnsi="Book Antiqua"/>
          <w:lang w:val="en-US"/>
        </w:rPr>
      </w:pPr>
      <w:r>
        <w:rPr>
          <w:rFonts w:ascii="Book Antiqua" w:hAnsi="Book Antiqua"/>
          <w:lang w:val="en-US"/>
        </w:rPr>
        <w:t xml:space="preserve">  </w:t>
      </w:r>
      <w:r w:rsidR="00DF1C98" w:rsidRPr="00786942">
        <w:rPr>
          <w:rFonts w:ascii="Book Antiqua" w:hAnsi="Book Antiqua"/>
          <w:lang w:val="en-US"/>
        </w:rPr>
        <w:t xml:space="preserve">Hepatocellular carcinoma (HCC) represents about 90% of primary liver cancers and usually develops in patients </w:t>
      </w:r>
      <w:r>
        <w:rPr>
          <w:rFonts w:ascii="Book Antiqua" w:hAnsi="Book Antiqua"/>
          <w:lang w:val="en-US"/>
        </w:rPr>
        <w:t>with underlying liver cirrhosis</w:t>
      </w:r>
      <w:r w:rsidR="00DF1C98" w:rsidRPr="0099677A">
        <w:rPr>
          <w:rFonts w:ascii="Book Antiqua" w:hAnsi="Book Antiqua"/>
          <w:vertAlign w:val="superscript"/>
          <w:lang w:val="en-US"/>
        </w:rPr>
        <w:t>[1]</w:t>
      </w:r>
      <w:r w:rsidR="00DF1C98" w:rsidRPr="00786942">
        <w:rPr>
          <w:rFonts w:ascii="Book Antiqua" w:hAnsi="Book Antiqua"/>
          <w:lang w:val="en-US"/>
        </w:rPr>
        <w:t>. Etiologic factors are most frequently represented by chronic viral</w:t>
      </w:r>
      <w:r>
        <w:rPr>
          <w:rFonts w:ascii="Book Antiqua" w:hAnsi="Book Antiqua"/>
          <w:lang w:val="en-US"/>
        </w:rPr>
        <w:t xml:space="preserve"> hepatitis [hepatitis B virus (HBV)</w:t>
      </w:r>
      <w:r w:rsidR="00DF1C98" w:rsidRPr="00786942">
        <w:rPr>
          <w:rFonts w:ascii="Book Antiqua" w:hAnsi="Book Antiqua"/>
          <w:lang w:val="en-US"/>
        </w:rPr>
        <w:t xml:space="preserve"> and hepati</w:t>
      </w:r>
      <w:r>
        <w:rPr>
          <w:rFonts w:ascii="Book Antiqua" w:hAnsi="Book Antiqua"/>
          <w:lang w:val="en-US"/>
        </w:rPr>
        <w:t>tis C virus (HCV)]</w:t>
      </w:r>
      <w:r w:rsidR="00DF1C98" w:rsidRPr="00786942">
        <w:rPr>
          <w:rFonts w:ascii="Book Antiqua" w:hAnsi="Book Antiqua"/>
          <w:lang w:val="en-US"/>
        </w:rPr>
        <w:t xml:space="preserve">, alcohol intake, </w:t>
      </w:r>
      <w:r w:rsidR="003F0B41" w:rsidRPr="00786942">
        <w:rPr>
          <w:rFonts w:ascii="Book Antiqua" w:hAnsi="Book Antiqua"/>
          <w:lang w:val="en-US"/>
        </w:rPr>
        <w:t xml:space="preserve">and </w:t>
      </w:r>
      <w:bookmarkStart w:id="54" w:name="OLE_LINK663"/>
      <w:bookmarkStart w:id="55" w:name="OLE_LINK664"/>
      <w:r w:rsidR="00DF1C98" w:rsidRPr="00786942">
        <w:rPr>
          <w:rFonts w:ascii="Book Antiqua" w:hAnsi="Book Antiqua"/>
          <w:lang w:val="en-US"/>
        </w:rPr>
        <w:t>non-alcoholic steatohepatitis</w:t>
      </w:r>
      <w:bookmarkEnd w:id="54"/>
      <w:bookmarkEnd w:id="55"/>
      <w:r w:rsidR="00DF1C98" w:rsidRPr="00786942">
        <w:rPr>
          <w:rFonts w:ascii="Book Antiqua" w:hAnsi="Book Antiqua"/>
          <w:lang w:val="en-US"/>
        </w:rPr>
        <w:t xml:space="preserve"> (NASH), which al</w:t>
      </w:r>
      <w:r w:rsidR="003F0B41" w:rsidRPr="00786942">
        <w:rPr>
          <w:rFonts w:ascii="Book Antiqua" w:hAnsi="Book Antiqua"/>
          <w:lang w:val="en-US"/>
        </w:rPr>
        <w:t xml:space="preserve">l </w:t>
      </w:r>
      <w:r w:rsidR="00DF1C98" w:rsidRPr="00786942">
        <w:rPr>
          <w:rFonts w:ascii="Book Antiqua" w:hAnsi="Book Antiqua"/>
          <w:lang w:val="en-US"/>
        </w:rPr>
        <w:t>together are r</w:t>
      </w:r>
      <w:r>
        <w:rPr>
          <w:rFonts w:ascii="Book Antiqua" w:hAnsi="Book Antiqua"/>
          <w:lang w:val="en-US"/>
        </w:rPr>
        <w:t>esponsible for about 80% of HCC</w:t>
      </w:r>
      <w:r w:rsidR="00DF1C98" w:rsidRPr="0099677A">
        <w:rPr>
          <w:rFonts w:ascii="Book Antiqua" w:hAnsi="Book Antiqua"/>
          <w:vertAlign w:val="superscript"/>
          <w:lang w:val="en-US"/>
        </w:rPr>
        <w:t>[3]</w:t>
      </w:r>
      <w:r w:rsidR="00DF1C98" w:rsidRPr="00786942">
        <w:rPr>
          <w:rFonts w:ascii="Book Antiqua" w:hAnsi="Book Antiqua"/>
          <w:lang w:val="en-US"/>
        </w:rPr>
        <w:t>.</w:t>
      </w:r>
    </w:p>
    <w:p w:rsidR="00DF1C98" w:rsidRPr="00786942" w:rsidRDefault="0099677A" w:rsidP="00786942">
      <w:pPr>
        <w:widowControl w:val="0"/>
        <w:adjustRightInd w:val="0"/>
        <w:snapToGrid w:val="0"/>
        <w:spacing w:line="360" w:lineRule="auto"/>
        <w:ind w:right="0"/>
        <w:rPr>
          <w:rFonts w:ascii="Book Antiqua" w:hAnsi="Book Antiqua"/>
          <w:lang w:val="en-US"/>
        </w:rPr>
      </w:pPr>
      <w:r>
        <w:rPr>
          <w:rFonts w:ascii="Book Antiqua" w:hAnsi="Book Antiqua"/>
          <w:lang w:val="en-US"/>
        </w:rPr>
        <w:t xml:space="preserve">  </w:t>
      </w:r>
      <w:r w:rsidR="00DF1C98" w:rsidRPr="00786942">
        <w:rPr>
          <w:rFonts w:ascii="Book Antiqua" w:hAnsi="Book Antiqua"/>
          <w:lang w:val="en-US"/>
        </w:rPr>
        <w:t>One of the major cancer hallmarks of HCC is the process of neoangiogenesis, which is thought to occur early in the carcinogenetic process. Even if the pathogenetic mechanisms responsible for the neoangiogenesis remain to be clarified, it is plausible that the intervention of proangiogenic growth factors occurs as a result of signals mediated by hypoxia-inducible transcri</w:t>
      </w:r>
      <w:r>
        <w:rPr>
          <w:rFonts w:ascii="Book Antiqua" w:hAnsi="Book Antiqua"/>
          <w:lang w:val="en-US"/>
        </w:rPr>
        <w:t>ption factors</w:t>
      </w:r>
      <w:r w:rsidR="00DF1C98" w:rsidRPr="0099677A">
        <w:rPr>
          <w:rFonts w:ascii="Book Antiqua" w:hAnsi="Book Antiqua"/>
          <w:vertAlign w:val="superscript"/>
          <w:lang w:val="en-US"/>
        </w:rPr>
        <w:t>[4]</w:t>
      </w:r>
      <w:r w:rsidR="00DF1C98" w:rsidRPr="00786942">
        <w:rPr>
          <w:rFonts w:ascii="Book Antiqua" w:hAnsi="Book Antiqua"/>
          <w:lang w:val="en-US"/>
        </w:rPr>
        <w:t>.</w:t>
      </w:r>
    </w:p>
    <w:p w:rsidR="00DF1C98" w:rsidRPr="00786942" w:rsidRDefault="0099677A" w:rsidP="00786942">
      <w:pPr>
        <w:widowControl w:val="0"/>
        <w:adjustRightInd w:val="0"/>
        <w:snapToGrid w:val="0"/>
        <w:spacing w:line="360" w:lineRule="auto"/>
        <w:ind w:right="0"/>
        <w:rPr>
          <w:rFonts w:ascii="Book Antiqua" w:hAnsi="Book Antiqua"/>
          <w:lang w:val="en-US"/>
        </w:rPr>
      </w:pPr>
      <w:r>
        <w:rPr>
          <w:rFonts w:ascii="Book Antiqua" w:hAnsi="Book Antiqua"/>
          <w:lang w:val="en-US"/>
        </w:rPr>
        <w:t xml:space="preserve">  </w:t>
      </w:r>
      <w:r w:rsidR="00DF1C98" w:rsidRPr="00786942">
        <w:rPr>
          <w:rFonts w:ascii="Book Antiqua" w:hAnsi="Book Antiqua"/>
          <w:lang w:val="en-US"/>
        </w:rPr>
        <w:t>As a result of the involvement of angiogenesis, clinical studies have been focused on anti-angiogenic biologic</w:t>
      </w:r>
      <w:r w:rsidR="003F0B41" w:rsidRPr="00786942">
        <w:rPr>
          <w:rFonts w:ascii="Book Antiqua" w:hAnsi="Book Antiqua"/>
          <w:lang w:val="en-US"/>
        </w:rPr>
        <w:t>al</w:t>
      </w:r>
      <w:r>
        <w:rPr>
          <w:rFonts w:ascii="Book Antiqua" w:hAnsi="Book Antiqua"/>
          <w:lang w:val="en-US"/>
        </w:rPr>
        <w:t xml:space="preserve"> agents in HCC treatment</w:t>
      </w:r>
      <w:r w:rsidR="00DF1C98" w:rsidRPr="0099677A">
        <w:rPr>
          <w:rFonts w:ascii="Book Antiqua" w:hAnsi="Book Antiqua"/>
          <w:vertAlign w:val="superscript"/>
          <w:lang w:val="en-US"/>
        </w:rPr>
        <w:t>[5-7]</w:t>
      </w:r>
      <w:r w:rsidR="00DF1C98" w:rsidRPr="00786942">
        <w:rPr>
          <w:rFonts w:ascii="Book Antiqua" w:hAnsi="Book Antiqua"/>
          <w:lang w:val="en-US"/>
        </w:rPr>
        <w:t>. However, this therapeutic approach to cirrhotic patients has been frequently associated with severe side effects, and it is burdened by high costs and contraindications to</w:t>
      </w:r>
      <w:r>
        <w:rPr>
          <w:rFonts w:ascii="Book Antiqua" w:hAnsi="Book Antiqua"/>
          <w:lang w:val="en-US"/>
        </w:rPr>
        <w:t xml:space="preserve"> their long-term administration</w:t>
      </w:r>
      <w:r w:rsidR="00DF1C98" w:rsidRPr="0099677A">
        <w:rPr>
          <w:rFonts w:ascii="Book Antiqua" w:hAnsi="Book Antiqua"/>
          <w:vertAlign w:val="superscript"/>
          <w:lang w:val="en-US"/>
        </w:rPr>
        <w:t>[8]</w:t>
      </w:r>
      <w:r w:rsidR="00DF1C98" w:rsidRPr="00786942">
        <w:rPr>
          <w:rFonts w:ascii="Book Antiqua" w:hAnsi="Book Antiqua"/>
          <w:lang w:val="en-US"/>
        </w:rPr>
        <w:t>. Inexpensive and easily manageable drugs could represent an alternative therapy with a proven safety profile on long-term administration. From this point of view, angiotensin-converting enzyme inhibitors (ACE-Is) and angiotensin II type 1 receptor blockers (ARBs) seem to be a possible candidate for adjuvant therapies for HCC, as a consequence of their well-known anti-angiogenic and anti-fibrogen</w:t>
      </w:r>
      <w:r>
        <w:rPr>
          <w:rFonts w:ascii="Book Antiqua" w:hAnsi="Book Antiqua"/>
          <w:lang w:val="en-US"/>
        </w:rPr>
        <w:t>ic activity</w:t>
      </w:r>
      <w:r w:rsidR="00DF1C98" w:rsidRPr="0099677A">
        <w:rPr>
          <w:rFonts w:ascii="Book Antiqua" w:hAnsi="Book Antiqua"/>
          <w:vertAlign w:val="superscript"/>
          <w:lang w:val="en-US"/>
        </w:rPr>
        <w:t>[9-11]</w:t>
      </w:r>
      <w:r w:rsidR="00DF1C98" w:rsidRPr="00786942">
        <w:rPr>
          <w:rFonts w:ascii="Book Antiqua" w:hAnsi="Book Antiqua"/>
          <w:lang w:val="en-US"/>
        </w:rPr>
        <w:t>. Theoretically, ACE-I and ARBs could also have a role in HCC primary prevention since they reduce both neovascularization and th</w:t>
      </w:r>
      <w:r>
        <w:rPr>
          <w:rFonts w:ascii="Book Antiqua" w:hAnsi="Book Antiqua"/>
          <w:lang w:val="en-US"/>
        </w:rPr>
        <w:t>e development of liver fibrosis</w:t>
      </w:r>
      <w:r w:rsidR="00DF1C98" w:rsidRPr="0099677A">
        <w:rPr>
          <w:rFonts w:ascii="Book Antiqua" w:hAnsi="Book Antiqua"/>
          <w:vertAlign w:val="superscript"/>
          <w:lang w:val="en-US"/>
        </w:rPr>
        <w:t>[10]</w:t>
      </w:r>
      <w:r w:rsidR="00DF1C98" w:rsidRPr="00786942">
        <w:rPr>
          <w:rFonts w:ascii="Book Antiqua" w:hAnsi="Book Antiqua"/>
          <w:lang w:val="en-US"/>
        </w:rPr>
        <w:t>.</w:t>
      </w:r>
    </w:p>
    <w:p w:rsidR="003902C2" w:rsidRDefault="00DF1C98" w:rsidP="0099677A">
      <w:pPr>
        <w:widowControl w:val="0"/>
        <w:adjustRightInd w:val="0"/>
        <w:snapToGrid w:val="0"/>
        <w:spacing w:line="360" w:lineRule="auto"/>
        <w:ind w:right="0" w:firstLine="120"/>
        <w:rPr>
          <w:rFonts w:ascii="Book Antiqua" w:hAnsi="Book Antiqua"/>
          <w:lang w:val="en-US"/>
        </w:rPr>
      </w:pPr>
      <w:r w:rsidRPr="00786942">
        <w:rPr>
          <w:rFonts w:ascii="Book Antiqua" w:hAnsi="Book Antiqua"/>
          <w:lang w:val="en-US"/>
        </w:rPr>
        <w:t xml:space="preserve">We decided to perform this study </w:t>
      </w:r>
      <w:r w:rsidR="003F0B41" w:rsidRPr="00786942">
        <w:rPr>
          <w:rFonts w:ascii="Book Antiqua" w:hAnsi="Book Antiqua"/>
          <w:lang w:val="en-US"/>
        </w:rPr>
        <w:t xml:space="preserve">as </w:t>
      </w:r>
      <w:r w:rsidRPr="00786942">
        <w:rPr>
          <w:rFonts w:ascii="Book Antiqua" w:hAnsi="Book Antiqua"/>
          <w:lang w:val="en-US"/>
        </w:rPr>
        <w:t xml:space="preserve">the possible role of </w:t>
      </w:r>
      <w:r w:rsidR="0099677A" w:rsidRPr="00786942">
        <w:rPr>
          <w:rFonts w:ascii="Book Antiqua" w:hAnsi="Book Antiqua"/>
          <w:lang w:val="en-US"/>
        </w:rPr>
        <w:t xml:space="preserve">renin-angiotensin system </w:t>
      </w:r>
      <w:r w:rsidRPr="00786942">
        <w:rPr>
          <w:rFonts w:ascii="Book Antiqua" w:hAnsi="Book Antiqua"/>
          <w:lang w:val="en-US"/>
        </w:rPr>
        <w:t xml:space="preserve">(RAS) inhibitors in the prevention of </w:t>
      </w:r>
      <w:r w:rsidR="00330DC5">
        <w:rPr>
          <w:rFonts w:ascii="Book Antiqua" w:hAnsi="Book Antiqua"/>
          <w:lang w:val="en-US"/>
        </w:rPr>
        <w:t>HCC</w:t>
      </w:r>
      <w:r w:rsidRPr="00786942">
        <w:rPr>
          <w:rFonts w:ascii="Book Antiqua" w:hAnsi="Book Antiqua"/>
          <w:lang w:val="en-US"/>
        </w:rPr>
        <w:t xml:space="preserve"> is still an attractive field of research, as suggested by the recently published experimental and clinical studies. In order to better clarify this issue, in th</w:t>
      </w:r>
      <w:r w:rsidR="003F0B41" w:rsidRPr="00786942">
        <w:rPr>
          <w:rFonts w:ascii="Book Antiqua" w:hAnsi="Book Antiqua"/>
          <w:lang w:val="en-US"/>
        </w:rPr>
        <w:t>is</w:t>
      </w:r>
      <w:r w:rsidR="00400DED" w:rsidRPr="00786942">
        <w:rPr>
          <w:rFonts w:ascii="Book Antiqua" w:hAnsi="Book Antiqua"/>
          <w:lang w:val="en-US"/>
        </w:rPr>
        <w:t xml:space="preserve"> </w:t>
      </w:r>
      <w:r w:rsidRPr="00786942">
        <w:rPr>
          <w:rFonts w:ascii="Book Antiqua" w:hAnsi="Book Antiqua"/>
          <w:lang w:val="en-US"/>
        </w:rPr>
        <w:t>systematic review, we performed a search of studies in this field. Using this method</w:t>
      </w:r>
      <w:r w:rsidR="003F0B41" w:rsidRPr="00786942">
        <w:rPr>
          <w:rFonts w:ascii="Book Antiqua" w:hAnsi="Book Antiqua"/>
          <w:lang w:val="en-US"/>
        </w:rPr>
        <w:t>,</w:t>
      </w:r>
      <w:r w:rsidRPr="00786942">
        <w:rPr>
          <w:rFonts w:ascii="Book Antiqua" w:hAnsi="Book Antiqua"/>
          <w:lang w:val="en-US"/>
        </w:rPr>
        <w:t xml:space="preserve"> we selected 31 studies, mainly focused on experimental data.</w:t>
      </w:r>
    </w:p>
    <w:p w:rsidR="0099677A" w:rsidRPr="00786942" w:rsidRDefault="0099677A" w:rsidP="0099677A">
      <w:pPr>
        <w:widowControl w:val="0"/>
        <w:adjustRightInd w:val="0"/>
        <w:snapToGrid w:val="0"/>
        <w:spacing w:line="360" w:lineRule="auto"/>
        <w:ind w:right="0" w:firstLine="120"/>
        <w:rPr>
          <w:rFonts w:ascii="Book Antiqua" w:hAnsi="Book Antiqua"/>
          <w:lang w:val="en-US"/>
        </w:rPr>
      </w:pPr>
    </w:p>
    <w:p w:rsidR="00544861" w:rsidRPr="00786942" w:rsidRDefault="0099677A" w:rsidP="00330DC5">
      <w:pPr>
        <w:widowControl w:val="0"/>
        <w:adjustRightInd w:val="0"/>
        <w:snapToGrid w:val="0"/>
        <w:spacing w:line="360" w:lineRule="auto"/>
        <w:ind w:right="0"/>
        <w:outlineLvl w:val="0"/>
        <w:rPr>
          <w:rFonts w:ascii="Book Antiqua" w:hAnsi="Book Antiqua"/>
          <w:b/>
          <w:lang w:val="en-US"/>
        </w:rPr>
      </w:pPr>
      <w:r w:rsidRPr="008C37FD">
        <w:rPr>
          <w:rFonts w:ascii="Book Antiqua" w:hAnsi="Book Antiqua"/>
          <w:b/>
          <w:caps/>
        </w:rPr>
        <w:t>Materials and Methods</w:t>
      </w:r>
    </w:p>
    <w:p w:rsidR="00544861" w:rsidRPr="0099677A" w:rsidRDefault="00544861" w:rsidP="00330DC5">
      <w:pPr>
        <w:adjustRightInd w:val="0"/>
        <w:snapToGrid w:val="0"/>
        <w:spacing w:line="360" w:lineRule="auto"/>
        <w:ind w:right="0"/>
        <w:outlineLvl w:val="0"/>
        <w:rPr>
          <w:rFonts w:ascii="Book Antiqua" w:hAnsi="Book Antiqua"/>
          <w:i/>
          <w:lang w:val="en-US"/>
        </w:rPr>
      </w:pPr>
      <w:r w:rsidRPr="0099677A">
        <w:rPr>
          <w:rFonts w:ascii="Book Antiqua" w:hAnsi="Book Antiqua"/>
          <w:b/>
          <w:i/>
          <w:lang w:val="en-US"/>
        </w:rPr>
        <w:t>Data sources and searches</w:t>
      </w:r>
    </w:p>
    <w:p w:rsidR="00605FAE" w:rsidRDefault="00605FAE" w:rsidP="00786942">
      <w:pPr>
        <w:adjustRightInd w:val="0"/>
        <w:snapToGrid w:val="0"/>
        <w:spacing w:line="360" w:lineRule="auto"/>
        <w:ind w:right="0"/>
        <w:rPr>
          <w:rFonts w:ascii="Book Antiqua" w:hAnsi="Book Antiqua"/>
          <w:lang w:val="en-US"/>
        </w:rPr>
      </w:pPr>
      <w:r w:rsidRPr="00786942">
        <w:rPr>
          <w:rFonts w:ascii="Book Antiqua" w:hAnsi="Book Antiqua"/>
          <w:lang w:val="en-US"/>
        </w:rPr>
        <w:t xml:space="preserve">Literature </w:t>
      </w:r>
      <w:r w:rsidR="003F0B41" w:rsidRPr="00786942">
        <w:rPr>
          <w:rFonts w:ascii="Book Antiqua" w:hAnsi="Book Antiqua"/>
          <w:lang w:val="en-US"/>
        </w:rPr>
        <w:t>was selected</w:t>
      </w:r>
      <w:r w:rsidRPr="00786942">
        <w:rPr>
          <w:rFonts w:ascii="Book Antiqua" w:hAnsi="Book Antiqua"/>
          <w:lang w:val="en-US"/>
        </w:rPr>
        <w:t xml:space="preserve"> in August 2018, focusing on studies regarding </w:t>
      </w:r>
      <w:r w:rsidR="0099677A">
        <w:rPr>
          <w:rFonts w:ascii="Book Antiqua" w:hAnsi="Book Antiqua"/>
          <w:lang w:val="en-US"/>
        </w:rPr>
        <w:t>ACE-Is</w:t>
      </w:r>
      <w:r w:rsidRPr="00786942">
        <w:rPr>
          <w:rFonts w:ascii="Book Antiqua" w:hAnsi="Book Antiqua"/>
          <w:lang w:val="en-US"/>
        </w:rPr>
        <w:t xml:space="preserve">, </w:t>
      </w:r>
      <w:r w:rsidR="0099677A">
        <w:rPr>
          <w:rFonts w:ascii="Book Antiqua" w:hAnsi="Book Antiqua"/>
          <w:lang w:val="en-US"/>
        </w:rPr>
        <w:t>ARBs</w:t>
      </w:r>
      <w:r w:rsidRPr="00786942">
        <w:rPr>
          <w:rFonts w:ascii="Book Antiqua" w:hAnsi="Book Antiqua"/>
          <w:lang w:val="en-US"/>
        </w:rPr>
        <w:t xml:space="preserve"> and </w:t>
      </w:r>
      <w:r w:rsidR="00330DC5">
        <w:rPr>
          <w:rFonts w:ascii="Book Antiqua" w:hAnsi="Book Antiqua"/>
          <w:lang w:val="en-US"/>
        </w:rPr>
        <w:t>HCC</w:t>
      </w:r>
      <w:r w:rsidR="003F0B41" w:rsidRPr="00786942">
        <w:rPr>
          <w:rFonts w:ascii="Book Antiqua" w:hAnsi="Book Antiqua"/>
          <w:lang w:val="en-US"/>
        </w:rPr>
        <w:t>s</w:t>
      </w:r>
      <w:r w:rsidRPr="00786942">
        <w:rPr>
          <w:rFonts w:ascii="Book Antiqua" w:hAnsi="Book Antiqua"/>
          <w:lang w:val="en-US"/>
        </w:rPr>
        <w:t>. For this purpose, an electronic search of the literature was conducted using the online databases PubMed, Cochrane library, Scopus and Web of Science, entering the query terms "angiotensin-converting enzyme inhibitors" OR "ACE inhibitors" OR "ACE-I" AND "hepatocarcinoma*" OR "hepatocellular carcinoma; moreover "angiotensin II type 1 receptor blockers" OR "ARBs" AND "hepatocarcinoma*" OR "hepatocellular carcinoma" were used. Further relevant articles were hand-searched using the refer</w:t>
      </w:r>
      <w:r w:rsidR="0099677A">
        <w:rPr>
          <w:rFonts w:ascii="Book Antiqua" w:hAnsi="Book Antiqua"/>
          <w:lang w:val="en-US"/>
        </w:rPr>
        <w:t xml:space="preserve">ences of the selected studies. </w:t>
      </w:r>
    </w:p>
    <w:p w:rsidR="0099677A" w:rsidRPr="0099677A" w:rsidRDefault="0099677A" w:rsidP="00786942">
      <w:pPr>
        <w:adjustRightInd w:val="0"/>
        <w:snapToGrid w:val="0"/>
        <w:spacing w:line="360" w:lineRule="auto"/>
        <w:ind w:right="0"/>
        <w:rPr>
          <w:rFonts w:ascii="Book Antiqua" w:hAnsi="Book Antiqua"/>
          <w:i/>
          <w:lang w:val="en-US"/>
        </w:rPr>
      </w:pPr>
    </w:p>
    <w:p w:rsidR="00605FAE" w:rsidRPr="0099677A" w:rsidRDefault="00605FAE" w:rsidP="00330DC5">
      <w:pPr>
        <w:adjustRightInd w:val="0"/>
        <w:snapToGrid w:val="0"/>
        <w:spacing w:line="360" w:lineRule="auto"/>
        <w:ind w:right="0"/>
        <w:outlineLvl w:val="0"/>
        <w:rPr>
          <w:rFonts w:ascii="Book Antiqua" w:hAnsi="Book Antiqua"/>
          <w:b/>
          <w:i/>
          <w:lang w:val="en-US"/>
        </w:rPr>
      </w:pPr>
      <w:r w:rsidRPr="0099677A">
        <w:rPr>
          <w:rFonts w:ascii="Book Antiqua" w:hAnsi="Book Antiqua"/>
          <w:b/>
          <w:i/>
          <w:lang w:val="en-US"/>
        </w:rPr>
        <w:t>Study selection</w:t>
      </w:r>
    </w:p>
    <w:p w:rsidR="00605FAE" w:rsidRDefault="00605FAE" w:rsidP="00786942">
      <w:pPr>
        <w:adjustRightInd w:val="0"/>
        <w:snapToGrid w:val="0"/>
        <w:spacing w:line="360" w:lineRule="auto"/>
        <w:ind w:right="0"/>
        <w:rPr>
          <w:rFonts w:ascii="Book Antiqua" w:hAnsi="Book Antiqua"/>
          <w:lang w:val="en-US"/>
        </w:rPr>
      </w:pPr>
      <w:r w:rsidRPr="00786942">
        <w:rPr>
          <w:rFonts w:ascii="Book Antiqua" w:hAnsi="Book Antiqua"/>
          <w:lang w:val="en-US"/>
        </w:rPr>
        <w:t xml:space="preserve">Eligibility criteria were: </w:t>
      </w:r>
      <w:r w:rsidR="0099677A">
        <w:rPr>
          <w:rFonts w:ascii="Book Antiqua" w:hAnsi="Book Antiqua"/>
          <w:lang w:val="en-US"/>
        </w:rPr>
        <w:t>(</w:t>
      </w:r>
      <w:r w:rsidRPr="00786942">
        <w:rPr>
          <w:rFonts w:ascii="Book Antiqua" w:hAnsi="Book Antiqua"/>
          <w:lang w:val="en-US"/>
        </w:rPr>
        <w:t xml:space="preserve">1) prospective or retrospective clinical studies; </w:t>
      </w:r>
      <w:r w:rsidR="0099677A">
        <w:rPr>
          <w:rFonts w:ascii="Book Antiqua" w:hAnsi="Book Antiqua"/>
          <w:lang w:val="en-US"/>
        </w:rPr>
        <w:t>(</w:t>
      </w:r>
      <w:r w:rsidRPr="00786942">
        <w:rPr>
          <w:rFonts w:ascii="Book Antiqua" w:hAnsi="Book Antiqua"/>
          <w:lang w:val="en-US"/>
        </w:rPr>
        <w:t xml:space="preserve">2) epidemiological studies; </w:t>
      </w:r>
      <w:r w:rsidR="0099677A">
        <w:rPr>
          <w:rFonts w:ascii="Book Antiqua" w:hAnsi="Book Antiqua"/>
          <w:lang w:val="en-US"/>
        </w:rPr>
        <w:t>and (</w:t>
      </w:r>
      <w:r w:rsidRPr="00786942">
        <w:rPr>
          <w:rFonts w:ascii="Book Antiqua" w:hAnsi="Book Antiqua"/>
          <w:lang w:val="en-US"/>
        </w:rPr>
        <w:t xml:space="preserve">3) experimental studies conducted </w:t>
      </w:r>
      <w:r w:rsidRPr="0099677A">
        <w:rPr>
          <w:rFonts w:ascii="Book Antiqua" w:hAnsi="Book Antiqua"/>
          <w:i/>
          <w:lang w:val="en-US"/>
        </w:rPr>
        <w:t>in vivo</w:t>
      </w:r>
      <w:r w:rsidRPr="00786942">
        <w:rPr>
          <w:rFonts w:ascii="Book Antiqua" w:hAnsi="Book Antiqua"/>
          <w:lang w:val="en-US"/>
        </w:rPr>
        <w:t xml:space="preserve"> or </w:t>
      </w:r>
      <w:r w:rsidRPr="0099677A">
        <w:rPr>
          <w:rFonts w:ascii="Book Antiqua" w:hAnsi="Book Antiqua"/>
          <w:i/>
          <w:lang w:val="en-US"/>
        </w:rPr>
        <w:t>in vitro</w:t>
      </w:r>
      <w:r w:rsidRPr="00786942">
        <w:rPr>
          <w:rFonts w:ascii="Book Antiqua" w:hAnsi="Book Antiqua"/>
          <w:lang w:val="en-US"/>
        </w:rPr>
        <w:t>. Abstracts, conference papers, and reviews were excluded a priori. We limited our literature search to articles published in Engl</w:t>
      </w:r>
      <w:r w:rsidR="0099677A">
        <w:rPr>
          <w:rFonts w:ascii="Book Antiqua" w:hAnsi="Book Antiqua"/>
          <w:lang w:val="en-US"/>
        </w:rPr>
        <w:t>ish, in peer-reviewed journals.</w:t>
      </w:r>
    </w:p>
    <w:p w:rsidR="0099677A" w:rsidRPr="00786942" w:rsidRDefault="0099677A" w:rsidP="00786942">
      <w:pPr>
        <w:adjustRightInd w:val="0"/>
        <w:snapToGrid w:val="0"/>
        <w:spacing w:line="360" w:lineRule="auto"/>
        <w:ind w:right="0"/>
        <w:rPr>
          <w:rFonts w:ascii="Book Antiqua" w:hAnsi="Book Antiqua"/>
          <w:lang w:val="en-US"/>
        </w:rPr>
      </w:pPr>
    </w:p>
    <w:p w:rsidR="00605FAE" w:rsidRPr="0099677A" w:rsidRDefault="00605FAE" w:rsidP="00330DC5">
      <w:pPr>
        <w:adjustRightInd w:val="0"/>
        <w:snapToGrid w:val="0"/>
        <w:spacing w:line="360" w:lineRule="auto"/>
        <w:ind w:right="0"/>
        <w:outlineLvl w:val="0"/>
        <w:rPr>
          <w:rFonts w:ascii="Book Antiqua" w:hAnsi="Book Antiqua"/>
          <w:b/>
          <w:i/>
          <w:lang w:val="en-US"/>
        </w:rPr>
      </w:pPr>
      <w:r w:rsidRPr="0099677A">
        <w:rPr>
          <w:rFonts w:ascii="Book Antiqua" w:hAnsi="Book Antiqua"/>
          <w:b/>
          <w:i/>
          <w:lang w:val="en-US"/>
        </w:rPr>
        <w:t>Data extraction and quality assessment</w:t>
      </w:r>
    </w:p>
    <w:p w:rsidR="00605FAE" w:rsidRPr="00786942" w:rsidRDefault="00605FAE" w:rsidP="00786942">
      <w:pPr>
        <w:adjustRightInd w:val="0"/>
        <w:snapToGrid w:val="0"/>
        <w:spacing w:line="360" w:lineRule="auto"/>
        <w:ind w:right="0"/>
        <w:rPr>
          <w:rFonts w:ascii="Book Antiqua" w:hAnsi="Book Antiqua"/>
          <w:lang w:val="en-US"/>
        </w:rPr>
      </w:pPr>
      <w:r w:rsidRPr="00786942">
        <w:rPr>
          <w:rFonts w:ascii="Book Antiqua" w:hAnsi="Book Antiqua"/>
          <w:lang w:val="en-US"/>
        </w:rPr>
        <w:t xml:space="preserve">We conducted the articles selection </w:t>
      </w:r>
      <w:r w:rsidR="003F0B41" w:rsidRPr="00786942">
        <w:rPr>
          <w:rFonts w:ascii="Book Antiqua" w:hAnsi="Book Antiqua"/>
          <w:lang w:val="en-US"/>
        </w:rPr>
        <w:t xml:space="preserve">using </w:t>
      </w:r>
      <w:r w:rsidRPr="00786942">
        <w:rPr>
          <w:rFonts w:ascii="Book Antiqua" w:hAnsi="Book Antiqua"/>
          <w:lang w:val="en-US"/>
        </w:rPr>
        <w:t>a two-step approach, to evaluate whether they matched the eligibility criteria. The first phase was based on titles and abstracts, and the second on full-text examination. This procedure was performed by two of the authors (</w:t>
      </w:r>
      <w:r w:rsidR="0099677A" w:rsidRPr="000A1732">
        <w:rPr>
          <w:rFonts w:ascii="Book Antiqua" w:hAnsi="Book Antiqua"/>
          <w:bCs/>
          <w:iCs/>
          <w:lang w:val="en-US"/>
        </w:rPr>
        <w:t>Viggiani MT</w:t>
      </w:r>
      <w:r w:rsidR="0099677A">
        <w:rPr>
          <w:rFonts w:ascii="Book Antiqua" w:hAnsi="Book Antiqua"/>
          <w:bCs/>
          <w:iCs/>
          <w:lang w:val="en-US"/>
        </w:rPr>
        <w:t xml:space="preserve"> and </w:t>
      </w:r>
      <w:r w:rsidR="0099677A" w:rsidRPr="000A1732">
        <w:rPr>
          <w:rFonts w:ascii="Book Antiqua" w:hAnsi="Book Antiqua"/>
          <w:bCs/>
          <w:iCs/>
          <w:lang w:val="en-US"/>
        </w:rPr>
        <w:t>Principi M</w:t>
      </w:r>
      <w:r w:rsidRPr="00786942">
        <w:rPr>
          <w:rFonts w:ascii="Book Antiqua" w:hAnsi="Book Antiqua"/>
          <w:lang w:val="en-US"/>
        </w:rPr>
        <w:t xml:space="preserve">), and the percentage of agreement demonstrated high inter-rater reliability (97.4%). </w:t>
      </w:r>
      <w:r w:rsidR="006F6AD4" w:rsidRPr="00786942">
        <w:rPr>
          <w:rFonts w:ascii="Book Antiqua" w:hAnsi="Book Antiqua"/>
          <w:lang w:val="en-US"/>
        </w:rPr>
        <w:t>Lastly</w:t>
      </w:r>
      <w:r w:rsidRPr="00786942">
        <w:rPr>
          <w:rFonts w:ascii="Book Antiqua" w:hAnsi="Book Antiqua"/>
          <w:lang w:val="en-US"/>
        </w:rPr>
        <w:t>, discrepancies in data extraction were resolved by introducing a third, experienced arbitrator (</w:t>
      </w:r>
      <w:r w:rsidR="0099677A" w:rsidRPr="000A1732">
        <w:rPr>
          <w:rFonts w:ascii="Book Antiqua" w:hAnsi="Book Antiqua"/>
          <w:bCs/>
          <w:iCs/>
          <w:lang w:val="en-US"/>
        </w:rPr>
        <w:t>Losurdo G</w:t>
      </w:r>
      <w:r w:rsidRPr="00786942">
        <w:rPr>
          <w:rFonts w:ascii="Book Antiqua" w:hAnsi="Book Antiqua"/>
          <w:lang w:val="en-US"/>
        </w:rPr>
        <w:t>).</w:t>
      </w:r>
    </w:p>
    <w:p w:rsidR="00841D6C" w:rsidRPr="00786942" w:rsidRDefault="0099677A" w:rsidP="00786942">
      <w:pPr>
        <w:adjustRightInd w:val="0"/>
        <w:snapToGrid w:val="0"/>
        <w:spacing w:line="360" w:lineRule="auto"/>
        <w:ind w:right="0"/>
        <w:rPr>
          <w:rFonts w:ascii="Book Antiqua" w:hAnsi="Book Antiqua"/>
          <w:b/>
          <w:lang w:val="en-US"/>
        </w:rPr>
      </w:pPr>
      <w:r>
        <w:rPr>
          <w:rFonts w:ascii="Book Antiqua" w:hAnsi="Book Antiqua"/>
          <w:lang w:val="en-US"/>
        </w:rPr>
        <w:t xml:space="preserve">  </w:t>
      </w:r>
      <w:r w:rsidR="00605FAE" w:rsidRPr="00786942">
        <w:rPr>
          <w:rFonts w:ascii="Book Antiqua" w:hAnsi="Book Antiqua"/>
          <w:lang w:val="en-US"/>
        </w:rPr>
        <w:t>In cases of studies analyzing overlapping periods from the same registry/database, we considered only the study that examined the more extended period and the more significant number of patients.</w:t>
      </w:r>
    </w:p>
    <w:p w:rsidR="0099677A" w:rsidRDefault="0099677A" w:rsidP="00330DC5">
      <w:pPr>
        <w:adjustRightInd w:val="0"/>
        <w:snapToGrid w:val="0"/>
        <w:spacing w:line="360" w:lineRule="auto"/>
        <w:ind w:right="0"/>
        <w:outlineLvl w:val="0"/>
        <w:rPr>
          <w:rFonts w:ascii="Book Antiqua" w:hAnsi="Book Antiqua"/>
          <w:b/>
          <w:lang w:val="en-US"/>
        </w:rPr>
      </w:pPr>
    </w:p>
    <w:p w:rsidR="00544861" w:rsidRPr="00786942" w:rsidRDefault="00544861" w:rsidP="00330DC5">
      <w:pPr>
        <w:adjustRightInd w:val="0"/>
        <w:snapToGrid w:val="0"/>
        <w:spacing w:line="360" w:lineRule="auto"/>
        <w:ind w:right="0"/>
        <w:outlineLvl w:val="0"/>
        <w:rPr>
          <w:rFonts w:ascii="Book Antiqua" w:hAnsi="Book Antiqua"/>
          <w:lang w:val="en-US"/>
        </w:rPr>
      </w:pPr>
      <w:r w:rsidRPr="00786942">
        <w:rPr>
          <w:rFonts w:ascii="Book Antiqua" w:hAnsi="Book Antiqua"/>
          <w:b/>
          <w:lang w:val="en-US"/>
        </w:rPr>
        <w:t>RESULTS</w:t>
      </w:r>
    </w:p>
    <w:p w:rsidR="004E7F25" w:rsidRDefault="0099677A" w:rsidP="00786942">
      <w:pPr>
        <w:adjustRightInd w:val="0"/>
        <w:snapToGrid w:val="0"/>
        <w:spacing w:line="360" w:lineRule="auto"/>
        <w:ind w:right="0"/>
        <w:rPr>
          <w:rFonts w:ascii="Book Antiqua" w:hAnsi="Book Antiqua"/>
          <w:lang w:val="en-US"/>
        </w:rPr>
      </w:pPr>
      <w:r>
        <w:rPr>
          <w:rFonts w:ascii="Book Antiqua" w:hAnsi="Book Antiqua"/>
          <w:lang w:val="en-US"/>
        </w:rPr>
        <w:t>As shown in F</w:t>
      </w:r>
      <w:r w:rsidR="004E7F25" w:rsidRPr="00786942">
        <w:rPr>
          <w:rFonts w:ascii="Book Antiqua" w:hAnsi="Book Antiqua"/>
          <w:lang w:val="en-US"/>
        </w:rPr>
        <w:t>igure 1, the combined search of electronic databases identified 231 articles. Three additional articles were hand-searched using references of the selected studies. After removing duplicates, 86 articles were screened. On the basis of the abstract evaluation, 33 articles were excluded since they did not match the eligibility criteria. The evaluation of full-text articles led to exclude 15 additional manuscripts. We found a meta-analysis on the beneficial effects of ACE-I/ARBs against several tumors</w:t>
      </w:r>
      <w:r w:rsidR="004E7F25" w:rsidRPr="00786942">
        <w:rPr>
          <w:rFonts w:ascii="Book Antiqua" w:hAnsi="Book Antiqua"/>
          <w:vertAlign w:val="superscript"/>
          <w:lang w:val="en-US"/>
        </w:rPr>
        <w:t>[12]</w:t>
      </w:r>
      <w:r w:rsidR="004E7F25" w:rsidRPr="00786942">
        <w:rPr>
          <w:rFonts w:ascii="Book Antiqua" w:hAnsi="Book Antiqua"/>
          <w:lang w:val="en-US"/>
        </w:rPr>
        <w:t>; this study was excluded since it took in consideration only a trial on HCC that we had already included as a single study</w:t>
      </w:r>
      <w:r w:rsidR="004E7F25" w:rsidRPr="00786942">
        <w:rPr>
          <w:rFonts w:ascii="Book Antiqua" w:hAnsi="Book Antiqua"/>
          <w:vertAlign w:val="superscript"/>
          <w:lang w:val="en-US"/>
        </w:rPr>
        <w:t>[13]</w:t>
      </w:r>
      <w:r w:rsidR="004E7F25" w:rsidRPr="00786942">
        <w:rPr>
          <w:rFonts w:ascii="Book Antiqua" w:hAnsi="Book Antiqua"/>
          <w:lang w:val="en-US"/>
        </w:rPr>
        <w:t xml:space="preserve">. Finally, ten reviews were excluded since they evaluated the same studies on the relationship between ACE-Is or ARBs already selected. At the end of our selection, only 31 studies were </w:t>
      </w:r>
      <w:r>
        <w:rPr>
          <w:rFonts w:ascii="Book Antiqua" w:hAnsi="Book Antiqua"/>
          <w:lang w:val="en-US"/>
        </w:rPr>
        <w:t>included in the present review.</w:t>
      </w:r>
    </w:p>
    <w:p w:rsidR="0099677A" w:rsidRPr="00786942" w:rsidRDefault="0099677A" w:rsidP="00786942">
      <w:pPr>
        <w:adjustRightInd w:val="0"/>
        <w:snapToGrid w:val="0"/>
        <w:spacing w:line="360" w:lineRule="auto"/>
        <w:ind w:right="0"/>
        <w:rPr>
          <w:rFonts w:ascii="Book Antiqua" w:hAnsi="Book Antiqua"/>
          <w:lang w:val="en-US"/>
        </w:rPr>
      </w:pPr>
    </w:p>
    <w:p w:rsidR="004E7F25" w:rsidRPr="0082323E" w:rsidRDefault="004E7F25" w:rsidP="00330DC5">
      <w:pPr>
        <w:adjustRightInd w:val="0"/>
        <w:snapToGrid w:val="0"/>
        <w:spacing w:line="360" w:lineRule="auto"/>
        <w:ind w:right="0"/>
        <w:outlineLvl w:val="0"/>
        <w:rPr>
          <w:rFonts w:ascii="Book Antiqua" w:hAnsi="Book Antiqua"/>
          <w:b/>
          <w:i/>
          <w:color w:val="000000"/>
          <w:lang w:val="en-US"/>
        </w:rPr>
      </w:pPr>
      <w:r w:rsidRPr="0082323E">
        <w:rPr>
          <w:rFonts w:ascii="Book Antiqua" w:hAnsi="Book Antiqua"/>
          <w:b/>
          <w:i/>
          <w:color w:val="000000"/>
          <w:lang w:val="en-US"/>
        </w:rPr>
        <w:t>Clini</w:t>
      </w:r>
      <w:r w:rsidR="0099677A" w:rsidRPr="0082323E">
        <w:rPr>
          <w:rFonts w:ascii="Book Antiqua" w:hAnsi="Book Antiqua"/>
          <w:b/>
          <w:i/>
          <w:color w:val="000000"/>
          <w:lang w:val="en-US"/>
        </w:rPr>
        <w:t>cal studies</w:t>
      </w:r>
    </w:p>
    <w:p w:rsidR="004E7F25" w:rsidRPr="0082323E" w:rsidRDefault="004E7F25" w:rsidP="00786942">
      <w:pPr>
        <w:adjustRightInd w:val="0"/>
        <w:snapToGrid w:val="0"/>
        <w:spacing w:line="360" w:lineRule="auto"/>
        <w:ind w:right="0"/>
        <w:rPr>
          <w:rFonts w:ascii="Book Antiqua" w:hAnsi="Book Antiqua"/>
          <w:color w:val="000000"/>
          <w:lang w:val="en-US"/>
        </w:rPr>
      </w:pPr>
      <w:r w:rsidRPr="0082323E">
        <w:rPr>
          <w:rFonts w:ascii="Book Antiqua" w:hAnsi="Book Antiqua"/>
          <w:color w:val="000000"/>
          <w:lang w:val="en-US"/>
        </w:rPr>
        <w:t xml:space="preserve">Table 1 reports the characteristics of all clinical studies selected. We found only three </w:t>
      </w:r>
      <w:r w:rsidR="006F5485" w:rsidRPr="0082323E">
        <w:rPr>
          <w:rFonts w:ascii="Book Antiqua" w:hAnsi="Book Antiqua"/>
          <w:color w:val="000000"/>
          <w:lang w:val="en-US"/>
        </w:rPr>
        <w:t xml:space="preserve">interventional </w:t>
      </w:r>
      <w:r w:rsidRPr="0082323E">
        <w:rPr>
          <w:rFonts w:ascii="Book Antiqua" w:hAnsi="Book Antiqua"/>
          <w:color w:val="000000"/>
          <w:lang w:val="en-US"/>
        </w:rPr>
        <w:t>studies</w:t>
      </w:r>
      <w:r w:rsidR="006F5485" w:rsidRPr="0082323E">
        <w:rPr>
          <w:rFonts w:ascii="Book Antiqua" w:hAnsi="Book Antiqua"/>
          <w:color w:val="000000"/>
          <w:lang w:val="en-US"/>
        </w:rPr>
        <w:t>,</w:t>
      </w:r>
      <w:r w:rsidRPr="0082323E">
        <w:rPr>
          <w:rFonts w:ascii="Book Antiqua" w:hAnsi="Book Antiqua"/>
          <w:color w:val="000000"/>
          <w:lang w:val="en-US"/>
        </w:rPr>
        <w:t xml:space="preserve"> </w:t>
      </w:r>
      <w:r w:rsidR="006F5485" w:rsidRPr="0082323E">
        <w:rPr>
          <w:rFonts w:ascii="Book Antiqua" w:hAnsi="Book Antiqua"/>
          <w:color w:val="000000"/>
          <w:lang w:val="en-US"/>
        </w:rPr>
        <w:t>all performed by the same authors, which examined the influence of a putative antitumoral treatment after randomization of the patients</w:t>
      </w:r>
      <w:r w:rsidRPr="0082323E">
        <w:rPr>
          <w:rFonts w:ascii="Book Antiqua" w:hAnsi="Book Antiqua"/>
          <w:color w:val="000000"/>
          <w:vertAlign w:val="superscript"/>
          <w:lang w:val="en-US"/>
        </w:rPr>
        <w:t>[13-15]</w:t>
      </w:r>
      <w:r w:rsidRPr="0082323E">
        <w:rPr>
          <w:rFonts w:ascii="Book Antiqua" w:hAnsi="Book Antiqua"/>
          <w:color w:val="000000"/>
          <w:lang w:val="en-US"/>
        </w:rPr>
        <w:t xml:space="preserve">. These studies evaluated the influence of ACE-Is, given alone or in combination with either vitamin K or branched chain aminoacids (BCAA), on HCC recurrence, showing a significant protective effect of ACE-I only when used in combination with vitamin K or BCAA. </w:t>
      </w:r>
      <w:r w:rsidR="00384589" w:rsidRPr="0082323E">
        <w:rPr>
          <w:rFonts w:ascii="Book Antiqua" w:hAnsi="Book Antiqua"/>
          <w:color w:val="000000"/>
          <w:lang w:val="en-US"/>
        </w:rPr>
        <w:t>P</w:t>
      </w:r>
      <w:r w:rsidR="00D32C0C" w:rsidRPr="0082323E">
        <w:rPr>
          <w:rFonts w:ascii="Book Antiqua" w:hAnsi="Book Antiqua"/>
          <w:color w:val="000000"/>
          <w:lang w:val="en-US"/>
        </w:rPr>
        <w:t xml:space="preserve">atients were enrolled when </w:t>
      </w:r>
      <w:r w:rsidR="00384589" w:rsidRPr="0082323E">
        <w:rPr>
          <w:rFonts w:ascii="Book Antiqua" w:hAnsi="Book Antiqua"/>
          <w:color w:val="000000"/>
          <w:lang w:val="en-US"/>
        </w:rPr>
        <w:t xml:space="preserve">they </w:t>
      </w:r>
      <w:r w:rsidR="00D32C0C" w:rsidRPr="0082323E">
        <w:rPr>
          <w:rFonts w:ascii="Book Antiqua" w:hAnsi="Book Antiqua"/>
          <w:color w:val="000000"/>
          <w:lang w:val="en-US"/>
        </w:rPr>
        <w:t xml:space="preserve">had </w:t>
      </w:r>
      <w:r w:rsidR="00DF1C98" w:rsidRPr="0082323E">
        <w:rPr>
          <w:rFonts w:ascii="Book Antiqua" w:hAnsi="Book Antiqua"/>
          <w:color w:val="000000"/>
          <w:lang w:val="en-US"/>
        </w:rPr>
        <w:t xml:space="preserve">a </w:t>
      </w:r>
      <w:r w:rsidR="00D32C0C" w:rsidRPr="0082323E">
        <w:rPr>
          <w:rFonts w:ascii="Book Antiqua" w:hAnsi="Book Antiqua"/>
          <w:color w:val="000000"/>
          <w:lang w:val="en-US"/>
        </w:rPr>
        <w:t xml:space="preserve">low number and low size tumors susceptible </w:t>
      </w:r>
      <w:r w:rsidR="00DF1C98" w:rsidRPr="0082323E">
        <w:rPr>
          <w:rFonts w:ascii="Book Antiqua" w:hAnsi="Book Antiqua"/>
          <w:color w:val="000000"/>
          <w:lang w:val="en-US"/>
        </w:rPr>
        <w:t>to</w:t>
      </w:r>
      <w:r w:rsidR="00D32C0C" w:rsidRPr="0082323E">
        <w:rPr>
          <w:rFonts w:ascii="Book Antiqua" w:hAnsi="Book Antiqua"/>
          <w:color w:val="000000"/>
          <w:lang w:val="en-US"/>
        </w:rPr>
        <w:t xml:space="preserve"> </w:t>
      </w:r>
      <w:r w:rsidR="0099677A" w:rsidRPr="00786942">
        <w:rPr>
          <w:rFonts w:ascii="Book Antiqua" w:hAnsi="Book Antiqua"/>
          <w:lang w:val="en-US"/>
        </w:rPr>
        <w:t>radiofrequency ablation</w:t>
      </w:r>
      <w:r w:rsidR="0099677A" w:rsidRPr="0099677A">
        <w:rPr>
          <w:rFonts w:ascii="Book Antiqua" w:hAnsi="Book Antiqua"/>
          <w:color w:val="000000"/>
          <w:lang w:val="en-US"/>
        </w:rPr>
        <w:t xml:space="preserve"> </w:t>
      </w:r>
      <w:r w:rsidR="0099677A">
        <w:rPr>
          <w:rFonts w:ascii="Book Antiqua" w:hAnsi="Book Antiqua"/>
          <w:color w:val="000000"/>
          <w:lang w:val="en-US"/>
        </w:rPr>
        <w:t>(</w:t>
      </w:r>
      <w:r w:rsidR="00D32C0C" w:rsidRPr="0082323E">
        <w:rPr>
          <w:rFonts w:ascii="Book Antiqua" w:hAnsi="Book Antiqua"/>
          <w:color w:val="000000"/>
          <w:lang w:val="en-US"/>
        </w:rPr>
        <w:t>RFA</w:t>
      </w:r>
      <w:r w:rsidR="0099677A" w:rsidRPr="0082323E">
        <w:rPr>
          <w:rFonts w:ascii="Book Antiqua" w:hAnsi="Book Antiqua"/>
          <w:color w:val="000000"/>
          <w:lang w:val="en-US"/>
        </w:rPr>
        <w:t>)</w:t>
      </w:r>
      <w:r w:rsidR="00D32C0C" w:rsidRPr="0082323E">
        <w:rPr>
          <w:rFonts w:ascii="Book Antiqua" w:hAnsi="Book Antiqua"/>
          <w:color w:val="000000"/>
          <w:lang w:val="en-US"/>
        </w:rPr>
        <w:t xml:space="preserve"> treatment and were excluded in</w:t>
      </w:r>
      <w:r w:rsidR="00EF275B" w:rsidRPr="0082323E">
        <w:rPr>
          <w:rFonts w:ascii="Book Antiqua" w:hAnsi="Book Antiqua"/>
          <w:color w:val="000000"/>
          <w:lang w:val="en-US"/>
        </w:rPr>
        <w:t xml:space="preserve"> the event</w:t>
      </w:r>
      <w:r w:rsidR="00D32C0C" w:rsidRPr="0082323E">
        <w:rPr>
          <w:rFonts w:ascii="Book Antiqua" w:hAnsi="Book Antiqua"/>
          <w:color w:val="000000"/>
          <w:lang w:val="en-US"/>
        </w:rPr>
        <w:t xml:space="preserve"> of early recurrence (within 3 mo). </w:t>
      </w:r>
      <w:r w:rsidR="00EF275B" w:rsidRPr="0082323E">
        <w:rPr>
          <w:rFonts w:ascii="Book Antiqua" w:hAnsi="Book Antiqua"/>
          <w:color w:val="000000"/>
          <w:lang w:val="en-US"/>
        </w:rPr>
        <w:t>No significant increase in overall survival was observed in any</w:t>
      </w:r>
      <w:r w:rsidRPr="0082323E">
        <w:rPr>
          <w:rFonts w:ascii="Book Antiqua" w:hAnsi="Book Antiqua"/>
          <w:color w:val="000000"/>
          <w:lang w:val="en-US"/>
        </w:rPr>
        <w:t xml:space="preserve"> of the three studies.</w:t>
      </w:r>
      <w:r w:rsidR="006F5485" w:rsidRPr="0082323E">
        <w:rPr>
          <w:rFonts w:ascii="Book Antiqua" w:hAnsi="Book Antiqua"/>
          <w:color w:val="000000"/>
          <w:lang w:val="en-US"/>
        </w:rPr>
        <w:t xml:space="preserve"> </w:t>
      </w:r>
    </w:p>
    <w:p w:rsidR="004E7F25" w:rsidRPr="00786942" w:rsidRDefault="0099677A" w:rsidP="00786942">
      <w:pPr>
        <w:adjustRightInd w:val="0"/>
        <w:snapToGrid w:val="0"/>
        <w:spacing w:line="360" w:lineRule="auto"/>
        <w:ind w:right="0"/>
        <w:rPr>
          <w:rFonts w:ascii="Book Antiqua" w:hAnsi="Book Antiqua"/>
          <w:lang w:val="en-US"/>
        </w:rPr>
      </w:pPr>
      <w:r w:rsidRPr="0082323E">
        <w:rPr>
          <w:rFonts w:ascii="Book Antiqua" w:hAnsi="Book Antiqua"/>
          <w:color w:val="000000"/>
          <w:lang w:val="en-US"/>
        </w:rPr>
        <w:t xml:space="preserve">  </w:t>
      </w:r>
      <w:r w:rsidR="004E7F25" w:rsidRPr="0082323E">
        <w:rPr>
          <w:rFonts w:ascii="Book Antiqua" w:hAnsi="Book Antiqua"/>
          <w:color w:val="000000"/>
          <w:lang w:val="en-US"/>
        </w:rPr>
        <w:t xml:space="preserve">Six more recent retrospective observational studies evaluated the effect of ACE-Is or ARBs on overall survival (OS) and/or time to recurrence in patients </w:t>
      </w:r>
      <w:r w:rsidR="00EF275B" w:rsidRPr="0082323E">
        <w:rPr>
          <w:rFonts w:ascii="Book Antiqua" w:hAnsi="Book Antiqua"/>
          <w:color w:val="000000"/>
          <w:lang w:val="en-US"/>
        </w:rPr>
        <w:t xml:space="preserve">who underwent </w:t>
      </w:r>
      <w:r w:rsidR="004E7F25" w:rsidRPr="0082323E">
        <w:rPr>
          <w:rFonts w:ascii="Book Antiqua" w:hAnsi="Book Antiqua"/>
          <w:color w:val="000000"/>
          <w:lang w:val="en-US"/>
        </w:rPr>
        <w:t xml:space="preserve">different HCC treatments (Table 1). Ho </w:t>
      </w:r>
      <w:r w:rsidR="004E7F25" w:rsidRPr="0082323E">
        <w:rPr>
          <w:rFonts w:ascii="Book Antiqua" w:hAnsi="Book Antiqua"/>
          <w:i/>
          <w:color w:val="000000"/>
          <w:lang w:val="en-US"/>
        </w:rPr>
        <w:t>et al</w:t>
      </w:r>
      <w:r w:rsidR="004E7F25" w:rsidRPr="0082323E">
        <w:rPr>
          <w:rFonts w:ascii="Book Antiqua" w:hAnsi="Book Antiqua"/>
          <w:color w:val="000000"/>
          <w:vertAlign w:val="superscript"/>
          <w:lang w:val="en-US"/>
        </w:rPr>
        <w:t>[16]</w:t>
      </w:r>
      <w:r w:rsidR="004E7F25" w:rsidRPr="0082323E">
        <w:rPr>
          <w:rFonts w:ascii="Book Antiqua" w:hAnsi="Book Antiqua"/>
          <w:color w:val="000000"/>
          <w:lang w:val="en-US"/>
        </w:rPr>
        <w:t xml:space="preserve"> evaluated the effect of ACE-I or ARB exposure within the </w:t>
      </w:r>
      <w:r w:rsidR="00EF275B" w:rsidRPr="0082323E">
        <w:rPr>
          <w:rFonts w:ascii="Book Antiqua" w:hAnsi="Book Antiqua"/>
          <w:color w:val="000000"/>
          <w:lang w:val="en-US"/>
        </w:rPr>
        <w:t xml:space="preserve">first </w:t>
      </w:r>
      <w:r w:rsidR="004E7F25" w:rsidRPr="0082323E">
        <w:rPr>
          <w:rFonts w:ascii="Book Antiqua" w:hAnsi="Book Antiqua"/>
          <w:color w:val="000000"/>
          <w:lang w:val="en-US"/>
        </w:rPr>
        <w:t>six months after initiating antiviral agents in a high-risk HBV and HCV large cohorts of patients and did not find any protective effect of these drugs on HCC development adjusted for potential confounders. Surprisingly, in HCV patients without cirrhosis, diabetes, and hyperlipidemia, they found an increased HCC risk associate</w:t>
      </w:r>
      <w:r w:rsidRPr="0082323E">
        <w:rPr>
          <w:rFonts w:ascii="Book Antiqua" w:hAnsi="Book Antiqua"/>
          <w:color w:val="000000"/>
          <w:lang w:val="en-US"/>
        </w:rPr>
        <w:t>d with ACE-I or ARB use in (HR = 4.53, 95%</w:t>
      </w:r>
      <w:r w:rsidR="004E7F25" w:rsidRPr="0082323E">
        <w:rPr>
          <w:rFonts w:ascii="Book Antiqua" w:hAnsi="Book Antiqua"/>
          <w:color w:val="000000"/>
          <w:lang w:val="en-US"/>
        </w:rPr>
        <w:t xml:space="preserve">CI: 1.46-14.1). Hagberg </w:t>
      </w:r>
      <w:r w:rsidRPr="0082323E">
        <w:rPr>
          <w:rFonts w:ascii="Book Antiqua" w:hAnsi="Book Antiqua"/>
          <w:i/>
          <w:color w:val="000000"/>
          <w:lang w:val="en-US"/>
        </w:rPr>
        <w:t xml:space="preserve">et </w:t>
      </w:r>
      <w:r w:rsidR="004E7F25" w:rsidRPr="0082323E">
        <w:rPr>
          <w:rFonts w:ascii="Book Antiqua" w:hAnsi="Book Antiqua"/>
          <w:i/>
          <w:color w:val="000000"/>
          <w:lang w:val="en-US"/>
        </w:rPr>
        <w:t>al</w:t>
      </w:r>
      <w:r w:rsidR="004E7F25" w:rsidRPr="0082323E">
        <w:rPr>
          <w:rFonts w:ascii="Book Antiqua" w:hAnsi="Book Antiqua"/>
          <w:color w:val="000000"/>
          <w:vertAlign w:val="superscript"/>
          <w:lang w:val="en-US"/>
        </w:rPr>
        <w:t>[17]</w:t>
      </w:r>
      <w:r w:rsidR="004E7F25" w:rsidRPr="0082323E">
        <w:rPr>
          <w:rFonts w:ascii="Book Antiqua" w:hAnsi="Book Antiqua"/>
          <w:color w:val="000000"/>
          <w:lang w:val="en-US"/>
        </w:rPr>
        <w:t xml:space="preserve"> restricted the study population to patients wi</w:t>
      </w:r>
      <w:r w:rsidR="004E7F25" w:rsidRPr="00786942">
        <w:rPr>
          <w:rFonts w:ascii="Book Antiqua" w:hAnsi="Book Antiqua"/>
          <w:lang w:val="en-US"/>
        </w:rPr>
        <w:t xml:space="preserve">th hypertension (both cases and controls). Also, in this case, no protective effect was observed with ACE-I or ARB use. However, patients were already defined exposed (cases) after receiving at least two prescriptions for ACE-I and/or ARBs before the index date. Walker </w:t>
      </w:r>
      <w:r w:rsidR="004E7F25" w:rsidRPr="0099677A">
        <w:rPr>
          <w:rFonts w:ascii="Book Antiqua" w:hAnsi="Book Antiqua"/>
          <w:i/>
          <w:lang w:val="en-US"/>
        </w:rPr>
        <w:t>et al</w:t>
      </w:r>
      <w:r w:rsidR="004E7F25" w:rsidRPr="00786942">
        <w:rPr>
          <w:rFonts w:ascii="Book Antiqua" w:hAnsi="Book Antiqua"/>
          <w:vertAlign w:val="superscript"/>
          <w:lang w:val="en-US"/>
        </w:rPr>
        <w:t>[18]</w:t>
      </w:r>
      <w:r w:rsidR="004E7F25" w:rsidRPr="00786942">
        <w:rPr>
          <w:rFonts w:ascii="Book Antiqua" w:hAnsi="Book Antiqua"/>
          <w:lang w:val="en-US"/>
        </w:rPr>
        <w:t>, included subjects that were exposed to ACE-I treatment 12-24 mo before the first recorded liver cancer diagnosis without finding any protective effect.</w:t>
      </w:r>
    </w:p>
    <w:p w:rsidR="004E7F25" w:rsidRPr="00786942" w:rsidRDefault="0099677A" w:rsidP="00786942">
      <w:pPr>
        <w:adjustRightInd w:val="0"/>
        <w:snapToGrid w:val="0"/>
        <w:spacing w:line="360" w:lineRule="auto"/>
        <w:ind w:right="0"/>
        <w:rPr>
          <w:rFonts w:ascii="Book Antiqua" w:hAnsi="Book Antiqua"/>
          <w:lang w:val="en-US"/>
        </w:rPr>
      </w:pPr>
      <w:r>
        <w:rPr>
          <w:rFonts w:ascii="Book Antiqua" w:hAnsi="Book Antiqua"/>
          <w:lang w:val="en-US"/>
        </w:rPr>
        <w:t xml:space="preserve">  </w:t>
      </w:r>
      <w:r w:rsidR="004E7F25" w:rsidRPr="00786942">
        <w:rPr>
          <w:rFonts w:ascii="Book Antiqua" w:hAnsi="Book Antiqua"/>
          <w:lang w:val="en-US"/>
        </w:rPr>
        <w:t xml:space="preserve">Differently from what observed by the previous authors, Pinter </w:t>
      </w:r>
      <w:r w:rsidR="004E7F25" w:rsidRPr="0099677A">
        <w:rPr>
          <w:rFonts w:ascii="Book Antiqua" w:hAnsi="Book Antiqua"/>
          <w:i/>
          <w:lang w:val="en-US"/>
        </w:rPr>
        <w:t>et al</w:t>
      </w:r>
      <w:r w:rsidR="004E7F25" w:rsidRPr="00786942">
        <w:rPr>
          <w:rFonts w:ascii="Book Antiqua" w:hAnsi="Book Antiqua"/>
          <w:vertAlign w:val="superscript"/>
          <w:lang w:val="en-US"/>
        </w:rPr>
        <w:t>[19]</w:t>
      </w:r>
      <w:r w:rsidR="004E7F25" w:rsidRPr="00786942">
        <w:rPr>
          <w:rFonts w:ascii="Book Antiqua" w:hAnsi="Book Antiqua"/>
          <w:lang w:val="en-US"/>
        </w:rPr>
        <w:t xml:space="preserve"> found a prolonged overall survival in HCC patients treated with sorafenib/supportive therapy and already receiving</w:t>
      </w:r>
      <w:r w:rsidR="00DB5CE9" w:rsidRPr="00786942">
        <w:rPr>
          <w:rFonts w:ascii="Book Antiqua" w:hAnsi="Book Antiqua"/>
          <w:lang w:val="en-US"/>
        </w:rPr>
        <w:t xml:space="preserve"> </w:t>
      </w:r>
      <w:r w:rsidR="004E7F25" w:rsidRPr="00786942">
        <w:rPr>
          <w:rFonts w:ascii="Book Antiqua" w:hAnsi="Book Antiqua"/>
          <w:lang w:val="en-US"/>
        </w:rPr>
        <w:t xml:space="preserve">ACE-I or ARBs for a median duration of treatment of 12.7 mo. Also, Facciorusso </w:t>
      </w:r>
      <w:r w:rsidR="004E7F25" w:rsidRPr="0099677A">
        <w:rPr>
          <w:rFonts w:ascii="Book Antiqua" w:hAnsi="Book Antiqua"/>
          <w:i/>
          <w:lang w:val="en-US"/>
        </w:rPr>
        <w:t>et al</w:t>
      </w:r>
      <w:r w:rsidR="004E7F25" w:rsidRPr="00786942">
        <w:rPr>
          <w:rFonts w:ascii="Book Antiqua" w:hAnsi="Book Antiqua"/>
          <w:vertAlign w:val="superscript"/>
          <w:lang w:val="en-US"/>
        </w:rPr>
        <w:t>[</w:t>
      </w:r>
      <w:r w:rsidR="00B20921" w:rsidRPr="00786942">
        <w:rPr>
          <w:rFonts w:ascii="Book Antiqua" w:hAnsi="Book Antiqua"/>
          <w:vertAlign w:val="superscript"/>
          <w:lang w:val="en-US"/>
        </w:rPr>
        <w:t>20</w:t>
      </w:r>
      <w:r w:rsidR="004E7F25" w:rsidRPr="00786942">
        <w:rPr>
          <w:rFonts w:ascii="Book Antiqua" w:hAnsi="Book Antiqua"/>
          <w:vertAlign w:val="superscript"/>
          <w:lang w:val="en-US"/>
        </w:rPr>
        <w:t>]</w:t>
      </w:r>
      <w:r w:rsidR="004E7F25" w:rsidRPr="00786942">
        <w:rPr>
          <w:rFonts w:ascii="Book Antiqua" w:hAnsi="Book Antiqua"/>
          <w:lang w:val="en-US"/>
        </w:rPr>
        <w:t xml:space="preserve"> reported a prolonged overall survival in HCC patients treated with </w:t>
      </w:r>
      <w:r>
        <w:rPr>
          <w:rFonts w:ascii="Book Antiqua" w:hAnsi="Book Antiqua"/>
          <w:lang w:val="en-US"/>
        </w:rPr>
        <w:t>RFA</w:t>
      </w:r>
      <w:r w:rsidR="004E7F25" w:rsidRPr="00786942">
        <w:rPr>
          <w:rFonts w:ascii="Book Antiqua" w:hAnsi="Book Antiqua"/>
          <w:lang w:val="en-US"/>
        </w:rPr>
        <w:t xml:space="preserve"> and already receiving ARBs (but not ACE-I) for at least the previous</w:t>
      </w:r>
      <w:r w:rsidR="00EF275B" w:rsidRPr="00786942">
        <w:rPr>
          <w:rFonts w:ascii="Book Antiqua" w:hAnsi="Book Antiqua"/>
          <w:lang w:val="en-US"/>
        </w:rPr>
        <w:t xml:space="preserve"> two</w:t>
      </w:r>
      <w:r w:rsidR="004E7F25" w:rsidRPr="00786942">
        <w:rPr>
          <w:rFonts w:ascii="Book Antiqua" w:hAnsi="Book Antiqua"/>
          <w:lang w:val="en-US"/>
        </w:rPr>
        <w:t xml:space="preserve"> years. In this study, a significantly longer disease-free survival in patients receiving ARBs (HR </w:t>
      </w:r>
      <w:r>
        <w:rPr>
          <w:rFonts w:ascii="Book Antiqua" w:hAnsi="Book Antiqua"/>
          <w:lang w:val="en-US"/>
        </w:rPr>
        <w:t xml:space="preserve">= </w:t>
      </w:r>
      <w:r w:rsidR="004E7F25" w:rsidRPr="00786942">
        <w:rPr>
          <w:rFonts w:ascii="Book Antiqua" w:hAnsi="Book Antiqua"/>
          <w:lang w:val="en-US"/>
        </w:rPr>
        <w:t>0.47;</w:t>
      </w:r>
      <w:r w:rsidR="00154F7D" w:rsidRPr="00EF2841">
        <w:rPr>
          <w:rFonts w:ascii="Book Antiqua" w:eastAsia="宋体" w:hAnsi="Book Antiqua" w:hint="eastAsia"/>
          <w:lang w:val="en-US" w:eastAsia="zh-CN"/>
        </w:rPr>
        <w:t xml:space="preserve"> </w:t>
      </w:r>
      <w:r w:rsidR="004E7F25" w:rsidRPr="00786942">
        <w:rPr>
          <w:rFonts w:ascii="Book Antiqua" w:hAnsi="Book Antiqua"/>
          <w:lang w:val="en-US"/>
        </w:rPr>
        <w:t>95%</w:t>
      </w:r>
      <w:r w:rsidRPr="00786942">
        <w:rPr>
          <w:rFonts w:ascii="Book Antiqua" w:hAnsi="Book Antiqua"/>
          <w:lang w:val="en-US"/>
        </w:rPr>
        <w:t>CI</w:t>
      </w:r>
      <w:r>
        <w:rPr>
          <w:rFonts w:ascii="Book Antiqua" w:hAnsi="Book Antiqua"/>
          <w:lang w:val="en-US"/>
        </w:rPr>
        <w:t>:</w:t>
      </w:r>
      <w:r w:rsidR="004E7F25" w:rsidRPr="00786942">
        <w:rPr>
          <w:rFonts w:ascii="Book Antiqua" w:hAnsi="Book Antiqua"/>
          <w:lang w:val="en-US"/>
        </w:rPr>
        <w:t xml:space="preserve"> 0.27</w:t>
      </w:r>
      <w:r>
        <w:rPr>
          <w:rFonts w:ascii="Book Antiqua" w:hAnsi="Book Antiqua"/>
          <w:lang w:val="en-US"/>
        </w:rPr>
        <w:t>-</w:t>
      </w:r>
      <w:r w:rsidR="004E7F25" w:rsidRPr="00786942">
        <w:rPr>
          <w:rFonts w:ascii="Book Antiqua" w:hAnsi="Book Antiqua"/>
          <w:lang w:val="en-US"/>
        </w:rPr>
        <w:t xml:space="preserve">0.82, </w:t>
      </w:r>
      <w:r w:rsidRPr="0099677A">
        <w:rPr>
          <w:rFonts w:ascii="Book Antiqua" w:hAnsi="Book Antiqua"/>
          <w:i/>
          <w:lang w:val="en-US"/>
        </w:rPr>
        <w:t>P</w:t>
      </w:r>
      <w:r>
        <w:rPr>
          <w:rFonts w:ascii="Book Antiqua" w:hAnsi="Book Antiqua"/>
          <w:lang w:val="en-US"/>
        </w:rPr>
        <w:t xml:space="preserve"> </w:t>
      </w:r>
      <w:r w:rsidR="004E7F25" w:rsidRPr="00786942">
        <w:rPr>
          <w:rFonts w:ascii="Book Antiqua" w:hAnsi="Book Antiqua"/>
          <w:lang w:val="en-US"/>
        </w:rPr>
        <w:t>=</w:t>
      </w:r>
      <w:r>
        <w:rPr>
          <w:rFonts w:ascii="Book Antiqua" w:hAnsi="Book Antiqua"/>
          <w:lang w:val="en-US"/>
        </w:rPr>
        <w:t xml:space="preserve"> </w:t>
      </w:r>
      <w:r w:rsidR="004E7F25" w:rsidRPr="00786942">
        <w:rPr>
          <w:rFonts w:ascii="Book Antiqua" w:hAnsi="Book Antiqua"/>
          <w:lang w:val="en-US"/>
        </w:rPr>
        <w:t>0.009)</w:t>
      </w:r>
      <w:r w:rsidR="004E7F25" w:rsidRPr="0099677A">
        <w:rPr>
          <w:rFonts w:ascii="Book Antiqua" w:hAnsi="Book Antiqua"/>
          <w:vertAlign w:val="superscript"/>
          <w:lang w:val="en-US"/>
        </w:rPr>
        <w:t>[</w:t>
      </w:r>
      <w:r w:rsidR="00B20921" w:rsidRPr="0099677A">
        <w:rPr>
          <w:rFonts w:ascii="Book Antiqua" w:hAnsi="Book Antiqua"/>
          <w:vertAlign w:val="superscript"/>
          <w:lang w:val="en-US"/>
        </w:rPr>
        <w:t>20</w:t>
      </w:r>
      <w:r w:rsidR="004E7F25" w:rsidRPr="0099677A">
        <w:rPr>
          <w:rFonts w:ascii="Book Antiqua" w:hAnsi="Book Antiqua"/>
          <w:vertAlign w:val="superscript"/>
          <w:lang w:val="en-US"/>
        </w:rPr>
        <w:t>]</w:t>
      </w:r>
      <w:r w:rsidR="00EF275B" w:rsidRPr="00786942">
        <w:rPr>
          <w:rFonts w:ascii="Book Antiqua" w:hAnsi="Book Antiqua"/>
          <w:lang w:val="en-US"/>
        </w:rPr>
        <w:t xml:space="preserve"> was reported</w:t>
      </w:r>
      <w:r w:rsidR="004E7F25" w:rsidRPr="00786942">
        <w:rPr>
          <w:rFonts w:ascii="Book Antiqua" w:hAnsi="Book Antiqua"/>
          <w:lang w:val="en-US"/>
        </w:rPr>
        <w:t xml:space="preserve">. In the last clinical study, </w:t>
      </w:r>
      <w:r w:rsidR="00EF275B" w:rsidRPr="00786942">
        <w:rPr>
          <w:rFonts w:ascii="Book Antiqua" w:hAnsi="Book Antiqua"/>
          <w:lang w:val="en-US"/>
        </w:rPr>
        <w:t xml:space="preserve">by </w:t>
      </w:r>
      <w:r w:rsidR="00B20921" w:rsidRPr="00786942">
        <w:rPr>
          <w:rFonts w:ascii="Book Antiqua" w:hAnsi="Book Antiqua"/>
          <w:lang w:val="en-US"/>
        </w:rPr>
        <w:t xml:space="preserve">Karibori </w:t>
      </w:r>
      <w:r w:rsidR="00B20921" w:rsidRPr="0099677A">
        <w:rPr>
          <w:rFonts w:ascii="Book Antiqua" w:hAnsi="Book Antiqua"/>
          <w:i/>
          <w:lang w:val="en-US"/>
        </w:rPr>
        <w:t>et al</w:t>
      </w:r>
      <w:r w:rsidR="00B20921" w:rsidRPr="00786942">
        <w:rPr>
          <w:rFonts w:ascii="Book Antiqua" w:hAnsi="Book Antiqua"/>
          <w:vertAlign w:val="superscript"/>
          <w:lang w:val="en-US"/>
        </w:rPr>
        <w:t>[21]</w:t>
      </w:r>
      <w:r w:rsidR="00B20921" w:rsidRPr="00786942">
        <w:rPr>
          <w:rFonts w:ascii="Book Antiqua" w:hAnsi="Book Antiqua"/>
          <w:lang w:val="en-US"/>
        </w:rPr>
        <w:t xml:space="preserve"> </w:t>
      </w:r>
      <w:r w:rsidR="004E7F25" w:rsidRPr="00786942">
        <w:rPr>
          <w:rFonts w:ascii="Book Antiqua" w:hAnsi="Book Antiqua"/>
          <w:lang w:val="en-US"/>
        </w:rPr>
        <w:t xml:space="preserve">the treatment of hypertension with ACE-Is or ARBs did not </w:t>
      </w:r>
      <w:r w:rsidR="00EF275B" w:rsidRPr="00786942">
        <w:rPr>
          <w:rFonts w:ascii="Book Antiqua" w:hAnsi="Book Antiqua"/>
          <w:lang w:val="en-US"/>
        </w:rPr>
        <w:t xml:space="preserve">improve </w:t>
      </w:r>
      <w:r w:rsidR="004E7F25" w:rsidRPr="00786942">
        <w:rPr>
          <w:rFonts w:ascii="Book Antiqua" w:hAnsi="Book Antiqua"/>
          <w:lang w:val="en-US"/>
        </w:rPr>
        <w:t>overall survival after tumor resection in HCV-HCC patients with or without cirrhosis compared to the related controls. Interestingly, HCC-HCV cirrhotic patients with hypertension treated with other antihypertensive drugs had a significantly reduced overall survival compared to HCC-HCV cirrhotic patients receiving either ACE-Is or ARBs or no antihypertensive treatment (</w:t>
      </w:r>
      <w:r w:rsidRPr="0099677A">
        <w:rPr>
          <w:rFonts w:ascii="Book Antiqua" w:hAnsi="Book Antiqua"/>
          <w:i/>
          <w:lang w:val="en-US"/>
        </w:rPr>
        <w:t>P</w:t>
      </w:r>
      <w:r>
        <w:rPr>
          <w:rFonts w:ascii="Book Antiqua" w:hAnsi="Book Antiqua"/>
          <w:lang w:val="en-US"/>
        </w:rPr>
        <w:t xml:space="preserve"> </w:t>
      </w:r>
      <w:r w:rsidR="004E7F25" w:rsidRPr="00786942">
        <w:rPr>
          <w:rFonts w:ascii="Book Antiqua" w:hAnsi="Book Antiqua"/>
          <w:lang w:val="en-US"/>
        </w:rPr>
        <w:t>=</w:t>
      </w:r>
      <w:r>
        <w:rPr>
          <w:rFonts w:ascii="Book Antiqua" w:hAnsi="Book Antiqua"/>
          <w:lang w:val="en-US"/>
        </w:rPr>
        <w:t xml:space="preserve"> </w:t>
      </w:r>
      <w:r w:rsidR="004E7F25" w:rsidRPr="00786942">
        <w:rPr>
          <w:rFonts w:ascii="Book Antiqua" w:hAnsi="Book Antiqua"/>
          <w:lang w:val="en-US"/>
        </w:rPr>
        <w:t>0.029). Finally, hypertension had no influence on the prognosis</w:t>
      </w:r>
      <w:r w:rsidR="00CA7ABE" w:rsidRPr="00786942">
        <w:rPr>
          <w:rFonts w:ascii="Book Antiqua" w:hAnsi="Book Antiqua"/>
          <w:lang w:val="en-US"/>
        </w:rPr>
        <w:t xml:space="preserve"> of</w:t>
      </w:r>
      <w:r w:rsidR="004E7F25" w:rsidRPr="00786942">
        <w:rPr>
          <w:rFonts w:ascii="Book Antiqua" w:hAnsi="Book Antiqua"/>
          <w:lang w:val="en-US"/>
        </w:rPr>
        <w:t xml:space="preserve"> inpatients with </w:t>
      </w:r>
      <w:r w:rsidR="00227558" w:rsidRPr="00786942">
        <w:rPr>
          <w:rFonts w:ascii="Book Antiqua" w:hAnsi="Book Antiqua"/>
          <w:lang w:val="en-US"/>
        </w:rPr>
        <w:t xml:space="preserve">HCC related to other </w:t>
      </w:r>
      <w:r w:rsidR="004E7F25" w:rsidRPr="00786942">
        <w:rPr>
          <w:rFonts w:ascii="Book Antiqua" w:hAnsi="Book Antiqua"/>
          <w:lang w:val="en-US"/>
        </w:rPr>
        <w:t>etiologies</w:t>
      </w:r>
      <w:r w:rsidR="004E7F25" w:rsidRPr="00786942">
        <w:rPr>
          <w:rFonts w:ascii="Book Antiqua" w:hAnsi="Book Antiqua"/>
          <w:vertAlign w:val="superscript"/>
          <w:lang w:val="en-US"/>
        </w:rPr>
        <w:t>[2</w:t>
      </w:r>
      <w:r w:rsidR="00B20921" w:rsidRPr="00786942">
        <w:rPr>
          <w:rFonts w:ascii="Book Antiqua" w:hAnsi="Book Antiqua"/>
          <w:vertAlign w:val="superscript"/>
          <w:lang w:val="en-US"/>
        </w:rPr>
        <w:t>1</w:t>
      </w:r>
      <w:r w:rsidR="004E7F25" w:rsidRPr="00786942">
        <w:rPr>
          <w:rFonts w:ascii="Book Antiqua" w:hAnsi="Book Antiqua"/>
          <w:vertAlign w:val="superscript"/>
          <w:lang w:val="en-US"/>
        </w:rPr>
        <w:t>]</w:t>
      </w:r>
      <w:r w:rsidR="004E7F25" w:rsidRPr="00786942">
        <w:rPr>
          <w:rFonts w:ascii="Book Antiqua" w:hAnsi="Book Antiqua"/>
          <w:lang w:val="en-US"/>
        </w:rPr>
        <w:t>.</w:t>
      </w:r>
    </w:p>
    <w:p w:rsidR="004E7F25" w:rsidRPr="00786942" w:rsidRDefault="0099677A" w:rsidP="00786942">
      <w:pPr>
        <w:adjustRightInd w:val="0"/>
        <w:snapToGrid w:val="0"/>
        <w:spacing w:line="360" w:lineRule="auto"/>
        <w:ind w:right="0"/>
        <w:rPr>
          <w:rFonts w:ascii="Book Antiqua" w:hAnsi="Book Antiqua"/>
          <w:lang w:val="en-US"/>
        </w:rPr>
      </w:pPr>
      <w:r>
        <w:rPr>
          <w:rFonts w:ascii="Book Antiqua" w:hAnsi="Book Antiqua"/>
          <w:lang w:val="en-US"/>
        </w:rPr>
        <w:t xml:space="preserve">  </w:t>
      </w:r>
      <w:r w:rsidR="004E7F25" w:rsidRPr="00786942">
        <w:rPr>
          <w:rFonts w:ascii="Book Antiqua" w:hAnsi="Book Antiqua"/>
          <w:lang w:val="en-US"/>
        </w:rPr>
        <w:t>An a</w:t>
      </w:r>
      <w:r w:rsidR="00382477">
        <w:rPr>
          <w:rFonts w:ascii="Book Antiqua" w:hAnsi="Book Antiqua"/>
          <w:lang w:val="en-US"/>
        </w:rPr>
        <w:t>dditional study, not listed in T</w:t>
      </w:r>
      <w:r w:rsidR="004E7F25" w:rsidRPr="00786942">
        <w:rPr>
          <w:rFonts w:ascii="Book Antiqua" w:hAnsi="Book Antiqua"/>
          <w:lang w:val="en-US"/>
        </w:rPr>
        <w:t>able 1, analyzing the association between the use of statins in HBV-infected patients and the risk of HCC, reported that the use of ACE-I for more than one year did not significantly influence the protective effect of statins against HCC development</w:t>
      </w:r>
      <w:r w:rsidR="004E7F25" w:rsidRPr="00786942">
        <w:rPr>
          <w:rFonts w:ascii="Book Antiqua" w:hAnsi="Book Antiqua"/>
          <w:vertAlign w:val="superscript"/>
          <w:lang w:val="en-US"/>
        </w:rPr>
        <w:t>[2</w:t>
      </w:r>
      <w:r w:rsidR="00B20921" w:rsidRPr="00786942">
        <w:rPr>
          <w:rFonts w:ascii="Book Antiqua" w:hAnsi="Book Antiqua"/>
          <w:vertAlign w:val="superscript"/>
          <w:lang w:val="en-US"/>
        </w:rPr>
        <w:t>2</w:t>
      </w:r>
      <w:r w:rsidR="004E7F25" w:rsidRPr="00786942">
        <w:rPr>
          <w:rFonts w:ascii="Book Antiqua" w:hAnsi="Book Antiqua"/>
          <w:vertAlign w:val="superscript"/>
          <w:lang w:val="en-US"/>
        </w:rPr>
        <w:t>]</w:t>
      </w:r>
      <w:r w:rsidR="004E7F25" w:rsidRPr="00786942">
        <w:rPr>
          <w:rFonts w:ascii="Book Antiqua" w:hAnsi="Book Antiqua"/>
          <w:lang w:val="en-US"/>
        </w:rPr>
        <w:t>. However, in this study, a large number of patients in the statin group (62%) was diabetic and therefore probably using metformin or thiazolidinediones, which have been demonstrated to profoundly reduce HCC risk</w:t>
      </w:r>
      <w:r w:rsidR="004E7F25" w:rsidRPr="00786942">
        <w:rPr>
          <w:rFonts w:ascii="Book Antiqua" w:hAnsi="Book Antiqua"/>
          <w:vertAlign w:val="superscript"/>
          <w:lang w:val="en-US"/>
        </w:rPr>
        <w:t>[2</w:t>
      </w:r>
      <w:r w:rsidR="00B20921" w:rsidRPr="00786942">
        <w:rPr>
          <w:rFonts w:ascii="Book Antiqua" w:hAnsi="Book Antiqua"/>
          <w:vertAlign w:val="superscript"/>
          <w:lang w:val="en-US"/>
        </w:rPr>
        <w:t>3</w:t>
      </w:r>
      <w:r w:rsidR="004E7F25" w:rsidRPr="00786942">
        <w:rPr>
          <w:rFonts w:ascii="Book Antiqua" w:hAnsi="Book Antiqua"/>
          <w:vertAlign w:val="superscript"/>
          <w:lang w:val="en-US"/>
        </w:rPr>
        <w:t>]</w:t>
      </w:r>
      <w:r w:rsidR="004E7F25" w:rsidRPr="00786942">
        <w:rPr>
          <w:rFonts w:ascii="Book Antiqua" w:hAnsi="Book Antiqua"/>
          <w:lang w:val="en-US"/>
        </w:rPr>
        <w:t>, and therefore could have also overcome the effect of ACE-I/ARBs.</w:t>
      </w:r>
    </w:p>
    <w:p w:rsidR="004E7F25" w:rsidRDefault="00CA7ABE" w:rsidP="0099677A">
      <w:pPr>
        <w:adjustRightInd w:val="0"/>
        <w:snapToGrid w:val="0"/>
        <w:spacing w:line="360" w:lineRule="auto"/>
        <w:ind w:right="0" w:firstLine="120"/>
        <w:rPr>
          <w:rFonts w:ascii="Book Antiqua" w:hAnsi="Book Antiqua"/>
          <w:lang w:val="en-US"/>
        </w:rPr>
      </w:pPr>
      <w:r w:rsidRPr="00786942">
        <w:rPr>
          <w:rFonts w:ascii="Book Antiqua" w:hAnsi="Book Antiqua"/>
          <w:lang w:val="en-US"/>
        </w:rPr>
        <w:t xml:space="preserve">To </w:t>
      </w:r>
      <w:r w:rsidR="004E7F25" w:rsidRPr="00786942">
        <w:rPr>
          <w:rFonts w:ascii="Book Antiqua" w:hAnsi="Book Antiqua"/>
          <w:lang w:val="en-US"/>
        </w:rPr>
        <w:t>our knowledge, the only case report that matched our selection criteria describes the protective effect of an ACE-I used in combination with vitamin K2 in a patient with a dysplastic nodule on liver cirrhosis. After one</w:t>
      </w:r>
      <w:r w:rsidRPr="00786942">
        <w:rPr>
          <w:rFonts w:ascii="Book Antiqua" w:hAnsi="Book Antiqua"/>
          <w:lang w:val="en-US"/>
        </w:rPr>
        <w:t xml:space="preserve"> </w:t>
      </w:r>
      <w:r w:rsidR="004E7F25" w:rsidRPr="00786942">
        <w:rPr>
          <w:rFonts w:ascii="Book Antiqua" w:hAnsi="Book Antiqua"/>
          <w:lang w:val="en-US"/>
        </w:rPr>
        <w:t>year</w:t>
      </w:r>
      <w:r w:rsidRPr="00786942">
        <w:rPr>
          <w:rFonts w:ascii="Book Antiqua" w:hAnsi="Book Antiqua"/>
          <w:lang w:val="en-US"/>
        </w:rPr>
        <w:t xml:space="preserve"> of</w:t>
      </w:r>
      <w:r w:rsidR="004E7F25" w:rsidRPr="00786942">
        <w:rPr>
          <w:rFonts w:ascii="Book Antiqua" w:hAnsi="Book Antiqua"/>
          <w:lang w:val="en-US"/>
        </w:rPr>
        <w:t xml:space="preserve"> treatment, the authors describe a reduction of α-fetoprotein (AFP) and AFP-L3 and the disappearance of the dysplastic nodule</w:t>
      </w:r>
      <w:r w:rsidR="004E7F25" w:rsidRPr="00786942">
        <w:rPr>
          <w:rFonts w:ascii="Book Antiqua" w:hAnsi="Book Antiqua"/>
          <w:vertAlign w:val="superscript"/>
          <w:lang w:val="en-US"/>
        </w:rPr>
        <w:t>[2</w:t>
      </w:r>
      <w:r w:rsidR="00B20921" w:rsidRPr="00786942">
        <w:rPr>
          <w:rFonts w:ascii="Book Antiqua" w:hAnsi="Book Antiqua"/>
          <w:vertAlign w:val="superscript"/>
          <w:lang w:val="en-US"/>
        </w:rPr>
        <w:t>4</w:t>
      </w:r>
      <w:r w:rsidR="004E7F25" w:rsidRPr="00786942">
        <w:rPr>
          <w:rFonts w:ascii="Book Antiqua" w:hAnsi="Book Antiqua"/>
          <w:vertAlign w:val="superscript"/>
          <w:lang w:val="en-US"/>
        </w:rPr>
        <w:t>]</w:t>
      </w:r>
      <w:r w:rsidR="004E7F25" w:rsidRPr="00786942">
        <w:rPr>
          <w:rFonts w:ascii="Book Antiqua" w:hAnsi="Book Antiqua"/>
          <w:lang w:val="en-US"/>
        </w:rPr>
        <w:t>.</w:t>
      </w:r>
    </w:p>
    <w:p w:rsidR="0099677A" w:rsidRPr="00786942" w:rsidRDefault="0099677A" w:rsidP="0099677A">
      <w:pPr>
        <w:adjustRightInd w:val="0"/>
        <w:snapToGrid w:val="0"/>
        <w:spacing w:line="360" w:lineRule="auto"/>
        <w:ind w:right="0" w:firstLine="120"/>
        <w:rPr>
          <w:rFonts w:ascii="Book Antiqua" w:hAnsi="Book Antiqua"/>
          <w:lang w:val="en-US"/>
        </w:rPr>
      </w:pPr>
    </w:p>
    <w:p w:rsidR="004E7F25" w:rsidRPr="00786942" w:rsidRDefault="004E7F25" w:rsidP="00330DC5">
      <w:pPr>
        <w:adjustRightInd w:val="0"/>
        <w:snapToGrid w:val="0"/>
        <w:spacing w:line="360" w:lineRule="auto"/>
        <w:ind w:right="0"/>
        <w:outlineLvl w:val="0"/>
        <w:rPr>
          <w:rFonts w:ascii="Book Antiqua" w:hAnsi="Book Antiqua"/>
          <w:b/>
          <w:i/>
          <w:lang w:val="en-US"/>
        </w:rPr>
      </w:pPr>
      <w:r w:rsidRPr="00786942">
        <w:rPr>
          <w:rFonts w:ascii="Book Antiqua" w:hAnsi="Book Antiqua"/>
          <w:b/>
          <w:i/>
          <w:lang w:val="en-US"/>
        </w:rPr>
        <w:t>Experi</w:t>
      </w:r>
      <w:r w:rsidR="0099677A" w:rsidRPr="00786942">
        <w:rPr>
          <w:rFonts w:ascii="Book Antiqua" w:hAnsi="Book Antiqua"/>
          <w:b/>
          <w:i/>
          <w:lang w:val="en-US"/>
        </w:rPr>
        <w:t>mental data</w:t>
      </w:r>
    </w:p>
    <w:p w:rsidR="004E7F25" w:rsidRDefault="004E7F25" w:rsidP="00786942">
      <w:pPr>
        <w:adjustRightInd w:val="0"/>
        <w:snapToGrid w:val="0"/>
        <w:spacing w:line="360" w:lineRule="auto"/>
        <w:ind w:right="0"/>
        <w:rPr>
          <w:rFonts w:ascii="Book Antiqua" w:hAnsi="Book Antiqua"/>
          <w:lang w:val="en-US"/>
        </w:rPr>
      </w:pPr>
      <w:r w:rsidRPr="00786942">
        <w:rPr>
          <w:rFonts w:ascii="Book Antiqua" w:hAnsi="Book Antiqua"/>
          <w:lang w:val="en-US"/>
        </w:rPr>
        <w:t xml:space="preserve">The most consistent data on the potential role of ACE-Is and ARBs in HCC prevention/cure come from experimental </w:t>
      </w:r>
      <w:r w:rsidRPr="0099677A">
        <w:rPr>
          <w:rFonts w:ascii="Book Antiqua" w:hAnsi="Book Antiqua"/>
          <w:i/>
          <w:lang w:val="en-US"/>
        </w:rPr>
        <w:t>in vitro</w:t>
      </w:r>
      <w:r w:rsidRPr="00786942">
        <w:rPr>
          <w:rFonts w:ascii="Book Antiqua" w:hAnsi="Book Antiqua"/>
          <w:lang w:val="en-US"/>
        </w:rPr>
        <w:t xml:space="preserve"> and </w:t>
      </w:r>
      <w:r w:rsidRPr="0099677A">
        <w:rPr>
          <w:rFonts w:ascii="Book Antiqua" w:hAnsi="Book Antiqua"/>
          <w:i/>
          <w:lang w:val="en-US"/>
        </w:rPr>
        <w:t>in vivo</w:t>
      </w:r>
      <w:r w:rsidR="0099677A">
        <w:rPr>
          <w:rFonts w:ascii="Book Antiqua" w:hAnsi="Book Antiqua"/>
          <w:lang w:val="en-US"/>
        </w:rPr>
        <w:t xml:space="preserve"> studies.</w:t>
      </w:r>
    </w:p>
    <w:p w:rsidR="0099677A" w:rsidRPr="00786942" w:rsidRDefault="0099677A" w:rsidP="00786942">
      <w:pPr>
        <w:adjustRightInd w:val="0"/>
        <w:snapToGrid w:val="0"/>
        <w:spacing w:line="360" w:lineRule="auto"/>
        <w:ind w:right="0"/>
        <w:rPr>
          <w:rFonts w:ascii="Book Antiqua" w:hAnsi="Book Antiqua"/>
          <w:lang w:val="en-US"/>
        </w:rPr>
      </w:pPr>
    </w:p>
    <w:p w:rsidR="004E7F25" w:rsidRPr="0099677A" w:rsidRDefault="004E7F25" w:rsidP="00330DC5">
      <w:pPr>
        <w:adjustRightInd w:val="0"/>
        <w:snapToGrid w:val="0"/>
        <w:spacing w:line="360" w:lineRule="auto"/>
        <w:ind w:right="0"/>
        <w:outlineLvl w:val="0"/>
        <w:rPr>
          <w:rFonts w:ascii="Book Antiqua" w:hAnsi="Book Antiqua"/>
          <w:b/>
          <w:i/>
          <w:lang w:val="en-US"/>
        </w:rPr>
      </w:pPr>
      <w:r w:rsidRPr="0099677A">
        <w:rPr>
          <w:rFonts w:ascii="Book Antiqua" w:hAnsi="Book Antiqua"/>
          <w:b/>
          <w:i/>
          <w:lang w:val="en-US"/>
        </w:rPr>
        <w:t>Diethylnitrosamine model</w:t>
      </w:r>
    </w:p>
    <w:p w:rsidR="004E7F25" w:rsidRPr="00786942" w:rsidRDefault="004E7F25" w:rsidP="00786942">
      <w:pPr>
        <w:adjustRightInd w:val="0"/>
        <w:snapToGrid w:val="0"/>
        <w:spacing w:line="360" w:lineRule="auto"/>
        <w:ind w:right="0"/>
        <w:rPr>
          <w:rFonts w:ascii="Book Antiqua" w:hAnsi="Book Antiqua"/>
          <w:lang w:val="en-US"/>
        </w:rPr>
      </w:pPr>
      <w:r w:rsidRPr="00786942">
        <w:rPr>
          <w:rFonts w:ascii="Book Antiqua" w:hAnsi="Book Antiqua"/>
          <w:lang w:val="en-US"/>
        </w:rPr>
        <w:t xml:space="preserve">Table 2 summarizes all studies performed either in mice or rats using the diethylnitrosamine (DEN) model. Saber </w:t>
      </w:r>
      <w:bookmarkStart w:id="56" w:name="OLE_LINK672"/>
      <w:bookmarkStart w:id="57" w:name="OLE_LINK673"/>
      <w:r w:rsidRPr="0099677A">
        <w:rPr>
          <w:rFonts w:ascii="Book Antiqua" w:hAnsi="Book Antiqua"/>
          <w:i/>
          <w:lang w:val="en-US"/>
        </w:rPr>
        <w:t>et al</w:t>
      </w:r>
      <w:bookmarkEnd w:id="56"/>
      <w:bookmarkEnd w:id="57"/>
      <w:r w:rsidRPr="00786942">
        <w:rPr>
          <w:rFonts w:ascii="Book Antiqua" w:hAnsi="Book Antiqua"/>
          <w:vertAlign w:val="superscript"/>
          <w:lang w:val="en-US"/>
        </w:rPr>
        <w:t>[2</w:t>
      </w:r>
      <w:r w:rsidR="00B20921" w:rsidRPr="00786942">
        <w:rPr>
          <w:rFonts w:ascii="Book Antiqua" w:hAnsi="Book Antiqua"/>
          <w:vertAlign w:val="superscript"/>
          <w:lang w:val="en-US"/>
        </w:rPr>
        <w:t>5</w:t>
      </w:r>
      <w:r w:rsidRPr="00786942">
        <w:rPr>
          <w:rFonts w:ascii="Book Antiqua" w:hAnsi="Book Antiqua"/>
          <w:vertAlign w:val="superscript"/>
          <w:lang w:val="en-US"/>
        </w:rPr>
        <w:t>]</w:t>
      </w:r>
      <w:r w:rsidRPr="00786942">
        <w:rPr>
          <w:rFonts w:ascii="Book Antiqua" w:hAnsi="Book Antiqua"/>
          <w:lang w:val="en-US"/>
        </w:rPr>
        <w:t xml:space="preserve"> showed that </w:t>
      </w:r>
      <w:r w:rsidR="004672F6" w:rsidRPr="00786942">
        <w:rPr>
          <w:rFonts w:ascii="Book Antiqua" w:hAnsi="Book Antiqua"/>
          <w:lang w:val="en-US"/>
        </w:rPr>
        <w:t>sorafenib</w:t>
      </w:r>
      <w:r w:rsidRPr="00786942">
        <w:rPr>
          <w:rFonts w:ascii="Book Antiqua" w:hAnsi="Book Antiqua"/>
          <w:lang w:val="en-US"/>
        </w:rPr>
        <w:t xml:space="preserve"> or fosinopril, perindopril and losartan, prolonged overall survival of mice. Both ACE-Is and losartan </w:t>
      </w:r>
      <w:r w:rsidR="00CA7ABE" w:rsidRPr="00786942">
        <w:rPr>
          <w:rFonts w:ascii="Book Antiqua" w:hAnsi="Book Antiqua"/>
          <w:lang w:val="en-US"/>
        </w:rPr>
        <w:t xml:space="preserve">brought about </w:t>
      </w:r>
      <w:r w:rsidRPr="00786942">
        <w:rPr>
          <w:rFonts w:ascii="Book Antiqua" w:hAnsi="Book Antiqua"/>
          <w:lang w:val="en-US"/>
        </w:rPr>
        <w:t xml:space="preserve">an improvement in </w:t>
      </w:r>
      <w:r w:rsidR="00CA7ABE" w:rsidRPr="00786942">
        <w:rPr>
          <w:rFonts w:ascii="Book Antiqua" w:hAnsi="Book Antiqua"/>
          <w:lang w:val="en-US"/>
        </w:rPr>
        <w:t xml:space="preserve">the </w:t>
      </w:r>
      <w:r w:rsidRPr="00786942">
        <w:rPr>
          <w:rFonts w:ascii="Book Antiqua" w:hAnsi="Book Antiqua"/>
          <w:lang w:val="en-US"/>
        </w:rPr>
        <w:t xml:space="preserve">histological </w:t>
      </w:r>
      <w:r w:rsidR="00CA7ABE" w:rsidRPr="00786942">
        <w:rPr>
          <w:rFonts w:ascii="Book Antiqua" w:hAnsi="Book Antiqua"/>
          <w:lang w:val="en-US"/>
        </w:rPr>
        <w:t>situation</w:t>
      </w:r>
      <w:r w:rsidRPr="00786942">
        <w:rPr>
          <w:rFonts w:ascii="Book Antiqua" w:hAnsi="Book Antiqua"/>
          <w:lang w:val="en-US"/>
        </w:rPr>
        <w:t xml:space="preserve">, similar to that determined by sorafenib, with regression of malignant histological features. However, only sorafenib and perindopril significantly reduced α-fetoprotein levels as compared to controls. Additionally, sorafenib </w:t>
      </w:r>
      <w:r w:rsidR="004672F6" w:rsidRPr="00786942">
        <w:rPr>
          <w:rFonts w:ascii="Book Antiqua" w:hAnsi="Book Antiqua"/>
          <w:lang w:val="en-US"/>
        </w:rPr>
        <w:t>and anti</w:t>
      </w:r>
      <w:r w:rsidRPr="00786942">
        <w:rPr>
          <w:rFonts w:ascii="Book Antiqua" w:hAnsi="Book Antiqua"/>
          <w:lang w:val="en-US"/>
        </w:rPr>
        <w:t>-hypertensive drugs significantly decreased</w:t>
      </w:r>
      <w:r w:rsidR="00CA7ABE" w:rsidRPr="00786942">
        <w:rPr>
          <w:rFonts w:ascii="Book Antiqua" w:hAnsi="Book Antiqua"/>
          <w:lang w:val="en-US"/>
        </w:rPr>
        <w:t xml:space="preserve"> the</w:t>
      </w:r>
      <w:r w:rsidRPr="00786942">
        <w:rPr>
          <w:rFonts w:ascii="Book Antiqua" w:hAnsi="Book Antiqua"/>
          <w:lang w:val="en-US"/>
        </w:rPr>
        <w:t xml:space="preserve"> transforming growth factor (TGF)-β, tumor necrosis factor (TNF)-α, matrix metalloproteinase (MMP)-2 and vascular endothelial growth factor (</w:t>
      </w:r>
      <w:r w:rsidR="00DB5CE9" w:rsidRPr="00786942">
        <w:rPr>
          <w:rFonts w:ascii="Book Antiqua" w:hAnsi="Book Antiqua"/>
          <w:lang w:val="en-US"/>
        </w:rPr>
        <w:t>VEGF)</w:t>
      </w:r>
      <w:r w:rsidRPr="00786942">
        <w:rPr>
          <w:rFonts w:ascii="Book Antiqua" w:hAnsi="Book Antiqua"/>
          <w:lang w:val="en-US"/>
        </w:rPr>
        <w:t xml:space="preserve"> serum levels compared to controls</w:t>
      </w:r>
      <w:r w:rsidR="009F2A26" w:rsidRPr="00786942">
        <w:rPr>
          <w:rFonts w:ascii="Book Antiqua" w:hAnsi="Book Antiqua"/>
          <w:lang w:val="en-US"/>
        </w:rPr>
        <w:t xml:space="preserve">; however, </w:t>
      </w:r>
      <w:r w:rsidRPr="00786942">
        <w:rPr>
          <w:rFonts w:ascii="Book Antiqua" w:hAnsi="Book Antiqua"/>
          <w:lang w:val="en-US"/>
        </w:rPr>
        <w:t xml:space="preserve">the administration of perindopril </w:t>
      </w:r>
      <w:r w:rsidR="009F2A26" w:rsidRPr="00786942">
        <w:rPr>
          <w:rFonts w:ascii="Book Antiqua" w:hAnsi="Book Antiqua"/>
          <w:lang w:val="en-US"/>
        </w:rPr>
        <w:t xml:space="preserve">was </w:t>
      </w:r>
      <w:r w:rsidRPr="00786942">
        <w:rPr>
          <w:rFonts w:ascii="Book Antiqua" w:hAnsi="Book Antiqua"/>
          <w:lang w:val="en-US"/>
        </w:rPr>
        <w:t xml:space="preserve">even more effective than sorafenib in the reduction </w:t>
      </w:r>
      <w:r w:rsidR="0099677A">
        <w:rPr>
          <w:rFonts w:ascii="Book Antiqua" w:hAnsi="Book Antiqua"/>
          <w:lang w:val="en-US"/>
        </w:rPr>
        <w:t>T</w:t>
      </w:r>
      <w:r w:rsidRPr="00786942">
        <w:rPr>
          <w:rFonts w:ascii="Book Antiqua" w:hAnsi="Book Antiqua"/>
          <w:lang w:val="en-US"/>
        </w:rPr>
        <w:t xml:space="preserve">NF-α </w:t>
      </w:r>
      <w:r w:rsidR="00DB5CE9" w:rsidRPr="00786942">
        <w:rPr>
          <w:rFonts w:ascii="Book Antiqua" w:hAnsi="Book Antiqua"/>
          <w:lang w:val="en-US"/>
        </w:rPr>
        <w:t>level</w:t>
      </w:r>
      <w:r w:rsidRPr="00786942">
        <w:rPr>
          <w:rFonts w:ascii="Book Antiqua" w:hAnsi="Book Antiqua"/>
          <w:lang w:val="en-US"/>
        </w:rPr>
        <w:t>. The authors conclude their study suggesting that the reduction of inflammatory cytokines, in particular, TNF-</w:t>
      </w:r>
      <w:r w:rsidR="00DB5CE9" w:rsidRPr="00786942">
        <w:rPr>
          <w:rFonts w:ascii="Book Antiqua" w:hAnsi="Book Antiqua"/>
          <w:lang w:val="en-US"/>
        </w:rPr>
        <w:t>α</w:t>
      </w:r>
      <w:r w:rsidR="00CA7ABE" w:rsidRPr="00786942">
        <w:rPr>
          <w:rFonts w:ascii="Book Antiqua" w:hAnsi="Book Antiqua"/>
          <w:lang w:val="en-US"/>
        </w:rPr>
        <w:t>,</w:t>
      </w:r>
      <w:r w:rsidRPr="00786942">
        <w:rPr>
          <w:rFonts w:ascii="Book Antiqua" w:hAnsi="Book Antiqua"/>
          <w:lang w:val="en-US"/>
        </w:rPr>
        <w:t xml:space="preserve"> could have been mediated by the inhibition of phosphorylation-induced NFκBia degradation and phosphorylation of NFκBp65. Therefore</w:t>
      </w:r>
      <w:r w:rsidR="00CA7ABE" w:rsidRPr="00786942">
        <w:rPr>
          <w:rFonts w:ascii="Book Antiqua" w:hAnsi="Book Antiqua"/>
          <w:lang w:val="en-US"/>
        </w:rPr>
        <w:t>,</w:t>
      </w:r>
      <w:r w:rsidRPr="00786942">
        <w:rPr>
          <w:rFonts w:ascii="Book Antiqua" w:hAnsi="Book Antiqua"/>
          <w:lang w:val="en-US"/>
        </w:rPr>
        <w:t xml:space="preserve"> the </w:t>
      </w:r>
      <w:r w:rsidR="00330DC5">
        <w:rPr>
          <w:rFonts w:ascii="Book Antiqua" w:hAnsi="Book Antiqua"/>
          <w:lang w:val="en-US"/>
        </w:rPr>
        <w:t>RAS</w:t>
      </w:r>
      <w:r w:rsidRPr="00786942">
        <w:rPr>
          <w:rFonts w:ascii="Book Antiqua" w:hAnsi="Book Antiqua"/>
          <w:lang w:val="en-US"/>
        </w:rPr>
        <w:t xml:space="preserve"> inhibition may have a </w:t>
      </w:r>
      <w:r w:rsidR="00CA7ABE" w:rsidRPr="00786942">
        <w:rPr>
          <w:rFonts w:ascii="Book Antiqua" w:hAnsi="Book Antiqua"/>
          <w:lang w:val="en-US"/>
        </w:rPr>
        <w:t xml:space="preserve">dual </w:t>
      </w:r>
      <w:r w:rsidRPr="00786942">
        <w:rPr>
          <w:rFonts w:ascii="Book Antiqua" w:hAnsi="Book Antiqua"/>
          <w:lang w:val="en-US"/>
        </w:rPr>
        <w:t>anticancer effect mediated by the suppression of inflammation and angiogenesis. The same group repeated the same experiment</w:t>
      </w:r>
      <w:r w:rsidRPr="00786942">
        <w:rPr>
          <w:rFonts w:ascii="Book Antiqua" w:hAnsi="Book Antiqua"/>
          <w:vertAlign w:val="superscript"/>
          <w:lang w:val="en-US"/>
        </w:rPr>
        <w:t>[2</w:t>
      </w:r>
      <w:r w:rsidR="00B20921" w:rsidRPr="00786942">
        <w:rPr>
          <w:rFonts w:ascii="Book Antiqua" w:hAnsi="Book Antiqua"/>
          <w:vertAlign w:val="superscript"/>
          <w:lang w:val="en-US"/>
        </w:rPr>
        <w:t>6</w:t>
      </w:r>
      <w:r w:rsidRPr="00786942">
        <w:rPr>
          <w:rFonts w:ascii="Book Antiqua" w:hAnsi="Book Antiqua"/>
          <w:vertAlign w:val="superscript"/>
          <w:lang w:val="en-US"/>
        </w:rPr>
        <w:t>]</w:t>
      </w:r>
      <w:r w:rsidRPr="00786942">
        <w:rPr>
          <w:rFonts w:ascii="Book Antiqua" w:hAnsi="Book Antiqua"/>
          <w:lang w:val="en-US"/>
        </w:rPr>
        <w:t xml:space="preserve"> in mice and confirmed the data about the regression of cellular atypia in HCC, but they did not observe a positive effect on animal survival using ACE-Is or ARBs alone</w:t>
      </w:r>
      <w:r w:rsidR="00CA7ABE" w:rsidRPr="00786942">
        <w:rPr>
          <w:rFonts w:ascii="Book Antiqua" w:hAnsi="Book Antiqua"/>
          <w:lang w:val="en-US"/>
        </w:rPr>
        <w:t>,</w:t>
      </w:r>
      <w:r w:rsidRPr="00786942">
        <w:rPr>
          <w:rFonts w:ascii="Book Antiqua" w:hAnsi="Book Antiqua"/>
          <w:lang w:val="en-US"/>
        </w:rPr>
        <w:t xml:space="preserve"> or in combination with sorafenib. In another study</w:t>
      </w:r>
      <w:r w:rsidRPr="00786942">
        <w:rPr>
          <w:rFonts w:ascii="Book Antiqua" w:hAnsi="Book Antiqua"/>
          <w:vertAlign w:val="superscript"/>
          <w:lang w:val="en-US"/>
        </w:rPr>
        <w:t>[2</w:t>
      </w:r>
      <w:r w:rsidR="00B20921" w:rsidRPr="00786942">
        <w:rPr>
          <w:rFonts w:ascii="Book Antiqua" w:hAnsi="Book Antiqua"/>
          <w:vertAlign w:val="superscript"/>
          <w:lang w:val="en-US"/>
        </w:rPr>
        <w:t>7</w:t>
      </w:r>
      <w:r w:rsidRPr="00786942">
        <w:rPr>
          <w:rFonts w:ascii="Book Antiqua" w:hAnsi="Book Antiqua"/>
          <w:vertAlign w:val="superscript"/>
          <w:lang w:val="en-US"/>
        </w:rPr>
        <w:t>]</w:t>
      </w:r>
      <w:r w:rsidRPr="00786942">
        <w:rPr>
          <w:rFonts w:ascii="Book Antiqua" w:hAnsi="Book Antiqua"/>
          <w:lang w:val="en-US"/>
        </w:rPr>
        <w:t>, albino DEN-treated mice received perindopril, leflunomide, curcumin alone or in combination. While all DEN-treated mice developed HCC, the prevalence of HCC decreased to 37.5% under curcumin, and 25% under leflunomide and perindo</w:t>
      </w:r>
      <w:r w:rsidR="009F2A26" w:rsidRPr="00786942">
        <w:rPr>
          <w:rFonts w:ascii="Book Antiqua" w:hAnsi="Book Antiqua"/>
          <w:lang w:val="en-US"/>
        </w:rPr>
        <w:t>p</w:t>
      </w:r>
      <w:r w:rsidRPr="00786942">
        <w:rPr>
          <w:rFonts w:ascii="Book Antiqua" w:hAnsi="Book Antiqua"/>
          <w:lang w:val="en-US"/>
        </w:rPr>
        <w:t>ril and no mice developed liver dysplastic lesion</w:t>
      </w:r>
      <w:r w:rsidR="00CA7ABE" w:rsidRPr="00786942">
        <w:rPr>
          <w:rFonts w:ascii="Book Antiqua" w:hAnsi="Book Antiqua"/>
          <w:lang w:val="en-US"/>
        </w:rPr>
        <w:t>s</w:t>
      </w:r>
      <w:r w:rsidRPr="00786942">
        <w:rPr>
          <w:rFonts w:ascii="Book Antiqua" w:hAnsi="Book Antiqua"/>
          <w:lang w:val="en-US"/>
        </w:rPr>
        <w:t xml:space="preserve"> in the combination arm. This finding paralleled with the reduction of angiogenesis, immunohistochemically evaluated by CD31, an antigen widely used as a marker of neovascularization</w:t>
      </w:r>
      <w:r w:rsidRPr="00786942">
        <w:rPr>
          <w:rFonts w:ascii="Book Antiqua" w:hAnsi="Book Antiqua"/>
          <w:vertAlign w:val="superscript"/>
          <w:lang w:val="en-US"/>
        </w:rPr>
        <w:t>[2</w:t>
      </w:r>
      <w:r w:rsidR="00B20921" w:rsidRPr="00786942">
        <w:rPr>
          <w:rFonts w:ascii="Book Antiqua" w:hAnsi="Book Antiqua"/>
          <w:vertAlign w:val="superscript"/>
          <w:lang w:val="en-US"/>
        </w:rPr>
        <w:t>8</w:t>
      </w:r>
      <w:r w:rsidRPr="00786942">
        <w:rPr>
          <w:rFonts w:ascii="Book Antiqua" w:hAnsi="Book Antiqua"/>
          <w:vertAlign w:val="superscript"/>
          <w:lang w:val="en-US"/>
        </w:rPr>
        <w:t>]</w:t>
      </w:r>
      <w:r w:rsidRPr="00786942">
        <w:rPr>
          <w:rFonts w:ascii="Book Antiqua" w:hAnsi="Book Antiqua"/>
          <w:lang w:val="en-US"/>
        </w:rPr>
        <w:t xml:space="preserve">. Finally, the authors also demonstrated a dramatic reduction of </w:t>
      </w:r>
      <w:bookmarkStart w:id="58" w:name="OLE_LINK697"/>
      <w:r w:rsidRPr="00786942">
        <w:rPr>
          <w:rFonts w:ascii="Book Antiqua" w:hAnsi="Book Antiqua"/>
          <w:lang w:val="en-US"/>
        </w:rPr>
        <w:t>hypoxia-inducible factor</w:t>
      </w:r>
      <w:bookmarkEnd w:id="58"/>
      <w:r w:rsidRPr="00786942">
        <w:rPr>
          <w:rFonts w:ascii="Book Antiqua" w:hAnsi="Book Antiqua"/>
          <w:lang w:val="en-US"/>
        </w:rPr>
        <w:t xml:space="preserve"> (HIF)-α. Mansour </w:t>
      </w:r>
      <w:r w:rsidRPr="0099677A">
        <w:rPr>
          <w:rFonts w:ascii="Book Antiqua" w:hAnsi="Book Antiqua"/>
          <w:i/>
          <w:lang w:val="en-US"/>
        </w:rPr>
        <w:t>et al</w:t>
      </w:r>
      <w:r w:rsidRPr="00786942">
        <w:rPr>
          <w:rFonts w:ascii="Book Antiqua" w:hAnsi="Book Antiqua"/>
          <w:vertAlign w:val="superscript"/>
          <w:lang w:val="en-US"/>
        </w:rPr>
        <w:t>[2</w:t>
      </w:r>
      <w:r w:rsidR="00B20921" w:rsidRPr="00786942">
        <w:rPr>
          <w:rFonts w:ascii="Book Antiqua" w:hAnsi="Book Antiqua"/>
          <w:vertAlign w:val="superscript"/>
          <w:lang w:val="en-US"/>
        </w:rPr>
        <w:t>9</w:t>
      </w:r>
      <w:r w:rsidRPr="00786942">
        <w:rPr>
          <w:rFonts w:ascii="Book Antiqua" w:hAnsi="Book Antiqua"/>
          <w:vertAlign w:val="superscript"/>
          <w:lang w:val="en-US"/>
        </w:rPr>
        <w:t>]</w:t>
      </w:r>
      <w:r w:rsidRPr="00786942">
        <w:rPr>
          <w:rFonts w:ascii="Book Antiqua" w:hAnsi="Book Antiqua"/>
          <w:lang w:val="en-US"/>
        </w:rPr>
        <w:t xml:space="preserve"> tested captopril, perindopril, and losartan in male albino rats treated with DEN. Some of the rats receiving DEN plus an active drug also received carbon tetrachloride to stimulate cell proliferation. The administration of captopril and losartan induced a marked reduction of α-fetoprotein and almost halved the levels of VEGF, fibroblast growth factor (FGF) and TGF-β1 only in rats in which hepatocarcinogenesis was promoted by DEN. On the other hand, MMP-2 activity was inhibited by all three drugs in HCC-rats while the levels of tissue inhibitor of metalloproteinase (TIMP)-1, a negative regulator of MMP2, were increased only by the treatment with losartan and perindopril. This study provided exciting results </w:t>
      </w:r>
      <w:r w:rsidR="004672F6" w:rsidRPr="00786942">
        <w:rPr>
          <w:rFonts w:ascii="Book Antiqua" w:hAnsi="Book Antiqua"/>
          <w:lang w:val="en-US"/>
        </w:rPr>
        <w:t>since it</w:t>
      </w:r>
      <w:r w:rsidRPr="00786942">
        <w:rPr>
          <w:rFonts w:ascii="Book Antiqua" w:hAnsi="Book Antiqua"/>
          <w:lang w:val="en-US"/>
        </w:rPr>
        <w:t xml:space="preserve"> demonstrated a prophylactic effect on the mech</w:t>
      </w:r>
      <w:r w:rsidR="004672F6" w:rsidRPr="00786942">
        <w:rPr>
          <w:rFonts w:ascii="Book Antiqua" w:hAnsi="Book Antiqua"/>
          <w:lang w:val="en-US"/>
        </w:rPr>
        <w:t xml:space="preserve">anisms of hepatocarcinogenesis when </w:t>
      </w:r>
      <w:r w:rsidRPr="00786942">
        <w:rPr>
          <w:rFonts w:ascii="Book Antiqua" w:hAnsi="Book Antiqua"/>
          <w:lang w:val="en-US"/>
        </w:rPr>
        <w:t xml:space="preserve">ARBs and ACE-Is were given two weeks before DEN injection and not </w:t>
      </w:r>
      <w:r w:rsidR="00AE0388" w:rsidRPr="00786942">
        <w:rPr>
          <w:rFonts w:ascii="Book Antiqua" w:hAnsi="Book Antiqua"/>
          <w:lang w:val="en-US"/>
        </w:rPr>
        <w:t>at the same time</w:t>
      </w:r>
      <w:r w:rsidRPr="00786942">
        <w:rPr>
          <w:rFonts w:ascii="Book Antiqua" w:hAnsi="Book Antiqua"/>
          <w:lang w:val="en-US"/>
        </w:rPr>
        <w:t xml:space="preserve">. </w:t>
      </w:r>
    </w:p>
    <w:p w:rsidR="004E7F25" w:rsidRPr="00786942" w:rsidRDefault="0099677A" w:rsidP="00786942">
      <w:pPr>
        <w:adjustRightInd w:val="0"/>
        <w:snapToGrid w:val="0"/>
        <w:spacing w:line="360" w:lineRule="auto"/>
        <w:ind w:right="0"/>
        <w:rPr>
          <w:rFonts w:ascii="Book Antiqua" w:hAnsi="Book Antiqua"/>
          <w:lang w:val="en-US"/>
        </w:rPr>
      </w:pPr>
      <w:r>
        <w:rPr>
          <w:rFonts w:ascii="Book Antiqua" w:hAnsi="Book Antiqua"/>
          <w:lang w:val="en-US"/>
        </w:rPr>
        <w:t xml:space="preserve">  </w:t>
      </w:r>
      <w:r w:rsidR="004E7F25" w:rsidRPr="00786942">
        <w:rPr>
          <w:rFonts w:ascii="Book Antiqua" w:hAnsi="Book Antiqua"/>
          <w:lang w:val="en-US"/>
        </w:rPr>
        <w:t>In another model, in addition to DEN treated standard rats, BALB-c mice underwent an injection of HCC cell line. In these mice, the administration of perindopril or 5-fluorouracil alone was not able to reduce the size of HCC</w:t>
      </w:r>
      <w:r w:rsidR="004E7F25" w:rsidRPr="00786942">
        <w:rPr>
          <w:rFonts w:ascii="Book Antiqua" w:hAnsi="Book Antiqua"/>
          <w:vertAlign w:val="superscript"/>
          <w:lang w:val="en-US"/>
        </w:rPr>
        <w:t>[</w:t>
      </w:r>
      <w:r w:rsidR="00B20921" w:rsidRPr="00786942">
        <w:rPr>
          <w:rFonts w:ascii="Book Antiqua" w:hAnsi="Book Antiqua"/>
          <w:vertAlign w:val="superscript"/>
          <w:lang w:val="en-US"/>
        </w:rPr>
        <w:t>30</w:t>
      </w:r>
      <w:r w:rsidR="004E7F25" w:rsidRPr="00786942">
        <w:rPr>
          <w:rFonts w:ascii="Book Antiqua" w:hAnsi="Book Antiqua"/>
          <w:vertAlign w:val="superscript"/>
          <w:lang w:val="en-US"/>
        </w:rPr>
        <w:t>]</w:t>
      </w:r>
      <w:r w:rsidR="004E7F25" w:rsidRPr="00786942">
        <w:rPr>
          <w:rFonts w:ascii="Book Antiqua" w:hAnsi="Book Antiqua"/>
          <w:lang w:val="en-US"/>
        </w:rPr>
        <w:t xml:space="preserve">, while the combination of the two drugs produced much better results thanks to the increased apoptotic activity and the reduction of both the CD31-mRNA and VEGF expression in HCC tissue. Interestingly, the number of preneoplastic lesions was decreased only by the ACE-I, and </w:t>
      </w:r>
      <w:r w:rsidR="009F2A26" w:rsidRPr="00786942">
        <w:rPr>
          <w:rFonts w:ascii="Book Antiqua" w:hAnsi="Book Antiqua"/>
          <w:lang w:val="en-US"/>
        </w:rPr>
        <w:t>the addition of 5-fluorouracil enhanced this effect</w:t>
      </w:r>
      <w:r w:rsidR="004E7F25" w:rsidRPr="00786942">
        <w:rPr>
          <w:rFonts w:ascii="Book Antiqua" w:hAnsi="Book Antiqua"/>
          <w:lang w:val="en-US"/>
        </w:rPr>
        <w:t xml:space="preserve">. </w:t>
      </w:r>
      <w:r w:rsidR="00AE0388" w:rsidRPr="00786942">
        <w:rPr>
          <w:rFonts w:ascii="Book Antiqua" w:hAnsi="Book Antiqua"/>
          <w:lang w:val="en-US"/>
        </w:rPr>
        <w:t>Lastly</w:t>
      </w:r>
      <w:r w:rsidR="004E7F25" w:rsidRPr="00786942">
        <w:rPr>
          <w:rFonts w:ascii="Book Antiqua" w:hAnsi="Book Antiqua"/>
          <w:lang w:val="en-US"/>
        </w:rPr>
        <w:t>, on the basis of additional in vitro studies, they concluded that ACE-I and 5-fluorouracil might reduce the tumor growth by inhibiting neovascularization, which in turn may induce apoptosis of the tumor cells, rather than via direct inhibition of tumor cell proliferation.</w:t>
      </w:r>
    </w:p>
    <w:p w:rsidR="004E7F25" w:rsidRDefault="004E7F25" w:rsidP="0099677A">
      <w:pPr>
        <w:adjustRightInd w:val="0"/>
        <w:snapToGrid w:val="0"/>
        <w:spacing w:line="360" w:lineRule="auto"/>
        <w:ind w:right="0" w:firstLine="120"/>
        <w:rPr>
          <w:rFonts w:ascii="Book Antiqua" w:hAnsi="Book Antiqua"/>
          <w:lang w:val="en-US"/>
        </w:rPr>
      </w:pPr>
      <w:r w:rsidRPr="00786942">
        <w:rPr>
          <w:rFonts w:ascii="Book Antiqua" w:hAnsi="Book Antiqua"/>
          <w:lang w:val="en-US"/>
        </w:rPr>
        <w:t xml:space="preserve">Yoshiji </w:t>
      </w:r>
      <w:r w:rsidRPr="0099677A">
        <w:rPr>
          <w:rFonts w:ascii="Book Antiqua" w:hAnsi="Book Antiqua"/>
          <w:i/>
          <w:lang w:val="en-US"/>
        </w:rPr>
        <w:t>et al</w:t>
      </w:r>
      <w:r w:rsidRPr="00786942">
        <w:rPr>
          <w:rFonts w:ascii="Book Antiqua" w:hAnsi="Book Antiqua"/>
          <w:vertAlign w:val="superscript"/>
          <w:lang w:val="en-US"/>
        </w:rPr>
        <w:t>[3</w:t>
      </w:r>
      <w:r w:rsidR="00B20921" w:rsidRPr="00786942">
        <w:rPr>
          <w:rFonts w:ascii="Book Antiqua" w:hAnsi="Book Antiqua"/>
          <w:vertAlign w:val="superscript"/>
          <w:lang w:val="en-US"/>
        </w:rPr>
        <w:t>1</w:t>
      </w:r>
      <w:r w:rsidRPr="00786942">
        <w:rPr>
          <w:rFonts w:ascii="Book Antiqua" w:hAnsi="Book Antiqua"/>
          <w:vertAlign w:val="superscript"/>
          <w:lang w:val="en-US"/>
        </w:rPr>
        <w:t>]</w:t>
      </w:r>
      <w:r w:rsidRPr="00786942">
        <w:rPr>
          <w:rFonts w:ascii="Book Antiqua" w:hAnsi="Book Antiqua"/>
          <w:lang w:val="en-US"/>
        </w:rPr>
        <w:t xml:space="preserve"> analyzed the effect of perindopril, vitamin K or their combination, both in DEN model and in mice injected with BNL-HCC cell line. They showed that HCC was significantly inhibited by the treatment with vitamin K and ACE-I, and their combination produced an even more potent inhibitory effect compared to </w:t>
      </w:r>
      <w:r w:rsidR="009F2A26" w:rsidRPr="00786942">
        <w:rPr>
          <w:rFonts w:ascii="Book Antiqua" w:hAnsi="Book Antiqua"/>
          <w:lang w:val="en-US"/>
        </w:rPr>
        <w:t>the</w:t>
      </w:r>
      <w:r w:rsidRPr="00786942">
        <w:rPr>
          <w:rFonts w:ascii="Book Antiqua" w:hAnsi="Book Antiqua"/>
          <w:lang w:val="en-US"/>
        </w:rPr>
        <w:t xml:space="preserve"> single agent</w:t>
      </w:r>
      <w:r w:rsidR="009F2A26" w:rsidRPr="00786942">
        <w:rPr>
          <w:rFonts w:ascii="Book Antiqua" w:hAnsi="Book Antiqua"/>
          <w:lang w:val="en-US"/>
        </w:rPr>
        <w:t>s</w:t>
      </w:r>
      <w:r w:rsidRPr="00786942">
        <w:rPr>
          <w:rFonts w:ascii="Book Antiqua" w:hAnsi="Book Antiqua"/>
          <w:lang w:val="en-US"/>
        </w:rPr>
        <w:t xml:space="preserve">. These results were observed in both models and were associated </w:t>
      </w:r>
      <w:r w:rsidR="00AE0388" w:rsidRPr="00786942">
        <w:rPr>
          <w:rFonts w:ascii="Book Antiqua" w:hAnsi="Book Antiqua"/>
          <w:lang w:val="en-US"/>
        </w:rPr>
        <w:t>with</w:t>
      </w:r>
      <w:r w:rsidRPr="00786942">
        <w:rPr>
          <w:rFonts w:ascii="Book Antiqua" w:hAnsi="Book Antiqua"/>
          <w:lang w:val="en-US"/>
        </w:rPr>
        <w:t xml:space="preserve"> mRNA-CD31 suppression and promotion of apoptosis (the number of TUNEL-positive cells was significantly increased by treatment with vitamin K and ACE-I compared to the control group), while the proliferative activity was not influenced. The same group replicated this protocol</w:t>
      </w:r>
      <w:r w:rsidRPr="00786942">
        <w:rPr>
          <w:rFonts w:ascii="Book Antiqua" w:hAnsi="Book Antiqua"/>
          <w:vertAlign w:val="superscript"/>
          <w:lang w:val="en-US"/>
        </w:rPr>
        <w:t>[3</w:t>
      </w:r>
      <w:r w:rsidR="00B20921" w:rsidRPr="00786942">
        <w:rPr>
          <w:rFonts w:ascii="Book Antiqua" w:hAnsi="Book Antiqua"/>
          <w:vertAlign w:val="superscript"/>
          <w:lang w:val="en-US"/>
        </w:rPr>
        <w:t>2</w:t>
      </w:r>
      <w:r w:rsidRPr="00786942">
        <w:rPr>
          <w:rFonts w:ascii="Book Antiqua" w:hAnsi="Book Antiqua"/>
          <w:vertAlign w:val="superscript"/>
          <w:lang w:val="en-US"/>
        </w:rPr>
        <w:t>]</w:t>
      </w:r>
      <w:r w:rsidRPr="00786942">
        <w:rPr>
          <w:rFonts w:ascii="Book Antiqua" w:hAnsi="Book Antiqua"/>
          <w:lang w:val="en-US"/>
        </w:rPr>
        <w:t xml:space="preserve"> both in rats and HepG2 cells with the aim of studying proliferation and angiogenesis. They found that vitamin K and ACE-I inhibited endothelial cell tubule formation and endothelial cell proliferation in a dose-dependent manner while only vitamin K inhibited tumor cell proliferation. In another similar experience</w:t>
      </w:r>
      <w:r w:rsidRPr="00786942">
        <w:rPr>
          <w:rFonts w:ascii="Book Antiqua" w:hAnsi="Book Antiqua"/>
          <w:vertAlign w:val="superscript"/>
          <w:lang w:val="en-US"/>
        </w:rPr>
        <w:t>[3</w:t>
      </w:r>
      <w:r w:rsidR="00B20921" w:rsidRPr="00786942">
        <w:rPr>
          <w:rFonts w:ascii="Book Antiqua" w:hAnsi="Book Antiqua"/>
          <w:vertAlign w:val="superscript"/>
          <w:lang w:val="en-US"/>
        </w:rPr>
        <w:t>3</w:t>
      </w:r>
      <w:r w:rsidRPr="00786942">
        <w:rPr>
          <w:rFonts w:ascii="Book Antiqua" w:hAnsi="Book Antiqua"/>
          <w:vertAlign w:val="superscript"/>
          <w:lang w:val="en-US"/>
        </w:rPr>
        <w:t>]</w:t>
      </w:r>
      <w:r w:rsidRPr="00786942">
        <w:rPr>
          <w:rFonts w:ascii="Book Antiqua" w:hAnsi="Book Antiqua"/>
          <w:lang w:val="en-US"/>
        </w:rPr>
        <w:t xml:space="preserve">, BALB/c mice treated with DEN and receiving either perindopril or interferon-beta or </w:t>
      </w:r>
      <w:r w:rsidR="00AE0388" w:rsidRPr="00786942">
        <w:rPr>
          <w:rFonts w:ascii="Book Antiqua" w:hAnsi="Book Antiqua"/>
          <w:lang w:val="en-US"/>
        </w:rPr>
        <w:t xml:space="preserve">a </w:t>
      </w:r>
      <w:r w:rsidRPr="00786942">
        <w:rPr>
          <w:rFonts w:ascii="Book Antiqua" w:hAnsi="Book Antiqua"/>
          <w:lang w:val="en-US"/>
        </w:rPr>
        <w:t>combination</w:t>
      </w:r>
      <w:r w:rsidR="00AE0388" w:rsidRPr="00786942">
        <w:rPr>
          <w:rFonts w:ascii="Book Antiqua" w:hAnsi="Book Antiqua"/>
          <w:lang w:val="en-US"/>
        </w:rPr>
        <w:t xml:space="preserve"> of them</w:t>
      </w:r>
      <w:r w:rsidRPr="00786942">
        <w:rPr>
          <w:rFonts w:ascii="Book Antiqua" w:hAnsi="Book Antiqua"/>
          <w:lang w:val="en-US"/>
        </w:rPr>
        <w:t xml:space="preserve"> experienced a substantial reduction </w:t>
      </w:r>
      <w:r w:rsidR="00AE0388" w:rsidRPr="00786942">
        <w:rPr>
          <w:rFonts w:ascii="Book Antiqua" w:hAnsi="Book Antiqua"/>
          <w:lang w:val="en-US"/>
        </w:rPr>
        <w:t xml:space="preserve">in </w:t>
      </w:r>
      <w:r w:rsidRPr="00786942">
        <w:rPr>
          <w:rFonts w:ascii="Book Antiqua" w:hAnsi="Book Antiqua"/>
          <w:lang w:val="en-US"/>
        </w:rPr>
        <w:t>the number of nodules/liver that was maximal (less than one nodule/liver) in the group receiving both drugs. These findings paralleled the reduction of CD31-mRNA and the increase of the apoptotic index within nodules. In another study of the same group</w:t>
      </w:r>
      <w:r w:rsidRPr="00786942">
        <w:rPr>
          <w:rFonts w:ascii="Book Antiqua" w:hAnsi="Book Antiqua"/>
          <w:vertAlign w:val="superscript"/>
          <w:lang w:val="en-US"/>
        </w:rPr>
        <w:t>[3</w:t>
      </w:r>
      <w:r w:rsidR="00B20921" w:rsidRPr="00786942">
        <w:rPr>
          <w:rFonts w:ascii="Book Antiqua" w:hAnsi="Book Antiqua"/>
          <w:vertAlign w:val="superscript"/>
          <w:lang w:val="en-US"/>
        </w:rPr>
        <w:t>4</w:t>
      </w:r>
      <w:r w:rsidRPr="00786942">
        <w:rPr>
          <w:rFonts w:ascii="Book Antiqua" w:hAnsi="Book Antiqua"/>
          <w:vertAlign w:val="superscript"/>
          <w:lang w:val="en-US"/>
        </w:rPr>
        <w:t>]</w:t>
      </w:r>
      <w:r w:rsidRPr="00786942">
        <w:rPr>
          <w:rFonts w:ascii="Book Antiqua" w:hAnsi="Book Antiqua"/>
          <w:lang w:val="en-US"/>
        </w:rPr>
        <w:t xml:space="preserve"> perindopril, given at low or high doses, did not influence the production of VEGF in cultured endothelial cells but was able to suppress their migration and formation of tubules. In the same study, perindopril hampered the development of preneoplastic liver lesions in DEN-treated animals, probably induced by the suppression of </w:t>
      </w:r>
      <w:r w:rsidR="004672F6" w:rsidRPr="00786942">
        <w:rPr>
          <w:rFonts w:ascii="Book Antiqua" w:hAnsi="Book Antiqua"/>
          <w:lang w:val="en-US"/>
        </w:rPr>
        <w:t>CD31, which</w:t>
      </w:r>
      <w:r w:rsidRPr="00786942">
        <w:rPr>
          <w:rFonts w:ascii="Book Antiqua" w:hAnsi="Book Antiqua"/>
          <w:lang w:val="en-US"/>
        </w:rPr>
        <w:t xml:space="preserve"> paralleled the reduction of the number of lesions.</w:t>
      </w:r>
    </w:p>
    <w:p w:rsidR="0099677A" w:rsidRPr="00EF2841" w:rsidRDefault="0099677A" w:rsidP="00154F7D">
      <w:pPr>
        <w:adjustRightInd w:val="0"/>
        <w:snapToGrid w:val="0"/>
        <w:spacing w:line="360" w:lineRule="auto"/>
        <w:ind w:right="0"/>
        <w:rPr>
          <w:rFonts w:ascii="Book Antiqua" w:eastAsia="宋体" w:hAnsi="Book Antiqua" w:hint="eastAsia"/>
          <w:lang w:val="en-US" w:eastAsia="zh-CN"/>
        </w:rPr>
      </w:pPr>
    </w:p>
    <w:p w:rsidR="004E7F25" w:rsidRPr="0099677A" w:rsidRDefault="004E7F25" w:rsidP="00330DC5">
      <w:pPr>
        <w:adjustRightInd w:val="0"/>
        <w:snapToGrid w:val="0"/>
        <w:spacing w:line="360" w:lineRule="auto"/>
        <w:ind w:right="0"/>
        <w:outlineLvl w:val="0"/>
        <w:rPr>
          <w:rFonts w:ascii="Book Antiqua" w:hAnsi="Book Antiqua"/>
          <w:b/>
          <w:i/>
          <w:lang w:val="en-US"/>
        </w:rPr>
      </w:pPr>
      <w:r w:rsidRPr="0099677A">
        <w:rPr>
          <w:rFonts w:ascii="Book Antiqua" w:hAnsi="Book Antiqua"/>
          <w:b/>
          <w:i/>
          <w:lang w:val="en-US"/>
        </w:rPr>
        <w:t>Other models</w:t>
      </w:r>
    </w:p>
    <w:p w:rsidR="004E7F25" w:rsidRPr="00786942" w:rsidRDefault="004E7F25" w:rsidP="00786942">
      <w:pPr>
        <w:adjustRightInd w:val="0"/>
        <w:snapToGrid w:val="0"/>
        <w:spacing w:line="360" w:lineRule="auto"/>
        <w:ind w:right="0"/>
        <w:rPr>
          <w:rFonts w:ascii="Book Antiqua" w:hAnsi="Book Antiqua"/>
          <w:lang w:val="en-US"/>
        </w:rPr>
      </w:pPr>
      <w:r w:rsidRPr="00786942">
        <w:rPr>
          <w:rFonts w:ascii="Book Antiqua" w:hAnsi="Book Antiqua"/>
          <w:lang w:val="en-US"/>
        </w:rPr>
        <w:t xml:space="preserve">Several studies (Table 3) adopted a xenograft model in which in BALB/c mice received an injection of HCC cell lines. Using this model, Fan </w:t>
      </w:r>
      <w:bookmarkStart w:id="59" w:name="OLE_LINK674"/>
      <w:r w:rsidRPr="0099677A">
        <w:rPr>
          <w:rFonts w:ascii="Book Antiqua" w:hAnsi="Book Antiqua"/>
          <w:i/>
          <w:lang w:val="en-US"/>
        </w:rPr>
        <w:t>et al</w:t>
      </w:r>
      <w:bookmarkEnd w:id="59"/>
      <w:r w:rsidRPr="00786942">
        <w:rPr>
          <w:rFonts w:ascii="Book Antiqua" w:hAnsi="Book Antiqua"/>
          <w:vertAlign w:val="superscript"/>
          <w:lang w:val="en-US"/>
        </w:rPr>
        <w:t>[3</w:t>
      </w:r>
      <w:r w:rsidR="00B20921" w:rsidRPr="00786942">
        <w:rPr>
          <w:rFonts w:ascii="Book Antiqua" w:hAnsi="Book Antiqua"/>
          <w:vertAlign w:val="superscript"/>
          <w:lang w:val="en-US"/>
        </w:rPr>
        <w:t>5</w:t>
      </w:r>
      <w:r w:rsidRPr="00786942">
        <w:rPr>
          <w:rFonts w:ascii="Book Antiqua" w:hAnsi="Book Antiqua"/>
          <w:vertAlign w:val="superscript"/>
          <w:lang w:val="en-US"/>
        </w:rPr>
        <w:t>]</w:t>
      </w:r>
      <w:r w:rsidRPr="00786942">
        <w:rPr>
          <w:rFonts w:ascii="Book Antiqua" w:hAnsi="Book Antiqua"/>
          <w:lang w:val="en-US"/>
        </w:rPr>
        <w:t xml:space="preserve"> demonstrated an enhanced immunohistochemical expression of angiotensin receptor 1 (AT1R) in cancer tissue, which correlated with VEGF receptor A. The administration of candesartan reduced the mean diameter of tumors and suppressed AT1R expression and decreased microvascular density. The authors</w:t>
      </w:r>
      <w:r w:rsidR="00AE0388" w:rsidRPr="00786942">
        <w:rPr>
          <w:rFonts w:ascii="Book Antiqua" w:hAnsi="Book Antiqua"/>
          <w:lang w:val="en-US"/>
        </w:rPr>
        <w:t xml:space="preserve"> then</w:t>
      </w:r>
      <w:r w:rsidRPr="00786942">
        <w:rPr>
          <w:rFonts w:ascii="Book Antiqua" w:hAnsi="Book Antiqua"/>
          <w:lang w:val="en-US"/>
        </w:rPr>
        <w:t xml:space="preserve"> examined the effects of angiotensin II and candesartan on the expression of AT1R protein in SMMC-7721 and HepG2 cell lines using Western blotting and found that candesartan down-regulated the expression of AT1R protein induced by angiotensin II with a dose-dependent relationship, as well as angiotensin II-induced production of VEGF-A. On the other hand, when angiotensin receptor 2 was transduced by an adenoviral vector in HCC cell lines and murine orthotropic liver graft, it</w:t>
      </w:r>
      <w:r w:rsidRPr="00786942">
        <w:rPr>
          <w:rFonts w:ascii="Book Antiqua" w:hAnsi="Book Antiqua"/>
          <w:b/>
          <w:lang w:val="en-US"/>
        </w:rPr>
        <w:t xml:space="preserve"> </w:t>
      </w:r>
      <w:r w:rsidR="00EB6410" w:rsidRPr="00786942">
        <w:rPr>
          <w:rFonts w:ascii="Book Antiqua" w:hAnsi="Book Antiqua"/>
          <w:lang w:val="en-US"/>
        </w:rPr>
        <w:t xml:space="preserve">inhibited </w:t>
      </w:r>
      <w:r w:rsidRPr="00786942">
        <w:rPr>
          <w:rFonts w:ascii="Book Antiqua" w:hAnsi="Book Antiqua"/>
          <w:lang w:val="en-US"/>
        </w:rPr>
        <w:t>cell proliferation with a significant decrease of S-phase cells and an increase of G1-phase cells, probably mediated by the alteration of expression of CDK4 and cyclinD1</w:t>
      </w:r>
      <w:r w:rsidRPr="00786942">
        <w:rPr>
          <w:rFonts w:ascii="Book Antiqua" w:hAnsi="Book Antiqua"/>
          <w:vertAlign w:val="superscript"/>
          <w:lang w:val="en-US"/>
        </w:rPr>
        <w:t>[3</w:t>
      </w:r>
      <w:r w:rsidR="00B20921" w:rsidRPr="00786942">
        <w:rPr>
          <w:rFonts w:ascii="Book Antiqua" w:hAnsi="Book Antiqua"/>
          <w:vertAlign w:val="superscript"/>
          <w:lang w:val="en-US"/>
        </w:rPr>
        <w:t>6</w:t>
      </w:r>
      <w:r w:rsidRPr="00786942">
        <w:rPr>
          <w:rFonts w:ascii="Book Antiqua" w:hAnsi="Book Antiqua"/>
          <w:vertAlign w:val="superscript"/>
          <w:lang w:val="en-US"/>
        </w:rPr>
        <w:t>]</w:t>
      </w:r>
      <w:r w:rsidRPr="00786942">
        <w:rPr>
          <w:rFonts w:ascii="Book Antiqua" w:hAnsi="Book Antiqua"/>
          <w:lang w:val="en-US"/>
        </w:rPr>
        <w:t>. Therefore</w:t>
      </w:r>
      <w:r w:rsidR="00AE0388" w:rsidRPr="00786942">
        <w:rPr>
          <w:rFonts w:ascii="Book Antiqua" w:hAnsi="Book Antiqua"/>
          <w:lang w:val="en-US"/>
        </w:rPr>
        <w:t>,</w:t>
      </w:r>
      <w:r w:rsidRPr="00786942">
        <w:rPr>
          <w:rFonts w:ascii="Book Antiqua" w:hAnsi="Book Antiqua"/>
          <w:lang w:val="en-US"/>
        </w:rPr>
        <w:t xml:space="preserve"> it was hypothesized that apoptosis was secondary to activation of p38 MAPK, pJNK, caspase-8 and caspase-3 and inactivation of pp42/44 MAPK (Erk1/2). In another model</w:t>
      </w:r>
      <w:r w:rsidR="00D41B42" w:rsidRPr="00786942">
        <w:rPr>
          <w:rFonts w:ascii="Book Antiqua" w:hAnsi="Book Antiqua"/>
          <w:lang w:val="en-US"/>
        </w:rPr>
        <w:t>, using</w:t>
      </w:r>
      <w:r w:rsidRPr="00786942">
        <w:rPr>
          <w:rFonts w:ascii="Book Antiqua" w:hAnsi="Book Antiqua"/>
          <w:lang w:val="en-US"/>
        </w:rPr>
        <w:t xml:space="preserve"> </w:t>
      </w:r>
      <w:r w:rsidR="00D41B42" w:rsidRPr="00786942">
        <w:rPr>
          <w:rFonts w:ascii="Book Antiqua" w:hAnsi="Book Antiqua"/>
          <w:lang w:val="en-US"/>
        </w:rPr>
        <w:t xml:space="preserve">the </w:t>
      </w:r>
      <w:r w:rsidRPr="00786942">
        <w:rPr>
          <w:rFonts w:ascii="Book Antiqua" w:hAnsi="Book Antiqua"/>
          <w:lang w:val="en-US"/>
        </w:rPr>
        <w:t>BNL-HCC cell line transferred into BALB/c mice</w:t>
      </w:r>
      <w:r w:rsidRPr="00786942">
        <w:rPr>
          <w:rFonts w:ascii="Book Antiqua" w:hAnsi="Book Antiqua"/>
          <w:vertAlign w:val="superscript"/>
          <w:lang w:val="en-US"/>
        </w:rPr>
        <w:t>[3</w:t>
      </w:r>
      <w:r w:rsidR="00B20921" w:rsidRPr="00786942">
        <w:rPr>
          <w:rFonts w:ascii="Book Antiqua" w:hAnsi="Book Antiqua"/>
          <w:vertAlign w:val="superscript"/>
          <w:lang w:val="en-US"/>
        </w:rPr>
        <w:t>7</w:t>
      </w:r>
      <w:r w:rsidRPr="00786942">
        <w:rPr>
          <w:rFonts w:ascii="Book Antiqua" w:hAnsi="Book Antiqua"/>
          <w:vertAlign w:val="superscript"/>
          <w:lang w:val="en-US"/>
        </w:rPr>
        <w:t>]</w:t>
      </w:r>
      <w:r w:rsidRPr="00786942">
        <w:rPr>
          <w:rFonts w:ascii="Book Antiqua" w:hAnsi="Book Antiqua"/>
          <w:lang w:val="en-US"/>
        </w:rPr>
        <w:t xml:space="preserve">, both perindopril and interferon-beta reduced the volume of HCC, with an even higher magnitude when </w:t>
      </w:r>
      <w:r w:rsidR="00AE0388" w:rsidRPr="00786942">
        <w:rPr>
          <w:rFonts w:ascii="Book Antiqua" w:hAnsi="Book Antiqua"/>
          <w:lang w:val="en-US"/>
        </w:rPr>
        <w:t>administered together</w:t>
      </w:r>
      <w:r w:rsidRPr="00786942">
        <w:rPr>
          <w:rFonts w:ascii="Book Antiqua" w:hAnsi="Book Antiqua"/>
          <w:lang w:val="en-US"/>
        </w:rPr>
        <w:t xml:space="preserve">. Additionally, the authors </w:t>
      </w:r>
      <w:r w:rsidR="00AE0388" w:rsidRPr="00786942">
        <w:rPr>
          <w:rFonts w:ascii="Book Antiqua" w:hAnsi="Book Antiqua"/>
          <w:lang w:val="en-US"/>
        </w:rPr>
        <w:t xml:space="preserve">showed </w:t>
      </w:r>
      <w:r w:rsidRPr="00786942">
        <w:rPr>
          <w:rFonts w:ascii="Book Antiqua" w:hAnsi="Book Antiqua"/>
          <w:lang w:val="en-US"/>
        </w:rPr>
        <w:t xml:space="preserve">that </w:t>
      </w:r>
      <w:r w:rsidR="00D41B42" w:rsidRPr="00786942">
        <w:rPr>
          <w:rFonts w:ascii="Book Antiqua" w:hAnsi="Book Antiqua"/>
          <w:lang w:val="en-US"/>
        </w:rPr>
        <w:t xml:space="preserve">this effect was mediated by </w:t>
      </w:r>
      <w:r w:rsidRPr="00786942">
        <w:rPr>
          <w:rFonts w:ascii="Book Antiqua" w:hAnsi="Book Antiqua"/>
          <w:lang w:val="en-US"/>
        </w:rPr>
        <w:t>the promotion of apoptosis</w:t>
      </w:r>
      <w:r w:rsidR="00D41B42" w:rsidRPr="00786942">
        <w:rPr>
          <w:rFonts w:ascii="Book Antiqua" w:hAnsi="Book Antiqua"/>
          <w:lang w:val="en-US"/>
        </w:rPr>
        <w:t>,</w:t>
      </w:r>
      <w:r w:rsidRPr="00786942">
        <w:rPr>
          <w:rFonts w:ascii="Book Antiqua" w:hAnsi="Book Antiqua"/>
          <w:lang w:val="en-US"/>
        </w:rPr>
        <w:t xml:space="preserve"> </w:t>
      </w:r>
      <w:r w:rsidR="00D41B42" w:rsidRPr="00786942">
        <w:rPr>
          <w:rFonts w:ascii="Book Antiqua" w:hAnsi="Book Antiqua"/>
          <w:lang w:val="en-US"/>
        </w:rPr>
        <w:t xml:space="preserve">the </w:t>
      </w:r>
      <w:r w:rsidRPr="00786942">
        <w:rPr>
          <w:rFonts w:ascii="Book Antiqua" w:hAnsi="Book Antiqua"/>
          <w:lang w:val="en-US"/>
        </w:rPr>
        <w:t xml:space="preserve">reduction of cell proliferation and </w:t>
      </w:r>
      <w:r w:rsidR="00D41B42" w:rsidRPr="00786942">
        <w:rPr>
          <w:rFonts w:ascii="Book Antiqua" w:hAnsi="Book Antiqua"/>
          <w:lang w:val="en-US"/>
        </w:rPr>
        <w:t xml:space="preserve">the </w:t>
      </w:r>
      <w:r w:rsidRPr="00786942">
        <w:rPr>
          <w:rFonts w:ascii="Book Antiqua" w:hAnsi="Book Antiqua"/>
          <w:lang w:val="en-US"/>
        </w:rPr>
        <w:t xml:space="preserve">inhibition of neo-angiogenesis </w:t>
      </w:r>
      <w:r w:rsidR="00AE0388" w:rsidRPr="00786942">
        <w:rPr>
          <w:rFonts w:ascii="Book Antiqua" w:hAnsi="Book Antiqua"/>
          <w:lang w:val="en-US"/>
        </w:rPr>
        <w:t xml:space="preserve">proven </w:t>
      </w:r>
      <w:r w:rsidRPr="00786942">
        <w:rPr>
          <w:rFonts w:ascii="Book Antiqua" w:hAnsi="Book Antiqua"/>
          <w:lang w:val="en-US"/>
        </w:rPr>
        <w:t xml:space="preserve">by the reduction of CD31 positive cells and the suppression of VEGF protein within the tumor. Yoshiji </w:t>
      </w:r>
      <w:r w:rsidRPr="00291D03">
        <w:rPr>
          <w:rFonts w:ascii="Book Antiqua" w:hAnsi="Book Antiqua"/>
          <w:i/>
          <w:lang w:val="en-US"/>
        </w:rPr>
        <w:t>et al</w:t>
      </w:r>
      <w:r w:rsidRPr="00786942">
        <w:rPr>
          <w:rFonts w:ascii="Book Antiqua" w:hAnsi="Book Antiqua"/>
          <w:vertAlign w:val="superscript"/>
          <w:lang w:val="en-US"/>
        </w:rPr>
        <w:t>[3</w:t>
      </w:r>
      <w:r w:rsidR="00B20921" w:rsidRPr="00786942">
        <w:rPr>
          <w:rFonts w:ascii="Book Antiqua" w:hAnsi="Book Antiqua"/>
          <w:vertAlign w:val="superscript"/>
          <w:lang w:val="en-US"/>
        </w:rPr>
        <w:t>8</w:t>
      </w:r>
      <w:r w:rsidRPr="00786942">
        <w:rPr>
          <w:rFonts w:ascii="Book Antiqua" w:hAnsi="Book Antiqua"/>
          <w:vertAlign w:val="superscript"/>
          <w:lang w:val="en-US"/>
        </w:rPr>
        <w:t>]</w:t>
      </w:r>
      <w:r w:rsidRPr="00786942">
        <w:rPr>
          <w:rFonts w:ascii="Book Antiqua" w:hAnsi="Book Antiqua"/>
          <w:lang w:val="en-US"/>
        </w:rPr>
        <w:t xml:space="preserve"> used a retroviral vector to enhance the expression of VEGF in</w:t>
      </w:r>
      <w:r w:rsidR="00AE0388" w:rsidRPr="00786942">
        <w:rPr>
          <w:rFonts w:ascii="Book Antiqua" w:hAnsi="Book Antiqua"/>
          <w:lang w:val="en-US"/>
        </w:rPr>
        <w:t xml:space="preserve"> the</w:t>
      </w:r>
      <w:r w:rsidRPr="00786942">
        <w:rPr>
          <w:rFonts w:ascii="Book Antiqua" w:hAnsi="Book Antiqua"/>
          <w:lang w:val="en-US"/>
        </w:rPr>
        <w:t xml:space="preserve"> BNL-HCC cell line. In this way, they found that perindopril reversed the production of VEGF and that the ability of cells to migrate was directly dependent on VEGF levels. When these manipulated cells were injected in BALB/c mice, they discovered that VEGF over-expression within HCC did not modify the angiotensin-2 expression, thus suggesting that, in this model, VEGF-mediated tumor growth was not influenced by angiotensin 2. </w:t>
      </w:r>
      <w:r w:rsidR="00AE0388" w:rsidRPr="00786942">
        <w:rPr>
          <w:rFonts w:ascii="Book Antiqua" w:hAnsi="Book Antiqua"/>
          <w:lang w:val="en-US"/>
        </w:rPr>
        <w:t>Lastly</w:t>
      </w:r>
      <w:r w:rsidRPr="00786942">
        <w:rPr>
          <w:rFonts w:ascii="Book Antiqua" w:hAnsi="Book Antiqua"/>
          <w:lang w:val="en-US"/>
        </w:rPr>
        <w:t>, similarly to previous studies, it was reported that perindopril inhibited CD31 expression. The same group</w:t>
      </w:r>
      <w:r w:rsidRPr="00786942">
        <w:rPr>
          <w:rFonts w:ascii="Book Antiqua" w:hAnsi="Book Antiqua"/>
          <w:vertAlign w:val="superscript"/>
          <w:lang w:val="en-US"/>
        </w:rPr>
        <w:t>[3</w:t>
      </w:r>
      <w:r w:rsidR="00B20921" w:rsidRPr="00786942">
        <w:rPr>
          <w:rFonts w:ascii="Book Antiqua" w:hAnsi="Book Antiqua"/>
          <w:vertAlign w:val="superscript"/>
          <w:lang w:val="en-US"/>
        </w:rPr>
        <w:t>9</w:t>
      </w:r>
      <w:r w:rsidRPr="00786942">
        <w:rPr>
          <w:rFonts w:ascii="Book Antiqua" w:hAnsi="Book Antiqua"/>
          <w:vertAlign w:val="superscript"/>
          <w:lang w:val="en-US"/>
        </w:rPr>
        <w:t>]</w:t>
      </w:r>
      <w:r w:rsidRPr="00786942">
        <w:rPr>
          <w:rFonts w:ascii="Book Antiqua" w:hAnsi="Book Antiqua"/>
          <w:lang w:val="en-US"/>
        </w:rPr>
        <w:t xml:space="preserve"> used the BNL-HCC allograft model in BALB/c mice to </w:t>
      </w:r>
      <w:r w:rsidR="00AE0388" w:rsidRPr="00786942">
        <w:rPr>
          <w:rFonts w:ascii="Book Antiqua" w:hAnsi="Book Antiqua"/>
          <w:lang w:val="en-US"/>
        </w:rPr>
        <w:t xml:space="preserve">show </w:t>
      </w:r>
      <w:r w:rsidRPr="00786942">
        <w:rPr>
          <w:rFonts w:ascii="Book Antiqua" w:hAnsi="Book Antiqua"/>
          <w:lang w:val="en-US"/>
        </w:rPr>
        <w:t>that perindopril, temocapril, and captopril had an inhibitory effect on total HCC volume burden, although the effect of perindopril was much stronger than other ACE-Is. Finally, they showed that perindopril reduced mRNA-VEGF expression and ACE enzyme activity, suppressed microvessel density and inhibited tubule formation in endothelial cells.</w:t>
      </w:r>
    </w:p>
    <w:p w:rsidR="004E7F25" w:rsidRPr="00786942" w:rsidRDefault="00291D03" w:rsidP="00786942">
      <w:pPr>
        <w:adjustRightInd w:val="0"/>
        <w:snapToGrid w:val="0"/>
        <w:spacing w:line="360" w:lineRule="auto"/>
        <w:ind w:right="0"/>
        <w:rPr>
          <w:rFonts w:ascii="Book Antiqua" w:hAnsi="Book Antiqua"/>
          <w:lang w:val="en-US"/>
        </w:rPr>
      </w:pPr>
      <w:r>
        <w:rPr>
          <w:rFonts w:ascii="Book Antiqua" w:hAnsi="Book Antiqua"/>
          <w:lang w:val="en-US"/>
        </w:rPr>
        <w:t xml:space="preserve">  </w:t>
      </w:r>
      <w:r w:rsidR="004E7F25" w:rsidRPr="00786942">
        <w:rPr>
          <w:rFonts w:ascii="Book Antiqua" w:hAnsi="Book Antiqua"/>
          <w:lang w:val="en-US"/>
        </w:rPr>
        <w:t>The long-term administration of a choline-deficient</w:t>
      </w:r>
      <w:r w:rsidR="00D41B42" w:rsidRPr="00786942">
        <w:rPr>
          <w:rFonts w:ascii="Book Antiqua" w:hAnsi="Book Antiqua"/>
          <w:lang w:val="en-US"/>
        </w:rPr>
        <w:t>/</w:t>
      </w:r>
      <w:r w:rsidR="004E7F25" w:rsidRPr="00786942">
        <w:rPr>
          <w:rFonts w:ascii="Book Antiqua" w:hAnsi="Book Antiqua"/>
          <w:lang w:val="en-US"/>
        </w:rPr>
        <w:t xml:space="preserve">low-methionine diet is another way of inducing steatohepatitis, liver cirrhosis, and HCC in rodents. Using this model, Tamaki </w:t>
      </w:r>
      <w:r w:rsidR="004E7F25" w:rsidRPr="00291D03">
        <w:rPr>
          <w:rFonts w:ascii="Book Antiqua" w:hAnsi="Book Antiqua"/>
          <w:i/>
          <w:lang w:val="en-US"/>
        </w:rPr>
        <w:t>et al</w:t>
      </w:r>
      <w:r w:rsidR="004E7F25" w:rsidRPr="00786942">
        <w:rPr>
          <w:rFonts w:ascii="Book Antiqua" w:hAnsi="Book Antiqua"/>
          <w:vertAlign w:val="superscript"/>
          <w:lang w:val="en-US"/>
        </w:rPr>
        <w:t>[</w:t>
      </w:r>
      <w:r w:rsidR="00B20921" w:rsidRPr="00786942">
        <w:rPr>
          <w:rFonts w:ascii="Book Antiqua" w:hAnsi="Book Antiqua"/>
          <w:vertAlign w:val="superscript"/>
          <w:lang w:val="en-US"/>
        </w:rPr>
        <w:t>40</w:t>
      </w:r>
      <w:r w:rsidR="004E7F25" w:rsidRPr="00786942">
        <w:rPr>
          <w:rFonts w:ascii="Book Antiqua" w:hAnsi="Book Antiqua"/>
          <w:vertAlign w:val="superscript"/>
          <w:lang w:val="en-US"/>
        </w:rPr>
        <w:t>]</w:t>
      </w:r>
      <w:r w:rsidR="004E7F25" w:rsidRPr="00786942">
        <w:rPr>
          <w:rFonts w:ascii="Book Antiqua" w:hAnsi="Book Antiqua"/>
          <w:lang w:val="en-US"/>
        </w:rPr>
        <w:t xml:space="preserve"> showed that none of the male Wistar rats receiving telmisartan developed HCC</w:t>
      </w:r>
      <w:r w:rsidR="00EB6410" w:rsidRPr="00786942">
        <w:rPr>
          <w:rFonts w:ascii="Book Antiqua" w:hAnsi="Book Antiqua"/>
          <w:lang w:val="en-US"/>
        </w:rPr>
        <w:t xml:space="preserve">, while </w:t>
      </w:r>
      <w:r w:rsidR="004E7F25" w:rsidRPr="00786942">
        <w:rPr>
          <w:rFonts w:ascii="Book Antiqua" w:hAnsi="Book Antiqua"/>
          <w:lang w:val="en-US"/>
        </w:rPr>
        <w:t>54.6% of the control rats</w:t>
      </w:r>
      <w:r w:rsidR="00EB6410" w:rsidRPr="00786942">
        <w:rPr>
          <w:rFonts w:ascii="Book Antiqua" w:hAnsi="Book Antiqua"/>
          <w:lang w:val="en-US"/>
        </w:rPr>
        <w:t xml:space="preserve"> developed the tumor</w:t>
      </w:r>
      <w:r w:rsidR="004E7F25" w:rsidRPr="00786942">
        <w:rPr>
          <w:rFonts w:ascii="Book Antiqua" w:hAnsi="Book Antiqua"/>
          <w:lang w:val="en-US"/>
        </w:rPr>
        <w:t xml:space="preserve">. The latter condition was associated with an increase of </w:t>
      </w:r>
      <w:r w:rsidR="000E1C16">
        <w:rPr>
          <w:rFonts w:ascii="Book Antiqua" w:hAnsi="Book Antiqua"/>
          <w:lang w:val="en-US"/>
        </w:rPr>
        <w:t>HIF-1</w:t>
      </w:r>
      <w:r w:rsidR="000E1C16">
        <w:rPr>
          <w:rFonts w:ascii="Book Antiqua" w:hAnsi="Book Antiqua"/>
          <w:lang w:val="el-GR"/>
        </w:rPr>
        <w:t>α</w:t>
      </w:r>
      <w:r w:rsidR="004E7F25" w:rsidRPr="00786942">
        <w:rPr>
          <w:rFonts w:ascii="Book Antiqua" w:hAnsi="Book Antiqua"/>
          <w:lang w:val="en-US"/>
        </w:rPr>
        <w:t xml:space="preserve"> </w:t>
      </w:r>
      <w:r w:rsidR="00AE0388" w:rsidRPr="00786942">
        <w:rPr>
          <w:rFonts w:ascii="Book Antiqua" w:hAnsi="Book Antiqua"/>
          <w:lang w:val="en-US"/>
        </w:rPr>
        <w:t xml:space="preserve">and </w:t>
      </w:r>
      <w:r w:rsidR="004E7F25" w:rsidRPr="00786942">
        <w:rPr>
          <w:rFonts w:ascii="Book Antiqua" w:hAnsi="Book Antiqua"/>
          <w:lang w:val="en-US"/>
        </w:rPr>
        <w:t xml:space="preserve">protein and </w:t>
      </w:r>
      <w:r>
        <w:rPr>
          <w:rFonts w:ascii="Book Antiqua" w:hAnsi="Book Antiqua"/>
          <w:lang w:val="en-US"/>
        </w:rPr>
        <w:t>VEGF</w:t>
      </w:r>
      <w:r w:rsidR="004E7F25" w:rsidRPr="00786942">
        <w:rPr>
          <w:rFonts w:ascii="Book Antiqua" w:hAnsi="Book Antiqua"/>
          <w:lang w:val="en-US"/>
        </w:rPr>
        <w:t xml:space="preserve"> mRNA. Furthermore, telmisartan inhibited the up-regulation of TGF-β1, connective tissue growth factor (CTGF), and TNF-α mRNA levels. The same diet-induced HCC model was adopted by Noguchi</w:t>
      </w:r>
      <w:r w:rsidR="004E7F25" w:rsidRPr="00786942">
        <w:rPr>
          <w:rFonts w:ascii="Book Antiqua" w:hAnsi="Book Antiqua"/>
          <w:vertAlign w:val="superscript"/>
          <w:lang w:val="en-US"/>
        </w:rPr>
        <w:t>[4</w:t>
      </w:r>
      <w:r w:rsidR="00B20921" w:rsidRPr="00786942">
        <w:rPr>
          <w:rFonts w:ascii="Book Antiqua" w:hAnsi="Book Antiqua"/>
          <w:vertAlign w:val="superscript"/>
          <w:lang w:val="en-US"/>
        </w:rPr>
        <w:t>1</w:t>
      </w:r>
      <w:r w:rsidR="004E7F25" w:rsidRPr="00786942">
        <w:rPr>
          <w:rFonts w:ascii="Book Antiqua" w:hAnsi="Book Antiqua"/>
          <w:vertAlign w:val="superscript"/>
          <w:lang w:val="en-US"/>
        </w:rPr>
        <w:t>]</w:t>
      </w:r>
      <w:r w:rsidR="004E7F25" w:rsidRPr="00786942">
        <w:rPr>
          <w:rFonts w:ascii="Book Antiqua" w:hAnsi="Book Antiqua"/>
          <w:lang w:val="en-US"/>
        </w:rPr>
        <w:t>. In this case, male Fisher-344 rats were treated with perindopril and eplerenone, a selective aldosterone blocker. Such drugs reduced both the liver fibrosis index and TGF-β. When administered in combination, they reduced the density of hepatic stellate cells and inhibited their proliferation through the reduction of aldosterone and angiotensin 2. Finally, both eplerenone and aldosterone attenuated the CD31 positive vessels in the liver along with inhibition of pre-neoplastic lesions (less than 4 foci/cm</w:t>
      </w:r>
      <w:r w:rsidR="004E7F25" w:rsidRPr="00291D03">
        <w:rPr>
          <w:rFonts w:ascii="Book Antiqua" w:hAnsi="Book Antiqua"/>
          <w:vertAlign w:val="superscript"/>
          <w:lang w:val="en-US"/>
        </w:rPr>
        <w:t>2</w:t>
      </w:r>
      <w:r w:rsidR="004E7F25" w:rsidRPr="00786942">
        <w:rPr>
          <w:rFonts w:ascii="Book Antiqua" w:hAnsi="Book Antiqua"/>
          <w:lang w:val="en-US"/>
        </w:rPr>
        <w:t xml:space="preserve"> </w:t>
      </w:r>
      <w:r>
        <w:rPr>
          <w:rFonts w:ascii="Book Antiqua" w:hAnsi="Book Antiqua"/>
          <w:i/>
          <w:lang w:val="en-US"/>
        </w:rPr>
        <w:t>vs</w:t>
      </w:r>
      <w:r w:rsidR="004E7F25" w:rsidRPr="00786942">
        <w:rPr>
          <w:rFonts w:ascii="Book Antiqua" w:hAnsi="Book Antiqua"/>
          <w:lang w:val="en-US"/>
        </w:rPr>
        <w:t xml:space="preserve"> about 8 foci/cm</w:t>
      </w:r>
      <w:r w:rsidR="004E7F25" w:rsidRPr="00291D03">
        <w:rPr>
          <w:rFonts w:ascii="Book Antiqua" w:hAnsi="Book Antiqua"/>
          <w:vertAlign w:val="superscript"/>
          <w:lang w:val="en-US"/>
        </w:rPr>
        <w:t>2</w:t>
      </w:r>
      <w:r w:rsidR="004E7F25" w:rsidRPr="00786942">
        <w:rPr>
          <w:rFonts w:ascii="Book Antiqua" w:hAnsi="Book Antiqua"/>
          <w:lang w:val="en-US"/>
        </w:rPr>
        <w:t xml:space="preserve"> in the control group) and, even in this report, a suppression of VEGF was recorded. Therefore, authors concluded that the effects of eplerenone and ACE-I were not simply due to the suppression of </w:t>
      </w:r>
      <w:r w:rsidR="00330DC5">
        <w:rPr>
          <w:rFonts w:ascii="Book Antiqua" w:hAnsi="Book Antiqua"/>
          <w:lang w:val="en-US"/>
        </w:rPr>
        <w:t>RAS</w:t>
      </w:r>
      <w:r w:rsidR="004E7F25" w:rsidRPr="00786942">
        <w:rPr>
          <w:rFonts w:ascii="Book Antiqua" w:hAnsi="Book Antiqua"/>
          <w:lang w:val="en-US"/>
        </w:rPr>
        <w:t>, but other pathways, notably the hampering of the fibrosis process in this steatohepatitis model, could be involved.</w:t>
      </w:r>
    </w:p>
    <w:p w:rsidR="004E7F25" w:rsidRPr="00786942" w:rsidRDefault="00291D03" w:rsidP="00786942">
      <w:pPr>
        <w:adjustRightInd w:val="0"/>
        <w:snapToGrid w:val="0"/>
        <w:spacing w:line="360" w:lineRule="auto"/>
        <w:ind w:right="0"/>
        <w:rPr>
          <w:rFonts w:ascii="Book Antiqua" w:hAnsi="Book Antiqua"/>
          <w:lang w:val="en-US"/>
        </w:rPr>
      </w:pPr>
      <w:r>
        <w:rPr>
          <w:rFonts w:ascii="Book Antiqua" w:hAnsi="Book Antiqua"/>
          <w:lang w:val="en-US"/>
        </w:rPr>
        <w:t xml:space="preserve">  </w:t>
      </w:r>
      <w:r w:rsidR="0010271C" w:rsidRPr="00786942">
        <w:rPr>
          <w:rFonts w:ascii="Book Antiqua" w:hAnsi="Book Antiqua"/>
          <w:lang w:val="en-US"/>
        </w:rPr>
        <w:t>Since</w:t>
      </w:r>
      <w:r w:rsidR="004E7F25" w:rsidRPr="00786942">
        <w:rPr>
          <w:rFonts w:ascii="Book Antiqua" w:hAnsi="Book Antiqua"/>
          <w:lang w:val="en-US"/>
        </w:rPr>
        <w:t xml:space="preserve"> insulin resistance status promotes neovascularization and has been associated with a</w:t>
      </w:r>
      <w:r w:rsidR="0010271C" w:rsidRPr="00786942">
        <w:rPr>
          <w:rFonts w:ascii="Book Antiqua" w:hAnsi="Book Antiqua"/>
          <w:lang w:val="en-US"/>
        </w:rPr>
        <w:t>n increased risk of HCC,</w:t>
      </w:r>
      <w:r>
        <w:rPr>
          <w:rFonts w:ascii="Book Antiqua" w:hAnsi="Book Antiqua"/>
          <w:lang w:val="en-US"/>
        </w:rPr>
        <w:t xml:space="preserve"> Yoshiji </w:t>
      </w:r>
      <w:r w:rsidRPr="00291D03">
        <w:rPr>
          <w:rFonts w:ascii="Book Antiqua" w:hAnsi="Book Antiqua"/>
          <w:i/>
          <w:lang w:val="en-US"/>
        </w:rPr>
        <w:t>et al</w:t>
      </w:r>
      <w:r w:rsidR="004E7F25" w:rsidRPr="00786942">
        <w:rPr>
          <w:rFonts w:ascii="Book Antiqua" w:hAnsi="Book Antiqua"/>
          <w:vertAlign w:val="superscript"/>
          <w:lang w:val="en-US"/>
        </w:rPr>
        <w:t>[4</w:t>
      </w:r>
      <w:r w:rsidR="00513C94" w:rsidRPr="00786942">
        <w:rPr>
          <w:rFonts w:ascii="Book Antiqua" w:hAnsi="Book Antiqua"/>
          <w:vertAlign w:val="superscript"/>
          <w:lang w:val="en-US"/>
        </w:rPr>
        <w:t>2</w:t>
      </w:r>
      <w:r w:rsidR="004E7F25" w:rsidRPr="00786942">
        <w:rPr>
          <w:rFonts w:ascii="Book Antiqua" w:hAnsi="Book Antiqua"/>
          <w:vertAlign w:val="superscript"/>
          <w:lang w:val="en-US"/>
        </w:rPr>
        <w:t>]</w:t>
      </w:r>
      <w:r w:rsidR="004E7F25" w:rsidRPr="00786942">
        <w:rPr>
          <w:rFonts w:ascii="Book Antiqua" w:hAnsi="Book Antiqua"/>
          <w:lang w:val="en-US"/>
        </w:rPr>
        <w:t xml:space="preserve"> initiated hepatocarcinogenesis by DEN in obese diabetic </w:t>
      </w:r>
      <w:bookmarkStart w:id="60" w:name="OLE_LINK704"/>
      <w:bookmarkStart w:id="61" w:name="OLE_LINK705"/>
      <w:r w:rsidR="004E7F25" w:rsidRPr="00786942">
        <w:rPr>
          <w:rFonts w:ascii="Book Antiqua" w:hAnsi="Book Antiqua"/>
          <w:lang w:val="en-US"/>
        </w:rPr>
        <w:t>Otsuka Long-Evans Tokushima Fatty</w:t>
      </w:r>
      <w:bookmarkEnd w:id="60"/>
      <w:bookmarkEnd w:id="61"/>
      <w:r w:rsidR="004E7F25" w:rsidRPr="00786942">
        <w:rPr>
          <w:rFonts w:ascii="Book Antiqua" w:hAnsi="Book Antiqua"/>
          <w:lang w:val="en-US"/>
        </w:rPr>
        <w:t xml:space="preserve"> (OLETF) rats undergoing partial hepatectomy and used BCAAs and ACE-I, alone or in combination, at clinically comparable low doses, to assess the antineoplastic activity of these compounds. </w:t>
      </w:r>
      <w:r w:rsidR="004672F6" w:rsidRPr="00786942">
        <w:rPr>
          <w:rFonts w:ascii="Book Antiqua" w:hAnsi="Book Antiqua"/>
          <w:lang w:val="en-US"/>
        </w:rPr>
        <w:t>Both BCAAs and</w:t>
      </w:r>
      <w:r w:rsidR="004E7F25" w:rsidRPr="00786942">
        <w:rPr>
          <w:rFonts w:ascii="Book Antiqua" w:hAnsi="Book Antiqua"/>
          <w:lang w:val="en-US"/>
        </w:rPr>
        <w:t xml:space="preserve"> ACE-I significantly attenuated the development of dysplastic lesions, along with the suppression of both angiogenesis and VEGF expression. Used in combination, these two agents exerted an even more potent inhibitory effect. Finally, BCAAs and ACE-I induced an inhibitory effect on tubule formation i</w:t>
      </w:r>
      <w:r w:rsidR="0010271C" w:rsidRPr="00786942">
        <w:rPr>
          <w:rFonts w:ascii="Book Antiqua" w:hAnsi="Book Antiqua"/>
          <w:lang w:val="en-US"/>
        </w:rPr>
        <w:t xml:space="preserve">n cultured endothelial cells </w:t>
      </w:r>
      <w:r w:rsidR="000D63D0" w:rsidRPr="00786942">
        <w:rPr>
          <w:rFonts w:ascii="Book Antiqua" w:hAnsi="Book Antiqua"/>
          <w:lang w:val="en-US"/>
        </w:rPr>
        <w:t>showing</w:t>
      </w:r>
      <w:r w:rsidR="00AE0388" w:rsidRPr="00786942">
        <w:rPr>
          <w:rFonts w:ascii="Book Antiqua" w:hAnsi="Book Antiqua"/>
          <w:lang w:val="en-US"/>
        </w:rPr>
        <w:t xml:space="preserve"> a similar efficacy</w:t>
      </w:r>
      <w:r w:rsidR="0010271C" w:rsidRPr="00786942">
        <w:rPr>
          <w:rFonts w:ascii="Book Antiqua" w:hAnsi="Book Antiqua"/>
          <w:vertAlign w:val="superscript"/>
          <w:lang w:val="en-US"/>
        </w:rPr>
        <w:t>[42</w:t>
      </w:r>
      <w:r w:rsidR="004E7F25" w:rsidRPr="00786942">
        <w:rPr>
          <w:rFonts w:ascii="Book Antiqua" w:hAnsi="Book Antiqua"/>
          <w:vertAlign w:val="superscript"/>
          <w:lang w:val="en-US"/>
        </w:rPr>
        <w:t>]</w:t>
      </w:r>
      <w:r w:rsidR="004E7F25" w:rsidRPr="00786942">
        <w:rPr>
          <w:rFonts w:ascii="Book Antiqua" w:hAnsi="Book Antiqua"/>
          <w:lang w:val="en-US"/>
        </w:rPr>
        <w:t>.</w:t>
      </w:r>
    </w:p>
    <w:p w:rsidR="004E7F25" w:rsidRPr="00786942" w:rsidRDefault="00291D03" w:rsidP="00786942">
      <w:pPr>
        <w:adjustRightInd w:val="0"/>
        <w:snapToGrid w:val="0"/>
        <w:spacing w:line="360" w:lineRule="auto"/>
        <w:ind w:right="0"/>
        <w:rPr>
          <w:rFonts w:ascii="Book Antiqua" w:hAnsi="Book Antiqua"/>
          <w:lang w:val="en-US"/>
        </w:rPr>
      </w:pPr>
      <w:r>
        <w:rPr>
          <w:rFonts w:ascii="Book Antiqua" w:hAnsi="Book Antiqua"/>
          <w:lang w:val="en-US"/>
        </w:rPr>
        <w:t xml:space="preserve">  </w:t>
      </w:r>
      <w:r w:rsidR="0010271C" w:rsidRPr="00786942">
        <w:rPr>
          <w:rFonts w:ascii="Book Antiqua" w:hAnsi="Book Antiqua"/>
          <w:lang w:val="en-US"/>
        </w:rPr>
        <w:t xml:space="preserve">In </w:t>
      </w:r>
      <w:r w:rsidR="00AE0388" w:rsidRPr="00786942">
        <w:rPr>
          <w:rFonts w:ascii="Book Antiqua" w:hAnsi="Book Antiqua"/>
          <w:lang w:val="en-US"/>
        </w:rPr>
        <w:t xml:space="preserve">a </w:t>
      </w:r>
      <w:r w:rsidR="0010271C" w:rsidRPr="00786942">
        <w:rPr>
          <w:rFonts w:ascii="Book Antiqua" w:hAnsi="Book Antiqua"/>
          <w:lang w:val="en-US"/>
        </w:rPr>
        <w:t>further three studies</w:t>
      </w:r>
      <w:r w:rsidR="0010271C" w:rsidRPr="00786942">
        <w:rPr>
          <w:rFonts w:ascii="Book Antiqua" w:hAnsi="Book Antiqua"/>
          <w:vertAlign w:val="superscript"/>
          <w:lang w:val="en-US"/>
        </w:rPr>
        <w:t>[43-45</w:t>
      </w:r>
      <w:r w:rsidR="004E7F25" w:rsidRPr="00786942">
        <w:rPr>
          <w:rFonts w:ascii="Book Antiqua" w:hAnsi="Book Antiqua"/>
          <w:vertAlign w:val="superscript"/>
          <w:lang w:val="en-US"/>
        </w:rPr>
        <w:t>]</w:t>
      </w:r>
      <w:r w:rsidR="004E7F25" w:rsidRPr="00786942">
        <w:rPr>
          <w:rFonts w:ascii="Book Antiqua" w:hAnsi="Book Antiqua"/>
          <w:lang w:val="en-US"/>
        </w:rPr>
        <w:t xml:space="preserve">, the effect of ACE-Is or ARBs was tested only on cell lines. In particular, in HLF, HLE, HuH-7 and PLC/PRF/5 lines, it was demonstrated that telmisartan, but not valsartan, losartan and irbesartan, was able </w:t>
      </w:r>
      <w:r w:rsidR="0010271C" w:rsidRPr="00786942">
        <w:rPr>
          <w:rFonts w:ascii="Book Antiqua" w:hAnsi="Book Antiqua"/>
          <w:lang w:val="en-US"/>
        </w:rPr>
        <w:t>to arrest cell proliferation</w:t>
      </w:r>
      <w:r w:rsidR="0010271C" w:rsidRPr="00786942">
        <w:rPr>
          <w:rFonts w:ascii="Book Antiqua" w:hAnsi="Book Antiqua"/>
          <w:vertAlign w:val="superscript"/>
          <w:lang w:val="en-US"/>
        </w:rPr>
        <w:t>[43</w:t>
      </w:r>
      <w:r w:rsidR="004E7F25" w:rsidRPr="00786942">
        <w:rPr>
          <w:rFonts w:ascii="Book Antiqua" w:hAnsi="Book Antiqua"/>
          <w:vertAlign w:val="superscript"/>
          <w:lang w:val="en-US"/>
        </w:rPr>
        <w:t>]</w:t>
      </w:r>
      <w:r w:rsidR="004E7F25" w:rsidRPr="00786942">
        <w:rPr>
          <w:rFonts w:ascii="Book Antiqua" w:hAnsi="Book Antiqua"/>
          <w:lang w:val="en-US"/>
        </w:rPr>
        <w:t>. Similarly, only telmisartan blocked</w:t>
      </w:r>
      <w:r w:rsidR="00AE0388" w:rsidRPr="00786942">
        <w:rPr>
          <w:rFonts w:ascii="Book Antiqua" w:hAnsi="Book Antiqua"/>
          <w:lang w:val="en-US"/>
        </w:rPr>
        <w:t xml:space="preserve"> the</w:t>
      </w:r>
      <w:r w:rsidR="004E7F25" w:rsidRPr="00786942">
        <w:rPr>
          <w:rFonts w:ascii="Book Antiqua" w:hAnsi="Book Antiqua"/>
          <w:lang w:val="en-US"/>
        </w:rPr>
        <w:t xml:space="preserve"> cell cycle in phase</w:t>
      </w:r>
      <w:r w:rsidR="00AE0388" w:rsidRPr="00786942">
        <w:rPr>
          <w:rFonts w:ascii="Book Antiqua" w:hAnsi="Book Antiqua"/>
          <w:lang w:val="en-US"/>
        </w:rPr>
        <w:t xml:space="preserve"> G1</w:t>
      </w:r>
      <w:r w:rsidR="004E7F25" w:rsidRPr="00786942">
        <w:rPr>
          <w:rFonts w:ascii="Book Antiqua" w:hAnsi="Book Antiqua"/>
          <w:lang w:val="en-US"/>
        </w:rPr>
        <w:t xml:space="preserve"> and reduced the population of cells in phase</w:t>
      </w:r>
      <w:r w:rsidR="00AE0388" w:rsidRPr="00786942">
        <w:rPr>
          <w:rFonts w:ascii="Book Antiqua" w:hAnsi="Book Antiqua"/>
          <w:lang w:val="en-US"/>
        </w:rPr>
        <w:t xml:space="preserve"> S</w:t>
      </w:r>
      <w:r w:rsidR="004E7F25" w:rsidRPr="00786942">
        <w:rPr>
          <w:rFonts w:ascii="Book Antiqua" w:hAnsi="Book Antiqua"/>
          <w:lang w:val="en-US"/>
        </w:rPr>
        <w:t>, possibly by reducing the expression of cyclin D1 and cyclin E.</w:t>
      </w:r>
      <w:r w:rsidR="006A1A88" w:rsidRPr="00786942">
        <w:rPr>
          <w:rFonts w:ascii="Book Antiqua" w:hAnsi="Book Antiqua"/>
          <w:lang w:val="en-US"/>
        </w:rPr>
        <w:t xml:space="preserve"> </w:t>
      </w:r>
      <w:r w:rsidR="004E7F25" w:rsidRPr="00786942">
        <w:rPr>
          <w:rFonts w:ascii="Book Antiqua" w:hAnsi="Book Antiqua"/>
          <w:lang w:val="en-US"/>
        </w:rPr>
        <w:t>Additionally, it was demonstrated that the block of proliferation could be secondary to the induction of AMPK/mTOR signaling in HCC cells. Finally, telmisartan increased the levels of phospho-p53 and decreased the levels of survivin in HLF cells, thus promoting HCC apoptosis, and it also inhibited angiogenesis by increasing bFGF levels in HLF</w:t>
      </w:r>
      <w:r w:rsidR="00F00C1B" w:rsidRPr="00786942">
        <w:rPr>
          <w:rFonts w:ascii="Book Antiqua" w:hAnsi="Book Antiqua"/>
          <w:lang w:val="en-US"/>
        </w:rPr>
        <w:t xml:space="preserve"> </w:t>
      </w:r>
      <w:r w:rsidR="004E7F25" w:rsidRPr="00786942">
        <w:rPr>
          <w:rFonts w:ascii="Book Antiqua" w:hAnsi="Book Antiqua"/>
          <w:lang w:val="en-US"/>
        </w:rPr>
        <w:t>cells as detected by the protein array. In H</w:t>
      </w:r>
      <w:r w:rsidR="0010271C" w:rsidRPr="00786942">
        <w:rPr>
          <w:rFonts w:ascii="Book Antiqua" w:hAnsi="Book Antiqua"/>
          <w:lang w:val="en-US"/>
        </w:rPr>
        <w:t>ep3B and QGY-7703 cells</w:t>
      </w:r>
      <w:r w:rsidR="0010271C" w:rsidRPr="00786942">
        <w:rPr>
          <w:rFonts w:ascii="Book Antiqua" w:hAnsi="Book Antiqua"/>
          <w:vertAlign w:val="superscript"/>
          <w:lang w:val="en-US"/>
        </w:rPr>
        <w:t>[44</w:t>
      </w:r>
      <w:r w:rsidR="004E7F25" w:rsidRPr="00786942">
        <w:rPr>
          <w:rFonts w:ascii="Book Antiqua" w:hAnsi="Book Antiqua"/>
          <w:vertAlign w:val="superscript"/>
          <w:lang w:val="en-US"/>
        </w:rPr>
        <w:t>]</w:t>
      </w:r>
      <w:r w:rsidR="004E7F25" w:rsidRPr="00786942">
        <w:rPr>
          <w:rFonts w:ascii="Book Antiqua" w:hAnsi="Book Antiqua"/>
          <w:lang w:val="en-US"/>
        </w:rPr>
        <w:t xml:space="preserve">, it was shown that staphylococcal nuclease domain containing-1 (SND1) could </w:t>
      </w:r>
      <w:r w:rsidR="00AE0388" w:rsidRPr="00786942">
        <w:rPr>
          <w:rFonts w:ascii="Book Antiqua" w:hAnsi="Book Antiqua"/>
          <w:lang w:val="en-US"/>
        </w:rPr>
        <w:t xml:space="preserve">play </w:t>
      </w:r>
      <w:r w:rsidR="004E7F25" w:rsidRPr="00786942">
        <w:rPr>
          <w:rFonts w:ascii="Book Antiqua" w:hAnsi="Book Antiqua"/>
          <w:lang w:val="en-US"/>
        </w:rPr>
        <w:t>a role in promoting hepatocarcinogenesis and cell migration by triggering TGF-β signaling, a mechanism that was mediated by increasing activation of</w:t>
      </w:r>
      <w:r w:rsidR="00AE0388" w:rsidRPr="00786942">
        <w:rPr>
          <w:rFonts w:ascii="Book Antiqua" w:hAnsi="Book Antiqua"/>
          <w:lang w:val="en-US"/>
        </w:rPr>
        <w:t xml:space="preserve"> </w:t>
      </w:r>
      <w:r w:rsidR="004E7F25" w:rsidRPr="00786942">
        <w:rPr>
          <w:rFonts w:ascii="Book Antiqua" w:hAnsi="Book Antiqua"/>
          <w:lang w:val="en-US"/>
        </w:rPr>
        <w:t>angiotensin receptor 1. In this experiment, losartan reduced the migration and invasive potenti</w:t>
      </w:r>
      <w:r w:rsidR="0010271C" w:rsidRPr="00786942">
        <w:rPr>
          <w:rFonts w:ascii="Book Antiqua" w:hAnsi="Book Antiqua"/>
          <w:lang w:val="en-US"/>
        </w:rPr>
        <w:t xml:space="preserve">al of HCC cells. Cook </w:t>
      </w:r>
      <w:r w:rsidR="0010271C" w:rsidRPr="00291D03">
        <w:rPr>
          <w:rFonts w:ascii="Book Antiqua" w:hAnsi="Book Antiqua"/>
          <w:i/>
          <w:lang w:val="en-US"/>
        </w:rPr>
        <w:t>et al</w:t>
      </w:r>
      <w:r w:rsidR="0010271C" w:rsidRPr="00786942">
        <w:rPr>
          <w:rFonts w:ascii="Book Antiqua" w:hAnsi="Book Antiqua"/>
          <w:vertAlign w:val="superscript"/>
          <w:lang w:val="en-US"/>
        </w:rPr>
        <w:t>[45</w:t>
      </w:r>
      <w:r w:rsidR="004E7F25" w:rsidRPr="00786942">
        <w:rPr>
          <w:rFonts w:ascii="Book Antiqua" w:hAnsi="Book Antiqua"/>
          <w:vertAlign w:val="superscript"/>
          <w:lang w:val="en-US"/>
        </w:rPr>
        <w:t>]</w:t>
      </w:r>
      <w:r w:rsidR="00C900B4" w:rsidRPr="00786942">
        <w:rPr>
          <w:rFonts w:ascii="Book Antiqua" w:hAnsi="Book Antiqua"/>
          <w:lang w:val="en-US"/>
        </w:rPr>
        <w:t xml:space="preserve"> transfected Ang(-</w:t>
      </w:r>
      <w:r w:rsidR="004E7F25" w:rsidRPr="00786942">
        <w:rPr>
          <w:rFonts w:ascii="Book Antiqua" w:hAnsi="Book Antiqua"/>
          <w:lang w:val="en-US"/>
        </w:rPr>
        <w:t xml:space="preserve">S)Exp/pSVL plasmid, which causes the production of a stable, non-secreted form of angiotensinogen, in H4-II-E-C3 rat hepatoma cells. Thus, they discovered that this novel cell clone exhibited enhanced proliferation, which was blocked by losartan, but not by candesartan, although they were equally effective in competing with Ang II/AT1 receptor interactions on the cell surface. Furthermore, the addition of phenylarsine oxide, a molecule that blocks angiotensin receptor internalization, abolished the effect of losartan. Therefore, </w:t>
      </w:r>
      <w:r w:rsidR="00EB6410" w:rsidRPr="00786942">
        <w:rPr>
          <w:rFonts w:ascii="Book Antiqua" w:hAnsi="Book Antiqua"/>
          <w:lang w:val="en-US"/>
        </w:rPr>
        <w:t xml:space="preserve">the </w:t>
      </w:r>
      <w:r w:rsidR="004E7F25" w:rsidRPr="00786942">
        <w:rPr>
          <w:rFonts w:ascii="Book Antiqua" w:hAnsi="Book Antiqua"/>
          <w:lang w:val="en-US"/>
        </w:rPr>
        <w:t xml:space="preserve">authors concluded that losartan could be effective mainly on intranuclear angiotensin receptor.  </w:t>
      </w:r>
    </w:p>
    <w:p w:rsidR="00291D03" w:rsidRDefault="00291D03" w:rsidP="00330DC5">
      <w:pPr>
        <w:adjustRightInd w:val="0"/>
        <w:snapToGrid w:val="0"/>
        <w:spacing w:line="360" w:lineRule="auto"/>
        <w:ind w:right="0"/>
        <w:outlineLvl w:val="0"/>
        <w:rPr>
          <w:rFonts w:ascii="Book Antiqua" w:hAnsi="Book Antiqua"/>
          <w:lang w:val="en-US"/>
        </w:rPr>
      </w:pPr>
    </w:p>
    <w:p w:rsidR="00544861" w:rsidRPr="00786942" w:rsidRDefault="00544861" w:rsidP="00330DC5">
      <w:pPr>
        <w:adjustRightInd w:val="0"/>
        <w:snapToGrid w:val="0"/>
        <w:spacing w:line="360" w:lineRule="auto"/>
        <w:ind w:right="0"/>
        <w:outlineLvl w:val="0"/>
        <w:rPr>
          <w:rFonts w:ascii="Book Antiqua" w:hAnsi="Book Antiqua"/>
          <w:lang w:val="en-US"/>
        </w:rPr>
      </w:pPr>
      <w:r w:rsidRPr="00786942">
        <w:rPr>
          <w:rFonts w:ascii="Book Antiqua" w:hAnsi="Book Antiqua"/>
          <w:b/>
          <w:lang w:val="en-US"/>
        </w:rPr>
        <w:t>DISCUSSION</w:t>
      </w:r>
    </w:p>
    <w:p w:rsidR="0065586B" w:rsidRPr="00786942" w:rsidRDefault="00E3236E" w:rsidP="00786942">
      <w:pPr>
        <w:pStyle w:val="Paragrafoelenco1"/>
        <w:adjustRightInd w:val="0"/>
        <w:snapToGrid w:val="0"/>
        <w:spacing w:line="360" w:lineRule="auto"/>
        <w:ind w:left="0" w:right="0"/>
        <w:rPr>
          <w:rFonts w:ascii="Book Antiqua" w:hAnsi="Book Antiqua"/>
          <w:lang w:val="en-US"/>
        </w:rPr>
      </w:pPr>
      <w:r w:rsidRPr="00786942">
        <w:rPr>
          <w:rFonts w:ascii="Book Antiqua" w:hAnsi="Book Antiqua"/>
          <w:lang w:val="en-US"/>
        </w:rPr>
        <w:t xml:space="preserve">The interest </w:t>
      </w:r>
      <w:r w:rsidR="00AE0388" w:rsidRPr="00786942">
        <w:rPr>
          <w:rFonts w:ascii="Book Antiqua" w:hAnsi="Book Antiqua"/>
          <w:lang w:val="en-US"/>
        </w:rPr>
        <w:t xml:space="preserve">in </w:t>
      </w:r>
      <w:r w:rsidRPr="00786942">
        <w:rPr>
          <w:rFonts w:ascii="Book Antiqua" w:hAnsi="Book Antiqua"/>
          <w:lang w:val="en-US"/>
        </w:rPr>
        <w:t xml:space="preserve">the potential beneficial effects of RAS inhibitors against HCC started about two decades ago. Since then, several </w:t>
      </w:r>
      <w:r w:rsidRPr="00291D03">
        <w:rPr>
          <w:rFonts w:ascii="Book Antiqua" w:hAnsi="Book Antiqua"/>
          <w:i/>
          <w:lang w:val="en-US"/>
        </w:rPr>
        <w:t>in vitro</w:t>
      </w:r>
      <w:r w:rsidRPr="00786942">
        <w:rPr>
          <w:rFonts w:ascii="Book Antiqua" w:hAnsi="Book Antiqua"/>
          <w:lang w:val="en-US"/>
        </w:rPr>
        <w:t xml:space="preserve"> studies</w:t>
      </w:r>
      <w:r w:rsidR="00C809D6" w:rsidRPr="00786942">
        <w:rPr>
          <w:rFonts w:ascii="Book Antiqua" w:hAnsi="Book Antiqua"/>
          <w:lang w:val="en-US"/>
        </w:rPr>
        <w:t>,</w:t>
      </w:r>
      <w:r w:rsidRPr="00786942">
        <w:rPr>
          <w:rFonts w:ascii="Book Antiqua" w:hAnsi="Book Antiqua"/>
          <w:lang w:val="en-US"/>
        </w:rPr>
        <w:t xml:space="preserve"> using either different tumor cell lines or cell lines manipulated through adenoviral vectors</w:t>
      </w:r>
      <w:r w:rsidR="00C809D6" w:rsidRPr="00786942">
        <w:rPr>
          <w:rFonts w:ascii="Book Antiqua" w:hAnsi="Book Antiqua"/>
          <w:lang w:val="en-US"/>
        </w:rPr>
        <w:t>,</w:t>
      </w:r>
      <w:r w:rsidRPr="00786942">
        <w:rPr>
          <w:rFonts w:ascii="Book Antiqua" w:hAnsi="Book Antiqua"/>
          <w:lang w:val="en-US"/>
        </w:rPr>
        <w:t xml:space="preserve"> </w:t>
      </w:r>
      <w:r w:rsidR="00C809D6" w:rsidRPr="00786942">
        <w:rPr>
          <w:rFonts w:ascii="Book Antiqua" w:hAnsi="Book Antiqua"/>
          <w:lang w:val="en-US"/>
        </w:rPr>
        <w:t>and</w:t>
      </w:r>
      <w:r w:rsidRPr="00786942">
        <w:rPr>
          <w:rFonts w:ascii="Book Antiqua" w:hAnsi="Book Antiqua"/>
          <w:lang w:val="en-US"/>
        </w:rPr>
        <w:t xml:space="preserve"> numerous </w:t>
      </w:r>
      <w:r w:rsidRPr="00291D03">
        <w:rPr>
          <w:rFonts w:ascii="Book Antiqua" w:hAnsi="Book Antiqua"/>
          <w:i/>
          <w:lang w:val="en-US"/>
        </w:rPr>
        <w:t xml:space="preserve">in vivo </w:t>
      </w:r>
      <w:r w:rsidRPr="00786942">
        <w:rPr>
          <w:rFonts w:ascii="Book Antiqua" w:hAnsi="Book Antiqua"/>
          <w:lang w:val="en-US"/>
        </w:rPr>
        <w:t>models have be</w:t>
      </w:r>
      <w:r w:rsidR="00F00C1B" w:rsidRPr="00786942">
        <w:rPr>
          <w:rFonts w:ascii="Book Antiqua" w:hAnsi="Book Antiqua"/>
          <w:lang w:val="en-US"/>
        </w:rPr>
        <w:t>en used to demonstrate the anti</w:t>
      </w:r>
      <w:r w:rsidRPr="00786942">
        <w:rPr>
          <w:rFonts w:ascii="Book Antiqua" w:hAnsi="Book Antiqua"/>
          <w:lang w:val="en-US"/>
        </w:rPr>
        <w:t>tumoral effect of RAS inhibitors on hepatocarcinoma development. We had to wait about 10 years for the first clinical study on the possible role of ACE-Is administration in the recurrence of HCC</w:t>
      </w:r>
      <w:r w:rsidR="00173346" w:rsidRPr="00786942">
        <w:rPr>
          <w:rFonts w:ascii="Book Antiqua" w:hAnsi="Book Antiqua"/>
          <w:vertAlign w:val="superscript"/>
          <w:lang w:val="en-US"/>
        </w:rPr>
        <w:t>[13]</w:t>
      </w:r>
      <w:r w:rsidRPr="00786942">
        <w:rPr>
          <w:rFonts w:ascii="Book Antiqua" w:hAnsi="Book Antiqua"/>
          <w:lang w:val="en-US"/>
        </w:rPr>
        <w:t>. This study, designed as a randomized trial, was followed within a couple of years by two similar randomized trials from the same authors</w:t>
      </w:r>
      <w:r w:rsidR="0065586B" w:rsidRPr="00786942">
        <w:rPr>
          <w:rFonts w:ascii="Book Antiqua" w:hAnsi="Book Antiqua"/>
          <w:lang w:val="en-US"/>
        </w:rPr>
        <w:t>, all</w:t>
      </w:r>
      <w:r w:rsidRPr="00786942">
        <w:rPr>
          <w:rFonts w:ascii="Book Antiqua" w:hAnsi="Book Antiqua"/>
          <w:lang w:val="en-US"/>
        </w:rPr>
        <w:t xml:space="preserve"> demonstrating the efficacy of the ACE-I perindopril </w:t>
      </w:r>
      <w:r w:rsidR="00C41346" w:rsidRPr="00786942">
        <w:rPr>
          <w:rFonts w:ascii="Book Antiqua" w:hAnsi="Book Antiqua"/>
          <w:lang w:val="en-US"/>
        </w:rPr>
        <w:t xml:space="preserve">in </w:t>
      </w:r>
      <w:r w:rsidR="00216099" w:rsidRPr="00786942">
        <w:rPr>
          <w:rFonts w:ascii="Book Antiqua" w:hAnsi="Book Antiqua"/>
          <w:lang w:val="en-US"/>
        </w:rPr>
        <w:t xml:space="preserve">reducing tumor recurrence </w:t>
      </w:r>
      <w:r w:rsidRPr="00786942">
        <w:rPr>
          <w:rFonts w:ascii="Book Antiqua" w:hAnsi="Book Antiqua"/>
          <w:lang w:val="en-US"/>
        </w:rPr>
        <w:t>when used in combination</w:t>
      </w:r>
      <w:r w:rsidR="00C809D6" w:rsidRPr="00786942">
        <w:rPr>
          <w:rFonts w:ascii="Book Antiqua" w:hAnsi="Book Antiqua"/>
          <w:lang w:val="en-US"/>
        </w:rPr>
        <w:t xml:space="preserve"> with other drugs</w:t>
      </w:r>
      <w:r w:rsidRPr="00786942">
        <w:rPr>
          <w:rFonts w:ascii="Book Antiqua" w:hAnsi="Book Antiqua"/>
          <w:vertAlign w:val="superscript"/>
          <w:lang w:val="en-US"/>
        </w:rPr>
        <w:t>[</w:t>
      </w:r>
      <w:r w:rsidR="0065586B" w:rsidRPr="00786942">
        <w:rPr>
          <w:rFonts w:ascii="Book Antiqua" w:hAnsi="Book Antiqua"/>
          <w:vertAlign w:val="superscript"/>
          <w:lang w:val="en-US"/>
        </w:rPr>
        <w:t>13-</w:t>
      </w:r>
      <w:r w:rsidRPr="00786942">
        <w:rPr>
          <w:rFonts w:ascii="Book Antiqua" w:hAnsi="Book Antiqua"/>
          <w:vertAlign w:val="superscript"/>
          <w:lang w:val="en-US"/>
        </w:rPr>
        <w:t>15]</w:t>
      </w:r>
      <w:r w:rsidRPr="00786942">
        <w:rPr>
          <w:rFonts w:ascii="Book Antiqua" w:hAnsi="Book Antiqua"/>
          <w:lang w:val="en-US"/>
        </w:rPr>
        <w:t xml:space="preserve">. </w:t>
      </w:r>
      <w:r w:rsidR="00216099" w:rsidRPr="00786942">
        <w:rPr>
          <w:rFonts w:ascii="Book Antiqua" w:hAnsi="Book Antiqua"/>
          <w:lang w:val="en-US"/>
        </w:rPr>
        <w:t>Interestingly, th</w:t>
      </w:r>
      <w:r w:rsidR="00C979A3" w:rsidRPr="00786942">
        <w:rPr>
          <w:rFonts w:ascii="Book Antiqua" w:hAnsi="Book Antiqua"/>
          <w:lang w:val="en-US"/>
        </w:rPr>
        <w:t>is effect was</w:t>
      </w:r>
      <w:r w:rsidR="008C6415" w:rsidRPr="00786942">
        <w:rPr>
          <w:rFonts w:ascii="Book Antiqua" w:hAnsi="Book Antiqua"/>
          <w:lang w:val="en-US"/>
        </w:rPr>
        <w:t xml:space="preserve"> associated with a significant </w:t>
      </w:r>
      <w:r w:rsidR="00C979A3" w:rsidRPr="00786942">
        <w:rPr>
          <w:rFonts w:ascii="Book Antiqua" w:hAnsi="Book Antiqua"/>
          <w:lang w:val="en-US"/>
        </w:rPr>
        <w:t>reduction of VEGF</w:t>
      </w:r>
      <w:r w:rsidR="00C12670" w:rsidRPr="00786942">
        <w:rPr>
          <w:rFonts w:ascii="Book Antiqua" w:hAnsi="Book Antiqua"/>
          <w:vertAlign w:val="superscript"/>
          <w:lang w:val="en-US"/>
        </w:rPr>
        <w:t>[13-15]</w:t>
      </w:r>
      <w:r w:rsidR="00C979A3" w:rsidRPr="00786942">
        <w:rPr>
          <w:rFonts w:ascii="Book Antiqua" w:hAnsi="Book Antiqua"/>
          <w:lang w:val="en-US"/>
        </w:rPr>
        <w:t xml:space="preserve"> and alpha-fetoprotein</w:t>
      </w:r>
      <w:r w:rsidR="00C12670" w:rsidRPr="00786942">
        <w:rPr>
          <w:rFonts w:ascii="Book Antiqua" w:hAnsi="Book Antiqua"/>
          <w:vertAlign w:val="superscript"/>
          <w:lang w:val="en-US"/>
        </w:rPr>
        <w:t>[13,14]</w:t>
      </w:r>
      <w:r w:rsidR="002D63BB" w:rsidRPr="00786942">
        <w:rPr>
          <w:rFonts w:ascii="Book Antiqua" w:hAnsi="Book Antiqua"/>
          <w:lang w:val="en-US"/>
        </w:rPr>
        <w:t xml:space="preserve"> </w:t>
      </w:r>
      <w:r w:rsidR="00C12670" w:rsidRPr="00786942">
        <w:rPr>
          <w:rFonts w:ascii="Book Antiqua" w:hAnsi="Book Antiqua"/>
          <w:lang w:val="en-US"/>
        </w:rPr>
        <w:t>serum levels</w:t>
      </w:r>
      <w:r w:rsidR="00C979A3" w:rsidRPr="00786942">
        <w:rPr>
          <w:rFonts w:ascii="Book Antiqua" w:hAnsi="Book Antiqua"/>
          <w:lang w:val="en-US"/>
        </w:rPr>
        <w:t xml:space="preserve">. </w:t>
      </w:r>
      <w:r w:rsidRPr="00786942">
        <w:rPr>
          <w:rFonts w:ascii="Book Antiqua" w:hAnsi="Book Antiqua"/>
          <w:lang w:val="en-US"/>
        </w:rPr>
        <w:t xml:space="preserve">However, </w:t>
      </w:r>
      <w:r w:rsidR="00C12670" w:rsidRPr="00786942">
        <w:rPr>
          <w:rFonts w:ascii="Book Antiqua" w:hAnsi="Book Antiqua"/>
          <w:lang w:val="en-US"/>
        </w:rPr>
        <w:t>a</w:t>
      </w:r>
      <w:r w:rsidRPr="00786942">
        <w:rPr>
          <w:rFonts w:ascii="Book Antiqua" w:hAnsi="Book Antiqua"/>
          <w:lang w:val="en-US"/>
        </w:rPr>
        <w:t xml:space="preserve"> significant effect on survival</w:t>
      </w:r>
      <w:r w:rsidR="00C41346" w:rsidRPr="00786942">
        <w:rPr>
          <w:rFonts w:ascii="Book Antiqua" w:hAnsi="Book Antiqua"/>
          <w:lang w:val="en-US"/>
        </w:rPr>
        <w:t xml:space="preserve"> was not observed in any of these studies</w:t>
      </w:r>
      <w:r w:rsidRPr="00786942">
        <w:rPr>
          <w:rFonts w:ascii="Book Antiqua" w:hAnsi="Book Antiqua"/>
          <w:lang w:val="en-US"/>
        </w:rPr>
        <w:t xml:space="preserve">. </w:t>
      </w:r>
      <w:r w:rsidR="00C809D6" w:rsidRPr="00786942">
        <w:rPr>
          <w:rFonts w:ascii="Book Antiqua" w:hAnsi="Book Antiqua"/>
          <w:lang w:val="en-US"/>
        </w:rPr>
        <w:t>The latter result requires</w:t>
      </w:r>
      <w:r w:rsidR="003B0475" w:rsidRPr="00786942">
        <w:rPr>
          <w:rFonts w:ascii="Book Antiqua" w:hAnsi="Book Antiqua"/>
          <w:lang w:val="en-US"/>
        </w:rPr>
        <w:t xml:space="preserve"> some </w:t>
      </w:r>
      <w:r w:rsidR="00C809D6" w:rsidRPr="00786942">
        <w:rPr>
          <w:rFonts w:ascii="Book Antiqua" w:hAnsi="Book Antiqua"/>
          <w:lang w:val="en-US"/>
        </w:rPr>
        <w:t>comment</w:t>
      </w:r>
      <w:r w:rsidR="003B0475" w:rsidRPr="00786942">
        <w:rPr>
          <w:rFonts w:ascii="Book Antiqua" w:hAnsi="Book Antiqua"/>
          <w:lang w:val="en-US"/>
        </w:rPr>
        <w:t>s</w:t>
      </w:r>
      <w:r w:rsidR="00C809D6" w:rsidRPr="00786942">
        <w:rPr>
          <w:rFonts w:ascii="Book Antiqua" w:hAnsi="Book Antiqua"/>
          <w:lang w:val="en-US"/>
        </w:rPr>
        <w:t>:</w:t>
      </w:r>
      <w:r w:rsidRPr="00786942">
        <w:rPr>
          <w:rFonts w:ascii="Book Antiqua" w:hAnsi="Book Antiqua"/>
          <w:lang w:val="en-US"/>
        </w:rPr>
        <w:t xml:space="preserve"> </w:t>
      </w:r>
      <w:r w:rsidR="00173346" w:rsidRPr="00786942">
        <w:rPr>
          <w:rFonts w:ascii="Book Antiqua" w:hAnsi="Book Antiqua"/>
          <w:lang w:val="en-US"/>
        </w:rPr>
        <w:t xml:space="preserve">only </w:t>
      </w:r>
      <w:r w:rsidR="00C809D6" w:rsidRPr="00786942">
        <w:rPr>
          <w:rFonts w:ascii="Book Antiqua" w:hAnsi="Book Antiqua"/>
          <w:lang w:val="en-US"/>
        </w:rPr>
        <w:t>the first</w:t>
      </w:r>
      <w:r w:rsidR="00DE01B6" w:rsidRPr="00786942">
        <w:rPr>
          <w:rFonts w:ascii="Book Antiqua" w:hAnsi="Book Antiqua"/>
          <w:lang w:val="en-US"/>
        </w:rPr>
        <w:t xml:space="preserve"> of these three </w:t>
      </w:r>
      <w:r w:rsidR="00173346" w:rsidRPr="00786942">
        <w:rPr>
          <w:rFonts w:ascii="Book Antiqua" w:hAnsi="Book Antiqua"/>
          <w:lang w:val="en-US"/>
        </w:rPr>
        <w:t>stud</w:t>
      </w:r>
      <w:r w:rsidR="00DE01B6" w:rsidRPr="00786942">
        <w:rPr>
          <w:rFonts w:ascii="Book Antiqua" w:hAnsi="Book Antiqua"/>
          <w:lang w:val="en-US"/>
        </w:rPr>
        <w:t>ies</w:t>
      </w:r>
      <w:r w:rsidR="00173346" w:rsidRPr="00786942">
        <w:rPr>
          <w:rFonts w:ascii="Book Antiqua" w:hAnsi="Book Antiqua"/>
          <w:lang w:val="en-US"/>
        </w:rPr>
        <w:t xml:space="preserve"> report</w:t>
      </w:r>
      <w:r w:rsidR="00DE01B6" w:rsidRPr="00786942">
        <w:rPr>
          <w:rFonts w:ascii="Book Antiqua" w:hAnsi="Book Antiqua"/>
          <w:lang w:val="en-US"/>
        </w:rPr>
        <w:t xml:space="preserve">ed </w:t>
      </w:r>
      <w:r w:rsidR="00C809D6" w:rsidRPr="00786942">
        <w:rPr>
          <w:rFonts w:ascii="Book Antiqua" w:hAnsi="Book Antiqua"/>
          <w:lang w:val="en-US"/>
        </w:rPr>
        <w:t>a</w:t>
      </w:r>
      <w:r w:rsidR="00173346" w:rsidRPr="00786942">
        <w:rPr>
          <w:rFonts w:ascii="Book Antiqua" w:hAnsi="Book Antiqua"/>
          <w:lang w:val="en-US"/>
        </w:rPr>
        <w:t xml:space="preserve"> </w:t>
      </w:r>
      <w:r w:rsidR="00DE01B6" w:rsidRPr="00786942">
        <w:rPr>
          <w:rFonts w:ascii="Book Antiqua" w:hAnsi="Book Antiqua"/>
          <w:lang w:val="en-US"/>
        </w:rPr>
        <w:t>survival analysis</w:t>
      </w:r>
      <w:r w:rsidR="0065586B" w:rsidRPr="00786942">
        <w:rPr>
          <w:rFonts w:ascii="Book Antiqua" w:hAnsi="Book Antiqua"/>
          <w:lang w:val="en-US"/>
        </w:rPr>
        <w:t xml:space="preserve"> (</w:t>
      </w:r>
      <w:r w:rsidR="00C809D6" w:rsidRPr="00786942">
        <w:rPr>
          <w:rFonts w:ascii="Book Antiqua" w:hAnsi="Book Antiqua"/>
          <w:lang w:val="en-US"/>
        </w:rPr>
        <w:t>reported</w:t>
      </w:r>
      <w:r w:rsidR="0065586B" w:rsidRPr="00786942">
        <w:rPr>
          <w:rFonts w:ascii="Book Antiqua" w:hAnsi="Book Antiqua"/>
          <w:lang w:val="en-US"/>
        </w:rPr>
        <w:t xml:space="preserve"> as “data not shown”</w:t>
      </w:r>
      <w:r w:rsidR="003B0475" w:rsidRPr="00786942">
        <w:rPr>
          <w:rFonts w:ascii="Book Antiqua" w:hAnsi="Book Antiqua"/>
          <w:lang w:val="en-US"/>
        </w:rPr>
        <w:t xml:space="preserve"> in the other studies</w:t>
      </w:r>
      <w:r w:rsidR="0065586B" w:rsidRPr="00786942">
        <w:rPr>
          <w:rFonts w:ascii="Book Antiqua" w:hAnsi="Book Antiqua"/>
          <w:lang w:val="en-US"/>
        </w:rPr>
        <w:t>)</w:t>
      </w:r>
      <w:r w:rsidR="00C809D6" w:rsidRPr="00786942">
        <w:rPr>
          <w:rFonts w:ascii="Book Antiqua" w:hAnsi="Book Antiqua"/>
          <w:lang w:val="en-US"/>
        </w:rPr>
        <w:t>, which</w:t>
      </w:r>
      <w:r w:rsidR="00DE01B6" w:rsidRPr="00786942">
        <w:rPr>
          <w:rFonts w:ascii="Book Antiqua" w:hAnsi="Book Antiqua"/>
          <w:lang w:val="en-US"/>
        </w:rPr>
        <w:t xml:space="preserve"> was</w:t>
      </w:r>
      <w:r w:rsidR="00772011" w:rsidRPr="00786942">
        <w:rPr>
          <w:rFonts w:ascii="Book Antiqua" w:hAnsi="Book Antiqua"/>
          <w:lang w:val="en-US"/>
        </w:rPr>
        <w:t xml:space="preserve"> interrupted at </w:t>
      </w:r>
      <w:r w:rsidR="00DE01B6" w:rsidRPr="00786942">
        <w:rPr>
          <w:rFonts w:ascii="Book Antiqua" w:hAnsi="Book Antiqua"/>
          <w:lang w:val="en-US"/>
        </w:rPr>
        <w:t>4</w:t>
      </w:r>
      <w:r w:rsidR="0065586B" w:rsidRPr="00786942">
        <w:rPr>
          <w:rFonts w:ascii="Book Antiqua" w:hAnsi="Book Antiqua"/>
          <w:lang w:val="en-US"/>
        </w:rPr>
        <w:t>2</w:t>
      </w:r>
      <w:r w:rsidR="00772011" w:rsidRPr="00786942">
        <w:rPr>
          <w:rFonts w:ascii="Book Antiqua" w:hAnsi="Book Antiqua"/>
          <w:lang w:val="en-US"/>
        </w:rPr>
        <w:t xml:space="preserve"> mo</w:t>
      </w:r>
      <w:r w:rsidR="00C41346" w:rsidRPr="00786942">
        <w:rPr>
          <w:rFonts w:ascii="Book Antiqua" w:hAnsi="Book Antiqua"/>
          <w:lang w:val="en-US"/>
        </w:rPr>
        <w:t>,</w:t>
      </w:r>
      <w:r w:rsidR="00DE01B6" w:rsidRPr="00786942">
        <w:rPr>
          <w:rFonts w:ascii="Book Antiqua" w:hAnsi="Book Antiqua"/>
          <w:lang w:val="en-US"/>
        </w:rPr>
        <w:t xml:space="preserve"> although</w:t>
      </w:r>
      <w:r w:rsidR="00772011" w:rsidRPr="00786942">
        <w:rPr>
          <w:rFonts w:ascii="Book Antiqua" w:hAnsi="Book Antiqua"/>
          <w:lang w:val="en-US"/>
        </w:rPr>
        <w:t xml:space="preserve"> the survival rate </w:t>
      </w:r>
      <w:r w:rsidR="00DE01B6" w:rsidRPr="00786942">
        <w:rPr>
          <w:rFonts w:ascii="Book Antiqua" w:hAnsi="Book Antiqua"/>
          <w:lang w:val="en-US"/>
        </w:rPr>
        <w:t xml:space="preserve">in the control </w:t>
      </w:r>
      <w:r w:rsidR="001E7FBC" w:rsidRPr="00786942">
        <w:rPr>
          <w:rFonts w:ascii="Book Antiqua" w:hAnsi="Book Antiqua"/>
          <w:lang w:val="en-US"/>
        </w:rPr>
        <w:t xml:space="preserve">group </w:t>
      </w:r>
      <w:r w:rsidR="00DE01B6" w:rsidRPr="00786942">
        <w:rPr>
          <w:rFonts w:ascii="Book Antiqua" w:hAnsi="Book Antiqua"/>
          <w:lang w:val="en-US"/>
        </w:rPr>
        <w:t xml:space="preserve">and </w:t>
      </w:r>
      <w:r w:rsidR="001E7FBC" w:rsidRPr="00786942">
        <w:rPr>
          <w:rFonts w:ascii="Book Antiqua" w:hAnsi="Book Antiqua"/>
          <w:lang w:val="en-US"/>
        </w:rPr>
        <w:t xml:space="preserve">the </w:t>
      </w:r>
      <w:r w:rsidR="00DE01B6" w:rsidRPr="00786942">
        <w:rPr>
          <w:rFonts w:ascii="Book Antiqua" w:hAnsi="Book Antiqua"/>
          <w:lang w:val="en-US"/>
        </w:rPr>
        <w:t xml:space="preserve">group </w:t>
      </w:r>
      <w:r w:rsidR="001E7FBC" w:rsidRPr="00786942">
        <w:rPr>
          <w:rFonts w:ascii="Book Antiqua" w:hAnsi="Book Antiqua"/>
          <w:lang w:val="en-US"/>
        </w:rPr>
        <w:t xml:space="preserve">receiving a combined treatment </w:t>
      </w:r>
      <w:r w:rsidR="0065586B" w:rsidRPr="00786942">
        <w:rPr>
          <w:rFonts w:ascii="Book Antiqua" w:hAnsi="Book Antiqua"/>
          <w:lang w:val="en-US"/>
        </w:rPr>
        <w:t>was 84% and 96%</w:t>
      </w:r>
      <w:r w:rsidR="00772C86" w:rsidRPr="00786942">
        <w:rPr>
          <w:rFonts w:ascii="Book Antiqua" w:hAnsi="Book Antiqua"/>
          <w:lang w:val="en-US"/>
        </w:rPr>
        <w:t>,</w:t>
      </w:r>
      <w:r w:rsidR="0065586B" w:rsidRPr="00786942">
        <w:rPr>
          <w:rFonts w:ascii="Book Antiqua" w:hAnsi="Book Antiqua"/>
          <w:lang w:val="en-US"/>
        </w:rPr>
        <w:t xml:space="preserve"> respectively</w:t>
      </w:r>
      <w:r w:rsidR="00CF4BC2" w:rsidRPr="00786942">
        <w:rPr>
          <w:rFonts w:ascii="Book Antiqua" w:hAnsi="Book Antiqua"/>
          <w:vertAlign w:val="superscript"/>
          <w:lang w:val="en-US"/>
        </w:rPr>
        <w:t>[13]</w:t>
      </w:r>
      <w:r w:rsidR="0065586B" w:rsidRPr="00786942">
        <w:rPr>
          <w:rFonts w:ascii="Book Antiqua" w:hAnsi="Book Antiqua"/>
          <w:lang w:val="en-US"/>
        </w:rPr>
        <w:t xml:space="preserve">. </w:t>
      </w:r>
      <w:r w:rsidR="00DC0DFF" w:rsidRPr="00786942">
        <w:rPr>
          <w:rFonts w:ascii="Book Antiqua" w:hAnsi="Book Antiqua"/>
          <w:lang w:val="en-US"/>
        </w:rPr>
        <w:t>In consideration of this trend</w:t>
      </w:r>
      <w:r w:rsidR="00C809D6" w:rsidRPr="00786942">
        <w:rPr>
          <w:rFonts w:ascii="Book Antiqua" w:hAnsi="Book Antiqua"/>
          <w:lang w:val="en-US"/>
        </w:rPr>
        <w:t xml:space="preserve">, we do not really know </w:t>
      </w:r>
      <w:r w:rsidR="00C41346" w:rsidRPr="00786942">
        <w:rPr>
          <w:rFonts w:ascii="Book Antiqua" w:hAnsi="Book Antiqua"/>
          <w:lang w:val="en-US"/>
        </w:rPr>
        <w:t xml:space="preserve">whether </w:t>
      </w:r>
      <w:r w:rsidR="00C809D6" w:rsidRPr="00786942">
        <w:rPr>
          <w:rFonts w:ascii="Book Antiqua" w:hAnsi="Book Antiqua"/>
          <w:lang w:val="en-US"/>
        </w:rPr>
        <w:t xml:space="preserve">a longer </w:t>
      </w:r>
      <w:r w:rsidR="008C6415" w:rsidRPr="00786942">
        <w:rPr>
          <w:rFonts w:ascii="Book Antiqua" w:hAnsi="Book Antiqua"/>
          <w:lang w:val="en-US"/>
        </w:rPr>
        <w:t xml:space="preserve">period of </w:t>
      </w:r>
      <w:r w:rsidR="00DC0DFF" w:rsidRPr="00786942">
        <w:rPr>
          <w:rFonts w:ascii="Book Antiqua" w:hAnsi="Book Antiqua"/>
          <w:lang w:val="en-US"/>
        </w:rPr>
        <w:t>follow</w:t>
      </w:r>
      <w:r w:rsidR="00C41346" w:rsidRPr="00786942">
        <w:rPr>
          <w:rFonts w:ascii="Book Antiqua" w:hAnsi="Book Antiqua"/>
          <w:lang w:val="en-US"/>
        </w:rPr>
        <w:t>-</w:t>
      </w:r>
      <w:r w:rsidR="00DC0DFF" w:rsidRPr="00786942">
        <w:rPr>
          <w:rFonts w:ascii="Book Antiqua" w:hAnsi="Book Antiqua"/>
          <w:lang w:val="en-US"/>
        </w:rPr>
        <w:t>up would have led to significant survival differences. Moreover, it</w:t>
      </w:r>
      <w:r w:rsidR="003B0475" w:rsidRPr="00786942">
        <w:rPr>
          <w:rFonts w:ascii="Book Antiqua" w:hAnsi="Book Antiqua"/>
          <w:lang w:val="en-US"/>
        </w:rPr>
        <w:t xml:space="preserve"> is plausible that a delayed recurrence in patients prevalently in Child A class (75</w:t>
      </w:r>
      <w:r w:rsidR="00291D03">
        <w:rPr>
          <w:rFonts w:ascii="Book Antiqua" w:hAnsi="Book Antiqua"/>
          <w:lang w:val="en-US"/>
        </w:rPr>
        <w:t>%</w:t>
      </w:r>
      <w:r w:rsidR="003B0475" w:rsidRPr="00786942">
        <w:rPr>
          <w:rFonts w:ascii="Book Antiqua" w:hAnsi="Book Antiqua"/>
          <w:lang w:val="en-US"/>
        </w:rPr>
        <w:t>-</w:t>
      </w:r>
      <w:r w:rsidR="009C2395" w:rsidRPr="00786942">
        <w:rPr>
          <w:rFonts w:ascii="Book Antiqua" w:hAnsi="Book Antiqua"/>
          <w:lang w:val="en-US"/>
        </w:rPr>
        <w:t>87.5%) could also prolong their survival.</w:t>
      </w:r>
    </w:p>
    <w:p w:rsidR="00BF69EA" w:rsidRPr="00786942" w:rsidRDefault="00291D03" w:rsidP="00786942">
      <w:pPr>
        <w:pStyle w:val="Paragrafoelenco1"/>
        <w:widowControl w:val="0"/>
        <w:adjustRightInd w:val="0"/>
        <w:snapToGrid w:val="0"/>
        <w:spacing w:line="360" w:lineRule="auto"/>
        <w:ind w:left="0" w:right="0"/>
        <w:rPr>
          <w:rFonts w:ascii="Book Antiqua" w:hAnsi="Book Antiqua"/>
          <w:color w:val="FF0000"/>
          <w:lang w:val="en-US"/>
        </w:rPr>
      </w:pPr>
      <w:r>
        <w:rPr>
          <w:rFonts w:ascii="Book Antiqua" w:hAnsi="Book Antiqua"/>
          <w:lang w:val="en-US"/>
        </w:rPr>
        <w:t xml:space="preserve">  </w:t>
      </w:r>
      <w:r w:rsidR="00E3236E" w:rsidRPr="00786942">
        <w:rPr>
          <w:rFonts w:ascii="Book Antiqua" w:hAnsi="Book Antiqua"/>
          <w:lang w:val="en-US"/>
        </w:rPr>
        <w:t>The more recent human studies are all observational retrospective cohort or case-control studies</w:t>
      </w:r>
      <w:r>
        <w:rPr>
          <w:rFonts w:ascii="Book Antiqua" w:hAnsi="Book Antiqua"/>
          <w:vertAlign w:val="superscript"/>
          <w:lang w:val="en-US"/>
        </w:rPr>
        <w:t>[7,</w:t>
      </w:r>
      <w:r w:rsidR="00E3236E" w:rsidRPr="00786942">
        <w:rPr>
          <w:rFonts w:ascii="Book Antiqua" w:hAnsi="Book Antiqua"/>
          <w:vertAlign w:val="superscript"/>
          <w:lang w:val="en-US"/>
        </w:rPr>
        <w:t>16-2</w:t>
      </w:r>
      <w:r w:rsidR="0010271C" w:rsidRPr="00786942">
        <w:rPr>
          <w:rFonts w:ascii="Book Antiqua" w:hAnsi="Book Antiqua"/>
          <w:vertAlign w:val="superscript"/>
          <w:lang w:val="en-US"/>
        </w:rPr>
        <w:t>1</w:t>
      </w:r>
      <w:r w:rsidR="00E3236E" w:rsidRPr="00786942">
        <w:rPr>
          <w:rFonts w:ascii="Book Antiqua" w:hAnsi="Book Antiqua"/>
          <w:vertAlign w:val="superscript"/>
          <w:lang w:val="en-US"/>
        </w:rPr>
        <w:t>]</w:t>
      </w:r>
      <w:r w:rsidR="00384589" w:rsidRPr="00786942">
        <w:rPr>
          <w:rFonts w:ascii="Book Antiqua" w:hAnsi="Book Antiqua"/>
          <w:lang w:val="en-US"/>
        </w:rPr>
        <w:t xml:space="preserve">. </w:t>
      </w:r>
      <w:r w:rsidR="00D8741E" w:rsidRPr="00786942">
        <w:rPr>
          <w:rFonts w:ascii="Book Antiqua" w:hAnsi="Book Antiqua"/>
          <w:lang w:val="en-US"/>
        </w:rPr>
        <w:t>All these studies evaluated the effect of ACEIs and/or ARBs on overall survival</w:t>
      </w:r>
      <w:r w:rsidR="00631CF4" w:rsidRPr="00786942">
        <w:rPr>
          <w:rFonts w:ascii="Book Antiqua" w:hAnsi="Book Antiqua"/>
          <w:lang w:val="en-US"/>
        </w:rPr>
        <w:t>. Among</w:t>
      </w:r>
      <w:r w:rsidR="00DF579D" w:rsidRPr="00786942">
        <w:rPr>
          <w:rFonts w:ascii="Book Antiqua" w:hAnsi="Book Antiqua"/>
          <w:lang w:val="en-US"/>
        </w:rPr>
        <w:t xml:space="preserve"> them</w:t>
      </w:r>
      <w:r w:rsidR="00D8741E" w:rsidRPr="00786942">
        <w:rPr>
          <w:rFonts w:ascii="Book Antiqua" w:hAnsi="Book Antiqua"/>
          <w:lang w:val="en-US"/>
        </w:rPr>
        <w:t xml:space="preserve">, only </w:t>
      </w:r>
      <w:r w:rsidR="00DF579D" w:rsidRPr="00786942">
        <w:rPr>
          <w:rFonts w:ascii="Book Antiqua" w:hAnsi="Book Antiqua"/>
          <w:lang w:val="en-US"/>
        </w:rPr>
        <w:t>one</w:t>
      </w:r>
      <w:r w:rsidR="00D8741E" w:rsidRPr="00786942">
        <w:rPr>
          <w:rFonts w:ascii="Book Antiqua" w:hAnsi="Book Antiqua"/>
          <w:lang w:val="en-US"/>
        </w:rPr>
        <w:t xml:space="preserve"> took in</w:t>
      </w:r>
      <w:r w:rsidR="008C6415" w:rsidRPr="00786942">
        <w:rPr>
          <w:rFonts w:ascii="Book Antiqua" w:hAnsi="Book Antiqua"/>
          <w:lang w:val="en-US"/>
        </w:rPr>
        <w:t>to</w:t>
      </w:r>
      <w:r w:rsidR="00D8741E" w:rsidRPr="00786942">
        <w:rPr>
          <w:rFonts w:ascii="Book Antiqua" w:hAnsi="Book Antiqua"/>
          <w:lang w:val="en-US"/>
        </w:rPr>
        <w:t xml:space="preserve"> consideration tumor recurrence</w:t>
      </w:r>
      <w:r w:rsidR="00DF579D" w:rsidRPr="00786942">
        <w:rPr>
          <w:rFonts w:ascii="Book Antiqua" w:hAnsi="Book Antiqua"/>
          <w:lang w:val="en-US"/>
        </w:rPr>
        <w:t xml:space="preserve"> </w:t>
      </w:r>
      <w:r w:rsidR="00631CF4" w:rsidRPr="00786942">
        <w:rPr>
          <w:rFonts w:ascii="Book Antiqua" w:hAnsi="Book Antiqua"/>
          <w:lang w:val="en-US"/>
        </w:rPr>
        <w:t>whereas</w:t>
      </w:r>
      <w:r w:rsidR="00DF579D" w:rsidRPr="00786942">
        <w:rPr>
          <w:rFonts w:ascii="Book Antiqua" w:hAnsi="Book Antiqua"/>
          <w:lang w:val="en-US"/>
        </w:rPr>
        <w:t xml:space="preserve"> another evaluated disease-free-survival</w:t>
      </w:r>
      <w:r w:rsidR="00E3236E" w:rsidRPr="00786942">
        <w:rPr>
          <w:rFonts w:ascii="Book Antiqua" w:hAnsi="Book Antiqua"/>
          <w:vertAlign w:val="superscript"/>
          <w:lang w:val="en-US"/>
        </w:rPr>
        <w:t>[20</w:t>
      </w:r>
      <w:r w:rsidR="0010271C" w:rsidRPr="00786942">
        <w:rPr>
          <w:rFonts w:ascii="Book Antiqua" w:hAnsi="Book Antiqua"/>
          <w:vertAlign w:val="superscript"/>
          <w:lang w:val="en-US"/>
        </w:rPr>
        <w:t>,21</w:t>
      </w:r>
      <w:r w:rsidR="00E3236E" w:rsidRPr="00786942">
        <w:rPr>
          <w:rFonts w:ascii="Book Antiqua" w:hAnsi="Book Antiqua"/>
          <w:vertAlign w:val="superscript"/>
          <w:lang w:val="en-US"/>
        </w:rPr>
        <w:t>]</w:t>
      </w:r>
      <w:r w:rsidR="00E3236E" w:rsidRPr="00786942">
        <w:rPr>
          <w:rFonts w:ascii="Book Antiqua" w:hAnsi="Book Antiqua"/>
          <w:lang w:val="en-US"/>
        </w:rPr>
        <w:t xml:space="preserve">. </w:t>
      </w:r>
      <w:r w:rsidR="00C41346" w:rsidRPr="00786942">
        <w:rPr>
          <w:rFonts w:ascii="Book Antiqua" w:hAnsi="Book Antiqua"/>
          <w:lang w:val="en-US"/>
        </w:rPr>
        <w:t>With regard to</w:t>
      </w:r>
      <w:r w:rsidR="008536D8" w:rsidRPr="00786942">
        <w:rPr>
          <w:rFonts w:ascii="Book Antiqua" w:hAnsi="Book Antiqua"/>
          <w:lang w:val="en-US"/>
        </w:rPr>
        <w:t xml:space="preserve"> </w:t>
      </w:r>
      <w:r w:rsidR="00A90B2F" w:rsidRPr="00786942">
        <w:rPr>
          <w:rFonts w:ascii="Book Antiqua" w:hAnsi="Book Antiqua"/>
          <w:lang w:val="en-US"/>
        </w:rPr>
        <w:t>tumor recurrence</w:t>
      </w:r>
      <w:r w:rsidR="008536D8" w:rsidRPr="00786942">
        <w:rPr>
          <w:rFonts w:ascii="Book Antiqua" w:hAnsi="Book Antiqua"/>
          <w:lang w:val="en-US"/>
        </w:rPr>
        <w:t xml:space="preserve">, the study of Facciorusso </w:t>
      </w:r>
      <w:r w:rsidR="008536D8" w:rsidRPr="00291D03">
        <w:rPr>
          <w:rFonts w:ascii="Book Antiqua" w:hAnsi="Book Antiqua"/>
          <w:i/>
          <w:lang w:val="en-US"/>
        </w:rPr>
        <w:t>et al</w:t>
      </w:r>
      <w:r w:rsidR="00A90B2F" w:rsidRPr="00786942">
        <w:rPr>
          <w:rFonts w:ascii="Book Antiqua" w:hAnsi="Book Antiqua"/>
          <w:vertAlign w:val="superscript"/>
          <w:lang w:val="en-US"/>
        </w:rPr>
        <w:t xml:space="preserve">[20] </w:t>
      </w:r>
      <w:r w:rsidR="008536D8" w:rsidRPr="00786942">
        <w:rPr>
          <w:rFonts w:ascii="Book Antiqua" w:hAnsi="Book Antiqua"/>
          <w:lang w:val="en-US"/>
        </w:rPr>
        <w:t xml:space="preserve">was performed on patients with characteristics very similar to those reported in the randomized trials (patients with a low number and </w:t>
      </w:r>
      <w:r w:rsidR="00C41346" w:rsidRPr="00786942">
        <w:rPr>
          <w:rFonts w:ascii="Book Antiqua" w:hAnsi="Book Antiqua"/>
          <w:lang w:val="en-US"/>
        </w:rPr>
        <w:t>small-</w:t>
      </w:r>
      <w:r w:rsidR="008536D8" w:rsidRPr="00786942">
        <w:rPr>
          <w:rFonts w:ascii="Book Antiqua" w:hAnsi="Book Antiqua"/>
          <w:lang w:val="en-US"/>
        </w:rPr>
        <w:t xml:space="preserve">size tumors susceptible </w:t>
      </w:r>
      <w:r w:rsidR="00C41346" w:rsidRPr="00786942">
        <w:rPr>
          <w:rFonts w:ascii="Book Antiqua" w:hAnsi="Book Antiqua"/>
          <w:lang w:val="en-US"/>
        </w:rPr>
        <w:t xml:space="preserve">to </w:t>
      </w:r>
      <w:r w:rsidR="0099677A">
        <w:rPr>
          <w:rFonts w:ascii="Book Antiqua" w:hAnsi="Book Antiqua"/>
          <w:lang w:val="en-US"/>
        </w:rPr>
        <w:t>RFA</w:t>
      </w:r>
      <w:r w:rsidR="008536D8" w:rsidRPr="00786942">
        <w:rPr>
          <w:rFonts w:ascii="Book Antiqua" w:hAnsi="Book Antiqua"/>
          <w:lang w:val="en-US"/>
        </w:rPr>
        <w:t xml:space="preserve"> treatment). In addition, only patients under</w:t>
      </w:r>
      <w:r w:rsidR="00C41346" w:rsidRPr="00786942">
        <w:rPr>
          <w:rFonts w:ascii="Book Antiqua" w:hAnsi="Book Antiqua"/>
          <w:lang w:val="en-US"/>
        </w:rPr>
        <w:t>going</w:t>
      </w:r>
      <w:r w:rsidR="008536D8" w:rsidRPr="00786942">
        <w:rPr>
          <w:rFonts w:ascii="Book Antiqua" w:hAnsi="Book Antiqua"/>
          <w:lang w:val="en-US"/>
        </w:rPr>
        <w:t xml:space="preserve"> antihypertensive therapy for at least two years</w:t>
      </w:r>
      <w:r w:rsidR="008536D8" w:rsidRPr="00786942">
        <w:rPr>
          <w:rFonts w:ascii="Book Antiqua" w:hAnsi="Book Antiqua"/>
          <w:color w:val="FF0000"/>
          <w:lang w:val="en-US"/>
        </w:rPr>
        <w:t xml:space="preserve"> </w:t>
      </w:r>
      <w:r w:rsidR="008536D8" w:rsidRPr="00786942">
        <w:rPr>
          <w:rFonts w:ascii="Book Antiqua" w:hAnsi="Book Antiqua"/>
          <w:lang w:val="en-US"/>
        </w:rPr>
        <w:t xml:space="preserve">before </w:t>
      </w:r>
      <w:r w:rsidR="0099677A">
        <w:rPr>
          <w:rFonts w:ascii="Book Antiqua" w:hAnsi="Book Antiqua"/>
          <w:lang w:val="en-US"/>
        </w:rPr>
        <w:t>RFA</w:t>
      </w:r>
      <w:r w:rsidR="00F00C1B" w:rsidRPr="00786942">
        <w:rPr>
          <w:rFonts w:ascii="Book Antiqua" w:hAnsi="Book Antiqua"/>
          <w:lang w:val="en-US"/>
        </w:rPr>
        <w:t xml:space="preserve"> </w:t>
      </w:r>
      <w:r w:rsidR="008536D8" w:rsidRPr="00786942">
        <w:rPr>
          <w:rFonts w:ascii="Book Antiqua" w:hAnsi="Book Antiqua"/>
          <w:lang w:val="en-US"/>
        </w:rPr>
        <w:t xml:space="preserve">were included to allow a reasonable induction period for the antiangiogenic </w:t>
      </w:r>
      <w:r w:rsidR="00631CF4" w:rsidRPr="00786942">
        <w:rPr>
          <w:rFonts w:ascii="Book Antiqua" w:hAnsi="Book Antiqua"/>
          <w:lang w:val="en-US"/>
        </w:rPr>
        <w:t xml:space="preserve">and antifibrotic </w:t>
      </w:r>
      <w:r w:rsidR="008536D8" w:rsidRPr="00786942">
        <w:rPr>
          <w:rFonts w:ascii="Book Antiqua" w:hAnsi="Book Antiqua"/>
          <w:lang w:val="en-US"/>
        </w:rPr>
        <w:t>effects of such drugs. This study demonstrated a significant beneficial effect of ARBs</w:t>
      </w:r>
      <w:r w:rsidR="00C41346" w:rsidRPr="00786942">
        <w:rPr>
          <w:rFonts w:ascii="Book Antiqua" w:hAnsi="Book Antiqua"/>
          <w:lang w:val="en-US"/>
        </w:rPr>
        <w:t>,</w:t>
      </w:r>
      <w:r w:rsidR="008536D8" w:rsidRPr="00786942">
        <w:rPr>
          <w:rFonts w:ascii="Book Antiqua" w:hAnsi="Book Antiqua"/>
          <w:lang w:val="en-US"/>
        </w:rPr>
        <w:t xml:space="preserve"> not only on time to recurrence but also on </w:t>
      </w:r>
      <w:r w:rsidR="00631CF4" w:rsidRPr="00786942">
        <w:rPr>
          <w:rFonts w:ascii="Book Antiqua" w:hAnsi="Book Antiqua"/>
          <w:lang w:val="en-US"/>
        </w:rPr>
        <w:t xml:space="preserve">the </w:t>
      </w:r>
      <w:r w:rsidR="008536D8" w:rsidRPr="00786942">
        <w:rPr>
          <w:rFonts w:ascii="Book Antiqua" w:hAnsi="Book Antiqua"/>
          <w:lang w:val="en-US"/>
        </w:rPr>
        <w:t xml:space="preserve">overall survival after a period of observation of 96 months, which is twice </w:t>
      </w:r>
      <w:r w:rsidR="00C41346" w:rsidRPr="00786942">
        <w:rPr>
          <w:rFonts w:ascii="Book Antiqua" w:hAnsi="Book Antiqua"/>
          <w:lang w:val="en-US"/>
        </w:rPr>
        <w:t>the one</w:t>
      </w:r>
      <w:r w:rsidR="008536D8" w:rsidRPr="00786942">
        <w:rPr>
          <w:rFonts w:ascii="Book Antiqua" w:hAnsi="Book Antiqua"/>
          <w:lang w:val="en-US"/>
        </w:rPr>
        <w:t xml:space="preserve"> reported in the randomized trials.</w:t>
      </w:r>
      <w:r w:rsidR="00DF579D" w:rsidRPr="00786942">
        <w:rPr>
          <w:rFonts w:ascii="Book Antiqua" w:hAnsi="Book Antiqua"/>
          <w:color w:val="FF0000"/>
          <w:lang w:val="en-US"/>
        </w:rPr>
        <w:t xml:space="preserve"> </w:t>
      </w:r>
    </w:p>
    <w:p w:rsidR="000314FA" w:rsidRPr="00786942" w:rsidRDefault="00291D03" w:rsidP="00786942">
      <w:pPr>
        <w:pStyle w:val="Paragrafoelenco1"/>
        <w:widowControl w:val="0"/>
        <w:adjustRightInd w:val="0"/>
        <w:snapToGrid w:val="0"/>
        <w:spacing w:line="360" w:lineRule="auto"/>
        <w:ind w:left="0" w:right="0"/>
        <w:rPr>
          <w:rFonts w:ascii="Book Antiqua" w:hAnsi="Book Antiqua"/>
          <w:lang w:val="en-US"/>
        </w:rPr>
      </w:pPr>
      <w:r>
        <w:rPr>
          <w:rFonts w:ascii="Book Antiqua" w:hAnsi="Book Antiqua"/>
          <w:lang w:val="en-US"/>
        </w:rPr>
        <w:t xml:space="preserve">  </w:t>
      </w:r>
      <w:r w:rsidR="00DF579D" w:rsidRPr="00786942">
        <w:rPr>
          <w:rFonts w:ascii="Book Antiqua" w:hAnsi="Book Antiqua"/>
          <w:lang w:val="en-US"/>
        </w:rPr>
        <w:t>The</w:t>
      </w:r>
      <w:r w:rsidR="00A90B2F" w:rsidRPr="00786942">
        <w:rPr>
          <w:rFonts w:ascii="Book Antiqua" w:hAnsi="Book Antiqua"/>
          <w:lang w:val="en-US"/>
        </w:rPr>
        <w:t xml:space="preserve"> study on disease-free survival was focused on metabolic factors, including obesity, diabetes, and hypertension, on patients undergoing HCC</w:t>
      </w:r>
      <w:r w:rsidR="00DF579D" w:rsidRPr="00786942">
        <w:rPr>
          <w:rFonts w:ascii="Book Antiqua" w:hAnsi="Book Antiqua"/>
          <w:lang w:val="en-US"/>
        </w:rPr>
        <w:t xml:space="preserve"> </w:t>
      </w:r>
      <w:r w:rsidR="00A90B2F" w:rsidRPr="00786942">
        <w:rPr>
          <w:rFonts w:ascii="Book Antiqua" w:hAnsi="Book Antiqua"/>
          <w:lang w:val="en-US"/>
        </w:rPr>
        <w:t>resection</w:t>
      </w:r>
      <w:r w:rsidR="00A90B2F" w:rsidRPr="00786942">
        <w:rPr>
          <w:rFonts w:ascii="Book Antiqua" w:hAnsi="Book Antiqua"/>
          <w:vertAlign w:val="superscript"/>
          <w:lang w:val="en-US"/>
        </w:rPr>
        <w:t>[21]</w:t>
      </w:r>
      <w:r w:rsidR="00A90B2F" w:rsidRPr="00786942">
        <w:rPr>
          <w:rFonts w:ascii="Book Antiqua" w:hAnsi="Book Antiqua"/>
          <w:lang w:val="en-US"/>
        </w:rPr>
        <w:t xml:space="preserve">. In this case, patients </w:t>
      </w:r>
      <w:r w:rsidR="00BF69EA" w:rsidRPr="00786942">
        <w:rPr>
          <w:rFonts w:ascii="Book Antiqua" w:hAnsi="Book Antiqua"/>
          <w:lang w:val="en-US"/>
        </w:rPr>
        <w:t>had a more advanced tumor disease, as demonstrated by the presence of pulmonary an</w:t>
      </w:r>
      <w:r w:rsidR="006B65C0" w:rsidRPr="00786942">
        <w:rPr>
          <w:rFonts w:ascii="Book Antiqua" w:hAnsi="Book Antiqua"/>
          <w:lang w:val="en-US"/>
        </w:rPr>
        <w:t>d bone metastasis at the follow-</w:t>
      </w:r>
      <w:r w:rsidR="00BF69EA" w:rsidRPr="00786942">
        <w:rPr>
          <w:rFonts w:ascii="Book Antiqua" w:hAnsi="Book Antiqua"/>
          <w:lang w:val="en-US"/>
        </w:rPr>
        <w:t xml:space="preserve">up, and </w:t>
      </w:r>
      <w:r w:rsidR="00A90B2F" w:rsidRPr="00786942">
        <w:rPr>
          <w:rFonts w:ascii="Book Antiqua" w:hAnsi="Book Antiqua"/>
          <w:lang w:val="en-US"/>
        </w:rPr>
        <w:t>underwent a liver resection including either one segment, more than one segment or even hemihepatectomy</w:t>
      </w:r>
      <w:r w:rsidR="00C41346" w:rsidRPr="00786942">
        <w:rPr>
          <w:rFonts w:ascii="Book Antiqua" w:hAnsi="Book Antiqua"/>
          <w:lang w:val="en-US"/>
        </w:rPr>
        <w:t>,</w:t>
      </w:r>
      <w:r w:rsidR="00A90B2F" w:rsidRPr="00786942">
        <w:rPr>
          <w:rFonts w:ascii="Book Antiqua" w:hAnsi="Book Antiqua"/>
          <w:lang w:val="en-US"/>
        </w:rPr>
        <w:t xml:space="preserve"> plus removal of additional contiguous segments</w:t>
      </w:r>
      <w:r w:rsidR="00BF69EA" w:rsidRPr="00786942">
        <w:rPr>
          <w:rFonts w:ascii="Book Antiqua" w:hAnsi="Book Antiqua"/>
          <w:lang w:val="en-US"/>
        </w:rPr>
        <w:t>.</w:t>
      </w:r>
      <w:r w:rsidR="00382477">
        <w:rPr>
          <w:rFonts w:ascii="Book Antiqua" w:hAnsi="Book Antiqua"/>
          <w:lang w:val="en-US"/>
        </w:rPr>
        <w:t xml:space="preserve"> </w:t>
      </w:r>
      <w:r w:rsidR="00BF69EA" w:rsidRPr="00786942">
        <w:rPr>
          <w:rFonts w:ascii="Book Antiqua" w:hAnsi="Book Antiqua"/>
          <w:lang w:val="en-US"/>
        </w:rPr>
        <w:t xml:space="preserve">In this study, neither overall survival nor disease-survival </w:t>
      </w:r>
      <w:r w:rsidR="008C6415" w:rsidRPr="00786942">
        <w:rPr>
          <w:rFonts w:ascii="Book Antiqua" w:hAnsi="Book Antiqua"/>
          <w:lang w:val="en-US"/>
        </w:rPr>
        <w:t>was</w:t>
      </w:r>
      <w:r w:rsidR="00BF69EA" w:rsidRPr="00786942">
        <w:rPr>
          <w:rFonts w:ascii="Book Antiqua" w:hAnsi="Book Antiqua"/>
          <w:lang w:val="en-US"/>
        </w:rPr>
        <w:t xml:space="preserve"> </w:t>
      </w:r>
      <w:r w:rsidR="00C41346" w:rsidRPr="00786942">
        <w:rPr>
          <w:rFonts w:ascii="Book Antiqua" w:hAnsi="Book Antiqua"/>
          <w:lang w:val="en-US"/>
        </w:rPr>
        <w:t xml:space="preserve">improved </w:t>
      </w:r>
      <w:r w:rsidR="00BF69EA" w:rsidRPr="00786942">
        <w:rPr>
          <w:rFonts w:ascii="Book Antiqua" w:hAnsi="Book Antiqua"/>
          <w:lang w:val="en-US"/>
        </w:rPr>
        <w:t xml:space="preserve">by the anti-hypertensive treatment. However, the authors </w:t>
      </w:r>
      <w:r w:rsidR="006B65C0" w:rsidRPr="00786942">
        <w:rPr>
          <w:rFonts w:ascii="Book Antiqua" w:hAnsi="Book Antiqua"/>
          <w:lang w:val="en-US"/>
        </w:rPr>
        <w:t>underline the fact</w:t>
      </w:r>
      <w:r w:rsidR="00BF69EA" w:rsidRPr="00786942">
        <w:rPr>
          <w:rFonts w:ascii="Book Antiqua" w:hAnsi="Book Antiqua"/>
          <w:lang w:val="en-US"/>
        </w:rPr>
        <w:t xml:space="preserve"> that patients receiving </w:t>
      </w:r>
      <w:r w:rsidR="006B65C0" w:rsidRPr="00786942">
        <w:rPr>
          <w:rFonts w:ascii="Book Antiqua" w:hAnsi="Book Antiqua"/>
          <w:lang w:val="en-US"/>
        </w:rPr>
        <w:t xml:space="preserve">angiotensin II-blocking agents had a better disease-free and overall survival </w:t>
      </w:r>
      <w:r w:rsidR="00C41346" w:rsidRPr="00786942">
        <w:rPr>
          <w:rFonts w:ascii="Book Antiqua" w:hAnsi="Book Antiqua"/>
          <w:lang w:val="en-US"/>
        </w:rPr>
        <w:t xml:space="preserve">rate </w:t>
      </w:r>
      <w:r w:rsidR="006B65C0" w:rsidRPr="00786942">
        <w:rPr>
          <w:rFonts w:ascii="Book Antiqua" w:hAnsi="Book Antiqua"/>
          <w:lang w:val="en-US"/>
        </w:rPr>
        <w:t xml:space="preserve">than </w:t>
      </w:r>
      <w:r w:rsidR="00BF69EA" w:rsidRPr="00786942">
        <w:rPr>
          <w:rFonts w:ascii="Book Antiqua" w:hAnsi="Book Antiqua"/>
          <w:lang w:val="en-US"/>
        </w:rPr>
        <w:t xml:space="preserve">hypertensive patients </w:t>
      </w:r>
      <w:r w:rsidR="006B65C0" w:rsidRPr="00786942">
        <w:rPr>
          <w:rFonts w:ascii="Book Antiqua" w:hAnsi="Book Antiqua"/>
          <w:lang w:val="en-US"/>
        </w:rPr>
        <w:t>not treated with angiotensin II-blocking agents.</w:t>
      </w:r>
      <w:r w:rsidR="00BF69EA" w:rsidRPr="00786942">
        <w:rPr>
          <w:rFonts w:ascii="Book Antiqua" w:hAnsi="Book Antiqua"/>
          <w:lang w:val="en-US"/>
        </w:rPr>
        <w:t xml:space="preserve"> </w:t>
      </w:r>
    </w:p>
    <w:p w:rsidR="006B65C0" w:rsidRPr="00786942" w:rsidRDefault="00291D03" w:rsidP="00786942">
      <w:pPr>
        <w:pStyle w:val="Paragrafoelenco1"/>
        <w:adjustRightInd w:val="0"/>
        <w:snapToGrid w:val="0"/>
        <w:spacing w:line="360" w:lineRule="auto"/>
        <w:ind w:left="0" w:right="0"/>
        <w:rPr>
          <w:rFonts w:ascii="Book Antiqua" w:hAnsi="Book Antiqua"/>
          <w:lang w:val="en-US"/>
        </w:rPr>
      </w:pPr>
      <w:r>
        <w:rPr>
          <w:rFonts w:ascii="Book Antiqua" w:hAnsi="Book Antiqua"/>
          <w:lang w:val="en-US"/>
        </w:rPr>
        <w:t xml:space="preserve">  </w:t>
      </w:r>
      <w:r w:rsidR="006B65C0" w:rsidRPr="00786942">
        <w:rPr>
          <w:rFonts w:ascii="Book Antiqua" w:hAnsi="Book Antiqua"/>
          <w:lang w:val="en-US"/>
        </w:rPr>
        <w:t xml:space="preserve">The other </w:t>
      </w:r>
      <w:r w:rsidR="00E3236E" w:rsidRPr="00786942">
        <w:rPr>
          <w:rFonts w:ascii="Book Antiqua" w:hAnsi="Book Antiqua"/>
          <w:lang w:val="en-US"/>
        </w:rPr>
        <w:t xml:space="preserve">observational studies </w:t>
      </w:r>
      <w:r w:rsidR="00F64D23" w:rsidRPr="00786942">
        <w:rPr>
          <w:rFonts w:ascii="Book Antiqua" w:hAnsi="Book Antiqua"/>
          <w:lang w:val="en-US"/>
        </w:rPr>
        <w:t xml:space="preserve">conducted only on overall survival </w:t>
      </w:r>
      <w:r w:rsidR="00C41346" w:rsidRPr="00786942">
        <w:rPr>
          <w:rFonts w:ascii="Book Antiqua" w:hAnsi="Book Antiqua"/>
          <w:lang w:val="en-US"/>
        </w:rPr>
        <w:t xml:space="preserve">rates </w:t>
      </w:r>
      <w:r w:rsidR="00E3236E" w:rsidRPr="00786942">
        <w:rPr>
          <w:rFonts w:ascii="Book Antiqua" w:hAnsi="Book Antiqua"/>
          <w:lang w:val="en-US"/>
        </w:rPr>
        <w:t xml:space="preserve">did not produce conclusive results since </w:t>
      </w:r>
      <w:r w:rsidR="00F64D23" w:rsidRPr="00786942">
        <w:rPr>
          <w:rFonts w:ascii="Book Antiqua" w:hAnsi="Book Antiqua"/>
          <w:lang w:val="en-US"/>
        </w:rPr>
        <w:t xml:space="preserve">the treatment with RAS inhibitors was beneficial </w:t>
      </w:r>
      <w:r w:rsidR="006B65C0" w:rsidRPr="00786942">
        <w:rPr>
          <w:rFonts w:ascii="Book Antiqua" w:hAnsi="Book Antiqua"/>
          <w:lang w:val="en-US"/>
        </w:rPr>
        <w:t>in one</w:t>
      </w:r>
      <w:r w:rsidR="00E3236E" w:rsidRPr="00786942">
        <w:rPr>
          <w:rFonts w:ascii="Book Antiqua" w:hAnsi="Book Antiqua"/>
          <w:lang w:val="en-US"/>
        </w:rPr>
        <w:t xml:space="preserve"> stud</w:t>
      </w:r>
      <w:r w:rsidR="006B65C0" w:rsidRPr="00786942">
        <w:rPr>
          <w:rFonts w:ascii="Book Antiqua" w:hAnsi="Book Antiqua"/>
          <w:lang w:val="en-US"/>
        </w:rPr>
        <w:t>y</w:t>
      </w:r>
      <w:r w:rsidR="00E3236E" w:rsidRPr="00786942">
        <w:rPr>
          <w:rFonts w:ascii="Book Antiqua" w:hAnsi="Book Antiqua"/>
          <w:vertAlign w:val="superscript"/>
          <w:lang w:val="en-US"/>
        </w:rPr>
        <w:t>[19]</w:t>
      </w:r>
      <w:r w:rsidR="00E3236E" w:rsidRPr="00786942">
        <w:rPr>
          <w:rFonts w:ascii="Book Antiqua" w:hAnsi="Book Antiqua"/>
          <w:lang w:val="en-US"/>
        </w:rPr>
        <w:t xml:space="preserve">, did not influence survival in </w:t>
      </w:r>
      <w:r w:rsidR="006B65C0" w:rsidRPr="00786942">
        <w:rPr>
          <w:rFonts w:ascii="Book Antiqua" w:hAnsi="Book Antiqua"/>
          <w:lang w:val="en-US"/>
        </w:rPr>
        <w:t>two</w:t>
      </w:r>
      <w:r w:rsidR="00E3236E" w:rsidRPr="00786942">
        <w:rPr>
          <w:rFonts w:ascii="Book Antiqua" w:hAnsi="Book Antiqua"/>
          <w:lang w:val="en-US"/>
        </w:rPr>
        <w:t xml:space="preserve"> studies</w:t>
      </w:r>
      <w:r w:rsidR="006B65C0" w:rsidRPr="00786942">
        <w:rPr>
          <w:rFonts w:ascii="Book Antiqua" w:hAnsi="Book Antiqua"/>
          <w:vertAlign w:val="superscript"/>
          <w:lang w:val="en-US"/>
        </w:rPr>
        <w:t>[17</w:t>
      </w:r>
      <w:r w:rsidR="00F20A89" w:rsidRPr="00786942">
        <w:rPr>
          <w:rFonts w:ascii="Book Antiqua" w:hAnsi="Book Antiqua"/>
          <w:vertAlign w:val="superscript"/>
          <w:lang w:val="en-US"/>
        </w:rPr>
        <w:t>,18</w:t>
      </w:r>
      <w:r w:rsidR="00E3236E" w:rsidRPr="00786942">
        <w:rPr>
          <w:rFonts w:ascii="Book Antiqua" w:hAnsi="Book Antiqua"/>
          <w:vertAlign w:val="superscript"/>
          <w:lang w:val="en-US"/>
        </w:rPr>
        <w:t>]</w:t>
      </w:r>
      <w:r w:rsidR="00E3236E" w:rsidRPr="00786942">
        <w:rPr>
          <w:rFonts w:ascii="Book Antiqua" w:hAnsi="Book Antiqua"/>
          <w:lang w:val="en-US"/>
        </w:rPr>
        <w:t xml:space="preserve">, and resulted either ineffective or even associated </w:t>
      </w:r>
      <w:r w:rsidR="00C41346" w:rsidRPr="00786942">
        <w:rPr>
          <w:rFonts w:ascii="Book Antiqua" w:hAnsi="Book Antiqua"/>
          <w:lang w:val="en-US"/>
        </w:rPr>
        <w:t xml:space="preserve">with </w:t>
      </w:r>
      <w:r w:rsidR="00E3236E" w:rsidRPr="00786942">
        <w:rPr>
          <w:rFonts w:ascii="Book Antiqua" w:hAnsi="Book Antiqua"/>
          <w:lang w:val="en-US"/>
        </w:rPr>
        <w:t>an increased HCC risk in non-cirrhotic</w:t>
      </w:r>
      <w:r w:rsidR="00631CF4" w:rsidRPr="00786942">
        <w:rPr>
          <w:rFonts w:ascii="Book Antiqua" w:hAnsi="Book Antiqua"/>
          <w:lang w:val="en-US"/>
        </w:rPr>
        <w:t xml:space="preserve"> HCV</w:t>
      </w:r>
      <w:r w:rsidR="00E3236E" w:rsidRPr="00786942">
        <w:rPr>
          <w:rFonts w:ascii="Book Antiqua" w:hAnsi="Book Antiqua"/>
          <w:lang w:val="en-US"/>
        </w:rPr>
        <w:t xml:space="preserve"> patients in another study</w:t>
      </w:r>
      <w:r w:rsidR="00E3236E" w:rsidRPr="00786942">
        <w:rPr>
          <w:rFonts w:ascii="Book Antiqua" w:hAnsi="Book Antiqua"/>
          <w:vertAlign w:val="superscript"/>
          <w:lang w:val="en-US"/>
        </w:rPr>
        <w:t>[1</w:t>
      </w:r>
      <w:r w:rsidR="00F20A89" w:rsidRPr="00786942">
        <w:rPr>
          <w:rFonts w:ascii="Book Antiqua" w:hAnsi="Book Antiqua"/>
          <w:vertAlign w:val="superscript"/>
          <w:lang w:val="en-US"/>
        </w:rPr>
        <w:t>6</w:t>
      </w:r>
      <w:r w:rsidR="00E3236E" w:rsidRPr="00786942">
        <w:rPr>
          <w:rFonts w:ascii="Book Antiqua" w:hAnsi="Book Antiqua"/>
          <w:vertAlign w:val="superscript"/>
          <w:lang w:val="en-US"/>
        </w:rPr>
        <w:t>]</w:t>
      </w:r>
      <w:r w:rsidR="00E3236E" w:rsidRPr="00786942">
        <w:rPr>
          <w:rFonts w:ascii="Book Antiqua" w:hAnsi="Book Antiqua"/>
          <w:lang w:val="en-US"/>
        </w:rPr>
        <w:t xml:space="preserve">. </w:t>
      </w:r>
    </w:p>
    <w:p w:rsidR="007F47FC" w:rsidRPr="00786942" w:rsidRDefault="00291D03" w:rsidP="00786942">
      <w:pPr>
        <w:pStyle w:val="Paragrafoelenco1"/>
        <w:adjustRightInd w:val="0"/>
        <w:snapToGrid w:val="0"/>
        <w:spacing w:line="360" w:lineRule="auto"/>
        <w:ind w:left="0" w:right="0"/>
        <w:rPr>
          <w:rFonts w:ascii="Book Antiqua" w:hAnsi="Book Antiqua"/>
          <w:lang w:val="en-US"/>
        </w:rPr>
      </w:pPr>
      <w:r>
        <w:rPr>
          <w:rFonts w:ascii="Book Antiqua" w:hAnsi="Book Antiqua"/>
          <w:lang w:val="en-US"/>
        </w:rPr>
        <w:t xml:space="preserve">  </w:t>
      </w:r>
      <w:r w:rsidR="007F47FC" w:rsidRPr="00786942">
        <w:rPr>
          <w:rFonts w:ascii="Book Antiqua" w:hAnsi="Book Antiqua"/>
          <w:lang w:val="en-US"/>
        </w:rPr>
        <w:t>Among the possible explanations for these discrepancies</w:t>
      </w:r>
      <w:r w:rsidR="00362D4F" w:rsidRPr="00786942">
        <w:rPr>
          <w:rFonts w:ascii="Book Antiqua" w:hAnsi="Book Antiqua"/>
          <w:lang w:val="en-US"/>
        </w:rPr>
        <w:t>,</w:t>
      </w:r>
      <w:r w:rsidR="007F47FC" w:rsidRPr="00786942">
        <w:rPr>
          <w:rFonts w:ascii="Book Antiqua" w:hAnsi="Book Antiqua"/>
          <w:lang w:val="en-US"/>
        </w:rPr>
        <w:t xml:space="preserve"> the different time of exposure to antihypertensive drugs </w:t>
      </w:r>
      <w:r w:rsidR="009B12D9" w:rsidRPr="00786942">
        <w:rPr>
          <w:rFonts w:ascii="Book Antiqua" w:hAnsi="Book Antiqua"/>
          <w:lang w:val="en-US"/>
        </w:rPr>
        <w:t>assumes particular</w:t>
      </w:r>
      <w:r w:rsidR="007F47FC" w:rsidRPr="00786942">
        <w:rPr>
          <w:rFonts w:ascii="Book Antiqua" w:hAnsi="Book Antiqua"/>
          <w:lang w:val="en-US"/>
        </w:rPr>
        <w:t xml:space="preserve"> importan</w:t>
      </w:r>
      <w:r w:rsidR="009B12D9" w:rsidRPr="00786942">
        <w:rPr>
          <w:rFonts w:ascii="Book Antiqua" w:hAnsi="Book Antiqua"/>
          <w:lang w:val="en-US"/>
        </w:rPr>
        <w:t>ce</w:t>
      </w:r>
      <w:r w:rsidR="00362D4F" w:rsidRPr="00786942">
        <w:rPr>
          <w:rFonts w:ascii="Book Antiqua" w:hAnsi="Book Antiqua"/>
          <w:lang w:val="en-US"/>
        </w:rPr>
        <w:t xml:space="preserve"> if we consider that</w:t>
      </w:r>
      <w:r w:rsidR="009B12D9" w:rsidRPr="00786942">
        <w:rPr>
          <w:rFonts w:ascii="Book Antiqua" w:hAnsi="Book Antiqua"/>
          <w:lang w:val="en-US"/>
        </w:rPr>
        <w:t xml:space="preserve"> RAS inhibitors </w:t>
      </w:r>
      <w:r w:rsidR="00362D4F" w:rsidRPr="00786942">
        <w:rPr>
          <w:rFonts w:ascii="Book Antiqua" w:hAnsi="Book Antiqua"/>
          <w:lang w:val="en-US"/>
        </w:rPr>
        <w:t xml:space="preserve">would require a reasonable induction period to counteract the carcinogenetic process through their antiangiogenic effects. </w:t>
      </w:r>
      <w:r w:rsidR="007F47FC" w:rsidRPr="00786942">
        <w:rPr>
          <w:rFonts w:ascii="Book Antiqua" w:hAnsi="Book Antiqua"/>
          <w:lang w:val="en-US"/>
        </w:rPr>
        <w:t xml:space="preserve">In </w:t>
      </w:r>
      <w:r w:rsidR="00362D4F" w:rsidRPr="00786942">
        <w:rPr>
          <w:rFonts w:ascii="Book Antiqua" w:hAnsi="Book Antiqua"/>
          <w:lang w:val="en-US"/>
        </w:rPr>
        <w:t>the various studies</w:t>
      </w:r>
      <w:r w:rsidR="007F47FC" w:rsidRPr="00786942">
        <w:rPr>
          <w:rFonts w:ascii="Book Antiqua" w:hAnsi="Book Antiqua"/>
          <w:lang w:val="en-US"/>
        </w:rPr>
        <w:t xml:space="preserve">, the antihypertensive treatment preceded for a variable period the first recorded liver cancer diagnosis or started at the time of HCC diagnosis, and </w:t>
      </w:r>
      <w:r w:rsidR="00362D4F" w:rsidRPr="00786942">
        <w:rPr>
          <w:rFonts w:ascii="Book Antiqua" w:hAnsi="Book Antiqua"/>
          <w:lang w:val="en-US"/>
        </w:rPr>
        <w:t>the</w:t>
      </w:r>
      <w:r w:rsidR="007F47FC" w:rsidRPr="00786942">
        <w:rPr>
          <w:rFonts w:ascii="Book Antiqua" w:hAnsi="Book Antiqua"/>
          <w:lang w:val="en-US"/>
        </w:rPr>
        <w:t xml:space="preserve"> comparison of exposure during the follow up was </w:t>
      </w:r>
      <w:r w:rsidR="00362D4F" w:rsidRPr="00786942">
        <w:rPr>
          <w:rFonts w:ascii="Book Antiqua" w:hAnsi="Book Antiqua"/>
          <w:lang w:val="en-US"/>
        </w:rPr>
        <w:t>difficult</w:t>
      </w:r>
      <w:r w:rsidR="007F47FC" w:rsidRPr="00786942">
        <w:rPr>
          <w:rFonts w:ascii="Book Antiqua" w:hAnsi="Book Antiqua"/>
          <w:lang w:val="en-US"/>
        </w:rPr>
        <w:t xml:space="preserve">. </w:t>
      </w:r>
      <w:r w:rsidR="00362D4F" w:rsidRPr="00786942">
        <w:rPr>
          <w:rFonts w:ascii="Book Antiqua" w:hAnsi="Book Antiqua"/>
          <w:lang w:val="en-US"/>
        </w:rPr>
        <w:t>Other explanations are</w:t>
      </w:r>
      <w:r w:rsidR="007F47FC" w:rsidRPr="00786942">
        <w:rPr>
          <w:rFonts w:ascii="Book Antiqua" w:hAnsi="Book Antiqua"/>
          <w:lang w:val="en-US"/>
        </w:rPr>
        <w:t xml:space="preserve"> the characteristics of the tumor (susceptible to surgical resection or locoregional therapy or advanced), the </w:t>
      </w:r>
      <w:r w:rsidR="00362D4F" w:rsidRPr="00786942">
        <w:rPr>
          <w:rFonts w:ascii="Book Antiqua" w:hAnsi="Book Antiqua"/>
          <w:lang w:val="en-US"/>
        </w:rPr>
        <w:t xml:space="preserve">different </w:t>
      </w:r>
      <w:r w:rsidR="007F47FC" w:rsidRPr="00786942">
        <w:rPr>
          <w:rFonts w:ascii="Book Antiqua" w:hAnsi="Book Antiqua"/>
          <w:lang w:val="en-US"/>
        </w:rPr>
        <w:t>stage</w:t>
      </w:r>
      <w:r w:rsidR="00362D4F" w:rsidRPr="00786942">
        <w:rPr>
          <w:rFonts w:ascii="Book Antiqua" w:hAnsi="Book Antiqua"/>
          <w:lang w:val="en-US"/>
        </w:rPr>
        <w:t>s</w:t>
      </w:r>
      <w:r w:rsidR="007F47FC" w:rsidRPr="00786942">
        <w:rPr>
          <w:rFonts w:ascii="Book Antiqua" w:hAnsi="Book Antiqua"/>
          <w:lang w:val="en-US"/>
        </w:rPr>
        <w:t xml:space="preserve"> of </w:t>
      </w:r>
      <w:r w:rsidR="00362D4F" w:rsidRPr="00786942">
        <w:rPr>
          <w:rFonts w:ascii="Book Antiqua" w:hAnsi="Book Antiqua"/>
          <w:lang w:val="en-US"/>
        </w:rPr>
        <w:t xml:space="preserve">the underlying </w:t>
      </w:r>
      <w:r w:rsidR="007F47FC" w:rsidRPr="00786942">
        <w:rPr>
          <w:rFonts w:ascii="Book Antiqua" w:hAnsi="Book Antiqua"/>
          <w:lang w:val="en-US"/>
        </w:rPr>
        <w:t xml:space="preserve">liver disease, and </w:t>
      </w:r>
      <w:r w:rsidR="00362D4F" w:rsidRPr="00786942">
        <w:rPr>
          <w:rFonts w:ascii="Book Antiqua" w:hAnsi="Book Antiqua"/>
          <w:lang w:val="en-US"/>
        </w:rPr>
        <w:t xml:space="preserve">the </w:t>
      </w:r>
      <w:r w:rsidR="007F47FC" w:rsidRPr="00786942">
        <w:rPr>
          <w:rFonts w:ascii="Book Antiqua" w:hAnsi="Book Antiqua"/>
          <w:lang w:val="en-US"/>
        </w:rPr>
        <w:t xml:space="preserve">concomitant pharmacological therapies/comorbidities potentially influencing tumor biology. </w:t>
      </w:r>
    </w:p>
    <w:p w:rsidR="00E3236E" w:rsidRPr="00786942" w:rsidRDefault="00291D03" w:rsidP="00786942">
      <w:pPr>
        <w:pStyle w:val="Paragrafoelenco1"/>
        <w:adjustRightInd w:val="0"/>
        <w:snapToGrid w:val="0"/>
        <w:spacing w:line="360" w:lineRule="auto"/>
        <w:ind w:left="0" w:right="0"/>
        <w:rPr>
          <w:rFonts w:ascii="Book Antiqua" w:hAnsi="Book Antiqua"/>
          <w:lang w:val="en-US"/>
        </w:rPr>
      </w:pPr>
      <w:r>
        <w:rPr>
          <w:rFonts w:ascii="Book Antiqua" w:hAnsi="Book Antiqua"/>
          <w:lang w:val="en-US"/>
        </w:rPr>
        <w:t xml:space="preserve">  </w:t>
      </w:r>
      <w:r w:rsidR="00E3236E" w:rsidRPr="00786942">
        <w:rPr>
          <w:rFonts w:ascii="Book Antiqua" w:hAnsi="Book Antiqua"/>
          <w:lang w:val="en-US"/>
        </w:rPr>
        <w:t>All experimental studies lead to concordant conclusions on the beneficial effects of RAS inhibitors on hepatocarcinogenesis, with some difference within the same drug class. However, it should be highlighted that this beneficial effect was mainly based on the demonstration that ACE-Is or ARBs inhibit the process of angiogenesis, the most studied and extensively exploited biological mechanism. The main aspects explored included: the involvement of VEGF serum levels or VEGF protein or mRNA expression</w:t>
      </w:r>
      <w:r w:rsidR="00E3236E" w:rsidRPr="00786942">
        <w:rPr>
          <w:rFonts w:ascii="Book Antiqua" w:hAnsi="Book Antiqua"/>
          <w:vertAlign w:val="superscript"/>
          <w:lang w:val="en-US"/>
        </w:rPr>
        <w:t>[2</w:t>
      </w:r>
      <w:r w:rsidR="0010271C" w:rsidRPr="00786942">
        <w:rPr>
          <w:rFonts w:ascii="Book Antiqua" w:hAnsi="Book Antiqua"/>
          <w:vertAlign w:val="superscript"/>
          <w:lang w:val="en-US"/>
        </w:rPr>
        <w:t>5,</w:t>
      </w:r>
      <w:r w:rsidR="00E3236E" w:rsidRPr="00786942">
        <w:rPr>
          <w:rFonts w:ascii="Book Antiqua" w:hAnsi="Book Antiqua"/>
          <w:vertAlign w:val="superscript"/>
          <w:lang w:val="en-US"/>
        </w:rPr>
        <w:t>2</w:t>
      </w:r>
      <w:r w:rsidR="0010271C" w:rsidRPr="00786942">
        <w:rPr>
          <w:rFonts w:ascii="Book Antiqua" w:hAnsi="Book Antiqua"/>
          <w:vertAlign w:val="superscript"/>
          <w:lang w:val="en-US"/>
        </w:rPr>
        <w:t>8</w:t>
      </w:r>
      <w:r w:rsidR="00E3236E" w:rsidRPr="00786942">
        <w:rPr>
          <w:rFonts w:ascii="Book Antiqua" w:hAnsi="Book Antiqua"/>
          <w:vertAlign w:val="superscript"/>
          <w:lang w:val="en-US"/>
        </w:rPr>
        <w:t>-</w:t>
      </w:r>
      <w:r w:rsidR="0010271C" w:rsidRPr="00786942">
        <w:rPr>
          <w:rFonts w:ascii="Book Antiqua" w:hAnsi="Book Antiqua"/>
          <w:vertAlign w:val="superscript"/>
          <w:lang w:val="en-US"/>
        </w:rPr>
        <w:t>30,</w:t>
      </w:r>
      <w:r w:rsidR="00E3236E" w:rsidRPr="00786942">
        <w:rPr>
          <w:rFonts w:ascii="Book Antiqua" w:hAnsi="Book Antiqua"/>
          <w:vertAlign w:val="superscript"/>
          <w:lang w:val="en-US"/>
        </w:rPr>
        <w:t>3</w:t>
      </w:r>
      <w:r w:rsidR="0010271C" w:rsidRPr="00786942">
        <w:rPr>
          <w:rFonts w:ascii="Book Antiqua" w:hAnsi="Book Antiqua"/>
          <w:vertAlign w:val="superscript"/>
          <w:lang w:val="en-US"/>
        </w:rPr>
        <w:t>3</w:t>
      </w:r>
      <w:r w:rsidR="00E3236E" w:rsidRPr="00786942">
        <w:rPr>
          <w:rFonts w:ascii="Book Antiqua" w:hAnsi="Book Antiqua"/>
          <w:vertAlign w:val="superscript"/>
          <w:lang w:val="en-US"/>
        </w:rPr>
        <w:t>-3</w:t>
      </w:r>
      <w:r w:rsidR="0010271C" w:rsidRPr="00786942">
        <w:rPr>
          <w:rFonts w:ascii="Book Antiqua" w:hAnsi="Book Antiqua"/>
          <w:vertAlign w:val="superscript"/>
          <w:lang w:val="en-US"/>
        </w:rPr>
        <w:t>5,</w:t>
      </w:r>
      <w:r w:rsidR="00E3236E" w:rsidRPr="00786942">
        <w:rPr>
          <w:rFonts w:ascii="Book Antiqua" w:hAnsi="Book Antiqua"/>
          <w:vertAlign w:val="superscript"/>
          <w:lang w:val="en-US"/>
        </w:rPr>
        <w:t>3</w:t>
      </w:r>
      <w:r w:rsidR="0010271C" w:rsidRPr="00786942">
        <w:rPr>
          <w:rFonts w:ascii="Book Antiqua" w:hAnsi="Book Antiqua"/>
          <w:vertAlign w:val="superscript"/>
          <w:lang w:val="en-US"/>
        </w:rPr>
        <w:t>7</w:t>
      </w:r>
      <w:r w:rsidR="00E3236E" w:rsidRPr="00786942">
        <w:rPr>
          <w:rFonts w:ascii="Book Antiqua" w:hAnsi="Book Antiqua"/>
          <w:vertAlign w:val="superscript"/>
          <w:lang w:val="en-US"/>
        </w:rPr>
        <w:t>-4</w:t>
      </w:r>
      <w:r w:rsidR="0010271C" w:rsidRPr="00786942">
        <w:rPr>
          <w:rFonts w:ascii="Book Antiqua" w:hAnsi="Book Antiqua"/>
          <w:vertAlign w:val="superscript"/>
          <w:lang w:val="en-US"/>
        </w:rPr>
        <w:t>2</w:t>
      </w:r>
      <w:r w:rsidR="00E3236E" w:rsidRPr="00786942">
        <w:rPr>
          <w:rFonts w:ascii="Book Antiqua" w:hAnsi="Book Antiqua"/>
          <w:vertAlign w:val="superscript"/>
          <w:lang w:val="en-US"/>
        </w:rPr>
        <w:t>]</w:t>
      </w:r>
      <w:r w:rsidR="00E3236E" w:rsidRPr="00786942">
        <w:rPr>
          <w:rFonts w:ascii="Book Antiqua" w:hAnsi="Book Antiqua"/>
          <w:lang w:val="en-US"/>
        </w:rPr>
        <w:t xml:space="preserve"> in endothelial cel</w:t>
      </w:r>
      <w:r w:rsidR="0010271C" w:rsidRPr="00786942">
        <w:rPr>
          <w:rFonts w:ascii="Book Antiqua" w:hAnsi="Book Antiqua"/>
          <w:lang w:val="en-US"/>
        </w:rPr>
        <w:t>l growth and differentiation</w:t>
      </w:r>
      <w:r w:rsidR="0010271C" w:rsidRPr="00786942">
        <w:rPr>
          <w:rFonts w:ascii="Book Antiqua" w:hAnsi="Book Antiqua"/>
          <w:vertAlign w:val="superscript"/>
          <w:lang w:val="en-US"/>
        </w:rPr>
        <w:t>[46</w:t>
      </w:r>
      <w:r w:rsidR="00E3236E" w:rsidRPr="00786942">
        <w:rPr>
          <w:rFonts w:ascii="Book Antiqua" w:hAnsi="Book Antiqua"/>
          <w:vertAlign w:val="superscript"/>
          <w:lang w:val="en-US"/>
        </w:rPr>
        <w:t>]</w:t>
      </w:r>
      <w:r w:rsidR="00E3236E" w:rsidRPr="00786942">
        <w:rPr>
          <w:rFonts w:ascii="Book Antiqua" w:hAnsi="Book Antiqua"/>
          <w:lang w:val="en-US"/>
        </w:rPr>
        <w:t xml:space="preserve">; the contribution of </w:t>
      </w:r>
      <w:r w:rsidR="0010271C" w:rsidRPr="00786942">
        <w:rPr>
          <w:rFonts w:ascii="Book Antiqua" w:hAnsi="Book Antiqua"/>
          <w:lang w:val="en-US"/>
        </w:rPr>
        <w:t>HIF-1</w:t>
      </w:r>
      <w:r w:rsidR="0010271C" w:rsidRPr="00786942">
        <w:rPr>
          <w:rFonts w:ascii="Book Antiqua" w:hAnsi="Book Antiqua"/>
          <w:vertAlign w:val="superscript"/>
          <w:lang w:val="en-US"/>
        </w:rPr>
        <w:t>[28</w:t>
      </w:r>
      <w:r>
        <w:rPr>
          <w:rFonts w:ascii="Book Antiqua" w:hAnsi="Book Antiqua"/>
          <w:vertAlign w:val="superscript"/>
          <w:lang w:val="en-US"/>
        </w:rPr>
        <w:t>,</w:t>
      </w:r>
      <w:r w:rsidR="0010271C" w:rsidRPr="00786942">
        <w:rPr>
          <w:rFonts w:ascii="Book Antiqua" w:hAnsi="Book Antiqua"/>
          <w:vertAlign w:val="superscript"/>
          <w:lang w:val="en-US"/>
        </w:rPr>
        <w:t>40</w:t>
      </w:r>
      <w:r w:rsidR="00E3236E" w:rsidRPr="00786942">
        <w:rPr>
          <w:rFonts w:ascii="Book Antiqua" w:hAnsi="Book Antiqua"/>
          <w:vertAlign w:val="superscript"/>
          <w:lang w:val="en-US"/>
        </w:rPr>
        <w:t>]</w:t>
      </w:r>
      <w:r w:rsidR="00E3236E" w:rsidRPr="00786942">
        <w:rPr>
          <w:rFonts w:ascii="Book Antiqua" w:hAnsi="Book Antiqua"/>
          <w:lang w:val="en-US"/>
        </w:rPr>
        <w:t xml:space="preserve"> as </w:t>
      </w:r>
      <w:r w:rsidR="00C41346" w:rsidRPr="00786942">
        <w:rPr>
          <w:rFonts w:ascii="Book Antiqua" w:hAnsi="Book Antiqua"/>
          <w:lang w:val="en-US"/>
        </w:rPr>
        <w:t xml:space="preserve">a </w:t>
      </w:r>
      <w:r w:rsidR="00E3236E" w:rsidRPr="00786942">
        <w:rPr>
          <w:rFonts w:ascii="Book Antiqua" w:hAnsi="Book Antiqua"/>
          <w:lang w:val="en-US"/>
        </w:rPr>
        <w:t>transcription factor for VEGF</w:t>
      </w:r>
      <w:r w:rsidR="00E3236E" w:rsidRPr="00786942">
        <w:rPr>
          <w:rFonts w:ascii="Book Antiqua" w:hAnsi="Book Antiqua"/>
          <w:vertAlign w:val="superscript"/>
          <w:lang w:val="en-US"/>
        </w:rPr>
        <w:t>[4</w:t>
      </w:r>
      <w:r w:rsidR="0010271C" w:rsidRPr="00786942">
        <w:rPr>
          <w:rFonts w:ascii="Book Antiqua" w:hAnsi="Book Antiqua"/>
          <w:vertAlign w:val="superscript"/>
          <w:lang w:val="en-US"/>
        </w:rPr>
        <w:t>7</w:t>
      </w:r>
      <w:r w:rsidR="00E3236E" w:rsidRPr="00786942">
        <w:rPr>
          <w:rFonts w:ascii="Book Antiqua" w:hAnsi="Book Antiqua"/>
          <w:vertAlign w:val="superscript"/>
          <w:lang w:val="en-US"/>
        </w:rPr>
        <w:t>]</w:t>
      </w:r>
      <w:r w:rsidR="00E3236E" w:rsidRPr="00786942">
        <w:rPr>
          <w:rFonts w:ascii="Book Antiqua" w:hAnsi="Book Antiqua"/>
          <w:lang w:val="en-US"/>
        </w:rPr>
        <w:t>; the use of CD31</w:t>
      </w:r>
      <w:r w:rsidR="00E3236E" w:rsidRPr="00786942">
        <w:rPr>
          <w:rFonts w:ascii="Book Antiqua" w:hAnsi="Book Antiqua"/>
          <w:vertAlign w:val="superscript"/>
          <w:lang w:val="en-US"/>
        </w:rPr>
        <w:t>[2</w:t>
      </w:r>
      <w:r w:rsidR="0010271C" w:rsidRPr="00786942">
        <w:rPr>
          <w:rFonts w:ascii="Book Antiqua" w:hAnsi="Book Antiqua"/>
          <w:vertAlign w:val="superscript"/>
          <w:lang w:val="en-US"/>
        </w:rPr>
        <w:t>9</w:t>
      </w:r>
      <w:r w:rsidR="00E3236E" w:rsidRPr="00786942">
        <w:rPr>
          <w:rFonts w:ascii="Book Antiqua" w:hAnsi="Book Antiqua"/>
          <w:vertAlign w:val="superscript"/>
          <w:lang w:val="en-US"/>
        </w:rPr>
        <w:t>-3</w:t>
      </w:r>
      <w:r w:rsidR="0010271C" w:rsidRPr="00786942">
        <w:rPr>
          <w:rFonts w:ascii="Book Antiqua" w:hAnsi="Book Antiqua"/>
          <w:vertAlign w:val="superscript"/>
          <w:lang w:val="en-US"/>
        </w:rPr>
        <w:t>3</w:t>
      </w:r>
      <w:r>
        <w:rPr>
          <w:rFonts w:ascii="Book Antiqua" w:hAnsi="Book Antiqua"/>
          <w:vertAlign w:val="superscript"/>
          <w:lang w:val="en-US"/>
        </w:rPr>
        <w:t>,</w:t>
      </w:r>
      <w:r w:rsidR="00E3236E" w:rsidRPr="00786942">
        <w:rPr>
          <w:rFonts w:ascii="Book Antiqua" w:hAnsi="Book Antiqua"/>
          <w:vertAlign w:val="superscript"/>
          <w:lang w:val="en-US"/>
        </w:rPr>
        <w:t>4</w:t>
      </w:r>
      <w:r w:rsidR="0010271C" w:rsidRPr="00786942">
        <w:rPr>
          <w:rFonts w:ascii="Book Antiqua" w:hAnsi="Book Antiqua"/>
          <w:vertAlign w:val="superscript"/>
          <w:lang w:val="en-US"/>
        </w:rPr>
        <w:t>2</w:t>
      </w:r>
      <w:r w:rsidR="00E3236E" w:rsidRPr="00786942">
        <w:rPr>
          <w:rFonts w:ascii="Book Antiqua" w:hAnsi="Book Antiqua"/>
          <w:vertAlign w:val="superscript"/>
          <w:lang w:val="en-US"/>
        </w:rPr>
        <w:t>]</w:t>
      </w:r>
      <w:r>
        <w:rPr>
          <w:rFonts w:ascii="Book Antiqua" w:hAnsi="Book Antiqua"/>
          <w:lang w:val="en-US"/>
        </w:rPr>
        <w:t xml:space="preserve"> [</w:t>
      </w:r>
      <w:r w:rsidR="00E3236E" w:rsidRPr="00786942">
        <w:rPr>
          <w:rFonts w:ascii="Book Antiqua" w:hAnsi="Book Antiqua"/>
          <w:lang w:val="en-US"/>
        </w:rPr>
        <w:t>also known as platelet endoth</w:t>
      </w:r>
      <w:r>
        <w:rPr>
          <w:rFonts w:ascii="Book Antiqua" w:hAnsi="Book Antiqua"/>
          <w:lang w:val="en-US"/>
        </w:rPr>
        <w:t>elial cell adhesion molecule 1 (</w:t>
      </w:r>
      <w:r w:rsidR="00E3236E" w:rsidRPr="00786942">
        <w:rPr>
          <w:rFonts w:ascii="Book Antiqua" w:hAnsi="Book Antiqua"/>
          <w:lang w:val="en-US"/>
        </w:rPr>
        <w:t>PECAM-1)</w:t>
      </w:r>
      <w:r>
        <w:rPr>
          <w:rFonts w:ascii="Book Antiqua" w:hAnsi="Book Antiqua"/>
          <w:lang w:val="en-US"/>
        </w:rPr>
        <w:t>] to recognize endothelial cells</w:t>
      </w:r>
      <w:r w:rsidR="00E3236E" w:rsidRPr="00291D03">
        <w:rPr>
          <w:rFonts w:ascii="Book Antiqua" w:hAnsi="Book Antiqua"/>
          <w:vertAlign w:val="superscript"/>
          <w:lang w:val="en-US"/>
        </w:rPr>
        <w:t>[4</w:t>
      </w:r>
      <w:r w:rsidR="0010271C" w:rsidRPr="00291D03">
        <w:rPr>
          <w:rFonts w:ascii="Book Antiqua" w:hAnsi="Book Antiqua"/>
          <w:vertAlign w:val="superscript"/>
          <w:lang w:val="en-US"/>
        </w:rPr>
        <w:t>8</w:t>
      </w:r>
      <w:r w:rsidR="00E3236E" w:rsidRPr="00291D03">
        <w:rPr>
          <w:rFonts w:ascii="Book Antiqua" w:hAnsi="Book Antiqua"/>
          <w:vertAlign w:val="superscript"/>
          <w:lang w:val="en-US"/>
        </w:rPr>
        <w:t>]</w:t>
      </w:r>
      <w:r w:rsidR="00E3236E" w:rsidRPr="00786942">
        <w:rPr>
          <w:rFonts w:ascii="Book Antiqua" w:hAnsi="Book Antiqua"/>
          <w:lang w:val="en-US"/>
        </w:rPr>
        <w:t xml:space="preserve">; endothelial cell proliferation and tubular formation </w:t>
      </w:r>
      <w:bookmarkStart w:id="62" w:name="OLE_LINK675"/>
      <w:bookmarkStart w:id="63" w:name="OLE_LINK676"/>
      <w:r w:rsidR="00E3236E" w:rsidRPr="00291D03">
        <w:rPr>
          <w:rFonts w:ascii="Book Antiqua" w:hAnsi="Book Antiqua"/>
          <w:i/>
          <w:lang w:val="en-US"/>
        </w:rPr>
        <w:t>in vitro</w:t>
      </w:r>
      <w:bookmarkEnd w:id="62"/>
      <w:bookmarkEnd w:id="63"/>
      <w:r w:rsidR="00E3236E" w:rsidRPr="00786942">
        <w:rPr>
          <w:rFonts w:ascii="Book Antiqua" w:hAnsi="Book Antiqua"/>
          <w:lang w:val="en-US"/>
        </w:rPr>
        <w:t xml:space="preserve"> and/or </w:t>
      </w:r>
      <w:r w:rsidR="00E3236E" w:rsidRPr="00291D03">
        <w:rPr>
          <w:rFonts w:ascii="Book Antiqua" w:hAnsi="Book Antiqua"/>
          <w:i/>
          <w:lang w:val="en-US"/>
        </w:rPr>
        <w:t>in vivo</w:t>
      </w:r>
      <w:r w:rsidR="00E3236E" w:rsidRPr="00786942">
        <w:rPr>
          <w:rFonts w:ascii="Book Antiqua" w:hAnsi="Book Antiqua"/>
          <w:vertAlign w:val="superscript"/>
          <w:lang w:val="en-US"/>
        </w:rPr>
        <w:t>[</w:t>
      </w:r>
      <w:r w:rsidR="0010271C" w:rsidRPr="00786942">
        <w:rPr>
          <w:rFonts w:ascii="Book Antiqua" w:hAnsi="Book Antiqua"/>
          <w:vertAlign w:val="superscript"/>
          <w:lang w:val="en-US"/>
        </w:rPr>
        <w:t>30</w:t>
      </w:r>
      <w:r>
        <w:rPr>
          <w:rFonts w:ascii="Book Antiqua" w:hAnsi="Book Antiqua"/>
          <w:vertAlign w:val="superscript"/>
          <w:lang w:val="en-US"/>
        </w:rPr>
        <w:t>,</w:t>
      </w:r>
      <w:r w:rsidR="00E3236E" w:rsidRPr="00786942">
        <w:rPr>
          <w:rFonts w:ascii="Book Antiqua" w:hAnsi="Book Antiqua"/>
          <w:vertAlign w:val="superscript"/>
          <w:lang w:val="en-US"/>
        </w:rPr>
        <w:t>3</w:t>
      </w:r>
      <w:r w:rsidR="0010271C" w:rsidRPr="00786942">
        <w:rPr>
          <w:rFonts w:ascii="Book Antiqua" w:hAnsi="Book Antiqua"/>
          <w:vertAlign w:val="superscript"/>
          <w:lang w:val="en-US"/>
        </w:rPr>
        <w:t>2</w:t>
      </w:r>
      <w:r>
        <w:rPr>
          <w:rFonts w:ascii="Book Antiqua" w:hAnsi="Book Antiqua"/>
          <w:vertAlign w:val="superscript"/>
          <w:lang w:val="en-US"/>
        </w:rPr>
        <w:t>,</w:t>
      </w:r>
      <w:r w:rsidR="00E3236E" w:rsidRPr="00786942">
        <w:rPr>
          <w:rFonts w:ascii="Book Antiqua" w:hAnsi="Book Antiqua"/>
          <w:vertAlign w:val="superscript"/>
          <w:lang w:val="en-US"/>
        </w:rPr>
        <w:t>3</w:t>
      </w:r>
      <w:r w:rsidR="0010271C" w:rsidRPr="00786942">
        <w:rPr>
          <w:rFonts w:ascii="Book Antiqua" w:hAnsi="Book Antiqua"/>
          <w:vertAlign w:val="superscript"/>
          <w:lang w:val="en-US"/>
        </w:rPr>
        <w:t>4</w:t>
      </w:r>
      <w:r>
        <w:rPr>
          <w:rFonts w:ascii="Book Antiqua" w:hAnsi="Book Antiqua"/>
          <w:vertAlign w:val="superscript"/>
          <w:lang w:val="en-US"/>
        </w:rPr>
        <w:t>,</w:t>
      </w:r>
      <w:r w:rsidR="00E3236E" w:rsidRPr="00786942">
        <w:rPr>
          <w:rFonts w:ascii="Book Antiqua" w:hAnsi="Book Antiqua"/>
          <w:vertAlign w:val="superscript"/>
          <w:lang w:val="en-US"/>
        </w:rPr>
        <w:t>3</w:t>
      </w:r>
      <w:r w:rsidR="0010271C" w:rsidRPr="00786942">
        <w:rPr>
          <w:rFonts w:ascii="Book Antiqua" w:hAnsi="Book Antiqua"/>
          <w:vertAlign w:val="superscript"/>
          <w:lang w:val="en-US"/>
        </w:rPr>
        <w:t>7</w:t>
      </w:r>
      <w:r>
        <w:rPr>
          <w:rFonts w:ascii="Book Antiqua" w:hAnsi="Book Antiqua"/>
          <w:vertAlign w:val="superscript"/>
          <w:lang w:val="en-US"/>
        </w:rPr>
        <w:t>,</w:t>
      </w:r>
      <w:r w:rsidR="00E3236E" w:rsidRPr="00786942">
        <w:rPr>
          <w:rFonts w:ascii="Book Antiqua" w:hAnsi="Book Antiqua"/>
          <w:vertAlign w:val="superscript"/>
          <w:lang w:val="en-US"/>
        </w:rPr>
        <w:t>3</w:t>
      </w:r>
      <w:r w:rsidR="0010271C" w:rsidRPr="00786942">
        <w:rPr>
          <w:rFonts w:ascii="Book Antiqua" w:hAnsi="Book Antiqua"/>
          <w:vertAlign w:val="superscript"/>
          <w:lang w:val="en-US"/>
        </w:rPr>
        <w:t>9</w:t>
      </w:r>
      <w:r>
        <w:rPr>
          <w:rFonts w:ascii="Book Antiqua" w:hAnsi="Book Antiqua"/>
          <w:vertAlign w:val="superscript"/>
          <w:lang w:val="en-US"/>
        </w:rPr>
        <w:t>,</w:t>
      </w:r>
      <w:r w:rsidR="00E3236E" w:rsidRPr="00786942">
        <w:rPr>
          <w:rFonts w:ascii="Book Antiqua" w:hAnsi="Book Antiqua"/>
          <w:vertAlign w:val="superscript"/>
          <w:lang w:val="en-US"/>
        </w:rPr>
        <w:t>4</w:t>
      </w:r>
      <w:r w:rsidR="0010271C" w:rsidRPr="00786942">
        <w:rPr>
          <w:rFonts w:ascii="Book Antiqua" w:hAnsi="Book Antiqua"/>
          <w:vertAlign w:val="superscript"/>
          <w:lang w:val="en-US"/>
        </w:rPr>
        <w:t>1</w:t>
      </w:r>
      <w:r>
        <w:rPr>
          <w:rFonts w:ascii="Book Antiqua" w:hAnsi="Book Antiqua"/>
          <w:vertAlign w:val="superscript"/>
          <w:lang w:val="en-US"/>
        </w:rPr>
        <w:t>,</w:t>
      </w:r>
      <w:r w:rsidR="00E3236E" w:rsidRPr="00786942">
        <w:rPr>
          <w:rFonts w:ascii="Book Antiqua" w:hAnsi="Book Antiqua"/>
          <w:vertAlign w:val="superscript"/>
          <w:lang w:val="en-US"/>
        </w:rPr>
        <w:t>4</w:t>
      </w:r>
      <w:r w:rsidR="0010271C" w:rsidRPr="00786942">
        <w:rPr>
          <w:rFonts w:ascii="Book Antiqua" w:hAnsi="Book Antiqua"/>
          <w:vertAlign w:val="superscript"/>
          <w:lang w:val="en-US"/>
        </w:rPr>
        <w:t>2</w:t>
      </w:r>
      <w:r w:rsidR="00E3236E" w:rsidRPr="00786942">
        <w:rPr>
          <w:rFonts w:ascii="Book Antiqua" w:hAnsi="Book Antiqua"/>
          <w:vertAlign w:val="superscript"/>
          <w:lang w:val="en-US"/>
        </w:rPr>
        <w:t>]</w:t>
      </w:r>
      <w:r w:rsidR="00E3236E" w:rsidRPr="00786942">
        <w:rPr>
          <w:rFonts w:ascii="Book Antiqua" w:hAnsi="Book Antiqua"/>
          <w:lang w:val="en-US"/>
        </w:rPr>
        <w:t>, a multi-step process triggered by VEGF</w:t>
      </w:r>
      <w:r w:rsidR="00E3236E" w:rsidRPr="00786942">
        <w:rPr>
          <w:rFonts w:ascii="Book Antiqua" w:hAnsi="Book Antiqua"/>
          <w:vertAlign w:val="superscript"/>
          <w:lang w:val="en-US"/>
        </w:rPr>
        <w:t>[4</w:t>
      </w:r>
      <w:r w:rsidR="0010271C" w:rsidRPr="00786942">
        <w:rPr>
          <w:rFonts w:ascii="Book Antiqua" w:hAnsi="Book Antiqua"/>
          <w:vertAlign w:val="superscript"/>
          <w:lang w:val="en-US"/>
        </w:rPr>
        <w:t>9</w:t>
      </w:r>
      <w:r w:rsidR="00E3236E" w:rsidRPr="00786942">
        <w:rPr>
          <w:rFonts w:ascii="Book Antiqua" w:hAnsi="Book Antiqua"/>
          <w:vertAlign w:val="superscript"/>
          <w:lang w:val="en-US"/>
        </w:rPr>
        <w:t>]</w:t>
      </w:r>
      <w:r w:rsidR="00E3236E" w:rsidRPr="00786942">
        <w:rPr>
          <w:rFonts w:ascii="Book Antiqua" w:hAnsi="Book Antiqua"/>
          <w:lang w:val="en-US"/>
        </w:rPr>
        <w:t>.</w:t>
      </w:r>
    </w:p>
    <w:p w:rsidR="000504A5" w:rsidRPr="00786942" w:rsidRDefault="00291D03" w:rsidP="00786942">
      <w:pPr>
        <w:pStyle w:val="Paragrafoelenco1"/>
        <w:adjustRightInd w:val="0"/>
        <w:snapToGrid w:val="0"/>
        <w:spacing w:line="360" w:lineRule="auto"/>
        <w:ind w:left="0" w:right="0"/>
        <w:rPr>
          <w:rFonts w:ascii="Book Antiqua" w:hAnsi="Book Antiqua"/>
          <w:lang w:val="en-US"/>
        </w:rPr>
      </w:pPr>
      <w:r>
        <w:rPr>
          <w:rFonts w:ascii="Book Antiqua" w:hAnsi="Book Antiqua"/>
          <w:lang w:val="en-US"/>
        </w:rPr>
        <w:t xml:space="preserve">  </w:t>
      </w:r>
      <w:r w:rsidR="00E3236E" w:rsidRPr="00786942">
        <w:rPr>
          <w:rFonts w:ascii="Book Antiqua" w:hAnsi="Book Antiqua"/>
          <w:lang w:val="en-US"/>
        </w:rPr>
        <w:t xml:space="preserve">Inhibition of tumor cells proliferation and induction of apoptosis are two </w:t>
      </w:r>
      <w:r w:rsidR="00D91B4A" w:rsidRPr="00786942">
        <w:rPr>
          <w:rFonts w:ascii="Book Antiqua" w:hAnsi="Book Antiqua"/>
          <w:lang w:val="en-US"/>
        </w:rPr>
        <w:t xml:space="preserve">mechanisms that have </w:t>
      </w:r>
      <w:r w:rsidR="008C6415" w:rsidRPr="00786942">
        <w:rPr>
          <w:rFonts w:ascii="Book Antiqua" w:hAnsi="Book Antiqua"/>
          <w:lang w:val="en-US"/>
        </w:rPr>
        <w:t xml:space="preserve">also </w:t>
      </w:r>
      <w:r w:rsidR="00D91B4A" w:rsidRPr="00786942">
        <w:rPr>
          <w:rFonts w:ascii="Book Antiqua" w:hAnsi="Book Antiqua"/>
          <w:lang w:val="en-US"/>
        </w:rPr>
        <w:t>been studied</w:t>
      </w:r>
      <w:r w:rsidR="00E3236E" w:rsidRPr="00786942">
        <w:rPr>
          <w:rFonts w:ascii="Book Antiqua" w:hAnsi="Book Antiqua"/>
          <w:lang w:val="en-US"/>
        </w:rPr>
        <w:t xml:space="preserve"> to explain how RAS inhibitors could countera</w:t>
      </w:r>
      <w:r w:rsidR="00812308" w:rsidRPr="00786942">
        <w:rPr>
          <w:rFonts w:ascii="Book Antiqua" w:hAnsi="Book Antiqua"/>
          <w:lang w:val="en-US"/>
        </w:rPr>
        <w:t>ct hepatocarcinogenesis. S</w:t>
      </w:r>
      <w:r w:rsidR="00E3236E" w:rsidRPr="00786942">
        <w:rPr>
          <w:rFonts w:ascii="Book Antiqua" w:hAnsi="Book Antiqua"/>
          <w:lang w:val="en-US"/>
        </w:rPr>
        <w:t>ome authors report an inhibitory effect of RAS inhibit</w:t>
      </w:r>
      <w:r w:rsidR="00812308" w:rsidRPr="00786942">
        <w:rPr>
          <w:rFonts w:ascii="Book Antiqua" w:hAnsi="Book Antiqua"/>
          <w:lang w:val="en-US"/>
        </w:rPr>
        <w:t>ors on tumor cell proliferation</w:t>
      </w:r>
      <w:r w:rsidR="00812308" w:rsidRPr="00786942">
        <w:rPr>
          <w:rFonts w:ascii="Book Antiqua" w:hAnsi="Book Antiqua"/>
          <w:vertAlign w:val="superscript"/>
          <w:lang w:val="en-US"/>
        </w:rPr>
        <w:t>[25]</w:t>
      </w:r>
      <w:r w:rsidR="00812308" w:rsidRPr="00786942">
        <w:rPr>
          <w:rFonts w:ascii="Book Antiqua" w:hAnsi="Book Antiqua"/>
          <w:lang w:val="en-US"/>
        </w:rPr>
        <w:t xml:space="preserve"> </w:t>
      </w:r>
      <w:r w:rsidR="000504A5" w:rsidRPr="00786942">
        <w:rPr>
          <w:rFonts w:ascii="Book Antiqua" w:hAnsi="Book Antiqua"/>
          <w:lang w:val="en-US"/>
        </w:rPr>
        <w:t>or describe a block of proliferation secondary to the induction of AMPK/mTOR signaling</w:t>
      </w:r>
      <w:r w:rsidR="000504A5" w:rsidRPr="00786942">
        <w:rPr>
          <w:rFonts w:ascii="Book Antiqua" w:hAnsi="Book Antiqua"/>
          <w:vertAlign w:val="superscript"/>
          <w:lang w:val="en-US"/>
        </w:rPr>
        <w:t>[43]</w:t>
      </w:r>
      <w:r w:rsidR="000504A5" w:rsidRPr="00786942">
        <w:rPr>
          <w:rFonts w:ascii="Book Antiqua" w:hAnsi="Book Antiqua"/>
          <w:lang w:val="en-US"/>
        </w:rPr>
        <w:t xml:space="preserve">, </w:t>
      </w:r>
      <w:r w:rsidR="00E3236E" w:rsidRPr="00786942">
        <w:rPr>
          <w:rFonts w:ascii="Book Antiqua" w:hAnsi="Book Antiqua"/>
          <w:lang w:val="en-US"/>
        </w:rPr>
        <w:t xml:space="preserve">all studies performed by Yoshiji </w:t>
      </w:r>
      <w:r w:rsidR="00E3236E" w:rsidRPr="00291D03">
        <w:rPr>
          <w:rFonts w:ascii="Book Antiqua" w:hAnsi="Book Antiqua"/>
          <w:i/>
          <w:lang w:val="en-US"/>
        </w:rPr>
        <w:t>et al</w:t>
      </w:r>
      <w:r w:rsidR="00E3236E" w:rsidRPr="00786942">
        <w:rPr>
          <w:rFonts w:ascii="Book Antiqua" w:hAnsi="Book Antiqua"/>
          <w:vertAlign w:val="superscript"/>
          <w:lang w:val="en-US"/>
        </w:rPr>
        <w:t>[</w:t>
      </w:r>
      <w:r w:rsidR="0010271C" w:rsidRPr="00786942">
        <w:rPr>
          <w:rFonts w:ascii="Book Antiqua" w:hAnsi="Book Antiqua"/>
          <w:vertAlign w:val="superscript"/>
          <w:lang w:val="en-US"/>
        </w:rPr>
        <w:t>30</w:t>
      </w:r>
      <w:r w:rsidR="00E3236E" w:rsidRPr="00786942">
        <w:rPr>
          <w:rFonts w:ascii="Book Antiqua" w:hAnsi="Book Antiqua"/>
          <w:vertAlign w:val="superscript"/>
          <w:lang w:val="en-US"/>
        </w:rPr>
        <w:t>-3</w:t>
      </w:r>
      <w:r w:rsidR="0010271C" w:rsidRPr="00786942">
        <w:rPr>
          <w:rFonts w:ascii="Book Antiqua" w:hAnsi="Book Antiqua"/>
          <w:vertAlign w:val="superscript"/>
          <w:lang w:val="en-US"/>
        </w:rPr>
        <w:t>3]</w:t>
      </w:r>
      <w:r w:rsidR="0010271C" w:rsidRPr="00786942">
        <w:rPr>
          <w:rFonts w:ascii="Book Antiqua" w:hAnsi="Book Antiqua"/>
          <w:lang w:val="en-US"/>
        </w:rPr>
        <w:t xml:space="preserve"> and by others</w:t>
      </w:r>
      <w:r>
        <w:rPr>
          <w:rFonts w:ascii="Book Antiqua" w:hAnsi="Book Antiqua"/>
          <w:vertAlign w:val="superscript"/>
          <w:lang w:val="en-US"/>
        </w:rPr>
        <w:t>[35,</w:t>
      </w:r>
      <w:r w:rsidR="0010271C" w:rsidRPr="00786942">
        <w:rPr>
          <w:rFonts w:ascii="Book Antiqua" w:hAnsi="Book Antiqua"/>
          <w:vertAlign w:val="superscript"/>
          <w:lang w:val="en-US"/>
        </w:rPr>
        <w:t>37</w:t>
      </w:r>
      <w:r w:rsidR="00E3236E" w:rsidRPr="00786942">
        <w:rPr>
          <w:rFonts w:ascii="Book Antiqua" w:hAnsi="Book Antiqua"/>
          <w:vertAlign w:val="superscript"/>
          <w:lang w:val="en-US"/>
        </w:rPr>
        <w:t xml:space="preserve">] </w:t>
      </w:r>
      <w:r w:rsidR="000504A5" w:rsidRPr="00786942">
        <w:rPr>
          <w:rFonts w:ascii="Book Antiqua" w:hAnsi="Book Antiqua"/>
          <w:lang w:val="en-US"/>
        </w:rPr>
        <w:t>do not confirm these findings</w:t>
      </w:r>
      <w:r w:rsidR="008C6415" w:rsidRPr="00786942">
        <w:rPr>
          <w:rFonts w:ascii="Book Antiqua" w:hAnsi="Book Antiqua"/>
          <w:lang w:val="en-US"/>
        </w:rPr>
        <w:t>,</w:t>
      </w:r>
      <w:r w:rsidR="000504A5" w:rsidRPr="00786942">
        <w:rPr>
          <w:rFonts w:ascii="Book Antiqua" w:hAnsi="Book Antiqua"/>
          <w:lang w:val="en-US"/>
        </w:rPr>
        <w:t xml:space="preserve"> and one study even describes </w:t>
      </w:r>
      <w:r w:rsidR="00F00C1B" w:rsidRPr="00786942">
        <w:rPr>
          <w:rFonts w:ascii="Book Antiqua" w:hAnsi="Book Antiqua"/>
          <w:lang w:val="en-US"/>
        </w:rPr>
        <w:t xml:space="preserve">a pro </w:t>
      </w:r>
      <w:r w:rsidR="000504A5" w:rsidRPr="00786942">
        <w:rPr>
          <w:rFonts w:ascii="Book Antiqua" w:hAnsi="Book Antiqua"/>
          <w:lang w:val="en-US"/>
        </w:rPr>
        <w:t>mitogenic effect of angiotensin II</w:t>
      </w:r>
      <w:r w:rsidR="000504A5" w:rsidRPr="00786942">
        <w:rPr>
          <w:rFonts w:ascii="Book Antiqua" w:hAnsi="Book Antiqua"/>
          <w:vertAlign w:val="superscript"/>
          <w:lang w:val="en-US"/>
        </w:rPr>
        <w:t>[45]</w:t>
      </w:r>
      <w:r w:rsidR="000504A5" w:rsidRPr="00786942">
        <w:rPr>
          <w:rFonts w:ascii="Book Antiqua" w:hAnsi="Book Antiqua"/>
          <w:lang w:val="en-US"/>
        </w:rPr>
        <w:t>.</w:t>
      </w:r>
      <w:r w:rsidR="00382477">
        <w:rPr>
          <w:rFonts w:ascii="Book Antiqua" w:hAnsi="Book Antiqua"/>
          <w:lang w:val="en-US"/>
        </w:rPr>
        <w:t xml:space="preserve"> </w:t>
      </w:r>
      <w:r w:rsidR="00E3236E" w:rsidRPr="00786942">
        <w:rPr>
          <w:rFonts w:ascii="Book Antiqua" w:hAnsi="Book Antiqua"/>
          <w:lang w:val="en-US"/>
        </w:rPr>
        <w:t>Moreover, a complete overview of this aspect requires a better definition of the role of VEGF as a potential autocrine growth factor on tumor cells</w:t>
      </w:r>
      <w:r w:rsidR="00E3236E" w:rsidRPr="00786942">
        <w:rPr>
          <w:rFonts w:ascii="Book Antiqua" w:hAnsi="Book Antiqua"/>
          <w:vertAlign w:val="superscript"/>
          <w:lang w:val="en-US"/>
        </w:rPr>
        <w:t>[4</w:t>
      </w:r>
      <w:r w:rsidR="0010271C" w:rsidRPr="00786942">
        <w:rPr>
          <w:rFonts w:ascii="Book Antiqua" w:hAnsi="Book Antiqua"/>
          <w:vertAlign w:val="superscript"/>
          <w:lang w:val="en-US"/>
        </w:rPr>
        <w:t>6</w:t>
      </w:r>
      <w:r w:rsidR="00E3236E" w:rsidRPr="00786942">
        <w:rPr>
          <w:rFonts w:ascii="Book Antiqua" w:hAnsi="Book Antiqua"/>
          <w:vertAlign w:val="superscript"/>
          <w:lang w:val="en-US"/>
        </w:rPr>
        <w:t>]</w:t>
      </w:r>
      <w:r w:rsidR="00E3236E" w:rsidRPr="00786942">
        <w:rPr>
          <w:rFonts w:ascii="Book Antiqua" w:hAnsi="Book Antiqua"/>
          <w:lang w:val="en-US"/>
        </w:rPr>
        <w:t xml:space="preserve"> and the relationship between angiotensin receptor 1 (AT1R) and angiotensin receptor 2 (AT2R)</w:t>
      </w:r>
      <w:r w:rsidR="00E3236E" w:rsidRPr="00786942">
        <w:rPr>
          <w:rFonts w:ascii="Book Antiqua" w:hAnsi="Book Antiqua"/>
          <w:vertAlign w:val="superscript"/>
          <w:lang w:val="en-US"/>
        </w:rPr>
        <w:t>[3</w:t>
      </w:r>
      <w:r w:rsidR="0010271C" w:rsidRPr="00786942">
        <w:rPr>
          <w:rFonts w:ascii="Book Antiqua" w:hAnsi="Book Antiqua"/>
          <w:vertAlign w:val="superscript"/>
          <w:lang w:val="en-US"/>
        </w:rPr>
        <w:t>6</w:t>
      </w:r>
      <w:r>
        <w:rPr>
          <w:rFonts w:ascii="Book Antiqua" w:hAnsi="Book Antiqua"/>
          <w:vertAlign w:val="superscript"/>
          <w:lang w:val="en-US"/>
        </w:rPr>
        <w:t>,</w:t>
      </w:r>
      <w:r w:rsidR="0010271C" w:rsidRPr="00786942">
        <w:rPr>
          <w:rFonts w:ascii="Book Antiqua" w:hAnsi="Book Antiqua"/>
          <w:vertAlign w:val="superscript"/>
          <w:lang w:val="en-US"/>
        </w:rPr>
        <w:t>50</w:t>
      </w:r>
      <w:r w:rsidR="00382477">
        <w:rPr>
          <w:rFonts w:ascii="Book Antiqua" w:hAnsi="Book Antiqua"/>
          <w:vertAlign w:val="superscript"/>
          <w:lang w:val="en-US"/>
        </w:rPr>
        <w:t>,51</w:t>
      </w:r>
      <w:r w:rsidR="00E3236E" w:rsidRPr="00786942">
        <w:rPr>
          <w:rFonts w:ascii="Book Antiqua" w:hAnsi="Book Antiqua"/>
          <w:vertAlign w:val="superscript"/>
          <w:lang w:val="en-US"/>
        </w:rPr>
        <w:t>]</w:t>
      </w:r>
      <w:r w:rsidR="00E3236E" w:rsidRPr="00786942">
        <w:rPr>
          <w:rFonts w:ascii="Book Antiqua" w:hAnsi="Book Antiqua"/>
          <w:lang w:val="en-US"/>
        </w:rPr>
        <w:t xml:space="preserve">. </w:t>
      </w:r>
    </w:p>
    <w:p w:rsidR="00E3236E" w:rsidRPr="00786942" w:rsidRDefault="00291D03" w:rsidP="00786942">
      <w:pPr>
        <w:pStyle w:val="Paragrafoelenco1"/>
        <w:adjustRightInd w:val="0"/>
        <w:snapToGrid w:val="0"/>
        <w:spacing w:line="360" w:lineRule="auto"/>
        <w:ind w:left="0" w:right="0"/>
        <w:rPr>
          <w:rFonts w:ascii="Book Antiqua" w:hAnsi="Book Antiqua"/>
          <w:lang w:val="en-US"/>
        </w:rPr>
      </w:pPr>
      <w:r>
        <w:rPr>
          <w:rFonts w:ascii="Book Antiqua" w:hAnsi="Book Antiqua"/>
          <w:lang w:val="en-US"/>
        </w:rPr>
        <w:t xml:space="preserve">  </w:t>
      </w:r>
      <w:r w:rsidR="000504A5" w:rsidRPr="00786942">
        <w:rPr>
          <w:rFonts w:ascii="Book Antiqua" w:hAnsi="Book Antiqua"/>
          <w:lang w:val="en-US"/>
        </w:rPr>
        <w:t>M</w:t>
      </w:r>
      <w:r w:rsidR="00E3236E" w:rsidRPr="00786942">
        <w:rPr>
          <w:rFonts w:ascii="Book Antiqua" w:hAnsi="Book Antiqua"/>
          <w:lang w:val="en-US"/>
        </w:rPr>
        <w:t>ore consistent data seem to demonstrate the proapoptotic effect of RAS inhibitors on hepatic cancer cells</w:t>
      </w:r>
      <w:r w:rsidR="00E3236E" w:rsidRPr="00786942">
        <w:rPr>
          <w:rFonts w:ascii="Book Antiqua" w:hAnsi="Book Antiqua"/>
          <w:vertAlign w:val="superscript"/>
          <w:lang w:val="en-US"/>
        </w:rPr>
        <w:t>[3</w:t>
      </w:r>
      <w:r w:rsidR="0010271C" w:rsidRPr="00786942">
        <w:rPr>
          <w:rFonts w:ascii="Book Antiqua" w:hAnsi="Book Antiqua"/>
          <w:vertAlign w:val="superscript"/>
          <w:lang w:val="en-US"/>
        </w:rPr>
        <w:t>1</w:t>
      </w:r>
      <w:r>
        <w:rPr>
          <w:rFonts w:ascii="Book Antiqua" w:hAnsi="Book Antiqua"/>
          <w:vertAlign w:val="superscript"/>
          <w:lang w:val="en-US"/>
        </w:rPr>
        <w:t>,</w:t>
      </w:r>
      <w:r w:rsidR="00E3236E" w:rsidRPr="00786942">
        <w:rPr>
          <w:rFonts w:ascii="Book Antiqua" w:hAnsi="Book Antiqua"/>
          <w:vertAlign w:val="superscript"/>
          <w:lang w:val="en-US"/>
        </w:rPr>
        <w:t>3</w:t>
      </w:r>
      <w:r w:rsidR="0010271C" w:rsidRPr="00786942">
        <w:rPr>
          <w:rFonts w:ascii="Book Antiqua" w:hAnsi="Book Antiqua"/>
          <w:vertAlign w:val="superscript"/>
          <w:lang w:val="en-US"/>
        </w:rPr>
        <w:t>3</w:t>
      </w:r>
      <w:r>
        <w:rPr>
          <w:rFonts w:ascii="Book Antiqua" w:hAnsi="Book Antiqua"/>
          <w:vertAlign w:val="superscript"/>
          <w:lang w:val="en-US"/>
        </w:rPr>
        <w:t>,</w:t>
      </w:r>
      <w:r w:rsidR="00E3236E" w:rsidRPr="00786942">
        <w:rPr>
          <w:rFonts w:ascii="Book Antiqua" w:hAnsi="Book Antiqua"/>
          <w:vertAlign w:val="superscript"/>
          <w:lang w:val="en-US"/>
        </w:rPr>
        <w:t>3</w:t>
      </w:r>
      <w:r w:rsidR="0010271C" w:rsidRPr="00786942">
        <w:rPr>
          <w:rFonts w:ascii="Book Antiqua" w:hAnsi="Book Antiqua"/>
          <w:vertAlign w:val="superscript"/>
          <w:lang w:val="en-US"/>
        </w:rPr>
        <w:t>6</w:t>
      </w:r>
      <w:r>
        <w:rPr>
          <w:rFonts w:ascii="Book Antiqua" w:hAnsi="Book Antiqua"/>
          <w:vertAlign w:val="superscript"/>
          <w:lang w:val="en-US"/>
        </w:rPr>
        <w:t>,</w:t>
      </w:r>
      <w:r w:rsidR="00E3236E" w:rsidRPr="00786942">
        <w:rPr>
          <w:rFonts w:ascii="Book Antiqua" w:hAnsi="Book Antiqua"/>
          <w:vertAlign w:val="superscript"/>
          <w:lang w:val="en-US"/>
        </w:rPr>
        <w:t>3</w:t>
      </w:r>
      <w:r w:rsidR="0010271C" w:rsidRPr="00786942">
        <w:rPr>
          <w:rFonts w:ascii="Book Antiqua" w:hAnsi="Book Antiqua"/>
          <w:vertAlign w:val="superscript"/>
          <w:lang w:val="en-US"/>
        </w:rPr>
        <w:t>7</w:t>
      </w:r>
      <w:r>
        <w:rPr>
          <w:rFonts w:ascii="Book Antiqua" w:hAnsi="Book Antiqua"/>
          <w:vertAlign w:val="superscript"/>
          <w:lang w:val="en-US"/>
        </w:rPr>
        <w:t>,</w:t>
      </w:r>
      <w:r w:rsidR="00E3236E" w:rsidRPr="00786942">
        <w:rPr>
          <w:rFonts w:ascii="Book Antiqua" w:hAnsi="Book Antiqua"/>
          <w:vertAlign w:val="superscript"/>
          <w:lang w:val="en-US"/>
        </w:rPr>
        <w:t>4</w:t>
      </w:r>
      <w:r w:rsidR="0010271C" w:rsidRPr="00786942">
        <w:rPr>
          <w:rFonts w:ascii="Book Antiqua" w:hAnsi="Book Antiqua"/>
          <w:vertAlign w:val="superscript"/>
          <w:lang w:val="en-US"/>
        </w:rPr>
        <w:t>3</w:t>
      </w:r>
      <w:r w:rsidR="00E3236E" w:rsidRPr="00786942">
        <w:rPr>
          <w:rFonts w:ascii="Book Antiqua" w:hAnsi="Book Antiqua"/>
          <w:vertAlign w:val="superscript"/>
          <w:lang w:val="en-US"/>
        </w:rPr>
        <w:t>]</w:t>
      </w:r>
      <w:r w:rsidR="00E3236E" w:rsidRPr="00786942">
        <w:rPr>
          <w:rFonts w:ascii="Book Antiqua" w:hAnsi="Book Antiqua"/>
          <w:lang w:val="en-US"/>
        </w:rPr>
        <w:t>.</w:t>
      </w:r>
    </w:p>
    <w:p w:rsidR="00E3236E" w:rsidRPr="00786942" w:rsidRDefault="00291D03" w:rsidP="00786942">
      <w:pPr>
        <w:pStyle w:val="Paragrafoelenco1"/>
        <w:adjustRightInd w:val="0"/>
        <w:snapToGrid w:val="0"/>
        <w:spacing w:line="360" w:lineRule="auto"/>
        <w:ind w:left="0" w:right="0"/>
        <w:rPr>
          <w:rFonts w:ascii="Book Antiqua" w:hAnsi="Book Antiqua"/>
          <w:lang w:val="en-US"/>
        </w:rPr>
      </w:pPr>
      <w:r>
        <w:rPr>
          <w:rFonts w:ascii="Book Antiqua" w:hAnsi="Book Antiqua"/>
          <w:lang w:val="en-US"/>
        </w:rPr>
        <w:t xml:space="preserve">  </w:t>
      </w:r>
      <w:r w:rsidR="00E3236E" w:rsidRPr="00786942">
        <w:rPr>
          <w:rFonts w:ascii="Book Antiqua" w:hAnsi="Book Antiqua"/>
          <w:lang w:val="en-US"/>
        </w:rPr>
        <w:t xml:space="preserve">Finally, the last possible antitumor mechanism related to the use of RAS inhibitors could consist </w:t>
      </w:r>
      <w:r w:rsidR="00C41346" w:rsidRPr="00786942">
        <w:rPr>
          <w:rFonts w:ascii="Book Antiqua" w:hAnsi="Book Antiqua"/>
          <w:lang w:val="en-US"/>
        </w:rPr>
        <w:t xml:space="preserve">of </w:t>
      </w:r>
      <w:r w:rsidR="00E3236E" w:rsidRPr="00786942">
        <w:rPr>
          <w:rFonts w:ascii="Book Antiqua" w:hAnsi="Book Antiqua"/>
          <w:lang w:val="en-US"/>
        </w:rPr>
        <w:t>the suppression of inflammation by the reduction of TNF-α</w:t>
      </w:r>
      <w:r w:rsidR="00E3236E" w:rsidRPr="00786942">
        <w:rPr>
          <w:rFonts w:ascii="Book Antiqua" w:hAnsi="Book Antiqua"/>
          <w:vertAlign w:val="superscript"/>
          <w:lang w:val="en-US"/>
        </w:rPr>
        <w:t>[2</w:t>
      </w:r>
      <w:r w:rsidR="0010271C" w:rsidRPr="00786942">
        <w:rPr>
          <w:rFonts w:ascii="Book Antiqua" w:hAnsi="Book Antiqua"/>
          <w:vertAlign w:val="superscript"/>
          <w:lang w:val="en-US"/>
        </w:rPr>
        <w:t>5</w:t>
      </w:r>
      <w:r>
        <w:rPr>
          <w:rFonts w:ascii="Book Antiqua" w:hAnsi="Book Antiqua"/>
          <w:vertAlign w:val="superscript"/>
          <w:lang w:val="en-US"/>
        </w:rPr>
        <w:t>,</w:t>
      </w:r>
      <w:r w:rsidR="0010271C" w:rsidRPr="00786942">
        <w:rPr>
          <w:rFonts w:ascii="Book Antiqua" w:hAnsi="Book Antiqua"/>
          <w:vertAlign w:val="superscript"/>
          <w:lang w:val="en-US"/>
        </w:rPr>
        <w:t>40</w:t>
      </w:r>
      <w:r w:rsidR="00E3236E" w:rsidRPr="00786942">
        <w:rPr>
          <w:rFonts w:ascii="Book Antiqua" w:hAnsi="Book Antiqua"/>
          <w:vertAlign w:val="superscript"/>
          <w:lang w:val="en-US"/>
        </w:rPr>
        <w:t>]</w:t>
      </w:r>
      <w:r w:rsidR="00E3236E" w:rsidRPr="00786942">
        <w:rPr>
          <w:rFonts w:ascii="Book Antiqua" w:hAnsi="Book Antiqua"/>
          <w:lang w:val="en-US"/>
        </w:rPr>
        <w:t>, TGF-β</w:t>
      </w:r>
      <w:r w:rsidR="00896579" w:rsidRPr="00786942">
        <w:rPr>
          <w:rFonts w:ascii="Book Antiqua" w:hAnsi="Book Antiqua"/>
          <w:vertAlign w:val="superscript"/>
          <w:lang w:val="en-US"/>
        </w:rPr>
        <w:t>[</w:t>
      </w:r>
      <w:r w:rsidR="00E3236E" w:rsidRPr="00786942">
        <w:rPr>
          <w:rFonts w:ascii="Book Antiqua" w:hAnsi="Book Antiqua"/>
          <w:vertAlign w:val="superscript"/>
          <w:lang w:val="en-US"/>
        </w:rPr>
        <w:t>2</w:t>
      </w:r>
      <w:r w:rsidR="0010271C" w:rsidRPr="00786942">
        <w:rPr>
          <w:rFonts w:ascii="Book Antiqua" w:hAnsi="Book Antiqua"/>
          <w:vertAlign w:val="superscript"/>
          <w:lang w:val="en-US"/>
        </w:rPr>
        <w:t>5</w:t>
      </w:r>
      <w:r>
        <w:rPr>
          <w:rFonts w:ascii="Book Antiqua" w:hAnsi="Book Antiqua"/>
          <w:vertAlign w:val="superscript"/>
          <w:lang w:val="en-US"/>
        </w:rPr>
        <w:t>,</w:t>
      </w:r>
      <w:r w:rsidR="00E3236E" w:rsidRPr="00786942">
        <w:rPr>
          <w:rFonts w:ascii="Book Antiqua" w:hAnsi="Book Antiqua"/>
          <w:vertAlign w:val="superscript"/>
          <w:lang w:val="en-US"/>
        </w:rPr>
        <w:t>2</w:t>
      </w:r>
      <w:r w:rsidR="0010271C" w:rsidRPr="00786942">
        <w:rPr>
          <w:rFonts w:ascii="Book Antiqua" w:hAnsi="Book Antiqua"/>
          <w:vertAlign w:val="superscript"/>
          <w:lang w:val="en-US"/>
        </w:rPr>
        <w:t>9</w:t>
      </w:r>
      <w:r>
        <w:rPr>
          <w:rFonts w:ascii="Book Antiqua" w:hAnsi="Book Antiqua"/>
          <w:vertAlign w:val="superscript"/>
          <w:lang w:val="en-US"/>
        </w:rPr>
        <w:t>,</w:t>
      </w:r>
      <w:r w:rsidR="0010271C" w:rsidRPr="00786942">
        <w:rPr>
          <w:rFonts w:ascii="Book Antiqua" w:hAnsi="Book Antiqua"/>
          <w:vertAlign w:val="superscript"/>
          <w:lang w:val="en-US"/>
        </w:rPr>
        <w:t>40</w:t>
      </w:r>
      <w:r>
        <w:rPr>
          <w:rFonts w:ascii="Book Antiqua" w:hAnsi="Book Antiqua"/>
          <w:vertAlign w:val="superscript"/>
          <w:lang w:val="en-US"/>
        </w:rPr>
        <w:t>,</w:t>
      </w:r>
      <w:r w:rsidR="00E3236E" w:rsidRPr="00786942">
        <w:rPr>
          <w:rFonts w:ascii="Book Antiqua" w:hAnsi="Book Antiqua"/>
          <w:vertAlign w:val="superscript"/>
          <w:lang w:val="en-US"/>
        </w:rPr>
        <w:t>4</w:t>
      </w:r>
      <w:r w:rsidR="0010271C" w:rsidRPr="00786942">
        <w:rPr>
          <w:rFonts w:ascii="Book Antiqua" w:hAnsi="Book Antiqua"/>
          <w:vertAlign w:val="superscript"/>
          <w:lang w:val="en-US"/>
        </w:rPr>
        <w:t>1</w:t>
      </w:r>
      <w:r w:rsidR="00E3236E" w:rsidRPr="00786942">
        <w:rPr>
          <w:rFonts w:ascii="Book Antiqua" w:hAnsi="Book Antiqua"/>
          <w:vertAlign w:val="superscript"/>
          <w:lang w:val="en-US"/>
        </w:rPr>
        <w:t>],</w:t>
      </w:r>
      <w:r w:rsidR="00E3236E" w:rsidRPr="00786942">
        <w:rPr>
          <w:rFonts w:ascii="Book Antiqua" w:hAnsi="Book Antiqua"/>
          <w:lang w:val="en-US"/>
        </w:rPr>
        <w:t xml:space="preserve"> and MMP-2</w:t>
      </w:r>
      <w:r w:rsidR="00E3236E" w:rsidRPr="00786942">
        <w:rPr>
          <w:rFonts w:ascii="Book Antiqua" w:hAnsi="Book Antiqua"/>
          <w:vertAlign w:val="superscript"/>
          <w:lang w:val="en-US"/>
        </w:rPr>
        <w:t>[2</w:t>
      </w:r>
      <w:r w:rsidR="0010271C" w:rsidRPr="00786942">
        <w:rPr>
          <w:rFonts w:ascii="Book Antiqua" w:hAnsi="Book Antiqua"/>
          <w:vertAlign w:val="superscript"/>
          <w:lang w:val="en-US"/>
        </w:rPr>
        <w:t>5</w:t>
      </w:r>
      <w:r>
        <w:rPr>
          <w:rFonts w:ascii="Book Antiqua" w:hAnsi="Book Antiqua"/>
          <w:vertAlign w:val="superscript"/>
          <w:lang w:val="en-US"/>
        </w:rPr>
        <w:t>,</w:t>
      </w:r>
      <w:r w:rsidR="00E3236E" w:rsidRPr="00786942">
        <w:rPr>
          <w:rFonts w:ascii="Book Antiqua" w:hAnsi="Book Antiqua"/>
          <w:vertAlign w:val="superscript"/>
          <w:lang w:val="en-US"/>
        </w:rPr>
        <w:t>2</w:t>
      </w:r>
      <w:r w:rsidR="0010271C" w:rsidRPr="00786942">
        <w:rPr>
          <w:rFonts w:ascii="Book Antiqua" w:hAnsi="Book Antiqua"/>
          <w:vertAlign w:val="superscript"/>
          <w:lang w:val="en-US"/>
        </w:rPr>
        <w:t>9</w:t>
      </w:r>
      <w:r w:rsidR="00E3236E" w:rsidRPr="00786942">
        <w:rPr>
          <w:rFonts w:ascii="Book Antiqua" w:hAnsi="Book Antiqua"/>
          <w:vertAlign w:val="superscript"/>
          <w:lang w:val="en-US"/>
        </w:rPr>
        <w:t>]</w:t>
      </w:r>
      <w:r w:rsidR="00E3236E" w:rsidRPr="00786942">
        <w:rPr>
          <w:rFonts w:ascii="Book Antiqua" w:hAnsi="Book Antiqua"/>
          <w:lang w:val="en-US"/>
        </w:rPr>
        <w:t>, and an increase of tissue inhibitor of metalloproteinase (TIMP)-1, a negative regulator of MMP2</w:t>
      </w:r>
      <w:r w:rsidR="00E3236E" w:rsidRPr="00786942">
        <w:rPr>
          <w:rFonts w:ascii="Book Antiqua" w:hAnsi="Book Antiqua"/>
          <w:vertAlign w:val="superscript"/>
          <w:lang w:val="en-US"/>
        </w:rPr>
        <w:t>[</w:t>
      </w:r>
      <w:r w:rsidR="0010271C" w:rsidRPr="00786942">
        <w:rPr>
          <w:rFonts w:ascii="Book Antiqua" w:hAnsi="Book Antiqua"/>
          <w:vertAlign w:val="superscript"/>
          <w:lang w:val="en-US"/>
        </w:rPr>
        <w:t>29</w:t>
      </w:r>
      <w:r w:rsidR="00E3236E" w:rsidRPr="00786942">
        <w:rPr>
          <w:rFonts w:ascii="Book Antiqua" w:hAnsi="Book Antiqua"/>
          <w:vertAlign w:val="superscript"/>
          <w:lang w:val="en-US"/>
        </w:rPr>
        <w:t>]</w:t>
      </w:r>
      <w:r w:rsidR="00E3236E" w:rsidRPr="00786942">
        <w:rPr>
          <w:rFonts w:ascii="Book Antiqua" w:hAnsi="Book Antiqua"/>
          <w:lang w:val="en-US"/>
        </w:rPr>
        <w:t>.</w:t>
      </w:r>
    </w:p>
    <w:p w:rsidR="00E3236E" w:rsidRPr="00786942" w:rsidRDefault="00291D03" w:rsidP="00786942">
      <w:pPr>
        <w:pStyle w:val="Paragrafoelenco1"/>
        <w:adjustRightInd w:val="0"/>
        <w:snapToGrid w:val="0"/>
        <w:spacing w:line="360" w:lineRule="auto"/>
        <w:ind w:left="0" w:right="0"/>
        <w:rPr>
          <w:rFonts w:ascii="Book Antiqua" w:hAnsi="Book Antiqua"/>
          <w:lang w:val="en-US"/>
        </w:rPr>
      </w:pPr>
      <w:r>
        <w:rPr>
          <w:rFonts w:ascii="Book Antiqua" w:hAnsi="Book Antiqua"/>
          <w:lang w:val="en-US"/>
        </w:rPr>
        <w:t xml:space="preserve">  </w:t>
      </w:r>
      <w:r w:rsidR="00E3236E" w:rsidRPr="00786942">
        <w:rPr>
          <w:rFonts w:ascii="Book Antiqua" w:hAnsi="Book Antiqua"/>
          <w:lang w:val="en-US"/>
        </w:rPr>
        <w:t>All mechanisms mentioned above supporting the anti-tumor activity of RAS inhibitors were studied in HCC models</w:t>
      </w:r>
      <w:r w:rsidR="00C41346" w:rsidRPr="00786942">
        <w:rPr>
          <w:rFonts w:ascii="Book Antiqua" w:hAnsi="Book Antiqua"/>
          <w:lang w:val="en-US"/>
        </w:rPr>
        <w:t>,</w:t>
      </w:r>
      <w:r w:rsidR="00E3236E" w:rsidRPr="00786942">
        <w:rPr>
          <w:rFonts w:ascii="Book Antiqua" w:hAnsi="Book Antiqua"/>
          <w:lang w:val="en-US"/>
        </w:rPr>
        <w:t xml:space="preserve"> mostly induced by the carcinogenetic agent DEN or in rodents with xenotransplanted tumors, except </w:t>
      </w:r>
      <w:r w:rsidR="00C41346" w:rsidRPr="00786942">
        <w:rPr>
          <w:rFonts w:ascii="Book Antiqua" w:hAnsi="Book Antiqua"/>
          <w:lang w:val="en-US"/>
        </w:rPr>
        <w:t xml:space="preserve">in </w:t>
      </w:r>
      <w:r w:rsidR="00E3236E" w:rsidRPr="00786942">
        <w:rPr>
          <w:rFonts w:ascii="Book Antiqua" w:hAnsi="Book Antiqua"/>
          <w:lang w:val="en-US"/>
        </w:rPr>
        <w:t>two studies</w:t>
      </w:r>
      <w:r w:rsidR="00E3236E" w:rsidRPr="00786942">
        <w:rPr>
          <w:rFonts w:ascii="Book Antiqua" w:hAnsi="Book Antiqua"/>
          <w:vertAlign w:val="superscript"/>
          <w:lang w:val="en-US"/>
        </w:rPr>
        <w:t>[</w:t>
      </w:r>
      <w:r w:rsidR="0010271C" w:rsidRPr="00786942">
        <w:rPr>
          <w:rFonts w:ascii="Book Antiqua" w:hAnsi="Book Antiqua"/>
          <w:vertAlign w:val="superscript"/>
          <w:lang w:val="en-US"/>
        </w:rPr>
        <w:t>40</w:t>
      </w:r>
      <w:r>
        <w:rPr>
          <w:rFonts w:ascii="Book Antiqua" w:hAnsi="Book Antiqua"/>
          <w:vertAlign w:val="superscript"/>
          <w:lang w:val="en-US"/>
        </w:rPr>
        <w:t>,</w:t>
      </w:r>
      <w:r w:rsidR="00E3236E" w:rsidRPr="00786942">
        <w:rPr>
          <w:rFonts w:ascii="Book Antiqua" w:hAnsi="Book Antiqua"/>
          <w:vertAlign w:val="superscript"/>
          <w:lang w:val="en-US"/>
        </w:rPr>
        <w:t>4</w:t>
      </w:r>
      <w:r w:rsidR="0010271C" w:rsidRPr="00786942">
        <w:rPr>
          <w:rFonts w:ascii="Book Antiqua" w:hAnsi="Book Antiqua"/>
          <w:vertAlign w:val="superscript"/>
          <w:lang w:val="en-US"/>
        </w:rPr>
        <w:t>1</w:t>
      </w:r>
      <w:r w:rsidR="00E3236E" w:rsidRPr="00786942">
        <w:rPr>
          <w:rFonts w:ascii="Book Antiqua" w:hAnsi="Book Antiqua"/>
          <w:vertAlign w:val="superscript"/>
          <w:lang w:val="en-US"/>
        </w:rPr>
        <w:t>]</w:t>
      </w:r>
      <w:r w:rsidR="00E3236E" w:rsidRPr="00786942">
        <w:rPr>
          <w:rFonts w:ascii="Book Antiqua" w:hAnsi="Book Antiqua"/>
          <w:lang w:val="en-US"/>
        </w:rPr>
        <w:t xml:space="preserve"> that used choline-deficient</w:t>
      </w:r>
      <w:r w:rsidR="000D63D0" w:rsidRPr="00786942">
        <w:rPr>
          <w:rFonts w:ascii="Book Antiqua" w:hAnsi="Book Antiqua"/>
          <w:lang w:val="en-US"/>
        </w:rPr>
        <w:t>/</w:t>
      </w:r>
      <w:r w:rsidR="00E3236E" w:rsidRPr="00786942">
        <w:rPr>
          <w:rFonts w:ascii="Book Antiqua" w:hAnsi="Book Antiqua"/>
          <w:lang w:val="en-US"/>
        </w:rPr>
        <w:t>low-methionine diet</w:t>
      </w:r>
      <w:r w:rsidR="00C41346" w:rsidRPr="00786942">
        <w:rPr>
          <w:rFonts w:ascii="Book Antiqua" w:hAnsi="Book Antiqua"/>
          <w:lang w:val="en-US"/>
        </w:rPr>
        <w:t>s</w:t>
      </w:r>
      <w:r w:rsidR="00E3236E" w:rsidRPr="00786942">
        <w:rPr>
          <w:rFonts w:ascii="Book Antiqua" w:hAnsi="Book Antiqua"/>
          <w:lang w:val="en-US"/>
        </w:rPr>
        <w:t xml:space="preserve"> to induce steatohepatitis related HCC. Viral hepatitis still represents the principal cause of HCC in humans. The demonstration of a similar protective effect of ACE-I or ARBs in an animal model that mimics the progression of viral-related liver disease in humans, such as the HBV transgenic mouse model</w:t>
      </w:r>
      <w:r w:rsidR="00E3236E" w:rsidRPr="00786942">
        <w:rPr>
          <w:rFonts w:ascii="Book Antiqua" w:hAnsi="Book Antiqua"/>
          <w:vertAlign w:val="superscript"/>
          <w:lang w:val="en-US"/>
        </w:rPr>
        <w:t>[5</w:t>
      </w:r>
      <w:r w:rsidR="0010271C" w:rsidRPr="00786942">
        <w:rPr>
          <w:rFonts w:ascii="Book Antiqua" w:hAnsi="Book Antiqua"/>
          <w:vertAlign w:val="superscript"/>
          <w:lang w:val="en-US"/>
        </w:rPr>
        <w:t>2</w:t>
      </w:r>
      <w:r w:rsidR="00E3236E" w:rsidRPr="00786942">
        <w:rPr>
          <w:rFonts w:ascii="Book Antiqua" w:hAnsi="Book Antiqua"/>
          <w:vertAlign w:val="superscript"/>
          <w:lang w:val="en-US"/>
        </w:rPr>
        <w:t>]</w:t>
      </w:r>
      <w:r w:rsidR="00E3236E" w:rsidRPr="00786942">
        <w:rPr>
          <w:rFonts w:ascii="Book Antiqua" w:hAnsi="Book Antiqua"/>
          <w:lang w:val="en-US"/>
        </w:rPr>
        <w:t>, would strongly support previous experimental data. In addition, since ACE-Is have been able to produce a prophylactic effect on hepatocarcinogenesis</w:t>
      </w:r>
      <w:r w:rsidR="00E3236E" w:rsidRPr="00786942">
        <w:rPr>
          <w:rFonts w:ascii="Book Antiqua" w:hAnsi="Book Antiqua"/>
          <w:vertAlign w:val="superscript"/>
          <w:lang w:val="en-US"/>
        </w:rPr>
        <w:t>[</w:t>
      </w:r>
      <w:r w:rsidR="0010271C" w:rsidRPr="00786942">
        <w:rPr>
          <w:rFonts w:ascii="Book Antiqua" w:hAnsi="Book Antiqua"/>
          <w:vertAlign w:val="superscript"/>
          <w:lang w:val="en-US"/>
        </w:rPr>
        <w:t>29</w:t>
      </w:r>
      <w:r>
        <w:rPr>
          <w:rFonts w:ascii="Book Antiqua" w:hAnsi="Book Antiqua"/>
          <w:vertAlign w:val="superscript"/>
          <w:lang w:val="en-US"/>
        </w:rPr>
        <w:t>,</w:t>
      </w:r>
      <w:r w:rsidR="00E3236E" w:rsidRPr="00786942">
        <w:rPr>
          <w:rFonts w:ascii="Book Antiqua" w:hAnsi="Book Antiqua"/>
          <w:vertAlign w:val="superscript"/>
          <w:lang w:val="en-US"/>
        </w:rPr>
        <w:t>3</w:t>
      </w:r>
      <w:r w:rsidR="0010271C" w:rsidRPr="00786942">
        <w:rPr>
          <w:rFonts w:ascii="Book Antiqua" w:hAnsi="Book Antiqua"/>
          <w:vertAlign w:val="superscript"/>
          <w:lang w:val="en-US"/>
        </w:rPr>
        <w:t>2</w:t>
      </w:r>
      <w:r>
        <w:rPr>
          <w:rFonts w:ascii="Book Antiqua" w:hAnsi="Book Antiqua"/>
          <w:vertAlign w:val="superscript"/>
          <w:lang w:val="en-US"/>
        </w:rPr>
        <w:t>,</w:t>
      </w:r>
      <w:r w:rsidR="00E3236E" w:rsidRPr="00786942">
        <w:rPr>
          <w:rFonts w:ascii="Book Antiqua" w:hAnsi="Book Antiqua"/>
          <w:vertAlign w:val="superscript"/>
          <w:lang w:val="en-US"/>
        </w:rPr>
        <w:t>3</w:t>
      </w:r>
      <w:r w:rsidR="0010271C" w:rsidRPr="00786942">
        <w:rPr>
          <w:rFonts w:ascii="Book Antiqua" w:hAnsi="Book Antiqua"/>
          <w:vertAlign w:val="superscript"/>
          <w:lang w:val="en-US"/>
        </w:rPr>
        <w:t>3</w:t>
      </w:r>
      <w:r w:rsidR="00E3236E" w:rsidRPr="00786942">
        <w:rPr>
          <w:rFonts w:ascii="Book Antiqua" w:hAnsi="Book Antiqua"/>
          <w:vertAlign w:val="superscript"/>
          <w:lang w:val="en-US"/>
        </w:rPr>
        <w:t>]</w:t>
      </w:r>
      <w:r w:rsidR="00E3236E" w:rsidRPr="00786942">
        <w:rPr>
          <w:rFonts w:ascii="Book Antiqua" w:hAnsi="Book Antiqua"/>
          <w:lang w:val="en-US"/>
        </w:rPr>
        <w:t>, this model, could be used to test the RAS inhibitor influence on the expression of genes that are in</w:t>
      </w:r>
      <w:r w:rsidR="0010271C" w:rsidRPr="00786942">
        <w:rPr>
          <w:rFonts w:ascii="Book Antiqua" w:hAnsi="Book Antiqua"/>
          <w:lang w:val="en-US"/>
        </w:rPr>
        <w:t>volved</w:t>
      </w:r>
      <w:r w:rsidR="00C41346" w:rsidRPr="00786942">
        <w:rPr>
          <w:rFonts w:ascii="Book Antiqua" w:hAnsi="Book Antiqua"/>
          <w:lang w:val="en-US"/>
        </w:rPr>
        <w:t xml:space="preserve"> early on</w:t>
      </w:r>
      <w:r w:rsidR="0010271C" w:rsidRPr="00786942">
        <w:rPr>
          <w:rFonts w:ascii="Book Antiqua" w:hAnsi="Book Antiqua"/>
          <w:lang w:val="en-US"/>
        </w:rPr>
        <w:t xml:space="preserve"> in the carcinogene</w:t>
      </w:r>
      <w:r w:rsidR="00C41346" w:rsidRPr="00786942">
        <w:rPr>
          <w:rFonts w:ascii="Book Antiqua" w:hAnsi="Book Antiqua"/>
          <w:lang w:val="en-US"/>
        </w:rPr>
        <w:t>sis</w:t>
      </w:r>
      <w:r w:rsidR="0010271C" w:rsidRPr="00786942">
        <w:rPr>
          <w:rFonts w:ascii="Book Antiqua" w:hAnsi="Book Antiqua"/>
          <w:vertAlign w:val="superscript"/>
          <w:lang w:val="en-US"/>
        </w:rPr>
        <w:t>[53</w:t>
      </w:r>
      <w:r w:rsidR="00E3236E" w:rsidRPr="00786942">
        <w:rPr>
          <w:rFonts w:ascii="Book Antiqua" w:hAnsi="Book Antiqua"/>
          <w:vertAlign w:val="superscript"/>
          <w:lang w:val="en-US"/>
        </w:rPr>
        <w:t>]</w:t>
      </w:r>
      <w:r w:rsidR="00E3236E" w:rsidRPr="00786942">
        <w:rPr>
          <w:rFonts w:ascii="Book Antiqua" w:hAnsi="Book Antiqua"/>
          <w:lang w:val="en-US"/>
        </w:rPr>
        <w:t>.</w:t>
      </w:r>
      <w:r w:rsidR="003A7150" w:rsidRPr="00786942">
        <w:rPr>
          <w:rFonts w:ascii="Book Antiqua" w:hAnsi="Book Antiqua"/>
          <w:lang w:val="en-US"/>
        </w:rPr>
        <w:t xml:space="preserve"> </w:t>
      </w:r>
      <w:r w:rsidR="00721F26" w:rsidRPr="00786942">
        <w:rPr>
          <w:rFonts w:ascii="Book Antiqua" w:hAnsi="Book Antiqua"/>
          <w:lang w:val="en-US"/>
        </w:rPr>
        <w:t>In fact, the adoption of transgenic mouse models is widely used to test the effect of drugs or nutrients to counteract the process of carcinogenesis</w:t>
      </w:r>
      <w:r w:rsidR="00721F26" w:rsidRPr="00786942">
        <w:rPr>
          <w:rFonts w:ascii="Book Antiqua" w:hAnsi="Book Antiqua"/>
          <w:vertAlign w:val="superscript"/>
          <w:lang w:val="en-US"/>
        </w:rPr>
        <w:t>[54]</w:t>
      </w:r>
      <w:r w:rsidR="00721F26" w:rsidRPr="00786942">
        <w:rPr>
          <w:rFonts w:ascii="Book Antiqua" w:hAnsi="Book Antiqua"/>
          <w:lang w:val="en-US"/>
        </w:rPr>
        <w:t>.</w:t>
      </w:r>
      <w:r w:rsidR="0066158B" w:rsidRPr="00786942">
        <w:rPr>
          <w:rFonts w:ascii="Book Antiqua" w:hAnsi="Book Antiqua"/>
          <w:lang w:val="en-US"/>
        </w:rPr>
        <w:t xml:space="preserve"> </w:t>
      </w:r>
      <w:r w:rsidR="003A7150" w:rsidRPr="00786942">
        <w:rPr>
          <w:rFonts w:ascii="Book Antiqua" w:hAnsi="Book Antiqua"/>
          <w:lang w:val="en-US"/>
        </w:rPr>
        <w:t xml:space="preserve">Finally, to clarify if RAS inhibitors could influence the progression toward overt HCC in humans, it is necessary to </w:t>
      </w:r>
      <w:r w:rsidR="00CF53EF" w:rsidRPr="00786942">
        <w:rPr>
          <w:rFonts w:ascii="Book Antiqua" w:hAnsi="Book Antiqua"/>
          <w:lang w:val="en-US"/>
        </w:rPr>
        <w:t>design randomized</w:t>
      </w:r>
      <w:r w:rsidR="00C41346" w:rsidRPr="00786942">
        <w:rPr>
          <w:rFonts w:ascii="Book Antiqua" w:hAnsi="Book Antiqua"/>
          <w:lang w:val="en-US"/>
        </w:rPr>
        <w:t>,</w:t>
      </w:r>
      <w:r w:rsidR="00CF53EF" w:rsidRPr="00786942">
        <w:rPr>
          <w:rFonts w:ascii="Book Antiqua" w:hAnsi="Book Antiqua"/>
          <w:lang w:val="en-US"/>
        </w:rPr>
        <w:t xml:space="preserve"> controlled trials in which the treatment with</w:t>
      </w:r>
      <w:r w:rsidR="003A7150" w:rsidRPr="00786942">
        <w:rPr>
          <w:rFonts w:ascii="Book Antiqua" w:hAnsi="Book Antiqua"/>
          <w:lang w:val="en-US"/>
        </w:rPr>
        <w:t xml:space="preserve"> these anti-hypertensive drugs</w:t>
      </w:r>
      <w:r w:rsidR="00CF53EF" w:rsidRPr="00786942">
        <w:rPr>
          <w:rFonts w:ascii="Book Antiqua" w:hAnsi="Book Antiqua"/>
          <w:lang w:val="en-US"/>
        </w:rPr>
        <w:t xml:space="preserve"> is initiated</w:t>
      </w:r>
      <w:r w:rsidR="003A7150" w:rsidRPr="00786942">
        <w:rPr>
          <w:rFonts w:ascii="Book Antiqua" w:hAnsi="Book Antiqua"/>
          <w:lang w:val="en-US"/>
        </w:rPr>
        <w:t xml:space="preserve"> in patients at high risk of HCC</w:t>
      </w:r>
      <w:r w:rsidR="00B7091F" w:rsidRPr="00786942">
        <w:rPr>
          <w:rFonts w:ascii="Book Antiqua" w:hAnsi="Book Antiqua"/>
          <w:lang w:val="en-US"/>
        </w:rPr>
        <w:t>. C</w:t>
      </w:r>
      <w:r w:rsidR="00046932" w:rsidRPr="00786942">
        <w:rPr>
          <w:rFonts w:ascii="Book Antiqua" w:hAnsi="Book Antiqua"/>
          <w:lang w:val="en-US"/>
        </w:rPr>
        <w:t>irrhotics with a low number (≤ 3) of small tumors (</w:t>
      </w:r>
      <w:r w:rsidR="003772F7" w:rsidRPr="00786942">
        <w:rPr>
          <w:rFonts w:ascii="Book Antiqua" w:hAnsi="Book Antiqua"/>
          <w:lang w:val="en-US"/>
        </w:rPr>
        <w:t>≤</w:t>
      </w:r>
      <w:r w:rsidR="00046932" w:rsidRPr="00786942">
        <w:rPr>
          <w:rFonts w:ascii="Book Antiqua" w:hAnsi="Book Antiqua"/>
          <w:lang w:val="en-US"/>
        </w:rPr>
        <w:t xml:space="preserve"> 3 cm) </w:t>
      </w:r>
      <w:r w:rsidR="003772F7" w:rsidRPr="00786942">
        <w:rPr>
          <w:rFonts w:ascii="Book Antiqua" w:hAnsi="Book Antiqua"/>
          <w:lang w:val="en-US"/>
        </w:rPr>
        <w:t xml:space="preserve">or </w:t>
      </w:r>
      <w:r w:rsidR="00C41346" w:rsidRPr="00786942">
        <w:rPr>
          <w:rFonts w:ascii="Book Antiqua" w:hAnsi="Book Antiqua"/>
          <w:lang w:val="en-US"/>
        </w:rPr>
        <w:t>a single</w:t>
      </w:r>
      <w:r w:rsidR="00631CF4" w:rsidRPr="00786942">
        <w:rPr>
          <w:rFonts w:ascii="Book Antiqua" w:hAnsi="Book Antiqua"/>
          <w:lang w:val="en-US"/>
        </w:rPr>
        <w:t xml:space="preserve"> larger </w:t>
      </w:r>
      <w:r w:rsidR="003772F7" w:rsidRPr="00786942">
        <w:rPr>
          <w:rFonts w:ascii="Book Antiqua" w:hAnsi="Book Antiqua"/>
          <w:lang w:val="en-US"/>
        </w:rPr>
        <w:t xml:space="preserve">tumor </w:t>
      </w:r>
      <w:r w:rsidR="00631CF4" w:rsidRPr="00786942">
        <w:rPr>
          <w:rFonts w:ascii="Book Antiqua" w:hAnsi="Book Antiqua"/>
          <w:lang w:val="en-US"/>
        </w:rPr>
        <w:t>(</w:t>
      </w:r>
      <w:r w:rsidR="003772F7" w:rsidRPr="00786942">
        <w:rPr>
          <w:rFonts w:ascii="Book Antiqua" w:hAnsi="Book Antiqua"/>
          <w:lang w:val="en-US"/>
        </w:rPr>
        <w:t>≤ 5 cm</w:t>
      </w:r>
      <w:r w:rsidR="00631CF4" w:rsidRPr="00786942">
        <w:rPr>
          <w:rFonts w:ascii="Book Antiqua" w:hAnsi="Book Antiqua"/>
          <w:lang w:val="en-US"/>
        </w:rPr>
        <w:t>)</w:t>
      </w:r>
      <w:r w:rsidR="003772F7" w:rsidRPr="00786942">
        <w:rPr>
          <w:rFonts w:ascii="Book Antiqua" w:hAnsi="Book Antiqua"/>
          <w:lang w:val="en-US"/>
        </w:rPr>
        <w:t xml:space="preserve">, </w:t>
      </w:r>
      <w:r w:rsidR="00B7091F" w:rsidRPr="00786942">
        <w:rPr>
          <w:rFonts w:ascii="Book Antiqua" w:hAnsi="Book Antiqua"/>
          <w:lang w:val="en-US"/>
        </w:rPr>
        <w:t>with a</w:t>
      </w:r>
      <w:r w:rsidR="00046932" w:rsidRPr="00786942">
        <w:rPr>
          <w:rFonts w:ascii="Book Antiqua" w:hAnsi="Book Antiqua"/>
          <w:lang w:val="en-US"/>
        </w:rPr>
        <w:t xml:space="preserve"> complete tumor ablation</w:t>
      </w:r>
      <w:r w:rsidR="003772F7" w:rsidRPr="00786942">
        <w:rPr>
          <w:rFonts w:ascii="Book Antiqua" w:hAnsi="Book Antiqua"/>
          <w:lang w:val="en-US"/>
        </w:rPr>
        <w:t xml:space="preserve"> </w:t>
      </w:r>
      <w:r w:rsidR="00B7091F" w:rsidRPr="00786942">
        <w:rPr>
          <w:rFonts w:ascii="Book Antiqua" w:hAnsi="Book Antiqua"/>
          <w:lang w:val="en-US"/>
        </w:rPr>
        <w:t xml:space="preserve">would </w:t>
      </w:r>
      <w:r w:rsidR="00C41346" w:rsidRPr="00786942">
        <w:rPr>
          <w:rFonts w:ascii="Book Antiqua" w:hAnsi="Book Antiqua"/>
          <w:lang w:val="en-US"/>
        </w:rPr>
        <w:t xml:space="preserve">be </w:t>
      </w:r>
      <w:r w:rsidR="00B7091F" w:rsidRPr="00786942">
        <w:rPr>
          <w:rFonts w:ascii="Book Antiqua" w:hAnsi="Book Antiqua"/>
          <w:lang w:val="en-US"/>
        </w:rPr>
        <w:t xml:space="preserve">the ideal patients for this study considering that HCC </w:t>
      </w:r>
      <w:r w:rsidR="0042590F" w:rsidRPr="00786942">
        <w:rPr>
          <w:rFonts w:ascii="Book Antiqua" w:hAnsi="Book Antiqua"/>
          <w:lang w:val="en-US"/>
        </w:rPr>
        <w:t xml:space="preserve">recurrence </w:t>
      </w:r>
      <w:r w:rsidR="00B7091F" w:rsidRPr="00786942">
        <w:rPr>
          <w:rFonts w:ascii="Book Antiqua" w:hAnsi="Book Antiqua"/>
          <w:lang w:val="en-US"/>
        </w:rPr>
        <w:t xml:space="preserve">at 3 years is observed in </w:t>
      </w:r>
      <w:r w:rsidR="003772F7" w:rsidRPr="00786942">
        <w:rPr>
          <w:rFonts w:ascii="Book Antiqua" w:hAnsi="Book Antiqua"/>
          <w:lang w:val="en-US"/>
        </w:rPr>
        <w:t>48</w:t>
      </w:r>
      <w:r>
        <w:rPr>
          <w:rFonts w:ascii="Book Antiqua" w:hAnsi="Book Antiqua"/>
          <w:lang w:val="en-US"/>
        </w:rPr>
        <w:t>%</w:t>
      </w:r>
      <w:r w:rsidR="003772F7" w:rsidRPr="00786942">
        <w:rPr>
          <w:rFonts w:ascii="Book Antiqua" w:hAnsi="Book Antiqua"/>
          <w:lang w:val="en-US"/>
        </w:rPr>
        <w:t xml:space="preserve">-53% </w:t>
      </w:r>
      <w:r w:rsidR="00DB545A" w:rsidRPr="00786942">
        <w:rPr>
          <w:rFonts w:ascii="Book Antiqua" w:hAnsi="Book Antiqua"/>
          <w:lang w:val="en-US"/>
        </w:rPr>
        <w:t>and 28</w:t>
      </w:r>
      <w:r>
        <w:rPr>
          <w:rFonts w:ascii="Book Antiqua" w:hAnsi="Book Antiqua"/>
          <w:lang w:val="en-US"/>
        </w:rPr>
        <w:t>%</w:t>
      </w:r>
      <w:r w:rsidR="00DB545A" w:rsidRPr="00786942">
        <w:rPr>
          <w:rFonts w:ascii="Book Antiqua" w:hAnsi="Book Antiqua"/>
          <w:lang w:val="en-US"/>
        </w:rPr>
        <w:t>-33%</w:t>
      </w:r>
      <w:r w:rsidR="003772F7" w:rsidRPr="00786942">
        <w:rPr>
          <w:rFonts w:ascii="Book Antiqua" w:hAnsi="Book Antiqua"/>
          <w:lang w:val="en-US"/>
        </w:rPr>
        <w:t xml:space="preserve"> </w:t>
      </w:r>
      <w:r w:rsidR="00DB545A" w:rsidRPr="00786942">
        <w:rPr>
          <w:rFonts w:ascii="Book Antiqua" w:hAnsi="Book Antiqua"/>
          <w:lang w:val="en-US"/>
        </w:rPr>
        <w:t xml:space="preserve">in </w:t>
      </w:r>
      <w:r w:rsidR="00B7091F" w:rsidRPr="00786942">
        <w:rPr>
          <w:rFonts w:ascii="Book Antiqua" w:hAnsi="Book Antiqua"/>
          <w:lang w:val="en-US"/>
        </w:rPr>
        <w:t xml:space="preserve">the </w:t>
      </w:r>
      <w:r w:rsidR="00DB545A" w:rsidRPr="00786942">
        <w:rPr>
          <w:rFonts w:ascii="Book Antiqua" w:hAnsi="Book Antiqua"/>
          <w:lang w:val="en-US"/>
        </w:rPr>
        <w:t xml:space="preserve">presence of HCV infection or after HCV eradication, </w:t>
      </w:r>
      <w:r w:rsidR="003772F7" w:rsidRPr="00786942">
        <w:rPr>
          <w:rFonts w:ascii="Book Antiqua" w:hAnsi="Book Antiqua"/>
          <w:lang w:val="en-US"/>
        </w:rPr>
        <w:t>respectively</w:t>
      </w:r>
      <w:r w:rsidR="0066158B" w:rsidRPr="00786942">
        <w:rPr>
          <w:rFonts w:ascii="Book Antiqua" w:hAnsi="Book Antiqua"/>
          <w:vertAlign w:val="superscript"/>
          <w:lang w:val="en-US"/>
        </w:rPr>
        <w:t>[55,56</w:t>
      </w:r>
      <w:r w:rsidR="00DB545A" w:rsidRPr="00786942">
        <w:rPr>
          <w:rFonts w:ascii="Book Antiqua" w:hAnsi="Book Antiqua"/>
          <w:vertAlign w:val="superscript"/>
          <w:lang w:val="en-US"/>
        </w:rPr>
        <w:t>]</w:t>
      </w:r>
      <w:r w:rsidR="00CF53EF" w:rsidRPr="00786942">
        <w:rPr>
          <w:rFonts w:ascii="Book Antiqua" w:hAnsi="Book Antiqua"/>
          <w:lang w:val="en-US"/>
        </w:rPr>
        <w:t>.</w:t>
      </w:r>
      <w:r w:rsidR="00046932" w:rsidRPr="00786942">
        <w:rPr>
          <w:rFonts w:ascii="Book Antiqua" w:hAnsi="Book Antiqua"/>
          <w:lang w:val="en-US"/>
        </w:rPr>
        <w:t xml:space="preserve"> </w:t>
      </w:r>
    </w:p>
    <w:p w:rsidR="006A50E0" w:rsidRPr="00786942" w:rsidRDefault="00291D03" w:rsidP="00786942">
      <w:pPr>
        <w:pStyle w:val="Paragrafoelenco1"/>
        <w:adjustRightInd w:val="0"/>
        <w:snapToGrid w:val="0"/>
        <w:spacing w:line="360" w:lineRule="auto"/>
        <w:ind w:left="0" w:right="0"/>
        <w:rPr>
          <w:rFonts w:ascii="Book Antiqua" w:hAnsi="Book Antiqua"/>
          <w:lang w:val="en-US"/>
        </w:rPr>
      </w:pPr>
      <w:r>
        <w:rPr>
          <w:rFonts w:ascii="Book Antiqua" w:hAnsi="Book Antiqua"/>
          <w:lang w:val="en-US"/>
        </w:rPr>
        <w:t xml:space="preserve">  </w:t>
      </w:r>
      <w:r w:rsidR="00E3236E" w:rsidRPr="00786942">
        <w:rPr>
          <w:rFonts w:ascii="Book Antiqua" w:hAnsi="Book Antiqua"/>
          <w:lang w:val="en-US"/>
        </w:rPr>
        <w:t xml:space="preserve">In conclusion, all experimental data strongly support the ability of RAS inhibitors </w:t>
      </w:r>
      <w:r w:rsidR="000504A5" w:rsidRPr="00786942">
        <w:rPr>
          <w:rFonts w:ascii="Book Antiqua" w:hAnsi="Book Antiqua"/>
          <w:lang w:val="en-US"/>
        </w:rPr>
        <w:t>to counteract HCC development</w:t>
      </w:r>
      <w:r w:rsidR="0076058B" w:rsidRPr="00786942">
        <w:rPr>
          <w:rFonts w:ascii="Book Antiqua" w:hAnsi="Book Antiqua"/>
          <w:lang w:val="en-US"/>
        </w:rPr>
        <w:t>. In humans, th</w:t>
      </w:r>
      <w:r w:rsidR="00D25158" w:rsidRPr="00786942">
        <w:rPr>
          <w:rFonts w:ascii="Book Antiqua" w:hAnsi="Book Antiqua"/>
          <w:lang w:val="en-US"/>
        </w:rPr>
        <w:t>is</w:t>
      </w:r>
      <w:r w:rsidR="0076058B" w:rsidRPr="00786942">
        <w:rPr>
          <w:rFonts w:ascii="Book Antiqua" w:hAnsi="Book Antiqua"/>
          <w:lang w:val="en-US"/>
        </w:rPr>
        <w:t xml:space="preserve"> protective effect </w:t>
      </w:r>
      <w:r w:rsidR="00D25158" w:rsidRPr="00786942">
        <w:rPr>
          <w:rFonts w:ascii="Book Antiqua" w:hAnsi="Book Antiqua"/>
          <w:lang w:val="en-US"/>
        </w:rPr>
        <w:t>was</w:t>
      </w:r>
      <w:r w:rsidR="0076058B" w:rsidRPr="00786942">
        <w:rPr>
          <w:rFonts w:ascii="Book Antiqua" w:hAnsi="Book Antiqua"/>
          <w:lang w:val="en-US"/>
        </w:rPr>
        <w:t xml:space="preserve"> confirmed when </w:t>
      </w:r>
      <w:r w:rsidR="00D25158" w:rsidRPr="00786942">
        <w:rPr>
          <w:rFonts w:ascii="Book Antiqua" w:hAnsi="Book Antiqua"/>
          <w:lang w:val="en-US"/>
        </w:rPr>
        <w:t xml:space="preserve">RAS inhibitors </w:t>
      </w:r>
      <w:r w:rsidR="0076058B" w:rsidRPr="00786942">
        <w:rPr>
          <w:rFonts w:ascii="Book Antiqua" w:hAnsi="Book Antiqua"/>
          <w:lang w:val="en-US"/>
        </w:rPr>
        <w:t>were used</w:t>
      </w:r>
      <w:r w:rsidR="00D25158" w:rsidRPr="00786942">
        <w:rPr>
          <w:rFonts w:ascii="Book Antiqua" w:hAnsi="Book Antiqua"/>
          <w:lang w:val="en-US"/>
        </w:rPr>
        <w:t>,</w:t>
      </w:r>
      <w:r w:rsidR="0076058B" w:rsidRPr="00786942">
        <w:rPr>
          <w:rFonts w:ascii="Book Antiqua" w:hAnsi="Book Antiqua"/>
          <w:lang w:val="en-US"/>
        </w:rPr>
        <w:t xml:space="preserve"> </w:t>
      </w:r>
      <w:r w:rsidR="00D25158" w:rsidRPr="00786942">
        <w:rPr>
          <w:rFonts w:ascii="Book Antiqua" w:hAnsi="Book Antiqua"/>
          <w:lang w:val="en-US"/>
        </w:rPr>
        <w:t xml:space="preserve">prevalently </w:t>
      </w:r>
      <w:r w:rsidR="0076058B" w:rsidRPr="00786942">
        <w:rPr>
          <w:rFonts w:ascii="Book Antiqua" w:hAnsi="Book Antiqua"/>
          <w:lang w:val="en-US"/>
        </w:rPr>
        <w:t xml:space="preserve">in combination </w:t>
      </w:r>
      <w:r w:rsidR="00D25158" w:rsidRPr="00786942">
        <w:rPr>
          <w:rFonts w:ascii="Book Antiqua" w:hAnsi="Book Antiqua"/>
          <w:lang w:val="en-US"/>
        </w:rPr>
        <w:t xml:space="preserve">with other drugs, </w:t>
      </w:r>
      <w:r w:rsidR="0076058B" w:rsidRPr="00786942">
        <w:rPr>
          <w:rFonts w:ascii="Book Antiqua" w:hAnsi="Book Antiqua"/>
          <w:lang w:val="en-US"/>
        </w:rPr>
        <w:t>to prevent</w:t>
      </w:r>
      <w:r w:rsidR="00E3236E" w:rsidRPr="00786942">
        <w:rPr>
          <w:rFonts w:ascii="Book Antiqua" w:hAnsi="Book Antiqua"/>
          <w:lang w:val="en-US"/>
        </w:rPr>
        <w:t xml:space="preserve"> HCC recurrence</w:t>
      </w:r>
      <w:r w:rsidR="000504A5" w:rsidRPr="00786942">
        <w:rPr>
          <w:rFonts w:ascii="Book Antiqua" w:hAnsi="Book Antiqua"/>
          <w:lang w:val="en-US"/>
        </w:rPr>
        <w:t xml:space="preserve">. </w:t>
      </w:r>
      <w:r w:rsidR="0076058B" w:rsidRPr="00786942">
        <w:rPr>
          <w:rFonts w:ascii="Book Antiqua" w:hAnsi="Book Antiqua"/>
          <w:lang w:val="en-US"/>
        </w:rPr>
        <w:t>On the other hand, e</w:t>
      </w:r>
      <w:r w:rsidR="000504A5" w:rsidRPr="00786942">
        <w:rPr>
          <w:rFonts w:ascii="Book Antiqua" w:hAnsi="Book Antiqua"/>
          <w:lang w:val="en-US"/>
        </w:rPr>
        <w:t xml:space="preserve">ven if the </w:t>
      </w:r>
      <w:r w:rsidR="00D25158" w:rsidRPr="00786942">
        <w:rPr>
          <w:rFonts w:ascii="Book Antiqua" w:hAnsi="Book Antiqua"/>
          <w:lang w:val="en-US"/>
        </w:rPr>
        <w:t>results</w:t>
      </w:r>
      <w:r w:rsidR="000504A5" w:rsidRPr="00786942">
        <w:rPr>
          <w:rFonts w:ascii="Book Antiqua" w:hAnsi="Book Antiqua"/>
          <w:lang w:val="en-US"/>
        </w:rPr>
        <w:t xml:space="preserve"> of RAS inhibitors on patient survival seem to </w:t>
      </w:r>
      <w:r w:rsidR="00D25158" w:rsidRPr="00786942">
        <w:rPr>
          <w:rFonts w:ascii="Book Antiqua" w:hAnsi="Book Antiqua"/>
          <w:lang w:val="en-US"/>
        </w:rPr>
        <w:t>be inconsistent</w:t>
      </w:r>
      <w:r w:rsidR="0076058B" w:rsidRPr="00786942">
        <w:rPr>
          <w:rFonts w:ascii="Book Antiqua" w:hAnsi="Book Antiqua"/>
          <w:lang w:val="en-US"/>
        </w:rPr>
        <w:t xml:space="preserve">, these </w:t>
      </w:r>
      <w:r w:rsidR="00D25158" w:rsidRPr="00786942">
        <w:rPr>
          <w:rFonts w:ascii="Book Antiqua" w:hAnsi="Book Antiqua"/>
          <w:lang w:val="en-US"/>
        </w:rPr>
        <w:t>findings</w:t>
      </w:r>
      <w:r w:rsidR="0076058B" w:rsidRPr="00786942">
        <w:rPr>
          <w:rFonts w:ascii="Book Antiqua" w:hAnsi="Book Antiqua"/>
          <w:lang w:val="en-US"/>
        </w:rPr>
        <w:t xml:space="preserve"> are less conclusive.</w:t>
      </w:r>
      <w:r w:rsidR="000504A5" w:rsidRPr="00786942">
        <w:rPr>
          <w:rFonts w:ascii="Book Antiqua" w:hAnsi="Book Antiqua"/>
          <w:lang w:val="en-US"/>
        </w:rPr>
        <w:t xml:space="preserve"> </w:t>
      </w:r>
      <w:r w:rsidR="00F20A89" w:rsidRPr="00786942">
        <w:rPr>
          <w:rFonts w:ascii="Book Antiqua" w:hAnsi="Book Antiqua"/>
          <w:lang w:val="en-US"/>
        </w:rPr>
        <w:t xml:space="preserve">Further studies are necessary to evaluate </w:t>
      </w:r>
      <w:r w:rsidR="00C41346" w:rsidRPr="00786942">
        <w:rPr>
          <w:rFonts w:ascii="Book Antiqua" w:hAnsi="Book Antiqua"/>
          <w:lang w:val="en-US"/>
        </w:rPr>
        <w:t xml:space="preserve">whether </w:t>
      </w:r>
      <w:r w:rsidR="00F20A89" w:rsidRPr="00786942">
        <w:rPr>
          <w:rFonts w:ascii="Book Antiqua" w:hAnsi="Book Antiqua"/>
          <w:lang w:val="en-US"/>
        </w:rPr>
        <w:t>their prolonged use could influence the progression of cirrhosis toward HCC.</w:t>
      </w:r>
      <w:r w:rsidR="003A7150" w:rsidRPr="00786942">
        <w:rPr>
          <w:rFonts w:ascii="Book Antiqua" w:hAnsi="Book Antiqua"/>
          <w:lang w:val="en-US"/>
        </w:rPr>
        <w:t xml:space="preserve"> </w:t>
      </w:r>
    </w:p>
    <w:p w:rsidR="00855276" w:rsidRPr="00786942" w:rsidRDefault="00855276" w:rsidP="00786942">
      <w:pPr>
        <w:shd w:val="clear" w:color="auto" w:fill="FFFFFF"/>
        <w:adjustRightInd w:val="0"/>
        <w:snapToGrid w:val="0"/>
        <w:spacing w:line="360" w:lineRule="auto"/>
        <w:ind w:right="0"/>
        <w:rPr>
          <w:rFonts w:ascii="Book Antiqua" w:hAnsi="Book Antiqua"/>
          <w:lang w:val="en-US"/>
        </w:rPr>
      </w:pPr>
    </w:p>
    <w:p w:rsidR="00291D03" w:rsidRPr="00291D03" w:rsidRDefault="00291D03" w:rsidP="00291D03">
      <w:pPr>
        <w:snapToGrid w:val="0"/>
        <w:spacing w:line="360" w:lineRule="auto"/>
        <w:ind w:right="0"/>
        <w:rPr>
          <w:rFonts w:ascii="Book Antiqua" w:eastAsia="宋体" w:hAnsi="Book Antiqua"/>
          <w:b/>
          <w:caps/>
          <w:color w:val="000000"/>
          <w:lang w:val="en-US" w:eastAsia="zh-CN"/>
        </w:rPr>
      </w:pPr>
      <w:r w:rsidRPr="00291D03">
        <w:rPr>
          <w:rFonts w:ascii="Book Antiqua" w:eastAsia="宋体" w:hAnsi="Book Antiqua" w:cs="Segoe UI"/>
          <w:b/>
          <w:caps/>
          <w:color w:val="000000"/>
          <w:shd w:val="clear" w:color="auto" w:fill="FFFFFF"/>
          <w:lang w:val="en-US" w:eastAsia="zh-CN"/>
        </w:rPr>
        <w:t>Article Highlights</w:t>
      </w:r>
    </w:p>
    <w:p w:rsidR="00855276" w:rsidRDefault="00291D03" w:rsidP="00291D03">
      <w:pPr>
        <w:shd w:val="clear" w:color="auto" w:fill="FFFFFF"/>
        <w:adjustRightInd w:val="0"/>
        <w:snapToGrid w:val="0"/>
        <w:spacing w:line="360" w:lineRule="auto"/>
        <w:ind w:right="0"/>
        <w:rPr>
          <w:rFonts w:ascii="Book Antiqua" w:eastAsia="宋体" w:hAnsi="Book Antiqua"/>
          <w:b/>
          <w:i/>
          <w:color w:val="000000"/>
          <w:lang w:val="en-US" w:eastAsia="zh-CN"/>
        </w:rPr>
      </w:pPr>
      <w:r w:rsidRPr="00291D03">
        <w:rPr>
          <w:rFonts w:ascii="Book Antiqua" w:eastAsia="宋体" w:hAnsi="Book Antiqua"/>
          <w:b/>
          <w:i/>
          <w:color w:val="000000"/>
          <w:lang w:val="en-US" w:eastAsia="zh-CN"/>
        </w:rPr>
        <w:t>Research background</w:t>
      </w:r>
    </w:p>
    <w:p w:rsidR="00291D03" w:rsidRDefault="00291D03" w:rsidP="00291D03">
      <w:pPr>
        <w:shd w:val="clear" w:color="auto" w:fill="FFFFFF"/>
        <w:adjustRightInd w:val="0"/>
        <w:snapToGrid w:val="0"/>
        <w:spacing w:line="360" w:lineRule="auto"/>
        <w:ind w:right="0"/>
        <w:rPr>
          <w:rFonts w:ascii="Book Antiqua" w:hAnsi="Book Antiqua"/>
          <w:lang w:val="en-US"/>
        </w:rPr>
      </w:pPr>
      <w:r w:rsidRPr="00786942">
        <w:rPr>
          <w:rFonts w:ascii="Book Antiqua" w:hAnsi="Book Antiqua"/>
          <w:lang w:val="en-US"/>
        </w:rPr>
        <w:t xml:space="preserve">Hepatocellular carcinoma (HCC) represents about 90% of primary liver cancers and usually develops in patients </w:t>
      </w:r>
      <w:r>
        <w:rPr>
          <w:rFonts w:ascii="Book Antiqua" w:hAnsi="Book Antiqua"/>
          <w:lang w:val="en-US"/>
        </w:rPr>
        <w:t xml:space="preserve">with underlying liver cirrhosis. </w:t>
      </w:r>
      <w:r w:rsidRPr="00786942">
        <w:rPr>
          <w:rFonts w:ascii="Book Antiqua" w:hAnsi="Book Antiqua"/>
          <w:lang w:val="en-US"/>
        </w:rPr>
        <w:t>One of the major cancer hallmarks of HCC is the process of neoangiogenesis, which is thought to occur early in the carcinogenetic process.</w:t>
      </w:r>
      <w:r>
        <w:rPr>
          <w:rFonts w:ascii="Book Antiqua" w:hAnsi="Book Antiqua"/>
          <w:lang w:val="en-US"/>
        </w:rPr>
        <w:t xml:space="preserve"> </w:t>
      </w:r>
      <w:r w:rsidRPr="00786942">
        <w:rPr>
          <w:rFonts w:ascii="Book Antiqua" w:hAnsi="Book Antiqua"/>
          <w:lang w:val="en-US"/>
        </w:rPr>
        <w:t>Theoretically,</w:t>
      </w:r>
      <w:r>
        <w:rPr>
          <w:rFonts w:ascii="Book Antiqua" w:hAnsi="Book Antiqua"/>
          <w:lang w:val="en-US"/>
        </w:rPr>
        <w:t xml:space="preserve"> a</w:t>
      </w:r>
      <w:r w:rsidRPr="00786942">
        <w:rPr>
          <w:rFonts w:ascii="Book Antiqua" w:hAnsi="Book Antiqua"/>
          <w:lang w:val="en-US"/>
        </w:rPr>
        <w:t>ngiotensin-converting enzyme inhibitors (ACE-Is) and angiotensin II type 1 receptor blockers (ARBs) could have a role in HCC primary prevention since they reduce both neovascularization and th</w:t>
      </w:r>
      <w:r>
        <w:rPr>
          <w:rFonts w:ascii="Book Antiqua" w:hAnsi="Book Antiqua"/>
          <w:lang w:val="en-US"/>
        </w:rPr>
        <w:t>e development of liver fibrosis.</w:t>
      </w:r>
    </w:p>
    <w:p w:rsidR="00291D03" w:rsidRDefault="00291D03" w:rsidP="00291D03">
      <w:pPr>
        <w:shd w:val="clear" w:color="auto" w:fill="FFFFFF"/>
        <w:adjustRightInd w:val="0"/>
        <w:snapToGrid w:val="0"/>
        <w:spacing w:line="360" w:lineRule="auto"/>
        <w:ind w:right="0"/>
        <w:rPr>
          <w:rFonts w:ascii="Book Antiqua" w:hAnsi="Book Antiqua"/>
          <w:lang w:val="en-US"/>
        </w:rPr>
      </w:pPr>
    </w:p>
    <w:p w:rsidR="00291D03" w:rsidRDefault="00291D03" w:rsidP="00291D03">
      <w:pPr>
        <w:shd w:val="clear" w:color="auto" w:fill="FFFFFF"/>
        <w:adjustRightInd w:val="0"/>
        <w:snapToGrid w:val="0"/>
        <w:spacing w:line="360" w:lineRule="auto"/>
        <w:ind w:right="0"/>
        <w:rPr>
          <w:rFonts w:ascii="Book Antiqua" w:hAnsi="Book Antiqua"/>
          <w:b/>
          <w:i/>
          <w:color w:val="000000"/>
        </w:rPr>
      </w:pPr>
      <w:bookmarkStart w:id="64" w:name="OLE_LINK21"/>
      <w:r w:rsidRPr="008C37FD">
        <w:rPr>
          <w:rFonts w:ascii="Book Antiqua" w:hAnsi="Book Antiqua"/>
          <w:b/>
          <w:i/>
          <w:color w:val="000000"/>
        </w:rPr>
        <w:t>Research motivation</w:t>
      </w:r>
      <w:bookmarkEnd w:id="64"/>
    </w:p>
    <w:p w:rsidR="00291D03" w:rsidRDefault="00291D03" w:rsidP="00291D03">
      <w:pPr>
        <w:shd w:val="clear" w:color="auto" w:fill="FFFFFF"/>
        <w:adjustRightInd w:val="0"/>
        <w:snapToGrid w:val="0"/>
        <w:spacing w:line="360" w:lineRule="auto"/>
        <w:ind w:right="0"/>
        <w:rPr>
          <w:rFonts w:ascii="Book Antiqua" w:hAnsi="Book Antiqua"/>
          <w:lang w:val="en-US"/>
        </w:rPr>
      </w:pPr>
      <w:r>
        <w:rPr>
          <w:rFonts w:ascii="Book Antiqua" w:hAnsi="Book Antiqua"/>
          <w:lang w:val="en-US"/>
        </w:rPr>
        <w:t>T</w:t>
      </w:r>
      <w:r w:rsidRPr="00786942">
        <w:rPr>
          <w:rFonts w:ascii="Book Antiqua" w:hAnsi="Book Antiqua"/>
          <w:lang w:val="en-US"/>
        </w:rPr>
        <w:t xml:space="preserve">he possible role of renin-angiotensin system (RAS) inhibitors in the prevention of </w:t>
      </w:r>
      <w:r>
        <w:rPr>
          <w:rFonts w:ascii="Book Antiqua" w:hAnsi="Book Antiqua"/>
          <w:lang w:val="en-US"/>
        </w:rPr>
        <w:t>HCC</w:t>
      </w:r>
      <w:r w:rsidRPr="00786942">
        <w:rPr>
          <w:rFonts w:ascii="Book Antiqua" w:hAnsi="Book Antiqua"/>
          <w:lang w:val="en-US"/>
        </w:rPr>
        <w:t xml:space="preserve"> is still an attractive field of research, as suggested by the recently published experimental and clinical studies.</w:t>
      </w:r>
    </w:p>
    <w:p w:rsidR="00291D03" w:rsidRDefault="00291D03" w:rsidP="00291D03">
      <w:pPr>
        <w:shd w:val="clear" w:color="auto" w:fill="FFFFFF"/>
        <w:adjustRightInd w:val="0"/>
        <w:snapToGrid w:val="0"/>
        <w:spacing w:line="360" w:lineRule="auto"/>
        <w:ind w:right="0"/>
        <w:rPr>
          <w:rFonts w:ascii="Book Antiqua" w:hAnsi="Book Antiqua"/>
          <w:lang w:val="en-US"/>
        </w:rPr>
      </w:pPr>
    </w:p>
    <w:p w:rsidR="00291D03" w:rsidRDefault="00291D03" w:rsidP="00291D03">
      <w:pPr>
        <w:shd w:val="clear" w:color="auto" w:fill="FFFFFF"/>
        <w:adjustRightInd w:val="0"/>
        <w:snapToGrid w:val="0"/>
        <w:spacing w:line="360" w:lineRule="auto"/>
        <w:ind w:right="0"/>
        <w:rPr>
          <w:rFonts w:ascii="Book Antiqua" w:hAnsi="Book Antiqua"/>
          <w:b/>
          <w:i/>
          <w:color w:val="000000"/>
        </w:rPr>
      </w:pPr>
      <w:bookmarkStart w:id="65" w:name="OLE_LINK22"/>
      <w:r w:rsidRPr="008C37FD">
        <w:rPr>
          <w:rFonts w:ascii="Book Antiqua" w:hAnsi="Book Antiqua"/>
          <w:b/>
          <w:i/>
          <w:color w:val="000000"/>
        </w:rPr>
        <w:t>Research objectives</w:t>
      </w:r>
      <w:bookmarkEnd w:id="65"/>
    </w:p>
    <w:p w:rsidR="00291D03" w:rsidRDefault="00291D03" w:rsidP="00291D03">
      <w:pPr>
        <w:shd w:val="clear" w:color="auto" w:fill="FFFFFF"/>
        <w:adjustRightInd w:val="0"/>
        <w:snapToGrid w:val="0"/>
        <w:spacing w:line="360" w:lineRule="auto"/>
        <w:ind w:right="0"/>
        <w:rPr>
          <w:rFonts w:ascii="Book Antiqua" w:hAnsi="Book Antiqua"/>
          <w:lang w:val="en-US"/>
        </w:rPr>
      </w:pPr>
      <w:r>
        <w:rPr>
          <w:rFonts w:ascii="Book Antiqua" w:hAnsi="Book Antiqua"/>
        </w:rPr>
        <w:t>T</w:t>
      </w:r>
      <w:r w:rsidRPr="00786942">
        <w:rPr>
          <w:rFonts w:ascii="Book Antiqua" w:hAnsi="Book Antiqua"/>
          <w:lang w:val="en-US"/>
        </w:rPr>
        <w:t>o elucidate the role of ARBs and ACE-Is in HCC.</w:t>
      </w:r>
    </w:p>
    <w:p w:rsidR="00291D03" w:rsidRDefault="00291D03" w:rsidP="00291D03">
      <w:pPr>
        <w:shd w:val="clear" w:color="auto" w:fill="FFFFFF"/>
        <w:adjustRightInd w:val="0"/>
        <w:snapToGrid w:val="0"/>
        <w:spacing w:line="360" w:lineRule="auto"/>
        <w:ind w:right="0"/>
        <w:rPr>
          <w:rFonts w:ascii="Book Antiqua" w:hAnsi="Book Antiqua"/>
          <w:lang w:val="en-US"/>
        </w:rPr>
      </w:pPr>
    </w:p>
    <w:p w:rsidR="00291D03" w:rsidRDefault="00291D03" w:rsidP="00291D03">
      <w:pPr>
        <w:shd w:val="clear" w:color="auto" w:fill="FFFFFF"/>
        <w:adjustRightInd w:val="0"/>
        <w:snapToGrid w:val="0"/>
        <w:spacing w:line="360" w:lineRule="auto"/>
        <w:ind w:right="0"/>
        <w:rPr>
          <w:rFonts w:ascii="Book Antiqua" w:hAnsi="Book Antiqua"/>
          <w:b/>
          <w:i/>
          <w:color w:val="000000"/>
        </w:rPr>
      </w:pPr>
      <w:r w:rsidRPr="008C37FD">
        <w:rPr>
          <w:rFonts w:ascii="Book Antiqua" w:hAnsi="Book Antiqua"/>
          <w:b/>
          <w:i/>
          <w:color w:val="000000"/>
        </w:rPr>
        <w:t>Research methods</w:t>
      </w:r>
    </w:p>
    <w:p w:rsidR="00291D03" w:rsidRDefault="00686677" w:rsidP="00291D03">
      <w:pPr>
        <w:shd w:val="clear" w:color="auto" w:fill="FFFFFF"/>
        <w:adjustRightInd w:val="0"/>
        <w:snapToGrid w:val="0"/>
        <w:spacing w:line="360" w:lineRule="auto"/>
        <w:ind w:right="0"/>
        <w:rPr>
          <w:rFonts w:ascii="Book Antiqua" w:hAnsi="Book Antiqua"/>
          <w:lang w:val="en-US"/>
        </w:rPr>
      </w:pPr>
      <w:r w:rsidRPr="00786942">
        <w:rPr>
          <w:rFonts w:ascii="Book Antiqua" w:hAnsi="Book Antiqua"/>
          <w:lang w:val="en-US"/>
        </w:rPr>
        <w:t xml:space="preserve">Literature was selected in August 2018, focusing on studies regarding </w:t>
      </w:r>
      <w:r>
        <w:rPr>
          <w:rFonts w:ascii="Book Antiqua" w:hAnsi="Book Antiqua"/>
          <w:lang w:val="en-US"/>
        </w:rPr>
        <w:t>ACE-Is</w:t>
      </w:r>
      <w:r w:rsidRPr="00786942">
        <w:rPr>
          <w:rFonts w:ascii="Book Antiqua" w:hAnsi="Book Antiqua"/>
          <w:lang w:val="en-US"/>
        </w:rPr>
        <w:t xml:space="preserve">, </w:t>
      </w:r>
      <w:r>
        <w:rPr>
          <w:rFonts w:ascii="Book Antiqua" w:hAnsi="Book Antiqua"/>
          <w:lang w:val="en-US"/>
        </w:rPr>
        <w:t>ARBs</w:t>
      </w:r>
      <w:r w:rsidRPr="00786942">
        <w:rPr>
          <w:rFonts w:ascii="Book Antiqua" w:hAnsi="Book Antiqua"/>
          <w:lang w:val="en-US"/>
        </w:rPr>
        <w:t xml:space="preserve"> and </w:t>
      </w:r>
      <w:r>
        <w:rPr>
          <w:rFonts w:ascii="Book Antiqua" w:hAnsi="Book Antiqua"/>
          <w:lang w:val="en-US"/>
        </w:rPr>
        <w:t>HCC</w:t>
      </w:r>
      <w:r w:rsidRPr="00786942">
        <w:rPr>
          <w:rFonts w:ascii="Book Antiqua" w:hAnsi="Book Antiqua"/>
          <w:lang w:val="en-US"/>
        </w:rPr>
        <w:t>s. For this purpose, an electronic search of the literature was conducted using the online databases PubMed, Cochrane library, Scopus and Web of Science</w:t>
      </w:r>
      <w:r>
        <w:rPr>
          <w:rFonts w:ascii="Book Antiqua" w:hAnsi="Book Antiqua"/>
          <w:lang w:val="en-US"/>
        </w:rPr>
        <w:t xml:space="preserve">. </w:t>
      </w:r>
      <w:r w:rsidRPr="00786942">
        <w:rPr>
          <w:rFonts w:ascii="Book Antiqua" w:hAnsi="Book Antiqua"/>
          <w:lang w:val="en-US"/>
        </w:rPr>
        <w:t xml:space="preserve">Eligibility criteria were: </w:t>
      </w:r>
      <w:r>
        <w:rPr>
          <w:rFonts w:ascii="Book Antiqua" w:hAnsi="Book Antiqua"/>
          <w:lang w:val="en-US"/>
        </w:rPr>
        <w:t>(</w:t>
      </w:r>
      <w:r w:rsidRPr="00786942">
        <w:rPr>
          <w:rFonts w:ascii="Book Antiqua" w:hAnsi="Book Antiqua"/>
          <w:lang w:val="en-US"/>
        </w:rPr>
        <w:t xml:space="preserve">1) prospective or retrospective clinical studies; </w:t>
      </w:r>
      <w:r>
        <w:rPr>
          <w:rFonts w:ascii="Book Antiqua" w:hAnsi="Book Antiqua"/>
          <w:lang w:val="en-US"/>
        </w:rPr>
        <w:t>(</w:t>
      </w:r>
      <w:r w:rsidRPr="00786942">
        <w:rPr>
          <w:rFonts w:ascii="Book Antiqua" w:hAnsi="Book Antiqua"/>
          <w:lang w:val="en-US"/>
        </w:rPr>
        <w:t xml:space="preserve">2) epidemiological studies; </w:t>
      </w:r>
      <w:r>
        <w:rPr>
          <w:rFonts w:ascii="Book Antiqua" w:hAnsi="Book Antiqua"/>
          <w:lang w:val="en-US"/>
        </w:rPr>
        <w:t>and (</w:t>
      </w:r>
      <w:r w:rsidRPr="00786942">
        <w:rPr>
          <w:rFonts w:ascii="Book Antiqua" w:hAnsi="Book Antiqua"/>
          <w:lang w:val="en-US"/>
        </w:rPr>
        <w:t xml:space="preserve">3) experimental studies conducted </w:t>
      </w:r>
      <w:r w:rsidRPr="0099677A">
        <w:rPr>
          <w:rFonts w:ascii="Book Antiqua" w:hAnsi="Book Antiqua"/>
          <w:i/>
          <w:lang w:val="en-US"/>
        </w:rPr>
        <w:t>in vivo</w:t>
      </w:r>
      <w:r w:rsidRPr="00786942">
        <w:rPr>
          <w:rFonts w:ascii="Book Antiqua" w:hAnsi="Book Antiqua"/>
          <w:lang w:val="en-US"/>
        </w:rPr>
        <w:t xml:space="preserve"> or </w:t>
      </w:r>
      <w:r w:rsidRPr="0099677A">
        <w:rPr>
          <w:rFonts w:ascii="Book Antiqua" w:hAnsi="Book Antiqua"/>
          <w:i/>
          <w:lang w:val="en-US"/>
        </w:rPr>
        <w:t>in vitro</w:t>
      </w:r>
      <w:r w:rsidRPr="00786942">
        <w:rPr>
          <w:rFonts w:ascii="Book Antiqua" w:hAnsi="Book Antiqua"/>
          <w:lang w:val="en-US"/>
        </w:rPr>
        <w:t>.</w:t>
      </w:r>
      <w:r>
        <w:rPr>
          <w:rFonts w:ascii="Book Antiqua" w:hAnsi="Book Antiqua"/>
          <w:lang w:val="en-US"/>
        </w:rPr>
        <w:t xml:space="preserve"> </w:t>
      </w:r>
      <w:r w:rsidRPr="00786942">
        <w:rPr>
          <w:rFonts w:ascii="Book Antiqua" w:hAnsi="Book Antiqua"/>
          <w:lang w:val="en-US"/>
        </w:rPr>
        <w:t>We conducted the articles selection using a two-step approach, to evaluate whether they matched the eligibility criteria.</w:t>
      </w:r>
    </w:p>
    <w:p w:rsidR="00686677" w:rsidRDefault="00686677" w:rsidP="00291D03">
      <w:pPr>
        <w:shd w:val="clear" w:color="auto" w:fill="FFFFFF"/>
        <w:adjustRightInd w:val="0"/>
        <w:snapToGrid w:val="0"/>
        <w:spacing w:line="360" w:lineRule="auto"/>
        <w:ind w:right="0"/>
        <w:rPr>
          <w:rFonts w:ascii="Book Antiqua" w:hAnsi="Book Antiqua"/>
          <w:lang w:val="en-US"/>
        </w:rPr>
      </w:pPr>
    </w:p>
    <w:p w:rsidR="00686677" w:rsidRDefault="00686677" w:rsidP="00291D03">
      <w:pPr>
        <w:shd w:val="clear" w:color="auto" w:fill="FFFFFF"/>
        <w:adjustRightInd w:val="0"/>
        <w:snapToGrid w:val="0"/>
        <w:spacing w:line="360" w:lineRule="auto"/>
        <w:ind w:right="0"/>
        <w:rPr>
          <w:rFonts w:ascii="Book Antiqua" w:hAnsi="Book Antiqua"/>
          <w:b/>
          <w:i/>
          <w:color w:val="000000"/>
        </w:rPr>
      </w:pPr>
      <w:bookmarkStart w:id="66" w:name="OLE_LINK28"/>
      <w:r w:rsidRPr="008C37FD">
        <w:rPr>
          <w:rFonts w:ascii="Book Antiqua" w:hAnsi="Book Antiqua"/>
          <w:b/>
          <w:i/>
          <w:color w:val="000000"/>
        </w:rPr>
        <w:t>Research results</w:t>
      </w:r>
      <w:bookmarkEnd w:id="66"/>
    </w:p>
    <w:p w:rsidR="00686677" w:rsidRDefault="00EA4554" w:rsidP="00EA4554">
      <w:pPr>
        <w:shd w:val="clear" w:color="auto" w:fill="FFFFFF"/>
        <w:adjustRightInd w:val="0"/>
        <w:snapToGrid w:val="0"/>
        <w:spacing w:line="360" w:lineRule="auto"/>
        <w:ind w:right="0"/>
        <w:rPr>
          <w:rFonts w:ascii="Book Antiqua" w:hAnsi="Book Antiqua"/>
          <w:lang w:val="en-US"/>
        </w:rPr>
      </w:pPr>
      <w:r w:rsidRPr="00EA4554">
        <w:rPr>
          <w:rFonts w:ascii="Book Antiqua" w:hAnsi="Book Antiqua"/>
          <w:lang w:val="en-US"/>
        </w:rPr>
        <w:t>Thirty-one studies were selected. Three interventional studies showed that ACE-Is had a significant protective effect on HCC recurrence only when used in combination with vitamin K or branched chain aminoacids, without a significant increase of overall survival. Among six retrospective observational studies, mainly focused on overall survival, only one demonstrated a prolonged survival in ACE-Is group, whereas the two of them that also evaluated tumor recurre</w:t>
      </w:r>
      <w:r>
        <w:rPr>
          <w:rFonts w:ascii="Book Antiqua" w:hAnsi="Book Antiqua"/>
          <w:lang w:val="en-US"/>
        </w:rPr>
        <w:t xml:space="preserve">nce showed conflicting results. </w:t>
      </w:r>
      <w:r w:rsidRPr="00EA4554">
        <w:rPr>
          <w:rFonts w:ascii="Book Antiqua" w:hAnsi="Book Antiqua"/>
          <w:lang w:val="en-US"/>
        </w:rPr>
        <w:t>All experimental studies displayed beneficial effects of RAS inhibitors on hepatocarcinogenesis. Numerous experimental studies, conducted either in animals and cell cultures, demonstrated the anti-angiogenetic and anti-fibrotic effect of ACE-Is and ARBs, thanks to the suppression of some cytokines such as vascular endothelial growth factor, hypoxia-inducible factor-1a, transforming growth factor-beta and tumor necrosis factor alpha. All or part of these mechanisms were demonstrated in rodents developing less HCC and preneoplastic lesions after receiving such drugs.</w:t>
      </w:r>
    </w:p>
    <w:p w:rsidR="00EA4554" w:rsidRDefault="00EA4554" w:rsidP="00EA4554">
      <w:pPr>
        <w:shd w:val="clear" w:color="auto" w:fill="FFFFFF"/>
        <w:adjustRightInd w:val="0"/>
        <w:snapToGrid w:val="0"/>
        <w:spacing w:line="360" w:lineRule="auto"/>
        <w:ind w:right="0"/>
        <w:rPr>
          <w:rFonts w:ascii="Book Antiqua" w:hAnsi="Book Antiqua"/>
          <w:lang w:val="en-US"/>
        </w:rPr>
      </w:pPr>
    </w:p>
    <w:p w:rsidR="00EA4554" w:rsidRDefault="00EA4554" w:rsidP="00EA4554">
      <w:pPr>
        <w:shd w:val="clear" w:color="auto" w:fill="FFFFFF"/>
        <w:adjustRightInd w:val="0"/>
        <w:snapToGrid w:val="0"/>
        <w:spacing w:line="360" w:lineRule="auto"/>
        <w:ind w:right="0"/>
        <w:rPr>
          <w:rFonts w:ascii="Book Antiqua" w:hAnsi="Book Antiqua"/>
          <w:b/>
          <w:i/>
          <w:color w:val="000000"/>
        </w:rPr>
      </w:pPr>
      <w:bookmarkStart w:id="67" w:name="OLE_LINK38"/>
      <w:bookmarkStart w:id="68" w:name="OLE_LINK39"/>
      <w:r w:rsidRPr="008C37FD">
        <w:rPr>
          <w:rFonts w:ascii="Book Antiqua" w:hAnsi="Book Antiqua"/>
          <w:b/>
          <w:i/>
          <w:color w:val="000000"/>
        </w:rPr>
        <w:t>Research conclusions</w:t>
      </w:r>
      <w:bookmarkEnd w:id="67"/>
      <w:bookmarkEnd w:id="68"/>
    </w:p>
    <w:p w:rsidR="00EA4554" w:rsidRDefault="00062CB9" w:rsidP="00EA4554">
      <w:pPr>
        <w:shd w:val="clear" w:color="auto" w:fill="FFFFFF"/>
        <w:adjustRightInd w:val="0"/>
        <w:snapToGrid w:val="0"/>
        <w:spacing w:line="360" w:lineRule="auto"/>
        <w:ind w:right="0"/>
        <w:rPr>
          <w:rFonts w:ascii="Book Antiqua" w:hAnsi="Book Antiqua"/>
          <w:lang w:val="en-US"/>
        </w:rPr>
      </w:pPr>
      <w:r w:rsidRPr="00062CB9">
        <w:rPr>
          <w:rFonts w:ascii="Book Antiqua" w:hAnsi="Book Antiqua"/>
          <w:lang w:val="en-US"/>
        </w:rPr>
        <w:t>Our systematic analysis of the literature allowed us to partially reinterpret the data supporting the ability of RAS inhibitors to counteract HCC. While there is reasonable research supporting their ability to reduce the HCC recurrence rate, we think that the conclusions of the randomized clinical trials on overall survival underestimated the potential use of these compounds. These conclusions are further supported by the solid experimental data on the anti-angiogenetic activity of RAS inhibitors, which all suggest their clinical use in the prevention of HCC development.</w:t>
      </w:r>
    </w:p>
    <w:p w:rsidR="00062CB9" w:rsidRDefault="00062CB9" w:rsidP="00EA4554">
      <w:pPr>
        <w:shd w:val="clear" w:color="auto" w:fill="FFFFFF"/>
        <w:adjustRightInd w:val="0"/>
        <w:snapToGrid w:val="0"/>
        <w:spacing w:line="360" w:lineRule="auto"/>
        <w:ind w:right="0"/>
        <w:rPr>
          <w:rFonts w:ascii="Book Antiqua" w:hAnsi="Book Antiqua"/>
          <w:lang w:val="en-US"/>
        </w:rPr>
      </w:pPr>
    </w:p>
    <w:p w:rsidR="00062CB9" w:rsidRDefault="00062CB9" w:rsidP="00EA4554">
      <w:pPr>
        <w:shd w:val="clear" w:color="auto" w:fill="FFFFFF"/>
        <w:adjustRightInd w:val="0"/>
        <w:snapToGrid w:val="0"/>
        <w:spacing w:line="360" w:lineRule="auto"/>
        <w:ind w:right="0"/>
        <w:rPr>
          <w:rFonts w:ascii="Book Antiqua" w:hAnsi="Book Antiqua" w:cs="Segoe UI"/>
          <w:b/>
          <w:i/>
          <w:color w:val="000000"/>
          <w:shd w:val="clear" w:color="auto" w:fill="FFFFFF"/>
        </w:rPr>
      </w:pPr>
      <w:bookmarkStart w:id="69" w:name="OLE_LINK40"/>
      <w:r w:rsidRPr="008C37FD">
        <w:rPr>
          <w:rFonts w:ascii="Book Antiqua" w:hAnsi="Book Antiqua" w:cs="Segoe UI"/>
          <w:b/>
          <w:i/>
          <w:color w:val="000000"/>
          <w:shd w:val="clear" w:color="auto" w:fill="FFFFFF"/>
        </w:rPr>
        <w:t>Research perspectives</w:t>
      </w:r>
      <w:bookmarkEnd w:id="69"/>
    </w:p>
    <w:p w:rsidR="00062CB9" w:rsidRPr="00062CB9" w:rsidRDefault="00062CB9" w:rsidP="00062CB9">
      <w:pPr>
        <w:rPr>
          <w:rFonts w:ascii="Book Antiqua" w:hAnsi="Book Antiqua"/>
          <w:lang w:val="en-US"/>
        </w:rPr>
      </w:pPr>
      <w:r>
        <w:rPr>
          <w:rFonts w:ascii="Book Antiqua" w:hAnsi="Book Antiqua"/>
          <w:lang w:val="en-US"/>
        </w:rPr>
        <w:t>W</w:t>
      </w:r>
      <w:r w:rsidRPr="00062CB9">
        <w:rPr>
          <w:rFonts w:ascii="Book Antiqua" w:hAnsi="Book Antiqua"/>
          <w:lang w:val="en-US"/>
        </w:rPr>
        <w:t>e also proposed enlarging the future research on the relationship between RAS inhibitors and HCC to other possible anti carcinogenetic mechanisms.</w:t>
      </w:r>
    </w:p>
    <w:p w:rsidR="00062CB9" w:rsidRDefault="00062CB9" w:rsidP="00EA4554">
      <w:pPr>
        <w:shd w:val="clear" w:color="auto" w:fill="FFFFFF"/>
        <w:adjustRightInd w:val="0"/>
        <w:snapToGrid w:val="0"/>
        <w:spacing w:line="360" w:lineRule="auto"/>
        <w:ind w:right="0"/>
        <w:rPr>
          <w:rFonts w:ascii="Book Antiqua" w:hAnsi="Book Antiqua"/>
          <w:lang w:val="en-US"/>
        </w:rPr>
      </w:pPr>
    </w:p>
    <w:p w:rsidR="00430F7F" w:rsidRPr="00786942" w:rsidRDefault="00855276" w:rsidP="00486FA4">
      <w:pPr>
        <w:adjustRightInd w:val="0"/>
        <w:snapToGrid w:val="0"/>
        <w:spacing w:line="360" w:lineRule="auto"/>
        <w:ind w:right="0"/>
        <w:rPr>
          <w:rFonts w:ascii="Book Antiqua" w:hAnsi="Book Antiqua"/>
          <w:b/>
          <w:lang w:val="en-US"/>
        </w:rPr>
      </w:pPr>
      <w:r w:rsidRPr="00786942">
        <w:rPr>
          <w:rFonts w:ascii="Book Antiqua" w:hAnsi="Book Antiqua"/>
          <w:lang w:val="en-US"/>
        </w:rPr>
        <w:br w:type="page"/>
      </w:r>
      <w:r w:rsidR="006A50E0" w:rsidRPr="00786942">
        <w:rPr>
          <w:rFonts w:ascii="Book Antiqua" w:hAnsi="Book Antiqua"/>
          <w:b/>
          <w:lang w:val="en-US"/>
        </w:rPr>
        <w:t>REFERENCES</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1 </w:t>
      </w:r>
      <w:r w:rsidRPr="00486FA4">
        <w:rPr>
          <w:rFonts w:ascii="Book Antiqua" w:hAnsi="Book Antiqua"/>
          <w:b/>
          <w:bCs/>
          <w:lang w:val="en-US"/>
        </w:rPr>
        <w:t>European Association for the Study of the Liver</w:t>
      </w:r>
      <w:r w:rsidRPr="00486FA4">
        <w:rPr>
          <w:rFonts w:ascii="Book Antiqua" w:hAnsi="Book Antiqua"/>
          <w:lang w:val="en-US"/>
        </w:rPr>
        <w:t>. EASL Clinical Practice Guidelines: Management of hepatocellular carcinoma. </w:t>
      </w:r>
      <w:r w:rsidRPr="00486FA4">
        <w:rPr>
          <w:rFonts w:ascii="Book Antiqua" w:hAnsi="Book Antiqua"/>
          <w:i/>
          <w:iCs/>
          <w:lang w:val="en-US"/>
        </w:rPr>
        <w:t>J Hepatol</w:t>
      </w:r>
      <w:r w:rsidRPr="00486FA4">
        <w:rPr>
          <w:rFonts w:ascii="Book Antiqua" w:hAnsi="Book Antiqua"/>
          <w:lang w:val="en-US"/>
        </w:rPr>
        <w:t> 2018; </w:t>
      </w:r>
      <w:r w:rsidRPr="00486FA4">
        <w:rPr>
          <w:rFonts w:ascii="Book Antiqua" w:hAnsi="Book Antiqua"/>
          <w:b/>
          <w:bCs/>
          <w:lang w:val="en-US"/>
        </w:rPr>
        <w:t>69</w:t>
      </w:r>
      <w:r w:rsidRPr="00486FA4">
        <w:rPr>
          <w:rFonts w:ascii="Book Antiqua" w:hAnsi="Book Antiqua"/>
          <w:lang w:val="en-US"/>
        </w:rPr>
        <w:t>: 182-236 [PMID: 29628281 DOI: 10.1016/j.jhep.2018.03.019]</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2 </w:t>
      </w:r>
      <w:r w:rsidRPr="00486FA4">
        <w:rPr>
          <w:rFonts w:ascii="Book Antiqua" w:hAnsi="Book Antiqua"/>
          <w:b/>
          <w:bCs/>
          <w:lang w:val="en-US"/>
        </w:rPr>
        <w:t>Torre LA</w:t>
      </w:r>
      <w:r w:rsidRPr="00486FA4">
        <w:rPr>
          <w:rFonts w:ascii="Book Antiqua" w:hAnsi="Book Antiqua"/>
          <w:lang w:val="en-US"/>
        </w:rPr>
        <w:t>, Bray F, Siegel RL, Ferlay J, Lortet-Tieulent J, Jemal A. Global cancer statistics, 2012. </w:t>
      </w:r>
      <w:r w:rsidRPr="00486FA4">
        <w:rPr>
          <w:rFonts w:ascii="Book Antiqua" w:hAnsi="Book Antiqua"/>
          <w:i/>
          <w:iCs/>
          <w:lang w:val="en-US"/>
        </w:rPr>
        <w:t>CA Cancer J Clin</w:t>
      </w:r>
      <w:r w:rsidRPr="00486FA4">
        <w:rPr>
          <w:rFonts w:ascii="Book Antiqua" w:hAnsi="Book Antiqua"/>
          <w:lang w:val="en-US"/>
        </w:rPr>
        <w:t> 2015; </w:t>
      </w:r>
      <w:r w:rsidRPr="00486FA4">
        <w:rPr>
          <w:rFonts w:ascii="Book Antiqua" w:hAnsi="Book Antiqua"/>
          <w:b/>
          <w:bCs/>
          <w:lang w:val="en-US"/>
        </w:rPr>
        <w:t>65</w:t>
      </w:r>
      <w:r w:rsidRPr="00486FA4">
        <w:rPr>
          <w:rFonts w:ascii="Book Antiqua" w:hAnsi="Book Antiqua"/>
          <w:lang w:val="en-US"/>
        </w:rPr>
        <w:t>: 87-108 [PMID: 25651787 DOI: 10.3322/caac.21262]</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3 </w:t>
      </w:r>
      <w:r w:rsidRPr="00486FA4">
        <w:rPr>
          <w:rFonts w:ascii="Book Antiqua" w:hAnsi="Book Antiqua"/>
          <w:b/>
          <w:bCs/>
          <w:lang w:val="en-US"/>
        </w:rPr>
        <w:t>Global Burden of Disease Liver Cancer Collaboration</w:t>
      </w:r>
      <w:r w:rsidRPr="00486FA4">
        <w:rPr>
          <w:rFonts w:ascii="Book Antiqua" w:hAnsi="Book Antiqua"/>
          <w:lang w:val="en-US"/>
        </w:rPr>
        <w:t>,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Malekzadeh R, McAlinden C, Meier T, Mendoza W, Mokdad A, Moradi-Lakeh M, Nagel G, Nguyen Q, Nguyen G, Ogbo F, Patton G, Pereira DM, Pourmalek F, Qorbani M, Radfar A, Roshandel G, Salomon JA, Sanabria J, Sartorius B, Satpathy M, Sawhney M, Sepanlou S, Shackelford K, Shore H, Sun J, Mengistu DT, Topór-Mądry R, Tran B, Ukwaja KN, Vlassov V, Vollset SE, Vos T, Wakayo T, Weiderpass E, Werdecker A, Yonemoto N, Younis M, Yu C, Zaidi Z, Zhu L, Murray CJL, Naghavi M, Fitzmaurice C. The Burden of Primary Liver Cancer and Underlying Etiologies From 1990 to 2015 at the Global, Regional, and National Level: Results From the Global Burden of Disease Study 2015. </w:t>
      </w:r>
      <w:r w:rsidRPr="00486FA4">
        <w:rPr>
          <w:rFonts w:ascii="Book Antiqua" w:hAnsi="Book Antiqua"/>
          <w:i/>
          <w:iCs/>
          <w:lang w:val="en-US"/>
        </w:rPr>
        <w:t>JAMA Oncol</w:t>
      </w:r>
      <w:r w:rsidRPr="00486FA4">
        <w:rPr>
          <w:rFonts w:ascii="Book Antiqua" w:hAnsi="Book Antiqua"/>
          <w:lang w:val="en-US"/>
        </w:rPr>
        <w:t> 2017; </w:t>
      </w:r>
      <w:r w:rsidRPr="00486FA4">
        <w:rPr>
          <w:rFonts w:ascii="Book Antiqua" w:hAnsi="Book Antiqua"/>
          <w:b/>
          <w:bCs/>
          <w:lang w:val="en-US"/>
        </w:rPr>
        <w:t>3</w:t>
      </w:r>
      <w:r w:rsidRPr="00486FA4">
        <w:rPr>
          <w:rFonts w:ascii="Book Antiqua" w:hAnsi="Book Antiqua"/>
          <w:lang w:val="en-US"/>
        </w:rPr>
        <w:t>: 1683-1691 [PMID: 28983565 DOI: 10.1001/jamaoncol.2017.3055]</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4 </w:t>
      </w:r>
      <w:r w:rsidRPr="00486FA4">
        <w:rPr>
          <w:rFonts w:ascii="Book Antiqua" w:hAnsi="Book Antiqua"/>
          <w:b/>
          <w:bCs/>
          <w:lang w:val="en-US"/>
        </w:rPr>
        <w:t>Yüksel Ş</w:t>
      </w:r>
      <w:r w:rsidRPr="00486FA4">
        <w:rPr>
          <w:rFonts w:ascii="Book Antiqua" w:hAnsi="Book Antiqua"/>
          <w:lang w:val="en-US"/>
        </w:rPr>
        <w:t>, Boylu Akyerli C, Cengiz Yakıcıer M. Angiogenesis, Invasion, and Metastasis Characteristics of Hepatocellular Carcinoma. </w:t>
      </w:r>
      <w:r w:rsidRPr="00486FA4">
        <w:rPr>
          <w:rFonts w:ascii="Book Antiqua" w:hAnsi="Book Antiqua"/>
          <w:i/>
          <w:iCs/>
          <w:lang w:val="en-US"/>
        </w:rPr>
        <w:t>J Gastrointest Cancer</w:t>
      </w:r>
      <w:r w:rsidRPr="00486FA4">
        <w:rPr>
          <w:rFonts w:ascii="Book Antiqua" w:hAnsi="Book Antiqua"/>
          <w:lang w:val="en-US"/>
        </w:rPr>
        <w:t> </w:t>
      </w:r>
      <w:r w:rsidR="00357D80">
        <w:rPr>
          <w:rFonts w:ascii="Book Antiqua" w:hAnsi="Book Antiqua"/>
          <w:lang w:val="en-US"/>
        </w:rPr>
        <w:t>2017</w:t>
      </w:r>
      <w:r w:rsidRPr="00486FA4">
        <w:rPr>
          <w:rFonts w:ascii="Book Antiqua" w:hAnsi="Book Antiqua"/>
          <w:lang w:val="en-US"/>
        </w:rPr>
        <w:t xml:space="preserve"> [PMID: 28785955 DOI: 10.1007/s12029-017-9962-5]</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5 </w:t>
      </w:r>
      <w:r w:rsidRPr="00486FA4">
        <w:rPr>
          <w:rFonts w:ascii="Book Antiqua" w:hAnsi="Book Antiqua"/>
          <w:b/>
          <w:bCs/>
          <w:lang w:val="en-US"/>
        </w:rPr>
        <w:t>Dhanasekaran R</w:t>
      </w:r>
      <w:r w:rsidRPr="00486FA4">
        <w:rPr>
          <w:rFonts w:ascii="Book Antiqua" w:hAnsi="Book Antiqua"/>
          <w:lang w:val="en-US"/>
        </w:rPr>
        <w:t>, Venkatesh SK, Torbenson MS, Roberts LR. Clinical implications of basic research in hepatocellular carcinoma. </w:t>
      </w:r>
      <w:r w:rsidRPr="00486FA4">
        <w:rPr>
          <w:rFonts w:ascii="Book Antiqua" w:hAnsi="Book Antiqua"/>
          <w:i/>
          <w:iCs/>
          <w:lang w:val="en-US"/>
        </w:rPr>
        <w:t>J Hepatol</w:t>
      </w:r>
      <w:r w:rsidRPr="00486FA4">
        <w:rPr>
          <w:rFonts w:ascii="Book Antiqua" w:hAnsi="Book Antiqua"/>
          <w:lang w:val="en-US"/>
        </w:rPr>
        <w:t> 2016; </w:t>
      </w:r>
      <w:r w:rsidRPr="00486FA4">
        <w:rPr>
          <w:rFonts w:ascii="Book Antiqua" w:hAnsi="Book Antiqua"/>
          <w:b/>
          <w:bCs/>
          <w:lang w:val="en-US"/>
        </w:rPr>
        <w:t>64</w:t>
      </w:r>
      <w:r w:rsidRPr="00486FA4">
        <w:rPr>
          <w:rFonts w:ascii="Book Antiqua" w:hAnsi="Book Antiqua"/>
          <w:lang w:val="en-US"/>
        </w:rPr>
        <w:t>: 736-745 [PMID: 26450813 DOI: 10.1016/j.jhep.2015.09.008]</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6 </w:t>
      </w:r>
      <w:r w:rsidRPr="00486FA4">
        <w:rPr>
          <w:rFonts w:ascii="Book Antiqua" w:hAnsi="Book Antiqua"/>
          <w:b/>
          <w:bCs/>
          <w:lang w:val="en-US"/>
        </w:rPr>
        <w:t>Berretta M</w:t>
      </w:r>
      <w:r w:rsidRPr="00486FA4">
        <w:rPr>
          <w:rFonts w:ascii="Book Antiqua" w:hAnsi="Book Antiqua"/>
          <w:lang w:val="en-US"/>
        </w:rPr>
        <w:t>, Rinaldi L, Di Benedetto F, Lleshi A, De Re V, Facchini G, De Paoli P, Di Francia R. Angiogenesis Inhibitors for the Treatment of Hepatocellular Carcinoma. </w:t>
      </w:r>
      <w:r w:rsidRPr="00486FA4">
        <w:rPr>
          <w:rFonts w:ascii="Book Antiqua" w:hAnsi="Book Antiqua"/>
          <w:i/>
          <w:iCs/>
          <w:lang w:val="en-US"/>
        </w:rPr>
        <w:t>Front Pharmacol</w:t>
      </w:r>
      <w:r w:rsidRPr="00486FA4">
        <w:rPr>
          <w:rFonts w:ascii="Book Antiqua" w:hAnsi="Book Antiqua"/>
          <w:lang w:val="en-US"/>
        </w:rPr>
        <w:t> 2016; </w:t>
      </w:r>
      <w:r w:rsidRPr="00486FA4">
        <w:rPr>
          <w:rFonts w:ascii="Book Antiqua" w:hAnsi="Book Antiqua"/>
          <w:b/>
          <w:bCs/>
          <w:lang w:val="en-US"/>
        </w:rPr>
        <w:t>7</w:t>
      </w:r>
      <w:r w:rsidRPr="00486FA4">
        <w:rPr>
          <w:rFonts w:ascii="Book Antiqua" w:hAnsi="Book Antiqua"/>
          <w:lang w:val="en-US"/>
        </w:rPr>
        <w:t>: 428 [PMID: 27881963 DOI: 10.3389/fphar.2016.00428]</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7 </w:t>
      </w:r>
      <w:r w:rsidRPr="00486FA4">
        <w:rPr>
          <w:rFonts w:ascii="Book Antiqua" w:hAnsi="Book Antiqua"/>
          <w:b/>
          <w:bCs/>
          <w:lang w:val="en-US"/>
        </w:rPr>
        <w:t>Facciorusso A</w:t>
      </w:r>
      <w:r w:rsidRPr="00486FA4">
        <w:rPr>
          <w:rFonts w:ascii="Book Antiqua" w:hAnsi="Book Antiqua"/>
          <w:lang w:val="en-US"/>
        </w:rPr>
        <w:t>, Licinio R, Carr BI, Di Leo A, Barone M. MEK 1/2 inhibitors in the treatment of hepatocellular carcinoma. </w:t>
      </w:r>
      <w:r w:rsidRPr="00486FA4">
        <w:rPr>
          <w:rFonts w:ascii="Book Antiqua" w:hAnsi="Book Antiqua"/>
          <w:i/>
          <w:iCs/>
          <w:lang w:val="en-US"/>
        </w:rPr>
        <w:t>Expert Rev Gastroenterol Hepatol</w:t>
      </w:r>
      <w:r w:rsidRPr="00486FA4">
        <w:rPr>
          <w:rFonts w:ascii="Book Antiqua" w:hAnsi="Book Antiqua"/>
          <w:lang w:val="en-US"/>
        </w:rPr>
        <w:t> 2015; </w:t>
      </w:r>
      <w:r w:rsidRPr="00486FA4">
        <w:rPr>
          <w:rFonts w:ascii="Book Antiqua" w:hAnsi="Book Antiqua"/>
          <w:b/>
          <w:bCs/>
          <w:lang w:val="en-US"/>
        </w:rPr>
        <w:t>9</w:t>
      </w:r>
      <w:r w:rsidRPr="00486FA4">
        <w:rPr>
          <w:rFonts w:ascii="Book Antiqua" w:hAnsi="Book Antiqua"/>
          <w:lang w:val="en-US"/>
        </w:rPr>
        <w:t>: 993-1003 [PMID: 25915713 DOI: 10.1586/17474124.2015.1040763]</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8 </w:t>
      </w:r>
      <w:r w:rsidRPr="00486FA4">
        <w:rPr>
          <w:rFonts w:ascii="Book Antiqua" w:hAnsi="Book Antiqua"/>
          <w:b/>
          <w:bCs/>
          <w:lang w:val="en-US"/>
        </w:rPr>
        <w:t>Raoul JL</w:t>
      </w:r>
      <w:r w:rsidRPr="00486FA4">
        <w:rPr>
          <w:rFonts w:ascii="Book Antiqua" w:hAnsi="Book Antiqua"/>
          <w:lang w:val="en-US"/>
        </w:rPr>
        <w:t>, Gilabert M, Adhoute X, Edeline J. An in-depth review of chemical angiogenesis inhibitors for treating hepatocellular carcinoma. </w:t>
      </w:r>
      <w:r w:rsidRPr="00486FA4">
        <w:rPr>
          <w:rFonts w:ascii="Book Antiqua" w:hAnsi="Book Antiqua"/>
          <w:i/>
          <w:iCs/>
          <w:lang w:val="en-US"/>
        </w:rPr>
        <w:t>Expert Opin Pharmacother</w:t>
      </w:r>
      <w:r w:rsidR="00C07D25" w:rsidRPr="00EF2841">
        <w:rPr>
          <w:rFonts w:ascii="Book Antiqua" w:eastAsia="宋体" w:hAnsi="Book Antiqua" w:hint="eastAsia"/>
          <w:lang w:val="en-US" w:eastAsia="zh-CN"/>
        </w:rPr>
        <w:t xml:space="preserve"> </w:t>
      </w:r>
      <w:r w:rsidRPr="00486FA4">
        <w:rPr>
          <w:rFonts w:ascii="Book Antiqua" w:hAnsi="Book Antiqua"/>
          <w:lang w:val="en-US"/>
        </w:rPr>
        <w:t>2017; </w:t>
      </w:r>
      <w:r w:rsidRPr="00486FA4">
        <w:rPr>
          <w:rFonts w:ascii="Book Antiqua" w:hAnsi="Book Antiqua"/>
          <w:b/>
          <w:bCs/>
          <w:lang w:val="en-US"/>
        </w:rPr>
        <w:t>18</w:t>
      </w:r>
      <w:r w:rsidRPr="00486FA4">
        <w:rPr>
          <w:rFonts w:ascii="Book Antiqua" w:hAnsi="Book Antiqua"/>
          <w:lang w:val="en-US"/>
        </w:rPr>
        <w:t>: 1467-1476 [PMID: 28893090 DOI: 10.1080/14656566.2017.1378346]</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9 </w:t>
      </w:r>
      <w:r w:rsidRPr="00486FA4">
        <w:rPr>
          <w:rFonts w:ascii="Book Antiqua" w:hAnsi="Book Antiqua"/>
          <w:b/>
          <w:bCs/>
          <w:lang w:val="en-US"/>
        </w:rPr>
        <w:t>Corey KE</w:t>
      </w:r>
      <w:r w:rsidRPr="00486FA4">
        <w:rPr>
          <w:rFonts w:ascii="Book Antiqua" w:hAnsi="Book Antiqua"/>
          <w:lang w:val="en-US"/>
        </w:rPr>
        <w:t>, Shah N, Misdraji J, Abu Dayyeh BK, Zheng H, Bhan AK, Chung RT. The effect of angiotensin-blocking agents on liver fibrosis in patients with hepatitis C. </w:t>
      </w:r>
      <w:r w:rsidRPr="00486FA4">
        <w:rPr>
          <w:rFonts w:ascii="Book Antiqua" w:hAnsi="Book Antiqua"/>
          <w:i/>
          <w:iCs/>
          <w:lang w:val="en-US"/>
        </w:rPr>
        <w:t>Liver Int</w:t>
      </w:r>
      <w:r w:rsidRPr="00486FA4">
        <w:rPr>
          <w:rFonts w:ascii="Book Antiqua" w:hAnsi="Book Antiqua"/>
          <w:lang w:val="en-US"/>
        </w:rPr>
        <w:t>2009; </w:t>
      </w:r>
      <w:r w:rsidRPr="00486FA4">
        <w:rPr>
          <w:rFonts w:ascii="Book Antiqua" w:hAnsi="Book Antiqua"/>
          <w:b/>
          <w:bCs/>
          <w:lang w:val="en-US"/>
        </w:rPr>
        <w:t>29</w:t>
      </w:r>
      <w:r w:rsidRPr="00486FA4">
        <w:rPr>
          <w:rFonts w:ascii="Book Antiqua" w:hAnsi="Book Antiqua"/>
          <w:lang w:val="en-US"/>
        </w:rPr>
        <w:t>: 748-753 [PMID: 19220742 DOI: 10.1111/j.1478-3231.2009.01973.x]</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10 </w:t>
      </w:r>
      <w:r w:rsidRPr="00486FA4">
        <w:rPr>
          <w:rFonts w:ascii="Book Antiqua" w:hAnsi="Book Antiqua"/>
          <w:b/>
          <w:bCs/>
          <w:lang w:val="en-US"/>
        </w:rPr>
        <w:t>Kaji K</w:t>
      </w:r>
      <w:r w:rsidRPr="00486FA4">
        <w:rPr>
          <w:rFonts w:ascii="Book Antiqua" w:hAnsi="Book Antiqua"/>
          <w:lang w:val="en-US"/>
        </w:rPr>
        <w:t>, Yoshiji H, Ikenaka Y, Noguchi R, Aihara Y, Shirai Y, Douhara A, Fukui H. Possible involvement of angiogenesis in chronic liver diseases: interaction among renin-angiotensin-aldosterone system, insulin resistance and oxidative stress. </w:t>
      </w:r>
      <w:r w:rsidRPr="00486FA4">
        <w:rPr>
          <w:rFonts w:ascii="Book Antiqua" w:hAnsi="Book Antiqua"/>
          <w:i/>
          <w:iCs/>
          <w:lang w:val="en-US"/>
        </w:rPr>
        <w:t>Curr Med Chem</w:t>
      </w:r>
      <w:r w:rsidRPr="00486FA4">
        <w:rPr>
          <w:rFonts w:ascii="Book Antiqua" w:hAnsi="Book Antiqua"/>
          <w:lang w:val="en-US"/>
        </w:rPr>
        <w:t> 2012; </w:t>
      </w:r>
      <w:r w:rsidRPr="00486FA4">
        <w:rPr>
          <w:rFonts w:ascii="Book Antiqua" w:hAnsi="Book Antiqua"/>
          <w:b/>
          <w:bCs/>
          <w:lang w:val="en-US"/>
        </w:rPr>
        <w:t>19</w:t>
      </w:r>
      <w:r w:rsidRPr="00486FA4">
        <w:rPr>
          <w:rFonts w:ascii="Book Antiqua" w:hAnsi="Book Antiqua"/>
          <w:lang w:val="en-US"/>
        </w:rPr>
        <w:t>: 1889-1898 [PMID: 22376037]</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11 </w:t>
      </w:r>
      <w:r w:rsidRPr="00486FA4">
        <w:rPr>
          <w:rFonts w:ascii="Book Antiqua" w:hAnsi="Book Antiqua"/>
          <w:b/>
          <w:bCs/>
          <w:lang w:val="en-US"/>
        </w:rPr>
        <w:t>Paizis G</w:t>
      </w:r>
      <w:r w:rsidRPr="00486FA4">
        <w:rPr>
          <w:rFonts w:ascii="Book Antiqua" w:hAnsi="Book Antiqua"/>
          <w:lang w:val="en-US"/>
        </w:rPr>
        <w:t>, Gilbert RE, Cooper ME, Murthi P, Schembri JM, Wu LL, Rumble JR, Kelly DJ, Tikellis C, Cox A, Smallwood RA, Angus PW. Effect of angiotensin II type 1 receptor blockade on experimental hepatic fibrogenesis. </w:t>
      </w:r>
      <w:r w:rsidRPr="00486FA4">
        <w:rPr>
          <w:rFonts w:ascii="Book Antiqua" w:hAnsi="Book Antiqua"/>
          <w:i/>
          <w:iCs/>
          <w:lang w:val="en-US"/>
        </w:rPr>
        <w:t>J Hepatol</w:t>
      </w:r>
      <w:r w:rsidRPr="00486FA4">
        <w:rPr>
          <w:rFonts w:ascii="Book Antiqua" w:hAnsi="Book Antiqua"/>
          <w:lang w:val="en-US"/>
        </w:rPr>
        <w:t> 2001; </w:t>
      </w:r>
      <w:r w:rsidRPr="00486FA4">
        <w:rPr>
          <w:rFonts w:ascii="Book Antiqua" w:hAnsi="Book Antiqua"/>
          <w:b/>
          <w:bCs/>
          <w:lang w:val="en-US"/>
        </w:rPr>
        <w:t>35</w:t>
      </w:r>
      <w:r w:rsidRPr="00486FA4">
        <w:rPr>
          <w:rFonts w:ascii="Book Antiqua" w:hAnsi="Book Antiqua"/>
          <w:lang w:val="en-US"/>
        </w:rPr>
        <w:t>: 376-385 [PMID: 11592599]</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12 </w:t>
      </w:r>
      <w:r w:rsidRPr="00486FA4">
        <w:rPr>
          <w:rFonts w:ascii="Book Antiqua" w:hAnsi="Book Antiqua"/>
          <w:b/>
          <w:bCs/>
          <w:lang w:val="en-US"/>
        </w:rPr>
        <w:t>Song T</w:t>
      </w:r>
      <w:r w:rsidRPr="00486FA4">
        <w:rPr>
          <w:rFonts w:ascii="Book Antiqua" w:hAnsi="Book Antiqua"/>
          <w:lang w:val="en-US"/>
        </w:rPr>
        <w:t>, Choi CH, Kim MK, Kim ML, Yun BS, Seong SJ. The effect of angiotensin system inhibitors (angiotensin-converting enzyme inhibitors or angiotensin receptor blockers) on cancer recurrence and survival: a meta-analysis. </w:t>
      </w:r>
      <w:r w:rsidRPr="00486FA4">
        <w:rPr>
          <w:rFonts w:ascii="Book Antiqua" w:hAnsi="Book Antiqua"/>
          <w:i/>
          <w:iCs/>
          <w:lang w:val="en-US"/>
        </w:rPr>
        <w:t>Eur J Cancer Prev</w:t>
      </w:r>
      <w:r w:rsidRPr="00486FA4">
        <w:rPr>
          <w:rFonts w:ascii="Book Antiqua" w:hAnsi="Book Antiqua"/>
          <w:lang w:val="en-US"/>
        </w:rPr>
        <w:t> 2017; </w:t>
      </w:r>
      <w:r w:rsidRPr="00486FA4">
        <w:rPr>
          <w:rFonts w:ascii="Book Antiqua" w:hAnsi="Book Antiqua"/>
          <w:b/>
          <w:bCs/>
          <w:lang w:val="en-US"/>
        </w:rPr>
        <w:t>26</w:t>
      </w:r>
      <w:r w:rsidRPr="00486FA4">
        <w:rPr>
          <w:rFonts w:ascii="Book Antiqua" w:hAnsi="Book Antiqua"/>
          <w:lang w:val="en-US"/>
        </w:rPr>
        <w:t>: 78-85 [PMID: 27158979 DOI: 10.1097/CEJ.0000000000000269]</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13 </w:t>
      </w:r>
      <w:r w:rsidRPr="00486FA4">
        <w:rPr>
          <w:rFonts w:ascii="Book Antiqua" w:hAnsi="Book Antiqua"/>
          <w:b/>
          <w:bCs/>
          <w:lang w:val="en-US"/>
        </w:rPr>
        <w:t>Yoshiji H</w:t>
      </w:r>
      <w:r w:rsidRPr="00486FA4">
        <w:rPr>
          <w:rFonts w:ascii="Book Antiqua" w:hAnsi="Book Antiqua"/>
          <w:lang w:val="en-US"/>
        </w:rPr>
        <w:t>, Noguchi R, Toyohara M, Ikenaka Y, Kitade M, Kaji K, Yamazaki M, Yamao J, Mitoro A, Sawai M, Yoshida M, Fujimoto M, Tsujimoto T, Kawaratani H, Uemura M, Fukui H. Combination of vitamin K2 and angiotensin-converting enzyme inhibitor ameliorates cumulative recurrence of hepatocellular carcinoma. </w:t>
      </w:r>
      <w:r w:rsidRPr="00486FA4">
        <w:rPr>
          <w:rFonts w:ascii="Book Antiqua" w:hAnsi="Book Antiqua"/>
          <w:i/>
          <w:iCs/>
          <w:lang w:val="en-US"/>
        </w:rPr>
        <w:t>J Hepatol</w:t>
      </w:r>
      <w:r w:rsidRPr="00486FA4">
        <w:rPr>
          <w:rFonts w:ascii="Book Antiqua" w:hAnsi="Book Antiqua"/>
          <w:lang w:val="en-US"/>
        </w:rPr>
        <w:t> 2009; </w:t>
      </w:r>
      <w:r w:rsidRPr="00486FA4">
        <w:rPr>
          <w:rFonts w:ascii="Book Antiqua" w:hAnsi="Book Antiqua"/>
          <w:b/>
          <w:bCs/>
          <w:lang w:val="en-US"/>
        </w:rPr>
        <w:t>51</w:t>
      </w:r>
      <w:r w:rsidRPr="00486FA4">
        <w:rPr>
          <w:rFonts w:ascii="Book Antiqua" w:hAnsi="Book Antiqua"/>
          <w:lang w:val="en-US"/>
        </w:rPr>
        <w:t>: 315-321 [PMID: 19501932 DOI: 10.1016/j.jhep.2009.04.011]</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14 </w:t>
      </w:r>
      <w:r w:rsidRPr="00486FA4">
        <w:rPr>
          <w:rFonts w:ascii="Book Antiqua" w:hAnsi="Book Antiqua"/>
          <w:b/>
          <w:bCs/>
          <w:lang w:val="en-US"/>
        </w:rPr>
        <w:t>Yoshiji H</w:t>
      </w:r>
      <w:r w:rsidRPr="00486FA4">
        <w:rPr>
          <w:rFonts w:ascii="Book Antiqua" w:hAnsi="Book Antiqua"/>
          <w:lang w:val="en-US"/>
        </w:rPr>
        <w:t>, Noguchi R, Ikenaka Y, Kaji K, Aihara Y, Yamazaki M, Yamao J, Toyohara M, Mitoro A, Sawai M, Yoshida M, Morioka C, Fujimoto M, Uemura M, Fukui H. Combination of branched-chain amino acids and angiotensin-converting enzyme inhibitor suppresses the cumulative recurrence of hepatocellular carcinoma: a randomized control trial. </w:t>
      </w:r>
      <w:r w:rsidRPr="00486FA4">
        <w:rPr>
          <w:rFonts w:ascii="Book Antiqua" w:hAnsi="Book Antiqua"/>
          <w:i/>
          <w:iCs/>
          <w:lang w:val="en-US"/>
        </w:rPr>
        <w:t>Oncol Rep</w:t>
      </w:r>
      <w:r w:rsidRPr="00486FA4">
        <w:rPr>
          <w:rFonts w:ascii="Book Antiqua" w:hAnsi="Book Antiqua"/>
          <w:lang w:val="en-US"/>
        </w:rPr>
        <w:t> 2011; </w:t>
      </w:r>
      <w:r w:rsidRPr="00486FA4">
        <w:rPr>
          <w:rFonts w:ascii="Book Antiqua" w:hAnsi="Book Antiqua"/>
          <w:b/>
          <w:bCs/>
          <w:lang w:val="en-US"/>
        </w:rPr>
        <w:t>26</w:t>
      </w:r>
      <w:r w:rsidRPr="00486FA4">
        <w:rPr>
          <w:rFonts w:ascii="Book Antiqua" w:hAnsi="Book Antiqua"/>
          <w:lang w:val="en-US"/>
        </w:rPr>
        <w:t>: 1547-1553 [PMID: 21874260 DOI: 10.3892/or.2011.1433]</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15 </w:t>
      </w:r>
      <w:r w:rsidRPr="00486FA4">
        <w:rPr>
          <w:rFonts w:ascii="Book Antiqua" w:hAnsi="Book Antiqua"/>
          <w:b/>
          <w:bCs/>
          <w:lang w:val="en-US"/>
        </w:rPr>
        <w:t>Yoshiji H</w:t>
      </w:r>
      <w:r w:rsidRPr="00486FA4">
        <w:rPr>
          <w:rFonts w:ascii="Book Antiqua" w:hAnsi="Book Antiqua"/>
          <w:lang w:val="en-US"/>
        </w:rPr>
        <w:t>, Noguchi R, Ikenaka Y, Kaji K, Shirai Y, Aihara Y, Yamao J, Toyohara M, Mitoro A, Sawai M, Yoshida M, Morioka C, Fujimoto M, Uemura M, Kawaratani H, Tsujimoto T, Fukui H. Soluble VEGF receptor-2 may be a predictive marker of anti-angiogenic therapy with clinically available safe agents. </w:t>
      </w:r>
      <w:r w:rsidRPr="00486FA4">
        <w:rPr>
          <w:rFonts w:ascii="Book Antiqua" w:hAnsi="Book Antiqua"/>
          <w:i/>
          <w:iCs/>
          <w:lang w:val="en-US"/>
        </w:rPr>
        <w:t>Oncol Lett</w:t>
      </w:r>
      <w:r w:rsidRPr="00486FA4">
        <w:rPr>
          <w:rFonts w:ascii="Book Antiqua" w:hAnsi="Book Antiqua"/>
          <w:lang w:val="en-US"/>
        </w:rPr>
        <w:t> 2011; </w:t>
      </w:r>
      <w:r w:rsidRPr="00486FA4">
        <w:rPr>
          <w:rFonts w:ascii="Book Antiqua" w:hAnsi="Book Antiqua"/>
          <w:b/>
          <w:bCs/>
          <w:lang w:val="en-US"/>
        </w:rPr>
        <w:t>2</w:t>
      </w:r>
      <w:r w:rsidRPr="00486FA4">
        <w:rPr>
          <w:rFonts w:ascii="Book Antiqua" w:hAnsi="Book Antiqua"/>
          <w:lang w:val="en-US"/>
        </w:rPr>
        <w:t>: 69-73 [PMID: 22870131 DOI: 10.3892/ol.2010.196]</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16 </w:t>
      </w:r>
      <w:r w:rsidRPr="00486FA4">
        <w:rPr>
          <w:rFonts w:ascii="Book Antiqua" w:hAnsi="Book Antiqua"/>
          <w:b/>
          <w:bCs/>
          <w:lang w:val="en-US"/>
        </w:rPr>
        <w:t>Ho CM</w:t>
      </w:r>
      <w:r w:rsidRPr="00486FA4">
        <w:rPr>
          <w:rFonts w:ascii="Book Antiqua" w:hAnsi="Book Antiqua"/>
          <w:lang w:val="en-US"/>
        </w:rPr>
        <w:t>, Lee CH, Lee MC, Zhang JF, Wang JY, Hu RH, Lee PH. Comparative effectiveness of angiotensin-converting enzyme inhibitors and angiotensin II receptor blockers in chemoprevention of hepatocellular carcinoma: a nationwide high-risk cohort study.</w:t>
      </w:r>
      <w:r w:rsidR="00C07D25" w:rsidRPr="00EF2841">
        <w:rPr>
          <w:rFonts w:ascii="Book Antiqua" w:eastAsia="宋体" w:hAnsi="Book Antiqua" w:hint="eastAsia"/>
          <w:lang w:val="en-US" w:eastAsia="zh-CN"/>
        </w:rPr>
        <w:t xml:space="preserve"> </w:t>
      </w:r>
      <w:r w:rsidRPr="00486FA4">
        <w:rPr>
          <w:rFonts w:ascii="Book Antiqua" w:hAnsi="Book Antiqua"/>
          <w:i/>
          <w:iCs/>
          <w:lang w:val="en-US"/>
        </w:rPr>
        <w:t>BMC Cancer</w:t>
      </w:r>
      <w:r w:rsidRPr="00486FA4">
        <w:rPr>
          <w:rFonts w:ascii="Book Antiqua" w:hAnsi="Book Antiqua"/>
          <w:lang w:val="en-US"/>
        </w:rPr>
        <w:t> 2018; </w:t>
      </w:r>
      <w:r w:rsidRPr="00486FA4">
        <w:rPr>
          <w:rFonts w:ascii="Book Antiqua" w:hAnsi="Book Antiqua"/>
          <w:b/>
          <w:bCs/>
          <w:lang w:val="en-US"/>
        </w:rPr>
        <w:t>18</w:t>
      </w:r>
      <w:r w:rsidRPr="00486FA4">
        <w:rPr>
          <w:rFonts w:ascii="Book Antiqua" w:hAnsi="Book Antiqua"/>
          <w:lang w:val="en-US"/>
        </w:rPr>
        <w:t>: 401 [PMID: 29631561 DOI: 10.1186/s12885-018-4292-y]</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17 </w:t>
      </w:r>
      <w:r w:rsidRPr="00486FA4">
        <w:rPr>
          <w:rFonts w:ascii="Book Antiqua" w:hAnsi="Book Antiqua"/>
          <w:b/>
          <w:bCs/>
          <w:lang w:val="en-US"/>
        </w:rPr>
        <w:t>Hagberg KW</w:t>
      </w:r>
      <w:r w:rsidRPr="00486FA4">
        <w:rPr>
          <w:rFonts w:ascii="Book Antiqua" w:hAnsi="Book Antiqua"/>
          <w:lang w:val="en-US"/>
        </w:rPr>
        <w:t>, Sahasrabuddhe VV, McGlynn KA, Jick SS. Does Angiotensin-Converting Enzyme Inhibitor and β-Blocker Use Reduce the Risk of Primary Liver Cancer? A Case-Control Study Using the U.K. Clinical Practice Research Datalink.</w:t>
      </w:r>
      <w:r w:rsidR="00C07D25" w:rsidRPr="00EF2841">
        <w:rPr>
          <w:rFonts w:ascii="Book Antiqua" w:eastAsia="宋体" w:hAnsi="Book Antiqua" w:hint="eastAsia"/>
          <w:lang w:val="en-US" w:eastAsia="zh-CN"/>
        </w:rPr>
        <w:t xml:space="preserve"> </w:t>
      </w:r>
      <w:r w:rsidRPr="00486FA4">
        <w:rPr>
          <w:rFonts w:ascii="Book Antiqua" w:hAnsi="Book Antiqua"/>
          <w:i/>
          <w:iCs/>
          <w:lang w:val="en-US"/>
        </w:rPr>
        <w:t>Pharmacotherapy</w:t>
      </w:r>
      <w:r w:rsidRPr="00486FA4">
        <w:rPr>
          <w:rFonts w:ascii="Book Antiqua" w:hAnsi="Book Antiqua"/>
          <w:lang w:val="en-US"/>
        </w:rPr>
        <w:t> 2016; </w:t>
      </w:r>
      <w:r w:rsidRPr="00486FA4">
        <w:rPr>
          <w:rFonts w:ascii="Book Antiqua" w:hAnsi="Book Antiqua"/>
          <w:b/>
          <w:bCs/>
          <w:lang w:val="en-US"/>
        </w:rPr>
        <w:t>36</w:t>
      </w:r>
      <w:r w:rsidRPr="00486FA4">
        <w:rPr>
          <w:rFonts w:ascii="Book Antiqua" w:hAnsi="Book Antiqua"/>
          <w:lang w:val="en-US"/>
        </w:rPr>
        <w:t>: 187-195 [PMID: 26846893 DOI: 10.1002/phar.1704]</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18 </w:t>
      </w:r>
      <w:r w:rsidRPr="00486FA4">
        <w:rPr>
          <w:rFonts w:ascii="Book Antiqua" w:hAnsi="Book Antiqua"/>
          <w:b/>
          <w:bCs/>
          <w:lang w:val="en-US"/>
        </w:rPr>
        <w:t>Walker AJ</w:t>
      </w:r>
      <w:r w:rsidRPr="00486FA4">
        <w:rPr>
          <w:rFonts w:ascii="Book Antiqua" w:hAnsi="Book Antiqua"/>
          <w:lang w:val="en-US"/>
        </w:rPr>
        <w:t>, West J, Grainge MJ, Card TR. Angiotensin converting enzyme inhibitors and hepatocellular carcinoma incidence in the General Practice Research Database.</w:t>
      </w:r>
      <w:r w:rsidR="00C07D25" w:rsidRPr="00EF2841">
        <w:rPr>
          <w:rFonts w:ascii="Book Antiqua" w:eastAsia="宋体" w:hAnsi="Book Antiqua" w:hint="eastAsia"/>
          <w:lang w:val="en-US" w:eastAsia="zh-CN"/>
        </w:rPr>
        <w:t xml:space="preserve"> </w:t>
      </w:r>
      <w:r w:rsidRPr="00486FA4">
        <w:rPr>
          <w:rFonts w:ascii="Book Antiqua" w:hAnsi="Book Antiqua"/>
          <w:i/>
          <w:iCs/>
          <w:lang w:val="en-US"/>
        </w:rPr>
        <w:t>Cancer Causes Control</w:t>
      </w:r>
      <w:r w:rsidRPr="00486FA4">
        <w:rPr>
          <w:rFonts w:ascii="Book Antiqua" w:hAnsi="Book Antiqua"/>
          <w:lang w:val="en-US"/>
        </w:rPr>
        <w:t> 2011; </w:t>
      </w:r>
      <w:r w:rsidRPr="00486FA4">
        <w:rPr>
          <w:rFonts w:ascii="Book Antiqua" w:hAnsi="Book Antiqua"/>
          <w:b/>
          <w:bCs/>
          <w:lang w:val="en-US"/>
        </w:rPr>
        <w:t>22</w:t>
      </w:r>
      <w:r w:rsidRPr="00486FA4">
        <w:rPr>
          <w:rFonts w:ascii="Book Antiqua" w:hAnsi="Book Antiqua"/>
          <w:lang w:val="en-US"/>
        </w:rPr>
        <w:t>: 1743-1747 [PMID: 21909951 DOI: 10.1007/s10552-011-9837-1]</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19 </w:t>
      </w:r>
      <w:r w:rsidRPr="00486FA4">
        <w:rPr>
          <w:rFonts w:ascii="Book Antiqua" w:hAnsi="Book Antiqua"/>
          <w:b/>
          <w:bCs/>
          <w:lang w:val="en-US"/>
        </w:rPr>
        <w:t>Pinter M</w:t>
      </w:r>
      <w:r w:rsidRPr="00486FA4">
        <w:rPr>
          <w:rFonts w:ascii="Book Antiqua" w:hAnsi="Book Antiqua"/>
          <w:lang w:val="en-US"/>
        </w:rPr>
        <w:t>, Weinmann A, Wörns MA, Hucke F, Bota S, Marquardt JU, Duda DG, Jain RK, Galle PR, Trauner M, Peck-Radosavljevic M, Sieghart W. Use of inhibitors of the renin-angiotensin system is associated with longer survival in patients with hepatocellular carcinoma. </w:t>
      </w:r>
      <w:r w:rsidRPr="00486FA4">
        <w:rPr>
          <w:rFonts w:ascii="Book Antiqua" w:hAnsi="Book Antiqua"/>
          <w:i/>
          <w:iCs/>
          <w:lang w:val="en-US"/>
        </w:rPr>
        <w:t>United European Gastroenterol J</w:t>
      </w:r>
      <w:r w:rsidRPr="00486FA4">
        <w:rPr>
          <w:rFonts w:ascii="Book Antiqua" w:hAnsi="Book Antiqua"/>
          <w:lang w:val="en-US"/>
        </w:rPr>
        <w:t> 2017; </w:t>
      </w:r>
      <w:r w:rsidRPr="00486FA4">
        <w:rPr>
          <w:rFonts w:ascii="Book Antiqua" w:hAnsi="Book Antiqua"/>
          <w:b/>
          <w:bCs/>
          <w:lang w:val="en-US"/>
        </w:rPr>
        <w:t>5</w:t>
      </w:r>
      <w:r w:rsidRPr="00486FA4">
        <w:rPr>
          <w:rFonts w:ascii="Book Antiqua" w:hAnsi="Book Antiqua"/>
          <w:lang w:val="en-US"/>
        </w:rPr>
        <w:t>: 987-996 [PMID: 29163965 DOI: 10.1177/2050640617695698]</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20 </w:t>
      </w:r>
      <w:r w:rsidRPr="00486FA4">
        <w:rPr>
          <w:rFonts w:ascii="Book Antiqua" w:hAnsi="Book Antiqua"/>
          <w:b/>
          <w:bCs/>
          <w:lang w:val="en-US"/>
        </w:rPr>
        <w:t>Facciorusso A</w:t>
      </w:r>
      <w:r w:rsidRPr="00486FA4">
        <w:rPr>
          <w:rFonts w:ascii="Book Antiqua" w:hAnsi="Book Antiqua"/>
          <w:lang w:val="en-US"/>
        </w:rPr>
        <w:t>, Del Prete V, Crucinio N, Muscatiello N, Carr BI, Di Leo A, Barone M. Angiotensin receptor blockers improve survival outcomes after radiofrequency ablation in hepatocarcinoma patients. </w:t>
      </w:r>
      <w:r w:rsidRPr="00486FA4">
        <w:rPr>
          <w:rFonts w:ascii="Book Antiqua" w:hAnsi="Book Antiqua"/>
          <w:i/>
          <w:iCs/>
          <w:lang w:val="en-US"/>
        </w:rPr>
        <w:t>J Gastroenterol Hepatol</w:t>
      </w:r>
      <w:r w:rsidRPr="00486FA4">
        <w:rPr>
          <w:rFonts w:ascii="Book Antiqua" w:hAnsi="Book Antiqua"/>
          <w:lang w:val="en-US"/>
        </w:rPr>
        <w:t> 2015; </w:t>
      </w:r>
      <w:r w:rsidRPr="00486FA4">
        <w:rPr>
          <w:rFonts w:ascii="Book Antiqua" w:hAnsi="Book Antiqua"/>
          <w:b/>
          <w:bCs/>
          <w:lang w:val="en-US"/>
        </w:rPr>
        <w:t>30</w:t>
      </w:r>
      <w:r w:rsidRPr="00486FA4">
        <w:rPr>
          <w:rFonts w:ascii="Book Antiqua" w:hAnsi="Book Antiqua"/>
          <w:lang w:val="en-US"/>
        </w:rPr>
        <w:t>: 1643-1650 [PMID: 25974743 DOI: 10.1111/jgh.12988]</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21 </w:t>
      </w:r>
      <w:r w:rsidRPr="00486FA4">
        <w:rPr>
          <w:rFonts w:ascii="Book Antiqua" w:hAnsi="Book Antiqua"/>
          <w:b/>
          <w:bCs/>
          <w:lang w:val="en-US"/>
        </w:rPr>
        <w:t>Kaibori M</w:t>
      </w:r>
      <w:r w:rsidRPr="00486FA4">
        <w:rPr>
          <w:rFonts w:ascii="Book Antiqua" w:hAnsi="Book Antiqua"/>
          <w:lang w:val="en-US"/>
        </w:rPr>
        <w:t>, Ishizaki M, Matsui K, Kitade H, Matsui Y, Kwon AH. Evaluation of metabolic factors on the prognosis of patients undergoing resection of hepatocellular carcinoma. </w:t>
      </w:r>
      <w:r w:rsidRPr="00486FA4">
        <w:rPr>
          <w:rFonts w:ascii="Book Antiqua" w:hAnsi="Book Antiqua"/>
          <w:i/>
          <w:iCs/>
          <w:lang w:val="en-US"/>
        </w:rPr>
        <w:t>J Gastroenterol Hepatol</w:t>
      </w:r>
      <w:r w:rsidRPr="00486FA4">
        <w:rPr>
          <w:rFonts w:ascii="Book Antiqua" w:hAnsi="Book Antiqua"/>
          <w:lang w:val="en-US"/>
        </w:rPr>
        <w:t> 2011; </w:t>
      </w:r>
      <w:r w:rsidRPr="00486FA4">
        <w:rPr>
          <w:rFonts w:ascii="Book Antiqua" w:hAnsi="Book Antiqua"/>
          <w:b/>
          <w:bCs/>
          <w:lang w:val="en-US"/>
        </w:rPr>
        <w:t>26</w:t>
      </w:r>
      <w:r w:rsidRPr="00486FA4">
        <w:rPr>
          <w:rFonts w:ascii="Book Antiqua" w:hAnsi="Book Antiqua"/>
          <w:lang w:val="en-US"/>
        </w:rPr>
        <w:t>: 536-543 [PMID: 21332549 DOI: 10.1111/j.1440-1746.2010.06439.x]</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22 </w:t>
      </w:r>
      <w:r w:rsidRPr="00486FA4">
        <w:rPr>
          <w:rFonts w:ascii="Book Antiqua" w:hAnsi="Book Antiqua"/>
          <w:b/>
          <w:bCs/>
          <w:lang w:val="en-US"/>
        </w:rPr>
        <w:t>Tsan YT</w:t>
      </w:r>
      <w:r w:rsidRPr="00486FA4">
        <w:rPr>
          <w:rFonts w:ascii="Book Antiqua" w:hAnsi="Book Antiqua"/>
          <w:lang w:val="en-US"/>
        </w:rPr>
        <w:t>, Lee CH, Wang JD, Chen PC. Statins and the risk of hepatocellular carcinoma in patients with hepatitis B virus infection. </w:t>
      </w:r>
      <w:r w:rsidRPr="00486FA4">
        <w:rPr>
          <w:rFonts w:ascii="Book Antiqua" w:hAnsi="Book Antiqua"/>
          <w:i/>
          <w:iCs/>
          <w:lang w:val="en-US"/>
        </w:rPr>
        <w:t>J Clin Oncol</w:t>
      </w:r>
      <w:r w:rsidRPr="00486FA4">
        <w:rPr>
          <w:rFonts w:ascii="Book Antiqua" w:hAnsi="Book Antiqua"/>
          <w:lang w:val="en-US"/>
        </w:rPr>
        <w:t> 2012; </w:t>
      </w:r>
      <w:r w:rsidRPr="00486FA4">
        <w:rPr>
          <w:rFonts w:ascii="Book Antiqua" w:hAnsi="Book Antiqua"/>
          <w:b/>
          <w:bCs/>
          <w:lang w:val="en-US"/>
        </w:rPr>
        <w:t>30</w:t>
      </w:r>
      <w:r w:rsidRPr="00486FA4">
        <w:rPr>
          <w:rFonts w:ascii="Book Antiqua" w:hAnsi="Book Antiqua"/>
          <w:lang w:val="en-US"/>
        </w:rPr>
        <w:t>: 623-630 [PMID: 22271485 DOI: 10.1200/JCO.2011.36.0917]</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23 </w:t>
      </w:r>
      <w:r w:rsidRPr="00486FA4">
        <w:rPr>
          <w:rFonts w:ascii="Book Antiqua" w:hAnsi="Book Antiqua"/>
          <w:b/>
          <w:bCs/>
          <w:lang w:val="en-US"/>
        </w:rPr>
        <w:t>Singh PP</w:t>
      </w:r>
      <w:r w:rsidRPr="00486FA4">
        <w:rPr>
          <w:rFonts w:ascii="Book Antiqua" w:hAnsi="Book Antiqua"/>
          <w:lang w:val="en-US"/>
        </w:rPr>
        <w:t>, Singh S. Statins and risk reduction in hepatocellular carcinoma: fact or fiction? </w:t>
      </w:r>
      <w:r w:rsidRPr="00486FA4">
        <w:rPr>
          <w:rFonts w:ascii="Book Antiqua" w:hAnsi="Book Antiqua"/>
          <w:i/>
          <w:iCs/>
          <w:lang w:val="en-US"/>
        </w:rPr>
        <w:t>J Clin Oncol</w:t>
      </w:r>
      <w:r w:rsidRPr="00486FA4">
        <w:rPr>
          <w:rFonts w:ascii="Book Antiqua" w:hAnsi="Book Antiqua"/>
          <w:lang w:val="en-US"/>
        </w:rPr>
        <w:t> 2012; </w:t>
      </w:r>
      <w:r w:rsidRPr="00486FA4">
        <w:rPr>
          <w:rFonts w:ascii="Book Antiqua" w:hAnsi="Book Antiqua"/>
          <w:b/>
          <w:bCs/>
          <w:lang w:val="en-US"/>
        </w:rPr>
        <w:t>30</w:t>
      </w:r>
      <w:r w:rsidRPr="00486FA4">
        <w:rPr>
          <w:rFonts w:ascii="Book Antiqua" w:hAnsi="Book Antiqua"/>
          <w:lang w:val="en-US"/>
        </w:rPr>
        <w:t>: 2569-</w:t>
      </w:r>
      <w:r w:rsidR="00357D80">
        <w:rPr>
          <w:rFonts w:ascii="Book Antiqua" w:hAnsi="Book Antiqua"/>
          <w:lang w:val="en-US"/>
        </w:rPr>
        <w:t>25</w:t>
      </w:r>
      <w:r w:rsidRPr="00486FA4">
        <w:rPr>
          <w:rFonts w:ascii="Book Antiqua" w:hAnsi="Book Antiqua"/>
          <w:lang w:val="en-US"/>
        </w:rPr>
        <w:t>70; author reply 2570-2571 [PMID: 22689810 DOI: 10.1200/JCO.2012.43.2179]</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24 </w:t>
      </w:r>
      <w:r w:rsidRPr="00486FA4">
        <w:rPr>
          <w:rFonts w:ascii="Book Antiqua" w:hAnsi="Book Antiqua"/>
          <w:b/>
          <w:bCs/>
          <w:lang w:val="en-US"/>
        </w:rPr>
        <w:t>Yoshiji H</w:t>
      </w:r>
      <w:r w:rsidRPr="00486FA4">
        <w:rPr>
          <w:rFonts w:ascii="Book Antiqua" w:hAnsi="Book Antiqua"/>
          <w:lang w:val="en-US"/>
        </w:rPr>
        <w:t>, Noguchi R, Yamazaki M, Ikenaka Y, Sawai M, Ishikawa M, Kawaratani H, Mashitani T, Kitade M, Kaji K, Uemura M, Yamao J, Fujimoto M, Mitoro A, Toyohara M, Yoshida M, Fukui H. Combined treatment of vitamin K2 and angiotensin-converting enzyme inhibitor ameliorates hepatic dysplastic nodule in a patient with liver cirrhosis. </w:t>
      </w:r>
      <w:r w:rsidRPr="00486FA4">
        <w:rPr>
          <w:rFonts w:ascii="Book Antiqua" w:hAnsi="Book Antiqua"/>
          <w:i/>
          <w:iCs/>
          <w:lang w:val="en-US"/>
        </w:rPr>
        <w:t>World J Gastroenterol</w:t>
      </w:r>
      <w:r w:rsidRPr="00486FA4">
        <w:rPr>
          <w:rFonts w:ascii="Book Antiqua" w:hAnsi="Book Antiqua"/>
          <w:lang w:val="en-US"/>
        </w:rPr>
        <w:t> 2007; </w:t>
      </w:r>
      <w:r w:rsidRPr="00486FA4">
        <w:rPr>
          <w:rFonts w:ascii="Book Antiqua" w:hAnsi="Book Antiqua"/>
          <w:b/>
          <w:bCs/>
          <w:lang w:val="en-US"/>
        </w:rPr>
        <w:t>13</w:t>
      </w:r>
      <w:r w:rsidRPr="00486FA4">
        <w:rPr>
          <w:rFonts w:ascii="Book Antiqua" w:hAnsi="Book Antiqua"/>
          <w:lang w:val="en-US"/>
        </w:rPr>
        <w:t>: 3259-3261 [PMID: 17589909]</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25 </w:t>
      </w:r>
      <w:r w:rsidRPr="00486FA4">
        <w:rPr>
          <w:rFonts w:ascii="Book Antiqua" w:hAnsi="Book Antiqua"/>
          <w:b/>
          <w:bCs/>
          <w:lang w:val="en-US"/>
        </w:rPr>
        <w:t>Saber S</w:t>
      </w:r>
      <w:r w:rsidRPr="00486FA4">
        <w:rPr>
          <w:rFonts w:ascii="Book Antiqua" w:hAnsi="Book Antiqua"/>
          <w:lang w:val="en-US"/>
        </w:rPr>
        <w:t>, Mahmoud AAA, Goda R, Helal NS, El-Ahwany E, Abdelghany RH. Perindopril, fosinopril and losartan inhibited the progression of diethylnitrosamine-induced hepatocellular carcinoma in mice via the inactivation of nuclear transcription factor kappa-B. </w:t>
      </w:r>
      <w:r w:rsidRPr="00486FA4">
        <w:rPr>
          <w:rFonts w:ascii="Book Antiqua" w:hAnsi="Book Antiqua"/>
          <w:i/>
          <w:iCs/>
          <w:lang w:val="en-US"/>
        </w:rPr>
        <w:t>Toxicol Lett</w:t>
      </w:r>
      <w:r w:rsidRPr="00486FA4">
        <w:rPr>
          <w:rFonts w:ascii="Book Antiqua" w:hAnsi="Book Antiqua"/>
          <w:lang w:val="en-US"/>
        </w:rPr>
        <w:t> 2018; </w:t>
      </w:r>
      <w:r w:rsidRPr="00486FA4">
        <w:rPr>
          <w:rFonts w:ascii="Book Antiqua" w:hAnsi="Book Antiqua"/>
          <w:b/>
          <w:bCs/>
          <w:lang w:val="en-US"/>
        </w:rPr>
        <w:t>295</w:t>
      </w:r>
      <w:r w:rsidRPr="00486FA4">
        <w:rPr>
          <w:rFonts w:ascii="Book Antiqua" w:hAnsi="Book Antiqua"/>
          <w:lang w:val="en-US"/>
        </w:rPr>
        <w:t>: 32-40 [PMID: 29859236 DOI: 10.1016/j.toxlet.2018.05.036]</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26 </w:t>
      </w:r>
      <w:r w:rsidRPr="00486FA4">
        <w:rPr>
          <w:rFonts w:ascii="Book Antiqua" w:hAnsi="Book Antiqua"/>
          <w:b/>
          <w:bCs/>
          <w:lang w:val="en-US"/>
        </w:rPr>
        <w:t>Saber S</w:t>
      </w:r>
      <w:r w:rsidRPr="00486FA4">
        <w:rPr>
          <w:rFonts w:ascii="Book Antiqua" w:hAnsi="Book Antiqua"/>
          <w:lang w:val="en-US"/>
        </w:rPr>
        <w:t>, Mahmoud A, Helal N, El-Ahwany E, Abdelghany R. Liver Protective Effects of Renin-Angiotensin System Inhibition Have No Survival Benefits in Hepatocellular Carcinoma Induced By Repetitive Administration of Diethylnitrosamine in Mice. </w:t>
      </w:r>
      <w:r w:rsidRPr="00486FA4">
        <w:rPr>
          <w:rFonts w:ascii="Book Antiqua" w:hAnsi="Book Antiqua"/>
          <w:i/>
          <w:iCs/>
          <w:lang w:val="en-US"/>
        </w:rPr>
        <w:t>Open Access Maced J Med Sci</w:t>
      </w:r>
      <w:r w:rsidRPr="00486FA4">
        <w:rPr>
          <w:rFonts w:ascii="Book Antiqua" w:hAnsi="Book Antiqua"/>
          <w:lang w:val="en-US"/>
        </w:rPr>
        <w:t> 2018; </w:t>
      </w:r>
      <w:r w:rsidRPr="00486FA4">
        <w:rPr>
          <w:rFonts w:ascii="Book Antiqua" w:hAnsi="Book Antiqua"/>
          <w:b/>
          <w:bCs/>
          <w:lang w:val="en-US"/>
        </w:rPr>
        <w:t>6</w:t>
      </w:r>
      <w:r w:rsidRPr="00486FA4">
        <w:rPr>
          <w:rFonts w:ascii="Book Antiqua" w:hAnsi="Book Antiqua"/>
          <w:lang w:val="en-US"/>
        </w:rPr>
        <w:t>: 955-960 [PMID: 29983784 DOI: 10.3889/oamjms.2018.167]</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27 </w:t>
      </w:r>
      <w:r w:rsidRPr="00486FA4">
        <w:rPr>
          <w:rFonts w:ascii="Book Antiqua" w:hAnsi="Book Antiqua"/>
          <w:b/>
          <w:bCs/>
          <w:lang w:val="en-US"/>
        </w:rPr>
        <w:t>Nasr M</w:t>
      </w:r>
      <w:r w:rsidRPr="00486FA4">
        <w:rPr>
          <w:rFonts w:ascii="Book Antiqua" w:hAnsi="Book Antiqua"/>
          <w:lang w:val="en-US"/>
        </w:rPr>
        <w:t>, Selima E, Hamed O, Kazem A. Targeting different angiogenic pathways with combination of curcumin, leflunomide and perindopril inhibits diethylnitrosamine-induced hepatocellular carcinoma in mice. </w:t>
      </w:r>
      <w:r w:rsidRPr="00486FA4">
        <w:rPr>
          <w:rFonts w:ascii="Book Antiqua" w:hAnsi="Book Antiqua"/>
          <w:i/>
          <w:iCs/>
          <w:lang w:val="en-US"/>
        </w:rPr>
        <w:t>Eur J Pharmacol</w:t>
      </w:r>
      <w:r w:rsidRPr="00486FA4">
        <w:rPr>
          <w:rFonts w:ascii="Book Antiqua" w:hAnsi="Book Antiqua"/>
          <w:lang w:val="en-US"/>
        </w:rPr>
        <w:t> 2014; </w:t>
      </w:r>
      <w:r w:rsidRPr="00486FA4">
        <w:rPr>
          <w:rFonts w:ascii="Book Antiqua" w:hAnsi="Book Antiqua"/>
          <w:b/>
          <w:bCs/>
          <w:lang w:val="en-US"/>
        </w:rPr>
        <w:t>723</w:t>
      </w:r>
      <w:r w:rsidRPr="00486FA4">
        <w:rPr>
          <w:rFonts w:ascii="Book Antiqua" w:hAnsi="Book Antiqua"/>
          <w:lang w:val="en-US"/>
        </w:rPr>
        <w:t>: 267-275 [PMID: 24291100 DOI: 10.1016/j.ejphar.2013.11.022]</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28 </w:t>
      </w:r>
      <w:r w:rsidRPr="00486FA4">
        <w:rPr>
          <w:rFonts w:ascii="Book Antiqua" w:hAnsi="Book Antiqua"/>
          <w:b/>
          <w:bCs/>
          <w:lang w:val="en-US"/>
        </w:rPr>
        <w:t>Vermeulen PB</w:t>
      </w:r>
      <w:r w:rsidRPr="00486FA4">
        <w:rPr>
          <w:rFonts w:ascii="Book Antiqua" w:hAnsi="Book Antiqua"/>
          <w:lang w:val="en-US"/>
        </w:rPr>
        <w:t>, Gasparini G, Fox SB, Toi M, Martin L, McCulloch P, Pezzella F, Viale G, Weidner N, Harris AL, Dirix LY. Quantification of angiogenesis in solid human tumours: an international consensus on the methodology and criteria of evaluation. </w:t>
      </w:r>
      <w:r w:rsidRPr="00486FA4">
        <w:rPr>
          <w:rFonts w:ascii="Book Antiqua" w:hAnsi="Book Antiqua"/>
          <w:i/>
          <w:iCs/>
          <w:lang w:val="en-US"/>
        </w:rPr>
        <w:t>Eur J Cancer</w:t>
      </w:r>
      <w:r w:rsidRPr="00486FA4">
        <w:rPr>
          <w:rFonts w:ascii="Book Antiqua" w:hAnsi="Book Antiqua"/>
          <w:lang w:val="en-US"/>
        </w:rPr>
        <w:t> 1996; </w:t>
      </w:r>
      <w:r w:rsidRPr="00486FA4">
        <w:rPr>
          <w:rFonts w:ascii="Book Antiqua" w:hAnsi="Book Antiqua"/>
          <w:b/>
          <w:bCs/>
          <w:lang w:val="en-US"/>
        </w:rPr>
        <w:t>32A</w:t>
      </w:r>
      <w:r w:rsidRPr="00486FA4">
        <w:rPr>
          <w:rFonts w:ascii="Book Antiqua" w:hAnsi="Book Antiqua"/>
          <w:lang w:val="en-US"/>
        </w:rPr>
        <w:t>: 2474-2484 [PMID: 9059336]</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29 </w:t>
      </w:r>
      <w:r w:rsidRPr="00486FA4">
        <w:rPr>
          <w:rFonts w:ascii="Book Antiqua" w:hAnsi="Book Antiqua"/>
          <w:b/>
          <w:bCs/>
          <w:lang w:val="en-US"/>
        </w:rPr>
        <w:t>Mansour MA</w:t>
      </w:r>
      <w:r w:rsidRPr="00486FA4">
        <w:rPr>
          <w:rFonts w:ascii="Book Antiqua" w:hAnsi="Book Antiqua"/>
          <w:lang w:val="en-US"/>
        </w:rPr>
        <w:t>, Al-Ismaeel H, Al-Rikabi AC, Al-Shabanah OA. Comparison of angiotensin converting enzyme inhibitors and angiotensin II type 1 receptor blockade for the prevention of premalignant changes in the liver. </w:t>
      </w:r>
      <w:r w:rsidRPr="00486FA4">
        <w:rPr>
          <w:rFonts w:ascii="Book Antiqua" w:hAnsi="Book Antiqua"/>
          <w:i/>
          <w:iCs/>
          <w:lang w:val="en-US"/>
        </w:rPr>
        <w:t>Life Sci</w:t>
      </w:r>
      <w:r w:rsidRPr="00486FA4">
        <w:rPr>
          <w:rFonts w:ascii="Book Antiqua" w:hAnsi="Book Antiqua"/>
          <w:lang w:val="en-US"/>
        </w:rPr>
        <w:t> 2011; </w:t>
      </w:r>
      <w:r w:rsidRPr="00486FA4">
        <w:rPr>
          <w:rFonts w:ascii="Book Antiqua" w:hAnsi="Book Antiqua"/>
          <w:b/>
          <w:bCs/>
          <w:lang w:val="en-US"/>
        </w:rPr>
        <w:t>89</w:t>
      </w:r>
      <w:r w:rsidRPr="00486FA4">
        <w:rPr>
          <w:rFonts w:ascii="Book Antiqua" w:hAnsi="Book Antiqua"/>
          <w:lang w:val="en-US"/>
        </w:rPr>
        <w:t>: 188-194 [PMID: 21699905 DOI: 10.1016/j.lfs.2011.06.002]</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30 </w:t>
      </w:r>
      <w:r w:rsidRPr="00486FA4">
        <w:rPr>
          <w:rFonts w:ascii="Book Antiqua" w:hAnsi="Book Antiqua"/>
          <w:b/>
          <w:bCs/>
          <w:lang w:val="en-US"/>
        </w:rPr>
        <w:t>Yanase K</w:t>
      </w:r>
      <w:r w:rsidRPr="00486FA4">
        <w:rPr>
          <w:rFonts w:ascii="Book Antiqua" w:hAnsi="Book Antiqua"/>
          <w:lang w:val="en-US"/>
        </w:rPr>
        <w:t>, Yoshiji H, Ikenaka Y, Noguchi R, Kitade M, Kaji K, Yoshii J, Namisaki T, Yamazaki M, Asada K, Tsujimoto T, Akahane T, Uemura M, Fukui H. Synergistic inhibition of hepatocellular carcinoma growth and hepatocarcinogenesis by combination of 5-fluorouracil and angiotensin-converting enzyme inhibitor via anti-angiogenic activities. </w:t>
      </w:r>
      <w:r w:rsidRPr="00486FA4">
        <w:rPr>
          <w:rFonts w:ascii="Book Antiqua" w:hAnsi="Book Antiqua"/>
          <w:i/>
          <w:iCs/>
          <w:lang w:val="en-US"/>
        </w:rPr>
        <w:t>Oncol Rep</w:t>
      </w:r>
      <w:r w:rsidR="00357D80">
        <w:rPr>
          <w:rFonts w:ascii="Book Antiqua" w:hAnsi="Book Antiqua"/>
          <w:i/>
          <w:iCs/>
          <w:lang w:val="en-US"/>
        </w:rPr>
        <w:t xml:space="preserve"> </w:t>
      </w:r>
      <w:r w:rsidRPr="00486FA4">
        <w:rPr>
          <w:rFonts w:ascii="Book Antiqua" w:hAnsi="Book Antiqua"/>
          <w:lang w:val="en-US"/>
        </w:rPr>
        <w:t>2007; </w:t>
      </w:r>
      <w:r w:rsidRPr="00486FA4">
        <w:rPr>
          <w:rFonts w:ascii="Book Antiqua" w:hAnsi="Book Antiqua"/>
          <w:b/>
          <w:bCs/>
          <w:lang w:val="en-US"/>
        </w:rPr>
        <w:t>17</w:t>
      </w:r>
      <w:r w:rsidRPr="00486FA4">
        <w:rPr>
          <w:rFonts w:ascii="Book Antiqua" w:hAnsi="Book Antiqua"/>
          <w:lang w:val="en-US"/>
        </w:rPr>
        <w:t>: 441-446 [PMID: 17203185]</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31 </w:t>
      </w:r>
      <w:r w:rsidRPr="00486FA4">
        <w:rPr>
          <w:rFonts w:ascii="Book Antiqua" w:hAnsi="Book Antiqua"/>
          <w:b/>
          <w:bCs/>
          <w:lang w:val="en-US"/>
        </w:rPr>
        <w:t>Yoshiji H</w:t>
      </w:r>
      <w:r w:rsidRPr="00486FA4">
        <w:rPr>
          <w:rFonts w:ascii="Book Antiqua" w:hAnsi="Book Antiqua"/>
          <w:lang w:val="en-US"/>
        </w:rPr>
        <w:t>, Kuriyama S, Noguchi R, Yoshii J, Ikenaka Y, Yanase K, Namisaki T, Kitade M, Yamazaki M, Akahane T, Asada K, Tsujimoto T, Uemura M, Fukui H. Amelioration of carcinogenesis and tumor growth in the rat liver by combination of vitamin K2 and angiotensin-converting enzyme inhibitor via anti-angiogenic activities. </w:t>
      </w:r>
      <w:r w:rsidRPr="00486FA4">
        <w:rPr>
          <w:rFonts w:ascii="Book Antiqua" w:hAnsi="Book Antiqua"/>
          <w:i/>
          <w:iCs/>
          <w:lang w:val="en-US"/>
        </w:rPr>
        <w:t>Oncol Rep</w:t>
      </w:r>
      <w:r w:rsidRPr="00486FA4">
        <w:rPr>
          <w:rFonts w:ascii="Book Antiqua" w:hAnsi="Book Antiqua"/>
          <w:lang w:val="en-US"/>
        </w:rPr>
        <w:t> 2006; </w:t>
      </w:r>
      <w:r w:rsidRPr="00486FA4">
        <w:rPr>
          <w:rFonts w:ascii="Book Antiqua" w:hAnsi="Book Antiqua"/>
          <w:b/>
          <w:bCs/>
          <w:lang w:val="en-US"/>
        </w:rPr>
        <w:t>15</w:t>
      </w:r>
      <w:r w:rsidRPr="00486FA4">
        <w:rPr>
          <w:rFonts w:ascii="Book Antiqua" w:hAnsi="Book Antiqua"/>
          <w:lang w:val="en-US"/>
        </w:rPr>
        <w:t>: 155-159 [PMID: 16328049]</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32 </w:t>
      </w:r>
      <w:r w:rsidRPr="00486FA4">
        <w:rPr>
          <w:rFonts w:ascii="Book Antiqua" w:hAnsi="Book Antiqua"/>
          <w:b/>
          <w:bCs/>
          <w:lang w:val="en-US"/>
        </w:rPr>
        <w:t>Yoshiji H</w:t>
      </w:r>
      <w:r w:rsidRPr="00486FA4">
        <w:rPr>
          <w:rFonts w:ascii="Book Antiqua" w:hAnsi="Book Antiqua"/>
          <w:lang w:val="en-US"/>
        </w:rPr>
        <w:t>, Kuriyama S, Noguchi R, Yoshii J, Ikenaka Y, Yanase K, Namisaki T, Kitade M, Yamazaki M, Masaki T, Fukui H. Combination of vitamin K2 and the angiotensin-converting enzyme inhibitor, perindopril, attenuates the liver enzyme-altered preneoplastic lesions in rats via angiogenesis suppression. </w:t>
      </w:r>
      <w:r w:rsidRPr="00486FA4">
        <w:rPr>
          <w:rFonts w:ascii="Book Antiqua" w:hAnsi="Book Antiqua"/>
          <w:i/>
          <w:iCs/>
          <w:lang w:val="en-US"/>
        </w:rPr>
        <w:t>J Hepatol</w:t>
      </w:r>
      <w:r w:rsidRPr="00486FA4">
        <w:rPr>
          <w:rFonts w:ascii="Book Antiqua" w:hAnsi="Book Antiqua"/>
          <w:lang w:val="en-US"/>
        </w:rPr>
        <w:t> 2005; </w:t>
      </w:r>
      <w:r w:rsidRPr="00486FA4">
        <w:rPr>
          <w:rFonts w:ascii="Book Antiqua" w:hAnsi="Book Antiqua"/>
          <w:b/>
          <w:bCs/>
          <w:lang w:val="en-US"/>
        </w:rPr>
        <w:t>42</w:t>
      </w:r>
      <w:r w:rsidRPr="00486FA4">
        <w:rPr>
          <w:rFonts w:ascii="Book Antiqua" w:hAnsi="Book Antiqua"/>
          <w:lang w:val="en-US"/>
        </w:rPr>
        <w:t>: 687-693 [PMID: 15826718 DOI: 10.1016/j.jhep.2004.12.025]</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33 </w:t>
      </w:r>
      <w:r w:rsidRPr="00486FA4">
        <w:rPr>
          <w:rFonts w:ascii="Book Antiqua" w:hAnsi="Book Antiqua"/>
          <w:b/>
          <w:bCs/>
          <w:lang w:val="en-US"/>
        </w:rPr>
        <w:t>Yoshiji H</w:t>
      </w:r>
      <w:r w:rsidRPr="00486FA4">
        <w:rPr>
          <w:rFonts w:ascii="Book Antiqua" w:hAnsi="Book Antiqua"/>
          <w:lang w:val="en-US"/>
        </w:rPr>
        <w:t>, Noguchi R, Kuriyama S, Yoshii J, Ikenaka Y. Combination of interferon and angiotensin-converting enzyme inhibitor, perindopril, suppresses liver carcinogenesis and angiogenesis in mice. </w:t>
      </w:r>
      <w:r w:rsidRPr="00486FA4">
        <w:rPr>
          <w:rFonts w:ascii="Book Antiqua" w:hAnsi="Book Antiqua"/>
          <w:i/>
          <w:iCs/>
          <w:lang w:val="en-US"/>
        </w:rPr>
        <w:t>Oncol Rep</w:t>
      </w:r>
      <w:r w:rsidRPr="00486FA4">
        <w:rPr>
          <w:rFonts w:ascii="Book Antiqua" w:hAnsi="Book Antiqua"/>
          <w:lang w:val="en-US"/>
        </w:rPr>
        <w:t> 2005; </w:t>
      </w:r>
      <w:r w:rsidRPr="00486FA4">
        <w:rPr>
          <w:rFonts w:ascii="Book Antiqua" w:hAnsi="Book Antiqua"/>
          <w:b/>
          <w:bCs/>
          <w:lang w:val="en-US"/>
        </w:rPr>
        <w:t>13</w:t>
      </w:r>
      <w:r w:rsidRPr="00486FA4">
        <w:rPr>
          <w:rFonts w:ascii="Book Antiqua" w:hAnsi="Book Antiqua"/>
          <w:lang w:val="en-US"/>
        </w:rPr>
        <w:t>: 491-495 [PMID: 15706423]</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34 </w:t>
      </w:r>
      <w:r w:rsidRPr="00486FA4">
        <w:rPr>
          <w:rFonts w:ascii="Book Antiqua" w:hAnsi="Book Antiqua"/>
          <w:b/>
          <w:bCs/>
          <w:lang w:val="en-US"/>
        </w:rPr>
        <w:t>Yoshiji H</w:t>
      </w:r>
      <w:r w:rsidRPr="00486FA4">
        <w:rPr>
          <w:rFonts w:ascii="Book Antiqua" w:hAnsi="Book Antiqua"/>
          <w:lang w:val="en-US"/>
        </w:rPr>
        <w:t>, Noguchi R, Kuriyama S, Yoshii J, Ikenaka Y, Yanase K, Namisaki T, Kitade M, Yamazaki M, Uemura M, Fukui H. Suppression of renin-angiotensin system attenuates hepatocarcinogenesis via angiogenesis inhibition in rats. </w:t>
      </w:r>
      <w:r w:rsidRPr="00486FA4">
        <w:rPr>
          <w:rFonts w:ascii="Book Antiqua" w:hAnsi="Book Antiqua"/>
          <w:i/>
          <w:iCs/>
          <w:lang w:val="en-US"/>
        </w:rPr>
        <w:t>Anticancer Res</w:t>
      </w:r>
      <w:r w:rsidRPr="00486FA4">
        <w:rPr>
          <w:rFonts w:ascii="Book Antiqua" w:hAnsi="Book Antiqua"/>
          <w:lang w:val="en-US"/>
        </w:rPr>
        <w:t> 2005; </w:t>
      </w:r>
      <w:r w:rsidRPr="00486FA4">
        <w:rPr>
          <w:rFonts w:ascii="Book Antiqua" w:hAnsi="Book Antiqua"/>
          <w:b/>
          <w:bCs/>
          <w:lang w:val="en-US"/>
        </w:rPr>
        <w:t>25</w:t>
      </w:r>
      <w:r w:rsidRPr="00486FA4">
        <w:rPr>
          <w:rFonts w:ascii="Book Antiqua" w:hAnsi="Book Antiqua"/>
          <w:lang w:val="en-US"/>
        </w:rPr>
        <w:t>: 3335-3340 [PMID: 16101147]</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35 </w:t>
      </w:r>
      <w:r w:rsidRPr="00486FA4">
        <w:rPr>
          <w:rFonts w:ascii="Book Antiqua" w:hAnsi="Book Antiqua"/>
          <w:b/>
          <w:bCs/>
          <w:lang w:val="en-US"/>
        </w:rPr>
        <w:t>Fan F</w:t>
      </w:r>
      <w:r w:rsidRPr="00486FA4">
        <w:rPr>
          <w:rFonts w:ascii="Book Antiqua" w:hAnsi="Book Antiqua"/>
          <w:lang w:val="en-US"/>
        </w:rPr>
        <w:t>, Tian C, Tao L, Wu H, Liu Z, Shen C, Jiang G, Lu Y. Candesartan attenuates angiogenesis in hepatocellular carcinoma via downregulating AT1R/VEGF pathway.</w:t>
      </w:r>
      <w:r w:rsidR="00C07D25" w:rsidRPr="00EF2841">
        <w:rPr>
          <w:rFonts w:ascii="Book Antiqua" w:eastAsia="宋体" w:hAnsi="Book Antiqua" w:hint="eastAsia"/>
          <w:lang w:val="en-US" w:eastAsia="zh-CN"/>
        </w:rPr>
        <w:t xml:space="preserve"> </w:t>
      </w:r>
      <w:r w:rsidRPr="00486FA4">
        <w:rPr>
          <w:rFonts w:ascii="Book Antiqua" w:hAnsi="Book Antiqua"/>
          <w:i/>
          <w:iCs/>
          <w:lang w:val="en-US"/>
        </w:rPr>
        <w:t>Biomed Pharmacother</w:t>
      </w:r>
      <w:r w:rsidR="00C07D25" w:rsidRPr="00EF2841">
        <w:rPr>
          <w:rFonts w:ascii="Book Antiqua" w:eastAsia="宋体" w:hAnsi="Book Antiqua" w:hint="eastAsia"/>
          <w:lang w:val="en-US" w:eastAsia="zh-CN"/>
        </w:rPr>
        <w:t xml:space="preserve"> </w:t>
      </w:r>
      <w:r w:rsidRPr="00486FA4">
        <w:rPr>
          <w:rFonts w:ascii="Book Antiqua" w:hAnsi="Book Antiqua"/>
          <w:lang w:val="en-US"/>
        </w:rPr>
        <w:t>2016;</w:t>
      </w:r>
      <w:r w:rsidR="00C07D25" w:rsidRPr="00EF2841">
        <w:rPr>
          <w:rFonts w:ascii="Book Antiqua" w:eastAsia="宋体" w:hAnsi="Book Antiqua" w:hint="eastAsia"/>
          <w:lang w:val="en-US" w:eastAsia="zh-CN"/>
        </w:rPr>
        <w:t xml:space="preserve"> </w:t>
      </w:r>
      <w:r w:rsidRPr="00486FA4">
        <w:rPr>
          <w:rFonts w:ascii="Book Antiqua" w:hAnsi="Book Antiqua"/>
          <w:b/>
          <w:bCs/>
          <w:lang w:val="en-US"/>
        </w:rPr>
        <w:t>83</w:t>
      </w:r>
      <w:r w:rsidRPr="00486FA4">
        <w:rPr>
          <w:rFonts w:ascii="Book Antiqua" w:hAnsi="Book Antiqua"/>
          <w:lang w:val="en-US"/>
        </w:rPr>
        <w:t>: 704-711 [PMID: 27470571 DOI: 10.1016/j.biopha.2016.07.039]</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36 </w:t>
      </w:r>
      <w:r w:rsidRPr="00486FA4">
        <w:rPr>
          <w:rFonts w:ascii="Book Antiqua" w:hAnsi="Book Antiqua"/>
          <w:b/>
          <w:bCs/>
          <w:lang w:val="en-US"/>
        </w:rPr>
        <w:t>Du H</w:t>
      </w:r>
      <w:r w:rsidRPr="00486FA4">
        <w:rPr>
          <w:rFonts w:ascii="Book Antiqua" w:hAnsi="Book Antiqua"/>
          <w:lang w:val="en-US"/>
        </w:rPr>
        <w:t>, Liang Z, Zhang Y, Jie F, Li J, Fei Y, Huang Z, Pei N, Wang S, Li A, Chen B, Zhang Y, Sumners C, Li M, Li H. Effects of angiotensin II type 2 receptor overexpression on the growth of hepatocellular carcinoma cells in vitro and in vivo. </w:t>
      </w:r>
      <w:r w:rsidRPr="00486FA4">
        <w:rPr>
          <w:rFonts w:ascii="Book Antiqua" w:hAnsi="Book Antiqua"/>
          <w:i/>
          <w:iCs/>
          <w:lang w:val="en-US"/>
        </w:rPr>
        <w:t>PLoS One</w:t>
      </w:r>
      <w:r w:rsidRPr="00486FA4">
        <w:rPr>
          <w:rFonts w:ascii="Book Antiqua" w:hAnsi="Book Antiqua"/>
          <w:lang w:val="en-US"/>
        </w:rPr>
        <w:t> 2013; </w:t>
      </w:r>
      <w:r w:rsidRPr="00486FA4">
        <w:rPr>
          <w:rFonts w:ascii="Book Antiqua" w:hAnsi="Book Antiqua"/>
          <w:b/>
          <w:bCs/>
          <w:lang w:val="en-US"/>
        </w:rPr>
        <w:t>8</w:t>
      </w:r>
      <w:r w:rsidRPr="00486FA4">
        <w:rPr>
          <w:rFonts w:ascii="Book Antiqua" w:hAnsi="Book Antiqua"/>
          <w:lang w:val="en-US"/>
        </w:rPr>
        <w:t>: e83754 [PMID: 24391821 DOI: 10.1371/journal.pone.0083754]</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37 </w:t>
      </w:r>
      <w:r w:rsidRPr="00486FA4">
        <w:rPr>
          <w:rFonts w:ascii="Book Antiqua" w:hAnsi="Book Antiqua"/>
          <w:b/>
          <w:bCs/>
          <w:lang w:val="en-US"/>
        </w:rPr>
        <w:t>Noguchi R</w:t>
      </w:r>
      <w:r w:rsidRPr="00486FA4">
        <w:rPr>
          <w:rFonts w:ascii="Book Antiqua" w:hAnsi="Book Antiqua"/>
          <w:lang w:val="en-US"/>
        </w:rPr>
        <w:t>, Yoshiji H, Kuriyama S, Yoshii J, Ikenaka Y, Yanase K, Namisaki T, Kitade M, Yamazaki M, Mitoro A, Tsujinoue H, Imazu H, Masaki T, Fukui H. Combination of interferon-beta and the angiotensin-converting enzyme inhibitor, perindopril, attenuates murine hepatocellular carcinoma development and angiogenesis. </w:t>
      </w:r>
      <w:r w:rsidRPr="00486FA4">
        <w:rPr>
          <w:rFonts w:ascii="Book Antiqua" w:hAnsi="Book Antiqua"/>
          <w:i/>
          <w:iCs/>
          <w:lang w:val="en-US"/>
        </w:rPr>
        <w:t>Clin Cancer Res</w:t>
      </w:r>
      <w:r w:rsidRPr="00486FA4">
        <w:rPr>
          <w:rFonts w:ascii="Book Antiqua" w:hAnsi="Book Antiqua"/>
          <w:lang w:val="en-US"/>
        </w:rPr>
        <w:t> 2003; </w:t>
      </w:r>
      <w:r w:rsidRPr="00486FA4">
        <w:rPr>
          <w:rFonts w:ascii="Book Antiqua" w:hAnsi="Book Antiqua"/>
          <w:b/>
          <w:bCs/>
          <w:lang w:val="en-US"/>
        </w:rPr>
        <w:t>9</w:t>
      </w:r>
      <w:r w:rsidRPr="00486FA4">
        <w:rPr>
          <w:rFonts w:ascii="Book Antiqua" w:hAnsi="Book Antiqua"/>
          <w:lang w:val="en-US"/>
        </w:rPr>
        <w:t>: 6038-6045 [PMID: 14676130]</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38 </w:t>
      </w:r>
      <w:r w:rsidRPr="00486FA4">
        <w:rPr>
          <w:rFonts w:ascii="Book Antiqua" w:hAnsi="Book Antiqua"/>
          <w:b/>
          <w:bCs/>
          <w:lang w:val="en-US"/>
        </w:rPr>
        <w:t>Yoshiji H</w:t>
      </w:r>
      <w:r w:rsidRPr="00486FA4">
        <w:rPr>
          <w:rFonts w:ascii="Book Antiqua" w:hAnsi="Book Antiqua"/>
          <w:lang w:val="en-US"/>
        </w:rPr>
        <w:t>, Yoshii J, Ikenaka Y, Noguchi R, Yanase K, Tsujinoue H, Imazu H, Fukui H. Suppression of the renin-angiotensin system attenuates vascular endothelial growth factor-mediated tumor development and angiogenesis in murine hepatocellular carcinoma cells. </w:t>
      </w:r>
      <w:r w:rsidRPr="00486FA4">
        <w:rPr>
          <w:rFonts w:ascii="Book Antiqua" w:hAnsi="Book Antiqua"/>
          <w:i/>
          <w:iCs/>
          <w:lang w:val="en-US"/>
        </w:rPr>
        <w:t>Int J Oncol</w:t>
      </w:r>
      <w:r w:rsidRPr="00486FA4">
        <w:rPr>
          <w:rFonts w:ascii="Book Antiqua" w:hAnsi="Book Antiqua"/>
          <w:lang w:val="en-US"/>
        </w:rPr>
        <w:t> 2002; </w:t>
      </w:r>
      <w:r w:rsidRPr="00486FA4">
        <w:rPr>
          <w:rFonts w:ascii="Book Antiqua" w:hAnsi="Book Antiqua"/>
          <w:b/>
          <w:bCs/>
          <w:lang w:val="en-US"/>
        </w:rPr>
        <w:t>20</w:t>
      </w:r>
      <w:r w:rsidRPr="00486FA4">
        <w:rPr>
          <w:rFonts w:ascii="Book Antiqua" w:hAnsi="Book Antiqua"/>
          <w:lang w:val="en-US"/>
        </w:rPr>
        <w:t>: 1227-1231 [PMID: 12012003]</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39 </w:t>
      </w:r>
      <w:r w:rsidRPr="00486FA4">
        <w:rPr>
          <w:rFonts w:ascii="Book Antiqua" w:hAnsi="Book Antiqua"/>
          <w:b/>
          <w:bCs/>
          <w:lang w:val="en-US"/>
        </w:rPr>
        <w:t>Yoshiji H</w:t>
      </w:r>
      <w:r w:rsidRPr="00486FA4">
        <w:rPr>
          <w:rFonts w:ascii="Book Antiqua" w:hAnsi="Book Antiqua"/>
          <w:lang w:val="en-US"/>
        </w:rPr>
        <w:t>, Kuriyama S, Kawata M, Yoshii J, Ikenaka Y, Noguchi R, Nakatani T, Tsujinoue H, Fukui H. The angiotensin-I-converting enzyme inhibitor perindopril suppresses tumor growth and angiogenesis: possible role of the vascular endothelial growth factor. </w:t>
      </w:r>
      <w:r w:rsidRPr="00486FA4">
        <w:rPr>
          <w:rFonts w:ascii="Book Antiqua" w:hAnsi="Book Antiqua"/>
          <w:i/>
          <w:iCs/>
          <w:lang w:val="en-US"/>
        </w:rPr>
        <w:t>Clin Cancer Res</w:t>
      </w:r>
      <w:r w:rsidRPr="00486FA4">
        <w:rPr>
          <w:rFonts w:ascii="Book Antiqua" w:hAnsi="Book Antiqua"/>
          <w:lang w:val="en-US"/>
        </w:rPr>
        <w:t> 2001; </w:t>
      </w:r>
      <w:r w:rsidRPr="00486FA4">
        <w:rPr>
          <w:rFonts w:ascii="Book Antiqua" w:hAnsi="Book Antiqua"/>
          <w:b/>
          <w:bCs/>
          <w:lang w:val="en-US"/>
        </w:rPr>
        <w:t>7</w:t>
      </w:r>
      <w:r w:rsidRPr="00486FA4">
        <w:rPr>
          <w:rFonts w:ascii="Book Antiqua" w:hAnsi="Book Antiqua"/>
          <w:lang w:val="en-US"/>
        </w:rPr>
        <w:t>: 1073-1078 [PMID: 11309359]</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40 </w:t>
      </w:r>
      <w:r w:rsidRPr="00486FA4">
        <w:rPr>
          <w:rFonts w:ascii="Book Antiqua" w:hAnsi="Book Antiqua"/>
          <w:b/>
          <w:bCs/>
          <w:lang w:val="en-US"/>
        </w:rPr>
        <w:t>Tamaki Y</w:t>
      </w:r>
      <w:r w:rsidRPr="00486FA4">
        <w:rPr>
          <w:rFonts w:ascii="Book Antiqua" w:hAnsi="Book Antiqua"/>
          <w:lang w:val="en-US"/>
        </w:rPr>
        <w:t>, Nakade Y, Yamauchi T, Makino Y, Yokohama S, Okada M, Aso K, Kanamori H, Ohashi T, Sato K, Nakao H, Haneda M, Yoneda M. Angiotensin II type 1 receptor antagonist prevents hepatic carcinoma in rats with nonalcoholic steatohepatitis. </w:t>
      </w:r>
      <w:r w:rsidRPr="00486FA4">
        <w:rPr>
          <w:rFonts w:ascii="Book Antiqua" w:hAnsi="Book Antiqua"/>
          <w:i/>
          <w:iCs/>
          <w:lang w:val="en-US"/>
        </w:rPr>
        <w:t>J Gastroenterol</w:t>
      </w:r>
      <w:r w:rsidRPr="00486FA4">
        <w:rPr>
          <w:rFonts w:ascii="Book Antiqua" w:hAnsi="Book Antiqua"/>
          <w:lang w:val="en-US"/>
        </w:rPr>
        <w:t> 2013; </w:t>
      </w:r>
      <w:r w:rsidRPr="00486FA4">
        <w:rPr>
          <w:rFonts w:ascii="Book Antiqua" w:hAnsi="Book Antiqua"/>
          <w:b/>
          <w:bCs/>
          <w:lang w:val="en-US"/>
        </w:rPr>
        <w:t>48</w:t>
      </w:r>
      <w:r w:rsidRPr="00486FA4">
        <w:rPr>
          <w:rFonts w:ascii="Book Antiqua" w:hAnsi="Book Antiqua"/>
          <w:lang w:val="en-US"/>
        </w:rPr>
        <w:t>: 491-503 [PMID: 22886508 DOI: 10.1007/s00535-012-0651-7]</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41 </w:t>
      </w:r>
      <w:r w:rsidRPr="00486FA4">
        <w:rPr>
          <w:rFonts w:ascii="Book Antiqua" w:hAnsi="Book Antiqua"/>
          <w:b/>
          <w:bCs/>
          <w:lang w:val="en-US"/>
        </w:rPr>
        <w:t>Noguchi R</w:t>
      </w:r>
      <w:r w:rsidRPr="00486FA4">
        <w:rPr>
          <w:rFonts w:ascii="Book Antiqua" w:hAnsi="Book Antiqua"/>
          <w:lang w:val="en-US"/>
        </w:rPr>
        <w:t>, Yoshiji H, Ikenaka Y, Kaji K, Aihara Y, Shirai Y, Namisaki T, Kitade M, Douhara A, Moriya K, Fukui H. Dual blockade of angiotensin-II and aldosterone suppresses the progression of a non-diabetic rat model of steatohepatitis. </w:t>
      </w:r>
      <w:r w:rsidRPr="00486FA4">
        <w:rPr>
          <w:rFonts w:ascii="Book Antiqua" w:hAnsi="Book Antiqua"/>
          <w:i/>
          <w:iCs/>
          <w:lang w:val="en-US"/>
        </w:rPr>
        <w:t>Hepatol Res</w:t>
      </w:r>
      <w:r w:rsidRPr="00486FA4">
        <w:rPr>
          <w:rFonts w:ascii="Book Antiqua" w:hAnsi="Book Antiqua"/>
          <w:lang w:val="en-US"/>
        </w:rPr>
        <w:t> 2013; </w:t>
      </w:r>
      <w:r w:rsidRPr="00486FA4">
        <w:rPr>
          <w:rFonts w:ascii="Book Antiqua" w:hAnsi="Book Antiqua"/>
          <w:b/>
          <w:bCs/>
          <w:lang w:val="en-US"/>
        </w:rPr>
        <w:t>43</w:t>
      </w:r>
      <w:r w:rsidRPr="00486FA4">
        <w:rPr>
          <w:rFonts w:ascii="Book Antiqua" w:hAnsi="Book Antiqua"/>
          <w:lang w:val="en-US"/>
        </w:rPr>
        <w:t>: 765-774 [PMID: 23163573 DOI: 10.1111/hepr.12008]</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42 </w:t>
      </w:r>
      <w:r w:rsidRPr="00486FA4">
        <w:rPr>
          <w:rFonts w:ascii="Book Antiqua" w:hAnsi="Book Antiqua"/>
          <w:b/>
          <w:bCs/>
          <w:lang w:val="en-US"/>
        </w:rPr>
        <w:t>Yoshiji H</w:t>
      </w:r>
      <w:r w:rsidRPr="00486FA4">
        <w:rPr>
          <w:rFonts w:ascii="Book Antiqua" w:hAnsi="Book Antiqua"/>
          <w:lang w:val="en-US"/>
        </w:rPr>
        <w:t>, Noguchi R, Kaji K, Ikenaka Y, Shirai Y, Namisaki T, Kitade M, Tsujimoto T, Kawaratani H, Fukui H. Attenuation of insulin-resistance-based hepatocarcinogenesis and angiogenesis by combined treatment with branched-chain amino acids and angiotensin-converting enzyme inhibitor in obese diabetic rats. </w:t>
      </w:r>
      <w:r w:rsidRPr="00486FA4">
        <w:rPr>
          <w:rFonts w:ascii="Book Antiqua" w:hAnsi="Book Antiqua"/>
          <w:i/>
          <w:iCs/>
          <w:lang w:val="en-US"/>
        </w:rPr>
        <w:t>J Gastroenterol</w:t>
      </w:r>
      <w:r w:rsidRPr="00486FA4">
        <w:rPr>
          <w:rFonts w:ascii="Book Antiqua" w:hAnsi="Book Antiqua"/>
          <w:lang w:val="en-US"/>
        </w:rPr>
        <w:t> 2010; </w:t>
      </w:r>
      <w:r w:rsidRPr="00486FA4">
        <w:rPr>
          <w:rFonts w:ascii="Book Antiqua" w:hAnsi="Book Antiqua"/>
          <w:b/>
          <w:bCs/>
          <w:lang w:val="en-US"/>
        </w:rPr>
        <w:t>45</w:t>
      </w:r>
      <w:r w:rsidRPr="00486FA4">
        <w:rPr>
          <w:rFonts w:ascii="Book Antiqua" w:hAnsi="Book Antiqua"/>
          <w:lang w:val="en-US"/>
        </w:rPr>
        <w:t>: 443-450 [PMID: 19941011 DOI: 10.1007/s00535-009-0158-z]</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43 </w:t>
      </w:r>
      <w:r w:rsidRPr="00486FA4">
        <w:rPr>
          <w:rFonts w:ascii="Book Antiqua" w:hAnsi="Book Antiqua"/>
          <w:b/>
          <w:bCs/>
          <w:lang w:val="en-US"/>
        </w:rPr>
        <w:t>Oura K</w:t>
      </w:r>
      <w:r w:rsidRPr="00486FA4">
        <w:rPr>
          <w:rFonts w:ascii="Book Antiqua" w:hAnsi="Book Antiqua"/>
          <w:lang w:val="en-US"/>
        </w:rPr>
        <w:t>, Tadokoro T, Fujihara S, Morishita A, Chiyo T, Samukawa E, Yamana Y, Fujita K, Sakamoto T, Nomura T, Yoneyama H, Kobara H, Mori H, Iwama H, Okano K, Suzuki Y, Masaki T. Telmisartan inhibits hepatocellular carcinoma cell proliferation in vitro by inducing cell cycle arrest. </w:t>
      </w:r>
      <w:r w:rsidRPr="00486FA4">
        <w:rPr>
          <w:rFonts w:ascii="Book Antiqua" w:hAnsi="Book Antiqua"/>
          <w:i/>
          <w:iCs/>
          <w:lang w:val="en-US"/>
        </w:rPr>
        <w:t>Oncol Rep</w:t>
      </w:r>
      <w:r w:rsidRPr="00486FA4">
        <w:rPr>
          <w:rFonts w:ascii="Book Antiqua" w:hAnsi="Book Antiqua"/>
          <w:lang w:val="en-US"/>
        </w:rPr>
        <w:t> 2017; </w:t>
      </w:r>
      <w:r w:rsidRPr="00486FA4">
        <w:rPr>
          <w:rFonts w:ascii="Book Antiqua" w:hAnsi="Book Antiqua"/>
          <w:b/>
          <w:bCs/>
          <w:lang w:val="en-US"/>
        </w:rPr>
        <w:t>38</w:t>
      </w:r>
      <w:r w:rsidRPr="00486FA4">
        <w:rPr>
          <w:rFonts w:ascii="Book Antiqua" w:hAnsi="Book Antiqua"/>
          <w:lang w:val="en-US"/>
        </w:rPr>
        <w:t>: 2825-2835 [PMID: 29048654 DOI: 10.3892/or.2017.5977]</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44 </w:t>
      </w:r>
      <w:r w:rsidRPr="00486FA4">
        <w:rPr>
          <w:rFonts w:ascii="Book Antiqua" w:hAnsi="Book Antiqua"/>
          <w:b/>
          <w:bCs/>
          <w:lang w:val="en-US"/>
        </w:rPr>
        <w:t>Santhekadur PK</w:t>
      </w:r>
      <w:r w:rsidRPr="00486FA4">
        <w:rPr>
          <w:rFonts w:ascii="Book Antiqua" w:hAnsi="Book Antiqua"/>
          <w:lang w:val="en-US"/>
        </w:rPr>
        <w:t>, Akiel M, Emdad L, Gredler R, Srivastava J, Rajasekaran D, Robertson CL, Mukhopadhyay ND, Fisher PB, Sarkar D. Staphylococcal nuclease domain containing-1 (SND1) promotes migration and invasion via angiotensin II type 1 receptor (AT1R) and TGFβ signaling. </w:t>
      </w:r>
      <w:r w:rsidRPr="00486FA4">
        <w:rPr>
          <w:rFonts w:ascii="Book Antiqua" w:hAnsi="Book Antiqua"/>
          <w:i/>
          <w:iCs/>
          <w:lang w:val="en-US"/>
        </w:rPr>
        <w:t>FEBS Open Bio</w:t>
      </w:r>
      <w:r w:rsidRPr="00486FA4">
        <w:rPr>
          <w:rFonts w:ascii="Book Antiqua" w:hAnsi="Book Antiqua"/>
          <w:lang w:val="en-US"/>
        </w:rPr>
        <w:t> 2014; </w:t>
      </w:r>
      <w:r w:rsidRPr="00486FA4">
        <w:rPr>
          <w:rFonts w:ascii="Book Antiqua" w:hAnsi="Book Antiqua"/>
          <w:b/>
          <w:bCs/>
          <w:lang w:val="en-US"/>
        </w:rPr>
        <w:t>4</w:t>
      </w:r>
      <w:r w:rsidRPr="00486FA4">
        <w:rPr>
          <w:rFonts w:ascii="Book Antiqua" w:hAnsi="Book Antiqua"/>
          <w:lang w:val="en-US"/>
        </w:rPr>
        <w:t>: 353-361 [PMID: 24918049 DOI: 10.1016/j.fob.2014.03.012]</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45 </w:t>
      </w:r>
      <w:r w:rsidRPr="00486FA4">
        <w:rPr>
          <w:rFonts w:ascii="Book Antiqua" w:hAnsi="Book Antiqua"/>
          <w:b/>
          <w:bCs/>
          <w:lang w:val="en-US"/>
        </w:rPr>
        <w:t>Cook JL</w:t>
      </w:r>
      <w:r w:rsidRPr="00486FA4">
        <w:rPr>
          <w:rFonts w:ascii="Book Antiqua" w:hAnsi="Book Antiqua"/>
          <w:lang w:val="en-US"/>
        </w:rPr>
        <w:t>, Zhang Z, Re RN. In vitro evidence for an intracellular site of angiotensin action. </w:t>
      </w:r>
      <w:r w:rsidRPr="00486FA4">
        <w:rPr>
          <w:rFonts w:ascii="Book Antiqua" w:hAnsi="Book Antiqua"/>
          <w:i/>
          <w:iCs/>
          <w:lang w:val="en-US"/>
        </w:rPr>
        <w:t>Circ Res</w:t>
      </w:r>
      <w:r w:rsidRPr="00486FA4">
        <w:rPr>
          <w:rFonts w:ascii="Book Antiqua" w:hAnsi="Book Antiqua"/>
          <w:lang w:val="en-US"/>
        </w:rPr>
        <w:t> 2001; </w:t>
      </w:r>
      <w:r w:rsidRPr="00486FA4">
        <w:rPr>
          <w:rFonts w:ascii="Book Antiqua" w:hAnsi="Book Antiqua"/>
          <w:b/>
          <w:bCs/>
          <w:lang w:val="en-US"/>
        </w:rPr>
        <w:t>89</w:t>
      </w:r>
      <w:r w:rsidRPr="00486FA4">
        <w:rPr>
          <w:rFonts w:ascii="Book Antiqua" w:hAnsi="Book Antiqua"/>
          <w:lang w:val="en-US"/>
        </w:rPr>
        <w:t>: 1138-1146 [PMID: 11739278]</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46 </w:t>
      </w:r>
      <w:r w:rsidRPr="00486FA4">
        <w:rPr>
          <w:rFonts w:ascii="Book Antiqua" w:hAnsi="Book Antiqua"/>
          <w:b/>
          <w:bCs/>
          <w:lang w:val="en-US"/>
        </w:rPr>
        <w:t>Byrne AM</w:t>
      </w:r>
      <w:r w:rsidRPr="00486FA4">
        <w:rPr>
          <w:rFonts w:ascii="Book Antiqua" w:hAnsi="Book Antiqua"/>
          <w:lang w:val="en-US"/>
        </w:rPr>
        <w:t>, Bouchier-Hayes DJ, Harmey JH. Angiogenic and cell survival functions of vascular endothelial growth factor (VEGF). </w:t>
      </w:r>
      <w:r w:rsidRPr="00486FA4">
        <w:rPr>
          <w:rFonts w:ascii="Book Antiqua" w:hAnsi="Book Antiqua"/>
          <w:i/>
          <w:iCs/>
          <w:lang w:val="en-US"/>
        </w:rPr>
        <w:t>J Cell Mol Med</w:t>
      </w:r>
      <w:r w:rsidRPr="00486FA4">
        <w:rPr>
          <w:rFonts w:ascii="Book Antiqua" w:hAnsi="Book Antiqua"/>
          <w:lang w:val="en-US"/>
        </w:rPr>
        <w:t> 2005; </w:t>
      </w:r>
      <w:r w:rsidRPr="00486FA4">
        <w:rPr>
          <w:rFonts w:ascii="Book Antiqua" w:hAnsi="Book Antiqua"/>
          <w:b/>
          <w:bCs/>
          <w:lang w:val="en-US"/>
        </w:rPr>
        <w:t>9</w:t>
      </w:r>
      <w:r w:rsidRPr="00486FA4">
        <w:rPr>
          <w:rFonts w:ascii="Book Antiqua" w:hAnsi="Book Antiqua"/>
          <w:lang w:val="en-US"/>
        </w:rPr>
        <w:t>: 777-794 [PMID: 16364190]</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47 </w:t>
      </w:r>
      <w:r w:rsidRPr="00486FA4">
        <w:rPr>
          <w:rFonts w:ascii="Book Antiqua" w:hAnsi="Book Antiqua"/>
          <w:b/>
          <w:bCs/>
          <w:lang w:val="en-US"/>
        </w:rPr>
        <w:t>Forsythe JA</w:t>
      </w:r>
      <w:r w:rsidRPr="00486FA4">
        <w:rPr>
          <w:rFonts w:ascii="Book Antiqua" w:hAnsi="Book Antiqua"/>
          <w:lang w:val="en-US"/>
        </w:rPr>
        <w:t>, Jiang BH, Iyer NV, Agani F, Leung SW, Koos RD, Semenza GL. Activation of vascular endothelial growth factor gene transcription by hypoxia-inducible factor 1. </w:t>
      </w:r>
      <w:r w:rsidRPr="00486FA4">
        <w:rPr>
          <w:rFonts w:ascii="Book Antiqua" w:hAnsi="Book Antiqua"/>
          <w:i/>
          <w:iCs/>
          <w:lang w:val="en-US"/>
        </w:rPr>
        <w:t>Mol Cell Biol</w:t>
      </w:r>
      <w:r w:rsidRPr="00486FA4">
        <w:rPr>
          <w:rFonts w:ascii="Book Antiqua" w:hAnsi="Book Antiqua"/>
          <w:lang w:val="en-US"/>
        </w:rPr>
        <w:t> 1996; </w:t>
      </w:r>
      <w:r w:rsidRPr="00486FA4">
        <w:rPr>
          <w:rFonts w:ascii="Book Antiqua" w:hAnsi="Book Antiqua"/>
          <w:b/>
          <w:bCs/>
          <w:lang w:val="en-US"/>
        </w:rPr>
        <w:t>16</w:t>
      </w:r>
      <w:r w:rsidRPr="00486FA4">
        <w:rPr>
          <w:rFonts w:ascii="Book Antiqua" w:hAnsi="Book Antiqua"/>
          <w:lang w:val="en-US"/>
        </w:rPr>
        <w:t>: 4604-4613 [PMID: 8756616]</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48 </w:t>
      </w:r>
      <w:r w:rsidRPr="00486FA4">
        <w:rPr>
          <w:rFonts w:ascii="Book Antiqua" w:hAnsi="Book Antiqua"/>
          <w:b/>
          <w:bCs/>
          <w:lang w:val="en-US"/>
        </w:rPr>
        <w:t>Pusztaszeri MP</w:t>
      </w:r>
      <w:r w:rsidRPr="00486FA4">
        <w:rPr>
          <w:rFonts w:ascii="Book Antiqua" w:hAnsi="Book Antiqua"/>
          <w:lang w:val="en-US"/>
        </w:rPr>
        <w:t>, Seelentag W, Bosman FT. Immunohistochemical expression of endothelial markers CD31, CD34, von Willebrand factor, and Fli-1 in normal human tissues. </w:t>
      </w:r>
      <w:r w:rsidRPr="00486FA4">
        <w:rPr>
          <w:rFonts w:ascii="Book Antiqua" w:hAnsi="Book Antiqua"/>
          <w:i/>
          <w:iCs/>
          <w:lang w:val="en-US"/>
        </w:rPr>
        <w:t>J Histochem Cytochem</w:t>
      </w:r>
      <w:r w:rsidRPr="00486FA4">
        <w:rPr>
          <w:rFonts w:ascii="Book Antiqua" w:hAnsi="Book Antiqua"/>
          <w:lang w:val="en-US"/>
        </w:rPr>
        <w:t> 2006; </w:t>
      </w:r>
      <w:r w:rsidRPr="00486FA4">
        <w:rPr>
          <w:rFonts w:ascii="Book Antiqua" w:hAnsi="Book Antiqua"/>
          <w:b/>
          <w:bCs/>
          <w:lang w:val="en-US"/>
        </w:rPr>
        <w:t>54</w:t>
      </w:r>
      <w:r w:rsidRPr="00486FA4">
        <w:rPr>
          <w:rFonts w:ascii="Book Antiqua" w:hAnsi="Book Antiqua"/>
          <w:lang w:val="en-US"/>
        </w:rPr>
        <w:t>: 385-395 [PMID: 16234507 DOI: 10.1369/jhc.4A6514.2005]</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49 </w:t>
      </w:r>
      <w:r w:rsidRPr="00486FA4">
        <w:rPr>
          <w:rFonts w:ascii="Book Antiqua" w:hAnsi="Book Antiqua"/>
          <w:b/>
          <w:bCs/>
          <w:lang w:val="en-US"/>
        </w:rPr>
        <w:t>Lee H</w:t>
      </w:r>
      <w:r w:rsidRPr="00486FA4">
        <w:rPr>
          <w:rFonts w:ascii="Book Antiqua" w:hAnsi="Book Antiqua"/>
          <w:lang w:val="en-US"/>
        </w:rPr>
        <w:t xml:space="preserve">, Kang KT. Advanced tube formation assay using human endothelial colony forming cells for </w:t>
      </w:r>
      <w:r w:rsidRPr="00357D80">
        <w:rPr>
          <w:rFonts w:ascii="Book Antiqua" w:hAnsi="Book Antiqua"/>
          <w:i/>
          <w:lang w:val="en-US"/>
        </w:rPr>
        <w:t>in vitro</w:t>
      </w:r>
      <w:r w:rsidRPr="00486FA4">
        <w:rPr>
          <w:rFonts w:ascii="Book Antiqua" w:hAnsi="Book Antiqua"/>
          <w:lang w:val="en-US"/>
        </w:rPr>
        <w:t xml:space="preserve"> evaluation of angiogenesis. </w:t>
      </w:r>
      <w:r w:rsidRPr="00486FA4">
        <w:rPr>
          <w:rFonts w:ascii="Book Antiqua" w:hAnsi="Book Antiqua"/>
          <w:i/>
          <w:iCs/>
          <w:lang w:val="en-US"/>
        </w:rPr>
        <w:t>Korean J Physiol Pharmacol</w:t>
      </w:r>
      <w:r w:rsidR="00357D80">
        <w:rPr>
          <w:rFonts w:ascii="Book Antiqua" w:hAnsi="Book Antiqua"/>
          <w:i/>
          <w:iCs/>
          <w:lang w:val="en-US"/>
        </w:rPr>
        <w:t xml:space="preserve"> </w:t>
      </w:r>
      <w:r w:rsidRPr="00486FA4">
        <w:rPr>
          <w:rFonts w:ascii="Book Antiqua" w:hAnsi="Book Antiqua"/>
          <w:lang w:val="en-US"/>
        </w:rPr>
        <w:t>2018; </w:t>
      </w:r>
      <w:r w:rsidRPr="00486FA4">
        <w:rPr>
          <w:rFonts w:ascii="Book Antiqua" w:hAnsi="Book Antiqua"/>
          <w:b/>
          <w:bCs/>
          <w:lang w:val="en-US"/>
        </w:rPr>
        <w:t>22</w:t>
      </w:r>
      <w:r w:rsidRPr="00486FA4">
        <w:rPr>
          <w:rFonts w:ascii="Book Antiqua" w:hAnsi="Book Antiqua"/>
          <w:lang w:val="en-US"/>
        </w:rPr>
        <w:t>: 705-712 [PMID: 30402031 DOI: 10.4196/kjpp.2018.22.6.705]</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50 </w:t>
      </w:r>
      <w:r w:rsidRPr="00486FA4">
        <w:rPr>
          <w:rFonts w:ascii="Book Antiqua" w:hAnsi="Book Antiqua"/>
          <w:b/>
          <w:bCs/>
          <w:lang w:val="en-US"/>
        </w:rPr>
        <w:t>Ozeki K</w:t>
      </w:r>
      <w:r w:rsidRPr="00486FA4">
        <w:rPr>
          <w:rFonts w:ascii="Book Antiqua" w:hAnsi="Book Antiqua"/>
          <w:lang w:val="en-US"/>
        </w:rPr>
        <w:t>, Tanida S, Morimoto C, Inoue Y, Mizoshita T, Tsukamoto H, Shimura T, Kataoka H, Kamiya T, Nishiwaki E, Ishiguro H, Higashiyama S, Joh T. Telmisartan inhibits cell proliferation by blocking nuclear translocation of ProHB-EGF C-terminal fragment in colon cancer cells. </w:t>
      </w:r>
      <w:r w:rsidRPr="00486FA4">
        <w:rPr>
          <w:rFonts w:ascii="Book Antiqua" w:hAnsi="Book Antiqua"/>
          <w:i/>
          <w:iCs/>
          <w:lang w:val="en-US"/>
        </w:rPr>
        <w:t>PLoS One</w:t>
      </w:r>
      <w:r w:rsidRPr="00486FA4">
        <w:rPr>
          <w:rFonts w:ascii="Book Antiqua" w:hAnsi="Book Antiqua"/>
          <w:lang w:val="en-US"/>
        </w:rPr>
        <w:t> 2013; </w:t>
      </w:r>
      <w:r w:rsidRPr="00486FA4">
        <w:rPr>
          <w:rFonts w:ascii="Book Antiqua" w:hAnsi="Book Antiqua"/>
          <w:b/>
          <w:bCs/>
          <w:lang w:val="en-US"/>
        </w:rPr>
        <w:t>8</w:t>
      </w:r>
      <w:r w:rsidRPr="00486FA4">
        <w:rPr>
          <w:rFonts w:ascii="Book Antiqua" w:hAnsi="Book Antiqua"/>
          <w:lang w:val="en-US"/>
        </w:rPr>
        <w:t>: e56770 [PMID: 23451083 DOI: 10.1371/journal.pone.0056770]</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51 </w:t>
      </w:r>
      <w:r w:rsidRPr="00486FA4">
        <w:rPr>
          <w:rFonts w:ascii="Book Antiqua" w:hAnsi="Book Antiqua"/>
          <w:b/>
          <w:bCs/>
          <w:lang w:val="en-US"/>
        </w:rPr>
        <w:t>Deshayes F</w:t>
      </w:r>
      <w:r w:rsidRPr="00486FA4">
        <w:rPr>
          <w:rFonts w:ascii="Book Antiqua" w:hAnsi="Book Antiqua"/>
          <w:lang w:val="en-US"/>
        </w:rPr>
        <w:t>, Nahmias C. Angiotensin receptors: a new role in cancer? </w:t>
      </w:r>
      <w:r w:rsidRPr="00486FA4">
        <w:rPr>
          <w:rFonts w:ascii="Book Antiqua" w:hAnsi="Book Antiqua"/>
          <w:i/>
          <w:iCs/>
          <w:lang w:val="en-US"/>
        </w:rPr>
        <w:t>Trends Endocrinol Metab</w:t>
      </w:r>
      <w:r w:rsidRPr="00486FA4">
        <w:rPr>
          <w:rFonts w:ascii="Book Antiqua" w:hAnsi="Book Antiqua"/>
          <w:lang w:val="en-US"/>
        </w:rPr>
        <w:t> 2005; </w:t>
      </w:r>
      <w:r w:rsidRPr="00486FA4">
        <w:rPr>
          <w:rFonts w:ascii="Book Antiqua" w:hAnsi="Book Antiqua"/>
          <w:b/>
          <w:bCs/>
          <w:lang w:val="en-US"/>
        </w:rPr>
        <w:t>16</w:t>
      </w:r>
      <w:r w:rsidRPr="00486FA4">
        <w:rPr>
          <w:rFonts w:ascii="Book Antiqua" w:hAnsi="Book Antiqua"/>
          <w:lang w:val="en-US"/>
        </w:rPr>
        <w:t>: 293-299 [PMID: 16061390 DOI: 10.1016/j.tem.2005.07.009]</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52 </w:t>
      </w:r>
      <w:r w:rsidRPr="00486FA4">
        <w:rPr>
          <w:rFonts w:ascii="Book Antiqua" w:hAnsi="Book Antiqua"/>
          <w:b/>
          <w:bCs/>
          <w:lang w:val="en-US"/>
        </w:rPr>
        <w:t>Barone M</w:t>
      </w:r>
      <w:r w:rsidRPr="00486FA4">
        <w:rPr>
          <w:rFonts w:ascii="Book Antiqua" w:hAnsi="Book Antiqua"/>
          <w:lang w:val="en-US"/>
        </w:rPr>
        <w:t>, Scavo MP, Maiorano E, Di Leo A, Francavilla A. Bone marrow-derived stem cells and hepatocarcinogenesis in hepatitis B virus transgenic mice. </w:t>
      </w:r>
      <w:r w:rsidRPr="00486FA4">
        <w:rPr>
          <w:rFonts w:ascii="Book Antiqua" w:hAnsi="Book Antiqua"/>
          <w:i/>
          <w:iCs/>
          <w:lang w:val="en-US"/>
        </w:rPr>
        <w:t>Dig Liver Dis</w:t>
      </w:r>
      <w:r w:rsidRPr="00486FA4">
        <w:rPr>
          <w:rFonts w:ascii="Book Antiqua" w:hAnsi="Book Antiqua"/>
          <w:lang w:val="en-US"/>
        </w:rPr>
        <w:t> 2014; </w:t>
      </w:r>
      <w:r w:rsidRPr="00486FA4">
        <w:rPr>
          <w:rFonts w:ascii="Book Antiqua" w:hAnsi="Book Antiqua"/>
          <w:b/>
          <w:bCs/>
          <w:lang w:val="en-US"/>
        </w:rPr>
        <w:t>46</w:t>
      </w:r>
      <w:r w:rsidRPr="00486FA4">
        <w:rPr>
          <w:rFonts w:ascii="Book Antiqua" w:hAnsi="Book Antiqua"/>
          <w:lang w:val="en-US"/>
        </w:rPr>
        <w:t>: 243-250 [PMID: 24286758 DOI: 10.1016/j.dld.2013.10.008]</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53 </w:t>
      </w:r>
      <w:r w:rsidRPr="00486FA4">
        <w:rPr>
          <w:rFonts w:ascii="Book Antiqua" w:hAnsi="Book Antiqua"/>
          <w:b/>
          <w:bCs/>
          <w:lang w:val="en-US"/>
        </w:rPr>
        <w:t>Barone M</w:t>
      </w:r>
      <w:r w:rsidRPr="00486FA4">
        <w:rPr>
          <w:rFonts w:ascii="Book Antiqua" w:hAnsi="Book Antiqua"/>
          <w:lang w:val="en-US"/>
        </w:rPr>
        <w:t>, Spano D, D'Apolito M, Centra M, Lasalandra C, Capasso M, Di Leo A, Volinia S, Arcelli D, Rosso N, Francavilla A, Tiribelli C, Iolascon A. Gene expression analysis in HBV transgenic mouse liver: a model to study early events related to hepatocarcinogenesis. </w:t>
      </w:r>
      <w:r w:rsidRPr="00486FA4">
        <w:rPr>
          <w:rFonts w:ascii="Book Antiqua" w:hAnsi="Book Antiqua"/>
          <w:i/>
          <w:iCs/>
          <w:lang w:val="en-US"/>
        </w:rPr>
        <w:t>Mol Med</w:t>
      </w:r>
      <w:r w:rsidRPr="00486FA4">
        <w:rPr>
          <w:rFonts w:ascii="Book Antiqua" w:hAnsi="Book Antiqua"/>
          <w:lang w:val="en-US"/>
        </w:rPr>
        <w:t> 2006; </w:t>
      </w:r>
      <w:r w:rsidRPr="00486FA4">
        <w:rPr>
          <w:rFonts w:ascii="Book Antiqua" w:hAnsi="Book Antiqua"/>
          <w:b/>
          <w:bCs/>
          <w:lang w:val="en-US"/>
        </w:rPr>
        <w:t>12</w:t>
      </w:r>
      <w:r w:rsidRPr="00486FA4">
        <w:rPr>
          <w:rFonts w:ascii="Book Antiqua" w:hAnsi="Book Antiqua"/>
          <w:lang w:val="en-US"/>
        </w:rPr>
        <w:t>: 115-123 [PMID: 16953557 DOI: 10.2119/2006-00015.Barone]</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54 </w:t>
      </w:r>
      <w:r w:rsidRPr="00486FA4">
        <w:rPr>
          <w:rFonts w:ascii="Book Antiqua" w:hAnsi="Book Antiqua"/>
          <w:b/>
          <w:bCs/>
          <w:lang w:val="en-US"/>
        </w:rPr>
        <w:t>Barone M</w:t>
      </w:r>
      <w:r w:rsidRPr="00486FA4">
        <w:rPr>
          <w:rFonts w:ascii="Book Antiqua" w:hAnsi="Book Antiqua"/>
          <w:lang w:val="en-US"/>
        </w:rPr>
        <w:t>, Notarnicola M, Caruso MG, Scavo MP, Viggiani MT, Tutino V, Polimeno L, Pesetti B, Di Leo A, Francavilla A. Olive oil and omega-3 polyunsaturated fatty acids suppress intestinal polyp growth by modulating the apoptotic process in ApcMin/+ mice. </w:t>
      </w:r>
      <w:r w:rsidRPr="00486FA4">
        <w:rPr>
          <w:rFonts w:ascii="Book Antiqua" w:hAnsi="Book Antiqua"/>
          <w:i/>
          <w:iCs/>
          <w:lang w:val="en-US"/>
        </w:rPr>
        <w:t>Carcinogenesis</w:t>
      </w:r>
      <w:r w:rsidRPr="00486FA4">
        <w:rPr>
          <w:rFonts w:ascii="Book Antiqua" w:hAnsi="Book Antiqua"/>
          <w:lang w:val="en-US"/>
        </w:rPr>
        <w:t> 2014; </w:t>
      </w:r>
      <w:r w:rsidRPr="00486FA4">
        <w:rPr>
          <w:rFonts w:ascii="Book Antiqua" w:hAnsi="Book Antiqua"/>
          <w:b/>
          <w:bCs/>
          <w:lang w:val="en-US"/>
        </w:rPr>
        <w:t>35</w:t>
      </w:r>
      <w:r w:rsidRPr="00486FA4">
        <w:rPr>
          <w:rFonts w:ascii="Book Antiqua" w:hAnsi="Book Antiqua"/>
          <w:lang w:val="en-US"/>
        </w:rPr>
        <w:t>: 1613-1619 [PMID: 24632492 DOI: 10.1093/carcin/bgu068]</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55 </w:t>
      </w:r>
      <w:r w:rsidRPr="00486FA4">
        <w:rPr>
          <w:rFonts w:ascii="Book Antiqua" w:hAnsi="Book Antiqua"/>
          <w:b/>
          <w:bCs/>
          <w:lang w:val="en-US"/>
        </w:rPr>
        <w:t>Ng KKC</w:t>
      </w:r>
      <w:r w:rsidRPr="00486FA4">
        <w:rPr>
          <w:rFonts w:ascii="Book Antiqua" w:hAnsi="Book Antiqua"/>
          <w:lang w:val="en-US"/>
        </w:rPr>
        <w:t>, Chok KSH, Chan ACY, Cheung TT, Wong TCL, Fung JYY, Yuen J, Poon RTP, Fan ST, Lo CM. Randomized clinical trial of hepatic resection versus radiofrequency ablation for early-stage hepatocellular carcinoma. </w:t>
      </w:r>
      <w:r w:rsidRPr="00486FA4">
        <w:rPr>
          <w:rFonts w:ascii="Book Antiqua" w:hAnsi="Book Antiqua"/>
          <w:i/>
          <w:iCs/>
          <w:lang w:val="en-US"/>
        </w:rPr>
        <w:t>Br J Surg</w:t>
      </w:r>
      <w:r w:rsidRPr="00486FA4">
        <w:rPr>
          <w:rFonts w:ascii="Book Antiqua" w:hAnsi="Book Antiqua"/>
          <w:lang w:val="en-US"/>
        </w:rPr>
        <w:t> 2017; </w:t>
      </w:r>
      <w:r w:rsidRPr="00486FA4">
        <w:rPr>
          <w:rFonts w:ascii="Book Antiqua" w:hAnsi="Book Antiqua"/>
          <w:b/>
          <w:bCs/>
          <w:lang w:val="en-US"/>
        </w:rPr>
        <w:t>104</w:t>
      </w:r>
      <w:r w:rsidRPr="00486FA4">
        <w:rPr>
          <w:rFonts w:ascii="Book Antiqua" w:hAnsi="Book Antiqua"/>
          <w:lang w:val="en-US"/>
        </w:rPr>
        <w:t>: 1775-1784 [PMID: 29091283 DOI: 10.1002/bjs.10677]</w:t>
      </w:r>
    </w:p>
    <w:p w:rsidR="00486FA4" w:rsidRPr="00486FA4" w:rsidRDefault="00486FA4" w:rsidP="00486FA4">
      <w:pPr>
        <w:pStyle w:val="Paragrafoelenco1"/>
        <w:adjustRightInd w:val="0"/>
        <w:snapToGrid w:val="0"/>
        <w:spacing w:line="360" w:lineRule="auto"/>
        <w:ind w:left="0" w:right="0"/>
        <w:rPr>
          <w:rFonts w:ascii="Book Antiqua" w:hAnsi="Book Antiqua"/>
          <w:lang w:val="en-US"/>
        </w:rPr>
      </w:pPr>
      <w:r w:rsidRPr="00486FA4">
        <w:rPr>
          <w:rFonts w:ascii="Book Antiqua" w:hAnsi="Book Antiqua"/>
          <w:lang w:val="en-US"/>
        </w:rPr>
        <w:t>56 </w:t>
      </w:r>
      <w:r w:rsidRPr="00486FA4">
        <w:rPr>
          <w:rFonts w:ascii="Book Antiqua" w:hAnsi="Book Antiqua"/>
          <w:b/>
          <w:bCs/>
          <w:lang w:val="en-US"/>
        </w:rPr>
        <w:t>Petta S</w:t>
      </w:r>
      <w:r w:rsidRPr="00486FA4">
        <w:rPr>
          <w:rFonts w:ascii="Book Antiqua" w:hAnsi="Book Antiqua"/>
          <w:lang w:val="en-US"/>
        </w:rPr>
        <w:t>, Cabibbo G, Barbara M, Attardo S, Bucci L, Farinati F, Giannini EG, Tovoli F, Ciccarese F, Rapaccini GL, Di Marco M, Caturelli E, Zoli M, Borzio F, Sacco R, Virdone R, Marra F, Felder M, Morisco F, Benvegnù L, Gasbarrini A, Svegliati-Baroni G, Foschi FG, Olivani A, Masotto A, Nardone G, Colecchia A, Persico M, Boccaccio V, Craxì A, Bruno S, Trevisani F, Cammà C; Italian Liver Cancer (ITA.LI.CA) Group. Hepatocellular carcinoma recurrence in patients with curative resection or ablation: impact of HCV eradication does not depend on the use of interferon. </w:t>
      </w:r>
      <w:r w:rsidRPr="00486FA4">
        <w:rPr>
          <w:rFonts w:ascii="Book Antiqua" w:hAnsi="Book Antiqua"/>
          <w:i/>
          <w:iCs/>
          <w:lang w:val="en-US"/>
        </w:rPr>
        <w:t>Aliment Pharmacol Ther</w:t>
      </w:r>
      <w:r w:rsidRPr="00486FA4">
        <w:rPr>
          <w:rFonts w:ascii="Book Antiqua" w:hAnsi="Book Antiqua"/>
          <w:lang w:val="en-US"/>
        </w:rPr>
        <w:t> 2017; </w:t>
      </w:r>
      <w:r w:rsidRPr="00486FA4">
        <w:rPr>
          <w:rFonts w:ascii="Book Antiqua" w:hAnsi="Book Antiqua"/>
          <w:b/>
          <w:bCs/>
          <w:lang w:val="en-US"/>
        </w:rPr>
        <w:t>45</w:t>
      </w:r>
      <w:r w:rsidRPr="00486FA4">
        <w:rPr>
          <w:rFonts w:ascii="Book Antiqua" w:hAnsi="Book Antiqua"/>
          <w:lang w:val="en-US"/>
        </w:rPr>
        <w:t>: 160-168 [PMID: 27790734 DOI: 10.1111/apt.13821]</w:t>
      </w:r>
    </w:p>
    <w:p w:rsidR="00DB545A" w:rsidRPr="00786942" w:rsidRDefault="00DB545A" w:rsidP="009F6375">
      <w:pPr>
        <w:pStyle w:val="Paragrafoelenco1"/>
        <w:adjustRightInd w:val="0"/>
        <w:snapToGrid w:val="0"/>
        <w:spacing w:line="360" w:lineRule="auto"/>
        <w:ind w:left="0" w:right="0"/>
        <w:rPr>
          <w:rFonts w:ascii="Book Antiqua" w:hAnsi="Book Antiqua"/>
          <w:lang w:val="en-US"/>
        </w:rPr>
      </w:pPr>
    </w:p>
    <w:p w:rsidR="00357D80" w:rsidRPr="00357D80" w:rsidRDefault="00357D80" w:rsidP="00357D80">
      <w:pPr>
        <w:wordWrap w:val="0"/>
        <w:snapToGrid w:val="0"/>
        <w:spacing w:line="360" w:lineRule="auto"/>
        <w:ind w:right="0"/>
        <w:jc w:val="right"/>
        <w:rPr>
          <w:rFonts w:ascii="Book Antiqua" w:eastAsia="宋体" w:hAnsi="Book Antiqua"/>
          <w:b/>
          <w:bCs/>
          <w:lang w:val="en-US" w:eastAsia="zh-CN"/>
        </w:rPr>
      </w:pPr>
      <w:bookmarkStart w:id="70" w:name="OLE_LINK148"/>
      <w:bookmarkStart w:id="71" w:name="OLE_LINK320"/>
      <w:bookmarkStart w:id="72" w:name="OLE_LINK387"/>
      <w:bookmarkStart w:id="73" w:name="OLE_LINK254"/>
      <w:bookmarkStart w:id="74" w:name="OLE_LINK149"/>
      <w:bookmarkStart w:id="75" w:name="OLE_LINK225"/>
      <w:bookmarkStart w:id="76" w:name="OLE_LINK207"/>
      <w:bookmarkStart w:id="77" w:name="OLE_LINK226"/>
      <w:bookmarkStart w:id="78" w:name="OLE_LINK212"/>
      <w:bookmarkStart w:id="79" w:name="OLE_LINK250"/>
      <w:bookmarkStart w:id="80" w:name="OLE_LINK281"/>
      <w:bookmarkStart w:id="81" w:name="OLE_LINK282"/>
      <w:bookmarkStart w:id="82" w:name="OLE_LINK313"/>
      <w:bookmarkStart w:id="83" w:name="OLE_LINK304"/>
      <w:bookmarkStart w:id="84" w:name="OLE_LINK321"/>
      <w:bookmarkStart w:id="85" w:name="OLE_LINK385"/>
      <w:bookmarkStart w:id="86" w:name="OLE_LINK400"/>
      <w:bookmarkStart w:id="87" w:name="OLE_LINK346"/>
      <w:bookmarkStart w:id="88" w:name="OLE_LINK371"/>
      <w:bookmarkStart w:id="89" w:name="OLE_LINK334"/>
      <w:bookmarkStart w:id="90" w:name="OLE_LINK1830"/>
      <w:bookmarkStart w:id="91" w:name="OLE_LINK457"/>
      <w:bookmarkStart w:id="92" w:name="OLE_LINK288"/>
      <w:bookmarkStart w:id="93" w:name="OLE_LINK384"/>
      <w:bookmarkStart w:id="94" w:name="OLE_LINK379"/>
      <w:bookmarkStart w:id="95" w:name="OLE_LINK303"/>
      <w:bookmarkStart w:id="96" w:name="OLE_LINK450"/>
      <w:bookmarkStart w:id="97" w:name="OLE_LINK489"/>
      <w:bookmarkStart w:id="98" w:name="OLE_LINK535"/>
      <w:bookmarkStart w:id="99" w:name="OLE_LINK648"/>
      <w:bookmarkStart w:id="100" w:name="OLE_LINK686"/>
      <w:bookmarkStart w:id="101" w:name="OLE_LINK471"/>
      <w:bookmarkStart w:id="102" w:name="OLE_LINK462"/>
      <w:bookmarkStart w:id="103" w:name="OLE_LINK519"/>
      <w:bookmarkStart w:id="104" w:name="OLE_LINK575"/>
      <w:bookmarkStart w:id="105" w:name="OLE_LINK491"/>
      <w:bookmarkStart w:id="106" w:name="OLE_LINK532"/>
      <w:bookmarkStart w:id="107" w:name="OLE_LINK572"/>
      <w:bookmarkStart w:id="108" w:name="OLE_LINK574"/>
      <w:bookmarkStart w:id="109" w:name="OLE_LINK480"/>
      <w:bookmarkStart w:id="110" w:name="OLE_LINK567"/>
      <w:bookmarkStart w:id="111" w:name="OLE_LINK2700"/>
      <w:bookmarkStart w:id="112" w:name="OLE_LINK581"/>
      <w:bookmarkStart w:id="113" w:name="OLE_LINK639"/>
      <w:bookmarkStart w:id="114" w:name="OLE_LINK688"/>
      <w:bookmarkStart w:id="115" w:name="OLE_LINK722"/>
      <w:bookmarkStart w:id="116" w:name="OLE_LINK542"/>
      <w:bookmarkStart w:id="117" w:name="OLE_LINK589"/>
      <w:bookmarkStart w:id="118" w:name="OLE_LINK582"/>
      <w:bookmarkStart w:id="119" w:name="OLE_LINK640"/>
      <w:bookmarkStart w:id="120" w:name="OLE_LINK714"/>
      <w:bookmarkStart w:id="121" w:name="OLE_LINK593"/>
      <w:bookmarkStart w:id="122" w:name="OLE_LINK716"/>
      <w:bookmarkStart w:id="123" w:name="OLE_LINK770"/>
      <w:bookmarkStart w:id="124" w:name="OLE_LINK801"/>
      <w:bookmarkStart w:id="125" w:name="OLE_LINK781"/>
      <w:bookmarkStart w:id="126" w:name="OLE_LINK833"/>
      <w:bookmarkStart w:id="127" w:name="OLE_LINK642"/>
      <w:bookmarkStart w:id="128" w:name="OLE_LINK700"/>
      <w:bookmarkStart w:id="129" w:name="OLE_LINK792"/>
      <w:bookmarkStart w:id="130" w:name="OLE_LINK2882"/>
      <w:bookmarkStart w:id="131" w:name="OLE_LINK836"/>
      <w:bookmarkStart w:id="132" w:name="OLE_LINK889"/>
      <w:bookmarkStart w:id="133" w:name="OLE_LINK782"/>
      <w:bookmarkStart w:id="134" w:name="OLE_LINK826"/>
      <w:bookmarkStart w:id="135" w:name="OLE_LINK865"/>
      <w:bookmarkStart w:id="136" w:name="OLE_LINK856"/>
      <w:bookmarkStart w:id="137" w:name="OLE_LINK908"/>
      <w:bookmarkStart w:id="138" w:name="OLE_LINK980"/>
      <w:bookmarkStart w:id="139" w:name="OLE_LINK1018"/>
      <w:bookmarkStart w:id="140" w:name="OLE_LINK1049"/>
      <w:bookmarkStart w:id="141" w:name="OLE_LINK1076"/>
      <w:bookmarkStart w:id="142" w:name="OLE_LINK1106"/>
      <w:bookmarkStart w:id="143" w:name="OLE_LINK891"/>
      <w:bookmarkStart w:id="144" w:name="OLE_LINK943"/>
      <w:bookmarkStart w:id="145" w:name="OLE_LINK981"/>
      <w:bookmarkStart w:id="146" w:name="OLE_LINK1030"/>
      <w:bookmarkStart w:id="147" w:name="OLE_LINK847"/>
      <w:bookmarkStart w:id="148" w:name="OLE_LINK909"/>
      <w:bookmarkStart w:id="149" w:name="OLE_LINK906"/>
      <w:bookmarkStart w:id="150" w:name="OLE_LINK992"/>
      <w:bookmarkStart w:id="151" w:name="OLE_LINK993"/>
      <w:bookmarkStart w:id="152" w:name="OLE_LINK1052"/>
      <w:bookmarkStart w:id="153" w:name="OLE_LINK946"/>
      <w:bookmarkStart w:id="154" w:name="OLE_LINK911"/>
      <w:bookmarkStart w:id="155" w:name="OLE_LINK930"/>
      <w:bookmarkStart w:id="156" w:name="OLE_LINK1059"/>
      <w:bookmarkStart w:id="157" w:name="OLE_LINK1174"/>
      <w:bookmarkStart w:id="158" w:name="OLE_LINK1137"/>
      <w:bookmarkStart w:id="159" w:name="OLE_LINK1167"/>
      <w:bookmarkStart w:id="160" w:name="OLE_LINK1200"/>
      <w:bookmarkStart w:id="161" w:name="OLE_LINK1241"/>
      <w:bookmarkStart w:id="162" w:name="OLE_LINK1288"/>
      <w:bookmarkStart w:id="163" w:name="OLE_LINK1056"/>
      <w:bookmarkStart w:id="164" w:name="OLE_LINK1158"/>
      <w:bookmarkStart w:id="165" w:name="OLE_LINK1175"/>
      <w:bookmarkStart w:id="166" w:name="OLE_LINK1074"/>
      <w:bookmarkStart w:id="167" w:name="OLE_LINK1169"/>
      <w:bookmarkStart w:id="168" w:name="OLE_LINK52"/>
      <w:bookmarkStart w:id="169" w:name="OLE_LINK57"/>
      <w:bookmarkStart w:id="170" w:name="OLE_LINK33"/>
      <w:bookmarkStart w:id="171" w:name="OLE_LINK34"/>
      <w:bookmarkStart w:id="172" w:name="OLE_LINK386"/>
      <w:bookmarkStart w:id="173" w:name="OLE_LINK164"/>
      <w:bookmarkStart w:id="174" w:name="OLE_LINK580"/>
      <w:bookmarkStart w:id="175" w:name="OLE_LINK637"/>
      <w:r w:rsidRPr="00357D80">
        <w:rPr>
          <w:rFonts w:ascii="Book Antiqua" w:eastAsia="宋体" w:hAnsi="Book Antiqua"/>
          <w:b/>
          <w:bCs/>
          <w:lang w:val="en-US" w:eastAsia="zh-CN"/>
        </w:rPr>
        <w:t>P-Reviewer:</w:t>
      </w:r>
      <w:r w:rsidRPr="00357D80">
        <w:rPr>
          <w:rFonts w:ascii="Book Antiqua" w:eastAsia="宋体" w:hAnsi="Book Antiqua" w:hint="eastAsia"/>
          <w:b/>
          <w:bCs/>
          <w:lang w:val="en-US" w:eastAsia="zh-CN"/>
        </w:rPr>
        <w:t xml:space="preserve"> </w:t>
      </w:r>
      <w:r>
        <w:rPr>
          <w:rFonts w:ascii="Book Antiqua" w:eastAsia="宋体" w:hAnsi="Book Antiqua"/>
          <w:bCs/>
          <w:lang w:val="en-US" w:eastAsia="zh-CN"/>
        </w:rPr>
        <w:t>Ikura Y, Ocker M, Streba LAM</w:t>
      </w:r>
    </w:p>
    <w:p w:rsidR="00357D80" w:rsidRPr="00357D80" w:rsidRDefault="00357D80" w:rsidP="00740233">
      <w:pPr>
        <w:wordWrap w:val="0"/>
        <w:snapToGrid w:val="0"/>
        <w:spacing w:line="360" w:lineRule="auto"/>
        <w:ind w:right="0"/>
        <w:jc w:val="right"/>
        <w:rPr>
          <w:rFonts w:ascii="Book Antiqua" w:eastAsia="宋体" w:hAnsi="Book Antiqua"/>
          <w:lang w:val="en-US" w:eastAsia="zh-CN"/>
        </w:rPr>
      </w:pPr>
      <w:r w:rsidRPr="00357D80">
        <w:rPr>
          <w:rFonts w:ascii="Book Antiqua" w:eastAsia="宋体" w:hAnsi="Book Antiqua"/>
          <w:b/>
          <w:bCs/>
          <w:lang w:val="en-US" w:eastAsia="zh-CN"/>
        </w:rPr>
        <w:t>S-Editor:</w:t>
      </w:r>
      <w:r w:rsidRPr="00357D80">
        <w:rPr>
          <w:rFonts w:ascii="Book Antiqua" w:eastAsia="宋体" w:hAnsi="Book Antiqua" w:hint="eastAsia"/>
          <w:lang w:val="en-US" w:eastAsia="zh-CN"/>
        </w:rPr>
        <w:t xml:space="preserve"> </w:t>
      </w:r>
      <w:r w:rsidRPr="00357D80">
        <w:rPr>
          <w:rFonts w:ascii="Book Antiqua" w:eastAsia="宋体" w:hAnsi="Book Antiqua"/>
          <w:lang w:val="en-US" w:eastAsia="zh-CN"/>
        </w:rPr>
        <w:t>Ma</w:t>
      </w:r>
      <w:r w:rsidRPr="00357D80">
        <w:rPr>
          <w:rFonts w:ascii="Book Antiqua" w:eastAsia="宋体" w:hAnsi="Book Antiqua" w:hint="eastAsia"/>
          <w:lang w:val="en-US" w:eastAsia="zh-CN"/>
        </w:rPr>
        <w:t xml:space="preserve"> </w:t>
      </w:r>
      <w:r w:rsidRPr="00357D80">
        <w:rPr>
          <w:rFonts w:ascii="Book Antiqua" w:eastAsia="宋体" w:hAnsi="Book Antiqua"/>
          <w:lang w:val="en-US" w:eastAsia="zh-CN"/>
        </w:rPr>
        <w:t>RY</w:t>
      </w:r>
      <w:r w:rsidRPr="00357D80">
        <w:rPr>
          <w:rFonts w:ascii="Book Antiqua" w:eastAsia="宋体" w:hAnsi="Book Antiqua" w:hint="eastAsia"/>
          <w:lang w:val="en-US" w:eastAsia="zh-CN"/>
        </w:rPr>
        <w:t xml:space="preserve"> </w:t>
      </w:r>
      <w:r w:rsidRPr="00357D80">
        <w:rPr>
          <w:rFonts w:ascii="Book Antiqua" w:eastAsia="宋体" w:hAnsi="Book Antiqua"/>
          <w:b/>
          <w:bCs/>
          <w:lang w:val="en-US" w:eastAsia="zh-CN"/>
        </w:rPr>
        <w:t>L-Editor:</w:t>
      </w:r>
      <w:r w:rsidR="00740233">
        <w:rPr>
          <w:rFonts w:ascii="Book Antiqua" w:eastAsia="宋体" w:hAnsi="Book Antiqua" w:hint="eastAsia"/>
          <w:b/>
          <w:bCs/>
          <w:lang w:val="en-US" w:eastAsia="zh-CN"/>
        </w:rPr>
        <w:t xml:space="preserve"> </w:t>
      </w:r>
      <w:r w:rsidR="00740233" w:rsidRPr="00740233">
        <w:rPr>
          <w:rFonts w:ascii="Book Antiqua" w:eastAsia="宋体" w:hAnsi="Book Antiqua"/>
          <w:bCs/>
          <w:lang w:val="en-US" w:eastAsia="zh-CN"/>
        </w:rPr>
        <w:t>A</w:t>
      </w:r>
      <w:r w:rsidRPr="00357D80">
        <w:rPr>
          <w:rFonts w:ascii="Book Antiqua" w:eastAsia="宋体" w:hAnsi="Book Antiqua"/>
          <w:lang w:val="en-US" w:eastAsia="zh-CN"/>
        </w:rPr>
        <w:t xml:space="preserve"> </w:t>
      </w:r>
      <w:r w:rsidRPr="00357D80">
        <w:rPr>
          <w:rFonts w:ascii="Book Antiqua" w:eastAsia="宋体" w:hAnsi="Book Antiqua"/>
          <w:b/>
          <w:bCs/>
          <w:lang w:val="en-US" w:eastAsia="zh-CN"/>
        </w:rPr>
        <w:t>E-Editor:</w:t>
      </w:r>
      <w:r w:rsidR="00740233">
        <w:rPr>
          <w:rFonts w:ascii="Book Antiqua" w:eastAsia="宋体" w:hAnsi="Book Antiqua" w:hint="eastAsia"/>
          <w:b/>
          <w:bCs/>
          <w:lang w:val="en-US" w:eastAsia="zh-CN"/>
        </w:rPr>
        <w:t xml:space="preserve"> </w:t>
      </w:r>
      <w:r w:rsidR="00740233" w:rsidRPr="00740233">
        <w:rPr>
          <w:rFonts w:ascii="Book Antiqua" w:eastAsia="宋体" w:hAnsi="Book Antiqua"/>
          <w:bCs/>
          <w:lang w:val="en-US" w:eastAsia="zh-CN"/>
        </w:rPr>
        <w:t>Zhang YL</w:t>
      </w:r>
    </w:p>
    <w:p w:rsidR="00357D80" w:rsidRPr="00357D80" w:rsidRDefault="00357D80" w:rsidP="00357D80">
      <w:pPr>
        <w:shd w:val="clear" w:color="auto" w:fill="FFFFFF"/>
        <w:snapToGrid w:val="0"/>
        <w:spacing w:line="360" w:lineRule="auto"/>
        <w:ind w:right="0"/>
        <w:rPr>
          <w:rFonts w:ascii="Book Antiqua" w:eastAsia="宋体" w:hAnsi="Book Antiqua" w:cs="Helvetica"/>
          <w:b/>
          <w:lang w:val="en-US" w:eastAsia="zh-CN"/>
        </w:rPr>
      </w:pPr>
      <w:bookmarkStart w:id="176" w:name="OLE_LINK880"/>
      <w:bookmarkStart w:id="177" w:name="OLE_LINK88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357D80">
        <w:rPr>
          <w:rFonts w:ascii="Book Antiqua" w:eastAsia="宋体" w:hAnsi="Book Antiqua" w:cs="Helvetica"/>
          <w:b/>
          <w:lang w:val="en-US" w:eastAsia="zh-CN"/>
        </w:rPr>
        <w:t xml:space="preserve">Specialty type: </w:t>
      </w:r>
      <w:r w:rsidRPr="00357D80">
        <w:rPr>
          <w:rFonts w:ascii="Book Antiqua" w:eastAsia="宋体" w:hAnsi="Book Antiqua" w:cs="Helvetica"/>
          <w:lang w:val="en-US" w:eastAsia="zh-CN"/>
        </w:rPr>
        <w:t>Gastroenterology and</w:t>
      </w:r>
      <w:r w:rsidRPr="00357D80">
        <w:rPr>
          <w:rFonts w:ascii="Book Antiqua" w:eastAsia="宋体" w:hAnsi="Book Antiqua" w:cs="Helvetica" w:hint="eastAsia"/>
          <w:lang w:val="en-US" w:eastAsia="zh-CN"/>
        </w:rPr>
        <w:t xml:space="preserve"> </w:t>
      </w:r>
      <w:r w:rsidRPr="00357D80">
        <w:rPr>
          <w:rFonts w:ascii="Book Antiqua" w:eastAsia="宋体" w:hAnsi="Book Antiqua" w:cs="Helvetica"/>
          <w:lang w:val="en-US" w:eastAsia="zh-CN"/>
        </w:rPr>
        <w:t>hepatology</w:t>
      </w:r>
    </w:p>
    <w:p w:rsidR="00357D80" w:rsidRPr="00357D80" w:rsidRDefault="00357D80" w:rsidP="00357D80">
      <w:pPr>
        <w:shd w:val="clear" w:color="auto" w:fill="FFFFFF"/>
        <w:snapToGrid w:val="0"/>
        <w:spacing w:line="360" w:lineRule="auto"/>
        <w:ind w:right="0"/>
        <w:rPr>
          <w:rFonts w:ascii="Book Antiqua" w:eastAsia="宋体" w:hAnsi="Book Antiqua" w:cs="Helvetica"/>
          <w:b/>
          <w:lang w:val="en-US" w:eastAsia="zh-CN"/>
        </w:rPr>
      </w:pPr>
      <w:r w:rsidRPr="00357D80">
        <w:rPr>
          <w:rFonts w:ascii="Book Antiqua" w:eastAsia="宋体" w:hAnsi="Book Antiqua" w:cs="Helvetica"/>
          <w:b/>
          <w:lang w:val="en-US" w:eastAsia="zh-CN"/>
        </w:rPr>
        <w:t xml:space="preserve">Country of origin: </w:t>
      </w:r>
      <w:r>
        <w:rPr>
          <w:rFonts w:ascii="Book Antiqua" w:eastAsia="宋体" w:hAnsi="Book Antiqua" w:cs="Helvetica"/>
          <w:lang w:val="en-US" w:eastAsia="zh-CN"/>
        </w:rPr>
        <w:t>Italy</w:t>
      </w:r>
    </w:p>
    <w:p w:rsidR="00357D80" w:rsidRPr="00357D80" w:rsidRDefault="00357D80" w:rsidP="00357D80">
      <w:pPr>
        <w:shd w:val="clear" w:color="auto" w:fill="FFFFFF"/>
        <w:snapToGrid w:val="0"/>
        <w:spacing w:line="360" w:lineRule="auto"/>
        <w:ind w:right="0"/>
        <w:rPr>
          <w:rFonts w:ascii="Book Antiqua" w:eastAsia="宋体" w:hAnsi="Book Antiqua" w:cs="Helvetica"/>
          <w:b/>
          <w:lang w:val="en-US" w:eastAsia="zh-CN"/>
        </w:rPr>
      </w:pPr>
      <w:r w:rsidRPr="00357D80">
        <w:rPr>
          <w:rFonts w:ascii="Book Antiqua" w:eastAsia="宋体" w:hAnsi="Book Antiqua" w:cs="Helvetica"/>
          <w:b/>
          <w:lang w:val="en-US" w:eastAsia="zh-CN"/>
        </w:rPr>
        <w:t>Peer-review report classification</w:t>
      </w:r>
    </w:p>
    <w:p w:rsidR="00357D80" w:rsidRPr="00357D80" w:rsidRDefault="00357D80" w:rsidP="00357D80">
      <w:pPr>
        <w:shd w:val="clear" w:color="auto" w:fill="FFFFFF"/>
        <w:snapToGrid w:val="0"/>
        <w:spacing w:line="360" w:lineRule="auto"/>
        <w:ind w:right="0"/>
        <w:rPr>
          <w:rFonts w:ascii="Book Antiqua" w:eastAsia="宋体" w:hAnsi="Book Antiqua" w:cs="Helvetica"/>
          <w:lang w:val="en-US" w:eastAsia="zh-CN"/>
        </w:rPr>
      </w:pPr>
      <w:r w:rsidRPr="00357D80">
        <w:rPr>
          <w:rFonts w:ascii="Book Antiqua" w:eastAsia="宋体" w:hAnsi="Book Antiqua" w:cs="Helvetica"/>
          <w:lang w:val="en-US" w:eastAsia="zh-CN"/>
        </w:rPr>
        <w:t xml:space="preserve">Grade A (Excellent): </w:t>
      </w:r>
      <w:r w:rsidRPr="00357D80">
        <w:rPr>
          <w:rFonts w:ascii="Book Antiqua" w:eastAsia="宋体" w:hAnsi="Book Antiqua" w:cs="Helvetica" w:hint="eastAsia"/>
          <w:lang w:val="en-US" w:eastAsia="zh-CN"/>
        </w:rPr>
        <w:t>0</w:t>
      </w:r>
    </w:p>
    <w:p w:rsidR="00357D80" w:rsidRPr="00357D80" w:rsidRDefault="00357D80" w:rsidP="00357D80">
      <w:pPr>
        <w:shd w:val="clear" w:color="auto" w:fill="FFFFFF"/>
        <w:snapToGrid w:val="0"/>
        <w:spacing w:line="360" w:lineRule="auto"/>
        <w:ind w:right="0"/>
        <w:rPr>
          <w:rFonts w:ascii="Book Antiqua" w:eastAsia="宋体" w:hAnsi="Book Antiqua" w:cs="Helvetica"/>
          <w:lang w:val="en-US" w:eastAsia="zh-CN"/>
        </w:rPr>
      </w:pPr>
      <w:r w:rsidRPr="00357D80">
        <w:rPr>
          <w:rFonts w:ascii="Book Antiqua" w:eastAsia="宋体" w:hAnsi="Book Antiqua" w:cs="Helvetica"/>
          <w:lang w:val="en-US" w:eastAsia="zh-CN"/>
        </w:rPr>
        <w:t xml:space="preserve">Grade B (Very good): </w:t>
      </w:r>
      <w:r w:rsidRPr="00357D80">
        <w:rPr>
          <w:rFonts w:ascii="Book Antiqua" w:eastAsia="宋体" w:hAnsi="Book Antiqua" w:cs="Helvetica" w:hint="eastAsia"/>
          <w:lang w:val="en-US" w:eastAsia="zh-CN"/>
        </w:rPr>
        <w:t>B</w:t>
      </w:r>
      <w:r>
        <w:rPr>
          <w:rFonts w:ascii="Book Antiqua" w:eastAsia="宋体" w:hAnsi="Book Antiqua" w:cs="Helvetica"/>
          <w:lang w:val="en-US" w:eastAsia="zh-CN"/>
        </w:rPr>
        <w:t>, B</w:t>
      </w:r>
    </w:p>
    <w:p w:rsidR="00357D80" w:rsidRPr="00357D80" w:rsidRDefault="00357D80" w:rsidP="00357D80">
      <w:pPr>
        <w:shd w:val="clear" w:color="auto" w:fill="FFFFFF"/>
        <w:snapToGrid w:val="0"/>
        <w:spacing w:line="360" w:lineRule="auto"/>
        <w:ind w:right="0"/>
        <w:rPr>
          <w:rFonts w:ascii="Book Antiqua" w:eastAsia="宋体" w:hAnsi="Book Antiqua" w:cs="Helvetica"/>
          <w:lang w:val="en-US" w:eastAsia="zh-CN"/>
        </w:rPr>
      </w:pPr>
      <w:r w:rsidRPr="00357D80">
        <w:rPr>
          <w:rFonts w:ascii="Book Antiqua" w:eastAsia="宋体" w:hAnsi="Book Antiqua" w:cs="Helvetica"/>
          <w:lang w:val="en-US" w:eastAsia="zh-CN"/>
        </w:rPr>
        <w:t xml:space="preserve">Grade C (Good): </w:t>
      </w:r>
      <w:r>
        <w:rPr>
          <w:rFonts w:ascii="Book Antiqua" w:eastAsia="宋体" w:hAnsi="Book Antiqua" w:cs="Helvetica" w:hint="eastAsia"/>
          <w:lang w:val="en-US" w:eastAsia="zh-CN"/>
        </w:rPr>
        <w:t>C</w:t>
      </w:r>
    </w:p>
    <w:p w:rsidR="00357D80" w:rsidRPr="00357D80" w:rsidRDefault="00357D80" w:rsidP="00357D80">
      <w:pPr>
        <w:shd w:val="clear" w:color="auto" w:fill="FFFFFF"/>
        <w:snapToGrid w:val="0"/>
        <w:spacing w:line="360" w:lineRule="auto"/>
        <w:ind w:right="0"/>
        <w:rPr>
          <w:rFonts w:ascii="Book Antiqua" w:eastAsia="宋体" w:hAnsi="Book Antiqua" w:cs="Helvetica"/>
          <w:lang w:val="en-US" w:eastAsia="zh-CN"/>
        </w:rPr>
      </w:pPr>
      <w:r w:rsidRPr="00357D80">
        <w:rPr>
          <w:rFonts w:ascii="Book Antiqua" w:eastAsia="宋体" w:hAnsi="Book Antiqua" w:cs="Helvetica"/>
          <w:lang w:val="en-US" w:eastAsia="zh-CN"/>
        </w:rPr>
        <w:t xml:space="preserve">Grade D (Fair): </w:t>
      </w:r>
      <w:r w:rsidRPr="00357D80">
        <w:rPr>
          <w:rFonts w:ascii="Book Antiqua" w:eastAsia="宋体" w:hAnsi="Book Antiqua" w:cs="Helvetica" w:hint="eastAsia"/>
          <w:lang w:val="en-US" w:eastAsia="zh-CN"/>
        </w:rPr>
        <w:t>0</w:t>
      </w:r>
    </w:p>
    <w:p w:rsidR="00357D80" w:rsidRPr="00357D80" w:rsidRDefault="00357D80" w:rsidP="00357D80">
      <w:pPr>
        <w:snapToGrid w:val="0"/>
        <w:spacing w:line="360" w:lineRule="auto"/>
        <w:ind w:right="0"/>
        <w:rPr>
          <w:rFonts w:ascii="Book Antiqua" w:eastAsia="宋体" w:hAnsi="Book Antiqua"/>
          <w:b/>
          <w:iCs/>
          <w:lang w:val="en-US" w:eastAsia="zh-CN"/>
        </w:rPr>
      </w:pPr>
      <w:r w:rsidRPr="00357D80">
        <w:rPr>
          <w:rFonts w:ascii="Book Antiqua" w:eastAsia="宋体" w:hAnsi="Book Antiqua" w:cs="Helvetica"/>
          <w:lang w:val="en-US" w:eastAsia="zh-CN"/>
        </w:rPr>
        <w:t xml:space="preserve">Grade E (Poor): </w:t>
      </w:r>
      <w:r w:rsidRPr="00357D80">
        <w:rPr>
          <w:rFonts w:ascii="Book Antiqua" w:eastAsia="宋体" w:hAnsi="Book Antiqua" w:cs="Helvetica" w:hint="eastAsia"/>
          <w:lang w:val="en-US" w:eastAsia="zh-CN"/>
        </w:rPr>
        <w:t>0</w:t>
      </w:r>
      <w:bookmarkEnd w:id="172"/>
      <w:bookmarkEnd w:id="176"/>
      <w:bookmarkEnd w:id="177"/>
    </w:p>
    <w:bookmarkEnd w:id="168"/>
    <w:bookmarkEnd w:id="169"/>
    <w:bookmarkEnd w:id="170"/>
    <w:bookmarkEnd w:id="171"/>
    <w:bookmarkEnd w:id="173"/>
    <w:bookmarkEnd w:id="174"/>
    <w:bookmarkEnd w:id="175"/>
    <w:p w:rsidR="00F504AD" w:rsidRPr="00786942" w:rsidRDefault="00F504AD" w:rsidP="00357D80">
      <w:pPr>
        <w:adjustRightInd w:val="0"/>
        <w:snapToGrid w:val="0"/>
        <w:spacing w:line="360" w:lineRule="auto"/>
        <w:ind w:right="0"/>
        <w:rPr>
          <w:rFonts w:ascii="Book Antiqua" w:hAnsi="Book Antiqua"/>
          <w:lang w:val="en-US"/>
        </w:rPr>
      </w:pPr>
    </w:p>
    <w:p w:rsidR="00BF4F43" w:rsidRPr="000401B7" w:rsidRDefault="006E26B9" w:rsidP="00357D80">
      <w:pPr>
        <w:adjustRightInd w:val="0"/>
        <w:snapToGrid w:val="0"/>
        <w:spacing w:line="360" w:lineRule="auto"/>
        <w:ind w:right="0"/>
        <w:rPr>
          <w:rFonts w:ascii="Book Antiqua" w:hAnsi="Book Antiqua"/>
          <w:b/>
          <w:shd w:val="clear" w:color="FFFFFF" w:fill="FFFFFF"/>
          <w:lang w:val="en-US"/>
        </w:rPr>
      </w:pPr>
      <w:r w:rsidRPr="00786942">
        <w:rPr>
          <w:rFonts w:ascii="Book Antiqua" w:hAnsi="Book Antiqua"/>
          <w:b/>
          <w:shd w:val="clear" w:color="FFFFFF" w:fill="FFFFFF"/>
          <w:lang w:val="en-US"/>
        </w:rPr>
        <w:br w:type="page"/>
      </w:r>
      <w:r w:rsidR="00BF4F43" w:rsidRPr="000401B7">
        <w:rPr>
          <w:rFonts w:ascii="Book Antiqua" w:hAnsi="Book Antiqua"/>
          <w:b/>
          <w:lang w:val="en-US"/>
        </w:rPr>
        <w:t>T</w:t>
      </w:r>
      <w:r w:rsidR="00357D80" w:rsidRPr="000401B7">
        <w:rPr>
          <w:rFonts w:ascii="Book Antiqua" w:hAnsi="Book Antiqua"/>
          <w:b/>
          <w:lang w:val="en-US"/>
        </w:rPr>
        <w:t>able 1</w:t>
      </w:r>
      <w:r w:rsidR="001059EA" w:rsidRPr="000401B7">
        <w:rPr>
          <w:rFonts w:ascii="Book Antiqua" w:hAnsi="Book Antiqua"/>
          <w:b/>
          <w:lang w:val="en-US"/>
        </w:rPr>
        <w:t xml:space="preserve"> </w:t>
      </w:r>
      <w:r w:rsidR="00BF4F43" w:rsidRPr="000401B7">
        <w:rPr>
          <w:rFonts w:ascii="Book Antiqua" w:hAnsi="Book Antiqua"/>
          <w:b/>
          <w:lang w:val="en-US"/>
        </w:rPr>
        <w:t xml:space="preserve">Clinical studies on the effect of </w:t>
      </w:r>
      <w:r w:rsidR="00BF4F43" w:rsidRPr="000401B7">
        <w:rPr>
          <w:rFonts w:ascii="Book Antiqua" w:hAnsi="Book Antiqua"/>
          <w:b/>
          <w:color w:val="000000"/>
          <w:lang w:val="en-US"/>
        </w:rPr>
        <w:t>angiotensin-converting enzyme inhibitors or angiotensin II type 1 receptor blockers exposure in patients affected or at high risk of hepatocellular carcinoma</w:t>
      </w:r>
    </w:p>
    <w:tbl>
      <w:tblPr>
        <w:tblW w:w="5239" w:type="pct"/>
        <w:tblInd w:w="-459" w:type="dxa"/>
        <w:tblBorders>
          <w:top w:val="single" w:sz="6" w:space="0" w:color="auto"/>
          <w:bottom w:val="single" w:sz="6" w:space="0" w:color="auto"/>
        </w:tblBorders>
        <w:tblLayout w:type="fixed"/>
        <w:tblLook w:val="04A0" w:firstRow="1" w:lastRow="0" w:firstColumn="1" w:lastColumn="0" w:noHBand="0" w:noVBand="1"/>
      </w:tblPr>
      <w:tblGrid>
        <w:gridCol w:w="1817"/>
        <w:gridCol w:w="2490"/>
        <w:gridCol w:w="1980"/>
        <w:gridCol w:w="2486"/>
        <w:gridCol w:w="1350"/>
      </w:tblGrid>
      <w:tr w:rsidR="00357D80" w:rsidRPr="00786942" w:rsidTr="009802BF">
        <w:tc>
          <w:tcPr>
            <w:tcW w:w="897" w:type="pct"/>
            <w:tcBorders>
              <w:top w:val="single" w:sz="6" w:space="0" w:color="auto"/>
              <w:bottom w:val="nil"/>
            </w:tcBorders>
            <w:vAlign w:val="center"/>
          </w:tcPr>
          <w:p w:rsidR="00357D80" w:rsidRPr="00786942" w:rsidRDefault="00357D80" w:rsidP="00786942">
            <w:pPr>
              <w:adjustRightInd w:val="0"/>
              <w:snapToGrid w:val="0"/>
              <w:spacing w:line="360" w:lineRule="auto"/>
              <w:ind w:right="0"/>
              <w:rPr>
                <w:rFonts w:ascii="Book Antiqua" w:hAnsi="Book Antiqua"/>
                <w:b/>
                <w:lang w:val="en-US"/>
              </w:rPr>
            </w:pPr>
            <w:r w:rsidRPr="00786942">
              <w:rPr>
                <w:rFonts w:ascii="Book Antiqua" w:hAnsi="Book Antiqua"/>
                <w:b/>
                <w:lang w:val="en-US"/>
              </w:rPr>
              <w:t>Interventional studies</w:t>
            </w:r>
          </w:p>
        </w:tc>
        <w:tc>
          <w:tcPr>
            <w:tcW w:w="1230" w:type="pct"/>
            <w:tcBorders>
              <w:top w:val="single" w:sz="6" w:space="0" w:color="auto"/>
              <w:bottom w:val="nil"/>
            </w:tcBorders>
            <w:vAlign w:val="center"/>
          </w:tcPr>
          <w:p w:rsidR="00357D80" w:rsidRPr="00EF2841" w:rsidRDefault="00357D80" w:rsidP="00786942">
            <w:pPr>
              <w:adjustRightInd w:val="0"/>
              <w:snapToGrid w:val="0"/>
              <w:spacing w:line="360" w:lineRule="auto"/>
              <w:ind w:right="0"/>
              <w:rPr>
                <w:rFonts w:ascii="Book Antiqua" w:eastAsia="宋体" w:hAnsi="Book Antiqua" w:hint="eastAsia"/>
                <w:b/>
                <w:lang w:val="en-US" w:eastAsia="zh-CN"/>
              </w:rPr>
            </w:pPr>
          </w:p>
        </w:tc>
        <w:tc>
          <w:tcPr>
            <w:tcW w:w="978" w:type="pct"/>
            <w:tcBorders>
              <w:top w:val="single" w:sz="6" w:space="0" w:color="auto"/>
              <w:bottom w:val="nil"/>
            </w:tcBorders>
            <w:vAlign w:val="center"/>
          </w:tcPr>
          <w:p w:rsidR="00357D80" w:rsidRPr="00786942" w:rsidRDefault="00357D80" w:rsidP="00786942">
            <w:pPr>
              <w:adjustRightInd w:val="0"/>
              <w:snapToGrid w:val="0"/>
              <w:spacing w:line="360" w:lineRule="auto"/>
              <w:ind w:right="0"/>
              <w:rPr>
                <w:rFonts w:ascii="Book Antiqua" w:hAnsi="Book Antiqua"/>
                <w:b/>
                <w:lang w:val="en-US"/>
              </w:rPr>
            </w:pPr>
          </w:p>
        </w:tc>
        <w:tc>
          <w:tcPr>
            <w:tcW w:w="1228" w:type="pct"/>
            <w:tcBorders>
              <w:top w:val="single" w:sz="6" w:space="0" w:color="auto"/>
              <w:bottom w:val="nil"/>
            </w:tcBorders>
            <w:vAlign w:val="center"/>
          </w:tcPr>
          <w:p w:rsidR="00357D80" w:rsidRPr="00786942" w:rsidRDefault="00357D80" w:rsidP="00786942">
            <w:pPr>
              <w:adjustRightInd w:val="0"/>
              <w:snapToGrid w:val="0"/>
              <w:spacing w:line="360" w:lineRule="auto"/>
              <w:ind w:right="0"/>
              <w:rPr>
                <w:rFonts w:ascii="Book Antiqua" w:hAnsi="Book Antiqua"/>
                <w:b/>
                <w:lang w:val="en-US"/>
              </w:rPr>
            </w:pPr>
          </w:p>
        </w:tc>
        <w:tc>
          <w:tcPr>
            <w:tcW w:w="668" w:type="pct"/>
            <w:tcBorders>
              <w:top w:val="single" w:sz="6" w:space="0" w:color="auto"/>
              <w:bottom w:val="nil"/>
            </w:tcBorders>
            <w:vAlign w:val="center"/>
          </w:tcPr>
          <w:p w:rsidR="00357D80" w:rsidRPr="00786942" w:rsidRDefault="00357D80" w:rsidP="00786942">
            <w:pPr>
              <w:adjustRightInd w:val="0"/>
              <w:snapToGrid w:val="0"/>
              <w:spacing w:line="360" w:lineRule="auto"/>
              <w:ind w:right="0"/>
              <w:rPr>
                <w:rFonts w:ascii="Book Antiqua" w:hAnsi="Book Antiqua"/>
                <w:b/>
                <w:lang w:val="en-US"/>
              </w:rPr>
            </w:pPr>
          </w:p>
        </w:tc>
      </w:tr>
      <w:tr w:rsidR="00357D80" w:rsidRPr="00786942" w:rsidTr="009802BF">
        <w:trPr>
          <w:trHeight w:val="223"/>
        </w:trPr>
        <w:tc>
          <w:tcPr>
            <w:tcW w:w="897" w:type="pct"/>
            <w:tcBorders>
              <w:top w:val="nil"/>
              <w:bottom w:val="single" w:sz="6" w:space="0" w:color="auto"/>
            </w:tcBorders>
            <w:vAlign w:val="center"/>
          </w:tcPr>
          <w:p w:rsidR="00357D80" w:rsidRPr="00786942" w:rsidRDefault="00357D80" w:rsidP="00357D80">
            <w:pPr>
              <w:adjustRightInd w:val="0"/>
              <w:snapToGrid w:val="0"/>
              <w:spacing w:line="360" w:lineRule="auto"/>
              <w:ind w:right="0"/>
              <w:rPr>
                <w:rFonts w:ascii="Book Antiqua" w:hAnsi="Book Antiqua"/>
                <w:b/>
                <w:lang w:val="en-US"/>
              </w:rPr>
            </w:pPr>
            <w:r w:rsidRPr="00786942">
              <w:rPr>
                <w:rFonts w:ascii="Book Antiqua" w:hAnsi="Book Antiqua"/>
                <w:b/>
                <w:lang w:val="en-US"/>
              </w:rPr>
              <w:t>Authors</w:t>
            </w:r>
          </w:p>
        </w:tc>
        <w:tc>
          <w:tcPr>
            <w:tcW w:w="1230" w:type="pct"/>
            <w:tcBorders>
              <w:top w:val="nil"/>
              <w:bottom w:val="single" w:sz="6" w:space="0" w:color="auto"/>
            </w:tcBorders>
            <w:vAlign w:val="center"/>
          </w:tcPr>
          <w:p w:rsidR="00357D80" w:rsidRPr="00786942" w:rsidRDefault="00357D80" w:rsidP="008D6C0C">
            <w:pPr>
              <w:adjustRightInd w:val="0"/>
              <w:snapToGrid w:val="0"/>
              <w:spacing w:line="360" w:lineRule="auto"/>
              <w:ind w:right="0"/>
              <w:jc w:val="center"/>
              <w:rPr>
                <w:rFonts w:ascii="Book Antiqua" w:hAnsi="Book Antiqua"/>
                <w:b/>
                <w:lang w:val="en-US"/>
              </w:rPr>
            </w:pPr>
            <w:r w:rsidRPr="00786942">
              <w:rPr>
                <w:rFonts w:ascii="Book Antiqua" w:hAnsi="Book Antiqua"/>
                <w:b/>
                <w:lang w:val="en-US"/>
              </w:rPr>
              <w:t>Patients</w:t>
            </w:r>
          </w:p>
        </w:tc>
        <w:tc>
          <w:tcPr>
            <w:tcW w:w="978" w:type="pct"/>
            <w:tcBorders>
              <w:top w:val="nil"/>
              <w:bottom w:val="single" w:sz="6" w:space="0" w:color="auto"/>
            </w:tcBorders>
            <w:vAlign w:val="center"/>
          </w:tcPr>
          <w:p w:rsidR="00357D80" w:rsidRPr="00786942" w:rsidRDefault="00357D80" w:rsidP="008D6C0C">
            <w:pPr>
              <w:adjustRightInd w:val="0"/>
              <w:snapToGrid w:val="0"/>
              <w:spacing w:line="360" w:lineRule="auto"/>
              <w:ind w:right="0"/>
              <w:jc w:val="center"/>
              <w:rPr>
                <w:rFonts w:ascii="Book Antiqua" w:hAnsi="Book Antiqua"/>
                <w:b/>
                <w:lang w:val="en-US"/>
              </w:rPr>
            </w:pPr>
            <w:r w:rsidRPr="00786942">
              <w:rPr>
                <w:rFonts w:ascii="Book Antiqua" w:hAnsi="Book Antiqua"/>
                <w:b/>
                <w:lang w:val="en-US"/>
              </w:rPr>
              <w:t>Treatment</w:t>
            </w:r>
          </w:p>
        </w:tc>
        <w:tc>
          <w:tcPr>
            <w:tcW w:w="1228" w:type="pct"/>
            <w:tcBorders>
              <w:top w:val="nil"/>
              <w:bottom w:val="single" w:sz="6" w:space="0" w:color="auto"/>
            </w:tcBorders>
            <w:vAlign w:val="center"/>
          </w:tcPr>
          <w:p w:rsidR="00357D80" w:rsidRPr="00786942" w:rsidRDefault="00357D80" w:rsidP="008D6C0C">
            <w:pPr>
              <w:adjustRightInd w:val="0"/>
              <w:snapToGrid w:val="0"/>
              <w:spacing w:line="360" w:lineRule="auto"/>
              <w:ind w:right="0"/>
              <w:jc w:val="center"/>
              <w:rPr>
                <w:rFonts w:ascii="Book Antiqua" w:hAnsi="Book Antiqua"/>
                <w:b/>
                <w:lang w:val="en-US"/>
              </w:rPr>
            </w:pPr>
            <w:r w:rsidRPr="00786942">
              <w:rPr>
                <w:rFonts w:ascii="Book Antiqua" w:hAnsi="Book Antiqua"/>
                <w:b/>
                <w:lang w:val="en-US"/>
              </w:rPr>
              <w:t>HCC recurrence after 42-54 mo</w:t>
            </w:r>
          </w:p>
        </w:tc>
        <w:tc>
          <w:tcPr>
            <w:tcW w:w="668" w:type="pct"/>
            <w:tcBorders>
              <w:top w:val="nil"/>
              <w:bottom w:val="single" w:sz="6" w:space="0" w:color="auto"/>
            </w:tcBorders>
            <w:vAlign w:val="center"/>
          </w:tcPr>
          <w:p w:rsidR="00357D80" w:rsidRPr="00786942" w:rsidRDefault="000401B7" w:rsidP="008D6C0C">
            <w:pPr>
              <w:adjustRightInd w:val="0"/>
              <w:snapToGrid w:val="0"/>
              <w:spacing w:line="360" w:lineRule="auto"/>
              <w:ind w:right="0"/>
              <w:jc w:val="center"/>
              <w:rPr>
                <w:rFonts w:ascii="Book Antiqua" w:hAnsi="Book Antiqua"/>
                <w:b/>
                <w:lang w:val="en-US"/>
              </w:rPr>
            </w:pPr>
            <w:r w:rsidRPr="000401B7">
              <w:rPr>
                <w:rFonts w:ascii="Book Antiqua" w:hAnsi="Book Antiqua"/>
                <w:b/>
                <w:i/>
                <w:lang w:val="en-US"/>
              </w:rPr>
              <w:t>P</w:t>
            </w:r>
            <w:r>
              <w:rPr>
                <w:rFonts w:ascii="Book Antiqua" w:hAnsi="Book Antiqua"/>
                <w:b/>
                <w:lang w:val="en-US"/>
              </w:rPr>
              <w:t xml:space="preserve"> value</w:t>
            </w:r>
          </w:p>
        </w:tc>
      </w:tr>
      <w:tr w:rsidR="00BF4F43" w:rsidRPr="00786942" w:rsidTr="009802BF">
        <w:tc>
          <w:tcPr>
            <w:tcW w:w="897" w:type="pct"/>
            <w:tcBorders>
              <w:top w:val="single" w:sz="6" w:space="0" w:color="auto"/>
            </w:tcBorders>
            <w:vAlign w:val="center"/>
          </w:tcPr>
          <w:p w:rsidR="00BF4F43" w:rsidRPr="00786942" w:rsidRDefault="000401B7" w:rsidP="000401B7">
            <w:pPr>
              <w:adjustRightInd w:val="0"/>
              <w:snapToGrid w:val="0"/>
              <w:spacing w:line="360" w:lineRule="auto"/>
              <w:ind w:right="0"/>
              <w:rPr>
                <w:rFonts w:ascii="Book Antiqua" w:hAnsi="Book Antiqua"/>
                <w:lang w:val="en-US"/>
              </w:rPr>
            </w:pPr>
            <w:r>
              <w:rPr>
                <w:rFonts w:ascii="Book Antiqua" w:hAnsi="Book Antiqua"/>
                <w:lang w:val="en-US"/>
              </w:rPr>
              <w:t xml:space="preserve">Yoshiji </w:t>
            </w:r>
            <w:r w:rsidR="00BF4F43" w:rsidRPr="000401B7">
              <w:rPr>
                <w:rFonts w:ascii="Book Antiqua" w:hAnsi="Book Antiqua"/>
                <w:i/>
                <w:lang w:val="en-US"/>
              </w:rPr>
              <w:t>et al</w:t>
            </w:r>
            <w:r>
              <w:rPr>
                <w:rFonts w:ascii="Book Antiqua" w:hAnsi="Book Antiqua"/>
                <w:vertAlign w:val="superscript"/>
                <w:lang w:val="en-US"/>
              </w:rPr>
              <w:t>[13]</w:t>
            </w:r>
          </w:p>
        </w:tc>
        <w:tc>
          <w:tcPr>
            <w:tcW w:w="1230" w:type="pct"/>
            <w:tcBorders>
              <w:top w:val="single" w:sz="6" w:space="0" w:color="auto"/>
            </w:tcBorders>
            <w:vAlign w:val="center"/>
          </w:tcPr>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87 with RFA for prior HCC</w:t>
            </w:r>
          </w:p>
        </w:tc>
        <w:tc>
          <w:tcPr>
            <w:tcW w:w="978" w:type="pct"/>
            <w:tcBorders>
              <w:top w:val="single" w:sz="6" w:space="0" w:color="auto"/>
            </w:tcBorders>
            <w:vAlign w:val="center"/>
          </w:tcPr>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 Control</w:t>
            </w:r>
          </w:p>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II. ACE-I + vit. K2</w:t>
            </w:r>
          </w:p>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III. ACE-I</w:t>
            </w:r>
          </w:p>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IV. vit. K2</w:t>
            </w:r>
          </w:p>
        </w:tc>
        <w:tc>
          <w:tcPr>
            <w:tcW w:w="1228" w:type="pct"/>
            <w:tcBorders>
              <w:top w:val="single" w:sz="6" w:space="0" w:color="auto"/>
            </w:tcBorders>
            <w:vAlign w:val="center"/>
          </w:tcPr>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18/25</w:t>
            </w:r>
          </w:p>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9/25</w:t>
            </w:r>
          </w:p>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19/19</w:t>
            </w:r>
          </w:p>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18/18</w:t>
            </w:r>
          </w:p>
        </w:tc>
        <w:tc>
          <w:tcPr>
            <w:tcW w:w="668" w:type="pct"/>
            <w:tcBorders>
              <w:top w:val="single" w:sz="6" w:space="0" w:color="auto"/>
            </w:tcBorders>
            <w:vAlign w:val="center"/>
          </w:tcPr>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I </w:t>
            </w:r>
            <w:r w:rsidR="000401B7" w:rsidRPr="000401B7">
              <w:rPr>
                <w:rFonts w:ascii="Book Antiqua" w:hAnsi="Book Antiqua"/>
                <w:i/>
                <w:lang w:val="en-US"/>
              </w:rPr>
              <w:t>vs</w:t>
            </w:r>
            <w:r w:rsidRPr="00786942">
              <w:rPr>
                <w:rFonts w:ascii="Book Antiqua" w:hAnsi="Book Antiqua"/>
                <w:lang w:val="en-US"/>
              </w:rPr>
              <w:t xml:space="preserve"> II; &lt; 0.01</w:t>
            </w:r>
          </w:p>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I </w:t>
            </w:r>
            <w:r w:rsidR="000401B7" w:rsidRPr="000401B7">
              <w:rPr>
                <w:rFonts w:ascii="Book Antiqua" w:hAnsi="Book Antiqua"/>
                <w:i/>
                <w:lang w:val="en-US"/>
              </w:rPr>
              <w:t>vs</w:t>
            </w:r>
            <w:r w:rsidRPr="00786942">
              <w:rPr>
                <w:rFonts w:ascii="Book Antiqua" w:hAnsi="Book Antiqua"/>
                <w:lang w:val="en-US"/>
              </w:rPr>
              <w:t xml:space="preserve"> III, n.s.</w:t>
            </w:r>
          </w:p>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I </w:t>
            </w:r>
            <w:r w:rsidR="000401B7" w:rsidRPr="000401B7">
              <w:rPr>
                <w:rFonts w:ascii="Book Antiqua" w:hAnsi="Book Antiqua"/>
                <w:i/>
                <w:lang w:val="en-US"/>
              </w:rPr>
              <w:t>vs</w:t>
            </w:r>
            <w:r w:rsidRPr="00786942">
              <w:rPr>
                <w:rFonts w:ascii="Book Antiqua" w:hAnsi="Book Antiqua"/>
                <w:lang w:val="en-US"/>
              </w:rPr>
              <w:t xml:space="preserve"> IV; n.s.</w:t>
            </w:r>
          </w:p>
        </w:tc>
      </w:tr>
      <w:tr w:rsidR="00BF4F43" w:rsidRPr="00786942" w:rsidTr="009802BF">
        <w:tc>
          <w:tcPr>
            <w:tcW w:w="897" w:type="pct"/>
            <w:vAlign w:val="center"/>
          </w:tcPr>
          <w:p w:rsidR="00BF4F43" w:rsidRPr="00786942" w:rsidRDefault="00BF4F43" w:rsidP="000401B7">
            <w:pPr>
              <w:adjustRightInd w:val="0"/>
              <w:snapToGrid w:val="0"/>
              <w:spacing w:line="360" w:lineRule="auto"/>
              <w:ind w:right="0"/>
              <w:rPr>
                <w:rFonts w:ascii="Book Antiqua" w:hAnsi="Book Antiqua"/>
                <w:lang w:val="en-US"/>
              </w:rPr>
            </w:pPr>
            <w:r w:rsidRPr="00786942">
              <w:rPr>
                <w:rFonts w:ascii="Book Antiqua" w:hAnsi="Book Antiqua"/>
                <w:lang w:val="en-US"/>
              </w:rPr>
              <w:t xml:space="preserve">Yoshiji </w:t>
            </w:r>
            <w:r w:rsidRPr="000401B7">
              <w:rPr>
                <w:rFonts w:ascii="Book Antiqua" w:hAnsi="Book Antiqua"/>
                <w:i/>
                <w:lang w:val="en-US"/>
              </w:rPr>
              <w:t>et al</w:t>
            </w:r>
            <w:r w:rsidR="000401B7">
              <w:rPr>
                <w:rFonts w:ascii="Book Antiqua" w:hAnsi="Book Antiqua"/>
                <w:vertAlign w:val="superscript"/>
                <w:lang w:val="en-US"/>
              </w:rPr>
              <w:t>[14]</w:t>
            </w:r>
          </w:p>
        </w:tc>
        <w:tc>
          <w:tcPr>
            <w:tcW w:w="1230" w:type="pct"/>
            <w:vAlign w:val="center"/>
          </w:tcPr>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89 with Insulin resistance and RFA for prior HCC</w:t>
            </w:r>
          </w:p>
        </w:tc>
        <w:tc>
          <w:tcPr>
            <w:tcW w:w="978" w:type="pct"/>
            <w:vAlign w:val="center"/>
          </w:tcPr>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 Control</w:t>
            </w:r>
          </w:p>
          <w:p w:rsidR="00BF4F43" w:rsidRPr="00786942" w:rsidRDefault="000401B7" w:rsidP="008D6C0C">
            <w:pPr>
              <w:adjustRightInd w:val="0"/>
              <w:snapToGrid w:val="0"/>
              <w:spacing w:line="360" w:lineRule="auto"/>
              <w:ind w:right="0"/>
              <w:jc w:val="center"/>
              <w:rPr>
                <w:rFonts w:ascii="Book Antiqua" w:hAnsi="Book Antiqua"/>
                <w:lang w:val="en-US"/>
              </w:rPr>
            </w:pPr>
            <w:r>
              <w:rPr>
                <w:rFonts w:ascii="Book Antiqua" w:hAnsi="Book Antiqua"/>
                <w:lang w:val="en-US"/>
              </w:rPr>
              <w:t xml:space="preserve">II. </w:t>
            </w:r>
            <w:r w:rsidR="00BF4F43" w:rsidRPr="00786942">
              <w:rPr>
                <w:rFonts w:ascii="Book Antiqua" w:hAnsi="Book Antiqua"/>
                <w:lang w:val="en-US"/>
              </w:rPr>
              <w:t>ACE-I + BCAA</w:t>
            </w:r>
          </w:p>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III. ACE-I</w:t>
            </w:r>
          </w:p>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IV. BCAA</w:t>
            </w:r>
          </w:p>
        </w:tc>
        <w:tc>
          <w:tcPr>
            <w:tcW w:w="1228" w:type="pct"/>
            <w:vAlign w:val="center"/>
          </w:tcPr>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16/26</w:t>
            </w:r>
          </w:p>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9/28</w:t>
            </w:r>
          </w:p>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11/19</w:t>
            </w:r>
          </w:p>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9/16</w:t>
            </w:r>
          </w:p>
        </w:tc>
        <w:tc>
          <w:tcPr>
            <w:tcW w:w="668" w:type="pct"/>
            <w:vAlign w:val="center"/>
          </w:tcPr>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I </w:t>
            </w:r>
            <w:r w:rsidR="000401B7" w:rsidRPr="000401B7">
              <w:rPr>
                <w:rFonts w:ascii="Book Antiqua" w:hAnsi="Book Antiqua"/>
                <w:i/>
                <w:lang w:val="en-US"/>
              </w:rPr>
              <w:t>vs</w:t>
            </w:r>
            <w:r w:rsidRPr="00786942">
              <w:rPr>
                <w:rFonts w:ascii="Book Antiqua" w:hAnsi="Book Antiqua"/>
                <w:lang w:val="en-US"/>
              </w:rPr>
              <w:t xml:space="preserve"> II; &lt; 0.01</w:t>
            </w:r>
          </w:p>
          <w:p w:rsidR="00BF4F43" w:rsidRPr="00786942" w:rsidRDefault="00BF4F43" w:rsidP="008D6C0C">
            <w:pPr>
              <w:adjustRightInd w:val="0"/>
              <w:snapToGrid w:val="0"/>
              <w:spacing w:line="360" w:lineRule="auto"/>
              <w:ind w:right="0"/>
              <w:jc w:val="center"/>
              <w:rPr>
                <w:rFonts w:ascii="Book Antiqua" w:hAnsi="Book Antiqua"/>
                <w:lang w:val="en-US"/>
              </w:rPr>
            </w:pPr>
            <w:bookmarkStart w:id="178" w:name="OLE_LINK684"/>
            <w:bookmarkStart w:id="179" w:name="OLE_LINK685"/>
            <w:r w:rsidRPr="00786942">
              <w:rPr>
                <w:rFonts w:ascii="Book Antiqua" w:hAnsi="Book Antiqua"/>
                <w:lang w:val="en-US"/>
              </w:rPr>
              <w:t>I</w:t>
            </w:r>
            <w:bookmarkEnd w:id="178"/>
            <w:bookmarkEnd w:id="179"/>
            <w:r w:rsidRPr="00786942">
              <w:rPr>
                <w:rFonts w:ascii="Book Antiqua" w:hAnsi="Book Antiqua"/>
                <w:lang w:val="en-US"/>
              </w:rPr>
              <w:t xml:space="preserve"> </w:t>
            </w:r>
            <w:r w:rsidR="000401B7" w:rsidRPr="000401B7">
              <w:rPr>
                <w:rFonts w:ascii="Book Antiqua" w:hAnsi="Book Antiqua"/>
                <w:i/>
                <w:lang w:val="en-US"/>
              </w:rPr>
              <w:t>vs</w:t>
            </w:r>
            <w:r w:rsidRPr="00786942">
              <w:rPr>
                <w:rFonts w:ascii="Book Antiqua" w:hAnsi="Book Antiqua"/>
                <w:lang w:val="en-US"/>
              </w:rPr>
              <w:t xml:space="preserve"> III, n.s.</w:t>
            </w:r>
          </w:p>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I </w:t>
            </w:r>
            <w:r w:rsidR="000401B7" w:rsidRPr="000401B7">
              <w:rPr>
                <w:rFonts w:ascii="Book Antiqua" w:hAnsi="Book Antiqua"/>
                <w:i/>
                <w:lang w:val="en-US"/>
              </w:rPr>
              <w:t>vs</w:t>
            </w:r>
            <w:r w:rsidRPr="00786942">
              <w:rPr>
                <w:rFonts w:ascii="Book Antiqua" w:hAnsi="Book Antiqua"/>
                <w:lang w:val="en-US"/>
              </w:rPr>
              <w:t xml:space="preserve"> IV; n.s.</w:t>
            </w:r>
          </w:p>
        </w:tc>
      </w:tr>
      <w:tr w:rsidR="00BF4F43" w:rsidRPr="00786942" w:rsidTr="009802BF">
        <w:tc>
          <w:tcPr>
            <w:tcW w:w="897" w:type="pct"/>
            <w:vAlign w:val="center"/>
          </w:tcPr>
          <w:p w:rsidR="00BF4F43" w:rsidRPr="00786942" w:rsidRDefault="000401B7" w:rsidP="000401B7">
            <w:pPr>
              <w:adjustRightInd w:val="0"/>
              <w:snapToGrid w:val="0"/>
              <w:spacing w:line="360" w:lineRule="auto"/>
              <w:ind w:right="0"/>
              <w:rPr>
                <w:rFonts w:ascii="Book Antiqua" w:hAnsi="Book Antiqua"/>
                <w:lang w:val="en-US"/>
              </w:rPr>
            </w:pPr>
            <w:r>
              <w:rPr>
                <w:rFonts w:ascii="Book Antiqua" w:hAnsi="Book Antiqua"/>
                <w:lang w:val="en-US"/>
              </w:rPr>
              <w:t xml:space="preserve">Yoshiji </w:t>
            </w:r>
            <w:r w:rsidR="00BF4F43" w:rsidRPr="000401B7">
              <w:rPr>
                <w:rFonts w:ascii="Book Antiqua" w:hAnsi="Book Antiqua"/>
                <w:i/>
                <w:lang w:val="en-US"/>
              </w:rPr>
              <w:t>et al</w:t>
            </w:r>
            <w:r>
              <w:rPr>
                <w:rFonts w:ascii="Book Antiqua" w:hAnsi="Book Antiqua"/>
                <w:vertAlign w:val="superscript"/>
                <w:lang w:val="en-US"/>
              </w:rPr>
              <w:t>[15]</w:t>
            </w:r>
          </w:p>
        </w:tc>
        <w:tc>
          <w:tcPr>
            <w:tcW w:w="1230" w:type="pct"/>
            <w:vAlign w:val="center"/>
          </w:tcPr>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54 with HCC randomized in 2 groups, before treatment</w:t>
            </w:r>
          </w:p>
        </w:tc>
        <w:tc>
          <w:tcPr>
            <w:tcW w:w="978" w:type="pct"/>
            <w:vAlign w:val="center"/>
          </w:tcPr>
          <w:p w:rsidR="00BF4F43" w:rsidRPr="00786942" w:rsidRDefault="00BF4F43" w:rsidP="008D6C0C">
            <w:pPr>
              <w:pStyle w:val="-1"/>
              <w:numPr>
                <w:ilvl w:val="0"/>
                <w:numId w:val="8"/>
              </w:numPr>
              <w:adjustRightInd w:val="0"/>
              <w:snapToGrid w:val="0"/>
              <w:spacing w:line="360" w:lineRule="auto"/>
              <w:ind w:left="0" w:right="0" w:firstLine="0"/>
              <w:contextualSpacing w:val="0"/>
              <w:jc w:val="center"/>
              <w:rPr>
                <w:rFonts w:ascii="Book Antiqua" w:hAnsi="Book Antiqua"/>
                <w:lang w:val="en-US"/>
              </w:rPr>
            </w:pPr>
            <w:r w:rsidRPr="00786942">
              <w:rPr>
                <w:rFonts w:ascii="Book Antiqua" w:hAnsi="Book Antiqua"/>
                <w:lang w:val="en-US"/>
              </w:rPr>
              <w:t>HCC treatment</w:t>
            </w:r>
          </w:p>
          <w:p w:rsidR="00BF4F43" w:rsidRPr="00786942" w:rsidRDefault="00BF4F43" w:rsidP="008D6C0C">
            <w:pPr>
              <w:pStyle w:val="-1"/>
              <w:numPr>
                <w:ilvl w:val="0"/>
                <w:numId w:val="8"/>
              </w:numPr>
              <w:adjustRightInd w:val="0"/>
              <w:snapToGrid w:val="0"/>
              <w:spacing w:line="360" w:lineRule="auto"/>
              <w:ind w:left="0" w:right="0" w:firstLine="0"/>
              <w:contextualSpacing w:val="0"/>
              <w:jc w:val="center"/>
              <w:rPr>
                <w:rFonts w:ascii="Book Antiqua" w:hAnsi="Book Antiqua"/>
                <w:lang w:val="en-US"/>
              </w:rPr>
            </w:pPr>
            <w:r w:rsidRPr="00786942">
              <w:rPr>
                <w:rFonts w:ascii="Book Antiqua" w:hAnsi="Book Antiqua"/>
                <w:lang w:val="en-US"/>
              </w:rPr>
              <w:t>HCC treatment + ACE-I and Vit. K</w:t>
            </w:r>
          </w:p>
        </w:tc>
        <w:tc>
          <w:tcPr>
            <w:tcW w:w="1228" w:type="pct"/>
            <w:vAlign w:val="center"/>
          </w:tcPr>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77%</w:t>
            </w:r>
          </w:p>
          <w:p w:rsidR="00BF4F43" w:rsidRPr="00786942" w:rsidRDefault="00BF4F43"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40%</w:t>
            </w:r>
          </w:p>
        </w:tc>
        <w:tc>
          <w:tcPr>
            <w:tcW w:w="668" w:type="pct"/>
            <w:vAlign w:val="center"/>
          </w:tcPr>
          <w:p w:rsidR="00BF4F43" w:rsidRPr="00786942" w:rsidRDefault="000401B7" w:rsidP="008D6C0C">
            <w:pPr>
              <w:pStyle w:val="-1"/>
              <w:adjustRightInd w:val="0"/>
              <w:snapToGrid w:val="0"/>
              <w:spacing w:line="360" w:lineRule="auto"/>
              <w:ind w:left="0" w:right="0"/>
              <w:contextualSpacing w:val="0"/>
              <w:jc w:val="center"/>
              <w:rPr>
                <w:rFonts w:ascii="Book Antiqua" w:hAnsi="Book Antiqua"/>
                <w:lang w:val="en-US"/>
              </w:rPr>
            </w:pPr>
            <w:r w:rsidRPr="00786942">
              <w:rPr>
                <w:rFonts w:ascii="Book Antiqua" w:hAnsi="Book Antiqua"/>
                <w:lang w:val="en-US"/>
              </w:rPr>
              <w:t>I</w:t>
            </w:r>
            <w:r w:rsidRPr="000401B7">
              <w:rPr>
                <w:rFonts w:ascii="Book Antiqua" w:hAnsi="Book Antiqua"/>
                <w:i/>
                <w:lang w:val="en-US"/>
              </w:rPr>
              <w:t xml:space="preserve"> vs</w:t>
            </w:r>
            <w:r w:rsidR="00BF4F43" w:rsidRPr="00786942">
              <w:rPr>
                <w:rFonts w:ascii="Book Antiqua" w:hAnsi="Book Antiqua"/>
                <w:lang w:val="en-US"/>
              </w:rPr>
              <w:t xml:space="preserve"> II &lt; 0.01</w:t>
            </w:r>
          </w:p>
        </w:tc>
      </w:tr>
      <w:tr w:rsidR="00357D80" w:rsidRPr="00786942" w:rsidTr="009802BF">
        <w:trPr>
          <w:trHeight w:val="1325"/>
        </w:trPr>
        <w:tc>
          <w:tcPr>
            <w:tcW w:w="897" w:type="pct"/>
            <w:vAlign w:val="center"/>
          </w:tcPr>
          <w:p w:rsidR="00357D80" w:rsidRPr="000401B7" w:rsidRDefault="00357D80" w:rsidP="00786942">
            <w:pPr>
              <w:adjustRightInd w:val="0"/>
              <w:snapToGrid w:val="0"/>
              <w:spacing w:line="360" w:lineRule="auto"/>
              <w:ind w:right="0"/>
              <w:rPr>
                <w:rFonts w:ascii="Book Antiqua" w:hAnsi="Book Antiqua"/>
                <w:lang w:val="en-US"/>
              </w:rPr>
            </w:pPr>
            <w:r w:rsidRPr="000401B7">
              <w:rPr>
                <w:rFonts w:ascii="Book Antiqua" w:hAnsi="Book Antiqua"/>
                <w:lang w:val="en-US"/>
              </w:rPr>
              <w:t>Observational studies</w:t>
            </w:r>
          </w:p>
        </w:tc>
        <w:tc>
          <w:tcPr>
            <w:tcW w:w="1230"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p>
        </w:tc>
        <w:tc>
          <w:tcPr>
            <w:tcW w:w="978" w:type="pct"/>
            <w:vAlign w:val="center"/>
          </w:tcPr>
          <w:p w:rsidR="00357D80" w:rsidRPr="00786942" w:rsidRDefault="00357D80" w:rsidP="008D6C0C">
            <w:pPr>
              <w:pStyle w:val="-1"/>
              <w:adjustRightInd w:val="0"/>
              <w:snapToGrid w:val="0"/>
              <w:spacing w:line="360" w:lineRule="auto"/>
              <w:ind w:left="0" w:right="0"/>
              <w:contextualSpacing w:val="0"/>
              <w:jc w:val="center"/>
              <w:rPr>
                <w:rFonts w:ascii="Book Antiqua" w:hAnsi="Book Antiqua"/>
                <w:lang w:val="en-US"/>
              </w:rPr>
            </w:pPr>
          </w:p>
        </w:tc>
        <w:tc>
          <w:tcPr>
            <w:tcW w:w="122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p>
        </w:tc>
        <w:tc>
          <w:tcPr>
            <w:tcW w:w="668" w:type="pct"/>
            <w:vAlign w:val="center"/>
          </w:tcPr>
          <w:p w:rsidR="00357D80" w:rsidRPr="00786942" w:rsidRDefault="00357D80" w:rsidP="008D6C0C">
            <w:pPr>
              <w:pStyle w:val="-1"/>
              <w:adjustRightInd w:val="0"/>
              <w:snapToGrid w:val="0"/>
              <w:spacing w:line="360" w:lineRule="auto"/>
              <w:ind w:left="0" w:right="0"/>
              <w:contextualSpacing w:val="0"/>
              <w:jc w:val="center"/>
              <w:rPr>
                <w:rFonts w:ascii="Book Antiqua" w:hAnsi="Book Antiqua"/>
                <w:lang w:val="en-US"/>
              </w:rPr>
            </w:pPr>
          </w:p>
        </w:tc>
      </w:tr>
      <w:tr w:rsidR="00357D80" w:rsidRPr="00786942" w:rsidTr="009802BF">
        <w:tc>
          <w:tcPr>
            <w:tcW w:w="897" w:type="pct"/>
            <w:vAlign w:val="center"/>
          </w:tcPr>
          <w:p w:rsidR="00357D80" w:rsidRPr="00786942" w:rsidRDefault="00357D80" w:rsidP="00357D80">
            <w:pPr>
              <w:adjustRightInd w:val="0"/>
              <w:snapToGrid w:val="0"/>
              <w:spacing w:line="360" w:lineRule="auto"/>
              <w:ind w:right="0"/>
              <w:rPr>
                <w:rFonts w:ascii="Book Antiqua" w:hAnsi="Book Antiqua"/>
                <w:lang w:val="en-US"/>
              </w:rPr>
            </w:pPr>
            <w:r w:rsidRPr="00786942">
              <w:rPr>
                <w:rFonts w:ascii="Book Antiqua" w:hAnsi="Book Antiqua"/>
                <w:lang w:val="en-US"/>
              </w:rPr>
              <w:t>Authors</w:t>
            </w:r>
          </w:p>
        </w:tc>
        <w:tc>
          <w:tcPr>
            <w:tcW w:w="1230"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Patients</w:t>
            </w:r>
          </w:p>
        </w:tc>
        <w:tc>
          <w:tcPr>
            <w:tcW w:w="97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Treatment</w:t>
            </w:r>
          </w:p>
        </w:tc>
        <w:tc>
          <w:tcPr>
            <w:tcW w:w="1228" w:type="pct"/>
            <w:vAlign w:val="center"/>
          </w:tcPr>
          <w:p w:rsidR="00357D80" w:rsidRPr="00786942" w:rsidRDefault="000401B7" w:rsidP="008D6C0C">
            <w:pPr>
              <w:adjustRightInd w:val="0"/>
              <w:snapToGrid w:val="0"/>
              <w:spacing w:line="360" w:lineRule="auto"/>
              <w:ind w:right="0"/>
              <w:jc w:val="center"/>
              <w:rPr>
                <w:rFonts w:ascii="Book Antiqua" w:hAnsi="Book Antiqua"/>
                <w:lang w:val="en-US"/>
              </w:rPr>
            </w:pPr>
            <w:r>
              <w:rPr>
                <w:rFonts w:ascii="Book Antiqua" w:hAnsi="Book Antiqua"/>
                <w:lang w:val="en-US"/>
              </w:rPr>
              <w:t>OS,</w:t>
            </w:r>
            <w:r w:rsidR="00357D80" w:rsidRPr="00786942">
              <w:rPr>
                <w:rFonts w:ascii="Book Antiqua" w:hAnsi="Book Antiqua"/>
                <w:lang w:val="en-US"/>
              </w:rPr>
              <w:t xml:space="preserve"> </w:t>
            </w:r>
            <w:r>
              <w:rPr>
                <w:rFonts w:ascii="Book Antiqua" w:hAnsi="Book Antiqua"/>
                <w:lang w:val="en-US"/>
              </w:rPr>
              <w:t>HR, OR</w:t>
            </w:r>
          </w:p>
        </w:tc>
        <w:tc>
          <w:tcPr>
            <w:tcW w:w="668" w:type="pct"/>
            <w:vAlign w:val="center"/>
          </w:tcPr>
          <w:p w:rsidR="00357D80" w:rsidRPr="00786942" w:rsidRDefault="000401B7" w:rsidP="008D6C0C">
            <w:pPr>
              <w:adjustRightInd w:val="0"/>
              <w:snapToGrid w:val="0"/>
              <w:spacing w:line="360" w:lineRule="auto"/>
              <w:ind w:right="0"/>
              <w:jc w:val="center"/>
              <w:rPr>
                <w:rFonts w:ascii="Book Antiqua" w:hAnsi="Book Antiqua"/>
                <w:lang w:val="en-US"/>
              </w:rPr>
            </w:pPr>
            <w:r w:rsidRPr="000401B7">
              <w:rPr>
                <w:rFonts w:ascii="Book Antiqua" w:hAnsi="Book Antiqua"/>
                <w:i/>
                <w:lang w:val="en-US"/>
              </w:rPr>
              <w:t xml:space="preserve">P </w:t>
            </w:r>
            <w:r>
              <w:rPr>
                <w:rFonts w:ascii="Book Antiqua" w:hAnsi="Book Antiqua"/>
                <w:lang w:val="en-US"/>
              </w:rPr>
              <w:t>value</w:t>
            </w:r>
          </w:p>
        </w:tc>
      </w:tr>
      <w:tr w:rsidR="00357D80" w:rsidRPr="00786942" w:rsidTr="009802BF">
        <w:tc>
          <w:tcPr>
            <w:tcW w:w="897" w:type="pct"/>
            <w:vAlign w:val="center"/>
          </w:tcPr>
          <w:p w:rsidR="00357D80" w:rsidRPr="00786942" w:rsidRDefault="000401B7" w:rsidP="00357D80">
            <w:pPr>
              <w:adjustRightInd w:val="0"/>
              <w:snapToGrid w:val="0"/>
              <w:spacing w:line="360" w:lineRule="auto"/>
              <w:ind w:right="0"/>
              <w:rPr>
                <w:rFonts w:ascii="Book Antiqua" w:hAnsi="Book Antiqua"/>
                <w:lang w:val="en-US"/>
              </w:rPr>
            </w:pPr>
            <w:r>
              <w:rPr>
                <w:rFonts w:ascii="Book Antiqua" w:hAnsi="Book Antiqua"/>
                <w:lang w:val="en-US"/>
              </w:rPr>
              <w:t xml:space="preserve">Ho </w:t>
            </w:r>
            <w:r w:rsidRPr="000401B7">
              <w:rPr>
                <w:rFonts w:ascii="Book Antiqua" w:hAnsi="Book Antiqua"/>
                <w:i/>
                <w:lang w:val="en-US"/>
              </w:rPr>
              <w:t>et al</w:t>
            </w:r>
            <w:r>
              <w:rPr>
                <w:rFonts w:ascii="Book Antiqua" w:hAnsi="Book Antiqua"/>
                <w:vertAlign w:val="superscript"/>
                <w:lang w:val="en-US"/>
              </w:rPr>
              <w:t>[16]</w:t>
            </w:r>
          </w:p>
        </w:tc>
        <w:tc>
          <w:tcPr>
            <w:tcW w:w="1230"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7724 HBV-patients</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7873 HCV- patients</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at high-risk of HCC development</w:t>
            </w:r>
          </w:p>
        </w:tc>
        <w:tc>
          <w:tcPr>
            <w:tcW w:w="97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ACE-I or ARB (46.3% in HBV and 42.5% in HCV) within 6 mo after initiating DAAs</w:t>
            </w:r>
          </w:p>
        </w:tc>
        <w:tc>
          <w:tcPr>
            <w:tcW w:w="122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HCC risk after ACE-I and ARB exposure,</w:t>
            </w:r>
          </w:p>
          <w:p w:rsidR="00357D80" w:rsidRPr="00786942" w:rsidRDefault="000401B7" w:rsidP="008D6C0C">
            <w:pPr>
              <w:adjustRightInd w:val="0"/>
              <w:snapToGrid w:val="0"/>
              <w:spacing w:line="360" w:lineRule="auto"/>
              <w:ind w:right="0"/>
              <w:jc w:val="center"/>
              <w:rPr>
                <w:rFonts w:ascii="Book Antiqua" w:hAnsi="Book Antiqua"/>
                <w:lang w:val="en-US"/>
              </w:rPr>
            </w:pPr>
            <w:r>
              <w:rPr>
                <w:rFonts w:ascii="Book Antiqua" w:hAnsi="Book Antiqua"/>
                <w:lang w:val="en-US"/>
              </w:rPr>
              <w:t>HR = 0.97, 95%</w:t>
            </w:r>
            <w:r w:rsidR="00357D80" w:rsidRPr="00786942">
              <w:rPr>
                <w:rFonts w:ascii="Book Antiqua" w:hAnsi="Book Antiqua"/>
                <w:lang w:val="en-US"/>
              </w:rPr>
              <w:t>CI</w:t>
            </w:r>
            <w:r>
              <w:rPr>
                <w:rFonts w:ascii="Book Antiqua" w:hAnsi="Book Antiqua"/>
                <w:lang w:val="en-US"/>
              </w:rPr>
              <w:t>:</w:t>
            </w:r>
            <w:r w:rsidR="00357D80" w:rsidRPr="00786942">
              <w:rPr>
                <w:rFonts w:ascii="Book Antiqua" w:hAnsi="Book Antiqua"/>
                <w:lang w:val="en-US"/>
              </w:rPr>
              <w:t xml:space="preserve"> 0.81-1.16</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HR </w:t>
            </w:r>
            <w:r w:rsidR="000401B7">
              <w:rPr>
                <w:rFonts w:ascii="Book Antiqua" w:hAnsi="Book Antiqua"/>
                <w:lang w:val="en-US"/>
              </w:rPr>
              <w:t>= 0.96, 95%</w:t>
            </w:r>
            <w:r w:rsidRPr="00786942">
              <w:rPr>
                <w:rFonts w:ascii="Book Antiqua" w:hAnsi="Book Antiqua"/>
                <w:lang w:val="en-US"/>
              </w:rPr>
              <w:t>CI</w:t>
            </w:r>
            <w:r w:rsidR="000401B7">
              <w:rPr>
                <w:rFonts w:ascii="Book Antiqua" w:hAnsi="Book Antiqua"/>
                <w:lang w:val="en-US"/>
              </w:rPr>
              <w:t>:</w:t>
            </w:r>
            <w:r w:rsidRPr="00786942">
              <w:rPr>
                <w:rFonts w:ascii="Book Antiqua" w:hAnsi="Book Antiqua"/>
                <w:lang w:val="en-US"/>
              </w:rPr>
              <w:t xml:space="preserve"> 0.80-1.16</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respectively</w:t>
            </w:r>
          </w:p>
        </w:tc>
        <w:tc>
          <w:tcPr>
            <w:tcW w:w="66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n.s.</w:t>
            </w:r>
            <w:r w:rsidR="000401B7">
              <w:rPr>
                <w:rFonts w:ascii="Book Antiqua" w:hAnsi="Book Antiqua"/>
                <w:vertAlign w:val="superscript"/>
                <w:lang w:val="en-US"/>
              </w:rPr>
              <w:t>1</w:t>
            </w:r>
          </w:p>
        </w:tc>
      </w:tr>
      <w:tr w:rsidR="00357D80" w:rsidRPr="00786942" w:rsidTr="009802BF">
        <w:tc>
          <w:tcPr>
            <w:tcW w:w="897" w:type="pct"/>
            <w:vAlign w:val="center"/>
          </w:tcPr>
          <w:p w:rsidR="00357D80" w:rsidRPr="00786942" w:rsidRDefault="000401B7" w:rsidP="000401B7">
            <w:pPr>
              <w:adjustRightInd w:val="0"/>
              <w:snapToGrid w:val="0"/>
              <w:spacing w:line="360" w:lineRule="auto"/>
              <w:ind w:right="0"/>
              <w:rPr>
                <w:rFonts w:ascii="Book Antiqua" w:hAnsi="Book Antiqua"/>
                <w:lang w:val="en-US"/>
              </w:rPr>
            </w:pPr>
            <w:r>
              <w:rPr>
                <w:rFonts w:ascii="Book Antiqua" w:hAnsi="Book Antiqua"/>
                <w:lang w:val="en-US"/>
              </w:rPr>
              <w:t xml:space="preserve">Hagberg </w:t>
            </w:r>
            <w:r w:rsidR="00357D80" w:rsidRPr="000401B7">
              <w:rPr>
                <w:rFonts w:ascii="Book Antiqua" w:hAnsi="Book Antiqua"/>
                <w:i/>
                <w:lang w:val="en-US"/>
              </w:rPr>
              <w:t>et al</w:t>
            </w:r>
            <w:r>
              <w:rPr>
                <w:rFonts w:ascii="Book Antiqua" w:hAnsi="Book Antiqua"/>
                <w:vertAlign w:val="superscript"/>
                <w:lang w:val="en-US"/>
              </w:rPr>
              <w:t>[17]</w:t>
            </w:r>
          </w:p>
        </w:tc>
        <w:tc>
          <w:tcPr>
            <w:tcW w:w="1230"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490 HCC</w:t>
            </w:r>
          </w:p>
          <w:p w:rsidR="00357D80" w:rsidRPr="00786942" w:rsidRDefault="000401B7" w:rsidP="008D6C0C">
            <w:pPr>
              <w:adjustRightInd w:val="0"/>
              <w:snapToGrid w:val="0"/>
              <w:spacing w:line="360" w:lineRule="auto"/>
              <w:ind w:right="0"/>
              <w:jc w:val="center"/>
              <w:rPr>
                <w:rFonts w:ascii="Book Antiqua" w:hAnsi="Book Antiqua"/>
                <w:lang w:val="en-US"/>
              </w:rPr>
            </w:pPr>
            <w:r>
              <w:rPr>
                <w:rFonts w:ascii="Book Antiqua" w:hAnsi="Book Antiqua"/>
                <w:lang w:val="en-US"/>
              </w:rPr>
              <w:t>1909 c</w:t>
            </w:r>
            <w:r w:rsidR="00357D80" w:rsidRPr="00786942">
              <w:rPr>
                <w:rFonts w:ascii="Book Antiqua" w:hAnsi="Book Antiqua"/>
                <w:lang w:val="en-US"/>
              </w:rPr>
              <w:t>ontrols</w:t>
            </w:r>
          </w:p>
        </w:tc>
        <w:tc>
          <w:tcPr>
            <w:tcW w:w="97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ACE-I or ARBs</w:t>
            </w:r>
          </w:p>
        </w:tc>
        <w:tc>
          <w:tcPr>
            <w:tcW w:w="122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OR </w:t>
            </w:r>
            <w:r w:rsidR="000401B7">
              <w:rPr>
                <w:rFonts w:ascii="Book Antiqua" w:hAnsi="Book Antiqua"/>
                <w:lang w:val="en-US"/>
              </w:rPr>
              <w:t>= 1.14, 95%</w:t>
            </w:r>
            <w:r w:rsidRPr="00786942">
              <w:rPr>
                <w:rFonts w:ascii="Book Antiqua" w:hAnsi="Book Antiqua"/>
                <w:lang w:val="en-US"/>
              </w:rPr>
              <w:t>CI</w:t>
            </w:r>
            <w:r w:rsidR="000401B7">
              <w:rPr>
                <w:rFonts w:ascii="Book Antiqua" w:hAnsi="Book Antiqua"/>
                <w:lang w:val="en-US"/>
              </w:rPr>
              <w:t>:</w:t>
            </w:r>
            <w:r w:rsidRPr="00786942">
              <w:rPr>
                <w:rFonts w:ascii="Book Antiqua" w:hAnsi="Book Antiqua"/>
                <w:lang w:val="en-US"/>
              </w:rPr>
              <w:t xml:space="preserve"> 0.85-1.55</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users </w:t>
            </w:r>
            <w:r w:rsidR="000401B7" w:rsidRPr="000401B7">
              <w:rPr>
                <w:rFonts w:ascii="Book Antiqua" w:hAnsi="Book Antiqua"/>
                <w:i/>
                <w:lang w:val="en-US"/>
              </w:rPr>
              <w:t>vs</w:t>
            </w:r>
            <w:r w:rsidRPr="00786942">
              <w:rPr>
                <w:rFonts w:ascii="Book Antiqua" w:hAnsi="Book Antiqua"/>
                <w:lang w:val="en-US"/>
              </w:rPr>
              <w:t xml:space="preserve"> non- users</w:t>
            </w:r>
          </w:p>
        </w:tc>
        <w:tc>
          <w:tcPr>
            <w:tcW w:w="66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n.s.</w:t>
            </w:r>
            <w:r w:rsidR="000401B7" w:rsidRPr="000401B7">
              <w:rPr>
                <w:rFonts w:ascii="Book Antiqua" w:hAnsi="Book Antiqua"/>
                <w:vertAlign w:val="superscript"/>
                <w:lang w:val="en-US"/>
              </w:rPr>
              <w:t>2</w:t>
            </w:r>
          </w:p>
        </w:tc>
      </w:tr>
      <w:tr w:rsidR="00357D80" w:rsidRPr="00786942" w:rsidTr="009802BF">
        <w:tc>
          <w:tcPr>
            <w:tcW w:w="897" w:type="pct"/>
            <w:vAlign w:val="center"/>
          </w:tcPr>
          <w:p w:rsidR="00357D80" w:rsidRPr="00786942" w:rsidRDefault="00357D80" w:rsidP="000401B7">
            <w:pPr>
              <w:adjustRightInd w:val="0"/>
              <w:snapToGrid w:val="0"/>
              <w:spacing w:line="360" w:lineRule="auto"/>
              <w:ind w:right="0"/>
              <w:rPr>
                <w:rFonts w:ascii="Book Antiqua" w:hAnsi="Book Antiqua"/>
                <w:lang w:val="en-US"/>
              </w:rPr>
            </w:pPr>
            <w:r w:rsidRPr="00786942">
              <w:rPr>
                <w:rFonts w:ascii="Book Antiqua" w:hAnsi="Book Antiqua"/>
                <w:lang w:val="en-US"/>
              </w:rPr>
              <w:t xml:space="preserve">Walker </w:t>
            </w:r>
            <w:r w:rsidRPr="000401B7">
              <w:rPr>
                <w:rFonts w:ascii="Book Antiqua" w:hAnsi="Book Antiqua"/>
                <w:i/>
                <w:lang w:val="en-US"/>
              </w:rPr>
              <w:t>et al</w:t>
            </w:r>
            <w:r w:rsidR="000401B7">
              <w:rPr>
                <w:rFonts w:ascii="Book Antiqua" w:hAnsi="Book Antiqua"/>
                <w:vertAlign w:val="superscript"/>
                <w:lang w:val="en-US"/>
              </w:rPr>
              <w:t>[18]</w:t>
            </w:r>
          </w:p>
        </w:tc>
        <w:tc>
          <w:tcPr>
            <w:tcW w:w="1230"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224 HCC</w:t>
            </w:r>
          </w:p>
          <w:p w:rsidR="00357D80" w:rsidRPr="00786942" w:rsidRDefault="000401B7" w:rsidP="008D6C0C">
            <w:pPr>
              <w:adjustRightInd w:val="0"/>
              <w:snapToGrid w:val="0"/>
              <w:spacing w:line="360" w:lineRule="auto"/>
              <w:ind w:right="0"/>
              <w:jc w:val="center"/>
              <w:rPr>
                <w:rFonts w:ascii="Book Antiqua" w:hAnsi="Book Antiqua"/>
                <w:lang w:val="en-US"/>
              </w:rPr>
            </w:pPr>
            <w:r>
              <w:rPr>
                <w:rFonts w:ascii="Book Antiqua" w:hAnsi="Book Antiqua"/>
                <w:lang w:val="en-US"/>
              </w:rPr>
              <w:t>2313 c</w:t>
            </w:r>
            <w:r w:rsidR="00357D80" w:rsidRPr="00786942">
              <w:rPr>
                <w:rFonts w:ascii="Book Antiqua" w:hAnsi="Book Antiqua"/>
                <w:lang w:val="en-US"/>
              </w:rPr>
              <w:t>ontrols</w:t>
            </w:r>
          </w:p>
        </w:tc>
        <w:tc>
          <w:tcPr>
            <w:tcW w:w="978" w:type="pct"/>
            <w:vAlign w:val="center"/>
          </w:tcPr>
          <w:p w:rsidR="00357D80" w:rsidRPr="00786942" w:rsidRDefault="00357D80" w:rsidP="008D6C0C">
            <w:pPr>
              <w:pStyle w:val="-1"/>
              <w:adjustRightInd w:val="0"/>
              <w:snapToGrid w:val="0"/>
              <w:spacing w:line="360" w:lineRule="auto"/>
              <w:ind w:left="0" w:right="0"/>
              <w:contextualSpacing w:val="0"/>
              <w:jc w:val="center"/>
              <w:rPr>
                <w:rFonts w:ascii="Book Antiqua" w:hAnsi="Book Antiqua"/>
                <w:lang w:val="en-US"/>
              </w:rPr>
            </w:pPr>
            <w:r w:rsidRPr="00786942">
              <w:rPr>
                <w:rFonts w:ascii="Book Antiqua" w:hAnsi="Book Antiqua"/>
                <w:lang w:val="en-US"/>
              </w:rPr>
              <w:t>7% ACE-I users in HCC group</w:t>
            </w:r>
          </w:p>
          <w:p w:rsidR="00357D80" w:rsidRPr="00786942" w:rsidRDefault="00357D80" w:rsidP="008D6C0C">
            <w:pPr>
              <w:pStyle w:val="-1"/>
              <w:adjustRightInd w:val="0"/>
              <w:snapToGrid w:val="0"/>
              <w:spacing w:line="360" w:lineRule="auto"/>
              <w:ind w:left="0" w:right="0"/>
              <w:contextualSpacing w:val="0"/>
              <w:jc w:val="center"/>
              <w:rPr>
                <w:rFonts w:ascii="Book Antiqua" w:hAnsi="Book Antiqua"/>
                <w:lang w:val="en-US"/>
              </w:rPr>
            </w:pPr>
            <w:r w:rsidRPr="00786942">
              <w:rPr>
                <w:rFonts w:ascii="Book Antiqua" w:hAnsi="Book Antiqua"/>
                <w:lang w:val="en-US"/>
              </w:rPr>
              <w:t>5.9% ACE-I users in control group</w:t>
            </w:r>
          </w:p>
        </w:tc>
        <w:tc>
          <w:tcPr>
            <w:tcW w:w="122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OR </w:t>
            </w:r>
            <w:r w:rsidR="000401B7">
              <w:rPr>
                <w:rFonts w:ascii="Book Antiqua" w:hAnsi="Book Antiqua"/>
                <w:lang w:val="en-US"/>
              </w:rPr>
              <w:t>= 1.29, 95%</w:t>
            </w:r>
            <w:r w:rsidRPr="00786942">
              <w:rPr>
                <w:rFonts w:ascii="Book Antiqua" w:hAnsi="Book Antiqua"/>
                <w:lang w:val="en-US"/>
              </w:rPr>
              <w:t>CI</w:t>
            </w:r>
            <w:r w:rsidR="000401B7">
              <w:rPr>
                <w:rFonts w:ascii="Book Antiqua" w:hAnsi="Book Antiqua"/>
                <w:lang w:val="en-US"/>
              </w:rPr>
              <w:t>:</w:t>
            </w:r>
            <w:r w:rsidRPr="00786942">
              <w:rPr>
                <w:rFonts w:ascii="Book Antiqua" w:hAnsi="Book Antiqua"/>
                <w:lang w:val="en-US"/>
              </w:rPr>
              <w:t xml:space="preserve"> 0.88-1.88</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unexposed </w:t>
            </w:r>
            <w:r w:rsidR="000401B7" w:rsidRPr="000401B7">
              <w:rPr>
                <w:rFonts w:ascii="Book Antiqua" w:hAnsi="Book Antiqua"/>
                <w:i/>
                <w:lang w:val="en-US"/>
              </w:rPr>
              <w:t>vs</w:t>
            </w:r>
            <w:r w:rsidRPr="000401B7">
              <w:rPr>
                <w:rFonts w:ascii="Book Antiqua" w:hAnsi="Book Antiqua"/>
                <w:i/>
                <w:lang w:val="en-US"/>
              </w:rPr>
              <w:t xml:space="preserve"> </w:t>
            </w:r>
            <w:r w:rsidRPr="00786942">
              <w:rPr>
                <w:rFonts w:ascii="Book Antiqua" w:hAnsi="Book Antiqua"/>
                <w:lang w:val="en-US"/>
              </w:rPr>
              <w:t>exposed</w:t>
            </w:r>
          </w:p>
        </w:tc>
        <w:tc>
          <w:tcPr>
            <w:tcW w:w="66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n.s.</w:t>
            </w:r>
            <w:r w:rsidR="000401B7" w:rsidRPr="000401B7">
              <w:rPr>
                <w:rFonts w:ascii="Book Antiqua" w:hAnsi="Book Antiqua"/>
                <w:vertAlign w:val="superscript"/>
                <w:lang w:val="en-US"/>
              </w:rPr>
              <w:t>3</w:t>
            </w:r>
          </w:p>
        </w:tc>
      </w:tr>
      <w:tr w:rsidR="00357D80" w:rsidRPr="00786942" w:rsidTr="009802BF">
        <w:tc>
          <w:tcPr>
            <w:tcW w:w="897" w:type="pct"/>
            <w:vAlign w:val="center"/>
          </w:tcPr>
          <w:p w:rsidR="00357D80" w:rsidRPr="00786942" w:rsidRDefault="00357D80" w:rsidP="000401B7">
            <w:pPr>
              <w:adjustRightInd w:val="0"/>
              <w:snapToGrid w:val="0"/>
              <w:spacing w:line="360" w:lineRule="auto"/>
              <w:ind w:right="0"/>
              <w:rPr>
                <w:rFonts w:ascii="Book Antiqua" w:hAnsi="Book Antiqua"/>
                <w:lang w:val="en-US"/>
              </w:rPr>
            </w:pPr>
            <w:r w:rsidRPr="00786942">
              <w:rPr>
                <w:rFonts w:ascii="Book Antiqua" w:hAnsi="Book Antiqua"/>
                <w:lang w:val="en-US"/>
              </w:rPr>
              <w:t xml:space="preserve">Pinter </w:t>
            </w:r>
            <w:r w:rsidRPr="000401B7">
              <w:rPr>
                <w:rFonts w:ascii="Book Antiqua" w:hAnsi="Book Antiqua"/>
                <w:i/>
                <w:lang w:val="en-US"/>
              </w:rPr>
              <w:t>et al</w:t>
            </w:r>
            <w:r w:rsidR="000401B7">
              <w:rPr>
                <w:rFonts w:ascii="Book Antiqua" w:hAnsi="Book Antiqua"/>
                <w:vertAlign w:val="superscript"/>
                <w:lang w:val="en-US"/>
              </w:rPr>
              <w:t>[19]</w:t>
            </w:r>
          </w:p>
        </w:tc>
        <w:tc>
          <w:tcPr>
            <w:tcW w:w="1230"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156,</w:t>
            </w:r>
            <w:r w:rsidR="000401B7">
              <w:rPr>
                <w:rFonts w:ascii="Book Antiqua" w:hAnsi="Book Antiqua"/>
                <w:lang w:val="en-US"/>
              </w:rPr>
              <w:t xml:space="preserve"> </w:t>
            </w:r>
            <w:r w:rsidRPr="00786942">
              <w:rPr>
                <w:rFonts w:ascii="Book Antiqua" w:hAnsi="Book Antiqua"/>
                <w:lang w:val="en-US"/>
              </w:rPr>
              <w:t>with Sorafenib or supportive therapy</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76, (confir</w:t>
            </w:r>
            <w:r w:rsidR="000401B7">
              <w:rPr>
                <w:rFonts w:ascii="Book Antiqua" w:hAnsi="Book Antiqua"/>
                <w:lang w:val="en-US"/>
              </w:rPr>
              <w:t>mation cohort) with s</w:t>
            </w:r>
            <w:r w:rsidRPr="00786942">
              <w:rPr>
                <w:rFonts w:ascii="Book Antiqua" w:hAnsi="Book Antiqua"/>
                <w:lang w:val="en-US"/>
              </w:rPr>
              <w:t>orafenib or supportive therapy</w:t>
            </w:r>
          </w:p>
        </w:tc>
        <w:tc>
          <w:tcPr>
            <w:tcW w:w="97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ACE-I or ARBs</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in 43 pts.</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ACE-I or ARBs</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in 38 pts.</w:t>
            </w:r>
          </w:p>
        </w:tc>
        <w:tc>
          <w:tcPr>
            <w:tcW w:w="122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OS </w:t>
            </w:r>
            <w:r w:rsidR="000401B7">
              <w:rPr>
                <w:rFonts w:ascii="Book Antiqua" w:hAnsi="Book Antiqua"/>
                <w:lang w:val="en-US"/>
              </w:rPr>
              <w:t xml:space="preserve">= </w:t>
            </w:r>
            <w:r w:rsidRPr="00786942">
              <w:rPr>
                <w:rFonts w:ascii="Book Antiqua" w:hAnsi="Book Antiqua"/>
                <w:lang w:val="en-US"/>
              </w:rPr>
              <w:t>11.9</w:t>
            </w:r>
            <w:r w:rsidR="000401B7">
              <w:rPr>
                <w:rFonts w:ascii="Book Antiqua" w:hAnsi="Book Antiqua"/>
                <w:lang w:val="en-US"/>
              </w:rPr>
              <w:t xml:space="preserve"> mo</w:t>
            </w:r>
            <w:r w:rsidRPr="00786942">
              <w:rPr>
                <w:rFonts w:ascii="Book Antiqua" w:hAnsi="Book Antiqua"/>
                <w:lang w:val="en-US"/>
              </w:rPr>
              <w:t xml:space="preserve"> </w:t>
            </w:r>
            <w:r w:rsidR="000401B7" w:rsidRPr="000401B7">
              <w:rPr>
                <w:rFonts w:ascii="Book Antiqua" w:hAnsi="Book Antiqua"/>
                <w:i/>
                <w:lang w:val="en-US"/>
              </w:rPr>
              <w:t>vs</w:t>
            </w:r>
            <w:r w:rsidRPr="00786942">
              <w:rPr>
                <w:rFonts w:ascii="Book Antiqua" w:hAnsi="Book Antiqua"/>
                <w:lang w:val="en-US"/>
              </w:rPr>
              <w:t xml:space="preserve"> 6.8 mo</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HR</w:t>
            </w:r>
            <w:r w:rsidRPr="00786942">
              <w:rPr>
                <w:rFonts w:ascii="Calibri" w:eastAsia="Calibri" w:hAnsi="Calibri" w:cs="Calibri"/>
                <w:lang w:val="en-US"/>
              </w:rPr>
              <w:t> </w:t>
            </w:r>
            <w:r w:rsidR="000401B7">
              <w:rPr>
                <w:rFonts w:ascii="Calibri" w:eastAsia="Calibri" w:hAnsi="Calibri" w:cs="Calibri"/>
                <w:lang w:val="en-US"/>
              </w:rPr>
              <w:t xml:space="preserve">= </w:t>
            </w:r>
            <w:r w:rsidR="000401B7">
              <w:rPr>
                <w:rFonts w:ascii="Book Antiqua" w:hAnsi="Book Antiqua"/>
                <w:lang w:val="en-US"/>
              </w:rPr>
              <w:t>0.6,</w:t>
            </w:r>
            <w:r w:rsidRPr="00786942">
              <w:rPr>
                <w:rFonts w:ascii="Book Antiqua" w:hAnsi="Book Antiqua"/>
                <w:lang w:val="en-US"/>
              </w:rPr>
              <w:t xml:space="preserve"> 95%CI</w:t>
            </w:r>
            <w:r w:rsidR="000401B7">
              <w:rPr>
                <w:rFonts w:ascii="Book Antiqua" w:hAnsi="Book Antiqua"/>
                <w:lang w:val="en-US"/>
              </w:rPr>
              <w:t>:</w:t>
            </w:r>
            <w:r w:rsidRPr="00786942">
              <w:rPr>
                <w:rFonts w:ascii="Book Antiqua" w:hAnsi="Book Antiqua"/>
                <w:lang w:val="en-US"/>
              </w:rPr>
              <w:t xml:space="preserve"> 0.4-0.9</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OS </w:t>
            </w:r>
            <w:r w:rsidR="000401B7">
              <w:rPr>
                <w:rFonts w:ascii="Book Antiqua" w:hAnsi="Book Antiqua"/>
                <w:lang w:val="en-US"/>
              </w:rPr>
              <w:t xml:space="preserve">= </w:t>
            </w:r>
            <w:r w:rsidRPr="00786942">
              <w:rPr>
                <w:rFonts w:ascii="Book Antiqua" w:hAnsi="Book Antiqua"/>
                <w:lang w:val="en-US"/>
              </w:rPr>
              <w:t>19.5</w:t>
            </w:r>
            <w:r w:rsidR="000401B7">
              <w:rPr>
                <w:rFonts w:ascii="Book Antiqua" w:hAnsi="Book Antiqua"/>
                <w:lang w:val="en-US"/>
              </w:rPr>
              <w:t xml:space="preserve"> mo</w:t>
            </w:r>
            <w:r w:rsidRPr="00786942">
              <w:rPr>
                <w:rFonts w:ascii="Calibri" w:eastAsia="Calibri" w:hAnsi="Calibri" w:cs="Calibri"/>
                <w:lang w:val="en-US"/>
              </w:rPr>
              <w:t> </w:t>
            </w:r>
            <w:r w:rsidR="000401B7" w:rsidRPr="000401B7">
              <w:rPr>
                <w:rFonts w:ascii="Book Antiqua" w:hAnsi="Book Antiqua"/>
                <w:i/>
                <w:lang w:val="en-US"/>
              </w:rPr>
              <w:t>vs</w:t>
            </w:r>
            <w:r w:rsidRPr="00786942">
              <w:rPr>
                <w:rFonts w:ascii="Book Antiqua" w:hAnsi="Book Antiqua"/>
                <w:lang w:val="en-US"/>
              </w:rPr>
              <w:t xml:space="preserve"> 10.9 mo</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HR</w:t>
            </w:r>
            <w:r w:rsidRPr="00786942">
              <w:rPr>
                <w:rFonts w:ascii="Calibri" w:eastAsia="Calibri" w:hAnsi="Calibri" w:cs="Calibri"/>
                <w:lang w:val="en-US"/>
              </w:rPr>
              <w:t> </w:t>
            </w:r>
            <w:r w:rsidR="000401B7">
              <w:rPr>
                <w:rFonts w:ascii="Calibri" w:eastAsia="Calibri" w:hAnsi="Calibri" w:cs="Calibri"/>
                <w:lang w:val="en-US"/>
              </w:rPr>
              <w:t xml:space="preserve">= </w:t>
            </w:r>
            <w:r w:rsidR="000401B7">
              <w:rPr>
                <w:rFonts w:ascii="Book Antiqua" w:hAnsi="Book Antiqua"/>
                <w:lang w:val="en-US"/>
              </w:rPr>
              <w:t>0.5,</w:t>
            </w:r>
            <w:r w:rsidRPr="00786942">
              <w:rPr>
                <w:rFonts w:ascii="Book Antiqua" w:hAnsi="Book Antiqua"/>
                <w:lang w:val="en-US"/>
              </w:rPr>
              <w:t xml:space="preserve"> 95%CI</w:t>
            </w:r>
            <w:r w:rsidR="000401B7">
              <w:rPr>
                <w:rFonts w:ascii="Book Antiqua" w:hAnsi="Book Antiqua"/>
                <w:lang w:val="en-US"/>
              </w:rPr>
              <w:t>:</w:t>
            </w:r>
            <w:r w:rsidRPr="00786942">
              <w:rPr>
                <w:rFonts w:ascii="Book Antiqua" w:hAnsi="Book Antiqua"/>
                <w:lang w:val="en-US"/>
              </w:rPr>
              <w:t xml:space="preserve"> 0.3-1.0</w:t>
            </w:r>
          </w:p>
        </w:tc>
        <w:tc>
          <w:tcPr>
            <w:tcW w:w="668" w:type="pct"/>
            <w:vAlign w:val="center"/>
          </w:tcPr>
          <w:p w:rsidR="00357D80" w:rsidRPr="00786942" w:rsidRDefault="000401B7" w:rsidP="008D6C0C">
            <w:pPr>
              <w:adjustRightInd w:val="0"/>
              <w:snapToGrid w:val="0"/>
              <w:spacing w:line="360" w:lineRule="auto"/>
              <w:ind w:right="0"/>
              <w:jc w:val="center"/>
              <w:rPr>
                <w:rFonts w:ascii="Book Antiqua" w:hAnsi="Book Antiqua"/>
                <w:lang w:val="en-US"/>
              </w:rPr>
            </w:pPr>
            <w:bookmarkStart w:id="180" w:name="OLE_LINK687"/>
            <w:r w:rsidRPr="000401B7">
              <w:rPr>
                <w:rFonts w:ascii="Book Antiqua" w:hAnsi="Book Antiqua"/>
                <w:i/>
                <w:lang w:val="en-US"/>
              </w:rPr>
              <w:t xml:space="preserve">P </w:t>
            </w:r>
            <w:bookmarkEnd w:id="180"/>
            <w:r w:rsidR="00357D80" w:rsidRPr="00786942">
              <w:rPr>
                <w:rFonts w:ascii="Book Antiqua" w:hAnsi="Book Antiqua"/>
                <w:lang w:val="en-US"/>
              </w:rPr>
              <w:t>=</w:t>
            </w:r>
            <w:r>
              <w:rPr>
                <w:rFonts w:ascii="Book Antiqua" w:hAnsi="Book Antiqua"/>
                <w:lang w:val="en-US"/>
              </w:rPr>
              <w:t xml:space="preserve"> </w:t>
            </w:r>
            <w:r w:rsidR="00357D80" w:rsidRPr="00786942">
              <w:rPr>
                <w:rFonts w:ascii="Book Antiqua" w:hAnsi="Book Antiqua"/>
                <w:lang w:val="en-US"/>
              </w:rPr>
              <w:t>0.014</w:t>
            </w:r>
          </w:p>
          <w:p w:rsidR="00357D80" w:rsidRPr="00786942" w:rsidRDefault="000401B7" w:rsidP="008D6C0C">
            <w:pPr>
              <w:adjustRightInd w:val="0"/>
              <w:snapToGrid w:val="0"/>
              <w:spacing w:line="360" w:lineRule="auto"/>
              <w:ind w:right="0"/>
              <w:jc w:val="center"/>
              <w:rPr>
                <w:rFonts w:ascii="Book Antiqua" w:hAnsi="Book Antiqua"/>
                <w:lang w:val="en-US"/>
              </w:rPr>
            </w:pPr>
            <w:r w:rsidRPr="000401B7">
              <w:rPr>
                <w:rFonts w:ascii="Book Antiqua" w:hAnsi="Book Antiqua"/>
                <w:i/>
                <w:lang w:val="en-US"/>
              </w:rPr>
              <w:t xml:space="preserve">P </w:t>
            </w:r>
            <w:r w:rsidR="00357D80" w:rsidRPr="00786942">
              <w:rPr>
                <w:rFonts w:ascii="Book Antiqua" w:hAnsi="Book Antiqua"/>
                <w:lang w:val="en-US"/>
              </w:rPr>
              <w:t>=</w:t>
            </w:r>
            <w:r>
              <w:rPr>
                <w:rFonts w:ascii="Book Antiqua" w:hAnsi="Book Antiqua"/>
                <w:lang w:val="en-US"/>
              </w:rPr>
              <w:t xml:space="preserve"> </w:t>
            </w:r>
            <w:r w:rsidR="00357D80" w:rsidRPr="00786942">
              <w:rPr>
                <w:rFonts w:ascii="Book Antiqua" w:hAnsi="Book Antiqua"/>
                <w:lang w:val="en-US"/>
              </w:rPr>
              <w:t>0.011</w:t>
            </w:r>
          </w:p>
          <w:p w:rsidR="00357D80" w:rsidRPr="00786942" w:rsidRDefault="000401B7" w:rsidP="008D6C0C">
            <w:pPr>
              <w:adjustRightInd w:val="0"/>
              <w:snapToGrid w:val="0"/>
              <w:spacing w:line="360" w:lineRule="auto"/>
              <w:ind w:right="0"/>
              <w:jc w:val="center"/>
              <w:rPr>
                <w:rFonts w:ascii="Book Antiqua" w:hAnsi="Book Antiqua"/>
                <w:lang w:val="en-US"/>
              </w:rPr>
            </w:pPr>
            <w:r w:rsidRPr="000401B7">
              <w:rPr>
                <w:rFonts w:ascii="Book Antiqua" w:hAnsi="Book Antiqua"/>
                <w:i/>
                <w:lang w:val="en-US"/>
              </w:rPr>
              <w:t xml:space="preserve">P </w:t>
            </w:r>
            <w:r w:rsidR="00357D80" w:rsidRPr="00786942">
              <w:rPr>
                <w:rFonts w:ascii="Book Antiqua" w:hAnsi="Book Antiqua"/>
                <w:lang w:val="en-US"/>
              </w:rPr>
              <w:t>=</w:t>
            </w:r>
            <w:r>
              <w:rPr>
                <w:rFonts w:ascii="Book Antiqua" w:hAnsi="Book Antiqua"/>
                <w:lang w:val="en-US"/>
              </w:rPr>
              <w:t xml:space="preserve"> </w:t>
            </w:r>
            <w:r w:rsidR="00357D80" w:rsidRPr="00786942">
              <w:rPr>
                <w:rFonts w:ascii="Book Antiqua" w:hAnsi="Book Antiqua"/>
                <w:lang w:val="en-US"/>
              </w:rPr>
              <w:t>0.043</w:t>
            </w:r>
          </w:p>
          <w:p w:rsidR="00357D80" w:rsidRPr="00786942" w:rsidRDefault="000401B7" w:rsidP="008D6C0C">
            <w:pPr>
              <w:adjustRightInd w:val="0"/>
              <w:snapToGrid w:val="0"/>
              <w:spacing w:line="360" w:lineRule="auto"/>
              <w:ind w:right="0"/>
              <w:jc w:val="center"/>
              <w:rPr>
                <w:rFonts w:ascii="Book Antiqua" w:hAnsi="Book Antiqua"/>
                <w:lang w:val="en-US"/>
              </w:rPr>
            </w:pPr>
            <w:r w:rsidRPr="000401B7">
              <w:rPr>
                <w:rFonts w:ascii="Book Antiqua" w:hAnsi="Book Antiqua"/>
                <w:i/>
                <w:lang w:val="en-US"/>
              </w:rPr>
              <w:t xml:space="preserve">P </w:t>
            </w:r>
            <w:r w:rsidR="00357D80" w:rsidRPr="00786942">
              <w:rPr>
                <w:rFonts w:ascii="Book Antiqua" w:hAnsi="Book Antiqua"/>
                <w:lang w:val="en-US"/>
              </w:rPr>
              <w:t>=</w:t>
            </w:r>
            <w:r>
              <w:rPr>
                <w:rFonts w:ascii="Book Antiqua" w:hAnsi="Book Antiqua"/>
                <w:lang w:val="en-US"/>
              </w:rPr>
              <w:t xml:space="preserve"> </w:t>
            </w:r>
            <w:r w:rsidR="00357D80" w:rsidRPr="00786942">
              <w:rPr>
                <w:rFonts w:ascii="Book Antiqua" w:hAnsi="Book Antiqua"/>
                <w:lang w:val="en-US"/>
              </w:rPr>
              <w:t>0.038</w:t>
            </w:r>
          </w:p>
        </w:tc>
      </w:tr>
      <w:tr w:rsidR="00357D80" w:rsidRPr="00786942" w:rsidTr="009802BF">
        <w:tc>
          <w:tcPr>
            <w:tcW w:w="897" w:type="pct"/>
            <w:vAlign w:val="center"/>
          </w:tcPr>
          <w:p w:rsidR="00357D80" w:rsidRPr="00786942" w:rsidRDefault="000401B7" w:rsidP="000401B7">
            <w:pPr>
              <w:adjustRightInd w:val="0"/>
              <w:snapToGrid w:val="0"/>
              <w:spacing w:line="360" w:lineRule="auto"/>
              <w:ind w:right="0"/>
              <w:rPr>
                <w:rFonts w:ascii="Book Antiqua" w:hAnsi="Book Antiqua"/>
                <w:lang w:val="en-US"/>
              </w:rPr>
            </w:pPr>
            <w:r>
              <w:rPr>
                <w:rFonts w:ascii="Book Antiqua" w:hAnsi="Book Antiqua"/>
                <w:lang w:val="en-US"/>
              </w:rPr>
              <w:t>Facciorusso</w:t>
            </w:r>
            <w:r w:rsidRPr="000401B7">
              <w:rPr>
                <w:rFonts w:ascii="Book Antiqua" w:hAnsi="Book Antiqua"/>
                <w:i/>
                <w:lang w:val="en-US"/>
              </w:rPr>
              <w:t xml:space="preserve"> et al</w:t>
            </w:r>
            <w:r>
              <w:rPr>
                <w:rFonts w:ascii="Book Antiqua" w:hAnsi="Book Antiqua"/>
                <w:vertAlign w:val="superscript"/>
                <w:lang w:val="en-US"/>
              </w:rPr>
              <w:t>[20]</w:t>
            </w:r>
          </w:p>
        </w:tc>
        <w:tc>
          <w:tcPr>
            <w:tcW w:w="1230"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153 with RFA for prior HCC</w:t>
            </w:r>
          </w:p>
        </w:tc>
        <w:tc>
          <w:tcPr>
            <w:tcW w:w="97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 Control,73 pts</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II: ACE-I, 49 pts</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III. ARBs, 31 pts</w:t>
            </w:r>
          </w:p>
          <w:p w:rsidR="00357D80" w:rsidRPr="00786942" w:rsidRDefault="00357D80" w:rsidP="008D6C0C">
            <w:pPr>
              <w:adjustRightInd w:val="0"/>
              <w:snapToGrid w:val="0"/>
              <w:spacing w:line="360" w:lineRule="auto"/>
              <w:ind w:right="0"/>
              <w:jc w:val="center"/>
              <w:rPr>
                <w:rFonts w:ascii="Book Antiqua" w:hAnsi="Book Antiqua"/>
                <w:lang w:val="en-US"/>
              </w:rPr>
            </w:pPr>
          </w:p>
        </w:tc>
        <w:tc>
          <w:tcPr>
            <w:tcW w:w="122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OS </w:t>
            </w:r>
            <w:r w:rsidR="000401B7">
              <w:rPr>
                <w:rFonts w:ascii="Book Antiqua" w:hAnsi="Book Antiqua"/>
                <w:lang w:val="en-US"/>
              </w:rPr>
              <w:t xml:space="preserve">= </w:t>
            </w:r>
            <w:r w:rsidRPr="00786942">
              <w:rPr>
                <w:rFonts w:ascii="Book Antiqua" w:hAnsi="Book Antiqua"/>
                <w:lang w:val="en-US"/>
              </w:rPr>
              <w:t>48 mo</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OS </w:t>
            </w:r>
            <w:r w:rsidR="00476D21">
              <w:rPr>
                <w:rFonts w:ascii="Book Antiqua" w:hAnsi="Book Antiqua"/>
                <w:lang w:val="en-US"/>
              </w:rPr>
              <w:t xml:space="preserve">= </w:t>
            </w:r>
            <w:r w:rsidRPr="00786942">
              <w:rPr>
                <w:rFonts w:ascii="Book Antiqua" w:hAnsi="Book Antiqua"/>
                <w:lang w:val="en-US"/>
              </w:rPr>
              <w:t>72</w:t>
            </w:r>
            <w:r w:rsidR="00476D21">
              <w:rPr>
                <w:rFonts w:ascii="Book Antiqua" w:hAnsi="Book Antiqua"/>
                <w:lang w:val="en-US"/>
              </w:rPr>
              <w:t xml:space="preserve"> </w:t>
            </w:r>
            <w:r w:rsidRPr="00786942">
              <w:rPr>
                <w:rFonts w:ascii="Book Antiqua" w:hAnsi="Book Antiqua"/>
                <w:lang w:val="en-US"/>
              </w:rPr>
              <w:t>mo</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OS </w:t>
            </w:r>
            <w:r w:rsidR="00476D21">
              <w:rPr>
                <w:rFonts w:ascii="Book Antiqua" w:hAnsi="Book Antiqua"/>
                <w:lang w:val="en-US"/>
              </w:rPr>
              <w:t xml:space="preserve">= </w:t>
            </w:r>
            <w:r w:rsidRPr="00786942">
              <w:rPr>
                <w:rFonts w:ascii="Book Antiqua" w:hAnsi="Book Antiqua"/>
                <w:lang w:val="en-US"/>
              </w:rPr>
              <w:t>84</w:t>
            </w:r>
            <w:r w:rsidR="00476D21">
              <w:rPr>
                <w:rFonts w:ascii="Book Antiqua" w:hAnsi="Book Antiqua"/>
                <w:lang w:val="en-US"/>
              </w:rPr>
              <w:t xml:space="preserve"> </w:t>
            </w:r>
            <w:r w:rsidRPr="00786942">
              <w:rPr>
                <w:rFonts w:ascii="Book Antiqua" w:hAnsi="Book Antiqua"/>
                <w:lang w:val="en-US"/>
              </w:rPr>
              <w:t>mo</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HR</w:t>
            </w:r>
            <w:r w:rsidR="000401B7">
              <w:rPr>
                <w:rFonts w:ascii="Book Antiqua" w:hAnsi="Book Antiqua"/>
                <w:vertAlign w:val="superscript"/>
                <w:lang w:val="en-US"/>
              </w:rPr>
              <w:t>4</w:t>
            </w:r>
            <w:r w:rsidRPr="00786942">
              <w:rPr>
                <w:rFonts w:ascii="Calibri" w:eastAsia="Calibri" w:hAnsi="Calibri" w:cs="Calibri"/>
                <w:lang w:val="en-US"/>
              </w:rPr>
              <w:t> </w:t>
            </w:r>
            <w:r w:rsidR="00476D21">
              <w:rPr>
                <w:rFonts w:ascii="Calibri" w:eastAsia="Calibri" w:hAnsi="Calibri" w:cs="Calibri"/>
                <w:lang w:val="en-US"/>
              </w:rPr>
              <w:t xml:space="preserve">= </w:t>
            </w:r>
            <w:r w:rsidR="00476D21">
              <w:rPr>
                <w:rFonts w:ascii="Book Antiqua" w:hAnsi="Book Antiqua"/>
                <w:lang w:val="en-US"/>
              </w:rPr>
              <w:t>0.39,</w:t>
            </w:r>
            <w:r w:rsidRPr="00786942">
              <w:rPr>
                <w:rFonts w:ascii="Book Antiqua" w:hAnsi="Book Antiqua"/>
                <w:lang w:val="en-US"/>
              </w:rPr>
              <w:t xml:space="preserve"> 95%CI</w:t>
            </w:r>
            <w:r w:rsidR="00476D21">
              <w:rPr>
                <w:rFonts w:ascii="Book Antiqua" w:hAnsi="Book Antiqua"/>
                <w:lang w:val="en-US"/>
              </w:rPr>
              <w:t>:</w:t>
            </w:r>
            <w:r w:rsidRPr="00786942">
              <w:rPr>
                <w:rFonts w:ascii="Book Antiqua" w:hAnsi="Book Antiqua"/>
                <w:lang w:val="en-US"/>
              </w:rPr>
              <w:t xml:space="preserve"> 0.22-0.66</w:t>
            </w:r>
          </w:p>
        </w:tc>
        <w:tc>
          <w:tcPr>
            <w:tcW w:w="66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I </w:t>
            </w:r>
            <w:r w:rsidR="000401B7" w:rsidRPr="00476D21">
              <w:rPr>
                <w:rFonts w:ascii="Book Antiqua" w:hAnsi="Book Antiqua"/>
                <w:i/>
                <w:lang w:val="en-US"/>
              </w:rPr>
              <w:t>vs</w:t>
            </w:r>
            <w:r w:rsidRPr="00786942">
              <w:rPr>
                <w:rFonts w:ascii="Book Antiqua" w:hAnsi="Book Antiqua"/>
                <w:lang w:val="en-US"/>
              </w:rPr>
              <w:t xml:space="preserve"> II, n.s.</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 &lt;</w:t>
            </w:r>
            <w:r w:rsidR="00476D21">
              <w:rPr>
                <w:rFonts w:ascii="Book Antiqua" w:hAnsi="Book Antiqua"/>
                <w:lang w:val="en-US"/>
              </w:rPr>
              <w:t xml:space="preserve"> III, </w:t>
            </w:r>
            <w:bookmarkStart w:id="181" w:name="OLE_LINK689"/>
            <w:bookmarkStart w:id="182" w:name="OLE_LINK690"/>
            <w:r w:rsidR="00476D21" w:rsidRPr="000401B7">
              <w:rPr>
                <w:rFonts w:ascii="Book Antiqua" w:hAnsi="Book Antiqua"/>
                <w:i/>
                <w:lang w:val="en-US"/>
              </w:rPr>
              <w:t>P</w:t>
            </w:r>
            <w:bookmarkEnd w:id="181"/>
            <w:bookmarkEnd w:id="182"/>
            <w:r w:rsidR="00476D21" w:rsidRPr="00786942">
              <w:rPr>
                <w:rFonts w:ascii="Book Antiqua" w:hAnsi="Book Antiqua"/>
                <w:lang w:val="en-US"/>
              </w:rPr>
              <w:t xml:space="preserve"> </w:t>
            </w:r>
            <w:r w:rsidRPr="00786942">
              <w:rPr>
                <w:rFonts w:ascii="Book Antiqua" w:hAnsi="Book Antiqua"/>
                <w:lang w:val="en-US"/>
              </w:rPr>
              <w:t>&lt;</w:t>
            </w:r>
            <w:r w:rsidR="00476D21">
              <w:rPr>
                <w:rFonts w:ascii="Book Antiqua" w:hAnsi="Book Antiqua"/>
                <w:lang w:val="en-US"/>
              </w:rPr>
              <w:t xml:space="preserve"> </w:t>
            </w:r>
            <w:r w:rsidRPr="00786942">
              <w:rPr>
                <w:rFonts w:ascii="Book Antiqua" w:hAnsi="Book Antiqua"/>
                <w:lang w:val="en-US"/>
              </w:rPr>
              <w:t>0.002</w:t>
            </w:r>
          </w:p>
        </w:tc>
      </w:tr>
      <w:tr w:rsidR="00357D80" w:rsidRPr="00786942" w:rsidTr="009802BF">
        <w:trPr>
          <w:trHeight w:val="148"/>
        </w:trPr>
        <w:tc>
          <w:tcPr>
            <w:tcW w:w="897" w:type="pct"/>
            <w:vMerge w:val="restart"/>
            <w:vAlign w:val="center"/>
          </w:tcPr>
          <w:p w:rsidR="00357D80" w:rsidRPr="00786942" w:rsidRDefault="00357D80" w:rsidP="000401B7">
            <w:pPr>
              <w:adjustRightInd w:val="0"/>
              <w:snapToGrid w:val="0"/>
              <w:spacing w:line="360" w:lineRule="auto"/>
              <w:ind w:right="0"/>
              <w:rPr>
                <w:rFonts w:ascii="Book Antiqua" w:hAnsi="Book Antiqua"/>
                <w:lang w:val="en-US"/>
              </w:rPr>
            </w:pPr>
            <w:r w:rsidRPr="00786942">
              <w:rPr>
                <w:rFonts w:ascii="Book Antiqua" w:hAnsi="Book Antiqua"/>
                <w:lang w:val="en-US"/>
              </w:rPr>
              <w:t xml:space="preserve">Kabori </w:t>
            </w:r>
            <w:r w:rsidRPr="000401B7">
              <w:rPr>
                <w:rFonts w:ascii="Book Antiqua" w:hAnsi="Book Antiqua"/>
                <w:i/>
                <w:lang w:val="en-US"/>
              </w:rPr>
              <w:t>et al</w:t>
            </w:r>
            <w:r w:rsidR="000401B7">
              <w:rPr>
                <w:rFonts w:ascii="Book Antiqua" w:hAnsi="Book Antiqua"/>
                <w:vertAlign w:val="superscript"/>
                <w:lang w:val="en-US"/>
              </w:rPr>
              <w:t>[21]</w:t>
            </w:r>
          </w:p>
        </w:tc>
        <w:tc>
          <w:tcPr>
            <w:tcW w:w="1230"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185 HCV-HCC pts. without cirrhosis</w:t>
            </w:r>
          </w:p>
        </w:tc>
        <w:tc>
          <w:tcPr>
            <w:tcW w:w="97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 No hypert.</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II. Hypert. + ACE/ARB</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III. Hypert. + other</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anti-hypertensives</w:t>
            </w:r>
          </w:p>
        </w:tc>
        <w:tc>
          <w:tcPr>
            <w:tcW w:w="122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OS at 5 y</w:t>
            </w:r>
            <w:r w:rsidR="00476D21">
              <w:rPr>
                <w:rFonts w:ascii="Book Antiqua" w:hAnsi="Book Antiqua"/>
                <w:lang w:val="en-US"/>
              </w:rPr>
              <w:t xml:space="preserve">r </w:t>
            </w:r>
            <w:r w:rsidRPr="00786942">
              <w:rPr>
                <w:rFonts w:ascii="Book Antiqua" w:hAnsi="Book Antiqua"/>
                <w:lang w:val="en-US"/>
              </w:rPr>
              <w:t>(76/106)</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OS at 5 y</w:t>
            </w:r>
            <w:r w:rsidR="00476D21">
              <w:rPr>
                <w:rFonts w:ascii="Book Antiqua" w:hAnsi="Book Antiqua"/>
                <w:lang w:val="en-US"/>
              </w:rPr>
              <w:t xml:space="preserve">r </w:t>
            </w:r>
            <w:r w:rsidRPr="00786942">
              <w:rPr>
                <w:rFonts w:ascii="Book Antiqua" w:hAnsi="Book Antiqua"/>
                <w:lang w:val="en-US"/>
              </w:rPr>
              <w:t>(30/37)</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OS at 5 y</w:t>
            </w:r>
            <w:r w:rsidR="00476D21">
              <w:rPr>
                <w:rFonts w:ascii="Book Antiqua" w:hAnsi="Book Antiqua"/>
                <w:lang w:val="en-US"/>
              </w:rPr>
              <w:t>r</w:t>
            </w:r>
            <w:r w:rsidRPr="00786942">
              <w:rPr>
                <w:rFonts w:ascii="Book Antiqua" w:hAnsi="Book Antiqua"/>
                <w:lang w:val="en-US"/>
              </w:rPr>
              <w:t xml:space="preserve"> (11/42)</w:t>
            </w:r>
          </w:p>
        </w:tc>
        <w:tc>
          <w:tcPr>
            <w:tcW w:w="66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I </w:t>
            </w:r>
            <w:r w:rsidR="000401B7" w:rsidRPr="00476D21">
              <w:rPr>
                <w:rFonts w:ascii="Book Antiqua" w:hAnsi="Book Antiqua"/>
                <w:i/>
                <w:lang w:val="en-US"/>
              </w:rPr>
              <w:t>vs</w:t>
            </w:r>
            <w:r w:rsidRPr="00786942">
              <w:rPr>
                <w:rFonts w:ascii="Book Antiqua" w:hAnsi="Book Antiqua"/>
                <w:lang w:val="en-US"/>
              </w:rPr>
              <w:t xml:space="preserve"> II,</w:t>
            </w:r>
            <w:r w:rsidR="00476D21">
              <w:rPr>
                <w:rFonts w:ascii="Book Antiqua" w:hAnsi="Book Antiqua"/>
                <w:lang w:val="en-US"/>
              </w:rPr>
              <w:t xml:space="preserve"> </w:t>
            </w:r>
            <w:r w:rsidRPr="00786942">
              <w:rPr>
                <w:rFonts w:ascii="Book Antiqua" w:hAnsi="Book Antiqua"/>
                <w:lang w:val="en-US"/>
              </w:rPr>
              <w:t>n.s.</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 &gt;</w:t>
            </w:r>
            <w:r w:rsidR="00476D21">
              <w:rPr>
                <w:rFonts w:ascii="Book Antiqua" w:hAnsi="Book Antiqua"/>
                <w:lang w:val="en-US"/>
              </w:rPr>
              <w:t xml:space="preserve"> III, </w:t>
            </w:r>
            <w:r w:rsidR="00476D21" w:rsidRPr="000401B7">
              <w:rPr>
                <w:rFonts w:ascii="Book Antiqua" w:hAnsi="Book Antiqua"/>
                <w:i/>
                <w:lang w:val="en-US"/>
              </w:rPr>
              <w:t>P</w:t>
            </w:r>
            <w:r w:rsidR="00476D21" w:rsidRPr="00786942">
              <w:rPr>
                <w:rFonts w:ascii="Book Antiqua" w:hAnsi="Book Antiqua"/>
                <w:lang w:val="en-US"/>
              </w:rPr>
              <w:t xml:space="preserve"> </w:t>
            </w:r>
            <w:r w:rsidRPr="00786942">
              <w:rPr>
                <w:rFonts w:ascii="Book Antiqua" w:hAnsi="Book Antiqua"/>
                <w:lang w:val="en-US"/>
              </w:rPr>
              <w:t>&lt;</w:t>
            </w:r>
            <w:r w:rsidR="00476D21">
              <w:rPr>
                <w:rFonts w:ascii="Book Antiqua" w:hAnsi="Book Antiqua"/>
                <w:lang w:val="en-US"/>
              </w:rPr>
              <w:t xml:space="preserve"> </w:t>
            </w:r>
            <w:r w:rsidRPr="00786942">
              <w:rPr>
                <w:rFonts w:ascii="Book Antiqua" w:hAnsi="Book Antiqua"/>
                <w:lang w:val="en-US"/>
              </w:rPr>
              <w:t>0.001</w:t>
            </w:r>
          </w:p>
          <w:p w:rsidR="00357D80" w:rsidRPr="00786942" w:rsidRDefault="00476D21" w:rsidP="008D6C0C">
            <w:pPr>
              <w:adjustRightInd w:val="0"/>
              <w:snapToGrid w:val="0"/>
              <w:spacing w:line="360" w:lineRule="auto"/>
              <w:ind w:right="0"/>
              <w:jc w:val="center"/>
              <w:rPr>
                <w:rFonts w:ascii="Book Antiqua" w:hAnsi="Book Antiqua"/>
                <w:lang w:val="en-US"/>
              </w:rPr>
            </w:pPr>
            <w:r>
              <w:rPr>
                <w:rFonts w:ascii="Book Antiqua" w:hAnsi="Book Antiqua"/>
                <w:lang w:val="en-US"/>
              </w:rPr>
              <w:t xml:space="preserve">II &gt; III, </w:t>
            </w:r>
            <w:r w:rsidRPr="000401B7">
              <w:rPr>
                <w:rFonts w:ascii="Book Antiqua" w:hAnsi="Book Antiqua"/>
                <w:i/>
                <w:lang w:val="en-US"/>
              </w:rPr>
              <w:t>P</w:t>
            </w:r>
            <w:r w:rsidRPr="00786942">
              <w:rPr>
                <w:rFonts w:ascii="Book Antiqua" w:hAnsi="Book Antiqua"/>
                <w:lang w:val="en-US"/>
              </w:rPr>
              <w:t xml:space="preserve"> </w:t>
            </w:r>
            <w:r w:rsidR="00357D80" w:rsidRPr="00786942">
              <w:rPr>
                <w:rFonts w:ascii="Book Antiqua" w:hAnsi="Book Antiqua"/>
                <w:lang w:val="en-US"/>
              </w:rPr>
              <w:t>&lt;</w:t>
            </w:r>
            <w:r>
              <w:rPr>
                <w:rFonts w:ascii="Book Antiqua" w:hAnsi="Book Antiqua"/>
                <w:lang w:val="en-US"/>
              </w:rPr>
              <w:t xml:space="preserve"> </w:t>
            </w:r>
            <w:r w:rsidR="00357D80" w:rsidRPr="00786942">
              <w:rPr>
                <w:rFonts w:ascii="Book Antiqua" w:hAnsi="Book Antiqua"/>
                <w:lang w:val="en-US"/>
              </w:rPr>
              <w:t>0.001</w:t>
            </w:r>
          </w:p>
          <w:p w:rsidR="00357D80" w:rsidRPr="00786942" w:rsidRDefault="00357D80" w:rsidP="008D6C0C">
            <w:pPr>
              <w:adjustRightInd w:val="0"/>
              <w:snapToGrid w:val="0"/>
              <w:spacing w:line="360" w:lineRule="auto"/>
              <w:ind w:right="0"/>
              <w:jc w:val="center"/>
              <w:rPr>
                <w:rFonts w:ascii="Book Antiqua" w:hAnsi="Book Antiqua"/>
                <w:lang w:val="en-US"/>
              </w:rPr>
            </w:pPr>
          </w:p>
        </w:tc>
      </w:tr>
      <w:tr w:rsidR="00357D80" w:rsidRPr="00786942" w:rsidTr="009802BF">
        <w:trPr>
          <w:trHeight w:val="146"/>
        </w:trPr>
        <w:tc>
          <w:tcPr>
            <w:tcW w:w="897" w:type="pct"/>
            <w:vMerge/>
            <w:vAlign w:val="center"/>
          </w:tcPr>
          <w:p w:rsidR="00357D80" w:rsidRPr="00786942" w:rsidRDefault="00357D80" w:rsidP="00357D80">
            <w:pPr>
              <w:adjustRightInd w:val="0"/>
              <w:snapToGrid w:val="0"/>
              <w:spacing w:line="360" w:lineRule="auto"/>
              <w:ind w:right="0"/>
              <w:rPr>
                <w:rFonts w:ascii="Book Antiqua" w:hAnsi="Book Antiqua"/>
                <w:lang w:val="en-US"/>
              </w:rPr>
            </w:pPr>
          </w:p>
        </w:tc>
        <w:tc>
          <w:tcPr>
            <w:tcW w:w="1230"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141 HCV-HCC pts. with cirrhosis</w:t>
            </w:r>
          </w:p>
        </w:tc>
        <w:tc>
          <w:tcPr>
            <w:tcW w:w="97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 No hypertension</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II. Hypert. + ACE/ARB</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III. Hypert. + other</w:t>
            </w:r>
          </w:p>
        </w:tc>
        <w:tc>
          <w:tcPr>
            <w:tcW w:w="122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OS at 5 y</w:t>
            </w:r>
            <w:r w:rsidR="00476D21">
              <w:rPr>
                <w:rFonts w:ascii="Book Antiqua" w:hAnsi="Book Antiqua"/>
                <w:lang w:val="en-US"/>
              </w:rPr>
              <w:t>r</w:t>
            </w:r>
            <w:r w:rsidRPr="00786942">
              <w:rPr>
                <w:rFonts w:ascii="Book Antiqua" w:hAnsi="Book Antiqua"/>
                <w:lang w:val="en-US"/>
              </w:rPr>
              <w:t xml:space="preserve"> 51.6%</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OS at 5 y</w:t>
            </w:r>
            <w:r w:rsidR="00476D21">
              <w:rPr>
                <w:rFonts w:ascii="Book Antiqua" w:hAnsi="Book Antiqua"/>
                <w:lang w:val="en-US"/>
              </w:rPr>
              <w:t>r</w:t>
            </w:r>
            <w:r w:rsidRPr="00786942">
              <w:rPr>
                <w:rFonts w:ascii="Book Antiqua" w:hAnsi="Book Antiqua"/>
                <w:lang w:val="en-US"/>
              </w:rPr>
              <w:t xml:space="preserve"> 76.7%</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OS at 5 y</w:t>
            </w:r>
            <w:r w:rsidR="00476D21">
              <w:rPr>
                <w:rFonts w:ascii="Book Antiqua" w:hAnsi="Book Antiqua"/>
                <w:lang w:val="en-US"/>
              </w:rPr>
              <w:t>r</w:t>
            </w:r>
            <w:r w:rsidRPr="00786942">
              <w:rPr>
                <w:rFonts w:ascii="Book Antiqua" w:hAnsi="Book Antiqua"/>
                <w:lang w:val="en-US"/>
              </w:rPr>
              <w:t xml:space="preserve"> 37.3%</w:t>
            </w:r>
          </w:p>
        </w:tc>
        <w:tc>
          <w:tcPr>
            <w:tcW w:w="66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 and II &gt; III</w:t>
            </w:r>
          </w:p>
          <w:p w:rsidR="00357D80" w:rsidRPr="00786942" w:rsidRDefault="00476D21" w:rsidP="008D6C0C">
            <w:pPr>
              <w:adjustRightInd w:val="0"/>
              <w:snapToGrid w:val="0"/>
              <w:spacing w:line="360" w:lineRule="auto"/>
              <w:ind w:right="0"/>
              <w:jc w:val="center"/>
              <w:rPr>
                <w:rFonts w:ascii="Book Antiqua" w:hAnsi="Book Antiqua"/>
                <w:lang w:val="en-US"/>
              </w:rPr>
            </w:pPr>
            <w:r w:rsidRPr="000401B7">
              <w:rPr>
                <w:rFonts w:ascii="Book Antiqua" w:hAnsi="Book Antiqua"/>
                <w:i/>
                <w:lang w:val="en-US"/>
              </w:rPr>
              <w:t>P</w:t>
            </w:r>
            <w:r w:rsidRPr="00786942">
              <w:rPr>
                <w:rFonts w:ascii="Book Antiqua" w:hAnsi="Book Antiqua"/>
                <w:lang w:val="en-US"/>
              </w:rPr>
              <w:t xml:space="preserve"> </w:t>
            </w:r>
            <w:r w:rsidR="00357D80" w:rsidRPr="00786942">
              <w:rPr>
                <w:rFonts w:ascii="Book Antiqua" w:hAnsi="Book Antiqua"/>
                <w:lang w:val="en-US"/>
              </w:rPr>
              <w:t>=</w:t>
            </w:r>
            <w:r>
              <w:rPr>
                <w:rFonts w:ascii="Book Antiqua" w:hAnsi="Book Antiqua"/>
                <w:lang w:val="en-US"/>
              </w:rPr>
              <w:t xml:space="preserve"> </w:t>
            </w:r>
            <w:r w:rsidR="00357D80" w:rsidRPr="00786942">
              <w:rPr>
                <w:rFonts w:ascii="Book Antiqua" w:hAnsi="Book Antiqua"/>
                <w:lang w:val="en-US"/>
              </w:rPr>
              <w:t>0.029</w:t>
            </w:r>
          </w:p>
        </w:tc>
      </w:tr>
      <w:tr w:rsidR="00357D80" w:rsidRPr="00786942" w:rsidTr="009802BF">
        <w:trPr>
          <w:trHeight w:val="146"/>
        </w:trPr>
        <w:tc>
          <w:tcPr>
            <w:tcW w:w="897" w:type="pct"/>
            <w:vMerge/>
            <w:vAlign w:val="center"/>
          </w:tcPr>
          <w:p w:rsidR="00357D80" w:rsidRPr="00786942" w:rsidRDefault="00357D80" w:rsidP="00357D80">
            <w:pPr>
              <w:adjustRightInd w:val="0"/>
              <w:snapToGrid w:val="0"/>
              <w:spacing w:line="360" w:lineRule="auto"/>
              <w:ind w:right="0"/>
              <w:rPr>
                <w:rFonts w:ascii="Book Antiqua" w:hAnsi="Book Antiqua"/>
                <w:lang w:val="en-US"/>
              </w:rPr>
            </w:pPr>
          </w:p>
        </w:tc>
        <w:tc>
          <w:tcPr>
            <w:tcW w:w="1230"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143 pts. with HCC related to other etiologies</w:t>
            </w:r>
          </w:p>
        </w:tc>
        <w:tc>
          <w:tcPr>
            <w:tcW w:w="978" w:type="pct"/>
            <w:vAlign w:val="center"/>
          </w:tcPr>
          <w:p w:rsidR="00357D80" w:rsidRPr="00786942" w:rsidRDefault="00357D80" w:rsidP="008D6C0C">
            <w:pPr>
              <w:pStyle w:val="-1"/>
              <w:numPr>
                <w:ilvl w:val="0"/>
                <w:numId w:val="10"/>
              </w:numPr>
              <w:adjustRightInd w:val="0"/>
              <w:snapToGrid w:val="0"/>
              <w:spacing w:line="360" w:lineRule="auto"/>
              <w:ind w:left="0" w:right="0" w:firstLine="0"/>
              <w:contextualSpacing w:val="0"/>
              <w:jc w:val="center"/>
              <w:rPr>
                <w:rFonts w:ascii="Book Antiqua" w:hAnsi="Book Antiqua"/>
                <w:lang w:val="en-US"/>
              </w:rPr>
            </w:pPr>
            <w:r w:rsidRPr="00786942">
              <w:rPr>
                <w:rFonts w:ascii="Book Antiqua" w:hAnsi="Book Antiqua"/>
                <w:lang w:val="en-US"/>
              </w:rPr>
              <w:t>No hypertension</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II. Hypertension</w:t>
            </w:r>
          </w:p>
        </w:tc>
        <w:tc>
          <w:tcPr>
            <w:tcW w:w="122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OS at 5 y</w:t>
            </w:r>
            <w:r w:rsidR="00476D21">
              <w:rPr>
                <w:rFonts w:ascii="Book Antiqua" w:hAnsi="Book Antiqua"/>
                <w:lang w:val="en-US"/>
              </w:rPr>
              <w:t>r</w:t>
            </w:r>
            <w:r w:rsidRPr="00786942">
              <w:rPr>
                <w:rFonts w:ascii="Book Antiqua" w:hAnsi="Book Antiqua"/>
                <w:lang w:val="en-US"/>
              </w:rPr>
              <w:t xml:space="preserve"> 59</w:t>
            </w:r>
            <w:r w:rsidR="00476D21">
              <w:rPr>
                <w:rFonts w:ascii="Book Antiqua" w:hAnsi="Book Antiqua"/>
                <w:lang w:val="en-US"/>
              </w:rPr>
              <w:t>%</w:t>
            </w:r>
            <w:r w:rsidRPr="00786942">
              <w:rPr>
                <w:rFonts w:ascii="Book Antiqua" w:hAnsi="Book Antiqua"/>
                <w:lang w:val="en-US"/>
              </w:rPr>
              <w:t>-74%</w:t>
            </w:r>
          </w:p>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OS at 5 y</w:t>
            </w:r>
            <w:r w:rsidR="00476D21">
              <w:rPr>
                <w:rFonts w:ascii="Book Antiqua" w:hAnsi="Book Antiqua"/>
                <w:lang w:val="en-US"/>
              </w:rPr>
              <w:t>r</w:t>
            </w:r>
            <w:r w:rsidRPr="00786942">
              <w:rPr>
                <w:rFonts w:ascii="Book Antiqua" w:hAnsi="Book Antiqua"/>
                <w:lang w:val="en-US"/>
              </w:rPr>
              <w:t xml:space="preserve"> 60</w:t>
            </w:r>
            <w:r w:rsidR="00476D21">
              <w:rPr>
                <w:rFonts w:ascii="Book Antiqua" w:hAnsi="Book Antiqua"/>
                <w:lang w:val="en-US"/>
              </w:rPr>
              <w:t>%</w:t>
            </w:r>
            <w:r w:rsidRPr="00786942">
              <w:rPr>
                <w:rFonts w:ascii="Book Antiqua" w:hAnsi="Book Antiqua"/>
                <w:lang w:val="en-US"/>
              </w:rPr>
              <w:t>-62%</w:t>
            </w:r>
          </w:p>
        </w:tc>
        <w:tc>
          <w:tcPr>
            <w:tcW w:w="668" w:type="pct"/>
            <w:vAlign w:val="center"/>
          </w:tcPr>
          <w:p w:rsidR="00357D80" w:rsidRPr="00786942" w:rsidRDefault="00357D80" w:rsidP="008D6C0C">
            <w:pPr>
              <w:adjustRightInd w:val="0"/>
              <w:snapToGrid w:val="0"/>
              <w:spacing w:line="360" w:lineRule="auto"/>
              <w:ind w:right="0"/>
              <w:jc w:val="center"/>
              <w:rPr>
                <w:rFonts w:ascii="Book Antiqua" w:hAnsi="Book Antiqua"/>
                <w:lang w:val="en-US"/>
              </w:rPr>
            </w:pPr>
            <w:r w:rsidRPr="00786942">
              <w:rPr>
                <w:rFonts w:ascii="Book Antiqua" w:hAnsi="Book Antiqua"/>
                <w:lang w:val="en-US"/>
              </w:rPr>
              <w:t>n.s.</w:t>
            </w:r>
          </w:p>
        </w:tc>
      </w:tr>
    </w:tbl>
    <w:p w:rsidR="00BF4F43" w:rsidRPr="00786942" w:rsidRDefault="000401B7" w:rsidP="00786942">
      <w:pPr>
        <w:adjustRightInd w:val="0"/>
        <w:snapToGrid w:val="0"/>
        <w:spacing w:line="360" w:lineRule="auto"/>
        <w:ind w:right="0"/>
        <w:rPr>
          <w:rFonts w:ascii="Book Antiqua" w:hAnsi="Book Antiqua"/>
          <w:lang w:val="en-US"/>
        </w:rPr>
      </w:pPr>
      <w:r>
        <w:rPr>
          <w:rFonts w:ascii="Book Antiqua" w:hAnsi="Book Antiqua"/>
          <w:vertAlign w:val="superscript"/>
          <w:lang w:val="en-US"/>
        </w:rPr>
        <w:t>1</w:t>
      </w:r>
      <w:r w:rsidR="00BF4F43" w:rsidRPr="00786942">
        <w:rPr>
          <w:rFonts w:ascii="Book Antiqua" w:hAnsi="Book Antiqua"/>
          <w:lang w:val="en-US"/>
        </w:rPr>
        <w:t>Adjusted for</w:t>
      </w:r>
      <w:r w:rsidR="00931F54" w:rsidRPr="00786942">
        <w:rPr>
          <w:rFonts w:ascii="Book Antiqua" w:hAnsi="Book Antiqua"/>
          <w:lang w:val="en-US"/>
        </w:rPr>
        <w:t xml:space="preserve"> </w:t>
      </w:r>
      <w:r w:rsidR="00BF4F43" w:rsidRPr="00786942">
        <w:rPr>
          <w:rFonts w:ascii="Book Antiqua" w:hAnsi="Book Antiqua"/>
          <w:lang w:val="en-US"/>
        </w:rPr>
        <w:t xml:space="preserve">sex, age, liver cirrhosis, diabetes mellitus, alcohol consumption, hyperlipidemia, malignancies other than </w:t>
      </w:r>
      <w:bookmarkStart w:id="183" w:name="OLE_LINK691"/>
      <w:bookmarkStart w:id="184" w:name="OLE_LINK692"/>
      <w:r w:rsidR="00476D21">
        <w:rPr>
          <w:rFonts w:ascii="Book Antiqua" w:hAnsi="Book Antiqua"/>
          <w:color w:val="000000"/>
          <w:lang w:val="en-US"/>
        </w:rPr>
        <w:t>hepatocellular c</w:t>
      </w:r>
      <w:r w:rsidR="00476D21" w:rsidRPr="00476D21">
        <w:rPr>
          <w:rFonts w:ascii="Book Antiqua" w:hAnsi="Book Antiqua"/>
          <w:color w:val="000000"/>
          <w:lang w:val="en-US"/>
        </w:rPr>
        <w:t>arcinoma</w:t>
      </w:r>
      <w:bookmarkEnd w:id="183"/>
      <w:bookmarkEnd w:id="184"/>
      <w:r w:rsidR="00476D21" w:rsidRPr="00786942">
        <w:rPr>
          <w:rFonts w:ascii="Book Antiqua" w:hAnsi="Book Antiqua"/>
          <w:lang w:val="en-US"/>
        </w:rPr>
        <w:t xml:space="preserve"> </w:t>
      </w:r>
      <w:r w:rsidR="00476D21">
        <w:rPr>
          <w:rFonts w:ascii="Book Antiqua" w:hAnsi="Book Antiqua"/>
          <w:lang w:val="en-US"/>
        </w:rPr>
        <w:t>(</w:t>
      </w:r>
      <w:r w:rsidR="00BF4F43" w:rsidRPr="00786942">
        <w:rPr>
          <w:rFonts w:ascii="Book Antiqua" w:hAnsi="Book Antiqua"/>
          <w:lang w:val="en-US"/>
        </w:rPr>
        <w:t>HCC</w:t>
      </w:r>
      <w:r w:rsidR="00476D21">
        <w:rPr>
          <w:rFonts w:ascii="Book Antiqua" w:hAnsi="Book Antiqua"/>
          <w:lang w:val="en-US"/>
        </w:rPr>
        <w:t>)</w:t>
      </w:r>
      <w:r w:rsidR="00BF4F43" w:rsidRPr="00786942">
        <w:rPr>
          <w:rFonts w:ascii="Book Antiqua" w:hAnsi="Book Antiqua"/>
          <w:lang w:val="en-US"/>
        </w:rPr>
        <w:t xml:space="preserve">, </w:t>
      </w:r>
      <w:r w:rsidR="00476D21" w:rsidRPr="00476D21">
        <w:rPr>
          <w:rFonts w:ascii="Book Antiqua" w:hAnsi="Book Antiqua"/>
          <w:lang w:val="en-US"/>
        </w:rPr>
        <w:t>chronic obstructive pulmonary disease</w:t>
      </w:r>
      <w:r w:rsidR="00BF4F43" w:rsidRPr="00786942">
        <w:rPr>
          <w:rFonts w:ascii="Book Antiqua" w:hAnsi="Book Antiqua"/>
          <w:lang w:val="en-US"/>
        </w:rPr>
        <w:t xml:space="preserve">, </w:t>
      </w:r>
      <w:r w:rsidR="00476D21" w:rsidRPr="00476D21">
        <w:rPr>
          <w:rFonts w:ascii="Book Antiqua" w:hAnsi="Book Antiqua"/>
          <w:lang w:val="en-US"/>
        </w:rPr>
        <w:t>end-stage renal disease</w:t>
      </w:r>
      <w:r w:rsidR="00BF4F43" w:rsidRPr="00786942">
        <w:rPr>
          <w:rFonts w:ascii="Book Antiqua" w:hAnsi="Book Antiqua"/>
          <w:lang w:val="en-US"/>
        </w:rPr>
        <w:t xml:space="preserve">, transplantation, aspirin, metformin, and statins. </w:t>
      </w:r>
      <w:r w:rsidRPr="000401B7">
        <w:rPr>
          <w:rFonts w:ascii="Book Antiqua" w:hAnsi="Book Antiqua"/>
          <w:vertAlign w:val="superscript"/>
          <w:lang w:val="en-US"/>
        </w:rPr>
        <w:t>2</w:t>
      </w:r>
      <w:r w:rsidR="00BF4F43" w:rsidRPr="00786942">
        <w:rPr>
          <w:rFonts w:ascii="Book Antiqua" w:hAnsi="Book Antiqua"/>
          <w:lang w:val="en-US"/>
        </w:rPr>
        <w:t xml:space="preserve">Adjusted </w:t>
      </w:r>
      <w:r w:rsidR="00476D21">
        <w:rPr>
          <w:rFonts w:ascii="Book Antiqua" w:hAnsi="Book Antiqua"/>
          <w:lang w:val="en-US"/>
        </w:rPr>
        <w:t>odds ratio</w:t>
      </w:r>
      <w:r w:rsidR="00BF4F43" w:rsidRPr="00786942">
        <w:rPr>
          <w:rFonts w:ascii="Book Antiqua" w:hAnsi="Book Antiqua"/>
          <w:lang w:val="en-US"/>
        </w:rPr>
        <w:t xml:space="preserve"> for HCC risk factors (</w:t>
      </w:r>
      <w:r w:rsidR="00476D21">
        <w:rPr>
          <w:rFonts w:ascii="Book Antiqua" w:hAnsi="Book Antiqua"/>
          <w:lang w:val="en-US"/>
        </w:rPr>
        <w:t>body mass index</w:t>
      </w:r>
      <w:r w:rsidR="00BF4F43" w:rsidRPr="00786942">
        <w:rPr>
          <w:rFonts w:ascii="Book Antiqua" w:hAnsi="Book Antiqua"/>
          <w:lang w:val="en-US"/>
        </w:rPr>
        <w:t xml:space="preserve">, smoking status, alcohol abuse, </w:t>
      </w:r>
      <w:r w:rsidR="00476D21">
        <w:rPr>
          <w:rFonts w:ascii="Book Antiqua" w:hAnsi="Book Antiqua"/>
          <w:color w:val="000000"/>
          <w:lang w:val="en-US"/>
        </w:rPr>
        <w:t>hepatitis B virus</w:t>
      </w:r>
      <w:r w:rsidR="00BF4F43" w:rsidRPr="00786942">
        <w:rPr>
          <w:rFonts w:ascii="Book Antiqua" w:hAnsi="Book Antiqua"/>
          <w:lang w:val="en-US"/>
        </w:rPr>
        <w:t xml:space="preserve"> and/or </w:t>
      </w:r>
      <w:r w:rsidR="00476D21">
        <w:rPr>
          <w:rFonts w:ascii="Book Antiqua" w:hAnsi="Book Antiqua"/>
          <w:color w:val="000000"/>
          <w:lang w:val="en-US"/>
        </w:rPr>
        <w:t>hepatitis C virus</w:t>
      </w:r>
      <w:r w:rsidR="00BF4F43" w:rsidRPr="00786942">
        <w:rPr>
          <w:rFonts w:ascii="Book Antiqua" w:hAnsi="Book Antiqua"/>
          <w:lang w:val="en-US"/>
        </w:rPr>
        <w:t>, rare metabolic disorders, liver disease, diabetes, and use of statins and acetaminophen) and duration of hypertension. The analysis was also repeated to cases and controls without diabetes and to cases and controls without liver disease demonstrating no significant difference.</w:t>
      </w:r>
      <w:r w:rsidR="00476D21">
        <w:rPr>
          <w:rFonts w:ascii="Book Antiqua" w:hAnsi="Book Antiqua"/>
          <w:lang w:val="en-US"/>
        </w:rPr>
        <w:t xml:space="preserve"> </w:t>
      </w:r>
      <w:r w:rsidRPr="000401B7">
        <w:rPr>
          <w:rFonts w:ascii="Book Antiqua" w:hAnsi="Book Antiqua"/>
          <w:vertAlign w:val="superscript"/>
          <w:lang w:val="en-US"/>
        </w:rPr>
        <w:t>3</w:t>
      </w:r>
      <w:r w:rsidR="00BF4F43" w:rsidRPr="00786942">
        <w:rPr>
          <w:rFonts w:ascii="Book Antiqua" w:hAnsi="Book Antiqua"/>
          <w:lang w:val="en-US"/>
        </w:rPr>
        <w:t>Adjusted for alcohol use, smoking, cirrhosis, and hepatitis</w:t>
      </w:r>
      <w:r w:rsidR="00476D21">
        <w:rPr>
          <w:rFonts w:ascii="Book Antiqua" w:hAnsi="Book Antiqua"/>
          <w:lang w:val="en-US"/>
        </w:rPr>
        <w:t xml:space="preserve">. </w:t>
      </w:r>
      <w:r w:rsidRPr="000401B7">
        <w:rPr>
          <w:rFonts w:ascii="Book Antiqua" w:hAnsi="Book Antiqua"/>
          <w:vertAlign w:val="superscript"/>
          <w:lang w:val="en-US"/>
        </w:rPr>
        <w:t>4</w:t>
      </w:r>
      <w:r w:rsidR="00BF4F43" w:rsidRPr="00786942">
        <w:rPr>
          <w:rFonts w:ascii="Book Antiqua" w:hAnsi="Book Antiqua"/>
          <w:lang w:val="en-US"/>
        </w:rPr>
        <w:t xml:space="preserve">Adjusted for age, gender, Child-Pugh class and α-fetoprotein. Time to recurrence was significantly reduced in patients receiving </w:t>
      </w:r>
      <w:r w:rsidR="00476D21">
        <w:rPr>
          <w:rFonts w:ascii="Book Antiqua" w:hAnsi="Book Antiqua"/>
          <w:color w:val="000000"/>
          <w:lang w:val="en-US"/>
        </w:rPr>
        <w:t>a</w:t>
      </w:r>
      <w:r w:rsidR="00476D21" w:rsidRPr="00786942">
        <w:rPr>
          <w:rFonts w:ascii="Book Antiqua" w:hAnsi="Book Antiqua"/>
          <w:color w:val="000000"/>
          <w:lang w:val="en-US"/>
        </w:rPr>
        <w:t>ngiotensin II type 1 receptor blockers</w:t>
      </w:r>
      <w:r w:rsidR="00BF4F43" w:rsidRPr="00786942">
        <w:rPr>
          <w:rFonts w:ascii="Book Antiqua" w:hAnsi="Book Antiqua"/>
          <w:lang w:val="en-US"/>
        </w:rPr>
        <w:t xml:space="preserve"> (</w:t>
      </w:r>
      <w:r w:rsidR="00476D21" w:rsidRPr="00476D21">
        <w:rPr>
          <w:rFonts w:ascii="Book Antiqua" w:hAnsi="Book Antiqua"/>
          <w:i/>
          <w:lang w:val="en-US"/>
        </w:rPr>
        <w:t>P</w:t>
      </w:r>
      <w:r>
        <w:rPr>
          <w:rFonts w:ascii="Book Antiqua" w:hAnsi="Book Antiqua"/>
          <w:lang w:val="en-US"/>
        </w:rPr>
        <w:t xml:space="preserve"> </w:t>
      </w:r>
      <w:r w:rsidR="00BF4F43" w:rsidRPr="00786942">
        <w:rPr>
          <w:rFonts w:ascii="Book Antiqua" w:hAnsi="Book Antiqua"/>
          <w:lang w:val="en-US"/>
        </w:rPr>
        <w:t>= 0.009).</w:t>
      </w:r>
      <w:r>
        <w:rPr>
          <w:rFonts w:ascii="Book Antiqua" w:hAnsi="Book Antiqua"/>
          <w:lang w:val="en-US"/>
        </w:rPr>
        <w:t xml:space="preserve"> RFA:</w:t>
      </w:r>
      <w:r w:rsidRPr="00786942">
        <w:rPr>
          <w:rFonts w:ascii="Book Antiqua" w:hAnsi="Book Antiqua"/>
          <w:lang w:val="en-US"/>
        </w:rPr>
        <w:t xml:space="preserve"> </w:t>
      </w:r>
      <w:bookmarkStart w:id="185" w:name="OLE_LINK668"/>
      <w:bookmarkStart w:id="186" w:name="OLE_LINK669"/>
      <w:r>
        <w:rPr>
          <w:rFonts w:ascii="Book Antiqua" w:hAnsi="Book Antiqua"/>
          <w:lang w:val="en-US"/>
        </w:rPr>
        <w:t>R</w:t>
      </w:r>
      <w:r w:rsidRPr="00786942">
        <w:rPr>
          <w:rFonts w:ascii="Book Antiqua" w:hAnsi="Book Antiqua"/>
          <w:lang w:val="en-US"/>
        </w:rPr>
        <w:t>adiofrequency ablation</w:t>
      </w:r>
      <w:bookmarkEnd w:id="185"/>
      <w:bookmarkEnd w:id="186"/>
      <w:r>
        <w:rPr>
          <w:rFonts w:ascii="Book Antiqua" w:hAnsi="Book Antiqua"/>
          <w:lang w:val="en-US"/>
        </w:rPr>
        <w:t xml:space="preserve">; OS: Overall survival; OR: Odds ratio; HR: Hazard ratio; ACE-Is: </w:t>
      </w:r>
      <w:r>
        <w:rPr>
          <w:rFonts w:ascii="Book Antiqua" w:hAnsi="Book Antiqua"/>
          <w:color w:val="000000"/>
          <w:lang w:val="en-US"/>
        </w:rPr>
        <w:t>A</w:t>
      </w:r>
      <w:r w:rsidRPr="00786942">
        <w:rPr>
          <w:rFonts w:ascii="Book Antiqua" w:hAnsi="Book Antiqua"/>
          <w:color w:val="000000"/>
          <w:lang w:val="en-US"/>
        </w:rPr>
        <w:t>ngiotensin-converting enzyme inhibitors</w:t>
      </w:r>
      <w:r>
        <w:rPr>
          <w:rFonts w:ascii="Book Antiqua" w:hAnsi="Book Antiqua"/>
          <w:color w:val="000000"/>
          <w:lang w:val="en-US"/>
        </w:rPr>
        <w:t>; ARBs: A</w:t>
      </w:r>
      <w:r w:rsidRPr="00786942">
        <w:rPr>
          <w:rFonts w:ascii="Book Antiqua" w:hAnsi="Book Antiqua"/>
          <w:color w:val="000000"/>
          <w:lang w:val="en-US"/>
        </w:rPr>
        <w:t>ngiotensin II type 1 receptor blockers</w:t>
      </w:r>
      <w:r>
        <w:rPr>
          <w:rFonts w:ascii="Book Antiqua" w:hAnsi="Book Antiqua"/>
          <w:color w:val="000000"/>
          <w:lang w:val="en-US"/>
        </w:rPr>
        <w:t xml:space="preserve">; </w:t>
      </w:r>
      <w:r w:rsidR="007C4A11">
        <w:rPr>
          <w:rFonts w:ascii="Book Antiqua" w:hAnsi="Book Antiqua"/>
          <w:color w:val="000000"/>
          <w:lang w:val="en-US"/>
        </w:rPr>
        <w:t>V</w:t>
      </w:r>
      <w:r>
        <w:rPr>
          <w:rFonts w:ascii="Book Antiqua" w:hAnsi="Book Antiqua"/>
          <w:color w:val="000000"/>
          <w:lang w:val="en-US"/>
        </w:rPr>
        <w:t xml:space="preserve">it.: Vitamine; </w:t>
      </w:r>
      <w:r w:rsidR="00476D21">
        <w:rPr>
          <w:rFonts w:ascii="Book Antiqua" w:hAnsi="Book Antiqua"/>
          <w:color w:val="000000"/>
          <w:lang w:val="en-US"/>
        </w:rPr>
        <w:t>CI: Confidence interval; HCC: Hepatocellular c</w:t>
      </w:r>
      <w:r w:rsidR="00476D21" w:rsidRPr="00476D21">
        <w:rPr>
          <w:rFonts w:ascii="Book Antiqua" w:hAnsi="Book Antiqua"/>
          <w:color w:val="000000"/>
          <w:lang w:val="en-US"/>
        </w:rPr>
        <w:t>arcinoma</w:t>
      </w:r>
      <w:r w:rsidR="00476D21">
        <w:rPr>
          <w:rFonts w:ascii="Book Antiqua" w:hAnsi="Book Antiqua"/>
          <w:color w:val="000000"/>
          <w:lang w:val="en-US"/>
        </w:rPr>
        <w:t xml:space="preserve">; HBV: Hepatitis </w:t>
      </w:r>
      <w:r w:rsidR="008D6C0C">
        <w:rPr>
          <w:rFonts w:ascii="Book Antiqua" w:hAnsi="Book Antiqua"/>
          <w:color w:val="000000"/>
          <w:lang w:val="en-US"/>
        </w:rPr>
        <w:t xml:space="preserve">B virus; HCV: Hepatitis C virus; </w:t>
      </w:r>
      <w:r w:rsidR="007C4A11">
        <w:rPr>
          <w:rFonts w:ascii="Book Antiqua" w:hAnsi="Book Antiqua"/>
          <w:lang w:val="en-US"/>
        </w:rPr>
        <w:t>P</w:t>
      </w:r>
      <w:r w:rsidR="008D6C0C" w:rsidRPr="00786942">
        <w:rPr>
          <w:rFonts w:ascii="Book Antiqua" w:hAnsi="Book Antiqua"/>
          <w:lang w:val="en-US"/>
        </w:rPr>
        <w:t>ts.</w:t>
      </w:r>
      <w:r w:rsidR="008D6C0C">
        <w:rPr>
          <w:rFonts w:ascii="Book Antiqua" w:hAnsi="Book Antiqua"/>
          <w:lang w:val="en-US"/>
        </w:rPr>
        <w:t>: Patients.</w:t>
      </w:r>
    </w:p>
    <w:p w:rsidR="001059EA" w:rsidRPr="008D6C0C" w:rsidRDefault="001059EA" w:rsidP="00786942">
      <w:pPr>
        <w:adjustRightInd w:val="0"/>
        <w:snapToGrid w:val="0"/>
        <w:spacing w:line="360" w:lineRule="auto"/>
        <w:ind w:right="0"/>
        <w:rPr>
          <w:rFonts w:ascii="Book Antiqua" w:hAnsi="Book Antiqua"/>
          <w:b/>
          <w:lang w:val="en-US"/>
        </w:rPr>
      </w:pPr>
      <w:r w:rsidRPr="00786942">
        <w:rPr>
          <w:rFonts w:ascii="Book Antiqua" w:hAnsi="Book Antiqua"/>
          <w:b/>
          <w:shd w:val="clear" w:color="FFFFFF" w:fill="FFFFFF"/>
          <w:lang w:val="en-US"/>
        </w:rPr>
        <w:br w:type="page"/>
      </w:r>
      <w:r w:rsidR="008D6C0C" w:rsidRPr="008D6C0C">
        <w:rPr>
          <w:rFonts w:ascii="Book Antiqua" w:hAnsi="Book Antiqua"/>
          <w:b/>
          <w:lang w:val="en-US"/>
        </w:rPr>
        <w:t>Table 2</w:t>
      </w:r>
      <w:r w:rsidR="00BF4F43" w:rsidRPr="008D6C0C">
        <w:rPr>
          <w:rFonts w:ascii="Book Antiqua" w:hAnsi="Book Antiqua"/>
          <w:b/>
          <w:lang w:val="en-US"/>
        </w:rPr>
        <w:t xml:space="preserve"> Studies</w:t>
      </w:r>
      <w:r w:rsidR="00931F54" w:rsidRPr="008D6C0C">
        <w:rPr>
          <w:rFonts w:ascii="Book Antiqua" w:hAnsi="Book Antiqua"/>
          <w:b/>
          <w:lang w:val="en-US"/>
        </w:rPr>
        <w:t xml:space="preserve"> </w:t>
      </w:r>
      <w:r w:rsidR="00BF4F43" w:rsidRPr="008D6C0C">
        <w:rPr>
          <w:rFonts w:ascii="Book Antiqua" w:hAnsi="Book Antiqua"/>
          <w:b/>
          <w:lang w:val="en-US"/>
        </w:rPr>
        <w:t xml:space="preserve">on the effect of </w:t>
      </w:r>
      <w:r w:rsidR="00BF4F43" w:rsidRPr="008D6C0C">
        <w:rPr>
          <w:rFonts w:ascii="Book Antiqua" w:hAnsi="Book Antiqua"/>
          <w:b/>
          <w:color w:val="000000"/>
          <w:lang w:val="en-US"/>
        </w:rPr>
        <w:t xml:space="preserve">angiotensin-converting enzyme inhibitors or angiotensin II type 1 receptor blockers in diethylnitrosamine-induced </w:t>
      </w:r>
      <w:r w:rsidR="008D6C0C" w:rsidRPr="008D6C0C">
        <w:rPr>
          <w:rFonts w:ascii="Book Antiqua" w:hAnsi="Book Antiqua"/>
          <w:b/>
          <w:color w:val="000000"/>
          <w:lang w:val="en-US"/>
        </w:rPr>
        <w:t>hepatocellular carcinoma</w:t>
      </w:r>
      <w:r w:rsidR="00BF4F43" w:rsidRPr="008D6C0C">
        <w:rPr>
          <w:rFonts w:ascii="Book Antiqua" w:hAnsi="Book Antiqua"/>
          <w:b/>
          <w:color w:val="000000"/>
          <w:lang w:val="en-US"/>
        </w:rPr>
        <w:t xml:space="preserve"> animal models</w:t>
      </w:r>
    </w:p>
    <w:tbl>
      <w:tblPr>
        <w:tblW w:w="4946" w:type="pct"/>
        <w:tblBorders>
          <w:top w:val="single" w:sz="6" w:space="0" w:color="auto"/>
          <w:bottom w:val="single" w:sz="6" w:space="0" w:color="auto"/>
        </w:tblBorders>
        <w:tblLayout w:type="fixed"/>
        <w:tblLook w:val="04A0" w:firstRow="1" w:lastRow="0" w:firstColumn="1" w:lastColumn="0" w:noHBand="0" w:noVBand="1"/>
      </w:tblPr>
      <w:tblGrid>
        <w:gridCol w:w="1219"/>
        <w:gridCol w:w="1866"/>
        <w:gridCol w:w="1701"/>
        <w:gridCol w:w="2552"/>
        <w:gridCol w:w="2219"/>
      </w:tblGrid>
      <w:tr w:rsidR="00BF4F43" w:rsidRPr="00786942" w:rsidTr="00B8605C">
        <w:tc>
          <w:tcPr>
            <w:tcW w:w="638" w:type="pct"/>
            <w:tcBorders>
              <w:top w:val="single" w:sz="6" w:space="0" w:color="auto"/>
              <w:bottom w:val="single" w:sz="6" w:space="0" w:color="auto"/>
            </w:tcBorders>
            <w:vAlign w:val="center"/>
          </w:tcPr>
          <w:p w:rsidR="00BF4F43" w:rsidRPr="00786942" w:rsidRDefault="00BF4F43" w:rsidP="00786942">
            <w:pPr>
              <w:adjustRightInd w:val="0"/>
              <w:snapToGrid w:val="0"/>
              <w:spacing w:line="360" w:lineRule="auto"/>
              <w:ind w:right="0"/>
              <w:rPr>
                <w:rFonts w:ascii="Book Antiqua" w:hAnsi="Book Antiqua"/>
                <w:lang w:val="en-US"/>
              </w:rPr>
            </w:pPr>
          </w:p>
        </w:tc>
        <w:tc>
          <w:tcPr>
            <w:tcW w:w="976" w:type="pct"/>
            <w:tcBorders>
              <w:top w:val="single" w:sz="6" w:space="0" w:color="auto"/>
              <w:bottom w:val="single" w:sz="6" w:space="0" w:color="auto"/>
            </w:tcBorders>
            <w:vAlign w:val="center"/>
          </w:tcPr>
          <w:p w:rsidR="00BF4F43" w:rsidRPr="000E1C16" w:rsidRDefault="00BF4F43" w:rsidP="00B8605C">
            <w:pPr>
              <w:adjustRightInd w:val="0"/>
              <w:snapToGrid w:val="0"/>
              <w:spacing w:line="360" w:lineRule="auto"/>
              <w:ind w:right="0"/>
              <w:jc w:val="center"/>
              <w:rPr>
                <w:rFonts w:ascii="Book Antiqua" w:hAnsi="Book Antiqua"/>
                <w:b/>
                <w:lang w:val="en-US"/>
              </w:rPr>
            </w:pPr>
            <w:r w:rsidRPr="000E1C16">
              <w:rPr>
                <w:rFonts w:ascii="Book Antiqua" w:hAnsi="Book Antiqua"/>
                <w:b/>
                <w:lang w:val="en-US"/>
              </w:rPr>
              <w:t>Animal model</w:t>
            </w:r>
          </w:p>
        </w:tc>
        <w:tc>
          <w:tcPr>
            <w:tcW w:w="890" w:type="pct"/>
            <w:tcBorders>
              <w:top w:val="single" w:sz="6" w:space="0" w:color="auto"/>
              <w:bottom w:val="single" w:sz="6" w:space="0" w:color="auto"/>
            </w:tcBorders>
            <w:vAlign w:val="center"/>
          </w:tcPr>
          <w:p w:rsidR="00BF4F43" w:rsidRPr="000E1C16" w:rsidRDefault="00BF4F43" w:rsidP="00B8605C">
            <w:pPr>
              <w:adjustRightInd w:val="0"/>
              <w:snapToGrid w:val="0"/>
              <w:spacing w:line="360" w:lineRule="auto"/>
              <w:ind w:right="0"/>
              <w:jc w:val="center"/>
              <w:rPr>
                <w:rFonts w:ascii="Book Antiqua" w:hAnsi="Book Antiqua"/>
                <w:b/>
                <w:lang w:val="en-US"/>
              </w:rPr>
            </w:pPr>
            <w:r w:rsidRPr="000E1C16">
              <w:rPr>
                <w:rFonts w:ascii="Book Antiqua" w:hAnsi="Book Antiqua"/>
                <w:b/>
                <w:lang w:val="en-US"/>
              </w:rPr>
              <w:t>Treatment</w:t>
            </w:r>
          </w:p>
        </w:tc>
        <w:tc>
          <w:tcPr>
            <w:tcW w:w="1335" w:type="pct"/>
            <w:tcBorders>
              <w:top w:val="single" w:sz="6" w:space="0" w:color="auto"/>
              <w:bottom w:val="single" w:sz="6" w:space="0" w:color="auto"/>
            </w:tcBorders>
            <w:vAlign w:val="center"/>
          </w:tcPr>
          <w:p w:rsidR="00BF4F43" w:rsidRPr="000E1C16" w:rsidRDefault="00BF4F43" w:rsidP="00B8605C">
            <w:pPr>
              <w:adjustRightInd w:val="0"/>
              <w:snapToGrid w:val="0"/>
              <w:spacing w:line="360" w:lineRule="auto"/>
              <w:ind w:right="0"/>
              <w:jc w:val="center"/>
              <w:rPr>
                <w:rFonts w:ascii="Book Antiqua" w:hAnsi="Book Antiqua"/>
                <w:b/>
                <w:lang w:val="en-US"/>
              </w:rPr>
            </w:pPr>
            <w:r w:rsidRPr="000E1C16">
              <w:rPr>
                <w:rFonts w:ascii="Book Antiqua" w:hAnsi="Book Antiqua"/>
                <w:b/>
                <w:lang w:val="en-US"/>
              </w:rPr>
              <w:t>Results</w:t>
            </w:r>
          </w:p>
        </w:tc>
        <w:tc>
          <w:tcPr>
            <w:tcW w:w="1161" w:type="pct"/>
            <w:tcBorders>
              <w:top w:val="single" w:sz="6" w:space="0" w:color="auto"/>
              <w:bottom w:val="single" w:sz="6" w:space="0" w:color="auto"/>
            </w:tcBorders>
            <w:vAlign w:val="center"/>
          </w:tcPr>
          <w:p w:rsidR="00BF4F43" w:rsidRPr="000E1C16" w:rsidRDefault="00BF4F43" w:rsidP="00B8605C">
            <w:pPr>
              <w:adjustRightInd w:val="0"/>
              <w:snapToGrid w:val="0"/>
              <w:spacing w:line="360" w:lineRule="auto"/>
              <w:ind w:right="0"/>
              <w:jc w:val="center"/>
              <w:rPr>
                <w:rFonts w:ascii="Book Antiqua" w:hAnsi="Book Antiqua"/>
                <w:b/>
                <w:lang w:val="en-US"/>
              </w:rPr>
            </w:pPr>
            <w:r w:rsidRPr="000E1C16">
              <w:rPr>
                <w:rFonts w:ascii="Book Antiqua" w:hAnsi="Book Antiqua"/>
                <w:b/>
                <w:lang w:val="en-US"/>
              </w:rPr>
              <w:t>Comments</w:t>
            </w:r>
          </w:p>
        </w:tc>
      </w:tr>
      <w:tr w:rsidR="00BF4F43" w:rsidRPr="00786942" w:rsidTr="00B8605C">
        <w:tc>
          <w:tcPr>
            <w:tcW w:w="638" w:type="pct"/>
            <w:tcBorders>
              <w:top w:val="single" w:sz="6" w:space="0" w:color="auto"/>
            </w:tcBorders>
            <w:vAlign w:val="center"/>
          </w:tcPr>
          <w:p w:rsidR="00BF4F43" w:rsidRPr="00786942" w:rsidRDefault="00BF4F43" w:rsidP="008D6C0C">
            <w:pPr>
              <w:adjustRightInd w:val="0"/>
              <w:snapToGrid w:val="0"/>
              <w:spacing w:line="360" w:lineRule="auto"/>
              <w:ind w:right="0"/>
              <w:rPr>
                <w:rFonts w:ascii="Book Antiqua" w:hAnsi="Book Antiqua"/>
                <w:lang w:val="en-US"/>
              </w:rPr>
            </w:pPr>
            <w:r w:rsidRPr="00786942">
              <w:rPr>
                <w:rFonts w:ascii="Book Antiqua" w:hAnsi="Book Antiqua"/>
                <w:lang w:val="en-US"/>
              </w:rPr>
              <w:t xml:space="preserve">Saber </w:t>
            </w:r>
            <w:r w:rsidRPr="008D6C0C">
              <w:rPr>
                <w:rFonts w:ascii="Book Antiqua" w:hAnsi="Book Antiqua"/>
                <w:i/>
                <w:lang w:val="en-US"/>
              </w:rPr>
              <w:t>et al</w:t>
            </w:r>
            <w:r w:rsidR="008D6C0C">
              <w:rPr>
                <w:rFonts w:ascii="Book Antiqua" w:hAnsi="Book Antiqua"/>
                <w:vertAlign w:val="superscript"/>
                <w:lang w:val="en-US"/>
              </w:rPr>
              <w:t>[25]</w:t>
            </w:r>
          </w:p>
        </w:tc>
        <w:tc>
          <w:tcPr>
            <w:tcW w:w="976" w:type="pct"/>
            <w:tcBorders>
              <w:top w:val="single" w:sz="6" w:space="0" w:color="auto"/>
            </w:tcBorders>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DEN-induced HCC in mice</w:t>
            </w:r>
          </w:p>
        </w:tc>
        <w:tc>
          <w:tcPr>
            <w:tcW w:w="890" w:type="pct"/>
            <w:tcBorders>
              <w:top w:val="single" w:sz="6" w:space="0" w:color="auto"/>
            </w:tcBorders>
            <w:vAlign w:val="center"/>
          </w:tcPr>
          <w:p w:rsidR="00BF4F43" w:rsidRPr="00786942" w:rsidRDefault="00BF4F43" w:rsidP="00B8605C">
            <w:pPr>
              <w:pStyle w:val="-1"/>
              <w:adjustRightInd w:val="0"/>
              <w:snapToGrid w:val="0"/>
              <w:spacing w:line="360" w:lineRule="auto"/>
              <w:ind w:left="0" w:right="0"/>
              <w:contextualSpacing w:val="0"/>
              <w:jc w:val="center"/>
              <w:rPr>
                <w:rFonts w:ascii="Book Antiqua" w:hAnsi="Book Antiqua"/>
                <w:lang w:val="en-US"/>
              </w:rPr>
            </w:pPr>
            <w:r w:rsidRPr="00786942">
              <w:rPr>
                <w:rFonts w:ascii="Book Antiqua" w:hAnsi="Book Antiqua"/>
                <w:lang w:val="en-US"/>
              </w:rPr>
              <w:t>I. Sorafenib</w:t>
            </w:r>
          </w:p>
          <w:p w:rsidR="00BF4F43" w:rsidRPr="00B8605C" w:rsidRDefault="000401B7" w:rsidP="00B8605C">
            <w:pPr>
              <w:adjustRightInd w:val="0"/>
              <w:snapToGrid w:val="0"/>
              <w:spacing w:line="360" w:lineRule="auto"/>
              <w:ind w:right="0"/>
              <w:jc w:val="center"/>
              <w:rPr>
                <w:rFonts w:ascii="Book Antiqua" w:hAnsi="Book Antiqua"/>
                <w:i/>
                <w:lang w:val="en-US"/>
              </w:rPr>
            </w:pPr>
            <w:r w:rsidRPr="00B8605C">
              <w:rPr>
                <w:rFonts w:ascii="Book Antiqua" w:hAnsi="Book Antiqua"/>
                <w:i/>
                <w:lang w:val="en-US"/>
              </w:rPr>
              <w:t>vs</w:t>
            </w:r>
          </w:p>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II. ACEIs or ARBs</w:t>
            </w:r>
          </w:p>
        </w:tc>
        <w:tc>
          <w:tcPr>
            <w:tcW w:w="1335" w:type="pct"/>
            <w:tcBorders>
              <w:top w:val="single" w:sz="6" w:space="0" w:color="auto"/>
            </w:tcBorders>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Both treatments improved liver histology; II. reduced α-feto-protein and VEGF level</w:t>
            </w:r>
          </w:p>
        </w:tc>
        <w:tc>
          <w:tcPr>
            <w:tcW w:w="1161" w:type="pct"/>
            <w:tcBorders>
              <w:top w:val="single" w:sz="6" w:space="0" w:color="auto"/>
            </w:tcBorders>
            <w:vAlign w:val="center"/>
          </w:tcPr>
          <w:p w:rsidR="00BF4F43" w:rsidRPr="00786942" w:rsidRDefault="00BF4F43" w:rsidP="00B8605C">
            <w:pPr>
              <w:pStyle w:val="-1"/>
              <w:adjustRightInd w:val="0"/>
              <w:snapToGrid w:val="0"/>
              <w:spacing w:line="360" w:lineRule="auto"/>
              <w:ind w:left="0" w:right="0"/>
              <w:contextualSpacing w:val="0"/>
              <w:jc w:val="center"/>
              <w:rPr>
                <w:rFonts w:ascii="Book Antiqua" w:hAnsi="Book Antiqua"/>
                <w:lang w:val="en-US"/>
              </w:rPr>
            </w:pPr>
            <w:r w:rsidRPr="00786942">
              <w:rPr>
                <w:rFonts w:ascii="Book Antiqua" w:hAnsi="Book Antiqua"/>
                <w:lang w:val="en-US"/>
              </w:rPr>
              <w:t>Inhibition of proliferation by involvement of NFкB pathway and cyclin D1</w:t>
            </w:r>
          </w:p>
        </w:tc>
      </w:tr>
      <w:tr w:rsidR="00BF4F43" w:rsidRPr="00786942" w:rsidTr="00B8605C">
        <w:tc>
          <w:tcPr>
            <w:tcW w:w="638" w:type="pct"/>
            <w:vAlign w:val="center"/>
          </w:tcPr>
          <w:p w:rsidR="00BF4F43" w:rsidRPr="00786942" w:rsidRDefault="00BF4F43" w:rsidP="008D6C0C">
            <w:pPr>
              <w:adjustRightInd w:val="0"/>
              <w:snapToGrid w:val="0"/>
              <w:spacing w:line="360" w:lineRule="auto"/>
              <w:ind w:right="0"/>
              <w:rPr>
                <w:rFonts w:ascii="Book Antiqua" w:hAnsi="Book Antiqua"/>
                <w:lang w:val="en-US"/>
              </w:rPr>
            </w:pPr>
            <w:r w:rsidRPr="00786942">
              <w:rPr>
                <w:rFonts w:ascii="Book Antiqua" w:hAnsi="Book Antiqua"/>
                <w:lang w:val="en-US"/>
              </w:rPr>
              <w:t xml:space="preserve">Saber </w:t>
            </w:r>
            <w:bookmarkStart w:id="187" w:name="OLE_LINK693"/>
            <w:bookmarkStart w:id="188" w:name="OLE_LINK694"/>
            <w:r w:rsidRPr="008D6C0C">
              <w:rPr>
                <w:rFonts w:ascii="Book Antiqua" w:hAnsi="Book Antiqua"/>
                <w:i/>
                <w:lang w:val="en-US"/>
              </w:rPr>
              <w:t>et al</w:t>
            </w:r>
            <w:bookmarkEnd w:id="187"/>
            <w:bookmarkEnd w:id="188"/>
            <w:r w:rsidR="008D6C0C">
              <w:rPr>
                <w:rFonts w:ascii="Book Antiqua" w:hAnsi="Book Antiqua"/>
                <w:vertAlign w:val="superscript"/>
                <w:lang w:val="en-US"/>
              </w:rPr>
              <w:t>[26]</w:t>
            </w:r>
          </w:p>
        </w:tc>
        <w:tc>
          <w:tcPr>
            <w:tcW w:w="976"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DEN-induced HCC in mice</w:t>
            </w:r>
          </w:p>
        </w:tc>
        <w:tc>
          <w:tcPr>
            <w:tcW w:w="890" w:type="pct"/>
            <w:vAlign w:val="center"/>
          </w:tcPr>
          <w:p w:rsidR="00BF4F43" w:rsidRPr="00786942" w:rsidRDefault="00BF4F43" w:rsidP="00B8605C">
            <w:pPr>
              <w:pStyle w:val="-1"/>
              <w:numPr>
                <w:ilvl w:val="0"/>
                <w:numId w:val="11"/>
              </w:numPr>
              <w:adjustRightInd w:val="0"/>
              <w:snapToGrid w:val="0"/>
              <w:spacing w:line="360" w:lineRule="auto"/>
              <w:ind w:left="0" w:right="0" w:firstLine="0"/>
              <w:contextualSpacing w:val="0"/>
              <w:jc w:val="center"/>
              <w:rPr>
                <w:rFonts w:ascii="Book Antiqua" w:hAnsi="Book Antiqua"/>
                <w:lang w:val="en-US"/>
              </w:rPr>
            </w:pPr>
            <w:r w:rsidRPr="00786942">
              <w:rPr>
                <w:rFonts w:ascii="Book Antiqua" w:hAnsi="Book Antiqua"/>
                <w:lang w:val="en-US"/>
              </w:rPr>
              <w:t>Sorafenib</w:t>
            </w:r>
          </w:p>
          <w:p w:rsidR="00BF4F43" w:rsidRPr="00786942" w:rsidRDefault="00BF4F43" w:rsidP="00B8605C">
            <w:pPr>
              <w:pStyle w:val="-1"/>
              <w:numPr>
                <w:ilvl w:val="0"/>
                <w:numId w:val="11"/>
              </w:numPr>
              <w:adjustRightInd w:val="0"/>
              <w:snapToGrid w:val="0"/>
              <w:spacing w:line="360" w:lineRule="auto"/>
              <w:ind w:left="0" w:right="0" w:firstLine="0"/>
              <w:contextualSpacing w:val="0"/>
              <w:jc w:val="center"/>
              <w:rPr>
                <w:rFonts w:ascii="Book Antiqua" w:hAnsi="Book Antiqua"/>
                <w:lang w:val="en-US"/>
              </w:rPr>
            </w:pPr>
            <w:r w:rsidRPr="00786942">
              <w:rPr>
                <w:rFonts w:ascii="Book Antiqua" w:hAnsi="Book Antiqua"/>
                <w:lang w:val="en-US"/>
              </w:rPr>
              <w:t>ACE-I ± Sorafenib</w:t>
            </w:r>
          </w:p>
          <w:p w:rsidR="00BF4F43" w:rsidRPr="00786942" w:rsidRDefault="00BF4F43" w:rsidP="00B8605C">
            <w:pPr>
              <w:pStyle w:val="-1"/>
              <w:numPr>
                <w:ilvl w:val="0"/>
                <w:numId w:val="11"/>
              </w:numPr>
              <w:adjustRightInd w:val="0"/>
              <w:snapToGrid w:val="0"/>
              <w:spacing w:line="360" w:lineRule="auto"/>
              <w:ind w:left="0" w:right="0" w:firstLine="0"/>
              <w:contextualSpacing w:val="0"/>
              <w:jc w:val="center"/>
              <w:rPr>
                <w:rFonts w:ascii="Book Antiqua" w:hAnsi="Book Antiqua"/>
                <w:lang w:val="en-US"/>
              </w:rPr>
            </w:pPr>
            <w:r w:rsidRPr="00786942">
              <w:rPr>
                <w:rFonts w:ascii="Book Antiqua" w:hAnsi="Book Antiqua"/>
                <w:lang w:val="en-US"/>
              </w:rPr>
              <w:t>ARB ± Sorafenib</w:t>
            </w:r>
          </w:p>
        </w:tc>
        <w:tc>
          <w:tcPr>
            <w:tcW w:w="1335" w:type="pct"/>
            <w:vAlign w:val="center"/>
          </w:tcPr>
          <w:p w:rsidR="00BF4F43" w:rsidRPr="00786942" w:rsidRDefault="00B8605C" w:rsidP="00B8605C">
            <w:pPr>
              <w:adjustRightInd w:val="0"/>
              <w:snapToGrid w:val="0"/>
              <w:spacing w:line="360" w:lineRule="auto"/>
              <w:ind w:right="0"/>
              <w:jc w:val="center"/>
              <w:rPr>
                <w:rFonts w:ascii="Book Antiqua" w:hAnsi="Book Antiqua"/>
                <w:lang w:val="en-US"/>
              </w:rPr>
            </w:pPr>
            <w:r>
              <w:rPr>
                <w:rFonts w:ascii="Book Antiqua" w:hAnsi="Book Antiqua"/>
                <w:lang w:val="en-US"/>
              </w:rPr>
              <w:t>ACE-Is and ARBs mono</w:t>
            </w:r>
            <w:r w:rsidR="00BF4F43" w:rsidRPr="00786942">
              <w:rPr>
                <w:rFonts w:ascii="Book Antiqua" w:hAnsi="Book Antiqua"/>
                <w:lang w:val="en-US"/>
              </w:rPr>
              <w:t>therapy or plus sorafenib improved liver histology with regression to grade 1, almost restoration of lobular architecture</w:t>
            </w:r>
          </w:p>
        </w:tc>
        <w:tc>
          <w:tcPr>
            <w:tcW w:w="1161"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No survival improvement</w:t>
            </w:r>
          </w:p>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No additional effect when combination therapy was used</w:t>
            </w:r>
          </w:p>
        </w:tc>
      </w:tr>
      <w:tr w:rsidR="00BF4F43" w:rsidRPr="00786942" w:rsidTr="00B8605C">
        <w:tc>
          <w:tcPr>
            <w:tcW w:w="638" w:type="pct"/>
            <w:vAlign w:val="center"/>
          </w:tcPr>
          <w:p w:rsidR="00BF4F43" w:rsidRPr="00786942" w:rsidRDefault="00BF4F43" w:rsidP="008D6C0C">
            <w:pPr>
              <w:adjustRightInd w:val="0"/>
              <w:snapToGrid w:val="0"/>
              <w:spacing w:line="360" w:lineRule="auto"/>
              <w:ind w:right="0"/>
              <w:rPr>
                <w:rFonts w:ascii="Book Antiqua" w:hAnsi="Book Antiqua"/>
                <w:lang w:val="en-US"/>
              </w:rPr>
            </w:pPr>
            <w:r w:rsidRPr="00786942">
              <w:rPr>
                <w:rFonts w:ascii="Book Antiqua" w:hAnsi="Book Antiqua"/>
                <w:lang w:val="en-US"/>
              </w:rPr>
              <w:t xml:space="preserve">Nasr </w:t>
            </w:r>
            <w:r w:rsidRPr="008D6C0C">
              <w:rPr>
                <w:rFonts w:ascii="Book Antiqua" w:hAnsi="Book Antiqua"/>
                <w:i/>
                <w:lang w:val="en-US"/>
              </w:rPr>
              <w:t>et al</w:t>
            </w:r>
            <w:r w:rsidR="008D6C0C">
              <w:rPr>
                <w:rFonts w:ascii="Book Antiqua" w:hAnsi="Book Antiqua"/>
                <w:vertAlign w:val="superscript"/>
                <w:lang w:val="en-US"/>
              </w:rPr>
              <w:t>[27]</w:t>
            </w:r>
          </w:p>
        </w:tc>
        <w:tc>
          <w:tcPr>
            <w:tcW w:w="976"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DEN-induced HCC in mice</w:t>
            </w:r>
          </w:p>
        </w:tc>
        <w:tc>
          <w:tcPr>
            <w:tcW w:w="890"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Leflunomide Perindopril Curcumin</w:t>
            </w:r>
          </w:p>
        </w:tc>
        <w:tc>
          <w:tcPr>
            <w:tcW w:w="1335"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All drugs abrogated: hepatic microvessel density, eleva</w:t>
            </w:r>
            <w:r w:rsidR="00B8605C">
              <w:rPr>
                <w:rFonts w:ascii="Book Antiqua" w:hAnsi="Book Antiqua"/>
                <w:lang w:val="en-US"/>
              </w:rPr>
              <w:t>ted VEGF; only curcumin reduced</w:t>
            </w:r>
            <w:r w:rsidRPr="00786942">
              <w:rPr>
                <w:rFonts w:ascii="Book Antiqua" w:hAnsi="Book Antiqua"/>
                <w:lang w:val="en-US"/>
              </w:rPr>
              <w:t xml:space="preserve"> HIF-1α.</w:t>
            </w:r>
            <w:r w:rsidR="00B8605C">
              <w:rPr>
                <w:rFonts w:ascii="Book Antiqua" w:hAnsi="Book Antiqua"/>
                <w:lang w:val="en-US"/>
              </w:rPr>
              <w:t xml:space="preserve"> </w:t>
            </w:r>
            <w:r w:rsidRPr="00786942">
              <w:rPr>
                <w:rFonts w:ascii="Book Antiqua" w:hAnsi="Book Antiqua"/>
                <w:lang w:val="en-US"/>
              </w:rPr>
              <w:t>Nodules reduced or absent</w:t>
            </w:r>
          </w:p>
        </w:tc>
        <w:tc>
          <w:tcPr>
            <w:tcW w:w="1161"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Combination of these agents: further inhibited neovascularization</w:t>
            </w:r>
          </w:p>
        </w:tc>
      </w:tr>
      <w:tr w:rsidR="00BF4F43" w:rsidRPr="00786942" w:rsidTr="00B8605C">
        <w:tc>
          <w:tcPr>
            <w:tcW w:w="638" w:type="pct"/>
            <w:vAlign w:val="center"/>
          </w:tcPr>
          <w:p w:rsidR="00BF4F43" w:rsidRPr="00786942" w:rsidRDefault="00BF4F43" w:rsidP="008D6C0C">
            <w:pPr>
              <w:adjustRightInd w:val="0"/>
              <w:snapToGrid w:val="0"/>
              <w:spacing w:line="360" w:lineRule="auto"/>
              <w:ind w:right="0"/>
              <w:rPr>
                <w:rFonts w:ascii="Book Antiqua" w:hAnsi="Book Antiqua"/>
                <w:lang w:val="en-US"/>
              </w:rPr>
            </w:pPr>
            <w:r w:rsidRPr="00786942">
              <w:rPr>
                <w:rFonts w:ascii="Book Antiqua" w:hAnsi="Book Antiqua"/>
                <w:lang w:val="en-US"/>
              </w:rPr>
              <w:t xml:space="preserve">Mansour </w:t>
            </w:r>
            <w:r w:rsidRPr="008D6C0C">
              <w:rPr>
                <w:rFonts w:ascii="Book Antiqua" w:hAnsi="Book Antiqua"/>
                <w:i/>
                <w:lang w:val="en-US"/>
              </w:rPr>
              <w:t>et al</w:t>
            </w:r>
            <w:r w:rsidR="008D6C0C">
              <w:rPr>
                <w:rFonts w:ascii="Book Antiqua" w:hAnsi="Book Antiqua"/>
                <w:vertAlign w:val="superscript"/>
                <w:lang w:val="en-US"/>
              </w:rPr>
              <w:t>[29]</w:t>
            </w:r>
          </w:p>
        </w:tc>
        <w:tc>
          <w:tcPr>
            <w:tcW w:w="976"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DEN</w:t>
            </w:r>
            <w:r w:rsidR="007C4A11">
              <w:rPr>
                <w:rFonts w:ascii="Book Antiqua" w:hAnsi="Book Antiqua"/>
                <w:lang w:val="en-US"/>
              </w:rPr>
              <w:t xml:space="preserve"> </w:t>
            </w:r>
            <w:r w:rsidRPr="00786942">
              <w:rPr>
                <w:rFonts w:ascii="Book Antiqua" w:hAnsi="Book Antiqua"/>
                <w:lang w:val="en-US"/>
              </w:rPr>
              <w:t>+ carbon tetra-chloride in rats</w:t>
            </w:r>
          </w:p>
        </w:tc>
        <w:tc>
          <w:tcPr>
            <w:tcW w:w="890"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ACE-I</w:t>
            </w:r>
          </w:p>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ARBs</w:t>
            </w:r>
          </w:p>
        </w:tc>
        <w:tc>
          <w:tcPr>
            <w:tcW w:w="1335" w:type="pct"/>
            <w:vAlign w:val="center"/>
          </w:tcPr>
          <w:p w:rsidR="00BF4F43" w:rsidRPr="00786942" w:rsidRDefault="00B8605C" w:rsidP="00B8605C">
            <w:pPr>
              <w:adjustRightInd w:val="0"/>
              <w:snapToGrid w:val="0"/>
              <w:spacing w:line="360" w:lineRule="auto"/>
              <w:ind w:right="0"/>
              <w:jc w:val="center"/>
              <w:rPr>
                <w:rFonts w:ascii="Book Antiqua" w:hAnsi="Book Antiqua"/>
                <w:lang w:val="en-US"/>
              </w:rPr>
            </w:pPr>
            <w:r>
              <w:rPr>
                <w:rFonts w:ascii="Book Antiqua" w:hAnsi="Book Antiqua"/>
                <w:lang w:val="en-US"/>
              </w:rPr>
              <w:t xml:space="preserve">Significant </w:t>
            </w:r>
            <w:r w:rsidR="00BF4F43" w:rsidRPr="00786942">
              <w:rPr>
                <w:rFonts w:ascii="Book Antiqua" w:hAnsi="Book Antiqua"/>
                <w:lang w:val="en-US"/>
              </w:rPr>
              <w:t>reduction of tumor markers and</w:t>
            </w:r>
          </w:p>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hepatic growth factors</w:t>
            </w:r>
          </w:p>
        </w:tc>
        <w:tc>
          <w:tcPr>
            <w:tcW w:w="1161"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Liver histology amelioration correlated with VEGF,</w:t>
            </w:r>
            <w:r w:rsidR="00931F54" w:rsidRPr="00786942">
              <w:rPr>
                <w:rFonts w:ascii="Book Antiqua" w:hAnsi="Book Antiqua"/>
                <w:lang w:val="en-US"/>
              </w:rPr>
              <w:t xml:space="preserve"> </w:t>
            </w:r>
            <w:r w:rsidRPr="00786942">
              <w:rPr>
                <w:rFonts w:ascii="Book Antiqua" w:hAnsi="Book Antiqua"/>
                <w:lang w:val="en-US"/>
              </w:rPr>
              <w:t>CD31 and FGF</w:t>
            </w:r>
          </w:p>
        </w:tc>
      </w:tr>
      <w:tr w:rsidR="00BF4F43" w:rsidRPr="00786942" w:rsidTr="00B8605C">
        <w:tc>
          <w:tcPr>
            <w:tcW w:w="638" w:type="pct"/>
            <w:vMerge w:val="restart"/>
            <w:vAlign w:val="center"/>
          </w:tcPr>
          <w:p w:rsidR="00BF4F43" w:rsidRPr="00786942" w:rsidRDefault="00BF4F43" w:rsidP="008D6C0C">
            <w:pPr>
              <w:adjustRightInd w:val="0"/>
              <w:snapToGrid w:val="0"/>
              <w:spacing w:line="360" w:lineRule="auto"/>
              <w:ind w:right="0"/>
              <w:rPr>
                <w:rFonts w:ascii="Book Antiqua" w:hAnsi="Book Antiqua"/>
                <w:lang w:val="en-US"/>
              </w:rPr>
            </w:pPr>
            <w:bookmarkStart w:id="189" w:name="OLE_LINK695"/>
            <w:bookmarkStart w:id="190" w:name="OLE_LINK696"/>
            <w:r w:rsidRPr="00786942">
              <w:rPr>
                <w:rFonts w:ascii="Book Antiqua" w:hAnsi="Book Antiqua"/>
                <w:lang w:val="en-US"/>
              </w:rPr>
              <w:t>Yanase</w:t>
            </w:r>
            <w:bookmarkEnd w:id="189"/>
            <w:bookmarkEnd w:id="190"/>
            <w:r w:rsidRPr="00786942">
              <w:rPr>
                <w:rFonts w:ascii="Book Antiqua" w:hAnsi="Book Antiqua"/>
                <w:lang w:val="en-US"/>
              </w:rPr>
              <w:t xml:space="preserve"> </w:t>
            </w:r>
            <w:r w:rsidRPr="008D6C0C">
              <w:rPr>
                <w:rFonts w:ascii="Book Antiqua" w:hAnsi="Book Antiqua"/>
                <w:i/>
                <w:lang w:val="en-US"/>
              </w:rPr>
              <w:t>et al</w:t>
            </w:r>
            <w:r w:rsidR="008D6C0C">
              <w:rPr>
                <w:rFonts w:ascii="Book Antiqua" w:hAnsi="Book Antiqua"/>
                <w:vertAlign w:val="superscript"/>
                <w:lang w:val="en-US"/>
              </w:rPr>
              <w:t>[30]</w:t>
            </w:r>
          </w:p>
        </w:tc>
        <w:tc>
          <w:tcPr>
            <w:tcW w:w="976"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DEN-treated rats</w:t>
            </w:r>
          </w:p>
        </w:tc>
        <w:tc>
          <w:tcPr>
            <w:tcW w:w="890" w:type="pct"/>
            <w:vMerge w:val="restar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combined effect of ACE-I and 5-fluorouracil</w:t>
            </w:r>
          </w:p>
        </w:tc>
        <w:tc>
          <w:tcPr>
            <w:tcW w:w="1335" w:type="pct"/>
            <w:vMerge w:val="restar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Inhibition of HCC growth, neovascularization (VEGF and CD31+ vessels suppression), and marked increase of apoptosis</w:t>
            </w:r>
          </w:p>
        </w:tc>
        <w:tc>
          <w:tcPr>
            <w:tcW w:w="1161" w:type="pct"/>
            <w:vMerge w:val="restar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i/>
                <w:lang w:val="en-US"/>
              </w:rPr>
              <w:t>In vitro</w:t>
            </w:r>
            <w:r w:rsidRPr="00786942">
              <w:rPr>
                <w:rFonts w:ascii="Book Antiqua" w:hAnsi="Book Antiqua"/>
                <w:lang w:val="en-US"/>
              </w:rPr>
              <w:t xml:space="preserve"> s</w:t>
            </w:r>
            <w:r w:rsidR="00B8605C">
              <w:rPr>
                <w:rFonts w:ascii="Book Antiqua" w:hAnsi="Book Antiqua"/>
                <w:lang w:val="en-US"/>
              </w:rPr>
              <w:t xml:space="preserve">tudies on EC tubular formation </w:t>
            </w:r>
            <w:r w:rsidRPr="00786942">
              <w:rPr>
                <w:rFonts w:ascii="Book Antiqua" w:hAnsi="Book Antiqua"/>
                <w:lang w:val="en-US"/>
              </w:rPr>
              <w:t>confirm the anti-angiogenetic effect</w:t>
            </w:r>
          </w:p>
        </w:tc>
      </w:tr>
      <w:tr w:rsidR="00BF4F43" w:rsidRPr="00786942" w:rsidTr="00B8605C">
        <w:tc>
          <w:tcPr>
            <w:tcW w:w="638" w:type="pct"/>
            <w:vMerge/>
            <w:vAlign w:val="center"/>
          </w:tcPr>
          <w:p w:rsidR="00BF4F43" w:rsidRPr="00786942" w:rsidRDefault="00BF4F43" w:rsidP="00786942">
            <w:pPr>
              <w:adjustRightInd w:val="0"/>
              <w:snapToGrid w:val="0"/>
              <w:spacing w:line="360" w:lineRule="auto"/>
              <w:ind w:right="0"/>
              <w:rPr>
                <w:rFonts w:ascii="Book Antiqua" w:hAnsi="Book Antiqua"/>
                <w:lang w:val="en-US"/>
              </w:rPr>
            </w:pPr>
          </w:p>
        </w:tc>
        <w:tc>
          <w:tcPr>
            <w:tcW w:w="976"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Male BALB/c mice with injections of BNL-HCC cells.</w:t>
            </w:r>
          </w:p>
        </w:tc>
        <w:tc>
          <w:tcPr>
            <w:tcW w:w="890" w:type="pct"/>
            <w:vMerge/>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p>
        </w:tc>
        <w:tc>
          <w:tcPr>
            <w:tcW w:w="1335" w:type="pct"/>
            <w:vMerge/>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p>
        </w:tc>
        <w:tc>
          <w:tcPr>
            <w:tcW w:w="1161" w:type="pct"/>
            <w:vMerge/>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p>
        </w:tc>
      </w:tr>
      <w:tr w:rsidR="00BF4F43" w:rsidRPr="00786942" w:rsidTr="00B8605C">
        <w:trPr>
          <w:trHeight w:val="620"/>
        </w:trPr>
        <w:tc>
          <w:tcPr>
            <w:tcW w:w="638" w:type="pct"/>
            <w:vMerge w:val="restart"/>
            <w:vAlign w:val="center"/>
          </w:tcPr>
          <w:p w:rsidR="00BF4F43" w:rsidRPr="00786942" w:rsidRDefault="00BF4F43" w:rsidP="008D6C0C">
            <w:pPr>
              <w:adjustRightInd w:val="0"/>
              <w:snapToGrid w:val="0"/>
              <w:spacing w:line="360" w:lineRule="auto"/>
              <w:ind w:right="0"/>
              <w:rPr>
                <w:rFonts w:ascii="Book Antiqua" w:hAnsi="Book Antiqua"/>
                <w:lang w:val="en-US"/>
              </w:rPr>
            </w:pPr>
            <w:r w:rsidRPr="00786942">
              <w:rPr>
                <w:rFonts w:ascii="Book Antiqua" w:hAnsi="Book Antiqua"/>
                <w:lang w:val="en-US"/>
              </w:rPr>
              <w:t xml:space="preserve">Yoshiji </w:t>
            </w:r>
            <w:r w:rsidRPr="008D6C0C">
              <w:rPr>
                <w:rFonts w:ascii="Book Antiqua" w:hAnsi="Book Antiqua"/>
                <w:i/>
                <w:lang w:val="en-US"/>
              </w:rPr>
              <w:t>et al</w:t>
            </w:r>
            <w:r w:rsidR="008D6C0C">
              <w:rPr>
                <w:rFonts w:ascii="Book Antiqua" w:hAnsi="Book Antiqua"/>
                <w:vertAlign w:val="superscript"/>
                <w:lang w:val="en-US"/>
              </w:rPr>
              <w:t>[31]</w:t>
            </w:r>
          </w:p>
        </w:tc>
        <w:tc>
          <w:tcPr>
            <w:tcW w:w="976"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D</w:t>
            </w:r>
            <w:r w:rsidR="00B8605C">
              <w:rPr>
                <w:rFonts w:ascii="Book Antiqua" w:hAnsi="Book Antiqua"/>
                <w:lang w:val="en-US"/>
              </w:rPr>
              <w:t>EN</w:t>
            </w:r>
            <w:r w:rsidRPr="00786942">
              <w:rPr>
                <w:rFonts w:ascii="Book Antiqua" w:hAnsi="Book Antiqua"/>
                <w:lang w:val="en-US"/>
              </w:rPr>
              <w:t>-treated mice</w:t>
            </w:r>
          </w:p>
        </w:tc>
        <w:tc>
          <w:tcPr>
            <w:tcW w:w="890" w:type="pct"/>
            <w:vMerge w:val="restart"/>
            <w:vAlign w:val="center"/>
          </w:tcPr>
          <w:p w:rsidR="00BF4F43" w:rsidRPr="00786942" w:rsidRDefault="00B8605C" w:rsidP="00B8605C">
            <w:pPr>
              <w:adjustRightInd w:val="0"/>
              <w:snapToGrid w:val="0"/>
              <w:spacing w:line="360" w:lineRule="auto"/>
              <w:ind w:right="0"/>
              <w:jc w:val="center"/>
              <w:rPr>
                <w:rFonts w:ascii="Book Antiqua" w:hAnsi="Book Antiqua"/>
                <w:lang w:val="en-US"/>
              </w:rPr>
            </w:pPr>
            <w:r>
              <w:rPr>
                <w:rFonts w:ascii="Book Antiqua" w:hAnsi="Book Antiqua"/>
                <w:lang w:val="en-US"/>
              </w:rPr>
              <w:t xml:space="preserve">Vit. K and </w:t>
            </w:r>
            <w:r w:rsidR="00BF4F43" w:rsidRPr="00786942">
              <w:rPr>
                <w:rFonts w:ascii="Book Antiqua" w:hAnsi="Book Antiqua"/>
                <w:lang w:val="en-US"/>
              </w:rPr>
              <w:t>ACE-I used singularly or in combination</w:t>
            </w:r>
          </w:p>
        </w:tc>
        <w:tc>
          <w:tcPr>
            <w:tcW w:w="1335" w:type="pct"/>
            <w:vMerge w:val="restar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Inhibitory effects by each compound on hepato-carcinogenesis, more potent when used in combination</w:t>
            </w:r>
          </w:p>
        </w:tc>
        <w:tc>
          <w:tcPr>
            <w:tcW w:w="1161" w:type="pct"/>
            <w:vMerge w:val="restar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Increased apoptosis in the tumor, w/o any effect on tumor cell proliferation; CD31 mRNA suppression</w:t>
            </w:r>
          </w:p>
        </w:tc>
      </w:tr>
      <w:tr w:rsidR="00BF4F43" w:rsidRPr="00786942" w:rsidTr="00B8605C">
        <w:trPr>
          <w:trHeight w:val="660"/>
        </w:trPr>
        <w:tc>
          <w:tcPr>
            <w:tcW w:w="638" w:type="pct"/>
            <w:vMerge/>
            <w:vAlign w:val="center"/>
          </w:tcPr>
          <w:p w:rsidR="00BF4F43" w:rsidRPr="00786942" w:rsidRDefault="00BF4F43" w:rsidP="00786942">
            <w:pPr>
              <w:adjustRightInd w:val="0"/>
              <w:snapToGrid w:val="0"/>
              <w:spacing w:line="360" w:lineRule="auto"/>
              <w:ind w:right="0"/>
              <w:rPr>
                <w:rFonts w:ascii="Book Antiqua" w:hAnsi="Book Antiqua"/>
                <w:lang w:val="en-US"/>
              </w:rPr>
            </w:pPr>
          </w:p>
        </w:tc>
        <w:tc>
          <w:tcPr>
            <w:tcW w:w="976"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Male BALB/c mice with injections of BNL-HCC cells</w:t>
            </w:r>
          </w:p>
        </w:tc>
        <w:tc>
          <w:tcPr>
            <w:tcW w:w="890" w:type="pct"/>
            <w:vMerge/>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p>
        </w:tc>
        <w:tc>
          <w:tcPr>
            <w:tcW w:w="1335" w:type="pct"/>
            <w:vMerge/>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p>
        </w:tc>
        <w:tc>
          <w:tcPr>
            <w:tcW w:w="1161" w:type="pct"/>
            <w:vMerge/>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p>
        </w:tc>
      </w:tr>
      <w:tr w:rsidR="00BF4F43" w:rsidRPr="00786942" w:rsidTr="00B8605C">
        <w:tc>
          <w:tcPr>
            <w:tcW w:w="638" w:type="pct"/>
            <w:vAlign w:val="center"/>
          </w:tcPr>
          <w:p w:rsidR="00BF4F43" w:rsidRPr="00786942" w:rsidRDefault="008D6C0C" w:rsidP="008D6C0C">
            <w:pPr>
              <w:adjustRightInd w:val="0"/>
              <w:snapToGrid w:val="0"/>
              <w:spacing w:line="360" w:lineRule="auto"/>
              <w:ind w:right="0"/>
              <w:rPr>
                <w:rFonts w:ascii="Book Antiqua" w:hAnsi="Book Antiqua"/>
                <w:lang w:val="en-US"/>
              </w:rPr>
            </w:pPr>
            <w:r>
              <w:rPr>
                <w:rFonts w:ascii="Book Antiqua" w:hAnsi="Book Antiqua"/>
                <w:lang w:val="en-US"/>
              </w:rPr>
              <w:t xml:space="preserve">Yoshiji </w:t>
            </w:r>
            <w:r w:rsidR="00BF4F43" w:rsidRPr="008D6C0C">
              <w:rPr>
                <w:rFonts w:ascii="Book Antiqua" w:hAnsi="Book Antiqua"/>
                <w:i/>
                <w:lang w:val="en-US"/>
              </w:rPr>
              <w:t>et al</w:t>
            </w:r>
            <w:r>
              <w:rPr>
                <w:rFonts w:ascii="Book Antiqua" w:hAnsi="Book Antiqua"/>
                <w:vertAlign w:val="superscript"/>
                <w:lang w:val="en-US"/>
              </w:rPr>
              <w:t>[32]</w:t>
            </w:r>
          </w:p>
        </w:tc>
        <w:tc>
          <w:tcPr>
            <w:tcW w:w="976"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DEN-treated rats</w:t>
            </w:r>
          </w:p>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and human HCC cell lines</w:t>
            </w:r>
          </w:p>
        </w:tc>
        <w:tc>
          <w:tcPr>
            <w:tcW w:w="890"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Vit. K or ACE-I alone or in combination</w:t>
            </w:r>
          </w:p>
        </w:tc>
        <w:tc>
          <w:tcPr>
            <w:tcW w:w="1335"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Chemopreventive effect on pre-neoplastic foci formation by sing</w:t>
            </w:r>
            <w:r w:rsidR="00B8605C">
              <w:rPr>
                <w:rFonts w:ascii="Book Antiqua" w:hAnsi="Book Antiqua"/>
                <w:lang w:val="en-US"/>
              </w:rPr>
              <w:t xml:space="preserve">le compounds, more potent when </w:t>
            </w:r>
            <w:r w:rsidRPr="00786942">
              <w:rPr>
                <w:rFonts w:ascii="Book Antiqua" w:hAnsi="Book Antiqua"/>
                <w:lang w:val="en-US"/>
              </w:rPr>
              <w:t>combined.</w:t>
            </w:r>
          </w:p>
        </w:tc>
        <w:tc>
          <w:tcPr>
            <w:tcW w:w="1161"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Inhibition of endothelial</w:t>
            </w:r>
            <w:r w:rsidR="00931F54" w:rsidRPr="00786942">
              <w:rPr>
                <w:rFonts w:ascii="Book Antiqua" w:hAnsi="Book Antiqua"/>
                <w:lang w:val="en-US"/>
              </w:rPr>
              <w:t xml:space="preserve"> </w:t>
            </w:r>
            <w:r w:rsidR="00B8605C">
              <w:rPr>
                <w:rFonts w:ascii="Book Antiqua" w:hAnsi="Book Antiqua"/>
                <w:lang w:val="en-US"/>
              </w:rPr>
              <w:t xml:space="preserve">cell proliferation and </w:t>
            </w:r>
            <w:r w:rsidRPr="00786942">
              <w:rPr>
                <w:rFonts w:ascii="Book Antiqua" w:hAnsi="Book Antiqua"/>
                <w:lang w:val="en-US"/>
              </w:rPr>
              <w:t>tubular formation; reduction of CD31 mRNA expression.</w:t>
            </w:r>
          </w:p>
        </w:tc>
      </w:tr>
      <w:tr w:rsidR="00BF4F43" w:rsidRPr="00786942" w:rsidTr="00B8605C">
        <w:tc>
          <w:tcPr>
            <w:tcW w:w="638" w:type="pct"/>
            <w:vAlign w:val="center"/>
          </w:tcPr>
          <w:p w:rsidR="00BF4F43" w:rsidRPr="00786942" w:rsidRDefault="00BF4F43" w:rsidP="008D6C0C">
            <w:pPr>
              <w:adjustRightInd w:val="0"/>
              <w:snapToGrid w:val="0"/>
              <w:spacing w:line="360" w:lineRule="auto"/>
              <w:ind w:right="0"/>
              <w:rPr>
                <w:rFonts w:ascii="Book Antiqua" w:hAnsi="Book Antiqua"/>
                <w:lang w:val="en-US"/>
              </w:rPr>
            </w:pPr>
            <w:r w:rsidRPr="00786942">
              <w:rPr>
                <w:rFonts w:ascii="Book Antiqua" w:hAnsi="Book Antiqua"/>
                <w:lang w:val="en-US"/>
              </w:rPr>
              <w:t xml:space="preserve">Yoshiji </w:t>
            </w:r>
            <w:r w:rsidRPr="008D6C0C">
              <w:rPr>
                <w:rFonts w:ascii="Book Antiqua" w:hAnsi="Book Antiqua"/>
                <w:i/>
                <w:lang w:val="en-US"/>
              </w:rPr>
              <w:t>et al</w:t>
            </w:r>
            <w:r w:rsidR="008D6C0C">
              <w:rPr>
                <w:rFonts w:ascii="Book Antiqua" w:hAnsi="Book Antiqua"/>
                <w:vertAlign w:val="superscript"/>
                <w:lang w:val="en-US"/>
              </w:rPr>
              <w:t>[33]</w:t>
            </w:r>
          </w:p>
        </w:tc>
        <w:tc>
          <w:tcPr>
            <w:tcW w:w="976"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DEN-treated rats</w:t>
            </w:r>
          </w:p>
        </w:tc>
        <w:tc>
          <w:tcPr>
            <w:tcW w:w="890"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Interferon, ACE-I used singularly or in combination</w:t>
            </w:r>
          </w:p>
        </w:tc>
        <w:tc>
          <w:tcPr>
            <w:tcW w:w="1335"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IFN or PE, when used singularly, significan</w:t>
            </w:r>
            <w:r w:rsidR="00B8605C">
              <w:rPr>
                <w:rFonts w:ascii="Book Antiqua" w:hAnsi="Book Antiqua"/>
                <w:lang w:val="en-US"/>
              </w:rPr>
              <w:t xml:space="preserve">tly attenuated, in combination </w:t>
            </w:r>
            <w:r w:rsidRPr="00786942">
              <w:rPr>
                <w:rFonts w:ascii="Book Antiqua" w:hAnsi="Book Antiqua"/>
                <w:lang w:val="en-US"/>
              </w:rPr>
              <w:t>nearly abolished HCC</w:t>
            </w:r>
          </w:p>
        </w:tc>
        <w:tc>
          <w:tcPr>
            <w:tcW w:w="1161"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CD31 and VEGF mRNA expression were reduced; apoptosis was also reduced; no change of cell proliferation</w:t>
            </w:r>
          </w:p>
        </w:tc>
      </w:tr>
      <w:tr w:rsidR="00BF4F43" w:rsidRPr="00786942" w:rsidTr="00B8605C">
        <w:trPr>
          <w:trHeight w:val="730"/>
        </w:trPr>
        <w:tc>
          <w:tcPr>
            <w:tcW w:w="638" w:type="pct"/>
            <w:vMerge w:val="restart"/>
            <w:vAlign w:val="center"/>
          </w:tcPr>
          <w:p w:rsidR="00BF4F43" w:rsidRPr="00786942" w:rsidRDefault="00BF4F43" w:rsidP="008D6C0C">
            <w:pPr>
              <w:adjustRightInd w:val="0"/>
              <w:snapToGrid w:val="0"/>
              <w:spacing w:line="360" w:lineRule="auto"/>
              <w:ind w:right="0"/>
              <w:rPr>
                <w:rFonts w:ascii="Book Antiqua" w:hAnsi="Book Antiqua"/>
                <w:lang w:val="en-US"/>
              </w:rPr>
            </w:pPr>
            <w:r w:rsidRPr="00786942">
              <w:rPr>
                <w:rFonts w:ascii="Book Antiqua" w:hAnsi="Book Antiqua"/>
                <w:lang w:val="en-US"/>
              </w:rPr>
              <w:t xml:space="preserve">Yoshiji </w:t>
            </w:r>
            <w:r w:rsidRPr="008D6C0C">
              <w:rPr>
                <w:rFonts w:ascii="Book Antiqua" w:hAnsi="Book Antiqua"/>
                <w:i/>
                <w:lang w:val="en-US"/>
              </w:rPr>
              <w:t>et al</w:t>
            </w:r>
            <w:r w:rsidR="008D6C0C">
              <w:rPr>
                <w:rFonts w:ascii="Book Antiqua" w:hAnsi="Book Antiqua"/>
                <w:vertAlign w:val="superscript"/>
                <w:lang w:val="en-US"/>
              </w:rPr>
              <w:t>[34]</w:t>
            </w:r>
          </w:p>
        </w:tc>
        <w:tc>
          <w:tcPr>
            <w:tcW w:w="976"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DEN-treated rats</w:t>
            </w:r>
          </w:p>
        </w:tc>
        <w:tc>
          <w:tcPr>
            <w:tcW w:w="890" w:type="pct"/>
            <w:vMerge w:val="restar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Perindopril (ACE-I)</w:t>
            </w:r>
          </w:p>
        </w:tc>
        <w:tc>
          <w:tcPr>
            <w:tcW w:w="1335" w:type="pct"/>
            <w:vMerge w:val="restar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Inhibition of neo-vascularization and VEGF expression</w:t>
            </w:r>
          </w:p>
        </w:tc>
        <w:tc>
          <w:tcPr>
            <w:tcW w:w="1161" w:type="pct"/>
            <w:vMerge w:val="restar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Suppression of VEGF-induced tubular formation; no effect</w:t>
            </w:r>
            <w:r w:rsidR="00931F54" w:rsidRPr="00786942">
              <w:rPr>
                <w:rFonts w:ascii="Book Antiqua" w:hAnsi="Book Antiqua"/>
                <w:lang w:val="en-US"/>
              </w:rPr>
              <w:t xml:space="preserve"> </w:t>
            </w:r>
            <w:r w:rsidRPr="00786942">
              <w:rPr>
                <w:rFonts w:ascii="Book Antiqua" w:hAnsi="Book Antiqua"/>
                <w:lang w:val="en-US"/>
              </w:rPr>
              <w:t>on</w:t>
            </w:r>
            <w:r w:rsidR="00931F54" w:rsidRPr="00786942">
              <w:rPr>
                <w:rFonts w:ascii="Book Antiqua" w:hAnsi="Book Antiqua"/>
                <w:lang w:val="en-US"/>
              </w:rPr>
              <w:t xml:space="preserve"> </w:t>
            </w:r>
            <w:r w:rsidRPr="00786942">
              <w:rPr>
                <w:rFonts w:ascii="Book Antiqua" w:hAnsi="Book Antiqua"/>
                <w:lang w:val="en-US"/>
              </w:rPr>
              <w:t>endothelial cell</w:t>
            </w:r>
            <w:r w:rsidR="00B8605C">
              <w:rPr>
                <w:rFonts w:ascii="Book Antiqua" w:hAnsi="Book Antiqua"/>
                <w:lang w:val="en-US"/>
              </w:rPr>
              <w:t xml:space="preserve"> </w:t>
            </w:r>
            <w:r w:rsidRPr="00786942">
              <w:rPr>
                <w:rFonts w:ascii="Book Antiqua" w:hAnsi="Book Antiqua"/>
                <w:lang w:val="en-US"/>
              </w:rPr>
              <w:t xml:space="preserve">proliferation </w:t>
            </w:r>
            <w:r w:rsidRPr="00B8605C">
              <w:rPr>
                <w:rFonts w:ascii="Book Antiqua" w:hAnsi="Book Antiqua"/>
                <w:i/>
                <w:lang w:val="en-US"/>
              </w:rPr>
              <w:t>in vitro</w:t>
            </w:r>
          </w:p>
        </w:tc>
      </w:tr>
      <w:tr w:rsidR="00BF4F43" w:rsidRPr="00786942" w:rsidTr="00B8605C">
        <w:tc>
          <w:tcPr>
            <w:tcW w:w="638" w:type="pct"/>
            <w:vMerge/>
            <w:vAlign w:val="center"/>
          </w:tcPr>
          <w:p w:rsidR="00BF4F43" w:rsidRPr="00786942" w:rsidRDefault="00BF4F43" w:rsidP="00786942">
            <w:pPr>
              <w:adjustRightInd w:val="0"/>
              <w:snapToGrid w:val="0"/>
              <w:spacing w:line="360" w:lineRule="auto"/>
              <w:ind w:right="0"/>
              <w:rPr>
                <w:rFonts w:ascii="Book Antiqua" w:hAnsi="Book Antiqua"/>
                <w:lang w:val="en-US"/>
              </w:rPr>
            </w:pPr>
          </w:p>
        </w:tc>
        <w:tc>
          <w:tcPr>
            <w:tcW w:w="976" w:type="pct"/>
            <w:vAlign w:val="center"/>
          </w:tcPr>
          <w:p w:rsidR="00BF4F43" w:rsidRPr="00786942" w:rsidRDefault="00BF4F43" w:rsidP="00B8605C">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Endothelial cells </w:t>
            </w:r>
            <w:r w:rsidRPr="00B8605C">
              <w:rPr>
                <w:rFonts w:ascii="Book Antiqua" w:hAnsi="Book Antiqua"/>
                <w:i/>
                <w:lang w:val="en-US"/>
              </w:rPr>
              <w:t>in vitro</w:t>
            </w:r>
          </w:p>
        </w:tc>
        <w:tc>
          <w:tcPr>
            <w:tcW w:w="890" w:type="pct"/>
            <w:vMerge/>
            <w:vAlign w:val="center"/>
          </w:tcPr>
          <w:p w:rsidR="00BF4F43" w:rsidRPr="00786942" w:rsidRDefault="00BF4F43" w:rsidP="00786942">
            <w:pPr>
              <w:adjustRightInd w:val="0"/>
              <w:snapToGrid w:val="0"/>
              <w:spacing w:line="360" w:lineRule="auto"/>
              <w:ind w:right="0"/>
              <w:rPr>
                <w:rFonts w:ascii="Book Antiqua" w:hAnsi="Book Antiqua"/>
                <w:lang w:val="en-US"/>
              </w:rPr>
            </w:pPr>
          </w:p>
        </w:tc>
        <w:tc>
          <w:tcPr>
            <w:tcW w:w="1335" w:type="pct"/>
            <w:vMerge/>
            <w:vAlign w:val="center"/>
          </w:tcPr>
          <w:p w:rsidR="00BF4F43" w:rsidRPr="00786942" w:rsidRDefault="00BF4F43" w:rsidP="00786942">
            <w:pPr>
              <w:adjustRightInd w:val="0"/>
              <w:snapToGrid w:val="0"/>
              <w:spacing w:line="360" w:lineRule="auto"/>
              <w:ind w:right="0"/>
              <w:rPr>
                <w:rFonts w:ascii="Book Antiqua" w:hAnsi="Book Antiqua"/>
                <w:lang w:val="en-US"/>
              </w:rPr>
            </w:pPr>
          </w:p>
        </w:tc>
        <w:tc>
          <w:tcPr>
            <w:tcW w:w="1161" w:type="pct"/>
            <w:vMerge/>
            <w:vAlign w:val="center"/>
          </w:tcPr>
          <w:p w:rsidR="00BF4F43" w:rsidRPr="00786942" w:rsidRDefault="00BF4F43" w:rsidP="00786942">
            <w:pPr>
              <w:adjustRightInd w:val="0"/>
              <w:snapToGrid w:val="0"/>
              <w:spacing w:line="360" w:lineRule="auto"/>
              <w:ind w:right="0"/>
              <w:rPr>
                <w:rFonts w:ascii="Book Antiqua" w:hAnsi="Book Antiqua"/>
                <w:lang w:val="en-US"/>
              </w:rPr>
            </w:pPr>
          </w:p>
        </w:tc>
      </w:tr>
    </w:tbl>
    <w:p w:rsidR="008D6C0C" w:rsidRDefault="007C4A11" w:rsidP="00786942">
      <w:pPr>
        <w:adjustRightInd w:val="0"/>
        <w:snapToGrid w:val="0"/>
        <w:spacing w:line="360" w:lineRule="auto"/>
        <w:ind w:right="0"/>
        <w:rPr>
          <w:rFonts w:ascii="Book Antiqua" w:hAnsi="Book Antiqua"/>
          <w:lang w:val="en-US"/>
        </w:rPr>
      </w:pPr>
      <w:r>
        <w:rPr>
          <w:rFonts w:ascii="Book Antiqua" w:hAnsi="Book Antiqua"/>
          <w:lang w:val="en-US"/>
        </w:rPr>
        <w:t xml:space="preserve">ACE-Is: </w:t>
      </w:r>
      <w:r>
        <w:rPr>
          <w:rFonts w:ascii="Book Antiqua" w:hAnsi="Book Antiqua"/>
          <w:color w:val="000000"/>
          <w:lang w:val="en-US"/>
        </w:rPr>
        <w:t>A</w:t>
      </w:r>
      <w:r w:rsidRPr="00786942">
        <w:rPr>
          <w:rFonts w:ascii="Book Antiqua" w:hAnsi="Book Antiqua"/>
          <w:color w:val="000000"/>
          <w:lang w:val="en-US"/>
        </w:rPr>
        <w:t>ngiotensin-converting enzyme inhibitors</w:t>
      </w:r>
      <w:r>
        <w:rPr>
          <w:rFonts w:ascii="Book Antiqua" w:hAnsi="Book Antiqua"/>
          <w:color w:val="000000"/>
          <w:lang w:val="en-US"/>
        </w:rPr>
        <w:t>; ARBs: A</w:t>
      </w:r>
      <w:r w:rsidRPr="00786942">
        <w:rPr>
          <w:rFonts w:ascii="Book Antiqua" w:hAnsi="Book Antiqua"/>
          <w:color w:val="000000"/>
          <w:lang w:val="en-US"/>
        </w:rPr>
        <w:t>ngiotensin II type 1 receptor blockers</w:t>
      </w:r>
      <w:r>
        <w:rPr>
          <w:rFonts w:ascii="Book Antiqua" w:hAnsi="Book Antiqua"/>
          <w:color w:val="000000"/>
          <w:lang w:val="en-US"/>
        </w:rPr>
        <w:t xml:space="preserve">; Vit.: Vitamine; </w:t>
      </w:r>
      <w:r w:rsidRPr="00786942">
        <w:rPr>
          <w:rFonts w:ascii="Book Antiqua" w:hAnsi="Book Antiqua"/>
          <w:lang w:val="en-US"/>
        </w:rPr>
        <w:t>DEN</w:t>
      </w:r>
      <w:r>
        <w:rPr>
          <w:rFonts w:ascii="Book Antiqua" w:hAnsi="Book Antiqua"/>
          <w:lang w:val="en-US"/>
        </w:rPr>
        <w:t>: D</w:t>
      </w:r>
      <w:r w:rsidRPr="007C4A11">
        <w:rPr>
          <w:rFonts w:ascii="Book Antiqua" w:hAnsi="Book Antiqua"/>
          <w:lang w:val="en-US"/>
        </w:rPr>
        <w:t>iethylnitrosamine</w:t>
      </w:r>
      <w:r>
        <w:rPr>
          <w:rFonts w:ascii="Book Antiqua" w:hAnsi="Book Antiqua"/>
          <w:lang w:val="en-US"/>
        </w:rPr>
        <w:t xml:space="preserve">; </w:t>
      </w:r>
      <w:r>
        <w:rPr>
          <w:rFonts w:ascii="Book Antiqua" w:hAnsi="Book Antiqua"/>
          <w:color w:val="000000"/>
          <w:lang w:val="en-US"/>
        </w:rPr>
        <w:t>HCC: Hepatocellular c</w:t>
      </w:r>
      <w:r w:rsidRPr="00476D21">
        <w:rPr>
          <w:rFonts w:ascii="Book Antiqua" w:hAnsi="Book Antiqua"/>
          <w:color w:val="000000"/>
          <w:lang w:val="en-US"/>
        </w:rPr>
        <w:t>arcinoma</w:t>
      </w:r>
      <w:r>
        <w:rPr>
          <w:rFonts w:ascii="Book Antiqua" w:hAnsi="Book Antiqua"/>
          <w:color w:val="000000"/>
          <w:lang w:val="en-US"/>
        </w:rPr>
        <w:t xml:space="preserve">; </w:t>
      </w:r>
      <w:r w:rsidRPr="00786942">
        <w:rPr>
          <w:rFonts w:ascii="Book Antiqua" w:hAnsi="Book Antiqua"/>
          <w:lang w:val="en-US"/>
        </w:rPr>
        <w:t>VEGF</w:t>
      </w:r>
      <w:r>
        <w:rPr>
          <w:rFonts w:ascii="Book Antiqua" w:hAnsi="Book Antiqua"/>
          <w:lang w:val="en-US"/>
        </w:rPr>
        <w:t xml:space="preserve">: </w:t>
      </w:r>
      <w:r w:rsidR="000E1C16">
        <w:rPr>
          <w:rFonts w:ascii="Book Antiqua" w:hAnsi="Book Antiqua"/>
          <w:lang w:val="en-US"/>
        </w:rPr>
        <w:t>V</w:t>
      </w:r>
      <w:r w:rsidR="000E1C16" w:rsidRPr="000E1C16">
        <w:rPr>
          <w:rFonts w:ascii="Book Antiqua" w:hAnsi="Book Antiqua"/>
          <w:lang w:val="en-US"/>
        </w:rPr>
        <w:t>ascular endothelial growth factor</w:t>
      </w:r>
      <w:r w:rsidR="000E1C16">
        <w:rPr>
          <w:rFonts w:ascii="Book Antiqua" w:hAnsi="Book Antiqua"/>
          <w:lang w:val="en-US"/>
        </w:rPr>
        <w:t>; HIF: H</w:t>
      </w:r>
      <w:r w:rsidR="000E1C16" w:rsidRPr="00786942">
        <w:rPr>
          <w:rFonts w:ascii="Book Antiqua" w:hAnsi="Book Antiqua"/>
          <w:lang w:val="en-US"/>
        </w:rPr>
        <w:t>ypoxia-inducible factor</w:t>
      </w:r>
      <w:r w:rsidR="000E1C16">
        <w:rPr>
          <w:rFonts w:ascii="Book Antiqua" w:hAnsi="Book Antiqua"/>
          <w:lang w:val="en-US"/>
        </w:rPr>
        <w:t>.</w:t>
      </w:r>
    </w:p>
    <w:p w:rsidR="00BF4F43" w:rsidRPr="00102718" w:rsidRDefault="008D6C0C" w:rsidP="00786942">
      <w:pPr>
        <w:adjustRightInd w:val="0"/>
        <w:snapToGrid w:val="0"/>
        <w:spacing w:line="360" w:lineRule="auto"/>
        <w:ind w:right="0"/>
        <w:rPr>
          <w:rFonts w:ascii="Book Antiqua" w:hAnsi="Book Antiqua"/>
          <w:b/>
          <w:lang w:val="en-US"/>
        </w:rPr>
      </w:pPr>
      <w:r>
        <w:rPr>
          <w:rFonts w:ascii="Book Antiqua" w:hAnsi="Book Antiqua"/>
          <w:lang w:val="en-US"/>
        </w:rPr>
        <w:br w:type="page"/>
      </w:r>
      <w:r w:rsidR="00102718" w:rsidRPr="00102718">
        <w:rPr>
          <w:rFonts w:ascii="Book Antiqua" w:hAnsi="Book Antiqua"/>
          <w:b/>
          <w:lang w:val="en-US"/>
        </w:rPr>
        <w:t>Table 3</w:t>
      </w:r>
      <w:r w:rsidR="00BF4F43" w:rsidRPr="00102718">
        <w:rPr>
          <w:rFonts w:ascii="Book Antiqua" w:hAnsi="Book Antiqua"/>
          <w:b/>
          <w:lang w:val="en-US"/>
        </w:rPr>
        <w:t xml:space="preserve"> Experimental studies on the effect of </w:t>
      </w:r>
      <w:r w:rsidR="00BF4F43" w:rsidRPr="00102718">
        <w:rPr>
          <w:rFonts w:ascii="Book Antiqua" w:hAnsi="Book Antiqua"/>
          <w:b/>
          <w:color w:val="000000"/>
          <w:lang w:val="en-US"/>
        </w:rPr>
        <w:t xml:space="preserve">angiotensin-converting enzyme inhibitors or angiotensin II type 1 receptor blockers in different </w:t>
      </w:r>
      <w:r w:rsidR="00102718" w:rsidRPr="00102718">
        <w:rPr>
          <w:rFonts w:ascii="Book Antiqua" w:hAnsi="Book Antiqua"/>
          <w:b/>
          <w:color w:val="000000"/>
          <w:lang w:val="en-US"/>
        </w:rPr>
        <w:t>hepatocellular carcinoma animal models and in hepatocellular carcinoma</w:t>
      </w:r>
      <w:r w:rsidR="00BF4F43" w:rsidRPr="00102718">
        <w:rPr>
          <w:rFonts w:ascii="Book Antiqua" w:hAnsi="Book Antiqua"/>
          <w:b/>
          <w:color w:val="000000"/>
          <w:lang w:val="en-US"/>
        </w:rPr>
        <w:t xml:space="preserve"> cell lines</w:t>
      </w:r>
    </w:p>
    <w:tbl>
      <w:tblPr>
        <w:tblW w:w="5018" w:type="pct"/>
        <w:tblBorders>
          <w:top w:val="single" w:sz="6" w:space="0" w:color="auto"/>
          <w:bottom w:val="single" w:sz="6" w:space="0" w:color="auto"/>
        </w:tblBorders>
        <w:tblLayout w:type="fixed"/>
        <w:tblLook w:val="04A0" w:firstRow="1" w:lastRow="0" w:firstColumn="1" w:lastColumn="0" w:noHBand="0" w:noVBand="1"/>
      </w:tblPr>
      <w:tblGrid>
        <w:gridCol w:w="1218"/>
        <w:gridCol w:w="2085"/>
        <w:gridCol w:w="1530"/>
        <w:gridCol w:w="2639"/>
        <w:gridCol w:w="2224"/>
      </w:tblGrid>
      <w:tr w:rsidR="00BF4F43" w:rsidRPr="00786942" w:rsidTr="00283EBB">
        <w:tc>
          <w:tcPr>
            <w:tcW w:w="628" w:type="pct"/>
            <w:tcBorders>
              <w:top w:val="single" w:sz="6" w:space="0" w:color="auto"/>
              <w:bottom w:val="single" w:sz="6" w:space="0" w:color="auto"/>
            </w:tcBorders>
            <w:vAlign w:val="center"/>
          </w:tcPr>
          <w:p w:rsidR="00BF4F43" w:rsidRPr="00102718" w:rsidRDefault="00BF4F43" w:rsidP="00786942">
            <w:pPr>
              <w:adjustRightInd w:val="0"/>
              <w:snapToGrid w:val="0"/>
              <w:spacing w:line="360" w:lineRule="auto"/>
              <w:ind w:right="0"/>
              <w:rPr>
                <w:rFonts w:ascii="Book Antiqua" w:hAnsi="Book Antiqua"/>
                <w:b/>
                <w:lang w:val="en-US"/>
              </w:rPr>
            </w:pPr>
          </w:p>
        </w:tc>
        <w:tc>
          <w:tcPr>
            <w:tcW w:w="1075" w:type="pct"/>
            <w:tcBorders>
              <w:top w:val="single" w:sz="6" w:space="0" w:color="auto"/>
              <w:bottom w:val="single" w:sz="6" w:space="0" w:color="auto"/>
            </w:tcBorders>
            <w:vAlign w:val="center"/>
          </w:tcPr>
          <w:p w:rsidR="00BF4F43" w:rsidRPr="00102718" w:rsidRDefault="00BF4F43" w:rsidP="00283EBB">
            <w:pPr>
              <w:adjustRightInd w:val="0"/>
              <w:snapToGrid w:val="0"/>
              <w:spacing w:line="360" w:lineRule="auto"/>
              <w:ind w:right="0"/>
              <w:jc w:val="center"/>
              <w:rPr>
                <w:rFonts w:ascii="Book Antiqua" w:hAnsi="Book Antiqua"/>
                <w:b/>
                <w:lang w:val="en-US"/>
              </w:rPr>
            </w:pPr>
            <w:r w:rsidRPr="00102718">
              <w:rPr>
                <w:rFonts w:ascii="Book Antiqua" w:hAnsi="Book Antiqua"/>
                <w:b/>
                <w:lang w:val="en-US"/>
              </w:rPr>
              <w:t>Model</w:t>
            </w:r>
          </w:p>
        </w:tc>
        <w:tc>
          <w:tcPr>
            <w:tcW w:w="789" w:type="pct"/>
            <w:tcBorders>
              <w:top w:val="single" w:sz="6" w:space="0" w:color="auto"/>
              <w:bottom w:val="single" w:sz="6" w:space="0" w:color="auto"/>
            </w:tcBorders>
            <w:vAlign w:val="center"/>
          </w:tcPr>
          <w:p w:rsidR="00BF4F43" w:rsidRPr="00102718" w:rsidRDefault="00BF4F43" w:rsidP="00283EBB">
            <w:pPr>
              <w:adjustRightInd w:val="0"/>
              <w:snapToGrid w:val="0"/>
              <w:spacing w:line="360" w:lineRule="auto"/>
              <w:ind w:right="0"/>
              <w:jc w:val="center"/>
              <w:rPr>
                <w:rFonts w:ascii="Book Antiqua" w:hAnsi="Book Antiqua"/>
                <w:b/>
                <w:lang w:val="en-US"/>
              </w:rPr>
            </w:pPr>
            <w:r w:rsidRPr="00102718">
              <w:rPr>
                <w:rFonts w:ascii="Book Antiqua" w:hAnsi="Book Antiqua"/>
                <w:b/>
                <w:lang w:val="en-US"/>
              </w:rPr>
              <w:t>Treatment</w:t>
            </w:r>
          </w:p>
        </w:tc>
        <w:tc>
          <w:tcPr>
            <w:tcW w:w="1361" w:type="pct"/>
            <w:tcBorders>
              <w:top w:val="single" w:sz="6" w:space="0" w:color="auto"/>
              <w:bottom w:val="single" w:sz="6" w:space="0" w:color="auto"/>
            </w:tcBorders>
            <w:vAlign w:val="center"/>
          </w:tcPr>
          <w:p w:rsidR="00BF4F43" w:rsidRPr="00102718" w:rsidRDefault="00BF4F43" w:rsidP="00283EBB">
            <w:pPr>
              <w:adjustRightInd w:val="0"/>
              <w:snapToGrid w:val="0"/>
              <w:spacing w:line="360" w:lineRule="auto"/>
              <w:ind w:right="0"/>
              <w:jc w:val="center"/>
              <w:rPr>
                <w:rFonts w:ascii="Book Antiqua" w:hAnsi="Book Antiqua"/>
                <w:b/>
                <w:lang w:val="en-US"/>
              </w:rPr>
            </w:pPr>
            <w:r w:rsidRPr="00102718">
              <w:rPr>
                <w:rFonts w:ascii="Book Antiqua" w:hAnsi="Book Antiqua"/>
                <w:b/>
                <w:lang w:val="en-US"/>
              </w:rPr>
              <w:t>Results</w:t>
            </w:r>
          </w:p>
        </w:tc>
        <w:tc>
          <w:tcPr>
            <w:tcW w:w="1147" w:type="pct"/>
            <w:tcBorders>
              <w:top w:val="single" w:sz="6" w:space="0" w:color="auto"/>
              <w:bottom w:val="single" w:sz="6" w:space="0" w:color="auto"/>
            </w:tcBorders>
            <w:vAlign w:val="center"/>
          </w:tcPr>
          <w:p w:rsidR="00BF4F43" w:rsidRPr="00102718" w:rsidRDefault="00BF4F43" w:rsidP="00283EBB">
            <w:pPr>
              <w:adjustRightInd w:val="0"/>
              <w:snapToGrid w:val="0"/>
              <w:spacing w:line="360" w:lineRule="auto"/>
              <w:ind w:right="0"/>
              <w:jc w:val="center"/>
              <w:rPr>
                <w:rFonts w:ascii="Book Antiqua" w:hAnsi="Book Antiqua"/>
                <w:b/>
                <w:lang w:val="en-US"/>
              </w:rPr>
            </w:pPr>
            <w:r w:rsidRPr="00102718">
              <w:rPr>
                <w:rFonts w:ascii="Book Antiqua" w:hAnsi="Book Antiqua"/>
                <w:b/>
                <w:lang w:val="en-US"/>
              </w:rPr>
              <w:t>Comments</w:t>
            </w:r>
          </w:p>
        </w:tc>
      </w:tr>
      <w:tr w:rsidR="00BF4F43" w:rsidRPr="00786942" w:rsidTr="00283EBB">
        <w:tc>
          <w:tcPr>
            <w:tcW w:w="628" w:type="pct"/>
            <w:tcBorders>
              <w:top w:val="single" w:sz="6" w:space="0" w:color="auto"/>
            </w:tcBorders>
            <w:vAlign w:val="center"/>
          </w:tcPr>
          <w:p w:rsidR="00BF4F43" w:rsidRPr="00786942" w:rsidRDefault="00283EBB" w:rsidP="00283EBB">
            <w:pPr>
              <w:adjustRightInd w:val="0"/>
              <w:snapToGrid w:val="0"/>
              <w:spacing w:line="360" w:lineRule="auto"/>
              <w:ind w:right="0"/>
              <w:rPr>
                <w:rFonts w:ascii="Book Antiqua" w:hAnsi="Book Antiqua"/>
                <w:lang w:val="en-US"/>
              </w:rPr>
            </w:pPr>
            <w:r>
              <w:rPr>
                <w:rFonts w:ascii="Book Antiqua" w:hAnsi="Book Antiqua"/>
                <w:lang w:val="en-US"/>
              </w:rPr>
              <w:t xml:space="preserve">Fan </w:t>
            </w:r>
            <w:bookmarkStart w:id="191" w:name="OLE_LINK698"/>
            <w:r w:rsidR="00BF4F43" w:rsidRPr="00283EBB">
              <w:rPr>
                <w:rFonts w:ascii="Book Antiqua" w:hAnsi="Book Antiqua"/>
                <w:i/>
                <w:lang w:val="en-US"/>
              </w:rPr>
              <w:t>et al</w:t>
            </w:r>
            <w:bookmarkEnd w:id="191"/>
            <w:r>
              <w:rPr>
                <w:rFonts w:ascii="Book Antiqua" w:hAnsi="Book Antiqua"/>
                <w:vertAlign w:val="superscript"/>
                <w:lang w:val="en-US"/>
              </w:rPr>
              <w:t>[35]</w:t>
            </w:r>
          </w:p>
        </w:tc>
        <w:tc>
          <w:tcPr>
            <w:tcW w:w="1075" w:type="pct"/>
            <w:tcBorders>
              <w:top w:val="single" w:sz="6" w:space="0" w:color="auto"/>
            </w:tcBorders>
            <w:vAlign w:val="center"/>
          </w:tcPr>
          <w:p w:rsidR="00BF4F43" w:rsidRPr="00786942" w:rsidRDefault="00BF4F43" w:rsidP="00283EBB">
            <w:pPr>
              <w:pStyle w:val="a7"/>
              <w:numPr>
                <w:ilvl w:val="0"/>
                <w:numId w:val="12"/>
              </w:numPr>
              <w:adjustRightInd w:val="0"/>
              <w:snapToGrid w:val="0"/>
              <w:spacing w:line="360" w:lineRule="auto"/>
              <w:ind w:left="0" w:right="0" w:firstLine="0"/>
              <w:jc w:val="center"/>
              <w:rPr>
                <w:rFonts w:ascii="Book Antiqua" w:hAnsi="Book Antiqua"/>
                <w:sz w:val="24"/>
                <w:szCs w:val="24"/>
                <w:lang w:val="en-US"/>
              </w:rPr>
            </w:pPr>
            <w:r w:rsidRPr="00786942">
              <w:rPr>
                <w:rFonts w:ascii="Book Antiqua" w:hAnsi="Book Antiqua"/>
                <w:sz w:val="24"/>
                <w:szCs w:val="24"/>
                <w:lang w:val="en-US"/>
              </w:rPr>
              <w:t>Tumor cell lines</w:t>
            </w:r>
          </w:p>
          <w:p w:rsidR="00BF4F43" w:rsidRPr="00786942" w:rsidRDefault="00BF4F43" w:rsidP="00283EBB">
            <w:pPr>
              <w:pStyle w:val="a7"/>
              <w:numPr>
                <w:ilvl w:val="0"/>
                <w:numId w:val="12"/>
              </w:numPr>
              <w:adjustRightInd w:val="0"/>
              <w:snapToGrid w:val="0"/>
              <w:spacing w:line="360" w:lineRule="auto"/>
              <w:ind w:left="0" w:right="0" w:firstLine="0"/>
              <w:jc w:val="center"/>
              <w:rPr>
                <w:rFonts w:ascii="Book Antiqua" w:hAnsi="Book Antiqua"/>
                <w:sz w:val="24"/>
                <w:szCs w:val="24"/>
                <w:lang w:val="en-US"/>
              </w:rPr>
            </w:pPr>
            <w:r w:rsidRPr="00786942">
              <w:rPr>
                <w:rFonts w:ascii="Book Antiqua" w:hAnsi="Book Antiqua"/>
                <w:sz w:val="24"/>
                <w:szCs w:val="24"/>
                <w:lang w:val="en-US"/>
              </w:rPr>
              <w:t>BALB/c nude mice with injections of HCC cell lines</w:t>
            </w:r>
          </w:p>
          <w:p w:rsidR="00BF4F43" w:rsidRPr="00786942" w:rsidRDefault="00BF4F43" w:rsidP="00283EBB">
            <w:pPr>
              <w:pStyle w:val="a7"/>
              <w:numPr>
                <w:ilvl w:val="0"/>
                <w:numId w:val="12"/>
              </w:numPr>
              <w:adjustRightInd w:val="0"/>
              <w:snapToGrid w:val="0"/>
              <w:spacing w:line="360" w:lineRule="auto"/>
              <w:ind w:left="0" w:right="0" w:firstLine="0"/>
              <w:jc w:val="center"/>
              <w:rPr>
                <w:rFonts w:ascii="Book Antiqua" w:hAnsi="Book Antiqua"/>
                <w:sz w:val="24"/>
                <w:szCs w:val="24"/>
                <w:lang w:val="en-US"/>
              </w:rPr>
            </w:pPr>
            <w:r w:rsidRPr="00786942">
              <w:rPr>
                <w:rFonts w:ascii="Book Antiqua" w:hAnsi="Book Antiqua"/>
                <w:sz w:val="24"/>
                <w:szCs w:val="24"/>
                <w:lang w:val="en-US"/>
              </w:rPr>
              <w:t>Human HCC specimens</w:t>
            </w:r>
          </w:p>
        </w:tc>
        <w:tc>
          <w:tcPr>
            <w:tcW w:w="789" w:type="pct"/>
            <w:tcBorders>
              <w:top w:val="single" w:sz="6" w:space="0" w:color="auto"/>
            </w:tcBorders>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Candesartan</w:t>
            </w:r>
          </w:p>
        </w:tc>
        <w:tc>
          <w:tcPr>
            <w:tcW w:w="1361" w:type="pct"/>
            <w:tcBorders>
              <w:top w:val="single" w:sz="6" w:space="0" w:color="auto"/>
            </w:tcBorders>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Angiotensin II up-regulated AT1R and promoted production of VEGF in vitro. Candesartan reversed this process and downregulated the expression of VEGF-A in tumor xenografts</w:t>
            </w:r>
          </w:p>
        </w:tc>
        <w:tc>
          <w:tcPr>
            <w:tcW w:w="1147" w:type="pct"/>
            <w:tcBorders>
              <w:top w:val="single" w:sz="6" w:space="0" w:color="auto"/>
            </w:tcBorders>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AT1R expression was associated to angiogenic potential in HCC human tissues</w:t>
            </w:r>
          </w:p>
        </w:tc>
      </w:tr>
      <w:tr w:rsidR="00BF4F43" w:rsidRPr="00786942" w:rsidTr="00283EBB">
        <w:tc>
          <w:tcPr>
            <w:tcW w:w="628" w:type="pct"/>
            <w:vAlign w:val="center"/>
          </w:tcPr>
          <w:p w:rsidR="00BF4F43" w:rsidRPr="00786942" w:rsidRDefault="00283EBB" w:rsidP="00786942">
            <w:pPr>
              <w:adjustRightInd w:val="0"/>
              <w:snapToGrid w:val="0"/>
              <w:spacing w:line="360" w:lineRule="auto"/>
              <w:ind w:right="0"/>
              <w:rPr>
                <w:rFonts w:ascii="Book Antiqua" w:hAnsi="Book Antiqua"/>
                <w:lang w:val="en-US"/>
              </w:rPr>
            </w:pPr>
            <w:r>
              <w:rPr>
                <w:rFonts w:ascii="Book Antiqua" w:hAnsi="Book Antiqua"/>
                <w:lang w:val="en-US"/>
              </w:rPr>
              <w:t xml:space="preserve">Du </w:t>
            </w:r>
            <w:r w:rsidR="00BF4F43" w:rsidRPr="00283EBB">
              <w:rPr>
                <w:rFonts w:ascii="Book Antiqua" w:hAnsi="Book Antiqua"/>
                <w:i/>
                <w:lang w:val="en-US"/>
              </w:rPr>
              <w:t>et al</w:t>
            </w:r>
            <w:r>
              <w:rPr>
                <w:rFonts w:ascii="Book Antiqua" w:hAnsi="Book Antiqua"/>
                <w:vertAlign w:val="superscript"/>
                <w:lang w:val="en-US"/>
              </w:rPr>
              <w:t>[36]</w:t>
            </w:r>
          </w:p>
          <w:p w:rsidR="00BF4F43" w:rsidRPr="00786942" w:rsidRDefault="00BF4F43" w:rsidP="00786942">
            <w:pPr>
              <w:adjustRightInd w:val="0"/>
              <w:snapToGrid w:val="0"/>
              <w:spacing w:line="360" w:lineRule="auto"/>
              <w:ind w:right="0"/>
              <w:rPr>
                <w:rFonts w:ascii="Book Antiqua" w:hAnsi="Book Antiqua"/>
                <w:lang w:val="en-US"/>
              </w:rPr>
            </w:pPr>
          </w:p>
        </w:tc>
        <w:tc>
          <w:tcPr>
            <w:tcW w:w="1075" w:type="pct"/>
            <w:vAlign w:val="center"/>
          </w:tcPr>
          <w:p w:rsidR="00BF4F43" w:rsidRPr="00786942" w:rsidRDefault="00BF4F43" w:rsidP="00283EBB">
            <w:pPr>
              <w:pStyle w:val="a7"/>
              <w:numPr>
                <w:ilvl w:val="0"/>
                <w:numId w:val="13"/>
              </w:numPr>
              <w:adjustRightInd w:val="0"/>
              <w:snapToGrid w:val="0"/>
              <w:spacing w:line="360" w:lineRule="auto"/>
              <w:ind w:left="0" w:right="0" w:firstLine="0"/>
              <w:jc w:val="center"/>
              <w:rPr>
                <w:rFonts w:ascii="Book Antiqua" w:hAnsi="Book Antiqua"/>
                <w:sz w:val="24"/>
                <w:szCs w:val="24"/>
                <w:lang w:val="en-US"/>
              </w:rPr>
            </w:pPr>
            <w:r w:rsidRPr="00786942">
              <w:rPr>
                <w:rFonts w:ascii="Book Antiqua" w:hAnsi="Book Antiqua"/>
                <w:sz w:val="24"/>
                <w:szCs w:val="24"/>
                <w:lang w:val="en-US"/>
              </w:rPr>
              <w:t>Tumor cell lines</w:t>
            </w:r>
          </w:p>
          <w:p w:rsidR="00BF4F43" w:rsidRPr="00786942" w:rsidRDefault="00BF4F43" w:rsidP="00283EBB">
            <w:pPr>
              <w:pStyle w:val="a7"/>
              <w:numPr>
                <w:ilvl w:val="0"/>
                <w:numId w:val="13"/>
              </w:numPr>
              <w:adjustRightInd w:val="0"/>
              <w:snapToGrid w:val="0"/>
              <w:spacing w:line="360" w:lineRule="auto"/>
              <w:ind w:left="0" w:right="0" w:firstLine="0"/>
              <w:jc w:val="center"/>
              <w:rPr>
                <w:rFonts w:ascii="Book Antiqua" w:hAnsi="Book Antiqua"/>
                <w:sz w:val="24"/>
                <w:szCs w:val="24"/>
                <w:lang w:val="en-US"/>
              </w:rPr>
            </w:pPr>
            <w:r w:rsidRPr="00786942">
              <w:rPr>
                <w:rFonts w:ascii="Book Antiqua" w:hAnsi="Book Antiqua"/>
                <w:sz w:val="24"/>
                <w:szCs w:val="24"/>
                <w:lang w:val="en-US"/>
              </w:rPr>
              <w:t>BALB/c nude mice with intra-liver injections of human HCC cells</w:t>
            </w:r>
          </w:p>
          <w:p w:rsidR="00BF4F43" w:rsidRPr="00786942" w:rsidRDefault="00BF4F43" w:rsidP="00283EBB">
            <w:pPr>
              <w:pStyle w:val="a7"/>
              <w:adjustRightInd w:val="0"/>
              <w:snapToGrid w:val="0"/>
              <w:spacing w:line="360" w:lineRule="auto"/>
              <w:ind w:right="0"/>
              <w:jc w:val="center"/>
              <w:rPr>
                <w:rFonts w:ascii="Book Antiqua" w:hAnsi="Book Antiqua"/>
                <w:sz w:val="24"/>
                <w:szCs w:val="24"/>
                <w:lang w:val="en-US"/>
              </w:rPr>
            </w:pPr>
          </w:p>
        </w:tc>
        <w:tc>
          <w:tcPr>
            <w:tcW w:w="789"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bookmarkStart w:id="192" w:name="OLE_LINK701"/>
            <w:bookmarkStart w:id="193" w:name="OLE_LINK702"/>
            <w:r w:rsidRPr="00786942">
              <w:rPr>
                <w:rFonts w:ascii="Book Antiqua" w:hAnsi="Book Antiqua"/>
                <w:lang w:val="en-US"/>
              </w:rPr>
              <w:t>AT2R</w:t>
            </w:r>
            <w:bookmarkEnd w:id="192"/>
            <w:bookmarkEnd w:id="193"/>
            <w:r w:rsidRPr="00786942">
              <w:rPr>
                <w:rFonts w:ascii="Book Antiqua" w:hAnsi="Book Antiqua"/>
                <w:lang w:val="en-US"/>
              </w:rPr>
              <w:t xml:space="preserve"> over- expression by AT2R recombinant adenoviral vector</w:t>
            </w:r>
          </w:p>
        </w:tc>
        <w:tc>
          <w:tcPr>
            <w:tcW w:w="1361"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Overexpression of AT2R in transduced HCC cell lines produced apoptosis and inhibited cell proliferation. Higher AT2R expression could increase the growth of HCC and the prolifera-tion of HCC cells in vivo</w:t>
            </w:r>
          </w:p>
        </w:tc>
        <w:tc>
          <w:tcPr>
            <w:tcW w:w="1147" w:type="pct"/>
            <w:vAlign w:val="center"/>
          </w:tcPr>
          <w:p w:rsidR="00BF4F43" w:rsidRPr="00786942" w:rsidRDefault="00283EBB" w:rsidP="00283EBB">
            <w:pPr>
              <w:adjustRightInd w:val="0"/>
              <w:snapToGrid w:val="0"/>
              <w:spacing w:line="360" w:lineRule="auto"/>
              <w:ind w:right="0"/>
              <w:jc w:val="center"/>
              <w:rPr>
                <w:rFonts w:ascii="Book Antiqua" w:hAnsi="Book Antiqua"/>
                <w:lang w:val="en-US"/>
              </w:rPr>
            </w:pPr>
            <w:r>
              <w:rPr>
                <w:rFonts w:ascii="Book Antiqua" w:hAnsi="Book Antiqua"/>
                <w:lang w:val="en-US"/>
              </w:rPr>
              <w:t xml:space="preserve">A moderate expression of </w:t>
            </w:r>
            <w:r w:rsidR="00BF4F43" w:rsidRPr="00786942">
              <w:rPr>
                <w:rFonts w:ascii="Book Antiqua" w:hAnsi="Book Antiqua"/>
                <w:lang w:val="en-US"/>
              </w:rPr>
              <w:t xml:space="preserve">AT2R could increase the growth of HCC and the proliferation of HCC cells </w:t>
            </w:r>
            <w:r w:rsidR="00BF4F43" w:rsidRPr="00283EBB">
              <w:rPr>
                <w:rFonts w:ascii="Book Antiqua" w:hAnsi="Book Antiqua"/>
                <w:i/>
                <w:lang w:val="en-US"/>
              </w:rPr>
              <w:t>in vivo</w:t>
            </w:r>
            <w:r w:rsidR="00BF4F43" w:rsidRPr="00786942">
              <w:rPr>
                <w:rFonts w:ascii="Book Antiqua" w:hAnsi="Book Antiqua"/>
                <w:lang w:val="en-US"/>
              </w:rPr>
              <w:t>.</w:t>
            </w:r>
          </w:p>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AT2R mechanisms remain to be elucidated</w:t>
            </w:r>
          </w:p>
        </w:tc>
      </w:tr>
      <w:tr w:rsidR="00BF4F43" w:rsidRPr="00786942" w:rsidTr="00283EBB">
        <w:tc>
          <w:tcPr>
            <w:tcW w:w="628" w:type="pct"/>
            <w:vAlign w:val="center"/>
          </w:tcPr>
          <w:p w:rsidR="00BF4F43" w:rsidRPr="00786942" w:rsidRDefault="00283EBB" w:rsidP="00283EBB">
            <w:pPr>
              <w:adjustRightInd w:val="0"/>
              <w:snapToGrid w:val="0"/>
              <w:spacing w:line="360" w:lineRule="auto"/>
              <w:ind w:right="0"/>
              <w:rPr>
                <w:rFonts w:ascii="Book Antiqua" w:hAnsi="Book Antiqua"/>
                <w:lang w:val="en-US"/>
              </w:rPr>
            </w:pPr>
            <w:r>
              <w:rPr>
                <w:rFonts w:ascii="Book Antiqua" w:hAnsi="Book Antiqua"/>
                <w:lang w:val="en-US"/>
              </w:rPr>
              <w:t xml:space="preserve">Noguchi </w:t>
            </w:r>
            <w:r w:rsidR="00BF4F43" w:rsidRPr="00283EBB">
              <w:rPr>
                <w:rFonts w:ascii="Book Antiqua" w:hAnsi="Book Antiqua"/>
                <w:i/>
                <w:lang w:val="en-US"/>
              </w:rPr>
              <w:t>et al</w:t>
            </w:r>
            <w:r>
              <w:rPr>
                <w:rFonts w:ascii="Book Antiqua" w:hAnsi="Book Antiqua"/>
                <w:vertAlign w:val="superscript"/>
                <w:lang w:val="en-US"/>
              </w:rPr>
              <w:t>[37]</w:t>
            </w:r>
          </w:p>
        </w:tc>
        <w:tc>
          <w:tcPr>
            <w:tcW w:w="1075" w:type="pct"/>
            <w:vAlign w:val="center"/>
          </w:tcPr>
          <w:p w:rsidR="00BF4F43" w:rsidRPr="00786942" w:rsidRDefault="00BF4F43" w:rsidP="00283EBB">
            <w:pPr>
              <w:pStyle w:val="a7"/>
              <w:adjustRightInd w:val="0"/>
              <w:snapToGrid w:val="0"/>
              <w:spacing w:line="360" w:lineRule="auto"/>
              <w:ind w:right="0"/>
              <w:jc w:val="center"/>
              <w:rPr>
                <w:rFonts w:ascii="Book Antiqua" w:hAnsi="Book Antiqua"/>
                <w:sz w:val="24"/>
                <w:szCs w:val="24"/>
                <w:lang w:val="en-US"/>
              </w:rPr>
            </w:pPr>
            <w:r w:rsidRPr="00786942">
              <w:rPr>
                <w:rFonts w:ascii="Book Antiqua" w:hAnsi="Book Antiqua"/>
                <w:sz w:val="24"/>
                <w:szCs w:val="24"/>
                <w:lang w:val="en-US"/>
              </w:rPr>
              <w:t>BALB/c mice injected with HCC cell lines</w:t>
            </w:r>
          </w:p>
        </w:tc>
        <w:tc>
          <w:tcPr>
            <w:tcW w:w="789"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ACE-I and interferon-beta</w:t>
            </w:r>
          </w:p>
        </w:tc>
        <w:tc>
          <w:tcPr>
            <w:tcW w:w="1361"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Combination therapy was effective even on establish</w:t>
            </w:r>
            <w:r w:rsidR="00283EBB">
              <w:rPr>
                <w:rFonts w:ascii="Book Antiqua" w:hAnsi="Book Antiqua"/>
                <w:lang w:val="en-US"/>
              </w:rPr>
              <w:t>ed tumors. Suppression of VEGF</w:t>
            </w:r>
            <w:r w:rsidR="00382477">
              <w:rPr>
                <w:rFonts w:ascii="Book Antiqua" w:hAnsi="Book Antiqua"/>
                <w:lang w:val="en-US"/>
              </w:rPr>
              <w:t xml:space="preserve"> </w:t>
            </w:r>
            <w:r w:rsidRPr="00786942">
              <w:rPr>
                <w:rFonts w:ascii="Book Antiqua" w:hAnsi="Book Antiqua"/>
                <w:lang w:val="en-US"/>
              </w:rPr>
              <w:t>and</w:t>
            </w:r>
            <w:r w:rsidR="00931F54" w:rsidRPr="00786942">
              <w:rPr>
                <w:rFonts w:ascii="Book Antiqua" w:hAnsi="Book Antiqua"/>
                <w:lang w:val="en-US"/>
              </w:rPr>
              <w:t xml:space="preserve"> </w:t>
            </w:r>
            <w:r w:rsidRPr="00786942">
              <w:rPr>
                <w:rFonts w:ascii="Book Antiqua" w:hAnsi="Book Antiqua"/>
                <w:lang w:val="en-US"/>
              </w:rPr>
              <w:t>endothelial cell proliferation</w:t>
            </w:r>
            <w:r w:rsidR="00931F54" w:rsidRPr="00786942">
              <w:rPr>
                <w:rFonts w:ascii="Book Antiqua" w:hAnsi="Book Antiqua"/>
                <w:lang w:val="en-US"/>
              </w:rPr>
              <w:t xml:space="preserve"> </w:t>
            </w:r>
            <w:r w:rsidRPr="00786942">
              <w:rPr>
                <w:rFonts w:ascii="Book Antiqua" w:hAnsi="Book Antiqua"/>
                <w:lang w:val="en-US"/>
              </w:rPr>
              <w:t>and tubular formation,</w:t>
            </w:r>
            <w:r w:rsidR="00931F54" w:rsidRPr="00786942">
              <w:rPr>
                <w:rFonts w:ascii="Book Antiqua" w:hAnsi="Book Antiqua"/>
                <w:lang w:val="en-US"/>
              </w:rPr>
              <w:t xml:space="preserve"> </w:t>
            </w:r>
            <w:r w:rsidRPr="00786942">
              <w:rPr>
                <w:rFonts w:ascii="Book Antiqua" w:hAnsi="Book Antiqua"/>
                <w:lang w:val="en-US"/>
              </w:rPr>
              <w:t>increase of apoptosis;</w:t>
            </w:r>
          </w:p>
        </w:tc>
        <w:tc>
          <w:tcPr>
            <w:tcW w:w="1147"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No effect on HCC cell proliferation.</w:t>
            </w:r>
          </w:p>
        </w:tc>
      </w:tr>
      <w:tr w:rsidR="00BF4F43" w:rsidRPr="00786942" w:rsidTr="00283EBB">
        <w:tc>
          <w:tcPr>
            <w:tcW w:w="628" w:type="pct"/>
            <w:vAlign w:val="center"/>
          </w:tcPr>
          <w:p w:rsidR="00BF4F43" w:rsidRPr="00786942" w:rsidRDefault="00BF4F43" w:rsidP="00283EBB">
            <w:pPr>
              <w:adjustRightInd w:val="0"/>
              <w:snapToGrid w:val="0"/>
              <w:spacing w:line="360" w:lineRule="auto"/>
              <w:ind w:right="0"/>
              <w:rPr>
                <w:rFonts w:ascii="Book Antiqua" w:hAnsi="Book Antiqua"/>
                <w:lang w:val="en-US"/>
              </w:rPr>
            </w:pPr>
            <w:r w:rsidRPr="00786942">
              <w:rPr>
                <w:rFonts w:ascii="Book Antiqua" w:hAnsi="Book Antiqua"/>
                <w:lang w:val="en-US"/>
              </w:rPr>
              <w:t xml:space="preserve">Yoshiji </w:t>
            </w:r>
            <w:r w:rsidRPr="00283EBB">
              <w:rPr>
                <w:rFonts w:ascii="Book Antiqua" w:hAnsi="Book Antiqua"/>
                <w:i/>
                <w:lang w:val="en-US"/>
              </w:rPr>
              <w:t>et al</w:t>
            </w:r>
            <w:r w:rsidR="00283EBB">
              <w:rPr>
                <w:rFonts w:ascii="Book Antiqua" w:hAnsi="Book Antiqua"/>
                <w:vertAlign w:val="superscript"/>
                <w:lang w:val="en-US"/>
              </w:rPr>
              <w:t>[38]</w:t>
            </w:r>
          </w:p>
        </w:tc>
        <w:tc>
          <w:tcPr>
            <w:tcW w:w="1075" w:type="pct"/>
            <w:vAlign w:val="center"/>
          </w:tcPr>
          <w:p w:rsidR="00BF4F43" w:rsidRPr="00786942" w:rsidRDefault="00BF4F43" w:rsidP="00283EBB">
            <w:pPr>
              <w:pStyle w:val="a7"/>
              <w:adjustRightInd w:val="0"/>
              <w:snapToGrid w:val="0"/>
              <w:spacing w:line="360" w:lineRule="auto"/>
              <w:ind w:right="0"/>
              <w:jc w:val="center"/>
              <w:rPr>
                <w:rFonts w:ascii="Book Antiqua" w:hAnsi="Book Antiqua"/>
                <w:sz w:val="24"/>
                <w:szCs w:val="24"/>
                <w:lang w:val="en-US"/>
              </w:rPr>
            </w:pPr>
            <w:r w:rsidRPr="00786942">
              <w:rPr>
                <w:rFonts w:ascii="Book Antiqua" w:hAnsi="Book Antiqua"/>
                <w:sz w:val="24"/>
                <w:szCs w:val="24"/>
                <w:lang w:val="en-US"/>
              </w:rPr>
              <w:t>BALB/c mice injected with HCC cell lines.</w:t>
            </w:r>
          </w:p>
          <w:p w:rsidR="00BF4F43" w:rsidRPr="00786942" w:rsidRDefault="00BF4F43" w:rsidP="00283EBB">
            <w:pPr>
              <w:pStyle w:val="a7"/>
              <w:adjustRightInd w:val="0"/>
              <w:snapToGrid w:val="0"/>
              <w:spacing w:line="360" w:lineRule="auto"/>
              <w:ind w:right="0"/>
              <w:jc w:val="center"/>
              <w:rPr>
                <w:rFonts w:ascii="Book Antiqua" w:hAnsi="Book Antiqua"/>
                <w:sz w:val="24"/>
                <w:szCs w:val="24"/>
                <w:lang w:val="en-US"/>
              </w:rPr>
            </w:pPr>
            <w:r w:rsidRPr="00786942">
              <w:rPr>
                <w:rFonts w:ascii="Book Antiqua" w:hAnsi="Book Antiqua"/>
                <w:sz w:val="24"/>
                <w:szCs w:val="24"/>
                <w:lang w:val="en-US"/>
              </w:rPr>
              <w:t>Endothelial cell cultures</w:t>
            </w:r>
          </w:p>
        </w:tc>
        <w:tc>
          <w:tcPr>
            <w:tcW w:w="789"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Retroviral tetracycline up-regulated VEGF gene expression</w:t>
            </w:r>
            <w:r w:rsidR="00283EBB">
              <w:rPr>
                <w:rFonts w:ascii="Book Antiqua" w:hAnsi="Book Antiqua"/>
                <w:lang w:val="en-US"/>
              </w:rPr>
              <w:t xml:space="preserve"> </w:t>
            </w:r>
            <w:r w:rsidRPr="00786942">
              <w:rPr>
                <w:rFonts w:ascii="Book Antiqua" w:hAnsi="Book Antiqua"/>
                <w:lang w:val="en-US"/>
              </w:rPr>
              <w:t>and</w:t>
            </w:r>
            <w:r w:rsidR="00283EBB">
              <w:rPr>
                <w:rFonts w:ascii="Book Antiqua" w:hAnsi="Book Antiqua"/>
                <w:lang w:val="en-US"/>
              </w:rPr>
              <w:t xml:space="preserve"> </w:t>
            </w:r>
            <w:r w:rsidRPr="00786942">
              <w:rPr>
                <w:rFonts w:ascii="Book Antiqua" w:hAnsi="Book Antiqua"/>
                <w:lang w:val="en-US"/>
              </w:rPr>
              <w:t>Perindopril (ACE-I)</w:t>
            </w:r>
          </w:p>
        </w:tc>
        <w:tc>
          <w:tcPr>
            <w:tcW w:w="1361"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Perindopril significantly attenuated VEGF-mediated tumor growth and neovascularization.</w:t>
            </w:r>
          </w:p>
          <w:p w:rsidR="00BF4F43" w:rsidRPr="00786942" w:rsidRDefault="00BF4F43" w:rsidP="00283EBB">
            <w:pPr>
              <w:adjustRightInd w:val="0"/>
              <w:snapToGrid w:val="0"/>
              <w:spacing w:line="360" w:lineRule="auto"/>
              <w:ind w:right="0"/>
              <w:jc w:val="center"/>
              <w:rPr>
                <w:rFonts w:ascii="Book Antiqua" w:hAnsi="Book Antiqua"/>
                <w:lang w:val="en-US"/>
              </w:rPr>
            </w:pPr>
            <w:r w:rsidRPr="00283EBB">
              <w:rPr>
                <w:rFonts w:ascii="Book Antiqua" w:hAnsi="Book Antiqua"/>
                <w:i/>
                <w:lang w:val="en-US"/>
              </w:rPr>
              <w:t>In vitro</w:t>
            </w:r>
            <w:r w:rsidRPr="00786942">
              <w:rPr>
                <w:rFonts w:ascii="Book Antiqua" w:hAnsi="Book Antiqua"/>
                <w:lang w:val="en-US"/>
              </w:rPr>
              <w:t>, VEGF-induced endothelial cell migration inhibition</w:t>
            </w:r>
          </w:p>
        </w:tc>
        <w:tc>
          <w:tcPr>
            <w:tcW w:w="1147"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Suppression of VEGF</w:t>
            </w:r>
          </w:p>
        </w:tc>
      </w:tr>
      <w:tr w:rsidR="00BF4F43" w:rsidRPr="00786942" w:rsidTr="00283EBB">
        <w:tc>
          <w:tcPr>
            <w:tcW w:w="628" w:type="pct"/>
            <w:vAlign w:val="center"/>
          </w:tcPr>
          <w:p w:rsidR="00BF4F43" w:rsidRPr="00786942" w:rsidRDefault="00BF4F43" w:rsidP="00283EBB">
            <w:pPr>
              <w:adjustRightInd w:val="0"/>
              <w:snapToGrid w:val="0"/>
              <w:spacing w:line="360" w:lineRule="auto"/>
              <w:ind w:right="0"/>
              <w:rPr>
                <w:rFonts w:ascii="Book Antiqua" w:hAnsi="Book Antiqua"/>
                <w:lang w:val="en-US"/>
              </w:rPr>
            </w:pPr>
            <w:r w:rsidRPr="00786942">
              <w:rPr>
                <w:rFonts w:ascii="Book Antiqua" w:hAnsi="Book Antiqua"/>
                <w:lang w:val="en-US"/>
              </w:rPr>
              <w:t xml:space="preserve">Yoshiji </w:t>
            </w:r>
            <w:r w:rsidRPr="00283EBB">
              <w:rPr>
                <w:rFonts w:ascii="Book Antiqua" w:hAnsi="Book Antiqua"/>
                <w:i/>
                <w:lang w:val="en-US"/>
              </w:rPr>
              <w:t>et al</w:t>
            </w:r>
            <w:r w:rsidR="00283EBB">
              <w:rPr>
                <w:rFonts w:ascii="Book Antiqua" w:hAnsi="Book Antiqua"/>
                <w:vertAlign w:val="superscript"/>
                <w:lang w:val="en-US"/>
              </w:rPr>
              <w:t>[39]</w:t>
            </w:r>
          </w:p>
        </w:tc>
        <w:tc>
          <w:tcPr>
            <w:tcW w:w="1075" w:type="pct"/>
            <w:vAlign w:val="center"/>
          </w:tcPr>
          <w:p w:rsidR="00BF4F43" w:rsidRPr="00786942" w:rsidRDefault="00BF4F43" w:rsidP="00283EBB">
            <w:pPr>
              <w:pStyle w:val="a7"/>
              <w:adjustRightInd w:val="0"/>
              <w:snapToGrid w:val="0"/>
              <w:spacing w:line="360" w:lineRule="auto"/>
              <w:ind w:right="0"/>
              <w:jc w:val="center"/>
              <w:rPr>
                <w:rFonts w:ascii="Book Antiqua" w:hAnsi="Book Antiqua"/>
                <w:sz w:val="24"/>
                <w:szCs w:val="24"/>
                <w:lang w:val="en-US"/>
              </w:rPr>
            </w:pPr>
            <w:r w:rsidRPr="00786942">
              <w:rPr>
                <w:rFonts w:ascii="Book Antiqua" w:hAnsi="Book Antiqua"/>
                <w:sz w:val="24"/>
                <w:szCs w:val="24"/>
                <w:lang w:val="en-US"/>
              </w:rPr>
              <w:t>BALB/c mice injected with HCC cell lines.</w:t>
            </w:r>
          </w:p>
          <w:p w:rsidR="00BF4F43" w:rsidRPr="00786942" w:rsidRDefault="00BF4F43" w:rsidP="00283EBB">
            <w:pPr>
              <w:pStyle w:val="a7"/>
              <w:adjustRightInd w:val="0"/>
              <w:snapToGrid w:val="0"/>
              <w:spacing w:line="360" w:lineRule="auto"/>
              <w:ind w:right="0"/>
              <w:jc w:val="center"/>
              <w:rPr>
                <w:rFonts w:ascii="Book Antiqua" w:hAnsi="Book Antiqua"/>
                <w:sz w:val="24"/>
                <w:szCs w:val="24"/>
                <w:lang w:val="en-US"/>
              </w:rPr>
            </w:pPr>
            <w:r w:rsidRPr="00786942">
              <w:rPr>
                <w:rFonts w:ascii="Book Antiqua" w:hAnsi="Book Antiqua"/>
                <w:sz w:val="24"/>
                <w:szCs w:val="24"/>
                <w:lang w:val="en-US"/>
              </w:rPr>
              <w:t>BNL CL2 cell line</w:t>
            </w:r>
          </w:p>
        </w:tc>
        <w:tc>
          <w:tcPr>
            <w:tcW w:w="789"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Captopril</w:t>
            </w:r>
          </w:p>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Perindopril</w:t>
            </w:r>
          </w:p>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Temocapril</w:t>
            </w:r>
          </w:p>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Losartan</w:t>
            </w:r>
          </w:p>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Candesartan</w:t>
            </w:r>
          </w:p>
        </w:tc>
        <w:tc>
          <w:tcPr>
            <w:tcW w:w="1361"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Reduction of tubular formation and microvessel density in the tumor. Higher VEGF mRNA expression reduction and</w:t>
            </w:r>
            <w:r w:rsidR="00931F54" w:rsidRPr="00786942">
              <w:rPr>
                <w:rFonts w:ascii="Book Antiqua" w:hAnsi="Book Antiqua"/>
                <w:lang w:val="en-US"/>
              </w:rPr>
              <w:t xml:space="preserve"> </w:t>
            </w:r>
            <w:r w:rsidRPr="00786942">
              <w:rPr>
                <w:rFonts w:ascii="Book Antiqua" w:hAnsi="Book Antiqua"/>
                <w:lang w:val="en-US"/>
              </w:rPr>
              <w:t>HCC growth inhibition by perindopril compared to temocapril and captopril.</w:t>
            </w:r>
            <w:r w:rsidR="00931F54" w:rsidRPr="00786942">
              <w:rPr>
                <w:rFonts w:ascii="Book Antiqua" w:hAnsi="Book Antiqua"/>
                <w:lang w:val="en-US"/>
              </w:rPr>
              <w:t xml:space="preserve"> </w:t>
            </w:r>
            <w:r w:rsidRPr="00786942">
              <w:rPr>
                <w:rFonts w:ascii="Book Antiqua" w:hAnsi="Book Antiqua"/>
                <w:lang w:val="en-US"/>
              </w:rPr>
              <w:t>Neither candesartan nor losartan significantly inhibited the tumor development</w:t>
            </w:r>
          </w:p>
        </w:tc>
        <w:tc>
          <w:tcPr>
            <w:tcW w:w="1147"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ACE-Is suppressed the</w:t>
            </w:r>
            <w:r w:rsidR="00283EBB">
              <w:rPr>
                <w:rFonts w:ascii="Book Antiqua" w:hAnsi="Book Antiqua"/>
                <w:lang w:val="en-US"/>
              </w:rPr>
              <w:t xml:space="preserve"> tumor development mainly by a</w:t>
            </w:r>
            <w:r w:rsidRPr="00786942">
              <w:rPr>
                <w:rFonts w:ascii="Book Antiqua" w:hAnsi="Book Antiqua"/>
                <w:lang w:val="en-US"/>
              </w:rPr>
              <w:t xml:space="preserve"> mechanism which was independent from</w:t>
            </w:r>
            <w:r w:rsidR="00283EBB">
              <w:rPr>
                <w:rFonts w:ascii="Book Antiqua" w:hAnsi="Book Antiqua"/>
                <w:lang w:val="en-US"/>
              </w:rPr>
              <w:t xml:space="preserve"> </w:t>
            </w:r>
            <w:r w:rsidRPr="00786942">
              <w:rPr>
                <w:rFonts w:ascii="Book Antiqua" w:hAnsi="Book Antiqua"/>
                <w:lang w:val="en-US"/>
              </w:rPr>
              <w:t>AT1-R blockage.</w:t>
            </w:r>
          </w:p>
        </w:tc>
      </w:tr>
      <w:tr w:rsidR="00BF4F43" w:rsidRPr="00786942" w:rsidTr="00283EBB">
        <w:tc>
          <w:tcPr>
            <w:tcW w:w="628" w:type="pct"/>
            <w:vAlign w:val="center"/>
          </w:tcPr>
          <w:p w:rsidR="00BF4F43" w:rsidRPr="00786942" w:rsidRDefault="00283EBB" w:rsidP="00283EBB">
            <w:pPr>
              <w:adjustRightInd w:val="0"/>
              <w:snapToGrid w:val="0"/>
              <w:spacing w:line="360" w:lineRule="auto"/>
              <w:ind w:right="0"/>
              <w:rPr>
                <w:rFonts w:ascii="Book Antiqua" w:hAnsi="Book Antiqua"/>
                <w:lang w:val="en-US"/>
              </w:rPr>
            </w:pPr>
            <w:r>
              <w:rPr>
                <w:rFonts w:ascii="Book Antiqua" w:hAnsi="Book Antiqua"/>
                <w:lang w:val="en-US"/>
              </w:rPr>
              <w:t xml:space="preserve">Tamaki </w:t>
            </w:r>
            <w:r w:rsidR="00BF4F43" w:rsidRPr="00283EBB">
              <w:rPr>
                <w:rFonts w:ascii="Book Antiqua" w:hAnsi="Book Antiqua"/>
                <w:i/>
                <w:lang w:val="en-US"/>
              </w:rPr>
              <w:t>et al</w:t>
            </w:r>
            <w:r>
              <w:rPr>
                <w:rFonts w:ascii="Book Antiqua" w:hAnsi="Book Antiqua"/>
                <w:vertAlign w:val="superscript"/>
                <w:lang w:val="en-US"/>
              </w:rPr>
              <w:t>[40]</w:t>
            </w:r>
          </w:p>
        </w:tc>
        <w:tc>
          <w:tcPr>
            <w:tcW w:w="1075" w:type="pct"/>
            <w:vAlign w:val="center"/>
          </w:tcPr>
          <w:p w:rsidR="00BF4F43" w:rsidRPr="00786942" w:rsidRDefault="00BF4F43" w:rsidP="00283EBB">
            <w:pPr>
              <w:pStyle w:val="a7"/>
              <w:adjustRightInd w:val="0"/>
              <w:snapToGrid w:val="0"/>
              <w:spacing w:line="360" w:lineRule="auto"/>
              <w:ind w:right="0"/>
              <w:jc w:val="center"/>
              <w:rPr>
                <w:rFonts w:ascii="Book Antiqua" w:hAnsi="Book Antiqua"/>
                <w:sz w:val="24"/>
                <w:szCs w:val="24"/>
                <w:lang w:val="en-US"/>
              </w:rPr>
            </w:pPr>
            <w:r w:rsidRPr="00786942">
              <w:rPr>
                <w:rFonts w:ascii="Book Antiqua" w:hAnsi="Book Antiqua"/>
                <w:sz w:val="24"/>
                <w:szCs w:val="24"/>
                <w:lang w:val="en-US"/>
              </w:rPr>
              <w:t>Male Wistar rats receiving modified choline-deficient</w:t>
            </w:r>
          </w:p>
          <w:p w:rsidR="00BF4F43" w:rsidRPr="00786942" w:rsidRDefault="00BF4F43" w:rsidP="00283EBB">
            <w:pPr>
              <w:pStyle w:val="a7"/>
              <w:adjustRightInd w:val="0"/>
              <w:snapToGrid w:val="0"/>
              <w:spacing w:line="360" w:lineRule="auto"/>
              <w:ind w:right="0"/>
              <w:jc w:val="center"/>
              <w:rPr>
                <w:rFonts w:ascii="Book Antiqua" w:hAnsi="Book Antiqua"/>
                <w:sz w:val="24"/>
                <w:szCs w:val="24"/>
                <w:lang w:val="en-US"/>
              </w:rPr>
            </w:pPr>
            <w:r w:rsidRPr="00786942">
              <w:rPr>
                <w:rFonts w:ascii="Book Antiqua" w:hAnsi="Book Antiqua"/>
                <w:sz w:val="24"/>
                <w:szCs w:val="24"/>
                <w:lang w:val="en-US"/>
              </w:rPr>
              <w:t>low-methionine diet</w:t>
            </w:r>
          </w:p>
        </w:tc>
        <w:tc>
          <w:tcPr>
            <w:tcW w:w="789"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Telmisartan</w:t>
            </w:r>
          </w:p>
        </w:tc>
        <w:tc>
          <w:tcPr>
            <w:tcW w:w="1361"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No HCC in telmisartan group </w:t>
            </w:r>
            <w:r w:rsidR="000401B7" w:rsidRPr="00283EBB">
              <w:rPr>
                <w:rFonts w:ascii="Book Antiqua" w:hAnsi="Book Antiqua"/>
                <w:i/>
                <w:lang w:val="en-US"/>
              </w:rPr>
              <w:t>vs</w:t>
            </w:r>
            <w:r w:rsidRPr="00786942">
              <w:rPr>
                <w:rFonts w:ascii="Book Antiqua" w:hAnsi="Book Antiqua"/>
                <w:lang w:val="en-US"/>
              </w:rPr>
              <w:t xml:space="preserve"> 54.6% of HCC in control group.</w:t>
            </w:r>
          </w:p>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 xml:space="preserve">Telmisartan inhibited the dietary-induced up-regulation of </w:t>
            </w:r>
            <w:r w:rsidR="003E700E">
              <w:rPr>
                <w:rFonts w:ascii="Book Antiqua" w:hAnsi="Book Antiqua"/>
                <w:lang w:val="en-US"/>
              </w:rPr>
              <w:t>VEGF, TGF-β1, CTGF, HIF1α</w:t>
            </w:r>
            <w:r w:rsidRPr="00786942">
              <w:rPr>
                <w:rFonts w:ascii="Book Antiqua" w:hAnsi="Book Antiqua"/>
                <w:lang w:val="en-US"/>
              </w:rPr>
              <w:t xml:space="preserve"> and TNF-</w:t>
            </w:r>
            <w:r w:rsidR="00283EBB">
              <w:rPr>
                <w:rFonts w:ascii="Book Antiqua" w:hAnsi="Book Antiqua"/>
                <w:lang w:val="en-US"/>
              </w:rPr>
              <w:t>α</w:t>
            </w:r>
            <w:r w:rsidRPr="00786942">
              <w:rPr>
                <w:rFonts w:ascii="Book Antiqua" w:hAnsi="Book Antiqua"/>
                <w:lang w:val="en-US"/>
              </w:rPr>
              <w:t xml:space="preserve"> mRNA levels</w:t>
            </w:r>
          </w:p>
        </w:tc>
        <w:tc>
          <w:tcPr>
            <w:tcW w:w="1147"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Telmisartan may</w:t>
            </w:r>
            <w:r w:rsidR="00283EBB">
              <w:rPr>
                <w:rFonts w:ascii="Book Antiqua" w:hAnsi="Book Antiqua"/>
                <w:lang w:val="en-US"/>
              </w:rPr>
              <w:t xml:space="preserve"> </w:t>
            </w:r>
            <w:r w:rsidRPr="00786942">
              <w:rPr>
                <w:rFonts w:ascii="Book Antiqua" w:hAnsi="Book Antiqua"/>
                <w:lang w:val="en-US"/>
              </w:rPr>
              <w:t>prevent hepatocarcinogenesis through the inhibition of hepatic angiogenesis</w:t>
            </w:r>
          </w:p>
        </w:tc>
      </w:tr>
      <w:tr w:rsidR="00BF4F43" w:rsidRPr="00786942" w:rsidTr="00283EBB">
        <w:tc>
          <w:tcPr>
            <w:tcW w:w="628" w:type="pct"/>
            <w:vAlign w:val="center"/>
          </w:tcPr>
          <w:p w:rsidR="00BF4F43" w:rsidRPr="00786942" w:rsidRDefault="00BF4F43" w:rsidP="00283EBB">
            <w:pPr>
              <w:adjustRightInd w:val="0"/>
              <w:snapToGrid w:val="0"/>
              <w:spacing w:line="360" w:lineRule="auto"/>
              <w:ind w:right="0"/>
              <w:rPr>
                <w:rFonts w:ascii="Book Antiqua" w:hAnsi="Book Antiqua"/>
                <w:lang w:val="en-US"/>
              </w:rPr>
            </w:pPr>
            <w:r w:rsidRPr="00786942">
              <w:rPr>
                <w:rFonts w:ascii="Book Antiqua" w:hAnsi="Book Antiqua"/>
                <w:lang w:val="en-US"/>
              </w:rPr>
              <w:t xml:space="preserve">Noguchi </w:t>
            </w:r>
            <w:bookmarkStart w:id="194" w:name="OLE_LINK699"/>
            <w:r w:rsidRPr="00283EBB">
              <w:rPr>
                <w:rFonts w:ascii="Book Antiqua" w:hAnsi="Book Antiqua"/>
                <w:i/>
                <w:lang w:val="en-US"/>
              </w:rPr>
              <w:t>et al</w:t>
            </w:r>
            <w:bookmarkEnd w:id="194"/>
            <w:r w:rsidR="00283EBB">
              <w:rPr>
                <w:rFonts w:ascii="Book Antiqua" w:hAnsi="Book Antiqua"/>
                <w:vertAlign w:val="superscript"/>
                <w:lang w:val="en-US"/>
              </w:rPr>
              <w:t>[41]</w:t>
            </w:r>
          </w:p>
        </w:tc>
        <w:tc>
          <w:tcPr>
            <w:tcW w:w="1075" w:type="pct"/>
            <w:vAlign w:val="center"/>
          </w:tcPr>
          <w:p w:rsidR="00BF4F43" w:rsidRPr="00786942" w:rsidRDefault="00BF4F43" w:rsidP="00283EBB">
            <w:pPr>
              <w:pStyle w:val="a7"/>
              <w:adjustRightInd w:val="0"/>
              <w:snapToGrid w:val="0"/>
              <w:spacing w:line="360" w:lineRule="auto"/>
              <w:ind w:right="0"/>
              <w:jc w:val="center"/>
              <w:rPr>
                <w:rFonts w:ascii="Book Antiqua" w:hAnsi="Book Antiqua"/>
                <w:sz w:val="24"/>
                <w:szCs w:val="24"/>
                <w:lang w:val="en-US"/>
              </w:rPr>
            </w:pPr>
            <w:r w:rsidRPr="00786942">
              <w:rPr>
                <w:rFonts w:ascii="Book Antiqua" w:hAnsi="Book Antiqua"/>
                <w:sz w:val="24"/>
                <w:szCs w:val="24"/>
                <w:lang w:val="en-US"/>
              </w:rPr>
              <w:t>Male Fisher-344 rats receiving modified choline-deficient</w:t>
            </w:r>
            <w:r w:rsidR="00931F54" w:rsidRPr="00786942">
              <w:rPr>
                <w:rFonts w:ascii="Book Antiqua" w:hAnsi="Book Antiqua"/>
                <w:sz w:val="24"/>
                <w:szCs w:val="24"/>
                <w:lang w:val="en-US"/>
              </w:rPr>
              <w:t xml:space="preserve"> </w:t>
            </w:r>
            <w:r w:rsidRPr="00786942">
              <w:rPr>
                <w:rFonts w:ascii="Book Antiqua" w:hAnsi="Book Antiqua"/>
                <w:sz w:val="24"/>
                <w:szCs w:val="24"/>
                <w:lang w:val="en-US"/>
              </w:rPr>
              <w:t>low-methionine diet</w:t>
            </w:r>
          </w:p>
        </w:tc>
        <w:tc>
          <w:tcPr>
            <w:tcW w:w="789"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Perindopril</w:t>
            </w:r>
          </w:p>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Eplerenone (selective aldosterone blocker)</w:t>
            </w:r>
          </w:p>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Aldosterone</w:t>
            </w:r>
          </w:p>
        </w:tc>
        <w:tc>
          <w:tcPr>
            <w:tcW w:w="1361" w:type="pct"/>
            <w:vAlign w:val="center"/>
          </w:tcPr>
          <w:p w:rsidR="00BF4F43" w:rsidRPr="00786942" w:rsidRDefault="00BF4F43" w:rsidP="00283EBB">
            <w:pPr>
              <w:tabs>
                <w:tab w:val="left" w:pos="2397"/>
              </w:tabs>
              <w:adjustRightInd w:val="0"/>
              <w:snapToGrid w:val="0"/>
              <w:spacing w:line="360" w:lineRule="auto"/>
              <w:ind w:right="0"/>
              <w:jc w:val="center"/>
              <w:rPr>
                <w:rFonts w:ascii="Book Antiqua" w:hAnsi="Book Antiqua"/>
                <w:lang w:val="en-US"/>
              </w:rPr>
            </w:pPr>
            <w:r w:rsidRPr="00786942">
              <w:rPr>
                <w:rFonts w:ascii="Book Antiqua" w:hAnsi="Book Antiqua"/>
                <w:lang w:val="en-US"/>
              </w:rPr>
              <w:t>Significant inhibitory</w:t>
            </w:r>
            <w:r w:rsidR="00283EBB">
              <w:rPr>
                <w:rFonts w:ascii="Book Antiqua" w:hAnsi="Book Antiqua"/>
                <w:lang w:val="en-US"/>
              </w:rPr>
              <w:t xml:space="preserve"> </w:t>
            </w:r>
            <w:r w:rsidRPr="00786942">
              <w:rPr>
                <w:rFonts w:ascii="Book Antiqua" w:hAnsi="Book Antiqua"/>
                <w:lang w:val="en-US"/>
              </w:rPr>
              <w:t>effects on the GST-P positive pre-neoplastic lesion development;</w:t>
            </w:r>
            <w:r w:rsidR="00283EBB">
              <w:rPr>
                <w:rFonts w:ascii="Book Antiqua" w:hAnsi="Book Antiqua"/>
                <w:lang w:val="en-US"/>
              </w:rPr>
              <w:t xml:space="preserve"> </w:t>
            </w:r>
            <w:r w:rsidRPr="00786942">
              <w:rPr>
                <w:rFonts w:ascii="Book Antiqua" w:hAnsi="Book Antiqua"/>
                <w:lang w:val="en-US"/>
              </w:rPr>
              <w:t>reduction of VEGF expression tubule formation and neovascularization</w:t>
            </w:r>
          </w:p>
        </w:tc>
        <w:tc>
          <w:tcPr>
            <w:tcW w:w="1147"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Combination of Perindopril +</w:t>
            </w:r>
            <w:r w:rsidR="00283EBB">
              <w:rPr>
                <w:rFonts w:ascii="Book Antiqua" w:hAnsi="Book Antiqua"/>
                <w:lang w:val="en-US"/>
              </w:rPr>
              <w:t xml:space="preserve"> </w:t>
            </w:r>
            <w:r w:rsidRPr="00786942">
              <w:rPr>
                <w:rFonts w:ascii="Book Antiqua" w:hAnsi="Book Antiqua"/>
                <w:lang w:val="en-US"/>
              </w:rPr>
              <w:t>Eplerenone exerted a</w:t>
            </w:r>
            <w:r w:rsidR="00931F54" w:rsidRPr="00786942">
              <w:rPr>
                <w:rFonts w:ascii="Book Antiqua" w:hAnsi="Book Antiqua"/>
                <w:lang w:val="en-US"/>
              </w:rPr>
              <w:t xml:space="preserve"> </w:t>
            </w:r>
            <w:r w:rsidRPr="00786942">
              <w:rPr>
                <w:rFonts w:ascii="Book Antiqua" w:hAnsi="Book Antiqua"/>
                <w:lang w:val="en-US"/>
              </w:rPr>
              <w:t>stronger suppression</w:t>
            </w:r>
            <w:r w:rsidR="00931F54" w:rsidRPr="00786942">
              <w:rPr>
                <w:rFonts w:ascii="Book Antiqua" w:hAnsi="Book Antiqua"/>
                <w:lang w:val="en-US"/>
              </w:rPr>
              <w:t xml:space="preserve"> </w:t>
            </w:r>
            <w:r w:rsidRPr="00786942">
              <w:rPr>
                <w:rFonts w:ascii="Book Antiqua" w:hAnsi="Book Antiqua"/>
                <w:lang w:val="en-US"/>
              </w:rPr>
              <w:t>than single treatment</w:t>
            </w:r>
          </w:p>
        </w:tc>
      </w:tr>
      <w:tr w:rsidR="00BF4F43" w:rsidRPr="00786942" w:rsidTr="00283EBB">
        <w:tc>
          <w:tcPr>
            <w:tcW w:w="628" w:type="pct"/>
            <w:vAlign w:val="center"/>
          </w:tcPr>
          <w:p w:rsidR="00BF4F43" w:rsidRPr="00786942" w:rsidRDefault="00BF4F43" w:rsidP="00283EBB">
            <w:pPr>
              <w:adjustRightInd w:val="0"/>
              <w:snapToGrid w:val="0"/>
              <w:spacing w:line="360" w:lineRule="auto"/>
              <w:ind w:right="0"/>
              <w:rPr>
                <w:rFonts w:ascii="Book Antiqua" w:hAnsi="Book Antiqua"/>
                <w:lang w:val="en-US"/>
              </w:rPr>
            </w:pPr>
            <w:r w:rsidRPr="00786942">
              <w:rPr>
                <w:rFonts w:ascii="Book Antiqua" w:hAnsi="Book Antiqua"/>
                <w:lang w:val="en-US"/>
              </w:rPr>
              <w:t xml:space="preserve">Yoshiji </w:t>
            </w:r>
            <w:r w:rsidRPr="00283EBB">
              <w:rPr>
                <w:rFonts w:ascii="Book Antiqua" w:hAnsi="Book Antiqua"/>
                <w:i/>
                <w:lang w:val="en-US"/>
              </w:rPr>
              <w:t>et al</w:t>
            </w:r>
            <w:r w:rsidR="00283EBB">
              <w:rPr>
                <w:rFonts w:ascii="Book Antiqua" w:hAnsi="Book Antiqua"/>
                <w:vertAlign w:val="superscript"/>
                <w:lang w:val="en-US"/>
              </w:rPr>
              <w:t>[42]</w:t>
            </w:r>
          </w:p>
        </w:tc>
        <w:tc>
          <w:tcPr>
            <w:tcW w:w="1075" w:type="pct"/>
            <w:vAlign w:val="center"/>
          </w:tcPr>
          <w:p w:rsidR="00BF4F43" w:rsidRPr="00786942" w:rsidRDefault="00BF4F43" w:rsidP="00283EBB">
            <w:pPr>
              <w:pStyle w:val="a7"/>
              <w:adjustRightInd w:val="0"/>
              <w:snapToGrid w:val="0"/>
              <w:spacing w:line="360" w:lineRule="auto"/>
              <w:ind w:right="0"/>
              <w:jc w:val="center"/>
              <w:rPr>
                <w:rFonts w:ascii="Book Antiqua" w:hAnsi="Book Antiqua"/>
                <w:sz w:val="24"/>
                <w:szCs w:val="24"/>
                <w:lang w:val="en-US"/>
              </w:rPr>
            </w:pPr>
            <w:r w:rsidRPr="00786942">
              <w:rPr>
                <w:rFonts w:ascii="Book Antiqua" w:hAnsi="Book Antiqua"/>
                <w:sz w:val="24"/>
                <w:szCs w:val="24"/>
                <w:lang w:val="en-US"/>
              </w:rPr>
              <w:t>Male OLETF rats (spontaneous development of insulin resistance) treated with Diethylnitrosamine</w:t>
            </w:r>
          </w:p>
        </w:tc>
        <w:tc>
          <w:tcPr>
            <w:tcW w:w="789"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branched-chain amino acids</w:t>
            </w:r>
          </w:p>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perindopril</w:t>
            </w:r>
          </w:p>
        </w:tc>
        <w:tc>
          <w:tcPr>
            <w:tcW w:w="1361"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Number/size of preneoplastic foci were significantly suppressed</w:t>
            </w:r>
          </w:p>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by treatment of both drugs</w:t>
            </w:r>
            <w:r w:rsidR="00952BBF" w:rsidRPr="00786942">
              <w:rPr>
                <w:rFonts w:ascii="Book Antiqua" w:hAnsi="Book Antiqua"/>
                <w:lang w:val="en-US"/>
              </w:rPr>
              <w:t xml:space="preserve"> </w:t>
            </w:r>
            <w:r w:rsidRPr="00786942">
              <w:rPr>
                <w:rFonts w:ascii="Book Antiqua" w:hAnsi="Book Antiqua"/>
                <w:lang w:val="en-US"/>
              </w:rPr>
              <w:t>suppression of CD31- and VEGF-mRNA</w:t>
            </w:r>
          </w:p>
        </w:tc>
        <w:tc>
          <w:tcPr>
            <w:tcW w:w="1147"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283EBB">
              <w:rPr>
                <w:rFonts w:ascii="Book Antiqua" w:hAnsi="Book Antiqua"/>
                <w:i/>
                <w:lang w:val="en-US"/>
              </w:rPr>
              <w:t xml:space="preserve">In vitro </w:t>
            </w:r>
            <w:r w:rsidRPr="00786942">
              <w:rPr>
                <w:rFonts w:ascii="Book Antiqua" w:hAnsi="Book Antiqua"/>
                <w:lang w:val="en-US"/>
              </w:rPr>
              <w:t>suppression of tubule formation, regardless of drug</w:t>
            </w:r>
            <w:r w:rsidR="00931F54" w:rsidRPr="00786942">
              <w:rPr>
                <w:rFonts w:ascii="Book Antiqua" w:hAnsi="Book Antiqua"/>
                <w:lang w:val="en-US"/>
              </w:rPr>
              <w:t xml:space="preserve"> </w:t>
            </w:r>
            <w:r w:rsidRPr="00786942">
              <w:rPr>
                <w:rFonts w:ascii="Book Antiqua" w:hAnsi="Book Antiqua"/>
                <w:lang w:val="en-US"/>
              </w:rPr>
              <w:t>concentration</w:t>
            </w:r>
          </w:p>
        </w:tc>
      </w:tr>
      <w:tr w:rsidR="00BF4F43" w:rsidRPr="00786942" w:rsidTr="00283EBB">
        <w:tc>
          <w:tcPr>
            <w:tcW w:w="628" w:type="pct"/>
            <w:vAlign w:val="center"/>
          </w:tcPr>
          <w:p w:rsidR="00BF4F43" w:rsidRPr="00786942" w:rsidRDefault="00BF4F43" w:rsidP="00283EBB">
            <w:pPr>
              <w:adjustRightInd w:val="0"/>
              <w:snapToGrid w:val="0"/>
              <w:spacing w:line="360" w:lineRule="auto"/>
              <w:ind w:right="0"/>
              <w:rPr>
                <w:rFonts w:ascii="Book Antiqua" w:hAnsi="Book Antiqua"/>
                <w:lang w:val="en-US"/>
              </w:rPr>
            </w:pPr>
            <w:r w:rsidRPr="00786942">
              <w:rPr>
                <w:rFonts w:ascii="Book Antiqua" w:hAnsi="Book Antiqua"/>
                <w:lang w:val="en-US"/>
              </w:rPr>
              <w:t xml:space="preserve">Oura </w:t>
            </w:r>
            <w:r w:rsidRPr="00283EBB">
              <w:rPr>
                <w:rFonts w:ascii="Book Antiqua" w:hAnsi="Book Antiqua"/>
                <w:i/>
                <w:lang w:val="en-US"/>
              </w:rPr>
              <w:t>et al</w:t>
            </w:r>
            <w:r w:rsidR="00283EBB">
              <w:rPr>
                <w:rFonts w:ascii="Book Antiqua" w:hAnsi="Book Antiqua"/>
                <w:vertAlign w:val="superscript"/>
                <w:lang w:val="en-US"/>
              </w:rPr>
              <w:t>[43]</w:t>
            </w:r>
          </w:p>
        </w:tc>
        <w:tc>
          <w:tcPr>
            <w:tcW w:w="1075" w:type="pct"/>
            <w:vAlign w:val="center"/>
          </w:tcPr>
          <w:p w:rsidR="00BF4F43" w:rsidRPr="00786942" w:rsidRDefault="00BF4F43" w:rsidP="00283EBB">
            <w:pPr>
              <w:pStyle w:val="a7"/>
              <w:adjustRightInd w:val="0"/>
              <w:snapToGrid w:val="0"/>
              <w:spacing w:line="360" w:lineRule="auto"/>
              <w:ind w:right="0"/>
              <w:jc w:val="center"/>
              <w:rPr>
                <w:rFonts w:ascii="Book Antiqua" w:hAnsi="Book Antiqua"/>
                <w:sz w:val="24"/>
                <w:szCs w:val="24"/>
                <w:lang w:val="en-US"/>
              </w:rPr>
            </w:pPr>
            <w:r w:rsidRPr="00786942">
              <w:rPr>
                <w:rFonts w:ascii="Book Antiqua" w:hAnsi="Book Antiqua"/>
                <w:sz w:val="24"/>
                <w:szCs w:val="24"/>
                <w:lang w:val="en-US"/>
              </w:rPr>
              <w:t>Five human HCC cell lines (HepG2, HLF, HLE, HuH-7 and PLC/PRF/5)</w:t>
            </w:r>
          </w:p>
        </w:tc>
        <w:tc>
          <w:tcPr>
            <w:tcW w:w="789"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Telmisartan</w:t>
            </w:r>
          </w:p>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Valsartan</w:t>
            </w:r>
          </w:p>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Irbesartan</w:t>
            </w:r>
          </w:p>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Losartan</w:t>
            </w:r>
          </w:p>
        </w:tc>
        <w:tc>
          <w:tcPr>
            <w:tcW w:w="1361"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Only telmisartan reduced proliferation in most of cell lines. Promotion of apoptosi</w:t>
            </w:r>
            <w:r w:rsidRPr="0082323E">
              <w:rPr>
                <w:rFonts w:ascii="Book Antiqua" w:hAnsi="Book Antiqua"/>
                <w:color w:val="000000"/>
                <w:lang w:val="en-US"/>
              </w:rPr>
              <w:t xml:space="preserve">s, </w:t>
            </w:r>
            <w:r w:rsidRPr="00786942">
              <w:rPr>
                <w:rFonts w:ascii="Book Antiqua" w:hAnsi="Book Antiqua"/>
                <w:lang w:val="en-US"/>
              </w:rPr>
              <w:t>Enhancement of bFGF reduction of p-ErbB3</w:t>
            </w:r>
          </w:p>
        </w:tc>
        <w:tc>
          <w:tcPr>
            <w:tcW w:w="1147"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Arrest of cell cycle in G1, and S phase. Effect is dose-dependent and may be mediated by induction of MPK/mTOR signaling.</w:t>
            </w:r>
          </w:p>
        </w:tc>
      </w:tr>
      <w:tr w:rsidR="00BF4F43" w:rsidRPr="00786942" w:rsidTr="00283EBB">
        <w:tc>
          <w:tcPr>
            <w:tcW w:w="628" w:type="pct"/>
            <w:vAlign w:val="center"/>
          </w:tcPr>
          <w:p w:rsidR="00BF4F43" w:rsidRPr="00786942" w:rsidRDefault="00BF4F43" w:rsidP="00283EBB">
            <w:pPr>
              <w:adjustRightInd w:val="0"/>
              <w:snapToGrid w:val="0"/>
              <w:spacing w:line="360" w:lineRule="auto"/>
              <w:ind w:right="0"/>
              <w:rPr>
                <w:rFonts w:ascii="Book Antiqua" w:hAnsi="Book Antiqua"/>
                <w:lang w:val="en-US"/>
              </w:rPr>
            </w:pPr>
            <w:r w:rsidRPr="00786942">
              <w:rPr>
                <w:rFonts w:ascii="Book Antiqua" w:hAnsi="Book Antiqua"/>
                <w:lang w:val="en-US"/>
              </w:rPr>
              <w:t xml:space="preserve">Santhekadur </w:t>
            </w:r>
            <w:r w:rsidRPr="00283EBB">
              <w:rPr>
                <w:rFonts w:ascii="Book Antiqua" w:hAnsi="Book Antiqua"/>
                <w:i/>
                <w:lang w:val="en-US"/>
              </w:rPr>
              <w:t>et al</w:t>
            </w:r>
            <w:r w:rsidR="00283EBB">
              <w:rPr>
                <w:rFonts w:ascii="Book Antiqua" w:hAnsi="Book Antiqua"/>
                <w:vertAlign w:val="superscript"/>
                <w:lang w:val="en-US"/>
              </w:rPr>
              <w:t>[44]</w:t>
            </w:r>
          </w:p>
        </w:tc>
        <w:tc>
          <w:tcPr>
            <w:tcW w:w="1075" w:type="pct"/>
            <w:vAlign w:val="center"/>
          </w:tcPr>
          <w:p w:rsidR="00BF4F43" w:rsidRPr="00786942" w:rsidRDefault="00BF4F43" w:rsidP="00283EBB">
            <w:pPr>
              <w:pStyle w:val="a7"/>
              <w:adjustRightInd w:val="0"/>
              <w:snapToGrid w:val="0"/>
              <w:spacing w:line="360" w:lineRule="auto"/>
              <w:ind w:right="0"/>
              <w:jc w:val="center"/>
              <w:rPr>
                <w:rFonts w:ascii="Book Antiqua" w:hAnsi="Book Antiqua"/>
                <w:sz w:val="24"/>
                <w:szCs w:val="24"/>
                <w:lang w:val="en-US"/>
              </w:rPr>
            </w:pPr>
            <w:r w:rsidRPr="00786942">
              <w:rPr>
                <w:rFonts w:ascii="Book Antiqua" w:hAnsi="Book Antiqua"/>
                <w:sz w:val="24"/>
                <w:szCs w:val="24"/>
                <w:lang w:val="en-US"/>
              </w:rPr>
              <w:t>Hep3B and QGY-7703 cell lines</w:t>
            </w:r>
          </w:p>
        </w:tc>
        <w:tc>
          <w:tcPr>
            <w:tcW w:w="789"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Losartan</w:t>
            </w:r>
          </w:p>
        </w:tc>
        <w:tc>
          <w:tcPr>
            <w:tcW w:w="1361"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SND1</w:t>
            </w:r>
            <w:r w:rsidR="00283EBB">
              <w:rPr>
                <w:rFonts w:ascii="Book Antiqua" w:hAnsi="Book Antiqua"/>
                <w:lang w:val="en-US"/>
              </w:rPr>
              <w:t xml:space="preserve"> </w:t>
            </w:r>
            <w:r w:rsidRPr="00786942">
              <w:rPr>
                <w:rFonts w:ascii="Book Antiqua" w:hAnsi="Book Antiqua"/>
                <w:lang w:val="en-US"/>
              </w:rPr>
              <w:t>increases AT1R level by augmenting AT1R mRNA stability;</w:t>
            </w:r>
            <w:r w:rsidR="004672F6" w:rsidRPr="00786942">
              <w:rPr>
                <w:rFonts w:ascii="Book Antiqua" w:hAnsi="Book Antiqua"/>
                <w:lang w:val="en-US"/>
              </w:rPr>
              <w:t xml:space="preserve"> </w:t>
            </w:r>
            <w:r w:rsidRPr="00786942">
              <w:rPr>
                <w:rFonts w:ascii="Book Antiqua" w:hAnsi="Book Antiqua"/>
                <w:lang w:val="en-US"/>
              </w:rPr>
              <w:t>Losartan inhibited</w:t>
            </w:r>
            <w:r w:rsidR="004672F6" w:rsidRPr="00786942">
              <w:rPr>
                <w:rFonts w:ascii="Book Antiqua" w:hAnsi="Book Antiqua"/>
                <w:lang w:val="en-US"/>
              </w:rPr>
              <w:t xml:space="preserve"> </w:t>
            </w:r>
            <w:r w:rsidRPr="00786942">
              <w:rPr>
                <w:rFonts w:ascii="Book Antiqua" w:hAnsi="Book Antiqua"/>
                <w:lang w:val="en-US"/>
              </w:rPr>
              <w:t>both cell migration and invasion</w:t>
            </w:r>
          </w:p>
        </w:tc>
        <w:tc>
          <w:tcPr>
            <w:tcW w:w="1147" w:type="pct"/>
            <w:vAlign w:val="center"/>
          </w:tcPr>
          <w:p w:rsidR="00BF4F43" w:rsidRPr="00786942" w:rsidRDefault="00BF4F43" w:rsidP="003E700E">
            <w:pPr>
              <w:adjustRightInd w:val="0"/>
              <w:snapToGrid w:val="0"/>
              <w:spacing w:line="360" w:lineRule="auto"/>
              <w:ind w:right="0"/>
              <w:jc w:val="center"/>
              <w:rPr>
                <w:rFonts w:ascii="Book Antiqua" w:hAnsi="Book Antiqua"/>
                <w:lang w:val="en-US"/>
              </w:rPr>
            </w:pPr>
            <w:r w:rsidRPr="00786942">
              <w:rPr>
                <w:rFonts w:ascii="Book Antiqua" w:hAnsi="Book Antiqua"/>
                <w:lang w:val="en-US"/>
              </w:rPr>
              <w:t>SND1 induces TGF</w:t>
            </w:r>
            <w:r w:rsidR="003E700E">
              <w:rPr>
                <w:rFonts w:ascii="Book Antiqua" w:hAnsi="Book Antiqua"/>
                <w:lang w:val="en-US"/>
              </w:rPr>
              <w:t>-β</w:t>
            </w:r>
            <w:r w:rsidRPr="00786942">
              <w:rPr>
                <w:rFonts w:ascii="Book Antiqua" w:hAnsi="Book Antiqua"/>
                <w:lang w:val="en-US"/>
              </w:rPr>
              <w:t xml:space="preserve"> expression through AT1R signaling</w:t>
            </w:r>
          </w:p>
        </w:tc>
      </w:tr>
      <w:tr w:rsidR="00BF4F43" w:rsidRPr="00786942" w:rsidTr="00283EBB">
        <w:tc>
          <w:tcPr>
            <w:tcW w:w="628" w:type="pct"/>
            <w:vAlign w:val="center"/>
          </w:tcPr>
          <w:p w:rsidR="00BF4F43" w:rsidRPr="00786942" w:rsidRDefault="00283EBB" w:rsidP="00283EBB">
            <w:pPr>
              <w:adjustRightInd w:val="0"/>
              <w:snapToGrid w:val="0"/>
              <w:spacing w:line="360" w:lineRule="auto"/>
              <w:ind w:right="0"/>
              <w:rPr>
                <w:rFonts w:ascii="Book Antiqua" w:hAnsi="Book Antiqua"/>
                <w:lang w:val="en-US"/>
              </w:rPr>
            </w:pPr>
            <w:r>
              <w:rPr>
                <w:rFonts w:ascii="Book Antiqua" w:hAnsi="Book Antiqua"/>
                <w:lang w:val="en-US"/>
              </w:rPr>
              <w:t xml:space="preserve">Cook </w:t>
            </w:r>
            <w:r w:rsidR="00BF4F43" w:rsidRPr="00283EBB">
              <w:rPr>
                <w:rFonts w:ascii="Book Antiqua" w:hAnsi="Book Antiqua"/>
                <w:i/>
                <w:lang w:val="en-US"/>
              </w:rPr>
              <w:t>et al</w:t>
            </w:r>
            <w:r>
              <w:rPr>
                <w:rFonts w:ascii="Book Antiqua" w:hAnsi="Book Antiqua"/>
                <w:vertAlign w:val="superscript"/>
                <w:lang w:val="en-US"/>
              </w:rPr>
              <w:t>[45]</w:t>
            </w:r>
          </w:p>
        </w:tc>
        <w:tc>
          <w:tcPr>
            <w:tcW w:w="1075" w:type="pct"/>
            <w:vAlign w:val="center"/>
          </w:tcPr>
          <w:p w:rsidR="00BF4F43" w:rsidRPr="00786942" w:rsidRDefault="00BF4F43" w:rsidP="00283EBB">
            <w:pPr>
              <w:pStyle w:val="a7"/>
              <w:adjustRightInd w:val="0"/>
              <w:snapToGrid w:val="0"/>
              <w:spacing w:line="360" w:lineRule="auto"/>
              <w:ind w:right="0"/>
              <w:jc w:val="center"/>
              <w:rPr>
                <w:rFonts w:ascii="Book Antiqua" w:hAnsi="Book Antiqua"/>
                <w:sz w:val="24"/>
                <w:szCs w:val="24"/>
                <w:lang w:val="en-US"/>
              </w:rPr>
            </w:pPr>
            <w:r w:rsidRPr="00786942">
              <w:rPr>
                <w:rFonts w:ascii="Book Antiqua" w:hAnsi="Book Antiqua"/>
                <w:sz w:val="24"/>
                <w:szCs w:val="24"/>
                <w:lang w:val="en-US"/>
              </w:rPr>
              <w:t>H4-II-E-C3 rat hepatoma cells transfected with Ang II</w:t>
            </w:r>
          </w:p>
        </w:tc>
        <w:tc>
          <w:tcPr>
            <w:tcW w:w="789"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Losartan</w:t>
            </w:r>
          </w:p>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Candesartan</w:t>
            </w:r>
          </w:p>
        </w:tc>
        <w:tc>
          <w:tcPr>
            <w:tcW w:w="1361"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Losartan inhibits</w:t>
            </w:r>
          </w:p>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Angiotensin II-induced proliferation</w:t>
            </w:r>
          </w:p>
        </w:tc>
        <w:tc>
          <w:tcPr>
            <w:tcW w:w="1147" w:type="pct"/>
            <w:vAlign w:val="center"/>
          </w:tcPr>
          <w:p w:rsidR="00BF4F43" w:rsidRPr="00786942" w:rsidRDefault="00BF4F43" w:rsidP="00283EBB">
            <w:pPr>
              <w:adjustRightInd w:val="0"/>
              <w:snapToGrid w:val="0"/>
              <w:spacing w:line="360" w:lineRule="auto"/>
              <w:ind w:right="0"/>
              <w:jc w:val="center"/>
              <w:rPr>
                <w:rFonts w:ascii="Book Antiqua" w:hAnsi="Book Antiqua"/>
                <w:lang w:val="en-US"/>
              </w:rPr>
            </w:pPr>
            <w:r w:rsidRPr="00786942">
              <w:rPr>
                <w:rFonts w:ascii="Book Antiqua" w:hAnsi="Book Antiqua"/>
                <w:lang w:val="en-US"/>
              </w:rPr>
              <w:t>Both losartan and candesartan are equally</w:t>
            </w:r>
            <w:r w:rsidR="00283EBB">
              <w:rPr>
                <w:rFonts w:ascii="Book Antiqua" w:hAnsi="Book Antiqua"/>
                <w:lang w:val="en-US"/>
              </w:rPr>
              <w:t xml:space="preserve"> </w:t>
            </w:r>
            <w:r w:rsidRPr="00786942">
              <w:rPr>
                <w:rFonts w:ascii="Book Antiqua" w:hAnsi="Book Antiqua"/>
                <w:lang w:val="en-US"/>
              </w:rPr>
              <w:t>effective in competing with Ang II/AT1 receptor interactions</w:t>
            </w:r>
            <w:r w:rsidR="00283EBB">
              <w:rPr>
                <w:rFonts w:ascii="Book Antiqua" w:hAnsi="Book Antiqua"/>
                <w:lang w:val="en-US"/>
              </w:rPr>
              <w:t xml:space="preserve"> </w:t>
            </w:r>
            <w:r w:rsidRPr="00786942">
              <w:rPr>
                <w:rFonts w:ascii="Book Antiqua" w:hAnsi="Book Antiqua"/>
                <w:lang w:val="en-US"/>
              </w:rPr>
              <w:t>on the cell surface</w:t>
            </w:r>
          </w:p>
        </w:tc>
      </w:tr>
    </w:tbl>
    <w:p w:rsidR="00BF4F43" w:rsidRPr="00786942" w:rsidRDefault="00283EBB" w:rsidP="00786942">
      <w:pPr>
        <w:adjustRightInd w:val="0"/>
        <w:snapToGrid w:val="0"/>
        <w:spacing w:line="360" w:lineRule="auto"/>
        <w:ind w:right="0"/>
        <w:rPr>
          <w:rFonts w:ascii="Book Antiqua" w:hAnsi="Book Antiqua"/>
          <w:lang w:val="en-US"/>
        </w:rPr>
      </w:pPr>
      <w:r w:rsidRPr="00786942">
        <w:rPr>
          <w:rFonts w:ascii="Book Antiqua" w:hAnsi="Book Antiqua"/>
          <w:lang w:val="en-US"/>
        </w:rPr>
        <w:t>Ang II</w:t>
      </w:r>
      <w:r>
        <w:rPr>
          <w:rFonts w:ascii="Book Antiqua" w:hAnsi="Book Antiqua"/>
          <w:lang w:val="en-US"/>
        </w:rPr>
        <w:t>: A</w:t>
      </w:r>
      <w:r w:rsidRPr="00786942">
        <w:rPr>
          <w:rFonts w:ascii="Book Antiqua" w:hAnsi="Book Antiqua"/>
          <w:lang w:val="en-US"/>
        </w:rPr>
        <w:t>ngiotensin receptor</w:t>
      </w:r>
      <w:r>
        <w:rPr>
          <w:rFonts w:ascii="Book Antiqua" w:hAnsi="Book Antiqua"/>
          <w:lang w:val="en-US"/>
        </w:rPr>
        <w:t xml:space="preserve">; </w:t>
      </w:r>
      <w:r w:rsidRPr="00786942">
        <w:rPr>
          <w:rFonts w:ascii="Book Antiqua" w:hAnsi="Book Antiqua"/>
          <w:lang w:val="en-US"/>
        </w:rPr>
        <w:t>AT2R</w:t>
      </w:r>
      <w:r>
        <w:rPr>
          <w:rFonts w:ascii="Book Antiqua" w:hAnsi="Book Antiqua"/>
          <w:lang w:val="en-US"/>
        </w:rPr>
        <w:t>: Angiotensin II t</w:t>
      </w:r>
      <w:r w:rsidRPr="00786942">
        <w:rPr>
          <w:rFonts w:ascii="Book Antiqua" w:hAnsi="Book Antiqua"/>
          <w:lang w:val="en-US"/>
        </w:rPr>
        <w:t>ype 2 receptor</w:t>
      </w:r>
      <w:r>
        <w:rPr>
          <w:rFonts w:ascii="Book Antiqua" w:hAnsi="Book Antiqua"/>
          <w:lang w:val="en-US"/>
        </w:rPr>
        <w:t xml:space="preserve">; ACE-Is: </w:t>
      </w:r>
      <w:r>
        <w:rPr>
          <w:rFonts w:ascii="Book Antiqua" w:hAnsi="Book Antiqua"/>
          <w:color w:val="000000"/>
          <w:lang w:val="en-US"/>
        </w:rPr>
        <w:t>A</w:t>
      </w:r>
      <w:r w:rsidRPr="00786942">
        <w:rPr>
          <w:rFonts w:ascii="Book Antiqua" w:hAnsi="Book Antiqua"/>
          <w:color w:val="000000"/>
          <w:lang w:val="en-US"/>
        </w:rPr>
        <w:t>ngiotensin-converting enzyme inhibitors</w:t>
      </w:r>
      <w:r>
        <w:rPr>
          <w:rFonts w:ascii="Book Antiqua" w:hAnsi="Book Antiqua"/>
          <w:color w:val="000000"/>
          <w:lang w:val="en-US"/>
        </w:rPr>
        <w:t>; ARBs: A</w:t>
      </w:r>
      <w:r w:rsidRPr="00786942">
        <w:rPr>
          <w:rFonts w:ascii="Book Antiqua" w:hAnsi="Book Antiqua"/>
          <w:color w:val="000000"/>
          <w:lang w:val="en-US"/>
        </w:rPr>
        <w:t>ngiotensin II type 1 receptor blockers</w:t>
      </w:r>
      <w:r>
        <w:rPr>
          <w:rFonts w:ascii="Book Antiqua" w:hAnsi="Book Antiqua"/>
          <w:color w:val="000000"/>
          <w:lang w:val="en-US"/>
        </w:rPr>
        <w:t>; HCC: Hepatocellular c</w:t>
      </w:r>
      <w:r w:rsidRPr="00476D21">
        <w:rPr>
          <w:rFonts w:ascii="Book Antiqua" w:hAnsi="Book Antiqua"/>
          <w:color w:val="000000"/>
          <w:lang w:val="en-US"/>
        </w:rPr>
        <w:t>arcinoma</w:t>
      </w:r>
      <w:r>
        <w:rPr>
          <w:rFonts w:ascii="Book Antiqua" w:hAnsi="Book Antiqua"/>
          <w:color w:val="000000"/>
          <w:lang w:val="en-US"/>
        </w:rPr>
        <w:t xml:space="preserve">; </w:t>
      </w:r>
      <w:r w:rsidRPr="00786942">
        <w:rPr>
          <w:rFonts w:ascii="Book Antiqua" w:hAnsi="Book Antiqua"/>
          <w:lang w:val="en-US"/>
        </w:rPr>
        <w:t>VEGF</w:t>
      </w:r>
      <w:r>
        <w:rPr>
          <w:rFonts w:ascii="Book Antiqua" w:hAnsi="Book Antiqua"/>
          <w:lang w:val="en-US"/>
        </w:rPr>
        <w:t>: V</w:t>
      </w:r>
      <w:r w:rsidRPr="000E1C16">
        <w:rPr>
          <w:rFonts w:ascii="Book Antiqua" w:hAnsi="Book Antiqua"/>
          <w:lang w:val="en-US"/>
        </w:rPr>
        <w:t>ascular endothelial growth factor</w:t>
      </w:r>
      <w:r>
        <w:rPr>
          <w:rFonts w:ascii="Book Antiqua" w:hAnsi="Book Antiqua"/>
          <w:lang w:val="en-US"/>
        </w:rPr>
        <w:t>; TNF: Tumor necrosis factor; TGF: Transforming growth factor</w:t>
      </w:r>
      <w:r w:rsidR="00386A84">
        <w:rPr>
          <w:rFonts w:ascii="Book Antiqua" w:hAnsi="Book Antiqua"/>
          <w:lang w:val="en-US"/>
        </w:rPr>
        <w:t xml:space="preserve">; </w:t>
      </w:r>
      <w:bookmarkStart w:id="195" w:name="OLE_LINK703"/>
      <w:r w:rsidR="00386A84" w:rsidRPr="00786942">
        <w:rPr>
          <w:rFonts w:ascii="Book Antiqua" w:hAnsi="Book Antiqua"/>
          <w:lang w:val="en-US"/>
        </w:rPr>
        <w:t>OLETF</w:t>
      </w:r>
      <w:bookmarkEnd w:id="195"/>
      <w:r w:rsidR="00386A84">
        <w:rPr>
          <w:rFonts w:ascii="Book Antiqua" w:hAnsi="Book Antiqua"/>
          <w:lang w:val="en-US"/>
        </w:rPr>
        <w:t xml:space="preserve">: </w:t>
      </w:r>
      <w:r w:rsidR="00386A84" w:rsidRPr="00786942">
        <w:rPr>
          <w:rFonts w:ascii="Book Antiqua" w:hAnsi="Book Antiqua"/>
          <w:lang w:val="en-US"/>
        </w:rPr>
        <w:t>Otsuka Long-Evans Tokushima Fatty</w:t>
      </w:r>
      <w:r w:rsidR="00386A84">
        <w:rPr>
          <w:rFonts w:ascii="Book Antiqua" w:hAnsi="Book Antiqua"/>
          <w:lang w:val="en-US"/>
        </w:rPr>
        <w:t>.</w:t>
      </w:r>
    </w:p>
    <w:p w:rsidR="00BF4F43" w:rsidRPr="00786942" w:rsidRDefault="0099216A" w:rsidP="00786942">
      <w:pPr>
        <w:adjustRightInd w:val="0"/>
        <w:snapToGrid w:val="0"/>
        <w:spacing w:line="360" w:lineRule="auto"/>
        <w:ind w:right="0"/>
        <w:rPr>
          <w:rFonts w:ascii="Book Antiqua" w:hAnsi="Book Antiqua"/>
          <w:lang w:val="en-US"/>
        </w:rPr>
      </w:pPr>
      <w:r w:rsidRPr="00786942">
        <w:rPr>
          <w:rFonts w:ascii="Book Antiqua" w:hAnsi="Book Antiqua"/>
          <w:lang w:val="en-US"/>
        </w:rPr>
        <w:br w:type="page"/>
      </w:r>
      <w:r w:rsidR="00C313AA">
        <w:rPr>
          <w:rFonts w:ascii="Book Antiqua" w:hAnsi="Book Antiqua"/>
          <w:noProof/>
          <w:lang w:val="en-US" w:eastAsia="zh-CN"/>
        </w:rPr>
        <w:drawing>
          <wp:inline distT="0" distB="0" distL="0" distR="0">
            <wp:extent cx="6001385" cy="8004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1385" cy="8004175"/>
                    </a:xfrm>
                    <a:prstGeom prst="rect">
                      <a:avLst/>
                    </a:prstGeom>
                    <a:noFill/>
                    <a:ln>
                      <a:noFill/>
                    </a:ln>
                  </pic:spPr>
                </pic:pic>
              </a:graphicData>
            </a:graphic>
          </wp:inline>
        </w:drawing>
      </w:r>
    </w:p>
    <w:p w:rsidR="00402698" w:rsidRPr="00786942" w:rsidRDefault="00386A84" w:rsidP="00786942">
      <w:pPr>
        <w:pStyle w:val="Paragrafoelenco1"/>
        <w:adjustRightInd w:val="0"/>
        <w:snapToGrid w:val="0"/>
        <w:spacing w:line="360" w:lineRule="auto"/>
        <w:ind w:left="0" w:right="0"/>
        <w:rPr>
          <w:rFonts w:ascii="Book Antiqua" w:hAnsi="Book Antiqua"/>
          <w:lang w:val="en-US"/>
        </w:rPr>
      </w:pPr>
      <w:r>
        <w:rPr>
          <w:rFonts w:ascii="Book Antiqua" w:hAnsi="Book Antiqua"/>
          <w:b/>
          <w:lang w:val="en-US"/>
        </w:rPr>
        <w:t>Figure 1</w:t>
      </w:r>
      <w:r w:rsidR="0099216A" w:rsidRPr="00786942">
        <w:rPr>
          <w:rFonts w:ascii="Book Antiqua" w:hAnsi="Book Antiqua"/>
          <w:b/>
          <w:lang w:val="en-US"/>
        </w:rPr>
        <w:t xml:space="preserve"> </w:t>
      </w:r>
      <w:r w:rsidR="0099216A" w:rsidRPr="00386A84">
        <w:rPr>
          <w:rFonts w:ascii="Book Antiqua" w:hAnsi="Book Antiqua"/>
          <w:b/>
          <w:lang w:val="en-US"/>
        </w:rPr>
        <w:t>PRISMA flow diagram describing the process of study selection.</w:t>
      </w:r>
      <w:r w:rsidR="003E700E">
        <w:rPr>
          <w:rFonts w:ascii="Book Antiqua" w:hAnsi="Book Antiqua"/>
          <w:b/>
          <w:lang w:val="en-US"/>
        </w:rPr>
        <w:t xml:space="preserve"> </w:t>
      </w:r>
      <w:r w:rsidR="003E700E">
        <w:rPr>
          <w:rFonts w:ascii="Book Antiqua" w:hAnsi="Book Antiqua"/>
          <w:color w:val="000000"/>
          <w:lang w:val="en-US"/>
        </w:rPr>
        <w:t>HCC: Hepatocellular c</w:t>
      </w:r>
      <w:r w:rsidR="003E700E" w:rsidRPr="00476D21">
        <w:rPr>
          <w:rFonts w:ascii="Book Antiqua" w:hAnsi="Book Antiqua"/>
          <w:color w:val="000000"/>
          <w:lang w:val="en-US"/>
        </w:rPr>
        <w:t>arcinoma</w:t>
      </w:r>
      <w:r w:rsidR="003E700E">
        <w:rPr>
          <w:rFonts w:ascii="Book Antiqua" w:hAnsi="Book Antiqua"/>
          <w:color w:val="000000"/>
          <w:lang w:val="en-US"/>
        </w:rPr>
        <w:t>.</w:t>
      </w:r>
    </w:p>
    <w:sectPr w:rsidR="00402698" w:rsidRPr="00786942" w:rsidSect="00332B48">
      <w:pgSz w:w="11906" w:h="16838"/>
      <w:pgMar w:top="1418" w:right="1327" w:bottom="1247"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2C" w:rsidRDefault="00CD382C" w:rsidP="006A50E0">
      <w:pPr>
        <w:spacing w:line="240" w:lineRule="auto"/>
      </w:pPr>
      <w:r>
        <w:separator/>
      </w:r>
    </w:p>
  </w:endnote>
  <w:endnote w:type="continuationSeparator" w:id="0">
    <w:p w:rsidR="00CD382C" w:rsidRDefault="00CD382C" w:rsidP="006A5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2C" w:rsidRDefault="00CD382C" w:rsidP="006A50E0">
      <w:pPr>
        <w:spacing w:line="240" w:lineRule="auto"/>
      </w:pPr>
      <w:r>
        <w:separator/>
      </w:r>
    </w:p>
  </w:footnote>
  <w:footnote w:type="continuationSeparator" w:id="0">
    <w:p w:rsidR="00CD382C" w:rsidRDefault="00CD382C" w:rsidP="006A50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BC6"/>
    <w:multiLevelType w:val="hybridMultilevel"/>
    <w:tmpl w:val="3D52DB96"/>
    <w:lvl w:ilvl="0" w:tplc="5C048D3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330897"/>
    <w:multiLevelType w:val="singleLevel"/>
    <w:tmpl w:val="526EAAC2"/>
    <w:lvl w:ilvl="0">
      <w:start w:val="1"/>
      <w:numFmt w:val="decimal"/>
      <w:lvlText w:val="%1."/>
      <w:lvlJc w:val="left"/>
      <w:pPr>
        <w:tabs>
          <w:tab w:val="num" w:pos="360"/>
        </w:tabs>
        <w:ind w:left="360" w:hanging="360"/>
      </w:pPr>
      <w:rPr>
        <w:b w:val="0"/>
        <w:i w:val="0"/>
      </w:rPr>
    </w:lvl>
  </w:abstractNum>
  <w:abstractNum w:abstractNumId="2">
    <w:nsid w:val="0DDC5028"/>
    <w:multiLevelType w:val="hybridMultilevel"/>
    <w:tmpl w:val="C0DC5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5B6CE3"/>
    <w:multiLevelType w:val="hybridMultilevel"/>
    <w:tmpl w:val="D8A247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E92F9F"/>
    <w:multiLevelType w:val="hybridMultilevel"/>
    <w:tmpl w:val="38407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A5333D"/>
    <w:multiLevelType w:val="hybridMultilevel"/>
    <w:tmpl w:val="E52E908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BCF1062"/>
    <w:multiLevelType w:val="hybridMultilevel"/>
    <w:tmpl w:val="7B1659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254C3C"/>
    <w:multiLevelType w:val="hybridMultilevel"/>
    <w:tmpl w:val="D65657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FB412F"/>
    <w:multiLevelType w:val="hybridMultilevel"/>
    <w:tmpl w:val="742E8E50"/>
    <w:lvl w:ilvl="0" w:tplc="EB9ED32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D58258C"/>
    <w:multiLevelType w:val="hybridMultilevel"/>
    <w:tmpl w:val="00000000"/>
    <w:lvl w:ilvl="0" w:tplc="FFFFFFFF">
      <w:start w:val="1"/>
      <w:numFmt w:val="decimal"/>
      <w:lvlText w:val="%1."/>
      <w:lvlJc w:val="left"/>
      <w:pPr>
        <w:ind w:left="786" w:hanging="360"/>
      </w:pPr>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61DE3A4D"/>
    <w:multiLevelType w:val="hybridMultilevel"/>
    <w:tmpl w:val="6FEE7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749214B"/>
    <w:multiLevelType w:val="hybridMultilevel"/>
    <w:tmpl w:val="61902F5E"/>
    <w:lvl w:ilvl="0" w:tplc="9802F7A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84B2472"/>
    <w:multiLevelType w:val="hybridMultilevel"/>
    <w:tmpl w:val="4DD68E48"/>
    <w:lvl w:ilvl="0" w:tplc="FC365780">
      <w:start w:val="2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785816B5"/>
    <w:multiLevelType w:val="hybridMultilevel"/>
    <w:tmpl w:val="4DD68E48"/>
    <w:lvl w:ilvl="0" w:tplc="FC365780">
      <w:start w:val="2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0"/>
  </w:num>
  <w:num w:numId="5">
    <w:abstractNumId w:val="3"/>
  </w:num>
  <w:num w:numId="6">
    <w:abstractNumId w:val="13"/>
  </w:num>
  <w:num w:numId="7">
    <w:abstractNumId w:val="12"/>
  </w:num>
  <w:num w:numId="8">
    <w:abstractNumId w:val="8"/>
  </w:num>
  <w:num w:numId="9">
    <w:abstractNumId w:val="11"/>
  </w:num>
  <w:num w:numId="10">
    <w:abstractNumId w:val="0"/>
  </w:num>
  <w:num w:numId="11">
    <w:abstractNumId w:val="2"/>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E0"/>
    <w:rsid w:val="0000748C"/>
    <w:rsid w:val="000107AA"/>
    <w:rsid w:val="00014F22"/>
    <w:rsid w:val="0002004F"/>
    <w:rsid w:val="00025B9A"/>
    <w:rsid w:val="0003116F"/>
    <w:rsid w:val="000314FA"/>
    <w:rsid w:val="000344D3"/>
    <w:rsid w:val="00037F89"/>
    <w:rsid w:val="000401B7"/>
    <w:rsid w:val="000420F2"/>
    <w:rsid w:val="00046932"/>
    <w:rsid w:val="000504A5"/>
    <w:rsid w:val="00062CB9"/>
    <w:rsid w:val="000643E3"/>
    <w:rsid w:val="00070B76"/>
    <w:rsid w:val="000741ED"/>
    <w:rsid w:val="00080491"/>
    <w:rsid w:val="00086B7E"/>
    <w:rsid w:val="00087F3B"/>
    <w:rsid w:val="00093107"/>
    <w:rsid w:val="000A1732"/>
    <w:rsid w:val="000A175C"/>
    <w:rsid w:val="000A3E09"/>
    <w:rsid w:val="000A5B27"/>
    <w:rsid w:val="000B1A64"/>
    <w:rsid w:val="000B22AB"/>
    <w:rsid w:val="000B7174"/>
    <w:rsid w:val="000C03CC"/>
    <w:rsid w:val="000C4BA8"/>
    <w:rsid w:val="000C6720"/>
    <w:rsid w:val="000C73B8"/>
    <w:rsid w:val="000D25B1"/>
    <w:rsid w:val="000D63D0"/>
    <w:rsid w:val="000E0881"/>
    <w:rsid w:val="000E1C16"/>
    <w:rsid w:val="000E734E"/>
    <w:rsid w:val="000F093D"/>
    <w:rsid w:val="000F298E"/>
    <w:rsid w:val="000F39D9"/>
    <w:rsid w:val="00102718"/>
    <w:rsid w:val="0010271C"/>
    <w:rsid w:val="001043D2"/>
    <w:rsid w:val="001045ED"/>
    <w:rsid w:val="001059EA"/>
    <w:rsid w:val="00111FCE"/>
    <w:rsid w:val="00112CC2"/>
    <w:rsid w:val="0011492D"/>
    <w:rsid w:val="00117B92"/>
    <w:rsid w:val="001422E8"/>
    <w:rsid w:val="00146091"/>
    <w:rsid w:val="00147B7F"/>
    <w:rsid w:val="00151E39"/>
    <w:rsid w:val="00152ECC"/>
    <w:rsid w:val="00154F7D"/>
    <w:rsid w:val="00157474"/>
    <w:rsid w:val="0017116B"/>
    <w:rsid w:val="00173346"/>
    <w:rsid w:val="00176F70"/>
    <w:rsid w:val="00177880"/>
    <w:rsid w:val="00180EDB"/>
    <w:rsid w:val="001812EB"/>
    <w:rsid w:val="001845C7"/>
    <w:rsid w:val="00184F36"/>
    <w:rsid w:val="00185BFB"/>
    <w:rsid w:val="0018664B"/>
    <w:rsid w:val="00193E51"/>
    <w:rsid w:val="001944B0"/>
    <w:rsid w:val="001961D9"/>
    <w:rsid w:val="001A181E"/>
    <w:rsid w:val="001A30B0"/>
    <w:rsid w:val="001A739A"/>
    <w:rsid w:val="001B0CDC"/>
    <w:rsid w:val="001B3A33"/>
    <w:rsid w:val="001B65AC"/>
    <w:rsid w:val="001C703B"/>
    <w:rsid w:val="001E2C86"/>
    <w:rsid w:val="001E3546"/>
    <w:rsid w:val="001E6398"/>
    <w:rsid w:val="001E7D0D"/>
    <w:rsid w:val="001E7FBC"/>
    <w:rsid w:val="001F110F"/>
    <w:rsid w:val="001F6F1C"/>
    <w:rsid w:val="00204B9B"/>
    <w:rsid w:val="0021263F"/>
    <w:rsid w:val="00216099"/>
    <w:rsid w:val="00223620"/>
    <w:rsid w:val="00224FDD"/>
    <w:rsid w:val="00227558"/>
    <w:rsid w:val="0023259C"/>
    <w:rsid w:val="00240F54"/>
    <w:rsid w:val="002501C4"/>
    <w:rsid w:val="002508B6"/>
    <w:rsid w:val="00253363"/>
    <w:rsid w:val="0026051C"/>
    <w:rsid w:val="00270B02"/>
    <w:rsid w:val="0027130A"/>
    <w:rsid w:val="00274795"/>
    <w:rsid w:val="00276FAC"/>
    <w:rsid w:val="00283445"/>
    <w:rsid w:val="00283EBB"/>
    <w:rsid w:val="00287B93"/>
    <w:rsid w:val="002905E1"/>
    <w:rsid w:val="00291D03"/>
    <w:rsid w:val="002965FF"/>
    <w:rsid w:val="00297311"/>
    <w:rsid w:val="002A4B65"/>
    <w:rsid w:val="002B0F7E"/>
    <w:rsid w:val="002B38A8"/>
    <w:rsid w:val="002B56A1"/>
    <w:rsid w:val="002B581A"/>
    <w:rsid w:val="002C1ABB"/>
    <w:rsid w:val="002C3A6D"/>
    <w:rsid w:val="002C3E71"/>
    <w:rsid w:val="002C574C"/>
    <w:rsid w:val="002D0CD2"/>
    <w:rsid w:val="002D0E17"/>
    <w:rsid w:val="002D0E9B"/>
    <w:rsid w:val="002D13F4"/>
    <w:rsid w:val="002D1A78"/>
    <w:rsid w:val="002D326E"/>
    <w:rsid w:val="002D44F7"/>
    <w:rsid w:val="002D63BB"/>
    <w:rsid w:val="002E4894"/>
    <w:rsid w:val="002E4D80"/>
    <w:rsid w:val="002E4F06"/>
    <w:rsid w:val="002F067F"/>
    <w:rsid w:val="002F4617"/>
    <w:rsid w:val="002F4AA4"/>
    <w:rsid w:val="00300A8E"/>
    <w:rsid w:val="00310979"/>
    <w:rsid w:val="00310E40"/>
    <w:rsid w:val="00313635"/>
    <w:rsid w:val="00315DE5"/>
    <w:rsid w:val="0032073C"/>
    <w:rsid w:val="00326E4E"/>
    <w:rsid w:val="00330DC5"/>
    <w:rsid w:val="00332B48"/>
    <w:rsid w:val="00332F6B"/>
    <w:rsid w:val="00336F3B"/>
    <w:rsid w:val="00342052"/>
    <w:rsid w:val="00342F5B"/>
    <w:rsid w:val="00344188"/>
    <w:rsid w:val="00347696"/>
    <w:rsid w:val="00353C20"/>
    <w:rsid w:val="0035464F"/>
    <w:rsid w:val="00355AF3"/>
    <w:rsid w:val="003576E3"/>
    <w:rsid w:val="00357D80"/>
    <w:rsid w:val="003614EB"/>
    <w:rsid w:val="00362D4F"/>
    <w:rsid w:val="0036301A"/>
    <w:rsid w:val="003665D2"/>
    <w:rsid w:val="00370106"/>
    <w:rsid w:val="00370985"/>
    <w:rsid w:val="00374080"/>
    <w:rsid w:val="003772F7"/>
    <w:rsid w:val="00382477"/>
    <w:rsid w:val="003828C9"/>
    <w:rsid w:val="00384589"/>
    <w:rsid w:val="0038585A"/>
    <w:rsid w:val="00386A84"/>
    <w:rsid w:val="003902C2"/>
    <w:rsid w:val="00391961"/>
    <w:rsid w:val="0039556A"/>
    <w:rsid w:val="00395781"/>
    <w:rsid w:val="00395925"/>
    <w:rsid w:val="003A19FC"/>
    <w:rsid w:val="003A54D4"/>
    <w:rsid w:val="003A7133"/>
    <w:rsid w:val="003A7150"/>
    <w:rsid w:val="003B0475"/>
    <w:rsid w:val="003B4244"/>
    <w:rsid w:val="003B6503"/>
    <w:rsid w:val="003B67F2"/>
    <w:rsid w:val="003B7F00"/>
    <w:rsid w:val="003C3F43"/>
    <w:rsid w:val="003C5C29"/>
    <w:rsid w:val="003C67BE"/>
    <w:rsid w:val="003D4D03"/>
    <w:rsid w:val="003D523A"/>
    <w:rsid w:val="003D71EB"/>
    <w:rsid w:val="003E0135"/>
    <w:rsid w:val="003E56E0"/>
    <w:rsid w:val="003E700E"/>
    <w:rsid w:val="003F0B41"/>
    <w:rsid w:val="003F0BFA"/>
    <w:rsid w:val="00400DED"/>
    <w:rsid w:val="00402698"/>
    <w:rsid w:val="00410674"/>
    <w:rsid w:val="004122BA"/>
    <w:rsid w:val="00414E20"/>
    <w:rsid w:val="004152D2"/>
    <w:rsid w:val="0041650F"/>
    <w:rsid w:val="00420045"/>
    <w:rsid w:val="004221C2"/>
    <w:rsid w:val="00424DD1"/>
    <w:rsid w:val="0042590F"/>
    <w:rsid w:val="00430F7F"/>
    <w:rsid w:val="00433445"/>
    <w:rsid w:val="00433D5B"/>
    <w:rsid w:val="0044054D"/>
    <w:rsid w:val="00446D7B"/>
    <w:rsid w:val="0045604B"/>
    <w:rsid w:val="00457188"/>
    <w:rsid w:val="00462D75"/>
    <w:rsid w:val="00464985"/>
    <w:rsid w:val="004672F6"/>
    <w:rsid w:val="00467AC8"/>
    <w:rsid w:val="00467E56"/>
    <w:rsid w:val="0047028D"/>
    <w:rsid w:val="00471525"/>
    <w:rsid w:val="00473A09"/>
    <w:rsid w:val="0047558C"/>
    <w:rsid w:val="00476D21"/>
    <w:rsid w:val="00477222"/>
    <w:rsid w:val="00480463"/>
    <w:rsid w:val="00480A28"/>
    <w:rsid w:val="004815B4"/>
    <w:rsid w:val="0048561B"/>
    <w:rsid w:val="00486FA4"/>
    <w:rsid w:val="004901D1"/>
    <w:rsid w:val="004B4D7F"/>
    <w:rsid w:val="004B66F4"/>
    <w:rsid w:val="004C0A9B"/>
    <w:rsid w:val="004D15A9"/>
    <w:rsid w:val="004E0833"/>
    <w:rsid w:val="004E1729"/>
    <w:rsid w:val="004E3047"/>
    <w:rsid w:val="004E7F25"/>
    <w:rsid w:val="004F221D"/>
    <w:rsid w:val="004F763A"/>
    <w:rsid w:val="0050058A"/>
    <w:rsid w:val="00513C23"/>
    <w:rsid w:val="00513C94"/>
    <w:rsid w:val="0051408A"/>
    <w:rsid w:val="00515A25"/>
    <w:rsid w:val="00516C42"/>
    <w:rsid w:val="00517522"/>
    <w:rsid w:val="00526FB6"/>
    <w:rsid w:val="00535596"/>
    <w:rsid w:val="00535EB7"/>
    <w:rsid w:val="00536E0B"/>
    <w:rsid w:val="00541B27"/>
    <w:rsid w:val="00541E48"/>
    <w:rsid w:val="00542C2C"/>
    <w:rsid w:val="00544174"/>
    <w:rsid w:val="00544861"/>
    <w:rsid w:val="00547293"/>
    <w:rsid w:val="0055578F"/>
    <w:rsid w:val="00556F78"/>
    <w:rsid w:val="00565271"/>
    <w:rsid w:val="005654BA"/>
    <w:rsid w:val="005670B5"/>
    <w:rsid w:val="0056764E"/>
    <w:rsid w:val="00574245"/>
    <w:rsid w:val="00577C5F"/>
    <w:rsid w:val="005840F0"/>
    <w:rsid w:val="00587729"/>
    <w:rsid w:val="00591D80"/>
    <w:rsid w:val="00594798"/>
    <w:rsid w:val="00596538"/>
    <w:rsid w:val="0059702D"/>
    <w:rsid w:val="005A7F40"/>
    <w:rsid w:val="005B63E9"/>
    <w:rsid w:val="005D1F94"/>
    <w:rsid w:val="005D2B78"/>
    <w:rsid w:val="005D2E87"/>
    <w:rsid w:val="005D6242"/>
    <w:rsid w:val="005E1542"/>
    <w:rsid w:val="005E5F9F"/>
    <w:rsid w:val="005E7D10"/>
    <w:rsid w:val="005F2EA9"/>
    <w:rsid w:val="005F5185"/>
    <w:rsid w:val="006013EC"/>
    <w:rsid w:val="006021B5"/>
    <w:rsid w:val="00602245"/>
    <w:rsid w:val="00605FAE"/>
    <w:rsid w:val="006103EC"/>
    <w:rsid w:val="00610D3B"/>
    <w:rsid w:val="006112D2"/>
    <w:rsid w:val="00611B75"/>
    <w:rsid w:val="006122AC"/>
    <w:rsid w:val="00617F6B"/>
    <w:rsid w:val="006227C5"/>
    <w:rsid w:val="006231D5"/>
    <w:rsid w:val="006232DB"/>
    <w:rsid w:val="00631CF4"/>
    <w:rsid w:val="006427AF"/>
    <w:rsid w:val="006503FE"/>
    <w:rsid w:val="00651F6F"/>
    <w:rsid w:val="00651FBA"/>
    <w:rsid w:val="0065337A"/>
    <w:rsid w:val="006538A6"/>
    <w:rsid w:val="0065586B"/>
    <w:rsid w:val="00655E25"/>
    <w:rsid w:val="00657ECE"/>
    <w:rsid w:val="0066036A"/>
    <w:rsid w:val="0066158B"/>
    <w:rsid w:val="006666D8"/>
    <w:rsid w:val="0067174C"/>
    <w:rsid w:val="0067287E"/>
    <w:rsid w:val="00674724"/>
    <w:rsid w:val="00674FDE"/>
    <w:rsid w:val="00676B6F"/>
    <w:rsid w:val="00686677"/>
    <w:rsid w:val="0068687B"/>
    <w:rsid w:val="0069304B"/>
    <w:rsid w:val="00696BC0"/>
    <w:rsid w:val="00696F61"/>
    <w:rsid w:val="006A0D5C"/>
    <w:rsid w:val="006A17A1"/>
    <w:rsid w:val="006A1A88"/>
    <w:rsid w:val="006A217A"/>
    <w:rsid w:val="006A2721"/>
    <w:rsid w:val="006A50E0"/>
    <w:rsid w:val="006A5645"/>
    <w:rsid w:val="006A6864"/>
    <w:rsid w:val="006A7C50"/>
    <w:rsid w:val="006B4B75"/>
    <w:rsid w:val="006B65C0"/>
    <w:rsid w:val="006C0D18"/>
    <w:rsid w:val="006C64D2"/>
    <w:rsid w:val="006C7C85"/>
    <w:rsid w:val="006D1C47"/>
    <w:rsid w:val="006E26B9"/>
    <w:rsid w:val="006E544B"/>
    <w:rsid w:val="006E7852"/>
    <w:rsid w:val="006F0976"/>
    <w:rsid w:val="006F25D1"/>
    <w:rsid w:val="006F2E73"/>
    <w:rsid w:val="006F5485"/>
    <w:rsid w:val="006F6AD4"/>
    <w:rsid w:val="006F73ED"/>
    <w:rsid w:val="00703292"/>
    <w:rsid w:val="007067E5"/>
    <w:rsid w:val="007072D8"/>
    <w:rsid w:val="00710B44"/>
    <w:rsid w:val="007152C3"/>
    <w:rsid w:val="00721F26"/>
    <w:rsid w:val="00724407"/>
    <w:rsid w:val="007379F3"/>
    <w:rsid w:val="00740233"/>
    <w:rsid w:val="00751F07"/>
    <w:rsid w:val="007535A6"/>
    <w:rsid w:val="0076058B"/>
    <w:rsid w:val="007621DC"/>
    <w:rsid w:val="0076267D"/>
    <w:rsid w:val="00770D5C"/>
    <w:rsid w:val="00772011"/>
    <w:rsid w:val="00772369"/>
    <w:rsid w:val="00772C86"/>
    <w:rsid w:val="007754ED"/>
    <w:rsid w:val="00776A7F"/>
    <w:rsid w:val="00781684"/>
    <w:rsid w:val="00784964"/>
    <w:rsid w:val="00784BD3"/>
    <w:rsid w:val="00786942"/>
    <w:rsid w:val="007924CE"/>
    <w:rsid w:val="00794801"/>
    <w:rsid w:val="007B28C6"/>
    <w:rsid w:val="007B3D0A"/>
    <w:rsid w:val="007C0E17"/>
    <w:rsid w:val="007C0EA7"/>
    <w:rsid w:val="007C12E2"/>
    <w:rsid w:val="007C145E"/>
    <w:rsid w:val="007C45DE"/>
    <w:rsid w:val="007C4A11"/>
    <w:rsid w:val="007C724B"/>
    <w:rsid w:val="007D1F38"/>
    <w:rsid w:val="007D5535"/>
    <w:rsid w:val="007D57EA"/>
    <w:rsid w:val="007E5722"/>
    <w:rsid w:val="007E6CF2"/>
    <w:rsid w:val="007E7B26"/>
    <w:rsid w:val="007F47FC"/>
    <w:rsid w:val="007F76B7"/>
    <w:rsid w:val="007F7FD2"/>
    <w:rsid w:val="00800701"/>
    <w:rsid w:val="008017EF"/>
    <w:rsid w:val="00811464"/>
    <w:rsid w:val="00812308"/>
    <w:rsid w:val="008227CC"/>
    <w:rsid w:val="0082323E"/>
    <w:rsid w:val="00827F62"/>
    <w:rsid w:val="00831F1E"/>
    <w:rsid w:val="00832F33"/>
    <w:rsid w:val="008360DC"/>
    <w:rsid w:val="00837130"/>
    <w:rsid w:val="00840D45"/>
    <w:rsid w:val="00841D6C"/>
    <w:rsid w:val="00842577"/>
    <w:rsid w:val="00852F16"/>
    <w:rsid w:val="008536D8"/>
    <w:rsid w:val="00853D05"/>
    <w:rsid w:val="00854DC4"/>
    <w:rsid w:val="00855276"/>
    <w:rsid w:val="00855D4E"/>
    <w:rsid w:val="008563E4"/>
    <w:rsid w:val="0085760A"/>
    <w:rsid w:val="008639E4"/>
    <w:rsid w:val="00863D98"/>
    <w:rsid w:val="008646D0"/>
    <w:rsid w:val="008648EA"/>
    <w:rsid w:val="0086736A"/>
    <w:rsid w:val="00867C6A"/>
    <w:rsid w:val="008745D0"/>
    <w:rsid w:val="0088361E"/>
    <w:rsid w:val="008839C1"/>
    <w:rsid w:val="00883E64"/>
    <w:rsid w:val="00887A3A"/>
    <w:rsid w:val="0089245E"/>
    <w:rsid w:val="008948C4"/>
    <w:rsid w:val="00895044"/>
    <w:rsid w:val="00896579"/>
    <w:rsid w:val="00897B55"/>
    <w:rsid w:val="008A27BD"/>
    <w:rsid w:val="008A2C4B"/>
    <w:rsid w:val="008A3E09"/>
    <w:rsid w:val="008A4A58"/>
    <w:rsid w:val="008A790E"/>
    <w:rsid w:val="008B01C2"/>
    <w:rsid w:val="008B1041"/>
    <w:rsid w:val="008B5E0B"/>
    <w:rsid w:val="008C009A"/>
    <w:rsid w:val="008C25FB"/>
    <w:rsid w:val="008C3F56"/>
    <w:rsid w:val="008C59B8"/>
    <w:rsid w:val="008C6415"/>
    <w:rsid w:val="008C6445"/>
    <w:rsid w:val="008D52A7"/>
    <w:rsid w:val="008D6C0C"/>
    <w:rsid w:val="008E1F87"/>
    <w:rsid w:val="008E233F"/>
    <w:rsid w:val="008E4204"/>
    <w:rsid w:val="008E4967"/>
    <w:rsid w:val="008E5C80"/>
    <w:rsid w:val="008F05ED"/>
    <w:rsid w:val="008F152F"/>
    <w:rsid w:val="008F4726"/>
    <w:rsid w:val="00901ADF"/>
    <w:rsid w:val="00901AE5"/>
    <w:rsid w:val="009025E4"/>
    <w:rsid w:val="0091469F"/>
    <w:rsid w:val="00921E6E"/>
    <w:rsid w:val="00926FB5"/>
    <w:rsid w:val="00931F54"/>
    <w:rsid w:val="009331C2"/>
    <w:rsid w:val="009346A2"/>
    <w:rsid w:val="00937D4F"/>
    <w:rsid w:val="0094721F"/>
    <w:rsid w:val="00951256"/>
    <w:rsid w:val="009521C3"/>
    <w:rsid w:val="00952BBF"/>
    <w:rsid w:val="00952EA0"/>
    <w:rsid w:val="00956CEC"/>
    <w:rsid w:val="009631FA"/>
    <w:rsid w:val="00963916"/>
    <w:rsid w:val="009639AA"/>
    <w:rsid w:val="00963BCB"/>
    <w:rsid w:val="00970493"/>
    <w:rsid w:val="00972EE3"/>
    <w:rsid w:val="009802BF"/>
    <w:rsid w:val="00984FEE"/>
    <w:rsid w:val="00985BBE"/>
    <w:rsid w:val="009907EA"/>
    <w:rsid w:val="0099183B"/>
    <w:rsid w:val="0099216A"/>
    <w:rsid w:val="00993E41"/>
    <w:rsid w:val="00994F3B"/>
    <w:rsid w:val="0099677A"/>
    <w:rsid w:val="009A384F"/>
    <w:rsid w:val="009A449B"/>
    <w:rsid w:val="009B12D9"/>
    <w:rsid w:val="009B2880"/>
    <w:rsid w:val="009B554B"/>
    <w:rsid w:val="009B7BE6"/>
    <w:rsid w:val="009C2395"/>
    <w:rsid w:val="009C692F"/>
    <w:rsid w:val="009E3396"/>
    <w:rsid w:val="009E7E01"/>
    <w:rsid w:val="009F2275"/>
    <w:rsid w:val="009F2A26"/>
    <w:rsid w:val="009F42B1"/>
    <w:rsid w:val="009F6375"/>
    <w:rsid w:val="00A035AC"/>
    <w:rsid w:val="00A04747"/>
    <w:rsid w:val="00A15DA7"/>
    <w:rsid w:val="00A2089F"/>
    <w:rsid w:val="00A22A43"/>
    <w:rsid w:val="00A22C15"/>
    <w:rsid w:val="00A2548A"/>
    <w:rsid w:val="00A25A62"/>
    <w:rsid w:val="00A27840"/>
    <w:rsid w:val="00A30515"/>
    <w:rsid w:val="00A317C1"/>
    <w:rsid w:val="00A32D4D"/>
    <w:rsid w:val="00A34D29"/>
    <w:rsid w:val="00A35CC3"/>
    <w:rsid w:val="00A4026F"/>
    <w:rsid w:val="00A405E7"/>
    <w:rsid w:val="00A45E6E"/>
    <w:rsid w:val="00A516C6"/>
    <w:rsid w:val="00A57ED7"/>
    <w:rsid w:val="00A603E9"/>
    <w:rsid w:val="00A61C84"/>
    <w:rsid w:val="00A67496"/>
    <w:rsid w:val="00A67AFE"/>
    <w:rsid w:val="00A713FC"/>
    <w:rsid w:val="00A7205F"/>
    <w:rsid w:val="00A756E0"/>
    <w:rsid w:val="00A75D72"/>
    <w:rsid w:val="00A809FD"/>
    <w:rsid w:val="00A83DAB"/>
    <w:rsid w:val="00A84410"/>
    <w:rsid w:val="00A84DAA"/>
    <w:rsid w:val="00A85A36"/>
    <w:rsid w:val="00A863D3"/>
    <w:rsid w:val="00A90B2F"/>
    <w:rsid w:val="00A9447F"/>
    <w:rsid w:val="00A95D4D"/>
    <w:rsid w:val="00A96892"/>
    <w:rsid w:val="00AA02C6"/>
    <w:rsid w:val="00AA07DE"/>
    <w:rsid w:val="00AA216D"/>
    <w:rsid w:val="00AA6A5C"/>
    <w:rsid w:val="00AB583E"/>
    <w:rsid w:val="00AB5AD7"/>
    <w:rsid w:val="00AB7BCF"/>
    <w:rsid w:val="00AC614C"/>
    <w:rsid w:val="00AD1297"/>
    <w:rsid w:val="00AD5536"/>
    <w:rsid w:val="00AE0388"/>
    <w:rsid w:val="00AE7C46"/>
    <w:rsid w:val="00B03A46"/>
    <w:rsid w:val="00B0473C"/>
    <w:rsid w:val="00B06F02"/>
    <w:rsid w:val="00B11969"/>
    <w:rsid w:val="00B1339A"/>
    <w:rsid w:val="00B20921"/>
    <w:rsid w:val="00B23FC0"/>
    <w:rsid w:val="00B34A53"/>
    <w:rsid w:val="00B374C5"/>
    <w:rsid w:val="00B4737B"/>
    <w:rsid w:val="00B528A1"/>
    <w:rsid w:val="00B53F67"/>
    <w:rsid w:val="00B57694"/>
    <w:rsid w:val="00B7055E"/>
    <w:rsid w:val="00B7091F"/>
    <w:rsid w:val="00B70D15"/>
    <w:rsid w:val="00B71D25"/>
    <w:rsid w:val="00B8605C"/>
    <w:rsid w:val="00B8608B"/>
    <w:rsid w:val="00B874D4"/>
    <w:rsid w:val="00B90A11"/>
    <w:rsid w:val="00B911BF"/>
    <w:rsid w:val="00B917D8"/>
    <w:rsid w:val="00B91CCF"/>
    <w:rsid w:val="00B94FD1"/>
    <w:rsid w:val="00B95D97"/>
    <w:rsid w:val="00B97B14"/>
    <w:rsid w:val="00BA5C5C"/>
    <w:rsid w:val="00BA5E0F"/>
    <w:rsid w:val="00BA7160"/>
    <w:rsid w:val="00BB020A"/>
    <w:rsid w:val="00BB0DC6"/>
    <w:rsid w:val="00BB3C6B"/>
    <w:rsid w:val="00BC249B"/>
    <w:rsid w:val="00BC467A"/>
    <w:rsid w:val="00BC63D2"/>
    <w:rsid w:val="00BD5741"/>
    <w:rsid w:val="00BD6313"/>
    <w:rsid w:val="00BE041C"/>
    <w:rsid w:val="00BE4BE2"/>
    <w:rsid w:val="00BF4F43"/>
    <w:rsid w:val="00BF69EA"/>
    <w:rsid w:val="00C00251"/>
    <w:rsid w:val="00C018C0"/>
    <w:rsid w:val="00C07D25"/>
    <w:rsid w:val="00C12670"/>
    <w:rsid w:val="00C13D47"/>
    <w:rsid w:val="00C1599F"/>
    <w:rsid w:val="00C16D39"/>
    <w:rsid w:val="00C205D1"/>
    <w:rsid w:val="00C22342"/>
    <w:rsid w:val="00C22624"/>
    <w:rsid w:val="00C22C54"/>
    <w:rsid w:val="00C2573B"/>
    <w:rsid w:val="00C306C9"/>
    <w:rsid w:val="00C313AA"/>
    <w:rsid w:val="00C33120"/>
    <w:rsid w:val="00C373C0"/>
    <w:rsid w:val="00C40670"/>
    <w:rsid w:val="00C41346"/>
    <w:rsid w:val="00C4136B"/>
    <w:rsid w:val="00C506CF"/>
    <w:rsid w:val="00C52F09"/>
    <w:rsid w:val="00C56552"/>
    <w:rsid w:val="00C675C9"/>
    <w:rsid w:val="00C67B27"/>
    <w:rsid w:val="00C702EE"/>
    <w:rsid w:val="00C7040A"/>
    <w:rsid w:val="00C70DE9"/>
    <w:rsid w:val="00C809D6"/>
    <w:rsid w:val="00C83642"/>
    <w:rsid w:val="00C851C3"/>
    <w:rsid w:val="00C85832"/>
    <w:rsid w:val="00C85A00"/>
    <w:rsid w:val="00C874D3"/>
    <w:rsid w:val="00C900B4"/>
    <w:rsid w:val="00C951D4"/>
    <w:rsid w:val="00C979A3"/>
    <w:rsid w:val="00CA19F4"/>
    <w:rsid w:val="00CA6972"/>
    <w:rsid w:val="00CA7ABE"/>
    <w:rsid w:val="00CB0A25"/>
    <w:rsid w:val="00CB0EEE"/>
    <w:rsid w:val="00CB4219"/>
    <w:rsid w:val="00CB6CA7"/>
    <w:rsid w:val="00CC2DE4"/>
    <w:rsid w:val="00CC351C"/>
    <w:rsid w:val="00CD30C5"/>
    <w:rsid w:val="00CD382C"/>
    <w:rsid w:val="00CD77AE"/>
    <w:rsid w:val="00CE0327"/>
    <w:rsid w:val="00CE19CD"/>
    <w:rsid w:val="00CE1EB1"/>
    <w:rsid w:val="00CE4C62"/>
    <w:rsid w:val="00CE7838"/>
    <w:rsid w:val="00CF09B9"/>
    <w:rsid w:val="00CF269E"/>
    <w:rsid w:val="00CF3906"/>
    <w:rsid w:val="00CF44F5"/>
    <w:rsid w:val="00CF4BC2"/>
    <w:rsid w:val="00CF5346"/>
    <w:rsid w:val="00CF53EF"/>
    <w:rsid w:val="00CF556D"/>
    <w:rsid w:val="00CF63E4"/>
    <w:rsid w:val="00D03806"/>
    <w:rsid w:val="00D05684"/>
    <w:rsid w:val="00D166DE"/>
    <w:rsid w:val="00D202C7"/>
    <w:rsid w:val="00D2103C"/>
    <w:rsid w:val="00D221F5"/>
    <w:rsid w:val="00D23754"/>
    <w:rsid w:val="00D238C1"/>
    <w:rsid w:val="00D25158"/>
    <w:rsid w:val="00D25D11"/>
    <w:rsid w:val="00D31F59"/>
    <w:rsid w:val="00D32C0C"/>
    <w:rsid w:val="00D367E4"/>
    <w:rsid w:val="00D41B42"/>
    <w:rsid w:val="00D47C39"/>
    <w:rsid w:val="00D57287"/>
    <w:rsid w:val="00D5797B"/>
    <w:rsid w:val="00D62572"/>
    <w:rsid w:val="00D657F6"/>
    <w:rsid w:val="00D66894"/>
    <w:rsid w:val="00D66F66"/>
    <w:rsid w:val="00D71345"/>
    <w:rsid w:val="00D75060"/>
    <w:rsid w:val="00D7578A"/>
    <w:rsid w:val="00D83260"/>
    <w:rsid w:val="00D86D26"/>
    <w:rsid w:val="00D8741E"/>
    <w:rsid w:val="00D91B4A"/>
    <w:rsid w:val="00D92C1A"/>
    <w:rsid w:val="00D94942"/>
    <w:rsid w:val="00D96DF9"/>
    <w:rsid w:val="00DA3E9A"/>
    <w:rsid w:val="00DA45DE"/>
    <w:rsid w:val="00DB545A"/>
    <w:rsid w:val="00DB5CE9"/>
    <w:rsid w:val="00DC0DFF"/>
    <w:rsid w:val="00DC568F"/>
    <w:rsid w:val="00DC6FB6"/>
    <w:rsid w:val="00DE01B6"/>
    <w:rsid w:val="00DE0BD1"/>
    <w:rsid w:val="00DE2802"/>
    <w:rsid w:val="00DE2DA9"/>
    <w:rsid w:val="00DE4127"/>
    <w:rsid w:val="00DF069B"/>
    <w:rsid w:val="00DF1C98"/>
    <w:rsid w:val="00DF3727"/>
    <w:rsid w:val="00DF579D"/>
    <w:rsid w:val="00DF5B34"/>
    <w:rsid w:val="00E016E7"/>
    <w:rsid w:val="00E036DD"/>
    <w:rsid w:val="00E041C3"/>
    <w:rsid w:val="00E0497B"/>
    <w:rsid w:val="00E04FEF"/>
    <w:rsid w:val="00E16A67"/>
    <w:rsid w:val="00E209A0"/>
    <w:rsid w:val="00E237C7"/>
    <w:rsid w:val="00E24085"/>
    <w:rsid w:val="00E2436F"/>
    <w:rsid w:val="00E261D5"/>
    <w:rsid w:val="00E26CFE"/>
    <w:rsid w:val="00E26FF6"/>
    <w:rsid w:val="00E31244"/>
    <w:rsid w:val="00E320A1"/>
    <w:rsid w:val="00E3236E"/>
    <w:rsid w:val="00E41178"/>
    <w:rsid w:val="00E425BF"/>
    <w:rsid w:val="00E4262C"/>
    <w:rsid w:val="00E512FF"/>
    <w:rsid w:val="00E5462D"/>
    <w:rsid w:val="00E563E3"/>
    <w:rsid w:val="00E575D0"/>
    <w:rsid w:val="00E57BAD"/>
    <w:rsid w:val="00E6181C"/>
    <w:rsid w:val="00E63AAC"/>
    <w:rsid w:val="00E652E2"/>
    <w:rsid w:val="00E67223"/>
    <w:rsid w:val="00E67EA2"/>
    <w:rsid w:val="00E70C08"/>
    <w:rsid w:val="00E71176"/>
    <w:rsid w:val="00E730D2"/>
    <w:rsid w:val="00E7397B"/>
    <w:rsid w:val="00E8104C"/>
    <w:rsid w:val="00E829CB"/>
    <w:rsid w:val="00E864CD"/>
    <w:rsid w:val="00E920C6"/>
    <w:rsid w:val="00E92495"/>
    <w:rsid w:val="00E936A8"/>
    <w:rsid w:val="00E949A5"/>
    <w:rsid w:val="00EA00BE"/>
    <w:rsid w:val="00EA2800"/>
    <w:rsid w:val="00EA4554"/>
    <w:rsid w:val="00EA47F2"/>
    <w:rsid w:val="00EB02AF"/>
    <w:rsid w:val="00EB08B8"/>
    <w:rsid w:val="00EB32C8"/>
    <w:rsid w:val="00EB6410"/>
    <w:rsid w:val="00EC1B32"/>
    <w:rsid w:val="00EC733D"/>
    <w:rsid w:val="00ED130F"/>
    <w:rsid w:val="00ED215C"/>
    <w:rsid w:val="00ED6B24"/>
    <w:rsid w:val="00EE0DB5"/>
    <w:rsid w:val="00EE3500"/>
    <w:rsid w:val="00EE628E"/>
    <w:rsid w:val="00EE6FE9"/>
    <w:rsid w:val="00EE7C27"/>
    <w:rsid w:val="00EF104E"/>
    <w:rsid w:val="00EF18BD"/>
    <w:rsid w:val="00EF275B"/>
    <w:rsid w:val="00EF2841"/>
    <w:rsid w:val="00F00C1B"/>
    <w:rsid w:val="00F0211E"/>
    <w:rsid w:val="00F0708A"/>
    <w:rsid w:val="00F1238E"/>
    <w:rsid w:val="00F13B52"/>
    <w:rsid w:val="00F14E44"/>
    <w:rsid w:val="00F1567B"/>
    <w:rsid w:val="00F17300"/>
    <w:rsid w:val="00F1799A"/>
    <w:rsid w:val="00F20A89"/>
    <w:rsid w:val="00F223DE"/>
    <w:rsid w:val="00F27EE2"/>
    <w:rsid w:val="00F32BFB"/>
    <w:rsid w:val="00F3461D"/>
    <w:rsid w:val="00F41F1D"/>
    <w:rsid w:val="00F43AD3"/>
    <w:rsid w:val="00F4559E"/>
    <w:rsid w:val="00F4703D"/>
    <w:rsid w:val="00F504AD"/>
    <w:rsid w:val="00F51838"/>
    <w:rsid w:val="00F56A2A"/>
    <w:rsid w:val="00F608A3"/>
    <w:rsid w:val="00F64D23"/>
    <w:rsid w:val="00F667C0"/>
    <w:rsid w:val="00F6716F"/>
    <w:rsid w:val="00F6795B"/>
    <w:rsid w:val="00F70E28"/>
    <w:rsid w:val="00F77B4C"/>
    <w:rsid w:val="00F80366"/>
    <w:rsid w:val="00F85249"/>
    <w:rsid w:val="00F91075"/>
    <w:rsid w:val="00F91F0E"/>
    <w:rsid w:val="00F92256"/>
    <w:rsid w:val="00F9256B"/>
    <w:rsid w:val="00FA0DC8"/>
    <w:rsid w:val="00FA5E92"/>
    <w:rsid w:val="00FB174B"/>
    <w:rsid w:val="00FB738C"/>
    <w:rsid w:val="00FC2BF0"/>
    <w:rsid w:val="00FC3DD4"/>
    <w:rsid w:val="00FD1AF2"/>
    <w:rsid w:val="00FD44EA"/>
    <w:rsid w:val="00FD6900"/>
    <w:rsid w:val="00FD70F6"/>
    <w:rsid w:val="00FE5E4C"/>
    <w:rsid w:val="00FF2B24"/>
    <w:rsid w:val="00FF64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6A50E0"/>
    <w:pPr>
      <w:spacing w:line="480" w:lineRule="auto"/>
      <w:ind w:right="193"/>
      <w:jc w:val="both"/>
    </w:pPr>
    <w:rPr>
      <w:rFonts w:ascii="Times New Roman" w:eastAsia="MS Mincho" w:hAnsi="Times New Roman"/>
      <w:sz w:val="24"/>
      <w:szCs w:val="24"/>
      <w:lang w:val="it-IT" w:eastAsia="en-GB"/>
    </w:rPr>
  </w:style>
  <w:style w:type="paragraph" w:styleId="1">
    <w:name w:val="heading 1"/>
    <w:basedOn w:val="a"/>
    <w:next w:val="a"/>
    <w:link w:val="1Char"/>
    <w:uiPriority w:val="9"/>
    <w:qFormat/>
    <w:rsid w:val="00F56A2A"/>
    <w:pPr>
      <w:keepNext/>
      <w:keepLines/>
      <w:spacing w:before="480"/>
      <w:outlineLvl w:val="0"/>
    </w:pPr>
    <w:rPr>
      <w:rFonts w:ascii="Cambria" w:eastAsia="Times New Roman" w:hAnsi="Cambria"/>
      <w:b/>
      <w:bCs/>
      <w:color w:val="365F91"/>
      <w:sz w:val="28"/>
      <w:szCs w:val="28"/>
    </w:rPr>
  </w:style>
  <w:style w:type="paragraph" w:styleId="4">
    <w:name w:val="heading 4"/>
    <w:basedOn w:val="a"/>
    <w:next w:val="a"/>
    <w:link w:val="4Char"/>
    <w:uiPriority w:val="9"/>
    <w:qFormat/>
    <w:rsid w:val="00C22C54"/>
    <w:pPr>
      <w:keepNext/>
      <w:keepLines/>
      <w:spacing w:before="200"/>
      <w:outlineLvl w:val="3"/>
    </w:pPr>
    <w:rPr>
      <w:rFonts w:ascii="Cambria" w:eastAsia="Times New Roman" w:hAnsi="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rnl">
    <w:name w:val="jrnl"/>
    <w:rsid w:val="006A50E0"/>
    <w:rPr>
      <w:rFonts w:cs="Times New Roman"/>
    </w:rPr>
  </w:style>
  <w:style w:type="character" w:customStyle="1" w:styleId="apple-converted-space">
    <w:name w:val="apple-converted-space"/>
    <w:rsid w:val="006A50E0"/>
  </w:style>
  <w:style w:type="paragraph" w:styleId="a3">
    <w:name w:val="Normal Indent"/>
    <w:basedOn w:val="a"/>
    <w:rsid w:val="006A50E0"/>
    <w:rPr>
      <w:rFonts w:ascii="Arial" w:eastAsia="Times New Roman" w:hAnsi="Arial" w:cs="Calibri"/>
      <w:szCs w:val="20"/>
      <w:lang w:val="en-US"/>
    </w:rPr>
  </w:style>
  <w:style w:type="paragraph" w:customStyle="1" w:styleId="Paragrafoelenco1">
    <w:name w:val="Paragrafo elenco1"/>
    <w:basedOn w:val="a"/>
    <w:rsid w:val="006A50E0"/>
    <w:pPr>
      <w:ind w:left="720"/>
    </w:pPr>
  </w:style>
  <w:style w:type="paragraph" w:customStyle="1" w:styleId="Titolo1">
    <w:name w:val="Titolo1"/>
    <w:basedOn w:val="a"/>
    <w:rsid w:val="006A50E0"/>
    <w:pPr>
      <w:spacing w:before="100" w:after="100"/>
    </w:pPr>
    <w:rPr>
      <w:rFonts w:eastAsia="Times New Roman"/>
    </w:rPr>
  </w:style>
  <w:style w:type="paragraph" w:customStyle="1" w:styleId="Titolo2">
    <w:name w:val="Titolo2"/>
    <w:basedOn w:val="a"/>
    <w:rsid w:val="006A50E0"/>
    <w:pPr>
      <w:spacing w:before="100" w:after="100"/>
    </w:pPr>
    <w:rPr>
      <w:rFonts w:eastAsia="Times New Roman"/>
    </w:rPr>
  </w:style>
  <w:style w:type="character" w:styleId="a4">
    <w:name w:val="Hyperlink"/>
    <w:uiPriority w:val="99"/>
    <w:unhideWhenUsed/>
    <w:rsid w:val="006A50E0"/>
    <w:rPr>
      <w:color w:val="0000FF"/>
      <w:u w:val="single"/>
    </w:rPr>
  </w:style>
  <w:style w:type="paragraph" w:styleId="a5">
    <w:name w:val="header"/>
    <w:basedOn w:val="a"/>
    <w:link w:val="Char"/>
    <w:uiPriority w:val="99"/>
    <w:unhideWhenUsed/>
    <w:rsid w:val="006A50E0"/>
    <w:pPr>
      <w:tabs>
        <w:tab w:val="center" w:pos="4819"/>
        <w:tab w:val="right" w:pos="9638"/>
      </w:tabs>
      <w:spacing w:line="240" w:lineRule="auto"/>
    </w:pPr>
  </w:style>
  <w:style w:type="character" w:customStyle="1" w:styleId="Char">
    <w:name w:val="页眉 Char"/>
    <w:link w:val="a5"/>
    <w:uiPriority w:val="99"/>
    <w:rsid w:val="006A50E0"/>
    <w:rPr>
      <w:rFonts w:ascii="Times New Roman" w:eastAsia="MS Mincho" w:hAnsi="Times New Roman" w:cs="Times New Roman"/>
      <w:sz w:val="24"/>
      <w:szCs w:val="24"/>
      <w:lang w:val="it-IT" w:eastAsia="en-GB"/>
    </w:rPr>
  </w:style>
  <w:style w:type="paragraph" w:styleId="a6">
    <w:name w:val="footer"/>
    <w:basedOn w:val="a"/>
    <w:link w:val="Char0"/>
    <w:uiPriority w:val="99"/>
    <w:unhideWhenUsed/>
    <w:rsid w:val="006A50E0"/>
    <w:pPr>
      <w:tabs>
        <w:tab w:val="center" w:pos="4819"/>
        <w:tab w:val="right" w:pos="9638"/>
      </w:tabs>
      <w:spacing w:line="240" w:lineRule="auto"/>
    </w:pPr>
  </w:style>
  <w:style w:type="character" w:customStyle="1" w:styleId="Char0">
    <w:name w:val="页脚 Char"/>
    <w:link w:val="a6"/>
    <w:uiPriority w:val="99"/>
    <w:rsid w:val="006A50E0"/>
    <w:rPr>
      <w:rFonts w:ascii="Times New Roman" w:eastAsia="MS Mincho" w:hAnsi="Times New Roman" w:cs="Times New Roman"/>
      <w:sz w:val="24"/>
      <w:szCs w:val="24"/>
      <w:lang w:val="it-IT" w:eastAsia="en-GB"/>
    </w:rPr>
  </w:style>
  <w:style w:type="character" w:customStyle="1" w:styleId="1Char">
    <w:name w:val="标题 1 Char"/>
    <w:link w:val="1"/>
    <w:uiPriority w:val="9"/>
    <w:rsid w:val="00F56A2A"/>
    <w:rPr>
      <w:rFonts w:ascii="Cambria" w:eastAsia="Times New Roman" w:hAnsi="Cambria" w:cs="Times New Roman"/>
      <w:b/>
      <w:bCs/>
      <w:color w:val="365F91"/>
      <w:sz w:val="28"/>
      <w:szCs w:val="28"/>
      <w:lang w:val="it-IT" w:eastAsia="en-GB"/>
    </w:rPr>
  </w:style>
  <w:style w:type="paragraph" w:styleId="-1">
    <w:name w:val="Colorful List Accent 1"/>
    <w:basedOn w:val="a"/>
    <w:uiPriority w:val="34"/>
    <w:qFormat/>
    <w:rsid w:val="009A384F"/>
    <w:pPr>
      <w:ind w:left="720"/>
      <w:contextualSpacing/>
    </w:pPr>
  </w:style>
  <w:style w:type="paragraph" w:styleId="a7">
    <w:name w:val="Plain Text"/>
    <w:basedOn w:val="a"/>
    <w:link w:val="Char1"/>
    <w:uiPriority w:val="99"/>
    <w:unhideWhenUsed/>
    <w:rsid w:val="00313635"/>
    <w:pPr>
      <w:spacing w:line="240" w:lineRule="auto"/>
      <w:jc w:val="left"/>
    </w:pPr>
    <w:rPr>
      <w:rFonts w:ascii="Calibri" w:eastAsia="Calibri" w:hAnsi="Calibri"/>
      <w:sz w:val="20"/>
      <w:szCs w:val="21"/>
      <w:lang w:val="x-none" w:eastAsia="x-none"/>
    </w:rPr>
  </w:style>
  <w:style w:type="character" w:customStyle="1" w:styleId="Char1">
    <w:name w:val="纯文本 Char"/>
    <w:link w:val="a7"/>
    <w:uiPriority w:val="99"/>
    <w:rsid w:val="00313635"/>
    <w:rPr>
      <w:rFonts w:ascii="Calibri" w:hAnsi="Calibri"/>
      <w:szCs w:val="21"/>
    </w:rPr>
  </w:style>
  <w:style w:type="character" w:customStyle="1" w:styleId="ref-journal">
    <w:name w:val="ref-journal"/>
    <w:basedOn w:val="a0"/>
    <w:rsid w:val="00970493"/>
  </w:style>
  <w:style w:type="character" w:customStyle="1" w:styleId="ref-vol">
    <w:name w:val="ref-vol"/>
    <w:basedOn w:val="a0"/>
    <w:rsid w:val="00970493"/>
  </w:style>
  <w:style w:type="paragraph" w:customStyle="1" w:styleId="Default">
    <w:name w:val="Default"/>
    <w:rsid w:val="00B91CCF"/>
    <w:pPr>
      <w:autoSpaceDE w:val="0"/>
      <w:autoSpaceDN w:val="0"/>
      <w:adjustRightInd w:val="0"/>
      <w:spacing w:line="480" w:lineRule="auto"/>
      <w:ind w:right="193"/>
      <w:jc w:val="both"/>
    </w:pPr>
    <w:rPr>
      <w:rFonts w:ascii="Arial" w:hAnsi="Arial" w:cs="Arial"/>
      <w:color w:val="000000"/>
      <w:sz w:val="24"/>
      <w:szCs w:val="24"/>
      <w:lang w:val="it-IT" w:eastAsia="en-US"/>
    </w:rPr>
  </w:style>
  <w:style w:type="character" w:customStyle="1" w:styleId="4Char">
    <w:name w:val="标题 4 Char"/>
    <w:link w:val="4"/>
    <w:uiPriority w:val="9"/>
    <w:semiHidden/>
    <w:rsid w:val="00C22C54"/>
    <w:rPr>
      <w:rFonts w:ascii="Cambria" w:eastAsia="Times New Roman" w:hAnsi="Cambria" w:cs="Times New Roman"/>
      <w:b/>
      <w:bCs/>
      <w:i/>
      <w:iCs/>
      <w:color w:val="4F81BD"/>
      <w:sz w:val="24"/>
      <w:szCs w:val="24"/>
      <w:lang w:val="it-IT" w:eastAsia="en-GB"/>
    </w:rPr>
  </w:style>
  <w:style w:type="table" w:styleId="a8">
    <w:name w:val="Table Grid"/>
    <w:basedOn w:val="a1"/>
    <w:uiPriority w:val="59"/>
    <w:rsid w:val="00E04FEF"/>
    <w:rPr>
      <w:rFonts w:eastAsia="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400DED"/>
    <w:pPr>
      <w:spacing w:line="240" w:lineRule="auto"/>
    </w:pPr>
    <w:rPr>
      <w:rFonts w:ascii="Tahoma" w:hAnsi="Tahoma" w:cs="Tahoma"/>
      <w:sz w:val="16"/>
      <w:szCs w:val="16"/>
    </w:rPr>
  </w:style>
  <w:style w:type="character" w:customStyle="1" w:styleId="Char2">
    <w:name w:val="批注框文本 Char"/>
    <w:link w:val="a9"/>
    <w:uiPriority w:val="99"/>
    <w:semiHidden/>
    <w:rsid w:val="00400DED"/>
    <w:rPr>
      <w:rFonts w:ascii="Tahoma" w:eastAsia="MS Mincho"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6A50E0"/>
    <w:pPr>
      <w:spacing w:line="480" w:lineRule="auto"/>
      <w:ind w:right="193"/>
      <w:jc w:val="both"/>
    </w:pPr>
    <w:rPr>
      <w:rFonts w:ascii="Times New Roman" w:eastAsia="MS Mincho" w:hAnsi="Times New Roman"/>
      <w:sz w:val="24"/>
      <w:szCs w:val="24"/>
      <w:lang w:val="it-IT" w:eastAsia="en-GB"/>
    </w:rPr>
  </w:style>
  <w:style w:type="paragraph" w:styleId="1">
    <w:name w:val="heading 1"/>
    <w:basedOn w:val="a"/>
    <w:next w:val="a"/>
    <w:link w:val="1Char"/>
    <w:uiPriority w:val="9"/>
    <w:qFormat/>
    <w:rsid w:val="00F56A2A"/>
    <w:pPr>
      <w:keepNext/>
      <w:keepLines/>
      <w:spacing w:before="480"/>
      <w:outlineLvl w:val="0"/>
    </w:pPr>
    <w:rPr>
      <w:rFonts w:ascii="Cambria" w:eastAsia="Times New Roman" w:hAnsi="Cambria"/>
      <w:b/>
      <w:bCs/>
      <w:color w:val="365F91"/>
      <w:sz w:val="28"/>
      <w:szCs w:val="28"/>
    </w:rPr>
  </w:style>
  <w:style w:type="paragraph" w:styleId="4">
    <w:name w:val="heading 4"/>
    <w:basedOn w:val="a"/>
    <w:next w:val="a"/>
    <w:link w:val="4Char"/>
    <w:uiPriority w:val="9"/>
    <w:qFormat/>
    <w:rsid w:val="00C22C54"/>
    <w:pPr>
      <w:keepNext/>
      <w:keepLines/>
      <w:spacing w:before="200"/>
      <w:outlineLvl w:val="3"/>
    </w:pPr>
    <w:rPr>
      <w:rFonts w:ascii="Cambria" w:eastAsia="Times New Roman" w:hAnsi="Cambria"/>
      <w:b/>
      <w:bCs/>
      <w:i/>
      <w:iCs/>
      <w:color w:val="4F81BD"/>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rnl">
    <w:name w:val="jrnl"/>
    <w:rsid w:val="006A50E0"/>
    <w:rPr>
      <w:rFonts w:cs="Times New Roman"/>
    </w:rPr>
  </w:style>
  <w:style w:type="character" w:customStyle="1" w:styleId="apple-converted-space">
    <w:name w:val="apple-converted-space"/>
    <w:rsid w:val="006A50E0"/>
  </w:style>
  <w:style w:type="paragraph" w:styleId="a3">
    <w:name w:val="Normal Indent"/>
    <w:basedOn w:val="a"/>
    <w:rsid w:val="006A50E0"/>
    <w:rPr>
      <w:rFonts w:ascii="Arial" w:eastAsia="Times New Roman" w:hAnsi="Arial" w:cs="Calibri"/>
      <w:szCs w:val="20"/>
      <w:lang w:val="en-US"/>
    </w:rPr>
  </w:style>
  <w:style w:type="paragraph" w:customStyle="1" w:styleId="Paragrafoelenco1">
    <w:name w:val="Paragrafo elenco1"/>
    <w:basedOn w:val="a"/>
    <w:rsid w:val="006A50E0"/>
    <w:pPr>
      <w:ind w:left="720"/>
    </w:pPr>
  </w:style>
  <w:style w:type="paragraph" w:customStyle="1" w:styleId="Titolo1">
    <w:name w:val="Titolo1"/>
    <w:basedOn w:val="a"/>
    <w:rsid w:val="006A50E0"/>
    <w:pPr>
      <w:spacing w:before="100" w:after="100"/>
    </w:pPr>
    <w:rPr>
      <w:rFonts w:eastAsia="Times New Roman"/>
    </w:rPr>
  </w:style>
  <w:style w:type="paragraph" w:customStyle="1" w:styleId="Titolo2">
    <w:name w:val="Titolo2"/>
    <w:basedOn w:val="a"/>
    <w:rsid w:val="006A50E0"/>
    <w:pPr>
      <w:spacing w:before="100" w:after="100"/>
    </w:pPr>
    <w:rPr>
      <w:rFonts w:eastAsia="Times New Roman"/>
    </w:rPr>
  </w:style>
  <w:style w:type="character" w:styleId="a4">
    <w:name w:val="Hyperlink"/>
    <w:uiPriority w:val="99"/>
    <w:unhideWhenUsed/>
    <w:rsid w:val="006A50E0"/>
    <w:rPr>
      <w:color w:val="0000FF"/>
      <w:u w:val="single"/>
    </w:rPr>
  </w:style>
  <w:style w:type="paragraph" w:styleId="a5">
    <w:name w:val="header"/>
    <w:basedOn w:val="a"/>
    <w:link w:val="Char"/>
    <w:uiPriority w:val="99"/>
    <w:unhideWhenUsed/>
    <w:rsid w:val="006A50E0"/>
    <w:pPr>
      <w:tabs>
        <w:tab w:val="center" w:pos="4819"/>
        <w:tab w:val="right" w:pos="9638"/>
      </w:tabs>
      <w:spacing w:line="240" w:lineRule="auto"/>
    </w:pPr>
  </w:style>
  <w:style w:type="character" w:customStyle="1" w:styleId="Char">
    <w:name w:val="页眉 Char"/>
    <w:link w:val="a5"/>
    <w:uiPriority w:val="99"/>
    <w:rsid w:val="006A50E0"/>
    <w:rPr>
      <w:rFonts w:ascii="Times New Roman" w:eastAsia="MS Mincho" w:hAnsi="Times New Roman" w:cs="Times New Roman"/>
      <w:sz w:val="24"/>
      <w:szCs w:val="24"/>
      <w:lang w:val="it-IT" w:eastAsia="en-GB"/>
    </w:rPr>
  </w:style>
  <w:style w:type="paragraph" w:styleId="a6">
    <w:name w:val="footer"/>
    <w:basedOn w:val="a"/>
    <w:link w:val="Char0"/>
    <w:uiPriority w:val="99"/>
    <w:unhideWhenUsed/>
    <w:rsid w:val="006A50E0"/>
    <w:pPr>
      <w:tabs>
        <w:tab w:val="center" w:pos="4819"/>
        <w:tab w:val="right" w:pos="9638"/>
      </w:tabs>
      <w:spacing w:line="240" w:lineRule="auto"/>
    </w:pPr>
  </w:style>
  <w:style w:type="character" w:customStyle="1" w:styleId="Char0">
    <w:name w:val="页脚 Char"/>
    <w:link w:val="a6"/>
    <w:uiPriority w:val="99"/>
    <w:rsid w:val="006A50E0"/>
    <w:rPr>
      <w:rFonts w:ascii="Times New Roman" w:eastAsia="MS Mincho" w:hAnsi="Times New Roman" w:cs="Times New Roman"/>
      <w:sz w:val="24"/>
      <w:szCs w:val="24"/>
      <w:lang w:val="it-IT" w:eastAsia="en-GB"/>
    </w:rPr>
  </w:style>
  <w:style w:type="character" w:customStyle="1" w:styleId="1Char">
    <w:name w:val="标题 1 Char"/>
    <w:link w:val="1"/>
    <w:uiPriority w:val="9"/>
    <w:rsid w:val="00F56A2A"/>
    <w:rPr>
      <w:rFonts w:ascii="Cambria" w:eastAsia="Times New Roman" w:hAnsi="Cambria" w:cs="Times New Roman"/>
      <w:b/>
      <w:bCs/>
      <w:color w:val="365F91"/>
      <w:sz w:val="28"/>
      <w:szCs w:val="28"/>
      <w:lang w:val="it-IT" w:eastAsia="en-GB"/>
    </w:rPr>
  </w:style>
  <w:style w:type="paragraph" w:styleId="-1">
    <w:name w:val="Colorful List Accent 1"/>
    <w:basedOn w:val="a"/>
    <w:uiPriority w:val="34"/>
    <w:qFormat/>
    <w:rsid w:val="009A384F"/>
    <w:pPr>
      <w:ind w:left="720"/>
      <w:contextualSpacing/>
    </w:pPr>
  </w:style>
  <w:style w:type="paragraph" w:styleId="a7">
    <w:name w:val="Plain Text"/>
    <w:basedOn w:val="a"/>
    <w:link w:val="Char1"/>
    <w:uiPriority w:val="99"/>
    <w:unhideWhenUsed/>
    <w:rsid w:val="00313635"/>
    <w:pPr>
      <w:spacing w:line="240" w:lineRule="auto"/>
      <w:jc w:val="left"/>
    </w:pPr>
    <w:rPr>
      <w:rFonts w:ascii="Calibri" w:eastAsia="Calibri" w:hAnsi="Calibri"/>
      <w:sz w:val="20"/>
      <w:szCs w:val="21"/>
      <w:lang w:val="x-none" w:eastAsia="x-none"/>
    </w:rPr>
  </w:style>
  <w:style w:type="character" w:customStyle="1" w:styleId="Char1">
    <w:name w:val="纯文本 Char"/>
    <w:link w:val="a7"/>
    <w:uiPriority w:val="99"/>
    <w:rsid w:val="00313635"/>
    <w:rPr>
      <w:rFonts w:ascii="Calibri" w:hAnsi="Calibri"/>
      <w:szCs w:val="21"/>
    </w:rPr>
  </w:style>
  <w:style w:type="character" w:customStyle="1" w:styleId="ref-journal">
    <w:name w:val="ref-journal"/>
    <w:basedOn w:val="a0"/>
    <w:rsid w:val="00970493"/>
  </w:style>
  <w:style w:type="character" w:customStyle="1" w:styleId="ref-vol">
    <w:name w:val="ref-vol"/>
    <w:basedOn w:val="a0"/>
    <w:rsid w:val="00970493"/>
  </w:style>
  <w:style w:type="paragraph" w:customStyle="1" w:styleId="Default">
    <w:name w:val="Default"/>
    <w:rsid w:val="00B91CCF"/>
    <w:pPr>
      <w:autoSpaceDE w:val="0"/>
      <w:autoSpaceDN w:val="0"/>
      <w:adjustRightInd w:val="0"/>
      <w:spacing w:line="480" w:lineRule="auto"/>
      <w:ind w:right="193"/>
      <w:jc w:val="both"/>
    </w:pPr>
    <w:rPr>
      <w:rFonts w:ascii="Arial" w:hAnsi="Arial" w:cs="Arial"/>
      <w:color w:val="000000"/>
      <w:sz w:val="24"/>
      <w:szCs w:val="24"/>
      <w:lang w:val="it-IT" w:eastAsia="en-US"/>
    </w:rPr>
  </w:style>
  <w:style w:type="character" w:customStyle="1" w:styleId="4Char">
    <w:name w:val="标题 4 Char"/>
    <w:link w:val="4"/>
    <w:uiPriority w:val="9"/>
    <w:semiHidden/>
    <w:rsid w:val="00C22C54"/>
    <w:rPr>
      <w:rFonts w:ascii="Cambria" w:eastAsia="Times New Roman" w:hAnsi="Cambria" w:cs="Times New Roman"/>
      <w:b/>
      <w:bCs/>
      <w:i/>
      <w:iCs/>
      <w:color w:val="4F81BD"/>
      <w:sz w:val="24"/>
      <w:szCs w:val="24"/>
      <w:lang w:val="it-IT" w:eastAsia="en-GB"/>
    </w:rPr>
  </w:style>
  <w:style w:type="table" w:styleId="a8">
    <w:name w:val="Table Grid"/>
    <w:basedOn w:val="a1"/>
    <w:uiPriority w:val="59"/>
    <w:rsid w:val="00E04FEF"/>
    <w:rPr>
      <w:rFonts w:eastAsia="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400DED"/>
    <w:pPr>
      <w:spacing w:line="240" w:lineRule="auto"/>
    </w:pPr>
    <w:rPr>
      <w:rFonts w:ascii="Tahoma" w:hAnsi="Tahoma" w:cs="Tahoma"/>
      <w:sz w:val="16"/>
      <w:szCs w:val="16"/>
    </w:rPr>
  </w:style>
  <w:style w:type="character" w:customStyle="1" w:styleId="Char2">
    <w:name w:val="批注框文本 Char"/>
    <w:link w:val="a9"/>
    <w:uiPriority w:val="99"/>
    <w:semiHidden/>
    <w:rsid w:val="00400DED"/>
    <w:rPr>
      <w:rFonts w:ascii="Tahoma" w:eastAsia="MS Mincho"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6482">
      <w:bodyDiv w:val="1"/>
      <w:marLeft w:val="0"/>
      <w:marRight w:val="0"/>
      <w:marTop w:val="0"/>
      <w:marBottom w:val="0"/>
      <w:divBdr>
        <w:top w:val="none" w:sz="0" w:space="0" w:color="auto"/>
        <w:left w:val="none" w:sz="0" w:space="0" w:color="auto"/>
        <w:bottom w:val="none" w:sz="0" w:space="0" w:color="auto"/>
        <w:right w:val="none" w:sz="0" w:space="0" w:color="auto"/>
      </w:divBdr>
    </w:div>
    <w:div w:id="547955083">
      <w:bodyDiv w:val="1"/>
      <w:marLeft w:val="0"/>
      <w:marRight w:val="0"/>
      <w:marTop w:val="0"/>
      <w:marBottom w:val="0"/>
      <w:divBdr>
        <w:top w:val="none" w:sz="0" w:space="0" w:color="auto"/>
        <w:left w:val="none" w:sz="0" w:space="0" w:color="auto"/>
        <w:bottom w:val="none" w:sz="0" w:space="0" w:color="auto"/>
        <w:right w:val="none" w:sz="0" w:space="0" w:color="auto"/>
      </w:divBdr>
    </w:div>
    <w:div w:id="639768203">
      <w:bodyDiv w:val="1"/>
      <w:marLeft w:val="0"/>
      <w:marRight w:val="0"/>
      <w:marTop w:val="0"/>
      <w:marBottom w:val="0"/>
      <w:divBdr>
        <w:top w:val="none" w:sz="0" w:space="0" w:color="auto"/>
        <w:left w:val="none" w:sz="0" w:space="0" w:color="auto"/>
        <w:bottom w:val="none" w:sz="0" w:space="0" w:color="auto"/>
        <w:right w:val="none" w:sz="0" w:space="0" w:color="auto"/>
      </w:divBdr>
      <w:divsChild>
        <w:div w:id="376929953">
          <w:marLeft w:val="0"/>
          <w:marRight w:val="0"/>
          <w:marTop w:val="120"/>
          <w:marBottom w:val="360"/>
          <w:divBdr>
            <w:top w:val="none" w:sz="0" w:space="0" w:color="auto"/>
            <w:left w:val="none" w:sz="0" w:space="0" w:color="auto"/>
            <w:bottom w:val="none" w:sz="0" w:space="0" w:color="auto"/>
            <w:right w:val="none" w:sz="0" w:space="0" w:color="auto"/>
          </w:divBdr>
          <w:divsChild>
            <w:div w:id="1911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6807">
      <w:bodyDiv w:val="1"/>
      <w:marLeft w:val="0"/>
      <w:marRight w:val="0"/>
      <w:marTop w:val="0"/>
      <w:marBottom w:val="0"/>
      <w:divBdr>
        <w:top w:val="none" w:sz="0" w:space="0" w:color="auto"/>
        <w:left w:val="none" w:sz="0" w:space="0" w:color="auto"/>
        <w:bottom w:val="none" w:sz="0" w:space="0" w:color="auto"/>
        <w:right w:val="none" w:sz="0" w:space="0" w:color="auto"/>
      </w:divBdr>
    </w:div>
    <w:div w:id="841044660">
      <w:bodyDiv w:val="1"/>
      <w:marLeft w:val="0"/>
      <w:marRight w:val="0"/>
      <w:marTop w:val="0"/>
      <w:marBottom w:val="0"/>
      <w:divBdr>
        <w:top w:val="none" w:sz="0" w:space="0" w:color="auto"/>
        <w:left w:val="none" w:sz="0" w:space="0" w:color="auto"/>
        <w:bottom w:val="none" w:sz="0" w:space="0" w:color="auto"/>
        <w:right w:val="none" w:sz="0" w:space="0" w:color="auto"/>
      </w:divBdr>
    </w:div>
    <w:div w:id="907500463">
      <w:bodyDiv w:val="1"/>
      <w:marLeft w:val="0"/>
      <w:marRight w:val="0"/>
      <w:marTop w:val="0"/>
      <w:marBottom w:val="0"/>
      <w:divBdr>
        <w:top w:val="none" w:sz="0" w:space="0" w:color="auto"/>
        <w:left w:val="none" w:sz="0" w:space="0" w:color="auto"/>
        <w:bottom w:val="none" w:sz="0" w:space="0" w:color="auto"/>
        <w:right w:val="none" w:sz="0" w:space="0" w:color="auto"/>
      </w:divBdr>
    </w:div>
    <w:div w:id="1029334964">
      <w:bodyDiv w:val="1"/>
      <w:marLeft w:val="0"/>
      <w:marRight w:val="0"/>
      <w:marTop w:val="0"/>
      <w:marBottom w:val="0"/>
      <w:divBdr>
        <w:top w:val="none" w:sz="0" w:space="0" w:color="auto"/>
        <w:left w:val="none" w:sz="0" w:space="0" w:color="auto"/>
        <w:bottom w:val="none" w:sz="0" w:space="0" w:color="auto"/>
        <w:right w:val="none" w:sz="0" w:space="0" w:color="auto"/>
      </w:divBdr>
    </w:div>
    <w:div w:id="1658655205">
      <w:bodyDiv w:val="1"/>
      <w:marLeft w:val="0"/>
      <w:marRight w:val="0"/>
      <w:marTop w:val="0"/>
      <w:marBottom w:val="0"/>
      <w:divBdr>
        <w:top w:val="none" w:sz="0" w:space="0" w:color="auto"/>
        <w:left w:val="none" w:sz="0" w:space="0" w:color="auto"/>
        <w:bottom w:val="none" w:sz="0" w:space="0" w:color="auto"/>
        <w:right w:val="none" w:sz="0" w:space="0" w:color="auto"/>
      </w:divBdr>
    </w:div>
    <w:div w:id="1699040721">
      <w:bodyDiv w:val="1"/>
      <w:marLeft w:val="0"/>
      <w:marRight w:val="0"/>
      <w:marTop w:val="0"/>
      <w:marBottom w:val="0"/>
      <w:divBdr>
        <w:top w:val="none" w:sz="0" w:space="0" w:color="auto"/>
        <w:left w:val="none" w:sz="0" w:space="0" w:color="auto"/>
        <w:bottom w:val="none" w:sz="0" w:space="0" w:color="auto"/>
        <w:right w:val="none" w:sz="0" w:space="0" w:color="auto"/>
      </w:divBdr>
    </w:div>
    <w:div w:id="1806659439">
      <w:bodyDiv w:val="1"/>
      <w:marLeft w:val="0"/>
      <w:marRight w:val="0"/>
      <w:marTop w:val="0"/>
      <w:marBottom w:val="0"/>
      <w:divBdr>
        <w:top w:val="none" w:sz="0" w:space="0" w:color="auto"/>
        <w:left w:val="none" w:sz="0" w:space="0" w:color="auto"/>
        <w:bottom w:val="none" w:sz="0" w:space="0" w:color="auto"/>
        <w:right w:val="none" w:sz="0" w:space="0" w:color="auto"/>
      </w:divBdr>
    </w:div>
    <w:div w:id="184138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michele.barone@uniba.it"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AE02-9CBA-4C20-B18E-82DE3490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10399</Words>
  <Characters>59275</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69535</CharactersWithSpaces>
  <SharedDoc>false</SharedDoc>
  <HLinks>
    <vt:vector size="12" baseType="variant">
      <vt:variant>
        <vt:i4>262262</vt:i4>
      </vt:variant>
      <vt:variant>
        <vt:i4>3</vt:i4>
      </vt:variant>
      <vt:variant>
        <vt:i4>0</vt:i4>
      </vt:variant>
      <vt:variant>
        <vt:i4>5</vt:i4>
      </vt:variant>
      <vt:variant>
        <vt:lpwstr>mailto:michele.barone@uniba.it</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barone</dc:creator>
  <cp:lastModifiedBy>User</cp:lastModifiedBy>
  <cp:revision>2</cp:revision>
  <dcterms:created xsi:type="dcterms:W3CDTF">2019-05-28T07:25:00Z</dcterms:created>
  <dcterms:modified xsi:type="dcterms:W3CDTF">2019-05-28T07:25:00Z</dcterms:modified>
</cp:coreProperties>
</file>