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0728B" w14:textId="77777777" w:rsidR="00672AE3" w:rsidRPr="00706E08" w:rsidRDefault="00672AE3" w:rsidP="000B52DE">
      <w:pPr>
        <w:adjustRightInd w:val="0"/>
        <w:snapToGrid w:val="0"/>
        <w:spacing w:line="360" w:lineRule="auto"/>
        <w:jc w:val="both"/>
        <w:rPr>
          <w:rFonts w:ascii="Book Antiqua" w:eastAsia="Times New Roman" w:hAnsi="Book Antiqua" w:cs="宋体"/>
          <w:b/>
          <w:i/>
          <w:color w:val="000000" w:themeColor="text1"/>
          <w:sz w:val="24"/>
          <w:szCs w:val="24"/>
        </w:rPr>
      </w:pPr>
      <w:bookmarkStart w:id="0" w:name="OLE_LINK17"/>
      <w:bookmarkStart w:id="1" w:name="OLE_LINK18"/>
      <w:bookmarkStart w:id="2" w:name="OLE_LINK22"/>
      <w:bookmarkStart w:id="3" w:name="_GoBack"/>
      <w:r w:rsidRPr="00706E08">
        <w:rPr>
          <w:rFonts w:ascii="Book Antiqua" w:eastAsia="Times New Roman" w:hAnsi="Book Antiqua" w:cs="宋体"/>
          <w:b/>
          <w:color w:val="000000" w:themeColor="text1"/>
          <w:sz w:val="24"/>
          <w:szCs w:val="24"/>
        </w:rPr>
        <w:t xml:space="preserve">Name of Journal: </w:t>
      </w:r>
      <w:r w:rsidRPr="00706E08">
        <w:rPr>
          <w:rFonts w:ascii="Book Antiqua" w:eastAsia="Times New Roman" w:hAnsi="Book Antiqua" w:cs="宋体"/>
          <w:b/>
          <w:i/>
          <w:color w:val="000000" w:themeColor="text1"/>
          <w:sz w:val="24"/>
          <w:szCs w:val="24"/>
        </w:rPr>
        <w:t>World Journal of Gastroenterology</w:t>
      </w:r>
    </w:p>
    <w:p w14:paraId="5836F3B2" w14:textId="77777777" w:rsidR="00672AE3" w:rsidRPr="00706E08" w:rsidRDefault="00672AE3" w:rsidP="000B52DE">
      <w:pPr>
        <w:adjustRightInd w:val="0"/>
        <w:snapToGrid w:val="0"/>
        <w:spacing w:line="360" w:lineRule="auto"/>
        <w:jc w:val="both"/>
        <w:rPr>
          <w:rFonts w:ascii="Book Antiqua" w:hAnsi="Book Antiqua" w:cs="Arial"/>
          <w:b/>
          <w:color w:val="000000" w:themeColor="text1"/>
          <w:sz w:val="24"/>
          <w:szCs w:val="24"/>
          <w:lang w:val="en" w:eastAsia="zh-CN"/>
        </w:rPr>
      </w:pPr>
      <w:r w:rsidRPr="00706E08">
        <w:rPr>
          <w:rFonts w:ascii="Book Antiqua" w:eastAsia="Times New Roman" w:hAnsi="Book Antiqua"/>
          <w:b/>
          <w:bCs/>
          <w:color w:val="000000" w:themeColor="text1"/>
          <w:sz w:val="24"/>
          <w:szCs w:val="24"/>
        </w:rPr>
        <w:t>Manuscript NO</w:t>
      </w:r>
      <w:r w:rsidRPr="00706E08">
        <w:rPr>
          <w:rFonts w:ascii="Book Antiqua" w:hAnsi="Book Antiqua" w:cs="Arial"/>
          <w:b/>
          <w:color w:val="000000" w:themeColor="text1"/>
          <w:sz w:val="24"/>
          <w:szCs w:val="24"/>
          <w:lang w:val="en"/>
        </w:rPr>
        <w:t xml:space="preserve">: </w:t>
      </w:r>
      <w:r w:rsidRPr="00706E08">
        <w:rPr>
          <w:rFonts w:ascii="Book Antiqua" w:hAnsi="Book Antiqua" w:cs="Arial"/>
          <w:b/>
          <w:color w:val="000000" w:themeColor="text1"/>
          <w:sz w:val="24"/>
          <w:szCs w:val="24"/>
          <w:lang w:val="en" w:eastAsia="zh-CN"/>
        </w:rPr>
        <w:t>46143</w:t>
      </w:r>
    </w:p>
    <w:p w14:paraId="4F2FCC27" w14:textId="401CF649" w:rsidR="00672AE3" w:rsidRPr="00706E08" w:rsidRDefault="00672AE3" w:rsidP="000B52DE">
      <w:pPr>
        <w:spacing w:line="360" w:lineRule="auto"/>
        <w:jc w:val="both"/>
        <w:rPr>
          <w:rFonts w:ascii="Book Antiqua" w:eastAsia="等线" w:hAnsi="Book Antiqua"/>
          <w:b/>
          <w:color w:val="000000" w:themeColor="text1"/>
          <w:sz w:val="24"/>
          <w:szCs w:val="24"/>
          <w:lang w:eastAsia="zh-CN"/>
        </w:rPr>
      </w:pPr>
      <w:r w:rsidRPr="00706E08">
        <w:rPr>
          <w:rFonts w:ascii="Book Antiqua" w:hAnsi="Book Antiqua"/>
          <w:b/>
          <w:color w:val="000000" w:themeColor="text1"/>
          <w:sz w:val="24"/>
          <w:szCs w:val="24"/>
          <w:shd w:val="clear" w:color="auto" w:fill="FFFFFF"/>
        </w:rPr>
        <w:t>Manuscript Type</w:t>
      </w:r>
      <w:r w:rsidRPr="00706E08">
        <w:rPr>
          <w:rFonts w:ascii="Book Antiqua" w:hAnsi="Book Antiqua"/>
          <w:b/>
          <w:color w:val="000000" w:themeColor="text1"/>
          <w:sz w:val="24"/>
          <w:szCs w:val="24"/>
        </w:rPr>
        <w:t>:</w:t>
      </w:r>
      <w:bookmarkEnd w:id="0"/>
      <w:bookmarkEnd w:id="1"/>
      <w:bookmarkEnd w:id="2"/>
      <w:r w:rsidRPr="00706E08">
        <w:rPr>
          <w:rFonts w:ascii="Book Antiqua" w:hAnsi="Book Antiqua"/>
          <w:b/>
          <w:color w:val="000000" w:themeColor="text1"/>
          <w:sz w:val="24"/>
          <w:szCs w:val="24"/>
          <w:lang w:eastAsia="zh-CN"/>
        </w:rPr>
        <w:t xml:space="preserve"> </w:t>
      </w:r>
      <w:r w:rsidR="000B52DE" w:rsidRPr="00706E08">
        <w:rPr>
          <w:rFonts w:ascii="Book Antiqua" w:hAnsi="Book Antiqua"/>
          <w:b/>
          <w:color w:val="000000" w:themeColor="text1"/>
          <w:sz w:val="24"/>
          <w:szCs w:val="24"/>
          <w:lang w:eastAsia="zh-CN"/>
        </w:rPr>
        <w:t>ORIGINAL ARTICLE</w:t>
      </w:r>
    </w:p>
    <w:p w14:paraId="77B7E1DC" w14:textId="77777777" w:rsidR="00672AE3" w:rsidRPr="00706E08" w:rsidRDefault="00672AE3" w:rsidP="000B52DE">
      <w:pPr>
        <w:snapToGrid w:val="0"/>
        <w:spacing w:line="360" w:lineRule="auto"/>
        <w:jc w:val="both"/>
        <w:rPr>
          <w:rFonts w:ascii="Book Antiqua" w:eastAsia="等线" w:hAnsi="Book Antiqua" w:cs="Times New Roman"/>
          <w:b/>
          <w:color w:val="000000" w:themeColor="text1"/>
          <w:kern w:val="0"/>
          <w:sz w:val="24"/>
          <w:szCs w:val="24"/>
          <w:lang w:eastAsia="zh-CN"/>
        </w:rPr>
      </w:pPr>
    </w:p>
    <w:p w14:paraId="6C278CFF" w14:textId="56993667" w:rsidR="000B52DE" w:rsidRPr="00706E08" w:rsidRDefault="000B52DE" w:rsidP="000B52DE">
      <w:pPr>
        <w:snapToGrid w:val="0"/>
        <w:spacing w:line="360" w:lineRule="auto"/>
        <w:jc w:val="both"/>
        <w:rPr>
          <w:rFonts w:ascii="Book Antiqua" w:eastAsia="等线" w:hAnsi="Book Antiqua" w:cs="Times New Roman"/>
          <w:b/>
          <w:i/>
          <w:color w:val="000000" w:themeColor="text1"/>
          <w:kern w:val="0"/>
          <w:sz w:val="24"/>
          <w:szCs w:val="24"/>
          <w:lang w:eastAsia="zh-CN"/>
        </w:rPr>
      </w:pPr>
      <w:r w:rsidRPr="00706E08">
        <w:rPr>
          <w:rFonts w:ascii="Book Antiqua" w:hAnsi="Book Antiqua"/>
          <w:b/>
          <w:i/>
          <w:color w:val="000000" w:themeColor="text1"/>
          <w:sz w:val="24"/>
          <w:szCs w:val="24"/>
          <w:lang w:eastAsia="zh-CN"/>
        </w:rPr>
        <w:t>Observational Study</w:t>
      </w:r>
    </w:p>
    <w:p w14:paraId="6460B220" w14:textId="77777777" w:rsidR="000C7C53" w:rsidRPr="00706E08" w:rsidRDefault="000C7C53" w:rsidP="000B52DE">
      <w:pPr>
        <w:snapToGrid w:val="0"/>
        <w:spacing w:line="360" w:lineRule="auto"/>
        <w:jc w:val="both"/>
        <w:rPr>
          <w:rFonts w:ascii="Book Antiqua" w:eastAsia="MS Mincho" w:hAnsi="Book Antiqua" w:cs="Times New Roman"/>
          <w:b/>
          <w:color w:val="000000" w:themeColor="text1"/>
          <w:kern w:val="0"/>
          <w:sz w:val="24"/>
          <w:szCs w:val="24"/>
        </w:rPr>
      </w:pPr>
      <w:bookmarkStart w:id="4" w:name="OLE_LINK532"/>
      <w:bookmarkStart w:id="5" w:name="OLE_LINK533"/>
      <w:r w:rsidRPr="00706E08">
        <w:rPr>
          <w:rFonts w:ascii="Book Antiqua" w:eastAsia="MS Mincho" w:hAnsi="Book Antiqua" w:cs="Times New Roman"/>
          <w:b/>
          <w:color w:val="000000" w:themeColor="text1"/>
          <w:kern w:val="0"/>
          <w:sz w:val="24"/>
          <w:szCs w:val="24"/>
        </w:rPr>
        <w:t>Measurement of prostaglandin metabolites is useful in diagnosis of small bowel ulcerations</w:t>
      </w:r>
    </w:p>
    <w:bookmarkEnd w:id="4"/>
    <w:bookmarkEnd w:id="5"/>
    <w:p w14:paraId="6C9E638B" w14:textId="77777777" w:rsidR="000C7C53" w:rsidRPr="00706E08" w:rsidRDefault="000C7C53" w:rsidP="000B52DE">
      <w:pPr>
        <w:snapToGrid w:val="0"/>
        <w:spacing w:line="360" w:lineRule="auto"/>
        <w:jc w:val="both"/>
        <w:rPr>
          <w:rFonts w:ascii="Book Antiqua" w:eastAsia="等线" w:hAnsi="Book Antiqua" w:cs="Times New Roman"/>
          <w:b/>
          <w:color w:val="000000" w:themeColor="text1"/>
          <w:sz w:val="24"/>
          <w:szCs w:val="24"/>
          <w:lang w:eastAsia="zh-CN"/>
        </w:rPr>
      </w:pPr>
    </w:p>
    <w:p w14:paraId="135DB73F" w14:textId="7A1F55E0" w:rsidR="00672AE3" w:rsidRPr="00706E08" w:rsidRDefault="000B52DE" w:rsidP="000B52DE">
      <w:pPr>
        <w:spacing w:line="360" w:lineRule="auto"/>
        <w:jc w:val="both"/>
        <w:rPr>
          <w:rFonts w:ascii="Book Antiqua" w:hAnsi="Book Antiqua"/>
          <w:color w:val="000000" w:themeColor="text1"/>
          <w:sz w:val="24"/>
          <w:szCs w:val="24"/>
        </w:rPr>
      </w:pPr>
      <w:proofErr w:type="spellStart"/>
      <w:r w:rsidRPr="00706E08">
        <w:rPr>
          <w:rFonts w:ascii="Book Antiqua" w:eastAsia="MS Mincho" w:hAnsi="Book Antiqua" w:cs="Times New Roman"/>
          <w:color w:val="000000" w:themeColor="text1"/>
          <w:sz w:val="24"/>
          <w:szCs w:val="24"/>
        </w:rPr>
        <w:t>Matsuno</w:t>
      </w:r>
      <w:proofErr w:type="spellEnd"/>
      <w:r w:rsidRPr="00706E08">
        <w:rPr>
          <w:rFonts w:ascii="Book Antiqua" w:hAnsi="Book Antiqua" w:cs="Garamond-Bold"/>
          <w:bCs/>
          <w:color w:val="000000" w:themeColor="text1"/>
          <w:sz w:val="24"/>
          <w:szCs w:val="24"/>
          <w:lang w:eastAsia="zh-CN"/>
        </w:rPr>
        <w:t xml:space="preserve"> Y </w:t>
      </w:r>
      <w:r w:rsidRPr="00706E08">
        <w:rPr>
          <w:rFonts w:ascii="Book Antiqua" w:hAnsi="Book Antiqua" w:cs="Garamond-Bold"/>
          <w:bCs/>
          <w:i/>
          <w:color w:val="000000" w:themeColor="text1"/>
          <w:sz w:val="24"/>
          <w:szCs w:val="24"/>
          <w:lang w:eastAsia="zh-CN"/>
        </w:rPr>
        <w:t>et al</w:t>
      </w:r>
      <w:r w:rsidRPr="00706E08">
        <w:rPr>
          <w:rFonts w:ascii="Book Antiqua" w:hAnsi="Book Antiqua" w:cs="Garamond-Bold"/>
          <w:bCs/>
          <w:color w:val="000000" w:themeColor="text1"/>
          <w:sz w:val="24"/>
          <w:szCs w:val="24"/>
          <w:lang w:eastAsia="zh-CN"/>
        </w:rPr>
        <w:t xml:space="preserve">. </w:t>
      </w:r>
      <w:r w:rsidR="00B9283B" w:rsidRPr="00706E08">
        <w:rPr>
          <w:rFonts w:ascii="Book Antiqua" w:hAnsi="Book Antiqua" w:cs="Garamond-Bold"/>
          <w:bCs/>
          <w:color w:val="000000" w:themeColor="text1"/>
          <w:sz w:val="24"/>
          <w:szCs w:val="24"/>
          <w:lang w:eastAsia="zh-CN"/>
        </w:rPr>
        <w:t>A new screening method f</w:t>
      </w:r>
      <w:r w:rsidR="00D46DF2" w:rsidRPr="00706E08">
        <w:rPr>
          <w:rFonts w:ascii="Book Antiqua" w:hAnsi="Book Antiqua" w:cs="Garamond-Bold"/>
          <w:bCs/>
          <w:color w:val="000000" w:themeColor="text1"/>
          <w:sz w:val="24"/>
          <w:szCs w:val="24"/>
          <w:lang w:eastAsia="zh-CN"/>
        </w:rPr>
        <w:t>or</w:t>
      </w:r>
      <w:r w:rsidR="00B9283B" w:rsidRPr="00706E08">
        <w:rPr>
          <w:rFonts w:ascii="Book Antiqua" w:hAnsi="Book Antiqua" w:cs="Garamond-Bold"/>
          <w:bCs/>
          <w:color w:val="000000" w:themeColor="text1"/>
          <w:sz w:val="24"/>
          <w:szCs w:val="24"/>
          <w:lang w:eastAsia="zh-CN"/>
        </w:rPr>
        <w:t xml:space="preserve"> CEAS</w:t>
      </w:r>
    </w:p>
    <w:p w14:paraId="0D4BA729" w14:textId="77777777" w:rsidR="00672AE3" w:rsidRPr="00706E08" w:rsidRDefault="00672AE3" w:rsidP="000B52DE">
      <w:pPr>
        <w:snapToGrid w:val="0"/>
        <w:spacing w:line="360" w:lineRule="auto"/>
        <w:jc w:val="both"/>
        <w:rPr>
          <w:rFonts w:ascii="Book Antiqua" w:eastAsia="等线" w:hAnsi="Book Antiqua" w:cs="Times New Roman"/>
          <w:color w:val="000000" w:themeColor="text1"/>
          <w:sz w:val="24"/>
          <w:szCs w:val="24"/>
          <w:lang w:eastAsia="zh-CN"/>
        </w:rPr>
      </w:pPr>
    </w:p>
    <w:p w14:paraId="2A587702" w14:textId="77777777" w:rsidR="000C7C53" w:rsidRPr="00706E08" w:rsidRDefault="000C7C53" w:rsidP="000B52DE">
      <w:pPr>
        <w:snapToGrid w:val="0"/>
        <w:spacing w:line="360" w:lineRule="auto"/>
        <w:jc w:val="both"/>
        <w:rPr>
          <w:rFonts w:ascii="Book Antiqua" w:eastAsia="MS Mincho" w:hAnsi="Book Antiqua" w:cs="Times New Roman"/>
          <w:color w:val="000000" w:themeColor="text1"/>
          <w:sz w:val="24"/>
          <w:szCs w:val="24"/>
        </w:rPr>
      </w:pPr>
      <w:r w:rsidRPr="00706E08">
        <w:rPr>
          <w:rFonts w:ascii="Book Antiqua" w:eastAsia="MS Mincho" w:hAnsi="Book Antiqua" w:cs="Times New Roman"/>
          <w:color w:val="000000" w:themeColor="text1"/>
          <w:sz w:val="24"/>
          <w:szCs w:val="24"/>
        </w:rPr>
        <w:t xml:space="preserve">Yuichi </w:t>
      </w:r>
      <w:proofErr w:type="spellStart"/>
      <w:r w:rsidRPr="00706E08">
        <w:rPr>
          <w:rFonts w:ascii="Book Antiqua" w:eastAsia="MS Mincho" w:hAnsi="Book Antiqua" w:cs="Times New Roman"/>
          <w:color w:val="000000" w:themeColor="text1"/>
          <w:sz w:val="24"/>
          <w:szCs w:val="24"/>
        </w:rPr>
        <w:t>Matsuno</w:t>
      </w:r>
      <w:proofErr w:type="spellEnd"/>
      <w:r w:rsidRPr="00706E08">
        <w:rPr>
          <w:rFonts w:ascii="Book Antiqua" w:eastAsia="MS Mincho" w:hAnsi="Book Antiqua" w:cs="Times New Roman"/>
          <w:color w:val="000000" w:themeColor="text1"/>
          <w:sz w:val="24"/>
          <w:szCs w:val="24"/>
        </w:rPr>
        <w:t xml:space="preserve">, </w:t>
      </w:r>
      <w:proofErr w:type="spellStart"/>
      <w:r w:rsidRPr="00706E08">
        <w:rPr>
          <w:rFonts w:ascii="Book Antiqua" w:eastAsia="MS Mincho" w:hAnsi="Book Antiqua" w:cs="Times New Roman"/>
          <w:color w:val="000000" w:themeColor="text1"/>
          <w:sz w:val="24"/>
          <w:szCs w:val="24"/>
        </w:rPr>
        <w:t>Junji</w:t>
      </w:r>
      <w:proofErr w:type="spellEnd"/>
      <w:r w:rsidRPr="00706E08">
        <w:rPr>
          <w:rFonts w:ascii="Book Antiqua" w:eastAsia="MS Mincho" w:hAnsi="Book Antiqua" w:cs="Times New Roman"/>
          <w:color w:val="000000" w:themeColor="text1"/>
          <w:sz w:val="24"/>
          <w:szCs w:val="24"/>
        </w:rPr>
        <w:t xml:space="preserve"> </w:t>
      </w:r>
      <w:proofErr w:type="spellStart"/>
      <w:r w:rsidRPr="00706E08">
        <w:rPr>
          <w:rFonts w:ascii="Book Antiqua" w:eastAsia="MS Mincho" w:hAnsi="Book Antiqua" w:cs="Times New Roman"/>
          <w:color w:val="000000" w:themeColor="text1"/>
          <w:sz w:val="24"/>
          <w:szCs w:val="24"/>
        </w:rPr>
        <w:t>Umeno</w:t>
      </w:r>
      <w:proofErr w:type="spellEnd"/>
      <w:r w:rsidRPr="00706E08">
        <w:rPr>
          <w:rFonts w:ascii="Book Antiqua" w:eastAsia="MS Mincho" w:hAnsi="Book Antiqua" w:cs="Times New Roman"/>
          <w:color w:val="000000" w:themeColor="text1"/>
          <w:sz w:val="24"/>
          <w:szCs w:val="24"/>
        </w:rPr>
        <w:t xml:space="preserve">, </w:t>
      </w:r>
      <w:proofErr w:type="spellStart"/>
      <w:r w:rsidRPr="00706E08">
        <w:rPr>
          <w:rFonts w:ascii="Book Antiqua" w:eastAsia="MS Mincho" w:hAnsi="Book Antiqua" w:cs="Times New Roman"/>
          <w:color w:val="000000" w:themeColor="text1"/>
          <w:sz w:val="24"/>
          <w:szCs w:val="24"/>
        </w:rPr>
        <w:t>Motohiro</w:t>
      </w:r>
      <w:proofErr w:type="spellEnd"/>
      <w:r w:rsidRPr="00706E08">
        <w:rPr>
          <w:rFonts w:ascii="Book Antiqua" w:eastAsia="MS Mincho" w:hAnsi="Book Antiqua" w:cs="Times New Roman"/>
          <w:color w:val="000000" w:themeColor="text1"/>
          <w:sz w:val="24"/>
          <w:szCs w:val="24"/>
        </w:rPr>
        <w:t xml:space="preserve"> Esaki</w:t>
      </w:r>
      <w:r w:rsidRPr="00706E08">
        <w:rPr>
          <w:rFonts w:ascii="Book Antiqua" w:hAnsi="Book Antiqua"/>
          <w:color w:val="000000" w:themeColor="text1"/>
          <w:sz w:val="24"/>
          <w:szCs w:val="24"/>
        </w:rPr>
        <w:t xml:space="preserve">, </w:t>
      </w:r>
      <w:proofErr w:type="spellStart"/>
      <w:r w:rsidRPr="00706E08">
        <w:rPr>
          <w:rFonts w:ascii="Book Antiqua" w:eastAsia="MS Mincho" w:hAnsi="Book Antiqua" w:cs="Times New Roman"/>
          <w:color w:val="000000" w:themeColor="text1"/>
          <w:sz w:val="24"/>
          <w:szCs w:val="24"/>
        </w:rPr>
        <w:t>Yoichiro</w:t>
      </w:r>
      <w:proofErr w:type="spellEnd"/>
      <w:r w:rsidRPr="00706E08">
        <w:rPr>
          <w:rFonts w:ascii="Book Antiqua" w:eastAsia="MS Mincho" w:hAnsi="Book Antiqua" w:cs="Times New Roman"/>
          <w:color w:val="000000" w:themeColor="text1"/>
          <w:sz w:val="24"/>
          <w:szCs w:val="24"/>
        </w:rPr>
        <w:t xml:space="preserve"> </w:t>
      </w:r>
      <w:proofErr w:type="spellStart"/>
      <w:r w:rsidRPr="00706E08">
        <w:rPr>
          <w:rFonts w:ascii="Book Antiqua" w:eastAsia="MS Mincho" w:hAnsi="Book Antiqua" w:cs="Times New Roman"/>
          <w:color w:val="000000" w:themeColor="text1"/>
          <w:sz w:val="24"/>
          <w:szCs w:val="24"/>
        </w:rPr>
        <w:t>Hirakawa</w:t>
      </w:r>
      <w:proofErr w:type="spellEnd"/>
      <w:r w:rsidRPr="00706E08">
        <w:rPr>
          <w:rFonts w:ascii="Book Antiqua" w:eastAsia="MS Mincho" w:hAnsi="Book Antiqua" w:cs="Times New Roman"/>
          <w:color w:val="000000" w:themeColor="text1"/>
          <w:sz w:val="24"/>
          <w:szCs w:val="24"/>
        </w:rPr>
        <w:t xml:space="preserve">, Yuta </w:t>
      </w:r>
      <w:proofErr w:type="spellStart"/>
      <w:r w:rsidRPr="00706E08">
        <w:rPr>
          <w:rFonts w:ascii="Book Antiqua" w:eastAsia="MS Mincho" w:hAnsi="Book Antiqua" w:cs="Times New Roman"/>
          <w:color w:val="000000" w:themeColor="text1"/>
          <w:sz w:val="24"/>
          <w:szCs w:val="24"/>
        </w:rPr>
        <w:t>Fuyuno</w:t>
      </w:r>
      <w:proofErr w:type="spellEnd"/>
      <w:r w:rsidRPr="00706E08">
        <w:rPr>
          <w:rFonts w:ascii="Book Antiqua" w:eastAsia="MS Mincho" w:hAnsi="Book Antiqua" w:cs="Times New Roman"/>
          <w:color w:val="000000" w:themeColor="text1"/>
          <w:sz w:val="24"/>
          <w:szCs w:val="24"/>
        </w:rPr>
        <w:t xml:space="preserve">, </w:t>
      </w:r>
      <w:proofErr w:type="spellStart"/>
      <w:r w:rsidRPr="00706E08">
        <w:rPr>
          <w:rFonts w:ascii="Book Antiqua" w:eastAsia="MS Mincho" w:hAnsi="Book Antiqua" w:cs="Times New Roman"/>
          <w:color w:val="000000" w:themeColor="text1"/>
          <w:sz w:val="24"/>
          <w:szCs w:val="24"/>
        </w:rPr>
        <w:t>Yasuharu</w:t>
      </w:r>
      <w:proofErr w:type="spellEnd"/>
      <w:r w:rsidRPr="00706E08">
        <w:rPr>
          <w:rFonts w:ascii="Book Antiqua" w:eastAsia="MS Mincho" w:hAnsi="Book Antiqua" w:cs="Times New Roman"/>
          <w:color w:val="000000" w:themeColor="text1"/>
          <w:sz w:val="24"/>
          <w:szCs w:val="24"/>
        </w:rPr>
        <w:t xml:space="preserve"> Okamoto</w:t>
      </w:r>
      <w:r w:rsidRPr="00706E08">
        <w:rPr>
          <w:rFonts w:ascii="Book Antiqua" w:hAnsi="Book Antiqua"/>
          <w:color w:val="000000" w:themeColor="text1"/>
          <w:sz w:val="24"/>
          <w:szCs w:val="24"/>
        </w:rPr>
        <w:t>, Atsushi Hirano, Shigeyoshi</w:t>
      </w:r>
      <w:r w:rsidRPr="00706E08">
        <w:rPr>
          <w:rFonts w:ascii="Book Antiqua" w:eastAsia="MS Mincho" w:hAnsi="Book Antiqua" w:cs="Times New Roman"/>
          <w:color w:val="000000" w:themeColor="text1"/>
          <w:sz w:val="24"/>
          <w:szCs w:val="24"/>
        </w:rPr>
        <w:t xml:space="preserve"> Yasukawa</w:t>
      </w:r>
      <w:r w:rsidRPr="00706E08">
        <w:rPr>
          <w:rFonts w:ascii="Book Antiqua" w:hAnsi="Book Antiqua"/>
          <w:color w:val="000000" w:themeColor="text1"/>
          <w:sz w:val="24"/>
          <w:szCs w:val="24"/>
        </w:rPr>
        <w:t xml:space="preserve">, </w:t>
      </w:r>
      <w:proofErr w:type="spellStart"/>
      <w:r w:rsidRPr="00706E08">
        <w:rPr>
          <w:rFonts w:ascii="Book Antiqua" w:hAnsi="Book Antiqua"/>
          <w:color w:val="000000" w:themeColor="text1"/>
          <w:sz w:val="24"/>
          <w:szCs w:val="24"/>
        </w:rPr>
        <w:t>Fumihito</w:t>
      </w:r>
      <w:proofErr w:type="spellEnd"/>
      <w:r w:rsidRPr="00706E08">
        <w:rPr>
          <w:rFonts w:ascii="Book Antiqua" w:eastAsia="MS Mincho" w:hAnsi="Book Antiqua" w:cs="Times New Roman"/>
          <w:color w:val="000000" w:themeColor="text1"/>
          <w:sz w:val="24"/>
          <w:szCs w:val="24"/>
        </w:rPr>
        <w:t xml:space="preserve"> Hirai</w:t>
      </w:r>
      <w:r w:rsidRPr="00706E08">
        <w:rPr>
          <w:rFonts w:ascii="Book Antiqua" w:hAnsi="Book Antiqua"/>
          <w:color w:val="000000" w:themeColor="text1"/>
          <w:sz w:val="24"/>
          <w:szCs w:val="24"/>
        </w:rPr>
        <w:t xml:space="preserve">, Toshiyuki Matsui, </w:t>
      </w:r>
      <w:proofErr w:type="spellStart"/>
      <w:r w:rsidRPr="00706E08">
        <w:rPr>
          <w:rFonts w:ascii="Book Antiqua" w:hAnsi="Book Antiqua"/>
          <w:color w:val="000000" w:themeColor="text1"/>
          <w:sz w:val="24"/>
          <w:szCs w:val="24"/>
        </w:rPr>
        <w:t>Shuhei</w:t>
      </w:r>
      <w:proofErr w:type="spellEnd"/>
      <w:r w:rsidRPr="00706E08">
        <w:rPr>
          <w:rFonts w:ascii="Book Antiqua" w:hAnsi="Book Antiqua"/>
          <w:color w:val="000000" w:themeColor="text1"/>
          <w:sz w:val="24"/>
          <w:szCs w:val="24"/>
        </w:rPr>
        <w:t xml:space="preserve"> </w:t>
      </w:r>
      <w:proofErr w:type="spellStart"/>
      <w:r w:rsidRPr="00706E08">
        <w:rPr>
          <w:rFonts w:ascii="Book Antiqua" w:hAnsi="Book Antiqua"/>
          <w:color w:val="000000" w:themeColor="text1"/>
          <w:sz w:val="24"/>
          <w:szCs w:val="24"/>
        </w:rPr>
        <w:t>Hosomi</w:t>
      </w:r>
      <w:proofErr w:type="spellEnd"/>
      <w:r w:rsidRPr="00706E08">
        <w:rPr>
          <w:rFonts w:ascii="Book Antiqua" w:hAnsi="Book Antiqua"/>
          <w:color w:val="000000" w:themeColor="text1"/>
          <w:sz w:val="24"/>
          <w:szCs w:val="24"/>
        </w:rPr>
        <w:t xml:space="preserve">, </w:t>
      </w:r>
      <w:r w:rsidRPr="00706E08">
        <w:rPr>
          <w:rFonts w:ascii="Book Antiqua" w:eastAsia="MS Mincho" w:hAnsi="Book Antiqua" w:cs="Times New Roman"/>
          <w:color w:val="000000" w:themeColor="text1"/>
          <w:sz w:val="24"/>
          <w:szCs w:val="24"/>
        </w:rPr>
        <w:t>Kenji Watanabe</w:t>
      </w:r>
      <w:r w:rsidRPr="00706E08">
        <w:rPr>
          <w:rFonts w:ascii="Book Antiqua" w:hAnsi="Book Antiqua"/>
          <w:color w:val="000000" w:themeColor="text1"/>
          <w:sz w:val="24"/>
          <w:szCs w:val="24"/>
        </w:rPr>
        <w:t>,</w:t>
      </w:r>
      <w:r w:rsidRPr="00706E08">
        <w:rPr>
          <w:rFonts w:ascii="Book Antiqua" w:eastAsia="MS Mincho" w:hAnsi="Book Antiqua" w:cs="Times New Roman"/>
          <w:color w:val="000000" w:themeColor="text1"/>
          <w:sz w:val="24"/>
          <w:szCs w:val="24"/>
        </w:rPr>
        <w:t xml:space="preserve"> Naoki </w:t>
      </w:r>
      <w:proofErr w:type="spellStart"/>
      <w:r w:rsidRPr="00706E08">
        <w:rPr>
          <w:rFonts w:ascii="Book Antiqua" w:eastAsia="MS Mincho" w:hAnsi="Book Antiqua" w:cs="Times New Roman"/>
          <w:color w:val="000000" w:themeColor="text1"/>
          <w:sz w:val="24"/>
          <w:szCs w:val="24"/>
        </w:rPr>
        <w:t>Hosoe</w:t>
      </w:r>
      <w:proofErr w:type="spellEnd"/>
      <w:r w:rsidRPr="00706E08">
        <w:rPr>
          <w:rFonts w:ascii="Book Antiqua" w:hAnsi="Book Antiqua"/>
          <w:color w:val="000000" w:themeColor="text1"/>
          <w:sz w:val="24"/>
          <w:szCs w:val="24"/>
        </w:rPr>
        <w:t>,</w:t>
      </w:r>
      <w:r w:rsidRPr="00706E08">
        <w:rPr>
          <w:rFonts w:ascii="Book Antiqua" w:eastAsia="MS Mincho" w:hAnsi="Book Antiqua" w:cs="Times New Roman"/>
          <w:color w:val="000000" w:themeColor="text1"/>
          <w:sz w:val="24"/>
          <w:szCs w:val="24"/>
        </w:rPr>
        <w:t xml:space="preserve"> Haruhiko Ogata, </w:t>
      </w:r>
      <w:proofErr w:type="spellStart"/>
      <w:r w:rsidRPr="00706E08">
        <w:rPr>
          <w:rFonts w:ascii="Book Antiqua" w:eastAsia="MS Mincho" w:hAnsi="Book Antiqua" w:cs="Times New Roman"/>
          <w:color w:val="000000" w:themeColor="text1"/>
          <w:sz w:val="24"/>
          <w:szCs w:val="24"/>
        </w:rPr>
        <w:t>Tadakazu</w:t>
      </w:r>
      <w:proofErr w:type="spellEnd"/>
      <w:r w:rsidRPr="00706E08">
        <w:rPr>
          <w:rFonts w:ascii="Book Antiqua" w:eastAsia="MS Mincho" w:hAnsi="Book Antiqua" w:cs="Times New Roman"/>
          <w:color w:val="000000" w:themeColor="text1"/>
          <w:sz w:val="24"/>
          <w:szCs w:val="24"/>
        </w:rPr>
        <w:t xml:space="preserve"> </w:t>
      </w:r>
      <w:proofErr w:type="spellStart"/>
      <w:r w:rsidRPr="00706E08">
        <w:rPr>
          <w:rFonts w:ascii="Book Antiqua" w:eastAsia="MS Mincho" w:hAnsi="Book Antiqua" w:cs="Times New Roman"/>
          <w:color w:val="000000" w:themeColor="text1"/>
          <w:sz w:val="24"/>
          <w:szCs w:val="24"/>
        </w:rPr>
        <w:t>Hisamatsu</w:t>
      </w:r>
      <w:proofErr w:type="spellEnd"/>
      <w:r w:rsidRPr="00706E08">
        <w:rPr>
          <w:rFonts w:ascii="Book Antiqua" w:eastAsia="MS Mincho" w:hAnsi="Book Antiqua" w:cs="Times New Roman"/>
          <w:color w:val="000000" w:themeColor="text1"/>
          <w:sz w:val="24"/>
          <w:szCs w:val="24"/>
        </w:rPr>
        <w:t xml:space="preserve">, Shunichi </w:t>
      </w:r>
      <w:proofErr w:type="spellStart"/>
      <w:r w:rsidRPr="00706E08">
        <w:rPr>
          <w:rFonts w:ascii="Book Antiqua" w:eastAsia="MS Mincho" w:hAnsi="Book Antiqua" w:cs="Times New Roman"/>
          <w:color w:val="000000" w:themeColor="text1"/>
          <w:sz w:val="24"/>
          <w:szCs w:val="24"/>
        </w:rPr>
        <w:t>Yanai</w:t>
      </w:r>
      <w:proofErr w:type="spellEnd"/>
      <w:r w:rsidRPr="00706E08">
        <w:rPr>
          <w:rFonts w:ascii="Book Antiqua" w:eastAsia="MS Mincho" w:hAnsi="Book Antiqua" w:cs="Times New Roman"/>
          <w:color w:val="000000" w:themeColor="text1"/>
          <w:sz w:val="24"/>
          <w:szCs w:val="24"/>
        </w:rPr>
        <w:t>, Shuji Kochi,</w:t>
      </w:r>
      <w:r w:rsidRPr="00706E08">
        <w:rPr>
          <w:rFonts w:ascii="Book Antiqua" w:hAnsi="Book Antiqua"/>
          <w:color w:val="000000" w:themeColor="text1"/>
          <w:sz w:val="24"/>
          <w:szCs w:val="24"/>
        </w:rPr>
        <w:t xml:space="preserve"> Koichi</w:t>
      </w:r>
      <w:r w:rsidRPr="00706E08">
        <w:rPr>
          <w:rFonts w:ascii="Book Antiqua" w:eastAsia="MS Mincho" w:hAnsi="Book Antiqua" w:cs="Times New Roman"/>
          <w:color w:val="000000" w:themeColor="text1"/>
          <w:sz w:val="24"/>
          <w:szCs w:val="24"/>
        </w:rPr>
        <w:t xml:space="preserve"> </w:t>
      </w:r>
      <w:proofErr w:type="spellStart"/>
      <w:r w:rsidRPr="00706E08">
        <w:rPr>
          <w:rFonts w:ascii="Book Antiqua" w:eastAsia="MS Mincho" w:hAnsi="Book Antiqua" w:cs="Times New Roman"/>
          <w:color w:val="000000" w:themeColor="text1"/>
          <w:sz w:val="24"/>
          <w:szCs w:val="24"/>
        </w:rPr>
        <w:t>Kurahara</w:t>
      </w:r>
      <w:proofErr w:type="spellEnd"/>
      <w:r w:rsidRPr="00706E08">
        <w:rPr>
          <w:rFonts w:ascii="Book Antiqua" w:hAnsi="Book Antiqua"/>
          <w:color w:val="000000" w:themeColor="text1"/>
          <w:sz w:val="24"/>
          <w:szCs w:val="24"/>
        </w:rPr>
        <w:t xml:space="preserve">, </w:t>
      </w:r>
      <w:proofErr w:type="spellStart"/>
      <w:r w:rsidRPr="00706E08">
        <w:rPr>
          <w:rFonts w:ascii="Book Antiqua" w:hAnsi="Book Antiqua"/>
          <w:color w:val="000000" w:themeColor="text1"/>
          <w:sz w:val="24"/>
          <w:szCs w:val="24"/>
        </w:rPr>
        <w:t>Tsuneyoshi</w:t>
      </w:r>
      <w:proofErr w:type="spellEnd"/>
      <w:r w:rsidRPr="00706E08">
        <w:rPr>
          <w:rFonts w:ascii="Book Antiqua" w:eastAsia="MS Mincho" w:hAnsi="Book Antiqua" w:cs="Times New Roman"/>
          <w:color w:val="000000" w:themeColor="text1"/>
          <w:sz w:val="24"/>
          <w:szCs w:val="24"/>
        </w:rPr>
        <w:t xml:space="preserve"> Yao</w:t>
      </w:r>
      <w:r w:rsidRPr="00706E08">
        <w:rPr>
          <w:rFonts w:ascii="Book Antiqua" w:hAnsi="Book Antiqua"/>
          <w:color w:val="000000" w:themeColor="text1"/>
          <w:sz w:val="24"/>
          <w:szCs w:val="24"/>
        </w:rPr>
        <w:t>,</w:t>
      </w:r>
      <w:r w:rsidRPr="00706E08">
        <w:rPr>
          <w:rFonts w:ascii="Book Antiqua" w:eastAsia="MS Mincho" w:hAnsi="Book Antiqua" w:cs="Times New Roman"/>
          <w:color w:val="000000" w:themeColor="text1"/>
          <w:sz w:val="24"/>
          <w:szCs w:val="24"/>
        </w:rPr>
        <w:t xml:space="preserve"> </w:t>
      </w:r>
      <w:proofErr w:type="spellStart"/>
      <w:r w:rsidRPr="00706E08">
        <w:rPr>
          <w:rFonts w:ascii="Book Antiqua" w:eastAsia="MS Mincho" w:hAnsi="Book Antiqua" w:cs="Times New Roman"/>
          <w:color w:val="000000" w:themeColor="text1"/>
          <w:sz w:val="24"/>
          <w:szCs w:val="24"/>
        </w:rPr>
        <w:t>Takehiro</w:t>
      </w:r>
      <w:proofErr w:type="spellEnd"/>
      <w:r w:rsidRPr="00706E08">
        <w:rPr>
          <w:rFonts w:ascii="Book Antiqua" w:eastAsia="MS Mincho" w:hAnsi="Book Antiqua" w:cs="Times New Roman"/>
          <w:color w:val="000000" w:themeColor="text1"/>
          <w:sz w:val="24"/>
          <w:szCs w:val="24"/>
        </w:rPr>
        <w:t xml:space="preserve"> </w:t>
      </w:r>
      <w:proofErr w:type="spellStart"/>
      <w:r w:rsidRPr="00706E08">
        <w:rPr>
          <w:rFonts w:ascii="Book Antiqua" w:eastAsia="MS Mincho" w:hAnsi="Book Antiqua" w:cs="Times New Roman"/>
          <w:color w:val="000000" w:themeColor="text1"/>
          <w:sz w:val="24"/>
          <w:szCs w:val="24"/>
        </w:rPr>
        <w:t>Torisu</w:t>
      </w:r>
      <w:proofErr w:type="spellEnd"/>
      <w:r w:rsidRPr="00706E08">
        <w:rPr>
          <w:rFonts w:ascii="Book Antiqua" w:eastAsia="MS Mincho" w:hAnsi="Book Antiqua" w:cs="Times New Roman"/>
          <w:color w:val="000000" w:themeColor="text1"/>
          <w:sz w:val="24"/>
          <w:szCs w:val="24"/>
        </w:rPr>
        <w:t xml:space="preserve">, </w:t>
      </w:r>
      <w:proofErr w:type="spellStart"/>
      <w:r w:rsidRPr="00706E08">
        <w:rPr>
          <w:rFonts w:ascii="Book Antiqua" w:eastAsia="MS Mincho" w:hAnsi="Book Antiqua" w:cs="Times New Roman"/>
          <w:color w:val="000000" w:themeColor="text1"/>
          <w:sz w:val="24"/>
          <w:szCs w:val="24"/>
        </w:rPr>
        <w:t>Takanari</w:t>
      </w:r>
      <w:proofErr w:type="spellEnd"/>
      <w:r w:rsidRPr="00706E08">
        <w:rPr>
          <w:rFonts w:ascii="Book Antiqua" w:eastAsia="MS Mincho" w:hAnsi="Book Antiqua" w:cs="Times New Roman"/>
          <w:color w:val="000000" w:themeColor="text1"/>
          <w:sz w:val="24"/>
          <w:szCs w:val="24"/>
        </w:rPr>
        <w:t xml:space="preserve"> </w:t>
      </w:r>
      <w:proofErr w:type="spellStart"/>
      <w:r w:rsidRPr="00706E08">
        <w:rPr>
          <w:rFonts w:ascii="Book Antiqua" w:eastAsia="MS Mincho" w:hAnsi="Book Antiqua" w:cs="Times New Roman"/>
          <w:color w:val="000000" w:themeColor="text1"/>
          <w:sz w:val="24"/>
          <w:szCs w:val="24"/>
        </w:rPr>
        <w:t>Kitazono</w:t>
      </w:r>
      <w:proofErr w:type="spellEnd"/>
      <w:r w:rsidRPr="00706E08">
        <w:rPr>
          <w:rFonts w:ascii="Book Antiqua" w:eastAsia="MS Mincho" w:hAnsi="Book Antiqua" w:cs="Times New Roman"/>
          <w:color w:val="000000" w:themeColor="text1"/>
          <w:sz w:val="24"/>
          <w:szCs w:val="24"/>
        </w:rPr>
        <w:t>,</w:t>
      </w:r>
      <w:r w:rsidRPr="00706E08">
        <w:rPr>
          <w:rFonts w:ascii="Book Antiqua" w:hAnsi="Book Antiqua"/>
          <w:color w:val="000000" w:themeColor="text1"/>
          <w:sz w:val="24"/>
          <w:szCs w:val="24"/>
        </w:rPr>
        <w:t xml:space="preserve"> </w:t>
      </w:r>
      <w:r w:rsidRPr="00706E08">
        <w:rPr>
          <w:rFonts w:ascii="Book Antiqua" w:eastAsia="MS Mincho" w:hAnsi="Book Antiqua" w:cs="Times New Roman"/>
          <w:color w:val="000000" w:themeColor="text1"/>
          <w:sz w:val="24"/>
          <w:szCs w:val="24"/>
        </w:rPr>
        <w:t>Takayuki Matsumoto</w:t>
      </w:r>
    </w:p>
    <w:p w14:paraId="1EDA5A86" w14:textId="77777777" w:rsidR="000C7C53" w:rsidRPr="00706E08" w:rsidRDefault="000C7C53" w:rsidP="000B52DE">
      <w:pPr>
        <w:snapToGrid w:val="0"/>
        <w:spacing w:line="360" w:lineRule="auto"/>
        <w:jc w:val="both"/>
        <w:rPr>
          <w:rFonts w:ascii="Book Antiqua" w:eastAsia="MS Mincho" w:hAnsi="Book Antiqua" w:cs="Times New Roman"/>
          <w:color w:val="000000" w:themeColor="text1"/>
          <w:sz w:val="24"/>
          <w:szCs w:val="24"/>
        </w:rPr>
      </w:pPr>
    </w:p>
    <w:p w14:paraId="39CF9581" w14:textId="6D5C111B" w:rsidR="000C7C53" w:rsidRPr="00706E08" w:rsidRDefault="000C7C53" w:rsidP="000B52DE">
      <w:pPr>
        <w:pStyle w:val="af"/>
        <w:spacing w:line="360" w:lineRule="auto"/>
        <w:jc w:val="both"/>
        <w:rPr>
          <w:rFonts w:ascii="Book Antiqua" w:eastAsia="Arial Unicode MS" w:hAnsi="Book Antiqua" w:cs="Arial Unicode MS"/>
          <w:color w:val="000000" w:themeColor="text1"/>
          <w:sz w:val="24"/>
          <w:szCs w:val="24"/>
          <w:lang w:eastAsia="zh-CN"/>
        </w:rPr>
      </w:pPr>
      <w:r w:rsidRPr="00706E08">
        <w:rPr>
          <w:rFonts w:ascii="Book Antiqua" w:eastAsia="MS Mincho" w:hAnsi="Book Antiqua" w:cs="Times New Roman"/>
          <w:b/>
          <w:color w:val="000000" w:themeColor="text1"/>
          <w:sz w:val="24"/>
          <w:szCs w:val="24"/>
        </w:rPr>
        <w:t xml:space="preserve">Yuichi </w:t>
      </w:r>
      <w:proofErr w:type="spellStart"/>
      <w:r w:rsidRPr="00706E08">
        <w:rPr>
          <w:rFonts w:ascii="Book Antiqua" w:eastAsia="MS Mincho" w:hAnsi="Book Antiqua" w:cs="Times New Roman"/>
          <w:b/>
          <w:color w:val="000000" w:themeColor="text1"/>
          <w:sz w:val="24"/>
          <w:szCs w:val="24"/>
        </w:rPr>
        <w:t>Matsuno</w:t>
      </w:r>
      <w:proofErr w:type="spellEnd"/>
      <w:r w:rsidRPr="00706E08">
        <w:rPr>
          <w:rFonts w:ascii="Book Antiqua" w:eastAsia="MS Mincho" w:hAnsi="Book Antiqua" w:cs="Times New Roman"/>
          <w:b/>
          <w:color w:val="000000" w:themeColor="text1"/>
          <w:sz w:val="24"/>
          <w:szCs w:val="24"/>
        </w:rPr>
        <w:t xml:space="preserve">, </w:t>
      </w:r>
      <w:proofErr w:type="spellStart"/>
      <w:r w:rsidRPr="00706E08">
        <w:rPr>
          <w:rFonts w:ascii="Book Antiqua" w:eastAsia="MS Mincho" w:hAnsi="Book Antiqua" w:cs="Times New Roman"/>
          <w:b/>
          <w:color w:val="000000" w:themeColor="text1"/>
          <w:sz w:val="24"/>
          <w:szCs w:val="24"/>
        </w:rPr>
        <w:t>Junji</w:t>
      </w:r>
      <w:proofErr w:type="spellEnd"/>
      <w:r w:rsidRPr="00706E08">
        <w:rPr>
          <w:rFonts w:ascii="Book Antiqua" w:eastAsia="MS Mincho" w:hAnsi="Book Antiqua" w:cs="Times New Roman"/>
          <w:b/>
          <w:color w:val="000000" w:themeColor="text1"/>
          <w:sz w:val="24"/>
          <w:szCs w:val="24"/>
        </w:rPr>
        <w:t xml:space="preserve"> </w:t>
      </w:r>
      <w:proofErr w:type="spellStart"/>
      <w:r w:rsidRPr="00706E08">
        <w:rPr>
          <w:rFonts w:ascii="Book Antiqua" w:eastAsia="MS Mincho" w:hAnsi="Book Antiqua" w:cs="Times New Roman"/>
          <w:b/>
          <w:color w:val="000000" w:themeColor="text1"/>
          <w:sz w:val="24"/>
          <w:szCs w:val="24"/>
        </w:rPr>
        <w:t>Umeno</w:t>
      </w:r>
      <w:proofErr w:type="spellEnd"/>
      <w:r w:rsidRPr="00706E08">
        <w:rPr>
          <w:rFonts w:ascii="Book Antiqua" w:eastAsia="MS Mincho" w:hAnsi="Book Antiqua" w:cs="Times New Roman"/>
          <w:b/>
          <w:color w:val="000000" w:themeColor="text1"/>
          <w:sz w:val="24"/>
          <w:szCs w:val="24"/>
        </w:rPr>
        <w:t xml:space="preserve">, </w:t>
      </w:r>
      <w:proofErr w:type="spellStart"/>
      <w:r w:rsidRPr="00706E08">
        <w:rPr>
          <w:rFonts w:ascii="Book Antiqua" w:eastAsia="MS Mincho" w:hAnsi="Book Antiqua" w:cs="Times New Roman"/>
          <w:b/>
          <w:color w:val="000000" w:themeColor="text1"/>
          <w:sz w:val="24"/>
          <w:szCs w:val="24"/>
        </w:rPr>
        <w:t>Yoichiro</w:t>
      </w:r>
      <w:proofErr w:type="spellEnd"/>
      <w:r w:rsidRPr="00706E08">
        <w:rPr>
          <w:rFonts w:ascii="Book Antiqua" w:eastAsia="MS Mincho" w:hAnsi="Book Antiqua" w:cs="Times New Roman"/>
          <w:b/>
          <w:color w:val="000000" w:themeColor="text1"/>
          <w:sz w:val="24"/>
          <w:szCs w:val="24"/>
        </w:rPr>
        <w:t xml:space="preserve"> </w:t>
      </w:r>
      <w:proofErr w:type="spellStart"/>
      <w:r w:rsidRPr="00706E08">
        <w:rPr>
          <w:rFonts w:ascii="Book Antiqua" w:eastAsia="MS Mincho" w:hAnsi="Book Antiqua" w:cs="Times New Roman"/>
          <w:b/>
          <w:color w:val="000000" w:themeColor="text1"/>
          <w:sz w:val="24"/>
          <w:szCs w:val="24"/>
        </w:rPr>
        <w:t>Hirakawa</w:t>
      </w:r>
      <w:proofErr w:type="spellEnd"/>
      <w:r w:rsidRPr="00706E08">
        <w:rPr>
          <w:rFonts w:ascii="Book Antiqua" w:eastAsia="MS Mincho" w:hAnsi="Book Antiqua" w:cs="Times New Roman"/>
          <w:b/>
          <w:color w:val="000000" w:themeColor="text1"/>
          <w:sz w:val="24"/>
          <w:szCs w:val="24"/>
        </w:rPr>
        <w:t xml:space="preserve">, Yuta </w:t>
      </w:r>
      <w:proofErr w:type="spellStart"/>
      <w:r w:rsidRPr="00706E08">
        <w:rPr>
          <w:rFonts w:ascii="Book Antiqua" w:eastAsia="MS Mincho" w:hAnsi="Book Antiqua" w:cs="Times New Roman"/>
          <w:b/>
          <w:color w:val="000000" w:themeColor="text1"/>
          <w:sz w:val="24"/>
          <w:szCs w:val="24"/>
        </w:rPr>
        <w:t>Fuyuno</w:t>
      </w:r>
      <w:proofErr w:type="spellEnd"/>
      <w:r w:rsidRPr="00706E08">
        <w:rPr>
          <w:rFonts w:ascii="Book Antiqua" w:eastAsia="MS Mincho" w:hAnsi="Book Antiqua" w:cs="Times New Roman"/>
          <w:b/>
          <w:color w:val="000000" w:themeColor="text1"/>
          <w:sz w:val="24"/>
          <w:szCs w:val="24"/>
        </w:rPr>
        <w:t xml:space="preserve">, </w:t>
      </w:r>
      <w:proofErr w:type="spellStart"/>
      <w:r w:rsidRPr="00706E08">
        <w:rPr>
          <w:rFonts w:ascii="Book Antiqua" w:eastAsia="MS Mincho" w:hAnsi="Book Antiqua" w:cs="Times New Roman"/>
          <w:b/>
          <w:color w:val="000000" w:themeColor="text1"/>
          <w:sz w:val="24"/>
          <w:szCs w:val="24"/>
        </w:rPr>
        <w:t>Yasuharu</w:t>
      </w:r>
      <w:proofErr w:type="spellEnd"/>
      <w:r w:rsidRPr="00706E08">
        <w:rPr>
          <w:rFonts w:ascii="Book Antiqua" w:eastAsia="MS Mincho" w:hAnsi="Book Antiqua" w:cs="Times New Roman"/>
          <w:b/>
          <w:color w:val="000000" w:themeColor="text1"/>
          <w:sz w:val="24"/>
          <w:szCs w:val="24"/>
        </w:rPr>
        <w:t xml:space="preserve"> Okamoto</w:t>
      </w:r>
      <w:r w:rsidRPr="00706E08">
        <w:rPr>
          <w:rFonts w:ascii="Book Antiqua" w:hAnsi="Book Antiqua"/>
          <w:b/>
          <w:color w:val="000000" w:themeColor="text1"/>
          <w:sz w:val="24"/>
          <w:szCs w:val="24"/>
        </w:rPr>
        <w:t>, Atsushi Hirano,</w:t>
      </w:r>
      <w:r w:rsidRPr="00706E08">
        <w:rPr>
          <w:rFonts w:ascii="Book Antiqua" w:eastAsia="MS Mincho" w:hAnsi="Book Antiqua" w:cs="Times New Roman"/>
          <w:b/>
          <w:color w:val="000000" w:themeColor="text1"/>
          <w:sz w:val="24"/>
          <w:szCs w:val="24"/>
        </w:rPr>
        <w:t xml:space="preserve"> </w:t>
      </w:r>
      <w:proofErr w:type="spellStart"/>
      <w:r w:rsidRPr="00706E08">
        <w:rPr>
          <w:rFonts w:ascii="Book Antiqua" w:eastAsia="MS Mincho" w:hAnsi="Book Antiqua" w:cs="Times New Roman"/>
          <w:b/>
          <w:color w:val="000000" w:themeColor="text1"/>
          <w:sz w:val="24"/>
          <w:szCs w:val="24"/>
        </w:rPr>
        <w:t>Takehiro</w:t>
      </w:r>
      <w:proofErr w:type="spellEnd"/>
      <w:r w:rsidRPr="00706E08">
        <w:rPr>
          <w:rFonts w:ascii="Book Antiqua" w:eastAsia="MS Mincho" w:hAnsi="Book Antiqua" w:cs="Times New Roman"/>
          <w:b/>
          <w:color w:val="000000" w:themeColor="text1"/>
          <w:sz w:val="24"/>
          <w:szCs w:val="24"/>
        </w:rPr>
        <w:t xml:space="preserve"> </w:t>
      </w:r>
      <w:proofErr w:type="spellStart"/>
      <w:r w:rsidRPr="00706E08">
        <w:rPr>
          <w:rFonts w:ascii="Book Antiqua" w:eastAsia="MS Mincho" w:hAnsi="Book Antiqua" w:cs="Times New Roman"/>
          <w:b/>
          <w:color w:val="000000" w:themeColor="text1"/>
          <w:sz w:val="24"/>
          <w:szCs w:val="24"/>
        </w:rPr>
        <w:t>Torisu</w:t>
      </w:r>
      <w:proofErr w:type="spellEnd"/>
      <w:r w:rsidRPr="00706E08">
        <w:rPr>
          <w:rFonts w:ascii="Book Antiqua" w:eastAsia="MS Mincho" w:hAnsi="Book Antiqua" w:cs="Times New Roman"/>
          <w:b/>
          <w:color w:val="000000" w:themeColor="text1"/>
          <w:sz w:val="24"/>
          <w:szCs w:val="24"/>
        </w:rPr>
        <w:t xml:space="preserve">, </w:t>
      </w:r>
      <w:proofErr w:type="spellStart"/>
      <w:r w:rsidRPr="00706E08">
        <w:rPr>
          <w:rFonts w:ascii="Book Antiqua" w:eastAsia="MS Mincho" w:hAnsi="Book Antiqua" w:cs="Times New Roman"/>
          <w:b/>
          <w:color w:val="000000" w:themeColor="text1"/>
          <w:sz w:val="24"/>
          <w:szCs w:val="24"/>
        </w:rPr>
        <w:t>Takanari</w:t>
      </w:r>
      <w:proofErr w:type="spellEnd"/>
      <w:r w:rsidRPr="00706E08">
        <w:rPr>
          <w:rFonts w:ascii="Book Antiqua" w:eastAsia="MS Mincho" w:hAnsi="Book Antiqua" w:cs="Times New Roman"/>
          <w:b/>
          <w:color w:val="000000" w:themeColor="text1"/>
          <w:sz w:val="24"/>
          <w:szCs w:val="24"/>
        </w:rPr>
        <w:t xml:space="preserve"> </w:t>
      </w:r>
      <w:proofErr w:type="spellStart"/>
      <w:r w:rsidRPr="00706E08">
        <w:rPr>
          <w:rFonts w:ascii="Book Antiqua" w:eastAsia="MS Mincho" w:hAnsi="Book Antiqua" w:cs="Times New Roman"/>
          <w:b/>
          <w:color w:val="000000" w:themeColor="text1"/>
          <w:sz w:val="24"/>
          <w:szCs w:val="24"/>
        </w:rPr>
        <w:t>Kitazono</w:t>
      </w:r>
      <w:proofErr w:type="spellEnd"/>
      <w:r w:rsidRPr="00706E08">
        <w:rPr>
          <w:rFonts w:ascii="Book Antiqua" w:eastAsia="MS Mincho" w:hAnsi="Book Antiqua" w:cs="Times New Roman"/>
          <w:b/>
          <w:color w:val="000000" w:themeColor="text1"/>
          <w:sz w:val="24"/>
          <w:szCs w:val="24"/>
        </w:rPr>
        <w:t xml:space="preserve">, </w:t>
      </w:r>
      <w:r w:rsidRPr="00706E08">
        <w:rPr>
          <w:rFonts w:ascii="Book Antiqua" w:eastAsia="MS Mincho" w:hAnsi="Book Antiqua" w:cs="Times New Roman"/>
          <w:color w:val="000000" w:themeColor="text1"/>
          <w:sz w:val="24"/>
          <w:szCs w:val="24"/>
        </w:rPr>
        <w:t>Department of Medicine and Clinical Science, Graduate School of Medical Sciences, Kyushu University, Fukuoka</w:t>
      </w:r>
      <w:r w:rsidR="00082300" w:rsidRPr="00706E08">
        <w:rPr>
          <w:rFonts w:ascii="Book Antiqua" w:eastAsia="MS Mincho" w:hAnsi="Book Antiqua" w:cs="Times New Roman"/>
          <w:color w:val="000000" w:themeColor="text1"/>
          <w:sz w:val="24"/>
          <w:szCs w:val="24"/>
        </w:rPr>
        <w:t xml:space="preserve"> 812-8582,</w:t>
      </w:r>
      <w:r w:rsidR="00672AE3" w:rsidRPr="00706E08">
        <w:rPr>
          <w:rFonts w:ascii="Book Antiqua" w:eastAsia="MS Mincho" w:hAnsi="Book Antiqua" w:cs="Times New Roman"/>
          <w:color w:val="000000" w:themeColor="text1"/>
          <w:sz w:val="24"/>
          <w:szCs w:val="24"/>
          <w:lang w:eastAsia="zh-CN"/>
        </w:rPr>
        <w:t xml:space="preserve"> </w:t>
      </w:r>
      <w:r w:rsidRPr="00706E08">
        <w:rPr>
          <w:rFonts w:ascii="Book Antiqua" w:eastAsia="MS Mincho" w:hAnsi="Book Antiqua" w:cs="Times New Roman"/>
          <w:color w:val="000000" w:themeColor="text1"/>
          <w:sz w:val="24"/>
          <w:szCs w:val="24"/>
        </w:rPr>
        <w:t>Japan</w:t>
      </w:r>
    </w:p>
    <w:p w14:paraId="6BA752FF" w14:textId="77777777" w:rsidR="00672AE3" w:rsidRPr="00706E08" w:rsidRDefault="00672AE3" w:rsidP="000B52DE">
      <w:pPr>
        <w:adjustRightInd w:val="0"/>
        <w:snapToGrid w:val="0"/>
        <w:spacing w:line="360" w:lineRule="auto"/>
        <w:jc w:val="both"/>
        <w:rPr>
          <w:rFonts w:ascii="Book Antiqua" w:eastAsia="等线" w:hAnsi="Book Antiqua" w:cs="Times New Roman"/>
          <w:b/>
          <w:color w:val="000000" w:themeColor="text1"/>
          <w:sz w:val="24"/>
          <w:szCs w:val="24"/>
          <w:lang w:eastAsia="zh-CN"/>
        </w:rPr>
      </w:pPr>
    </w:p>
    <w:p w14:paraId="0D27F860" w14:textId="53646FB8" w:rsidR="000C7C53" w:rsidRPr="00706E08" w:rsidRDefault="000C7C53" w:rsidP="000B52DE">
      <w:pPr>
        <w:pStyle w:val="af"/>
        <w:spacing w:line="360" w:lineRule="auto"/>
        <w:jc w:val="both"/>
        <w:rPr>
          <w:rFonts w:ascii="Book Antiqua" w:eastAsia="等线" w:hAnsi="Book Antiqua" w:cs="Arial Unicode MS"/>
          <w:color w:val="000000" w:themeColor="text1"/>
          <w:sz w:val="24"/>
          <w:szCs w:val="24"/>
          <w:lang w:eastAsia="zh-CN"/>
        </w:rPr>
      </w:pPr>
      <w:proofErr w:type="spellStart"/>
      <w:r w:rsidRPr="00706E08">
        <w:rPr>
          <w:rFonts w:ascii="Book Antiqua" w:eastAsia="MS Mincho" w:hAnsi="Book Antiqua" w:cs="Times New Roman"/>
          <w:b/>
          <w:color w:val="000000" w:themeColor="text1"/>
          <w:sz w:val="24"/>
          <w:szCs w:val="24"/>
        </w:rPr>
        <w:t>Motohiro</w:t>
      </w:r>
      <w:proofErr w:type="spellEnd"/>
      <w:r w:rsidRPr="00706E08">
        <w:rPr>
          <w:rFonts w:ascii="Book Antiqua" w:eastAsia="MS Mincho" w:hAnsi="Book Antiqua" w:cs="Times New Roman"/>
          <w:b/>
          <w:color w:val="000000" w:themeColor="text1"/>
          <w:sz w:val="24"/>
          <w:szCs w:val="24"/>
        </w:rPr>
        <w:t xml:space="preserve"> Esaki,</w:t>
      </w:r>
      <w:r w:rsidRPr="00706E08" w:rsidDel="00D73D43">
        <w:rPr>
          <w:rFonts w:ascii="Book Antiqua" w:eastAsia="MS Mincho" w:hAnsi="Book Antiqua" w:cs="Times New Roman"/>
          <w:color w:val="000000" w:themeColor="text1"/>
          <w:sz w:val="24"/>
          <w:szCs w:val="24"/>
        </w:rPr>
        <w:t xml:space="preserve"> </w:t>
      </w:r>
      <w:r w:rsidRPr="00706E08">
        <w:rPr>
          <w:rFonts w:ascii="Book Antiqua" w:eastAsia="MS Mincho" w:hAnsi="Book Antiqua" w:cs="Times New Roman"/>
          <w:color w:val="000000" w:themeColor="text1"/>
          <w:sz w:val="24"/>
          <w:szCs w:val="24"/>
        </w:rPr>
        <w:t>Department of Endoscopic Diagnostics and Therapeutic,</w:t>
      </w:r>
      <w:r w:rsidR="00F47AD0" w:rsidRPr="00706E08">
        <w:rPr>
          <w:rFonts w:ascii="Book Antiqua" w:eastAsia="MS Mincho" w:hAnsi="Book Antiqua" w:cs="Times New Roman"/>
          <w:color w:val="000000" w:themeColor="text1"/>
          <w:sz w:val="24"/>
          <w:szCs w:val="24"/>
        </w:rPr>
        <w:t xml:space="preserve"> </w:t>
      </w:r>
      <w:r w:rsidRPr="00706E08">
        <w:rPr>
          <w:rFonts w:ascii="Book Antiqua" w:eastAsia="MS Mincho" w:hAnsi="Book Antiqua" w:cs="Times New Roman"/>
          <w:color w:val="000000" w:themeColor="text1"/>
          <w:sz w:val="24"/>
          <w:szCs w:val="24"/>
        </w:rPr>
        <w:t>Saga University Hospital, Saga</w:t>
      </w:r>
      <w:r w:rsidR="00672AE3" w:rsidRPr="00706E08">
        <w:rPr>
          <w:rFonts w:ascii="Book Antiqua" w:eastAsia="MS Mincho" w:hAnsi="Book Antiqua" w:cs="Times New Roman"/>
          <w:color w:val="000000" w:themeColor="text1"/>
          <w:sz w:val="24"/>
          <w:szCs w:val="24"/>
          <w:lang w:eastAsia="zh-CN"/>
        </w:rPr>
        <w:t xml:space="preserve"> </w:t>
      </w:r>
      <w:r w:rsidR="00082300" w:rsidRPr="00706E08">
        <w:rPr>
          <w:rFonts w:ascii="Book Antiqua" w:eastAsia="MS Mincho" w:hAnsi="Book Antiqua" w:cs="Times New Roman"/>
          <w:color w:val="000000" w:themeColor="text1"/>
          <w:sz w:val="24"/>
          <w:szCs w:val="24"/>
          <w:lang w:eastAsia="zh-CN"/>
        </w:rPr>
        <w:t>849-8501</w:t>
      </w:r>
      <w:r w:rsidR="000B52DE" w:rsidRPr="00706E08">
        <w:rPr>
          <w:rFonts w:ascii="Book Antiqua" w:eastAsia="MS Mincho" w:hAnsi="Book Antiqua" w:cs="Times New Roman"/>
          <w:color w:val="000000" w:themeColor="text1"/>
          <w:sz w:val="24"/>
          <w:szCs w:val="24"/>
        </w:rPr>
        <w:t>, Japan</w:t>
      </w:r>
    </w:p>
    <w:p w14:paraId="5170388A" w14:textId="77777777" w:rsidR="00672AE3" w:rsidRPr="00706E08" w:rsidRDefault="00672AE3" w:rsidP="000B52DE">
      <w:pPr>
        <w:adjustRightInd w:val="0"/>
        <w:snapToGrid w:val="0"/>
        <w:spacing w:line="360" w:lineRule="auto"/>
        <w:jc w:val="both"/>
        <w:rPr>
          <w:rFonts w:ascii="Book Antiqua" w:eastAsia="等线" w:hAnsi="Book Antiqua" w:cs="Times New Roman"/>
          <w:color w:val="000000" w:themeColor="text1"/>
          <w:sz w:val="24"/>
          <w:szCs w:val="24"/>
          <w:lang w:eastAsia="zh-CN"/>
        </w:rPr>
      </w:pPr>
    </w:p>
    <w:p w14:paraId="5935F2C7" w14:textId="6AD73E6C" w:rsidR="000C7C53" w:rsidRPr="00706E08" w:rsidRDefault="000C7C53" w:rsidP="000B52DE">
      <w:pPr>
        <w:pStyle w:val="af"/>
        <w:spacing w:line="360" w:lineRule="auto"/>
        <w:jc w:val="both"/>
        <w:rPr>
          <w:rFonts w:ascii="Book Antiqua" w:eastAsia="Arial Unicode MS" w:hAnsi="Book Antiqua" w:cs="Arial Unicode MS"/>
          <w:color w:val="000000" w:themeColor="text1"/>
          <w:sz w:val="24"/>
          <w:szCs w:val="24"/>
          <w:lang w:eastAsia="zh-CN"/>
        </w:rPr>
      </w:pPr>
      <w:proofErr w:type="spellStart"/>
      <w:r w:rsidRPr="00706E08">
        <w:rPr>
          <w:rFonts w:ascii="Book Antiqua" w:eastAsia="MS Mincho" w:hAnsi="Book Antiqua" w:cs="Times New Roman"/>
          <w:b/>
          <w:color w:val="000000" w:themeColor="text1"/>
          <w:sz w:val="24"/>
          <w:szCs w:val="24"/>
        </w:rPr>
        <w:t>Yoichiro</w:t>
      </w:r>
      <w:proofErr w:type="spellEnd"/>
      <w:r w:rsidRPr="00706E08">
        <w:rPr>
          <w:rFonts w:ascii="Book Antiqua" w:eastAsia="MS Mincho" w:hAnsi="Book Antiqua" w:cs="Times New Roman"/>
          <w:b/>
          <w:color w:val="000000" w:themeColor="text1"/>
          <w:sz w:val="24"/>
          <w:szCs w:val="24"/>
        </w:rPr>
        <w:t xml:space="preserve"> </w:t>
      </w:r>
      <w:proofErr w:type="spellStart"/>
      <w:r w:rsidRPr="00706E08">
        <w:rPr>
          <w:rFonts w:ascii="Book Antiqua" w:eastAsia="MS Mincho" w:hAnsi="Book Antiqua" w:cs="Times New Roman"/>
          <w:b/>
          <w:color w:val="000000" w:themeColor="text1"/>
          <w:sz w:val="24"/>
          <w:szCs w:val="24"/>
        </w:rPr>
        <w:t>Hirakawa</w:t>
      </w:r>
      <w:proofErr w:type="spellEnd"/>
      <w:r w:rsidRPr="00706E08">
        <w:rPr>
          <w:rFonts w:ascii="Book Antiqua" w:eastAsia="MS Mincho" w:hAnsi="Book Antiqua" w:cs="Times New Roman"/>
          <w:b/>
          <w:color w:val="000000" w:themeColor="text1"/>
          <w:sz w:val="24"/>
          <w:szCs w:val="24"/>
        </w:rPr>
        <w:t>,</w:t>
      </w:r>
      <w:r w:rsidRPr="00706E08" w:rsidDel="00D73D43">
        <w:rPr>
          <w:rFonts w:ascii="Book Antiqua" w:eastAsia="MS Mincho" w:hAnsi="Book Antiqua" w:cs="Times New Roman"/>
          <w:color w:val="000000" w:themeColor="text1"/>
          <w:sz w:val="24"/>
          <w:szCs w:val="24"/>
        </w:rPr>
        <w:t xml:space="preserve"> </w:t>
      </w:r>
      <w:r w:rsidRPr="00706E08">
        <w:rPr>
          <w:rFonts w:ascii="Book Antiqua" w:eastAsia="MS Mincho" w:hAnsi="Book Antiqua" w:cs="Times New Roman"/>
          <w:color w:val="000000" w:themeColor="text1"/>
          <w:sz w:val="24"/>
          <w:szCs w:val="24"/>
        </w:rPr>
        <w:t>Department of Epidemiology and Public Health, Graduate School of Medical Sciences, Kyushu University, Fukuoka</w:t>
      </w:r>
      <w:r w:rsidR="00672AE3" w:rsidRPr="00706E08">
        <w:rPr>
          <w:rFonts w:ascii="Book Antiqua" w:eastAsia="MS Mincho" w:hAnsi="Book Antiqua" w:cs="Times New Roman"/>
          <w:color w:val="000000" w:themeColor="text1"/>
          <w:sz w:val="24"/>
          <w:szCs w:val="24"/>
          <w:lang w:eastAsia="zh-CN"/>
        </w:rPr>
        <w:t xml:space="preserve"> </w:t>
      </w:r>
      <w:r w:rsidR="00082300" w:rsidRPr="00706E08">
        <w:rPr>
          <w:rFonts w:ascii="Book Antiqua" w:eastAsia="MS Mincho" w:hAnsi="Book Antiqua" w:cs="Times New Roman"/>
          <w:color w:val="000000" w:themeColor="text1"/>
          <w:sz w:val="24"/>
          <w:szCs w:val="24"/>
          <w:lang w:eastAsia="zh-CN"/>
        </w:rPr>
        <w:t>812-8582</w:t>
      </w:r>
      <w:r w:rsidRPr="00706E08">
        <w:rPr>
          <w:rFonts w:ascii="Book Antiqua" w:eastAsia="MS Mincho" w:hAnsi="Book Antiqua" w:cs="Times New Roman"/>
          <w:color w:val="000000" w:themeColor="text1"/>
          <w:sz w:val="24"/>
          <w:szCs w:val="24"/>
        </w:rPr>
        <w:t xml:space="preserve">, Japan </w:t>
      </w:r>
    </w:p>
    <w:p w14:paraId="05AFA4AC" w14:textId="77777777" w:rsidR="00672AE3" w:rsidRPr="00706E08" w:rsidRDefault="00672AE3" w:rsidP="000B52DE">
      <w:pPr>
        <w:adjustRightInd w:val="0"/>
        <w:snapToGrid w:val="0"/>
        <w:spacing w:line="360" w:lineRule="auto"/>
        <w:jc w:val="both"/>
        <w:rPr>
          <w:rFonts w:ascii="Book Antiqua" w:eastAsia="等线" w:hAnsi="Book Antiqua" w:cs="Times New Roman"/>
          <w:color w:val="000000" w:themeColor="text1"/>
          <w:sz w:val="24"/>
          <w:szCs w:val="24"/>
          <w:lang w:eastAsia="zh-CN"/>
        </w:rPr>
      </w:pPr>
    </w:p>
    <w:p w14:paraId="3E4D0EEF" w14:textId="1FD90445" w:rsidR="000C7C53" w:rsidRPr="00706E08" w:rsidRDefault="000C7C53" w:rsidP="000B52DE">
      <w:pPr>
        <w:pStyle w:val="af"/>
        <w:spacing w:line="360" w:lineRule="auto"/>
        <w:jc w:val="both"/>
        <w:rPr>
          <w:rFonts w:ascii="Book Antiqua" w:eastAsia="Arial Unicode MS" w:hAnsi="Book Antiqua" w:cs="Arial Unicode MS"/>
          <w:color w:val="000000" w:themeColor="text1"/>
          <w:sz w:val="24"/>
          <w:szCs w:val="24"/>
          <w:lang w:eastAsia="zh-CN"/>
        </w:rPr>
      </w:pPr>
      <w:r w:rsidRPr="00706E08">
        <w:rPr>
          <w:rFonts w:ascii="Book Antiqua" w:hAnsi="Book Antiqua"/>
          <w:color w:val="000000" w:themeColor="text1"/>
          <w:sz w:val="24"/>
          <w:szCs w:val="24"/>
        </w:rPr>
        <w:lastRenderedPageBreak/>
        <w:t xml:space="preserve"> </w:t>
      </w:r>
      <w:r w:rsidRPr="00706E08">
        <w:rPr>
          <w:rFonts w:ascii="Book Antiqua" w:hAnsi="Book Antiqua"/>
          <w:b/>
          <w:color w:val="000000" w:themeColor="text1"/>
          <w:sz w:val="24"/>
          <w:szCs w:val="24"/>
        </w:rPr>
        <w:t>Shigeyoshi</w:t>
      </w:r>
      <w:r w:rsidRPr="00706E08">
        <w:rPr>
          <w:rFonts w:ascii="Book Antiqua" w:eastAsia="MS Mincho" w:hAnsi="Book Antiqua" w:cs="Times New Roman"/>
          <w:b/>
          <w:color w:val="000000" w:themeColor="text1"/>
          <w:sz w:val="24"/>
          <w:szCs w:val="24"/>
        </w:rPr>
        <w:t xml:space="preserve"> Yasukawa</w:t>
      </w:r>
      <w:r w:rsidRPr="00706E08">
        <w:rPr>
          <w:rFonts w:ascii="Book Antiqua" w:hAnsi="Book Antiqua"/>
          <w:b/>
          <w:color w:val="000000" w:themeColor="text1"/>
          <w:sz w:val="24"/>
          <w:szCs w:val="24"/>
        </w:rPr>
        <w:t xml:space="preserve">, </w:t>
      </w:r>
      <w:proofErr w:type="spellStart"/>
      <w:r w:rsidRPr="00706E08">
        <w:rPr>
          <w:rFonts w:ascii="Book Antiqua" w:hAnsi="Book Antiqua"/>
          <w:b/>
          <w:color w:val="000000" w:themeColor="text1"/>
          <w:sz w:val="24"/>
          <w:szCs w:val="24"/>
        </w:rPr>
        <w:t>Fumihito</w:t>
      </w:r>
      <w:proofErr w:type="spellEnd"/>
      <w:r w:rsidRPr="00706E08">
        <w:rPr>
          <w:rFonts w:ascii="Book Antiqua" w:eastAsia="MS Mincho" w:hAnsi="Book Antiqua" w:cs="Times New Roman"/>
          <w:b/>
          <w:color w:val="000000" w:themeColor="text1"/>
          <w:sz w:val="24"/>
          <w:szCs w:val="24"/>
        </w:rPr>
        <w:t xml:space="preserve"> Hirai</w:t>
      </w:r>
      <w:r w:rsidRPr="00706E08">
        <w:rPr>
          <w:rFonts w:ascii="Book Antiqua" w:hAnsi="Book Antiqua"/>
          <w:b/>
          <w:color w:val="000000" w:themeColor="text1"/>
          <w:sz w:val="24"/>
          <w:szCs w:val="24"/>
        </w:rPr>
        <w:t>, Toshiyuki Matsui,</w:t>
      </w:r>
      <w:r w:rsidRPr="00706E08">
        <w:rPr>
          <w:rFonts w:ascii="Book Antiqua" w:hAnsi="Book Antiqua" w:cs="Arial"/>
          <w:color w:val="000000" w:themeColor="text1"/>
          <w:sz w:val="24"/>
          <w:szCs w:val="24"/>
        </w:rPr>
        <w:t xml:space="preserve"> Department of Gastroenterology, Fukuoka University </w:t>
      </w:r>
      <w:proofErr w:type="spellStart"/>
      <w:r w:rsidRPr="00706E08">
        <w:rPr>
          <w:rFonts w:ascii="Book Antiqua" w:hAnsi="Book Antiqua" w:cs="Arial"/>
          <w:color w:val="000000" w:themeColor="text1"/>
          <w:sz w:val="24"/>
          <w:szCs w:val="24"/>
        </w:rPr>
        <w:t>Chikushi</w:t>
      </w:r>
      <w:proofErr w:type="spellEnd"/>
      <w:r w:rsidRPr="00706E08">
        <w:rPr>
          <w:rFonts w:ascii="Book Antiqua" w:hAnsi="Book Antiqua" w:cs="Arial"/>
          <w:color w:val="000000" w:themeColor="text1"/>
          <w:sz w:val="24"/>
          <w:szCs w:val="24"/>
        </w:rPr>
        <w:t xml:space="preserve"> Hospital, </w:t>
      </w:r>
      <w:proofErr w:type="spellStart"/>
      <w:r w:rsidRPr="00706E08">
        <w:rPr>
          <w:rFonts w:ascii="Book Antiqua" w:hAnsi="Book Antiqua" w:cs="Arial"/>
          <w:color w:val="000000" w:themeColor="text1"/>
          <w:sz w:val="24"/>
          <w:szCs w:val="24"/>
        </w:rPr>
        <w:t>Chikushino</w:t>
      </w:r>
      <w:proofErr w:type="spellEnd"/>
      <w:r w:rsidR="00672AE3" w:rsidRPr="00706E08">
        <w:rPr>
          <w:rFonts w:ascii="Book Antiqua" w:hAnsi="Book Antiqua" w:cs="Arial"/>
          <w:color w:val="000000" w:themeColor="text1"/>
          <w:sz w:val="24"/>
          <w:szCs w:val="24"/>
          <w:lang w:eastAsia="zh-CN"/>
        </w:rPr>
        <w:t xml:space="preserve"> </w:t>
      </w:r>
      <w:r w:rsidR="00082300" w:rsidRPr="00706E08">
        <w:rPr>
          <w:rFonts w:ascii="Book Antiqua" w:hAnsi="Book Antiqua" w:cs="Arial"/>
          <w:color w:val="000000" w:themeColor="text1"/>
          <w:sz w:val="24"/>
          <w:szCs w:val="24"/>
          <w:lang w:eastAsia="zh-CN"/>
        </w:rPr>
        <w:t>818-8502</w:t>
      </w:r>
      <w:r w:rsidRPr="00706E08">
        <w:rPr>
          <w:rFonts w:ascii="Book Antiqua" w:hAnsi="Book Antiqua" w:cs="Arial"/>
          <w:color w:val="000000" w:themeColor="text1"/>
          <w:sz w:val="24"/>
          <w:szCs w:val="24"/>
        </w:rPr>
        <w:t>, Japan</w:t>
      </w:r>
    </w:p>
    <w:p w14:paraId="2D42C65C" w14:textId="77777777" w:rsidR="00672AE3" w:rsidRPr="00706E08" w:rsidRDefault="00672AE3" w:rsidP="000B52DE">
      <w:pPr>
        <w:adjustRightInd w:val="0"/>
        <w:snapToGrid w:val="0"/>
        <w:spacing w:line="360" w:lineRule="auto"/>
        <w:jc w:val="both"/>
        <w:rPr>
          <w:rFonts w:ascii="Book Antiqua" w:eastAsia="等线" w:hAnsi="Book Antiqua" w:cs="Arial"/>
          <w:color w:val="000000" w:themeColor="text1"/>
          <w:sz w:val="24"/>
          <w:szCs w:val="24"/>
          <w:lang w:eastAsia="zh-CN"/>
        </w:rPr>
      </w:pPr>
    </w:p>
    <w:p w14:paraId="75C08199" w14:textId="74488826" w:rsidR="000C7C53" w:rsidRPr="00706E08" w:rsidRDefault="000C7C53" w:rsidP="000B52DE">
      <w:pPr>
        <w:pStyle w:val="af"/>
        <w:spacing w:line="360" w:lineRule="auto"/>
        <w:jc w:val="both"/>
        <w:rPr>
          <w:rFonts w:ascii="Book Antiqua" w:eastAsia="Arial Unicode MS" w:hAnsi="Book Antiqua" w:cs="Arial Unicode MS"/>
          <w:color w:val="000000" w:themeColor="text1"/>
          <w:sz w:val="24"/>
          <w:szCs w:val="24"/>
          <w:lang w:eastAsia="zh-CN"/>
        </w:rPr>
      </w:pPr>
      <w:proofErr w:type="spellStart"/>
      <w:r w:rsidRPr="00706E08">
        <w:rPr>
          <w:rFonts w:ascii="Book Antiqua" w:hAnsi="Book Antiqua"/>
          <w:b/>
          <w:color w:val="000000" w:themeColor="text1"/>
          <w:sz w:val="24"/>
          <w:szCs w:val="24"/>
        </w:rPr>
        <w:t>Shuhei</w:t>
      </w:r>
      <w:proofErr w:type="spellEnd"/>
      <w:r w:rsidRPr="00706E08">
        <w:rPr>
          <w:rFonts w:ascii="Book Antiqua" w:hAnsi="Book Antiqua"/>
          <w:b/>
          <w:color w:val="000000" w:themeColor="text1"/>
          <w:sz w:val="24"/>
          <w:szCs w:val="24"/>
        </w:rPr>
        <w:t xml:space="preserve"> </w:t>
      </w:r>
      <w:proofErr w:type="spellStart"/>
      <w:r w:rsidRPr="00706E08">
        <w:rPr>
          <w:rFonts w:ascii="Book Antiqua" w:hAnsi="Book Antiqua"/>
          <w:b/>
          <w:color w:val="000000" w:themeColor="text1"/>
          <w:sz w:val="24"/>
          <w:szCs w:val="24"/>
        </w:rPr>
        <w:t>Hosomi</w:t>
      </w:r>
      <w:proofErr w:type="spellEnd"/>
      <w:r w:rsidRPr="00706E08">
        <w:rPr>
          <w:rFonts w:ascii="Book Antiqua" w:hAnsi="Book Antiqua"/>
          <w:b/>
          <w:color w:val="000000" w:themeColor="text1"/>
          <w:sz w:val="24"/>
          <w:szCs w:val="24"/>
        </w:rPr>
        <w:t>,</w:t>
      </w:r>
      <w:r w:rsidRPr="00706E08" w:rsidDel="000145AC">
        <w:rPr>
          <w:rFonts w:ascii="Book Antiqua" w:hAnsi="Book Antiqua" w:cs="Arial"/>
          <w:color w:val="000000" w:themeColor="text1"/>
          <w:sz w:val="24"/>
          <w:szCs w:val="24"/>
        </w:rPr>
        <w:t xml:space="preserve"> </w:t>
      </w:r>
      <w:r w:rsidRPr="00706E08">
        <w:rPr>
          <w:rFonts w:ascii="Book Antiqua" w:hAnsi="Book Antiqua" w:cs="Arial"/>
          <w:color w:val="000000" w:themeColor="text1"/>
          <w:sz w:val="24"/>
          <w:szCs w:val="24"/>
        </w:rPr>
        <w:t>Department of Gastroenterology, Osaka City University Graduate School of Medicine, Osaka</w:t>
      </w:r>
      <w:r w:rsidR="00672AE3" w:rsidRPr="00706E08">
        <w:rPr>
          <w:rFonts w:ascii="Book Antiqua" w:hAnsi="Book Antiqua" w:cs="Arial"/>
          <w:color w:val="000000" w:themeColor="text1"/>
          <w:sz w:val="24"/>
          <w:szCs w:val="24"/>
          <w:lang w:eastAsia="zh-CN"/>
        </w:rPr>
        <w:t xml:space="preserve"> </w:t>
      </w:r>
      <w:r w:rsidR="00082300" w:rsidRPr="00706E08">
        <w:rPr>
          <w:rFonts w:ascii="Book Antiqua" w:hAnsi="Book Antiqua"/>
          <w:color w:val="000000" w:themeColor="text1"/>
          <w:sz w:val="24"/>
          <w:szCs w:val="24"/>
          <w:lang w:eastAsia="zh-CN"/>
        </w:rPr>
        <w:t>545-8586</w:t>
      </w:r>
      <w:r w:rsidR="000E36C2" w:rsidRPr="00706E08">
        <w:rPr>
          <w:rFonts w:ascii="Book Antiqua" w:hAnsi="Book Antiqua"/>
          <w:color w:val="000000" w:themeColor="text1"/>
          <w:sz w:val="24"/>
          <w:szCs w:val="24"/>
          <w:lang w:eastAsia="zh-CN"/>
        </w:rPr>
        <w:t>,</w:t>
      </w:r>
      <w:r w:rsidRPr="00706E08">
        <w:rPr>
          <w:rFonts w:ascii="Book Antiqua" w:hAnsi="Book Antiqua" w:cs="Arial"/>
          <w:color w:val="000000" w:themeColor="text1"/>
          <w:sz w:val="24"/>
          <w:szCs w:val="24"/>
        </w:rPr>
        <w:t xml:space="preserve"> Japan</w:t>
      </w:r>
    </w:p>
    <w:p w14:paraId="7538C40A" w14:textId="77777777" w:rsidR="00672AE3" w:rsidRPr="00706E08" w:rsidRDefault="00672AE3" w:rsidP="000B52DE">
      <w:pPr>
        <w:adjustRightInd w:val="0"/>
        <w:snapToGrid w:val="0"/>
        <w:spacing w:line="360" w:lineRule="auto"/>
        <w:jc w:val="both"/>
        <w:rPr>
          <w:rFonts w:ascii="Book Antiqua" w:eastAsia="等线" w:hAnsi="Book Antiqua" w:cs="Arial"/>
          <w:color w:val="000000" w:themeColor="text1"/>
          <w:sz w:val="24"/>
          <w:szCs w:val="24"/>
          <w:lang w:eastAsia="zh-CN"/>
        </w:rPr>
      </w:pPr>
    </w:p>
    <w:p w14:paraId="1DC59E68" w14:textId="0F49524F" w:rsidR="000C7C53" w:rsidRPr="00706E08" w:rsidRDefault="000C7C53" w:rsidP="000B52DE">
      <w:pPr>
        <w:pStyle w:val="af"/>
        <w:spacing w:line="360" w:lineRule="auto"/>
        <w:jc w:val="both"/>
        <w:rPr>
          <w:rFonts w:ascii="Book Antiqua" w:eastAsia="Arial Unicode MS" w:hAnsi="Book Antiqua" w:cs="Arial Unicode MS"/>
          <w:color w:val="000000" w:themeColor="text1"/>
          <w:sz w:val="24"/>
          <w:szCs w:val="24"/>
          <w:lang w:eastAsia="zh-CN"/>
        </w:rPr>
      </w:pPr>
      <w:r w:rsidRPr="00706E08">
        <w:rPr>
          <w:rFonts w:ascii="Book Antiqua" w:eastAsia="MS Mincho" w:hAnsi="Book Antiqua" w:cs="Times New Roman"/>
          <w:b/>
          <w:color w:val="000000" w:themeColor="text1"/>
          <w:sz w:val="24"/>
          <w:szCs w:val="24"/>
        </w:rPr>
        <w:t>Kenji Watanabe,</w:t>
      </w:r>
      <w:r w:rsidRPr="00706E08" w:rsidDel="000145AC">
        <w:rPr>
          <w:rFonts w:ascii="Book Antiqua" w:hAnsi="Book Antiqua" w:cs="Arial"/>
          <w:color w:val="000000" w:themeColor="text1"/>
          <w:sz w:val="24"/>
          <w:szCs w:val="24"/>
        </w:rPr>
        <w:t xml:space="preserve"> </w:t>
      </w:r>
      <w:r w:rsidRPr="00706E08">
        <w:rPr>
          <w:rFonts w:ascii="Book Antiqua" w:hAnsi="Book Antiqua" w:cs="Arial"/>
          <w:color w:val="000000" w:themeColor="text1"/>
          <w:sz w:val="24"/>
          <w:szCs w:val="24"/>
        </w:rPr>
        <w:t>Department of Intestinal Inflammation Research, Hyogo College of Medicine, Nishinomiya</w:t>
      </w:r>
      <w:r w:rsidR="00672AE3" w:rsidRPr="00706E08">
        <w:rPr>
          <w:rFonts w:ascii="Book Antiqua" w:hAnsi="Book Antiqua" w:cs="Arial"/>
          <w:color w:val="000000" w:themeColor="text1"/>
          <w:sz w:val="24"/>
          <w:szCs w:val="24"/>
          <w:lang w:eastAsia="zh-CN"/>
        </w:rPr>
        <w:t xml:space="preserve"> </w:t>
      </w:r>
      <w:r w:rsidR="000E36C2" w:rsidRPr="00706E08">
        <w:rPr>
          <w:rFonts w:ascii="Book Antiqua" w:hAnsi="Book Antiqua"/>
          <w:color w:val="000000" w:themeColor="text1"/>
          <w:sz w:val="24"/>
          <w:szCs w:val="24"/>
          <w:lang w:eastAsia="zh-CN"/>
        </w:rPr>
        <w:t>663-8501,</w:t>
      </w:r>
      <w:r w:rsidRPr="00706E08">
        <w:rPr>
          <w:rFonts w:ascii="Book Antiqua" w:hAnsi="Book Antiqua" w:cs="Arial"/>
          <w:color w:val="000000" w:themeColor="text1"/>
          <w:sz w:val="24"/>
          <w:szCs w:val="24"/>
        </w:rPr>
        <w:t xml:space="preserve"> Japan</w:t>
      </w:r>
    </w:p>
    <w:p w14:paraId="415ACF7A" w14:textId="77777777" w:rsidR="00672AE3" w:rsidRPr="00706E08" w:rsidRDefault="00672AE3" w:rsidP="000B52DE">
      <w:pPr>
        <w:adjustRightInd w:val="0"/>
        <w:snapToGrid w:val="0"/>
        <w:spacing w:line="360" w:lineRule="auto"/>
        <w:jc w:val="both"/>
        <w:rPr>
          <w:rFonts w:ascii="Book Antiqua" w:eastAsia="等线" w:hAnsi="Book Antiqua" w:cs="Arial"/>
          <w:color w:val="000000" w:themeColor="text1"/>
          <w:sz w:val="24"/>
          <w:szCs w:val="24"/>
          <w:lang w:eastAsia="zh-CN"/>
        </w:rPr>
      </w:pPr>
    </w:p>
    <w:p w14:paraId="53D6510A" w14:textId="0896D4E1" w:rsidR="000C7C53" w:rsidRPr="00706E08" w:rsidRDefault="000C7C53" w:rsidP="000B52DE">
      <w:pPr>
        <w:pStyle w:val="af"/>
        <w:spacing w:line="360" w:lineRule="auto"/>
        <w:jc w:val="both"/>
        <w:rPr>
          <w:rFonts w:ascii="Book Antiqua" w:eastAsia="Arial Unicode MS" w:hAnsi="Book Antiqua" w:cs="Arial Unicode MS"/>
          <w:color w:val="000000" w:themeColor="text1"/>
          <w:sz w:val="24"/>
          <w:szCs w:val="24"/>
          <w:lang w:eastAsia="zh-CN"/>
        </w:rPr>
      </w:pPr>
      <w:r w:rsidRPr="00706E08">
        <w:rPr>
          <w:rFonts w:ascii="Book Antiqua" w:eastAsia="MS Mincho" w:hAnsi="Book Antiqua" w:cs="Times New Roman"/>
          <w:b/>
          <w:color w:val="000000" w:themeColor="text1"/>
          <w:sz w:val="24"/>
          <w:szCs w:val="24"/>
        </w:rPr>
        <w:t xml:space="preserve">Naoki </w:t>
      </w:r>
      <w:proofErr w:type="spellStart"/>
      <w:r w:rsidRPr="00706E08">
        <w:rPr>
          <w:rFonts w:ascii="Book Antiqua" w:eastAsia="MS Mincho" w:hAnsi="Book Antiqua" w:cs="Times New Roman"/>
          <w:b/>
          <w:color w:val="000000" w:themeColor="text1"/>
          <w:sz w:val="24"/>
          <w:szCs w:val="24"/>
        </w:rPr>
        <w:t>Hosoe</w:t>
      </w:r>
      <w:proofErr w:type="spellEnd"/>
      <w:r w:rsidRPr="00706E08">
        <w:rPr>
          <w:rFonts w:ascii="Book Antiqua" w:hAnsi="Book Antiqua"/>
          <w:b/>
          <w:color w:val="000000" w:themeColor="text1"/>
          <w:sz w:val="24"/>
          <w:szCs w:val="24"/>
        </w:rPr>
        <w:t>,</w:t>
      </w:r>
      <w:r w:rsidRPr="00706E08">
        <w:rPr>
          <w:rFonts w:ascii="Book Antiqua" w:eastAsia="MS Mincho" w:hAnsi="Book Antiqua" w:cs="Times New Roman"/>
          <w:b/>
          <w:color w:val="000000" w:themeColor="text1"/>
          <w:sz w:val="24"/>
          <w:szCs w:val="24"/>
        </w:rPr>
        <w:t xml:space="preserve"> Haruhiko Ogata,</w:t>
      </w:r>
      <w:r w:rsidRPr="00706E08" w:rsidDel="000145AC">
        <w:rPr>
          <w:rFonts w:ascii="Book Antiqua" w:hAnsi="Book Antiqua" w:cs="Arial"/>
          <w:color w:val="000000" w:themeColor="text1"/>
          <w:sz w:val="24"/>
          <w:szCs w:val="24"/>
        </w:rPr>
        <w:t xml:space="preserve"> </w:t>
      </w:r>
      <w:r w:rsidRPr="00706E08">
        <w:rPr>
          <w:rFonts w:ascii="Book Antiqua" w:hAnsi="Book Antiqua" w:cs="Arial"/>
          <w:color w:val="000000" w:themeColor="text1"/>
          <w:sz w:val="24"/>
          <w:szCs w:val="24"/>
        </w:rPr>
        <w:t>Center for Diagnostic and Therapeutic Endoscopy, School of Medicine, Keio University, Tokyo</w:t>
      </w:r>
      <w:r w:rsidR="00672AE3" w:rsidRPr="00706E08">
        <w:rPr>
          <w:rFonts w:ascii="Book Antiqua" w:hAnsi="Book Antiqua" w:cs="Arial"/>
          <w:color w:val="000000" w:themeColor="text1"/>
          <w:sz w:val="24"/>
          <w:szCs w:val="24"/>
          <w:lang w:eastAsia="zh-CN"/>
        </w:rPr>
        <w:t xml:space="preserve"> </w:t>
      </w:r>
      <w:r w:rsidR="000E36C2" w:rsidRPr="00706E08">
        <w:rPr>
          <w:rFonts w:ascii="Book Antiqua" w:hAnsi="Book Antiqua" w:cs="Arial"/>
          <w:color w:val="000000" w:themeColor="text1"/>
          <w:sz w:val="24"/>
          <w:szCs w:val="24"/>
          <w:lang w:eastAsia="zh-CN"/>
        </w:rPr>
        <w:t>160-0016</w:t>
      </w:r>
      <w:r w:rsidRPr="00706E08">
        <w:rPr>
          <w:rFonts w:ascii="Book Antiqua" w:hAnsi="Book Antiqua" w:cs="Arial"/>
          <w:color w:val="000000" w:themeColor="text1"/>
          <w:sz w:val="24"/>
          <w:szCs w:val="24"/>
        </w:rPr>
        <w:t>, Japan</w:t>
      </w:r>
    </w:p>
    <w:p w14:paraId="5FEFBEAD" w14:textId="77777777" w:rsidR="00672AE3" w:rsidRPr="00706E08" w:rsidRDefault="00672AE3" w:rsidP="000B52DE">
      <w:pPr>
        <w:adjustRightInd w:val="0"/>
        <w:snapToGrid w:val="0"/>
        <w:spacing w:line="360" w:lineRule="auto"/>
        <w:jc w:val="both"/>
        <w:rPr>
          <w:rFonts w:ascii="Book Antiqua" w:eastAsia="等线" w:hAnsi="Book Antiqua" w:cs="Arial"/>
          <w:color w:val="000000" w:themeColor="text1"/>
          <w:sz w:val="24"/>
          <w:szCs w:val="24"/>
          <w:lang w:eastAsia="zh-CN"/>
        </w:rPr>
      </w:pPr>
    </w:p>
    <w:p w14:paraId="0B72EF15" w14:textId="6B8C78A5" w:rsidR="000C7C53" w:rsidRPr="00706E08" w:rsidRDefault="000C7C53" w:rsidP="000B52DE">
      <w:pPr>
        <w:pStyle w:val="af"/>
        <w:spacing w:line="360" w:lineRule="auto"/>
        <w:jc w:val="both"/>
        <w:rPr>
          <w:rFonts w:ascii="Book Antiqua" w:eastAsia="Arial Unicode MS" w:hAnsi="Book Antiqua" w:cs="Arial Unicode MS"/>
          <w:color w:val="000000" w:themeColor="text1"/>
          <w:sz w:val="24"/>
          <w:szCs w:val="24"/>
          <w:lang w:eastAsia="zh-CN"/>
        </w:rPr>
      </w:pPr>
      <w:proofErr w:type="spellStart"/>
      <w:r w:rsidRPr="00706E08">
        <w:rPr>
          <w:rFonts w:ascii="Book Antiqua" w:eastAsia="MS Mincho" w:hAnsi="Book Antiqua" w:cs="Times New Roman"/>
          <w:b/>
          <w:color w:val="000000" w:themeColor="text1"/>
          <w:sz w:val="24"/>
          <w:szCs w:val="24"/>
        </w:rPr>
        <w:t>Tadakazu</w:t>
      </w:r>
      <w:proofErr w:type="spellEnd"/>
      <w:r w:rsidRPr="00706E08">
        <w:rPr>
          <w:rFonts w:ascii="Book Antiqua" w:eastAsia="MS Mincho" w:hAnsi="Book Antiqua" w:cs="Times New Roman"/>
          <w:b/>
          <w:color w:val="000000" w:themeColor="text1"/>
          <w:sz w:val="24"/>
          <w:szCs w:val="24"/>
        </w:rPr>
        <w:t xml:space="preserve"> </w:t>
      </w:r>
      <w:proofErr w:type="spellStart"/>
      <w:r w:rsidRPr="00706E08">
        <w:rPr>
          <w:rFonts w:ascii="Book Antiqua" w:eastAsia="MS Mincho" w:hAnsi="Book Antiqua" w:cs="Times New Roman"/>
          <w:b/>
          <w:color w:val="000000" w:themeColor="text1"/>
          <w:sz w:val="24"/>
          <w:szCs w:val="24"/>
        </w:rPr>
        <w:t>Hisamatsu</w:t>
      </w:r>
      <w:proofErr w:type="spellEnd"/>
      <w:r w:rsidRPr="00706E08">
        <w:rPr>
          <w:rFonts w:ascii="Book Antiqua" w:hAnsi="Book Antiqua" w:cs="Arial"/>
          <w:b/>
          <w:color w:val="000000" w:themeColor="text1"/>
          <w:sz w:val="24"/>
          <w:szCs w:val="24"/>
        </w:rPr>
        <w:t>,</w:t>
      </w:r>
      <w:r w:rsidRPr="00706E08">
        <w:rPr>
          <w:rFonts w:ascii="Book Antiqua" w:hAnsi="Book Antiqua" w:cs="Arial"/>
          <w:color w:val="000000" w:themeColor="text1"/>
          <w:sz w:val="24"/>
          <w:szCs w:val="24"/>
        </w:rPr>
        <w:t xml:space="preserve"> </w:t>
      </w:r>
      <w:r w:rsidR="000B52DE" w:rsidRPr="00706E08">
        <w:rPr>
          <w:rFonts w:ascii="Book Antiqua" w:hAnsi="Book Antiqua" w:cs="Arial"/>
          <w:color w:val="000000" w:themeColor="text1"/>
          <w:sz w:val="24"/>
          <w:szCs w:val="24"/>
        </w:rPr>
        <w:t>t</w:t>
      </w:r>
      <w:r w:rsidRPr="00706E08">
        <w:rPr>
          <w:rFonts w:ascii="Book Antiqua" w:hAnsi="Book Antiqua" w:cs="Arial"/>
          <w:color w:val="000000" w:themeColor="text1"/>
          <w:sz w:val="24"/>
          <w:szCs w:val="24"/>
        </w:rPr>
        <w:t xml:space="preserve">he Third Department of Internal Medicine, </w:t>
      </w:r>
      <w:proofErr w:type="spellStart"/>
      <w:r w:rsidRPr="00706E08">
        <w:rPr>
          <w:rFonts w:ascii="Book Antiqua" w:hAnsi="Book Antiqua" w:cs="Arial"/>
          <w:color w:val="000000" w:themeColor="text1"/>
          <w:sz w:val="24"/>
          <w:szCs w:val="24"/>
        </w:rPr>
        <w:t>Kyorin</w:t>
      </w:r>
      <w:proofErr w:type="spellEnd"/>
      <w:r w:rsidRPr="00706E08">
        <w:rPr>
          <w:rFonts w:ascii="Book Antiqua" w:hAnsi="Book Antiqua" w:cs="Arial"/>
          <w:color w:val="000000" w:themeColor="text1"/>
          <w:sz w:val="24"/>
          <w:szCs w:val="24"/>
        </w:rPr>
        <w:t xml:space="preserve"> University School of Medicine, </w:t>
      </w:r>
      <w:proofErr w:type="spellStart"/>
      <w:r w:rsidRPr="00706E08">
        <w:rPr>
          <w:rFonts w:ascii="Book Antiqua" w:hAnsi="Book Antiqua" w:cs="Arial"/>
          <w:color w:val="000000" w:themeColor="text1"/>
          <w:sz w:val="24"/>
          <w:szCs w:val="24"/>
        </w:rPr>
        <w:t>Mitaka</w:t>
      </w:r>
      <w:proofErr w:type="spellEnd"/>
      <w:r w:rsidR="00672AE3" w:rsidRPr="00706E08">
        <w:rPr>
          <w:rFonts w:ascii="Book Antiqua" w:hAnsi="Book Antiqua" w:cs="Arial"/>
          <w:color w:val="000000" w:themeColor="text1"/>
          <w:sz w:val="24"/>
          <w:szCs w:val="24"/>
          <w:lang w:eastAsia="zh-CN"/>
        </w:rPr>
        <w:t xml:space="preserve"> </w:t>
      </w:r>
      <w:r w:rsidR="000E36C2" w:rsidRPr="00706E08">
        <w:rPr>
          <w:rFonts w:ascii="Book Antiqua" w:hAnsi="Book Antiqua"/>
          <w:color w:val="000000" w:themeColor="text1"/>
          <w:sz w:val="24"/>
          <w:szCs w:val="24"/>
          <w:lang w:eastAsia="zh-CN"/>
        </w:rPr>
        <w:t>181-8611,</w:t>
      </w:r>
      <w:r w:rsidRPr="00706E08">
        <w:rPr>
          <w:rFonts w:ascii="Book Antiqua" w:hAnsi="Book Antiqua" w:cs="Arial"/>
          <w:color w:val="000000" w:themeColor="text1"/>
          <w:sz w:val="24"/>
          <w:szCs w:val="24"/>
        </w:rPr>
        <w:t xml:space="preserve"> Japan</w:t>
      </w:r>
    </w:p>
    <w:p w14:paraId="534AB23F" w14:textId="77777777" w:rsidR="00672AE3" w:rsidRPr="00706E08" w:rsidRDefault="00672AE3" w:rsidP="000B52DE">
      <w:pPr>
        <w:adjustRightInd w:val="0"/>
        <w:snapToGrid w:val="0"/>
        <w:spacing w:line="360" w:lineRule="auto"/>
        <w:jc w:val="both"/>
        <w:rPr>
          <w:rFonts w:ascii="Book Antiqua" w:eastAsia="等线" w:hAnsi="Book Antiqua" w:cs="Arial"/>
          <w:b/>
          <w:color w:val="000000" w:themeColor="text1"/>
          <w:sz w:val="24"/>
          <w:szCs w:val="24"/>
          <w:lang w:eastAsia="zh-CN"/>
        </w:rPr>
      </w:pPr>
    </w:p>
    <w:p w14:paraId="73A50EDF" w14:textId="06FD5405" w:rsidR="000C7C53" w:rsidRPr="00706E08" w:rsidRDefault="000C7C53" w:rsidP="000B52DE">
      <w:pPr>
        <w:pStyle w:val="af"/>
        <w:spacing w:line="360" w:lineRule="auto"/>
        <w:jc w:val="both"/>
        <w:rPr>
          <w:rFonts w:ascii="Book Antiqua" w:eastAsia="Arial Unicode MS" w:hAnsi="Book Antiqua" w:cs="Arial Unicode MS"/>
          <w:color w:val="000000" w:themeColor="text1"/>
          <w:sz w:val="24"/>
          <w:szCs w:val="24"/>
          <w:lang w:eastAsia="zh-CN"/>
        </w:rPr>
      </w:pPr>
      <w:r w:rsidRPr="00706E08">
        <w:rPr>
          <w:rFonts w:ascii="Book Antiqua" w:eastAsia="MS Mincho" w:hAnsi="Book Antiqua" w:cs="Times New Roman"/>
          <w:b/>
          <w:color w:val="000000" w:themeColor="text1"/>
          <w:sz w:val="24"/>
          <w:szCs w:val="24"/>
        </w:rPr>
        <w:t xml:space="preserve">Shunichi </w:t>
      </w:r>
      <w:proofErr w:type="spellStart"/>
      <w:r w:rsidRPr="00706E08">
        <w:rPr>
          <w:rFonts w:ascii="Book Antiqua" w:eastAsia="MS Mincho" w:hAnsi="Book Antiqua" w:cs="Times New Roman"/>
          <w:b/>
          <w:color w:val="000000" w:themeColor="text1"/>
          <w:sz w:val="24"/>
          <w:szCs w:val="24"/>
        </w:rPr>
        <w:t>Yanai</w:t>
      </w:r>
      <w:proofErr w:type="spellEnd"/>
      <w:r w:rsidRPr="00706E08">
        <w:rPr>
          <w:rFonts w:ascii="Book Antiqua" w:eastAsia="MS Mincho" w:hAnsi="Book Antiqua" w:cs="Times New Roman"/>
          <w:b/>
          <w:color w:val="000000" w:themeColor="text1"/>
          <w:sz w:val="24"/>
          <w:szCs w:val="24"/>
        </w:rPr>
        <w:t>,</w:t>
      </w:r>
      <w:r w:rsidRPr="00706E08" w:rsidDel="000145AC">
        <w:rPr>
          <w:rFonts w:ascii="Book Antiqua" w:hAnsi="Book Antiqua" w:cs="Arial"/>
          <w:b/>
          <w:color w:val="000000" w:themeColor="text1"/>
          <w:sz w:val="24"/>
          <w:szCs w:val="24"/>
        </w:rPr>
        <w:t xml:space="preserve"> </w:t>
      </w:r>
      <w:r w:rsidRPr="00706E08">
        <w:rPr>
          <w:rFonts w:ascii="Book Antiqua" w:eastAsia="MS Mincho" w:hAnsi="Book Antiqua" w:cs="Times New Roman"/>
          <w:b/>
          <w:color w:val="000000" w:themeColor="text1"/>
          <w:sz w:val="24"/>
          <w:szCs w:val="24"/>
        </w:rPr>
        <w:t>Takayuki Matsumoto,</w:t>
      </w:r>
      <w:r w:rsidRPr="00706E08">
        <w:rPr>
          <w:rFonts w:ascii="Book Antiqua" w:eastAsia="MS Mincho" w:hAnsi="Book Antiqua" w:cs="Times New Roman"/>
          <w:color w:val="000000" w:themeColor="text1"/>
          <w:sz w:val="24"/>
          <w:szCs w:val="24"/>
        </w:rPr>
        <w:t xml:space="preserve"> </w:t>
      </w:r>
      <w:r w:rsidRPr="00706E08">
        <w:rPr>
          <w:rFonts w:ascii="Book Antiqua" w:hAnsi="Book Antiqua" w:cs="Arial"/>
          <w:color w:val="000000" w:themeColor="text1"/>
          <w:sz w:val="24"/>
          <w:szCs w:val="24"/>
        </w:rPr>
        <w:t>Division of Gastroenterology, Department of Internal Medicine, Iwate Medical University, Morioka</w:t>
      </w:r>
      <w:r w:rsidR="00672AE3" w:rsidRPr="00706E08">
        <w:rPr>
          <w:rFonts w:ascii="Book Antiqua" w:hAnsi="Book Antiqua" w:cs="Arial"/>
          <w:color w:val="000000" w:themeColor="text1"/>
          <w:sz w:val="24"/>
          <w:szCs w:val="24"/>
          <w:lang w:eastAsia="zh-CN"/>
        </w:rPr>
        <w:t xml:space="preserve"> </w:t>
      </w:r>
      <w:r w:rsidR="005D3582" w:rsidRPr="00706E08">
        <w:rPr>
          <w:rFonts w:ascii="Book Antiqua" w:hAnsi="Book Antiqua"/>
          <w:color w:val="000000" w:themeColor="text1"/>
          <w:sz w:val="24"/>
          <w:szCs w:val="24"/>
          <w:lang w:eastAsia="zh-CN"/>
        </w:rPr>
        <w:t>020-8505,</w:t>
      </w:r>
      <w:r w:rsidRPr="00706E08">
        <w:rPr>
          <w:rFonts w:ascii="Book Antiqua" w:hAnsi="Book Antiqua" w:cs="Arial"/>
          <w:color w:val="000000" w:themeColor="text1"/>
          <w:sz w:val="24"/>
          <w:szCs w:val="24"/>
        </w:rPr>
        <w:t xml:space="preserve"> Japan</w:t>
      </w:r>
    </w:p>
    <w:p w14:paraId="1E38881C" w14:textId="77777777" w:rsidR="00672AE3" w:rsidRPr="00706E08" w:rsidRDefault="00672AE3" w:rsidP="000B52DE">
      <w:pPr>
        <w:snapToGrid w:val="0"/>
        <w:spacing w:line="360" w:lineRule="auto"/>
        <w:jc w:val="both"/>
        <w:rPr>
          <w:rFonts w:ascii="Book Antiqua" w:eastAsia="等线" w:hAnsi="Book Antiqua" w:cs="Arial"/>
          <w:color w:val="000000" w:themeColor="text1"/>
          <w:sz w:val="24"/>
          <w:szCs w:val="24"/>
          <w:lang w:eastAsia="zh-CN"/>
        </w:rPr>
      </w:pPr>
    </w:p>
    <w:p w14:paraId="79CA60D3" w14:textId="166088B6" w:rsidR="000C7C53" w:rsidRPr="00706E08" w:rsidRDefault="000C7C53" w:rsidP="000B52DE">
      <w:pPr>
        <w:pStyle w:val="af"/>
        <w:spacing w:line="360" w:lineRule="auto"/>
        <w:jc w:val="both"/>
        <w:rPr>
          <w:rFonts w:ascii="Book Antiqua" w:eastAsia="Arial Unicode MS" w:hAnsi="Book Antiqua" w:cs="Arial Unicode MS"/>
          <w:color w:val="000000" w:themeColor="text1"/>
          <w:sz w:val="24"/>
          <w:szCs w:val="24"/>
          <w:lang w:eastAsia="zh-CN"/>
        </w:rPr>
      </w:pPr>
      <w:r w:rsidRPr="00706E08">
        <w:rPr>
          <w:rFonts w:ascii="Book Antiqua" w:eastAsia="MS Mincho" w:hAnsi="Book Antiqua" w:cs="Times New Roman"/>
          <w:b/>
          <w:color w:val="000000" w:themeColor="text1"/>
          <w:sz w:val="24"/>
          <w:szCs w:val="24"/>
        </w:rPr>
        <w:t>Shuji Kochi</w:t>
      </w:r>
      <w:r w:rsidRPr="00706E08">
        <w:rPr>
          <w:rFonts w:ascii="Book Antiqua" w:hAnsi="Book Antiqua"/>
          <w:b/>
          <w:color w:val="000000" w:themeColor="text1"/>
          <w:sz w:val="24"/>
          <w:szCs w:val="24"/>
        </w:rPr>
        <w:t>, Koichi</w:t>
      </w:r>
      <w:r w:rsidRPr="00706E08">
        <w:rPr>
          <w:rFonts w:ascii="Book Antiqua" w:eastAsia="MS Mincho" w:hAnsi="Book Antiqua" w:cs="Times New Roman"/>
          <w:b/>
          <w:color w:val="000000" w:themeColor="text1"/>
          <w:sz w:val="24"/>
          <w:szCs w:val="24"/>
        </w:rPr>
        <w:t xml:space="preserve"> </w:t>
      </w:r>
      <w:proofErr w:type="spellStart"/>
      <w:r w:rsidRPr="00706E08">
        <w:rPr>
          <w:rFonts w:ascii="Book Antiqua" w:eastAsia="MS Mincho" w:hAnsi="Book Antiqua" w:cs="Times New Roman"/>
          <w:b/>
          <w:color w:val="000000" w:themeColor="text1"/>
          <w:sz w:val="24"/>
          <w:szCs w:val="24"/>
        </w:rPr>
        <w:t>Kurahara</w:t>
      </w:r>
      <w:proofErr w:type="spellEnd"/>
      <w:r w:rsidRPr="00706E08">
        <w:rPr>
          <w:rFonts w:ascii="Book Antiqua" w:eastAsia="MS Mincho" w:hAnsi="Book Antiqua" w:cs="Times New Roman"/>
          <w:b/>
          <w:color w:val="000000" w:themeColor="text1"/>
          <w:sz w:val="24"/>
          <w:szCs w:val="24"/>
        </w:rPr>
        <w:t>,</w:t>
      </w:r>
      <w:r w:rsidRPr="00706E08" w:rsidDel="000145AC">
        <w:rPr>
          <w:rFonts w:ascii="Book Antiqua" w:hAnsi="Book Antiqua" w:cs="Arial"/>
          <w:color w:val="000000" w:themeColor="text1"/>
          <w:sz w:val="24"/>
          <w:szCs w:val="24"/>
        </w:rPr>
        <w:t xml:space="preserve"> </w:t>
      </w:r>
      <w:r w:rsidRPr="00706E08">
        <w:rPr>
          <w:rFonts w:ascii="Book Antiqua" w:hAnsi="Book Antiqua" w:cs="Arial"/>
          <w:color w:val="000000" w:themeColor="text1"/>
          <w:sz w:val="24"/>
          <w:szCs w:val="24"/>
        </w:rPr>
        <w:t>Division of Gastroenterology, Matsuyama Red Cross Hospital, Matsuyama</w:t>
      </w:r>
      <w:r w:rsidR="00672AE3" w:rsidRPr="00706E08">
        <w:rPr>
          <w:rFonts w:ascii="Book Antiqua" w:hAnsi="Book Antiqua" w:cs="Arial"/>
          <w:color w:val="000000" w:themeColor="text1"/>
          <w:sz w:val="24"/>
          <w:szCs w:val="24"/>
          <w:lang w:eastAsia="zh-CN"/>
        </w:rPr>
        <w:t xml:space="preserve"> </w:t>
      </w:r>
      <w:r w:rsidR="005D3582" w:rsidRPr="00706E08">
        <w:rPr>
          <w:rFonts w:ascii="Book Antiqua" w:hAnsi="Book Antiqua"/>
          <w:color w:val="000000" w:themeColor="text1"/>
          <w:sz w:val="24"/>
          <w:szCs w:val="24"/>
          <w:lang w:eastAsia="zh-CN"/>
        </w:rPr>
        <w:t>790-8524</w:t>
      </w:r>
      <w:r w:rsidRPr="00706E08">
        <w:rPr>
          <w:rFonts w:ascii="Book Antiqua" w:hAnsi="Book Antiqua" w:cs="Arial"/>
          <w:color w:val="000000" w:themeColor="text1"/>
          <w:sz w:val="24"/>
          <w:szCs w:val="24"/>
        </w:rPr>
        <w:t>, Japan</w:t>
      </w:r>
    </w:p>
    <w:p w14:paraId="63F189DE" w14:textId="77777777" w:rsidR="00672AE3" w:rsidRPr="00706E08" w:rsidRDefault="00672AE3" w:rsidP="000B52DE">
      <w:pPr>
        <w:adjustRightInd w:val="0"/>
        <w:snapToGrid w:val="0"/>
        <w:spacing w:line="360" w:lineRule="auto"/>
        <w:jc w:val="both"/>
        <w:rPr>
          <w:rFonts w:ascii="Book Antiqua" w:eastAsia="等线" w:hAnsi="Book Antiqua" w:cs="Arial"/>
          <w:color w:val="000000" w:themeColor="text1"/>
          <w:sz w:val="24"/>
          <w:szCs w:val="24"/>
          <w:lang w:eastAsia="zh-CN"/>
        </w:rPr>
      </w:pPr>
    </w:p>
    <w:p w14:paraId="4442F65F" w14:textId="39B506AC" w:rsidR="000C7C53" w:rsidRPr="00706E08" w:rsidRDefault="000C7C53" w:rsidP="000B52DE">
      <w:pPr>
        <w:pStyle w:val="af"/>
        <w:spacing w:line="360" w:lineRule="auto"/>
        <w:jc w:val="both"/>
        <w:rPr>
          <w:rFonts w:ascii="Book Antiqua" w:eastAsia="Arial Unicode MS" w:hAnsi="Book Antiqua" w:cs="Arial Unicode MS"/>
          <w:color w:val="000000" w:themeColor="text1"/>
          <w:sz w:val="24"/>
          <w:szCs w:val="24"/>
          <w:lang w:eastAsia="zh-CN"/>
        </w:rPr>
      </w:pPr>
      <w:proofErr w:type="spellStart"/>
      <w:r w:rsidRPr="00706E08">
        <w:rPr>
          <w:rFonts w:ascii="Book Antiqua" w:hAnsi="Book Antiqua"/>
          <w:b/>
          <w:color w:val="000000" w:themeColor="text1"/>
          <w:sz w:val="24"/>
          <w:szCs w:val="24"/>
        </w:rPr>
        <w:t>Tsuneyoshi</w:t>
      </w:r>
      <w:proofErr w:type="spellEnd"/>
      <w:r w:rsidRPr="00706E08">
        <w:rPr>
          <w:rFonts w:ascii="Book Antiqua" w:eastAsia="MS Mincho" w:hAnsi="Book Antiqua" w:cs="Times New Roman"/>
          <w:b/>
          <w:color w:val="000000" w:themeColor="text1"/>
          <w:sz w:val="24"/>
          <w:szCs w:val="24"/>
        </w:rPr>
        <w:t xml:space="preserve"> Yao,</w:t>
      </w:r>
      <w:r w:rsidRPr="00706E08" w:rsidDel="000145AC">
        <w:rPr>
          <w:rFonts w:ascii="Book Antiqua" w:hAnsi="Book Antiqua" w:cs="Arial"/>
          <w:color w:val="000000" w:themeColor="text1"/>
          <w:sz w:val="24"/>
          <w:szCs w:val="24"/>
        </w:rPr>
        <w:t xml:space="preserve"> </w:t>
      </w:r>
      <w:r w:rsidRPr="00706E08">
        <w:rPr>
          <w:rFonts w:ascii="Book Antiqua" w:hAnsi="Book Antiqua" w:cs="Arial"/>
          <w:color w:val="000000" w:themeColor="text1"/>
          <w:sz w:val="24"/>
          <w:szCs w:val="24"/>
        </w:rPr>
        <w:t xml:space="preserve">Department of Gastroenterology, </w:t>
      </w:r>
      <w:proofErr w:type="spellStart"/>
      <w:r w:rsidRPr="00706E08">
        <w:rPr>
          <w:rFonts w:ascii="Book Antiqua" w:hAnsi="Book Antiqua" w:cs="Arial"/>
          <w:color w:val="000000" w:themeColor="text1"/>
          <w:sz w:val="24"/>
          <w:szCs w:val="24"/>
        </w:rPr>
        <w:t>Sada</w:t>
      </w:r>
      <w:proofErr w:type="spellEnd"/>
      <w:r w:rsidRPr="00706E08">
        <w:rPr>
          <w:rFonts w:ascii="Book Antiqua" w:hAnsi="Book Antiqua" w:cs="Arial"/>
          <w:color w:val="000000" w:themeColor="text1"/>
          <w:sz w:val="24"/>
          <w:szCs w:val="24"/>
        </w:rPr>
        <w:t xml:space="preserve"> Hospital, Fukuoka</w:t>
      </w:r>
      <w:r w:rsidR="00672AE3" w:rsidRPr="00706E08">
        <w:rPr>
          <w:rFonts w:ascii="Book Antiqua" w:hAnsi="Book Antiqua" w:cs="Arial"/>
          <w:color w:val="000000" w:themeColor="text1"/>
          <w:sz w:val="24"/>
          <w:szCs w:val="24"/>
          <w:lang w:eastAsia="zh-CN"/>
        </w:rPr>
        <w:t xml:space="preserve"> </w:t>
      </w:r>
      <w:r w:rsidR="00E76C4A" w:rsidRPr="00706E08">
        <w:rPr>
          <w:rFonts w:ascii="Book Antiqua" w:hAnsi="Book Antiqua"/>
          <w:color w:val="000000" w:themeColor="text1"/>
          <w:sz w:val="24"/>
          <w:szCs w:val="24"/>
          <w:lang w:eastAsia="zh-CN"/>
        </w:rPr>
        <w:t>810-0004,</w:t>
      </w:r>
      <w:r w:rsidRPr="00706E08">
        <w:rPr>
          <w:rFonts w:ascii="Book Antiqua" w:hAnsi="Book Antiqua" w:cs="Arial"/>
          <w:color w:val="000000" w:themeColor="text1"/>
          <w:sz w:val="24"/>
          <w:szCs w:val="24"/>
        </w:rPr>
        <w:t xml:space="preserve"> Japan</w:t>
      </w:r>
    </w:p>
    <w:p w14:paraId="57F2637E" w14:textId="77777777" w:rsidR="000C7C53" w:rsidRPr="00706E08" w:rsidRDefault="000C7C53" w:rsidP="000B52DE">
      <w:pPr>
        <w:adjustRightInd w:val="0"/>
        <w:snapToGrid w:val="0"/>
        <w:spacing w:line="360" w:lineRule="auto"/>
        <w:ind w:left="142" w:hangingChars="59" w:hanging="142"/>
        <w:jc w:val="both"/>
        <w:rPr>
          <w:rFonts w:ascii="Book Antiqua" w:hAnsi="Book Antiqua" w:cs="Arial"/>
          <w:b/>
          <w:color w:val="000000" w:themeColor="text1"/>
          <w:sz w:val="24"/>
          <w:szCs w:val="24"/>
        </w:rPr>
      </w:pPr>
    </w:p>
    <w:p w14:paraId="085B4824" w14:textId="51589FB9" w:rsidR="000C7C53" w:rsidRPr="00706E08" w:rsidRDefault="000B52DE" w:rsidP="000B52DE">
      <w:pPr>
        <w:snapToGrid w:val="0"/>
        <w:spacing w:line="360" w:lineRule="auto"/>
        <w:jc w:val="both"/>
        <w:rPr>
          <w:rFonts w:ascii="Book Antiqua" w:eastAsia="等线" w:hAnsi="Book Antiqua"/>
          <w:color w:val="000000" w:themeColor="text1"/>
          <w:sz w:val="24"/>
          <w:szCs w:val="24"/>
          <w:lang w:eastAsia="zh-CN"/>
        </w:rPr>
      </w:pPr>
      <w:r w:rsidRPr="00706E08">
        <w:rPr>
          <w:rFonts w:ascii="Book Antiqua" w:hAnsi="Book Antiqua"/>
          <w:b/>
          <w:bCs/>
          <w:color w:val="000000"/>
          <w:sz w:val="24"/>
          <w:szCs w:val="24"/>
          <w:shd w:val="clear" w:color="auto" w:fill="FFFFFF"/>
        </w:rPr>
        <w:t>ORCID number</w:t>
      </w:r>
      <w:r w:rsidRPr="00706E08">
        <w:rPr>
          <w:rFonts w:ascii="Book Antiqua" w:hAnsi="Book Antiqua"/>
          <w:b/>
          <w:color w:val="000000"/>
          <w:sz w:val="24"/>
          <w:szCs w:val="24"/>
          <w:lang w:val="en-GB"/>
        </w:rPr>
        <w:t>:</w:t>
      </w:r>
      <w:r w:rsidRPr="00706E08">
        <w:rPr>
          <w:rFonts w:ascii="Book Antiqua" w:hAnsi="Book Antiqua"/>
          <w:b/>
          <w:color w:val="000000"/>
          <w:sz w:val="24"/>
          <w:szCs w:val="24"/>
          <w:lang w:val="en-GB" w:eastAsia="zh-CN"/>
        </w:rPr>
        <w:t xml:space="preserve"> </w:t>
      </w:r>
      <w:r w:rsidR="000C7C53" w:rsidRPr="00706E08">
        <w:rPr>
          <w:rFonts w:ascii="Book Antiqua" w:eastAsia="MS Mincho" w:hAnsi="Book Antiqua" w:cs="Times New Roman"/>
          <w:color w:val="000000" w:themeColor="text1"/>
          <w:sz w:val="24"/>
          <w:szCs w:val="24"/>
        </w:rPr>
        <w:t xml:space="preserve">Yuichi </w:t>
      </w:r>
      <w:proofErr w:type="spellStart"/>
      <w:r w:rsidR="000C7C53" w:rsidRPr="00706E08">
        <w:rPr>
          <w:rFonts w:ascii="Book Antiqua" w:eastAsia="MS Mincho" w:hAnsi="Book Antiqua" w:cs="Times New Roman"/>
          <w:color w:val="000000" w:themeColor="text1"/>
          <w:sz w:val="24"/>
          <w:szCs w:val="24"/>
        </w:rPr>
        <w:t>Matsuno</w:t>
      </w:r>
      <w:proofErr w:type="spellEnd"/>
      <w:r w:rsidR="000C7C53" w:rsidRPr="00706E08">
        <w:rPr>
          <w:rFonts w:ascii="Book Antiqua" w:eastAsia="MS Mincho" w:hAnsi="Book Antiqua" w:cs="Times New Roman"/>
          <w:color w:val="000000" w:themeColor="text1"/>
          <w:sz w:val="24"/>
          <w:szCs w:val="24"/>
        </w:rPr>
        <w:t xml:space="preserve"> (0000-0002-1973-2573)</w:t>
      </w:r>
      <w:r w:rsidRPr="00706E08">
        <w:rPr>
          <w:rFonts w:ascii="Book Antiqua" w:eastAsia="MS Mincho" w:hAnsi="Book Antiqua" w:cs="Times New Roman"/>
          <w:color w:val="000000" w:themeColor="text1"/>
          <w:sz w:val="24"/>
          <w:szCs w:val="24"/>
          <w:lang w:eastAsia="zh-CN"/>
        </w:rPr>
        <w:t>;</w:t>
      </w:r>
      <w:r w:rsidR="000C7C53" w:rsidRPr="00706E08">
        <w:rPr>
          <w:rFonts w:ascii="Book Antiqua" w:eastAsia="MS Mincho" w:hAnsi="Book Antiqua" w:cs="Times New Roman"/>
          <w:color w:val="000000" w:themeColor="text1"/>
          <w:sz w:val="24"/>
          <w:szCs w:val="24"/>
        </w:rPr>
        <w:t xml:space="preserve"> </w:t>
      </w:r>
      <w:proofErr w:type="spellStart"/>
      <w:r w:rsidR="000C7C53" w:rsidRPr="00706E08">
        <w:rPr>
          <w:rFonts w:ascii="Book Antiqua" w:eastAsia="MS Mincho" w:hAnsi="Book Antiqua" w:cs="Times New Roman"/>
          <w:color w:val="000000" w:themeColor="text1"/>
          <w:sz w:val="24"/>
          <w:szCs w:val="24"/>
        </w:rPr>
        <w:t>Junji</w:t>
      </w:r>
      <w:proofErr w:type="spellEnd"/>
      <w:r w:rsidR="000C7C53" w:rsidRPr="00706E08">
        <w:rPr>
          <w:rFonts w:ascii="Book Antiqua" w:eastAsia="MS Mincho" w:hAnsi="Book Antiqua" w:cs="Times New Roman"/>
          <w:color w:val="000000" w:themeColor="text1"/>
          <w:sz w:val="24"/>
          <w:szCs w:val="24"/>
        </w:rPr>
        <w:t xml:space="preserve"> </w:t>
      </w:r>
      <w:proofErr w:type="spellStart"/>
      <w:r w:rsidR="000C7C53" w:rsidRPr="00706E08">
        <w:rPr>
          <w:rFonts w:ascii="Book Antiqua" w:eastAsia="MS Mincho" w:hAnsi="Book Antiqua" w:cs="Times New Roman"/>
          <w:color w:val="000000" w:themeColor="text1"/>
          <w:sz w:val="24"/>
          <w:szCs w:val="24"/>
        </w:rPr>
        <w:t>Umeno</w:t>
      </w:r>
      <w:proofErr w:type="spellEnd"/>
      <w:r w:rsidR="000C7C53" w:rsidRPr="00706E08">
        <w:rPr>
          <w:rFonts w:ascii="Book Antiqua" w:eastAsia="MS Mincho" w:hAnsi="Book Antiqua" w:cs="Times New Roman"/>
          <w:color w:val="000000" w:themeColor="text1"/>
          <w:sz w:val="24"/>
          <w:szCs w:val="24"/>
        </w:rPr>
        <w:t xml:space="preserve"> (0000-0002-5253-5600)</w:t>
      </w:r>
      <w:r w:rsidRPr="00706E08">
        <w:rPr>
          <w:rFonts w:ascii="Book Antiqua" w:eastAsia="MS Mincho" w:hAnsi="Book Antiqua" w:cs="Times New Roman"/>
          <w:color w:val="000000" w:themeColor="text1"/>
          <w:sz w:val="24"/>
          <w:szCs w:val="24"/>
          <w:lang w:eastAsia="zh-CN"/>
        </w:rPr>
        <w:t>;</w:t>
      </w:r>
      <w:r w:rsidR="000C7C53" w:rsidRPr="00706E08">
        <w:rPr>
          <w:rFonts w:ascii="Book Antiqua" w:eastAsia="MS Mincho" w:hAnsi="Book Antiqua" w:cs="Times New Roman"/>
          <w:color w:val="000000" w:themeColor="text1"/>
          <w:sz w:val="24"/>
          <w:szCs w:val="24"/>
        </w:rPr>
        <w:t xml:space="preserve"> </w:t>
      </w:r>
      <w:proofErr w:type="spellStart"/>
      <w:r w:rsidR="000C7C53" w:rsidRPr="00706E08">
        <w:rPr>
          <w:rFonts w:ascii="Book Antiqua" w:eastAsia="MS Mincho" w:hAnsi="Book Antiqua" w:cs="Times New Roman"/>
          <w:color w:val="000000" w:themeColor="text1"/>
          <w:sz w:val="24"/>
          <w:szCs w:val="24"/>
        </w:rPr>
        <w:t>Motohiro</w:t>
      </w:r>
      <w:proofErr w:type="spellEnd"/>
      <w:r w:rsidR="000C7C53" w:rsidRPr="00706E08">
        <w:rPr>
          <w:rFonts w:ascii="Book Antiqua" w:eastAsia="MS Mincho" w:hAnsi="Book Antiqua" w:cs="Times New Roman"/>
          <w:color w:val="000000" w:themeColor="text1"/>
          <w:sz w:val="24"/>
          <w:szCs w:val="24"/>
        </w:rPr>
        <w:t xml:space="preserve"> Esaki (0000-0002-1195-0074)</w:t>
      </w:r>
      <w:r w:rsidRPr="00706E08">
        <w:rPr>
          <w:rFonts w:ascii="Book Antiqua" w:hAnsi="Book Antiqua"/>
          <w:color w:val="000000" w:themeColor="text1"/>
          <w:sz w:val="24"/>
          <w:szCs w:val="24"/>
          <w:lang w:eastAsia="zh-CN"/>
        </w:rPr>
        <w:t>;</w:t>
      </w:r>
      <w:r w:rsidR="000C7C53" w:rsidRPr="00706E08">
        <w:rPr>
          <w:rFonts w:ascii="Book Antiqua" w:hAnsi="Book Antiqua"/>
          <w:color w:val="000000" w:themeColor="text1"/>
          <w:sz w:val="24"/>
          <w:szCs w:val="24"/>
        </w:rPr>
        <w:t xml:space="preserve"> </w:t>
      </w:r>
      <w:proofErr w:type="spellStart"/>
      <w:r w:rsidR="000C7C53" w:rsidRPr="00706E08">
        <w:rPr>
          <w:rFonts w:ascii="Book Antiqua" w:eastAsia="MS Mincho" w:hAnsi="Book Antiqua" w:cs="Times New Roman"/>
          <w:color w:val="000000" w:themeColor="text1"/>
          <w:sz w:val="24"/>
          <w:szCs w:val="24"/>
        </w:rPr>
        <w:t>Yoichiro</w:t>
      </w:r>
      <w:proofErr w:type="spellEnd"/>
      <w:r w:rsidR="000C7C53" w:rsidRPr="00706E08">
        <w:rPr>
          <w:rFonts w:ascii="Book Antiqua" w:eastAsia="MS Mincho" w:hAnsi="Book Antiqua" w:cs="Times New Roman"/>
          <w:color w:val="000000" w:themeColor="text1"/>
          <w:sz w:val="24"/>
          <w:szCs w:val="24"/>
        </w:rPr>
        <w:t xml:space="preserve"> </w:t>
      </w:r>
      <w:proofErr w:type="spellStart"/>
      <w:r w:rsidR="000C7C53" w:rsidRPr="00706E08">
        <w:rPr>
          <w:rFonts w:ascii="Book Antiqua" w:eastAsia="MS Mincho" w:hAnsi="Book Antiqua" w:cs="Times New Roman"/>
          <w:color w:val="000000" w:themeColor="text1"/>
          <w:sz w:val="24"/>
          <w:szCs w:val="24"/>
        </w:rPr>
        <w:t>Hirakawa</w:t>
      </w:r>
      <w:proofErr w:type="spellEnd"/>
      <w:r w:rsidR="000C7C53" w:rsidRPr="00706E08">
        <w:rPr>
          <w:rFonts w:ascii="Book Antiqua" w:eastAsia="MS Mincho" w:hAnsi="Book Antiqua" w:cs="Times New Roman"/>
          <w:color w:val="000000" w:themeColor="text1"/>
          <w:sz w:val="24"/>
          <w:szCs w:val="24"/>
        </w:rPr>
        <w:t xml:space="preserve"> (0000-0002-</w:t>
      </w:r>
      <w:r w:rsidR="000C7C53" w:rsidRPr="00706E08">
        <w:rPr>
          <w:rFonts w:ascii="Book Antiqua" w:eastAsia="MS Mincho" w:hAnsi="Book Antiqua" w:cs="Times New Roman"/>
          <w:color w:val="000000" w:themeColor="text1"/>
          <w:sz w:val="24"/>
          <w:szCs w:val="24"/>
        </w:rPr>
        <w:lastRenderedPageBreak/>
        <w:t>4405-4399)</w:t>
      </w:r>
      <w:r w:rsidRPr="00706E08">
        <w:rPr>
          <w:rFonts w:ascii="Book Antiqua" w:eastAsia="MS Mincho" w:hAnsi="Book Antiqua" w:cs="Times New Roman"/>
          <w:color w:val="000000" w:themeColor="text1"/>
          <w:sz w:val="24"/>
          <w:szCs w:val="24"/>
          <w:lang w:eastAsia="zh-CN"/>
        </w:rPr>
        <w:t>;</w:t>
      </w:r>
      <w:r w:rsidR="000C7C53" w:rsidRPr="00706E08">
        <w:rPr>
          <w:rFonts w:ascii="Book Antiqua" w:eastAsia="MS Mincho" w:hAnsi="Book Antiqua" w:cs="Times New Roman"/>
          <w:color w:val="000000" w:themeColor="text1"/>
          <w:sz w:val="24"/>
          <w:szCs w:val="24"/>
        </w:rPr>
        <w:t xml:space="preserve"> Yuta </w:t>
      </w:r>
      <w:proofErr w:type="spellStart"/>
      <w:r w:rsidR="000C7C53" w:rsidRPr="00706E08">
        <w:rPr>
          <w:rFonts w:ascii="Book Antiqua" w:eastAsia="MS Mincho" w:hAnsi="Book Antiqua" w:cs="Times New Roman"/>
          <w:color w:val="000000" w:themeColor="text1"/>
          <w:sz w:val="24"/>
          <w:szCs w:val="24"/>
        </w:rPr>
        <w:t>Fuyuno</w:t>
      </w:r>
      <w:proofErr w:type="spellEnd"/>
      <w:r w:rsidR="000C7C53" w:rsidRPr="00706E08">
        <w:rPr>
          <w:rFonts w:ascii="Book Antiqua" w:eastAsia="MS Mincho" w:hAnsi="Book Antiqua" w:cs="Times New Roman"/>
          <w:color w:val="000000" w:themeColor="text1"/>
          <w:sz w:val="24"/>
          <w:szCs w:val="24"/>
        </w:rPr>
        <w:t xml:space="preserve"> (0000-0003-3527-5648)</w:t>
      </w:r>
      <w:r w:rsidRPr="00706E08">
        <w:rPr>
          <w:rFonts w:ascii="Book Antiqua" w:eastAsia="MS Mincho" w:hAnsi="Book Antiqua" w:cs="Times New Roman"/>
          <w:color w:val="000000" w:themeColor="text1"/>
          <w:sz w:val="24"/>
          <w:szCs w:val="24"/>
          <w:lang w:eastAsia="zh-CN"/>
        </w:rPr>
        <w:t>;</w:t>
      </w:r>
      <w:r w:rsidR="000C7C53" w:rsidRPr="00706E08">
        <w:rPr>
          <w:rFonts w:ascii="Book Antiqua" w:eastAsia="MS Mincho" w:hAnsi="Book Antiqua" w:cs="Times New Roman"/>
          <w:color w:val="000000" w:themeColor="text1"/>
          <w:sz w:val="24"/>
          <w:szCs w:val="24"/>
        </w:rPr>
        <w:t xml:space="preserve"> </w:t>
      </w:r>
      <w:proofErr w:type="spellStart"/>
      <w:r w:rsidR="000C7C53" w:rsidRPr="00706E08">
        <w:rPr>
          <w:rFonts w:ascii="Book Antiqua" w:eastAsia="MS Mincho" w:hAnsi="Book Antiqua" w:cs="Times New Roman"/>
          <w:color w:val="000000" w:themeColor="text1"/>
          <w:sz w:val="24"/>
          <w:szCs w:val="24"/>
        </w:rPr>
        <w:t>Yasuharu</w:t>
      </w:r>
      <w:proofErr w:type="spellEnd"/>
      <w:r w:rsidR="000C7C53" w:rsidRPr="00706E08">
        <w:rPr>
          <w:rFonts w:ascii="Book Antiqua" w:eastAsia="MS Mincho" w:hAnsi="Book Antiqua" w:cs="Times New Roman"/>
          <w:color w:val="000000" w:themeColor="text1"/>
          <w:sz w:val="24"/>
          <w:szCs w:val="24"/>
        </w:rPr>
        <w:t xml:space="preserve"> Okamoto (0000-0001-5693-8565)</w:t>
      </w:r>
      <w:r w:rsidRPr="00706E08">
        <w:rPr>
          <w:rFonts w:ascii="Book Antiqua" w:hAnsi="Book Antiqua"/>
          <w:color w:val="000000" w:themeColor="text1"/>
          <w:sz w:val="24"/>
          <w:szCs w:val="24"/>
          <w:lang w:eastAsia="zh-CN"/>
        </w:rPr>
        <w:t>;</w:t>
      </w:r>
      <w:r w:rsidR="000C7C53" w:rsidRPr="00706E08">
        <w:rPr>
          <w:rFonts w:ascii="Book Antiqua" w:hAnsi="Book Antiqua"/>
          <w:color w:val="000000" w:themeColor="text1"/>
          <w:sz w:val="24"/>
          <w:szCs w:val="24"/>
        </w:rPr>
        <w:t xml:space="preserve"> Atsushi Hirano (0000-0002-4791-4550)</w:t>
      </w:r>
      <w:r w:rsidRPr="00706E08">
        <w:rPr>
          <w:rFonts w:ascii="Book Antiqua" w:hAnsi="Book Antiqua"/>
          <w:color w:val="000000" w:themeColor="text1"/>
          <w:sz w:val="24"/>
          <w:szCs w:val="24"/>
          <w:lang w:eastAsia="zh-CN"/>
        </w:rPr>
        <w:t>;</w:t>
      </w:r>
      <w:r w:rsidR="000C7C53" w:rsidRPr="00706E08">
        <w:rPr>
          <w:rFonts w:ascii="Book Antiqua" w:hAnsi="Book Antiqua"/>
          <w:color w:val="000000" w:themeColor="text1"/>
          <w:sz w:val="24"/>
          <w:szCs w:val="24"/>
        </w:rPr>
        <w:t xml:space="preserve"> Shigeyoshi</w:t>
      </w:r>
      <w:r w:rsidR="000C7C53" w:rsidRPr="00706E08">
        <w:rPr>
          <w:rFonts w:ascii="Book Antiqua" w:eastAsia="MS Mincho" w:hAnsi="Book Antiqua" w:cs="Times New Roman"/>
          <w:color w:val="000000" w:themeColor="text1"/>
          <w:sz w:val="24"/>
          <w:szCs w:val="24"/>
        </w:rPr>
        <w:t xml:space="preserve"> Yasukawa (0000-0002-7421-2706)</w:t>
      </w:r>
      <w:r w:rsidRPr="00706E08">
        <w:rPr>
          <w:rFonts w:ascii="Book Antiqua" w:hAnsi="Book Antiqua"/>
          <w:color w:val="000000" w:themeColor="text1"/>
          <w:sz w:val="24"/>
          <w:szCs w:val="24"/>
          <w:lang w:eastAsia="zh-CN"/>
        </w:rPr>
        <w:t>;</w:t>
      </w:r>
      <w:r w:rsidR="000C7C53" w:rsidRPr="00706E08">
        <w:rPr>
          <w:rFonts w:ascii="Book Antiqua" w:hAnsi="Book Antiqua"/>
          <w:color w:val="000000" w:themeColor="text1"/>
          <w:sz w:val="24"/>
          <w:szCs w:val="24"/>
        </w:rPr>
        <w:t xml:space="preserve"> </w:t>
      </w:r>
      <w:proofErr w:type="spellStart"/>
      <w:r w:rsidR="000C7C53" w:rsidRPr="00706E08">
        <w:rPr>
          <w:rFonts w:ascii="Book Antiqua" w:hAnsi="Book Antiqua"/>
          <w:color w:val="000000" w:themeColor="text1"/>
          <w:sz w:val="24"/>
          <w:szCs w:val="24"/>
        </w:rPr>
        <w:t>Fumihito</w:t>
      </w:r>
      <w:proofErr w:type="spellEnd"/>
      <w:r w:rsidR="000C7C53" w:rsidRPr="00706E08">
        <w:rPr>
          <w:rFonts w:ascii="Book Antiqua" w:eastAsia="MS Mincho" w:hAnsi="Book Antiqua" w:cs="Times New Roman"/>
          <w:color w:val="000000" w:themeColor="text1"/>
          <w:sz w:val="24"/>
          <w:szCs w:val="24"/>
        </w:rPr>
        <w:t xml:space="preserve"> Hirai (0000-0002-5493-5675)</w:t>
      </w:r>
      <w:r w:rsidRPr="00706E08">
        <w:rPr>
          <w:rFonts w:ascii="Book Antiqua" w:hAnsi="Book Antiqua"/>
          <w:color w:val="000000" w:themeColor="text1"/>
          <w:sz w:val="24"/>
          <w:szCs w:val="24"/>
          <w:lang w:eastAsia="zh-CN"/>
        </w:rPr>
        <w:t>;</w:t>
      </w:r>
      <w:r w:rsidR="000C7C53" w:rsidRPr="00706E08">
        <w:rPr>
          <w:rFonts w:ascii="Book Antiqua" w:hAnsi="Book Antiqua"/>
          <w:color w:val="000000" w:themeColor="text1"/>
          <w:sz w:val="24"/>
          <w:szCs w:val="24"/>
        </w:rPr>
        <w:t xml:space="preserve"> Toshiyuki Matsui (0000-0002-1817-8064)</w:t>
      </w:r>
      <w:r w:rsidRPr="00706E08">
        <w:rPr>
          <w:rFonts w:ascii="Book Antiqua" w:hAnsi="Book Antiqua"/>
          <w:color w:val="000000" w:themeColor="text1"/>
          <w:sz w:val="24"/>
          <w:szCs w:val="24"/>
          <w:lang w:eastAsia="zh-CN"/>
        </w:rPr>
        <w:t>;</w:t>
      </w:r>
      <w:r w:rsidR="000C7C53" w:rsidRPr="00706E08">
        <w:rPr>
          <w:rFonts w:ascii="Book Antiqua" w:hAnsi="Book Antiqua"/>
          <w:color w:val="000000" w:themeColor="text1"/>
          <w:sz w:val="24"/>
          <w:szCs w:val="24"/>
        </w:rPr>
        <w:t xml:space="preserve"> </w:t>
      </w:r>
      <w:proofErr w:type="spellStart"/>
      <w:r w:rsidR="000C7C53" w:rsidRPr="00706E08">
        <w:rPr>
          <w:rFonts w:ascii="Book Antiqua" w:hAnsi="Book Antiqua"/>
          <w:color w:val="000000" w:themeColor="text1"/>
          <w:sz w:val="24"/>
          <w:szCs w:val="24"/>
        </w:rPr>
        <w:t>Shuhei</w:t>
      </w:r>
      <w:proofErr w:type="spellEnd"/>
      <w:r w:rsidR="000C7C53" w:rsidRPr="00706E08">
        <w:rPr>
          <w:rFonts w:ascii="Book Antiqua" w:hAnsi="Book Antiqua"/>
          <w:color w:val="000000" w:themeColor="text1"/>
          <w:sz w:val="24"/>
          <w:szCs w:val="24"/>
        </w:rPr>
        <w:t xml:space="preserve"> </w:t>
      </w:r>
      <w:proofErr w:type="spellStart"/>
      <w:r w:rsidR="000C7C53" w:rsidRPr="00706E08">
        <w:rPr>
          <w:rFonts w:ascii="Book Antiqua" w:hAnsi="Book Antiqua"/>
          <w:color w:val="000000" w:themeColor="text1"/>
          <w:sz w:val="24"/>
          <w:szCs w:val="24"/>
        </w:rPr>
        <w:t>Hosomi</w:t>
      </w:r>
      <w:proofErr w:type="spellEnd"/>
      <w:r w:rsidR="000C7C53" w:rsidRPr="00706E08">
        <w:rPr>
          <w:rFonts w:ascii="Book Antiqua" w:hAnsi="Book Antiqua"/>
          <w:color w:val="000000" w:themeColor="text1"/>
          <w:sz w:val="24"/>
          <w:szCs w:val="24"/>
        </w:rPr>
        <w:t xml:space="preserve"> (0000-0002-8808-5672)</w:t>
      </w:r>
      <w:r w:rsidRPr="00706E08">
        <w:rPr>
          <w:rFonts w:ascii="Book Antiqua" w:hAnsi="Book Antiqua"/>
          <w:color w:val="000000" w:themeColor="text1"/>
          <w:sz w:val="24"/>
          <w:szCs w:val="24"/>
          <w:lang w:eastAsia="zh-CN"/>
        </w:rPr>
        <w:t>;</w:t>
      </w:r>
      <w:r w:rsidR="000C7C53" w:rsidRPr="00706E08">
        <w:rPr>
          <w:rFonts w:ascii="Book Antiqua" w:hAnsi="Book Antiqua"/>
          <w:color w:val="000000" w:themeColor="text1"/>
          <w:sz w:val="24"/>
          <w:szCs w:val="24"/>
        </w:rPr>
        <w:t xml:space="preserve"> </w:t>
      </w:r>
      <w:r w:rsidR="000C7C53" w:rsidRPr="00706E08">
        <w:rPr>
          <w:rFonts w:ascii="Book Antiqua" w:eastAsia="MS Mincho" w:hAnsi="Book Antiqua" w:cs="Times New Roman"/>
          <w:color w:val="000000" w:themeColor="text1"/>
          <w:sz w:val="24"/>
          <w:szCs w:val="24"/>
        </w:rPr>
        <w:t>Kenji Watanabe (0000-0002-3781-4724)</w:t>
      </w:r>
      <w:r w:rsidRPr="00706E08">
        <w:rPr>
          <w:rFonts w:ascii="Book Antiqua" w:hAnsi="Book Antiqua"/>
          <w:color w:val="000000" w:themeColor="text1"/>
          <w:sz w:val="24"/>
          <w:szCs w:val="24"/>
          <w:lang w:eastAsia="zh-CN"/>
        </w:rPr>
        <w:t>;</w:t>
      </w:r>
      <w:r w:rsidR="000C7C53" w:rsidRPr="00706E08">
        <w:rPr>
          <w:rFonts w:ascii="Book Antiqua" w:eastAsia="MS Mincho" w:hAnsi="Book Antiqua" w:cs="Times New Roman"/>
          <w:color w:val="000000" w:themeColor="text1"/>
          <w:sz w:val="24"/>
          <w:szCs w:val="24"/>
        </w:rPr>
        <w:t xml:space="preserve"> Naoki </w:t>
      </w:r>
      <w:proofErr w:type="spellStart"/>
      <w:r w:rsidR="000C7C53" w:rsidRPr="00706E08">
        <w:rPr>
          <w:rFonts w:ascii="Book Antiqua" w:eastAsia="MS Mincho" w:hAnsi="Book Antiqua" w:cs="Times New Roman"/>
          <w:color w:val="000000" w:themeColor="text1"/>
          <w:sz w:val="24"/>
          <w:szCs w:val="24"/>
        </w:rPr>
        <w:t>Hosoe</w:t>
      </w:r>
      <w:proofErr w:type="spellEnd"/>
      <w:r w:rsidR="000C7C53" w:rsidRPr="00706E08">
        <w:rPr>
          <w:rFonts w:ascii="Book Antiqua" w:eastAsia="MS Mincho" w:hAnsi="Book Antiqua" w:cs="Times New Roman"/>
          <w:color w:val="000000" w:themeColor="text1"/>
          <w:sz w:val="24"/>
          <w:szCs w:val="24"/>
        </w:rPr>
        <w:t xml:space="preserve"> (0000-0002-4516-5648)</w:t>
      </w:r>
      <w:r w:rsidRPr="00706E08">
        <w:rPr>
          <w:rFonts w:ascii="Book Antiqua" w:hAnsi="Book Antiqua"/>
          <w:color w:val="000000" w:themeColor="text1"/>
          <w:sz w:val="24"/>
          <w:szCs w:val="24"/>
          <w:lang w:eastAsia="zh-CN"/>
        </w:rPr>
        <w:t>;</w:t>
      </w:r>
      <w:r w:rsidR="000C7C53" w:rsidRPr="00706E08">
        <w:rPr>
          <w:rFonts w:ascii="Book Antiqua" w:eastAsia="MS Mincho" w:hAnsi="Book Antiqua" w:cs="Times New Roman"/>
          <w:color w:val="000000" w:themeColor="text1"/>
          <w:sz w:val="24"/>
          <w:szCs w:val="24"/>
        </w:rPr>
        <w:t xml:space="preserve"> Haruhiko Ogata (0000-0002-3304-3635)</w:t>
      </w:r>
      <w:r w:rsidRPr="00706E08">
        <w:rPr>
          <w:rFonts w:ascii="Book Antiqua" w:eastAsia="MS Mincho" w:hAnsi="Book Antiqua" w:cs="Times New Roman"/>
          <w:color w:val="000000" w:themeColor="text1"/>
          <w:sz w:val="24"/>
          <w:szCs w:val="24"/>
          <w:lang w:eastAsia="zh-CN"/>
        </w:rPr>
        <w:t>;</w:t>
      </w:r>
      <w:r w:rsidR="000C7C53" w:rsidRPr="00706E08">
        <w:rPr>
          <w:rFonts w:ascii="Book Antiqua" w:eastAsia="MS Mincho" w:hAnsi="Book Antiqua" w:cs="Times New Roman"/>
          <w:color w:val="000000" w:themeColor="text1"/>
          <w:sz w:val="24"/>
          <w:szCs w:val="24"/>
        </w:rPr>
        <w:t xml:space="preserve"> </w:t>
      </w:r>
      <w:proofErr w:type="spellStart"/>
      <w:r w:rsidR="000C7C53" w:rsidRPr="00706E08">
        <w:rPr>
          <w:rFonts w:ascii="Book Antiqua" w:eastAsia="MS Mincho" w:hAnsi="Book Antiqua" w:cs="Times New Roman"/>
          <w:color w:val="000000" w:themeColor="text1"/>
          <w:sz w:val="24"/>
          <w:szCs w:val="24"/>
        </w:rPr>
        <w:t>Tadakazu</w:t>
      </w:r>
      <w:proofErr w:type="spellEnd"/>
      <w:r w:rsidR="000C7C53" w:rsidRPr="00706E08">
        <w:rPr>
          <w:rFonts w:ascii="Book Antiqua" w:eastAsia="MS Mincho" w:hAnsi="Book Antiqua" w:cs="Times New Roman"/>
          <w:color w:val="000000" w:themeColor="text1"/>
          <w:sz w:val="24"/>
          <w:szCs w:val="24"/>
        </w:rPr>
        <w:t xml:space="preserve"> </w:t>
      </w:r>
      <w:proofErr w:type="spellStart"/>
      <w:r w:rsidR="000C7C53" w:rsidRPr="00706E08">
        <w:rPr>
          <w:rFonts w:ascii="Book Antiqua" w:eastAsia="MS Mincho" w:hAnsi="Book Antiqua" w:cs="Times New Roman"/>
          <w:color w:val="000000" w:themeColor="text1"/>
          <w:sz w:val="24"/>
          <w:szCs w:val="24"/>
        </w:rPr>
        <w:t>Hisamatsu</w:t>
      </w:r>
      <w:proofErr w:type="spellEnd"/>
      <w:r w:rsidR="000C7C53" w:rsidRPr="00706E08">
        <w:rPr>
          <w:rFonts w:ascii="Book Antiqua" w:eastAsia="MS Mincho" w:hAnsi="Book Antiqua" w:cs="Times New Roman"/>
          <w:color w:val="000000" w:themeColor="text1"/>
          <w:sz w:val="24"/>
          <w:szCs w:val="24"/>
        </w:rPr>
        <w:t xml:space="preserve"> (0000-0002-1178-3536)</w:t>
      </w:r>
      <w:r w:rsidRPr="00706E08">
        <w:rPr>
          <w:rFonts w:ascii="Book Antiqua" w:eastAsia="MS Mincho" w:hAnsi="Book Antiqua" w:cs="Times New Roman"/>
          <w:color w:val="000000" w:themeColor="text1"/>
          <w:sz w:val="24"/>
          <w:szCs w:val="24"/>
          <w:lang w:eastAsia="zh-CN"/>
        </w:rPr>
        <w:t>;</w:t>
      </w:r>
      <w:r w:rsidR="000C7C53" w:rsidRPr="00706E08">
        <w:rPr>
          <w:rFonts w:ascii="Book Antiqua" w:eastAsia="MS Mincho" w:hAnsi="Book Antiqua" w:cs="Times New Roman"/>
          <w:color w:val="000000" w:themeColor="text1"/>
          <w:sz w:val="24"/>
          <w:szCs w:val="24"/>
        </w:rPr>
        <w:t xml:space="preserve"> Shunichi </w:t>
      </w:r>
      <w:proofErr w:type="spellStart"/>
      <w:r w:rsidR="000C7C53" w:rsidRPr="00706E08">
        <w:rPr>
          <w:rFonts w:ascii="Book Antiqua" w:eastAsia="MS Mincho" w:hAnsi="Book Antiqua" w:cs="Times New Roman"/>
          <w:color w:val="000000" w:themeColor="text1"/>
          <w:sz w:val="24"/>
          <w:szCs w:val="24"/>
        </w:rPr>
        <w:t>Yanai</w:t>
      </w:r>
      <w:proofErr w:type="spellEnd"/>
      <w:r w:rsidR="000C7C53" w:rsidRPr="00706E08">
        <w:rPr>
          <w:rFonts w:ascii="Book Antiqua" w:eastAsia="MS Mincho" w:hAnsi="Book Antiqua" w:cs="Times New Roman"/>
          <w:color w:val="000000" w:themeColor="text1"/>
          <w:sz w:val="24"/>
          <w:szCs w:val="24"/>
        </w:rPr>
        <w:t xml:space="preserve"> (0000-0003-1871-2412)</w:t>
      </w:r>
      <w:r w:rsidRPr="00706E08">
        <w:rPr>
          <w:rFonts w:ascii="Book Antiqua" w:eastAsia="MS Mincho" w:hAnsi="Book Antiqua" w:cs="Times New Roman"/>
          <w:color w:val="000000" w:themeColor="text1"/>
          <w:sz w:val="24"/>
          <w:szCs w:val="24"/>
          <w:lang w:eastAsia="zh-CN"/>
        </w:rPr>
        <w:t>;</w:t>
      </w:r>
      <w:r w:rsidR="000C7C53" w:rsidRPr="00706E08">
        <w:rPr>
          <w:rFonts w:ascii="Book Antiqua" w:eastAsia="MS Mincho" w:hAnsi="Book Antiqua" w:cs="Times New Roman"/>
          <w:color w:val="000000" w:themeColor="text1"/>
          <w:sz w:val="24"/>
          <w:szCs w:val="24"/>
        </w:rPr>
        <w:t xml:space="preserve"> Shuji Kochi (0000-0002-1783-9545)</w:t>
      </w:r>
      <w:r w:rsidRPr="00706E08">
        <w:rPr>
          <w:rFonts w:ascii="Book Antiqua" w:hAnsi="Book Antiqua"/>
          <w:color w:val="000000" w:themeColor="text1"/>
          <w:sz w:val="24"/>
          <w:szCs w:val="24"/>
          <w:lang w:eastAsia="zh-CN"/>
        </w:rPr>
        <w:t>;</w:t>
      </w:r>
      <w:r w:rsidR="000C7C53" w:rsidRPr="00706E08">
        <w:rPr>
          <w:rFonts w:ascii="Book Antiqua" w:hAnsi="Book Antiqua"/>
          <w:color w:val="000000" w:themeColor="text1"/>
          <w:sz w:val="24"/>
          <w:szCs w:val="24"/>
        </w:rPr>
        <w:t xml:space="preserve"> Koichi</w:t>
      </w:r>
      <w:r w:rsidR="000C7C53" w:rsidRPr="00706E08">
        <w:rPr>
          <w:rFonts w:ascii="Book Antiqua" w:eastAsia="MS Mincho" w:hAnsi="Book Antiqua" w:cs="Times New Roman"/>
          <w:color w:val="000000" w:themeColor="text1"/>
          <w:sz w:val="24"/>
          <w:szCs w:val="24"/>
        </w:rPr>
        <w:t xml:space="preserve"> </w:t>
      </w:r>
      <w:proofErr w:type="spellStart"/>
      <w:r w:rsidR="000C7C53" w:rsidRPr="00706E08">
        <w:rPr>
          <w:rFonts w:ascii="Book Antiqua" w:eastAsia="MS Mincho" w:hAnsi="Book Antiqua" w:cs="Times New Roman"/>
          <w:color w:val="000000" w:themeColor="text1"/>
          <w:sz w:val="24"/>
          <w:szCs w:val="24"/>
        </w:rPr>
        <w:t>Kurahara</w:t>
      </w:r>
      <w:proofErr w:type="spellEnd"/>
      <w:r w:rsidR="000C7C53" w:rsidRPr="00706E08">
        <w:rPr>
          <w:rFonts w:ascii="Book Antiqua" w:eastAsia="MS Mincho" w:hAnsi="Book Antiqua" w:cs="Times New Roman"/>
          <w:color w:val="000000" w:themeColor="text1"/>
          <w:sz w:val="24"/>
          <w:szCs w:val="24"/>
        </w:rPr>
        <w:t xml:space="preserve"> (0000-0002-6115-341X)</w:t>
      </w:r>
      <w:r w:rsidRPr="00706E08">
        <w:rPr>
          <w:rFonts w:ascii="Book Antiqua" w:hAnsi="Book Antiqua"/>
          <w:color w:val="000000" w:themeColor="text1"/>
          <w:sz w:val="24"/>
          <w:szCs w:val="24"/>
          <w:lang w:eastAsia="zh-CN"/>
        </w:rPr>
        <w:t>;</w:t>
      </w:r>
      <w:r w:rsidR="000C7C53" w:rsidRPr="00706E08">
        <w:rPr>
          <w:rFonts w:ascii="Book Antiqua" w:hAnsi="Book Antiqua"/>
          <w:color w:val="000000" w:themeColor="text1"/>
          <w:sz w:val="24"/>
          <w:szCs w:val="24"/>
        </w:rPr>
        <w:t xml:space="preserve"> </w:t>
      </w:r>
      <w:proofErr w:type="spellStart"/>
      <w:r w:rsidR="000C7C53" w:rsidRPr="00706E08">
        <w:rPr>
          <w:rFonts w:ascii="Book Antiqua" w:hAnsi="Book Antiqua"/>
          <w:color w:val="000000" w:themeColor="text1"/>
          <w:sz w:val="24"/>
          <w:szCs w:val="24"/>
        </w:rPr>
        <w:t>Tsuneyoshi</w:t>
      </w:r>
      <w:proofErr w:type="spellEnd"/>
      <w:r w:rsidR="000C7C53" w:rsidRPr="00706E08">
        <w:rPr>
          <w:rFonts w:ascii="Book Antiqua" w:eastAsia="MS Mincho" w:hAnsi="Book Antiqua" w:cs="Times New Roman"/>
          <w:color w:val="000000" w:themeColor="text1"/>
          <w:sz w:val="24"/>
          <w:szCs w:val="24"/>
        </w:rPr>
        <w:t xml:space="preserve"> Yao (0000-0002-7381-4641)</w:t>
      </w:r>
      <w:r w:rsidRPr="00706E08">
        <w:rPr>
          <w:rFonts w:ascii="Book Antiqua" w:hAnsi="Book Antiqua"/>
          <w:color w:val="000000" w:themeColor="text1"/>
          <w:sz w:val="24"/>
          <w:szCs w:val="24"/>
          <w:lang w:eastAsia="zh-CN"/>
        </w:rPr>
        <w:t>;</w:t>
      </w:r>
      <w:r w:rsidR="000C7C53" w:rsidRPr="00706E08">
        <w:rPr>
          <w:rFonts w:ascii="Book Antiqua" w:eastAsia="MS Mincho" w:hAnsi="Book Antiqua" w:cs="Times New Roman"/>
          <w:color w:val="000000" w:themeColor="text1"/>
          <w:sz w:val="24"/>
          <w:szCs w:val="24"/>
        </w:rPr>
        <w:t xml:space="preserve"> </w:t>
      </w:r>
      <w:proofErr w:type="spellStart"/>
      <w:r w:rsidR="000C7C53" w:rsidRPr="00706E08">
        <w:rPr>
          <w:rFonts w:ascii="Book Antiqua" w:eastAsia="MS Mincho" w:hAnsi="Book Antiqua" w:cs="Times New Roman"/>
          <w:color w:val="000000" w:themeColor="text1"/>
          <w:sz w:val="24"/>
          <w:szCs w:val="24"/>
        </w:rPr>
        <w:t>Takehiro</w:t>
      </w:r>
      <w:proofErr w:type="spellEnd"/>
      <w:r w:rsidR="000C7C53" w:rsidRPr="00706E08">
        <w:rPr>
          <w:rFonts w:ascii="Book Antiqua" w:eastAsia="MS Mincho" w:hAnsi="Book Antiqua" w:cs="Times New Roman"/>
          <w:color w:val="000000" w:themeColor="text1"/>
          <w:sz w:val="24"/>
          <w:szCs w:val="24"/>
        </w:rPr>
        <w:t xml:space="preserve"> </w:t>
      </w:r>
      <w:proofErr w:type="spellStart"/>
      <w:r w:rsidR="000C7C53" w:rsidRPr="00706E08">
        <w:rPr>
          <w:rFonts w:ascii="Book Antiqua" w:eastAsia="MS Mincho" w:hAnsi="Book Antiqua" w:cs="Times New Roman"/>
          <w:color w:val="000000" w:themeColor="text1"/>
          <w:sz w:val="24"/>
          <w:szCs w:val="24"/>
        </w:rPr>
        <w:t>Torisu</w:t>
      </w:r>
      <w:proofErr w:type="spellEnd"/>
      <w:r w:rsidR="000C7C53" w:rsidRPr="00706E08">
        <w:rPr>
          <w:rFonts w:ascii="Book Antiqua" w:eastAsia="MS Mincho" w:hAnsi="Book Antiqua" w:cs="Times New Roman"/>
          <w:color w:val="000000" w:themeColor="text1"/>
          <w:sz w:val="24"/>
          <w:szCs w:val="24"/>
        </w:rPr>
        <w:t xml:space="preserve"> (0000-0001-8256-2549)</w:t>
      </w:r>
      <w:r w:rsidRPr="00706E08">
        <w:rPr>
          <w:rFonts w:ascii="Book Antiqua" w:eastAsia="MS Mincho" w:hAnsi="Book Antiqua" w:cs="Times New Roman"/>
          <w:color w:val="000000" w:themeColor="text1"/>
          <w:sz w:val="24"/>
          <w:szCs w:val="24"/>
          <w:lang w:eastAsia="zh-CN"/>
        </w:rPr>
        <w:t>;</w:t>
      </w:r>
      <w:r w:rsidR="000C7C53" w:rsidRPr="00706E08">
        <w:rPr>
          <w:rFonts w:ascii="Book Antiqua" w:eastAsia="MS Mincho" w:hAnsi="Book Antiqua" w:cs="Times New Roman"/>
          <w:color w:val="000000" w:themeColor="text1"/>
          <w:sz w:val="24"/>
          <w:szCs w:val="24"/>
        </w:rPr>
        <w:t xml:space="preserve"> </w:t>
      </w:r>
      <w:proofErr w:type="spellStart"/>
      <w:r w:rsidR="000C7C53" w:rsidRPr="00706E08">
        <w:rPr>
          <w:rFonts w:ascii="Book Antiqua" w:eastAsia="MS Mincho" w:hAnsi="Book Antiqua" w:cs="Times New Roman"/>
          <w:color w:val="000000" w:themeColor="text1"/>
          <w:sz w:val="24"/>
          <w:szCs w:val="24"/>
        </w:rPr>
        <w:t>Takanari</w:t>
      </w:r>
      <w:proofErr w:type="spellEnd"/>
      <w:r w:rsidR="000C7C53" w:rsidRPr="00706E08">
        <w:rPr>
          <w:rFonts w:ascii="Book Antiqua" w:eastAsia="MS Mincho" w:hAnsi="Book Antiqua" w:cs="Times New Roman"/>
          <w:color w:val="000000" w:themeColor="text1"/>
          <w:sz w:val="24"/>
          <w:szCs w:val="24"/>
        </w:rPr>
        <w:t xml:space="preserve"> </w:t>
      </w:r>
      <w:proofErr w:type="spellStart"/>
      <w:r w:rsidR="000C7C53" w:rsidRPr="00706E08">
        <w:rPr>
          <w:rFonts w:ascii="Book Antiqua" w:eastAsia="MS Mincho" w:hAnsi="Book Antiqua" w:cs="Times New Roman"/>
          <w:color w:val="000000" w:themeColor="text1"/>
          <w:sz w:val="24"/>
          <w:szCs w:val="24"/>
        </w:rPr>
        <w:t>Kitazono</w:t>
      </w:r>
      <w:proofErr w:type="spellEnd"/>
      <w:r w:rsidR="000C7C53" w:rsidRPr="00706E08">
        <w:rPr>
          <w:rFonts w:ascii="Book Antiqua" w:eastAsia="MS Mincho" w:hAnsi="Book Antiqua" w:cs="Times New Roman"/>
          <w:color w:val="000000" w:themeColor="text1"/>
          <w:sz w:val="24"/>
          <w:szCs w:val="24"/>
        </w:rPr>
        <w:t xml:space="preserve"> (0000-0002-9006</w:t>
      </w:r>
      <w:r w:rsidRPr="00706E08">
        <w:rPr>
          <w:rFonts w:ascii="Book Antiqua" w:eastAsia="MS Mincho" w:hAnsi="Book Antiqua" w:cs="Times New Roman"/>
          <w:color w:val="000000" w:themeColor="text1"/>
          <w:sz w:val="24"/>
          <w:szCs w:val="24"/>
          <w:lang w:eastAsia="zh-CN"/>
        </w:rPr>
        <w:t>-5937</w:t>
      </w:r>
      <w:r w:rsidR="000C7C53" w:rsidRPr="00706E08">
        <w:rPr>
          <w:rFonts w:ascii="Book Antiqua" w:eastAsia="MS Mincho" w:hAnsi="Book Antiqua" w:cs="Times New Roman"/>
          <w:color w:val="000000" w:themeColor="text1"/>
          <w:sz w:val="24"/>
          <w:szCs w:val="24"/>
        </w:rPr>
        <w:t>)</w:t>
      </w:r>
      <w:r w:rsidRPr="00706E08">
        <w:rPr>
          <w:rFonts w:ascii="Book Antiqua" w:eastAsia="MS Mincho" w:hAnsi="Book Antiqua" w:cs="Times New Roman"/>
          <w:color w:val="000000" w:themeColor="text1"/>
          <w:sz w:val="24"/>
          <w:szCs w:val="24"/>
          <w:lang w:eastAsia="zh-CN"/>
        </w:rPr>
        <w:t>;</w:t>
      </w:r>
      <w:r w:rsidR="000C7C53" w:rsidRPr="00706E08">
        <w:rPr>
          <w:rFonts w:ascii="Book Antiqua" w:hAnsi="Book Antiqua"/>
          <w:color w:val="000000" w:themeColor="text1"/>
          <w:sz w:val="24"/>
          <w:szCs w:val="24"/>
        </w:rPr>
        <w:t xml:space="preserve"> </w:t>
      </w:r>
      <w:r w:rsidR="000C7C53" w:rsidRPr="00706E08">
        <w:rPr>
          <w:rFonts w:ascii="Book Antiqua" w:eastAsia="MS Mincho" w:hAnsi="Book Antiqua" w:cs="Times New Roman"/>
          <w:color w:val="000000" w:themeColor="text1"/>
          <w:sz w:val="24"/>
          <w:szCs w:val="24"/>
        </w:rPr>
        <w:t>Takayuki Matsumoto (0000-0001-9786-3854)</w:t>
      </w:r>
      <w:r w:rsidRPr="00706E08">
        <w:rPr>
          <w:rFonts w:ascii="Book Antiqua" w:hAnsi="Book Antiqua"/>
          <w:color w:val="000000" w:themeColor="text1"/>
          <w:sz w:val="24"/>
          <w:szCs w:val="24"/>
          <w:lang w:eastAsia="zh-CN"/>
        </w:rPr>
        <w:t>.</w:t>
      </w:r>
    </w:p>
    <w:p w14:paraId="30EB53BD" w14:textId="77777777" w:rsidR="000C7C53" w:rsidRPr="00706E08" w:rsidRDefault="000C7C53" w:rsidP="000B52DE">
      <w:pPr>
        <w:snapToGrid w:val="0"/>
        <w:spacing w:line="360" w:lineRule="auto"/>
        <w:jc w:val="both"/>
        <w:rPr>
          <w:rFonts w:ascii="Book Antiqua" w:hAnsi="Book Antiqua"/>
          <w:color w:val="000000" w:themeColor="text1"/>
          <w:sz w:val="24"/>
          <w:szCs w:val="24"/>
        </w:rPr>
      </w:pPr>
    </w:p>
    <w:p w14:paraId="4EF83826" w14:textId="3FCF55FA" w:rsidR="000C7C53" w:rsidRPr="00706E08" w:rsidRDefault="000B52DE" w:rsidP="000B52DE">
      <w:pPr>
        <w:snapToGrid w:val="0"/>
        <w:spacing w:line="360" w:lineRule="auto"/>
        <w:jc w:val="both"/>
        <w:rPr>
          <w:rFonts w:ascii="Book Antiqua" w:eastAsia="等线" w:hAnsi="Book Antiqua"/>
          <w:color w:val="000000" w:themeColor="text1"/>
          <w:sz w:val="24"/>
          <w:szCs w:val="24"/>
          <w:lang w:eastAsia="zh-CN"/>
        </w:rPr>
      </w:pPr>
      <w:r w:rsidRPr="00706E08">
        <w:rPr>
          <w:rFonts w:ascii="Book Antiqua" w:hAnsi="Book Antiqua"/>
          <w:b/>
          <w:color w:val="000000"/>
          <w:sz w:val="24"/>
          <w:szCs w:val="24"/>
        </w:rPr>
        <w:t>Author contributions:</w:t>
      </w:r>
      <w:r w:rsidR="000C7C53" w:rsidRPr="00706E08">
        <w:rPr>
          <w:rFonts w:ascii="Book Antiqua" w:hAnsi="Book Antiqua"/>
          <w:b/>
          <w:color w:val="000000" w:themeColor="text1"/>
          <w:sz w:val="24"/>
          <w:szCs w:val="24"/>
        </w:rPr>
        <w:t xml:space="preserve"> </w:t>
      </w:r>
      <w:r w:rsidR="000C7C53" w:rsidRPr="00706E08">
        <w:rPr>
          <w:rFonts w:ascii="Book Antiqua" w:hAnsi="Book Antiqua"/>
          <w:color w:val="000000" w:themeColor="text1"/>
          <w:sz w:val="24"/>
          <w:szCs w:val="24"/>
        </w:rPr>
        <w:t xml:space="preserve">All authors helped to perform the research; </w:t>
      </w:r>
      <w:proofErr w:type="spellStart"/>
      <w:r w:rsidR="000C7C53" w:rsidRPr="00706E08">
        <w:rPr>
          <w:rFonts w:ascii="Book Antiqua" w:hAnsi="Book Antiqua"/>
          <w:color w:val="000000" w:themeColor="text1"/>
          <w:sz w:val="24"/>
          <w:szCs w:val="24"/>
        </w:rPr>
        <w:t>Umeno</w:t>
      </w:r>
      <w:proofErr w:type="spellEnd"/>
      <w:r w:rsidR="000C7C53" w:rsidRPr="00706E08">
        <w:rPr>
          <w:rFonts w:ascii="Book Antiqua" w:hAnsi="Book Antiqua"/>
          <w:color w:val="000000" w:themeColor="text1"/>
          <w:sz w:val="24"/>
          <w:szCs w:val="24"/>
        </w:rPr>
        <w:t xml:space="preserve"> J, Esaki M</w:t>
      </w:r>
      <w:r w:rsidR="00F44DD7" w:rsidRPr="00706E08">
        <w:rPr>
          <w:rFonts w:ascii="Book Antiqua" w:eastAsia="等线" w:hAnsi="Book Antiqua"/>
          <w:color w:val="000000" w:themeColor="text1"/>
          <w:sz w:val="24"/>
          <w:szCs w:val="24"/>
          <w:lang w:eastAsia="zh-CN"/>
        </w:rPr>
        <w:t xml:space="preserve"> </w:t>
      </w:r>
      <w:r w:rsidR="000C7C53" w:rsidRPr="00706E08">
        <w:rPr>
          <w:rFonts w:ascii="Book Antiqua" w:hAnsi="Book Antiqua"/>
          <w:color w:val="000000" w:themeColor="text1"/>
          <w:sz w:val="24"/>
          <w:szCs w:val="24"/>
        </w:rPr>
        <w:t>and Matsumoto T conceived the study</w:t>
      </w:r>
      <w:r w:rsidRPr="00706E08">
        <w:rPr>
          <w:rFonts w:ascii="Book Antiqua" w:hAnsi="Book Antiqua"/>
          <w:color w:val="000000" w:themeColor="text1"/>
          <w:sz w:val="24"/>
          <w:szCs w:val="24"/>
          <w:lang w:eastAsia="zh-CN"/>
        </w:rPr>
        <w:t>;</w:t>
      </w:r>
      <w:r w:rsidR="000C7C53" w:rsidRPr="00706E08">
        <w:rPr>
          <w:rFonts w:ascii="Book Antiqua" w:hAnsi="Book Antiqua"/>
          <w:color w:val="000000" w:themeColor="text1"/>
          <w:sz w:val="24"/>
          <w:szCs w:val="24"/>
        </w:rPr>
        <w:t xml:space="preserve"> </w:t>
      </w:r>
      <w:proofErr w:type="spellStart"/>
      <w:r w:rsidR="000C7C53" w:rsidRPr="00706E08">
        <w:rPr>
          <w:rFonts w:ascii="Book Antiqua" w:hAnsi="Book Antiqua"/>
          <w:color w:val="000000" w:themeColor="text1"/>
          <w:sz w:val="24"/>
          <w:szCs w:val="24"/>
        </w:rPr>
        <w:t>Matsuno</w:t>
      </w:r>
      <w:proofErr w:type="spellEnd"/>
      <w:r w:rsidR="000C7C53" w:rsidRPr="00706E08">
        <w:rPr>
          <w:rFonts w:ascii="Book Antiqua" w:hAnsi="Book Antiqua"/>
          <w:color w:val="000000" w:themeColor="text1"/>
          <w:sz w:val="24"/>
          <w:szCs w:val="24"/>
        </w:rPr>
        <w:t xml:space="preserve"> Y and </w:t>
      </w:r>
      <w:proofErr w:type="spellStart"/>
      <w:r w:rsidR="000C7C53" w:rsidRPr="00706E08">
        <w:rPr>
          <w:rFonts w:ascii="Book Antiqua" w:hAnsi="Book Antiqua"/>
          <w:color w:val="000000" w:themeColor="text1"/>
          <w:sz w:val="24"/>
          <w:szCs w:val="24"/>
        </w:rPr>
        <w:t>Hirakawa</w:t>
      </w:r>
      <w:proofErr w:type="spellEnd"/>
      <w:r w:rsidR="000C7C53" w:rsidRPr="00706E08">
        <w:rPr>
          <w:rFonts w:ascii="Book Antiqua" w:hAnsi="Book Antiqua"/>
          <w:color w:val="000000" w:themeColor="text1"/>
          <w:sz w:val="24"/>
          <w:szCs w:val="24"/>
        </w:rPr>
        <w:t xml:space="preserve"> Y contributed to statistical analysis and data interpretation</w:t>
      </w:r>
      <w:r w:rsidRPr="00706E08">
        <w:rPr>
          <w:rFonts w:ascii="Book Antiqua" w:hAnsi="Book Antiqua"/>
          <w:color w:val="000000" w:themeColor="text1"/>
          <w:sz w:val="24"/>
          <w:szCs w:val="24"/>
          <w:lang w:eastAsia="zh-CN"/>
        </w:rPr>
        <w:t>;</w:t>
      </w:r>
      <w:r w:rsidR="000C7C53" w:rsidRPr="00706E08">
        <w:rPr>
          <w:rFonts w:ascii="Book Antiqua" w:hAnsi="Book Antiqua"/>
          <w:color w:val="000000" w:themeColor="text1"/>
          <w:sz w:val="24"/>
          <w:szCs w:val="24"/>
        </w:rPr>
        <w:t xml:space="preserve"> </w:t>
      </w:r>
      <w:proofErr w:type="spellStart"/>
      <w:r w:rsidR="000C7C53" w:rsidRPr="00706E08">
        <w:rPr>
          <w:rFonts w:ascii="Book Antiqua" w:hAnsi="Book Antiqua"/>
          <w:color w:val="000000" w:themeColor="text1"/>
          <w:sz w:val="24"/>
          <w:szCs w:val="24"/>
        </w:rPr>
        <w:t>Matsuno</w:t>
      </w:r>
      <w:proofErr w:type="spellEnd"/>
      <w:r w:rsidR="000C7C53" w:rsidRPr="00706E08">
        <w:rPr>
          <w:rFonts w:ascii="Book Antiqua" w:hAnsi="Book Antiqua"/>
          <w:color w:val="000000" w:themeColor="text1"/>
          <w:sz w:val="24"/>
          <w:szCs w:val="24"/>
        </w:rPr>
        <w:t xml:space="preserve"> Y, </w:t>
      </w:r>
      <w:proofErr w:type="spellStart"/>
      <w:r w:rsidR="000C7C53" w:rsidRPr="00706E08">
        <w:rPr>
          <w:rFonts w:ascii="Book Antiqua" w:hAnsi="Book Antiqua"/>
          <w:color w:val="000000" w:themeColor="text1"/>
          <w:sz w:val="24"/>
          <w:szCs w:val="24"/>
        </w:rPr>
        <w:t>Umeno</w:t>
      </w:r>
      <w:proofErr w:type="spellEnd"/>
      <w:r w:rsidR="000C7C53" w:rsidRPr="00706E08">
        <w:rPr>
          <w:rFonts w:ascii="Book Antiqua" w:hAnsi="Book Antiqua"/>
          <w:color w:val="000000" w:themeColor="text1"/>
          <w:sz w:val="24"/>
          <w:szCs w:val="24"/>
        </w:rPr>
        <w:t xml:space="preserve"> J, </w:t>
      </w:r>
      <w:proofErr w:type="spellStart"/>
      <w:r w:rsidR="000C7C53" w:rsidRPr="00706E08">
        <w:rPr>
          <w:rFonts w:ascii="Book Antiqua" w:hAnsi="Book Antiqua"/>
          <w:color w:val="000000" w:themeColor="text1"/>
          <w:sz w:val="24"/>
          <w:szCs w:val="24"/>
        </w:rPr>
        <w:t>Torisu</w:t>
      </w:r>
      <w:proofErr w:type="spellEnd"/>
      <w:r w:rsidR="000C7C53" w:rsidRPr="00706E08">
        <w:rPr>
          <w:rFonts w:ascii="Book Antiqua" w:hAnsi="Book Antiqua"/>
          <w:color w:val="000000" w:themeColor="text1"/>
          <w:sz w:val="24"/>
          <w:szCs w:val="24"/>
        </w:rPr>
        <w:t xml:space="preserve"> T and Esaki M drafted the </w:t>
      </w:r>
      <w:r w:rsidRPr="00706E08">
        <w:rPr>
          <w:rFonts w:ascii="Book Antiqua" w:hAnsi="Book Antiqua"/>
          <w:color w:val="000000" w:themeColor="text1"/>
          <w:sz w:val="24"/>
          <w:szCs w:val="24"/>
        </w:rPr>
        <w:t>manuscript</w:t>
      </w:r>
      <w:r w:rsidRPr="00706E08">
        <w:rPr>
          <w:rFonts w:ascii="Book Antiqua" w:hAnsi="Book Antiqua"/>
          <w:color w:val="000000" w:themeColor="text1"/>
          <w:sz w:val="24"/>
          <w:szCs w:val="24"/>
          <w:lang w:eastAsia="zh-CN"/>
        </w:rPr>
        <w:t>;</w:t>
      </w:r>
      <w:r w:rsidR="000C7C53" w:rsidRPr="00706E08">
        <w:rPr>
          <w:rFonts w:ascii="Book Antiqua" w:hAnsi="Book Antiqua"/>
          <w:color w:val="000000" w:themeColor="text1"/>
          <w:sz w:val="24"/>
          <w:szCs w:val="24"/>
        </w:rPr>
        <w:t xml:space="preserve"> </w:t>
      </w:r>
      <w:proofErr w:type="spellStart"/>
      <w:r w:rsidR="000C7C53" w:rsidRPr="00706E08">
        <w:rPr>
          <w:rFonts w:ascii="Book Antiqua" w:hAnsi="Book Antiqua"/>
          <w:color w:val="000000" w:themeColor="text1"/>
          <w:sz w:val="24"/>
          <w:szCs w:val="24"/>
        </w:rPr>
        <w:t>Matsuno</w:t>
      </w:r>
      <w:proofErr w:type="spellEnd"/>
      <w:r w:rsidR="000C7C53" w:rsidRPr="00706E08">
        <w:rPr>
          <w:rFonts w:ascii="Book Antiqua" w:hAnsi="Book Antiqua"/>
          <w:color w:val="000000" w:themeColor="text1"/>
          <w:sz w:val="24"/>
          <w:szCs w:val="24"/>
        </w:rPr>
        <w:t xml:space="preserve"> Y, </w:t>
      </w:r>
      <w:proofErr w:type="spellStart"/>
      <w:r w:rsidR="000C7C53" w:rsidRPr="00706E08">
        <w:rPr>
          <w:rFonts w:ascii="Book Antiqua" w:hAnsi="Book Antiqua"/>
          <w:color w:val="000000" w:themeColor="text1"/>
          <w:sz w:val="24"/>
          <w:szCs w:val="24"/>
        </w:rPr>
        <w:t>Umeno</w:t>
      </w:r>
      <w:proofErr w:type="spellEnd"/>
      <w:r w:rsidR="000C7C53" w:rsidRPr="00706E08">
        <w:rPr>
          <w:rFonts w:ascii="Book Antiqua" w:hAnsi="Book Antiqua"/>
          <w:color w:val="000000" w:themeColor="text1"/>
          <w:sz w:val="24"/>
          <w:szCs w:val="24"/>
        </w:rPr>
        <w:t xml:space="preserve"> J, Esaki M, </w:t>
      </w:r>
      <w:proofErr w:type="spellStart"/>
      <w:r w:rsidR="000C7C53" w:rsidRPr="00706E08">
        <w:rPr>
          <w:rFonts w:ascii="Book Antiqua" w:hAnsi="Book Antiqua"/>
          <w:color w:val="000000" w:themeColor="text1"/>
          <w:sz w:val="24"/>
          <w:szCs w:val="24"/>
        </w:rPr>
        <w:t>Fuyuno</w:t>
      </w:r>
      <w:proofErr w:type="spellEnd"/>
      <w:r w:rsidR="000C7C53" w:rsidRPr="00706E08">
        <w:rPr>
          <w:rFonts w:ascii="Book Antiqua" w:hAnsi="Book Antiqua"/>
          <w:color w:val="000000" w:themeColor="text1"/>
          <w:sz w:val="24"/>
          <w:szCs w:val="24"/>
        </w:rPr>
        <w:t xml:space="preserve"> Y, Okamoto Y, Hirano A, Yasukawa S, Hirai F, Matsui T, </w:t>
      </w:r>
      <w:proofErr w:type="spellStart"/>
      <w:r w:rsidR="000C7C53" w:rsidRPr="00706E08">
        <w:rPr>
          <w:rFonts w:ascii="Book Antiqua" w:hAnsi="Book Antiqua"/>
          <w:color w:val="000000" w:themeColor="text1"/>
          <w:sz w:val="24"/>
          <w:szCs w:val="24"/>
        </w:rPr>
        <w:t>Hosomi</w:t>
      </w:r>
      <w:proofErr w:type="spellEnd"/>
      <w:r w:rsidR="000C7C53" w:rsidRPr="00706E08">
        <w:rPr>
          <w:rFonts w:ascii="Book Antiqua" w:hAnsi="Book Antiqua"/>
          <w:color w:val="000000" w:themeColor="text1"/>
          <w:sz w:val="24"/>
          <w:szCs w:val="24"/>
        </w:rPr>
        <w:t xml:space="preserve"> S, Watanabe K, </w:t>
      </w:r>
      <w:proofErr w:type="spellStart"/>
      <w:r w:rsidR="000C7C53" w:rsidRPr="00706E08">
        <w:rPr>
          <w:rFonts w:ascii="Book Antiqua" w:hAnsi="Book Antiqua"/>
          <w:color w:val="000000" w:themeColor="text1"/>
          <w:sz w:val="24"/>
          <w:szCs w:val="24"/>
        </w:rPr>
        <w:t>Hosoe</w:t>
      </w:r>
      <w:proofErr w:type="spellEnd"/>
      <w:r w:rsidR="000C7C53" w:rsidRPr="00706E08">
        <w:rPr>
          <w:rFonts w:ascii="Book Antiqua" w:hAnsi="Book Antiqua"/>
          <w:color w:val="000000" w:themeColor="text1"/>
          <w:sz w:val="24"/>
          <w:szCs w:val="24"/>
        </w:rPr>
        <w:t xml:space="preserve"> N, Ogata H, </w:t>
      </w:r>
      <w:proofErr w:type="spellStart"/>
      <w:r w:rsidR="000C7C53" w:rsidRPr="00706E08">
        <w:rPr>
          <w:rFonts w:ascii="Book Antiqua" w:hAnsi="Book Antiqua"/>
          <w:color w:val="000000" w:themeColor="text1"/>
          <w:sz w:val="24"/>
          <w:szCs w:val="24"/>
        </w:rPr>
        <w:t>Hisamatsu</w:t>
      </w:r>
      <w:proofErr w:type="spellEnd"/>
      <w:r w:rsidR="000C7C53" w:rsidRPr="00706E08">
        <w:rPr>
          <w:rFonts w:ascii="Book Antiqua" w:hAnsi="Book Antiqua"/>
          <w:color w:val="000000" w:themeColor="text1"/>
          <w:sz w:val="24"/>
          <w:szCs w:val="24"/>
        </w:rPr>
        <w:t xml:space="preserve"> T, </w:t>
      </w:r>
      <w:proofErr w:type="spellStart"/>
      <w:r w:rsidR="000C7C53" w:rsidRPr="00706E08">
        <w:rPr>
          <w:rFonts w:ascii="Book Antiqua" w:hAnsi="Book Antiqua"/>
          <w:color w:val="000000" w:themeColor="text1"/>
          <w:sz w:val="24"/>
          <w:szCs w:val="24"/>
        </w:rPr>
        <w:t>Yanai</w:t>
      </w:r>
      <w:proofErr w:type="spellEnd"/>
      <w:r w:rsidR="000C7C53" w:rsidRPr="00706E08">
        <w:rPr>
          <w:rFonts w:ascii="Book Antiqua" w:hAnsi="Book Antiqua"/>
          <w:color w:val="000000" w:themeColor="text1"/>
          <w:sz w:val="24"/>
          <w:szCs w:val="24"/>
        </w:rPr>
        <w:t xml:space="preserve"> S, Kochi S, </w:t>
      </w:r>
      <w:proofErr w:type="spellStart"/>
      <w:r w:rsidR="000C7C53" w:rsidRPr="00706E08">
        <w:rPr>
          <w:rFonts w:ascii="Book Antiqua" w:hAnsi="Book Antiqua"/>
          <w:color w:val="000000" w:themeColor="text1"/>
          <w:sz w:val="24"/>
          <w:szCs w:val="24"/>
        </w:rPr>
        <w:t>Kurahara</w:t>
      </w:r>
      <w:proofErr w:type="spellEnd"/>
      <w:r w:rsidR="000C7C53" w:rsidRPr="00706E08">
        <w:rPr>
          <w:rFonts w:ascii="Book Antiqua" w:hAnsi="Book Antiqua"/>
          <w:color w:val="000000" w:themeColor="text1"/>
          <w:sz w:val="24"/>
          <w:szCs w:val="24"/>
        </w:rPr>
        <w:t xml:space="preserve"> K, Yao T, and </w:t>
      </w:r>
      <w:proofErr w:type="spellStart"/>
      <w:r w:rsidR="000C7C53" w:rsidRPr="00706E08">
        <w:rPr>
          <w:rFonts w:ascii="Book Antiqua" w:hAnsi="Book Antiqua"/>
          <w:color w:val="000000" w:themeColor="text1"/>
          <w:sz w:val="24"/>
          <w:szCs w:val="24"/>
        </w:rPr>
        <w:t>Torisu</w:t>
      </w:r>
      <w:proofErr w:type="spellEnd"/>
      <w:r w:rsidR="000C7C53" w:rsidRPr="00706E08">
        <w:rPr>
          <w:rFonts w:ascii="Book Antiqua" w:hAnsi="Book Antiqua"/>
          <w:color w:val="000000" w:themeColor="text1"/>
          <w:sz w:val="24"/>
          <w:szCs w:val="24"/>
        </w:rPr>
        <w:t xml:space="preserve"> T were responsible for recruitment and phenotyping of the patients</w:t>
      </w:r>
      <w:r w:rsidRPr="00706E08">
        <w:rPr>
          <w:rFonts w:ascii="Book Antiqua" w:hAnsi="Book Antiqua"/>
          <w:color w:val="000000" w:themeColor="text1"/>
          <w:sz w:val="24"/>
          <w:szCs w:val="24"/>
          <w:lang w:eastAsia="zh-CN"/>
        </w:rPr>
        <w:t>;</w:t>
      </w:r>
      <w:r w:rsidR="000C7C53" w:rsidRPr="00706E08">
        <w:rPr>
          <w:rFonts w:ascii="Book Antiqua" w:hAnsi="Book Antiqua"/>
          <w:color w:val="000000" w:themeColor="text1"/>
          <w:sz w:val="24"/>
          <w:szCs w:val="24"/>
        </w:rPr>
        <w:t xml:space="preserve"> </w:t>
      </w:r>
      <w:proofErr w:type="spellStart"/>
      <w:r w:rsidR="000C7C53" w:rsidRPr="00706E08">
        <w:rPr>
          <w:rFonts w:ascii="Book Antiqua" w:hAnsi="Book Antiqua"/>
          <w:color w:val="000000" w:themeColor="text1"/>
          <w:sz w:val="24"/>
          <w:szCs w:val="24"/>
        </w:rPr>
        <w:t>Kitazono</w:t>
      </w:r>
      <w:proofErr w:type="spellEnd"/>
      <w:r w:rsidR="000C7C53" w:rsidRPr="00706E08">
        <w:rPr>
          <w:rFonts w:ascii="Book Antiqua" w:hAnsi="Book Antiqua"/>
          <w:color w:val="000000" w:themeColor="text1"/>
          <w:sz w:val="24"/>
          <w:szCs w:val="24"/>
        </w:rPr>
        <w:t xml:space="preserve"> T and Matsumoto T revised the manuscript</w:t>
      </w:r>
      <w:r w:rsidRPr="00706E08">
        <w:rPr>
          <w:rFonts w:ascii="Book Antiqua" w:hAnsi="Book Antiqua"/>
          <w:color w:val="000000" w:themeColor="text1"/>
          <w:sz w:val="24"/>
          <w:szCs w:val="24"/>
          <w:lang w:eastAsia="zh-CN"/>
        </w:rPr>
        <w:t>;</w:t>
      </w:r>
      <w:r w:rsidR="000C7C53" w:rsidRPr="00706E08">
        <w:rPr>
          <w:rFonts w:ascii="Book Antiqua" w:hAnsi="Book Antiqua"/>
          <w:color w:val="000000" w:themeColor="text1"/>
          <w:sz w:val="24"/>
          <w:szCs w:val="24"/>
        </w:rPr>
        <w:t xml:space="preserve"> </w:t>
      </w:r>
      <w:r w:rsidRPr="00706E08">
        <w:rPr>
          <w:rFonts w:ascii="Book Antiqua" w:hAnsi="Book Antiqua"/>
          <w:color w:val="000000" w:themeColor="text1"/>
          <w:sz w:val="24"/>
          <w:szCs w:val="24"/>
        </w:rPr>
        <w:t>a</w:t>
      </w:r>
      <w:r w:rsidR="000C7C53" w:rsidRPr="00706E08">
        <w:rPr>
          <w:rFonts w:ascii="Book Antiqua" w:hAnsi="Book Antiqua"/>
          <w:color w:val="000000" w:themeColor="text1"/>
          <w:sz w:val="24"/>
          <w:szCs w:val="24"/>
        </w:rPr>
        <w:t>ll authors approved the final version of the manuscript.</w:t>
      </w:r>
    </w:p>
    <w:p w14:paraId="238EF661" w14:textId="77777777" w:rsidR="00672AE3" w:rsidRPr="00706E08" w:rsidRDefault="00672AE3" w:rsidP="000B52DE">
      <w:pPr>
        <w:snapToGrid w:val="0"/>
        <w:spacing w:line="360" w:lineRule="auto"/>
        <w:jc w:val="both"/>
        <w:rPr>
          <w:rFonts w:ascii="Book Antiqua" w:eastAsia="等线" w:hAnsi="Book Antiqua"/>
          <w:b/>
          <w:color w:val="000000" w:themeColor="text1"/>
          <w:sz w:val="24"/>
          <w:szCs w:val="24"/>
          <w:lang w:eastAsia="zh-CN"/>
        </w:rPr>
      </w:pPr>
    </w:p>
    <w:p w14:paraId="3E8EA248" w14:textId="77777777" w:rsidR="000C7C53" w:rsidRPr="00706E08" w:rsidRDefault="000C7C53" w:rsidP="000B52DE">
      <w:pPr>
        <w:snapToGrid w:val="0"/>
        <w:spacing w:line="360" w:lineRule="auto"/>
        <w:jc w:val="both"/>
        <w:rPr>
          <w:rFonts w:ascii="Book Antiqua" w:hAnsi="Book Antiqua"/>
          <w:color w:val="000000" w:themeColor="text1"/>
          <w:sz w:val="24"/>
          <w:szCs w:val="24"/>
        </w:rPr>
      </w:pPr>
      <w:r w:rsidRPr="00706E08">
        <w:rPr>
          <w:rFonts w:ascii="Book Antiqua" w:hAnsi="Book Antiqua"/>
          <w:b/>
          <w:color w:val="000000" w:themeColor="text1"/>
          <w:sz w:val="24"/>
          <w:szCs w:val="24"/>
        </w:rPr>
        <w:t>Supported by</w:t>
      </w:r>
      <w:r w:rsidRPr="00706E08">
        <w:rPr>
          <w:rFonts w:ascii="Book Antiqua" w:hAnsi="Book Antiqua"/>
          <w:color w:val="000000" w:themeColor="text1"/>
          <w:sz w:val="24"/>
          <w:szCs w:val="24"/>
        </w:rPr>
        <w:t xml:space="preserve"> the Practical Research Project for Rare/Intractable Diseases from the Japan Agency for Medical Research and Development (AMED), No. 15ek0109053h0002 to Matsumoto T, and by grants from the Japan Society for the Promotion of Science (JSPS) KAKENHI, No. 25460953, to </w:t>
      </w:r>
      <w:proofErr w:type="spellStart"/>
      <w:r w:rsidRPr="00706E08">
        <w:rPr>
          <w:rFonts w:ascii="Book Antiqua" w:hAnsi="Book Antiqua"/>
          <w:color w:val="000000" w:themeColor="text1"/>
          <w:sz w:val="24"/>
          <w:szCs w:val="24"/>
        </w:rPr>
        <w:t>Umeno</w:t>
      </w:r>
      <w:proofErr w:type="spellEnd"/>
      <w:r w:rsidRPr="00706E08">
        <w:rPr>
          <w:rFonts w:ascii="Book Antiqua" w:hAnsi="Book Antiqua"/>
          <w:color w:val="000000" w:themeColor="text1"/>
          <w:sz w:val="24"/>
          <w:szCs w:val="24"/>
        </w:rPr>
        <w:t xml:space="preserve"> J, Esaki M, and Matsumoto T).</w:t>
      </w:r>
    </w:p>
    <w:p w14:paraId="00F48318" w14:textId="77777777" w:rsidR="00672AE3" w:rsidRPr="00706E08" w:rsidRDefault="00672AE3" w:rsidP="000B52DE">
      <w:pPr>
        <w:snapToGrid w:val="0"/>
        <w:spacing w:line="360" w:lineRule="auto"/>
        <w:jc w:val="both"/>
        <w:rPr>
          <w:rFonts w:ascii="Book Antiqua" w:eastAsia="等线" w:hAnsi="Book Antiqua"/>
          <w:b/>
          <w:color w:val="000000" w:themeColor="text1"/>
          <w:sz w:val="24"/>
          <w:szCs w:val="24"/>
          <w:lang w:eastAsia="zh-CN"/>
        </w:rPr>
      </w:pPr>
    </w:p>
    <w:p w14:paraId="5DC5DDA7" w14:textId="4E49ADEC" w:rsidR="000C7C53" w:rsidRPr="00706E08" w:rsidRDefault="000B52DE" w:rsidP="000B52DE">
      <w:pPr>
        <w:snapToGrid w:val="0"/>
        <w:spacing w:line="360" w:lineRule="auto"/>
        <w:jc w:val="both"/>
        <w:rPr>
          <w:rFonts w:ascii="Book Antiqua" w:hAnsi="Book Antiqua"/>
          <w:color w:val="000000" w:themeColor="text1"/>
          <w:sz w:val="24"/>
          <w:szCs w:val="24"/>
        </w:rPr>
      </w:pPr>
      <w:r w:rsidRPr="00706E08">
        <w:rPr>
          <w:rFonts w:ascii="Book Antiqua" w:hAnsi="Book Antiqua"/>
          <w:b/>
          <w:color w:val="000000"/>
          <w:sz w:val="24"/>
          <w:szCs w:val="24"/>
        </w:rPr>
        <w:lastRenderedPageBreak/>
        <w:t>Institutional review board statement</w:t>
      </w:r>
      <w:r w:rsidRPr="00706E08">
        <w:rPr>
          <w:rFonts w:ascii="Book Antiqua" w:hAnsi="Book Antiqua"/>
          <w:b/>
          <w:bCs/>
          <w:iCs/>
          <w:color w:val="000000"/>
          <w:kern w:val="0"/>
          <w:sz w:val="24"/>
          <w:szCs w:val="24"/>
        </w:rPr>
        <w:t>:</w:t>
      </w:r>
      <w:r w:rsidRPr="00706E08">
        <w:rPr>
          <w:rFonts w:ascii="Book Antiqua" w:hAnsi="Book Antiqua"/>
          <w:b/>
          <w:bCs/>
          <w:iCs/>
          <w:color w:val="000000"/>
          <w:kern w:val="0"/>
          <w:sz w:val="24"/>
          <w:szCs w:val="24"/>
          <w:lang w:eastAsia="zh-CN"/>
        </w:rPr>
        <w:t xml:space="preserve"> </w:t>
      </w:r>
      <w:r w:rsidR="000C7C53" w:rsidRPr="00706E08">
        <w:rPr>
          <w:rFonts w:ascii="Book Antiqua" w:hAnsi="Book Antiqua"/>
          <w:color w:val="000000" w:themeColor="text1"/>
          <w:sz w:val="24"/>
          <w:szCs w:val="24"/>
        </w:rPr>
        <w:t>This study was approved by the institutional review board at each collecting site in accordance with the Declaration of Helsinki Principles.</w:t>
      </w:r>
    </w:p>
    <w:p w14:paraId="0AD542D6" w14:textId="77777777" w:rsidR="00672AE3" w:rsidRPr="00706E08" w:rsidRDefault="00672AE3" w:rsidP="000B52DE">
      <w:pPr>
        <w:snapToGrid w:val="0"/>
        <w:spacing w:line="360" w:lineRule="auto"/>
        <w:jc w:val="both"/>
        <w:rPr>
          <w:rFonts w:ascii="Book Antiqua" w:eastAsia="等线" w:hAnsi="Book Antiqua"/>
          <w:b/>
          <w:color w:val="000000" w:themeColor="text1"/>
          <w:sz w:val="24"/>
          <w:szCs w:val="24"/>
          <w:lang w:eastAsia="zh-CN"/>
        </w:rPr>
      </w:pPr>
    </w:p>
    <w:p w14:paraId="51CCECFD" w14:textId="71AF1EA7" w:rsidR="000C7C53" w:rsidRPr="00706E08" w:rsidRDefault="000B52DE" w:rsidP="000B52DE">
      <w:pPr>
        <w:snapToGrid w:val="0"/>
        <w:spacing w:line="360" w:lineRule="auto"/>
        <w:jc w:val="both"/>
        <w:rPr>
          <w:rFonts w:ascii="Book Antiqua" w:hAnsi="Book Antiqua"/>
          <w:b/>
          <w:color w:val="000000" w:themeColor="text1"/>
          <w:sz w:val="24"/>
          <w:szCs w:val="24"/>
        </w:rPr>
      </w:pPr>
      <w:r w:rsidRPr="00706E08">
        <w:rPr>
          <w:rFonts w:ascii="Book Antiqua" w:hAnsi="Book Antiqua"/>
          <w:b/>
          <w:color w:val="000000"/>
          <w:sz w:val="24"/>
          <w:szCs w:val="24"/>
        </w:rPr>
        <w:t>Informed consent statement</w:t>
      </w:r>
      <w:r w:rsidRPr="00706E08">
        <w:rPr>
          <w:rFonts w:ascii="Book Antiqua" w:hAnsi="Book Antiqua"/>
          <w:b/>
          <w:bCs/>
          <w:iCs/>
          <w:color w:val="000000"/>
          <w:sz w:val="24"/>
          <w:szCs w:val="24"/>
        </w:rPr>
        <w:t>:</w:t>
      </w:r>
      <w:r w:rsidRPr="00706E08">
        <w:rPr>
          <w:rFonts w:ascii="Book Antiqua" w:hAnsi="Book Antiqua"/>
          <w:b/>
          <w:bCs/>
          <w:iCs/>
          <w:color w:val="000000"/>
          <w:sz w:val="24"/>
          <w:szCs w:val="24"/>
          <w:lang w:eastAsia="zh-CN"/>
        </w:rPr>
        <w:t xml:space="preserve"> </w:t>
      </w:r>
      <w:r w:rsidR="000C7C53" w:rsidRPr="00706E08">
        <w:rPr>
          <w:rFonts w:ascii="Book Antiqua" w:hAnsi="Book Antiqua"/>
          <w:color w:val="000000" w:themeColor="text1"/>
          <w:sz w:val="24"/>
          <w:szCs w:val="24"/>
        </w:rPr>
        <w:t>All urine and blood samples were collected after obtaining written informed consent.</w:t>
      </w:r>
    </w:p>
    <w:p w14:paraId="3DAC7FAD" w14:textId="77777777" w:rsidR="00672AE3" w:rsidRPr="00706E08" w:rsidRDefault="00672AE3" w:rsidP="000B52DE">
      <w:pPr>
        <w:snapToGrid w:val="0"/>
        <w:spacing w:line="360" w:lineRule="auto"/>
        <w:jc w:val="both"/>
        <w:rPr>
          <w:rFonts w:ascii="Book Antiqua" w:eastAsia="等线" w:hAnsi="Book Antiqua"/>
          <w:b/>
          <w:color w:val="000000" w:themeColor="text1"/>
          <w:sz w:val="24"/>
          <w:szCs w:val="24"/>
          <w:lang w:eastAsia="zh-CN"/>
        </w:rPr>
      </w:pPr>
    </w:p>
    <w:p w14:paraId="3E8F30BC" w14:textId="1208451D" w:rsidR="000C7C53" w:rsidRPr="00706E08" w:rsidRDefault="000B52DE" w:rsidP="000B52DE">
      <w:pPr>
        <w:adjustRightInd w:val="0"/>
        <w:snapToGrid w:val="0"/>
        <w:spacing w:line="360" w:lineRule="auto"/>
        <w:jc w:val="both"/>
        <w:rPr>
          <w:rFonts w:ascii="Book Antiqua" w:hAnsi="Book Antiqua" w:cs="Arial"/>
          <w:b/>
          <w:color w:val="000000" w:themeColor="text1"/>
          <w:sz w:val="24"/>
          <w:szCs w:val="24"/>
        </w:rPr>
      </w:pPr>
      <w:r w:rsidRPr="00706E08">
        <w:rPr>
          <w:rFonts w:ascii="Book Antiqua" w:hAnsi="Book Antiqua"/>
          <w:b/>
          <w:color w:val="000000"/>
          <w:sz w:val="24"/>
          <w:szCs w:val="24"/>
        </w:rPr>
        <w:t>Conflict-of-interest statement</w:t>
      </w:r>
      <w:r w:rsidRPr="00706E08">
        <w:rPr>
          <w:rFonts w:ascii="Book Antiqua" w:hAnsi="Book Antiqua" w:cs="TimesNewRomanPS-BoldItalicMT"/>
          <w:b/>
          <w:bCs/>
          <w:iCs/>
          <w:color w:val="000000"/>
          <w:sz w:val="24"/>
          <w:szCs w:val="24"/>
        </w:rPr>
        <w:t>:</w:t>
      </w:r>
      <w:r w:rsidRPr="00706E08">
        <w:rPr>
          <w:rFonts w:ascii="Book Antiqua" w:hAnsi="Book Antiqua" w:cs="TimesNewRomanPS-BoldItalicMT"/>
          <w:b/>
          <w:bCs/>
          <w:iCs/>
          <w:color w:val="000000"/>
          <w:sz w:val="24"/>
          <w:szCs w:val="24"/>
          <w:lang w:eastAsia="zh-CN"/>
        </w:rPr>
        <w:t xml:space="preserve"> </w:t>
      </w:r>
      <w:r w:rsidR="000C7C53" w:rsidRPr="00706E08">
        <w:rPr>
          <w:rFonts w:ascii="Book Antiqua" w:hAnsi="Book Antiqua"/>
          <w:color w:val="000000" w:themeColor="text1"/>
          <w:sz w:val="24"/>
          <w:szCs w:val="24"/>
        </w:rPr>
        <w:t>All authors declare no conflicts-of-interest related to this article.</w:t>
      </w:r>
    </w:p>
    <w:p w14:paraId="164D6A26" w14:textId="77777777" w:rsidR="00672AE3" w:rsidRPr="00706E08" w:rsidRDefault="00672AE3" w:rsidP="000B52DE">
      <w:pPr>
        <w:adjustRightInd w:val="0"/>
        <w:snapToGrid w:val="0"/>
        <w:spacing w:line="360" w:lineRule="auto"/>
        <w:ind w:left="142" w:hangingChars="59" w:hanging="142"/>
        <w:jc w:val="both"/>
        <w:rPr>
          <w:rFonts w:ascii="Book Antiqua" w:eastAsia="等线" w:hAnsi="Book Antiqua" w:cs="Arial"/>
          <w:b/>
          <w:color w:val="000000" w:themeColor="text1"/>
          <w:sz w:val="24"/>
          <w:szCs w:val="24"/>
          <w:lang w:eastAsia="zh-CN"/>
        </w:rPr>
      </w:pPr>
    </w:p>
    <w:p w14:paraId="6FF8F6D8" w14:textId="634D1515" w:rsidR="000C7C53" w:rsidRPr="00706E08" w:rsidRDefault="000B52DE" w:rsidP="000B52DE">
      <w:pPr>
        <w:adjustRightInd w:val="0"/>
        <w:snapToGrid w:val="0"/>
        <w:spacing w:line="360" w:lineRule="auto"/>
        <w:ind w:left="142" w:hangingChars="59" w:hanging="142"/>
        <w:jc w:val="both"/>
        <w:rPr>
          <w:rFonts w:ascii="Book Antiqua" w:hAnsi="Book Antiqua" w:cs="Arial"/>
          <w:color w:val="000000" w:themeColor="text1"/>
          <w:sz w:val="24"/>
          <w:szCs w:val="24"/>
        </w:rPr>
      </w:pPr>
      <w:r w:rsidRPr="00706E08">
        <w:rPr>
          <w:rFonts w:ascii="Book Antiqua" w:hAnsi="Book Antiqua"/>
          <w:b/>
          <w:color w:val="000000"/>
          <w:sz w:val="24"/>
          <w:szCs w:val="24"/>
        </w:rPr>
        <w:t>Data sharing statement</w:t>
      </w:r>
      <w:r w:rsidRPr="00706E08">
        <w:rPr>
          <w:rFonts w:ascii="Book Antiqua" w:hAnsi="Book Antiqua" w:cs="TimesNewRomanPS-BoldItalicMT"/>
          <w:b/>
          <w:bCs/>
          <w:iCs/>
          <w:color w:val="000000"/>
          <w:sz w:val="24"/>
          <w:szCs w:val="24"/>
        </w:rPr>
        <w:t>:</w:t>
      </w:r>
      <w:r w:rsidRPr="00706E08">
        <w:rPr>
          <w:rFonts w:ascii="Book Antiqua" w:hAnsi="Book Antiqua" w:cs="TimesNewRomanPS-BoldItalicMT"/>
          <w:b/>
          <w:bCs/>
          <w:iCs/>
          <w:color w:val="000000"/>
          <w:sz w:val="24"/>
          <w:szCs w:val="24"/>
          <w:lang w:eastAsia="zh-CN"/>
        </w:rPr>
        <w:t xml:space="preserve"> </w:t>
      </w:r>
      <w:r w:rsidR="000C7C53" w:rsidRPr="00706E08">
        <w:rPr>
          <w:rFonts w:ascii="Book Antiqua" w:hAnsi="Book Antiqua" w:cs="Arial"/>
          <w:color w:val="000000" w:themeColor="text1"/>
          <w:sz w:val="24"/>
          <w:szCs w:val="24"/>
        </w:rPr>
        <w:t>No additional data are available.</w:t>
      </w:r>
    </w:p>
    <w:p w14:paraId="3D22C1D7" w14:textId="77777777" w:rsidR="00672AE3" w:rsidRPr="00706E08" w:rsidRDefault="00672AE3" w:rsidP="000B52DE">
      <w:pPr>
        <w:adjustRightInd w:val="0"/>
        <w:snapToGrid w:val="0"/>
        <w:spacing w:line="360" w:lineRule="auto"/>
        <w:ind w:left="142" w:hangingChars="59" w:hanging="142"/>
        <w:jc w:val="both"/>
        <w:rPr>
          <w:rFonts w:ascii="Book Antiqua" w:eastAsia="等线" w:hAnsi="Book Antiqua" w:cs="Arial"/>
          <w:b/>
          <w:color w:val="000000" w:themeColor="text1"/>
          <w:sz w:val="24"/>
          <w:szCs w:val="24"/>
          <w:lang w:eastAsia="zh-CN"/>
        </w:rPr>
      </w:pPr>
    </w:p>
    <w:p w14:paraId="54B43660" w14:textId="5DBB2DC8" w:rsidR="000C7C53" w:rsidRPr="00706E08" w:rsidRDefault="000B52DE" w:rsidP="000B52DE">
      <w:pPr>
        <w:adjustRightInd w:val="0"/>
        <w:snapToGrid w:val="0"/>
        <w:spacing w:line="360" w:lineRule="auto"/>
        <w:rPr>
          <w:rFonts w:ascii="Book Antiqua" w:eastAsia="等线" w:hAnsi="Book Antiqua" w:cs="Arial"/>
          <w:color w:val="000000" w:themeColor="text1"/>
          <w:sz w:val="24"/>
          <w:szCs w:val="24"/>
          <w:lang w:eastAsia="zh-CN"/>
        </w:rPr>
      </w:pPr>
      <w:bookmarkStart w:id="6" w:name="OLE_LINK359"/>
      <w:bookmarkStart w:id="7" w:name="OLE_LINK360"/>
      <w:r w:rsidRPr="00706E08">
        <w:rPr>
          <w:rFonts w:ascii="Book Antiqua" w:hAnsi="Book Antiqua"/>
          <w:b/>
          <w:color w:val="000000"/>
          <w:sz w:val="24"/>
          <w:szCs w:val="24"/>
        </w:rPr>
        <w:t>STROBE statement:</w:t>
      </w:r>
      <w:bookmarkEnd w:id="6"/>
      <w:bookmarkEnd w:id="7"/>
      <w:r w:rsidRPr="00706E08">
        <w:rPr>
          <w:rFonts w:ascii="Book Antiqua" w:eastAsia="等线" w:hAnsi="Book Antiqua"/>
          <w:b/>
          <w:color w:val="000000"/>
          <w:sz w:val="24"/>
          <w:szCs w:val="24"/>
          <w:lang w:eastAsia="zh-CN"/>
        </w:rPr>
        <w:t xml:space="preserve"> </w:t>
      </w:r>
      <w:r w:rsidR="000C7C53" w:rsidRPr="00706E08">
        <w:rPr>
          <w:rFonts w:ascii="Book Antiqua" w:hAnsi="Book Antiqua" w:cs="Arial"/>
          <w:color w:val="000000" w:themeColor="text1"/>
          <w:sz w:val="24"/>
          <w:szCs w:val="24"/>
        </w:rPr>
        <w:t>The authors have read the STROBE Statement</w:t>
      </w:r>
      <w:r w:rsidRPr="00706E08">
        <w:rPr>
          <w:rFonts w:ascii="Book Antiqua" w:hAnsi="Book Antiqua" w:cs="Arial"/>
          <w:color w:val="000000" w:themeColor="text1"/>
          <w:sz w:val="24"/>
          <w:szCs w:val="24"/>
          <w:lang w:eastAsia="zh-CN"/>
        </w:rPr>
        <w:t xml:space="preserve"> </w:t>
      </w:r>
      <w:r w:rsidR="000C7C53" w:rsidRPr="00706E08">
        <w:rPr>
          <w:rFonts w:ascii="Book Antiqua" w:hAnsi="Book Antiqua" w:cs="Arial"/>
          <w:color w:val="000000" w:themeColor="text1"/>
          <w:sz w:val="24"/>
          <w:szCs w:val="24"/>
        </w:rPr>
        <w:t>checklist of items, and the manuscript was prepared according to the STROBE Statement-checklist of items.</w:t>
      </w:r>
    </w:p>
    <w:p w14:paraId="70D84438" w14:textId="77777777" w:rsidR="000B52DE" w:rsidRPr="00706E08" w:rsidRDefault="000B52DE" w:rsidP="000B52DE">
      <w:pPr>
        <w:adjustRightInd w:val="0"/>
        <w:snapToGrid w:val="0"/>
        <w:spacing w:line="360" w:lineRule="auto"/>
        <w:rPr>
          <w:rFonts w:ascii="Book Antiqua" w:eastAsia="等线" w:hAnsi="Book Antiqua" w:cs="Arial"/>
          <w:color w:val="000000" w:themeColor="text1"/>
          <w:sz w:val="24"/>
          <w:szCs w:val="24"/>
          <w:lang w:eastAsia="zh-CN"/>
        </w:rPr>
      </w:pPr>
    </w:p>
    <w:p w14:paraId="7A6DAFFE" w14:textId="77777777" w:rsidR="000B52DE" w:rsidRPr="00706E08" w:rsidRDefault="000B52DE" w:rsidP="000B52DE">
      <w:pPr>
        <w:spacing w:line="360" w:lineRule="auto"/>
        <w:jc w:val="both"/>
        <w:rPr>
          <w:rFonts w:ascii="Book Antiqua" w:hAnsi="Book Antiqua"/>
          <w:color w:val="000000"/>
          <w:sz w:val="24"/>
          <w:szCs w:val="24"/>
        </w:rPr>
      </w:pPr>
      <w:bookmarkStart w:id="8" w:name="OLE_LINK180"/>
      <w:bookmarkStart w:id="9" w:name="OLE_LINK181"/>
      <w:bookmarkStart w:id="10" w:name="OLE_LINK291"/>
      <w:bookmarkStart w:id="11" w:name="OLE_LINK363"/>
      <w:bookmarkStart w:id="12" w:name="OLE_LINK458"/>
      <w:r w:rsidRPr="00706E08">
        <w:rPr>
          <w:rFonts w:ascii="Book Antiqua" w:hAnsi="Book Antiqua"/>
          <w:b/>
          <w:color w:val="000000"/>
          <w:sz w:val="24"/>
          <w:szCs w:val="24"/>
        </w:rPr>
        <w:t xml:space="preserve">Open-Access: </w:t>
      </w:r>
      <w:r w:rsidRPr="00706E08">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w:t>
      </w:r>
      <w:proofErr w:type="gramStart"/>
      <w:r w:rsidRPr="00706E08">
        <w:rPr>
          <w:rFonts w:ascii="Book Antiqua" w:hAnsi="Book Antiqua"/>
          <w:color w:val="000000"/>
          <w:sz w:val="24"/>
          <w:szCs w:val="24"/>
        </w:rPr>
        <w:t>Non Commercial</w:t>
      </w:r>
      <w:proofErr w:type="gramEnd"/>
      <w:r w:rsidRPr="00706E08">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8"/>
    <w:bookmarkEnd w:id="9"/>
    <w:bookmarkEnd w:id="10"/>
    <w:bookmarkEnd w:id="11"/>
    <w:bookmarkEnd w:id="12"/>
    <w:p w14:paraId="33BE0E22" w14:textId="77777777" w:rsidR="000B52DE" w:rsidRPr="00706E08" w:rsidRDefault="000B52DE" w:rsidP="000B52DE">
      <w:pPr>
        <w:adjustRightInd w:val="0"/>
        <w:snapToGrid w:val="0"/>
        <w:spacing w:line="360" w:lineRule="auto"/>
        <w:rPr>
          <w:rFonts w:ascii="Book Antiqua" w:eastAsia="等线" w:hAnsi="Book Antiqua"/>
          <w:b/>
          <w:color w:val="000000"/>
          <w:sz w:val="24"/>
          <w:szCs w:val="24"/>
          <w:lang w:eastAsia="zh-CN"/>
        </w:rPr>
      </w:pPr>
    </w:p>
    <w:p w14:paraId="35E4D0C8" w14:textId="72E766AE" w:rsidR="000B52DE" w:rsidRPr="00706E08" w:rsidRDefault="000B52DE" w:rsidP="000B52DE">
      <w:pPr>
        <w:adjustRightInd w:val="0"/>
        <w:snapToGrid w:val="0"/>
        <w:spacing w:line="360" w:lineRule="auto"/>
        <w:rPr>
          <w:rFonts w:ascii="Book Antiqua" w:eastAsia="等线" w:hAnsi="Book Antiqua"/>
          <w:b/>
          <w:color w:val="000000"/>
          <w:sz w:val="24"/>
          <w:szCs w:val="24"/>
          <w:lang w:eastAsia="zh-CN"/>
        </w:rPr>
      </w:pPr>
      <w:r w:rsidRPr="00706E08">
        <w:rPr>
          <w:rFonts w:ascii="Book Antiqua" w:eastAsia="等线" w:hAnsi="Book Antiqua"/>
          <w:b/>
          <w:color w:val="000000"/>
          <w:sz w:val="24"/>
          <w:szCs w:val="24"/>
          <w:lang w:eastAsia="zh-CN"/>
        </w:rPr>
        <w:t xml:space="preserve">Manuscript source: </w:t>
      </w:r>
      <w:r w:rsidRPr="00706E08">
        <w:rPr>
          <w:rFonts w:ascii="Book Antiqua" w:eastAsia="等线" w:hAnsi="Book Antiqua"/>
          <w:color w:val="000000"/>
          <w:sz w:val="24"/>
          <w:szCs w:val="24"/>
          <w:lang w:eastAsia="zh-CN"/>
        </w:rPr>
        <w:t>Unsolicited manuscript</w:t>
      </w:r>
    </w:p>
    <w:p w14:paraId="2096E91A" w14:textId="77777777" w:rsidR="000C7C53" w:rsidRPr="00706E08" w:rsidRDefault="000C7C53" w:rsidP="000B52DE">
      <w:pPr>
        <w:adjustRightInd w:val="0"/>
        <w:snapToGrid w:val="0"/>
        <w:spacing w:line="360" w:lineRule="auto"/>
        <w:ind w:left="142" w:hangingChars="59" w:hanging="142"/>
        <w:jc w:val="both"/>
        <w:rPr>
          <w:rFonts w:ascii="Book Antiqua" w:hAnsi="Book Antiqua" w:cs="Arial"/>
          <w:color w:val="000000" w:themeColor="text1"/>
          <w:sz w:val="24"/>
          <w:szCs w:val="24"/>
        </w:rPr>
      </w:pPr>
    </w:p>
    <w:p w14:paraId="58795752" w14:textId="532D1C8B" w:rsidR="000C7C53" w:rsidRPr="00706E08" w:rsidRDefault="000B52DE" w:rsidP="000B52DE">
      <w:pPr>
        <w:adjustRightInd w:val="0"/>
        <w:snapToGrid w:val="0"/>
        <w:spacing w:line="360" w:lineRule="auto"/>
        <w:jc w:val="both"/>
        <w:rPr>
          <w:rFonts w:ascii="Book Antiqua" w:hAnsi="Book Antiqua" w:cs="Arial"/>
          <w:color w:val="000000" w:themeColor="text1"/>
          <w:sz w:val="24"/>
          <w:szCs w:val="24"/>
        </w:rPr>
      </w:pPr>
      <w:r w:rsidRPr="00706E08">
        <w:rPr>
          <w:rFonts w:ascii="Book Antiqua" w:hAnsi="Book Antiqua" w:cs="Arial"/>
          <w:b/>
          <w:color w:val="000000" w:themeColor="text1"/>
          <w:sz w:val="24"/>
          <w:szCs w:val="24"/>
        </w:rPr>
        <w:lastRenderedPageBreak/>
        <w:t>Correspond</w:t>
      </w:r>
      <w:r w:rsidRPr="00706E08">
        <w:rPr>
          <w:rFonts w:ascii="Book Antiqua" w:hAnsi="Book Antiqua" w:cs="Arial"/>
          <w:b/>
          <w:color w:val="000000" w:themeColor="text1"/>
          <w:sz w:val="24"/>
          <w:szCs w:val="24"/>
          <w:lang w:eastAsia="zh-CN"/>
        </w:rPr>
        <w:t>ing author</w:t>
      </w:r>
      <w:r w:rsidR="000C7C53" w:rsidRPr="00706E08">
        <w:rPr>
          <w:rFonts w:ascii="Book Antiqua" w:hAnsi="Book Antiqua" w:cs="Arial"/>
          <w:b/>
          <w:color w:val="000000" w:themeColor="text1"/>
          <w:sz w:val="24"/>
          <w:szCs w:val="24"/>
        </w:rPr>
        <w:t xml:space="preserve">: Takayuki Matsumoto, </w:t>
      </w:r>
      <w:r w:rsidRPr="00706E08">
        <w:rPr>
          <w:rFonts w:ascii="Book Antiqua" w:hAnsi="Book Antiqua" w:cs="Arial"/>
          <w:b/>
          <w:color w:val="000000" w:themeColor="text1"/>
          <w:sz w:val="24"/>
          <w:szCs w:val="24"/>
        </w:rPr>
        <w:t>MD, PhD, Professor</w:t>
      </w:r>
      <w:r w:rsidRPr="00706E08">
        <w:rPr>
          <w:rFonts w:ascii="Book Antiqua" w:hAnsi="Book Antiqua" w:cs="Arial"/>
          <w:b/>
          <w:color w:val="000000" w:themeColor="text1"/>
          <w:sz w:val="24"/>
          <w:szCs w:val="24"/>
          <w:lang w:eastAsia="zh-CN"/>
        </w:rPr>
        <w:t>,</w:t>
      </w:r>
      <w:r w:rsidRPr="00706E08">
        <w:rPr>
          <w:rFonts w:ascii="Book Antiqua" w:hAnsi="Book Antiqua" w:cs="Arial"/>
          <w:color w:val="000000" w:themeColor="text1"/>
          <w:sz w:val="24"/>
          <w:szCs w:val="24"/>
          <w:lang w:eastAsia="zh-CN"/>
        </w:rPr>
        <w:t xml:space="preserve"> </w:t>
      </w:r>
      <w:bookmarkStart w:id="13" w:name="OLE_LINK538"/>
      <w:bookmarkStart w:id="14" w:name="OLE_LINK539"/>
      <w:bookmarkStart w:id="15" w:name="OLE_LINK540"/>
      <w:bookmarkStart w:id="16" w:name="OLE_LINK541"/>
      <w:r w:rsidRPr="00706E08">
        <w:rPr>
          <w:rFonts w:ascii="Book Antiqua" w:hAnsi="Book Antiqua" w:cs="Arial"/>
          <w:color w:val="000000" w:themeColor="text1"/>
          <w:sz w:val="24"/>
          <w:szCs w:val="24"/>
        </w:rPr>
        <w:t>Division of Gastroenterology</w:t>
      </w:r>
      <w:bookmarkEnd w:id="13"/>
      <w:bookmarkEnd w:id="14"/>
      <w:r w:rsidRPr="00706E08">
        <w:rPr>
          <w:rFonts w:ascii="Book Antiqua" w:hAnsi="Book Antiqua" w:cs="Arial"/>
          <w:color w:val="000000" w:themeColor="text1"/>
          <w:sz w:val="24"/>
          <w:szCs w:val="24"/>
        </w:rPr>
        <w:t>, Department of Internal Medicine,</w:t>
      </w:r>
      <w:bookmarkEnd w:id="15"/>
      <w:bookmarkEnd w:id="16"/>
      <w:r w:rsidRPr="00706E08">
        <w:rPr>
          <w:rFonts w:ascii="Book Antiqua" w:hAnsi="Book Antiqua" w:cs="Arial"/>
          <w:color w:val="000000" w:themeColor="text1"/>
          <w:sz w:val="24"/>
          <w:szCs w:val="24"/>
        </w:rPr>
        <w:t xml:space="preserve"> </w:t>
      </w:r>
      <w:bookmarkStart w:id="17" w:name="OLE_LINK542"/>
      <w:bookmarkStart w:id="18" w:name="OLE_LINK543"/>
      <w:r w:rsidRPr="00706E08">
        <w:rPr>
          <w:rFonts w:ascii="Book Antiqua" w:hAnsi="Book Antiqua" w:cs="Arial"/>
          <w:color w:val="000000" w:themeColor="text1"/>
          <w:sz w:val="24"/>
          <w:szCs w:val="24"/>
        </w:rPr>
        <w:t>Iwate Medical University</w:t>
      </w:r>
      <w:bookmarkEnd w:id="17"/>
      <w:bookmarkEnd w:id="18"/>
      <w:r w:rsidRPr="00706E08">
        <w:rPr>
          <w:rFonts w:ascii="Book Antiqua" w:hAnsi="Book Antiqua" w:cs="Arial"/>
          <w:color w:val="000000" w:themeColor="text1"/>
          <w:sz w:val="24"/>
          <w:szCs w:val="24"/>
        </w:rPr>
        <w:t>,</w:t>
      </w:r>
      <w:r w:rsidR="000C7C53" w:rsidRPr="00706E08">
        <w:rPr>
          <w:rFonts w:ascii="Book Antiqua" w:hAnsi="Book Antiqua" w:cs="Arial"/>
          <w:color w:val="000000" w:themeColor="text1"/>
          <w:sz w:val="24"/>
          <w:szCs w:val="24"/>
        </w:rPr>
        <w:t xml:space="preserve"> </w:t>
      </w:r>
      <w:bookmarkStart w:id="19" w:name="OLE_LINK544"/>
      <w:bookmarkStart w:id="20" w:name="OLE_LINK545"/>
      <w:r w:rsidR="000C7C53" w:rsidRPr="00706E08">
        <w:rPr>
          <w:rFonts w:ascii="Book Antiqua" w:hAnsi="Book Antiqua" w:cs="Arial"/>
          <w:color w:val="000000" w:themeColor="text1"/>
          <w:sz w:val="24"/>
          <w:szCs w:val="24"/>
        </w:rPr>
        <w:t xml:space="preserve">19-1 </w:t>
      </w:r>
      <w:proofErr w:type="spellStart"/>
      <w:r w:rsidR="000C7C53" w:rsidRPr="00706E08">
        <w:rPr>
          <w:rFonts w:ascii="Book Antiqua" w:hAnsi="Book Antiqua" w:cs="Arial"/>
          <w:color w:val="000000" w:themeColor="text1"/>
          <w:sz w:val="24"/>
          <w:szCs w:val="24"/>
        </w:rPr>
        <w:t>Uchimaru</w:t>
      </w:r>
      <w:bookmarkEnd w:id="19"/>
      <w:bookmarkEnd w:id="20"/>
      <w:proofErr w:type="spellEnd"/>
      <w:r w:rsidR="000C7C53" w:rsidRPr="00706E08">
        <w:rPr>
          <w:rFonts w:ascii="Book Antiqua" w:hAnsi="Book Antiqua" w:cs="Arial"/>
          <w:color w:val="000000" w:themeColor="text1"/>
          <w:sz w:val="24"/>
          <w:szCs w:val="24"/>
        </w:rPr>
        <w:t xml:space="preserve">, Morioka 020-8505, Japan. </w:t>
      </w:r>
      <w:r w:rsidR="000C7C53" w:rsidRPr="00D574FD">
        <w:rPr>
          <w:rFonts w:ascii="Book Antiqua" w:hAnsi="Book Antiqua" w:cs="Arial"/>
          <w:sz w:val="24"/>
          <w:szCs w:val="24"/>
        </w:rPr>
        <w:t>tmatsumo@iwate-med.ac.jp</w:t>
      </w:r>
    </w:p>
    <w:p w14:paraId="4217CC91" w14:textId="288F704E" w:rsidR="000C7C53" w:rsidRPr="00706E08" w:rsidRDefault="000B52DE" w:rsidP="000B52DE">
      <w:pPr>
        <w:spacing w:line="360" w:lineRule="auto"/>
        <w:jc w:val="both"/>
        <w:rPr>
          <w:rFonts w:ascii="Book Antiqua" w:hAnsi="Book Antiqua" w:cs="Arial"/>
          <w:color w:val="000000" w:themeColor="text1"/>
          <w:sz w:val="24"/>
          <w:szCs w:val="24"/>
        </w:rPr>
      </w:pPr>
      <w:r w:rsidRPr="00706E08">
        <w:rPr>
          <w:rFonts w:ascii="Book Antiqua" w:hAnsi="Book Antiqua"/>
          <w:b/>
          <w:color w:val="000000"/>
          <w:sz w:val="24"/>
          <w:szCs w:val="24"/>
        </w:rPr>
        <w:t>Telephone:</w:t>
      </w:r>
      <w:r w:rsidR="001B57FF" w:rsidRPr="00706E08">
        <w:rPr>
          <w:rFonts w:ascii="Book Antiqua" w:hAnsi="Book Antiqua" w:cs="Arial"/>
          <w:color w:val="000000" w:themeColor="text1"/>
          <w:sz w:val="24"/>
          <w:szCs w:val="24"/>
        </w:rPr>
        <w:t xml:space="preserve"> </w:t>
      </w:r>
      <w:bookmarkStart w:id="21" w:name="OLE_LINK548"/>
      <w:bookmarkStart w:id="22" w:name="OLE_LINK549"/>
      <w:r w:rsidR="001B57FF" w:rsidRPr="00706E08">
        <w:rPr>
          <w:rFonts w:ascii="Book Antiqua" w:hAnsi="Book Antiqua" w:cs="Arial"/>
          <w:color w:val="000000" w:themeColor="text1"/>
          <w:sz w:val="24"/>
          <w:szCs w:val="24"/>
        </w:rPr>
        <w:t>+81-19</w:t>
      </w:r>
      <w:r w:rsidR="00082300" w:rsidRPr="00706E08">
        <w:rPr>
          <w:rFonts w:ascii="Book Antiqua" w:hAnsi="Book Antiqua" w:cs="Arial"/>
          <w:color w:val="000000" w:themeColor="text1"/>
          <w:sz w:val="24"/>
          <w:szCs w:val="24"/>
        </w:rPr>
        <w:t>651</w:t>
      </w:r>
      <w:r w:rsidR="000C7C53" w:rsidRPr="00706E08">
        <w:rPr>
          <w:rFonts w:ascii="Book Antiqua" w:hAnsi="Book Antiqua" w:cs="Arial"/>
          <w:color w:val="000000" w:themeColor="text1"/>
          <w:sz w:val="24"/>
          <w:szCs w:val="24"/>
        </w:rPr>
        <w:t>5111 (ext. 2314)</w:t>
      </w:r>
      <w:bookmarkEnd w:id="21"/>
      <w:bookmarkEnd w:id="22"/>
    </w:p>
    <w:p w14:paraId="260FA01B" w14:textId="245F4013" w:rsidR="000C7C53" w:rsidRPr="00706E08" w:rsidRDefault="00672AE3" w:rsidP="000B52DE">
      <w:pPr>
        <w:spacing w:line="360" w:lineRule="auto"/>
        <w:jc w:val="both"/>
        <w:rPr>
          <w:rStyle w:val="ac"/>
          <w:rFonts w:ascii="Book Antiqua" w:hAnsi="Book Antiqua" w:cs="Arial"/>
          <w:color w:val="000000" w:themeColor="text1"/>
          <w:sz w:val="24"/>
          <w:szCs w:val="24"/>
          <w:u w:val="none"/>
          <w:lang w:eastAsia="zh-CN"/>
        </w:rPr>
      </w:pPr>
      <w:r w:rsidRPr="00706E08">
        <w:rPr>
          <w:rStyle w:val="ac"/>
          <w:rFonts w:ascii="Book Antiqua" w:hAnsi="Book Antiqua" w:cs="Arial"/>
          <w:b/>
          <w:color w:val="000000" w:themeColor="text1"/>
          <w:sz w:val="24"/>
          <w:szCs w:val="24"/>
          <w:u w:val="none"/>
          <w:lang w:eastAsia="zh-CN"/>
        </w:rPr>
        <w:t>Fax:</w:t>
      </w:r>
      <w:r w:rsidR="00082300" w:rsidRPr="00706E08">
        <w:rPr>
          <w:rStyle w:val="ac"/>
          <w:rFonts w:ascii="Book Antiqua" w:hAnsi="Book Antiqua" w:cs="Arial"/>
          <w:color w:val="000000" w:themeColor="text1"/>
          <w:sz w:val="24"/>
          <w:szCs w:val="24"/>
          <w:u w:val="none"/>
          <w:lang w:eastAsia="zh-CN"/>
        </w:rPr>
        <w:t xml:space="preserve"> </w:t>
      </w:r>
      <w:r w:rsidR="001B57FF" w:rsidRPr="00706E08">
        <w:rPr>
          <w:rStyle w:val="ac"/>
          <w:rFonts w:ascii="Book Antiqua" w:hAnsi="Book Antiqua" w:cs="Arial"/>
          <w:color w:val="000000" w:themeColor="text1"/>
          <w:sz w:val="24"/>
          <w:szCs w:val="24"/>
          <w:u w:val="none"/>
          <w:lang w:eastAsia="zh-CN"/>
        </w:rPr>
        <w:t>+81-19</w:t>
      </w:r>
      <w:r w:rsidR="00082300" w:rsidRPr="00706E08">
        <w:rPr>
          <w:rStyle w:val="ac"/>
          <w:rFonts w:ascii="Book Antiqua" w:hAnsi="Book Antiqua" w:cs="Arial"/>
          <w:color w:val="000000" w:themeColor="text1"/>
          <w:sz w:val="24"/>
          <w:szCs w:val="24"/>
          <w:u w:val="none"/>
          <w:lang w:eastAsia="zh-CN"/>
        </w:rPr>
        <w:t>6526664</w:t>
      </w:r>
    </w:p>
    <w:p w14:paraId="407E05F3" w14:textId="77777777" w:rsidR="000C7C53" w:rsidRPr="00706E08" w:rsidRDefault="000C7C53" w:rsidP="000B52DE">
      <w:pPr>
        <w:spacing w:line="360" w:lineRule="auto"/>
        <w:jc w:val="both"/>
        <w:rPr>
          <w:rStyle w:val="ac"/>
          <w:rFonts w:ascii="Book Antiqua" w:eastAsia="等线" w:hAnsi="Book Antiqua" w:cs="Arial"/>
          <w:color w:val="000000" w:themeColor="text1"/>
          <w:sz w:val="24"/>
          <w:szCs w:val="24"/>
          <w:u w:val="none"/>
          <w:lang w:eastAsia="zh-CN"/>
        </w:rPr>
      </w:pPr>
    </w:p>
    <w:p w14:paraId="17FB8463" w14:textId="721F4CFE" w:rsidR="00C83C9C" w:rsidRPr="00706E08" w:rsidRDefault="00C83C9C" w:rsidP="00C83C9C">
      <w:pPr>
        <w:spacing w:line="360" w:lineRule="auto"/>
        <w:rPr>
          <w:rFonts w:ascii="Book Antiqua" w:eastAsia="等线" w:hAnsi="Book Antiqua"/>
          <w:sz w:val="24"/>
          <w:szCs w:val="24"/>
          <w:lang w:eastAsia="zh-CN"/>
        </w:rPr>
      </w:pPr>
      <w:bookmarkStart w:id="23" w:name="OLE_LINK75"/>
      <w:bookmarkStart w:id="24" w:name="OLE_LINK76"/>
      <w:bookmarkStart w:id="25" w:name="OLE_LINK269"/>
      <w:bookmarkStart w:id="26" w:name="OLE_LINK239"/>
      <w:r w:rsidRPr="00706E08">
        <w:rPr>
          <w:rFonts w:ascii="Book Antiqua" w:hAnsi="Book Antiqua"/>
          <w:b/>
          <w:sz w:val="24"/>
          <w:szCs w:val="24"/>
        </w:rPr>
        <w:t xml:space="preserve">Received: </w:t>
      </w:r>
      <w:r w:rsidRPr="00706E08">
        <w:rPr>
          <w:rFonts w:ascii="Book Antiqua" w:hAnsi="Book Antiqua"/>
          <w:sz w:val="24"/>
          <w:szCs w:val="24"/>
          <w:lang w:eastAsia="zh-CN"/>
        </w:rPr>
        <w:t>February</w:t>
      </w:r>
      <w:r w:rsidRPr="00706E08">
        <w:rPr>
          <w:rFonts w:ascii="Book Antiqua" w:hAnsi="Book Antiqua"/>
          <w:sz w:val="24"/>
          <w:szCs w:val="24"/>
        </w:rPr>
        <w:t xml:space="preserve"> </w:t>
      </w:r>
      <w:r w:rsidRPr="00706E08">
        <w:rPr>
          <w:rFonts w:ascii="Book Antiqua" w:hAnsi="Book Antiqua"/>
          <w:sz w:val="24"/>
          <w:szCs w:val="24"/>
          <w:lang w:eastAsia="zh-CN"/>
        </w:rPr>
        <w:t>3</w:t>
      </w:r>
      <w:r w:rsidRPr="00706E08">
        <w:rPr>
          <w:rFonts w:ascii="Book Antiqua" w:hAnsi="Book Antiqua"/>
          <w:sz w:val="24"/>
          <w:szCs w:val="24"/>
        </w:rPr>
        <w:t>, 2019</w:t>
      </w:r>
    </w:p>
    <w:p w14:paraId="2712781F" w14:textId="602CC633" w:rsidR="00C83C9C" w:rsidRPr="00706E08" w:rsidRDefault="00C83C9C" w:rsidP="00C83C9C">
      <w:pPr>
        <w:spacing w:line="360" w:lineRule="auto"/>
        <w:rPr>
          <w:rFonts w:ascii="Book Antiqua" w:hAnsi="Book Antiqua"/>
          <w:b/>
          <w:sz w:val="24"/>
          <w:szCs w:val="24"/>
        </w:rPr>
      </w:pPr>
      <w:r w:rsidRPr="00706E08">
        <w:rPr>
          <w:rFonts w:ascii="Book Antiqua" w:hAnsi="Book Antiqua"/>
          <w:b/>
          <w:sz w:val="24"/>
          <w:szCs w:val="24"/>
        </w:rPr>
        <w:t xml:space="preserve">Peer-review started: </w:t>
      </w:r>
      <w:r w:rsidRPr="00706E08">
        <w:rPr>
          <w:rFonts w:ascii="Book Antiqua" w:hAnsi="Book Antiqua"/>
          <w:sz w:val="24"/>
          <w:szCs w:val="24"/>
          <w:lang w:eastAsia="zh-CN"/>
        </w:rPr>
        <w:t>February</w:t>
      </w:r>
      <w:r w:rsidRPr="00706E08">
        <w:rPr>
          <w:rFonts w:ascii="Book Antiqua" w:hAnsi="Book Antiqua"/>
          <w:sz w:val="24"/>
          <w:szCs w:val="24"/>
        </w:rPr>
        <w:t xml:space="preserve"> </w:t>
      </w:r>
      <w:r w:rsidRPr="00706E08">
        <w:rPr>
          <w:rFonts w:ascii="Book Antiqua" w:hAnsi="Book Antiqua"/>
          <w:sz w:val="24"/>
          <w:szCs w:val="24"/>
          <w:lang w:eastAsia="zh-CN"/>
        </w:rPr>
        <w:t>6</w:t>
      </w:r>
      <w:r w:rsidRPr="00706E08">
        <w:rPr>
          <w:rFonts w:ascii="Book Antiqua" w:hAnsi="Book Antiqua"/>
          <w:sz w:val="24"/>
          <w:szCs w:val="24"/>
        </w:rPr>
        <w:t>, 2019</w:t>
      </w:r>
    </w:p>
    <w:p w14:paraId="0A9712E9" w14:textId="6D27419C" w:rsidR="00C83C9C" w:rsidRPr="00706E08" w:rsidRDefault="00C83C9C" w:rsidP="00C83C9C">
      <w:pPr>
        <w:spacing w:line="360" w:lineRule="auto"/>
        <w:rPr>
          <w:rFonts w:ascii="Book Antiqua" w:hAnsi="Book Antiqua"/>
          <w:b/>
          <w:sz w:val="24"/>
          <w:szCs w:val="24"/>
        </w:rPr>
      </w:pPr>
      <w:r w:rsidRPr="00706E08">
        <w:rPr>
          <w:rFonts w:ascii="Book Antiqua" w:hAnsi="Book Antiqua"/>
          <w:b/>
          <w:sz w:val="24"/>
          <w:szCs w:val="24"/>
        </w:rPr>
        <w:t xml:space="preserve">First decision: </w:t>
      </w:r>
      <w:r w:rsidRPr="00706E08">
        <w:rPr>
          <w:rFonts w:ascii="Book Antiqua" w:hAnsi="Book Antiqua"/>
          <w:sz w:val="24"/>
          <w:szCs w:val="24"/>
        </w:rPr>
        <w:t xml:space="preserve">February </w:t>
      </w:r>
      <w:r w:rsidRPr="00706E08">
        <w:rPr>
          <w:rFonts w:ascii="Book Antiqua" w:hAnsi="Book Antiqua"/>
          <w:sz w:val="24"/>
          <w:szCs w:val="24"/>
          <w:lang w:eastAsia="zh-CN"/>
        </w:rPr>
        <w:t>21</w:t>
      </w:r>
      <w:r w:rsidRPr="00706E08">
        <w:rPr>
          <w:rFonts w:ascii="Book Antiqua" w:hAnsi="Book Antiqua"/>
          <w:sz w:val="24"/>
          <w:szCs w:val="24"/>
        </w:rPr>
        <w:t>, 2019</w:t>
      </w:r>
    </w:p>
    <w:p w14:paraId="60BD195C" w14:textId="40B2C92F" w:rsidR="00C83C9C" w:rsidRPr="00706E08" w:rsidRDefault="00C83C9C" w:rsidP="00C83C9C">
      <w:pPr>
        <w:spacing w:line="360" w:lineRule="auto"/>
        <w:rPr>
          <w:rFonts w:ascii="Book Antiqua" w:hAnsi="Book Antiqua"/>
          <w:b/>
          <w:sz w:val="24"/>
          <w:szCs w:val="24"/>
        </w:rPr>
      </w:pPr>
      <w:r w:rsidRPr="00706E08">
        <w:rPr>
          <w:rFonts w:ascii="Book Antiqua" w:hAnsi="Book Antiqua"/>
          <w:b/>
          <w:sz w:val="24"/>
          <w:szCs w:val="24"/>
        </w:rPr>
        <w:t xml:space="preserve">Revised: </w:t>
      </w:r>
      <w:r w:rsidRPr="00706E08">
        <w:rPr>
          <w:rFonts w:ascii="Book Antiqua" w:hAnsi="Book Antiqua"/>
          <w:sz w:val="24"/>
          <w:szCs w:val="24"/>
        </w:rPr>
        <w:t xml:space="preserve">February </w:t>
      </w:r>
      <w:r w:rsidRPr="00706E08">
        <w:rPr>
          <w:rFonts w:ascii="Book Antiqua" w:hAnsi="Book Antiqua"/>
          <w:sz w:val="24"/>
          <w:szCs w:val="24"/>
          <w:lang w:eastAsia="zh-CN"/>
        </w:rPr>
        <w:t>27</w:t>
      </w:r>
      <w:r w:rsidRPr="00706E08">
        <w:rPr>
          <w:rFonts w:ascii="Book Antiqua" w:hAnsi="Book Antiqua"/>
          <w:sz w:val="24"/>
          <w:szCs w:val="24"/>
        </w:rPr>
        <w:t>, 2019</w:t>
      </w:r>
    </w:p>
    <w:p w14:paraId="5182B869" w14:textId="71DE379D" w:rsidR="00C83C9C" w:rsidRPr="00706E08" w:rsidRDefault="00C83C9C" w:rsidP="00C83C9C">
      <w:pPr>
        <w:spacing w:line="360" w:lineRule="auto"/>
        <w:rPr>
          <w:rFonts w:ascii="Book Antiqua" w:hAnsi="Book Antiqua"/>
          <w:color w:val="000000"/>
          <w:sz w:val="24"/>
          <w:szCs w:val="24"/>
        </w:rPr>
      </w:pPr>
      <w:r w:rsidRPr="00706E08">
        <w:rPr>
          <w:rFonts w:ascii="Book Antiqua" w:hAnsi="Book Antiqua"/>
          <w:b/>
          <w:sz w:val="24"/>
          <w:szCs w:val="24"/>
        </w:rPr>
        <w:t xml:space="preserve">Accepted: </w:t>
      </w:r>
      <w:r w:rsidR="00F4179E" w:rsidRPr="00706E08">
        <w:rPr>
          <w:rFonts w:ascii="Book Antiqua" w:hAnsi="Book Antiqua"/>
          <w:sz w:val="24"/>
          <w:szCs w:val="24"/>
        </w:rPr>
        <w:t>March 11, 2019</w:t>
      </w:r>
    </w:p>
    <w:p w14:paraId="1EE973C1" w14:textId="6A54B08A" w:rsidR="00C83C9C" w:rsidRPr="00706E08" w:rsidRDefault="00C83C9C" w:rsidP="00C83C9C">
      <w:pPr>
        <w:spacing w:line="360" w:lineRule="auto"/>
        <w:rPr>
          <w:rFonts w:ascii="Book Antiqua" w:hAnsi="Book Antiqua"/>
          <w:b/>
          <w:sz w:val="24"/>
          <w:szCs w:val="24"/>
        </w:rPr>
      </w:pPr>
      <w:r w:rsidRPr="00706E08">
        <w:rPr>
          <w:rFonts w:ascii="Book Antiqua" w:hAnsi="Book Antiqua"/>
          <w:b/>
          <w:sz w:val="24"/>
          <w:szCs w:val="24"/>
        </w:rPr>
        <w:t>Article in press:</w:t>
      </w:r>
      <w:r w:rsidR="00706E08" w:rsidRPr="00706E08">
        <w:rPr>
          <w:rFonts w:ascii="Book Antiqua" w:hAnsi="Book Antiqua"/>
          <w:sz w:val="24"/>
          <w:szCs w:val="24"/>
        </w:rPr>
        <w:t xml:space="preserve"> </w:t>
      </w:r>
      <w:r w:rsidR="00706E08" w:rsidRPr="00706E08">
        <w:rPr>
          <w:rFonts w:ascii="Book Antiqua" w:hAnsi="Book Antiqua"/>
          <w:sz w:val="24"/>
          <w:szCs w:val="24"/>
        </w:rPr>
        <w:t xml:space="preserve">March </w:t>
      </w:r>
      <w:r w:rsidR="00706E08" w:rsidRPr="00706E08">
        <w:rPr>
          <w:rFonts w:ascii="Book Antiqua" w:hAnsi="Book Antiqua"/>
          <w:sz w:val="24"/>
          <w:szCs w:val="24"/>
        </w:rPr>
        <w:t>12</w:t>
      </w:r>
      <w:r w:rsidR="00706E08" w:rsidRPr="00706E08">
        <w:rPr>
          <w:rFonts w:ascii="Book Antiqua" w:hAnsi="Book Antiqua"/>
          <w:sz w:val="24"/>
          <w:szCs w:val="24"/>
        </w:rPr>
        <w:t>, 2019</w:t>
      </w:r>
    </w:p>
    <w:p w14:paraId="7D0A8442" w14:textId="2181033A" w:rsidR="00C83C9C" w:rsidRPr="00706E08" w:rsidRDefault="00C83C9C" w:rsidP="00C83C9C">
      <w:pPr>
        <w:spacing w:line="360" w:lineRule="auto"/>
        <w:rPr>
          <w:rFonts w:ascii="Book Antiqua" w:hAnsi="Book Antiqua"/>
          <w:b/>
          <w:sz w:val="24"/>
          <w:szCs w:val="24"/>
        </w:rPr>
      </w:pPr>
      <w:r w:rsidRPr="00706E08">
        <w:rPr>
          <w:rFonts w:ascii="Book Antiqua" w:hAnsi="Book Antiqua"/>
          <w:b/>
          <w:sz w:val="24"/>
          <w:szCs w:val="24"/>
        </w:rPr>
        <w:t>Published online:</w:t>
      </w:r>
      <w:r w:rsidR="00706E08" w:rsidRPr="00706E08">
        <w:rPr>
          <w:rFonts w:ascii="Book Antiqua" w:hAnsi="Book Antiqua"/>
          <w:sz w:val="24"/>
          <w:szCs w:val="24"/>
        </w:rPr>
        <w:t xml:space="preserve"> A</w:t>
      </w:r>
      <w:r w:rsidR="00706E08" w:rsidRPr="00706E08">
        <w:rPr>
          <w:rFonts w:ascii="Book Antiqua" w:eastAsia="等线" w:hAnsi="Book Antiqua"/>
          <w:sz w:val="24"/>
          <w:szCs w:val="24"/>
          <w:lang w:eastAsia="zh-CN"/>
        </w:rPr>
        <w:t>pril</w:t>
      </w:r>
      <w:r w:rsidR="00706E08" w:rsidRPr="00706E08">
        <w:rPr>
          <w:rFonts w:ascii="Book Antiqua" w:hAnsi="Book Antiqua"/>
          <w:sz w:val="24"/>
          <w:szCs w:val="24"/>
        </w:rPr>
        <w:t xml:space="preserve"> </w:t>
      </w:r>
      <w:r w:rsidR="00706E08" w:rsidRPr="00706E08">
        <w:rPr>
          <w:rFonts w:ascii="Book Antiqua" w:hAnsi="Book Antiqua"/>
          <w:sz w:val="24"/>
          <w:szCs w:val="24"/>
        </w:rPr>
        <w:t>14</w:t>
      </w:r>
      <w:r w:rsidR="00706E08" w:rsidRPr="00706E08">
        <w:rPr>
          <w:rFonts w:ascii="Book Antiqua" w:hAnsi="Book Antiqua"/>
          <w:sz w:val="24"/>
          <w:szCs w:val="24"/>
        </w:rPr>
        <w:t>, 2019</w:t>
      </w:r>
    </w:p>
    <w:bookmarkEnd w:id="23"/>
    <w:bookmarkEnd w:id="24"/>
    <w:bookmarkEnd w:id="25"/>
    <w:bookmarkEnd w:id="26"/>
    <w:p w14:paraId="7529D0F2" w14:textId="77777777" w:rsidR="001B57FF" w:rsidRPr="00706E08" w:rsidRDefault="001B57FF" w:rsidP="000B52DE">
      <w:pPr>
        <w:spacing w:line="360" w:lineRule="auto"/>
        <w:jc w:val="both"/>
        <w:rPr>
          <w:rStyle w:val="ac"/>
          <w:rFonts w:ascii="Book Antiqua" w:eastAsia="等线" w:hAnsi="Book Antiqua" w:cs="Arial"/>
          <w:color w:val="000000" w:themeColor="text1"/>
          <w:sz w:val="24"/>
          <w:szCs w:val="24"/>
          <w:u w:val="none"/>
          <w:lang w:eastAsia="zh-CN"/>
        </w:rPr>
      </w:pPr>
    </w:p>
    <w:p w14:paraId="3DB70276" w14:textId="77777777" w:rsidR="00672AE3" w:rsidRPr="00706E08" w:rsidRDefault="00672AE3" w:rsidP="000B52DE">
      <w:pPr>
        <w:spacing w:line="360" w:lineRule="auto"/>
        <w:jc w:val="both"/>
        <w:rPr>
          <w:rFonts w:ascii="Book Antiqua" w:hAnsi="Book Antiqua"/>
          <w:color w:val="000000" w:themeColor="text1"/>
          <w:sz w:val="24"/>
          <w:szCs w:val="24"/>
        </w:rPr>
      </w:pPr>
      <w:r w:rsidRPr="00706E08">
        <w:rPr>
          <w:rFonts w:ascii="Book Antiqua" w:hAnsi="Book Antiqua"/>
          <w:color w:val="000000" w:themeColor="text1"/>
          <w:sz w:val="24"/>
          <w:szCs w:val="24"/>
        </w:rPr>
        <w:br w:type="page"/>
      </w:r>
    </w:p>
    <w:p w14:paraId="30E631C6" w14:textId="77777777" w:rsidR="000C7C53" w:rsidRPr="00706E08" w:rsidRDefault="000C7C53" w:rsidP="000B52DE">
      <w:pPr>
        <w:spacing w:line="360" w:lineRule="auto"/>
        <w:jc w:val="both"/>
        <w:rPr>
          <w:rFonts w:ascii="Book Antiqua" w:hAnsi="Book Antiqua"/>
          <w:b/>
          <w:color w:val="000000" w:themeColor="text1"/>
          <w:sz w:val="24"/>
          <w:szCs w:val="24"/>
        </w:rPr>
      </w:pPr>
      <w:r w:rsidRPr="00706E08">
        <w:rPr>
          <w:rFonts w:ascii="Book Antiqua" w:hAnsi="Book Antiqua"/>
          <w:b/>
          <w:color w:val="000000" w:themeColor="text1"/>
          <w:sz w:val="24"/>
          <w:szCs w:val="24"/>
        </w:rPr>
        <w:lastRenderedPageBreak/>
        <w:t>Abstract</w:t>
      </w:r>
    </w:p>
    <w:p w14:paraId="0A1048A8" w14:textId="4255B500" w:rsidR="000C7C53" w:rsidRPr="00706E08" w:rsidRDefault="00AE189D" w:rsidP="000B52DE">
      <w:pPr>
        <w:snapToGrid w:val="0"/>
        <w:spacing w:line="360" w:lineRule="auto"/>
        <w:jc w:val="both"/>
        <w:rPr>
          <w:rFonts w:ascii="Book Antiqua" w:eastAsia="等线" w:hAnsi="Book Antiqua"/>
          <w:b/>
          <w:i/>
          <w:color w:val="000000" w:themeColor="text1"/>
          <w:sz w:val="24"/>
          <w:szCs w:val="24"/>
          <w:lang w:eastAsia="zh-CN"/>
        </w:rPr>
      </w:pPr>
      <w:r w:rsidRPr="00706E08">
        <w:rPr>
          <w:rFonts w:ascii="Book Antiqua" w:hAnsi="Book Antiqua"/>
          <w:b/>
          <w:i/>
          <w:color w:val="000000" w:themeColor="text1"/>
          <w:sz w:val="24"/>
          <w:szCs w:val="24"/>
        </w:rPr>
        <w:t>BACKGROUND</w:t>
      </w:r>
    </w:p>
    <w:p w14:paraId="2DC012B3" w14:textId="44EBE8B4" w:rsidR="000C7C53" w:rsidRPr="00706E08" w:rsidRDefault="000C7C53" w:rsidP="000B52DE">
      <w:pPr>
        <w:snapToGrid w:val="0"/>
        <w:spacing w:line="360" w:lineRule="auto"/>
        <w:jc w:val="both"/>
        <w:rPr>
          <w:rFonts w:ascii="Book Antiqua" w:hAnsi="Book Antiqua"/>
          <w:color w:val="000000" w:themeColor="text1"/>
          <w:sz w:val="24"/>
          <w:szCs w:val="24"/>
        </w:rPr>
      </w:pPr>
      <w:r w:rsidRPr="00706E08">
        <w:rPr>
          <w:rFonts w:ascii="Book Antiqua" w:hAnsi="Book Antiqua"/>
          <w:color w:val="000000" w:themeColor="text1"/>
          <w:sz w:val="24"/>
          <w:szCs w:val="24"/>
        </w:rPr>
        <w:t xml:space="preserve">We recently reported on a hereditary enteropathy associated with a gene encoding a prostaglandin transporter and referred to as chronic enteropathy associated with </w:t>
      </w:r>
      <w:r w:rsidRPr="00706E08">
        <w:rPr>
          <w:rFonts w:ascii="Book Antiqua" w:hAnsi="Book Antiqua"/>
          <w:i/>
          <w:color w:val="000000" w:themeColor="text1"/>
          <w:sz w:val="24"/>
          <w:szCs w:val="24"/>
        </w:rPr>
        <w:t>SLCO2A1</w:t>
      </w:r>
      <w:r w:rsidRPr="00706E08">
        <w:rPr>
          <w:rFonts w:ascii="Book Antiqua" w:hAnsi="Book Antiqua"/>
          <w:color w:val="000000" w:themeColor="text1"/>
          <w:sz w:val="24"/>
          <w:szCs w:val="24"/>
        </w:rPr>
        <w:t xml:space="preserve"> gene (CEAS). Crohn’s disease (CD) is a major differential diagnosis of CEAS, because these diseases share some clinical features. Therefore, there is a need to develop a convenient screening test to distinguish CEAS from CD.</w:t>
      </w:r>
    </w:p>
    <w:p w14:paraId="3C9A2350" w14:textId="77777777" w:rsidR="00672AE3" w:rsidRPr="00706E08" w:rsidRDefault="00672AE3" w:rsidP="000B52DE">
      <w:pPr>
        <w:snapToGrid w:val="0"/>
        <w:spacing w:line="360" w:lineRule="auto"/>
        <w:jc w:val="both"/>
        <w:rPr>
          <w:rFonts w:ascii="Book Antiqua" w:eastAsia="等线" w:hAnsi="Book Antiqua"/>
          <w:b/>
          <w:color w:val="000000" w:themeColor="text1"/>
          <w:sz w:val="24"/>
          <w:szCs w:val="24"/>
          <w:lang w:eastAsia="zh-CN"/>
        </w:rPr>
      </w:pPr>
    </w:p>
    <w:p w14:paraId="00497614" w14:textId="3F58AC00" w:rsidR="000C7C53" w:rsidRPr="00706E08" w:rsidRDefault="00AE189D" w:rsidP="000B52DE">
      <w:pPr>
        <w:snapToGrid w:val="0"/>
        <w:spacing w:line="360" w:lineRule="auto"/>
        <w:jc w:val="both"/>
        <w:rPr>
          <w:rFonts w:ascii="Book Antiqua" w:eastAsia="等线" w:hAnsi="Book Antiqua"/>
          <w:b/>
          <w:i/>
          <w:color w:val="000000" w:themeColor="text1"/>
          <w:sz w:val="24"/>
          <w:szCs w:val="24"/>
          <w:lang w:eastAsia="zh-CN"/>
        </w:rPr>
      </w:pPr>
      <w:r w:rsidRPr="00706E08">
        <w:rPr>
          <w:rFonts w:ascii="Book Antiqua" w:hAnsi="Book Antiqua"/>
          <w:b/>
          <w:i/>
          <w:color w:val="000000" w:themeColor="text1"/>
          <w:sz w:val="24"/>
          <w:szCs w:val="24"/>
        </w:rPr>
        <w:t>AIM</w:t>
      </w:r>
    </w:p>
    <w:p w14:paraId="1D4391B8" w14:textId="1ECEA2AA" w:rsidR="000C7C53" w:rsidRPr="00706E08" w:rsidRDefault="000C7C53" w:rsidP="000B52DE">
      <w:pPr>
        <w:snapToGrid w:val="0"/>
        <w:spacing w:line="360" w:lineRule="auto"/>
        <w:jc w:val="both"/>
        <w:rPr>
          <w:rFonts w:ascii="Book Antiqua" w:hAnsi="Book Antiqua"/>
          <w:color w:val="000000" w:themeColor="text1"/>
          <w:sz w:val="24"/>
          <w:szCs w:val="24"/>
        </w:rPr>
      </w:pPr>
      <w:r w:rsidRPr="00706E08">
        <w:rPr>
          <w:rFonts w:ascii="Book Antiqua" w:hAnsi="Book Antiqua"/>
          <w:color w:val="000000" w:themeColor="text1"/>
          <w:sz w:val="24"/>
          <w:szCs w:val="24"/>
        </w:rPr>
        <w:t xml:space="preserve">To examine whether </w:t>
      </w:r>
      <w:r w:rsidR="00AE189D" w:rsidRPr="00706E08">
        <w:rPr>
          <w:rFonts w:ascii="Book Antiqua" w:hAnsi="Book Antiqua"/>
          <w:color w:val="000000" w:themeColor="text1"/>
          <w:sz w:val="24"/>
          <w:szCs w:val="24"/>
        </w:rPr>
        <w:t xml:space="preserve">prostaglandin E major urinary metabolites </w:t>
      </w:r>
      <w:r w:rsidR="00AE189D" w:rsidRPr="00706E08">
        <w:rPr>
          <w:rFonts w:ascii="Book Antiqua" w:hAnsi="Book Antiqua"/>
          <w:color w:val="000000" w:themeColor="text1"/>
          <w:sz w:val="24"/>
          <w:szCs w:val="24"/>
          <w:lang w:eastAsia="zh-CN"/>
        </w:rPr>
        <w:t>(</w:t>
      </w:r>
      <w:r w:rsidRPr="00706E08">
        <w:rPr>
          <w:rFonts w:ascii="Book Antiqua" w:hAnsi="Book Antiqua"/>
          <w:color w:val="000000" w:themeColor="text1"/>
          <w:sz w:val="24"/>
          <w:szCs w:val="24"/>
        </w:rPr>
        <w:t>PGE-MUM</w:t>
      </w:r>
      <w:r w:rsidR="00AE189D" w:rsidRPr="00706E08">
        <w:rPr>
          <w:rFonts w:ascii="Book Antiqua" w:hAnsi="Book Antiqua"/>
          <w:color w:val="000000" w:themeColor="text1"/>
          <w:sz w:val="24"/>
          <w:szCs w:val="24"/>
          <w:lang w:eastAsia="zh-CN"/>
        </w:rPr>
        <w:t>)</w:t>
      </w:r>
      <w:r w:rsidRPr="00706E08">
        <w:rPr>
          <w:rFonts w:ascii="Book Antiqua" w:hAnsi="Book Antiqua"/>
          <w:color w:val="000000" w:themeColor="text1"/>
          <w:sz w:val="24"/>
          <w:szCs w:val="24"/>
        </w:rPr>
        <w:t xml:space="preserve"> can serve as a biomarker to distinguish CEAS from CD.</w:t>
      </w:r>
    </w:p>
    <w:p w14:paraId="4439F904" w14:textId="77777777" w:rsidR="00672AE3" w:rsidRPr="00706E08" w:rsidRDefault="00672AE3" w:rsidP="000B52DE">
      <w:pPr>
        <w:snapToGrid w:val="0"/>
        <w:spacing w:line="360" w:lineRule="auto"/>
        <w:jc w:val="both"/>
        <w:rPr>
          <w:rFonts w:ascii="Book Antiqua" w:eastAsia="等线" w:hAnsi="Book Antiqua"/>
          <w:b/>
          <w:color w:val="000000" w:themeColor="text1"/>
          <w:sz w:val="24"/>
          <w:szCs w:val="24"/>
          <w:lang w:eastAsia="zh-CN"/>
        </w:rPr>
      </w:pPr>
    </w:p>
    <w:p w14:paraId="7F12E704" w14:textId="0057FA23" w:rsidR="000C7C53" w:rsidRPr="00706E08" w:rsidRDefault="00AE189D" w:rsidP="000B52DE">
      <w:pPr>
        <w:snapToGrid w:val="0"/>
        <w:spacing w:line="360" w:lineRule="auto"/>
        <w:jc w:val="both"/>
        <w:rPr>
          <w:rFonts w:ascii="Book Antiqua" w:eastAsia="等线" w:hAnsi="Book Antiqua"/>
          <w:b/>
          <w:i/>
          <w:color w:val="000000" w:themeColor="text1"/>
          <w:sz w:val="24"/>
          <w:szCs w:val="24"/>
          <w:lang w:eastAsia="zh-CN"/>
        </w:rPr>
      </w:pPr>
      <w:r w:rsidRPr="00706E08">
        <w:rPr>
          <w:rFonts w:ascii="Book Antiqua" w:hAnsi="Book Antiqua"/>
          <w:b/>
          <w:i/>
          <w:color w:val="000000" w:themeColor="text1"/>
          <w:sz w:val="24"/>
          <w:szCs w:val="24"/>
        </w:rPr>
        <w:t>METHODS</w:t>
      </w:r>
    </w:p>
    <w:p w14:paraId="1335791F" w14:textId="77777777" w:rsidR="000C7C53" w:rsidRPr="00706E08" w:rsidRDefault="000C7C53" w:rsidP="000B52DE">
      <w:pPr>
        <w:snapToGrid w:val="0"/>
        <w:spacing w:line="360" w:lineRule="auto"/>
        <w:jc w:val="both"/>
        <w:rPr>
          <w:rFonts w:ascii="Book Antiqua" w:hAnsi="Book Antiqua"/>
          <w:b/>
          <w:color w:val="000000" w:themeColor="text1"/>
          <w:sz w:val="24"/>
          <w:szCs w:val="24"/>
        </w:rPr>
      </w:pPr>
      <w:r w:rsidRPr="00706E08">
        <w:rPr>
          <w:rFonts w:ascii="Book Antiqua" w:hAnsi="Book Antiqua"/>
          <w:color w:val="000000" w:themeColor="text1"/>
          <w:sz w:val="24"/>
          <w:szCs w:val="24"/>
        </w:rPr>
        <w:t xml:space="preserve">This was a transactional study of 20 patients with CEAS and 98 patients with CD. CEAS was diagnosed by the confirmation of homozygous or compound heterozygous mutation of </w:t>
      </w:r>
      <w:r w:rsidRPr="00706E08">
        <w:rPr>
          <w:rFonts w:ascii="Book Antiqua" w:hAnsi="Book Antiqua"/>
          <w:i/>
          <w:color w:val="000000" w:themeColor="text1"/>
          <w:sz w:val="24"/>
          <w:szCs w:val="24"/>
        </w:rPr>
        <w:t>SLCO2A1</w:t>
      </w:r>
      <w:r w:rsidRPr="00706E08">
        <w:rPr>
          <w:rFonts w:ascii="Book Antiqua" w:hAnsi="Book Antiqua"/>
          <w:color w:val="000000" w:themeColor="text1"/>
          <w:sz w:val="24"/>
          <w:szCs w:val="24"/>
        </w:rPr>
        <w:t>. We measured the concentration of PGE-MUM in spot urine by radioimmunoassay, and the concentration was compared between the two groups of patients. We also determined the optimal cut-off value of PGE-MUM to distinguish CEAS from CD by receiver operating characteristic (ROC) curve analysis.</w:t>
      </w:r>
      <w:r w:rsidRPr="00706E08">
        <w:rPr>
          <w:rFonts w:ascii="Book Antiqua" w:hAnsi="Book Antiqua"/>
          <w:b/>
          <w:color w:val="000000" w:themeColor="text1"/>
          <w:sz w:val="24"/>
          <w:szCs w:val="24"/>
        </w:rPr>
        <w:t xml:space="preserve"> </w:t>
      </w:r>
    </w:p>
    <w:p w14:paraId="057446B3" w14:textId="77777777" w:rsidR="00672AE3" w:rsidRPr="00706E08" w:rsidRDefault="00672AE3" w:rsidP="000B52DE">
      <w:pPr>
        <w:snapToGrid w:val="0"/>
        <w:spacing w:line="360" w:lineRule="auto"/>
        <w:jc w:val="both"/>
        <w:rPr>
          <w:rFonts w:ascii="Book Antiqua" w:eastAsia="等线" w:hAnsi="Book Antiqua"/>
          <w:b/>
          <w:color w:val="000000" w:themeColor="text1"/>
          <w:sz w:val="24"/>
          <w:szCs w:val="24"/>
          <w:lang w:eastAsia="zh-CN"/>
        </w:rPr>
      </w:pPr>
    </w:p>
    <w:p w14:paraId="58C8E97D" w14:textId="660E7CD7" w:rsidR="000C7C53" w:rsidRPr="00706E08" w:rsidRDefault="00211749" w:rsidP="000B52DE">
      <w:pPr>
        <w:snapToGrid w:val="0"/>
        <w:spacing w:line="360" w:lineRule="auto"/>
        <w:jc w:val="both"/>
        <w:rPr>
          <w:rFonts w:ascii="Book Antiqua" w:eastAsia="等线" w:hAnsi="Book Antiqua"/>
          <w:b/>
          <w:i/>
          <w:color w:val="000000" w:themeColor="text1"/>
          <w:sz w:val="24"/>
          <w:szCs w:val="24"/>
          <w:lang w:eastAsia="zh-CN"/>
        </w:rPr>
      </w:pPr>
      <w:r w:rsidRPr="00706E08">
        <w:rPr>
          <w:rFonts w:ascii="Book Antiqua" w:hAnsi="Book Antiqua"/>
          <w:b/>
          <w:i/>
          <w:color w:val="000000" w:themeColor="text1"/>
          <w:sz w:val="24"/>
          <w:szCs w:val="24"/>
        </w:rPr>
        <w:t>RESULTS</w:t>
      </w:r>
    </w:p>
    <w:p w14:paraId="2EB23D8C" w14:textId="653F6F45" w:rsidR="000C7C53" w:rsidRPr="00706E08" w:rsidRDefault="000C7C53" w:rsidP="000B52DE">
      <w:pPr>
        <w:snapToGrid w:val="0"/>
        <w:spacing w:line="360" w:lineRule="auto"/>
        <w:jc w:val="both"/>
        <w:rPr>
          <w:rFonts w:ascii="Book Antiqua" w:hAnsi="Book Antiqua"/>
          <w:color w:val="000000" w:themeColor="text1"/>
          <w:sz w:val="24"/>
          <w:szCs w:val="24"/>
        </w:rPr>
      </w:pPr>
      <w:r w:rsidRPr="00706E08">
        <w:rPr>
          <w:rFonts w:ascii="Book Antiqua" w:hAnsi="Book Antiqua"/>
          <w:color w:val="000000" w:themeColor="text1"/>
          <w:sz w:val="24"/>
          <w:szCs w:val="24"/>
        </w:rPr>
        <w:t>Twenty Japanese patients with CEAS and 98 patients with CD were enrolled.</w:t>
      </w:r>
      <w:r w:rsidRPr="00706E08">
        <w:rPr>
          <w:rFonts w:ascii="Book Antiqua" w:hAnsi="Book Antiqua"/>
          <w:b/>
          <w:color w:val="000000" w:themeColor="text1"/>
          <w:sz w:val="24"/>
          <w:szCs w:val="24"/>
        </w:rPr>
        <w:t xml:space="preserve"> </w:t>
      </w:r>
      <w:r w:rsidRPr="00706E08">
        <w:rPr>
          <w:rFonts w:ascii="Book Antiqua" w:hAnsi="Book Antiqua"/>
          <w:color w:val="000000" w:themeColor="text1"/>
          <w:sz w:val="24"/>
          <w:szCs w:val="24"/>
        </w:rPr>
        <w:t xml:space="preserve">PGE-MUM concentration </w:t>
      </w:r>
      <w:r w:rsidR="00D50E1C" w:rsidRPr="00706E08">
        <w:rPr>
          <w:rFonts w:ascii="Book Antiqua" w:hAnsi="Book Antiqua"/>
          <w:color w:val="000000" w:themeColor="text1"/>
          <w:sz w:val="24"/>
          <w:szCs w:val="24"/>
        </w:rPr>
        <w:t xml:space="preserve">in patients with CEAS </w:t>
      </w:r>
      <w:r w:rsidR="00AB6B5F" w:rsidRPr="00706E08">
        <w:rPr>
          <w:rFonts w:ascii="Book Antiqua" w:hAnsi="Book Antiqua"/>
          <w:color w:val="000000" w:themeColor="text1"/>
          <w:sz w:val="24"/>
          <w:szCs w:val="24"/>
        </w:rPr>
        <w:t>was</w:t>
      </w:r>
      <w:r w:rsidRPr="00706E08">
        <w:rPr>
          <w:rFonts w:ascii="Book Antiqua" w:hAnsi="Book Antiqua"/>
          <w:color w:val="000000" w:themeColor="text1"/>
          <w:sz w:val="24"/>
          <w:szCs w:val="24"/>
        </w:rPr>
        <w:t xml:space="preserve"> significantly higher </w:t>
      </w:r>
      <w:r w:rsidR="0087748D" w:rsidRPr="00706E08">
        <w:rPr>
          <w:rFonts w:ascii="Book Antiqua" w:hAnsi="Book Antiqua"/>
          <w:color w:val="000000" w:themeColor="text1"/>
          <w:sz w:val="24"/>
          <w:szCs w:val="24"/>
        </w:rPr>
        <w:t>than</w:t>
      </w:r>
      <w:r w:rsidR="00D50E1C" w:rsidRPr="00706E08">
        <w:rPr>
          <w:rFonts w:ascii="Book Antiqua" w:hAnsi="Book Antiqua"/>
          <w:color w:val="000000" w:themeColor="text1"/>
          <w:sz w:val="24"/>
          <w:szCs w:val="24"/>
        </w:rPr>
        <w:t xml:space="preserve"> </w:t>
      </w:r>
      <w:r w:rsidR="00625562" w:rsidRPr="00706E08">
        <w:rPr>
          <w:rFonts w:ascii="Book Antiqua" w:hAnsi="Book Antiqua"/>
          <w:color w:val="000000" w:themeColor="text1"/>
          <w:sz w:val="24"/>
          <w:szCs w:val="24"/>
        </w:rPr>
        <w:t xml:space="preserve">that </w:t>
      </w:r>
      <w:r w:rsidRPr="00706E08">
        <w:rPr>
          <w:rFonts w:ascii="Book Antiqua" w:hAnsi="Book Antiqua"/>
          <w:color w:val="000000" w:themeColor="text1"/>
          <w:sz w:val="24"/>
          <w:szCs w:val="24"/>
        </w:rPr>
        <w:t>in</w:t>
      </w:r>
      <w:r w:rsidR="00D50E1C" w:rsidRPr="00706E08">
        <w:rPr>
          <w:rFonts w:ascii="Book Antiqua" w:hAnsi="Book Antiqua"/>
          <w:color w:val="000000" w:themeColor="text1"/>
          <w:sz w:val="24"/>
          <w:szCs w:val="24"/>
        </w:rPr>
        <w:t xml:space="preserve"> patients with</w:t>
      </w:r>
      <w:r w:rsidRPr="00706E08">
        <w:rPr>
          <w:rFonts w:ascii="Book Antiqua" w:hAnsi="Book Antiqua"/>
          <w:color w:val="000000" w:themeColor="text1"/>
          <w:sz w:val="24"/>
          <w:szCs w:val="24"/>
        </w:rPr>
        <w:t xml:space="preserve"> CD (median 102.7 </w:t>
      </w:r>
      <w:r w:rsidRPr="00706E08">
        <w:rPr>
          <w:rFonts w:ascii="Book Antiqua" w:hAnsi="Book Antiqua"/>
          <w:i/>
          <w:color w:val="000000" w:themeColor="text1"/>
          <w:sz w:val="24"/>
          <w:szCs w:val="24"/>
        </w:rPr>
        <w:t>vs</w:t>
      </w:r>
      <w:r w:rsidRPr="00706E08">
        <w:rPr>
          <w:rFonts w:ascii="Book Antiqua" w:hAnsi="Book Antiqua"/>
          <w:color w:val="000000" w:themeColor="text1"/>
          <w:sz w:val="24"/>
          <w:szCs w:val="24"/>
        </w:rPr>
        <w:t xml:space="preserve"> 27.9 </w:t>
      </w:r>
      <w:proofErr w:type="spellStart"/>
      <w:r w:rsidR="00211749" w:rsidRPr="00706E08">
        <w:rPr>
          <w:rFonts w:ascii="Book Antiqua" w:hAnsi="Book Antiqua"/>
          <w:color w:val="000000" w:themeColor="text1"/>
          <w:sz w:val="24"/>
          <w:szCs w:val="24"/>
        </w:rPr>
        <w:t>μ</w:t>
      </w:r>
      <w:r w:rsidRPr="00706E08">
        <w:rPr>
          <w:rFonts w:ascii="Book Antiqua" w:hAnsi="Book Antiqua"/>
          <w:color w:val="000000" w:themeColor="text1"/>
          <w:sz w:val="24"/>
          <w:szCs w:val="24"/>
        </w:rPr>
        <w:t>g</w:t>
      </w:r>
      <w:proofErr w:type="spellEnd"/>
      <w:r w:rsidRPr="00706E08">
        <w:rPr>
          <w:rFonts w:ascii="Book Antiqua" w:hAnsi="Book Antiqua"/>
          <w:color w:val="000000" w:themeColor="text1"/>
          <w:sz w:val="24"/>
          <w:szCs w:val="24"/>
        </w:rPr>
        <w:t xml:space="preserve">/g × </w:t>
      </w:r>
      <w:proofErr w:type="spellStart"/>
      <w:r w:rsidRPr="00706E08">
        <w:rPr>
          <w:rFonts w:ascii="Book Antiqua" w:hAnsi="Book Antiqua"/>
          <w:color w:val="000000" w:themeColor="text1"/>
          <w:sz w:val="24"/>
          <w:szCs w:val="24"/>
        </w:rPr>
        <w:t>Cre</w:t>
      </w:r>
      <w:proofErr w:type="spellEnd"/>
      <w:r w:rsidRPr="00706E08">
        <w:rPr>
          <w:rFonts w:ascii="Book Antiqua" w:hAnsi="Book Antiqua"/>
          <w:color w:val="000000" w:themeColor="text1"/>
          <w:sz w:val="24"/>
          <w:szCs w:val="24"/>
        </w:rPr>
        <w:t xml:space="preserve">, </w:t>
      </w:r>
      <w:r w:rsidR="00211749" w:rsidRPr="00706E08">
        <w:rPr>
          <w:rFonts w:ascii="Book Antiqua" w:hAnsi="Book Antiqua"/>
          <w:i/>
          <w:color w:val="000000" w:themeColor="text1"/>
          <w:sz w:val="24"/>
          <w:szCs w:val="24"/>
        </w:rPr>
        <w:t>P</w:t>
      </w:r>
      <w:r w:rsidRPr="00706E08">
        <w:rPr>
          <w:rFonts w:ascii="Book Antiqua" w:hAnsi="Book Antiqua"/>
          <w:color w:val="000000" w:themeColor="text1"/>
          <w:sz w:val="24"/>
          <w:szCs w:val="24"/>
        </w:rPr>
        <w:t xml:space="preserve"> &lt; 0.0001). One log unit increase in PGE-MUM contributed to 7.3 increase in the likelihood for the diagnosis of CEAS </w:t>
      </w:r>
      <w:r w:rsidR="00211749" w:rsidRPr="00706E08">
        <w:rPr>
          <w:rFonts w:ascii="Book Antiqua" w:hAnsi="Book Antiqua"/>
          <w:color w:val="000000" w:themeColor="text1"/>
          <w:sz w:val="24"/>
          <w:szCs w:val="24"/>
          <w:lang w:eastAsia="zh-CN"/>
        </w:rPr>
        <w:t>[</w:t>
      </w:r>
      <w:r w:rsidRPr="00706E08">
        <w:rPr>
          <w:rFonts w:ascii="Book Antiqua" w:hAnsi="Book Antiqua"/>
          <w:color w:val="000000" w:themeColor="text1"/>
          <w:sz w:val="24"/>
          <w:szCs w:val="24"/>
        </w:rPr>
        <w:t xml:space="preserve">95% confidence interval </w:t>
      </w:r>
      <w:r w:rsidR="00211749" w:rsidRPr="00706E08">
        <w:rPr>
          <w:rFonts w:ascii="Book Antiqua" w:hAnsi="Book Antiqua"/>
          <w:color w:val="000000" w:themeColor="text1"/>
          <w:sz w:val="24"/>
          <w:szCs w:val="24"/>
          <w:lang w:eastAsia="zh-CN"/>
        </w:rPr>
        <w:t>(</w:t>
      </w:r>
      <w:r w:rsidRPr="00706E08">
        <w:rPr>
          <w:rFonts w:ascii="Book Antiqua" w:hAnsi="Book Antiqua"/>
          <w:color w:val="000000" w:themeColor="text1"/>
          <w:sz w:val="24"/>
          <w:szCs w:val="24"/>
        </w:rPr>
        <w:t>CI</w:t>
      </w:r>
      <w:r w:rsidR="00211749" w:rsidRPr="00706E08">
        <w:rPr>
          <w:rFonts w:ascii="Book Antiqua" w:hAnsi="Book Antiqua"/>
          <w:color w:val="000000" w:themeColor="text1"/>
          <w:sz w:val="24"/>
          <w:szCs w:val="24"/>
          <w:lang w:eastAsia="zh-CN"/>
        </w:rPr>
        <w:t>)</w:t>
      </w:r>
      <w:r w:rsidRPr="00706E08">
        <w:rPr>
          <w:rFonts w:ascii="Book Antiqua" w:hAnsi="Book Antiqua"/>
          <w:color w:val="000000" w:themeColor="text1"/>
          <w:sz w:val="24"/>
          <w:szCs w:val="24"/>
        </w:rPr>
        <w:t xml:space="preserve"> 3.2</w:t>
      </w:r>
      <w:r w:rsidR="00211749" w:rsidRPr="00706E08">
        <w:rPr>
          <w:rFonts w:ascii="Book Antiqua" w:hAnsi="Book Antiqua"/>
          <w:color w:val="000000" w:themeColor="text1"/>
          <w:sz w:val="24"/>
          <w:szCs w:val="24"/>
          <w:lang w:eastAsia="zh-CN"/>
        </w:rPr>
        <w:t>-</w:t>
      </w:r>
      <w:r w:rsidRPr="00706E08">
        <w:rPr>
          <w:rFonts w:ascii="Book Antiqua" w:hAnsi="Book Antiqua"/>
          <w:color w:val="000000" w:themeColor="text1"/>
          <w:sz w:val="24"/>
          <w:szCs w:val="24"/>
        </w:rPr>
        <w:t>16.7</w:t>
      </w:r>
      <w:r w:rsidR="00211749" w:rsidRPr="00706E08">
        <w:rPr>
          <w:rFonts w:ascii="Book Antiqua" w:hAnsi="Book Antiqua"/>
          <w:color w:val="000000" w:themeColor="text1"/>
          <w:sz w:val="24"/>
          <w:szCs w:val="24"/>
          <w:lang w:eastAsia="zh-CN"/>
        </w:rPr>
        <w:t>]</w:t>
      </w:r>
      <w:r w:rsidRPr="00706E08">
        <w:rPr>
          <w:rFonts w:ascii="Book Antiqua" w:hAnsi="Book Antiqua"/>
          <w:color w:val="000000" w:themeColor="text1"/>
          <w:sz w:val="24"/>
          <w:szCs w:val="24"/>
        </w:rPr>
        <w:t xml:space="preserve">. A logistic regression analysis revealed that </w:t>
      </w:r>
      <w:r w:rsidRPr="00706E08">
        <w:rPr>
          <w:rFonts w:ascii="Book Antiqua" w:hAnsi="Book Antiqua"/>
          <w:color w:val="000000" w:themeColor="text1"/>
          <w:sz w:val="24"/>
          <w:szCs w:val="24"/>
        </w:rPr>
        <w:lastRenderedPageBreak/>
        <w:t xml:space="preserve">the association was significant even after adjusting confounding factors (adjusted </w:t>
      </w:r>
      <w:r w:rsidR="00211749" w:rsidRPr="00706E08">
        <w:rPr>
          <w:rFonts w:ascii="Book Antiqua" w:hAnsi="Book Antiqua"/>
          <w:sz w:val="24"/>
          <w:szCs w:val="24"/>
        </w:rPr>
        <w:t>odds ratio</w:t>
      </w:r>
      <w:r w:rsidR="00211749" w:rsidRPr="00706E08">
        <w:rPr>
          <w:rFonts w:ascii="Book Antiqua" w:hAnsi="Book Antiqua"/>
          <w:color w:val="000000" w:themeColor="text1"/>
          <w:sz w:val="24"/>
          <w:szCs w:val="24"/>
        </w:rPr>
        <w:t xml:space="preserve"> </w:t>
      </w:r>
      <w:r w:rsidRPr="00706E08">
        <w:rPr>
          <w:rFonts w:ascii="Book Antiqua" w:hAnsi="Book Antiqua"/>
          <w:color w:val="000000" w:themeColor="text1"/>
          <w:sz w:val="24"/>
          <w:szCs w:val="24"/>
        </w:rPr>
        <w:t>29.6, 95%CI 4.7</w:t>
      </w:r>
      <w:r w:rsidR="00211749" w:rsidRPr="00706E08">
        <w:rPr>
          <w:rFonts w:ascii="Book Antiqua" w:hAnsi="Book Antiqua"/>
          <w:color w:val="000000" w:themeColor="text1"/>
          <w:sz w:val="24"/>
          <w:szCs w:val="24"/>
          <w:lang w:eastAsia="zh-CN"/>
        </w:rPr>
        <w:t>-</w:t>
      </w:r>
      <w:r w:rsidRPr="00706E08">
        <w:rPr>
          <w:rFonts w:ascii="Book Antiqua" w:hAnsi="Book Antiqua"/>
          <w:color w:val="000000" w:themeColor="text1"/>
          <w:sz w:val="24"/>
          <w:szCs w:val="24"/>
        </w:rPr>
        <w:t xml:space="preserve">185.7). ROC curve analysis revealed the optimal PGE-MUM cut-off value for the distinction of CEAS from CD to be 48.9 </w:t>
      </w:r>
      <w:proofErr w:type="spellStart"/>
      <w:r w:rsidR="00211749" w:rsidRPr="00706E08">
        <w:rPr>
          <w:rFonts w:ascii="Book Antiqua" w:hAnsi="Book Antiqua"/>
          <w:color w:val="000000" w:themeColor="text1"/>
          <w:sz w:val="24"/>
          <w:szCs w:val="24"/>
        </w:rPr>
        <w:t>μ</w:t>
      </w:r>
      <w:r w:rsidRPr="00706E08">
        <w:rPr>
          <w:rFonts w:ascii="Book Antiqua" w:hAnsi="Book Antiqua"/>
          <w:color w:val="000000" w:themeColor="text1"/>
          <w:sz w:val="24"/>
          <w:szCs w:val="24"/>
        </w:rPr>
        <w:t>g</w:t>
      </w:r>
      <w:proofErr w:type="spellEnd"/>
      <w:r w:rsidRPr="00706E08">
        <w:rPr>
          <w:rFonts w:ascii="Book Antiqua" w:hAnsi="Book Antiqua"/>
          <w:color w:val="000000" w:themeColor="text1"/>
          <w:sz w:val="24"/>
          <w:szCs w:val="24"/>
        </w:rPr>
        <w:t xml:space="preserve">/g × </w:t>
      </w:r>
      <w:proofErr w:type="spellStart"/>
      <w:r w:rsidRPr="00706E08">
        <w:rPr>
          <w:rFonts w:ascii="Book Antiqua" w:hAnsi="Book Antiqua"/>
          <w:color w:val="000000" w:themeColor="text1"/>
          <w:sz w:val="24"/>
          <w:szCs w:val="24"/>
        </w:rPr>
        <w:t>Cre</w:t>
      </w:r>
      <w:proofErr w:type="spellEnd"/>
      <w:r w:rsidRPr="00706E08">
        <w:rPr>
          <w:rFonts w:ascii="Book Antiqua" w:hAnsi="Book Antiqua"/>
          <w:color w:val="000000" w:themeColor="text1"/>
          <w:sz w:val="24"/>
          <w:szCs w:val="24"/>
        </w:rPr>
        <w:t xml:space="preserve"> with 95.0% sensitivity and 79.6% specificity.</w:t>
      </w:r>
    </w:p>
    <w:p w14:paraId="06EFF53C" w14:textId="77777777" w:rsidR="00672AE3" w:rsidRPr="00706E08" w:rsidRDefault="00672AE3" w:rsidP="000B52DE">
      <w:pPr>
        <w:snapToGrid w:val="0"/>
        <w:spacing w:line="360" w:lineRule="auto"/>
        <w:jc w:val="both"/>
        <w:rPr>
          <w:rFonts w:ascii="Book Antiqua" w:eastAsia="等线" w:hAnsi="Book Antiqua"/>
          <w:b/>
          <w:color w:val="000000" w:themeColor="text1"/>
          <w:sz w:val="24"/>
          <w:szCs w:val="24"/>
          <w:lang w:eastAsia="zh-CN"/>
        </w:rPr>
      </w:pPr>
    </w:p>
    <w:p w14:paraId="3E9FBC50" w14:textId="3EAE070F" w:rsidR="000C7C53" w:rsidRPr="00706E08" w:rsidRDefault="00211749" w:rsidP="000B52DE">
      <w:pPr>
        <w:snapToGrid w:val="0"/>
        <w:spacing w:line="360" w:lineRule="auto"/>
        <w:jc w:val="both"/>
        <w:rPr>
          <w:rFonts w:ascii="Book Antiqua" w:eastAsia="等线" w:hAnsi="Book Antiqua"/>
          <w:b/>
          <w:i/>
          <w:color w:val="000000" w:themeColor="text1"/>
          <w:sz w:val="24"/>
          <w:szCs w:val="24"/>
          <w:lang w:eastAsia="zh-CN"/>
        </w:rPr>
      </w:pPr>
      <w:r w:rsidRPr="00706E08">
        <w:rPr>
          <w:rFonts w:ascii="Book Antiqua" w:hAnsi="Book Antiqua"/>
          <w:b/>
          <w:i/>
          <w:color w:val="000000" w:themeColor="text1"/>
          <w:sz w:val="24"/>
          <w:szCs w:val="24"/>
        </w:rPr>
        <w:t>CONCLUSION</w:t>
      </w:r>
    </w:p>
    <w:p w14:paraId="110827C6" w14:textId="77777777" w:rsidR="00672AE3" w:rsidRPr="00706E08" w:rsidRDefault="000C7C53" w:rsidP="000B52DE">
      <w:pPr>
        <w:snapToGrid w:val="0"/>
        <w:spacing w:line="360" w:lineRule="auto"/>
        <w:jc w:val="both"/>
        <w:rPr>
          <w:rFonts w:ascii="Book Antiqua" w:eastAsia="等线" w:hAnsi="Book Antiqua"/>
          <w:color w:val="000000" w:themeColor="text1"/>
          <w:sz w:val="24"/>
          <w:szCs w:val="24"/>
          <w:lang w:eastAsia="zh-CN"/>
        </w:rPr>
      </w:pPr>
      <w:r w:rsidRPr="00706E08">
        <w:rPr>
          <w:rFonts w:ascii="Book Antiqua" w:hAnsi="Book Antiqua"/>
          <w:color w:val="000000" w:themeColor="text1"/>
          <w:sz w:val="24"/>
          <w:szCs w:val="24"/>
        </w:rPr>
        <w:t xml:space="preserve">PGE-MUM measurement is a convenient, non-invasive and useful test for the distinction of CEAS from CD. </w:t>
      </w:r>
    </w:p>
    <w:p w14:paraId="00EAA130" w14:textId="77777777" w:rsidR="000C7C53" w:rsidRPr="00706E08" w:rsidRDefault="000C7C53" w:rsidP="000B52DE">
      <w:pPr>
        <w:snapToGrid w:val="0"/>
        <w:spacing w:line="360" w:lineRule="auto"/>
        <w:jc w:val="both"/>
        <w:rPr>
          <w:rFonts w:ascii="Book Antiqua" w:eastAsia="等线" w:hAnsi="Book Antiqua"/>
          <w:color w:val="000000" w:themeColor="text1"/>
          <w:sz w:val="24"/>
          <w:szCs w:val="24"/>
          <w:lang w:eastAsia="zh-CN"/>
        </w:rPr>
      </w:pPr>
    </w:p>
    <w:p w14:paraId="44366223" w14:textId="72966DBA" w:rsidR="000C7C53" w:rsidRPr="00706E08" w:rsidRDefault="00211749" w:rsidP="000B52DE">
      <w:pPr>
        <w:snapToGrid w:val="0"/>
        <w:spacing w:line="360" w:lineRule="auto"/>
        <w:jc w:val="both"/>
        <w:rPr>
          <w:rFonts w:ascii="Book Antiqua" w:hAnsi="Book Antiqua"/>
          <w:color w:val="000000" w:themeColor="text1"/>
          <w:sz w:val="24"/>
          <w:szCs w:val="24"/>
        </w:rPr>
      </w:pPr>
      <w:r w:rsidRPr="00706E08">
        <w:rPr>
          <w:rFonts w:ascii="Book Antiqua" w:hAnsi="Book Antiqua"/>
          <w:b/>
          <w:color w:val="000000"/>
          <w:sz w:val="24"/>
          <w:szCs w:val="24"/>
        </w:rPr>
        <w:t>Key words:</w:t>
      </w:r>
      <w:r w:rsidR="000C7C53" w:rsidRPr="00706E08">
        <w:rPr>
          <w:rFonts w:ascii="Book Antiqua" w:hAnsi="Book Antiqua"/>
          <w:color w:val="000000" w:themeColor="text1"/>
          <w:sz w:val="24"/>
          <w:szCs w:val="24"/>
        </w:rPr>
        <w:t xml:space="preserve"> </w:t>
      </w:r>
      <w:bookmarkStart w:id="27" w:name="OLE_LINK534"/>
      <w:bookmarkStart w:id="28" w:name="OLE_LINK535"/>
      <w:r w:rsidRPr="00706E08">
        <w:rPr>
          <w:rFonts w:ascii="Book Antiqua" w:hAnsi="Book Antiqua"/>
          <w:color w:val="000000" w:themeColor="text1"/>
          <w:sz w:val="24"/>
          <w:szCs w:val="24"/>
        </w:rPr>
        <w:t>C</w:t>
      </w:r>
      <w:r w:rsidR="000C7C53" w:rsidRPr="00706E08">
        <w:rPr>
          <w:rFonts w:ascii="Book Antiqua" w:hAnsi="Book Antiqua"/>
          <w:color w:val="000000" w:themeColor="text1"/>
          <w:sz w:val="24"/>
          <w:szCs w:val="24"/>
        </w:rPr>
        <w:t xml:space="preserve">hronic enteropathy associated with </w:t>
      </w:r>
      <w:r w:rsidR="000C7C53" w:rsidRPr="00706E08">
        <w:rPr>
          <w:rFonts w:ascii="Book Antiqua" w:hAnsi="Book Antiqua"/>
          <w:i/>
          <w:color w:val="000000" w:themeColor="text1"/>
          <w:sz w:val="24"/>
          <w:szCs w:val="24"/>
        </w:rPr>
        <w:t>SLCO2A1</w:t>
      </w:r>
      <w:r w:rsidR="000C7C53" w:rsidRPr="00706E08">
        <w:rPr>
          <w:rFonts w:ascii="Book Antiqua" w:hAnsi="Book Antiqua"/>
          <w:color w:val="000000" w:themeColor="text1"/>
          <w:sz w:val="24"/>
          <w:szCs w:val="24"/>
        </w:rPr>
        <w:t xml:space="preserve"> gene; </w:t>
      </w:r>
      <w:r w:rsidRPr="00706E08">
        <w:rPr>
          <w:rFonts w:ascii="Book Antiqua" w:hAnsi="Book Antiqua"/>
          <w:color w:val="000000" w:themeColor="text1"/>
          <w:sz w:val="24"/>
          <w:szCs w:val="24"/>
        </w:rPr>
        <w:t>P</w:t>
      </w:r>
      <w:r w:rsidR="000C7C53" w:rsidRPr="00706E08">
        <w:rPr>
          <w:rFonts w:ascii="Book Antiqua" w:hAnsi="Book Antiqua"/>
          <w:color w:val="000000" w:themeColor="text1"/>
          <w:sz w:val="24"/>
          <w:szCs w:val="24"/>
        </w:rPr>
        <w:t xml:space="preserve">rostaglandin E major urinary metabolites; </w:t>
      </w:r>
      <w:r w:rsidRPr="00706E08">
        <w:rPr>
          <w:rFonts w:ascii="Book Antiqua" w:hAnsi="Book Antiqua"/>
          <w:color w:val="000000" w:themeColor="text1"/>
          <w:sz w:val="24"/>
          <w:szCs w:val="24"/>
        </w:rPr>
        <w:t>C</w:t>
      </w:r>
      <w:r w:rsidR="000C7C53" w:rsidRPr="00706E08">
        <w:rPr>
          <w:rFonts w:ascii="Book Antiqua" w:hAnsi="Book Antiqua"/>
          <w:color w:val="000000" w:themeColor="text1"/>
          <w:sz w:val="24"/>
          <w:szCs w:val="24"/>
        </w:rPr>
        <w:t>hronic nonspecific multiple ulcers of the small intestine</w:t>
      </w:r>
      <w:r w:rsidR="007E1F00" w:rsidRPr="00706E08">
        <w:rPr>
          <w:rFonts w:ascii="Book Antiqua" w:hAnsi="Book Antiqua"/>
          <w:color w:val="000000" w:themeColor="text1"/>
          <w:sz w:val="24"/>
          <w:szCs w:val="24"/>
        </w:rPr>
        <w:t xml:space="preserve">; Crohn’s disease; </w:t>
      </w:r>
      <w:r w:rsidRPr="00706E08">
        <w:rPr>
          <w:rFonts w:ascii="Book Antiqua" w:hAnsi="Book Antiqua"/>
          <w:color w:val="000000" w:themeColor="text1"/>
          <w:sz w:val="24"/>
          <w:szCs w:val="24"/>
        </w:rPr>
        <w:t>S</w:t>
      </w:r>
      <w:r w:rsidR="00176445" w:rsidRPr="00706E08">
        <w:rPr>
          <w:rFonts w:ascii="Book Antiqua" w:hAnsi="Book Antiqua"/>
          <w:color w:val="000000" w:themeColor="text1"/>
          <w:sz w:val="24"/>
          <w:szCs w:val="24"/>
        </w:rPr>
        <w:t>mall intestine</w:t>
      </w:r>
      <w:bookmarkEnd w:id="27"/>
      <w:bookmarkEnd w:id="28"/>
    </w:p>
    <w:p w14:paraId="755FBF4A" w14:textId="77777777" w:rsidR="000C7C53" w:rsidRPr="00706E08" w:rsidRDefault="000C7C53" w:rsidP="000B52DE">
      <w:pPr>
        <w:snapToGrid w:val="0"/>
        <w:spacing w:line="360" w:lineRule="auto"/>
        <w:jc w:val="both"/>
        <w:rPr>
          <w:rFonts w:ascii="Book Antiqua" w:eastAsia="等线" w:hAnsi="Book Antiqua"/>
          <w:color w:val="000000" w:themeColor="text1"/>
          <w:sz w:val="24"/>
          <w:szCs w:val="24"/>
          <w:lang w:eastAsia="zh-CN"/>
        </w:rPr>
      </w:pPr>
    </w:p>
    <w:p w14:paraId="6538DD1E" w14:textId="5D292C40" w:rsidR="00211749" w:rsidRPr="00706E08" w:rsidRDefault="00211749" w:rsidP="00211749">
      <w:pPr>
        <w:autoSpaceDE w:val="0"/>
        <w:autoSpaceDN w:val="0"/>
        <w:adjustRightInd w:val="0"/>
        <w:snapToGrid w:val="0"/>
        <w:spacing w:line="360" w:lineRule="auto"/>
        <w:rPr>
          <w:rFonts w:ascii="Book Antiqua" w:hAnsi="Book Antiqua" w:cs="Arial Unicode MS"/>
          <w:color w:val="000000"/>
          <w:sz w:val="24"/>
          <w:szCs w:val="24"/>
        </w:rPr>
      </w:pPr>
      <w:bookmarkStart w:id="29" w:name="OLE_LINK98"/>
      <w:bookmarkStart w:id="30" w:name="OLE_LINK156"/>
      <w:bookmarkStart w:id="31" w:name="OLE_LINK196"/>
      <w:bookmarkStart w:id="32" w:name="OLE_LINK217"/>
      <w:bookmarkStart w:id="33" w:name="OLE_LINK242"/>
      <w:bookmarkStart w:id="34" w:name="OLE_LINK247"/>
      <w:bookmarkStart w:id="35" w:name="OLE_LINK311"/>
      <w:bookmarkStart w:id="36" w:name="OLE_LINK312"/>
      <w:bookmarkStart w:id="37" w:name="OLE_LINK325"/>
      <w:bookmarkStart w:id="38" w:name="OLE_LINK330"/>
      <w:bookmarkStart w:id="39" w:name="OLE_LINK513"/>
      <w:bookmarkStart w:id="40" w:name="OLE_LINK514"/>
      <w:bookmarkStart w:id="41" w:name="OLE_LINK464"/>
      <w:bookmarkStart w:id="42" w:name="OLE_LINK465"/>
      <w:bookmarkStart w:id="43" w:name="OLE_LINK466"/>
      <w:bookmarkStart w:id="44" w:name="OLE_LINK470"/>
      <w:bookmarkStart w:id="45" w:name="OLE_LINK471"/>
      <w:bookmarkStart w:id="46" w:name="OLE_LINK472"/>
      <w:bookmarkStart w:id="47" w:name="OLE_LINK474"/>
      <w:bookmarkStart w:id="48" w:name="OLE_LINK512"/>
      <w:bookmarkStart w:id="49" w:name="OLE_LINK800"/>
      <w:bookmarkStart w:id="50" w:name="OLE_LINK982"/>
      <w:bookmarkStart w:id="51" w:name="OLE_LINK1027"/>
      <w:bookmarkStart w:id="52" w:name="OLE_LINK504"/>
      <w:bookmarkStart w:id="53" w:name="OLE_LINK546"/>
      <w:bookmarkStart w:id="54" w:name="OLE_LINK547"/>
      <w:bookmarkStart w:id="55" w:name="OLE_LINK575"/>
      <w:bookmarkStart w:id="56" w:name="OLE_LINK640"/>
      <w:bookmarkStart w:id="57" w:name="OLE_LINK672"/>
      <w:bookmarkStart w:id="58" w:name="OLE_LINK714"/>
      <w:bookmarkStart w:id="59" w:name="OLE_LINK651"/>
      <w:bookmarkStart w:id="60" w:name="OLE_LINK652"/>
      <w:bookmarkStart w:id="61" w:name="OLE_LINK744"/>
      <w:bookmarkStart w:id="62" w:name="OLE_LINK758"/>
      <w:bookmarkStart w:id="63" w:name="OLE_LINK787"/>
      <w:bookmarkStart w:id="64" w:name="OLE_LINK807"/>
      <w:bookmarkStart w:id="65" w:name="OLE_LINK820"/>
      <w:bookmarkStart w:id="66" w:name="OLE_LINK862"/>
      <w:bookmarkStart w:id="67" w:name="OLE_LINK879"/>
      <w:bookmarkStart w:id="68" w:name="OLE_LINK906"/>
      <w:bookmarkStart w:id="69" w:name="OLE_LINK928"/>
      <w:bookmarkStart w:id="70" w:name="OLE_LINK960"/>
      <w:bookmarkStart w:id="71" w:name="OLE_LINK861"/>
      <w:bookmarkStart w:id="72" w:name="OLE_LINK983"/>
      <w:bookmarkStart w:id="73" w:name="OLE_LINK1334"/>
      <w:bookmarkStart w:id="74" w:name="OLE_LINK1029"/>
      <w:bookmarkStart w:id="75" w:name="OLE_LINK1060"/>
      <w:bookmarkStart w:id="76" w:name="OLE_LINK1061"/>
      <w:bookmarkStart w:id="77" w:name="OLE_LINK1348"/>
      <w:bookmarkStart w:id="78" w:name="OLE_LINK1086"/>
      <w:bookmarkStart w:id="79" w:name="OLE_LINK1100"/>
      <w:bookmarkStart w:id="80" w:name="OLE_LINK1125"/>
      <w:bookmarkStart w:id="81" w:name="OLE_LINK1163"/>
      <w:bookmarkStart w:id="82" w:name="OLE_LINK1193"/>
      <w:bookmarkStart w:id="83" w:name="OLE_LINK1219"/>
      <w:bookmarkStart w:id="84" w:name="OLE_LINK1247"/>
      <w:bookmarkStart w:id="85" w:name="OLE_LINK1284"/>
      <w:bookmarkStart w:id="86" w:name="OLE_LINK1313"/>
      <w:bookmarkStart w:id="87" w:name="OLE_LINK1361"/>
      <w:bookmarkStart w:id="88" w:name="OLE_LINK1384"/>
      <w:bookmarkStart w:id="89" w:name="OLE_LINK1403"/>
      <w:bookmarkStart w:id="90" w:name="OLE_LINK1437"/>
      <w:bookmarkStart w:id="91" w:name="OLE_LINK1454"/>
      <w:bookmarkStart w:id="92" w:name="OLE_LINK1480"/>
      <w:bookmarkStart w:id="93" w:name="OLE_LINK1504"/>
      <w:bookmarkStart w:id="94" w:name="OLE_LINK1516"/>
      <w:bookmarkStart w:id="95" w:name="OLE_LINK135"/>
      <w:bookmarkStart w:id="96" w:name="OLE_LINK216"/>
      <w:bookmarkStart w:id="97" w:name="OLE_LINK259"/>
      <w:bookmarkStart w:id="98" w:name="OLE_LINK1186"/>
      <w:bookmarkStart w:id="99" w:name="OLE_LINK1265"/>
      <w:bookmarkStart w:id="100" w:name="OLE_LINK1373"/>
      <w:bookmarkStart w:id="101" w:name="OLE_LINK1478"/>
      <w:bookmarkStart w:id="102" w:name="OLE_LINK1644"/>
      <w:bookmarkStart w:id="103" w:name="OLE_LINK1884"/>
      <w:bookmarkStart w:id="104" w:name="OLE_LINK1885"/>
      <w:bookmarkStart w:id="105" w:name="OLE_LINK1538"/>
      <w:bookmarkStart w:id="106" w:name="OLE_LINK1539"/>
      <w:bookmarkStart w:id="107" w:name="OLE_LINK1543"/>
      <w:bookmarkStart w:id="108" w:name="OLE_LINK1549"/>
      <w:bookmarkStart w:id="109" w:name="OLE_LINK1778"/>
      <w:bookmarkStart w:id="110" w:name="OLE_LINK1756"/>
      <w:bookmarkStart w:id="111" w:name="OLE_LINK1776"/>
      <w:bookmarkStart w:id="112" w:name="OLE_LINK1777"/>
      <w:bookmarkStart w:id="113" w:name="OLE_LINK1868"/>
      <w:bookmarkStart w:id="114" w:name="OLE_LINK1744"/>
      <w:bookmarkStart w:id="115" w:name="OLE_LINK1817"/>
      <w:bookmarkStart w:id="116" w:name="OLE_LINK1835"/>
      <w:bookmarkStart w:id="117" w:name="OLE_LINK1866"/>
      <w:bookmarkStart w:id="118" w:name="OLE_LINK1882"/>
      <w:bookmarkStart w:id="119" w:name="OLE_LINK1901"/>
      <w:bookmarkStart w:id="120" w:name="OLE_LINK1902"/>
      <w:bookmarkStart w:id="121" w:name="OLE_LINK2013"/>
      <w:bookmarkStart w:id="122" w:name="OLE_LINK1894"/>
      <w:bookmarkStart w:id="123" w:name="OLE_LINK1929"/>
      <w:bookmarkStart w:id="124" w:name="OLE_LINK1941"/>
      <w:bookmarkStart w:id="125" w:name="OLE_LINK1995"/>
      <w:bookmarkStart w:id="126" w:name="OLE_LINK1938"/>
      <w:bookmarkStart w:id="127" w:name="OLE_LINK2081"/>
      <w:bookmarkStart w:id="128" w:name="OLE_LINK2082"/>
      <w:bookmarkStart w:id="129" w:name="OLE_LINK2292"/>
      <w:bookmarkStart w:id="130" w:name="OLE_LINK1931"/>
      <w:bookmarkStart w:id="131" w:name="OLE_LINK1964"/>
      <w:bookmarkStart w:id="132" w:name="OLE_LINK2020"/>
      <w:bookmarkStart w:id="133" w:name="OLE_LINK2071"/>
      <w:bookmarkStart w:id="134" w:name="OLE_LINK2134"/>
      <w:bookmarkStart w:id="135" w:name="OLE_LINK2265"/>
      <w:bookmarkStart w:id="136" w:name="OLE_LINK2562"/>
      <w:bookmarkStart w:id="137" w:name="OLE_LINK1923"/>
      <w:bookmarkStart w:id="138" w:name="OLE_LINK2192"/>
      <w:bookmarkStart w:id="139" w:name="OLE_LINK2110"/>
      <w:bookmarkStart w:id="140" w:name="OLE_LINK2445"/>
      <w:bookmarkStart w:id="141" w:name="OLE_LINK2446"/>
      <w:bookmarkStart w:id="142" w:name="OLE_LINK2169"/>
      <w:bookmarkStart w:id="143" w:name="OLE_LINK2190"/>
      <w:bookmarkStart w:id="144" w:name="OLE_LINK2331"/>
      <w:bookmarkStart w:id="145" w:name="OLE_LINK2345"/>
      <w:bookmarkStart w:id="146" w:name="OLE_LINK2467"/>
      <w:bookmarkStart w:id="147" w:name="OLE_LINK2484"/>
      <w:bookmarkStart w:id="148" w:name="OLE_LINK2157"/>
      <w:bookmarkStart w:id="149" w:name="OLE_LINK2221"/>
      <w:bookmarkStart w:id="150" w:name="OLE_LINK2252"/>
      <w:bookmarkStart w:id="151" w:name="OLE_LINK2348"/>
      <w:bookmarkStart w:id="152" w:name="OLE_LINK2451"/>
      <w:bookmarkStart w:id="153" w:name="OLE_LINK2627"/>
      <w:bookmarkStart w:id="154" w:name="OLE_LINK2482"/>
      <w:bookmarkStart w:id="155" w:name="OLE_LINK2663"/>
      <w:bookmarkStart w:id="156" w:name="OLE_LINK2761"/>
      <w:bookmarkStart w:id="157" w:name="OLE_LINK2856"/>
      <w:bookmarkStart w:id="158" w:name="OLE_LINK2993"/>
      <w:bookmarkStart w:id="159" w:name="OLE_LINK2643"/>
      <w:bookmarkStart w:id="160" w:name="OLE_LINK2583"/>
      <w:bookmarkStart w:id="161" w:name="OLE_LINK2762"/>
      <w:bookmarkStart w:id="162" w:name="OLE_LINK2962"/>
      <w:bookmarkStart w:id="163" w:name="OLE_LINK2582"/>
      <w:bookmarkStart w:id="164" w:name="OLE_LINK536"/>
      <w:bookmarkStart w:id="165" w:name="OLE_LINK537"/>
      <w:r w:rsidRPr="00706E08">
        <w:rPr>
          <w:rFonts w:ascii="Book Antiqua" w:hAnsi="Book Antiqua"/>
          <w:b/>
          <w:color w:val="000000"/>
          <w:sz w:val="24"/>
          <w:szCs w:val="24"/>
          <w:lang w:val="en-GB"/>
        </w:rPr>
        <w:t xml:space="preserve">© </w:t>
      </w:r>
      <w:r w:rsidRPr="00706E08">
        <w:rPr>
          <w:rFonts w:ascii="Book Antiqua" w:eastAsia="AdvTimes" w:hAnsi="Book Antiqua" w:cs="AdvTimes"/>
          <w:b/>
          <w:color w:val="000000"/>
          <w:sz w:val="24"/>
          <w:szCs w:val="24"/>
        </w:rPr>
        <w:t>The Author(s) 201</w:t>
      </w:r>
      <w:r w:rsidRPr="00706E08">
        <w:rPr>
          <w:rFonts w:ascii="Book Antiqua" w:eastAsia="AdvTimes" w:hAnsi="Book Antiqua" w:cs="AdvTimes"/>
          <w:b/>
          <w:color w:val="000000"/>
          <w:sz w:val="24"/>
          <w:szCs w:val="24"/>
          <w:lang w:eastAsia="zh-CN"/>
        </w:rPr>
        <w:t>9</w:t>
      </w:r>
      <w:r w:rsidRPr="00706E08">
        <w:rPr>
          <w:rFonts w:ascii="Book Antiqua" w:eastAsia="AdvTimes" w:hAnsi="Book Antiqua" w:cs="AdvTimes"/>
          <w:b/>
          <w:color w:val="000000"/>
          <w:sz w:val="24"/>
          <w:szCs w:val="24"/>
        </w:rPr>
        <w:t>.</w:t>
      </w:r>
      <w:r w:rsidRPr="00706E08">
        <w:rPr>
          <w:rFonts w:ascii="Book Antiqua" w:eastAsia="AdvTimes" w:hAnsi="Book Antiqua" w:cs="AdvTimes"/>
          <w:color w:val="000000"/>
          <w:sz w:val="24"/>
          <w:szCs w:val="24"/>
        </w:rPr>
        <w:t xml:space="preserve"> Published by </w:t>
      </w:r>
      <w:proofErr w:type="spellStart"/>
      <w:r w:rsidRPr="00706E08">
        <w:rPr>
          <w:rFonts w:ascii="Book Antiqua" w:hAnsi="Book Antiqua" w:cs="Arial Unicode MS"/>
          <w:color w:val="000000"/>
          <w:sz w:val="24"/>
          <w:szCs w:val="24"/>
          <w:lang w:val="en-GB"/>
        </w:rPr>
        <w:t>Baishideng</w:t>
      </w:r>
      <w:proofErr w:type="spellEnd"/>
      <w:r w:rsidRPr="00706E08">
        <w:rPr>
          <w:rFonts w:ascii="Book Antiqua" w:hAnsi="Book Antiqua" w:cs="Arial Unicode MS"/>
          <w:color w:val="000000"/>
          <w:sz w:val="24"/>
          <w:szCs w:val="24"/>
          <w:lang w:val="en-GB"/>
        </w:rPr>
        <w:t xml:space="preserve"> Publishing Group Inc.</w:t>
      </w:r>
      <w:r w:rsidRPr="00706E08">
        <w:rPr>
          <w:rFonts w:ascii="Book Antiqua" w:hAnsi="Book Antiqua" w:cs="Arial Unicode MS"/>
          <w:color w:val="000000"/>
          <w:sz w:val="24"/>
          <w:szCs w:val="24"/>
        </w:rPr>
        <w:t xml:space="preserve"> All rights reserved.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bookmarkEnd w:id="164"/>
    <w:bookmarkEnd w:id="165"/>
    <w:p w14:paraId="0FFC7D1F" w14:textId="77777777" w:rsidR="00211749" w:rsidRPr="00706E08" w:rsidRDefault="00211749" w:rsidP="000B52DE">
      <w:pPr>
        <w:snapToGrid w:val="0"/>
        <w:spacing w:line="360" w:lineRule="auto"/>
        <w:jc w:val="both"/>
        <w:rPr>
          <w:rFonts w:ascii="Book Antiqua" w:eastAsia="等线" w:hAnsi="Book Antiqua"/>
          <w:color w:val="000000" w:themeColor="text1"/>
          <w:sz w:val="24"/>
          <w:szCs w:val="24"/>
          <w:lang w:eastAsia="zh-CN"/>
        </w:rPr>
      </w:pPr>
    </w:p>
    <w:p w14:paraId="753A78BC" w14:textId="288D1D58" w:rsidR="000C7C53" w:rsidRPr="00706E08" w:rsidRDefault="000C7C53" w:rsidP="000B52DE">
      <w:pPr>
        <w:snapToGrid w:val="0"/>
        <w:spacing w:line="360" w:lineRule="auto"/>
        <w:jc w:val="both"/>
        <w:rPr>
          <w:rFonts w:ascii="Book Antiqua" w:hAnsi="Book Antiqua"/>
          <w:b/>
          <w:color w:val="000000" w:themeColor="text1"/>
          <w:sz w:val="24"/>
          <w:szCs w:val="24"/>
        </w:rPr>
      </w:pPr>
      <w:r w:rsidRPr="00706E08">
        <w:rPr>
          <w:rFonts w:ascii="Book Antiqua" w:hAnsi="Book Antiqua"/>
          <w:b/>
          <w:color w:val="000000" w:themeColor="text1"/>
          <w:sz w:val="24"/>
          <w:szCs w:val="24"/>
        </w:rPr>
        <w:t>Core tip:</w:t>
      </w:r>
      <w:r w:rsidR="00672AE3" w:rsidRPr="00706E08">
        <w:rPr>
          <w:rFonts w:ascii="Book Antiqua" w:eastAsia="等线" w:hAnsi="Book Antiqua"/>
          <w:b/>
          <w:color w:val="000000" w:themeColor="text1"/>
          <w:sz w:val="24"/>
          <w:szCs w:val="24"/>
          <w:lang w:eastAsia="zh-CN"/>
        </w:rPr>
        <w:t xml:space="preserve"> </w:t>
      </w:r>
      <w:r w:rsidRPr="00706E08">
        <w:rPr>
          <w:rFonts w:ascii="Book Antiqua" w:hAnsi="Book Antiqua"/>
          <w:color w:val="000000" w:themeColor="text1"/>
          <w:sz w:val="24"/>
          <w:szCs w:val="24"/>
        </w:rPr>
        <w:t xml:space="preserve">Chronic enteropathy associated with </w:t>
      </w:r>
      <w:r w:rsidRPr="00706E08">
        <w:rPr>
          <w:rFonts w:ascii="Book Antiqua" w:hAnsi="Book Antiqua"/>
          <w:i/>
          <w:color w:val="000000" w:themeColor="text1"/>
          <w:sz w:val="24"/>
          <w:szCs w:val="24"/>
        </w:rPr>
        <w:t>SLCO2A1</w:t>
      </w:r>
      <w:r w:rsidRPr="00706E08">
        <w:rPr>
          <w:rFonts w:ascii="Book Antiqua" w:hAnsi="Book Antiqua"/>
          <w:color w:val="000000" w:themeColor="text1"/>
          <w:sz w:val="24"/>
          <w:szCs w:val="24"/>
        </w:rPr>
        <w:t xml:space="preserve"> gene (CEAS) is a rare hereditary enteropathy associated with a gene encoding a prostaglandin transporter. It is sometimes difficult to distinguish CEAS from Crohn’s disease (CD), because these diseases share some clinical features. We report the usefulness of prostaglandin E-major urinary metabolites (PGE-MUM) to differentiate CEAS from CD. PGE-MUM concentration was significantly higher in CEAS than in CD, and optimal cut-off value for the distinction of CEAS from CD to be 48.9 </w:t>
      </w:r>
      <w:proofErr w:type="spellStart"/>
      <w:r w:rsidR="00211749" w:rsidRPr="00706E08">
        <w:rPr>
          <w:rFonts w:ascii="Book Antiqua" w:hAnsi="Book Antiqua"/>
          <w:color w:val="000000" w:themeColor="text1"/>
          <w:sz w:val="24"/>
          <w:szCs w:val="24"/>
        </w:rPr>
        <w:t>μ</w:t>
      </w:r>
      <w:r w:rsidRPr="00706E08">
        <w:rPr>
          <w:rFonts w:ascii="Book Antiqua" w:hAnsi="Book Antiqua"/>
          <w:color w:val="000000" w:themeColor="text1"/>
          <w:sz w:val="24"/>
          <w:szCs w:val="24"/>
        </w:rPr>
        <w:t>g</w:t>
      </w:r>
      <w:proofErr w:type="spellEnd"/>
      <w:r w:rsidRPr="00706E08">
        <w:rPr>
          <w:rFonts w:ascii="Book Antiqua" w:hAnsi="Book Antiqua"/>
          <w:color w:val="000000" w:themeColor="text1"/>
          <w:sz w:val="24"/>
          <w:szCs w:val="24"/>
        </w:rPr>
        <w:t xml:space="preserve">/g × </w:t>
      </w:r>
      <w:proofErr w:type="spellStart"/>
      <w:r w:rsidRPr="00706E08">
        <w:rPr>
          <w:rFonts w:ascii="Book Antiqua" w:hAnsi="Book Antiqua"/>
          <w:color w:val="000000" w:themeColor="text1"/>
          <w:sz w:val="24"/>
          <w:szCs w:val="24"/>
        </w:rPr>
        <w:t>Cre</w:t>
      </w:r>
      <w:proofErr w:type="spellEnd"/>
      <w:r w:rsidRPr="00706E08">
        <w:rPr>
          <w:rFonts w:ascii="Book Antiqua" w:hAnsi="Book Antiqua"/>
          <w:color w:val="000000" w:themeColor="text1"/>
          <w:sz w:val="24"/>
          <w:szCs w:val="24"/>
        </w:rPr>
        <w:t xml:space="preserve"> with sensitivity of 95.0% and specificity of 79.6%. In clinical practice, PGE-MUM measurement </w:t>
      </w:r>
      <w:r w:rsidRPr="00706E08">
        <w:rPr>
          <w:rFonts w:ascii="Book Antiqua" w:hAnsi="Book Antiqua" w:cs="Times New Roman"/>
          <w:color w:val="000000" w:themeColor="text1"/>
          <w:sz w:val="24"/>
          <w:szCs w:val="24"/>
        </w:rPr>
        <w:t>might be useful as a screening test for CEAS.</w:t>
      </w:r>
    </w:p>
    <w:p w14:paraId="5F36B211" w14:textId="77777777" w:rsidR="000C7C53" w:rsidRPr="00706E08" w:rsidRDefault="000C7C53" w:rsidP="000B52DE">
      <w:pPr>
        <w:spacing w:line="360" w:lineRule="auto"/>
        <w:jc w:val="both"/>
        <w:rPr>
          <w:rFonts w:ascii="Book Antiqua" w:eastAsia="等线" w:hAnsi="Book Antiqua"/>
          <w:color w:val="000000" w:themeColor="text1"/>
          <w:sz w:val="24"/>
          <w:szCs w:val="24"/>
          <w:lang w:eastAsia="zh-CN"/>
        </w:rPr>
      </w:pPr>
    </w:p>
    <w:p w14:paraId="5382AD17" w14:textId="7A84E414" w:rsidR="00706E08" w:rsidRPr="00706E08" w:rsidRDefault="00706E08" w:rsidP="00894108">
      <w:pPr>
        <w:snapToGrid w:val="0"/>
        <w:spacing w:line="360" w:lineRule="auto"/>
        <w:jc w:val="both"/>
        <w:rPr>
          <w:rFonts w:ascii="Book Antiqua" w:hAnsi="Book Antiqua"/>
          <w:color w:val="000000"/>
          <w:sz w:val="24"/>
          <w:szCs w:val="24"/>
        </w:rPr>
      </w:pPr>
      <w:r w:rsidRPr="00706E08">
        <w:rPr>
          <w:rFonts w:ascii="Book Antiqua" w:eastAsia="MS Mincho" w:hAnsi="Book Antiqua" w:cs="Times New Roman"/>
          <w:b/>
          <w:color w:val="000000" w:themeColor="text1"/>
          <w:sz w:val="24"/>
          <w:szCs w:val="24"/>
        </w:rPr>
        <w:lastRenderedPageBreak/>
        <w:t>C</w:t>
      </w:r>
      <w:r w:rsidRPr="00706E08">
        <w:rPr>
          <w:rFonts w:ascii="Book Antiqua" w:eastAsia="等线" w:hAnsi="Book Antiqua" w:cs="Times New Roman"/>
          <w:b/>
          <w:color w:val="000000" w:themeColor="text1"/>
          <w:sz w:val="24"/>
          <w:szCs w:val="24"/>
          <w:lang w:eastAsia="zh-CN"/>
        </w:rPr>
        <w:t>itation</w:t>
      </w:r>
      <w:r w:rsidRPr="00706E08">
        <w:rPr>
          <w:rFonts w:ascii="Book Antiqua" w:eastAsia="MS Mincho" w:hAnsi="Book Antiqua" w:cs="Times New Roman"/>
          <w:color w:val="000000" w:themeColor="text1"/>
          <w:sz w:val="24"/>
          <w:szCs w:val="24"/>
        </w:rPr>
        <w:t xml:space="preserve">: </w:t>
      </w:r>
      <w:proofErr w:type="spellStart"/>
      <w:r w:rsidR="00894108" w:rsidRPr="00706E08">
        <w:rPr>
          <w:rFonts w:ascii="Book Antiqua" w:eastAsia="MS Mincho" w:hAnsi="Book Antiqua" w:cs="Times New Roman"/>
          <w:color w:val="000000" w:themeColor="text1"/>
          <w:sz w:val="24"/>
          <w:szCs w:val="24"/>
        </w:rPr>
        <w:t>Matsuno</w:t>
      </w:r>
      <w:proofErr w:type="spellEnd"/>
      <w:r w:rsidR="00894108" w:rsidRPr="00706E08">
        <w:rPr>
          <w:rFonts w:ascii="Book Antiqua" w:eastAsia="MS Mincho" w:hAnsi="Book Antiqua" w:cs="Times New Roman"/>
          <w:color w:val="000000" w:themeColor="text1"/>
          <w:kern w:val="0"/>
          <w:sz w:val="24"/>
          <w:szCs w:val="24"/>
        </w:rPr>
        <w:t xml:space="preserve"> </w:t>
      </w:r>
      <w:r w:rsidR="00894108" w:rsidRPr="00706E08">
        <w:rPr>
          <w:rFonts w:ascii="Book Antiqua" w:eastAsia="MS Mincho" w:hAnsi="Book Antiqua" w:cs="Times New Roman"/>
          <w:color w:val="000000" w:themeColor="text1"/>
          <w:kern w:val="0"/>
          <w:sz w:val="24"/>
          <w:szCs w:val="24"/>
          <w:lang w:eastAsia="zh-CN"/>
        </w:rPr>
        <w:t xml:space="preserve">Y, </w:t>
      </w:r>
      <w:proofErr w:type="spellStart"/>
      <w:r w:rsidR="00894108" w:rsidRPr="00706E08">
        <w:rPr>
          <w:rFonts w:ascii="Book Antiqua" w:eastAsia="MS Mincho" w:hAnsi="Book Antiqua" w:cs="Times New Roman"/>
          <w:color w:val="000000" w:themeColor="text1"/>
          <w:sz w:val="24"/>
          <w:szCs w:val="24"/>
        </w:rPr>
        <w:t>Umeno</w:t>
      </w:r>
      <w:proofErr w:type="spellEnd"/>
      <w:r w:rsidR="00894108" w:rsidRPr="00706E08">
        <w:rPr>
          <w:rFonts w:ascii="Book Antiqua" w:eastAsia="MS Mincho" w:hAnsi="Book Antiqua" w:cs="Times New Roman"/>
          <w:color w:val="000000" w:themeColor="text1"/>
          <w:kern w:val="0"/>
          <w:sz w:val="24"/>
          <w:szCs w:val="24"/>
        </w:rPr>
        <w:t xml:space="preserve"> </w:t>
      </w:r>
      <w:r w:rsidR="00894108" w:rsidRPr="00706E08">
        <w:rPr>
          <w:rFonts w:ascii="Book Antiqua" w:eastAsia="MS Mincho" w:hAnsi="Book Antiqua" w:cs="Times New Roman"/>
          <w:color w:val="000000" w:themeColor="text1"/>
          <w:kern w:val="0"/>
          <w:sz w:val="24"/>
          <w:szCs w:val="24"/>
          <w:lang w:eastAsia="zh-CN"/>
        </w:rPr>
        <w:t xml:space="preserve">J, </w:t>
      </w:r>
      <w:r w:rsidR="00894108" w:rsidRPr="00706E08">
        <w:rPr>
          <w:rFonts w:ascii="Book Antiqua" w:eastAsia="MS Mincho" w:hAnsi="Book Antiqua" w:cs="Times New Roman"/>
          <w:color w:val="000000" w:themeColor="text1"/>
          <w:sz w:val="24"/>
          <w:szCs w:val="24"/>
        </w:rPr>
        <w:t>Esaki</w:t>
      </w:r>
      <w:r w:rsidR="00894108" w:rsidRPr="00706E08">
        <w:rPr>
          <w:rFonts w:ascii="Book Antiqua" w:eastAsia="MS Mincho" w:hAnsi="Book Antiqua" w:cs="Times New Roman"/>
          <w:color w:val="000000" w:themeColor="text1"/>
          <w:kern w:val="0"/>
          <w:sz w:val="24"/>
          <w:szCs w:val="24"/>
        </w:rPr>
        <w:t xml:space="preserve"> </w:t>
      </w:r>
      <w:r w:rsidR="00894108" w:rsidRPr="00706E08">
        <w:rPr>
          <w:rFonts w:ascii="Book Antiqua" w:eastAsia="MS Mincho" w:hAnsi="Book Antiqua" w:cs="Times New Roman"/>
          <w:color w:val="000000" w:themeColor="text1"/>
          <w:kern w:val="0"/>
          <w:sz w:val="24"/>
          <w:szCs w:val="24"/>
          <w:lang w:eastAsia="zh-CN"/>
        </w:rPr>
        <w:t xml:space="preserve">M, </w:t>
      </w:r>
      <w:proofErr w:type="spellStart"/>
      <w:r w:rsidR="00894108" w:rsidRPr="00706E08">
        <w:rPr>
          <w:rFonts w:ascii="Book Antiqua" w:eastAsia="MS Mincho" w:hAnsi="Book Antiqua" w:cs="Times New Roman"/>
          <w:color w:val="000000" w:themeColor="text1"/>
          <w:sz w:val="24"/>
          <w:szCs w:val="24"/>
        </w:rPr>
        <w:t>Hirakawa</w:t>
      </w:r>
      <w:proofErr w:type="spellEnd"/>
      <w:r w:rsidR="00894108" w:rsidRPr="00706E08">
        <w:rPr>
          <w:rFonts w:ascii="Book Antiqua" w:eastAsia="MS Mincho" w:hAnsi="Book Antiqua" w:cs="Times New Roman"/>
          <w:color w:val="000000" w:themeColor="text1"/>
          <w:kern w:val="0"/>
          <w:sz w:val="24"/>
          <w:szCs w:val="24"/>
        </w:rPr>
        <w:t xml:space="preserve"> </w:t>
      </w:r>
      <w:r w:rsidR="00894108" w:rsidRPr="00706E08">
        <w:rPr>
          <w:rFonts w:ascii="Book Antiqua" w:eastAsia="MS Mincho" w:hAnsi="Book Antiqua" w:cs="Times New Roman"/>
          <w:color w:val="000000" w:themeColor="text1"/>
          <w:kern w:val="0"/>
          <w:sz w:val="24"/>
          <w:szCs w:val="24"/>
          <w:lang w:eastAsia="zh-CN"/>
        </w:rPr>
        <w:t xml:space="preserve">Y, </w:t>
      </w:r>
      <w:proofErr w:type="spellStart"/>
      <w:r w:rsidR="00894108" w:rsidRPr="00706E08">
        <w:rPr>
          <w:rFonts w:ascii="Book Antiqua" w:eastAsia="MS Mincho" w:hAnsi="Book Antiqua" w:cs="Times New Roman"/>
          <w:color w:val="000000" w:themeColor="text1"/>
          <w:sz w:val="24"/>
          <w:szCs w:val="24"/>
        </w:rPr>
        <w:t>Fuyuno</w:t>
      </w:r>
      <w:proofErr w:type="spellEnd"/>
      <w:r w:rsidR="00894108" w:rsidRPr="00706E08">
        <w:rPr>
          <w:rFonts w:ascii="Book Antiqua" w:eastAsia="MS Mincho" w:hAnsi="Book Antiqua" w:cs="Times New Roman"/>
          <w:color w:val="000000" w:themeColor="text1"/>
          <w:kern w:val="0"/>
          <w:sz w:val="24"/>
          <w:szCs w:val="24"/>
        </w:rPr>
        <w:t xml:space="preserve"> </w:t>
      </w:r>
      <w:r w:rsidR="00894108" w:rsidRPr="00706E08">
        <w:rPr>
          <w:rFonts w:ascii="Book Antiqua" w:eastAsia="MS Mincho" w:hAnsi="Book Antiqua" w:cs="Times New Roman"/>
          <w:color w:val="000000" w:themeColor="text1"/>
          <w:kern w:val="0"/>
          <w:sz w:val="24"/>
          <w:szCs w:val="24"/>
          <w:lang w:eastAsia="zh-CN"/>
        </w:rPr>
        <w:t xml:space="preserve">Y, </w:t>
      </w:r>
      <w:r w:rsidR="00894108" w:rsidRPr="00706E08">
        <w:rPr>
          <w:rFonts w:ascii="Book Antiqua" w:eastAsia="MS Mincho" w:hAnsi="Book Antiqua" w:cs="Times New Roman"/>
          <w:color w:val="000000" w:themeColor="text1"/>
          <w:sz w:val="24"/>
          <w:szCs w:val="24"/>
        </w:rPr>
        <w:t>Okamoto</w:t>
      </w:r>
      <w:r w:rsidR="00894108" w:rsidRPr="00706E08">
        <w:rPr>
          <w:rFonts w:ascii="Book Antiqua" w:eastAsia="MS Mincho" w:hAnsi="Book Antiqua" w:cs="Times New Roman"/>
          <w:color w:val="000000" w:themeColor="text1"/>
          <w:kern w:val="0"/>
          <w:sz w:val="24"/>
          <w:szCs w:val="24"/>
        </w:rPr>
        <w:t xml:space="preserve"> </w:t>
      </w:r>
      <w:r w:rsidR="00894108" w:rsidRPr="00706E08">
        <w:rPr>
          <w:rFonts w:ascii="Book Antiqua" w:eastAsia="MS Mincho" w:hAnsi="Book Antiqua" w:cs="Times New Roman"/>
          <w:color w:val="000000" w:themeColor="text1"/>
          <w:kern w:val="0"/>
          <w:sz w:val="24"/>
          <w:szCs w:val="24"/>
          <w:lang w:eastAsia="zh-CN"/>
        </w:rPr>
        <w:t xml:space="preserve">Y, </w:t>
      </w:r>
      <w:r w:rsidR="00894108" w:rsidRPr="00706E08">
        <w:rPr>
          <w:rFonts w:ascii="Book Antiqua" w:hAnsi="Book Antiqua"/>
          <w:color w:val="000000" w:themeColor="text1"/>
          <w:sz w:val="24"/>
          <w:szCs w:val="24"/>
        </w:rPr>
        <w:t>Hirano</w:t>
      </w:r>
      <w:r w:rsidR="00894108" w:rsidRPr="00706E08">
        <w:rPr>
          <w:rFonts w:ascii="Book Antiqua" w:eastAsia="MS Mincho" w:hAnsi="Book Antiqua" w:cs="Times New Roman"/>
          <w:color w:val="000000" w:themeColor="text1"/>
          <w:kern w:val="0"/>
          <w:sz w:val="24"/>
          <w:szCs w:val="24"/>
        </w:rPr>
        <w:t xml:space="preserve"> </w:t>
      </w:r>
      <w:r w:rsidR="00894108" w:rsidRPr="00706E08">
        <w:rPr>
          <w:rFonts w:ascii="Book Antiqua" w:eastAsia="MS Mincho" w:hAnsi="Book Antiqua" w:cs="Times New Roman"/>
          <w:color w:val="000000" w:themeColor="text1"/>
          <w:kern w:val="0"/>
          <w:sz w:val="24"/>
          <w:szCs w:val="24"/>
          <w:lang w:eastAsia="zh-CN"/>
        </w:rPr>
        <w:t xml:space="preserve">A, </w:t>
      </w:r>
      <w:r w:rsidR="00894108" w:rsidRPr="00706E08">
        <w:rPr>
          <w:rFonts w:ascii="Book Antiqua" w:eastAsia="MS Mincho" w:hAnsi="Book Antiqua" w:cs="Times New Roman"/>
          <w:color w:val="000000" w:themeColor="text1"/>
          <w:sz w:val="24"/>
          <w:szCs w:val="24"/>
        </w:rPr>
        <w:t>Yasukawa</w:t>
      </w:r>
      <w:r w:rsidR="00894108" w:rsidRPr="00706E08">
        <w:rPr>
          <w:rFonts w:ascii="Book Antiqua" w:eastAsia="MS Mincho" w:hAnsi="Book Antiqua" w:cs="Times New Roman"/>
          <w:color w:val="000000" w:themeColor="text1"/>
          <w:kern w:val="0"/>
          <w:sz w:val="24"/>
          <w:szCs w:val="24"/>
        </w:rPr>
        <w:t xml:space="preserve"> </w:t>
      </w:r>
      <w:r w:rsidR="00894108" w:rsidRPr="00706E08">
        <w:rPr>
          <w:rFonts w:ascii="Book Antiqua" w:eastAsia="MS Mincho" w:hAnsi="Book Antiqua" w:cs="Times New Roman"/>
          <w:color w:val="000000" w:themeColor="text1"/>
          <w:kern w:val="0"/>
          <w:sz w:val="24"/>
          <w:szCs w:val="24"/>
          <w:lang w:eastAsia="zh-CN"/>
        </w:rPr>
        <w:t xml:space="preserve">S, </w:t>
      </w:r>
      <w:r w:rsidR="00894108" w:rsidRPr="00706E08">
        <w:rPr>
          <w:rFonts w:ascii="Book Antiqua" w:eastAsia="MS Mincho" w:hAnsi="Book Antiqua" w:cs="Times New Roman"/>
          <w:color w:val="000000" w:themeColor="text1"/>
          <w:sz w:val="24"/>
          <w:szCs w:val="24"/>
        </w:rPr>
        <w:t>Hirai</w:t>
      </w:r>
      <w:r w:rsidR="00894108" w:rsidRPr="00706E08">
        <w:rPr>
          <w:rFonts w:ascii="Book Antiqua" w:eastAsia="MS Mincho" w:hAnsi="Book Antiqua" w:cs="Times New Roman"/>
          <w:color w:val="000000" w:themeColor="text1"/>
          <w:kern w:val="0"/>
          <w:sz w:val="24"/>
          <w:szCs w:val="24"/>
        </w:rPr>
        <w:t xml:space="preserve"> </w:t>
      </w:r>
      <w:r w:rsidR="00894108" w:rsidRPr="00706E08">
        <w:rPr>
          <w:rFonts w:ascii="Book Antiqua" w:eastAsia="MS Mincho" w:hAnsi="Book Antiqua" w:cs="Times New Roman"/>
          <w:color w:val="000000" w:themeColor="text1"/>
          <w:kern w:val="0"/>
          <w:sz w:val="24"/>
          <w:szCs w:val="24"/>
          <w:lang w:eastAsia="zh-CN"/>
        </w:rPr>
        <w:t xml:space="preserve">F, </w:t>
      </w:r>
      <w:r w:rsidR="00894108" w:rsidRPr="00706E08">
        <w:rPr>
          <w:rFonts w:ascii="Book Antiqua" w:hAnsi="Book Antiqua"/>
          <w:color w:val="000000" w:themeColor="text1"/>
          <w:sz w:val="24"/>
          <w:szCs w:val="24"/>
        </w:rPr>
        <w:t>Matsui</w:t>
      </w:r>
      <w:r w:rsidR="00894108" w:rsidRPr="00706E08">
        <w:rPr>
          <w:rFonts w:ascii="Book Antiqua" w:eastAsia="MS Mincho" w:hAnsi="Book Antiqua" w:cs="Times New Roman"/>
          <w:color w:val="000000" w:themeColor="text1"/>
          <w:kern w:val="0"/>
          <w:sz w:val="24"/>
          <w:szCs w:val="24"/>
        </w:rPr>
        <w:t xml:space="preserve"> </w:t>
      </w:r>
      <w:r w:rsidR="00894108" w:rsidRPr="00706E08">
        <w:rPr>
          <w:rFonts w:ascii="Book Antiqua" w:eastAsia="MS Mincho" w:hAnsi="Book Antiqua" w:cs="Times New Roman"/>
          <w:color w:val="000000" w:themeColor="text1"/>
          <w:kern w:val="0"/>
          <w:sz w:val="24"/>
          <w:szCs w:val="24"/>
          <w:lang w:eastAsia="zh-CN"/>
        </w:rPr>
        <w:t xml:space="preserve">T, </w:t>
      </w:r>
      <w:proofErr w:type="spellStart"/>
      <w:r w:rsidR="00894108" w:rsidRPr="00706E08">
        <w:rPr>
          <w:rFonts w:ascii="Book Antiqua" w:hAnsi="Book Antiqua"/>
          <w:color w:val="000000" w:themeColor="text1"/>
          <w:sz w:val="24"/>
          <w:szCs w:val="24"/>
        </w:rPr>
        <w:t>Hosomi</w:t>
      </w:r>
      <w:proofErr w:type="spellEnd"/>
      <w:r w:rsidR="00894108" w:rsidRPr="00706E08">
        <w:rPr>
          <w:rFonts w:ascii="Book Antiqua" w:eastAsia="MS Mincho" w:hAnsi="Book Antiqua" w:cs="Times New Roman"/>
          <w:color w:val="000000" w:themeColor="text1"/>
          <w:kern w:val="0"/>
          <w:sz w:val="24"/>
          <w:szCs w:val="24"/>
        </w:rPr>
        <w:t xml:space="preserve"> </w:t>
      </w:r>
      <w:r w:rsidR="00894108" w:rsidRPr="00706E08">
        <w:rPr>
          <w:rFonts w:ascii="Book Antiqua" w:eastAsia="MS Mincho" w:hAnsi="Book Antiqua" w:cs="Times New Roman"/>
          <w:color w:val="000000" w:themeColor="text1"/>
          <w:kern w:val="0"/>
          <w:sz w:val="24"/>
          <w:szCs w:val="24"/>
          <w:lang w:eastAsia="zh-CN"/>
        </w:rPr>
        <w:t xml:space="preserve">S, </w:t>
      </w:r>
      <w:r w:rsidR="00894108" w:rsidRPr="00706E08">
        <w:rPr>
          <w:rFonts w:ascii="Book Antiqua" w:eastAsia="MS Mincho" w:hAnsi="Book Antiqua" w:cs="Times New Roman"/>
          <w:color w:val="000000" w:themeColor="text1"/>
          <w:sz w:val="24"/>
          <w:szCs w:val="24"/>
        </w:rPr>
        <w:t>Watanabe</w:t>
      </w:r>
      <w:r w:rsidR="00894108" w:rsidRPr="00706E08">
        <w:rPr>
          <w:rFonts w:ascii="Book Antiqua" w:eastAsia="MS Mincho" w:hAnsi="Book Antiqua" w:cs="Times New Roman"/>
          <w:color w:val="000000" w:themeColor="text1"/>
          <w:kern w:val="0"/>
          <w:sz w:val="24"/>
          <w:szCs w:val="24"/>
        </w:rPr>
        <w:t xml:space="preserve"> </w:t>
      </w:r>
      <w:r w:rsidR="00894108" w:rsidRPr="00706E08">
        <w:rPr>
          <w:rFonts w:ascii="Book Antiqua" w:eastAsia="MS Mincho" w:hAnsi="Book Antiqua" w:cs="Times New Roman"/>
          <w:color w:val="000000" w:themeColor="text1"/>
          <w:kern w:val="0"/>
          <w:sz w:val="24"/>
          <w:szCs w:val="24"/>
          <w:lang w:eastAsia="zh-CN"/>
        </w:rPr>
        <w:t xml:space="preserve">K, </w:t>
      </w:r>
      <w:proofErr w:type="spellStart"/>
      <w:r w:rsidR="00894108" w:rsidRPr="00706E08">
        <w:rPr>
          <w:rFonts w:ascii="Book Antiqua" w:eastAsia="MS Mincho" w:hAnsi="Book Antiqua" w:cs="Times New Roman"/>
          <w:color w:val="000000" w:themeColor="text1"/>
          <w:sz w:val="24"/>
          <w:szCs w:val="24"/>
        </w:rPr>
        <w:t>Hosoe</w:t>
      </w:r>
      <w:proofErr w:type="spellEnd"/>
      <w:r w:rsidR="00894108" w:rsidRPr="00706E08">
        <w:rPr>
          <w:rFonts w:ascii="Book Antiqua" w:eastAsia="MS Mincho" w:hAnsi="Book Antiqua" w:cs="Times New Roman"/>
          <w:color w:val="000000" w:themeColor="text1"/>
          <w:kern w:val="0"/>
          <w:sz w:val="24"/>
          <w:szCs w:val="24"/>
        </w:rPr>
        <w:t xml:space="preserve"> </w:t>
      </w:r>
      <w:r w:rsidR="00894108" w:rsidRPr="00706E08">
        <w:rPr>
          <w:rFonts w:ascii="Book Antiqua" w:eastAsia="MS Mincho" w:hAnsi="Book Antiqua" w:cs="Times New Roman"/>
          <w:color w:val="000000" w:themeColor="text1"/>
          <w:kern w:val="0"/>
          <w:sz w:val="24"/>
          <w:szCs w:val="24"/>
          <w:lang w:eastAsia="zh-CN"/>
        </w:rPr>
        <w:t xml:space="preserve">N, </w:t>
      </w:r>
      <w:r w:rsidR="00894108" w:rsidRPr="00706E08">
        <w:rPr>
          <w:rFonts w:ascii="Book Antiqua" w:eastAsia="MS Mincho" w:hAnsi="Book Antiqua" w:cs="Times New Roman"/>
          <w:color w:val="000000" w:themeColor="text1"/>
          <w:sz w:val="24"/>
          <w:szCs w:val="24"/>
        </w:rPr>
        <w:t>Ogata</w:t>
      </w:r>
      <w:r w:rsidR="00894108" w:rsidRPr="00706E08">
        <w:rPr>
          <w:rFonts w:ascii="Book Antiqua" w:eastAsia="MS Mincho" w:hAnsi="Book Antiqua" w:cs="Times New Roman"/>
          <w:color w:val="000000" w:themeColor="text1"/>
          <w:kern w:val="0"/>
          <w:sz w:val="24"/>
          <w:szCs w:val="24"/>
        </w:rPr>
        <w:t xml:space="preserve"> </w:t>
      </w:r>
      <w:r w:rsidR="00894108" w:rsidRPr="00706E08">
        <w:rPr>
          <w:rFonts w:ascii="Book Antiqua" w:eastAsia="MS Mincho" w:hAnsi="Book Antiqua" w:cs="Times New Roman"/>
          <w:color w:val="000000" w:themeColor="text1"/>
          <w:kern w:val="0"/>
          <w:sz w:val="24"/>
          <w:szCs w:val="24"/>
          <w:lang w:eastAsia="zh-CN"/>
        </w:rPr>
        <w:t xml:space="preserve">H, </w:t>
      </w:r>
      <w:proofErr w:type="spellStart"/>
      <w:r w:rsidR="00894108" w:rsidRPr="00706E08">
        <w:rPr>
          <w:rFonts w:ascii="Book Antiqua" w:eastAsia="MS Mincho" w:hAnsi="Book Antiqua" w:cs="Times New Roman"/>
          <w:color w:val="000000" w:themeColor="text1"/>
          <w:sz w:val="24"/>
          <w:szCs w:val="24"/>
        </w:rPr>
        <w:t>Hisamatsu</w:t>
      </w:r>
      <w:proofErr w:type="spellEnd"/>
      <w:r w:rsidR="00894108" w:rsidRPr="00706E08">
        <w:rPr>
          <w:rFonts w:ascii="Book Antiqua" w:eastAsia="MS Mincho" w:hAnsi="Book Antiqua" w:cs="Times New Roman"/>
          <w:color w:val="000000" w:themeColor="text1"/>
          <w:kern w:val="0"/>
          <w:sz w:val="24"/>
          <w:szCs w:val="24"/>
        </w:rPr>
        <w:t xml:space="preserve"> </w:t>
      </w:r>
      <w:r w:rsidR="00894108" w:rsidRPr="00706E08">
        <w:rPr>
          <w:rFonts w:ascii="Book Antiqua" w:eastAsia="MS Mincho" w:hAnsi="Book Antiqua" w:cs="Times New Roman"/>
          <w:color w:val="000000" w:themeColor="text1"/>
          <w:kern w:val="0"/>
          <w:sz w:val="24"/>
          <w:szCs w:val="24"/>
          <w:lang w:eastAsia="zh-CN"/>
        </w:rPr>
        <w:t xml:space="preserve">T, </w:t>
      </w:r>
      <w:proofErr w:type="spellStart"/>
      <w:r w:rsidR="00894108" w:rsidRPr="00706E08">
        <w:rPr>
          <w:rFonts w:ascii="Book Antiqua" w:eastAsia="MS Mincho" w:hAnsi="Book Antiqua" w:cs="Times New Roman"/>
          <w:color w:val="000000" w:themeColor="text1"/>
          <w:sz w:val="24"/>
          <w:szCs w:val="24"/>
        </w:rPr>
        <w:t>Yanai</w:t>
      </w:r>
      <w:proofErr w:type="spellEnd"/>
      <w:r w:rsidR="00894108" w:rsidRPr="00706E08">
        <w:rPr>
          <w:rFonts w:ascii="Book Antiqua" w:eastAsia="MS Mincho" w:hAnsi="Book Antiqua" w:cs="Times New Roman"/>
          <w:color w:val="000000" w:themeColor="text1"/>
          <w:kern w:val="0"/>
          <w:sz w:val="24"/>
          <w:szCs w:val="24"/>
        </w:rPr>
        <w:t xml:space="preserve"> </w:t>
      </w:r>
      <w:r w:rsidR="00894108" w:rsidRPr="00706E08">
        <w:rPr>
          <w:rFonts w:ascii="Book Antiqua" w:eastAsia="MS Mincho" w:hAnsi="Book Antiqua" w:cs="Times New Roman"/>
          <w:color w:val="000000" w:themeColor="text1"/>
          <w:kern w:val="0"/>
          <w:sz w:val="24"/>
          <w:szCs w:val="24"/>
          <w:lang w:eastAsia="zh-CN"/>
        </w:rPr>
        <w:t xml:space="preserve">S, </w:t>
      </w:r>
      <w:r w:rsidR="00894108" w:rsidRPr="00706E08">
        <w:rPr>
          <w:rFonts w:ascii="Book Antiqua" w:eastAsia="MS Mincho" w:hAnsi="Book Antiqua" w:cs="Times New Roman"/>
          <w:color w:val="000000" w:themeColor="text1"/>
          <w:sz w:val="24"/>
          <w:szCs w:val="24"/>
        </w:rPr>
        <w:t>Kochi</w:t>
      </w:r>
      <w:r w:rsidR="00894108" w:rsidRPr="00706E08">
        <w:rPr>
          <w:rFonts w:ascii="Book Antiqua" w:eastAsia="MS Mincho" w:hAnsi="Book Antiqua" w:cs="Times New Roman"/>
          <w:color w:val="000000" w:themeColor="text1"/>
          <w:kern w:val="0"/>
          <w:sz w:val="24"/>
          <w:szCs w:val="24"/>
        </w:rPr>
        <w:t xml:space="preserve"> </w:t>
      </w:r>
      <w:r w:rsidR="00894108" w:rsidRPr="00706E08">
        <w:rPr>
          <w:rFonts w:ascii="Book Antiqua" w:eastAsia="MS Mincho" w:hAnsi="Book Antiqua" w:cs="Times New Roman"/>
          <w:color w:val="000000" w:themeColor="text1"/>
          <w:kern w:val="0"/>
          <w:sz w:val="24"/>
          <w:szCs w:val="24"/>
          <w:lang w:eastAsia="zh-CN"/>
        </w:rPr>
        <w:t xml:space="preserve">S, </w:t>
      </w:r>
      <w:proofErr w:type="spellStart"/>
      <w:r w:rsidR="00894108" w:rsidRPr="00706E08">
        <w:rPr>
          <w:rFonts w:ascii="Book Antiqua" w:eastAsia="MS Mincho" w:hAnsi="Book Antiqua" w:cs="Times New Roman"/>
          <w:color w:val="000000" w:themeColor="text1"/>
          <w:sz w:val="24"/>
          <w:szCs w:val="24"/>
        </w:rPr>
        <w:t>Kurahara</w:t>
      </w:r>
      <w:proofErr w:type="spellEnd"/>
      <w:r w:rsidR="00894108" w:rsidRPr="00706E08">
        <w:rPr>
          <w:rFonts w:ascii="Book Antiqua" w:eastAsia="MS Mincho" w:hAnsi="Book Antiqua" w:cs="Times New Roman"/>
          <w:color w:val="000000" w:themeColor="text1"/>
          <w:kern w:val="0"/>
          <w:sz w:val="24"/>
          <w:szCs w:val="24"/>
        </w:rPr>
        <w:t xml:space="preserve"> </w:t>
      </w:r>
      <w:r w:rsidR="00894108" w:rsidRPr="00706E08">
        <w:rPr>
          <w:rFonts w:ascii="Book Antiqua" w:eastAsia="MS Mincho" w:hAnsi="Book Antiqua" w:cs="Times New Roman"/>
          <w:color w:val="000000" w:themeColor="text1"/>
          <w:kern w:val="0"/>
          <w:sz w:val="24"/>
          <w:szCs w:val="24"/>
          <w:lang w:eastAsia="zh-CN"/>
        </w:rPr>
        <w:t xml:space="preserve">K, </w:t>
      </w:r>
      <w:r w:rsidR="00894108" w:rsidRPr="00706E08">
        <w:rPr>
          <w:rFonts w:ascii="Book Antiqua" w:eastAsia="MS Mincho" w:hAnsi="Book Antiqua" w:cs="Times New Roman"/>
          <w:color w:val="000000" w:themeColor="text1"/>
          <w:sz w:val="24"/>
          <w:szCs w:val="24"/>
        </w:rPr>
        <w:t>Yao</w:t>
      </w:r>
      <w:r w:rsidR="00894108" w:rsidRPr="00706E08">
        <w:rPr>
          <w:rFonts w:ascii="Book Antiqua" w:eastAsia="MS Mincho" w:hAnsi="Book Antiqua" w:cs="Times New Roman"/>
          <w:color w:val="000000" w:themeColor="text1"/>
          <w:kern w:val="0"/>
          <w:sz w:val="24"/>
          <w:szCs w:val="24"/>
        </w:rPr>
        <w:t xml:space="preserve"> </w:t>
      </w:r>
      <w:r w:rsidR="00894108" w:rsidRPr="00706E08">
        <w:rPr>
          <w:rFonts w:ascii="Book Antiqua" w:eastAsia="MS Mincho" w:hAnsi="Book Antiqua" w:cs="Times New Roman"/>
          <w:color w:val="000000" w:themeColor="text1"/>
          <w:kern w:val="0"/>
          <w:sz w:val="24"/>
          <w:szCs w:val="24"/>
          <w:lang w:eastAsia="zh-CN"/>
        </w:rPr>
        <w:t xml:space="preserve">T, </w:t>
      </w:r>
      <w:proofErr w:type="spellStart"/>
      <w:r w:rsidR="00894108" w:rsidRPr="00706E08">
        <w:rPr>
          <w:rFonts w:ascii="Book Antiqua" w:eastAsia="MS Mincho" w:hAnsi="Book Antiqua" w:cs="Times New Roman"/>
          <w:color w:val="000000" w:themeColor="text1"/>
          <w:sz w:val="24"/>
          <w:szCs w:val="24"/>
        </w:rPr>
        <w:t>Torisu</w:t>
      </w:r>
      <w:proofErr w:type="spellEnd"/>
      <w:r w:rsidR="00894108" w:rsidRPr="00706E08">
        <w:rPr>
          <w:rFonts w:ascii="Book Antiqua" w:eastAsia="MS Mincho" w:hAnsi="Book Antiqua" w:cs="Times New Roman"/>
          <w:color w:val="000000" w:themeColor="text1"/>
          <w:kern w:val="0"/>
          <w:sz w:val="24"/>
          <w:szCs w:val="24"/>
        </w:rPr>
        <w:t xml:space="preserve"> </w:t>
      </w:r>
      <w:r w:rsidR="00894108" w:rsidRPr="00706E08">
        <w:rPr>
          <w:rFonts w:ascii="Book Antiqua" w:eastAsia="MS Mincho" w:hAnsi="Book Antiqua" w:cs="Times New Roman"/>
          <w:color w:val="000000" w:themeColor="text1"/>
          <w:kern w:val="0"/>
          <w:sz w:val="24"/>
          <w:szCs w:val="24"/>
          <w:lang w:eastAsia="zh-CN"/>
        </w:rPr>
        <w:t xml:space="preserve">T, </w:t>
      </w:r>
      <w:proofErr w:type="spellStart"/>
      <w:r w:rsidR="00894108" w:rsidRPr="00706E08">
        <w:rPr>
          <w:rFonts w:ascii="Book Antiqua" w:eastAsia="MS Mincho" w:hAnsi="Book Antiqua" w:cs="Times New Roman"/>
          <w:color w:val="000000" w:themeColor="text1"/>
          <w:sz w:val="24"/>
          <w:szCs w:val="24"/>
        </w:rPr>
        <w:t>Kitazono</w:t>
      </w:r>
      <w:proofErr w:type="spellEnd"/>
      <w:r w:rsidR="00894108" w:rsidRPr="00706E08">
        <w:rPr>
          <w:rFonts w:ascii="Book Antiqua" w:eastAsia="MS Mincho" w:hAnsi="Book Antiqua" w:cs="Times New Roman"/>
          <w:color w:val="000000" w:themeColor="text1"/>
          <w:kern w:val="0"/>
          <w:sz w:val="24"/>
          <w:szCs w:val="24"/>
        </w:rPr>
        <w:t xml:space="preserve"> </w:t>
      </w:r>
      <w:r w:rsidR="00894108" w:rsidRPr="00706E08">
        <w:rPr>
          <w:rFonts w:ascii="Book Antiqua" w:eastAsia="MS Mincho" w:hAnsi="Book Antiqua" w:cs="Times New Roman"/>
          <w:color w:val="000000" w:themeColor="text1"/>
          <w:kern w:val="0"/>
          <w:sz w:val="24"/>
          <w:szCs w:val="24"/>
          <w:lang w:eastAsia="zh-CN"/>
        </w:rPr>
        <w:t xml:space="preserve">T, </w:t>
      </w:r>
      <w:r w:rsidR="00894108" w:rsidRPr="00706E08">
        <w:rPr>
          <w:rFonts w:ascii="Book Antiqua" w:eastAsia="MS Mincho" w:hAnsi="Book Antiqua" w:cs="Times New Roman"/>
          <w:color w:val="000000" w:themeColor="text1"/>
          <w:sz w:val="24"/>
          <w:szCs w:val="24"/>
        </w:rPr>
        <w:t>Matsumoto</w:t>
      </w:r>
      <w:r w:rsidR="00894108" w:rsidRPr="00706E08">
        <w:rPr>
          <w:rFonts w:ascii="Book Antiqua" w:eastAsia="MS Mincho" w:hAnsi="Book Antiqua" w:cs="Times New Roman"/>
          <w:color w:val="000000" w:themeColor="text1"/>
          <w:kern w:val="0"/>
          <w:sz w:val="24"/>
          <w:szCs w:val="24"/>
        </w:rPr>
        <w:t xml:space="preserve"> </w:t>
      </w:r>
      <w:r w:rsidR="00894108" w:rsidRPr="00706E08">
        <w:rPr>
          <w:rFonts w:ascii="Book Antiqua" w:eastAsia="MS Mincho" w:hAnsi="Book Antiqua" w:cs="Times New Roman"/>
          <w:color w:val="000000" w:themeColor="text1"/>
          <w:kern w:val="0"/>
          <w:sz w:val="24"/>
          <w:szCs w:val="24"/>
          <w:lang w:eastAsia="zh-CN"/>
        </w:rPr>
        <w:t xml:space="preserve">T. </w:t>
      </w:r>
      <w:r w:rsidR="00894108" w:rsidRPr="00706E08">
        <w:rPr>
          <w:rFonts w:ascii="Book Antiqua" w:eastAsia="MS Mincho" w:hAnsi="Book Antiqua" w:cs="Times New Roman"/>
          <w:color w:val="000000" w:themeColor="text1"/>
          <w:kern w:val="0"/>
          <w:sz w:val="24"/>
          <w:szCs w:val="24"/>
        </w:rPr>
        <w:t>Measurement of prostaglandin metabolites is useful in diagnosis of small bowel ulcerations</w:t>
      </w:r>
      <w:r w:rsidR="00894108" w:rsidRPr="00706E08">
        <w:rPr>
          <w:rFonts w:ascii="Book Antiqua" w:eastAsia="MS Mincho" w:hAnsi="Book Antiqua" w:cs="Times New Roman"/>
          <w:color w:val="000000" w:themeColor="text1"/>
          <w:kern w:val="0"/>
          <w:sz w:val="24"/>
          <w:szCs w:val="24"/>
          <w:lang w:eastAsia="zh-CN"/>
        </w:rPr>
        <w:t xml:space="preserve">. </w:t>
      </w:r>
      <w:r w:rsidRPr="00706E08">
        <w:rPr>
          <w:rFonts w:ascii="Book Antiqua" w:hAnsi="Book Antiqua"/>
          <w:i/>
          <w:color w:val="000000"/>
          <w:sz w:val="24"/>
          <w:szCs w:val="24"/>
        </w:rPr>
        <w:t xml:space="preserve">World J Gastroenterol </w:t>
      </w:r>
      <w:r w:rsidRPr="00706E08">
        <w:rPr>
          <w:rFonts w:ascii="Book Antiqua" w:hAnsi="Book Antiqua"/>
          <w:color w:val="000000"/>
          <w:sz w:val="24"/>
          <w:szCs w:val="24"/>
        </w:rPr>
        <w:t xml:space="preserve">2019; 25(14): 1753-1763  </w:t>
      </w:r>
    </w:p>
    <w:p w14:paraId="7D9732EC" w14:textId="77777777" w:rsidR="00706E08" w:rsidRPr="00706E08" w:rsidRDefault="00706E08" w:rsidP="00894108">
      <w:pPr>
        <w:snapToGrid w:val="0"/>
        <w:spacing w:line="360" w:lineRule="auto"/>
        <w:jc w:val="both"/>
        <w:rPr>
          <w:rFonts w:ascii="Book Antiqua" w:hAnsi="Book Antiqua"/>
          <w:sz w:val="24"/>
          <w:szCs w:val="24"/>
        </w:rPr>
      </w:pPr>
      <w:r w:rsidRPr="00706E08">
        <w:rPr>
          <w:rFonts w:ascii="Book Antiqua" w:hAnsi="Book Antiqua"/>
          <w:b/>
          <w:color w:val="000000"/>
          <w:sz w:val="24"/>
          <w:szCs w:val="24"/>
        </w:rPr>
        <w:t>URL</w:t>
      </w:r>
      <w:r w:rsidRPr="00706E08">
        <w:rPr>
          <w:rFonts w:ascii="Book Antiqua" w:hAnsi="Book Antiqua"/>
          <w:color w:val="000000"/>
          <w:sz w:val="24"/>
          <w:szCs w:val="24"/>
        </w:rPr>
        <w:t xml:space="preserve">: </w:t>
      </w:r>
      <w:r w:rsidRPr="00706E08">
        <w:rPr>
          <w:rFonts w:ascii="Book Antiqua" w:hAnsi="Book Antiqua"/>
          <w:sz w:val="24"/>
          <w:szCs w:val="24"/>
        </w:rPr>
        <w:t xml:space="preserve">https://www.wjgnet.com/1007-9327/full/v25/i14/1753.htm  </w:t>
      </w:r>
    </w:p>
    <w:p w14:paraId="3A2B08BC" w14:textId="57373FCB" w:rsidR="00894108" w:rsidRPr="00706E08" w:rsidRDefault="00706E08" w:rsidP="00894108">
      <w:pPr>
        <w:snapToGrid w:val="0"/>
        <w:spacing w:line="360" w:lineRule="auto"/>
        <w:jc w:val="both"/>
        <w:rPr>
          <w:rFonts w:ascii="Book Antiqua" w:eastAsia="MS Mincho" w:hAnsi="Book Antiqua" w:cs="Times New Roman"/>
          <w:color w:val="000000" w:themeColor="text1"/>
          <w:kern w:val="0"/>
          <w:sz w:val="24"/>
          <w:szCs w:val="24"/>
          <w:lang w:eastAsia="zh-CN"/>
        </w:rPr>
      </w:pPr>
      <w:r w:rsidRPr="00706E08">
        <w:rPr>
          <w:rFonts w:ascii="Book Antiqua" w:hAnsi="Book Antiqua"/>
          <w:b/>
          <w:sz w:val="24"/>
          <w:szCs w:val="24"/>
        </w:rPr>
        <w:t>DOI</w:t>
      </w:r>
      <w:r w:rsidRPr="00706E08">
        <w:rPr>
          <w:rFonts w:ascii="Book Antiqua" w:hAnsi="Book Antiqua"/>
          <w:sz w:val="24"/>
          <w:szCs w:val="24"/>
        </w:rPr>
        <w:t>: https://dx.doi.org/10.3748/wjg.v25.i14.1753</w:t>
      </w:r>
    </w:p>
    <w:p w14:paraId="48AB8625" w14:textId="77777777" w:rsidR="00211749" w:rsidRPr="00706E08" w:rsidRDefault="00211749" w:rsidP="000B52DE">
      <w:pPr>
        <w:spacing w:line="360" w:lineRule="auto"/>
        <w:jc w:val="both"/>
        <w:rPr>
          <w:rFonts w:ascii="Book Antiqua" w:eastAsia="Arial Unicode MS" w:hAnsi="Book Antiqua" w:cs="Arial Unicode MS"/>
          <w:b/>
          <w:color w:val="000000" w:themeColor="text1"/>
          <w:sz w:val="24"/>
          <w:szCs w:val="24"/>
          <w:lang w:eastAsia="zh-CN"/>
        </w:rPr>
      </w:pPr>
    </w:p>
    <w:p w14:paraId="2AC07425" w14:textId="77777777" w:rsidR="000C7C53" w:rsidRPr="00706E08" w:rsidRDefault="000C7C53" w:rsidP="000B52DE">
      <w:pPr>
        <w:spacing w:line="360" w:lineRule="auto"/>
        <w:jc w:val="both"/>
        <w:rPr>
          <w:rFonts w:ascii="Book Antiqua" w:hAnsi="Book Antiqua"/>
          <w:b/>
          <w:color w:val="000000" w:themeColor="text1"/>
          <w:sz w:val="24"/>
          <w:szCs w:val="24"/>
        </w:rPr>
      </w:pPr>
      <w:r w:rsidRPr="00706E08">
        <w:rPr>
          <w:rFonts w:ascii="Book Antiqua" w:hAnsi="Book Antiqua"/>
          <w:b/>
          <w:color w:val="000000" w:themeColor="text1"/>
          <w:sz w:val="24"/>
          <w:szCs w:val="24"/>
        </w:rPr>
        <w:br w:type="page"/>
      </w:r>
    </w:p>
    <w:p w14:paraId="34346A1C" w14:textId="77777777" w:rsidR="000C7C53" w:rsidRPr="00706E08" w:rsidRDefault="000C7C53" w:rsidP="000B52DE">
      <w:pPr>
        <w:spacing w:line="360" w:lineRule="auto"/>
        <w:jc w:val="both"/>
        <w:rPr>
          <w:rFonts w:ascii="Book Antiqua" w:hAnsi="Book Antiqua"/>
          <w:color w:val="000000" w:themeColor="text1"/>
          <w:sz w:val="24"/>
          <w:szCs w:val="24"/>
        </w:rPr>
      </w:pPr>
      <w:r w:rsidRPr="00706E08">
        <w:rPr>
          <w:rFonts w:ascii="Book Antiqua" w:hAnsi="Book Antiqua"/>
          <w:b/>
          <w:color w:val="000000" w:themeColor="text1"/>
          <w:sz w:val="24"/>
          <w:szCs w:val="24"/>
        </w:rPr>
        <w:lastRenderedPageBreak/>
        <w:t>INTRODUCTION</w:t>
      </w:r>
    </w:p>
    <w:p w14:paraId="59D796A0" w14:textId="7B818D33" w:rsidR="000C7C53" w:rsidRPr="00706E08" w:rsidRDefault="000C7C53" w:rsidP="00D33B0F">
      <w:pPr>
        <w:spacing w:line="360" w:lineRule="auto"/>
        <w:jc w:val="both"/>
        <w:rPr>
          <w:rFonts w:ascii="Book Antiqua" w:hAnsi="Book Antiqua"/>
          <w:color w:val="000000" w:themeColor="text1"/>
          <w:sz w:val="24"/>
          <w:szCs w:val="24"/>
        </w:rPr>
      </w:pPr>
      <w:r w:rsidRPr="00706E08">
        <w:rPr>
          <w:rFonts w:ascii="Book Antiqua" w:hAnsi="Book Antiqua"/>
          <w:color w:val="000000" w:themeColor="text1"/>
          <w:sz w:val="24"/>
          <w:szCs w:val="24"/>
        </w:rPr>
        <w:t>The use of capsule endoscopy and balloon-assisted endoscopy has enabled the precise observation of small bowel mucosal lesions in gastrointestinal disease pathology, such as Crohn’s disease (CD), intestinal tuberculosis, and nonsteroidal anti-inflammatory d</w:t>
      </w:r>
      <w:r w:rsidR="00D33B0F" w:rsidRPr="00706E08">
        <w:rPr>
          <w:rFonts w:ascii="Book Antiqua" w:hAnsi="Book Antiqua"/>
          <w:color w:val="000000" w:themeColor="text1"/>
          <w:sz w:val="24"/>
          <w:szCs w:val="24"/>
        </w:rPr>
        <w:t xml:space="preserve">rug (NSAID)-induced </w:t>
      </w:r>
      <w:proofErr w:type="gramStart"/>
      <w:r w:rsidR="00D33B0F" w:rsidRPr="00706E08">
        <w:rPr>
          <w:rFonts w:ascii="Book Antiqua" w:hAnsi="Book Antiqua"/>
          <w:color w:val="000000" w:themeColor="text1"/>
          <w:sz w:val="24"/>
          <w:szCs w:val="24"/>
        </w:rPr>
        <w:t>enteropathy</w:t>
      </w:r>
      <w:r w:rsidRPr="00706E08">
        <w:rPr>
          <w:rFonts w:ascii="Book Antiqua" w:hAnsi="Book Antiqua"/>
          <w:noProof/>
          <w:color w:val="000000" w:themeColor="text1"/>
          <w:sz w:val="24"/>
          <w:szCs w:val="24"/>
          <w:vertAlign w:val="superscript"/>
        </w:rPr>
        <w:t>[</w:t>
      </w:r>
      <w:proofErr w:type="gramEnd"/>
      <w:r w:rsidRPr="00706E08">
        <w:rPr>
          <w:rFonts w:ascii="Book Antiqua" w:hAnsi="Book Antiqua"/>
          <w:noProof/>
          <w:color w:val="000000" w:themeColor="text1"/>
          <w:sz w:val="24"/>
          <w:szCs w:val="24"/>
          <w:vertAlign w:val="superscript"/>
        </w:rPr>
        <w:t>1-5]</w:t>
      </w:r>
      <w:r w:rsidRPr="00706E08">
        <w:rPr>
          <w:rFonts w:ascii="Book Antiqua" w:hAnsi="Book Antiqua"/>
          <w:color w:val="000000" w:themeColor="text1"/>
          <w:sz w:val="24"/>
          <w:szCs w:val="24"/>
        </w:rPr>
        <w:t>. While characteristic endoscopic findings of small bowel inflammation have been reported, it is sometimes difficult to correctly diagnose patients by endoscopic findings alone in cases lacking characteristic features of the disease.</w:t>
      </w:r>
    </w:p>
    <w:p w14:paraId="10C9D5A9" w14:textId="59059C6C" w:rsidR="000C7C53" w:rsidRPr="00706E08" w:rsidRDefault="000C7C53" w:rsidP="00D33B0F">
      <w:pPr>
        <w:spacing w:line="360" w:lineRule="auto"/>
        <w:ind w:firstLineChars="100" w:firstLine="240"/>
        <w:jc w:val="both"/>
        <w:rPr>
          <w:rFonts w:ascii="Book Antiqua" w:hAnsi="Book Antiqua"/>
          <w:color w:val="000000" w:themeColor="text1"/>
          <w:sz w:val="24"/>
          <w:szCs w:val="24"/>
        </w:rPr>
      </w:pPr>
      <w:r w:rsidRPr="00706E08">
        <w:rPr>
          <w:rFonts w:ascii="Book Antiqua" w:hAnsi="Book Antiqua"/>
          <w:color w:val="000000" w:themeColor="text1"/>
          <w:sz w:val="24"/>
          <w:szCs w:val="24"/>
        </w:rPr>
        <w:t xml:space="preserve">We previously reported an independent disease entity termed chronic nonspecific multiple ulcers of the small intestine (CNSU) characterized by multiple small intestinal ulcers of nonspecific </w:t>
      </w:r>
      <w:proofErr w:type="gramStart"/>
      <w:r w:rsidRPr="00706E08">
        <w:rPr>
          <w:rFonts w:ascii="Book Antiqua" w:hAnsi="Book Antiqua"/>
          <w:color w:val="000000" w:themeColor="text1"/>
          <w:sz w:val="24"/>
          <w:szCs w:val="24"/>
        </w:rPr>
        <w:t>histology</w:t>
      </w:r>
      <w:r w:rsidRPr="00706E08">
        <w:rPr>
          <w:rFonts w:ascii="Book Antiqua" w:hAnsi="Book Antiqua"/>
          <w:noProof/>
          <w:color w:val="000000" w:themeColor="text1"/>
          <w:sz w:val="24"/>
          <w:szCs w:val="24"/>
          <w:vertAlign w:val="superscript"/>
        </w:rPr>
        <w:t>[</w:t>
      </w:r>
      <w:proofErr w:type="gramEnd"/>
      <w:r w:rsidRPr="00706E08">
        <w:rPr>
          <w:rFonts w:ascii="Book Antiqua" w:hAnsi="Book Antiqua"/>
          <w:noProof/>
          <w:color w:val="000000" w:themeColor="text1"/>
          <w:sz w:val="24"/>
          <w:szCs w:val="24"/>
          <w:vertAlign w:val="superscript"/>
        </w:rPr>
        <w:t>6-9]</w:t>
      </w:r>
      <w:r w:rsidRPr="00706E08">
        <w:rPr>
          <w:rFonts w:ascii="Book Antiqua" w:hAnsi="Book Antiqua"/>
          <w:color w:val="000000" w:themeColor="text1"/>
          <w:sz w:val="24"/>
          <w:szCs w:val="24"/>
        </w:rPr>
        <w:t xml:space="preserve">. In addition, we recently found that CNSU is caused by recessive inheritance of the </w:t>
      </w:r>
      <w:r w:rsidRPr="00706E08">
        <w:rPr>
          <w:rFonts w:ascii="Book Antiqua" w:hAnsi="Book Antiqua"/>
          <w:i/>
          <w:color w:val="000000" w:themeColor="text1"/>
          <w:sz w:val="24"/>
          <w:szCs w:val="24"/>
        </w:rPr>
        <w:t>SLCO2A1</w:t>
      </w:r>
      <w:r w:rsidRPr="00706E08">
        <w:rPr>
          <w:rFonts w:ascii="Book Antiqua" w:hAnsi="Book Antiqua"/>
          <w:color w:val="000000" w:themeColor="text1"/>
          <w:sz w:val="24"/>
          <w:szCs w:val="24"/>
        </w:rPr>
        <w:t xml:space="preserve"> gene and proposed a new nomenclature for this disease: </w:t>
      </w:r>
      <w:r w:rsidR="00D33B0F" w:rsidRPr="00706E08">
        <w:rPr>
          <w:rFonts w:ascii="Book Antiqua" w:hAnsi="Book Antiqua"/>
          <w:color w:val="000000" w:themeColor="text1"/>
          <w:sz w:val="24"/>
          <w:szCs w:val="24"/>
        </w:rPr>
        <w:t>C</w:t>
      </w:r>
      <w:r w:rsidRPr="00706E08">
        <w:rPr>
          <w:rFonts w:ascii="Book Antiqua" w:hAnsi="Book Antiqua"/>
          <w:color w:val="000000" w:themeColor="text1"/>
          <w:sz w:val="24"/>
          <w:szCs w:val="24"/>
        </w:rPr>
        <w:t xml:space="preserve">hronic enteropathy associated with </w:t>
      </w:r>
      <w:r w:rsidRPr="00706E08">
        <w:rPr>
          <w:rFonts w:ascii="Book Antiqua" w:hAnsi="Book Antiqua"/>
          <w:i/>
          <w:color w:val="000000" w:themeColor="text1"/>
          <w:sz w:val="24"/>
          <w:szCs w:val="24"/>
        </w:rPr>
        <w:t>SLCO2A1</w:t>
      </w:r>
      <w:r w:rsidR="00D33B0F" w:rsidRPr="00706E08">
        <w:rPr>
          <w:rFonts w:ascii="Book Antiqua" w:hAnsi="Book Antiqua"/>
          <w:color w:val="000000" w:themeColor="text1"/>
          <w:sz w:val="24"/>
          <w:szCs w:val="24"/>
        </w:rPr>
        <w:t xml:space="preserve"> gene (CEAS</w:t>
      </w:r>
      <w:proofErr w:type="gramStart"/>
      <w:r w:rsidR="00D33B0F" w:rsidRPr="00706E08">
        <w:rPr>
          <w:rFonts w:ascii="Book Antiqua" w:hAnsi="Book Antiqua"/>
          <w:color w:val="000000" w:themeColor="text1"/>
          <w:sz w:val="24"/>
          <w:szCs w:val="24"/>
        </w:rPr>
        <w:t>)</w:t>
      </w:r>
      <w:r w:rsidRPr="00706E08">
        <w:rPr>
          <w:rFonts w:ascii="Book Antiqua" w:hAnsi="Book Antiqua"/>
          <w:noProof/>
          <w:color w:val="000000" w:themeColor="text1"/>
          <w:sz w:val="24"/>
          <w:szCs w:val="24"/>
          <w:vertAlign w:val="superscript"/>
        </w:rPr>
        <w:t>[</w:t>
      </w:r>
      <w:proofErr w:type="gramEnd"/>
      <w:r w:rsidRPr="00706E08">
        <w:rPr>
          <w:rFonts w:ascii="Book Antiqua" w:hAnsi="Book Antiqua"/>
          <w:noProof/>
          <w:color w:val="000000" w:themeColor="text1"/>
          <w:sz w:val="24"/>
          <w:szCs w:val="24"/>
          <w:vertAlign w:val="superscript"/>
        </w:rPr>
        <w:t>10]</w:t>
      </w:r>
      <w:r w:rsidRPr="00706E08">
        <w:rPr>
          <w:rFonts w:ascii="Book Antiqua" w:hAnsi="Book Antiqua"/>
          <w:color w:val="000000" w:themeColor="text1"/>
          <w:sz w:val="24"/>
          <w:szCs w:val="24"/>
        </w:rPr>
        <w:t>. Therefore, it is now possible to diagnose CEAS based on a combination of clinical features and genetic analysis. However, it is sometimes difficult to differentiate CEAS from CD because these diseases share clinical features such as persistent anemia and hypoproteinemia, susceptible age in puberty, and a predominance of ilea</w:t>
      </w:r>
      <w:r w:rsidR="00A53D7B" w:rsidRPr="00706E08">
        <w:rPr>
          <w:rFonts w:ascii="Book Antiqua" w:hAnsi="Book Antiqua"/>
          <w:color w:val="000000" w:themeColor="text1"/>
          <w:sz w:val="24"/>
          <w:szCs w:val="24"/>
        </w:rPr>
        <w:t>l</w:t>
      </w:r>
      <w:r w:rsidRPr="00706E08">
        <w:rPr>
          <w:rFonts w:ascii="Book Antiqua" w:hAnsi="Book Antiqua"/>
          <w:color w:val="000000" w:themeColor="text1"/>
          <w:sz w:val="24"/>
          <w:szCs w:val="24"/>
        </w:rPr>
        <w:t xml:space="preserve"> involvement.</w:t>
      </w:r>
      <w:r w:rsidRPr="00706E08" w:rsidDel="00F761DA">
        <w:rPr>
          <w:rFonts w:ascii="Book Antiqua" w:hAnsi="Book Antiqua"/>
          <w:color w:val="000000" w:themeColor="text1"/>
          <w:sz w:val="24"/>
          <w:szCs w:val="24"/>
        </w:rPr>
        <w:t xml:space="preserve"> </w:t>
      </w:r>
      <w:r w:rsidRPr="00706E08">
        <w:rPr>
          <w:rFonts w:ascii="Book Antiqua" w:hAnsi="Book Antiqua"/>
          <w:color w:val="000000" w:themeColor="text1"/>
          <w:sz w:val="24"/>
          <w:szCs w:val="24"/>
        </w:rPr>
        <w:t>The differentiation between CEAS and CD is clinically essential to avoid ineffective therapies because patients with CEAS do not respond to treatment wi</w:t>
      </w:r>
      <w:r w:rsidR="00D33B0F" w:rsidRPr="00706E08">
        <w:rPr>
          <w:rFonts w:ascii="Book Antiqua" w:hAnsi="Book Antiqua"/>
          <w:color w:val="000000" w:themeColor="text1"/>
          <w:sz w:val="24"/>
          <w:szCs w:val="24"/>
        </w:rPr>
        <w:t xml:space="preserve">th corticosteroids or </w:t>
      </w:r>
      <w:proofErr w:type="gramStart"/>
      <w:r w:rsidR="00D33B0F" w:rsidRPr="00706E08">
        <w:rPr>
          <w:rFonts w:ascii="Book Antiqua" w:hAnsi="Book Antiqua"/>
          <w:color w:val="000000" w:themeColor="text1"/>
          <w:sz w:val="24"/>
          <w:szCs w:val="24"/>
        </w:rPr>
        <w:t>biologics</w:t>
      </w:r>
      <w:r w:rsidR="00D33B0F" w:rsidRPr="00706E08">
        <w:rPr>
          <w:rFonts w:ascii="Book Antiqua" w:hAnsi="Book Antiqua"/>
          <w:noProof/>
          <w:color w:val="000000" w:themeColor="text1"/>
          <w:sz w:val="24"/>
          <w:szCs w:val="24"/>
          <w:vertAlign w:val="superscript"/>
        </w:rPr>
        <w:t>[</w:t>
      </w:r>
      <w:proofErr w:type="gramEnd"/>
      <w:r w:rsidR="00D33B0F" w:rsidRPr="00706E08">
        <w:rPr>
          <w:rFonts w:ascii="Book Antiqua" w:hAnsi="Book Antiqua"/>
          <w:noProof/>
          <w:color w:val="000000" w:themeColor="text1"/>
          <w:sz w:val="24"/>
          <w:szCs w:val="24"/>
          <w:vertAlign w:val="superscript"/>
        </w:rPr>
        <w:t>7,</w:t>
      </w:r>
      <w:r w:rsidRPr="00706E08">
        <w:rPr>
          <w:rFonts w:ascii="Book Antiqua" w:hAnsi="Book Antiqua"/>
          <w:noProof/>
          <w:color w:val="000000" w:themeColor="text1"/>
          <w:sz w:val="24"/>
          <w:szCs w:val="24"/>
          <w:vertAlign w:val="superscript"/>
        </w:rPr>
        <w:t>9]</w:t>
      </w:r>
      <w:r w:rsidRPr="00706E08">
        <w:rPr>
          <w:rFonts w:ascii="Book Antiqua" w:hAnsi="Book Antiqua"/>
          <w:color w:val="000000" w:themeColor="text1"/>
          <w:sz w:val="24"/>
          <w:szCs w:val="24"/>
        </w:rPr>
        <w:t>. Moreover, since the patients with CEAS usually show low inflamma</w:t>
      </w:r>
      <w:r w:rsidR="009F59AC" w:rsidRPr="00706E08">
        <w:rPr>
          <w:rFonts w:ascii="Book Antiqua" w:hAnsi="Book Antiqua"/>
          <w:color w:val="000000" w:themeColor="text1"/>
          <w:sz w:val="24"/>
          <w:szCs w:val="24"/>
        </w:rPr>
        <w:t xml:space="preserve">tory markers in blood </w:t>
      </w:r>
      <w:proofErr w:type="gramStart"/>
      <w:r w:rsidR="009F59AC" w:rsidRPr="00706E08">
        <w:rPr>
          <w:rFonts w:ascii="Book Antiqua" w:hAnsi="Book Antiqua"/>
          <w:color w:val="000000" w:themeColor="text1"/>
          <w:sz w:val="24"/>
          <w:szCs w:val="24"/>
        </w:rPr>
        <w:t>test</w:t>
      </w:r>
      <w:r w:rsidRPr="00706E08">
        <w:rPr>
          <w:rFonts w:ascii="Book Antiqua" w:hAnsi="Book Antiqua"/>
          <w:noProof/>
          <w:color w:val="000000" w:themeColor="text1"/>
          <w:sz w:val="24"/>
          <w:szCs w:val="24"/>
          <w:vertAlign w:val="superscript"/>
        </w:rPr>
        <w:t>[</w:t>
      </w:r>
      <w:proofErr w:type="gramEnd"/>
      <w:r w:rsidRPr="00706E08">
        <w:rPr>
          <w:rFonts w:ascii="Book Antiqua" w:hAnsi="Book Antiqua"/>
          <w:noProof/>
          <w:color w:val="000000" w:themeColor="text1"/>
          <w:sz w:val="24"/>
          <w:szCs w:val="24"/>
          <w:vertAlign w:val="superscript"/>
        </w:rPr>
        <w:t>11]</w:t>
      </w:r>
      <w:r w:rsidRPr="00706E08">
        <w:rPr>
          <w:rFonts w:ascii="Book Antiqua" w:hAnsi="Book Antiqua"/>
          <w:color w:val="000000" w:themeColor="text1"/>
          <w:sz w:val="24"/>
          <w:szCs w:val="24"/>
        </w:rPr>
        <w:t xml:space="preserve">, it is a particularly important problem to distinguish CEAS from CD with low disease activity. In clinical practice, however, it is unrealistic to perform genetic screening for all patients suspected as CD or CEAS. </w:t>
      </w:r>
    </w:p>
    <w:p w14:paraId="2A1660FB" w14:textId="56A67426" w:rsidR="000C7C53" w:rsidRPr="00706E08" w:rsidRDefault="000C7C53" w:rsidP="00D33B0F">
      <w:pPr>
        <w:spacing w:line="360" w:lineRule="auto"/>
        <w:ind w:firstLineChars="100" w:firstLine="240"/>
        <w:jc w:val="both"/>
        <w:rPr>
          <w:rFonts w:ascii="Book Antiqua" w:hAnsi="Book Antiqua"/>
          <w:color w:val="000000" w:themeColor="text1"/>
          <w:sz w:val="24"/>
          <w:szCs w:val="24"/>
        </w:rPr>
      </w:pPr>
      <w:r w:rsidRPr="00706E08">
        <w:rPr>
          <w:rFonts w:ascii="Book Antiqua" w:hAnsi="Book Antiqua"/>
          <w:color w:val="000000" w:themeColor="text1"/>
          <w:sz w:val="24"/>
          <w:szCs w:val="24"/>
        </w:rPr>
        <w:t xml:space="preserve">The </w:t>
      </w:r>
      <w:r w:rsidRPr="00706E08">
        <w:rPr>
          <w:rFonts w:ascii="Book Antiqua" w:hAnsi="Book Antiqua"/>
          <w:i/>
          <w:color w:val="000000" w:themeColor="text1"/>
          <w:sz w:val="24"/>
          <w:szCs w:val="24"/>
        </w:rPr>
        <w:t>SLCO2A1</w:t>
      </w:r>
      <w:r w:rsidRPr="00706E08">
        <w:rPr>
          <w:rFonts w:ascii="Book Antiqua" w:hAnsi="Book Antiqua"/>
          <w:color w:val="000000" w:themeColor="text1"/>
          <w:sz w:val="24"/>
          <w:szCs w:val="24"/>
        </w:rPr>
        <w:t xml:space="preserve"> gene encodes a prostaglandin transporter that mediates the cellular uptake of prostaglandins. </w:t>
      </w:r>
      <w:r w:rsidRPr="00706E08">
        <w:rPr>
          <w:rFonts w:ascii="Book Antiqua" w:hAnsi="Book Antiqua"/>
          <w:i/>
          <w:color w:val="000000" w:themeColor="text1"/>
          <w:sz w:val="24"/>
          <w:szCs w:val="24"/>
        </w:rPr>
        <w:t xml:space="preserve">SLCO2A1 </w:t>
      </w:r>
      <w:r w:rsidRPr="00706E08">
        <w:rPr>
          <w:rFonts w:ascii="Book Antiqua" w:hAnsi="Book Antiqua"/>
          <w:color w:val="000000" w:themeColor="text1"/>
          <w:sz w:val="24"/>
          <w:szCs w:val="24"/>
        </w:rPr>
        <w:t>is also the causative gene of primary hype</w:t>
      </w:r>
      <w:r w:rsidR="00D33B0F" w:rsidRPr="00706E08">
        <w:rPr>
          <w:rFonts w:ascii="Book Antiqua" w:hAnsi="Book Antiqua"/>
          <w:color w:val="000000" w:themeColor="text1"/>
          <w:sz w:val="24"/>
          <w:szCs w:val="24"/>
        </w:rPr>
        <w:t>rtrophic osteoarthropathy (PHO</w:t>
      </w:r>
      <w:proofErr w:type="gramStart"/>
      <w:r w:rsidR="00D33B0F" w:rsidRPr="00706E08">
        <w:rPr>
          <w:rFonts w:ascii="Book Antiqua" w:hAnsi="Book Antiqua"/>
          <w:color w:val="000000" w:themeColor="text1"/>
          <w:sz w:val="24"/>
          <w:szCs w:val="24"/>
        </w:rPr>
        <w:t>)</w:t>
      </w:r>
      <w:r w:rsidRPr="00706E08">
        <w:rPr>
          <w:rFonts w:ascii="Book Antiqua" w:hAnsi="Book Antiqua"/>
          <w:noProof/>
          <w:color w:val="000000" w:themeColor="text1"/>
          <w:sz w:val="24"/>
          <w:szCs w:val="24"/>
          <w:vertAlign w:val="superscript"/>
        </w:rPr>
        <w:t>[</w:t>
      </w:r>
      <w:proofErr w:type="gramEnd"/>
      <w:r w:rsidRPr="00706E08">
        <w:rPr>
          <w:rFonts w:ascii="Book Antiqua" w:hAnsi="Book Antiqua"/>
          <w:noProof/>
          <w:color w:val="000000" w:themeColor="text1"/>
          <w:sz w:val="24"/>
          <w:szCs w:val="24"/>
          <w:vertAlign w:val="superscript"/>
        </w:rPr>
        <w:t>12-14]</w:t>
      </w:r>
      <w:r w:rsidRPr="00706E08">
        <w:rPr>
          <w:rFonts w:ascii="Book Antiqua" w:hAnsi="Book Antiqua"/>
          <w:color w:val="000000" w:themeColor="text1"/>
          <w:sz w:val="24"/>
          <w:szCs w:val="24"/>
        </w:rPr>
        <w:t xml:space="preserve">. An increase in urinary levels of </w:t>
      </w:r>
      <w:r w:rsidRPr="00706E08">
        <w:rPr>
          <w:rFonts w:ascii="Book Antiqua" w:hAnsi="Book Antiqua"/>
          <w:color w:val="000000" w:themeColor="text1"/>
          <w:sz w:val="24"/>
          <w:szCs w:val="24"/>
        </w:rPr>
        <w:lastRenderedPageBreak/>
        <w:t xml:space="preserve">prostaglandin E2 (PGE2) and prostaglandin E metabolites in </w:t>
      </w:r>
      <w:r w:rsidRPr="00706E08">
        <w:rPr>
          <w:rFonts w:ascii="Book Antiqua" w:hAnsi="Book Antiqua"/>
          <w:i/>
          <w:color w:val="000000" w:themeColor="text1"/>
          <w:sz w:val="24"/>
          <w:szCs w:val="24"/>
        </w:rPr>
        <w:t>SLCO2A1</w:t>
      </w:r>
      <w:r w:rsidRPr="00706E08">
        <w:rPr>
          <w:rFonts w:ascii="Book Antiqua" w:hAnsi="Book Antiqua"/>
          <w:color w:val="000000" w:themeColor="text1"/>
          <w:sz w:val="24"/>
          <w:szCs w:val="24"/>
        </w:rPr>
        <w:t>-deficient PHO</w:t>
      </w:r>
      <w:r w:rsidR="00D33B0F" w:rsidRPr="00706E08">
        <w:rPr>
          <w:rFonts w:ascii="Book Antiqua" w:hAnsi="Book Antiqua"/>
          <w:color w:val="000000" w:themeColor="text1"/>
          <w:sz w:val="24"/>
          <w:szCs w:val="24"/>
        </w:rPr>
        <w:t xml:space="preserve"> individuals has been </w:t>
      </w:r>
      <w:proofErr w:type="gramStart"/>
      <w:r w:rsidR="00D33B0F" w:rsidRPr="00706E08">
        <w:rPr>
          <w:rFonts w:ascii="Book Antiqua" w:hAnsi="Book Antiqua"/>
          <w:color w:val="000000" w:themeColor="text1"/>
          <w:sz w:val="24"/>
          <w:szCs w:val="24"/>
        </w:rPr>
        <w:t>confirmed</w:t>
      </w:r>
      <w:r w:rsidRPr="00706E08">
        <w:rPr>
          <w:rFonts w:ascii="Book Antiqua" w:hAnsi="Book Antiqua"/>
          <w:noProof/>
          <w:color w:val="000000" w:themeColor="text1"/>
          <w:sz w:val="24"/>
          <w:szCs w:val="24"/>
          <w:vertAlign w:val="superscript"/>
        </w:rPr>
        <w:t>[</w:t>
      </w:r>
      <w:proofErr w:type="gramEnd"/>
      <w:r w:rsidRPr="00706E08">
        <w:rPr>
          <w:rFonts w:ascii="Book Antiqua" w:hAnsi="Book Antiqua"/>
          <w:noProof/>
          <w:color w:val="000000" w:themeColor="text1"/>
          <w:sz w:val="24"/>
          <w:szCs w:val="24"/>
          <w:vertAlign w:val="superscript"/>
        </w:rPr>
        <w:t>14]</w:t>
      </w:r>
      <w:r w:rsidRPr="00706E08">
        <w:rPr>
          <w:rFonts w:ascii="Book Antiqua" w:hAnsi="Book Antiqua"/>
          <w:color w:val="000000" w:themeColor="text1"/>
          <w:sz w:val="24"/>
          <w:szCs w:val="24"/>
        </w:rPr>
        <w:t xml:space="preserve">. </w:t>
      </w:r>
      <w:r w:rsidR="000A587D" w:rsidRPr="00706E08">
        <w:rPr>
          <w:rFonts w:ascii="Book Antiqua" w:hAnsi="Book Antiqua"/>
          <w:color w:val="000000" w:themeColor="text1"/>
          <w:sz w:val="24"/>
          <w:szCs w:val="24"/>
        </w:rPr>
        <w:t xml:space="preserve">PGE2 is known to have the protective effect </w:t>
      </w:r>
      <w:r w:rsidR="00CC3DE0" w:rsidRPr="00706E08">
        <w:rPr>
          <w:rFonts w:ascii="Book Antiqua" w:hAnsi="Book Antiqua"/>
          <w:color w:val="000000" w:themeColor="text1"/>
          <w:sz w:val="24"/>
          <w:szCs w:val="24"/>
        </w:rPr>
        <w:t xml:space="preserve">on the mucosal injury, however it is difficult to directly measure PGE2 level in local tissues or in the blood because of its extremely rapid </w:t>
      </w:r>
      <w:proofErr w:type="gramStart"/>
      <w:r w:rsidR="00CC3DE0" w:rsidRPr="00706E08">
        <w:rPr>
          <w:rFonts w:ascii="Book Antiqua" w:hAnsi="Book Antiqua"/>
          <w:color w:val="000000" w:themeColor="text1"/>
          <w:sz w:val="24"/>
          <w:szCs w:val="24"/>
        </w:rPr>
        <w:t>metabolism</w:t>
      </w:r>
      <w:r w:rsidR="00A8414C" w:rsidRPr="00706E08">
        <w:rPr>
          <w:rFonts w:ascii="Book Antiqua" w:hAnsi="Book Antiqua"/>
          <w:color w:val="000000" w:themeColor="text1"/>
          <w:sz w:val="24"/>
          <w:szCs w:val="24"/>
          <w:vertAlign w:val="superscript"/>
        </w:rPr>
        <w:t>[</w:t>
      </w:r>
      <w:proofErr w:type="gramEnd"/>
      <w:r w:rsidR="00A8414C" w:rsidRPr="00706E08">
        <w:rPr>
          <w:rFonts w:ascii="Book Antiqua" w:hAnsi="Book Antiqua"/>
          <w:color w:val="000000" w:themeColor="text1"/>
          <w:sz w:val="24"/>
          <w:szCs w:val="24"/>
          <w:vertAlign w:val="superscript"/>
        </w:rPr>
        <w:t>15</w:t>
      </w:r>
      <w:r w:rsidR="00430F3A" w:rsidRPr="00706E08">
        <w:rPr>
          <w:rFonts w:ascii="Book Antiqua" w:hAnsi="Book Antiqua"/>
          <w:color w:val="000000" w:themeColor="text1"/>
          <w:sz w:val="24"/>
          <w:szCs w:val="24"/>
          <w:vertAlign w:val="superscript"/>
        </w:rPr>
        <w:t>]</w:t>
      </w:r>
      <w:r w:rsidR="00CC3DE0" w:rsidRPr="00706E08">
        <w:rPr>
          <w:rFonts w:ascii="Book Antiqua" w:hAnsi="Book Antiqua"/>
          <w:color w:val="000000" w:themeColor="text1"/>
          <w:sz w:val="24"/>
          <w:szCs w:val="24"/>
        </w:rPr>
        <w:t xml:space="preserve">. </w:t>
      </w:r>
      <w:r w:rsidR="00430F3A" w:rsidRPr="00706E08">
        <w:rPr>
          <w:rFonts w:ascii="Book Antiqua" w:hAnsi="Book Antiqua"/>
          <w:color w:val="000000" w:themeColor="text1"/>
          <w:sz w:val="24"/>
          <w:szCs w:val="24"/>
        </w:rPr>
        <w:t>Prostaglandin E-major urinary metabolite (PGE-MUM) is known to be stable</w:t>
      </w:r>
      <w:r w:rsidR="00D405C0" w:rsidRPr="00706E08">
        <w:rPr>
          <w:rFonts w:ascii="Book Antiqua" w:hAnsi="Book Antiqua"/>
          <w:color w:val="000000" w:themeColor="text1"/>
          <w:sz w:val="24"/>
          <w:szCs w:val="24"/>
        </w:rPr>
        <w:t xml:space="preserve"> and</w:t>
      </w:r>
      <w:r w:rsidR="00430F3A" w:rsidRPr="00706E08">
        <w:rPr>
          <w:rFonts w:ascii="Book Antiqua" w:hAnsi="Book Antiqua"/>
          <w:color w:val="000000" w:themeColor="text1"/>
          <w:sz w:val="24"/>
          <w:szCs w:val="24"/>
        </w:rPr>
        <w:t xml:space="preserve"> </w:t>
      </w:r>
      <w:r w:rsidR="00D405C0" w:rsidRPr="00706E08">
        <w:rPr>
          <w:rFonts w:ascii="Book Antiqua" w:hAnsi="Book Antiqua"/>
          <w:color w:val="000000" w:themeColor="text1"/>
          <w:sz w:val="24"/>
          <w:szCs w:val="24"/>
        </w:rPr>
        <w:t>w</w:t>
      </w:r>
      <w:r w:rsidRPr="00706E08">
        <w:rPr>
          <w:rFonts w:ascii="Book Antiqua" w:hAnsi="Book Antiqua"/>
          <w:color w:val="000000" w:themeColor="text1"/>
          <w:sz w:val="24"/>
          <w:szCs w:val="24"/>
        </w:rPr>
        <w:t xml:space="preserve">e </w:t>
      </w:r>
      <w:r w:rsidR="00D405C0" w:rsidRPr="00706E08">
        <w:rPr>
          <w:rFonts w:ascii="Book Antiqua" w:hAnsi="Book Antiqua"/>
          <w:color w:val="000000" w:themeColor="text1"/>
          <w:sz w:val="24"/>
          <w:szCs w:val="24"/>
        </w:rPr>
        <w:t>have also previously demonstrated</w:t>
      </w:r>
      <w:r w:rsidR="00D405C0" w:rsidRPr="00706E08" w:rsidDel="00D405C0">
        <w:rPr>
          <w:rFonts w:ascii="Book Antiqua" w:hAnsi="Book Antiqua"/>
          <w:color w:val="000000" w:themeColor="text1"/>
          <w:sz w:val="24"/>
          <w:szCs w:val="24"/>
        </w:rPr>
        <w:t xml:space="preserve"> </w:t>
      </w:r>
      <w:r w:rsidRPr="00706E08">
        <w:rPr>
          <w:rFonts w:ascii="Book Antiqua" w:hAnsi="Book Antiqua"/>
          <w:color w:val="000000" w:themeColor="text1"/>
          <w:sz w:val="24"/>
          <w:szCs w:val="24"/>
        </w:rPr>
        <w:t>an increase in the urinary levels of prostaglandin E metabolites</w:t>
      </w:r>
      <w:r w:rsidRPr="00706E08" w:rsidDel="00061942">
        <w:rPr>
          <w:rFonts w:ascii="Book Antiqua" w:hAnsi="Book Antiqua"/>
          <w:color w:val="000000" w:themeColor="text1"/>
          <w:sz w:val="24"/>
          <w:szCs w:val="24"/>
        </w:rPr>
        <w:t xml:space="preserve"> </w:t>
      </w:r>
      <w:r w:rsidR="00D33B0F" w:rsidRPr="00706E08">
        <w:rPr>
          <w:rFonts w:ascii="Book Antiqua" w:hAnsi="Book Antiqua"/>
          <w:color w:val="000000" w:themeColor="text1"/>
          <w:sz w:val="24"/>
          <w:szCs w:val="24"/>
        </w:rPr>
        <w:t xml:space="preserve">in CEAS </w:t>
      </w:r>
      <w:proofErr w:type="gramStart"/>
      <w:r w:rsidR="00D33B0F" w:rsidRPr="00706E08">
        <w:rPr>
          <w:rFonts w:ascii="Book Antiqua" w:hAnsi="Book Antiqua"/>
          <w:color w:val="000000" w:themeColor="text1"/>
          <w:sz w:val="24"/>
          <w:szCs w:val="24"/>
        </w:rPr>
        <w:t>patients</w:t>
      </w:r>
      <w:r w:rsidRPr="00706E08">
        <w:rPr>
          <w:rFonts w:ascii="Book Antiqua" w:hAnsi="Book Antiqua"/>
          <w:noProof/>
          <w:color w:val="000000" w:themeColor="text1"/>
          <w:sz w:val="24"/>
          <w:szCs w:val="24"/>
          <w:vertAlign w:val="superscript"/>
        </w:rPr>
        <w:t>[</w:t>
      </w:r>
      <w:proofErr w:type="gramEnd"/>
      <w:r w:rsidRPr="00706E08">
        <w:rPr>
          <w:rFonts w:ascii="Book Antiqua" w:hAnsi="Book Antiqua"/>
          <w:noProof/>
          <w:color w:val="000000" w:themeColor="text1"/>
          <w:sz w:val="24"/>
          <w:szCs w:val="24"/>
          <w:vertAlign w:val="superscript"/>
        </w:rPr>
        <w:t>10]</w:t>
      </w:r>
      <w:r w:rsidRPr="00706E08">
        <w:rPr>
          <w:rFonts w:ascii="Book Antiqua" w:hAnsi="Book Antiqua"/>
          <w:color w:val="000000" w:themeColor="text1"/>
          <w:sz w:val="24"/>
          <w:szCs w:val="24"/>
        </w:rPr>
        <w:t>. Therefore, this study investigated whether PGE-MUM are useful for differentiating CEAS from CD.</w:t>
      </w:r>
    </w:p>
    <w:p w14:paraId="37933395" w14:textId="77777777" w:rsidR="000C7C53" w:rsidRPr="00706E08" w:rsidRDefault="000C7C53" w:rsidP="00D33B0F">
      <w:pPr>
        <w:spacing w:line="360" w:lineRule="auto"/>
        <w:jc w:val="both"/>
        <w:rPr>
          <w:rFonts w:ascii="Book Antiqua" w:eastAsia="等线" w:hAnsi="Book Antiqua"/>
          <w:color w:val="000000" w:themeColor="text1"/>
          <w:sz w:val="24"/>
          <w:szCs w:val="24"/>
          <w:lang w:eastAsia="zh-CN"/>
        </w:rPr>
      </w:pPr>
    </w:p>
    <w:p w14:paraId="49712F57" w14:textId="77777777" w:rsidR="00D33B0F" w:rsidRPr="00706E08" w:rsidRDefault="00D33B0F" w:rsidP="00D33B0F">
      <w:pPr>
        <w:spacing w:line="360" w:lineRule="auto"/>
        <w:rPr>
          <w:rFonts w:ascii="Book Antiqua" w:hAnsi="Book Antiqua"/>
          <w:b/>
          <w:color w:val="000000"/>
          <w:sz w:val="24"/>
          <w:szCs w:val="24"/>
        </w:rPr>
      </w:pPr>
      <w:r w:rsidRPr="00706E08">
        <w:rPr>
          <w:rFonts w:ascii="Book Antiqua" w:hAnsi="Book Antiqua"/>
          <w:b/>
          <w:color w:val="000000"/>
          <w:sz w:val="24"/>
          <w:szCs w:val="24"/>
        </w:rPr>
        <w:t>MATERIALS AND METHODS</w:t>
      </w:r>
    </w:p>
    <w:p w14:paraId="0B23A84E" w14:textId="77777777" w:rsidR="000C7C53" w:rsidRPr="00706E08" w:rsidRDefault="000C7C53" w:rsidP="000B52DE">
      <w:pPr>
        <w:spacing w:line="360" w:lineRule="auto"/>
        <w:jc w:val="both"/>
        <w:rPr>
          <w:rFonts w:ascii="Book Antiqua" w:hAnsi="Book Antiqua"/>
          <w:b/>
          <w:i/>
          <w:color w:val="000000" w:themeColor="text1"/>
          <w:sz w:val="24"/>
          <w:szCs w:val="24"/>
        </w:rPr>
      </w:pPr>
      <w:r w:rsidRPr="00706E08">
        <w:rPr>
          <w:rFonts w:ascii="Book Antiqua" w:hAnsi="Book Antiqua"/>
          <w:b/>
          <w:i/>
          <w:color w:val="000000" w:themeColor="text1"/>
          <w:sz w:val="24"/>
          <w:szCs w:val="24"/>
        </w:rPr>
        <w:t>Subjects</w:t>
      </w:r>
    </w:p>
    <w:p w14:paraId="71FC6ECE" w14:textId="1BD0110B" w:rsidR="000C7C53" w:rsidRPr="00706E08" w:rsidRDefault="000C7C53" w:rsidP="00D33B0F">
      <w:pPr>
        <w:spacing w:line="360" w:lineRule="auto"/>
        <w:jc w:val="both"/>
        <w:rPr>
          <w:rFonts w:ascii="Book Antiqua" w:hAnsi="Book Antiqua"/>
          <w:color w:val="000000" w:themeColor="text1"/>
          <w:sz w:val="24"/>
          <w:szCs w:val="24"/>
        </w:rPr>
      </w:pPr>
      <w:r w:rsidRPr="00706E08">
        <w:rPr>
          <w:rFonts w:ascii="Book Antiqua" w:hAnsi="Book Antiqua"/>
          <w:color w:val="000000" w:themeColor="text1"/>
          <w:sz w:val="24"/>
          <w:szCs w:val="24"/>
        </w:rPr>
        <w:t>Among the parti</w:t>
      </w:r>
      <w:r w:rsidR="00D33B0F" w:rsidRPr="00706E08">
        <w:rPr>
          <w:rFonts w:ascii="Book Antiqua" w:hAnsi="Book Antiqua"/>
          <w:color w:val="000000" w:themeColor="text1"/>
          <w:sz w:val="24"/>
          <w:szCs w:val="24"/>
        </w:rPr>
        <w:t xml:space="preserve">cipants of our previous </w:t>
      </w:r>
      <w:proofErr w:type="gramStart"/>
      <w:r w:rsidR="00D33B0F" w:rsidRPr="00706E08">
        <w:rPr>
          <w:rFonts w:ascii="Book Antiqua" w:hAnsi="Book Antiqua"/>
          <w:color w:val="000000" w:themeColor="text1"/>
          <w:sz w:val="24"/>
          <w:szCs w:val="24"/>
        </w:rPr>
        <w:t>studies</w:t>
      </w:r>
      <w:r w:rsidR="00D33B0F" w:rsidRPr="00706E08">
        <w:rPr>
          <w:rFonts w:ascii="Book Antiqua" w:hAnsi="Book Antiqua"/>
          <w:noProof/>
          <w:color w:val="000000" w:themeColor="text1"/>
          <w:sz w:val="24"/>
          <w:szCs w:val="24"/>
          <w:vertAlign w:val="superscript"/>
        </w:rPr>
        <w:t>[</w:t>
      </w:r>
      <w:proofErr w:type="gramEnd"/>
      <w:r w:rsidR="00D33B0F" w:rsidRPr="00706E08">
        <w:rPr>
          <w:rFonts w:ascii="Book Antiqua" w:hAnsi="Book Antiqua"/>
          <w:noProof/>
          <w:color w:val="000000" w:themeColor="text1"/>
          <w:sz w:val="24"/>
          <w:szCs w:val="24"/>
          <w:vertAlign w:val="superscript"/>
        </w:rPr>
        <w:t>10,</w:t>
      </w:r>
      <w:r w:rsidRPr="00706E08">
        <w:rPr>
          <w:rFonts w:ascii="Book Antiqua" w:hAnsi="Book Antiqua"/>
          <w:noProof/>
          <w:color w:val="000000" w:themeColor="text1"/>
          <w:sz w:val="24"/>
          <w:szCs w:val="24"/>
          <w:vertAlign w:val="superscript"/>
        </w:rPr>
        <w:t>1</w:t>
      </w:r>
      <w:r w:rsidR="00A8414C" w:rsidRPr="00706E08">
        <w:rPr>
          <w:rFonts w:ascii="Book Antiqua" w:hAnsi="Book Antiqua"/>
          <w:noProof/>
          <w:color w:val="000000" w:themeColor="text1"/>
          <w:sz w:val="24"/>
          <w:szCs w:val="24"/>
          <w:vertAlign w:val="superscript"/>
        </w:rPr>
        <w:t>6</w:t>
      </w:r>
      <w:r w:rsidR="00D33B0F" w:rsidRPr="00706E08">
        <w:rPr>
          <w:rFonts w:ascii="Book Antiqua" w:hAnsi="Book Antiqua"/>
          <w:noProof/>
          <w:color w:val="000000" w:themeColor="text1"/>
          <w:sz w:val="24"/>
          <w:szCs w:val="24"/>
          <w:vertAlign w:val="superscript"/>
        </w:rPr>
        <w:t>,</w:t>
      </w:r>
      <w:r w:rsidRPr="00706E08">
        <w:rPr>
          <w:rFonts w:ascii="Book Antiqua" w:hAnsi="Book Antiqua"/>
          <w:noProof/>
          <w:color w:val="000000" w:themeColor="text1"/>
          <w:sz w:val="24"/>
          <w:szCs w:val="24"/>
          <w:vertAlign w:val="superscript"/>
        </w:rPr>
        <w:t>1</w:t>
      </w:r>
      <w:r w:rsidR="00A8414C" w:rsidRPr="00706E08">
        <w:rPr>
          <w:rFonts w:ascii="Book Antiqua" w:hAnsi="Book Antiqua"/>
          <w:noProof/>
          <w:color w:val="000000" w:themeColor="text1"/>
          <w:sz w:val="24"/>
          <w:szCs w:val="24"/>
          <w:vertAlign w:val="superscript"/>
        </w:rPr>
        <w:t>7</w:t>
      </w:r>
      <w:r w:rsidRPr="00706E08">
        <w:rPr>
          <w:rFonts w:ascii="Book Antiqua" w:hAnsi="Book Antiqua"/>
          <w:noProof/>
          <w:color w:val="000000" w:themeColor="text1"/>
          <w:sz w:val="24"/>
          <w:szCs w:val="24"/>
          <w:vertAlign w:val="superscript"/>
        </w:rPr>
        <w:t>]</w:t>
      </w:r>
      <w:r w:rsidRPr="00706E08">
        <w:rPr>
          <w:rFonts w:ascii="Book Antiqua" w:hAnsi="Book Antiqua"/>
          <w:color w:val="000000" w:themeColor="text1"/>
          <w:sz w:val="24"/>
          <w:szCs w:val="24"/>
        </w:rPr>
        <w:t xml:space="preserve"> and the patients diagnosed as CEAS or CD at Kyushu University hospital, we enrolled 20</w:t>
      </w:r>
      <w:r w:rsidRPr="00706E08">
        <w:rPr>
          <w:rFonts w:ascii="Book Antiqua" w:hAnsi="Book Antiqua"/>
          <w:b/>
          <w:color w:val="000000" w:themeColor="text1"/>
          <w:sz w:val="24"/>
          <w:szCs w:val="24"/>
        </w:rPr>
        <w:t xml:space="preserve"> </w:t>
      </w:r>
      <w:r w:rsidRPr="00706E08">
        <w:rPr>
          <w:rFonts w:ascii="Book Antiqua" w:hAnsi="Book Antiqua"/>
          <w:color w:val="000000" w:themeColor="text1"/>
          <w:sz w:val="24"/>
          <w:szCs w:val="24"/>
        </w:rPr>
        <w:t>Japanese patients with CEAS and 98 patients with CD for the present investigation. A diagnosis of CEAS was confirmed based</w:t>
      </w:r>
      <w:r w:rsidR="00D33B0F" w:rsidRPr="00706E08">
        <w:rPr>
          <w:rFonts w:ascii="Book Antiqua" w:hAnsi="Book Antiqua"/>
          <w:color w:val="000000" w:themeColor="text1"/>
          <w:sz w:val="24"/>
          <w:szCs w:val="24"/>
        </w:rPr>
        <w:t xml:space="preserve"> on published clinical </w:t>
      </w:r>
      <w:proofErr w:type="gramStart"/>
      <w:r w:rsidR="00D33B0F" w:rsidRPr="00706E08">
        <w:rPr>
          <w:rFonts w:ascii="Book Antiqua" w:hAnsi="Book Antiqua"/>
          <w:color w:val="000000" w:themeColor="text1"/>
          <w:sz w:val="24"/>
          <w:szCs w:val="24"/>
        </w:rPr>
        <w:t>criteria</w:t>
      </w:r>
      <w:r w:rsidRPr="00706E08">
        <w:rPr>
          <w:rFonts w:ascii="Book Antiqua" w:hAnsi="Book Antiqua"/>
          <w:noProof/>
          <w:color w:val="000000" w:themeColor="text1"/>
          <w:sz w:val="24"/>
          <w:szCs w:val="24"/>
          <w:vertAlign w:val="superscript"/>
        </w:rPr>
        <w:t>[</w:t>
      </w:r>
      <w:proofErr w:type="gramEnd"/>
      <w:r w:rsidRPr="00706E08">
        <w:rPr>
          <w:rFonts w:ascii="Book Antiqua" w:hAnsi="Book Antiqua"/>
          <w:noProof/>
          <w:color w:val="000000" w:themeColor="text1"/>
          <w:sz w:val="24"/>
          <w:szCs w:val="24"/>
          <w:vertAlign w:val="superscript"/>
        </w:rPr>
        <w:t>1</w:t>
      </w:r>
      <w:r w:rsidR="00A8414C" w:rsidRPr="00706E08">
        <w:rPr>
          <w:rFonts w:ascii="Book Antiqua" w:hAnsi="Book Antiqua"/>
          <w:noProof/>
          <w:color w:val="000000" w:themeColor="text1"/>
          <w:sz w:val="24"/>
          <w:szCs w:val="24"/>
          <w:vertAlign w:val="superscript"/>
        </w:rPr>
        <w:t>8</w:t>
      </w:r>
      <w:r w:rsidR="00D33B0F" w:rsidRPr="00706E08">
        <w:rPr>
          <w:rFonts w:ascii="Book Antiqua" w:hAnsi="Book Antiqua"/>
          <w:noProof/>
          <w:color w:val="000000" w:themeColor="text1"/>
          <w:sz w:val="24"/>
          <w:szCs w:val="24"/>
          <w:vertAlign w:val="superscript"/>
        </w:rPr>
        <w:t>,</w:t>
      </w:r>
      <w:r w:rsidRPr="00706E08">
        <w:rPr>
          <w:rFonts w:ascii="Book Antiqua" w:hAnsi="Book Antiqua"/>
          <w:noProof/>
          <w:color w:val="000000" w:themeColor="text1"/>
          <w:sz w:val="24"/>
          <w:szCs w:val="24"/>
          <w:vertAlign w:val="superscript"/>
        </w:rPr>
        <w:t>1</w:t>
      </w:r>
      <w:r w:rsidR="00A8414C" w:rsidRPr="00706E08">
        <w:rPr>
          <w:rFonts w:ascii="Book Antiqua" w:hAnsi="Book Antiqua"/>
          <w:noProof/>
          <w:color w:val="000000" w:themeColor="text1"/>
          <w:sz w:val="24"/>
          <w:szCs w:val="24"/>
          <w:vertAlign w:val="superscript"/>
        </w:rPr>
        <w:t>9</w:t>
      </w:r>
      <w:r w:rsidRPr="00706E08">
        <w:rPr>
          <w:rFonts w:ascii="Book Antiqua" w:hAnsi="Book Antiqua"/>
          <w:noProof/>
          <w:color w:val="000000" w:themeColor="text1"/>
          <w:sz w:val="24"/>
          <w:szCs w:val="24"/>
          <w:vertAlign w:val="superscript"/>
        </w:rPr>
        <w:t>]</w:t>
      </w:r>
      <w:r w:rsidRPr="00706E08">
        <w:rPr>
          <w:rFonts w:ascii="Book Antiqua" w:hAnsi="Book Antiqua"/>
          <w:color w:val="000000" w:themeColor="text1"/>
          <w:sz w:val="24"/>
          <w:szCs w:val="24"/>
        </w:rPr>
        <w:t xml:space="preserve"> with genetic analysis (Supplementary Table 1). The diagnosis of CD was based on the Japanese </w:t>
      </w:r>
      <w:r w:rsidR="00D33B0F" w:rsidRPr="00706E08">
        <w:rPr>
          <w:rFonts w:ascii="Book Antiqua" w:hAnsi="Book Antiqua"/>
          <w:color w:val="000000" w:themeColor="text1"/>
          <w:sz w:val="24"/>
          <w:szCs w:val="24"/>
        </w:rPr>
        <w:t xml:space="preserve">diagnostic criteria for </w:t>
      </w:r>
      <w:proofErr w:type="gramStart"/>
      <w:r w:rsidR="00D33B0F" w:rsidRPr="00706E08">
        <w:rPr>
          <w:rFonts w:ascii="Book Antiqua" w:hAnsi="Book Antiqua"/>
          <w:color w:val="000000" w:themeColor="text1"/>
          <w:sz w:val="24"/>
          <w:szCs w:val="24"/>
        </w:rPr>
        <w:t>CD</w:t>
      </w:r>
      <w:r w:rsidRPr="00706E08">
        <w:rPr>
          <w:rFonts w:ascii="Book Antiqua" w:hAnsi="Book Antiqua"/>
          <w:noProof/>
          <w:color w:val="000000" w:themeColor="text1"/>
          <w:sz w:val="24"/>
          <w:szCs w:val="24"/>
          <w:vertAlign w:val="superscript"/>
        </w:rPr>
        <w:t>[</w:t>
      </w:r>
      <w:proofErr w:type="gramEnd"/>
      <w:r w:rsidR="00A8414C" w:rsidRPr="00706E08">
        <w:rPr>
          <w:rFonts w:ascii="Book Antiqua" w:hAnsi="Book Antiqua"/>
          <w:noProof/>
          <w:color w:val="000000" w:themeColor="text1"/>
          <w:sz w:val="24"/>
          <w:szCs w:val="24"/>
          <w:vertAlign w:val="superscript"/>
        </w:rPr>
        <w:t>20</w:t>
      </w:r>
      <w:r w:rsidRPr="00706E08">
        <w:rPr>
          <w:rFonts w:ascii="Book Antiqua" w:hAnsi="Book Antiqua"/>
          <w:noProof/>
          <w:color w:val="000000" w:themeColor="text1"/>
          <w:sz w:val="24"/>
          <w:szCs w:val="24"/>
          <w:vertAlign w:val="superscript"/>
        </w:rPr>
        <w:t>]</w:t>
      </w:r>
      <w:r w:rsidRPr="00706E08">
        <w:rPr>
          <w:rFonts w:ascii="Book Antiqua" w:hAnsi="Book Antiqua"/>
          <w:color w:val="000000" w:themeColor="text1"/>
          <w:sz w:val="24"/>
          <w:szCs w:val="24"/>
        </w:rPr>
        <w:t>. No patients were administrated prostaglandin analogues or NSAIDs at the time of urine sample collection. All urine and blood samples were collected after obtaining written informed consent. This study was approved by the institutional review board at each collecting site in accordance with the Declaration of Helsinki Principles.</w:t>
      </w:r>
    </w:p>
    <w:p w14:paraId="182AA32C" w14:textId="77777777" w:rsidR="00D33B0F" w:rsidRPr="00706E08" w:rsidRDefault="00D33B0F" w:rsidP="000B52DE">
      <w:pPr>
        <w:spacing w:line="360" w:lineRule="auto"/>
        <w:jc w:val="both"/>
        <w:rPr>
          <w:rFonts w:ascii="Book Antiqua" w:eastAsia="等线" w:hAnsi="Book Antiqua"/>
          <w:i/>
          <w:color w:val="000000" w:themeColor="text1"/>
          <w:sz w:val="24"/>
          <w:szCs w:val="24"/>
          <w:lang w:eastAsia="zh-CN"/>
        </w:rPr>
      </w:pPr>
    </w:p>
    <w:p w14:paraId="7C33D70F" w14:textId="77777777" w:rsidR="000C7C53" w:rsidRPr="00706E08" w:rsidRDefault="000C7C53" w:rsidP="000B52DE">
      <w:pPr>
        <w:spacing w:line="360" w:lineRule="auto"/>
        <w:jc w:val="both"/>
        <w:rPr>
          <w:rFonts w:ascii="Book Antiqua" w:hAnsi="Book Antiqua"/>
          <w:b/>
          <w:i/>
          <w:color w:val="000000" w:themeColor="text1"/>
          <w:sz w:val="24"/>
          <w:szCs w:val="24"/>
        </w:rPr>
      </w:pPr>
      <w:r w:rsidRPr="00706E08">
        <w:rPr>
          <w:rFonts w:ascii="Book Antiqua" w:hAnsi="Book Antiqua"/>
          <w:b/>
          <w:i/>
          <w:color w:val="000000" w:themeColor="text1"/>
          <w:sz w:val="24"/>
          <w:szCs w:val="24"/>
        </w:rPr>
        <w:t xml:space="preserve">Clinical characteristics </w:t>
      </w:r>
    </w:p>
    <w:p w14:paraId="6BCE4EF6" w14:textId="7533AA6B" w:rsidR="000C7C53" w:rsidRPr="00706E08" w:rsidRDefault="000C7C53" w:rsidP="00D33B0F">
      <w:pPr>
        <w:spacing w:line="360" w:lineRule="auto"/>
        <w:jc w:val="both"/>
        <w:rPr>
          <w:rFonts w:ascii="Book Antiqua" w:hAnsi="Book Antiqua"/>
          <w:color w:val="000000" w:themeColor="text1"/>
          <w:sz w:val="24"/>
          <w:szCs w:val="24"/>
        </w:rPr>
      </w:pPr>
      <w:r w:rsidRPr="00706E08">
        <w:rPr>
          <w:rFonts w:ascii="Book Antiqua" w:hAnsi="Book Antiqua"/>
          <w:color w:val="000000" w:themeColor="text1"/>
          <w:sz w:val="24"/>
          <w:szCs w:val="24"/>
        </w:rPr>
        <w:t xml:space="preserve">Clinical information including age, gender, history of surgery, concomitant drugs, serum </w:t>
      </w:r>
      <w:r w:rsidR="00D33B0F" w:rsidRPr="00706E08">
        <w:rPr>
          <w:rFonts w:ascii="Book Antiqua" w:hAnsi="Book Antiqua"/>
          <w:color w:val="000000" w:themeColor="text1"/>
          <w:sz w:val="24"/>
          <w:szCs w:val="24"/>
          <w:lang w:eastAsia="zh-CN"/>
        </w:rPr>
        <w:t>C reactive protein (</w:t>
      </w:r>
      <w:r w:rsidRPr="00706E08">
        <w:rPr>
          <w:rFonts w:ascii="Book Antiqua" w:hAnsi="Book Antiqua"/>
          <w:color w:val="000000" w:themeColor="text1"/>
          <w:sz w:val="24"/>
          <w:szCs w:val="24"/>
        </w:rPr>
        <w:t>CRP</w:t>
      </w:r>
      <w:r w:rsidR="00D33B0F" w:rsidRPr="00706E08">
        <w:rPr>
          <w:rFonts w:ascii="Book Antiqua" w:hAnsi="Book Antiqua"/>
          <w:color w:val="000000" w:themeColor="text1"/>
          <w:sz w:val="24"/>
          <w:szCs w:val="24"/>
          <w:lang w:eastAsia="zh-CN"/>
        </w:rPr>
        <w:t>)</w:t>
      </w:r>
      <w:r w:rsidRPr="00706E08">
        <w:rPr>
          <w:rFonts w:ascii="Book Antiqua" w:hAnsi="Book Antiqua"/>
          <w:color w:val="000000" w:themeColor="text1"/>
          <w:sz w:val="24"/>
          <w:szCs w:val="24"/>
        </w:rPr>
        <w:t xml:space="preserve"> levels, disease location, and disease duration was collected from each participating institution. Because the PGE2 metabolite concentration was reported to increase in cases of thiazide-induced </w:t>
      </w:r>
      <w:proofErr w:type="gramStart"/>
      <w:r w:rsidRPr="00706E08">
        <w:rPr>
          <w:rFonts w:ascii="Book Antiqua" w:hAnsi="Book Antiqua"/>
          <w:color w:val="000000" w:themeColor="text1"/>
          <w:sz w:val="24"/>
          <w:szCs w:val="24"/>
        </w:rPr>
        <w:t>hyponatremia</w:t>
      </w:r>
      <w:r w:rsidRPr="00706E08">
        <w:rPr>
          <w:rFonts w:ascii="Book Antiqua" w:hAnsi="Book Antiqua"/>
          <w:noProof/>
          <w:color w:val="000000" w:themeColor="text1"/>
          <w:sz w:val="24"/>
          <w:szCs w:val="24"/>
          <w:vertAlign w:val="superscript"/>
        </w:rPr>
        <w:t>[</w:t>
      </w:r>
      <w:proofErr w:type="gramEnd"/>
      <w:r w:rsidRPr="00706E08">
        <w:rPr>
          <w:rFonts w:ascii="Book Antiqua" w:hAnsi="Book Antiqua"/>
          <w:noProof/>
          <w:color w:val="000000" w:themeColor="text1"/>
          <w:sz w:val="24"/>
          <w:szCs w:val="24"/>
          <w:vertAlign w:val="superscript"/>
        </w:rPr>
        <w:t>2</w:t>
      </w:r>
      <w:r w:rsidR="00A8414C" w:rsidRPr="00706E08">
        <w:rPr>
          <w:rFonts w:ascii="Book Antiqua" w:hAnsi="Book Antiqua"/>
          <w:noProof/>
          <w:color w:val="000000" w:themeColor="text1"/>
          <w:sz w:val="24"/>
          <w:szCs w:val="24"/>
          <w:vertAlign w:val="superscript"/>
        </w:rPr>
        <w:t>1</w:t>
      </w:r>
      <w:r w:rsidRPr="00706E08">
        <w:rPr>
          <w:rFonts w:ascii="Book Antiqua" w:hAnsi="Book Antiqua"/>
          <w:noProof/>
          <w:color w:val="000000" w:themeColor="text1"/>
          <w:sz w:val="24"/>
          <w:szCs w:val="24"/>
          <w:vertAlign w:val="superscript"/>
        </w:rPr>
        <w:t>]</w:t>
      </w:r>
      <w:r w:rsidRPr="00706E08">
        <w:rPr>
          <w:rFonts w:ascii="Book Antiqua" w:hAnsi="Book Antiqua"/>
          <w:color w:val="000000" w:themeColor="text1"/>
          <w:sz w:val="24"/>
          <w:szCs w:val="24"/>
        </w:rPr>
        <w:t xml:space="preserve"> </w:t>
      </w:r>
      <w:r w:rsidRPr="00706E08">
        <w:rPr>
          <w:rFonts w:ascii="Book Antiqua" w:hAnsi="Book Antiqua"/>
          <w:color w:val="000000" w:themeColor="text1"/>
          <w:sz w:val="24"/>
          <w:szCs w:val="24"/>
        </w:rPr>
        <w:lastRenderedPageBreak/>
        <w:t>and la</w:t>
      </w:r>
      <w:r w:rsidR="00D33B0F" w:rsidRPr="00706E08">
        <w:rPr>
          <w:rFonts w:ascii="Book Antiqua" w:hAnsi="Book Antiqua"/>
          <w:color w:val="000000" w:themeColor="text1"/>
          <w:sz w:val="24"/>
          <w:szCs w:val="24"/>
        </w:rPr>
        <w:t>xative sennoside administration</w:t>
      </w:r>
      <w:r w:rsidRPr="00706E08">
        <w:rPr>
          <w:rFonts w:ascii="Book Antiqua" w:hAnsi="Book Antiqua"/>
          <w:noProof/>
          <w:color w:val="000000" w:themeColor="text1"/>
          <w:sz w:val="24"/>
          <w:szCs w:val="24"/>
          <w:vertAlign w:val="superscript"/>
        </w:rPr>
        <w:t>[2</w:t>
      </w:r>
      <w:r w:rsidR="00A8414C" w:rsidRPr="00706E08">
        <w:rPr>
          <w:rFonts w:ascii="Book Antiqua" w:hAnsi="Book Antiqua"/>
          <w:noProof/>
          <w:color w:val="000000" w:themeColor="text1"/>
          <w:sz w:val="24"/>
          <w:szCs w:val="24"/>
          <w:vertAlign w:val="superscript"/>
        </w:rPr>
        <w:t>2</w:t>
      </w:r>
      <w:r w:rsidRPr="00706E08">
        <w:rPr>
          <w:rFonts w:ascii="Book Antiqua" w:hAnsi="Book Antiqua"/>
          <w:noProof/>
          <w:color w:val="000000" w:themeColor="text1"/>
          <w:sz w:val="24"/>
          <w:szCs w:val="24"/>
          <w:vertAlign w:val="superscript"/>
        </w:rPr>
        <w:t>]</w:t>
      </w:r>
      <w:r w:rsidRPr="00706E08">
        <w:rPr>
          <w:rFonts w:ascii="Book Antiqua" w:hAnsi="Book Antiqua"/>
          <w:color w:val="000000" w:themeColor="text1"/>
          <w:sz w:val="24"/>
          <w:szCs w:val="24"/>
        </w:rPr>
        <w:t>, we collected information about the use of these medications. Because the PGE-MUM concentration was reported to be influenced by age, gender, smoking habit, and pulmonary inflammatory conditions including chronic f</w:t>
      </w:r>
      <w:r w:rsidR="00D33B0F" w:rsidRPr="00706E08">
        <w:rPr>
          <w:rFonts w:ascii="Book Antiqua" w:hAnsi="Book Antiqua"/>
          <w:color w:val="000000" w:themeColor="text1"/>
          <w:sz w:val="24"/>
          <w:szCs w:val="24"/>
        </w:rPr>
        <w:t xml:space="preserve">ibrosing interstitial </w:t>
      </w:r>
      <w:proofErr w:type="gramStart"/>
      <w:r w:rsidR="00D33B0F" w:rsidRPr="00706E08">
        <w:rPr>
          <w:rFonts w:ascii="Book Antiqua" w:hAnsi="Book Antiqua"/>
          <w:color w:val="000000" w:themeColor="text1"/>
          <w:sz w:val="24"/>
          <w:szCs w:val="24"/>
        </w:rPr>
        <w:t>pneumonia</w:t>
      </w:r>
      <w:r w:rsidRPr="00706E08">
        <w:rPr>
          <w:rFonts w:ascii="Book Antiqua" w:hAnsi="Book Antiqua"/>
          <w:noProof/>
          <w:color w:val="000000" w:themeColor="text1"/>
          <w:sz w:val="24"/>
          <w:szCs w:val="24"/>
          <w:vertAlign w:val="superscript"/>
        </w:rPr>
        <w:t>[</w:t>
      </w:r>
      <w:proofErr w:type="gramEnd"/>
      <w:r w:rsidR="00A8414C" w:rsidRPr="00706E08">
        <w:rPr>
          <w:rFonts w:ascii="Book Antiqua" w:hAnsi="Book Antiqua"/>
          <w:noProof/>
          <w:color w:val="000000" w:themeColor="text1"/>
          <w:sz w:val="24"/>
          <w:szCs w:val="24"/>
          <w:vertAlign w:val="superscript"/>
        </w:rPr>
        <w:t>15</w:t>
      </w:r>
      <w:r w:rsidR="00D33B0F" w:rsidRPr="00706E08">
        <w:rPr>
          <w:rFonts w:ascii="Book Antiqua" w:hAnsi="Book Antiqua"/>
          <w:noProof/>
          <w:color w:val="000000" w:themeColor="text1"/>
          <w:sz w:val="24"/>
          <w:szCs w:val="24"/>
          <w:vertAlign w:val="superscript"/>
        </w:rPr>
        <w:t>,</w:t>
      </w:r>
      <w:r w:rsidRPr="00706E08">
        <w:rPr>
          <w:rFonts w:ascii="Book Antiqua" w:hAnsi="Book Antiqua"/>
          <w:noProof/>
          <w:color w:val="000000" w:themeColor="text1"/>
          <w:sz w:val="24"/>
          <w:szCs w:val="24"/>
          <w:vertAlign w:val="superscript"/>
        </w:rPr>
        <w:t>23]</w:t>
      </w:r>
      <w:r w:rsidRPr="00706E08">
        <w:rPr>
          <w:rFonts w:ascii="Book Antiqua" w:hAnsi="Book Antiqua"/>
          <w:color w:val="000000" w:themeColor="text1"/>
          <w:sz w:val="24"/>
          <w:szCs w:val="24"/>
        </w:rPr>
        <w:t xml:space="preserve">, we also collected information about smoking habit and pulmonary disease. Age was determined at the time of urine sample collection. Smoking habit was defined as never, current (&gt; 6 </w:t>
      </w:r>
      <w:proofErr w:type="spellStart"/>
      <w:r w:rsidRPr="00706E08">
        <w:rPr>
          <w:rFonts w:ascii="Book Antiqua" w:hAnsi="Book Antiqua"/>
          <w:color w:val="000000" w:themeColor="text1"/>
          <w:sz w:val="24"/>
          <w:szCs w:val="24"/>
        </w:rPr>
        <w:t>mo</w:t>
      </w:r>
      <w:proofErr w:type="spellEnd"/>
      <w:r w:rsidRPr="00706E08">
        <w:rPr>
          <w:rFonts w:ascii="Book Antiqua" w:hAnsi="Book Antiqua"/>
          <w:color w:val="000000" w:themeColor="text1"/>
          <w:sz w:val="24"/>
          <w:szCs w:val="24"/>
        </w:rPr>
        <w:t xml:space="preserve"> </w:t>
      </w:r>
      <w:proofErr w:type="gramStart"/>
      <w:r w:rsidRPr="00706E08">
        <w:rPr>
          <w:rFonts w:ascii="Book Antiqua" w:hAnsi="Book Antiqua"/>
          <w:color w:val="000000" w:themeColor="text1"/>
          <w:sz w:val="24"/>
          <w:szCs w:val="24"/>
        </w:rPr>
        <w:t>on a daily basis</w:t>
      </w:r>
      <w:proofErr w:type="gramEnd"/>
      <w:r w:rsidRPr="00706E08">
        <w:rPr>
          <w:rFonts w:ascii="Book Antiqua" w:hAnsi="Book Antiqua"/>
          <w:color w:val="000000" w:themeColor="text1"/>
          <w:sz w:val="24"/>
          <w:szCs w:val="24"/>
        </w:rPr>
        <w:t xml:space="preserve">), and former (cessation of smoking &gt; 6 </w:t>
      </w:r>
      <w:proofErr w:type="spellStart"/>
      <w:r w:rsidRPr="00706E08">
        <w:rPr>
          <w:rFonts w:ascii="Book Antiqua" w:hAnsi="Book Antiqua"/>
          <w:color w:val="000000" w:themeColor="text1"/>
          <w:sz w:val="24"/>
          <w:szCs w:val="24"/>
        </w:rPr>
        <w:t>mo</w:t>
      </w:r>
      <w:proofErr w:type="spellEnd"/>
      <w:r w:rsidRPr="00706E08">
        <w:rPr>
          <w:rFonts w:ascii="Book Antiqua" w:hAnsi="Book Antiqua"/>
          <w:color w:val="000000" w:themeColor="text1"/>
          <w:sz w:val="24"/>
          <w:szCs w:val="24"/>
        </w:rPr>
        <w:t>). Pulmonary diseases included chronic respiratory disease, diffuse lung disease, and any other lung or airway disease. History of surgery was defined as a history of intestinal resection at the time of study enrolment. The site of involvement was determined by radiographic and/or endoscopic findings, and these patients were categorized according</w:t>
      </w:r>
      <w:r w:rsidR="00D33B0F" w:rsidRPr="00706E08">
        <w:rPr>
          <w:rFonts w:ascii="Book Antiqua" w:hAnsi="Book Antiqua"/>
          <w:color w:val="000000" w:themeColor="text1"/>
          <w:sz w:val="24"/>
          <w:szCs w:val="24"/>
        </w:rPr>
        <w:t xml:space="preserve"> to the Montreal </w:t>
      </w:r>
      <w:proofErr w:type="gramStart"/>
      <w:r w:rsidR="00D33B0F" w:rsidRPr="00706E08">
        <w:rPr>
          <w:rFonts w:ascii="Book Antiqua" w:hAnsi="Book Antiqua"/>
          <w:color w:val="000000" w:themeColor="text1"/>
          <w:sz w:val="24"/>
          <w:szCs w:val="24"/>
        </w:rPr>
        <w:t>classification</w:t>
      </w:r>
      <w:r w:rsidRPr="00706E08">
        <w:rPr>
          <w:rFonts w:ascii="Book Antiqua" w:hAnsi="Book Antiqua"/>
          <w:noProof/>
          <w:color w:val="000000" w:themeColor="text1"/>
          <w:sz w:val="24"/>
          <w:szCs w:val="24"/>
          <w:vertAlign w:val="superscript"/>
        </w:rPr>
        <w:t>[</w:t>
      </w:r>
      <w:proofErr w:type="gramEnd"/>
      <w:r w:rsidRPr="00706E08">
        <w:rPr>
          <w:rFonts w:ascii="Book Antiqua" w:hAnsi="Book Antiqua"/>
          <w:noProof/>
          <w:color w:val="000000" w:themeColor="text1"/>
          <w:sz w:val="24"/>
          <w:szCs w:val="24"/>
          <w:vertAlign w:val="superscript"/>
        </w:rPr>
        <w:t>24]</w:t>
      </w:r>
      <w:r w:rsidRPr="00706E08">
        <w:rPr>
          <w:rFonts w:ascii="Book Antiqua" w:hAnsi="Book Antiqua"/>
          <w:color w:val="000000" w:themeColor="text1"/>
          <w:sz w:val="24"/>
          <w:szCs w:val="24"/>
        </w:rPr>
        <w:t xml:space="preserve">. Disease duration was defined as the period from the onset of symptoms until study enrolment. </w:t>
      </w:r>
    </w:p>
    <w:p w14:paraId="5A1DD470" w14:textId="77777777" w:rsidR="00D33B0F" w:rsidRPr="00706E08" w:rsidRDefault="00D33B0F" w:rsidP="000B52DE">
      <w:pPr>
        <w:spacing w:line="360" w:lineRule="auto"/>
        <w:jc w:val="both"/>
        <w:rPr>
          <w:rFonts w:ascii="Book Antiqua" w:eastAsia="等线" w:hAnsi="Book Antiqua"/>
          <w:i/>
          <w:color w:val="000000" w:themeColor="text1"/>
          <w:sz w:val="24"/>
          <w:szCs w:val="24"/>
          <w:lang w:eastAsia="zh-CN"/>
        </w:rPr>
      </w:pPr>
    </w:p>
    <w:p w14:paraId="64B81E96" w14:textId="77777777" w:rsidR="000C7C53" w:rsidRPr="00706E08" w:rsidRDefault="000C7C53" w:rsidP="000B52DE">
      <w:pPr>
        <w:spacing w:line="360" w:lineRule="auto"/>
        <w:jc w:val="both"/>
        <w:rPr>
          <w:rFonts w:ascii="Book Antiqua" w:hAnsi="Book Antiqua"/>
          <w:b/>
          <w:i/>
          <w:color w:val="000000" w:themeColor="text1"/>
          <w:sz w:val="24"/>
          <w:szCs w:val="24"/>
        </w:rPr>
      </w:pPr>
      <w:r w:rsidRPr="00706E08">
        <w:rPr>
          <w:rFonts w:ascii="Book Antiqua" w:hAnsi="Book Antiqua"/>
          <w:b/>
          <w:i/>
          <w:color w:val="000000" w:themeColor="text1"/>
          <w:sz w:val="24"/>
          <w:szCs w:val="24"/>
        </w:rPr>
        <w:t>Genetic analysis</w:t>
      </w:r>
    </w:p>
    <w:p w14:paraId="067A5E00" w14:textId="5A058582" w:rsidR="000C7C53" w:rsidRPr="00706E08" w:rsidRDefault="000C7C53" w:rsidP="00D33B0F">
      <w:pPr>
        <w:spacing w:line="360" w:lineRule="auto"/>
        <w:jc w:val="both"/>
        <w:rPr>
          <w:rFonts w:ascii="Book Antiqua" w:eastAsia="等线" w:hAnsi="Book Antiqua"/>
          <w:color w:val="000000" w:themeColor="text1"/>
          <w:sz w:val="24"/>
          <w:szCs w:val="24"/>
          <w:lang w:eastAsia="zh-CN"/>
        </w:rPr>
      </w:pPr>
      <w:r w:rsidRPr="00706E08">
        <w:rPr>
          <w:rFonts w:ascii="Book Antiqua" w:hAnsi="Book Antiqua"/>
          <w:color w:val="000000" w:themeColor="text1"/>
          <w:sz w:val="24"/>
          <w:szCs w:val="24"/>
        </w:rPr>
        <w:t>We used genomic DNA samples extracted from periphera</w:t>
      </w:r>
      <w:r w:rsidR="003461DA" w:rsidRPr="00706E08">
        <w:rPr>
          <w:rFonts w:ascii="Book Antiqua" w:hAnsi="Book Antiqua"/>
          <w:color w:val="000000" w:themeColor="text1"/>
          <w:sz w:val="24"/>
          <w:szCs w:val="24"/>
        </w:rPr>
        <w:t xml:space="preserve">l blood in our previous </w:t>
      </w:r>
      <w:proofErr w:type="gramStart"/>
      <w:r w:rsidR="003461DA" w:rsidRPr="00706E08">
        <w:rPr>
          <w:rFonts w:ascii="Book Antiqua" w:hAnsi="Book Antiqua"/>
          <w:color w:val="000000" w:themeColor="text1"/>
          <w:sz w:val="24"/>
          <w:szCs w:val="24"/>
        </w:rPr>
        <w:t>studies</w:t>
      </w:r>
      <w:r w:rsidR="003461DA" w:rsidRPr="00706E08">
        <w:rPr>
          <w:rFonts w:ascii="Book Antiqua" w:hAnsi="Book Antiqua"/>
          <w:noProof/>
          <w:color w:val="000000" w:themeColor="text1"/>
          <w:sz w:val="24"/>
          <w:szCs w:val="24"/>
          <w:vertAlign w:val="superscript"/>
        </w:rPr>
        <w:t>[</w:t>
      </w:r>
      <w:proofErr w:type="gramEnd"/>
      <w:r w:rsidR="003461DA" w:rsidRPr="00706E08">
        <w:rPr>
          <w:rFonts w:ascii="Book Antiqua" w:hAnsi="Book Antiqua"/>
          <w:noProof/>
          <w:color w:val="000000" w:themeColor="text1"/>
          <w:sz w:val="24"/>
          <w:szCs w:val="24"/>
          <w:vertAlign w:val="superscript"/>
        </w:rPr>
        <w:t>10,</w:t>
      </w:r>
      <w:r w:rsidRPr="00706E08">
        <w:rPr>
          <w:rFonts w:ascii="Book Antiqua" w:hAnsi="Book Antiqua"/>
          <w:noProof/>
          <w:color w:val="000000" w:themeColor="text1"/>
          <w:sz w:val="24"/>
          <w:szCs w:val="24"/>
          <w:vertAlign w:val="superscript"/>
        </w:rPr>
        <w:t>1</w:t>
      </w:r>
      <w:r w:rsidR="00A8414C" w:rsidRPr="00706E08">
        <w:rPr>
          <w:rFonts w:ascii="Book Antiqua" w:hAnsi="Book Antiqua"/>
          <w:noProof/>
          <w:color w:val="000000" w:themeColor="text1"/>
          <w:sz w:val="24"/>
          <w:szCs w:val="24"/>
          <w:vertAlign w:val="superscript"/>
        </w:rPr>
        <w:t>6</w:t>
      </w:r>
      <w:r w:rsidR="003461DA" w:rsidRPr="00706E08">
        <w:rPr>
          <w:rFonts w:ascii="Book Antiqua" w:hAnsi="Book Antiqua"/>
          <w:noProof/>
          <w:color w:val="000000" w:themeColor="text1"/>
          <w:sz w:val="24"/>
          <w:szCs w:val="24"/>
          <w:vertAlign w:val="superscript"/>
        </w:rPr>
        <w:t>,</w:t>
      </w:r>
      <w:r w:rsidRPr="00706E08">
        <w:rPr>
          <w:rFonts w:ascii="Book Antiqua" w:hAnsi="Book Antiqua"/>
          <w:noProof/>
          <w:color w:val="000000" w:themeColor="text1"/>
          <w:sz w:val="24"/>
          <w:szCs w:val="24"/>
          <w:vertAlign w:val="superscript"/>
        </w:rPr>
        <w:t>1</w:t>
      </w:r>
      <w:r w:rsidR="00A8414C" w:rsidRPr="00706E08">
        <w:rPr>
          <w:rFonts w:ascii="Book Antiqua" w:hAnsi="Book Antiqua"/>
          <w:noProof/>
          <w:color w:val="000000" w:themeColor="text1"/>
          <w:sz w:val="24"/>
          <w:szCs w:val="24"/>
          <w:vertAlign w:val="superscript"/>
        </w:rPr>
        <w:t>7</w:t>
      </w:r>
      <w:r w:rsidR="003461DA" w:rsidRPr="00706E08">
        <w:rPr>
          <w:rFonts w:ascii="Book Antiqua" w:hAnsi="Book Antiqua"/>
          <w:noProof/>
          <w:color w:val="000000" w:themeColor="text1"/>
          <w:sz w:val="24"/>
          <w:szCs w:val="24"/>
          <w:vertAlign w:val="superscript"/>
        </w:rPr>
        <w:t>,</w:t>
      </w:r>
      <w:r w:rsidRPr="00706E08">
        <w:rPr>
          <w:rFonts w:ascii="Book Antiqua" w:hAnsi="Book Antiqua"/>
          <w:noProof/>
          <w:color w:val="000000" w:themeColor="text1"/>
          <w:sz w:val="24"/>
          <w:szCs w:val="24"/>
          <w:vertAlign w:val="superscript"/>
        </w:rPr>
        <w:t>25]</w:t>
      </w:r>
      <w:r w:rsidRPr="00706E08">
        <w:rPr>
          <w:rFonts w:ascii="Book Antiqua" w:hAnsi="Book Antiqua"/>
          <w:color w:val="000000" w:themeColor="text1"/>
          <w:sz w:val="24"/>
          <w:szCs w:val="24"/>
        </w:rPr>
        <w:t>. In advance, we checked and confirmed that none of the patients with CD had homozygous or compound heterozygous S</w:t>
      </w:r>
      <w:r w:rsidRPr="00706E08">
        <w:rPr>
          <w:rFonts w:ascii="Book Antiqua" w:hAnsi="Book Antiqua"/>
          <w:i/>
          <w:color w:val="000000" w:themeColor="text1"/>
          <w:sz w:val="24"/>
          <w:szCs w:val="24"/>
        </w:rPr>
        <w:t xml:space="preserve">LCO2A1 </w:t>
      </w:r>
      <w:r w:rsidRPr="00706E08">
        <w:rPr>
          <w:rFonts w:ascii="Book Antiqua" w:hAnsi="Book Antiqua"/>
          <w:color w:val="000000" w:themeColor="text1"/>
          <w:sz w:val="24"/>
          <w:szCs w:val="24"/>
        </w:rPr>
        <w:t>mutations with regards to the major s</w:t>
      </w:r>
      <w:r w:rsidR="003461DA" w:rsidRPr="00706E08">
        <w:rPr>
          <w:rFonts w:ascii="Book Antiqua" w:hAnsi="Book Antiqua"/>
          <w:color w:val="000000" w:themeColor="text1"/>
          <w:sz w:val="24"/>
          <w:szCs w:val="24"/>
        </w:rPr>
        <w:t>ix sites in our previous report</w:t>
      </w:r>
      <w:r w:rsidRPr="00706E08">
        <w:rPr>
          <w:rFonts w:ascii="Book Antiqua" w:hAnsi="Book Antiqua"/>
          <w:noProof/>
          <w:color w:val="000000" w:themeColor="text1"/>
          <w:sz w:val="24"/>
          <w:szCs w:val="24"/>
          <w:vertAlign w:val="superscript"/>
        </w:rPr>
        <w:t>[10]</w:t>
      </w:r>
      <w:r w:rsidRPr="00706E08">
        <w:rPr>
          <w:rFonts w:ascii="Book Antiqua" w:hAnsi="Book Antiqua"/>
          <w:color w:val="000000" w:themeColor="text1"/>
          <w:sz w:val="24"/>
          <w:szCs w:val="24"/>
        </w:rPr>
        <w:t xml:space="preserve">, including c.421G&gt;T, c.664G&gt;A, c.940+1G&gt;A, c.1372G&gt;T, c.1461+1G&gt;C, and c.1807C&gt;T. The diagnosis of CEAS was confirmed with 90.2% sensitivity by genotyping these 6 mutations </w:t>
      </w:r>
      <w:proofErr w:type="gramStart"/>
      <w:r w:rsidRPr="00706E08">
        <w:rPr>
          <w:rFonts w:ascii="Book Antiqua" w:hAnsi="Book Antiqua"/>
          <w:color w:val="000000" w:themeColor="text1"/>
          <w:sz w:val="24"/>
          <w:szCs w:val="24"/>
        </w:rPr>
        <w:t>on the basis of</w:t>
      </w:r>
      <w:proofErr w:type="gramEnd"/>
      <w:r w:rsidRPr="00706E08">
        <w:rPr>
          <w:rFonts w:ascii="Book Antiqua" w:hAnsi="Book Antiqua"/>
          <w:color w:val="000000" w:themeColor="text1"/>
          <w:sz w:val="24"/>
          <w:szCs w:val="24"/>
        </w:rPr>
        <w:t xml:space="preserve"> our previous investigation. </w:t>
      </w:r>
    </w:p>
    <w:p w14:paraId="541A6A3F" w14:textId="77777777" w:rsidR="003461DA" w:rsidRPr="00706E08" w:rsidRDefault="003461DA" w:rsidP="00D33B0F">
      <w:pPr>
        <w:spacing w:line="360" w:lineRule="auto"/>
        <w:jc w:val="both"/>
        <w:rPr>
          <w:rFonts w:ascii="Book Antiqua" w:eastAsia="等线" w:hAnsi="Book Antiqua"/>
          <w:color w:val="000000" w:themeColor="text1"/>
          <w:sz w:val="24"/>
          <w:szCs w:val="24"/>
          <w:lang w:eastAsia="zh-CN"/>
        </w:rPr>
      </w:pPr>
    </w:p>
    <w:p w14:paraId="1F74E2FE" w14:textId="77777777" w:rsidR="000C7C53" w:rsidRPr="00706E08" w:rsidRDefault="000C7C53" w:rsidP="000B52DE">
      <w:pPr>
        <w:spacing w:line="360" w:lineRule="auto"/>
        <w:jc w:val="both"/>
        <w:rPr>
          <w:rFonts w:ascii="Book Antiqua" w:hAnsi="Book Antiqua"/>
          <w:b/>
          <w:i/>
          <w:color w:val="000000" w:themeColor="text1"/>
          <w:sz w:val="24"/>
          <w:szCs w:val="24"/>
        </w:rPr>
      </w:pPr>
      <w:r w:rsidRPr="00706E08">
        <w:rPr>
          <w:rFonts w:ascii="Book Antiqua" w:hAnsi="Book Antiqua"/>
          <w:b/>
          <w:i/>
          <w:color w:val="000000" w:themeColor="text1"/>
          <w:sz w:val="24"/>
          <w:szCs w:val="24"/>
        </w:rPr>
        <w:t>Measurement of prostaglandin E major urinary metabolite concentrations</w:t>
      </w:r>
    </w:p>
    <w:p w14:paraId="6234FE91" w14:textId="33A7238A" w:rsidR="000C7C53" w:rsidRPr="00706E08" w:rsidRDefault="000C7C53" w:rsidP="003461DA">
      <w:pPr>
        <w:spacing w:line="360" w:lineRule="auto"/>
        <w:jc w:val="both"/>
        <w:rPr>
          <w:rFonts w:ascii="Book Antiqua" w:hAnsi="Book Antiqua"/>
          <w:color w:val="000000" w:themeColor="text1"/>
          <w:sz w:val="24"/>
          <w:szCs w:val="24"/>
        </w:rPr>
      </w:pPr>
      <w:r w:rsidRPr="00706E08">
        <w:rPr>
          <w:rFonts w:ascii="Book Antiqua" w:hAnsi="Book Antiqua"/>
          <w:color w:val="000000" w:themeColor="text1"/>
          <w:sz w:val="24"/>
          <w:szCs w:val="24"/>
        </w:rPr>
        <w:t xml:space="preserve">All PGE-MUM concentrations were measured at SRL Inc. (Tokyo, Japan) by using a bicyclic PGE-MUM radioimmunoassay kit (Institute of Isotopes Co., Ltd. Budapest, Hungary). </w:t>
      </w:r>
      <w:r w:rsidR="00D13F72" w:rsidRPr="00706E08">
        <w:rPr>
          <w:rFonts w:ascii="Book Antiqua" w:hAnsi="Book Antiqua"/>
          <w:color w:val="000000" w:themeColor="text1"/>
          <w:sz w:val="24"/>
          <w:szCs w:val="24"/>
        </w:rPr>
        <w:t xml:space="preserve">PGE-MUM, 7α-hydroxy-5, 11-diketotetranorprosta-1, 16-dioic acid </w:t>
      </w:r>
      <w:r w:rsidR="00D13F72" w:rsidRPr="00706E08">
        <w:rPr>
          <w:rFonts w:ascii="Book Antiqua" w:hAnsi="Book Antiqua"/>
          <w:color w:val="000000" w:themeColor="text1"/>
          <w:sz w:val="24"/>
          <w:szCs w:val="24"/>
        </w:rPr>
        <w:lastRenderedPageBreak/>
        <w:t xml:space="preserve">derived from PGE1 and PGE2 can be transformed to bicyclic PGE-MUM by alkali treatment. </w:t>
      </w:r>
      <w:r w:rsidRPr="00706E08">
        <w:rPr>
          <w:rFonts w:ascii="Book Antiqua" w:hAnsi="Book Antiqua"/>
          <w:color w:val="000000" w:themeColor="text1"/>
          <w:sz w:val="24"/>
          <w:szCs w:val="24"/>
        </w:rPr>
        <w:t>Each urine sample was collected and submitted individually according to the manufacturer’s protocol</w:t>
      </w:r>
      <w:r w:rsidR="00D13F72" w:rsidRPr="00706E08">
        <w:rPr>
          <w:rFonts w:ascii="Book Antiqua" w:hAnsi="Book Antiqua"/>
          <w:color w:val="000000" w:themeColor="text1"/>
          <w:sz w:val="24"/>
          <w:szCs w:val="24"/>
        </w:rPr>
        <w:t xml:space="preserve"> described by </w:t>
      </w:r>
      <w:r w:rsidR="003461DA" w:rsidRPr="00706E08">
        <w:rPr>
          <w:rFonts w:ascii="Book Antiqua" w:hAnsi="Book Antiqua"/>
          <w:color w:val="000000" w:themeColor="text1"/>
          <w:sz w:val="24"/>
          <w:szCs w:val="24"/>
        </w:rPr>
        <w:t xml:space="preserve">Fujiwara </w:t>
      </w:r>
      <w:r w:rsidR="003461DA" w:rsidRPr="00706E08">
        <w:rPr>
          <w:rFonts w:ascii="Book Antiqua" w:hAnsi="Book Antiqua"/>
          <w:i/>
          <w:color w:val="000000" w:themeColor="text1"/>
          <w:sz w:val="24"/>
          <w:szCs w:val="24"/>
        </w:rPr>
        <w:t xml:space="preserve">et </w:t>
      </w:r>
      <w:proofErr w:type="gramStart"/>
      <w:r w:rsidR="003461DA" w:rsidRPr="00706E08">
        <w:rPr>
          <w:rFonts w:ascii="Book Antiqua" w:hAnsi="Book Antiqua"/>
          <w:i/>
          <w:color w:val="000000" w:themeColor="text1"/>
          <w:sz w:val="24"/>
          <w:szCs w:val="24"/>
        </w:rPr>
        <w:t>al</w:t>
      </w:r>
      <w:r w:rsidR="00D13F72" w:rsidRPr="00706E08">
        <w:rPr>
          <w:rFonts w:ascii="Book Antiqua" w:hAnsi="Book Antiqua"/>
          <w:color w:val="000000" w:themeColor="text1"/>
          <w:sz w:val="24"/>
          <w:szCs w:val="24"/>
          <w:vertAlign w:val="superscript"/>
        </w:rPr>
        <w:t>[</w:t>
      </w:r>
      <w:proofErr w:type="gramEnd"/>
      <w:r w:rsidR="00D13F72" w:rsidRPr="00706E08">
        <w:rPr>
          <w:rFonts w:ascii="Book Antiqua" w:hAnsi="Book Antiqua"/>
          <w:color w:val="000000" w:themeColor="text1"/>
          <w:sz w:val="24"/>
          <w:szCs w:val="24"/>
          <w:vertAlign w:val="superscript"/>
        </w:rPr>
        <w:t>22]</w:t>
      </w:r>
      <w:r w:rsidR="00D13F72" w:rsidRPr="00706E08">
        <w:rPr>
          <w:rFonts w:ascii="Book Antiqua" w:hAnsi="Book Antiqua"/>
          <w:color w:val="000000" w:themeColor="text1"/>
          <w:sz w:val="24"/>
          <w:szCs w:val="24"/>
        </w:rPr>
        <w:t>.</w:t>
      </w:r>
      <w:r w:rsidRPr="00706E08">
        <w:rPr>
          <w:rFonts w:ascii="Book Antiqua" w:hAnsi="Book Antiqua"/>
          <w:color w:val="000000" w:themeColor="text1"/>
          <w:sz w:val="24"/>
          <w:szCs w:val="24"/>
        </w:rPr>
        <w:t xml:space="preserve"> The urine samples were frozen and stored at </w:t>
      </w:r>
      <w:r w:rsidR="003461DA" w:rsidRPr="00706E08">
        <w:rPr>
          <w:rFonts w:ascii="Book Antiqua" w:hAnsi="Book Antiqua"/>
          <w:color w:val="000000" w:themeColor="text1"/>
          <w:sz w:val="24"/>
          <w:szCs w:val="24"/>
          <w:lang w:eastAsia="zh-CN"/>
        </w:rPr>
        <w:t>-</w:t>
      </w:r>
      <w:r w:rsidRPr="00706E08">
        <w:rPr>
          <w:rFonts w:ascii="Book Antiqua" w:hAnsi="Book Antiqua"/>
          <w:color w:val="000000" w:themeColor="text1"/>
          <w:sz w:val="24"/>
          <w:szCs w:val="24"/>
        </w:rPr>
        <w:t>20</w:t>
      </w:r>
      <w:r w:rsidR="003461DA" w:rsidRPr="00706E08">
        <w:rPr>
          <w:rFonts w:ascii="Book Antiqua" w:hAnsi="Book Antiqua"/>
          <w:color w:val="000000" w:themeColor="text1"/>
          <w:sz w:val="24"/>
          <w:szCs w:val="24"/>
          <w:lang w:eastAsia="zh-CN"/>
        </w:rPr>
        <w:t xml:space="preserve"> </w:t>
      </w:r>
      <w:r w:rsidRPr="00706E08">
        <w:rPr>
          <w:rFonts w:ascii="Book Antiqua" w:hAnsi="Book Antiqua"/>
          <w:color w:val="000000" w:themeColor="text1"/>
          <w:sz w:val="24"/>
          <w:szCs w:val="24"/>
        </w:rPr>
        <w:t>°C</w:t>
      </w:r>
      <w:r w:rsidRPr="00706E08">
        <w:rPr>
          <w:rFonts w:ascii="Book Antiqua" w:eastAsia="MS Mincho" w:hAnsi="Book Antiqua" w:cs="MS Mincho"/>
          <w:color w:val="000000" w:themeColor="text1"/>
          <w:sz w:val="24"/>
          <w:szCs w:val="24"/>
        </w:rPr>
        <w:t xml:space="preserve"> until the assay. </w:t>
      </w:r>
      <w:r w:rsidRPr="00706E08">
        <w:rPr>
          <w:rFonts w:ascii="Book Antiqua" w:hAnsi="Book Antiqua"/>
          <w:color w:val="000000" w:themeColor="text1"/>
          <w:sz w:val="24"/>
          <w:szCs w:val="24"/>
        </w:rPr>
        <w:t xml:space="preserve">PGE-MUM </w:t>
      </w:r>
      <w:r w:rsidRPr="00706E08">
        <w:rPr>
          <w:rFonts w:ascii="Book Antiqua" w:eastAsia="MS Mincho" w:hAnsi="Book Antiqua" w:cs="MS Mincho"/>
          <w:color w:val="000000" w:themeColor="text1"/>
          <w:sz w:val="24"/>
          <w:szCs w:val="24"/>
        </w:rPr>
        <w:t>concentrations</w:t>
      </w:r>
      <w:r w:rsidRPr="00706E08">
        <w:rPr>
          <w:rFonts w:ascii="Book Antiqua" w:hAnsi="Book Antiqua"/>
          <w:color w:val="000000" w:themeColor="text1"/>
          <w:sz w:val="24"/>
          <w:szCs w:val="24"/>
        </w:rPr>
        <w:t xml:space="preserve"> were corrected by the urinary creatinine concentration. </w:t>
      </w:r>
    </w:p>
    <w:p w14:paraId="2E0B24F9" w14:textId="77777777" w:rsidR="003461DA" w:rsidRPr="00706E08" w:rsidRDefault="003461DA" w:rsidP="000B52DE">
      <w:pPr>
        <w:spacing w:line="360" w:lineRule="auto"/>
        <w:jc w:val="both"/>
        <w:rPr>
          <w:rFonts w:ascii="Book Antiqua" w:eastAsia="等线" w:hAnsi="Book Antiqua" w:cs="MS Mincho"/>
          <w:i/>
          <w:color w:val="000000" w:themeColor="text1"/>
          <w:sz w:val="24"/>
          <w:szCs w:val="24"/>
          <w:lang w:eastAsia="zh-CN"/>
        </w:rPr>
      </w:pPr>
    </w:p>
    <w:p w14:paraId="2616E7C7" w14:textId="77777777" w:rsidR="000C7C53" w:rsidRPr="00706E08" w:rsidRDefault="000C7C53" w:rsidP="000B52DE">
      <w:pPr>
        <w:spacing w:line="360" w:lineRule="auto"/>
        <w:jc w:val="both"/>
        <w:rPr>
          <w:rFonts w:ascii="Book Antiqua" w:eastAsia="MS Mincho" w:hAnsi="Book Antiqua" w:cs="MS Mincho"/>
          <w:b/>
          <w:i/>
          <w:color w:val="000000" w:themeColor="text1"/>
          <w:sz w:val="24"/>
          <w:szCs w:val="24"/>
        </w:rPr>
      </w:pPr>
      <w:r w:rsidRPr="00706E08">
        <w:rPr>
          <w:rFonts w:ascii="Book Antiqua" w:eastAsia="MS Mincho" w:hAnsi="Book Antiqua" w:cs="MS Mincho"/>
          <w:b/>
          <w:i/>
          <w:color w:val="000000" w:themeColor="text1"/>
          <w:sz w:val="24"/>
          <w:szCs w:val="24"/>
        </w:rPr>
        <w:t>Statistical analyses</w:t>
      </w:r>
    </w:p>
    <w:p w14:paraId="57C694BC" w14:textId="77777777" w:rsidR="000C7C53" w:rsidRPr="00706E08" w:rsidRDefault="000C7C53" w:rsidP="003461DA">
      <w:pPr>
        <w:spacing w:line="360" w:lineRule="auto"/>
        <w:jc w:val="both"/>
        <w:rPr>
          <w:rFonts w:ascii="Book Antiqua" w:hAnsi="Book Antiqua"/>
          <w:color w:val="000000" w:themeColor="text1"/>
          <w:sz w:val="24"/>
          <w:szCs w:val="24"/>
        </w:rPr>
      </w:pPr>
      <w:r w:rsidRPr="00706E08">
        <w:rPr>
          <w:rFonts w:ascii="Book Antiqua" w:hAnsi="Book Antiqua"/>
          <w:color w:val="000000" w:themeColor="text1"/>
          <w:sz w:val="24"/>
          <w:szCs w:val="24"/>
        </w:rPr>
        <w:t xml:space="preserve">Categorical variables were expressed as the number (%) and continuous variables were expressed as the median (interquartile range). Comparison of the variables between CEAS and CD were performed using </w:t>
      </w:r>
      <w:r w:rsidRPr="00706E08">
        <w:rPr>
          <w:rFonts w:ascii="Book Antiqua" w:eastAsia="MS Mincho" w:hAnsi="Book Antiqua"/>
          <w:color w:val="000000" w:themeColor="text1"/>
          <w:sz w:val="24"/>
          <w:szCs w:val="24"/>
        </w:rPr>
        <w:t xml:space="preserve">the chi-squared test, Fisher’s exact probability test, or the Mann–Whitney </w:t>
      </w:r>
      <w:r w:rsidRPr="00706E08">
        <w:rPr>
          <w:rFonts w:ascii="Book Antiqua" w:eastAsia="MS Mincho" w:hAnsi="Book Antiqua"/>
          <w:i/>
          <w:color w:val="000000" w:themeColor="text1"/>
          <w:sz w:val="24"/>
          <w:szCs w:val="24"/>
        </w:rPr>
        <w:t>U</w:t>
      </w:r>
      <w:r w:rsidRPr="00706E08">
        <w:rPr>
          <w:rFonts w:ascii="Book Antiqua" w:eastAsia="MS Mincho" w:hAnsi="Book Antiqua"/>
          <w:color w:val="000000" w:themeColor="text1"/>
          <w:sz w:val="24"/>
          <w:szCs w:val="24"/>
        </w:rPr>
        <w:t xml:space="preserve">-test, where appropriate. </w:t>
      </w:r>
      <w:r w:rsidRPr="00706E08">
        <w:rPr>
          <w:rFonts w:ascii="Book Antiqua" w:hAnsi="Book Antiqua"/>
          <w:color w:val="000000" w:themeColor="text1"/>
          <w:sz w:val="24"/>
          <w:szCs w:val="24"/>
        </w:rPr>
        <w:t xml:space="preserve">The associations between clinical factors and the PGE-MUM concentration were estimated using univariable linear regression analyses. Because of the skewed distribution of the PGE-MUM </w:t>
      </w:r>
      <w:r w:rsidRPr="00706E08">
        <w:rPr>
          <w:rFonts w:ascii="Book Antiqua" w:eastAsia="MS Mincho" w:hAnsi="Book Antiqua" w:cs="MS Mincho"/>
          <w:color w:val="000000" w:themeColor="text1"/>
          <w:sz w:val="24"/>
          <w:szCs w:val="24"/>
        </w:rPr>
        <w:t xml:space="preserve">concentration, values were log-transformed and used for regression analysis. </w:t>
      </w:r>
    </w:p>
    <w:p w14:paraId="7844C929" w14:textId="3E158868" w:rsidR="000C7C53" w:rsidRPr="00706E08" w:rsidRDefault="000C7C53" w:rsidP="00C63635">
      <w:pPr>
        <w:spacing w:line="360" w:lineRule="auto"/>
        <w:ind w:firstLineChars="100" w:firstLine="240"/>
        <w:jc w:val="both"/>
        <w:rPr>
          <w:rFonts w:ascii="Book Antiqua" w:hAnsi="Book Antiqua"/>
          <w:color w:val="000000" w:themeColor="text1"/>
          <w:sz w:val="24"/>
          <w:szCs w:val="24"/>
        </w:rPr>
      </w:pPr>
      <w:r w:rsidRPr="00706E08">
        <w:rPr>
          <w:rFonts w:ascii="Book Antiqua" w:hAnsi="Book Antiqua"/>
          <w:color w:val="000000" w:themeColor="text1"/>
          <w:sz w:val="24"/>
          <w:szCs w:val="24"/>
        </w:rPr>
        <w:t xml:space="preserve">For the analysis of the clinical significance of PGE-MUM concentration to differentiate CEAS from CD, the logistic regression model was used to estimate the odds ratios (ORs) with 95% confidence intervals (CIs). The diagnostic accuracy of PGE-MUM concentration was evaluated using the area under the curve (AUC) with the receiver operating characteristic (ROC). The optimal cut-off value of PGE-MUM concentration for the diagnosis of CEAS was determined based on the maximum Youden Index (sensitivity + specificity </w:t>
      </w:r>
      <w:r w:rsidR="00C63635" w:rsidRPr="00706E08">
        <w:rPr>
          <w:rFonts w:ascii="Book Antiqua" w:hAnsi="Book Antiqua"/>
          <w:color w:val="000000" w:themeColor="text1"/>
          <w:sz w:val="24"/>
          <w:szCs w:val="24"/>
          <w:lang w:eastAsia="zh-CN"/>
        </w:rPr>
        <w:t>-</w:t>
      </w:r>
      <w:r w:rsidRPr="00706E08">
        <w:rPr>
          <w:rFonts w:ascii="Book Antiqua" w:hAnsi="Book Antiqua"/>
          <w:color w:val="000000" w:themeColor="text1"/>
          <w:sz w:val="24"/>
          <w:szCs w:val="24"/>
        </w:rPr>
        <w:t xml:space="preserve"> 1). In addition, sensitivity and specificity were compared using several cut-off values to confirm the diagnostic accuracy of this cut-off value. Statistical analyses were performed using JMP version 13.0 (SAS Institute, Cary, NC</w:t>
      </w:r>
      <w:r w:rsidR="00C63635" w:rsidRPr="00706E08">
        <w:rPr>
          <w:rFonts w:ascii="Book Antiqua" w:hAnsi="Book Antiqua"/>
          <w:color w:val="000000" w:themeColor="text1"/>
          <w:sz w:val="24"/>
          <w:szCs w:val="24"/>
          <w:lang w:eastAsia="zh-CN"/>
        </w:rPr>
        <w:t>, United States</w:t>
      </w:r>
      <w:r w:rsidRPr="00706E08">
        <w:rPr>
          <w:rFonts w:ascii="Book Antiqua" w:hAnsi="Book Antiqua"/>
          <w:color w:val="000000" w:themeColor="text1"/>
          <w:sz w:val="24"/>
          <w:szCs w:val="24"/>
        </w:rPr>
        <w:t xml:space="preserve">). A </w:t>
      </w:r>
      <w:r w:rsidRPr="00706E08">
        <w:rPr>
          <w:rFonts w:ascii="Book Antiqua" w:hAnsi="Book Antiqua"/>
          <w:i/>
          <w:color w:val="000000" w:themeColor="text1"/>
          <w:sz w:val="24"/>
          <w:szCs w:val="24"/>
        </w:rPr>
        <w:t>P</w:t>
      </w:r>
      <w:r w:rsidRPr="00706E08">
        <w:rPr>
          <w:rFonts w:ascii="Book Antiqua" w:hAnsi="Book Antiqua"/>
          <w:color w:val="000000" w:themeColor="text1"/>
          <w:sz w:val="24"/>
          <w:szCs w:val="24"/>
        </w:rPr>
        <w:t xml:space="preserve"> value of 0.05 or smaller was considered statistically significant. </w:t>
      </w:r>
    </w:p>
    <w:p w14:paraId="01E61412" w14:textId="77777777" w:rsidR="000C7C53" w:rsidRPr="00706E08" w:rsidRDefault="000C7C53" w:rsidP="000B52DE">
      <w:pPr>
        <w:spacing w:line="360" w:lineRule="auto"/>
        <w:jc w:val="both"/>
        <w:rPr>
          <w:rFonts w:ascii="Book Antiqua" w:hAnsi="Book Antiqua"/>
          <w:color w:val="000000" w:themeColor="text1"/>
          <w:sz w:val="24"/>
          <w:szCs w:val="24"/>
        </w:rPr>
      </w:pPr>
    </w:p>
    <w:p w14:paraId="729CB8D9" w14:textId="77777777" w:rsidR="000C7C53" w:rsidRPr="00706E08" w:rsidRDefault="000C7C53" w:rsidP="000B52DE">
      <w:pPr>
        <w:spacing w:line="360" w:lineRule="auto"/>
        <w:jc w:val="both"/>
        <w:rPr>
          <w:rFonts w:ascii="Book Antiqua" w:hAnsi="Book Antiqua"/>
          <w:b/>
          <w:color w:val="000000" w:themeColor="text1"/>
          <w:sz w:val="24"/>
          <w:szCs w:val="24"/>
        </w:rPr>
      </w:pPr>
      <w:r w:rsidRPr="00706E08">
        <w:rPr>
          <w:rFonts w:ascii="Book Antiqua" w:hAnsi="Book Antiqua"/>
          <w:b/>
          <w:color w:val="000000" w:themeColor="text1"/>
          <w:sz w:val="24"/>
          <w:szCs w:val="24"/>
        </w:rPr>
        <w:lastRenderedPageBreak/>
        <w:t>RESULTS</w:t>
      </w:r>
    </w:p>
    <w:p w14:paraId="016C5386" w14:textId="77777777" w:rsidR="000C7C53" w:rsidRPr="00706E08" w:rsidRDefault="000C7C53" w:rsidP="000B52DE">
      <w:pPr>
        <w:spacing w:line="360" w:lineRule="auto"/>
        <w:jc w:val="both"/>
        <w:rPr>
          <w:rFonts w:ascii="Book Antiqua" w:hAnsi="Book Antiqua"/>
          <w:b/>
          <w:i/>
          <w:color w:val="000000" w:themeColor="text1"/>
          <w:sz w:val="24"/>
          <w:szCs w:val="24"/>
        </w:rPr>
      </w:pPr>
      <w:r w:rsidRPr="00706E08">
        <w:rPr>
          <w:rFonts w:ascii="Book Antiqua" w:hAnsi="Book Antiqua"/>
          <w:b/>
          <w:i/>
          <w:color w:val="000000" w:themeColor="text1"/>
          <w:sz w:val="24"/>
          <w:szCs w:val="24"/>
        </w:rPr>
        <w:t>Baseline patient characteristics</w:t>
      </w:r>
    </w:p>
    <w:p w14:paraId="33CCFB72" w14:textId="77777777" w:rsidR="000C7C53" w:rsidRPr="00706E08" w:rsidRDefault="000C7C53" w:rsidP="00C63635">
      <w:pPr>
        <w:spacing w:line="360" w:lineRule="auto"/>
        <w:ind w:left="2"/>
        <w:jc w:val="both"/>
        <w:rPr>
          <w:rFonts w:ascii="Book Antiqua" w:hAnsi="Book Antiqua"/>
          <w:color w:val="000000" w:themeColor="text1"/>
          <w:sz w:val="24"/>
          <w:szCs w:val="24"/>
        </w:rPr>
      </w:pPr>
      <w:r w:rsidRPr="00706E08">
        <w:rPr>
          <w:rFonts w:ascii="Book Antiqua" w:hAnsi="Book Antiqua"/>
          <w:color w:val="000000" w:themeColor="text1"/>
          <w:sz w:val="24"/>
          <w:szCs w:val="24"/>
        </w:rPr>
        <w:t xml:space="preserve">The enrolled subjects consisted of 20 patients with CEAS (CEAS group) and 98 patients with CD (CD group). The clinical characteristics of the patients are shown in Table 1. In the CEAS group, female patients were more frequent compared with the CD group. The disease duration was significantly longer in the CEAS group than in the CD group (median 33 </w:t>
      </w:r>
      <w:r w:rsidRPr="00706E08">
        <w:rPr>
          <w:rFonts w:ascii="Book Antiqua" w:hAnsi="Book Antiqua"/>
          <w:i/>
          <w:color w:val="000000" w:themeColor="text1"/>
          <w:sz w:val="24"/>
          <w:szCs w:val="24"/>
        </w:rPr>
        <w:t>vs</w:t>
      </w:r>
      <w:r w:rsidRPr="00706E08">
        <w:rPr>
          <w:rFonts w:ascii="Book Antiqua" w:hAnsi="Book Antiqua"/>
          <w:color w:val="000000" w:themeColor="text1"/>
          <w:sz w:val="24"/>
          <w:szCs w:val="24"/>
        </w:rPr>
        <w:t xml:space="preserve"> 20 years, </w:t>
      </w:r>
      <w:r w:rsidRPr="00706E08">
        <w:rPr>
          <w:rFonts w:ascii="Book Antiqua" w:hAnsi="Book Antiqua"/>
          <w:i/>
          <w:color w:val="000000" w:themeColor="text1"/>
          <w:sz w:val="24"/>
          <w:szCs w:val="24"/>
        </w:rPr>
        <w:t>P</w:t>
      </w:r>
      <w:r w:rsidRPr="00706E08">
        <w:rPr>
          <w:rFonts w:ascii="Book Antiqua" w:hAnsi="Book Antiqua"/>
          <w:color w:val="000000" w:themeColor="text1"/>
          <w:sz w:val="24"/>
          <w:szCs w:val="24"/>
        </w:rPr>
        <w:t xml:space="preserve"> = 0.0055). There was no significant difference in smoking status or medical history of pulmonary disease. Because most patients with CD were in clinical remission at the time of urine sample collection, the CRP levels remained low in the CD group. </w:t>
      </w:r>
    </w:p>
    <w:p w14:paraId="54487774" w14:textId="77777777" w:rsidR="00D7536A" w:rsidRPr="00706E08" w:rsidRDefault="00D7536A" w:rsidP="000B52DE">
      <w:pPr>
        <w:spacing w:line="360" w:lineRule="auto"/>
        <w:jc w:val="both"/>
        <w:rPr>
          <w:rFonts w:ascii="Book Antiqua" w:eastAsia="等线" w:hAnsi="Book Antiqua"/>
          <w:i/>
          <w:color w:val="000000" w:themeColor="text1"/>
          <w:sz w:val="24"/>
          <w:szCs w:val="24"/>
          <w:lang w:eastAsia="zh-CN"/>
        </w:rPr>
      </w:pPr>
    </w:p>
    <w:p w14:paraId="59D70DFE" w14:textId="77777777" w:rsidR="000C7C53" w:rsidRPr="00706E08" w:rsidRDefault="000C7C53" w:rsidP="000B52DE">
      <w:pPr>
        <w:spacing w:line="360" w:lineRule="auto"/>
        <w:jc w:val="both"/>
        <w:rPr>
          <w:rFonts w:ascii="Book Antiqua" w:hAnsi="Book Antiqua"/>
          <w:b/>
          <w:i/>
          <w:color w:val="000000" w:themeColor="text1"/>
          <w:sz w:val="24"/>
          <w:szCs w:val="24"/>
        </w:rPr>
      </w:pPr>
      <w:r w:rsidRPr="00706E08">
        <w:rPr>
          <w:rFonts w:ascii="Book Antiqua" w:hAnsi="Book Antiqua"/>
          <w:b/>
          <w:i/>
          <w:color w:val="000000" w:themeColor="text1"/>
          <w:sz w:val="24"/>
          <w:szCs w:val="24"/>
        </w:rPr>
        <w:t>PGE-MUM concentrations</w:t>
      </w:r>
    </w:p>
    <w:p w14:paraId="2A40BCDA" w14:textId="5DF11660" w:rsidR="000C7C53" w:rsidRPr="00706E08" w:rsidRDefault="000C7C53" w:rsidP="00C431E7">
      <w:pPr>
        <w:spacing w:line="360" w:lineRule="auto"/>
        <w:jc w:val="both"/>
        <w:rPr>
          <w:rFonts w:ascii="Book Antiqua" w:hAnsi="Book Antiqua"/>
          <w:color w:val="000000" w:themeColor="text1"/>
          <w:sz w:val="24"/>
          <w:szCs w:val="24"/>
        </w:rPr>
      </w:pPr>
      <w:r w:rsidRPr="00706E08">
        <w:rPr>
          <w:rFonts w:ascii="Book Antiqua" w:hAnsi="Book Antiqua"/>
          <w:color w:val="000000" w:themeColor="text1"/>
          <w:sz w:val="24"/>
          <w:szCs w:val="24"/>
        </w:rPr>
        <w:t xml:space="preserve">Overall, 118 urinary samples were obtained from CEAS and CD patients. The PGE-MUM concentration ranged from 7.7 to 402.0 (median 34.1) </w:t>
      </w:r>
      <w:proofErr w:type="spellStart"/>
      <w:r w:rsidR="00C431E7" w:rsidRPr="00706E08">
        <w:rPr>
          <w:rFonts w:ascii="Book Antiqua" w:hAnsi="Book Antiqua"/>
          <w:color w:val="000000" w:themeColor="text1"/>
          <w:sz w:val="24"/>
          <w:szCs w:val="24"/>
        </w:rPr>
        <w:t>μ</w:t>
      </w:r>
      <w:r w:rsidRPr="00706E08">
        <w:rPr>
          <w:rFonts w:ascii="Book Antiqua" w:hAnsi="Book Antiqua"/>
          <w:color w:val="000000" w:themeColor="text1"/>
          <w:sz w:val="24"/>
          <w:szCs w:val="24"/>
        </w:rPr>
        <w:t>g</w:t>
      </w:r>
      <w:proofErr w:type="spellEnd"/>
      <w:r w:rsidRPr="00706E08">
        <w:rPr>
          <w:rFonts w:ascii="Book Antiqua" w:hAnsi="Book Antiqua"/>
          <w:color w:val="000000" w:themeColor="text1"/>
          <w:sz w:val="24"/>
          <w:szCs w:val="24"/>
        </w:rPr>
        <w:t xml:space="preserve">/g × </w:t>
      </w:r>
      <w:proofErr w:type="spellStart"/>
      <w:r w:rsidRPr="00706E08">
        <w:rPr>
          <w:rFonts w:ascii="Book Antiqua" w:eastAsia="MS Mincho" w:hAnsi="Book Antiqua" w:cs="MS Mincho"/>
          <w:color w:val="000000" w:themeColor="text1"/>
          <w:sz w:val="24"/>
          <w:szCs w:val="24"/>
        </w:rPr>
        <w:t>Cre</w:t>
      </w:r>
      <w:proofErr w:type="spellEnd"/>
      <w:r w:rsidRPr="00706E08">
        <w:rPr>
          <w:rFonts w:ascii="Book Antiqua" w:hAnsi="Book Antiqua"/>
          <w:color w:val="000000" w:themeColor="text1"/>
          <w:sz w:val="24"/>
          <w:szCs w:val="24"/>
        </w:rPr>
        <w:t>. Table 2 shows the result of univariable linear regression analysis. A positive history of pulmonary disease and history of surgery were significantly associated with a higher PGE-MUM concentration (</w:t>
      </w:r>
      <w:r w:rsidRPr="00706E08">
        <w:rPr>
          <w:rFonts w:ascii="Book Antiqua" w:hAnsi="Book Antiqua"/>
          <w:i/>
          <w:color w:val="000000" w:themeColor="text1"/>
          <w:sz w:val="24"/>
          <w:szCs w:val="24"/>
        </w:rPr>
        <w:t>P</w:t>
      </w:r>
      <w:r w:rsidRPr="00706E08">
        <w:rPr>
          <w:rFonts w:ascii="Book Antiqua" w:hAnsi="Book Antiqua"/>
          <w:color w:val="000000" w:themeColor="text1"/>
          <w:sz w:val="24"/>
          <w:szCs w:val="24"/>
        </w:rPr>
        <w:t xml:space="preserve"> &lt; 0.0001 and </w:t>
      </w:r>
      <w:r w:rsidRPr="00706E08">
        <w:rPr>
          <w:rFonts w:ascii="Book Antiqua" w:hAnsi="Book Antiqua"/>
          <w:i/>
          <w:color w:val="000000" w:themeColor="text1"/>
          <w:sz w:val="24"/>
          <w:szCs w:val="24"/>
        </w:rPr>
        <w:t>P</w:t>
      </w:r>
      <w:r w:rsidRPr="00706E08">
        <w:rPr>
          <w:rFonts w:ascii="Book Antiqua" w:hAnsi="Book Antiqua"/>
          <w:color w:val="000000" w:themeColor="text1"/>
          <w:sz w:val="24"/>
          <w:szCs w:val="24"/>
        </w:rPr>
        <w:t xml:space="preserve"> = 0.029, respectively). Serum CRP value was marginally associated with PGE-MUM concentration (</w:t>
      </w:r>
      <w:r w:rsidRPr="00706E08">
        <w:rPr>
          <w:rFonts w:ascii="Book Antiqua" w:hAnsi="Book Antiqua"/>
          <w:i/>
          <w:color w:val="000000" w:themeColor="text1"/>
          <w:sz w:val="24"/>
          <w:szCs w:val="24"/>
        </w:rPr>
        <w:t>P</w:t>
      </w:r>
      <w:r w:rsidRPr="00706E08">
        <w:rPr>
          <w:rFonts w:ascii="Book Antiqua" w:hAnsi="Book Antiqua"/>
          <w:color w:val="000000" w:themeColor="text1"/>
          <w:sz w:val="24"/>
          <w:szCs w:val="24"/>
        </w:rPr>
        <w:t xml:space="preserve"> = 0.078). Factors with a </w:t>
      </w:r>
      <w:r w:rsidRPr="00706E08">
        <w:rPr>
          <w:rFonts w:ascii="Book Antiqua" w:hAnsi="Book Antiqua"/>
          <w:i/>
          <w:color w:val="000000" w:themeColor="text1"/>
          <w:sz w:val="24"/>
          <w:szCs w:val="24"/>
        </w:rPr>
        <w:t>P</w:t>
      </w:r>
      <w:r w:rsidRPr="00706E08">
        <w:rPr>
          <w:rFonts w:ascii="Book Antiqua" w:hAnsi="Book Antiqua"/>
          <w:color w:val="000000" w:themeColor="text1"/>
          <w:sz w:val="24"/>
          <w:szCs w:val="24"/>
        </w:rPr>
        <w:t xml:space="preserve"> value &lt; 0.1 were included in the multivariate analysis considering the possibility of confounding factors.</w:t>
      </w:r>
    </w:p>
    <w:p w14:paraId="1099C4D3" w14:textId="35B2BB77" w:rsidR="000C7C53" w:rsidRPr="00706E08" w:rsidRDefault="000C7C53" w:rsidP="00C431E7">
      <w:pPr>
        <w:spacing w:line="360" w:lineRule="auto"/>
        <w:ind w:firstLineChars="100" w:firstLine="240"/>
        <w:jc w:val="both"/>
        <w:rPr>
          <w:rFonts w:ascii="Book Antiqua" w:hAnsi="Book Antiqua"/>
          <w:color w:val="000000" w:themeColor="text1"/>
          <w:sz w:val="24"/>
          <w:szCs w:val="24"/>
        </w:rPr>
      </w:pPr>
      <w:r w:rsidRPr="00706E08">
        <w:rPr>
          <w:rFonts w:ascii="Book Antiqua" w:hAnsi="Book Antiqua"/>
          <w:color w:val="000000" w:themeColor="text1"/>
          <w:sz w:val="24"/>
          <w:szCs w:val="24"/>
        </w:rPr>
        <w:t>The PGE-MUM concentration was significantly higher in the CEAS group than in the CD gro</w:t>
      </w:r>
      <w:r w:rsidR="007A14D5" w:rsidRPr="00706E08">
        <w:rPr>
          <w:rFonts w:ascii="Book Antiqua" w:hAnsi="Book Antiqua"/>
          <w:color w:val="000000" w:themeColor="text1"/>
          <w:sz w:val="24"/>
          <w:szCs w:val="24"/>
        </w:rPr>
        <w:t>up [median interquartile range</w:t>
      </w:r>
      <w:r w:rsidR="007A14D5" w:rsidRPr="00706E08">
        <w:rPr>
          <w:rFonts w:ascii="Book Antiqua" w:hAnsi="Book Antiqua"/>
          <w:color w:val="000000" w:themeColor="text1"/>
          <w:sz w:val="24"/>
          <w:szCs w:val="24"/>
          <w:lang w:eastAsia="zh-CN"/>
        </w:rPr>
        <w:t xml:space="preserve"> (IQR)</w:t>
      </w:r>
      <w:r w:rsidRPr="00706E08">
        <w:rPr>
          <w:rFonts w:ascii="Book Antiqua" w:hAnsi="Book Antiqua"/>
          <w:color w:val="000000" w:themeColor="text1"/>
          <w:sz w:val="24"/>
          <w:szCs w:val="24"/>
        </w:rPr>
        <w:t>: 102.7 (62.0</w:t>
      </w:r>
      <w:r w:rsidR="009F59AC" w:rsidRPr="00706E08">
        <w:rPr>
          <w:rFonts w:ascii="Book Antiqua" w:hAnsi="Book Antiqua"/>
          <w:color w:val="000000" w:themeColor="text1"/>
          <w:sz w:val="24"/>
          <w:szCs w:val="24"/>
          <w:lang w:eastAsia="zh-CN"/>
        </w:rPr>
        <w:t>-</w:t>
      </w:r>
      <w:r w:rsidRPr="00706E08">
        <w:rPr>
          <w:rFonts w:ascii="Book Antiqua" w:hAnsi="Book Antiqua"/>
          <w:color w:val="000000" w:themeColor="text1"/>
          <w:sz w:val="24"/>
          <w:szCs w:val="24"/>
        </w:rPr>
        <w:t xml:space="preserve">155.0) </w:t>
      </w:r>
      <w:proofErr w:type="spellStart"/>
      <w:r w:rsidR="00C431E7" w:rsidRPr="00706E08">
        <w:rPr>
          <w:rFonts w:ascii="Book Antiqua" w:hAnsi="Book Antiqua"/>
          <w:color w:val="000000" w:themeColor="text1"/>
          <w:sz w:val="24"/>
          <w:szCs w:val="24"/>
        </w:rPr>
        <w:t>μ</w:t>
      </w:r>
      <w:r w:rsidRPr="00706E08">
        <w:rPr>
          <w:rFonts w:ascii="Book Antiqua" w:hAnsi="Book Antiqua"/>
          <w:color w:val="000000" w:themeColor="text1"/>
          <w:sz w:val="24"/>
          <w:szCs w:val="24"/>
        </w:rPr>
        <w:t>g</w:t>
      </w:r>
      <w:proofErr w:type="spellEnd"/>
      <w:r w:rsidRPr="00706E08">
        <w:rPr>
          <w:rFonts w:ascii="Book Antiqua" w:hAnsi="Book Antiqua"/>
          <w:color w:val="000000" w:themeColor="text1"/>
          <w:sz w:val="24"/>
          <w:szCs w:val="24"/>
        </w:rPr>
        <w:t xml:space="preserve">/g × </w:t>
      </w:r>
      <w:proofErr w:type="spellStart"/>
      <w:r w:rsidRPr="00706E08">
        <w:rPr>
          <w:rFonts w:ascii="Book Antiqua" w:eastAsia="MS Mincho" w:hAnsi="Book Antiqua" w:cs="MS Mincho"/>
          <w:color w:val="000000" w:themeColor="text1"/>
          <w:sz w:val="24"/>
          <w:szCs w:val="24"/>
        </w:rPr>
        <w:t>Cre</w:t>
      </w:r>
      <w:proofErr w:type="spellEnd"/>
      <w:r w:rsidRPr="00706E08">
        <w:rPr>
          <w:rFonts w:ascii="Book Antiqua" w:hAnsi="Book Antiqua"/>
          <w:color w:val="000000" w:themeColor="text1"/>
          <w:sz w:val="24"/>
          <w:szCs w:val="24"/>
        </w:rPr>
        <w:t xml:space="preserve"> </w:t>
      </w:r>
      <w:r w:rsidRPr="00706E08">
        <w:rPr>
          <w:rFonts w:ascii="Book Antiqua" w:hAnsi="Book Antiqua"/>
          <w:i/>
          <w:color w:val="000000" w:themeColor="text1"/>
          <w:sz w:val="24"/>
          <w:szCs w:val="24"/>
        </w:rPr>
        <w:t>vs</w:t>
      </w:r>
      <w:r w:rsidRPr="00706E08">
        <w:rPr>
          <w:rFonts w:ascii="Book Antiqua" w:hAnsi="Book Antiqua"/>
          <w:color w:val="000000" w:themeColor="text1"/>
          <w:sz w:val="24"/>
          <w:szCs w:val="24"/>
        </w:rPr>
        <w:t xml:space="preserve"> 27.9 (19.6</w:t>
      </w:r>
      <w:r w:rsidR="00C431E7" w:rsidRPr="00706E08">
        <w:rPr>
          <w:rFonts w:ascii="Book Antiqua" w:hAnsi="Book Antiqua"/>
          <w:color w:val="000000" w:themeColor="text1"/>
          <w:sz w:val="24"/>
          <w:szCs w:val="24"/>
          <w:lang w:eastAsia="zh-CN"/>
        </w:rPr>
        <w:t>-</w:t>
      </w:r>
      <w:r w:rsidRPr="00706E08">
        <w:rPr>
          <w:rFonts w:ascii="Book Antiqua" w:hAnsi="Book Antiqua"/>
          <w:color w:val="000000" w:themeColor="text1"/>
          <w:sz w:val="24"/>
          <w:szCs w:val="24"/>
        </w:rPr>
        <w:t xml:space="preserve">40.0) </w:t>
      </w:r>
      <w:proofErr w:type="spellStart"/>
      <w:r w:rsidR="00C431E7" w:rsidRPr="00706E08">
        <w:rPr>
          <w:rFonts w:ascii="Book Antiqua" w:hAnsi="Book Antiqua"/>
          <w:color w:val="000000" w:themeColor="text1"/>
          <w:sz w:val="24"/>
          <w:szCs w:val="24"/>
        </w:rPr>
        <w:t>μ</w:t>
      </w:r>
      <w:r w:rsidRPr="00706E08">
        <w:rPr>
          <w:rFonts w:ascii="Book Antiqua" w:hAnsi="Book Antiqua"/>
          <w:color w:val="000000" w:themeColor="text1"/>
          <w:sz w:val="24"/>
          <w:szCs w:val="24"/>
        </w:rPr>
        <w:t>g</w:t>
      </w:r>
      <w:proofErr w:type="spellEnd"/>
      <w:r w:rsidRPr="00706E08">
        <w:rPr>
          <w:rFonts w:ascii="Book Antiqua" w:hAnsi="Book Antiqua"/>
          <w:color w:val="000000" w:themeColor="text1"/>
          <w:sz w:val="24"/>
          <w:szCs w:val="24"/>
        </w:rPr>
        <w:t xml:space="preserve">/g × </w:t>
      </w:r>
      <w:proofErr w:type="spellStart"/>
      <w:r w:rsidRPr="00706E08">
        <w:rPr>
          <w:rFonts w:ascii="Book Antiqua" w:eastAsia="MS Mincho" w:hAnsi="Book Antiqua" w:cs="MS Mincho"/>
          <w:color w:val="000000" w:themeColor="text1"/>
          <w:sz w:val="24"/>
          <w:szCs w:val="24"/>
        </w:rPr>
        <w:t>Cre</w:t>
      </w:r>
      <w:proofErr w:type="spellEnd"/>
      <w:r w:rsidRPr="00706E08">
        <w:rPr>
          <w:rFonts w:ascii="Book Antiqua" w:hAnsi="Book Antiqua"/>
          <w:color w:val="000000" w:themeColor="text1"/>
          <w:sz w:val="24"/>
          <w:szCs w:val="24"/>
        </w:rPr>
        <w:t xml:space="preserve">, </w:t>
      </w:r>
      <w:r w:rsidRPr="00706E08">
        <w:rPr>
          <w:rFonts w:ascii="Book Antiqua" w:hAnsi="Book Antiqua"/>
          <w:i/>
          <w:color w:val="000000" w:themeColor="text1"/>
          <w:sz w:val="24"/>
          <w:szCs w:val="24"/>
        </w:rPr>
        <w:t>P</w:t>
      </w:r>
      <w:r w:rsidRPr="00706E08">
        <w:rPr>
          <w:rFonts w:ascii="Book Antiqua" w:hAnsi="Book Antiqua"/>
          <w:color w:val="000000" w:themeColor="text1"/>
          <w:sz w:val="24"/>
          <w:szCs w:val="24"/>
        </w:rPr>
        <w:t xml:space="preserve"> &lt; 0.0001, Figure 1]. Crude OR of 1 log unit </w:t>
      </w:r>
      <w:r w:rsidR="00AB6B5F" w:rsidRPr="00706E08">
        <w:rPr>
          <w:rFonts w:ascii="Book Antiqua" w:hAnsi="Book Antiqua"/>
          <w:color w:val="000000" w:themeColor="text1"/>
          <w:sz w:val="24"/>
          <w:szCs w:val="24"/>
        </w:rPr>
        <w:t>increase</w:t>
      </w:r>
      <w:r w:rsidRPr="00706E08">
        <w:rPr>
          <w:rFonts w:ascii="Book Antiqua" w:hAnsi="Book Antiqua"/>
          <w:color w:val="000000" w:themeColor="text1"/>
          <w:sz w:val="24"/>
          <w:szCs w:val="24"/>
        </w:rPr>
        <w:t xml:space="preserve"> in the P</w:t>
      </w:r>
      <w:r w:rsidR="00AB6B5F" w:rsidRPr="00706E08">
        <w:rPr>
          <w:rFonts w:ascii="Book Antiqua" w:hAnsi="Book Antiqua"/>
          <w:color w:val="000000" w:themeColor="text1"/>
          <w:sz w:val="24"/>
          <w:szCs w:val="24"/>
        </w:rPr>
        <w:t>GE-MUM concentration for the distinc</w:t>
      </w:r>
      <w:r w:rsidRPr="00706E08">
        <w:rPr>
          <w:rFonts w:ascii="Book Antiqua" w:hAnsi="Book Antiqua"/>
          <w:color w:val="000000" w:themeColor="text1"/>
          <w:sz w:val="24"/>
          <w:szCs w:val="24"/>
        </w:rPr>
        <w:t xml:space="preserve">tion between CEAS and CD was 7.3 </w:t>
      </w:r>
      <w:r w:rsidR="00C431E7" w:rsidRPr="00706E08">
        <w:rPr>
          <w:rFonts w:ascii="Book Antiqua" w:hAnsi="Book Antiqua"/>
          <w:color w:val="000000" w:themeColor="text1"/>
          <w:sz w:val="24"/>
          <w:szCs w:val="24"/>
          <w:lang w:eastAsia="zh-CN"/>
        </w:rPr>
        <w:t>(</w:t>
      </w:r>
      <w:r w:rsidR="00C431E7" w:rsidRPr="00706E08">
        <w:rPr>
          <w:rFonts w:ascii="Book Antiqua" w:hAnsi="Book Antiqua"/>
          <w:color w:val="000000" w:themeColor="text1"/>
          <w:sz w:val="24"/>
          <w:szCs w:val="24"/>
        </w:rPr>
        <w:t>95%</w:t>
      </w:r>
      <w:r w:rsidR="00C63635" w:rsidRPr="00706E08">
        <w:rPr>
          <w:rFonts w:ascii="Book Antiqua" w:hAnsi="Book Antiqua"/>
          <w:color w:val="000000" w:themeColor="text1"/>
          <w:sz w:val="24"/>
          <w:szCs w:val="24"/>
        </w:rPr>
        <w:t>CI</w:t>
      </w:r>
      <w:r w:rsidRPr="00706E08">
        <w:rPr>
          <w:rFonts w:ascii="Book Antiqua" w:hAnsi="Book Antiqua"/>
          <w:color w:val="000000" w:themeColor="text1"/>
          <w:sz w:val="24"/>
          <w:szCs w:val="24"/>
        </w:rPr>
        <w:t xml:space="preserve"> 3.2</w:t>
      </w:r>
      <w:r w:rsidR="00C431E7" w:rsidRPr="00706E08">
        <w:rPr>
          <w:rFonts w:ascii="Book Antiqua" w:hAnsi="Book Antiqua"/>
          <w:color w:val="000000" w:themeColor="text1"/>
          <w:sz w:val="24"/>
          <w:szCs w:val="24"/>
          <w:lang w:eastAsia="zh-CN"/>
        </w:rPr>
        <w:t>-</w:t>
      </w:r>
      <w:r w:rsidRPr="00706E08">
        <w:rPr>
          <w:rFonts w:ascii="Book Antiqua" w:hAnsi="Book Antiqua"/>
          <w:color w:val="000000" w:themeColor="text1"/>
          <w:sz w:val="24"/>
          <w:szCs w:val="24"/>
        </w:rPr>
        <w:t>16.7, Table 3</w:t>
      </w:r>
      <w:r w:rsidR="00C431E7" w:rsidRPr="00706E08">
        <w:rPr>
          <w:rFonts w:ascii="Book Antiqua" w:hAnsi="Book Antiqua"/>
          <w:color w:val="000000" w:themeColor="text1"/>
          <w:sz w:val="24"/>
          <w:szCs w:val="24"/>
          <w:lang w:eastAsia="zh-CN"/>
        </w:rPr>
        <w:t>)</w:t>
      </w:r>
      <w:r w:rsidRPr="00706E08">
        <w:rPr>
          <w:rFonts w:ascii="Book Antiqua" w:hAnsi="Book Antiqua"/>
          <w:color w:val="000000" w:themeColor="text1"/>
          <w:sz w:val="24"/>
          <w:szCs w:val="24"/>
        </w:rPr>
        <w:t xml:space="preserve">. This prediction model showed good differentiating ability between CEAS and CD, with an AUC </w:t>
      </w:r>
      <w:r w:rsidR="00C431E7" w:rsidRPr="00706E08">
        <w:rPr>
          <w:rFonts w:ascii="Book Antiqua" w:hAnsi="Book Antiqua"/>
          <w:color w:val="000000" w:themeColor="text1"/>
          <w:sz w:val="24"/>
          <w:szCs w:val="24"/>
        </w:rPr>
        <w:t>of 0.90 (95%</w:t>
      </w:r>
      <w:r w:rsidR="00AB6B5F" w:rsidRPr="00706E08">
        <w:rPr>
          <w:rFonts w:ascii="Book Antiqua" w:hAnsi="Book Antiqua"/>
          <w:color w:val="000000" w:themeColor="text1"/>
          <w:sz w:val="24"/>
          <w:szCs w:val="24"/>
        </w:rPr>
        <w:t>CI 0.82</w:t>
      </w:r>
      <w:r w:rsidR="00C431E7" w:rsidRPr="00706E08">
        <w:rPr>
          <w:rFonts w:ascii="Book Antiqua" w:hAnsi="Book Antiqua"/>
          <w:color w:val="000000" w:themeColor="text1"/>
          <w:sz w:val="24"/>
          <w:szCs w:val="24"/>
          <w:lang w:eastAsia="zh-CN"/>
        </w:rPr>
        <w:t>-</w:t>
      </w:r>
      <w:r w:rsidR="00AB6B5F" w:rsidRPr="00706E08">
        <w:rPr>
          <w:rFonts w:ascii="Book Antiqua" w:hAnsi="Book Antiqua"/>
          <w:color w:val="000000" w:themeColor="text1"/>
          <w:sz w:val="24"/>
          <w:szCs w:val="24"/>
        </w:rPr>
        <w:t>0.95). Th</w:t>
      </w:r>
      <w:r w:rsidR="00625562" w:rsidRPr="00706E08">
        <w:rPr>
          <w:rFonts w:ascii="Book Antiqua" w:hAnsi="Book Antiqua"/>
          <w:color w:val="000000" w:themeColor="text1"/>
          <w:sz w:val="24"/>
          <w:szCs w:val="24"/>
        </w:rPr>
        <w:t>is</w:t>
      </w:r>
      <w:r w:rsidRPr="00706E08">
        <w:rPr>
          <w:rFonts w:ascii="Book Antiqua" w:hAnsi="Book Antiqua"/>
          <w:color w:val="000000" w:themeColor="text1"/>
          <w:sz w:val="24"/>
          <w:szCs w:val="24"/>
        </w:rPr>
        <w:t xml:space="preserve"> association was significant</w:t>
      </w:r>
      <w:r w:rsidR="00AB6B5F" w:rsidRPr="00706E08">
        <w:rPr>
          <w:rFonts w:ascii="Book Antiqua" w:hAnsi="Book Antiqua"/>
          <w:color w:val="000000" w:themeColor="text1"/>
          <w:sz w:val="24"/>
          <w:szCs w:val="24"/>
        </w:rPr>
        <w:t xml:space="preserve"> even</w:t>
      </w:r>
      <w:r w:rsidRPr="00706E08">
        <w:rPr>
          <w:rFonts w:ascii="Book Antiqua" w:hAnsi="Book Antiqua"/>
          <w:color w:val="000000" w:themeColor="text1"/>
          <w:sz w:val="24"/>
          <w:szCs w:val="24"/>
        </w:rPr>
        <w:t xml:space="preserve"> after adjusting for possible confounding factors including age, </w:t>
      </w:r>
      <w:r w:rsidRPr="00706E08">
        <w:rPr>
          <w:rFonts w:ascii="Book Antiqua" w:hAnsi="Book Antiqua"/>
          <w:color w:val="000000" w:themeColor="text1"/>
          <w:sz w:val="24"/>
          <w:szCs w:val="24"/>
        </w:rPr>
        <w:lastRenderedPageBreak/>
        <w:t>gender, medical history of pulmonary disease, history of surgery, disease duration, and serum CRP value (model 3). The multiva</w:t>
      </w:r>
      <w:r w:rsidR="00C431E7" w:rsidRPr="00706E08">
        <w:rPr>
          <w:rFonts w:ascii="Book Antiqua" w:hAnsi="Book Antiqua"/>
          <w:color w:val="000000" w:themeColor="text1"/>
          <w:sz w:val="24"/>
          <w:szCs w:val="24"/>
        </w:rPr>
        <w:t>riate-adjusted OR was 29.6 (95%</w:t>
      </w:r>
      <w:r w:rsidRPr="00706E08">
        <w:rPr>
          <w:rFonts w:ascii="Book Antiqua" w:hAnsi="Book Antiqua"/>
          <w:color w:val="000000" w:themeColor="text1"/>
          <w:sz w:val="24"/>
          <w:szCs w:val="24"/>
        </w:rPr>
        <w:t>CI 4.7</w:t>
      </w:r>
      <w:r w:rsidR="00C431E7" w:rsidRPr="00706E08">
        <w:rPr>
          <w:rFonts w:ascii="Book Antiqua" w:hAnsi="Book Antiqua"/>
          <w:color w:val="000000" w:themeColor="text1"/>
          <w:sz w:val="24"/>
          <w:szCs w:val="24"/>
          <w:lang w:eastAsia="zh-CN"/>
        </w:rPr>
        <w:t>-</w:t>
      </w:r>
      <w:r w:rsidRPr="00706E08">
        <w:rPr>
          <w:rFonts w:ascii="Book Antiqua" w:hAnsi="Book Antiqua"/>
          <w:color w:val="000000" w:themeColor="text1"/>
          <w:sz w:val="24"/>
          <w:szCs w:val="24"/>
        </w:rPr>
        <w:t xml:space="preserve">185.7), with an AUC of </w:t>
      </w:r>
      <w:r w:rsidRPr="00706E08">
        <w:rPr>
          <w:rFonts w:ascii="Book Antiqua" w:eastAsia="Yu Gothic" w:hAnsi="Book Antiqua" w:cs="Arial"/>
          <w:color w:val="000000" w:themeColor="text1"/>
          <w:kern w:val="0"/>
          <w:sz w:val="24"/>
          <w:szCs w:val="24"/>
        </w:rPr>
        <w:t>0.95</w:t>
      </w:r>
      <w:r w:rsidR="00C431E7" w:rsidRPr="00706E08">
        <w:rPr>
          <w:rFonts w:ascii="Book Antiqua" w:hAnsi="Book Antiqua"/>
          <w:color w:val="000000" w:themeColor="text1"/>
          <w:sz w:val="24"/>
          <w:szCs w:val="24"/>
        </w:rPr>
        <w:t xml:space="preserve"> (95%</w:t>
      </w:r>
      <w:r w:rsidRPr="00706E08">
        <w:rPr>
          <w:rFonts w:ascii="Book Antiqua" w:hAnsi="Book Antiqua"/>
          <w:color w:val="000000" w:themeColor="text1"/>
          <w:sz w:val="24"/>
          <w:szCs w:val="24"/>
        </w:rPr>
        <w:t xml:space="preserve">CI </w:t>
      </w:r>
      <w:r w:rsidRPr="00706E08">
        <w:rPr>
          <w:rFonts w:ascii="Book Antiqua" w:eastAsia="Yu Gothic" w:hAnsi="Book Antiqua" w:cs="Arial"/>
          <w:color w:val="000000" w:themeColor="text1"/>
          <w:kern w:val="0"/>
          <w:sz w:val="24"/>
          <w:szCs w:val="24"/>
        </w:rPr>
        <w:t>0.86</w:t>
      </w:r>
      <w:r w:rsidR="00C431E7" w:rsidRPr="00706E08">
        <w:rPr>
          <w:rFonts w:ascii="Book Antiqua" w:hAnsi="Book Antiqua"/>
          <w:color w:val="000000" w:themeColor="text1"/>
          <w:sz w:val="24"/>
          <w:szCs w:val="24"/>
          <w:lang w:eastAsia="zh-CN"/>
        </w:rPr>
        <w:t>-</w:t>
      </w:r>
      <w:r w:rsidRPr="00706E08">
        <w:rPr>
          <w:rFonts w:ascii="Book Antiqua" w:eastAsia="Yu Gothic" w:hAnsi="Book Antiqua" w:cs="Arial"/>
          <w:color w:val="000000" w:themeColor="text1"/>
          <w:kern w:val="0"/>
          <w:sz w:val="24"/>
          <w:szCs w:val="24"/>
        </w:rPr>
        <w:t>0.98</w:t>
      </w:r>
      <w:r w:rsidRPr="00706E08">
        <w:rPr>
          <w:rFonts w:ascii="Book Antiqua" w:hAnsi="Book Antiqua"/>
          <w:color w:val="000000" w:themeColor="text1"/>
          <w:sz w:val="24"/>
          <w:szCs w:val="24"/>
        </w:rPr>
        <w:t xml:space="preserve">). </w:t>
      </w:r>
    </w:p>
    <w:p w14:paraId="09AEE4CD" w14:textId="77777777" w:rsidR="00C431E7" w:rsidRPr="00706E08" w:rsidRDefault="00C431E7" w:rsidP="00C431E7">
      <w:pPr>
        <w:spacing w:line="360" w:lineRule="auto"/>
        <w:ind w:left="5" w:hangingChars="2" w:hanging="5"/>
        <w:jc w:val="both"/>
        <w:rPr>
          <w:rFonts w:ascii="Book Antiqua" w:eastAsia="等线" w:hAnsi="Book Antiqua"/>
          <w:i/>
          <w:color w:val="000000" w:themeColor="text1"/>
          <w:sz w:val="24"/>
          <w:szCs w:val="24"/>
          <w:lang w:eastAsia="zh-CN"/>
        </w:rPr>
      </w:pPr>
    </w:p>
    <w:p w14:paraId="76208D05" w14:textId="77777777" w:rsidR="000C7C53" w:rsidRPr="00706E08" w:rsidRDefault="000C7C53" w:rsidP="00C431E7">
      <w:pPr>
        <w:spacing w:line="360" w:lineRule="auto"/>
        <w:ind w:left="5" w:hangingChars="2" w:hanging="5"/>
        <w:jc w:val="both"/>
        <w:rPr>
          <w:rFonts w:ascii="Book Antiqua" w:hAnsi="Book Antiqua"/>
          <w:b/>
          <w:i/>
          <w:color w:val="000000" w:themeColor="text1"/>
          <w:sz w:val="24"/>
          <w:szCs w:val="24"/>
        </w:rPr>
      </w:pPr>
      <w:r w:rsidRPr="00706E08">
        <w:rPr>
          <w:rFonts w:ascii="Book Antiqua" w:hAnsi="Book Antiqua"/>
          <w:b/>
          <w:i/>
          <w:color w:val="000000" w:themeColor="text1"/>
          <w:sz w:val="24"/>
          <w:szCs w:val="24"/>
        </w:rPr>
        <w:t xml:space="preserve">Correlation between PGE-MUM and CD phenotype </w:t>
      </w:r>
    </w:p>
    <w:p w14:paraId="59CEE5C3" w14:textId="6F45099E" w:rsidR="000C7C53" w:rsidRPr="00706E08" w:rsidRDefault="000C7C53" w:rsidP="00C431E7">
      <w:pPr>
        <w:spacing w:line="360" w:lineRule="auto"/>
        <w:jc w:val="both"/>
        <w:rPr>
          <w:rFonts w:ascii="Book Antiqua" w:hAnsi="Book Antiqua"/>
          <w:i/>
          <w:color w:val="000000" w:themeColor="text1"/>
          <w:sz w:val="24"/>
          <w:szCs w:val="24"/>
        </w:rPr>
      </w:pPr>
      <w:r w:rsidRPr="00706E08">
        <w:rPr>
          <w:rFonts w:ascii="Book Antiqua" w:hAnsi="Book Antiqua"/>
          <w:color w:val="000000" w:themeColor="text1"/>
          <w:sz w:val="24"/>
          <w:szCs w:val="24"/>
        </w:rPr>
        <w:t xml:space="preserve">The PGE-MUM concentration in the colonic CD group (L2) was significantly lower than in the other groups (median: 16.5 </w:t>
      </w:r>
      <w:proofErr w:type="spellStart"/>
      <w:r w:rsidR="00C431E7" w:rsidRPr="00706E08">
        <w:rPr>
          <w:rFonts w:ascii="Book Antiqua" w:hAnsi="Book Antiqua"/>
          <w:color w:val="000000" w:themeColor="text1"/>
          <w:sz w:val="24"/>
          <w:szCs w:val="24"/>
        </w:rPr>
        <w:t>μ</w:t>
      </w:r>
      <w:r w:rsidRPr="00706E08">
        <w:rPr>
          <w:rFonts w:ascii="Book Antiqua" w:hAnsi="Book Antiqua"/>
          <w:color w:val="000000" w:themeColor="text1"/>
          <w:sz w:val="24"/>
          <w:szCs w:val="24"/>
        </w:rPr>
        <w:t>g</w:t>
      </w:r>
      <w:proofErr w:type="spellEnd"/>
      <w:r w:rsidRPr="00706E08">
        <w:rPr>
          <w:rFonts w:ascii="Book Antiqua" w:hAnsi="Book Antiqua"/>
          <w:color w:val="000000" w:themeColor="text1"/>
          <w:sz w:val="24"/>
          <w:szCs w:val="24"/>
        </w:rPr>
        <w:t xml:space="preserve">/g × </w:t>
      </w:r>
      <w:proofErr w:type="spellStart"/>
      <w:r w:rsidRPr="00706E08">
        <w:rPr>
          <w:rFonts w:ascii="Book Antiqua" w:eastAsia="MS Mincho" w:hAnsi="Book Antiqua" w:cs="MS Mincho"/>
          <w:color w:val="000000" w:themeColor="text1"/>
          <w:sz w:val="24"/>
          <w:szCs w:val="24"/>
        </w:rPr>
        <w:t>Cre</w:t>
      </w:r>
      <w:proofErr w:type="spellEnd"/>
      <w:r w:rsidRPr="00706E08">
        <w:rPr>
          <w:rFonts w:ascii="Book Antiqua" w:hAnsi="Book Antiqua"/>
          <w:color w:val="000000" w:themeColor="text1"/>
          <w:sz w:val="24"/>
          <w:szCs w:val="24"/>
        </w:rPr>
        <w:t xml:space="preserve"> </w:t>
      </w:r>
      <w:r w:rsidRPr="00706E08">
        <w:rPr>
          <w:rFonts w:ascii="Book Antiqua" w:hAnsi="Book Antiqua"/>
          <w:i/>
          <w:color w:val="000000" w:themeColor="text1"/>
          <w:sz w:val="24"/>
          <w:szCs w:val="24"/>
        </w:rPr>
        <w:t>vs</w:t>
      </w:r>
      <w:r w:rsidRPr="00706E08">
        <w:rPr>
          <w:rFonts w:ascii="Book Antiqua" w:hAnsi="Book Antiqua"/>
          <w:color w:val="000000" w:themeColor="text1"/>
          <w:sz w:val="24"/>
          <w:szCs w:val="24"/>
        </w:rPr>
        <w:t xml:space="preserve"> 29.5 </w:t>
      </w:r>
      <w:proofErr w:type="spellStart"/>
      <w:r w:rsidR="00C431E7" w:rsidRPr="00706E08">
        <w:rPr>
          <w:rFonts w:ascii="Book Antiqua" w:hAnsi="Book Antiqua"/>
          <w:color w:val="000000" w:themeColor="text1"/>
          <w:sz w:val="24"/>
          <w:szCs w:val="24"/>
        </w:rPr>
        <w:t>μ</w:t>
      </w:r>
      <w:r w:rsidRPr="00706E08">
        <w:rPr>
          <w:rFonts w:ascii="Book Antiqua" w:hAnsi="Book Antiqua"/>
          <w:color w:val="000000" w:themeColor="text1"/>
          <w:sz w:val="24"/>
          <w:szCs w:val="24"/>
        </w:rPr>
        <w:t>g</w:t>
      </w:r>
      <w:proofErr w:type="spellEnd"/>
      <w:r w:rsidRPr="00706E08">
        <w:rPr>
          <w:rFonts w:ascii="Book Antiqua" w:hAnsi="Book Antiqua"/>
          <w:color w:val="000000" w:themeColor="text1"/>
          <w:sz w:val="24"/>
          <w:szCs w:val="24"/>
        </w:rPr>
        <w:t xml:space="preserve">/g × </w:t>
      </w:r>
      <w:proofErr w:type="spellStart"/>
      <w:r w:rsidRPr="00706E08">
        <w:rPr>
          <w:rFonts w:ascii="Book Antiqua" w:eastAsia="MS Mincho" w:hAnsi="Book Antiqua" w:cs="MS Mincho"/>
          <w:color w:val="000000" w:themeColor="text1"/>
          <w:sz w:val="24"/>
          <w:szCs w:val="24"/>
        </w:rPr>
        <w:t>Cre</w:t>
      </w:r>
      <w:proofErr w:type="spellEnd"/>
      <w:r w:rsidRPr="00706E08">
        <w:rPr>
          <w:rFonts w:ascii="Book Antiqua" w:hAnsi="Book Antiqua"/>
          <w:color w:val="000000" w:themeColor="text1"/>
          <w:sz w:val="24"/>
          <w:szCs w:val="24"/>
        </w:rPr>
        <w:t xml:space="preserve">, </w:t>
      </w:r>
      <w:r w:rsidRPr="00706E08">
        <w:rPr>
          <w:rFonts w:ascii="Book Antiqua" w:hAnsi="Book Antiqua"/>
          <w:i/>
          <w:color w:val="000000" w:themeColor="text1"/>
          <w:sz w:val="24"/>
          <w:szCs w:val="24"/>
        </w:rPr>
        <w:t>P</w:t>
      </w:r>
      <w:r w:rsidRPr="00706E08">
        <w:rPr>
          <w:rFonts w:ascii="Book Antiqua" w:hAnsi="Book Antiqua"/>
          <w:color w:val="000000" w:themeColor="text1"/>
          <w:sz w:val="24"/>
          <w:szCs w:val="24"/>
        </w:rPr>
        <w:t xml:space="preserve"> = 0.036), and the PGE-MUM concentration of the ileal CD group (L1) was significantly higher than in the colonic CD group (median: 32.9 </w:t>
      </w:r>
      <w:proofErr w:type="spellStart"/>
      <w:r w:rsidR="00C431E7" w:rsidRPr="00706E08">
        <w:rPr>
          <w:rFonts w:ascii="Book Antiqua" w:hAnsi="Book Antiqua"/>
          <w:color w:val="000000" w:themeColor="text1"/>
          <w:sz w:val="24"/>
          <w:szCs w:val="24"/>
        </w:rPr>
        <w:t>μ</w:t>
      </w:r>
      <w:r w:rsidRPr="00706E08">
        <w:rPr>
          <w:rFonts w:ascii="Book Antiqua" w:hAnsi="Book Antiqua"/>
          <w:color w:val="000000" w:themeColor="text1"/>
          <w:sz w:val="24"/>
          <w:szCs w:val="24"/>
        </w:rPr>
        <w:t>g</w:t>
      </w:r>
      <w:proofErr w:type="spellEnd"/>
      <w:r w:rsidRPr="00706E08">
        <w:rPr>
          <w:rFonts w:ascii="Book Antiqua" w:hAnsi="Book Antiqua"/>
          <w:color w:val="000000" w:themeColor="text1"/>
          <w:sz w:val="24"/>
          <w:szCs w:val="24"/>
        </w:rPr>
        <w:t xml:space="preserve">/g × </w:t>
      </w:r>
      <w:proofErr w:type="spellStart"/>
      <w:r w:rsidRPr="00706E08">
        <w:rPr>
          <w:rFonts w:ascii="Book Antiqua" w:eastAsia="MS Mincho" w:hAnsi="Book Antiqua" w:cs="MS Mincho"/>
          <w:color w:val="000000" w:themeColor="text1"/>
          <w:sz w:val="24"/>
          <w:szCs w:val="24"/>
        </w:rPr>
        <w:t>Cre</w:t>
      </w:r>
      <w:proofErr w:type="spellEnd"/>
      <w:r w:rsidRPr="00706E08">
        <w:rPr>
          <w:rFonts w:ascii="Book Antiqua" w:hAnsi="Book Antiqua"/>
          <w:color w:val="000000" w:themeColor="text1"/>
          <w:sz w:val="24"/>
          <w:szCs w:val="24"/>
        </w:rPr>
        <w:t xml:space="preserve"> </w:t>
      </w:r>
      <w:r w:rsidRPr="00706E08">
        <w:rPr>
          <w:rFonts w:ascii="Book Antiqua" w:hAnsi="Book Antiqua"/>
          <w:i/>
          <w:color w:val="000000" w:themeColor="text1"/>
          <w:sz w:val="24"/>
          <w:szCs w:val="24"/>
        </w:rPr>
        <w:t>vs</w:t>
      </w:r>
      <w:r w:rsidRPr="00706E08">
        <w:rPr>
          <w:rFonts w:ascii="Book Antiqua" w:hAnsi="Book Antiqua"/>
          <w:color w:val="000000" w:themeColor="text1"/>
          <w:sz w:val="24"/>
          <w:szCs w:val="24"/>
        </w:rPr>
        <w:t xml:space="preserve"> 16.5 </w:t>
      </w:r>
      <w:proofErr w:type="spellStart"/>
      <w:r w:rsidR="00C431E7" w:rsidRPr="00706E08">
        <w:rPr>
          <w:rFonts w:ascii="Book Antiqua" w:hAnsi="Book Antiqua"/>
          <w:color w:val="000000" w:themeColor="text1"/>
          <w:sz w:val="24"/>
          <w:szCs w:val="24"/>
        </w:rPr>
        <w:t>μ</w:t>
      </w:r>
      <w:r w:rsidRPr="00706E08">
        <w:rPr>
          <w:rFonts w:ascii="Book Antiqua" w:hAnsi="Book Antiqua"/>
          <w:color w:val="000000" w:themeColor="text1"/>
          <w:sz w:val="24"/>
          <w:szCs w:val="24"/>
        </w:rPr>
        <w:t>g</w:t>
      </w:r>
      <w:proofErr w:type="spellEnd"/>
      <w:r w:rsidRPr="00706E08">
        <w:rPr>
          <w:rFonts w:ascii="Book Antiqua" w:hAnsi="Book Antiqua"/>
          <w:color w:val="000000" w:themeColor="text1"/>
          <w:sz w:val="24"/>
          <w:szCs w:val="24"/>
        </w:rPr>
        <w:t xml:space="preserve">/g × </w:t>
      </w:r>
      <w:proofErr w:type="spellStart"/>
      <w:r w:rsidRPr="00706E08">
        <w:rPr>
          <w:rFonts w:ascii="Book Antiqua" w:eastAsia="MS Mincho" w:hAnsi="Book Antiqua" w:cs="MS Mincho"/>
          <w:color w:val="000000" w:themeColor="text1"/>
          <w:sz w:val="24"/>
          <w:szCs w:val="24"/>
        </w:rPr>
        <w:t>Cre</w:t>
      </w:r>
      <w:proofErr w:type="spellEnd"/>
      <w:r w:rsidRPr="00706E08">
        <w:rPr>
          <w:rFonts w:ascii="Book Antiqua" w:hAnsi="Book Antiqua"/>
          <w:color w:val="000000" w:themeColor="text1"/>
          <w:sz w:val="24"/>
          <w:szCs w:val="24"/>
        </w:rPr>
        <w:t xml:space="preserve">, </w:t>
      </w:r>
      <w:r w:rsidRPr="00706E08">
        <w:rPr>
          <w:rFonts w:ascii="Book Antiqua" w:hAnsi="Book Antiqua"/>
          <w:i/>
          <w:color w:val="000000" w:themeColor="text1"/>
          <w:sz w:val="24"/>
          <w:szCs w:val="24"/>
        </w:rPr>
        <w:t>P</w:t>
      </w:r>
      <w:r w:rsidRPr="00706E08">
        <w:rPr>
          <w:rFonts w:ascii="Book Antiqua" w:hAnsi="Book Antiqua"/>
          <w:color w:val="000000" w:themeColor="text1"/>
          <w:sz w:val="24"/>
          <w:szCs w:val="24"/>
        </w:rPr>
        <w:t xml:space="preserve"> = 0.017). When we confined the subjects to those with ileal CD, the PGE-MUM concentration in the CEAS group was still significantly higher than that in the ileal CD group (median 102.7 </w:t>
      </w:r>
      <w:proofErr w:type="spellStart"/>
      <w:r w:rsidR="003E38F6" w:rsidRPr="00706E08">
        <w:rPr>
          <w:rFonts w:ascii="Book Antiqua" w:hAnsi="Book Antiqua"/>
          <w:color w:val="000000" w:themeColor="text1"/>
          <w:sz w:val="24"/>
          <w:szCs w:val="24"/>
        </w:rPr>
        <w:t>μ</w:t>
      </w:r>
      <w:r w:rsidRPr="00706E08">
        <w:rPr>
          <w:rFonts w:ascii="Book Antiqua" w:hAnsi="Book Antiqua"/>
          <w:color w:val="000000" w:themeColor="text1"/>
          <w:sz w:val="24"/>
          <w:szCs w:val="24"/>
        </w:rPr>
        <w:t>g</w:t>
      </w:r>
      <w:proofErr w:type="spellEnd"/>
      <w:r w:rsidRPr="00706E08">
        <w:rPr>
          <w:rFonts w:ascii="Book Antiqua" w:hAnsi="Book Antiqua"/>
          <w:color w:val="000000" w:themeColor="text1"/>
          <w:sz w:val="24"/>
          <w:szCs w:val="24"/>
        </w:rPr>
        <w:t xml:space="preserve">/g × </w:t>
      </w:r>
      <w:proofErr w:type="spellStart"/>
      <w:r w:rsidRPr="00706E08">
        <w:rPr>
          <w:rFonts w:ascii="Book Antiqua" w:eastAsia="MS Mincho" w:hAnsi="Book Antiqua" w:cs="MS Mincho"/>
          <w:color w:val="000000" w:themeColor="text1"/>
          <w:sz w:val="24"/>
          <w:szCs w:val="24"/>
        </w:rPr>
        <w:t>Cre</w:t>
      </w:r>
      <w:proofErr w:type="spellEnd"/>
      <w:r w:rsidRPr="00706E08">
        <w:rPr>
          <w:rFonts w:ascii="Book Antiqua" w:hAnsi="Book Antiqua"/>
          <w:color w:val="000000" w:themeColor="text1"/>
          <w:sz w:val="24"/>
          <w:szCs w:val="24"/>
        </w:rPr>
        <w:t xml:space="preserve"> </w:t>
      </w:r>
      <w:r w:rsidRPr="00706E08">
        <w:rPr>
          <w:rFonts w:ascii="Book Antiqua" w:hAnsi="Book Antiqua"/>
          <w:i/>
          <w:color w:val="000000" w:themeColor="text1"/>
          <w:sz w:val="24"/>
          <w:szCs w:val="24"/>
        </w:rPr>
        <w:t>vs</w:t>
      </w:r>
      <w:r w:rsidRPr="00706E08">
        <w:rPr>
          <w:rFonts w:ascii="Book Antiqua" w:hAnsi="Book Antiqua"/>
          <w:color w:val="000000" w:themeColor="text1"/>
          <w:sz w:val="24"/>
          <w:szCs w:val="24"/>
        </w:rPr>
        <w:t xml:space="preserve"> 32.9</w:t>
      </w:r>
      <w:r w:rsidR="003E38F6" w:rsidRPr="00706E08">
        <w:rPr>
          <w:rFonts w:ascii="Book Antiqua" w:hAnsi="Book Antiqua"/>
          <w:color w:val="000000" w:themeColor="text1"/>
          <w:sz w:val="24"/>
          <w:szCs w:val="24"/>
          <w:lang w:eastAsia="zh-CN"/>
        </w:rPr>
        <w:t xml:space="preserve"> </w:t>
      </w:r>
      <w:proofErr w:type="spellStart"/>
      <w:r w:rsidR="003E38F6" w:rsidRPr="00706E08">
        <w:rPr>
          <w:rFonts w:ascii="Book Antiqua" w:hAnsi="Book Antiqua"/>
          <w:color w:val="000000" w:themeColor="text1"/>
          <w:sz w:val="24"/>
          <w:szCs w:val="24"/>
        </w:rPr>
        <w:t>μ</w:t>
      </w:r>
      <w:r w:rsidRPr="00706E08">
        <w:rPr>
          <w:rFonts w:ascii="Book Antiqua" w:hAnsi="Book Antiqua"/>
          <w:color w:val="000000" w:themeColor="text1"/>
          <w:sz w:val="24"/>
          <w:szCs w:val="24"/>
        </w:rPr>
        <w:t>g</w:t>
      </w:r>
      <w:proofErr w:type="spellEnd"/>
      <w:r w:rsidRPr="00706E08">
        <w:rPr>
          <w:rFonts w:ascii="Book Antiqua" w:hAnsi="Book Antiqua"/>
          <w:color w:val="000000" w:themeColor="text1"/>
          <w:sz w:val="24"/>
          <w:szCs w:val="24"/>
        </w:rPr>
        <w:t xml:space="preserve">/g × </w:t>
      </w:r>
      <w:proofErr w:type="spellStart"/>
      <w:r w:rsidRPr="00706E08">
        <w:rPr>
          <w:rFonts w:ascii="Book Antiqua" w:eastAsia="MS Mincho" w:hAnsi="Book Antiqua" w:cs="MS Mincho"/>
          <w:color w:val="000000" w:themeColor="text1"/>
          <w:sz w:val="24"/>
          <w:szCs w:val="24"/>
        </w:rPr>
        <w:t>Cre</w:t>
      </w:r>
      <w:proofErr w:type="spellEnd"/>
      <w:r w:rsidRPr="00706E08">
        <w:rPr>
          <w:rFonts w:ascii="Book Antiqua" w:hAnsi="Book Antiqua"/>
          <w:color w:val="000000" w:themeColor="text1"/>
          <w:sz w:val="24"/>
          <w:szCs w:val="24"/>
        </w:rPr>
        <w:t xml:space="preserve">, </w:t>
      </w:r>
      <w:r w:rsidRPr="00706E08">
        <w:rPr>
          <w:rFonts w:ascii="Book Antiqua" w:hAnsi="Book Antiqua"/>
          <w:i/>
          <w:color w:val="000000" w:themeColor="text1"/>
          <w:sz w:val="24"/>
          <w:szCs w:val="24"/>
        </w:rPr>
        <w:t>P</w:t>
      </w:r>
      <w:r w:rsidRPr="00706E08">
        <w:rPr>
          <w:rFonts w:ascii="Book Antiqua" w:hAnsi="Book Antiqua"/>
          <w:color w:val="000000" w:themeColor="text1"/>
          <w:sz w:val="24"/>
          <w:szCs w:val="24"/>
        </w:rPr>
        <w:t xml:space="preserve"> &lt; 0.0001).</w:t>
      </w:r>
      <w:r w:rsidRPr="00706E08" w:rsidDel="000D2746">
        <w:rPr>
          <w:rFonts w:ascii="Book Antiqua" w:hAnsi="Book Antiqua"/>
          <w:color w:val="000000" w:themeColor="text1"/>
          <w:sz w:val="24"/>
          <w:szCs w:val="24"/>
        </w:rPr>
        <w:t xml:space="preserve"> </w:t>
      </w:r>
    </w:p>
    <w:p w14:paraId="468EDE4C" w14:textId="77777777" w:rsidR="003E38F6" w:rsidRPr="00706E08" w:rsidRDefault="003E38F6" w:rsidP="00C431E7">
      <w:pPr>
        <w:spacing w:line="360" w:lineRule="auto"/>
        <w:jc w:val="both"/>
        <w:rPr>
          <w:rFonts w:ascii="Book Antiqua" w:eastAsia="等线" w:hAnsi="Book Antiqua"/>
          <w:i/>
          <w:color w:val="000000" w:themeColor="text1"/>
          <w:sz w:val="24"/>
          <w:szCs w:val="24"/>
          <w:lang w:eastAsia="zh-CN"/>
        </w:rPr>
      </w:pPr>
    </w:p>
    <w:p w14:paraId="715147DF" w14:textId="77777777" w:rsidR="000C7C53" w:rsidRPr="00706E08" w:rsidRDefault="000C7C53" w:rsidP="00C431E7">
      <w:pPr>
        <w:spacing w:line="360" w:lineRule="auto"/>
        <w:jc w:val="both"/>
        <w:rPr>
          <w:rFonts w:ascii="Book Antiqua" w:hAnsi="Book Antiqua"/>
          <w:b/>
          <w:i/>
          <w:color w:val="000000" w:themeColor="text1"/>
          <w:sz w:val="24"/>
          <w:szCs w:val="24"/>
        </w:rPr>
      </w:pPr>
      <w:r w:rsidRPr="00706E08">
        <w:rPr>
          <w:rFonts w:ascii="Book Antiqua" w:hAnsi="Book Antiqua"/>
          <w:b/>
          <w:i/>
          <w:color w:val="000000" w:themeColor="text1"/>
          <w:sz w:val="24"/>
          <w:szCs w:val="24"/>
        </w:rPr>
        <w:t>PGE-MUM cut-off level</w:t>
      </w:r>
    </w:p>
    <w:p w14:paraId="563F34A4" w14:textId="2BF06F6E" w:rsidR="000C7C53" w:rsidRPr="00706E08" w:rsidRDefault="000C7C53" w:rsidP="003E38F6">
      <w:pPr>
        <w:spacing w:line="360" w:lineRule="auto"/>
        <w:jc w:val="both"/>
        <w:rPr>
          <w:rFonts w:ascii="Book Antiqua" w:hAnsi="Book Antiqua"/>
          <w:b/>
          <w:color w:val="000000" w:themeColor="text1"/>
          <w:sz w:val="24"/>
          <w:szCs w:val="24"/>
        </w:rPr>
      </w:pPr>
      <w:r w:rsidRPr="00706E08">
        <w:rPr>
          <w:rFonts w:ascii="Book Antiqua" w:hAnsi="Book Antiqua"/>
          <w:color w:val="000000" w:themeColor="text1"/>
          <w:sz w:val="24"/>
          <w:szCs w:val="24"/>
        </w:rPr>
        <w:t>Figure 2 shows the ROC curve of the PGE-MUM concentration to differentiate CEAS from CD. Based on the ROC analysis, the</w:t>
      </w:r>
      <w:r w:rsidRPr="00706E08">
        <w:rPr>
          <w:rFonts w:ascii="Book Antiqua" w:eastAsia="MS Mincho" w:hAnsi="Book Antiqua" w:cs="MS Mincho"/>
          <w:color w:val="000000" w:themeColor="text1"/>
          <w:sz w:val="24"/>
          <w:szCs w:val="24"/>
        </w:rPr>
        <w:t xml:space="preserve"> optimal cut-off value</w:t>
      </w:r>
      <w:r w:rsidRPr="00706E08">
        <w:rPr>
          <w:rFonts w:ascii="Book Antiqua" w:hAnsi="Book Antiqua"/>
          <w:color w:val="000000" w:themeColor="text1"/>
          <w:sz w:val="24"/>
          <w:szCs w:val="24"/>
        </w:rPr>
        <w:t xml:space="preserve"> was identified as 48.9 </w:t>
      </w:r>
      <w:proofErr w:type="spellStart"/>
      <w:r w:rsidR="003E38F6" w:rsidRPr="00706E08">
        <w:rPr>
          <w:rFonts w:ascii="Book Antiqua" w:hAnsi="Book Antiqua"/>
          <w:color w:val="000000" w:themeColor="text1"/>
          <w:sz w:val="24"/>
          <w:szCs w:val="24"/>
        </w:rPr>
        <w:t>μ</w:t>
      </w:r>
      <w:r w:rsidRPr="00706E08">
        <w:rPr>
          <w:rFonts w:ascii="Book Antiqua" w:hAnsi="Book Antiqua"/>
          <w:color w:val="000000" w:themeColor="text1"/>
          <w:sz w:val="24"/>
          <w:szCs w:val="24"/>
        </w:rPr>
        <w:t>g</w:t>
      </w:r>
      <w:proofErr w:type="spellEnd"/>
      <w:r w:rsidRPr="00706E08">
        <w:rPr>
          <w:rFonts w:ascii="Book Antiqua" w:hAnsi="Book Antiqua"/>
          <w:color w:val="000000" w:themeColor="text1"/>
          <w:sz w:val="24"/>
          <w:szCs w:val="24"/>
        </w:rPr>
        <w:t xml:space="preserve">/g × </w:t>
      </w:r>
      <w:proofErr w:type="spellStart"/>
      <w:r w:rsidRPr="00706E08">
        <w:rPr>
          <w:rFonts w:ascii="Book Antiqua" w:eastAsia="MS Mincho" w:hAnsi="Book Antiqua" w:cs="MS Mincho"/>
          <w:color w:val="000000" w:themeColor="text1"/>
          <w:sz w:val="24"/>
          <w:szCs w:val="24"/>
        </w:rPr>
        <w:t>Cre</w:t>
      </w:r>
      <w:proofErr w:type="spellEnd"/>
      <w:r w:rsidRPr="00706E08">
        <w:rPr>
          <w:rFonts w:ascii="Book Antiqua" w:eastAsia="MS Mincho" w:hAnsi="Book Antiqua" w:cs="MS Mincho"/>
          <w:color w:val="000000" w:themeColor="text1"/>
          <w:sz w:val="24"/>
          <w:szCs w:val="24"/>
        </w:rPr>
        <w:t>,</w:t>
      </w:r>
      <w:r w:rsidRPr="00706E08">
        <w:rPr>
          <w:rFonts w:ascii="Book Antiqua" w:hAnsi="Book Antiqua"/>
          <w:color w:val="000000" w:themeColor="text1"/>
          <w:sz w:val="24"/>
          <w:szCs w:val="24"/>
        </w:rPr>
        <w:t xml:space="preserve"> which differentiated CEAS from CD with 95.0% sensitivity and 79.6% specificity (Supplementary </w:t>
      </w:r>
      <w:r w:rsidR="003E38F6" w:rsidRPr="00706E08">
        <w:rPr>
          <w:rFonts w:ascii="Book Antiqua" w:hAnsi="Book Antiqua"/>
          <w:color w:val="000000" w:themeColor="text1"/>
          <w:sz w:val="24"/>
          <w:szCs w:val="24"/>
        </w:rPr>
        <w:t>Table 2). The AUC was 0.90 (95%</w:t>
      </w:r>
      <w:r w:rsidRPr="00706E08">
        <w:rPr>
          <w:rFonts w:ascii="Book Antiqua" w:hAnsi="Book Antiqua"/>
          <w:color w:val="000000" w:themeColor="text1"/>
          <w:sz w:val="24"/>
          <w:szCs w:val="24"/>
        </w:rPr>
        <w:t>CI, 0.82</w:t>
      </w:r>
      <w:r w:rsidR="003E38F6" w:rsidRPr="00706E08">
        <w:rPr>
          <w:rFonts w:ascii="Book Antiqua" w:hAnsi="Book Antiqua"/>
          <w:color w:val="000000" w:themeColor="text1"/>
          <w:sz w:val="24"/>
          <w:szCs w:val="24"/>
          <w:lang w:eastAsia="zh-CN"/>
        </w:rPr>
        <w:t>-</w:t>
      </w:r>
      <w:r w:rsidRPr="00706E08">
        <w:rPr>
          <w:rFonts w:ascii="Book Antiqua" w:hAnsi="Book Antiqua"/>
          <w:color w:val="000000" w:themeColor="text1"/>
          <w:sz w:val="24"/>
          <w:szCs w:val="24"/>
        </w:rPr>
        <w:t>0.95).</w:t>
      </w:r>
    </w:p>
    <w:p w14:paraId="41EF8BE1" w14:textId="77777777" w:rsidR="003E38F6" w:rsidRPr="00706E08" w:rsidRDefault="003E38F6" w:rsidP="000B52DE">
      <w:pPr>
        <w:spacing w:line="360" w:lineRule="auto"/>
        <w:jc w:val="both"/>
        <w:rPr>
          <w:rFonts w:ascii="Book Antiqua" w:eastAsia="等线" w:hAnsi="Book Antiqua"/>
          <w:i/>
          <w:color w:val="000000" w:themeColor="text1"/>
          <w:sz w:val="24"/>
          <w:szCs w:val="24"/>
          <w:lang w:eastAsia="zh-CN"/>
        </w:rPr>
      </w:pPr>
    </w:p>
    <w:p w14:paraId="51D35084" w14:textId="77777777" w:rsidR="000C7C53" w:rsidRPr="00706E08" w:rsidRDefault="000C7C53" w:rsidP="000B52DE">
      <w:pPr>
        <w:spacing w:line="360" w:lineRule="auto"/>
        <w:jc w:val="both"/>
        <w:rPr>
          <w:rFonts w:ascii="Book Antiqua" w:hAnsi="Book Antiqua"/>
          <w:b/>
          <w:i/>
          <w:color w:val="000000" w:themeColor="text1"/>
          <w:sz w:val="24"/>
          <w:szCs w:val="24"/>
        </w:rPr>
      </w:pPr>
      <w:r w:rsidRPr="00706E08">
        <w:rPr>
          <w:rFonts w:ascii="Book Antiqua" w:hAnsi="Book Antiqua"/>
          <w:b/>
          <w:i/>
          <w:color w:val="000000" w:themeColor="text1"/>
          <w:sz w:val="24"/>
          <w:szCs w:val="24"/>
        </w:rPr>
        <w:t>Genetic screening in CD patients with a high PGE-MUM concentration</w:t>
      </w:r>
    </w:p>
    <w:p w14:paraId="32C4C919" w14:textId="14DFC25A" w:rsidR="000C7C53" w:rsidRPr="00706E08" w:rsidRDefault="000C7C53" w:rsidP="003E38F6">
      <w:pPr>
        <w:pStyle w:val="HTML"/>
        <w:spacing w:line="360" w:lineRule="auto"/>
        <w:jc w:val="both"/>
        <w:rPr>
          <w:rFonts w:ascii="Book Antiqua" w:hAnsi="Book Antiqua"/>
          <w:color w:val="000000" w:themeColor="text1"/>
        </w:rPr>
      </w:pPr>
      <w:r w:rsidRPr="00706E08">
        <w:rPr>
          <w:rFonts w:ascii="Book Antiqua" w:hAnsi="Book Antiqua"/>
          <w:color w:val="000000" w:themeColor="text1"/>
        </w:rPr>
        <w:t xml:space="preserve">Among the CD group, six patients had particularly high PGE-MUM concentrations (&gt; 100 </w:t>
      </w:r>
      <w:proofErr w:type="spellStart"/>
      <w:r w:rsidR="00F928B2" w:rsidRPr="00706E08">
        <w:rPr>
          <w:rFonts w:ascii="Book Antiqua" w:hAnsi="Book Antiqua"/>
          <w:color w:val="000000" w:themeColor="text1"/>
        </w:rPr>
        <w:t>μ</w:t>
      </w:r>
      <w:r w:rsidRPr="00706E08">
        <w:rPr>
          <w:rFonts w:ascii="Book Antiqua" w:hAnsi="Book Antiqua"/>
          <w:color w:val="000000" w:themeColor="text1"/>
        </w:rPr>
        <w:t>g</w:t>
      </w:r>
      <w:proofErr w:type="spellEnd"/>
      <w:r w:rsidRPr="00706E08">
        <w:rPr>
          <w:rFonts w:ascii="Book Antiqua" w:hAnsi="Book Antiqua"/>
          <w:color w:val="000000" w:themeColor="text1"/>
        </w:rPr>
        <w:t xml:space="preserve">/g × </w:t>
      </w:r>
      <w:proofErr w:type="spellStart"/>
      <w:r w:rsidRPr="00706E08">
        <w:rPr>
          <w:rFonts w:ascii="Book Antiqua" w:eastAsia="MS Mincho" w:hAnsi="Book Antiqua" w:cs="MS Mincho"/>
          <w:color w:val="000000" w:themeColor="text1"/>
        </w:rPr>
        <w:t>Cre</w:t>
      </w:r>
      <w:proofErr w:type="spellEnd"/>
      <w:r w:rsidRPr="00706E08">
        <w:rPr>
          <w:rFonts w:ascii="Book Antiqua" w:hAnsi="Book Antiqua"/>
          <w:color w:val="000000" w:themeColor="text1"/>
        </w:rPr>
        <w:t xml:space="preserve">). Although we confirmed that they did not harbor the six major mutations in the </w:t>
      </w:r>
      <w:r w:rsidRPr="00706E08">
        <w:rPr>
          <w:rFonts w:ascii="Book Antiqua" w:hAnsi="Book Antiqua"/>
          <w:i/>
          <w:color w:val="000000" w:themeColor="text1"/>
        </w:rPr>
        <w:t>SLCO2A1</w:t>
      </w:r>
      <w:r w:rsidRPr="00706E08">
        <w:rPr>
          <w:rFonts w:ascii="Book Antiqua" w:hAnsi="Book Antiqua"/>
          <w:color w:val="000000" w:themeColor="text1"/>
        </w:rPr>
        <w:t xml:space="preserve"> gene, we screened all 14 coding exons and intron-exon boundaries of the </w:t>
      </w:r>
      <w:r w:rsidRPr="00706E08">
        <w:rPr>
          <w:rFonts w:ascii="Book Antiqua" w:hAnsi="Book Antiqua"/>
          <w:i/>
          <w:color w:val="000000" w:themeColor="text1"/>
        </w:rPr>
        <w:t>SLCO2A1</w:t>
      </w:r>
      <w:r w:rsidRPr="00706E08">
        <w:rPr>
          <w:rFonts w:ascii="Book Antiqua" w:hAnsi="Book Antiqua"/>
          <w:color w:val="000000" w:themeColor="text1"/>
        </w:rPr>
        <w:t xml:space="preserve"> gene using Sanger sequencing to exclude a possible misdiagnosis of CEAS. No homozygous or compound heterozygous S</w:t>
      </w:r>
      <w:r w:rsidRPr="00706E08">
        <w:rPr>
          <w:rFonts w:ascii="Book Antiqua" w:hAnsi="Book Antiqua"/>
          <w:i/>
          <w:color w:val="000000" w:themeColor="text1"/>
        </w:rPr>
        <w:t xml:space="preserve">LCO2A1 </w:t>
      </w:r>
      <w:r w:rsidRPr="00706E08">
        <w:rPr>
          <w:rFonts w:ascii="Book Antiqua" w:hAnsi="Book Antiqua"/>
          <w:color w:val="000000" w:themeColor="text1"/>
        </w:rPr>
        <w:t xml:space="preserve">mutations were found in the six CD patients. </w:t>
      </w:r>
    </w:p>
    <w:p w14:paraId="42638233" w14:textId="77777777" w:rsidR="000C7C53" w:rsidRPr="00706E08" w:rsidRDefault="000C7C53" w:rsidP="000B52DE">
      <w:pPr>
        <w:pStyle w:val="HTML"/>
        <w:spacing w:line="360" w:lineRule="auto"/>
        <w:jc w:val="both"/>
        <w:rPr>
          <w:rFonts w:ascii="Book Antiqua" w:hAnsi="Book Antiqua"/>
          <w:color w:val="000000" w:themeColor="text1"/>
        </w:rPr>
      </w:pPr>
    </w:p>
    <w:p w14:paraId="7E86A841" w14:textId="77777777" w:rsidR="000C7C53" w:rsidRPr="00706E08" w:rsidRDefault="000C7C53" w:rsidP="000B52DE">
      <w:pPr>
        <w:spacing w:line="360" w:lineRule="auto"/>
        <w:jc w:val="both"/>
        <w:rPr>
          <w:rFonts w:ascii="Book Antiqua" w:hAnsi="Book Antiqua"/>
          <w:b/>
          <w:color w:val="000000" w:themeColor="text1"/>
          <w:sz w:val="24"/>
          <w:szCs w:val="24"/>
        </w:rPr>
      </w:pPr>
      <w:r w:rsidRPr="00706E08">
        <w:rPr>
          <w:rFonts w:ascii="Book Antiqua" w:hAnsi="Book Antiqua"/>
          <w:b/>
          <w:color w:val="000000" w:themeColor="text1"/>
          <w:sz w:val="24"/>
          <w:szCs w:val="24"/>
        </w:rPr>
        <w:lastRenderedPageBreak/>
        <w:t>DISCUSSION</w:t>
      </w:r>
    </w:p>
    <w:p w14:paraId="0EF1BBA1" w14:textId="21C8C39A" w:rsidR="000C7C53" w:rsidRPr="00706E08" w:rsidRDefault="000C7C53" w:rsidP="00F928B2">
      <w:pPr>
        <w:spacing w:line="360" w:lineRule="auto"/>
        <w:jc w:val="both"/>
        <w:rPr>
          <w:rFonts w:ascii="Book Antiqua" w:hAnsi="Book Antiqua"/>
          <w:color w:val="000000" w:themeColor="text1"/>
          <w:sz w:val="24"/>
          <w:szCs w:val="24"/>
        </w:rPr>
      </w:pPr>
      <w:r w:rsidRPr="00706E08">
        <w:rPr>
          <w:rFonts w:ascii="Book Antiqua" w:hAnsi="Book Antiqua"/>
          <w:color w:val="000000" w:themeColor="text1"/>
          <w:sz w:val="24"/>
          <w:szCs w:val="24"/>
        </w:rPr>
        <w:t>CEAS was initially reported as a novel disease entity referred to as "</w:t>
      </w:r>
      <w:r w:rsidR="00D33B0F" w:rsidRPr="00706E08">
        <w:rPr>
          <w:rFonts w:ascii="Book Antiqua" w:hAnsi="Book Antiqua"/>
          <w:color w:val="000000" w:themeColor="text1"/>
          <w:sz w:val="24"/>
          <w:szCs w:val="24"/>
          <w:lang w:eastAsia="zh-CN"/>
        </w:rPr>
        <w:t>C</w:t>
      </w:r>
      <w:r w:rsidRPr="00706E08">
        <w:rPr>
          <w:rFonts w:ascii="Book Antiqua" w:hAnsi="Book Antiqua"/>
          <w:color w:val="000000" w:themeColor="text1"/>
          <w:sz w:val="24"/>
          <w:szCs w:val="24"/>
        </w:rPr>
        <w:t>" in the J</w:t>
      </w:r>
      <w:r w:rsidR="00F928B2" w:rsidRPr="00706E08">
        <w:rPr>
          <w:rFonts w:ascii="Book Antiqua" w:hAnsi="Book Antiqua"/>
          <w:color w:val="000000" w:themeColor="text1"/>
          <w:sz w:val="24"/>
          <w:szCs w:val="24"/>
        </w:rPr>
        <w:t>apanese literature in the 1960</w:t>
      </w:r>
      <w:proofErr w:type="gramStart"/>
      <w:r w:rsidR="00F928B2" w:rsidRPr="00706E08">
        <w:rPr>
          <w:rFonts w:ascii="Book Antiqua" w:hAnsi="Book Antiqua"/>
          <w:color w:val="000000" w:themeColor="text1"/>
          <w:sz w:val="24"/>
          <w:szCs w:val="24"/>
        </w:rPr>
        <w:t>s</w:t>
      </w:r>
      <w:r w:rsidRPr="00706E08">
        <w:rPr>
          <w:rFonts w:ascii="Book Antiqua" w:hAnsi="Book Antiqua"/>
          <w:noProof/>
          <w:color w:val="000000" w:themeColor="text1"/>
          <w:sz w:val="24"/>
          <w:szCs w:val="24"/>
          <w:vertAlign w:val="superscript"/>
        </w:rPr>
        <w:t>[</w:t>
      </w:r>
      <w:proofErr w:type="gramEnd"/>
      <w:r w:rsidRPr="00706E08">
        <w:rPr>
          <w:rFonts w:ascii="Book Antiqua" w:hAnsi="Book Antiqua"/>
          <w:noProof/>
          <w:color w:val="000000" w:themeColor="text1"/>
          <w:sz w:val="24"/>
          <w:szCs w:val="24"/>
          <w:vertAlign w:val="superscript"/>
        </w:rPr>
        <w:t>26]</w:t>
      </w:r>
      <w:r w:rsidRPr="00706E08">
        <w:rPr>
          <w:rFonts w:ascii="Book Antiqua" w:hAnsi="Book Antiqua"/>
          <w:color w:val="000000" w:themeColor="text1"/>
          <w:sz w:val="24"/>
          <w:szCs w:val="24"/>
        </w:rPr>
        <w:t>. We recently reported it is an autoso</w:t>
      </w:r>
      <w:r w:rsidR="00F928B2" w:rsidRPr="00706E08">
        <w:rPr>
          <w:rFonts w:ascii="Book Antiqua" w:hAnsi="Book Antiqua"/>
          <w:color w:val="000000" w:themeColor="text1"/>
          <w:sz w:val="24"/>
          <w:szCs w:val="24"/>
        </w:rPr>
        <w:t xml:space="preserve">mal recessive inherited </w:t>
      </w:r>
      <w:proofErr w:type="gramStart"/>
      <w:r w:rsidR="00F928B2" w:rsidRPr="00706E08">
        <w:rPr>
          <w:rFonts w:ascii="Book Antiqua" w:hAnsi="Book Antiqua"/>
          <w:color w:val="000000" w:themeColor="text1"/>
          <w:sz w:val="24"/>
          <w:szCs w:val="24"/>
        </w:rPr>
        <w:t>disease</w:t>
      </w:r>
      <w:r w:rsidRPr="00706E08">
        <w:rPr>
          <w:rFonts w:ascii="Book Antiqua" w:hAnsi="Book Antiqua"/>
          <w:noProof/>
          <w:color w:val="000000" w:themeColor="text1"/>
          <w:sz w:val="24"/>
          <w:szCs w:val="24"/>
          <w:vertAlign w:val="superscript"/>
        </w:rPr>
        <w:t>[</w:t>
      </w:r>
      <w:proofErr w:type="gramEnd"/>
      <w:r w:rsidRPr="00706E08">
        <w:rPr>
          <w:rFonts w:ascii="Book Antiqua" w:hAnsi="Book Antiqua"/>
          <w:noProof/>
          <w:color w:val="000000" w:themeColor="text1"/>
          <w:sz w:val="24"/>
          <w:szCs w:val="24"/>
          <w:vertAlign w:val="superscript"/>
        </w:rPr>
        <w:t>8]</w:t>
      </w:r>
      <w:r w:rsidRPr="00706E08">
        <w:rPr>
          <w:rFonts w:ascii="Book Antiqua" w:hAnsi="Book Antiqua"/>
          <w:color w:val="000000" w:themeColor="text1"/>
          <w:sz w:val="24"/>
          <w:szCs w:val="24"/>
        </w:rPr>
        <w:t xml:space="preserve"> caused by loss-of-function mutations in the </w:t>
      </w:r>
      <w:r w:rsidRPr="00706E08">
        <w:rPr>
          <w:rFonts w:ascii="Book Antiqua" w:hAnsi="Book Antiqua"/>
          <w:i/>
          <w:color w:val="000000" w:themeColor="text1"/>
          <w:sz w:val="24"/>
          <w:szCs w:val="24"/>
        </w:rPr>
        <w:t xml:space="preserve">SLCO2A1 </w:t>
      </w:r>
      <w:r w:rsidR="00F928B2" w:rsidRPr="00706E08">
        <w:rPr>
          <w:rFonts w:ascii="Book Antiqua" w:hAnsi="Book Antiqua"/>
          <w:color w:val="000000" w:themeColor="text1"/>
          <w:sz w:val="24"/>
          <w:szCs w:val="24"/>
        </w:rPr>
        <w:t>gene</w:t>
      </w:r>
      <w:r w:rsidRPr="00706E08">
        <w:rPr>
          <w:rFonts w:ascii="Book Antiqua" w:hAnsi="Book Antiqua"/>
          <w:noProof/>
          <w:color w:val="000000" w:themeColor="text1"/>
          <w:sz w:val="24"/>
          <w:szCs w:val="24"/>
          <w:vertAlign w:val="superscript"/>
        </w:rPr>
        <w:t>[10]</w:t>
      </w:r>
      <w:r w:rsidRPr="00706E08">
        <w:rPr>
          <w:rFonts w:ascii="Book Antiqua" w:hAnsi="Book Antiqua"/>
          <w:color w:val="000000" w:themeColor="text1"/>
          <w:sz w:val="24"/>
          <w:szCs w:val="24"/>
        </w:rPr>
        <w:t xml:space="preserve">. Small bowel lesions in CEAS are characterized by multiple shallow ulcers with a circular or </w:t>
      </w:r>
      <w:r w:rsidR="00F928B2" w:rsidRPr="00706E08">
        <w:rPr>
          <w:rFonts w:ascii="Book Antiqua" w:hAnsi="Book Antiqua"/>
          <w:color w:val="000000" w:themeColor="text1"/>
          <w:sz w:val="24"/>
          <w:szCs w:val="24"/>
        </w:rPr>
        <w:t xml:space="preserve">eccentric oblique </w:t>
      </w:r>
      <w:proofErr w:type="gramStart"/>
      <w:r w:rsidR="00F928B2" w:rsidRPr="00706E08">
        <w:rPr>
          <w:rFonts w:ascii="Book Antiqua" w:hAnsi="Book Antiqua"/>
          <w:color w:val="000000" w:themeColor="text1"/>
          <w:sz w:val="24"/>
          <w:szCs w:val="24"/>
        </w:rPr>
        <w:t>configuration</w:t>
      </w:r>
      <w:r w:rsidRPr="00706E08">
        <w:rPr>
          <w:rFonts w:ascii="Book Antiqua" w:hAnsi="Book Antiqua"/>
          <w:noProof/>
          <w:color w:val="000000" w:themeColor="text1"/>
          <w:sz w:val="24"/>
          <w:szCs w:val="24"/>
          <w:vertAlign w:val="superscript"/>
        </w:rPr>
        <w:t>[</w:t>
      </w:r>
      <w:proofErr w:type="gramEnd"/>
      <w:r w:rsidRPr="00706E08">
        <w:rPr>
          <w:rFonts w:ascii="Book Antiqua" w:hAnsi="Book Antiqua"/>
          <w:noProof/>
          <w:color w:val="000000" w:themeColor="text1"/>
          <w:sz w:val="24"/>
          <w:szCs w:val="24"/>
          <w:vertAlign w:val="superscript"/>
        </w:rPr>
        <w:t>18]</w:t>
      </w:r>
      <w:r w:rsidRPr="00706E08">
        <w:rPr>
          <w:rFonts w:ascii="Book Antiqua" w:hAnsi="Book Antiqua"/>
          <w:color w:val="000000" w:themeColor="text1"/>
          <w:sz w:val="24"/>
          <w:szCs w:val="24"/>
        </w:rPr>
        <w:t xml:space="preserve">. In contrast, CD typically develops longitudinal ulcers and </w:t>
      </w:r>
      <w:proofErr w:type="spellStart"/>
      <w:r w:rsidRPr="00706E08">
        <w:rPr>
          <w:rFonts w:ascii="Book Antiqua" w:hAnsi="Book Antiqua"/>
          <w:color w:val="000000" w:themeColor="text1"/>
          <w:sz w:val="24"/>
          <w:szCs w:val="24"/>
        </w:rPr>
        <w:t>cobblestoning</w:t>
      </w:r>
      <w:proofErr w:type="spellEnd"/>
      <w:r w:rsidRPr="00706E08">
        <w:rPr>
          <w:rFonts w:ascii="Book Antiqua" w:hAnsi="Book Antiqua"/>
          <w:color w:val="000000" w:themeColor="text1"/>
          <w:sz w:val="24"/>
          <w:szCs w:val="24"/>
        </w:rPr>
        <w:t>, and ulcerations are predominantly located on the mesenteric side. However, both CEAS and CD involve the ileum with occasional ileal stenoses, and the clinical features of CEAS and CD are similar; therefore, it is not easy to differentiate CEAS from CD based o</w:t>
      </w:r>
      <w:r w:rsidR="00F928B2" w:rsidRPr="00706E08">
        <w:rPr>
          <w:rFonts w:ascii="Book Antiqua" w:hAnsi="Book Antiqua"/>
          <w:color w:val="000000" w:themeColor="text1"/>
          <w:sz w:val="24"/>
          <w:szCs w:val="24"/>
        </w:rPr>
        <w:t xml:space="preserve">n clinical manifestations </w:t>
      </w:r>
      <w:proofErr w:type="gramStart"/>
      <w:r w:rsidR="00F928B2" w:rsidRPr="00706E08">
        <w:rPr>
          <w:rFonts w:ascii="Book Antiqua" w:hAnsi="Book Antiqua"/>
          <w:color w:val="000000" w:themeColor="text1"/>
          <w:sz w:val="24"/>
          <w:szCs w:val="24"/>
        </w:rPr>
        <w:t>alone</w:t>
      </w:r>
      <w:r w:rsidRPr="00706E08">
        <w:rPr>
          <w:rFonts w:ascii="Book Antiqua" w:hAnsi="Book Antiqua"/>
          <w:noProof/>
          <w:color w:val="000000" w:themeColor="text1"/>
          <w:sz w:val="24"/>
          <w:szCs w:val="24"/>
          <w:vertAlign w:val="superscript"/>
        </w:rPr>
        <w:t>[</w:t>
      </w:r>
      <w:proofErr w:type="gramEnd"/>
      <w:r w:rsidRPr="00706E08">
        <w:rPr>
          <w:rFonts w:ascii="Book Antiqua" w:hAnsi="Book Antiqua"/>
          <w:noProof/>
          <w:color w:val="000000" w:themeColor="text1"/>
          <w:sz w:val="24"/>
          <w:szCs w:val="24"/>
          <w:vertAlign w:val="superscript"/>
        </w:rPr>
        <w:t>11]</w:t>
      </w:r>
      <w:r w:rsidRPr="00706E08">
        <w:rPr>
          <w:rFonts w:ascii="Book Antiqua" w:hAnsi="Book Antiqua"/>
          <w:color w:val="000000" w:themeColor="text1"/>
          <w:sz w:val="24"/>
          <w:szCs w:val="24"/>
        </w:rPr>
        <w:t>. Although immunohistochemical staining for SLCO2A1 protein in biopsy specimens from the GI tract was reported to be use</w:t>
      </w:r>
      <w:r w:rsidR="00F928B2" w:rsidRPr="00706E08">
        <w:rPr>
          <w:rFonts w:ascii="Book Antiqua" w:hAnsi="Book Antiqua"/>
          <w:color w:val="000000" w:themeColor="text1"/>
          <w:sz w:val="24"/>
          <w:szCs w:val="24"/>
        </w:rPr>
        <w:t xml:space="preserve">ful to distinguish CEAS from </w:t>
      </w:r>
      <w:proofErr w:type="gramStart"/>
      <w:r w:rsidR="00F928B2" w:rsidRPr="00706E08">
        <w:rPr>
          <w:rFonts w:ascii="Book Antiqua" w:hAnsi="Book Antiqua"/>
          <w:color w:val="000000" w:themeColor="text1"/>
          <w:sz w:val="24"/>
          <w:szCs w:val="24"/>
        </w:rPr>
        <w:t>CD</w:t>
      </w:r>
      <w:r w:rsidR="00F928B2" w:rsidRPr="00706E08">
        <w:rPr>
          <w:rFonts w:ascii="Book Antiqua" w:hAnsi="Book Antiqua"/>
          <w:noProof/>
          <w:color w:val="000000" w:themeColor="text1"/>
          <w:sz w:val="24"/>
          <w:szCs w:val="24"/>
          <w:vertAlign w:val="superscript"/>
        </w:rPr>
        <w:t>[</w:t>
      </w:r>
      <w:proofErr w:type="gramEnd"/>
      <w:r w:rsidR="00F928B2" w:rsidRPr="00706E08">
        <w:rPr>
          <w:rFonts w:ascii="Book Antiqua" w:hAnsi="Book Antiqua"/>
          <w:noProof/>
          <w:color w:val="000000" w:themeColor="text1"/>
          <w:sz w:val="24"/>
          <w:szCs w:val="24"/>
          <w:vertAlign w:val="superscript"/>
        </w:rPr>
        <w:t>27,</w:t>
      </w:r>
      <w:r w:rsidRPr="00706E08">
        <w:rPr>
          <w:rFonts w:ascii="Book Antiqua" w:hAnsi="Book Antiqua"/>
          <w:noProof/>
          <w:color w:val="000000" w:themeColor="text1"/>
          <w:sz w:val="24"/>
          <w:szCs w:val="24"/>
          <w:vertAlign w:val="superscript"/>
        </w:rPr>
        <w:t>28]</w:t>
      </w:r>
      <w:r w:rsidRPr="00706E08">
        <w:rPr>
          <w:rFonts w:ascii="Book Antiqua" w:hAnsi="Book Antiqua"/>
          <w:color w:val="000000" w:themeColor="text1"/>
          <w:sz w:val="24"/>
          <w:szCs w:val="24"/>
        </w:rPr>
        <w:t>, a more convenient and non-invasive screening test is required.</w:t>
      </w:r>
    </w:p>
    <w:p w14:paraId="6AB7C642" w14:textId="3D13A230" w:rsidR="000C7C53" w:rsidRPr="00706E08" w:rsidRDefault="000C7C53" w:rsidP="00F928B2">
      <w:pPr>
        <w:spacing w:line="360" w:lineRule="auto"/>
        <w:ind w:firstLineChars="100" w:firstLine="240"/>
        <w:jc w:val="both"/>
        <w:rPr>
          <w:rFonts w:ascii="Book Antiqua" w:hAnsi="Book Antiqua"/>
          <w:color w:val="000000" w:themeColor="text1"/>
          <w:sz w:val="24"/>
          <w:szCs w:val="24"/>
        </w:rPr>
      </w:pPr>
      <w:r w:rsidRPr="00706E08">
        <w:rPr>
          <w:rFonts w:ascii="Book Antiqua" w:hAnsi="Book Antiqua"/>
          <w:color w:val="000000" w:themeColor="text1"/>
          <w:sz w:val="24"/>
          <w:szCs w:val="24"/>
        </w:rPr>
        <w:t>PGE-MUM, a major urinary metabolite derived from PGE2, is clinically used to assess the severity of inflammatory conditions</w:t>
      </w:r>
      <w:r w:rsidR="007A14D5" w:rsidRPr="00706E08">
        <w:rPr>
          <w:rFonts w:ascii="Book Antiqua" w:hAnsi="Book Antiqua"/>
          <w:color w:val="000000" w:themeColor="text1"/>
          <w:sz w:val="24"/>
          <w:szCs w:val="24"/>
        </w:rPr>
        <w:t xml:space="preserve"> such as interstitial </w:t>
      </w:r>
      <w:proofErr w:type="gramStart"/>
      <w:r w:rsidR="007A14D5" w:rsidRPr="00706E08">
        <w:rPr>
          <w:rFonts w:ascii="Book Antiqua" w:hAnsi="Book Antiqua"/>
          <w:color w:val="000000" w:themeColor="text1"/>
          <w:sz w:val="24"/>
          <w:szCs w:val="24"/>
        </w:rPr>
        <w:t>pneumonia</w:t>
      </w:r>
      <w:r w:rsidRPr="00706E08">
        <w:rPr>
          <w:rFonts w:ascii="Book Antiqua" w:hAnsi="Book Antiqua"/>
          <w:noProof/>
          <w:color w:val="000000" w:themeColor="text1"/>
          <w:sz w:val="24"/>
          <w:szCs w:val="24"/>
          <w:vertAlign w:val="superscript"/>
        </w:rPr>
        <w:t>[</w:t>
      </w:r>
      <w:proofErr w:type="gramEnd"/>
      <w:r w:rsidRPr="00706E08">
        <w:rPr>
          <w:rFonts w:ascii="Book Antiqua" w:hAnsi="Book Antiqua"/>
          <w:noProof/>
          <w:color w:val="000000" w:themeColor="text1"/>
          <w:sz w:val="24"/>
          <w:szCs w:val="24"/>
          <w:vertAlign w:val="superscript"/>
        </w:rPr>
        <w:t>23]</w:t>
      </w:r>
      <w:r w:rsidR="007A14D5" w:rsidRPr="00706E08">
        <w:rPr>
          <w:rFonts w:ascii="Book Antiqua" w:hAnsi="Book Antiqua"/>
          <w:color w:val="000000" w:themeColor="text1"/>
          <w:sz w:val="24"/>
          <w:szCs w:val="24"/>
        </w:rPr>
        <w:t>, cystic fibrosis</w:t>
      </w:r>
      <w:r w:rsidRPr="00706E08">
        <w:rPr>
          <w:rFonts w:ascii="Book Antiqua" w:hAnsi="Book Antiqua"/>
          <w:noProof/>
          <w:color w:val="000000" w:themeColor="text1"/>
          <w:sz w:val="24"/>
          <w:szCs w:val="24"/>
          <w:vertAlign w:val="superscript"/>
        </w:rPr>
        <w:t>[29]</w:t>
      </w:r>
      <w:r w:rsidR="007A14D5" w:rsidRPr="00706E08">
        <w:rPr>
          <w:rFonts w:ascii="Book Antiqua" w:hAnsi="Book Antiqua"/>
          <w:color w:val="000000" w:themeColor="text1"/>
          <w:sz w:val="24"/>
          <w:szCs w:val="24"/>
        </w:rPr>
        <w:t>, and ulcerative colitis</w:t>
      </w:r>
      <w:r w:rsidR="007A14D5" w:rsidRPr="00706E08">
        <w:rPr>
          <w:rFonts w:ascii="Book Antiqua" w:hAnsi="Book Antiqua"/>
          <w:noProof/>
          <w:color w:val="000000" w:themeColor="text1"/>
          <w:sz w:val="24"/>
          <w:szCs w:val="24"/>
          <w:vertAlign w:val="superscript"/>
        </w:rPr>
        <w:t>[30,</w:t>
      </w:r>
      <w:r w:rsidRPr="00706E08">
        <w:rPr>
          <w:rFonts w:ascii="Book Antiqua" w:hAnsi="Book Antiqua"/>
          <w:noProof/>
          <w:color w:val="000000" w:themeColor="text1"/>
          <w:sz w:val="24"/>
          <w:szCs w:val="24"/>
          <w:vertAlign w:val="superscript"/>
        </w:rPr>
        <w:t>31]</w:t>
      </w:r>
      <w:r w:rsidRPr="00706E08">
        <w:rPr>
          <w:rFonts w:ascii="Book Antiqua" w:hAnsi="Book Antiqua"/>
          <w:color w:val="000000" w:themeColor="text1"/>
          <w:sz w:val="24"/>
          <w:szCs w:val="24"/>
        </w:rPr>
        <w:t xml:space="preserve">. Similarly, urinary </w:t>
      </w:r>
      <w:r w:rsidR="00D33B0F" w:rsidRPr="00706E08">
        <w:rPr>
          <w:rFonts w:ascii="Book Antiqua" w:hAnsi="Book Antiqua"/>
          <w:color w:val="000000" w:themeColor="text1"/>
          <w:sz w:val="24"/>
          <w:szCs w:val="24"/>
        </w:rPr>
        <w:t>PGE2</w:t>
      </w:r>
      <w:r w:rsidRPr="00706E08">
        <w:rPr>
          <w:rFonts w:ascii="Book Antiqua" w:hAnsi="Book Antiqua"/>
          <w:color w:val="000000" w:themeColor="text1"/>
          <w:sz w:val="24"/>
          <w:szCs w:val="24"/>
        </w:rPr>
        <w:t xml:space="preserve"> metabolite</w:t>
      </w:r>
      <w:r w:rsidRPr="00706E08" w:rsidDel="00061942">
        <w:rPr>
          <w:rFonts w:ascii="Book Antiqua" w:hAnsi="Book Antiqua"/>
          <w:color w:val="000000" w:themeColor="text1"/>
          <w:sz w:val="24"/>
          <w:szCs w:val="24"/>
        </w:rPr>
        <w:t xml:space="preserve"> </w:t>
      </w:r>
      <w:r w:rsidRPr="00706E08">
        <w:rPr>
          <w:rFonts w:ascii="Book Antiqua" w:hAnsi="Book Antiqua"/>
          <w:color w:val="000000" w:themeColor="text1"/>
          <w:sz w:val="24"/>
          <w:szCs w:val="24"/>
        </w:rPr>
        <w:t>concentrations in patients with CD are higher than those in patients with colorectal</w:t>
      </w:r>
      <w:r w:rsidR="007A14D5" w:rsidRPr="00706E08">
        <w:rPr>
          <w:rFonts w:ascii="Book Antiqua" w:hAnsi="Book Antiqua"/>
          <w:color w:val="000000" w:themeColor="text1"/>
          <w:sz w:val="24"/>
          <w:szCs w:val="24"/>
        </w:rPr>
        <w:t xml:space="preserve"> neoplasms and healthy </w:t>
      </w:r>
      <w:proofErr w:type="gramStart"/>
      <w:r w:rsidR="007A14D5" w:rsidRPr="00706E08">
        <w:rPr>
          <w:rFonts w:ascii="Book Antiqua" w:hAnsi="Book Antiqua"/>
          <w:color w:val="000000" w:themeColor="text1"/>
          <w:sz w:val="24"/>
          <w:szCs w:val="24"/>
        </w:rPr>
        <w:t>controls</w:t>
      </w:r>
      <w:r w:rsidRPr="00706E08">
        <w:rPr>
          <w:rFonts w:ascii="Book Antiqua" w:hAnsi="Book Antiqua"/>
          <w:noProof/>
          <w:color w:val="000000" w:themeColor="text1"/>
          <w:sz w:val="24"/>
          <w:szCs w:val="24"/>
          <w:vertAlign w:val="superscript"/>
        </w:rPr>
        <w:t>[</w:t>
      </w:r>
      <w:proofErr w:type="gramEnd"/>
      <w:r w:rsidRPr="00706E08">
        <w:rPr>
          <w:rFonts w:ascii="Book Antiqua" w:hAnsi="Book Antiqua"/>
          <w:noProof/>
          <w:color w:val="000000" w:themeColor="text1"/>
          <w:sz w:val="24"/>
          <w:szCs w:val="24"/>
          <w:vertAlign w:val="superscript"/>
        </w:rPr>
        <w:t>32]</w:t>
      </w:r>
      <w:r w:rsidRPr="00706E08">
        <w:rPr>
          <w:rFonts w:ascii="Book Antiqua" w:hAnsi="Book Antiqua"/>
          <w:color w:val="000000" w:themeColor="text1"/>
          <w:sz w:val="24"/>
          <w:szCs w:val="24"/>
        </w:rPr>
        <w:t>. Indeed, PGE-MUM concentrations in patients with CD (median 27.9, IQR 19.6</w:t>
      </w:r>
      <w:r w:rsidR="007A14D5" w:rsidRPr="00706E08">
        <w:rPr>
          <w:rFonts w:ascii="Book Antiqua" w:hAnsi="Book Antiqua"/>
          <w:color w:val="000000" w:themeColor="text1"/>
          <w:sz w:val="24"/>
          <w:szCs w:val="24"/>
          <w:lang w:eastAsia="zh-CN"/>
        </w:rPr>
        <w:t>-</w:t>
      </w:r>
      <w:r w:rsidRPr="00706E08">
        <w:rPr>
          <w:rFonts w:ascii="Book Antiqua" w:hAnsi="Book Antiqua"/>
          <w:color w:val="000000" w:themeColor="text1"/>
          <w:sz w:val="24"/>
          <w:szCs w:val="24"/>
        </w:rPr>
        <w:t xml:space="preserve">40.0 </w:t>
      </w:r>
      <w:proofErr w:type="spellStart"/>
      <w:r w:rsidR="007A14D5" w:rsidRPr="00706E08">
        <w:rPr>
          <w:rFonts w:ascii="Book Antiqua" w:hAnsi="Book Antiqua"/>
          <w:color w:val="000000" w:themeColor="text1"/>
          <w:sz w:val="24"/>
          <w:szCs w:val="24"/>
        </w:rPr>
        <w:t>μ</w:t>
      </w:r>
      <w:r w:rsidRPr="00706E08">
        <w:rPr>
          <w:rFonts w:ascii="Book Antiqua" w:hAnsi="Book Antiqua"/>
          <w:color w:val="000000" w:themeColor="text1"/>
          <w:sz w:val="24"/>
          <w:szCs w:val="24"/>
        </w:rPr>
        <w:t>g</w:t>
      </w:r>
      <w:proofErr w:type="spellEnd"/>
      <w:r w:rsidRPr="00706E08">
        <w:rPr>
          <w:rFonts w:ascii="Book Antiqua" w:hAnsi="Book Antiqua"/>
          <w:color w:val="000000" w:themeColor="text1"/>
          <w:sz w:val="24"/>
          <w:szCs w:val="24"/>
        </w:rPr>
        <w:t xml:space="preserve">/g × </w:t>
      </w:r>
      <w:proofErr w:type="spellStart"/>
      <w:r w:rsidRPr="00706E08">
        <w:rPr>
          <w:rFonts w:ascii="Book Antiqua" w:eastAsia="MS Mincho" w:hAnsi="Book Antiqua" w:cs="MS Mincho"/>
          <w:color w:val="000000" w:themeColor="text1"/>
          <w:sz w:val="24"/>
          <w:szCs w:val="24"/>
        </w:rPr>
        <w:t>Cre</w:t>
      </w:r>
      <w:proofErr w:type="spellEnd"/>
      <w:r w:rsidRPr="00706E08">
        <w:rPr>
          <w:rFonts w:ascii="Book Antiqua" w:hAnsi="Book Antiqua"/>
          <w:color w:val="000000" w:themeColor="text1"/>
          <w:sz w:val="24"/>
          <w:szCs w:val="24"/>
        </w:rPr>
        <w:t>) in the present study were higher than those in Japanese healthy controls (median 13.1, IQR 10.3</w:t>
      </w:r>
      <w:r w:rsidR="007A14D5" w:rsidRPr="00706E08">
        <w:rPr>
          <w:rFonts w:ascii="Book Antiqua" w:hAnsi="Book Antiqua"/>
          <w:color w:val="000000" w:themeColor="text1"/>
          <w:sz w:val="24"/>
          <w:szCs w:val="24"/>
          <w:lang w:eastAsia="zh-CN"/>
        </w:rPr>
        <w:t>-</w:t>
      </w:r>
      <w:r w:rsidRPr="00706E08">
        <w:rPr>
          <w:rFonts w:ascii="Book Antiqua" w:hAnsi="Book Antiqua"/>
          <w:color w:val="000000" w:themeColor="text1"/>
          <w:sz w:val="24"/>
          <w:szCs w:val="24"/>
        </w:rPr>
        <w:t>17.2</w:t>
      </w:r>
      <w:r w:rsidR="007A14D5" w:rsidRPr="00706E08">
        <w:rPr>
          <w:rFonts w:ascii="Book Antiqua" w:hAnsi="Book Antiqua"/>
          <w:color w:val="000000" w:themeColor="text1"/>
          <w:sz w:val="24"/>
          <w:szCs w:val="24"/>
          <w:lang w:eastAsia="zh-CN"/>
        </w:rPr>
        <w:t xml:space="preserve"> </w:t>
      </w:r>
      <w:proofErr w:type="spellStart"/>
      <w:r w:rsidR="007A14D5" w:rsidRPr="00706E08">
        <w:rPr>
          <w:rFonts w:ascii="Book Antiqua" w:hAnsi="Book Antiqua"/>
          <w:color w:val="000000" w:themeColor="text1"/>
          <w:sz w:val="24"/>
          <w:szCs w:val="24"/>
        </w:rPr>
        <w:t>μ</w:t>
      </w:r>
      <w:r w:rsidRPr="00706E08">
        <w:rPr>
          <w:rFonts w:ascii="Book Antiqua" w:hAnsi="Book Antiqua"/>
          <w:color w:val="000000" w:themeColor="text1"/>
          <w:sz w:val="24"/>
          <w:szCs w:val="24"/>
        </w:rPr>
        <w:t>g</w:t>
      </w:r>
      <w:proofErr w:type="spellEnd"/>
      <w:r w:rsidRPr="00706E08">
        <w:rPr>
          <w:rFonts w:ascii="Book Antiqua" w:hAnsi="Book Antiqua"/>
          <w:color w:val="000000" w:themeColor="text1"/>
          <w:sz w:val="24"/>
          <w:szCs w:val="24"/>
        </w:rPr>
        <w:t xml:space="preserve">/g × </w:t>
      </w:r>
      <w:proofErr w:type="spellStart"/>
      <w:r w:rsidRPr="00706E08">
        <w:rPr>
          <w:rFonts w:ascii="Book Antiqua" w:eastAsia="MS Mincho" w:hAnsi="Book Antiqua" w:cs="MS Mincho"/>
          <w:color w:val="000000" w:themeColor="text1"/>
          <w:sz w:val="24"/>
          <w:szCs w:val="24"/>
        </w:rPr>
        <w:t>Cre</w:t>
      </w:r>
      <w:proofErr w:type="spellEnd"/>
      <w:r w:rsidRPr="00706E08">
        <w:rPr>
          <w:rFonts w:ascii="Book Antiqua" w:hAnsi="Book Antiqua"/>
          <w:color w:val="000000" w:themeColor="text1"/>
          <w:sz w:val="24"/>
          <w:szCs w:val="24"/>
        </w:rPr>
        <w:t xml:space="preserve">) </w:t>
      </w:r>
      <w:r w:rsidR="007A14D5" w:rsidRPr="00706E08">
        <w:rPr>
          <w:rFonts w:ascii="Book Antiqua" w:hAnsi="Book Antiqua"/>
          <w:color w:val="000000" w:themeColor="text1"/>
          <w:sz w:val="24"/>
          <w:szCs w:val="24"/>
        </w:rPr>
        <w:t xml:space="preserve">as reported in previous </w:t>
      </w:r>
      <w:proofErr w:type="gramStart"/>
      <w:r w:rsidR="007A14D5" w:rsidRPr="00706E08">
        <w:rPr>
          <w:rFonts w:ascii="Book Antiqua" w:hAnsi="Book Antiqua"/>
          <w:color w:val="000000" w:themeColor="text1"/>
          <w:sz w:val="24"/>
          <w:szCs w:val="24"/>
        </w:rPr>
        <w:t>studies</w:t>
      </w:r>
      <w:r w:rsidRPr="00706E08">
        <w:rPr>
          <w:rFonts w:ascii="Book Antiqua" w:hAnsi="Book Antiqua"/>
          <w:noProof/>
          <w:color w:val="000000" w:themeColor="text1"/>
          <w:sz w:val="24"/>
          <w:szCs w:val="24"/>
          <w:vertAlign w:val="superscript"/>
        </w:rPr>
        <w:t>[</w:t>
      </w:r>
      <w:proofErr w:type="gramEnd"/>
      <w:r w:rsidR="00A8414C" w:rsidRPr="00706E08">
        <w:rPr>
          <w:rFonts w:ascii="Book Antiqua" w:hAnsi="Book Antiqua"/>
          <w:noProof/>
          <w:color w:val="000000" w:themeColor="text1"/>
          <w:sz w:val="24"/>
          <w:szCs w:val="24"/>
          <w:vertAlign w:val="superscript"/>
        </w:rPr>
        <w:t>15</w:t>
      </w:r>
      <w:r w:rsidR="007A14D5" w:rsidRPr="00706E08">
        <w:rPr>
          <w:rFonts w:ascii="Book Antiqua" w:hAnsi="Book Antiqua"/>
          <w:noProof/>
          <w:color w:val="000000" w:themeColor="text1"/>
          <w:sz w:val="24"/>
          <w:szCs w:val="24"/>
          <w:vertAlign w:val="superscript"/>
        </w:rPr>
        <w:t>,</w:t>
      </w:r>
      <w:r w:rsidRPr="00706E08">
        <w:rPr>
          <w:rFonts w:ascii="Book Antiqua" w:hAnsi="Book Antiqua"/>
          <w:noProof/>
          <w:color w:val="000000" w:themeColor="text1"/>
          <w:sz w:val="24"/>
          <w:szCs w:val="24"/>
          <w:vertAlign w:val="superscript"/>
        </w:rPr>
        <w:t>23]</w:t>
      </w:r>
      <w:r w:rsidRPr="00706E08">
        <w:rPr>
          <w:rFonts w:ascii="Book Antiqua" w:hAnsi="Book Antiqua"/>
          <w:color w:val="000000" w:themeColor="text1"/>
          <w:sz w:val="24"/>
          <w:szCs w:val="24"/>
        </w:rPr>
        <w:t>. Nevertheless, the PGE-MUM concentration, a surrogate mark</w:t>
      </w:r>
      <w:r w:rsidR="007A14D5" w:rsidRPr="00706E08">
        <w:rPr>
          <w:rFonts w:ascii="Book Antiqua" w:hAnsi="Book Antiqua"/>
          <w:color w:val="000000" w:themeColor="text1"/>
          <w:sz w:val="24"/>
          <w:szCs w:val="24"/>
        </w:rPr>
        <w:t xml:space="preserve">er of physiological PGE2 </w:t>
      </w:r>
      <w:proofErr w:type="gramStart"/>
      <w:r w:rsidR="007A14D5" w:rsidRPr="00706E08">
        <w:rPr>
          <w:rFonts w:ascii="Book Antiqua" w:hAnsi="Book Antiqua"/>
          <w:color w:val="000000" w:themeColor="text1"/>
          <w:sz w:val="24"/>
          <w:szCs w:val="24"/>
        </w:rPr>
        <w:t>levels</w:t>
      </w:r>
      <w:r w:rsidRPr="00706E08">
        <w:rPr>
          <w:rFonts w:ascii="Book Antiqua" w:hAnsi="Book Antiqua"/>
          <w:noProof/>
          <w:color w:val="000000" w:themeColor="text1"/>
          <w:sz w:val="24"/>
          <w:szCs w:val="24"/>
          <w:vertAlign w:val="superscript"/>
        </w:rPr>
        <w:t>[</w:t>
      </w:r>
      <w:proofErr w:type="gramEnd"/>
      <w:r w:rsidRPr="00706E08">
        <w:rPr>
          <w:rFonts w:ascii="Book Antiqua" w:hAnsi="Book Antiqua"/>
          <w:noProof/>
          <w:color w:val="000000" w:themeColor="text1"/>
          <w:sz w:val="24"/>
          <w:szCs w:val="24"/>
          <w:vertAlign w:val="superscript"/>
        </w:rPr>
        <w:t>30]</w:t>
      </w:r>
      <w:r w:rsidRPr="00706E08">
        <w:rPr>
          <w:rFonts w:ascii="Book Antiqua" w:hAnsi="Book Antiqua"/>
          <w:color w:val="000000" w:themeColor="text1"/>
          <w:sz w:val="24"/>
          <w:szCs w:val="24"/>
        </w:rPr>
        <w:t xml:space="preserve">, in patients with CEAS was significantly higher than in patients with CD. This difference was still significant even after the adjustment for confounding factors. In addition, we demonstrated that the provisional cut-off value (48.9 </w:t>
      </w:r>
      <w:proofErr w:type="spellStart"/>
      <w:r w:rsidR="007A14D5" w:rsidRPr="00706E08">
        <w:rPr>
          <w:rFonts w:ascii="Book Antiqua" w:hAnsi="Book Antiqua"/>
          <w:color w:val="000000" w:themeColor="text1"/>
          <w:sz w:val="24"/>
          <w:szCs w:val="24"/>
        </w:rPr>
        <w:t>μ</w:t>
      </w:r>
      <w:r w:rsidRPr="00706E08">
        <w:rPr>
          <w:rFonts w:ascii="Book Antiqua" w:hAnsi="Book Antiqua"/>
          <w:color w:val="000000" w:themeColor="text1"/>
          <w:sz w:val="24"/>
          <w:szCs w:val="24"/>
        </w:rPr>
        <w:t>g</w:t>
      </w:r>
      <w:proofErr w:type="spellEnd"/>
      <w:r w:rsidRPr="00706E08">
        <w:rPr>
          <w:rFonts w:ascii="Book Antiqua" w:hAnsi="Book Antiqua"/>
          <w:color w:val="000000" w:themeColor="text1"/>
          <w:sz w:val="24"/>
          <w:szCs w:val="24"/>
        </w:rPr>
        <w:t xml:space="preserve">/g × </w:t>
      </w:r>
      <w:proofErr w:type="spellStart"/>
      <w:r w:rsidRPr="00706E08">
        <w:rPr>
          <w:rFonts w:ascii="Book Antiqua" w:eastAsia="MS Mincho" w:hAnsi="Book Antiqua" w:cs="MS Mincho"/>
          <w:color w:val="000000" w:themeColor="text1"/>
          <w:sz w:val="24"/>
          <w:szCs w:val="24"/>
        </w:rPr>
        <w:t>Cre</w:t>
      </w:r>
      <w:proofErr w:type="spellEnd"/>
      <w:r w:rsidRPr="00706E08">
        <w:rPr>
          <w:rFonts w:ascii="Book Antiqua" w:eastAsia="MS Mincho" w:hAnsi="Book Antiqua" w:cs="MS Mincho"/>
          <w:color w:val="000000" w:themeColor="text1"/>
          <w:sz w:val="24"/>
          <w:szCs w:val="24"/>
        </w:rPr>
        <w:t>) of PGE-MUM</w:t>
      </w:r>
      <w:r w:rsidRPr="00706E08">
        <w:rPr>
          <w:rFonts w:ascii="Book Antiqua" w:hAnsi="Book Antiqua"/>
          <w:color w:val="000000" w:themeColor="text1"/>
          <w:sz w:val="24"/>
          <w:szCs w:val="24"/>
        </w:rPr>
        <w:t xml:space="preserve"> had a </w:t>
      </w:r>
      <w:r w:rsidRPr="00706E08">
        <w:rPr>
          <w:rFonts w:ascii="Book Antiqua" w:hAnsi="Book Antiqua"/>
          <w:color w:val="000000" w:themeColor="text1"/>
          <w:sz w:val="24"/>
          <w:szCs w:val="24"/>
        </w:rPr>
        <w:lastRenderedPageBreak/>
        <w:t xml:space="preserve">differentiating ability with 95.0% sensitivity and 79.6% specificity (AUC 0.90). Therefore, PGE-MUM is useful to distinguish CEAS from CD. </w:t>
      </w:r>
    </w:p>
    <w:p w14:paraId="273DC9B7" w14:textId="57796145" w:rsidR="000C7C53" w:rsidRPr="00706E08" w:rsidRDefault="000C7C53" w:rsidP="007A14D5">
      <w:pPr>
        <w:spacing w:line="360" w:lineRule="auto"/>
        <w:ind w:firstLineChars="100" w:firstLine="240"/>
        <w:jc w:val="both"/>
        <w:rPr>
          <w:rFonts w:ascii="Book Antiqua" w:hAnsi="Book Antiqua"/>
          <w:color w:val="000000" w:themeColor="text1"/>
          <w:sz w:val="24"/>
          <w:szCs w:val="24"/>
        </w:rPr>
      </w:pPr>
      <w:r w:rsidRPr="00706E08">
        <w:rPr>
          <w:rFonts w:ascii="Book Antiqua" w:hAnsi="Book Antiqua"/>
          <w:color w:val="000000" w:themeColor="text1"/>
          <w:sz w:val="24"/>
          <w:szCs w:val="24"/>
        </w:rPr>
        <w:t>Although prostaglandins are mediators of active inflammation, many experimental studies have indicated that they play pivotal roles in maintai</w:t>
      </w:r>
      <w:r w:rsidR="007A14D5" w:rsidRPr="00706E08">
        <w:rPr>
          <w:rFonts w:ascii="Book Antiqua" w:hAnsi="Book Antiqua"/>
          <w:color w:val="000000" w:themeColor="text1"/>
          <w:sz w:val="24"/>
          <w:szCs w:val="24"/>
        </w:rPr>
        <w:t xml:space="preserve">ning mucosal </w:t>
      </w:r>
      <w:proofErr w:type="gramStart"/>
      <w:r w:rsidR="007A14D5" w:rsidRPr="00706E08">
        <w:rPr>
          <w:rFonts w:ascii="Book Antiqua" w:hAnsi="Book Antiqua"/>
          <w:color w:val="000000" w:themeColor="text1"/>
          <w:sz w:val="24"/>
          <w:szCs w:val="24"/>
        </w:rPr>
        <w:t>homeostasis</w:t>
      </w:r>
      <w:r w:rsidRPr="00706E08">
        <w:rPr>
          <w:rFonts w:ascii="Book Antiqua" w:hAnsi="Book Antiqua"/>
          <w:noProof/>
          <w:color w:val="000000" w:themeColor="text1"/>
          <w:sz w:val="24"/>
          <w:szCs w:val="24"/>
          <w:vertAlign w:val="superscript"/>
        </w:rPr>
        <w:t>[</w:t>
      </w:r>
      <w:proofErr w:type="gramEnd"/>
      <w:r w:rsidRPr="00706E08">
        <w:rPr>
          <w:rFonts w:ascii="Book Antiqua" w:hAnsi="Book Antiqua"/>
          <w:noProof/>
          <w:color w:val="000000" w:themeColor="text1"/>
          <w:sz w:val="24"/>
          <w:szCs w:val="24"/>
          <w:vertAlign w:val="superscript"/>
        </w:rPr>
        <w:t>33]</w:t>
      </w:r>
      <w:r w:rsidR="007A14D5" w:rsidRPr="00706E08">
        <w:rPr>
          <w:rFonts w:ascii="Book Antiqua" w:hAnsi="Book Antiqua"/>
          <w:color w:val="000000" w:themeColor="text1"/>
          <w:sz w:val="24"/>
          <w:szCs w:val="24"/>
        </w:rPr>
        <w:t xml:space="preserve"> and mucosal repair</w:t>
      </w:r>
      <w:r w:rsidRPr="00706E08">
        <w:rPr>
          <w:rFonts w:ascii="Book Antiqua" w:hAnsi="Book Antiqua"/>
          <w:noProof/>
          <w:color w:val="000000" w:themeColor="text1"/>
          <w:sz w:val="24"/>
          <w:szCs w:val="24"/>
          <w:vertAlign w:val="superscript"/>
        </w:rPr>
        <w:t>[34]</w:t>
      </w:r>
      <w:r w:rsidRPr="00706E08">
        <w:rPr>
          <w:rFonts w:ascii="Book Antiqua" w:hAnsi="Book Antiqua"/>
          <w:color w:val="000000" w:themeColor="text1"/>
          <w:sz w:val="24"/>
          <w:szCs w:val="24"/>
        </w:rPr>
        <w:t xml:space="preserve"> of the intestine. PGE2 is mainly derived from arachidonic acid by cyclooxygenase and PGE synthase and PGE2 acts through four different receptor subtypes (EP1, EP2, EP3 and EP4), which partly determines the various physiological effects of PGE2 including the regulation of acid secretion, bicarbonate secretion, mucus production, and mucosal blood </w:t>
      </w:r>
      <w:proofErr w:type="gramStart"/>
      <w:r w:rsidRPr="00706E08">
        <w:rPr>
          <w:rFonts w:ascii="Book Antiqua" w:hAnsi="Book Antiqua"/>
          <w:color w:val="000000" w:themeColor="text1"/>
          <w:sz w:val="24"/>
          <w:szCs w:val="24"/>
        </w:rPr>
        <w:t>flow</w:t>
      </w:r>
      <w:r w:rsidRPr="00706E08">
        <w:rPr>
          <w:rFonts w:ascii="Book Antiqua" w:hAnsi="Book Antiqua"/>
          <w:noProof/>
          <w:color w:val="000000" w:themeColor="text1"/>
          <w:sz w:val="24"/>
          <w:szCs w:val="24"/>
          <w:vertAlign w:val="superscript"/>
        </w:rPr>
        <w:t>[</w:t>
      </w:r>
      <w:proofErr w:type="gramEnd"/>
      <w:r w:rsidRPr="00706E08">
        <w:rPr>
          <w:rFonts w:ascii="Book Antiqua" w:hAnsi="Book Antiqua"/>
          <w:noProof/>
          <w:color w:val="000000" w:themeColor="text1"/>
          <w:sz w:val="24"/>
          <w:szCs w:val="24"/>
          <w:vertAlign w:val="superscript"/>
        </w:rPr>
        <w:t>35]</w:t>
      </w:r>
      <w:r w:rsidRPr="00706E08">
        <w:rPr>
          <w:rFonts w:ascii="Book Antiqua" w:hAnsi="Book Antiqua"/>
          <w:color w:val="000000" w:themeColor="text1"/>
          <w:sz w:val="24"/>
          <w:szCs w:val="24"/>
        </w:rPr>
        <w:t xml:space="preserve">. In particular, dimethyl </w:t>
      </w:r>
      <w:r w:rsidR="00D33B0F" w:rsidRPr="00706E08">
        <w:rPr>
          <w:rFonts w:ascii="Book Antiqua" w:hAnsi="Book Antiqua"/>
          <w:color w:val="000000" w:themeColor="text1"/>
          <w:sz w:val="24"/>
          <w:szCs w:val="24"/>
        </w:rPr>
        <w:t>PGE2</w:t>
      </w:r>
      <w:r w:rsidRPr="00706E08">
        <w:rPr>
          <w:rFonts w:ascii="Book Antiqua" w:hAnsi="Book Antiqua"/>
          <w:color w:val="000000" w:themeColor="text1"/>
          <w:sz w:val="24"/>
          <w:szCs w:val="24"/>
        </w:rPr>
        <w:t xml:space="preserve"> (dmPGE2), a stable derivative of PGE2, was reported to exert a potent inhibitory effect against indomethacin-induced intestinal injuries in a rat model </w:t>
      </w:r>
      <w:r w:rsidRPr="00706E08">
        <w:rPr>
          <w:rFonts w:ascii="Book Antiqua" w:hAnsi="Book Antiqua"/>
          <w:i/>
          <w:color w:val="000000" w:themeColor="text1"/>
          <w:sz w:val="24"/>
          <w:szCs w:val="24"/>
        </w:rPr>
        <w:t>via</w:t>
      </w:r>
      <w:r w:rsidRPr="00706E08">
        <w:rPr>
          <w:rFonts w:ascii="Book Antiqua" w:hAnsi="Book Antiqua"/>
          <w:color w:val="000000" w:themeColor="text1"/>
          <w:sz w:val="24"/>
          <w:szCs w:val="24"/>
        </w:rPr>
        <w:t xml:space="preserve"> activation of EP3 and EP4 </w:t>
      </w:r>
      <w:proofErr w:type="gramStart"/>
      <w:r w:rsidRPr="00706E08">
        <w:rPr>
          <w:rFonts w:ascii="Book Antiqua" w:hAnsi="Book Antiqua"/>
          <w:color w:val="000000" w:themeColor="text1"/>
          <w:sz w:val="24"/>
          <w:szCs w:val="24"/>
        </w:rPr>
        <w:t>receptors</w:t>
      </w:r>
      <w:r w:rsidRPr="00706E08">
        <w:rPr>
          <w:rFonts w:ascii="Book Antiqua" w:hAnsi="Book Antiqua"/>
          <w:noProof/>
          <w:color w:val="000000" w:themeColor="text1"/>
          <w:sz w:val="24"/>
          <w:szCs w:val="24"/>
          <w:vertAlign w:val="superscript"/>
        </w:rPr>
        <w:t>[</w:t>
      </w:r>
      <w:proofErr w:type="gramEnd"/>
      <w:r w:rsidRPr="00706E08">
        <w:rPr>
          <w:rFonts w:ascii="Book Antiqua" w:hAnsi="Book Antiqua"/>
          <w:noProof/>
          <w:color w:val="000000" w:themeColor="text1"/>
          <w:sz w:val="24"/>
          <w:szCs w:val="24"/>
          <w:vertAlign w:val="superscript"/>
        </w:rPr>
        <w:t>36]</w:t>
      </w:r>
      <w:r w:rsidRPr="00706E08">
        <w:rPr>
          <w:rFonts w:ascii="Book Antiqua" w:hAnsi="Book Antiqua"/>
          <w:color w:val="000000" w:themeColor="text1"/>
          <w:sz w:val="24"/>
          <w:szCs w:val="24"/>
        </w:rPr>
        <w:t>. It was also shown that the deleterious effect of indomethacin on the healing of intestinal ulcers was induced by an EP4 antagonist and suppressed</w:t>
      </w:r>
      <w:r w:rsidRPr="00706E08" w:rsidDel="00177AF3">
        <w:rPr>
          <w:rFonts w:ascii="Book Antiqua" w:hAnsi="Book Antiqua"/>
          <w:color w:val="000000" w:themeColor="text1"/>
          <w:sz w:val="24"/>
          <w:szCs w:val="24"/>
        </w:rPr>
        <w:t xml:space="preserve"> </w:t>
      </w:r>
      <w:r w:rsidRPr="00706E08">
        <w:rPr>
          <w:rFonts w:ascii="Book Antiqua" w:hAnsi="Book Antiqua"/>
          <w:color w:val="000000" w:themeColor="text1"/>
          <w:sz w:val="24"/>
          <w:szCs w:val="24"/>
        </w:rPr>
        <w:t>by the co-administration of</w:t>
      </w:r>
      <w:r w:rsidR="007A14D5" w:rsidRPr="00706E08">
        <w:rPr>
          <w:rFonts w:ascii="Book Antiqua" w:hAnsi="Book Antiqua"/>
          <w:color w:val="000000" w:themeColor="text1"/>
          <w:sz w:val="24"/>
          <w:szCs w:val="24"/>
        </w:rPr>
        <w:t xml:space="preserve"> PGE2 as well as an EP4 </w:t>
      </w:r>
      <w:proofErr w:type="gramStart"/>
      <w:r w:rsidR="007A14D5" w:rsidRPr="00706E08">
        <w:rPr>
          <w:rFonts w:ascii="Book Antiqua" w:hAnsi="Book Antiqua"/>
          <w:color w:val="000000" w:themeColor="text1"/>
          <w:sz w:val="24"/>
          <w:szCs w:val="24"/>
        </w:rPr>
        <w:t>agonist</w:t>
      </w:r>
      <w:r w:rsidRPr="00706E08">
        <w:rPr>
          <w:rFonts w:ascii="Book Antiqua" w:hAnsi="Book Antiqua"/>
          <w:noProof/>
          <w:color w:val="000000" w:themeColor="text1"/>
          <w:sz w:val="24"/>
          <w:szCs w:val="24"/>
          <w:vertAlign w:val="superscript"/>
        </w:rPr>
        <w:t>[</w:t>
      </w:r>
      <w:proofErr w:type="gramEnd"/>
      <w:r w:rsidRPr="00706E08">
        <w:rPr>
          <w:rFonts w:ascii="Book Antiqua" w:hAnsi="Book Antiqua"/>
          <w:noProof/>
          <w:color w:val="000000" w:themeColor="text1"/>
          <w:sz w:val="24"/>
          <w:szCs w:val="24"/>
          <w:vertAlign w:val="superscript"/>
        </w:rPr>
        <w:t>34]</w:t>
      </w:r>
      <w:r w:rsidRPr="00706E08">
        <w:rPr>
          <w:rFonts w:ascii="Book Antiqua" w:hAnsi="Book Antiqua"/>
          <w:color w:val="000000" w:themeColor="text1"/>
          <w:sz w:val="24"/>
          <w:szCs w:val="24"/>
        </w:rPr>
        <w:t xml:space="preserve">. These results indicate that the protective effect of PGE2 on mucosal injury of the intestine is caused by EP3 and EP4 activation. </w:t>
      </w:r>
    </w:p>
    <w:p w14:paraId="08702F00" w14:textId="222D279F" w:rsidR="000C7C53" w:rsidRPr="00706E08" w:rsidRDefault="000C7C53" w:rsidP="007A14D5">
      <w:pPr>
        <w:spacing w:line="360" w:lineRule="auto"/>
        <w:ind w:firstLineChars="100" w:firstLine="240"/>
        <w:jc w:val="both"/>
        <w:rPr>
          <w:rFonts w:ascii="Book Antiqua" w:hAnsi="Book Antiqua"/>
          <w:color w:val="000000" w:themeColor="text1"/>
          <w:sz w:val="24"/>
          <w:szCs w:val="24"/>
        </w:rPr>
      </w:pPr>
      <w:r w:rsidRPr="00706E08">
        <w:rPr>
          <w:rFonts w:ascii="Book Antiqua" w:hAnsi="Book Antiqua"/>
          <w:color w:val="000000" w:themeColor="text1"/>
          <w:sz w:val="24"/>
          <w:szCs w:val="24"/>
        </w:rPr>
        <w:t xml:space="preserve">PHO, which develops skin and bone disorders caused by impaired prostaglandin metabolism, is classified into two types: PHOAR2 caused by the </w:t>
      </w:r>
      <w:r w:rsidRPr="00706E08">
        <w:rPr>
          <w:rFonts w:ascii="Book Antiqua" w:hAnsi="Book Antiqua"/>
          <w:i/>
          <w:color w:val="000000" w:themeColor="text1"/>
          <w:sz w:val="24"/>
          <w:szCs w:val="24"/>
        </w:rPr>
        <w:t xml:space="preserve">SLCO2A1 </w:t>
      </w:r>
      <w:proofErr w:type="gramStart"/>
      <w:r w:rsidR="007A14D5" w:rsidRPr="00706E08">
        <w:rPr>
          <w:rFonts w:ascii="Book Antiqua" w:hAnsi="Book Antiqua"/>
          <w:color w:val="000000" w:themeColor="text1"/>
          <w:sz w:val="24"/>
          <w:szCs w:val="24"/>
        </w:rPr>
        <w:t>gene</w:t>
      </w:r>
      <w:r w:rsidRPr="00706E08">
        <w:rPr>
          <w:rFonts w:ascii="Book Antiqua" w:hAnsi="Book Antiqua"/>
          <w:noProof/>
          <w:color w:val="000000" w:themeColor="text1"/>
          <w:sz w:val="24"/>
          <w:szCs w:val="24"/>
          <w:vertAlign w:val="superscript"/>
        </w:rPr>
        <w:t>[</w:t>
      </w:r>
      <w:proofErr w:type="gramEnd"/>
      <w:r w:rsidRPr="00706E08">
        <w:rPr>
          <w:rFonts w:ascii="Book Antiqua" w:hAnsi="Book Antiqua"/>
          <w:noProof/>
          <w:color w:val="000000" w:themeColor="text1"/>
          <w:sz w:val="24"/>
          <w:szCs w:val="24"/>
          <w:vertAlign w:val="superscript"/>
        </w:rPr>
        <w:t>12]</w:t>
      </w:r>
      <w:r w:rsidRPr="00706E08">
        <w:rPr>
          <w:rFonts w:ascii="Book Antiqua" w:hAnsi="Book Antiqua"/>
          <w:color w:val="000000" w:themeColor="text1"/>
          <w:sz w:val="24"/>
          <w:szCs w:val="24"/>
        </w:rPr>
        <w:t xml:space="preserve">, and PHOAR1 caused by the </w:t>
      </w:r>
      <w:r w:rsidRPr="00706E08">
        <w:rPr>
          <w:rFonts w:ascii="Book Antiqua" w:hAnsi="Book Antiqua"/>
          <w:i/>
          <w:color w:val="000000" w:themeColor="text1"/>
          <w:sz w:val="24"/>
          <w:szCs w:val="24"/>
        </w:rPr>
        <w:t xml:space="preserve">HPGD </w:t>
      </w:r>
      <w:r w:rsidR="007A14D5" w:rsidRPr="00706E08">
        <w:rPr>
          <w:rFonts w:ascii="Book Antiqua" w:hAnsi="Book Antiqua"/>
          <w:color w:val="000000" w:themeColor="text1"/>
          <w:sz w:val="24"/>
          <w:szCs w:val="24"/>
        </w:rPr>
        <w:t>gene</w:t>
      </w:r>
      <w:r w:rsidRPr="00706E08">
        <w:rPr>
          <w:rFonts w:ascii="Book Antiqua" w:hAnsi="Book Antiqua"/>
          <w:noProof/>
          <w:color w:val="000000" w:themeColor="text1"/>
          <w:sz w:val="24"/>
          <w:szCs w:val="24"/>
          <w:vertAlign w:val="superscript"/>
        </w:rPr>
        <w:t>[37]</w:t>
      </w:r>
      <w:r w:rsidRPr="00706E08">
        <w:rPr>
          <w:rFonts w:ascii="Book Antiqua" w:hAnsi="Book Antiqua"/>
          <w:color w:val="000000" w:themeColor="text1"/>
          <w:sz w:val="24"/>
          <w:szCs w:val="24"/>
        </w:rPr>
        <w:t xml:space="preserve">. Prostaglandin-signaling is terminated by the cellular uptake of prostaglandins </w:t>
      </w:r>
      <w:r w:rsidRPr="00706E08">
        <w:rPr>
          <w:rFonts w:ascii="Book Antiqua" w:hAnsi="Book Antiqua"/>
          <w:i/>
          <w:color w:val="000000" w:themeColor="text1"/>
          <w:sz w:val="24"/>
          <w:szCs w:val="24"/>
        </w:rPr>
        <w:t>via</w:t>
      </w:r>
      <w:r w:rsidRPr="00706E08">
        <w:rPr>
          <w:rFonts w:ascii="Book Antiqua" w:hAnsi="Book Antiqua"/>
          <w:color w:val="000000" w:themeColor="text1"/>
          <w:sz w:val="24"/>
          <w:szCs w:val="24"/>
        </w:rPr>
        <w:t xml:space="preserve"> the prostaglandin transporter, followed by intracellular oxidation by 15-ketoprostaglandin dehydrogenase (15-PGDH) encoded by the </w:t>
      </w:r>
      <w:r w:rsidRPr="00706E08">
        <w:rPr>
          <w:rFonts w:ascii="Book Antiqua" w:hAnsi="Book Antiqua"/>
          <w:i/>
          <w:color w:val="000000" w:themeColor="text1"/>
          <w:sz w:val="24"/>
          <w:szCs w:val="24"/>
        </w:rPr>
        <w:t>HPGD</w:t>
      </w:r>
      <w:r w:rsidR="007A14D5" w:rsidRPr="00706E08">
        <w:rPr>
          <w:rFonts w:ascii="Book Antiqua" w:hAnsi="Book Antiqua"/>
          <w:color w:val="000000" w:themeColor="text1"/>
          <w:sz w:val="24"/>
          <w:szCs w:val="24"/>
        </w:rPr>
        <w:t xml:space="preserve"> </w:t>
      </w:r>
      <w:proofErr w:type="gramStart"/>
      <w:r w:rsidR="007A14D5" w:rsidRPr="00706E08">
        <w:rPr>
          <w:rFonts w:ascii="Book Antiqua" w:hAnsi="Book Antiqua"/>
          <w:color w:val="000000" w:themeColor="text1"/>
          <w:sz w:val="24"/>
          <w:szCs w:val="24"/>
        </w:rPr>
        <w:t>gene</w:t>
      </w:r>
      <w:r w:rsidRPr="00706E08">
        <w:rPr>
          <w:rFonts w:ascii="Book Antiqua" w:hAnsi="Book Antiqua"/>
          <w:noProof/>
          <w:color w:val="000000" w:themeColor="text1"/>
          <w:sz w:val="24"/>
          <w:szCs w:val="24"/>
          <w:vertAlign w:val="superscript"/>
        </w:rPr>
        <w:t>[</w:t>
      </w:r>
      <w:proofErr w:type="gramEnd"/>
      <w:r w:rsidRPr="00706E08">
        <w:rPr>
          <w:rFonts w:ascii="Book Antiqua" w:hAnsi="Book Antiqua"/>
          <w:noProof/>
          <w:color w:val="000000" w:themeColor="text1"/>
          <w:sz w:val="24"/>
          <w:szCs w:val="24"/>
          <w:vertAlign w:val="superscript"/>
        </w:rPr>
        <w:t>38]</w:t>
      </w:r>
      <w:r w:rsidRPr="00706E08">
        <w:rPr>
          <w:rFonts w:ascii="Book Antiqua" w:hAnsi="Book Antiqua"/>
          <w:color w:val="000000" w:themeColor="text1"/>
          <w:sz w:val="24"/>
          <w:szCs w:val="24"/>
        </w:rPr>
        <w:t xml:space="preserve">. Thus, cellular uptake of prostaglandins is the first critical step in inactivating prostaglandins. The </w:t>
      </w:r>
      <w:r w:rsidRPr="00706E08">
        <w:rPr>
          <w:rFonts w:ascii="Book Antiqua" w:hAnsi="Book Antiqua"/>
          <w:i/>
          <w:color w:val="000000" w:themeColor="text1"/>
          <w:sz w:val="24"/>
          <w:szCs w:val="24"/>
        </w:rPr>
        <w:t xml:space="preserve">SLCO2A1 </w:t>
      </w:r>
      <w:r w:rsidRPr="00706E08">
        <w:rPr>
          <w:rFonts w:ascii="Book Antiqua" w:hAnsi="Book Antiqua"/>
          <w:color w:val="000000" w:themeColor="text1"/>
          <w:sz w:val="24"/>
          <w:szCs w:val="24"/>
        </w:rPr>
        <w:t xml:space="preserve">gene mediates the degradation of prostaglandins </w:t>
      </w:r>
      <w:r w:rsidRPr="00706E08">
        <w:rPr>
          <w:rFonts w:ascii="Book Antiqua" w:hAnsi="Book Antiqua"/>
          <w:i/>
          <w:color w:val="000000" w:themeColor="text1"/>
          <w:sz w:val="24"/>
          <w:szCs w:val="24"/>
        </w:rPr>
        <w:t>via</w:t>
      </w:r>
      <w:r w:rsidR="007A14D5" w:rsidRPr="00706E08">
        <w:rPr>
          <w:rFonts w:ascii="Book Antiqua" w:hAnsi="Book Antiqua"/>
          <w:color w:val="000000" w:themeColor="text1"/>
          <w:sz w:val="24"/>
          <w:szCs w:val="24"/>
        </w:rPr>
        <w:t xml:space="preserve"> their intracellular </w:t>
      </w:r>
      <w:proofErr w:type="gramStart"/>
      <w:r w:rsidR="007A14D5" w:rsidRPr="00706E08">
        <w:rPr>
          <w:rFonts w:ascii="Book Antiqua" w:hAnsi="Book Antiqua"/>
          <w:color w:val="000000" w:themeColor="text1"/>
          <w:sz w:val="24"/>
          <w:szCs w:val="24"/>
        </w:rPr>
        <w:t>uptake</w:t>
      </w:r>
      <w:r w:rsidR="007A14D5" w:rsidRPr="00706E08">
        <w:rPr>
          <w:rFonts w:ascii="Book Antiqua" w:hAnsi="Book Antiqua"/>
          <w:noProof/>
          <w:color w:val="000000" w:themeColor="text1"/>
          <w:sz w:val="24"/>
          <w:szCs w:val="24"/>
          <w:vertAlign w:val="superscript"/>
        </w:rPr>
        <w:t>[</w:t>
      </w:r>
      <w:proofErr w:type="gramEnd"/>
      <w:r w:rsidR="007A14D5" w:rsidRPr="00706E08">
        <w:rPr>
          <w:rFonts w:ascii="Book Antiqua" w:hAnsi="Book Antiqua"/>
          <w:noProof/>
          <w:color w:val="000000" w:themeColor="text1"/>
          <w:sz w:val="24"/>
          <w:szCs w:val="24"/>
          <w:vertAlign w:val="superscript"/>
        </w:rPr>
        <w:t>39,</w:t>
      </w:r>
      <w:r w:rsidRPr="00706E08">
        <w:rPr>
          <w:rFonts w:ascii="Book Antiqua" w:hAnsi="Book Antiqua"/>
          <w:noProof/>
          <w:color w:val="000000" w:themeColor="text1"/>
          <w:sz w:val="24"/>
          <w:szCs w:val="24"/>
          <w:vertAlign w:val="superscript"/>
        </w:rPr>
        <w:t>40]</w:t>
      </w:r>
      <w:r w:rsidRPr="00706E08">
        <w:rPr>
          <w:rFonts w:ascii="Book Antiqua" w:hAnsi="Book Antiqua"/>
          <w:color w:val="000000" w:themeColor="text1"/>
          <w:sz w:val="24"/>
          <w:szCs w:val="24"/>
        </w:rPr>
        <w:t xml:space="preserve">. The </w:t>
      </w:r>
      <w:r w:rsidRPr="00706E08">
        <w:rPr>
          <w:rFonts w:ascii="Book Antiqua" w:hAnsi="Book Antiqua"/>
          <w:i/>
          <w:color w:val="000000" w:themeColor="text1"/>
          <w:sz w:val="24"/>
          <w:szCs w:val="24"/>
        </w:rPr>
        <w:t xml:space="preserve">HPGD </w:t>
      </w:r>
      <w:r w:rsidRPr="00706E08">
        <w:rPr>
          <w:rFonts w:ascii="Book Antiqua" w:hAnsi="Book Antiqua"/>
          <w:color w:val="000000" w:themeColor="text1"/>
          <w:sz w:val="24"/>
          <w:szCs w:val="24"/>
        </w:rPr>
        <w:t>gene is also related to the degradation of prostaglandins by encoding intracellular oxidation enzymes of 15-PGDH. In both conditions, significantly elevated plasma</w:t>
      </w:r>
      <w:r w:rsidR="007A14D5" w:rsidRPr="00706E08">
        <w:rPr>
          <w:rFonts w:ascii="Book Antiqua" w:hAnsi="Book Antiqua"/>
          <w:color w:val="000000" w:themeColor="text1"/>
          <w:sz w:val="24"/>
          <w:szCs w:val="24"/>
        </w:rPr>
        <w:t xml:space="preserve"> PGE2 levels have been </w:t>
      </w:r>
      <w:proofErr w:type="gramStart"/>
      <w:r w:rsidR="007A14D5" w:rsidRPr="00706E08">
        <w:rPr>
          <w:rFonts w:ascii="Book Antiqua" w:hAnsi="Book Antiqua"/>
          <w:color w:val="000000" w:themeColor="text1"/>
          <w:sz w:val="24"/>
          <w:szCs w:val="24"/>
        </w:rPr>
        <w:t>observed</w:t>
      </w:r>
      <w:r w:rsidRPr="00706E08">
        <w:rPr>
          <w:rFonts w:ascii="Book Antiqua" w:hAnsi="Book Antiqua"/>
          <w:noProof/>
          <w:color w:val="000000" w:themeColor="text1"/>
          <w:sz w:val="24"/>
          <w:szCs w:val="24"/>
          <w:vertAlign w:val="superscript"/>
        </w:rPr>
        <w:t>[</w:t>
      </w:r>
      <w:proofErr w:type="gramEnd"/>
      <w:r w:rsidRPr="00706E08">
        <w:rPr>
          <w:rFonts w:ascii="Book Antiqua" w:hAnsi="Book Antiqua"/>
          <w:noProof/>
          <w:color w:val="000000" w:themeColor="text1"/>
          <w:sz w:val="24"/>
          <w:szCs w:val="24"/>
          <w:vertAlign w:val="superscript"/>
        </w:rPr>
        <w:t>1</w:t>
      </w:r>
      <w:r w:rsidR="00967E00" w:rsidRPr="00706E08">
        <w:rPr>
          <w:rFonts w:ascii="Book Antiqua" w:hAnsi="Book Antiqua"/>
          <w:noProof/>
          <w:color w:val="000000" w:themeColor="text1"/>
          <w:sz w:val="24"/>
          <w:szCs w:val="24"/>
          <w:vertAlign w:val="superscript"/>
        </w:rPr>
        <w:t>3</w:t>
      </w:r>
      <w:r w:rsidR="007A14D5" w:rsidRPr="00706E08">
        <w:rPr>
          <w:rFonts w:ascii="Book Antiqua" w:hAnsi="Book Antiqua"/>
          <w:noProof/>
          <w:color w:val="000000" w:themeColor="text1"/>
          <w:sz w:val="24"/>
          <w:szCs w:val="24"/>
          <w:vertAlign w:val="superscript"/>
        </w:rPr>
        <w:t>,</w:t>
      </w:r>
      <w:r w:rsidRPr="00706E08">
        <w:rPr>
          <w:rFonts w:ascii="Book Antiqua" w:hAnsi="Book Antiqua"/>
          <w:noProof/>
          <w:color w:val="000000" w:themeColor="text1"/>
          <w:sz w:val="24"/>
          <w:szCs w:val="24"/>
          <w:vertAlign w:val="superscript"/>
        </w:rPr>
        <w:t>37]</w:t>
      </w:r>
      <w:r w:rsidRPr="00706E08">
        <w:rPr>
          <w:rFonts w:ascii="Book Antiqua" w:hAnsi="Book Antiqua"/>
          <w:color w:val="000000" w:themeColor="text1"/>
          <w:sz w:val="24"/>
          <w:szCs w:val="24"/>
        </w:rPr>
        <w:t xml:space="preserve">. Because PGE2 promotes the proliferation of osteoblasts in </w:t>
      </w:r>
      <w:r w:rsidRPr="00706E08">
        <w:rPr>
          <w:rFonts w:ascii="Book Antiqua" w:hAnsi="Book Antiqua"/>
          <w:color w:val="000000" w:themeColor="text1"/>
          <w:sz w:val="24"/>
          <w:szCs w:val="24"/>
        </w:rPr>
        <w:lastRenderedPageBreak/>
        <w:t xml:space="preserve">bone tissue </w:t>
      </w:r>
      <w:r w:rsidRPr="00706E08">
        <w:rPr>
          <w:rFonts w:ascii="Book Antiqua" w:hAnsi="Book Antiqua"/>
          <w:i/>
          <w:color w:val="000000" w:themeColor="text1"/>
          <w:sz w:val="24"/>
          <w:szCs w:val="24"/>
        </w:rPr>
        <w:t>via</w:t>
      </w:r>
      <w:r w:rsidRPr="00706E08">
        <w:rPr>
          <w:rFonts w:ascii="Book Antiqua" w:hAnsi="Book Antiqua"/>
          <w:color w:val="000000" w:themeColor="text1"/>
          <w:sz w:val="24"/>
          <w:szCs w:val="24"/>
        </w:rPr>
        <w:t xml:space="preserve"> the expression of vas</w:t>
      </w:r>
      <w:r w:rsidR="007A14D5" w:rsidRPr="00706E08">
        <w:rPr>
          <w:rFonts w:ascii="Book Antiqua" w:hAnsi="Book Antiqua"/>
          <w:color w:val="000000" w:themeColor="text1"/>
          <w:sz w:val="24"/>
          <w:szCs w:val="24"/>
        </w:rPr>
        <w:t xml:space="preserve">cular endothelial growth </w:t>
      </w:r>
      <w:proofErr w:type="gramStart"/>
      <w:r w:rsidR="007A14D5" w:rsidRPr="00706E08">
        <w:rPr>
          <w:rFonts w:ascii="Book Antiqua" w:hAnsi="Book Antiqua"/>
          <w:color w:val="000000" w:themeColor="text1"/>
          <w:sz w:val="24"/>
          <w:szCs w:val="24"/>
        </w:rPr>
        <w:t>factor</w:t>
      </w:r>
      <w:r w:rsidR="007A14D5" w:rsidRPr="00706E08">
        <w:rPr>
          <w:rFonts w:ascii="Book Antiqua" w:hAnsi="Book Antiqua"/>
          <w:noProof/>
          <w:color w:val="000000" w:themeColor="text1"/>
          <w:sz w:val="24"/>
          <w:szCs w:val="24"/>
          <w:vertAlign w:val="superscript"/>
        </w:rPr>
        <w:t>[</w:t>
      </w:r>
      <w:proofErr w:type="gramEnd"/>
      <w:r w:rsidR="007A14D5" w:rsidRPr="00706E08">
        <w:rPr>
          <w:rFonts w:ascii="Book Antiqua" w:hAnsi="Book Antiqua"/>
          <w:noProof/>
          <w:color w:val="000000" w:themeColor="text1"/>
          <w:sz w:val="24"/>
          <w:szCs w:val="24"/>
          <w:vertAlign w:val="superscript"/>
        </w:rPr>
        <w:t>41,</w:t>
      </w:r>
      <w:r w:rsidRPr="00706E08">
        <w:rPr>
          <w:rFonts w:ascii="Book Antiqua" w:hAnsi="Book Antiqua"/>
          <w:noProof/>
          <w:color w:val="000000" w:themeColor="text1"/>
          <w:sz w:val="24"/>
          <w:szCs w:val="24"/>
          <w:vertAlign w:val="superscript"/>
        </w:rPr>
        <w:t>42]</w:t>
      </w:r>
      <w:r w:rsidRPr="00706E08">
        <w:rPr>
          <w:rFonts w:ascii="Book Antiqua" w:hAnsi="Book Antiqua"/>
          <w:color w:val="000000" w:themeColor="text1"/>
          <w:sz w:val="24"/>
          <w:szCs w:val="24"/>
        </w:rPr>
        <w:t xml:space="preserve">, various clinical manifestations of PHO such as digital clubbing, </w:t>
      </w:r>
      <w:proofErr w:type="spellStart"/>
      <w:r w:rsidRPr="00706E08">
        <w:rPr>
          <w:rFonts w:ascii="Book Antiqua" w:hAnsi="Book Antiqua"/>
          <w:color w:val="000000" w:themeColor="text1"/>
          <w:sz w:val="24"/>
          <w:szCs w:val="24"/>
        </w:rPr>
        <w:t>periostosis</w:t>
      </w:r>
      <w:proofErr w:type="spellEnd"/>
      <w:r w:rsidRPr="00706E08">
        <w:rPr>
          <w:rFonts w:ascii="Book Antiqua" w:hAnsi="Book Antiqua"/>
          <w:color w:val="000000" w:themeColor="text1"/>
          <w:sz w:val="24"/>
          <w:szCs w:val="24"/>
        </w:rPr>
        <w:t xml:space="preserve">, </w:t>
      </w:r>
      <w:proofErr w:type="spellStart"/>
      <w:r w:rsidRPr="00706E08">
        <w:rPr>
          <w:rFonts w:ascii="Book Antiqua" w:hAnsi="Book Antiqua"/>
          <w:color w:val="000000" w:themeColor="text1"/>
          <w:sz w:val="24"/>
          <w:szCs w:val="24"/>
        </w:rPr>
        <w:t>acroosteolysis</w:t>
      </w:r>
      <w:proofErr w:type="spellEnd"/>
      <w:r w:rsidRPr="00706E08">
        <w:rPr>
          <w:rFonts w:ascii="Book Antiqua" w:hAnsi="Book Antiqua"/>
          <w:color w:val="000000" w:themeColor="text1"/>
          <w:sz w:val="24"/>
          <w:szCs w:val="24"/>
        </w:rPr>
        <w:t>, painful joint enlargement, and thickened skin, are suggested to be the consequence of an overabundance of PGE2. Although PGE2 is protective against ga</w:t>
      </w:r>
      <w:r w:rsidR="007A14D5" w:rsidRPr="00706E08">
        <w:rPr>
          <w:rFonts w:ascii="Book Antiqua" w:hAnsi="Book Antiqua"/>
          <w:color w:val="000000" w:themeColor="text1"/>
          <w:sz w:val="24"/>
          <w:szCs w:val="24"/>
        </w:rPr>
        <w:t xml:space="preserve">strointestinal mucosal </w:t>
      </w:r>
      <w:proofErr w:type="gramStart"/>
      <w:r w:rsidR="007A14D5" w:rsidRPr="00706E08">
        <w:rPr>
          <w:rFonts w:ascii="Book Antiqua" w:hAnsi="Book Antiqua"/>
          <w:color w:val="000000" w:themeColor="text1"/>
          <w:sz w:val="24"/>
          <w:szCs w:val="24"/>
        </w:rPr>
        <w:t>injuries</w:t>
      </w:r>
      <w:r w:rsidR="007A14D5" w:rsidRPr="00706E08">
        <w:rPr>
          <w:rFonts w:ascii="Book Antiqua" w:hAnsi="Book Antiqua"/>
          <w:noProof/>
          <w:color w:val="000000" w:themeColor="text1"/>
          <w:sz w:val="24"/>
          <w:szCs w:val="24"/>
          <w:vertAlign w:val="superscript"/>
        </w:rPr>
        <w:t>[</w:t>
      </w:r>
      <w:proofErr w:type="gramEnd"/>
      <w:r w:rsidR="007A14D5" w:rsidRPr="00706E08">
        <w:rPr>
          <w:rFonts w:ascii="Book Antiqua" w:hAnsi="Book Antiqua"/>
          <w:noProof/>
          <w:color w:val="000000" w:themeColor="text1"/>
          <w:sz w:val="24"/>
          <w:szCs w:val="24"/>
          <w:vertAlign w:val="superscript"/>
        </w:rPr>
        <w:t>35,</w:t>
      </w:r>
      <w:r w:rsidRPr="00706E08">
        <w:rPr>
          <w:rFonts w:ascii="Book Antiqua" w:hAnsi="Book Antiqua"/>
          <w:noProof/>
          <w:color w:val="000000" w:themeColor="text1"/>
          <w:sz w:val="24"/>
          <w:szCs w:val="24"/>
          <w:vertAlign w:val="superscript"/>
        </w:rPr>
        <w:t>42]</w:t>
      </w:r>
      <w:r w:rsidRPr="00706E08">
        <w:rPr>
          <w:rFonts w:ascii="Book Antiqua" w:hAnsi="Book Antiqua"/>
          <w:color w:val="000000" w:themeColor="text1"/>
          <w:sz w:val="24"/>
          <w:szCs w:val="24"/>
        </w:rPr>
        <w:t>, multiple ileal ulcers occur in patients with CEAS, in whom systemic levels of PGE2 are elevated. Considering our previous result that the prostaglandin transporter was expressed on the cellular membran</w:t>
      </w:r>
      <w:r w:rsidR="007A14D5" w:rsidRPr="00706E08">
        <w:rPr>
          <w:rFonts w:ascii="Book Antiqua" w:hAnsi="Book Antiqua"/>
          <w:color w:val="000000" w:themeColor="text1"/>
          <w:sz w:val="24"/>
          <w:szCs w:val="24"/>
        </w:rPr>
        <w:t xml:space="preserve">e of vascular endothelial </w:t>
      </w:r>
      <w:proofErr w:type="gramStart"/>
      <w:r w:rsidR="007A14D5" w:rsidRPr="00706E08">
        <w:rPr>
          <w:rFonts w:ascii="Book Antiqua" w:hAnsi="Book Antiqua"/>
          <w:color w:val="000000" w:themeColor="text1"/>
          <w:sz w:val="24"/>
          <w:szCs w:val="24"/>
        </w:rPr>
        <w:t>cells</w:t>
      </w:r>
      <w:r w:rsidRPr="00706E08">
        <w:rPr>
          <w:rFonts w:ascii="Book Antiqua" w:hAnsi="Book Antiqua"/>
          <w:noProof/>
          <w:color w:val="000000" w:themeColor="text1"/>
          <w:sz w:val="24"/>
          <w:szCs w:val="24"/>
          <w:vertAlign w:val="superscript"/>
        </w:rPr>
        <w:t>[</w:t>
      </w:r>
      <w:proofErr w:type="gramEnd"/>
      <w:r w:rsidRPr="00706E08">
        <w:rPr>
          <w:rFonts w:ascii="Book Antiqua" w:hAnsi="Book Antiqua"/>
          <w:noProof/>
          <w:color w:val="000000" w:themeColor="text1"/>
          <w:sz w:val="24"/>
          <w:szCs w:val="24"/>
          <w:vertAlign w:val="superscript"/>
        </w:rPr>
        <w:t>10]</w:t>
      </w:r>
      <w:r w:rsidRPr="00706E08">
        <w:rPr>
          <w:rFonts w:ascii="Book Antiqua" w:hAnsi="Book Antiqua"/>
          <w:color w:val="000000" w:themeColor="text1"/>
          <w:sz w:val="24"/>
          <w:szCs w:val="24"/>
        </w:rPr>
        <w:t xml:space="preserve">, it can be presumed that impaired prostaglandin use in the intestinal mucosa caused by mutation of the </w:t>
      </w:r>
      <w:r w:rsidRPr="00706E08">
        <w:rPr>
          <w:rFonts w:ascii="Book Antiqua" w:hAnsi="Book Antiqua"/>
          <w:i/>
          <w:color w:val="000000" w:themeColor="text1"/>
          <w:sz w:val="24"/>
          <w:szCs w:val="24"/>
        </w:rPr>
        <w:t xml:space="preserve">SLCO2A1 </w:t>
      </w:r>
      <w:r w:rsidRPr="00706E08">
        <w:rPr>
          <w:rFonts w:ascii="Book Antiqua" w:hAnsi="Book Antiqua"/>
          <w:color w:val="000000" w:themeColor="text1"/>
          <w:sz w:val="24"/>
          <w:szCs w:val="24"/>
        </w:rPr>
        <w:t xml:space="preserve">gene is a major factor in the pathogenesis of intestinal ulcers in CEAS. </w:t>
      </w:r>
    </w:p>
    <w:p w14:paraId="52C7CB58" w14:textId="1C670C31" w:rsidR="000C7C53" w:rsidRPr="00706E08" w:rsidRDefault="000C7C53" w:rsidP="007A14D5">
      <w:pPr>
        <w:spacing w:line="360" w:lineRule="auto"/>
        <w:ind w:firstLineChars="100" w:firstLine="240"/>
        <w:jc w:val="both"/>
        <w:rPr>
          <w:rFonts w:ascii="Book Antiqua" w:hAnsi="Book Antiqua"/>
          <w:color w:val="000000" w:themeColor="text1"/>
          <w:sz w:val="24"/>
          <w:szCs w:val="24"/>
        </w:rPr>
      </w:pPr>
      <w:r w:rsidRPr="00706E08">
        <w:rPr>
          <w:rFonts w:ascii="Book Antiqua" w:hAnsi="Book Antiqua"/>
          <w:color w:val="000000" w:themeColor="text1"/>
          <w:sz w:val="24"/>
          <w:szCs w:val="24"/>
        </w:rPr>
        <w:t xml:space="preserve">Cryptogenic multifocal ulcerous stenosing enteritis (CMUSE) is another disease entity that causes gastrointestinal ulcerations resembling </w:t>
      </w:r>
      <w:proofErr w:type="gramStart"/>
      <w:r w:rsidRPr="00706E08">
        <w:rPr>
          <w:rFonts w:ascii="Book Antiqua" w:hAnsi="Book Antiqua"/>
          <w:color w:val="000000" w:themeColor="text1"/>
          <w:sz w:val="24"/>
          <w:szCs w:val="24"/>
        </w:rPr>
        <w:t>CEAS</w:t>
      </w:r>
      <w:r w:rsidR="007A14D5" w:rsidRPr="00706E08">
        <w:rPr>
          <w:rFonts w:ascii="Book Antiqua" w:hAnsi="Book Antiqua"/>
          <w:noProof/>
          <w:color w:val="000000" w:themeColor="text1"/>
          <w:sz w:val="24"/>
          <w:szCs w:val="24"/>
          <w:vertAlign w:val="superscript"/>
        </w:rPr>
        <w:t>[</w:t>
      </w:r>
      <w:proofErr w:type="gramEnd"/>
      <w:r w:rsidR="007A14D5" w:rsidRPr="00706E08">
        <w:rPr>
          <w:rFonts w:ascii="Book Antiqua" w:hAnsi="Book Antiqua"/>
          <w:noProof/>
          <w:color w:val="000000" w:themeColor="text1"/>
          <w:sz w:val="24"/>
          <w:szCs w:val="24"/>
          <w:vertAlign w:val="superscript"/>
        </w:rPr>
        <w:t>43,</w:t>
      </w:r>
      <w:r w:rsidRPr="00706E08">
        <w:rPr>
          <w:rFonts w:ascii="Book Antiqua" w:hAnsi="Book Antiqua"/>
          <w:noProof/>
          <w:color w:val="000000" w:themeColor="text1"/>
          <w:sz w:val="24"/>
          <w:szCs w:val="24"/>
          <w:vertAlign w:val="superscript"/>
        </w:rPr>
        <w:t>44]</w:t>
      </w:r>
      <w:r w:rsidRPr="00706E08">
        <w:rPr>
          <w:rFonts w:ascii="Book Antiqua" w:hAnsi="Book Antiqua"/>
          <w:color w:val="000000" w:themeColor="text1"/>
          <w:sz w:val="24"/>
          <w:szCs w:val="24"/>
        </w:rPr>
        <w:t xml:space="preserve">. Recently, recessive mutations in the </w:t>
      </w:r>
      <w:r w:rsidRPr="00706E08">
        <w:rPr>
          <w:rFonts w:ascii="Book Antiqua" w:hAnsi="Book Antiqua"/>
          <w:i/>
          <w:color w:val="000000" w:themeColor="text1"/>
          <w:sz w:val="24"/>
          <w:szCs w:val="24"/>
        </w:rPr>
        <w:t xml:space="preserve">PLA2G4A </w:t>
      </w:r>
      <w:r w:rsidRPr="00706E08">
        <w:rPr>
          <w:rFonts w:ascii="Book Antiqua" w:hAnsi="Book Antiqua"/>
          <w:color w:val="000000" w:themeColor="text1"/>
          <w:sz w:val="24"/>
          <w:szCs w:val="24"/>
        </w:rPr>
        <w:t>gene, encoding cytoplasmic phospholipase A2-α (cPLA2α), which hydrolyses cellular membrane phospholipids into arachidonic acids, have been</w:t>
      </w:r>
      <w:r w:rsidR="007A14D5" w:rsidRPr="00706E08">
        <w:rPr>
          <w:rFonts w:ascii="Book Antiqua" w:hAnsi="Book Antiqua"/>
          <w:color w:val="000000" w:themeColor="text1"/>
          <w:sz w:val="24"/>
          <w:szCs w:val="24"/>
        </w:rPr>
        <w:t xml:space="preserve"> identified as a cause of </w:t>
      </w:r>
      <w:proofErr w:type="gramStart"/>
      <w:r w:rsidR="007A14D5" w:rsidRPr="00706E08">
        <w:rPr>
          <w:rFonts w:ascii="Book Antiqua" w:hAnsi="Book Antiqua"/>
          <w:color w:val="000000" w:themeColor="text1"/>
          <w:sz w:val="24"/>
          <w:szCs w:val="24"/>
        </w:rPr>
        <w:t>CMUSE</w:t>
      </w:r>
      <w:r w:rsidR="007A14D5" w:rsidRPr="00706E08">
        <w:rPr>
          <w:rFonts w:ascii="Book Antiqua" w:hAnsi="Book Antiqua"/>
          <w:noProof/>
          <w:color w:val="000000" w:themeColor="text1"/>
          <w:sz w:val="24"/>
          <w:szCs w:val="24"/>
          <w:vertAlign w:val="superscript"/>
        </w:rPr>
        <w:t>[</w:t>
      </w:r>
      <w:proofErr w:type="gramEnd"/>
      <w:r w:rsidR="007A14D5" w:rsidRPr="00706E08">
        <w:rPr>
          <w:rFonts w:ascii="Book Antiqua" w:hAnsi="Book Antiqua"/>
          <w:noProof/>
          <w:color w:val="000000" w:themeColor="text1"/>
          <w:sz w:val="24"/>
          <w:szCs w:val="24"/>
          <w:vertAlign w:val="superscript"/>
        </w:rPr>
        <w:t>44,</w:t>
      </w:r>
      <w:r w:rsidRPr="00706E08">
        <w:rPr>
          <w:rFonts w:ascii="Book Antiqua" w:hAnsi="Book Antiqua"/>
          <w:noProof/>
          <w:color w:val="000000" w:themeColor="text1"/>
          <w:sz w:val="24"/>
          <w:szCs w:val="24"/>
          <w:vertAlign w:val="superscript"/>
        </w:rPr>
        <w:t>45]</w:t>
      </w:r>
      <w:r w:rsidRPr="00706E08">
        <w:rPr>
          <w:rFonts w:ascii="Book Antiqua" w:hAnsi="Book Antiqua"/>
          <w:color w:val="000000" w:themeColor="text1"/>
          <w:sz w:val="24"/>
          <w:szCs w:val="24"/>
        </w:rPr>
        <w:t>. Because the loss-of-function of cPLA2α decreases systemic levels of PGE2 (approximated</w:t>
      </w:r>
      <w:r w:rsidR="007A14D5" w:rsidRPr="00706E08">
        <w:rPr>
          <w:rFonts w:ascii="Book Antiqua" w:hAnsi="Book Antiqua"/>
          <w:color w:val="000000" w:themeColor="text1"/>
          <w:sz w:val="24"/>
          <w:szCs w:val="24"/>
        </w:rPr>
        <w:t xml:space="preserve"> by PGE-MUM) and thromboxane A2</w:t>
      </w:r>
      <w:r w:rsidRPr="00706E08">
        <w:rPr>
          <w:rFonts w:ascii="Book Antiqua" w:hAnsi="Book Antiqua"/>
          <w:noProof/>
          <w:color w:val="000000" w:themeColor="text1"/>
          <w:sz w:val="24"/>
          <w:szCs w:val="24"/>
          <w:vertAlign w:val="superscript"/>
        </w:rPr>
        <w:t>[45]</w:t>
      </w:r>
      <w:r w:rsidRPr="00706E08">
        <w:rPr>
          <w:rFonts w:ascii="Book Antiqua" w:hAnsi="Book Antiqua"/>
          <w:color w:val="000000" w:themeColor="text1"/>
          <w:sz w:val="24"/>
          <w:szCs w:val="24"/>
        </w:rPr>
        <w:t xml:space="preserve">, multiple small bowel ulcers, as well as the dysfunction of platelet aggregation are </w:t>
      </w:r>
      <w:r w:rsidR="007A14D5" w:rsidRPr="00706E08">
        <w:rPr>
          <w:rFonts w:ascii="Book Antiqua" w:hAnsi="Book Antiqua"/>
          <w:color w:val="000000" w:themeColor="text1"/>
          <w:sz w:val="24"/>
          <w:szCs w:val="24"/>
        </w:rPr>
        <w:t xml:space="preserve">observed in patients with </w:t>
      </w:r>
      <w:proofErr w:type="gramStart"/>
      <w:r w:rsidR="007A14D5" w:rsidRPr="00706E08">
        <w:rPr>
          <w:rFonts w:ascii="Book Antiqua" w:hAnsi="Book Antiqua"/>
          <w:color w:val="000000" w:themeColor="text1"/>
          <w:sz w:val="24"/>
          <w:szCs w:val="24"/>
        </w:rPr>
        <w:t>CMUSE</w:t>
      </w:r>
      <w:r w:rsidRPr="00706E08">
        <w:rPr>
          <w:rFonts w:ascii="Book Antiqua" w:hAnsi="Book Antiqua"/>
          <w:noProof/>
          <w:color w:val="000000" w:themeColor="text1"/>
          <w:sz w:val="24"/>
          <w:szCs w:val="24"/>
          <w:vertAlign w:val="superscript"/>
        </w:rPr>
        <w:t>[</w:t>
      </w:r>
      <w:proofErr w:type="gramEnd"/>
      <w:r w:rsidRPr="00706E08">
        <w:rPr>
          <w:rFonts w:ascii="Book Antiqua" w:hAnsi="Book Antiqua"/>
          <w:noProof/>
          <w:color w:val="000000" w:themeColor="text1"/>
          <w:sz w:val="24"/>
          <w:szCs w:val="24"/>
          <w:vertAlign w:val="superscript"/>
        </w:rPr>
        <w:t>46]</w:t>
      </w:r>
      <w:r w:rsidRPr="00706E08">
        <w:rPr>
          <w:rFonts w:ascii="Book Antiqua" w:hAnsi="Book Antiqua"/>
          <w:color w:val="000000" w:themeColor="text1"/>
          <w:sz w:val="24"/>
          <w:szCs w:val="24"/>
        </w:rPr>
        <w:t>. Although precise analyses of the morphologic features of gastrointestinal lesions in CMUSE have not been reported yet, it seems likely that CEAS and CMUSE share morphologic features regarding the gastrointestinal lesions. In this sense, the measurement of PGE-MUM concentrations can be assumed to be useful to differentiate CEAS from CMUSE, although genetic testing is mandatory to confirm the diagnosis.</w:t>
      </w:r>
    </w:p>
    <w:p w14:paraId="55D0DF96" w14:textId="175540A4" w:rsidR="000C7C53" w:rsidRPr="00706E08" w:rsidRDefault="000C7C53" w:rsidP="007A14D5">
      <w:pPr>
        <w:spacing w:line="360" w:lineRule="auto"/>
        <w:ind w:firstLineChars="100" w:firstLine="240"/>
        <w:jc w:val="both"/>
        <w:rPr>
          <w:rFonts w:ascii="Book Antiqua" w:hAnsi="Book Antiqua"/>
          <w:color w:val="000000" w:themeColor="text1"/>
          <w:sz w:val="24"/>
          <w:szCs w:val="24"/>
        </w:rPr>
      </w:pPr>
      <w:r w:rsidRPr="00706E08">
        <w:rPr>
          <w:rFonts w:ascii="Book Antiqua" w:hAnsi="Book Antiqua"/>
          <w:color w:val="000000" w:themeColor="text1"/>
          <w:sz w:val="24"/>
          <w:szCs w:val="24"/>
        </w:rPr>
        <w:t xml:space="preserve">This study had several limitations. First, the sample size of the patients with CEAS was relatively small because CEAS is a rare disease. Therefore, we could not validate the cut-off value for the distinction between the two diseases. Second, because most of our CD patients were in clinical remission, the cut-off value may not be </w:t>
      </w:r>
      <w:r w:rsidRPr="00706E08">
        <w:rPr>
          <w:rFonts w:ascii="Book Antiqua" w:hAnsi="Book Antiqua"/>
          <w:color w:val="000000" w:themeColor="text1"/>
          <w:sz w:val="24"/>
          <w:szCs w:val="24"/>
        </w:rPr>
        <w:lastRenderedPageBreak/>
        <w:t xml:space="preserve">appropriate for the distinction of CEAS from active CD. Indeed, some patients with quiescent CD had markedly high PGE-MUM concentrations. Third, we could not completely rule out the possibility that the patients with CD had recessive mutations in the </w:t>
      </w:r>
      <w:r w:rsidRPr="00706E08">
        <w:rPr>
          <w:rFonts w:ascii="Book Antiqua" w:hAnsi="Book Antiqua"/>
          <w:i/>
          <w:color w:val="000000" w:themeColor="text1"/>
          <w:sz w:val="24"/>
          <w:szCs w:val="24"/>
        </w:rPr>
        <w:t>SLCO2A1</w:t>
      </w:r>
      <w:r w:rsidRPr="00706E08">
        <w:rPr>
          <w:rFonts w:ascii="Book Antiqua" w:hAnsi="Book Antiqua"/>
          <w:color w:val="000000" w:themeColor="text1"/>
          <w:sz w:val="24"/>
          <w:szCs w:val="24"/>
        </w:rPr>
        <w:t xml:space="preserve"> gene. Although we checked the major six mutations of the </w:t>
      </w:r>
      <w:r w:rsidRPr="00706E08">
        <w:rPr>
          <w:rFonts w:ascii="Book Antiqua" w:hAnsi="Book Antiqua"/>
          <w:i/>
          <w:color w:val="000000" w:themeColor="text1"/>
          <w:sz w:val="24"/>
          <w:szCs w:val="24"/>
        </w:rPr>
        <w:t>SLCO2A1</w:t>
      </w:r>
      <w:r w:rsidRPr="00706E08">
        <w:rPr>
          <w:rFonts w:ascii="Book Antiqua" w:hAnsi="Book Antiqua"/>
          <w:color w:val="000000" w:themeColor="text1"/>
          <w:sz w:val="24"/>
          <w:szCs w:val="24"/>
        </w:rPr>
        <w:t xml:space="preserve"> gene in patients with CD, 9.8% of the mutations might be overlook</w:t>
      </w:r>
      <w:r w:rsidR="007A14D5" w:rsidRPr="00706E08">
        <w:rPr>
          <w:rFonts w:ascii="Book Antiqua" w:hAnsi="Book Antiqua"/>
          <w:color w:val="000000" w:themeColor="text1"/>
          <w:sz w:val="24"/>
          <w:szCs w:val="24"/>
        </w:rPr>
        <w:t xml:space="preserve">ed based on our previous </w:t>
      </w:r>
      <w:proofErr w:type="gramStart"/>
      <w:r w:rsidR="007A14D5" w:rsidRPr="00706E08">
        <w:rPr>
          <w:rFonts w:ascii="Book Antiqua" w:hAnsi="Book Antiqua"/>
          <w:color w:val="000000" w:themeColor="text1"/>
          <w:sz w:val="24"/>
          <w:szCs w:val="24"/>
        </w:rPr>
        <w:t>result</w:t>
      </w:r>
      <w:r w:rsidRPr="00706E08">
        <w:rPr>
          <w:rFonts w:ascii="Book Antiqua" w:hAnsi="Book Antiqua"/>
          <w:noProof/>
          <w:color w:val="000000" w:themeColor="text1"/>
          <w:sz w:val="24"/>
          <w:szCs w:val="24"/>
          <w:vertAlign w:val="superscript"/>
        </w:rPr>
        <w:t>[</w:t>
      </w:r>
      <w:proofErr w:type="gramEnd"/>
      <w:r w:rsidRPr="00706E08">
        <w:rPr>
          <w:rFonts w:ascii="Book Antiqua" w:hAnsi="Book Antiqua"/>
          <w:noProof/>
          <w:color w:val="000000" w:themeColor="text1"/>
          <w:sz w:val="24"/>
          <w:szCs w:val="24"/>
          <w:vertAlign w:val="superscript"/>
        </w:rPr>
        <w:t>10]</w:t>
      </w:r>
      <w:r w:rsidRPr="00706E08">
        <w:rPr>
          <w:rFonts w:ascii="Book Antiqua" w:hAnsi="Book Antiqua"/>
          <w:color w:val="000000" w:themeColor="text1"/>
          <w:sz w:val="24"/>
          <w:szCs w:val="24"/>
        </w:rPr>
        <w:t xml:space="preserve">. </w:t>
      </w:r>
    </w:p>
    <w:p w14:paraId="491E578E" w14:textId="3C9D96CA" w:rsidR="000C7C53" w:rsidRPr="00706E08" w:rsidRDefault="000C7C53" w:rsidP="007A14D5">
      <w:pPr>
        <w:spacing w:line="360" w:lineRule="auto"/>
        <w:ind w:firstLineChars="100" w:firstLine="240"/>
        <w:jc w:val="both"/>
        <w:rPr>
          <w:rFonts w:ascii="Book Antiqua" w:hAnsi="Book Antiqua"/>
          <w:color w:val="000000" w:themeColor="text1"/>
          <w:sz w:val="24"/>
          <w:szCs w:val="24"/>
        </w:rPr>
      </w:pPr>
      <w:r w:rsidRPr="00706E08">
        <w:rPr>
          <w:rFonts w:ascii="Book Antiqua" w:hAnsi="Book Antiqua"/>
          <w:color w:val="000000" w:themeColor="text1"/>
          <w:sz w:val="24"/>
          <w:szCs w:val="24"/>
        </w:rPr>
        <w:t xml:space="preserve">In conclusion, the measurement of PGE-MUM might be a convenient, non-invasive and useful test to differentiate CEAS from CD, although genetic analysis is mandatory for the confirmation of CEAS. Further studies are necessary to clarify the pathogenesis of CEAS to explore therapeutic targets of this disease. </w:t>
      </w:r>
    </w:p>
    <w:p w14:paraId="2C11C92A" w14:textId="77777777" w:rsidR="000C7C53" w:rsidRPr="00706E08" w:rsidRDefault="000C7C53" w:rsidP="000B52DE">
      <w:pPr>
        <w:spacing w:line="360" w:lineRule="auto"/>
        <w:jc w:val="both"/>
        <w:rPr>
          <w:rFonts w:ascii="Book Antiqua" w:eastAsia="等线" w:hAnsi="Book Antiqua"/>
          <w:b/>
          <w:color w:val="000000" w:themeColor="text1"/>
          <w:sz w:val="24"/>
          <w:szCs w:val="24"/>
          <w:lang w:eastAsia="zh-CN"/>
        </w:rPr>
      </w:pPr>
    </w:p>
    <w:p w14:paraId="415F1D49" w14:textId="3172C137" w:rsidR="00672AE3" w:rsidRPr="00706E08" w:rsidRDefault="00672AE3" w:rsidP="000B52DE">
      <w:pPr>
        <w:adjustRightInd w:val="0"/>
        <w:snapToGrid w:val="0"/>
        <w:spacing w:line="360" w:lineRule="auto"/>
        <w:jc w:val="both"/>
        <w:rPr>
          <w:rFonts w:ascii="Book Antiqua" w:hAnsi="Book Antiqua"/>
          <w:b/>
          <w:color w:val="000000" w:themeColor="text1"/>
          <w:sz w:val="24"/>
          <w:szCs w:val="24"/>
          <w:lang w:eastAsia="zh-CN"/>
        </w:rPr>
      </w:pPr>
      <w:r w:rsidRPr="00706E08">
        <w:rPr>
          <w:rFonts w:ascii="Book Antiqua" w:hAnsi="Book Antiqua" w:cs="Garamond-Bold"/>
          <w:b/>
          <w:bCs/>
          <w:color w:val="000000" w:themeColor="text1"/>
          <w:sz w:val="24"/>
          <w:szCs w:val="24"/>
        </w:rPr>
        <w:t>ARTICLE HIGHLIGHTS</w:t>
      </w:r>
      <w:r w:rsidRPr="00706E08">
        <w:rPr>
          <w:rFonts w:ascii="Book Antiqua" w:hAnsi="Book Antiqua" w:cs="Garamond-Bold"/>
          <w:b/>
          <w:bCs/>
          <w:color w:val="000000" w:themeColor="text1"/>
          <w:sz w:val="24"/>
          <w:szCs w:val="24"/>
          <w:lang w:eastAsia="zh-CN"/>
        </w:rPr>
        <w:t xml:space="preserve"> </w:t>
      </w:r>
    </w:p>
    <w:p w14:paraId="3A658598" w14:textId="04AE9A9A" w:rsidR="00830424" w:rsidRPr="00706E08" w:rsidRDefault="00830424" w:rsidP="000B52DE">
      <w:pPr>
        <w:spacing w:line="360" w:lineRule="auto"/>
        <w:jc w:val="both"/>
        <w:rPr>
          <w:rFonts w:ascii="Book Antiqua" w:eastAsia="等线" w:hAnsi="Book Antiqua"/>
          <w:b/>
          <w:color w:val="000000" w:themeColor="text1"/>
          <w:sz w:val="24"/>
          <w:szCs w:val="24"/>
          <w:lang w:eastAsia="zh-CN"/>
        </w:rPr>
      </w:pPr>
      <w:r w:rsidRPr="00706E08">
        <w:rPr>
          <w:rFonts w:ascii="Book Antiqua" w:eastAsia="等线" w:hAnsi="Book Antiqua"/>
          <w:b/>
          <w:i/>
          <w:color w:val="000000" w:themeColor="text1"/>
          <w:sz w:val="24"/>
          <w:szCs w:val="24"/>
          <w:lang w:eastAsia="zh-CN"/>
        </w:rPr>
        <w:t>Research background</w:t>
      </w:r>
    </w:p>
    <w:p w14:paraId="590A7619" w14:textId="0C0D61FC" w:rsidR="002F1282" w:rsidRPr="00706E08" w:rsidRDefault="002F1282" w:rsidP="007A14D5">
      <w:pPr>
        <w:spacing w:line="360" w:lineRule="auto"/>
        <w:jc w:val="both"/>
        <w:rPr>
          <w:rFonts w:ascii="Book Antiqua" w:eastAsia="等线" w:hAnsi="Book Antiqua"/>
          <w:color w:val="000000" w:themeColor="text1"/>
          <w:sz w:val="24"/>
          <w:szCs w:val="24"/>
          <w:lang w:eastAsia="zh-CN"/>
        </w:rPr>
      </w:pPr>
      <w:r w:rsidRPr="00706E08">
        <w:rPr>
          <w:rFonts w:ascii="Book Antiqua" w:eastAsia="等线" w:hAnsi="Book Antiqua"/>
          <w:color w:val="000000" w:themeColor="text1"/>
          <w:sz w:val="24"/>
          <w:szCs w:val="24"/>
          <w:lang w:eastAsia="zh-CN"/>
        </w:rPr>
        <w:t xml:space="preserve">Chronic enteropathy associated with </w:t>
      </w:r>
      <w:r w:rsidRPr="00706E08">
        <w:rPr>
          <w:rFonts w:ascii="Book Antiqua" w:eastAsia="等线" w:hAnsi="Book Antiqua"/>
          <w:i/>
          <w:color w:val="000000" w:themeColor="text1"/>
          <w:sz w:val="24"/>
          <w:szCs w:val="24"/>
          <w:lang w:eastAsia="zh-CN"/>
        </w:rPr>
        <w:t xml:space="preserve">SLCO2A1 </w:t>
      </w:r>
      <w:r w:rsidRPr="00706E08">
        <w:rPr>
          <w:rFonts w:ascii="Book Antiqua" w:eastAsia="等线" w:hAnsi="Book Antiqua"/>
          <w:color w:val="000000" w:themeColor="text1"/>
          <w:sz w:val="24"/>
          <w:szCs w:val="24"/>
          <w:lang w:eastAsia="zh-CN"/>
        </w:rPr>
        <w:t>gene</w:t>
      </w:r>
      <w:r w:rsidR="00EB7B7E" w:rsidRPr="00706E08">
        <w:rPr>
          <w:rFonts w:ascii="Book Antiqua" w:eastAsia="等线" w:hAnsi="Book Antiqua"/>
          <w:color w:val="000000" w:themeColor="text1"/>
          <w:sz w:val="24"/>
          <w:szCs w:val="24"/>
          <w:lang w:eastAsia="zh-CN"/>
        </w:rPr>
        <w:t xml:space="preserve"> (CEAS)</w:t>
      </w:r>
      <w:r w:rsidRPr="00706E08">
        <w:rPr>
          <w:rFonts w:ascii="Book Antiqua" w:eastAsia="等线" w:hAnsi="Book Antiqua"/>
          <w:color w:val="000000" w:themeColor="text1"/>
          <w:sz w:val="24"/>
          <w:szCs w:val="24"/>
          <w:lang w:eastAsia="zh-CN"/>
        </w:rPr>
        <w:t xml:space="preserve"> is a rare small intestinal disease, but distinct clinical condition from Crohn’s disease</w:t>
      </w:r>
      <w:r w:rsidR="00EB7B7E" w:rsidRPr="00706E08">
        <w:rPr>
          <w:rFonts w:ascii="Book Antiqua" w:eastAsia="等线" w:hAnsi="Book Antiqua"/>
          <w:color w:val="000000" w:themeColor="text1"/>
          <w:sz w:val="24"/>
          <w:szCs w:val="24"/>
          <w:lang w:eastAsia="zh-CN"/>
        </w:rPr>
        <w:t xml:space="preserve"> (CD)</w:t>
      </w:r>
      <w:r w:rsidRPr="00706E08">
        <w:rPr>
          <w:rFonts w:ascii="Book Antiqua" w:eastAsia="等线" w:hAnsi="Book Antiqua"/>
          <w:color w:val="000000" w:themeColor="text1"/>
          <w:sz w:val="24"/>
          <w:szCs w:val="24"/>
          <w:lang w:eastAsia="zh-CN"/>
        </w:rPr>
        <w:t xml:space="preserve">. </w:t>
      </w:r>
      <w:r w:rsidR="00682499" w:rsidRPr="00706E08">
        <w:rPr>
          <w:rFonts w:ascii="Book Antiqua" w:eastAsia="等线" w:hAnsi="Book Antiqua"/>
          <w:color w:val="000000" w:themeColor="text1"/>
          <w:sz w:val="24"/>
          <w:szCs w:val="24"/>
          <w:lang w:eastAsia="zh-CN"/>
        </w:rPr>
        <w:t xml:space="preserve">To date, we can </w:t>
      </w:r>
      <w:r w:rsidR="00625562" w:rsidRPr="00706E08">
        <w:rPr>
          <w:rFonts w:ascii="Book Antiqua" w:eastAsia="等线" w:hAnsi="Book Antiqua"/>
          <w:color w:val="000000" w:themeColor="text1"/>
          <w:sz w:val="24"/>
          <w:szCs w:val="24"/>
          <w:lang w:eastAsia="zh-CN"/>
        </w:rPr>
        <w:t xml:space="preserve">make a correct </w:t>
      </w:r>
      <w:r w:rsidR="00682499" w:rsidRPr="00706E08">
        <w:rPr>
          <w:rFonts w:ascii="Book Antiqua" w:eastAsia="等线" w:hAnsi="Book Antiqua"/>
          <w:color w:val="000000" w:themeColor="text1"/>
          <w:sz w:val="24"/>
          <w:szCs w:val="24"/>
          <w:lang w:eastAsia="zh-CN"/>
        </w:rPr>
        <w:t>diagnos</w:t>
      </w:r>
      <w:r w:rsidR="00625562" w:rsidRPr="00706E08">
        <w:rPr>
          <w:rFonts w:ascii="Book Antiqua" w:eastAsia="等线" w:hAnsi="Book Antiqua"/>
          <w:color w:val="000000" w:themeColor="text1"/>
          <w:sz w:val="24"/>
          <w:szCs w:val="24"/>
          <w:lang w:eastAsia="zh-CN"/>
        </w:rPr>
        <w:t>is of</w:t>
      </w:r>
      <w:r w:rsidR="00682499" w:rsidRPr="00706E08">
        <w:rPr>
          <w:rFonts w:ascii="Book Antiqua" w:eastAsia="等线" w:hAnsi="Book Antiqua"/>
          <w:color w:val="000000" w:themeColor="text1"/>
          <w:sz w:val="24"/>
          <w:szCs w:val="24"/>
          <w:lang w:eastAsia="zh-CN"/>
        </w:rPr>
        <w:t xml:space="preserve"> CEAS by combination of clinical features and genetic analysis</w:t>
      </w:r>
      <w:r w:rsidR="00340E5D" w:rsidRPr="00706E08">
        <w:rPr>
          <w:rFonts w:ascii="Book Antiqua" w:eastAsia="等线" w:hAnsi="Book Antiqua"/>
          <w:color w:val="000000" w:themeColor="text1"/>
          <w:sz w:val="24"/>
          <w:szCs w:val="24"/>
          <w:lang w:eastAsia="zh-CN"/>
        </w:rPr>
        <w:t xml:space="preserve">. </w:t>
      </w:r>
      <w:r w:rsidRPr="00706E08">
        <w:rPr>
          <w:rFonts w:ascii="Book Antiqua" w:eastAsia="等线" w:hAnsi="Book Antiqua"/>
          <w:color w:val="000000" w:themeColor="text1"/>
          <w:sz w:val="24"/>
          <w:szCs w:val="24"/>
          <w:lang w:eastAsia="zh-CN"/>
        </w:rPr>
        <w:t>However,</w:t>
      </w:r>
      <w:r w:rsidR="003B26E2" w:rsidRPr="00706E08">
        <w:rPr>
          <w:rFonts w:ascii="Book Antiqua" w:eastAsia="等线" w:hAnsi="Book Antiqua"/>
          <w:color w:val="000000" w:themeColor="text1"/>
          <w:sz w:val="24"/>
          <w:szCs w:val="24"/>
          <w:lang w:eastAsia="zh-CN"/>
        </w:rPr>
        <w:t xml:space="preserve"> </w:t>
      </w:r>
      <w:r w:rsidR="00B16B92" w:rsidRPr="00706E08">
        <w:rPr>
          <w:rFonts w:ascii="Book Antiqua" w:eastAsia="等线" w:hAnsi="Book Antiqua"/>
          <w:color w:val="000000" w:themeColor="text1"/>
          <w:sz w:val="24"/>
          <w:szCs w:val="24"/>
          <w:lang w:eastAsia="zh-CN"/>
        </w:rPr>
        <w:t>CEAS</w:t>
      </w:r>
      <w:r w:rsidR="003B26E2" w:rsidRPr="00706E08">
        <w:rPr>
          <w:rFonts w:ascii="Book Antiqua" w:eastAsia="等线" w:hAnsi="Book Antiqua"/>
          <w:color w:val="000000" w:themeColor="text1"/>
          <w:sz w:val="24"/>
          <w:szCs w:val="24"/>
          <w:lang w:eastAsia="zh-CN"/>
        </w:rPr>
        <w:t xml:space="preserve"> is sometimes</w:t>
      </w:r>
      <w:r w:rsidR="00B16B92" w:rsidRPr="00706E08">
        <w:rPr>
          <w:rFonts w:ascii="Book Antiqua" w:eastAsia="等线" w:hAnsi="Book Antiqua"/>
          <w:color w:val="000000" w:themeColor="text1"/>
          <w:sz w:val="24"/>
          <w:szCs w:val="24"/>
          <w:lang w:eastAsia="zh-CN"/>
        </w:rPr>
        <w:t xml:space="preserve"> misdiagnosed</w:t>
      </w:r>
      <w:r w:rsidR="003B26E2" w:rsidRPr="00706E08">
        <w:rPr>
          <w:rFonts w:ascii="Book Antiqua" w:eastAsia="等线" w:hAnsi="Book Antiqua"/>
          <w:color w:val="000000" w:themeColor="text1"/>
          <w:sz w:val="24"/>
          <w:szCs w:val="24"/>
          <w:lang w:eastAsia="zh-CN"/>
        </w:rPr>
        <w:t xml:space="preserve"> </w:t>
      </w:r>
      <w:r w:rsidR="00625562" w:rsidRPr="00706E08">
        <w:rPr>
          <w:rFonts w:ascii="Book Antiqua" w:eastAsia="等线" w:hAnsi="Book Antiqua"/>
          <w:color w:val="000000" w:themeColor="text1"/>
          <w:sz w:val="24"/>
          <w:szCs w:val="24"/>
          <w:lang w:eastAsia="zh-CN"/>
        </w:rPr>
        <w:t xml:space="preserve">as </w:t>
      </w:r>
      <w:r w:rsidR="00B16B92" w:rsidRPr="00706E08">
        <w:rPr>
          <w:rFonts w:ascii="Book Antiqua" w:eastAsia="等线" w:hAnsi="Book Antiqua"/>
          <w:color w:val="000000" w:themeColor="text1"/>
          <w:sz w:val="24"/>
          <w:szCs w:val="24"/>
          <w:lang w:eastAsia="zh-CN"/>
        </w:rPr>
        <w:t>CD, because these disease</w:t>
      </w:r>
      <w:r w:rsidR="00340E5D" w:rsidRPr="00706E08">
        <w:rPr>
          <w:rFonts w:ascii="Book Antiqua" w:eastAsia="等线" w:hAnsi="Book Antiqua"/>
          <w:color w:val="000000" w:themeColor="text1"/>
          <w:sz w:val="24"/>
          <w:szCs w:val="24"/>
          <w:lang w:eastAsia="zh-CN"/>
        </w:rPr>
        <w:t>s have</w:t>
      </w:r>
      <w:r w:rsidR="00682499" w:rsidRPr="00706E08">
        <w:rPr>
          <w:rFonts w:ascii="Book Antiqua" w:eastAsia="等线" w:hAnsi="Book Antiqua"/>
          <w:color w:val="000000" w:themeColor="text1"/>
          <w:sz w:val="24"/>
          <w:szCs w:val="24"/>
          <w:lang w:eastAsia="zh-CN"/>
        </w:rPr>
        <w:t xml:space="preserve"> some clinical features</w:t>
      </w:r>
      <w:r w:rsidR="00340E5D" w:rsidRPr="00706E08">
        <w:rPr>
          <w:rFonts w:ascii="Book Antiqua" w:eastAsia="等线" w:hAnsi="Book Antiqua"/>
          <w:color w:val="000000" w:themeColor="text1"/>
          <w:sz w:val="24"/>
          <w:szCs w:val="24"/>
          <w:lang w:eastAsia="zh-CN"/>
        </w:rPr>
        <w:t xml:space="preserve"> in common</w:t>
      </w:r>
      <w:r w:rsidR="003B26E2" w:rsidRPr="00706E08">
        <w:rPr>
          <w:rFonts w:ascii="Book Antiqua" w:eastAsia="等线" w:hAnsi="Book Antiqua"/>
          <w:color w:val="000000" w:themeColor="text1"/>
          <w:sz w:val="24"/>
          <w:szCs w:val="24"/>
          <w:lang w:eastAsia="zh-CN"/>
        </w:rPr>
        <w:t>.</w:t>
      </w:r>
      <w:r w:rsidRPr="00706E08">
        <w:rPr>
          <w:rFonts w:ascii="Book Antiqua" w:eastAsia="等线" w:hAnsi="Book Antiqua"/>
          <w:color w:val="000000" w:themeColor="text1"/>
          <w:sz w:val="24"/>
          <w:szCs w:val="24"/>
          <w:lang w:eastAsia="zh-CN"/>
        </w:rPr>
        <w:t xml:space="preserve">  </w:t>
      </w:r>
    </w:p>
    <w:p w14:paraId="43D8DA59" w14:textId="77777777" w:rsidR="00340E5D" w:rsidRPr="00706E08" w:rsidRDefault="00340E5D" w:rsidP="000B52DE">
      <w:pPr>
        <w:spacing w:line="360" w:lineRule="auto"/>
        <w:jc w:val="both"/>
        <w:rPr>
          <w:rFonts w:ascii="Book Antiqua" w:eastAsia="等线" w:hAnsi="Book Antiqua"/>
          <w:b/>
          <w:color w:val="000000" w:themeColor="text1"/>
          <w:sz w:val="24"/>
          <w:szCs w:val="24"/>
          <w:lang w:eastAsia="zh-CN"/>
        </w:rPr>
      </w:pPr>
    </w:p>
    <w:p w14:paraId="488ADE18" w14:textId="396DC9E8" w:rsidR="00830424" w:rsidRPr="00706E08" w:rsidRDefault="00830424" w:rsidP="000B52DE">
      <w:pPr>
        <w:spacing w:line="360" w:lineRule="auto"/>
        <w:jc w:val="both"/>
        <w:rPr>
          <w:rFonts w:ascii="Book Antiqua" w:eastAsia="等线" w:hAnsi="Book Antiqua"/>
          <w:b/>
          <w:color w:val="000000" w:themeColor="text1"/>
          <w:sz w:val="24"/>
          <w:szCs w:val="24"/>
          <w:lang w:eastAsia="zh-CN"/>
        </w:rPr>
      </w:pPr>
      <w:r w:rsidRPr="00706E08">
        <w:rPr>
          <w:rFonts w:ascii="Book Antiqua" w:eastAsia="等线" w:hAnsi="Book Antiqua"/>
          <w:b/>
          <w:i/>
          <w:color w:val="000000" w:themeColor="text1"/>
          <w:sz w:val="24"/>
          <w:szCs w:val="24"/>
          <w:lang w:eastAsia="zh-CN"/>
        </w:rPr>
        <w:t>Research motivation</w:t>
      </w:r>
    </w:p>
    <w:p w14:paraId="51DCD097" w14:textId="1CB71D34" w:rsidR="00340E5D" w:rsidRPr="00706E08" w:rsidRDefault="00340E5D" w:rsidP="007A14D5">
      <w:pPr>
        <w:spacing w:line="360" w:lineRule="auto"/>
        <w:jc w:val="both"/>
        <w:rPr>
          <w:rFonts w:ascii="Book Antiqua" w:eastAsia="等线" w:hAnsi="Book Antiqua"/>
          <w:color w:val="000000" w:themeColor="text1"/>
          <w:sz w:val="24"/>
          <w:szCs w:val="24"/>
          <w:lang w:eastAsia="zh-CN"/>
        </w:rPr>
      </w:pPr>
      <w:r w:rsidRPr="00706E08">
        <w:rPr>
          <w:rFonts w:ascii="Book Antiqua" w:eastAsia="等线" w:hAnsi="Book Antiqua"/>
          <w:color w:val="000000" w:themeColor="text1"/>
          <w:sz w:val="24"/>
          <w:szCs w:val="24"/>
          <w:lang w:eastAsia="zh-CN"/>
        </w:rPr>
        <w:t>A more convenient and non-invasive screening test will help to diagnose CEAS correctly.</w:t>
      </w:r>
    </w:p>
    <w:p w14:paraId="12772A2B" w14:textId="11D24CD9" w:rsidR="00830424" w:rsidRPr="00706E08" w:rsidRDefault="00830424" w:rsidP="000B52DE">
      <w:pPr>
        <w:spacing w:line="360" w:lineRule="auto"/>
        <w:jc w:val="both"/>
        <w:rPr>
          <w:rFonts w:ascii="Book Antiqua" w:eastAsia="等线" w:hAnsi="Book Antiqua"/>
          <w:color w:val="000000" w:themeColor="text1"/>
          <w:sz w:val="24"/>
          <w:szCs w:val="24"/>
          <w:lang w:eastAsia="zh-CN"/>
        </w:rPr>
      </w:pPr>
    </w:p>
    <w:p w14:paraId="0099793C" w14:textId="43E79974" w:rsidR="00830424" w:rsidRPr="00706E08" w:rsidRDefault="00830424" w:rsidP="000B52DE">
      <w:pPr>
        <w:spacing w:line="360" w:lineRule="auto"/>
        <w:jc w:val="both"/>
        <w:rPr>
          <w:rFonts w:ascii="Book Antiqua" w:eastAsia="等线" w:hAnsi="Book Antiqua"/>
          <w:b/>
          <w:color w:val="000000" w:themeColor="text1"/>
          <w:sz w:val="24"/>
          <w:szCs w:val="24"/>
          <w:lang w:eastAsia="zh-CN"/>
        </w:rPr>
      </w:pPr>
      <w:r w:rsidRPr="00706E08">
        <w:rPr>
          <w:rFonts w:ascii="Book Antiqua" w:eastAsia="等线" w:hAnsi="Book Antiqua"/>
          <w:b/>
          <w:i/>
          <w:color w:val="000000" w:themeColor="text1"/>
          <w:sz w:val="24"/>
          <w:szCs w:val="24"/>
          <w:lang w:eastAsia="zh-CN"/>
        </w:rPr>
        <w:t>Research objectives</w:t>
      </w:r>
      <w:r w:rsidRPr="00706E08">
        <w:rPr>
          <w:rFonts w:ascii="Book Antiqua" w:eastAsia="等线" w:hAnsi="Book Antiqua"/>
          <w:b/>
          <w:color w:val="000000" w:themeColor="text1"/>
          <w:sz w:val="24"/>
          <w:szCs w:val="24"/>
          <w:lang w:eastAsia="zh-CN"/>
        </w:rPr>
        <w:t xml:space="preserve"> </w:t>
      </w:r>
    </w:p>
    <w:p w14:paraId="353D2467" w14:textId="0909ABE5" w:rsidR="00340E5D" w:rsidRPr="00706E08" w:rsidRDefault="0089154E" w:rsidP="007A14D5">
      <w:pPr>
        <w:spacing w:line="360" w:lineRule="auto"/>
        <w:jc w:val="both"/>
        <w:rPr>
          <w:rFonts w:ascii="Book Antiqua" w:eastAsia="等线" w:hAnsi="Book Antiqua"/>
          <w:color w:val="000000" w:themeColor="text1"/>
          <w:sz w:val="24"/>
          <w:szCs w:val="24"/>
          <w:lang w:eastAsia="zh-CN"/>
        </w:rPr>
      </w:pPr>
      <w:r w:rsidRPr="00706E08">
        <w:rPr>
          <w:rFonts w:ascii="Book Antiqua" w:eastAsia="等线" w:hAnsi="Book Antiqua"/>
          <w:color w:val="000000" w:themeColor="text1"/>
          <w:sz w:val="24"/>
          <w:szCs w:val="24"/>
          <w:lang w:val="en-GB" w:eastAsia="zh-CN"/>
        </w:rPr>
        <w:t>To investigate the usefulness of prostaglandin E-major urinary metabolites (PGE-MUM) to distinguish CEAS from CD.</w:t>
      </w:r>
    </w:p>
    <w:p w14:paraId="1ACC9C76" w14:textId="1977C45B" w:rsidR="00830424" w:rsidRPr="00706E08" w:rsidRDefault="00830424" w:rsidP="000B52DE">
      <w:pPr>
        <w:spacing w:line="360" w:lineRule="auto"/>
        <w:jc w:val="both"/>
        <w:rPr>
          <w:rFonts w:ascii="Book Antiqua" w:eastAsia="等线" w:hAnsi="Book Antiqua"/>
          <w:color w:val="000000" w:themeColor="text1"/>
          <w:sz w:val="24"/>
          <w:szCs w:val="24"/>
          <w:lang w:eastAsia="zh-CN"/>
        </w:rPr>
      </w:pPr>
      <w:r w:rsidRPr="00706E08">
        <w:rPr>
          <w:rFonts w:ascii="Book Antiqua" w:eastAsia="等线" w:hAnsi="Book Antiqua"/>
          <w:color w:val="000000" w:themeColor="text1"/>
          <w:sz w:val="24"/>
          <w:szCs w:val="24"/>
          <w:lang w:eastAsia="zh-CN"/>
        </w:rPr>
        <w:t xml:space="preserve"> </w:t>
      </w:r>
    </w:p>
    <w:p w14:paraId="369B0E0C" w14:textId="26F6DE9E" w:rsidR="00830424" w:rsidRPr="00706E08" w:rsidRDefault="00830424" w:rsidP="000B52DE">
      <w:pPr>
        <w:spacing w:line="360" w:lineRule="auto"/>
        <w:jc w:val="both"/>
        <w:rPr>
          <w:rFonts w:ascii="Book Antiqua" w:eastAsia="等线" w:hAnsi="Book Antiqua"/>
          <w:b/>
          <w:color w:val="000000" w:themeColor="text1"/>
          <w:sz w:val="24"/>
          <w:szCs w:val="24"/>
          <w:lang w:eastAsia="zh-CN"/>
        </w:rPr>
      </w:pPr>
      <w:r w:rsidRPr="00706E08">
        <w:rPr>
          <w:rFonts w:ascii="Book Antiqua" w:eastAsia="等线" w:hAnsi="Book Antiqua"/>
          <w:b/>
          <w:i/>
          <w:color w:val="000000" w:themeColor="text1"/>
          <w:sz w:val="24"/>
          <w:szCs w:val="24"/>
          <w:lang w:eastAsia="zh-CN"/>
        </w:rPr>
        <w:lastRenderedPageBreak/>
        <w:t>Research methods</w:t>
      </w:r>
    </w:p>
    <w:p w14:paraId="58FB3257" w14:textId="275FA8E1" w:rsidR="0089154E" w:rsidRPr="00706E08" w:rsidRDefault="00794A66" w:rsidP="007A14D5">
      <w:pPr>
        <w:spacing w:line="360" w:lineRule="auto"/>
        <w:jc w:val="both"/>
        <w:rPr>
          <w:rFonts w:ascii="Book Antiqua" w:eastAsia="等线" w:hAnsi="Book Antiqua"/>
          <w:color w:val="000000" w:themeColor="text1"/>
          <w:sz w:val="24"/>
          <w:szCs w:val="24"/>
          <w:lang w:eastAsia="zh-CN"/>
        </w:rPr>
      </w:pPr>
      <w:r w:rsidRPr="00706E08">
        <w:rPr>
          <w:rFonts w:ascii="Book Antiqua" w:eastAsia="等线" w:hAnsi="Book Antiqua"/>
          <w:color w:val="000000" w:themeColor="text1"/>
          <w:sz w:val="24"/>
          <w:szCs w:val="24"/>
          <w:lang w:eastAsia="zh-CN"/>
        </w:rPr>
        <w:t>Participants were diagnosed CEAS and CD by clinical diagnostic criteria and genetic analysis. All participants</w:t>
      </w:r>
      <w:r w:rsidR="00B154A1" w:rsidRPr="00706E08">
        <w:rPr>
          <w:rFonts w:ascii="Book Antiqua" w:eastAsia="等线" w:hAnsi="Book Antiqua"/>
          <w:color w:val="000000" w:themeColor="text1"/>
          <w:sz w:val="24"/>
          <w:szCs w:val="24"/>
          <w:lang w:eastAsia="zh-CN"/>
        </w:rPr>
        <w:t xml:space="preserve">’ PGE-MUM </w:t>
      </w:r>
      <w:r w:rsidR="0006190D" w:rsidRPr="00706E08">
        <w:rPr>
          <w:rFonts w:ascii="Book Antiqua" w:eastAsia="等线" w:hAnsi="Book Antiqua"/>
          <w:color w:val="000000" w:themeColor="text1"/>
          <w:sz w:val="24"/>
          <w:szCs w:val="24"/>
          <w:lang w:eastAsia="zh-CN"/>
        </w:rPr>
        <w:t xml:space="preserve">concentrations </w:t>
      </w:r>
      <w:r w:rsidR="00B154A1" w:rsidRPr="00706E08">
        <w:rPr>
          <w:rFonts w:ascii="Book Antiqua" w:eastAsia="等线" w:hAnsi="Book Antiqua"/>
          <w:color w:val="000000" w:themeColor="text1"/>
          <w:sz w:val="24"/>
          <w:szCs w:val="24"/>
          <w:lang w:eastAsia="zh-CN"/>
        </w:rPr>
        <w:t xml:space="preserve">were measured by radioimmunoassay. </w:t>
      </w:r>
      <w:r w:rsidR="0006190D" w:rsidRPr="00706E08">
        <w:rPr>
          <w:rFonts w:ascii="Book Antiqua" w:eastAsia="等线" w:hAnsi="Book Antiqua"/>
          <w:color w:val="000000" w:themeColor="text1"/>
          <w:sz w:val="24"/>
          <w:szCs w:val="24"/>
          <w:lang w:eastAsia="zh-CN"/>
        </w:rPr>
        <w:t>We analyzed differentiating ability of PGE-MUM measurement between CEAS and CD.</w:t>
      </w:r>
      <w:r w:rsidRPr="00706E08">
        <w:rPr>
          <w:rFonts w:ascii="Book Antiqua" w:eastAsia="等线" w:hAnsi="Book Antiqua"/>
          <w:color w:val="000000" w:themeColor="text1"/>
          <w:sz w:val="24"/>
          <w:szCs w:val="24"/>
          <w:lang w:eastAsia="zh-CN"/>
        </w:rPr>
        <w:t xml:space="preserve"> </w:t>
      </w:r>
    </w:p>
    <w:p w14:paraId="7576A3A8" w14:textId="2970E1DA" w:rsidR="00830424" w:rsidRPr="00706E08" w:rsidRDefault="00830424" w:rsidP="000B52DE">
      <w:pPr>
        <w:spacing w:line="360" w:lineRule="auto"/>
        <w:jc w:val="both"/>
        <w:rPr>
          <w:rFonts w:ascii="Book Antiqua" w:eastAsia="等线" w:hAnsi="Book Antiqua"/>
          <w:color w:val="000000" w:themeColor="text1"/>
          <w:sz w:val="24"/>
          <w:szCs w:val="24"/>
          <w:lang w:eastAsia="zh-CN"/>
        </w:rPr>
      </w:pPr>
    </w:p>
    <w:p w14:paraId="63715C84" w14:textId="67C72751" w:rsidR="00830424" w:rsidRPr="00706E08" w:rsidRDefault="00830424" w:rsidP="000B52DE">
      <w:pPr>
        <w:spacing w:line="360" w:lineRule="auto"/>
        <w:jc w:val="both"/>
        <w:rPr>
          <w:rFonts w:ascii="Book Antiqua" w:eastAsia="等线" w:hAnsi="Book Antiqua"/>
          <w:b/>
          <w:i/>
          <w:color w:val="000000" w:themeColor="text1"/>
          <w:sz w:val="24"/>
          <w:szCs w:val="24"/>
          <w:lang w:eastAsia="zh-CN"/>
        </w:rPr>
      </w:pPr>
      <w:r w:rsidRPr="00706E08">
        <w:rPr>
          <w:rFonts w:ascii="Book Antiqua" w:eastAsia="等线" w:hAnsi="Book Antiqua"/>
          <w:b/>
          <w:i/>
          <w:color w:val="000000" w:themeColor="text1"/>
          <w:sz w:val="24"/>
          <w:szCs w:val="24"/>
          <w:lang w:eastAsia="zh-CN"/>
        </w:rPr>
        <w:t>Research results</w:t>
      </w:r>
    </w:p>
    <w:p w14:paraId="74316489" w14:textId="0412DA1C" w:rsidR="00CC4123" w:rsidRPr="00706E08" w:rsidRDefault="00E12284" w:rsidP="000B52DE">
      <w:pPr>
        <w:spacing w:line="360" w:lineRule="auto"/>
        <w:jc w:val="both"/>
        <w:rPr>
          <w:rFonts w:ascii="Book Antiqua" w:eastAsia="等线" w:hAnsi="Book Antiqua"/>
          <w:color w:val="000000" w:themeColor="text1"/>
          <w:sz w:val="24"/>
          <w:szCs w:val="24"/>
          <w:lang w:eastAsia="zh-CN"/>
        </w:rPr>
      </w:pPr>
      <w:r w:rsidRPr="00706E08">
        <w:rPr>
          <w:rFonts w:ascii="Book Antiqua" w:eastAsia="等线" w:hAnsi="Book Antiqua"/>
          <w:color w:val="000000" w:themeColor="text1"/>
          <w:sz w:val="24"/>
          <w:szCs w:val="24"/>
          <w:lang w:eastAsia="zh-CN"/>
        </w:rPr>
        <w:t>Twenty patients with CEAS and 98 patients with CD were enrolled.</w:t>
      </w:r>
      <w:r w:rsidR="008B5F0A" w:rsidRPr="00706E08">
        <w:rPr>
          <w:rFonts w:ascii="Book Antiqua" w:eastAsia="等线" w:hAnsi="Book Antiqua"/>
          <w:color w:val="000000" w:themeColor="text1"/>
          <w:sz w:val="24"/>
          <w:szCs w:val="24"/>
          <w:lang w:eastAsia="zh-CN"/>
        </w:rPr>
        <w:t xml:space="preserve"> </w:t>
      </w:r>
      <w:r w:rsidR="00513D9F" w:rsidRPr="00706E08">
        <w:rPr>
          <w:rFonts w:ascii="Book Antiqua" w:eastAsia="等线" w:hAnsi="Book Antiqua"/>
          <w:color w:val="000000" w:themeColor="text1"/>
          <w:sz w:val="24"/>
          <w:szCs w:val="24"/>
          <w:lang w:eastAsia="zh-CN"/>
        </w:rPr>
        <w:t xml:space="preserve">It was found that the PGE-MUM concentrations of patients with CEAS were significantly higher than those of patients with CD and this correlation was still statistically significant after adjusting the </w:t>
      </w:r>
      <w:r w:rsidR="00605F1C" w:rsidRPr="00706E08">
        <w:rPr>
          <w:rFonts w:ascii="Book Antiqua" w:eastAsia="等线" w:hAnsi="Book Antiqua"/>
          <w:color w:val="000000" w:themeColor="text1"/>
          <w:sz w:val="24"/>
          <w:szCs w:val="24"/>
          <w:lang w:eastAsia="zh-CN"/>
        </w:rPr>
        <w:t xml:space="preserve">possible </w:t>
      </w:r>
      <w:r w:rsidR="00513D9F" w:rsidRPr="00706E08">
        <w:rPr>
          <w:rFonts w:ascii="Book Antiqua" w:eastAsia="等线" w:hAnsi="Book Antiqua"/>
          <w:color w:val="000000" w:themeColor="text1"/>
          <w:sz w:val="24"/>
          <w:szCs w:val="24"/>
          <w:lang w:eastAsia="zh-CN"/>
        </w:rPr>
        <w:t>confounding factors.</w:t>
      </w:r>
      <w:r w:rsidR="00A15713" w:rsidRPr="00706E08">
        <w:rPr>
          <w:rFonts w:ascii="Book Antiqua" w:eastAsia="等线" w:hAnsi="Book Antiqua"/>
          <w:color w:val="000000" w:themeColor="text1"/>
          <w:sz w:val="24"/>
          <w:szCs w:val="24"/>
          <w:lang w:eastAsia="zh-CN"/>
        </w:rPr>
        <w:t xml:space="preserve"> Additionally, the present study showed the provisional cut-off value (48.9 </w:t>
      </w:r>
      <w:proofErr w:type="spellStart"/>
      <w:r w:rsidR="007A14D5" w:rsidRPr="00706E08">
        <w:rPr>
          <w:rFonts w:ascii="Book Antiqua" w:eastAsia="等线" w:hAnsi="Book Antiqua"/>
          <w:color w:val="000000" w:themeColor="text1"/>
          <w:sz w:val="24"/>
          <w:szCs w:val="24"/>
          <w:lang w:eastAsia="zh-CN"/>
        </w:rPr>
        <w:t>μ</w:t>
      </w:r>
      <w:r w:rsidR="00A15713" w:rsidRPr="00706E08">
        <w:rPr>
          <w:rFonts w:ascii="Book Antiqua" w:eastAsia="等线" w:hAnsi="Book Antiqua"/>
          <w:color w:val="000000" w:themeColor="text1"/>
          <w:sz w:val="24"/>
          <w:szCs w:val="24"/>
          <w:lang w:eastAsia="zh-CN"/>
        </w:rPr>
        <w:t>g</w:t>
      </w:r>
      <w:proofErr w:type="spellEnd"/>
      <w:r w:rsidR="00A15713" w:rsidRPr="00706E08">
        <w:rPr>
          <w:rFonts w:ascii="Book Antiqua" w:eastAsia="等线" w:hAnsi="Book Antiqua"/>
          <w:color w:val="000000" w:themeColor="text1"/>
          <w:sz w:val="24"/>
          <w:szCs w:val="24"/>
          <w:lang w:eastAsia="zh-CN"/>
        </w:rPr>
        <w:t xml:space="preserve">/g × </w:t>
      </w:r>
      <w:proofErr w:type="spellStart"/>
      <w:r w:rsidR="00A15713" w:rsidRPr="00706E08">
        <w:rPr>
          <w:rFonts w:ascii="Book Antiqua" w:eastAsia="等线" w:hAnsi="Book Antiqua"/>
          <w:color w:val="000000" w:themeColor="text1"/>
          <w:sz w:val="24"/>
          <w:szCs w:val="24"/>
          <w:lang w:eastAsia="zh-CN"/>
        </w:rPr>
        <w:t>Cre</w:t>
      </w:r>
      <w:proofErr w:type="spellEnd"/>
      <w:r w:rsidR="00A15713" w:rsidRPr="00706E08">
        <w:rPr>
          <w:rFonts w:ascii="Book Antiqua" w:eastAsia="等线" w:hAnsi="Book Antiqua"/>
          <w:color w:val="000000" w:themeColor="text1"/>
          <w:sz w:val="24"/>
          <w:szCs w:val="24"/>
          <w:lang w:eastAsia="zh-CN"/>
        </w:rPr>
        <w:t>) of PGE-MUM had a differentiating ability with 95.0% sensitivity and 79.6% specificity (</w:t>
      </w:r>
      <w:r w:rsidR="007A14D5" w:rsidRPr="00706E08">
        <w:rPr>
          <w:rFonts w:ascii="Book Antiqua" w:eastAsia="等线" w:hAnsi="Book Antiqua"/>
          <w:color w:val="000000" w:themeColor="text1"/>
          <w:sz w:val="24"/>
          <w:szCs w:val="24"/>
          <w:lang w:eastAsia="zh-CN"/>
        </w:rPr>
        <w:t xml:space="preserve">area under the curve </w:t>
      </w:r>
      <w:r w:rsidR="00A15713" w:rsidRPr="00706E08">
        <w:rPr>
          <w:rFonts w:ascii="Book Antiqua" w:eastAsia="等线" w:hAnsi="Book Antiqua"/>
          <w:color w:val="000000" w:themeColor="text1"/>
          <w:sz w:val="24"/>
          <w:szCs w:val="24"/>
          <w:lang w:eastAsia="zh-CN"/>
        </w:rPr>
        <w:t xml:space="preserve">0.90). </w:t>
      </w:r>
    </w:p>
    <w:p w14:paraId="0EF710CB" w14:textId="397D8BDF" w:rsidR="00830424" w:rsidRPr="00706E08" w:rsidRDefault="00830424" w:rsidP="000B52DE">
      <w:pPr>
        <w:spacing w:line="360" w:lineRule="auto"/>
        <w:jc w:val="both"/>
        <w:rPr>
          <w:rFonts w:ascii="Book Antiqua" w:eastAsia="等线" w:hAnsi="Book Antiqua"/>
          <w:b/>
          <w:color w:val="000000" w:themeColor="text1"/>
          <w:sz w:val="24"/>
          <w:szCs w:val="24"/>
          <w:lang w:eastAsia="zh-CN"/>
        </w:rPr>
      </w:pPr>
    </w:p>
    <w:p w14:paraId="374BF13F" w14:textId="62461FBD" w:rsidR="00830424" w:rsidRPr="00706E08" w:rsidRDefault="00830424" w:rsidP="000B52DE">
      <w:pPr>
        <w:spacing w:line="360" w:lineRule="auto"/>
        <w:jc w:val="both"/>
        <w:rPr>
          <w:rFonts w:ascii="Book Antiqua" w:eastAsia="等线" w:hAnsi="Book Antiqua"/>
          <w:b/>
          <w:color w:val="000000" w:themeColor="text1"/>
          <w:sz w:val="24"/>
          <w:szCs w:val="24"/>
          <w:lang w:eastAsia="zh-CN"/>
        </w:rPr>
      </w:pPr>
      <w:r w:rsidRPr="00706E08">
        <w:rPr>
          <w:rFonts w:ascii="Book Antiqua" w:eastAsia="等线" w:hAnsi="Book Antiqua"/>
          <w:b/>
          <w:i/>
          <w:color w:val="000000" w:themeColor="text1"/>
          <w:sz w:val="24"/>
          <w:szCs w:val="24"/>
          <w:lang w:eastAsia="zh-CN"/>
        </w:rPr>
        <w:t>Research conclusions</w:t>
      </w:r>
    </w:p>
    <w:p w14:paraId="7E162533" w14:textId="373C7F03" w:rsidR="00A15713" w:rsidRPr="00706E08" w:rsidRDefault="00853DBB" w:rsidP="000B52DE">
      <w:pPr>
        <w:spacing w:line="360" w:lineRule="auto"/>
        <w:jc w:val="both"/>
        <w:rPr>
          <w:rFonts w:ascii="Book Antiqua" w:eastAsia="等线" w:hAnsi="Book Antiqua"/>
          <w:color w:val="000000" w:themeColor="text1"/>
          <w:sz w:val="24"/>
          <w:szCs w:val="24"/>
          <w:lang w:eastAsia="zh-CN"/>
        </w:rPr>
      </w:pPr>
      <w:r w:rsidRPr="00706E08">
        <w:rPr>
          <w:rFonts w:ascii="Book Antiqua" w:eastAsia="等线" w:hAnsi="Book Antiqua"/>
          <w:color w:val="000000" w:themeColor="text1"/>
          <w:sz w:val="24"/>
          <w:szCs w:val="24"/>
          <w:lang w:val="en-GB" w:eastAsia="zh-CN"/>
        </w:rPr>
        <w:t xml:space="preserve">The measurement of PGE-MUM can serve as a useful biomarker to differentiate CEAS from CD, although genetic analysis is mandatory for the diagnosis of CEAS. </w:t>
      </w:r>
    </w:p>
    <w:p w14:paraId="77987935" w14:textId="77777777" w:rsidR="00853DBB" w:rsidRPr="00706E08" w:rsidRDefault="00853DBB" w:rsidP="000B52DE">
      <w:pPr>
        <w:spacing w:line="360" w:lineRule="auto"/>
        <w:jc w:val="both"/>
        <w:rPr>
          <w:rFonts w:ascii="Book Antiqua" w:eastAsia="等线" w:hAnsi="Book Antiqua"/>
          <w:b/>
          <w:color w:val="000000" w:themeColor="text1"/>
          <w:sz w:val="24"/>
          <w:szCs w:val="24"/>
          <w:lang w:eastAsia="zh-CN"/>
        </w:rPr>
      </w:pPr>
    </w:p>
    <w:p w14:paraId="31B835BE" w14:textId="26E15867" w:rsidR="00830424" w:rsidRPr="00706E08" w:rsidRDefault="00830424" w:rsidP="000B52DE">
      <w:pPr>
        <w:spacing w:line="360" w:lineRule="auto"/>
        <w:jc w:val="both"/>
        <w:rPr>
          <w:rFonts w:ascii="Book Antiqua" w:eastAsia="等线" w:hAnsi="Book Antiqua"/>
          <w:b/>
          <w:color w:val="000000" w:themeColor="text1"/>
          <w:sz w:val="24"/>
          <w:szCs w:val="24"/>
          <w:lang w:eastAsia="zh-CN"/>
        </w:rPr>
      </w:pPr>
      <w:r w:rsidRPr="00706E08">
        <w:rPr>
          <w:rFonts w:ascii="Book Antiqua" w:eastAsia="等线" w:hAnsi="Book Antiqua"/>
          <w:b/>
          <w:i/>
          <w:color w:val="000000" w:themeColor="text1"/>
          <w:sz w:val="24"/>
          <w:szCs w:val="24"/>
          <w:lang w:eastAsia="zh-CN"/>
        </w:rPr>
        <w:t>Research perspectives</w:t>
      </w:r>
    </w:p>
    <w:p w14:paraId="5355A846" w14:textId="2E0937BE" w:rsidR="00853DBB" w:rsidRPr="00706E08" w:rsidRDefault="00853DBB" w:rsidP="000B52DE">
      <w:pPr>
        <w:spacing w:line="360" w:lineRule="auto"/>
        <w:jc w:val="both"/>
        <w:rPr>
          <w:rFonts w:ascii="Book Antiqua" w:eastAsia="等线" w:hAnsi="Book Antiqua"/>
          <w:color w:val="000000" w:themeColor="text1"/>
          <w:sz w:val="24"/>
          <w:szCs w:val="24"/>
          <w:lang w:eastAsia="zh-CN"/>
        </w:rPr>
      </w:pPr>
      <w:r w:rsidRPr="00706E08">
        <w:rPr>
          <w:rFonts w:ascii="Book Antiqua" w:eastAsia="等线" w:hAnsi="Book Antiqua"/>
          <w:color w:val="000000" w:themeColor="text1"/>
          <w:sz w:val="24"/>
          <w:szCs w:val="24"/>
          <w:lang w:eastAsia="zh-CN"/>
        </w:rPr>
        <w:t>Our study showed the usefulness of PGE-MUM to differentiate CEAS from CD</w:t>
      </w:r>
      <w:r w:rsidR="00B7188C" w:rsidRPr="00706E08">
        <w:rPr>
          <w:rFonts w:ascii="Book Antiqua" w:eastAsia="等线" w:hAnsi="Book Antiqua"/>
          <w:color w:val="000000" w:themeColor="text1"/>
          <w:sz w:val="24"/>
          <w:szCs w:val="24"/>
          <w:lang w:eastAsia="zh-CN"/>
        </w:rPr>
        <w:t>.</w:t>
      </w:r>
      <w:r w:rsidR="00E87D08" w:rsidRPr="00706E08">
        <w:rPr>
          <w:rFonts w:ascii="Book Antiqua" w:eastAsia="等线" w:hAnsi="Book Antiqua"/>
          <w:color w:val="000000" w:themeColor="text1"/>
          <w:sz w:val="24"/>
          <w:szCs w:val="24"/>
          <w:lang w:eastAsia="zh-CN"/>
        </w:rPr>
        <w:t xml:space="preserve"> </w:t>
      </w:r>
      <w:r w:rsidR="00125F0A" w:rsidRPr="00706E08">
        <w:rPr>
          <w:rFonts w:ascii="Book Antiqua" w:eastAsia="等线" w:hAnsi="Book Antiqua"/>
          <w:color w:val="000000" w:themeColor="text1"/>
          <w:sz w:val="24"/>
          <w:szCs w:val="24"/>
          <w:lang w:eastAsia="zh-CN"/>
        </w:rPr>
        <w:t>In the present research</w:t>
      </w:r>
      <w:r w:rsidR="00E87D08" w:rsidRPr="00706E08">
        <w:rPr>
          <w:rFonts w:ascii="Book Antiqua" w:eastAsia="等线" w:hAnsi="Book Antiqua"/>
          <w:color w:val="000000" w:themeColor="text1"/>
          <w:sz w:val="24"/>
          <w:szCs w:val="24"/>
          <w:lang w:eastAsia="zh-CN"/>
        </w:rPr>
        <w:t xml:space="preserve">, the sample size of the patients with CEAS were relatively small, the cut-off value for the distinction of CEAS from CD should be validated </w:t>
      </w:r>
      <w:r w:rsidR="00125F0A" w:rsidRPr="00706E08">
        <w:rPr>
          <w:rFonts w:ascii="Book Antiqua" w:eastAsia="等线" w:hAnsi="Book Antiqua"/>
          <w:color w:val="000000" w:themeColor="text1"/>
          <w:sz w:val="24"/>
          <w:szCs w:val="24"/>
          <w:lang w:eastAsia="zh-CN"/>
        </w:rPr>
        <w:t>with</w:t>
      </w:r>
      <w:r w:rsidR="00E87D08" w:rsidRPr="00706E08">
        <w:rPr>
          <w:rFonts w:ascii="Book Antiqua" w:eastAsia="等线" w:hAnsi="Book Antiqua"/>
          <w:color w:val="000000" w:themeColor="text1"/>
          <w:sz w:val="24"/>
          <w:szCs w:val="24"/>
          <w:lang w:eastAsia="zh-CN"/>
        </w:rPr>
        <w:t xml:space="preserve"> </w:t>
      </w:r>
      <w:r w:rsidR="00125F0A" w:rsidRPr="00706E08">
        <w:rPr>
          <w:rFonts w:ascii="Book Antiqua" w:eastAsia="等线" w:hAnsi="Book Antiqua"/>
          <w:color w:val="000000" w:themeColor="text1"/>
          <w:sz w:val="24"/>
          <w:szCs w:val="24"/>
          <w:lang w:eastAsia="zh-CN"/>
        </w:rPr>
        <w:t xml:space="preserve">large sample size of patients with CEAS in the future research. </w:t>
      </w:r>
    </w:p>
    <w:p w14:paraId="78F348DE" w14:textId="405CC843" w:rsidR="00672AE3" w:rsidRPr="00706E08" w:rsidRDefault="00672AE3" w:rsidP="000B52DE">
      <w:pPr>
        <w:spacing w:line="360" w:lineRule="auto"/>
        <w:jc w:val="both"/>
        <w:rPr>
          <w:rFonts w:ascii="Book Antiqua" w:eastAsia="等线" w:hAnsi="Book Antiqua"/>
          <w:b/>
          <w:color w:val="000000" w:themeColor="text1"/>
          <w:sz w:val="24"/>
          <w:szCs w:val="24"/>
          <w:lang w:eastAsia="zh-CN"/>
        </w:rPr>
      </w:pPr>
    </w:p>
    <w:p w14:paraId="283F5433" w14:textId="1E994BB8" w:rsidR="000C7C53" w:rsidRPr="00706E08" w:rsidRDefault="007A14D5" w:rsidP="000B52DE">
      <w:pPr>
        <w:spacing w:line="360" w:lineRule="auto"/>
        <w:jc w:val="both"/>
        <w:rPr>
          <w:rFonts w:ascii="Book Antiqua" w:eastAsia="等线" w:hAnsi="Book Antiqua"/>
          <w:b/>
          <w:color w:val="000000" w:themeColor="text1"/>
          <w:sz w:val="24"/>
          <w:szCs w:val="24"/>
          <w:lang w:eastAsia="zh-CN"/>
        </w:rPr>
      </w:pPr>
      <w:r w:rsidRPr="00706E08">
        <w:rPr>
          <w:rFonts w:ascii="Book Antiqua" w:hAnsi="Book Antiqua"/>
          <w:b/>
          <w:color w:val="000000" w:themeColor="text1"/>
          <w:sz w:val="24"/>
          <w:szCs w:val="24"/>
        </w:rPr>
        <w:t>ACKNOWLEDGMENTS</w:t>
      </w:r>
    </w:p>
    <w:p w14:paraId="208E0391" w14:textId="6FB7976C" w:rsidR="000C7C53" w:rsidRPr="00706E08" w:rsidRDefault="000C7C53" w:rsidP="007A14D5">
      <w:pPr>
        <w:spacing w:line="360" w:lineRule="auto"/>
        <w:jc w:val="both"/>
        <w:rPr>
          <w:rFonts w:ascii="Book Antiqua" w:hAnsi="Book Antiqua"/>
          <w:color w:val="000000" w:themeColor="text1"/>
          <w:sz w:val="24"/>
          <w:szCs w:val="24"/>
        </w:rPr>
      </w:pPr>
      <w:r w:rsidRPr="00706E08">
        <w:rPr>
          <w:rFonts w:ascii="Book Antiqua" w:hAnsi="Book Antiqua"/>
          <w:color w:val="000000" w:themeColor="text1"/>
          <w:sz w:val="24"/>
          <w:szCs w:val="24"/>
        </w:rPr>
        <w:lastRenderedPageBreak/>
        <w:t>We appreciate the patients for participating in this study. We also appreciate</w:t>
      </w:r>
      <w:r w:rsidRPr="00706E08">
        <w:rPr>
          <w:rFonts w:ascii="Book Antiqua" w:hAnsi="Book Antiqua" w:cs="Times New Roman"/>
          <w:snapToGrid w:val="0"/>
          <w:color w:val="000000" w:themeColor="text1"/>
          <w:sz w:val="24"/>
          <w:szCs w:val="24"/>
        </w:rPr>
        <w:t xml:space="preserve"> M</w:t>
      </w:r>
      <w:r w:rsidRPr="00706E08">
        <w:rPr>
          <w:rFonts w:ascii="Book Antiqua" w:hAnsi="Book Antiqua"/>
          <w:color w:val="000000" w:themeColor="text1"/>
          <w:sz w:val="24"/>
          <w:szCs w:val="24"/>
        </w:rPr>
        <w:t xml:space="preserve">s. Risa </w:t>
      </w:r>
      <w:proofErr w:type="spellStart"/>
      <w:r w:rsidRPr="00706E08">
        <w:rPr>
          <w:rFonts w:ascii="Book Antiqua" w:hAnsi="Book Antiqua"/>
          <w:color w:val="000000" w:themeColor="text1"/>
          <w:sz w:val="24"/>
          <w:szCs w:val="24"/>
        </w:rPr>
        <w:t>Tsuneyoshi</w:t>
      </w:r>
      <w:proofErr w:type="spellEnd"/>
      <w:r w:rsidRPr="00706E08">
        <w:rPr>
          <w:rFonts w:ascii="Book Antiqua" w:hAnsi="Book Antiqua"/>
          <w:color w:val="000000" w:themeColor="text1"/>
          <w:sz w:val="24"/>
          <w:szCs w:val="24"/>
        </w:rPr>
        <w:t xml:space="preserve"> for technical assistance and Drs. </w:t>
      </w:r>
      <w:proofErr w:type="spellStart"/>
      <w:r w:rsidRPr="00706E08">
        <w:rPr>
          <w:rFonts w:ascii="Book Antiqua" w:hAnsi="Book Antiqua"/>
          <w:color w:val="000000" w:themeColor="text1"/>
          <w:sz w:val="24"/>
          <w:szCs w:val="24"/>
        </w:rPr>
        <w:t>Tomohiko</w:t>
      </w:r>
      <w:proofErr w:type="spellEnd"/>
      <w:r w:rsidRPr="00706E08">
        <w:rPr>
          <w:rFonts w:ascii="Book Antiqua" w:hAnsi="Book Antiqua"/>
          <w:color w:val="000000" w:themeColor="text1"/>
          <w:sz w:val="24"/>
          <w:szCs w:val="24"/>
        </w:rPr>
        <w:t xml:space="preserve"> Moriyama, Shin Fujioka, </w:t>
      </w:r>
      <w:proofErr w:type="spellStart"/>
      <w:r w:rsidRPr="00706E08">
        <w:rPr>
          <w:rFonts w:ascii="Book Antiqua" w:hAnsi="Book Antiqua"/>
          <w:color w:val="000000" w:themeColor="text1"/>
          <w:sz w:val="24"/>
          <w:szCs w:val="24"/>
        </w:rPr>
        <w:t>Naoya</w:t>
      </w:r>
      <w:proofErr w:type="spellEnd"/>
      <w:r w:rsidRPr="00706E08">
        <w:rPr>
          <w:rFonts w:ascii="Book Antiqua" w:hAnsi="Book Antiqua"/>
          <w:color w:val="000000" w:themeColor="text1"/>
          <w:sz w:val="24"/>
          <w:szCs w:val="24"/>
        </w:rPr>
        <w:t xml:space="preserve"> </w:t>
      </w:r>
      <w:proofErr w:type="spellStart"/>
      <w:r w:rsidRPr="00706E08">
        <w:rPr>
          <w:rFonts w:ascii="Book Antiqua" w:hAnsi="Book Antiqua"/>
          <w:color w:val="000000" w:themeColor="text1"/>
          <w:sz w:val="24"/>
          <w:szCs w:val="24"/>
        </w:rPr>
        <w:t>Kubokura</w:t>
      </w:r>
      <w:proofErr w:type="spellEnd"/>
      <w:r w:rsidRPr="00706E08">
        <w:rPr>
          <w:rFonts w:ascii="Book Antiqua" w:hAnsi="Book Antiqua"/>
          <w:color w:val="000000" w:themeColor="text1"/>
          <w:sz w:val="24"/>
          <w:szCs w:val="24"/>
        </w:rPr>
        <w:t xml:space="preserve">, </w:t>
      </w:r>
      <w:proofErr w:type="spellStart"/>
      <w:r w:rsidRPr="00706E08">
        <w:rPr>
          <w:rFonts w:ascii="Book Antiqua" w:hAnsi="Book Antiqua"/>
          <w:color w:val="000000" w:themeColor="text1"/>
          <w:sz w:val="24"/>
          <w:szCs w:val="24"/>
        </w:rPr>
        <w:t>Yoichiro</w:t>
      </w:r>
      <w:proofErr w:type="spellEnd"/>
      <w:r w:rsidRPr="00706E08">
        <w:rPr>
          <w:rFonts w:ascii="Book Antiqua" w:hAnsi="Book Antiqua"/>
          <w:color w:val="000000" w:themeColor="text1"/>
          <w:sz w:val="24"/>
          <w:szCs w:val="24"/>
        </w:rPr>
        <w:t xml:space="preserve"> </w:t>
      </w:r>
      <w:proofErr w:type="spellStart"/>
      <w:r w:rsidRPr="00706E08">
        <w:rPr>
          <w:rFonts w:ascii="Book Antiqua" w:hAnsi="Book Antiqua"/>
          <w:color w:val="000000" w:themeColor="text1"/>
          <w:sz w:val="24"/>
          <w:szCs w:val="24"/>
        </w:rPr>
        <w:t>Nuki</w:t>
      </w:r>
      <w:proofErr w:type="spellEnd"/>
      <w:r w:rsidRPr="00706E08">
        <w:rPr>
          <w:rFonts w:ascii="Book Antiqua" w:hAnsi="Book Antiqua"/>
          <w:color w:val="000000" w:themeColor="text1"/>
          <w:sz w:val="24"/>
          <w:szCs w:val="24"/>
        </w:rPr>
        <w:t xml:space="preserve">, </w:t>
      </w:r>
      <w:proofErr w:type="spellStart"/>
      <w:r w:rsidRPr="00706E08">
        <w:rPr>
          <w:rFonts w:ascii="Book Antiqua" w:hAnsi="Book Antiqua"/>
          <w:color w:val="000000" w:themeColor="text1"/>
          <w:sz w:val="24"/>
          <w:szCs w:val="24"/>
        </w:rPr>
        <w:t>Ema</w:t>
      </w:r>
      <w:proofErr w:type="spellEnd"/>
      <w:r w:rsidRPr="00706E08">
        <w:rPr>
          <w:rFonts w:ascii="Book Antiqua" w:hAnsi="Book Antiqua"/>
          <w:color w:val="000000" w:themeColor="text1"/>
          <w:sz w:val="24"/>
          <w:szCs w:val="24"/>
        </w:rPr>
        <w:t xml:space="preserve"> </w:t>
      </w:r>
      <w:proofErr w:type="spellStart"/>
      <w:r w:rsidRPr="00706E08">
        <w:rPr>
          <w:rFonts w:ascii="Book Antiqua" w:hAnsi="Book Antiqua"/>
          <w:color w:val="000000" w:themeColor="text1"/>
          <w:sz w:val="24"/>
          <w:szCs w:val="24"/>
        </w:rPr>
        <w:t>Washio</w:t>
      </w:r>
      <w:proofErr w:type="spellEnd"/>
      <w:r w:rsidRPr="00706E08">
        <w:rPr>
          <w:rFonts w:ascii="Book Antiqua" w:hAnsi="Book Antiqua"/>
          <w:color w:val="000000" w:themeColor="text1"/>
          <w:sz w:val="24"/>
          <w:szCs w:val="24"/>
        </w:rPr>
        <w:t xml:space="preserve">, and Shinichi Kawano for their assistance with clinical characterization. </w:t>
      </w:r>
    </w:p>
    <w:p w14:paraId="032B9FC1" w14:textId="77777777" w:rsidR="000C7C53" w:rsidRPr="00706E08" w:rsidRDefault="000C7C53" w:rsidP="000B52DE">
      <w:pPr>
        <w:spacing w:line="360" w:lineRule="auto"/>
        <w:jc w:val="both"/>
        <w:rPr>
          <w:rFonts w:ascii="Book Antiqua" w:hAnsi="Book Antiqua"/>
          <w:b/>
          <w:color w:val="000000" w:themeColor="text1"/>
          <w:sz w:val="24"/>
          <w:szCs w:val="24"/>
        </w:rPr>
      </w:pPr>
      <w:r w:rsidRPr="00706E08">
        <w:rPr>
          <w:rFonts w:ascii="Book Antiqua" w:hAnsi="Book Antiqua"/>
          <w:b/>
          <w:color w:val="000000" w:themeColor="text1"/>
          <w:sz w:val="24"/>
          <w:szCs w:val="24"/>
        </w:rPr>
        <w:br w:type="page"/>
      </w:r>
    </w:p>
    <w:p w14:paraId="5508B604" w14:textId="7D6EA9E9" w:rsidR="00967E00" w:rsidRPr="00706E08" w:rsidRDefault="00844C20" w:rsidP="000B52DE">
      <w:pPr>
        <w:spacing w:line="360" w:lineRule="auto"/>
        <w:jc w:val="both"/>
        <w:rPr>
          <w:rFonts w:ascii="Book Antiqua" w:hAnsi="Book Antiqua"/>
          <w:b/>
          <w:color w:val="000000" w:themeColor="text1"/>
          <w:sz w:val="24"/>
          <w:szCs w:val="24"/>
        </w:rPr>
      </w:pPr>
      <w:r w:rsidRPr="00706E08">
        <w:rPr>
          <w:rFonts w:ascii="Book Antiqua" w:hAnsi="Book Antiqua"/>
          <w:b/>
          <w:color w:val="000000" w:themeColor="text1"/>
          <w:sz w:val="24"/>
          <w:szCs w:val="24"/>
        </w:rPr>
        <w:lastRenderedPageBreak/>
        <w:t>REFERENCES</w:t>
      </w:r>
    </w:p>
    <w:p w14:paraId="4048708B"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bookmarkStart w:id="166" w:name="OLE_LINK525"/>
      <w:bookmarkStart w:id="167" w:name="OLE_LINK526"/>
      <w:r w:rsidRPr="00706E08">
        <w:rPr>
          <w:rFonts w:ascii="Book Antiqua" w:eastAsia="宋体" w:hAnsi="Book Antiqua" w:cs="Times New Roman"/>
          <w:sz w:val="24"/>
          <w:szCs w:val="24"/>
          <w:lang w:eastAsia="zh-CN"/>
        </w:rPr>
        <w:t xml:space="preserve">1 </w:t>
      </w:r>
      <w:proofErr w:type="spellStart"/>
      <w:r w:rsidRPr="00706E08">
        <w:rPr>
          <w:rFonts w:ascii="Book Antiqua" w:eastAsia="宋体" w:hAnsi="Book Antiqua" w:cs="Times New Roman"/>
          <w:b/>
          <w:sz w:val="24"/>
          <w:szCs w:val="24"/>
          <w:lang w:eastAsia="zh-CN"/>
        </w:rPr>
        <w:t>Iddan</w:t>
      </w:r>
      <w:proofErr w:type="spellEnd"/>
      <w:r w:rsidRPr="00706E08">
        <w:rPr>
          <w:rFonts w:ascii="Book Antiqua" w:eastAsia="宋体" w:hAnsi="Book Antiqua" w:cs="Times New Roman"/>
          <w:b/>
          <w:sz w:val="24"/>
          <w:szCs w:val="24"/>
          <w:lang w:eastAsia="zh-CN"/>
        </w:rPr>
        <w:t xml:space="preserve"> G</w:t>
      </w:r>
      <w:r w:rsidRPr="00706E08">
        <w:rPr>
          <w:rFonts w:ascii="Book Antiqua" w:eastAsia="宋体" w:hAnsi="Book Antiqua" w:cs="Times New Roman"/>
          <w:sz w:val="24"/>
          <w:szCs w:val="24"/>
          <w:lang w:eastAsia="zh-CN"/>
        </w:rPr>
        <w:t xml:space="preserve">, </w:t>
      </w:r>
      <w:proofErr w:type="spellStart"/>
      <w:r w:rsidRPr="00706E08">
        <w:rPr>
          <w:rFonts w:ascii="Book Antiqua" w:eastAsia="宋体" w:hAnsi="Book Antiqua" w:cs="Times New Roman"/>
          <w:sz w:val="24"/>
          <w:szCs w:val="24"/>
          <w:lang w:eastAsia="zh-CN"/>
        </w:rPr>
        <w:t>Meron</w:t>
      </w:r>
      <w:proofErr w:type="spellEnd"/>
      <w:r w:rsidRPr="00706E08">
        <w:rPr>
          <w:rFonts w:ascii="Book Antiqua" w:eastAsia="宋体" w:hAnsi="Book Antiqua" w:cs="Times New Roman"/>
          <w:sz w:val="24"/>
          <w:szCs w:val="24"/>
          <w:lang w:eastAsia="zh-CN"/>
        </w:rPr>
        <w:t xml:space="preserve"> G, </w:t>
      </w:r>
      <w:proofErr w:type="spellStart"/>
      <w:r w:rsidRPr="00706E08">
        <w:rPr>
          <w:rFonts w:ascii="Book Antiqua" w:eastAsia="宋体" w:hAnsi="Book Antiqua" w:cs="Times New Roman"/>
          <w:sz w:val="24"/>
          <w:szCs w:val="24"/>
          <w:lang w:eastAsia="zh-CN"/>
        </w:rPr>
        <w:t>Glukhovsky</w:t>
      </w:r>
      <w:proofErr w:type="spellEnd"/>
      <w:r w:rsidRPr="00706E08">
        <w:rPr>
          <w:rFonts w:ascii="Book Antiqua" w:eastAsia="宋体" w:hAnsi="Book Antiqua" w:cs="Times New Roman"/>
          <w:sz w:val="24"/>
          <w:szCs w:val="24"/>
          <w:lang w:eastAsia="zh-CN"/>
        </w:rPr>
        <w:t xml:space="preserve"> A, Swain P. Wireless capsule endoscopy. </w:t>
      </w:r>
      <w:r w:rsidRPr="00706E08">
        <w:rPr>
          <w:rFonts w:ascii="Book Antiqua" w:eastAsia="宋体" w:hAnsi="Book Antiqua" w:cs="Times New Roman"/>
          <w:i/>
          <w:sz w:val="24"/>
          <w:szCs w:val="24"/>
          <w:lang w:eastAsia="zh-CN"/>
        </w:rPr>
        <w:t>Nature</w:t>
      </w:r>
      <w:r w:rsidRPr="00706E08">
        <w:rPr>
          <w:rFonts w:ascii="Book Antiqua" w:eastAsia="宋体" w:hAnsi="Book Antiqua" w:cs="Times New Roman"/>
          <w:sz w:val="24"/>
          <w:szCs w:val="24"/>
          <w:lang w:eastAsia="zh-CN"/>
        </w:rPr>
        <w:t xml:space="preserve"> 2000; </w:t>
      </w:r>
      <w:r w:rsidRPr="00706E08">
        <w:rPr>
          <w:rFonts w:ascii="Book Antiqua" w:eastAsia="宋体" w:hAnsi="Book Antiqua" w:cs="Times New Roman"/>
          <w:b/>
          <w:sz w:val="24"/>
          <w:szCs w:val="24"/>
          <w:lang w:eastAsia="zh-CN"/>
        </w:rPr>
        <w:t>405</w:t>
      </w:r>
      <w:r w:rsidRPr="00706E08">
        <w:rPr>
          <w:rFonts w:ascii="Book Antiqua" w:eastAsia="宋体" w:hAnsi="Book Antiqua" w:cs="Times New Roman"/>
          <w:sz w:val="24"/>
          <w:szCs w:val="24"/>
          <w:lang w:eastAsia="zh-CN"/>
        </w:rPr>
        <w:t>: 417 [PMID: 10839527 DOI: 10.1038/35013140]</w:t>
      </w:r>
    </w:p>
    <w:p w14:paraId="36124E60"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2 </w:t>
      </w:r>
      <w:r w:rsidRPr="00706E08">
        <w:rPr>
          <w:rFonts w:ascii="Book Antiqua" w:eastAsia="宋体" w:hAnsi="Book Antiqua" w:cs="Times New Roman"/>
          <w:b/>
          <w:sz w:val="24"/>
          <w:szCs w:val="24"/>
          <w:lang w:eastAsia="zh-CN"/>
        </w:rPr>
        <w:t>Yamamoto H</w:t>
      </w:r>
      <w:r w:rsidRPr="00706E08">
        <w:rPr>
          <w:rFonts w:ascii="Book Antiqua" w:eastAsia="宋体" w:hAnsi="Book Antiqua" w:cs="Times New Roman"/>
          <w:sz w:val="24"/>
          <w:szCs w:val="24"/>
          <w:lang w:eastAsia="zh-CN"/>
        </w:rPr>
        <w:t xml:space="preserve">, </w:t>
      </w:r>
      <w:proofErr w:type="spellStart"/>
      <w:r w:rsidRPr="00706E08">
        <w:rPr>
          <w:rFonts w:ascii="Book Antiqua" w:eastAsia="宋体" w:hAnsi="Book Antiqua" w:cs="Times New Roman"/>
          <w:sz w:val="24"/>
          <w:szCs w:val="24"/>
          <w:lang w:eastAsia="zh-CN"/>
        </w:rPr>
        <w:t>Sekine</w:t>
      </w:r>
      <w:proofErr w:type="spellEnd"/>
      <w:r w:rsidRPr="00706E08">
        <w:rPr>
          <w:rFonts w:ascii="Book Antiqua" w:eastAsia="宋体" w:hAnsi="Book Antiqua" w:cs="Times New Roman"/>
          <w:sz w:val="24"/>
          <w:szCs w:val="24"/>
          <w:lang w:eastAsia="zh-CN"/>
        </w:rPr>
        <w:t xml:space="preserve"> Y, Sato Y, </w:t>
      </w:r>
      <w:proofErr w:type="spellStart"/>
      <w:r w:rsidRPr="00706E08">
        <w:rPr>
          <w:rFonts w:ascii="Book Antiqua" w:eastAsia="宋体" w:hAnsi="Book Antiqua" w:cs="Times New Roman"/>
          <w:sz w:val="24"/>
          <w:szCs w:val="24"/>
          <w:lang w:eastAsia="zh-CN"/>
        </w:rPr>
        <w:t>Higashizawa</w:t>
      </w:r>
      <w:proofErr w:type="spellEnd"/>
      <w:r w:rsidRPr="00706E08">
        <w:rPr>
          <w:rFonts w:ascii="Book Antiqua" w:eastAsia="宋体" w:hAnsi="Book Antiqua" w:cs="Times New Roman"/>
          <w:sz w:val="24"/>
          <w:szCs w:val="24"/>
          <w:lang w:eastAsia="zh-CN"/>
        </w:rPr>
        <w:t xml:space="preserve"> T, Miyata T, Iino S, </w:t>
      </w:r>
      <w:proofErr w:type="spellStart"/>
      <w:r w:rsidRPr="00706E08">
        <w:rPr>
          <w:rFonts w:ascii="Book Antiqua" w:eastAsia="宋体" w:hAnsi="Book Antiqua" w:cs="Times New Roman"/>
          <w:sz w:val="24"/>
          <w:szCs w:val="24"/>
          <w:lang w:eastAsia="zh-CN"/>
        </w:rPr>
        <w:t>Ido</w:t>
      </w:r>
      <w:proofErr w:type="spellEnd"/>
      <w:r w:rsidRPr="00706E08">
        <w:rPr>
          <w:rFonts w:ascii="Book Antiqua" w:eastAsia="宋体" w:hAnsi="Book Antiqua" w:cs="Times New Roman"/>
          <w:sz w:val="24"/>
          <w:szCs w:val="24"/>
          <w:lang w:eastAsia="zh-CN"/>
        </w:rPr>
        <w:t xml:space="preserve"> K, Sugano K. Total </w:t>
      </w:r>
      <w:proofErr w:type="spellStart"/>
      <w:r w:rsidRPr="00706E08">
        <w:rPr>
          <w:rFonts w:ascii="Book Antiqua" w:eastAsia="宋体" w:hAnsi="Book Antiqua" w:cs="Times New Roman"/>
          <w:sz w:val="24"/>
          <w:szCs w:val="24"/>
          <w:lang w:eastAsia="zh-CN"/>
        </w:rPr>
        <w:t>enteroscopy</w:t>
      </w:r>
      <w:proofErr w:type="spellEnd"/>
      <w:r w:rsidRPr="00706E08">
        <w:rPr>
          <w:rFonts w:ascii="Book Antiqua" w:eastAsia="宋体" w:hAnsi="Book Antiqua" w:cs="Times New Roman"/>
          <w:sz w:val="24"/>
          <w:szCs w:val="24"/>
          <w:lang w:eastAsia="zh-CN"/>
        </w:rPr>
        <w:t xml:space="preserve"> with a nonsurgical steerable double-balloon method. </w:t>
      </w:r>
      <w:proofErr w:type="spellStart"/>
      <w:r w:rsidRPr="00706E08">
        <w:rPr>
          <w:rFonts w:ascii="Book Antiqua" w:eastAsia="宋体" w:hAnsi="Book Antiqua" w:cs="Times New Roman"/>
          <w:i/>
          <w:sz w:val="24"/>
          <w:szCs w:val="24"/>
          <w:lang w:eastAsia="zh-CN"/>
        </w:rPr>
        <w:t>Gastrointest</w:t>
      </w:r>
      <w:proofErr w:type="spellEnd"/>
      <w:r w:rsidRPr="00706E08">
        <w:rPr>
          <w:rFonts w:ascii="Book Antiqua" w:eastAsia="宋体" w:hAnsi="Book Antiqua" w:cs="Times New Roman"/>
          <w:i/>
          <w:sz w:val="24"/>
          <w:szCs w:val="24"/>
          <w:lang w:eastAsia="zh-CN"/>
        </w:rPr>
        <w:t xml:space="preserve"> </w:t>
      </w:r>
      <w:proofErr w:type="spellStart"/>
      <w:r w:rsidRPr="00706E08">
        <w:rPr>
          <w:rFonts w:ascii="Book Antiqua" w:eastAsia="宋体" w:hAnsi="Book Antiqua" w:cs="Times New Roman"/>
          <w:i/>
          <w:sz w:val="24"/>
          <w:szCs w:val="24"/>
          <w:lang w:eastAsia="zh-CN"/>
        </w:rPr>
        <w:t>Endosc</w:t>
      </w:r>
      <w:proofErr w:type="spellEnd"/>
      <w:r w:rsidRPr="00706E08">
        <w:rPr>
          <w:rFonts w:ascii="Book Antiqua" w:eastAsia="宋体" w:hAnsi="Book Antiqua" w:cs="Times New Roman"/>
          <w:sz w:val="24"/>
          <w:szCs w:val="24"/>
          <w:lang w:eastAsia="zh-CN"/>
        </w:rPr>
        <w:t xml:space="preserve"> 2001; </w:t>
      </w:r>
      <w:r w:rsidRPr="00706E08">
        <w:rPr>
          <w:rFonts w:ascii="Book Antiqua" w:eastAsia="宋体" w:hAnsi="Book Antiqua" w:cs="Times New Roman"/>
          <w:b/>
          <w:sz w:val="24"/>
          <w:szCs w:val="24"/>
          <w:lang w:eastAsia="zh-CN"/>
        </w:rPr>
        <w:t>53</w:t>
      </w:r>
      <w:r w:rsidRPr="00706E08">
        <w:rPr>
          <w:rFonts w:ascii="Book Antiqua" w:eastAsia="宋体" w:hAnsi="Book Antiqua" w:cs="Times New Roman"/>
          <w:sz w:val="24"/>
          <w:szCs w:val="24"/>
          <w:lang w:eastAsia="zh-CN"/>
        </w:rPr>
        <w:t>: 216-220 [PMID: 11174299 DOI: 10.1067/mge.2001.112181]</w:t>
      </w:r>
    </w:p>
    <w:p w14:paraId="77559675"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3 </w:t>
      </w:r>
      <w:r w:rsidRPr="00706E08">
        <w:rPr>
          <w:rFonts w:ascii="Book Antiqua" w:eastAsia="宋体" w:hAnsi="Book Antiqua" w:cs="Times New Roman"/>
          <w:b/>
          <w:sz w:val="24"/>
          <w:szCs w:val="24"/>
          <w:lang w:eastAsia="zh-CN"/>
        </w:rPr>
        <w:t>Matsumoto T</w:t>
      </w:r>
      <w:r w:rsidRPr="00706E08">
        <w:rPr>
          <w:rFonts w:ascii="Book Antiqua" w:eastAsia="宋体" w:hAnsi="Book Antiqua" w:cs="Times New Roman"/>
          <w:sz w:val="24"/>
          <w:szCs w:val="24"/>
          <w:lang w:eastAsia="zh-CN"/>
        </w:rPr>
        <w:t xml:space="preserve">, Moriyama T, Esaki M, Nakamura S, Iida M. Performance of antegrade double-balloon </w:t>
      </w:r>
      <w:proofErr w:type="spellStart"/>
      <w:r w:rsidRPr="00706E08">
        <w:rPr>
          <w:rFonts w:ascii="Book Antiqua" w:eastAsia="宋体" w:hAnsi="Book Antiqua" w:cs="Times New Roman"/>
          <w:sz w:val="24"/>
          <w:szCs w:val="24"/>
          <w:lang w:eastAsia="zh-CN"/>
        </w:rPr>
        <w:t>enteroscopy</w:t>
      </w:r>
      <w:proofErr w:type="spellEnd"/>
      <w:r w:rsidRPr="00706E08">
        <w:rPr>
          <w:rFonts w:ascii="Book Antiqua" w:eastAsia="宋体" w:hAnsi="Book Antiqua" w:cs="Times New Roman"/>
          <w:sz w:val="24"/>
          <w:szCs w:val="24"/>
          <w:lang w:eastAsia="zh-CN"/>
        </w:rPr>
        <w:t xml:space="preserve">: Comparison with push </w:t>
      </w:r>
      <w:proofErr w:type="spellStart"/>
      <w:r w:rsidRPr="00706E08">
        <w:rPr>
          <w:rFonts w:ascii="Book Antiqua" w:eastAsia="宋体" w:hAnsi="Book Antiqua" w:cs="Times New Roman"/>
          <w:sz w:val="24"/>
          <w:szCs w:val="24"/>
          <w:lang w:eastAsia="zh-CN"/>
        </w:rPr>
        <w:t>enteroscopy</w:t>
      </w:r>
      <w:proofErr w:type="spellEnd"/>
      <w:r w:rsidRPr="00706E08">
        <w:rPr>
          <w:rFonts w:ascii="Book Antiqua" w:eastAsia="宋体" w:hAnsi="Book Antiqua" w:cs="Times New Roman"/>
          <w:sz w:val="24"/>
          <w:szCs w:val="24"/>
          <w:lang w:eastAsia="zh-CN"/>
        </w:rPr>
        <w:t xml:space="preserve">. </w:t>
      </w:r>
      <w:proofErr w:type="spellStart"/>
      <w:r w:rsidRPr="00706E08">
        <w:rPr>
          <w:rFonts w:ascii="Book Antiqua" w:eastAsia="宋体" w:hAnsi="Book Antiqua" w:cs="Times New Roman"/>
          <w:i/>
          <w:sz w:val="24"/>
          <w:szCs w:val="24"/>
          <w:lang w:eastAsia="zh-CN"/>
        </w:rPr>
        <w:t>Gastrointest</w:t>
      </w:r>
      <w:proofErr w:type="spellEnd"/>
      <w:r w:rsidRPr="00706E08">
        <w:rPr>
          <w:rFonts w:ascii="Book Antiqua" w:eastAsia="宋体" w:hAnsi="Book Antiqua" w:cs="Times New Roman"/>
          <w:i/>
          <w:sz w:val="24"/>
          <w:szCs w:val="24"/>
          <w:lang w:eastAsia="zh-CN"/>
        </w:rPr>
        <w:t xml:space="preserve"> </w:t>
      </w:r>
      <w:proofErr w:type="spellStart"/>
      <w:r w:rsidRPr="00706E08">
        <w:rPr>
          <w:rFonts w:ascii="Book Antiqua" w:eastAsia="宋体" w:hAnsi="Book Antiqua" w:cs="Times New Roman"/>
          <w:i/>
          <w:sz w:val="24"/>
          <w:szCs w:val="24"/>
          <w:lang w:eastAsia="zh-CN"/>
        </w:rPr>
        <w:t>Endosc</w:t>
      </w:r>
      <w:proofErr w:type="spellEnd"/>
      <w:r w:rsidRPr="00706E08">
        <w:rPr>
          <w:rFonts w:ascii="Book Antiqua" w:eastAsia="宋体" w:hAnsi="Book Antiqua" w:cs="Times New Roman"/>
          <w:sz w:val="24"/>
          <w:szCs w:val="24"/>
          <w:lang w:eastAsia="zh-CN"/>
        </w:rPr>
        <w:t xml:space="preserve"> 2005; </w:t>
      </w:r>
      <w:r w:rsidRPr="00706E08">
        <w:rPr>
          <w:rFonts w:ascii="Book Antiqua" w:eastAsia="宋体" w:hAnsi="Book Antiqua" w:cs="Times New Roman"/>
          <w:b/>
          <w:sz w:val="24"/>
          <w:szCs w:val="24"/>
          <w:lang w:eastAsia="zh-CN"/>
        </w:rPr>
        <w:t>62</w:t>
      </w:r>
      <w:r w:rsidRPr="00706E08">
        <w:rPr>
          <w:rFonts w:ascii="Book Antiqua" w:eastAsia="宋体" w:hAnsi="Book Antiqua" w:cs="Times New Roman"/>
          <w:sz w:val="24"/>
          <w:szCs w:val="24"/>
          <w:lang w:eastAsia="zh-CN"/>
        </w:rPr>
        <w:t>: 392-398 [PMID: 16111958 DOI: 10.1016/j.gie.2005.04.052]</w:t>
      </w:r>
    </w:p>
    <w:p w14:paraId="297A01B0"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4 </w:t>
      </w:r>
      <w:r w:rsidRPr="00706E08">
        <w:rPr>
          <w:rFonts w:ascii="Book Antiqua" w:eastAsia="宋体" w:hAnsi="Book Antiqua" w:cs="Times New Roman"/>
          <w:b/>
          <w:sz w:val="24"/>
          <w:szCs w:val="24"/>
          <w:lang w:eastAsia="zh-CN"/>
        </w:rPr>
        <w:t>Matsumoto T</w:t>
      </w:r>
      <w:r w:rsidRPr="00706E08">
        <w:rPr>
          <w:rFonts w:ascii="Book Antiqua" w:eastAsia="宋体" w:hAnsi="Book Antiqua" w:cs="Times New Roman"/>
          <w:sz w:val="24"/>
          <w:szCs w:val="24"/>
          <w:lang w:eastAsia="zh-CN"/>
        </w:rPr>
        <w:t xml:space="preserve">, Kudo T, Esaki M, Yano T, Yamamoto H, Sakamoto C, </w:t>
      </w:r>
      <w:proofErr w:type="spellStart"/>
      <w:r w:rsidRPr="00706E08">
        <w:rPr>
          <w:rFonts w:ascii="Book Antiqua" w:eastAsia="宋体" w:hAnsi="Book Antiqua" w:cs="Times New Roman"/>
          <w:sz w:val="24"/>
          <w:szCs w:val="24"/>
          <w:lang w:eastAsia="zh-CN"/>
        </w:rPr>
        <w:t>Goto</w:t>
      </w:r>
      <w:proofErr w:type="spellEnd"/>
      <w:r w:rsidRPr="00706E08">
        <w:rPr>
          <w:rFonts w:ascii="Book Antiqua" w:eastAsia="宋体" w:hAnsi="Book Antiqua" w:cs="Times New Roman"/>
          <w:sz w:val="24"/>
          <w:szCs w:val="24"/>
          <w:lang w:eastAsia="zh-CN"/>
        </w:rPr>
        <w:t xml:space="preserve"> H, Nakase H, Tanaka S, Matsui T, Sugano K, Iida M. Prevalence of non-steroidal anti-inflammatory drug-induced enteropathy determined by double-balloon endoscopy: A Japanese multicenter study. </w:t>
      </w:r>
      <w:proofErr w:type="spellStart"/>
      <w:r w:rsidRPr="00706E08">
        <w:rPr>
          <w:rFonts w:ascii="Book Antiqua" w:eastAsia="宋体" w:hAnsi="Book Antiqua" w:cs="Times New Roman"/>
          <w:i/>
          <w:sz w:val="24"/>
          <w:szCs w:val="24"/>
          <w:lang w:eastAsia="zh-CN"/>
        </w:rPr>
        <w:t>Scand</w:t>
      </w:r>
      <w:proofErr w:type="spellEnd"/>
      <w:r w:rsidRPr="00706E08">
        <w:rPr>
          <w:rFonts w:ascii="Book Antiqua" w:eastAsia="宋体" w:hAnsi="Book Antiqua" w:cs="Times New Roman"/>
          <w:i/>
          <w:sz w:val="24"/>
          <w:szCs w:val="24"/>
          <w:lang w:eastAsia="zh-CN"/>
        </w:rPr>
        <w:t xml:space="preserve"> J Gastroenterol</w:t>
      </w:r>
      <w:r w:rsidRPr="00706E08">
        <w:rPr>
          <w:rFonts w:ascii="Book Antiqua" w:eastAsia="宋体" w:hAnsi="Book Antiqua" w:cs="Times New Roman"/>
          <w:sz w:val="24"/>
          <w:szCs w:val="24"/>
          <w:lang w:eastAsia="zh-CN"/>
        </w:rPr>
        <w:t xml:space="preserve"> 2008; </w:t>
      </w:r>
      <w:r w:rsidRPr="00706E08">
        <w:rPr>
          <w:rFonts w:ascii="Book Antiqua" w:eastAsia="宋体" w:hAnsi="Book Antiqua" w:cs="Times New Roman"/>
          <w:b/>
          <w:sz w:val="24"/>
          <w:szCs w:val="24"/>
          <w:lang w:eastAsia="zh-CN"/>
        </w:rPr>
        <w:t>43</w:t>
      </w:r>
      <w:r w:rsidRPr="00706E08">
        <w:rPr>
          <w:rFonts w:ascii="Book Antiqua" w:eastAsia="宋体" w:hAnsi="Book Antiqua" w:cs="Times New Roman"/>
          <w:sz w:val="24"/>
          <w:szCs w:val="24"/>
          <w:lang w:eastAsia="zh-CN"/>
        </w:rPr>
        <w:t>: 490-496 [PMID: 18365915 DOI: 10.1080/00365520701794121]</w:t>
      </w:r>
    </w:p>
    <w:p w14:paraId="489F8817"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5 </w:t>
      </w:r>
      <w:r w:rsidRPr="00706E08">
        <w:rPr>
          <w:rFonts w:ascii="Book Antiqua" w:eastAsia="宋体" w:hAnsi="Book Antiqua" w:cs="Times New Roman"/>
          <w:b/>
          <w:sz w:val="24"/>
          <w:szCs w:val="24"/>
          <w:lang w:eastAsia="zh-CN"/>
        </w:rPr>
        <w:t>Esaki M</w:t>
      </w:r>
      <w:r w:rsidRPr="00706E08">
        <w:rPr>
          <w:rFonts w:ascii="Book Antiqua" w:eastAsia="宋体" w:hAnsi="Book Antiqua" w:cs="Times New Roman"/>
          <w:sz w:val="24"/>
          <w:szCs w:val="24"/>
          <w:lang w:eastAsia="zh-CN"/>
        </w:rPr>
        <w:t xml:space="preserve">, Matsumoto T, Watanabe K, Arakawa T, Naito Y, Matsuura M, Nakase H, </w:t>
      </w:r>
      <w:proofErr w:type="spellStart"/>
      <w:r w:rsidRPr="00706E08">
        <w:rPr>
          <w:rFonts w:ascii="Book Antiqua" w:eastAsia="宋体" w:hAnsi="Book Antiqua" w:cs="Times New Roman"/>
          <w:sz w:val="24"/>
          <w:szCs w:val="24"/>
          <w:lang w:eastAsia="zh-CN"/>
        </w:rPr>
        <w:t>Hibi</w:t>
      </w:r>
      <w:proofErr w:type="spellEnd"/>
      <w:r w:rsidRPr="00706E08">
        <w:rPr>
          <w:rFonts w:ascii="Book Antiqua" w:eastAsia="宋体" w:hAnsi="Book Antiqua" w:cs="Times New Roman"/>
          <w:sz w:val="24"/>
          <w:szCs w:val="24"/>
          <w:lang w:eastAsia="zh-CN"/>
        </w:rPr>
        <w:t xml:space="preserve"> T, Matsumoto T, </w:t>
      </w:r>
      <w:proofErr w:type="spellStart"/>
      <w:r w:rsidRPr="00706E08">
        <w:rPr>
          <w:rFonts w:ascii="Book Antiqua" w:eastAsia="宋体" w:hAnsi="Book Antiqua" w:cs="Times New Roman"/>
          <w:sz w:val="24"/>
          <w:szCs w:val="24"/>
          <w:lang w:eastAsia="zh-CN"/>
        </w:rPr>
        <w:t>Nouda</w:t>
      </w:r>
      <w:proofErr w:type="spellEnd"/>
      <w:r w:rsidRPr="00706E08">
        <w:rPr>
          <w:rFonts w:ascii="Book Antiqua" w:eastAsia="宋体" w:hAnsi="Book Antiqua" w:cs="Times New Roman"/>
          <w:sz w:val="24"/>
          <w:szCs w:val="24"/>
          <w:lang w:eastAsia="zh-CN"/>
        </w:rPr>
        <w:t xml:space="preserve"> S, Higuchi K, </w:t>
      </w:r>
      <w:proofErr w:type="spellStart"/>
      <w:r w:rsidRPr="00706E08">
        <w:rPr>
          <w:rFonts w:ascii="Book Antiqua" w:eastAsia="宋体" w:hAnsi="Book Antiqua" w:cs="Times New Roman"/>
          <w:sz w:val="24"/>
          <w:szCs w:val="24"/>
          <w:lang w:eastAsia="zh-CN"/>
        </w:rPr>
        <w:t>Ohmiya</w:t>
      </w:r>
      <w:proofErr w:type="spellEnd"/>
      <w:r w:rsidRPr="00706E08">
        <w:rPr>
          <w:rFonts w:ascii="Book Antiqua" w:eastAsia="宋体" w:hAnsi="Book Antiqua" w:cs="Times New Roman"/>
          <w:sz w:val="24"/>
          <w:szCs w:val="24"/>
          <w:lang w:eastAsia="zh-CN"/>
        </w:rPr>
        <w:t xml:space="preserve"> N, </w:t>
      </w:r>
      <w:proofErr w:type="spellStart"/>
      <w:r w:rsidRPr="00706E08">
        <w:rPr>
          <w:rFonts w:ascii="Book Antiqua" w:eastAsia="宋体" w:hAnsi="Book Antiqua" w:cs="Times New Roman"/>
          <w:sz w:val="24"/>
          <w:szCs w:val="24"/>
          <w:lang w:eastAsia="zh-CN"/>
        </w:rPr>
        <w:t>Goto</w:t>
      </w:r>
      <w:proofErr w:type="spellEnd"/>
      <w:r w:rsidRPr="00706E08">
        <w:rPr>
          <w:rFonts w:ascii="Book Antiqua" w:eastAsia="宋体" w:hAnsi="Book Antiqua" w:cs="Times New Roman"/>
          <w:sz w:val="24"/>
          <w:szCs w:val="24"/>
          <w:lang w:eastAsia="zh-CN"/>
        </w:rPr>
        <w:t xml:space="preserve"> H, </w:t>
      </w:r>
      <w:proofErr w:type="spellStart"/>
      <w:r w:rsidRPr="00706E08">
        <w:rPr>
          <w:rFonts w:ascii="Book Antiqua" w:eastAsia="宋体" w:hAnsi="Book Antiqua" w:cs="Times New Roman"/>
          <w:sz w:val="24"/>
          <w:szCs w:val="24"/>
          <w:lang w:eastAsia="zh-CN"/>
        </w:rPr>
        <w:t>Kurokawa</w:t>
      </w:r>
      <w:proofErr w:type="spellEnd"/>
      <w:r w:rsidRPr="00706E08">
        <w:rPr>
          <w:rFonts w:ascii="Book Antiqua" w:eastAsia="宋体" w:hAnsi="Book Antiqua" w:cs="Times New Roman"/>
          <w:sz w:val="24"/>
          <w:szCs w:val="24"/>
          <w:lang w:eastAsia="zh-CN"/>
        </w:rPr>
        <w:t xml:space="preserve"> S, </w:t>
      </w:r>
      <w:proofErr w:type="spellStart"/>
      <w:r w:rsidRPr="00706E08">
        <w:rPr>
          <w:rFonts w:ascii="Book Antiqua" w:eastAsia="宋体" w:hAnsi="Book Antiqua" w:cs="Times New Roman"/>
          <w:sz w:val="24"/>
          <w:szCs w:val="24"/>
          <w:lang w:eastAsia="zh-CN"/>
        </w:rPr>
        <w:t>Motoya</w:t>
      </w:r>
      <w:proofErr w:type="spellEnd"/>
      <w:r w:rsidRPr="00706E08">
        <w:rPr>
          <w:rFonts w:ascii="Book Antiqua" w:eastAsia="宋体" w:hAnsi="Book Antiqua" w:cs="Times New Roman"/>
          <w:sz w:val="24"/>
          <w:szCs w:val="24"/>
          <w:lang w:eastAsia="zh-CN"/>
        </w:rPr>
        <w:t xml:space="preserve"> S, Watanabe M. Use of capsule endoscopy in patients with Crohn's disease in Japan: A multicenter survey. </w:t>
      </w:r>
      <w:r w:rsidRPr="00706E08">
        <w:rPr>
          <w:rFonts w:ascii="Book Antiqua" w:eastAsia="宋体" w:hAnsi="Book Antiqua" w:cs="Times New Roman"/>
          <w:i/>
          <w:sz w:val="24"/>
          <w:szCs w:val="24"/>
          <w:lang w:eastAsia="zh-CN"/>
        </w:rPr>
        <w:t xml:space="preserve">J Gastroenterol </w:t>
      </w:r>
      <w:proofErr w:type="spellStart"/>
      <w:r w:rsidRPr="00706E08">
        <w:rPr>
          <w:rFonts w:ascii="Book Antiqua" w:eastAsia="宋体" w:hAnsi="Book Antiqua" w:cs="Times New Roman"/>
          <w:i/>
          <w:sz w:val="24"/>
          <w:szCs w:val="24"/>
          <w:lang w:eastAsia="zh-CN"/>
        </w:rPr>
        <w:t>Hepatol</w:t>
      </w:r>
      <w:proofErr w:type="spellEnd"/>
      <w:r w:rsidRPr="00706E08">
        <w:rPr>
          <w:rFonts w:ascii="Book Antiqua" w:eastAsia="宋体" w:hAnsi="Book Antiqua" w:cs="Times New Roman"/>
          <w:sz w:val="24"/>
          <w:szCs w:val="24"/>
          <w:lang w:eastAsia="zh-CN"/>
        </w:rPr>
        <w:t xml:space="preserve"> 2014; </w:t>
      </w:r>
      <w:r w:rsidRPr="00706E08">
        <w:rPr>
          <w:rFonts w:ascii="Book Antiqua" w:eastAsia="宋体" w:hAnsi="Book Antiqua" w:cs="Times New Roman"/>
          <w:b/>
          <w:sz w:val="24"/>
          <w:szCs w:val="24"/>
          <w:lang w:eastAsia="zh-CN"/>
        </w:rPr>
        <w:t>29</w:t>
      </w:r>
      <w:r w:rsidRPr="00706E08">
        <w:rPr>
          <w:rFonts w:ascii="Book Antiqua" w:eastAsia="宋体" w:hAnsi="Book Antiqua" w:cs="Times New Roman"/>
          <w:sz w:val="24"/>
          <w:szCs w:val="24"/>
          <w:lang w:eastAsia="zh-CN"/>
        </w:rPr>
        <w:t>: 96-101 [PMID: 24354993 DOI: 10.1111/jgh.12411]</w:t>
      </w:r>
    </w:p>
    <w:p w14:paraId="2B34BB50"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6 </w:t>
      </w:r>
      <w:r w:rsidRPr="00706E08">
        <w:rPr>
          <w:rFonts w:ascii="Book Antiqua" w:eastAsia="宋体" w:hAnsi="Book Antiqua" w:cs="Times New Roman"/>
          <w:b/>
          <w:sz w:val="24"/>
          <w:szCs w:val="24"/>
          <w:lang w:eastAsia="zh-CN"/>
        </w:rPr>
        <w:t>Matsumoto T</w:t>
      </w:r>
      <w:r w:rsidRPr="00706E08">
        <w:rPr>
          <w:rFonts w:ascii="Book Antiqua" w:eastAsia="宋体" w:hAnsi="Book Antiqua" w:cs="Times New Roman"/>
          <w:sz w:val="24"/>
          <w:szCs w:val="24"/>
          <w:lang w:eastAsia="zh-CN"/>
        </w:rPr>
        <w:t xml:space="preserve">, Iida M, Matsui T, Yao T, Watanabe H, Yao T, Okabe H. Non-specific multiple ulcers of the small intestine unrelated to non-steroidal anti-inflammatory drugs. </w:t>
      </w:r>
      <w:r w:rsidRPr="00706E08">
        <w:rPr>
          <w:rFonts w:ascii="Book Antiqua" w:eastAsia="宋体" w:hAnsi="Book Antiqua" w:cs="Times New Roman"/>
          <w:i/>
          <w:sz w:val="24"/>
          <w:szCs w:val="24"/>
          <w:lang w:eastAsia="zh-CN"/>
        </w:rPr>
        <w:t xml:space="preserve">J Clin </w:t>
      </w:r>
      <w:proofErr w:type="spellStart"/>
      <w:r w:rsidRPr="00706E08">
        <w:rPr>
          <w:rFonts w:ascii="Book Antiqua" w:eastAsia="宋体" w:hAnsi="Book Antiqua" w:cs="Times New Roman"/>
          <w:i/>
          <w:sz w:val="24"/>
          <w:szCs w:val="24"/>
          <w:lang w:eastAsia="zh-CN"/>
        </w:rPr>
        <w:t>Pathol</w:t>
      </w:r>
      <w:proofErr w:type="spellEnd"/>
      <w:r w:rsidRPr="00706E08">
        <w:rPr>
          <w:rFonts w:ascii="Book Antiqua" w:eastAsia="宋体" w:hAnsi="Book Antiqua" w:cs="Times New Roman"/>
          <w:sz w:val="24"/>
          <w:szCs w:val="24"/>
          <w:lang w:eastAsia="zh-CN"/>
        </w:rPr>
        <w:t xml:space="preserve"> 2004; </w:t>
      </w:r>
      <w:r w:rsidRPr="00706E08">
        <w:rPr>
          <w:rFonts w:ascii="Book Antiqua" w:eastAsia="宋体" w:hAnsi="Book Antiqua" w:cs="Times New Roman"/>
          <w:b/>
          <w:sz w:val="24"/>
          <w:szCs w:val="24"/>
          <w:lang w:eastAsia="zh-CN"/>
        </w:rPr>
        <w:t>57</w:t>
      </w:r>
      <w:r w:rsidRPr="00706E08">
        <w:rPr>
          <w:rFonts w:ascii="Book Antiqua" w:eastAsia="宋体" w:hAnsi="Book Antiqua" w:cs="Times New Roman"/>
          <w:sz w:val="24"/>
          <w:szCs w:val="24"/>
          <w:lang w:eastAsia="zh-CN"/>
        </w:rPr>
        <w:t>: 1145-1150 [PMID: 15509673 DOI: 10.1136/jcp.2003.015735]</w:t>
      </w:r>
    </w:p>
    <w:p w14:paraId="2102C78D"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7 </w:t>
      </w:r>
      <w:r w:rsidRPr="00706E08">
        <w:rPr>
          <w:rFonts w:ascii="Book Antiqua" w:eastAsia="宋体" w:hAnsi="Book Antiqua" w:cs="Times New Roman"/>
          <w:b/>
          <w:sz w:val="24"/>
          <w:szCs w:val="24"/>
          <w:lang w:eastAsia="zh-CN"/>
        </w:rPr>
        <w:t>Matsumoto T</w:t>
      </w:r>
      <w:r w:rsidRPr="00706E08">
        <w:rPr>
          <w:rFonts w:ascii="Book Antiqua" w:eastAsia="宋体" w:hAnsi="Book Antiqua" w:cs="Times New Roman"/>
          <w:sz w:val="24"/>
          <w:szCs w:val="24"/>
          <w:lang w:eastAsia="zh-CN"/>
        </w:rPr>
        <w:t xml:space="preserve">, Iida M, Matsui T, Yao T. Chronic nonspecific multiple ulcers of the small intestine: A proposal of the entity from Japanese gastroenterologists to Western </w:t>
      </w:r>
      <w:proofErr w:type="spellStart"/>
      <w:r w:rsidRPr="00706E08">
        <w:rPr>
          <w:rFonts w:ascii="Book Antiqua" w:eastAsia="宋体" w:hAnsi="Book Antiqua" w:cs="Times New Roman"/>
          <w:sz w:val="24"/>
          <w:szCs w:val="24"/>
          <w:lang w:eastAsia="zh-CN"/>
        </w:rPr>
        <w:t>enteroscopists</w:t>
      </w:r>
      <w:proofErr w:type="spellEnd"/>
      <w:r w:rsidRPr="00706E08">
        <w:rPr>
          <w:rFonts w:ascii="Book Antiqua" w:eastAsia="宋体" w:hAnsi="Book Antiqua" w:cs="Times New Roman"/>
          <w:sz w:val="24"/>
          <w:szCs w:val="24"/>
          <w:lang w:eastAsia="zh-CN"/>
        </w:rPr>
        <w:t xml:space="preserve">. </w:t>
      </w:r>
      <w:proofErr w:type="spellStart"/>
      <w:r w:rsidRPr="00706E08">
        <w:rPr>
          <w:rFonts w:ascii="Book Antiqua" w:eastAsia="宋体" w:hAnsi="Book Antiqua" w:cs="Times New Roman"/>
          <w:i/>
          <w:sz w:val="24"/>
          <w:szCs w:val="24"/>
          <w:lang w:eastAsia="zh-CN"/>
        </w:rPr>
        <w:t>Gastrointest</w:t>
      </w:r>
      <w:proofErr w:type="spellEnd"/>
      <w:r w:rsidRPr="00706E08">
        <w:rPr>
          <w:rFonts w:ascii="Book Antiqua" w:eastAsia="宋体" w:hAnsi="Book Antiqua" w:cs="Times New Roman"/>
          <w:i/>
          <w:sz w:val="24"/>
          <w:szCs w:val="24"/>
          <w:lang w:eastAsia="zh-CN"/>
        </w:rPr>
        <w:t xml:space="preserve"> </w:t>
      </w:r>
      <w:proofErr w:type="spellStart"/>
      <w:r w:rsidRPr="00706E08">
        <w:rPr>
          <w:rFonts w:ascii="Book Antiqua" w:eastAsia="宋体" w:hAnsi="Book Antiqua" w:cs="Times New Roman"/>
          <w:i/>
          <w:sz w:val="24"/>
          <w:szCs w:val="24"/>
          <w:lang w:eastAsia="zh-CN"/>
        </w:rPr>
        <w:t>Endosc</w:t>
      </w:r>
      <w:proofErr w:type="spellEnd"/>
      <w:r w:rsidRPr="00706E08">
        <w:rPr>
          <w:rFonts w:ascii="Book Antiqua" w:eastAsia="宋体" w:hAnsi="Book Antiqua" w:cs="Times New Roman"/>
          <w:sz w:val="24"/>
          <w:szCs w:val="24"/>
          <w:lang w:eastAsia="zh-CN"/>
        </w:rPr>
        <w:t xml:space="preserve"> 2007; </w:t>
      </w:r>
      <w:r w:rsidRPr="00706E08">
        <w:rPr>
          <w:rFonts w:ascii="Book Antiqua" w:eastAsia="宋体" w:hAnsi="Book Antiqua" w:cs="Times New Roman"/>
          <w:b/>
          <w:sz w:val="24"/>
          <w:szCs w:val="24"/>
          <w:lang w:eastAsia="zh-CN"/>
        </w:rPr>
        <w:t>66</w:t>
      </w:r>
      <w:r w:rsidRPr="00706E08">
        <w:rPr>
          <w:rFonts w:ascii="Book Antiqua" w:eastAsia="宋体" w:hAnsi="Book Antiqua" w:cs="Times New Roman"/>
          <w:sz w:val="24"/>
          <w:szCs w:val="24"/>
          <w:lang w:eastAsia="zh-CN"/>
        </w:rPr>
        <w:t>: S99-107 [PMID: 17709045 DOI: 10.1016/j.gie.2007.01.004]</w:t>
      </w:r>
    </w:p>
    <w:p w14:paraId="02AE3DC0"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lastRenderedPageBreak/>
        <w:t xml:space="preserve">8 </w:t>
      </w:r>
      <w:r w:rsidRPr="00706E08">
        <w:rPr>
          <w:rFonts w:ascii="Book Antiqua" w:eastAsia="宋体" w:hAnsi="Book Antiqua" w:cs="Times New Roman"/>
          <w:b/>
          <w:sz w:val="24"/>
          <w:szCs w:val="24"/>
          <w:lang w:eastAsia="zh-CN"/>
        </w:rPr>
        <w:t>Matsumoto T</w:t>
      </w:r>
      <w:r w:rsidRPr="00706E08">
        <w:rPr>
          <w:rFonts w:ascii="Book Antiqua" w:eastAsia="宋体" w:hAnsi="Book Antiqua" w:cs="Times New Roman"/>
          <w:sz w:val="24"/>
          <w:szCs w:val="24"/>
          <w:lang w:eastAsia="zh-CN"/>
        </w:rPr>
        <w:t xml:space="preserve">, </w:t>
      </w:r>
      <w:proofErr w:type="spellStart"/>
      <w:r w:rsidRPr="00706E08">
        <w:rPr>
          <w:rFonts w:ascii="Book Antiqua" w:eastAsia="宋体" w:hAnsi="Book Antiqua" w:cs="Times New Roman"/>
          <w:sz w:val="24"/>
          <w:szCs w:val="24"/>
          <w:lang w:eastAsia="zh-CN"/>
        </w:rPr>
        <w:t>Kubokura</w:t>
      </w:r>
      <w:proofErr w:type="spellEnd"/>
      <w:r w:rsidRPr="00706E08">
        <w:rPr>
          <w:rFonts w:ascii="Book Antiqua" w:eastAsia="宋体" w:hAnsi="Book Antiqua" w:cs="Times New Roman"/>
          <w:sz w:val="24"/>
          <w:szCs w:val="24"/>
          <w:lang w:eastAsia="zh-CN"/>
        </w:rPr>
        <w:t xml:space="preserve"> N, Matsui T, Iida M, Yao T. Chronic nonspecific multiple ulcer of the small intestine segregates in offspring from consanguinity. </w:t>
      </w:r>
      <w:r w:rsidRPr="00706E08">
        <w:rPr>
          <w:rFonts w:ascii="Book Antiqua" w:eastAsia="宋体" w:hAnsi="Book Antiqua" w:cs="Times New Roman"/>
          <w:i/>
          <w:sz w:val="24"/>
          <w:szCs w:val="24"/>
          <w:lang w:eastAsia="zh-CN"/>
        </w:rPr>
        <w:t xml:space="preserve">J </w:t>
      </w:r>
      <w:proofErr w:type="spellStart"/>
      <w:r w:rsidRPr="00706E08">
        <w:rPr>
          <w:rFonts w:ascii="Book Antiqua" w:eastAsia="宋体" w:hAnsi="Book Antiqua" w:cs="Times New Roman"/>
          <w:i/>
          <w:sz w:val="24"/>
          <w:szCs w:val="24"/>
          <w:lang w:eastAsia="zh-CN"/>
        </w:rPr>
        <w:t>Crohns</w:t>
      </w:r>
      <w:proofErr w:type="spellEnd"/>
      <w:r w:rsidRPr="00706E08">
        <w:rPr>
          <w:rFonts w:ascii="Book Antiqua" w:eastAsia="宋体" w:hAnsi="Book Antiqua" w:cs="Times New Roman"/>
          <w:i/>
          <w:sz w:val="24"/>
          <w:szCs w:val="24"/>
          <w:lang w:eastAsia="zh-CN"/>
        </w:rPr>
        <w:t xml:space="preserve"> Colitis</w:t>
      </w:r>
      <w:r w:rsidRPr="00706E08">
        <w:rPr>
          <w:rFonts w:ascii="Book Antiqua" w:eastAsia="宋体" w:hAnsi="Book Antiqua" w:cs="Times New Roman"/>
          <w:sz w:val="24"/>
          <w:szCs w:val="24"/>
          <w:lang w:eastAsia="zh-CN"/>
        </w:rPr>
        <w:t xml:space="preserve"> 2011; </w:t>
      </w:r>
      <w:r w:rsidRPr="00706E08">
        <w:rPr>
          <w:rFonts w:ascii="Book Antiqua" w:eastAsia="宋体" w:hAnsi="Book Antiqua" w:cs="Times New Roman"/>
          <w:b/>
          <w:sz w:val="24"/>
          <w:szCs w:val="24"/>
          <w:lang w:eastAsia="zh-CN"/>
        </w:rPr>
        <w:t>5</w:t>
      </w:r>
      <w:r w:rsidRPr="00706E08">
        <w:rPr>
          <w:rFonts w:ascii="Book Antiqua" w:eastAsia="宋体" w:hAnsi="Book Antiqua" w:cs="Times New Roman"/>
          <w:sz w:val="24"/>
          <w:szCs w:val="24"/>
          <w:lang w:eastAsia="zh-CN"/>
        </w:rPr>
        <w:t>: 559-565 [PMID: 22115375 DOI: 10.1016/j.crohns.2011.05.008]</w:t>
      </w:r>
    </w:p>
    <w:p w14:paraId="718393D6"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9 </w:t>
      </w:r>
      <w:r w:rsidRPr="00706E08">
        <w:rPr>
          <w:rFonts w:ascii="Book Antiqua" w:eastAsia="宋体" w:hAnsi="Book Antiqua" w:cs="Times New Roman"/>
          <w:b/>
          <w:sz w:val="24"/>
          <w:szCs w:val="24"/>
          <w:lang w:eastAsia="zh-CN"/>
        </w:rPr>
        <w:t>Esaki M</w:t>
      </w:r>
      <w:r w:rsidRPr="00706E08">
        <w:rPr>
          <w:rFonts w:ascii="Book Antiqua" w:eastAsia="宋体" w:hAnsi="Book Antiqua" w:cs="Times New Roman"/>
          <w:sz w:val="24"/>
          <w:szCs w:val="24"/>
          <w:lang w:eastAsia="zh-CN"/>
        </w:rPr>
        <w:t xml:space="preserve">, </w:t>
      </w:r>
      <w:proofErr w:type="spellStart"/>
      <w:r w:rsidRPr="00706E08">
        <w:rPr>
          <w:rFonts w:ascii="Book Antiqua" w:eastAsia="宋体" w:hAnsi="Book Antiqua" w:cs="Times New Roman"/>
          <w:sz w:val="24"/>
          <w:szCs w:val="24"/>
          <w:lang w:eastAsia="zh-CN"/>
        </w:rPr>
        <w:t>Umeno</w:t>
      </w:r>
      <w:proofErr w:type="spellEnd"/>
      <w:r w:rsidRPr="00706E08">
        <w:rPr>
          <w:rFonts w:ascii="Book Antiqua" w:eastAsia="宋体" w:hAnsi="Book Antiqua" w:cs="Times New Roman"/>
          <w:sz w:val="24"/>
          <w:szCs w:val="24"/>
          <w:lang w:eastAsia="zh-CN"/>
        </w:rPr>
        <w:t xml:space="preserve"> J, </w:t>
      </w:r>
      <w:proofErr w:type="spellStart"/>
      <w:r w:rsidRPr="00706E08">
        <w:rPr>
          <w:rFonts w:ascii="Book Antiqua" w:eastAsia="宋体" w:hAnsi="Book Antiqua" w:cs="Times New Roman"/>
          <w:sz w:val="24"/>
          <w:szCs w:val="24"/>
          <w:lang w:eastAsia="zh-CN"/>
        </w:rPr>
        <w:t>Kitazono</w:t>
      </w:r>
      <w:proofErr w:type="spellEnd"/>
      <w:r w:rsidRPr="00706E08">
        <w:rPr>
          <w:rFonts w:ascii="Book Antiqua" w:eastAsia="宋体" w:hAnsi="Book Antiqua" w:cs="Times New Roman"/>
          <w:sz w:val="24"/>
          <w:szCs w:val="24"/>
          <w:lang w:eastAsia="zh-CN"/>
        </w:rPr>
        <w:t xml:space="preserve"> T, Matsumoto T. Clinicopathologic features of chronic nonspecific multiple ulcers of the small intestine. </w:t>
      </w:r>
      <w:r w:rsidRPr="00706E08">
        <w:rPr>
          <w:rFonts w:ascii="Book Antiqua" w:eastAsia="宋体" w:hAnsi="Book Antiqua" w:cs="Times New Roman"/>
          <w:i/>
          <w:sz w:val="24"/>
          <w:szCs w:val="24"/>
          <w:lang w:eastAsia="zh-CN"/>
        </w:rPr>
        <w:t>Clin J Gastroenterol</w:t>
      </w:r>
      <w:r w:rsidRPr="00706E08">
        <w:rPr>
          <w:rFonts w:ascii="Book Antiqua" w:eastAsia="宋体" w:hAnsi="Book Antiqua" w:cs="Times New Roman"/>
          <w:sz w:val="24"/>
          <w:szCs w:val="24"/>
          <w:lang w:eastAsia="zh-CN"/>
        </w:rPr>
        <w:t xml:space="preserve"> 2015; </w:t>
      </w:r>
      <w:r w:rsidRPr="00706E08">
        <w:rPr>
          <w:rFonts w:ascii="Book Antiqua" w:eastAsia="宋体" w:hAnsi="Book Antiqua" w:cs="Times New Roman"/>
          <w:b/>
          <w:sz w:val="24"/>
          <w:szCs w:val="24"/>
          <w:lang w:eastAsia="zh-CN"/>
        </w:rPr>
        <w:t>8</w:t>
      </w:r>
      <w:r w:rsidRPr="00706E08">
        <w:rPr>
          <w:rFonts w:ascii="Book Antiqua" w:eastAsia="宋体" w:hAnsi="Book Antiqua" w:cs="Times New Roman"/>
          <w:sz w:val="24"/>
          <w:szCs w:val="24"/>
          <w:lang w:eastAsia="zh-CN"/>
        </w:rPr>
        <w:t>: 57-62 [PMID: 25788296 DOI: 10.1007/s12328-015-0559-x]</w:t>
      </w:r>
    </w:p>
    <w:p w14:paraId="5FCB7593"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10 </w:t>
      </w:r>
      <w:proofErr w:type="spellStart"/>
      <w:r w:rsidRPr="00706E08">
        <w:rPr>
          <w:rFonts w:ascii="Book Antiqua" w:eastAsia="宋体" w:hAnsi="Book Antiqua" w:cs="Times New Roman"/>
          <w:b/>
          <w:sz w:val="24"/>
          <w:szCs w:val="24"/>
          <w:lang w:eastAsia="zh-CN"/>
        </w:rPr>
        <w:t>Umeno</w:t>
      </w:r>
      <w:proofErr w:type="spellEnd"/>
      <w:r w:rsidRPr="00706E08">
        <w:rPr>
          <w:rFonts w:ascii="Book Antiqua" w:eastAsia="宋体" w:hAnsi="Book Antiqua" w:cs="Times New Roman"/>
          <w:b/>
          <w:sz w:val="24"/>
          <w:szCs w:val="24"/>
          <w:lang w:eastAsia="zh-CN"/>
        </w:rPr>
        <w:t xml:space="preserve"> J</w:t>
      </w:r>
      <w:r w:rsidRPr="00706E08">
        <w:rPr>
          <w:rFonts w:ascii="Book Antiqua" w:eastAsia="宋体" w:hAnsi="Book Antiqua" w:cs="Times New Roman"/>
          <w:sz w:val="24"/>
          <w:szCs w:val="24"/>
          <w:lang w:eastAsia="zh-CN"/>
        </w:rPr>
        <w:t xml:space="preserve">, </w:t>
      </w:r>
      <w:proofErr w:type="spellStart"/>
      <w:r w:rsidRPr="00706E08">
        <w:rPr>
          <w:rFonts w:ascii="Book Antiqua" w:eastAsia="宋体" w:hAnsi="Book Antiqua" w:cs="Times New Roman"/>
          <w:sz w:val="24"/>
          <w:szCs w:val="24"/>
          <w:lang w:eastAsia="zh-CN"/>
        </w:rPr>
        <w:t>Hisamatsu</w:t>
      </w:r>
      <w:proofErr w:type="spellEnd"/>
      <w:r w:rsidRPr="00706E08">
        <w:rPr>
          <w:rFonts w:ascii="Book Antiqua" w:eastAsia="宋体" w:hAnsi="Book Antiqua" w:cs="Times New Roman"/>
          <w:sz w:val="24"/>
          <w:szCs w:val="24"/>
          <w:lang w:eastAsia="zh-CN"/>
        </w:rPr>
        <w:t xml:space="preserve"> T, Esaki M, Hirano A, </w:t>
      </w:r>
      <w:proofErr w:type="spellStart"/>
      <w:r w:rsidRPr="00706E08">
        <w:rPr>
          <w:rFonts w:ascii="Book Antiqua" w:eastAsia="宋体" w:hAnsi="Book Antiqua" w:cs="Times New Roman"/>
          <w:sz w:val="24"/>
          <w:szCs w:val="24"/>
          <w:lang w:eastAsia="zh-CN"/>
        </w:rPr>
        <w:t>Kubokura</w:t>
      </w:r>
      <w:proofErr w:type="spellEnd"/>
      <w:r w:rsidRPr="00706E08">
        <w:rPr>
          <w:rFonts w:ascii="Book Antiqua" w:eastAsia="宋体" w:hAnsi="Book Antiqua" w:cs="Times New Roman"/>
          <w:sz w:val="24"/>
          <w:szCs w:val="24"/>
          <w:lang w:eastAsia="zh-CN"/>
        </w:rPr>
        <w:t xml:space="preserve"> N, Asano K, Kochi S, </w:t>
      </w:r>
      <w:proofErr w:type="spellStart"/>
      <w:r w:rsidRPr="00706E08">
        <w:rPr>
          <w:rFonts w:ascii="Book Antiqua" w:eastAsia="宋体" w:hAnsi="Book Antiqua" w:cs="Times New Roman"/>
          <w:sz w:val="24"/>
          <w:szCs w:val="24"/>
          <w:lang w:eastAsia="zh-CN"/>
        </w:rPr>
        <w:t>Yanai</w:t>
      </w:r>
      <w:proofErr w:type="spellEnd"/>
      <w:r w:rsidRPr="00706E08">
        <w:rPr>
          <w:rFonts w:ascii="Book Antiqua" w:eastAsia="宋体" w:hAnsi="Book Antiqua" w:cs="Times New Roman"/>
          <w:sz w:val="24"/>
          <w:szCs w:val="24"/>
          <w:lang w:eastAsia="zh-CN"/>
        </w:rPr>
        <w:t xml:space="preserve"> S, </w:t>
      </w:r>
      <w:proofErr w:type="spellStart"/>
      <w:r w:rsidRPr="00706E08">
        <w:rPr>
          <w:rFonts w:ascii="Book Antiqua" w:eastAsia="宋体" w:hAnsi="Book Antiqua" w:cs="Times New Roman"/>
          <w:sz w:val="24"/>
          <w:szCs w:val="24"/>
          <w:lang w:eastAsia="zh-CN"/>
        </w:rPr>
        <w:t>Fuyuno</w:t>
      </w:r>
      <w:proofErr w:type="spellEnd"/>
      <w:r w:rsidRPr="00706E08">
        <w:rPr>
          <w:rFonts w:ascii="Book Antiqua" w:eastAsia="宋体" w:hAnsi="Book Antiqua" w:cs="Times New Roman"/>
          <w:sz w:val="24"/>
          <w:szCs w:val="24"/>
          <w:lang w:eastAsia="zh-CN"/>
        </w:rPr>
        <w:t xml:space="preserve"> Y, Shimamura K, </w:t>
      </w:r>
      <w:proofErr w:type="spellStart"/>
      <w:r w:rsidRPr="00706E08">
        <w:rPr>
          <w:rFonts w:ascii="Book Antiqua" w:eastAsia="宋体" w:hAnsi="Book Antiqua" w:cs="Times New Roman"/>
          <w:sz w:val="24"/>
          <w:szCs w:val="24"/>
          <w:lang w:eastAsia="zh-CN"/>
        </w:rPr>
        <w:t>Hosoe</w:t>
      </w:r>
      <w:proofErr w:type="spellEnd"/>
      <w:r w:rsidRPr="00706E08">
        <w:rPr>
          <w:rFonts w:ascii="Book Antiqua" w:eastAsia="宋体" w:hAnsi="Book Antiqua" w:cs="Times New Roman"/>
          <w:sz w:val="24"/>
          <w:szCs w:val="24"/>
          <w:lang w:eastAsia="zh-CN"/>
        </w:rPr>
        <w:t xml:space="preserve"> N, Ogata H, Watanabe T, Aoyagi K, </w:t>
      </w:r>
      <w:proofErr w:type="spellStart"/>
      <w:r w:rsidRPr="00706E08">
        <w:rPr>
          <w:rFonts w:ascii="Book Antiqua" w:eastAsia="宋体" w:hAnsi="Book Antiqua" w:cs="Times New Roman"/>
          <w:sz w:val="24"/>
          <w:szCs w:val="24"/>
          <w:lang w:eastAsia="zh-CN"/>
        </w:rPr>
        <w:t>Ooi</w:t>
      </w:r>
      <w:proofErr w:type="spellEnd"/>
      <w:r w:rsidRPr="00706E08">
        <w:rPr>
          <w:rFonts w:ascii="Book Antiqua" w:eastAsia="宋体" w:hAnsi="Book Antiqua" w:cs="Times New Roman"/>
          <w:sz w:val="24"/>
          <w:szCs w:val="24"/>
          <w:lang w:eastAsia="zh-CN"/>
        </w:rPr>
        <w:t xml:space="preserve"> H, Watanabe K, Yasukawa S, Hirai F, Matsui T, Iida M, Yao T, </w:t>
      </w:r>
      <w:proofErr w:type="spellStart"/>
      <w:r w:rsidRPr="00706E08">
        <w:rPr>
          <w:rFonts w:ascii="Book Antiqua" w:eastAsia="宋体" w:hAnsi="Book Antiqua" w:cs="Times New Roman"/>
          <w:sz w:val="24"/>
          <w:szCs w:val="24"/>
          <w:lang w:eastAsia="zh-CN"/>
        </w:rPr>
        <w:t>Hibi</w:t>
      </w:r>
      <w:proofErr w:type="spellEnd"/>
      <w:r w:rsidRPr="00706E08">
        <w:rPr>
          <w:rFonts w:ascii="Book Antiqua" w:eastAsia="宋体" w:hAnsi="Book Antiqua" w:cs="Times New Roman"/>
          <w:sz w:val="24"/>
          <w:szCs w:val="24"/>
          <w:lang w:eastAsia="zh-CN"/>
        </w:rPr>
        <w:t xml:space="preserve"> T, </w:t>
      </w:r>
      <w:proofErr w:type="spellStart"/>
      <w:r w:rsidRPr="00706E08">
        <w:rPr>
          <w:rFonts w:ascii="Book Antiqua" w:eastAsia="宋体" w:hAnsi="Book Antiqua" w:cs="Times New Roman"/>
          <w:sz w:val="24"/>
          <w:szCs w:val="24"/>
          <w:lang w:eastAsia="zh-CN"/>
        </w:rPr>
        <w:t>Kosaki</w:t>
      </w:r>
      <w:proofErr w:type="spellEnd"/>
      <w:r w:rsidRPr="00706E08">
        <w:rPr>
          <w:rFonts w:ascii="Book Antiqua" w:eastAsia="宋体" w:hAnsi="Book Antiqua" w:cs="Times New Roman"/>
          <w:sz w:val="24"/>
          <w:szCs w:val="24"/>
          <w:lang w:eastAsia="zh-CN"/>
        </w:rPr>
        <w:t xml:space="preserve"> K, Kanai T, </w:t>
      </w:r>
      <w:proofErr w:type="spellStart"/>
      <w:r w:rsidRPr="00706E08">
        <w:rPr>
          <w:rFonts w:ascii="Book Antiqua" w:eastAsia="宋体" w:hAnsi="Book Antiqua" w:cs="Times New Roman"/>
          <w:sz w:val="24"/>
          <w:szCs w:val="24"/>
          <w:lang w:eastAsia="zh-CN"/>
        </w:rPr>
        <w:t>Kitazono</w:t>
      </w:r>
      <w:proofErr w:type="spellEnd"/>
      <w:r w:rsidRPr="00706E08">
        <w:rPr>
          <w:rFonts w:ascii="Book Antiqua" w:eastAsia="宋体" w:hAnsi="Book Antiqua" w:cs="Times New Roman"/>
          <w:sz w:val="24"/>
          <w:szCs w:val="24"/>
          <w:lang w:eastAsia="zh-CN"/>
        </w:rPr>
        <w:t xml:space="preserve"> T, Matsumoto T. A Hereditary Enteropathy Caused by Mutations in the SLCO2A1 Gene, Encoding a Prostaglandin Transporter. </w:t>
      </w:r>
      <w:proofErr w:type="spellStart"/>
      <w:r w:rsidRPr="00706E08">
        <w:rPr>
          <w:rFonts w:ascii="Book Antiqua" w:eastAsia="宋体" w:hAnsi="Book Antiqua" w:cs="Times New Roman"/>
          <w:i/>
          <w:sz w:val="24"/>
          <w:szCs w:val="24"/>
          <w:lang w:eastAsia="zh-CN"/>
        </w:rPr>
        <w:t>PLoS</w:t>
      </w:r>
      <w:proofErr w:type="spellEnd"/>
      <w:r w:rsidRPr="00706E08">
        <w:rPr>
          <w:rFonts w:ascii="Book Antiqua" w:eastAsia="宋体" w:hAnsi="Book Antiqua" w:cs="Times New Roman"/>
          <w:i/>
          <w:sz w:val="24"/>
          <w:szCs w:val="24"/>
          <w:lang w:eastAsia="zh-CN"/>
        </w:rPr>
        <w:t xml:space="preserve"> Genet</w:t>
      </w:r>
      <w:r w:rsidRPr="00706E08">
        <w:rPr>
          <w:rFonts w:ascii="Book Antiqua" w:eastAsia="宋体" w:hAnsi="Book Antiqua" w:cs="Times New Roman"/>
          <w:sz w:val="24"/>
          <w:szCs w:val="24"/>
          <w:lang w:eastAsia="zh-CN"/>
        </w:rPr>
        <w:t xml:space="preserve"> 2015; </w:t>
      </w:r>
      <w:r w:rsidRPr="00706E08">
        <w:rPr>
          <w:rFonts w:ascii="Book Antiqua" w:eastAsia="宋体" w:hAnsi="Book Antiqua" w:cs="Times New Roman"/>
          <w:b/>
          <w:sz w:val="24"/>
          <w:szCs w:val="24"/>
          <w:lang w:eastAsia="zh-CN"/>
        </w:rPr>
        <w:t>11</w:t>
      </w:r>
      <w:r w:rsidRPr="00706E08">
        <w:rPr>
          <w:rFonts w:ascii="Book Antiqua" w:eastAsia="宋体" w:hAnsi="Book Antiqua" w:cs="Times New Roman"/>
          <w:sz w:val="24"/>
          <w:szCs w:val="24"/>
          <w:lang w:eastAsia="zh-CN"/>
        </w:rPr>
        <w:t>: e1005581 [PMID: 26539716 DOI: 10.1371/journal.pgen.1005581]</w:t>
      </w:r>
    </w:p>
    <w:p w14:paraId="1B6A6A56"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11 </w:t>
      </w:r>
      <w:proofErr w:type="spellStart"/>
      <w:r w:rsidRPr="00706E08">
        <w:rPr>
          <w:rFonts w:ascii="Book Antiqua" w:eastAsia="宋体" w:hAnsi="Book Antiqua" w:cs="Times New Roman"/>
          <w:b/>
          <w:sz w:val="24"/>
          <w:szCs w:val="24"/>
          <w:lang w:eastAsia="zh-CN"/>
        </w:rPr>
        <w:t>Umeno</w:t>
      </w:r>
      <w:proofErr w:type="spellEnd"/>
      <w:r w:rsidRPr="00706E08">
        <w:rPr>
          <w:rFonts w:ascii="Book Antiqua" w:eastAsia="宋体" w:hAnsi="Book Antiqua" w:cs="Times New Roman"/>
          <w:b/>
          <w:sz w:val="24"/>
          <w:szCs w:val="24"/>
          <w:lang w:eastAsia="zh-CN"/>
        </w:rPr>
        <w:t xml:space="preserve"> J</w:t>
      </w:r>
      <w:r w:rsidRPr="00706E08">
        <w:rPr>
          <w:rFonts w:ascii="Book Antiqua" w:eastAsia="宋体" w:hAnsi="Book Antiqua" w:cs="Times New Roman"/>
          <w:sz w:val="24"/>
          <w:szCs w:val="24"/>
          <w:lang w:eastAsia="zh-CN"/>
        </w:rPr>
        <w:t xml:space="preserve">, Esaki M, Hirano A, </w:t>
      </w:r>
      <w:proofErr w:type="spellStart"/>
      <w:r w:rsidRPr="00706E08">
        <w:rPr>
          <w:rFonts w:ascii="Book Antiqua" w:eastAsia="宋体" w:hAnsi="Book Antiqua" w:cs="Times New Roman"/>
          <w:sz w:val="24"/>
          <w:szCs w:val="24"/>
          <w:lang w:eastAsia="zh-CN"/>
        </w:rPr>
        <w:t>Fuyuno</w:t>
      </w:r>
      <w:proofErr w:type="spellEnd"/>
      <w:r w:rsidRPr="00706E08">
        <w:rPr>
          <w:rFonts w:ascii="Book Antiqua" w:eastAsia="宋体" w:hAnsi="Book Antiqua" w:cs="Times New Roman"/>
          <w:sz w:val="24"/>
          <w:szCs w:val="24"/>
          <w:lang w:eastAsia="zh-CN"/>
        </w:rPr>
        <w:t xml:space="preserve"> Y, </w:t>
      </w:r>
      <w:proofErr w:type="spellStart"/>
      <w:r w:rsidRPr="00706E08">
        <w:rPr>
          <w:rFonts w:ascii="Book Antiqua" w:eastAsia="宋体" w:hAnsi="Book Antiqua" w:cs="Times New Roman"/>
          <w:sz w:val="24"/>
          <w:szCs w:val="24"/>
          <w:lang w:eastAsia="zh-CN"/>
        </w:rPr>
        <w:t>Ohmiya</w:t>
      </w:r>
      <w:proofErr w:type="spellEnd"/>
      <w:r w:rsidRPr="00706E08">
        <w:rPr>
          <w:rFonts w:ascii="Book Antiqua" w:eastAsia="宋体" w:hAnsi="Book Antiqua" w:cs="Times New Roman"/>
          <w:sz w:val="24"/>
          <w:szCs w:val="24"/>
          <w:lang w:eastAsia="zh-CN"/>
        </w:rPr>
        <w:t xml:space="preserve"> N, Yasukawa S, Hirai F, Kochi S, </w:t>
      </w:r>
      <w:proofErr w:type="spellStart"/>
      <w:r w:rsidRPr="00706E08">
        <w:rPr>
          <w:rFonts w:ascii="Book Antiqua" w:eastAsia="宋体" w:hAnsi="Book Antiqua" w:cs="Times New Roman"/>
          <w:sz w:val="24"/>
          <w:szCs w:val="24"/>
          <w:lang w:eastAsia="zh-CN"/>
        </w:rPr>
        <w:t>Kurahara</w:t>
      </w:r>
      <w:proofErr w:type="spellEnd"/>
      <w:r w:rsidRPr="00706E08">
        <w:rPr>
          <w:rFonts w:ascii="Book Antiqua" w:eastAsia="宋体" w:hAnsi="Book Antiqua" w:cs="Times New Roman"/>
          <w:sz w:val="24"/>
          <w:szCs w:val="24"/>
          <w:lang w:eastAsia="zh-CN"/>
        </w:rPr>
        <w:t xml:space="preserve"> K, </w:t>
      </w:r>
      <w:proofErr w:type="spellStart"/>
      <w:r w:rsidRPr="00706E08">
        <w:rPr>
          <w:rFonts w:ascii="Book Antiqua" w:eastAsia="宋体" w:hAnsi="Book Antiqua" w:cs="Times New Roman"/>
          <w:sz w:val="24"/>
          <w:szCs w:val="24"/>
          <w:lang w:eastAsia="zh-CN"/>
        </w:rPr>
        <w:t>Yanai</w:t>
      </w:r>
      <w:proofErr w:type="spellEnd"/>
      <w:r w:rsidRPr="00706E08">
        <w:rPr>
          <w:rFonts w:ascii="Book Antiqua" w:eastAsia="宋体" w:hAnsi="Book Antiqua" w:cs="Times New Roman"/>
          <w:sz w:val="24"/>
          <w:szCs w:val="24"/>
          <w:lang w:eastAsia="zh-CN"/>
        </w:rPr>
        <w:t xml:space="preserve"> S, Uchida K, </w:t>
      </w:r>
      <w:proofErr w:type="spellStart"/>
      <w:r w:rsidRPr="00706E08">
        <w:rPr>
          <w:rFonts w:ascii="Book Antiqua" w:eastAsia="宋体" w:hAnsi="Book Antiqua" w:cs="Times New Roman"/>
          <w:sz w:val="24"/>
          <w:szCs w:val="24"/>
          <w:lang w:eastAsia="zh-CN"/>
        </w:rPr>
        <w:t>Hosomi</w:t>
      </w:r>
      <w:proofErr w:type="spellEnd"/>
      <w:r w:rsidRPr="00706E08">
        <w:rPr>
          <w:rFonts w:ascii="Book Antiqua" w:eastAsia="宋体" w:hAnsi="Book Antiqua" w:cs="Times New Roman"/>
          <w:sz w:val="24"/>
          <w:szCs w:val="24"/>
          <w:lang w:eastAsia="zh-CN"/>
        </w:rPr>
        <w:t xml:space="preserve"> S, Watanabe K, </w:t>
      </w:r>
      <w:proofErr w:type="spellStart"/>
      <w:r w:rsidRPr="00706E08">
        <w:rPr>
          <w:rFonts w:ascii="Book Antiqua" w:eastAsia="宋体" w:hAnsi="Book Antiqua" w:cs="Times New Roman"/>
          <w:sz w:val="24"/>
          <w:szCs w:val="24"/>
          <w:lang w:eastAsia="zh-CN"/>
        </w:rPr>
        <w:t>Hosoe</w:t>
      </w:r>
      <w:proofErr w:type="spellEnd"/>
      <w:r w:rsidRPr="00706E08">
        <w:rPr>
          <w:rFonts w:ascii="Book Antiqua" w:eastAsia="宋体" w:hAnsi="Book Antiqua" w:cs="Times New Roman"/>
          <w:sz w:val="24"/>
          <w:szCs w:val="24"/>
          <w:lang w:eastAsia="zh-CN"/>
        </w:rPr>
        <w:t xml:space="preserve"> N, Ogata H, </w:t>
      </w:r>
      <w:proofErr w:type="spellStart"/>
      <w:r w:rsidRPr="00706E08">
        <w:rPr>
          <w:rFonts w:ascii="Book Antiqua" w:eastAsia="宋体" w:hAnsi="Book Antiqua" w:cs="Times New Roman"/>
          <w:sz w:val="24"/>
          <w:szCs w:val="24"/>
          <w:lang w:eastAsia="zh-CN"/>
        </w:rPr>
        <w:t>Hisamatsu</w:t>
      </w:r>
      <w:proofErr w:type="spellEnd"/>
      <w:r w:rsidRPr="00706E08">
        <w:rPr>
          <w:rFonts w:ascii="Book Antiqua" w:eastAsia="宋体" w:hAnsi="Book Antiqua" w:cs="Times New Roman"/>
          <w:sz w:val="24"/>
          <w:szCs w:val="24"/>
          <w:lang w:eastAsia="zh-CN"/>
        </w:rPr>
        <w:t xml:space="preserve"> T, Nagayama M, Yamamoto H, </w:t>
      </w:r>
      <w:proofErr w:type="spellStart"/>
      <w:r w:rsidRPr="00706E08">
        <w:rPr>
          <w:rFonts w:ascii="Book Antiqua" w:eastAsia="宋体" w:hAnsi="Book Antiqua" w:cs="Times New Roman"/>
          <w:sz w:val="24"/>
          <w:szCs w:val="24"/>
          <w:lang w:eastAsia="zh-CN"/>
        </w:rPr>
        <w:t>Abukawa</w:t>
      </w:r>
      <w:proofErr w:type="spellEnd"/>
      <w:r w:rsidRPr="00706E08">
        <w:rPr>
          <w:rFonts w:ascii="Book Antiqua" w:eastAsia="宋体" w:hAnsi="Book Antiqua" w:cs="Times New Roman"/>
          <w:sz w:val="24"/>
          <w:szCs w:val="24"/>
          <w:lang w:eastAsia="zh-CN"/>
        </w:rPr>
        <w:t xml:space="preserve"> D, </w:t>
      </w:r>
      <w:proofErr w:type="spellStart"/>
      <w:r w:rsidRPr="00706E08">
        <w:rPr>
          <w:rFonts w:ascii="Book Antiqua" w:eastAsia="宋体" w:hAnsi="Book Antiqua" w:cs="Times New Roman"/>
          <w:sz w:val="24"/>
          <w:szCs w:val="24"/>
          <w:lang w:eastAsia="zh-CN"/>
        </w:rPr>
        <w:t>Kakuta</w:t>
      </w:r>
      <w:proofErr w:type="spellEnd"/>
      <w:r w:rsidRPr="00706E08">
        <w:rPr>
          <w:rFonts w:ascii="Book Antiqua" w:eastAsia="宋体" w:hAnsi="Book Antiqua" w:cs="Times New Roman"/>
          <w:sz w:val="24"/>
          <w:szCs w:val="24"/>
          <w:lang w:eastAsia="zh-CN"/>
        </w:rPr>
        <w:t xml:space="preserve"> F, Onodera K, Matsui T, </w:t>
      </w:r>
      <w:proofErr w:type="spellStart"/>
      <w:r w:rsidRPr="00706E08">
        <w:rPr>
          <w:rFonts w:ascii="Book Antiqua" w:eastAsia="宋体" w:hAnsi="Book Antiqua" w:cs="Times New Roman"/>
          <w:sz w:val="24"/>
          <w:szCs w:val="24"/>
          <w:lang w:eastAsia="zh-CN"/>
        </w:rPr>
        <w:t>Hibi</w:t>
      </w:r>
      <w:proofErr w:type="spellEnd"/>
      <w:r w:rsidRPr="00706E08">
        <w:rPr>
          <w:rFonts w:ascii="Book Antiqua" w:eastAsia="宋体" w:hAnsi="Book Antiqua" w:cs="Times New Roman"/>
          <w:sz w:val="24"/>
          <w:szCs w:val="24"/>
          <w:lang w:eastAsia="zh-CN"/>
        </w:rPr>
        <w:t xml:space="preserve"> T, Yao T, </w:t>
      </w:r>
      <w:proofErr w:type="spellStart"/>
      <w:r w:rsidRPr="00706E08">
        <w:rPr>
          <w:rFonts w:ascii="Book Antiqua" w:eastAsia="宋体" w:hAnsi="Book Antiqua" w:cs="Times New Roman"/>
          <w:sz w:val="24"/>
          <w:szCs w:val="24"/>
          <w:lang w:eastAsia="zh-CN"/>
        </w:rPr>
        <w:t>Kitazono</w:t>
      </w:r>
      <w:proofErr w:type="spellEnd"/>
      <w:r w:rsidRPr="00706E08">
        <w:rPr>
          <w:rFonts w:ascii="Book Antiqua" w:eastAsia="宋体" w:hAnsi="Book Antiqua" w:cs="Times New Roman"/>
          <w:sz w:val="24"/>
          <w:szCs w:val="24"/>
          <w:lang w:eastAsia="zh-CN"/>
        </w:rPr>
        <w:t xml:space="preserve"> T, Matsumoto T; CEAS study group. Clinical features of chronic enteropathy associated with SLCO2A1 gene: A new entity clinically distinct from Crohn's disease. </w:t>
      </w:r>
      <w:r w:rsidRPr="00706E08">
        <w:rPr>
          <w:rFonts w:ascii="Book Antiqua" w:eastAsia="宋体" w:hAnsi="Book Antiqua" w:cs="Times New Roman"/>
          <w:i/>
          <w:sz w:val="24"/>
          <w:szCs w:val="24"/>
          <w:lang w:eastAsia="zh-CN"/>
        </w:rPr>
        <w:t>J Gastroenterol</w:t>
      </w:r>
      <w:r w:rsidRPr="00706E08">
        <w:rPr>
          <w:rFonts w:ascii="Book Antiqua" w:eastAsia="宋体" w:hAnsi="Book Antiqua" w:cs="Times New Roman"/>
          <w:sz w:val="24"/>
          <w:szCs w:val="24"/>
          <w:lang w:eastAsia="zh-CN"/>
        </w:rPr>
        <w:t xml:space="preserve"> 2018; </w:t>
      </w:r>
      <w:r w:rsidRPr="00706E08">
        <w:rPr>
          <w:rFonts w:ascii="Book Antiqua" w:eastAsia="宋体" w:hAnsi="Book Antiqua" w:cs="Times New Roman"/>
          <w:b/>
          <w:sz w:val="24"/>
          <w:szCs w:val="24"/>
          <w:lang w:eastAsia="zh-CN"/>
        </w:rPr>
        <w:t>53</w:t>
      </w:r>
      <w:r w:rsidRPr="00706E08">
        <w:rPr>
          <w:rFonts w:ascii="Book Antiqua" w:eastAsia="宋体" w:hAnsi="Book Antiqua" w:cs="Times New Roman"/>
          <w:sz w:val="24"/>
          <w:szCs w:val="24"/>
          <w:lang w:eastAsia="zh-CN"/>
        </w:rPr>
        <w:t>: 907-915 [PMID: 29313109 DOI: 10.1007/s00535-017-1426-y]</w:t>
      </w:r>
    </w:p>
    <w:p w14:paraId="5C7E283A"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12 </w:t>
      </w:r>
      <w:r w:rsidRPr="00706E08">
        <w:rPr>
          <w:rFonts w:ascii="Book Antiqua" w:eastAsia="宋体" w:hAnsi="Book Antiqua" w:cs="Times New Roman"/>
          <w:b/>
          <w:sz w:val="24"/>
          <w:szCs w:val="24"/>
          <w:lang w:eastAsia="zh-CN"/>
        </w:rPr>
        <w:t>Seifert W</w:t>
      </w:r>
      <w:r w:rsidRPr="00706E08">
        <w:rPr>
          <w:rFonts w:ascii="Book Antiqua" w:eastAsia="宋体" w:hAnsi="Book Antiqua" w:cs="Times New Roman"/>
          <w:sz w:val="24"/>
          <w:szCs w:val="24"/>
          <w:lang w:eastAsia="zh-CN"/>
        </w:rPr>
        <w:t xml:space="preserve">, </w:t>
      </w:r>
      <w:proofErr w:type="spellStart"/>
      <w:r w:rsidRPr="00706E08">
        <w:rPr>
          <w:rFonts w:ascii="Book Antiqua" w:eastAsia="宋体" w:hAnsi="Book Antiqua" w:cs="Times New Roman"/>
          <w:sz w:val="24"/>
          <w:szCs w:val="24"/>
          <w:lang w:eastAsia="zh-CN"/>
        </w:rPr>
        <w:t>Kühnisch</w:t>
      </w:r>
      <w:proofErr w:type="spellEnd"/>
      <w:r w:rsidRPr="00706E08">
        <w:rPr>
          <w:rFonts w:ascii="Book Antiqua" w:eastAsia="宋体" w:hAnsi="Book Antiqua" w:cs="Times New Roman"/>
          <w:sz w:val="24"/>
          <w:szCs w:val="24"/>
          <w:lang w:eastAsia="zh-CN"/>
        </w:rPr>
        <w:t xml:space="preserve"> J, </w:t>
      </w:r>
      <w:proofErr w:type="spellStart"/>
      <w:r w:rsidRPr="00706E08">
        <w:rPr>
          <w:rFonts w:ascii="Book Antiqua" w:eastAsia="宋体" w:hAnsi="Book Antiqua" w:cs="Times New Roman"/>
          <w:sz w:val="24"/>
          <w:szCs w:val="24"/>
          <w:lang w:eastAsia="zh-CN"/>
        </w:rPr>
        <w:t>Tüysüz</w:t>
      </w:r>
      <w:proofErr w:type="spellEnd"/>
      <w:r w:rsidRPr="00706E08">
        <w:rPr>
          <w:rFonts w:ascii="Book Antiqua" w:eastAsia="宋体" w:hAnsi="Book Antiqua" w:cs="Times New Roman"/>
          <w:sz w:val="24"/>
          <w:szCs w:val="24"/>
          <w:lang w:eastAsia="zh-CN"/>
        </w:rPr>
        <w:t xml:space="preserve"> B, </w:t>
      </w:r>
      <w:proofErr w:type="spellStart"/>
      <w:r w:rsidRPr="00706E08">
        <w:rPr>
          <w:rFonts w:ascii="Book Antiqua" w:eastAsia="宋体" w:hAnsi="Book Antiqua" w:cs="Times New Roman"/>
          <w:sz w:val="24"/>
          <w:szCs w:val="24"/>
          <w:lang w:eastAsia="zh-CN"/>
        </w:rPr>
        <w:t>Specker</w:t>
      </w:r>
      <w:proofErr w:type="spellEnd"/>
      <w:r w:rsidRPr="00706E08">
        <w:rPr>
          <w:rFonts w:ascii="Book Antiqua" w:eastAsia="宋体" w:hAnsi="Book Antiqua" w:cs="Times New Roman"/>
          <w:sz w:val="24"/>
          <w:szCs w:val="24"/>
          <w:lang w:eastAsia="zh-CN"/>
        </w:rPr>
        <w:t xml:space="preserve"> C, Brouwers A, Horn D. Mutations in the prostaglandin transporter encoding gene SLCO2A1 cause primary hypertrophic osteoarthropathy and isolated digital clubbing. </w:t>
      </w:r>
      <w:r w:rsidRPr="00706E08">
        <w:rPr>
          <w:rFonts w:ascii="Book Antiqua" w:eastAsia="宋体" w:hAnsi="Book Antiqua" w:cs="Times New Roman"/>
          <w:i/>
          <w:sz w:val="24"/>
          <w:szCs w:val="24"/>
          <w:lang w:eastAsia="zh-CN"/>
        </w:rPr>
        <w:t xml:space="preserve">Hum </w:t>
      </w:r>
      <w:proofErr w:type="spellStart"/>
      <w:r w:rsidRPr="00706E08">
        <w:rPr>
          <w:rFonts w:ascii="Book Antiqua" w:eastAsia="宋体" w:hAnsi="Book Antiqua" w:cs="Times New Roman"/>
          <w:i/>
          <w:sz w:val="24"/>
          <w:szCs w:val="24"/>
          <w:lang w:eastAsia="zh-CN"/>
        </w:rPr>
        <w:t>Mutat</w:t>
      </w:r>
      <w:proofErr w:type="spellEnd"/>
      <w:r w:rsidRPr="00706E08">
        <w:rPr>
          <w:rFonts w:ascii="Book Antiqua" w:eastAsia="宋体" w:hAnsi="Book Antiqua" w:cs="Times New Roman"/>
          <w:sz w:val="24"/>
          <w:szCs w:val="24"/>
          <w:lang w:eastAsia="zh-CN"/>
        </w:rPr>
        <w:t xml:space="preserve"> 2012; </w:t>
      </w:r>
      <w:r w:rsidRPr="00706E08">
        <w:rPr>
          <w:rFonts w:ascii="Book Antiqua" w:eastAsia="宋体" w:hAnsi="Book Antiqua" w:cs="Times New Roman"/>
          <w:b/>
          <w:sz w:val="24"/>
          <w:szCs w:val="24"/>
          <w:lang w:eastAsia="zh-CN"/>
        </w:rPr>
        <w:t>33</w:t>
      </w:r>
      <w:r w:rsidRPr="00706E08">
        <w:rPr>
          <w:rFonts w:ascii="Book Antiqua" w:eastAsia="宋体" w:hAnsi="Book Antiqua" w:cs="Times New Roman"/>
          <w:sz w:val="24"/>
          <w:szCs w:val="24"/>
          <w:lang w:eastAsia="zh-CN"/>
        </w:rPr>
        <w:t>: 660-664 [PMID: 22331663 DOI: 10.1002/humu.22042]</w:t>
      </w:r>
    </w:p>
    <w:p w14:paraId="6EDA21BE"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13 </w:t>
      </w:r>
      <w:r w:rsidRPr="00706E08">
        <w:rPr>
          <w:rFonts w:ascii="Book Antiqua" w:eastAsia="宋体" w:hAnsi="Book Antiqua" w:cs="Times New Roman"/>
          <w:b/>
          <w:sz w:val="24"/>
          <w:szCs w:val="24"/>
          <w:lang w:eastAsia="zh-CN"/>
        </w:rPr>
        <w:t>Zhang Z</w:t>
      </w:r>
      <w:r w:rsidRPr="00706E08">
        <w:rPr>
          <w:rFonts w:ascii="Book Antiqua" w:eastAsia="宋体" w:hAnsi="Book Antiqua" w:cs="Times New Roman"/>
          <w:sz w:val="24"/>
          <w:szCs w:val="24"/>
          <w:lang w:eastAsia="zh-CN"/>
        </w:rPr>
        <w:t xml:space="preserve">, Xia W, He J, Zhang Z, </w:t>
      </w:r>
      <w:proofErr w:type="spellStart"/>
      <w:r w:rsidRPr="00706E08">
        <w:rPr>
          <w:rFonts w:ascii="Book Antiqua" w:eastAsia="宋体" w:hAnsi="Book Antiqua" w:cs="Times New Roman"/>
          <w:sz w:val="24"/>
          <w:szCs w:val="24"/>
          <w:lang w:eastAsia="zh-CN"/>
        </w:rPr>
        <w:t>Ke</w:t>
      </w:r>
      <w:proofErr w:type="spellEnd"/>
      <w:r w:rsidRPr="00706E08">
        <w:rPr>
          <w:rFonts w:ascii="Book Antiqua" w:eastAsia="宋体" w:hAnsi="Book Antiqua" w:cs="Times New Roman"/>
          <w:sz w:val="24"/>
          <w:szCs w:val="24"/>
          <w:lang w:eastAsia="zh-CN"/>
        </w:rPr>
        <w:t xml:space="preserve"> Y, Yue H, Wang C, Zhang H, Gu J, Hu W, Fu W, Hu Y, Li M, Liu Y. Exome sequencing identifies SLCO2A1 mutations as a cause of primary hypertrophic osteoarthropathy. </w:t>
      </w:r>
      <w:r w:rsidRPr="00706E08">
        <w:rPr>
          <w:rFonts w:ascii="Book Antiqua" w:eastAsia="宋体" w:hAnsi="Book Antiqua" w:cs="Times New Roman"/>
          <w:i/>
          <w:sz w:val="24"/>
          <w:szCs w:val="24"/>
          <w:lang w:eastAsia="zh-CN"/>
        </w:rPr>
        <w:t>Am J Hum Genet</w:t>
      </w:r>
      <w:r w:rsidRPr="00706E08">
        <w:rPr>
          <w:rFonts w:ascii="Book Antiqua" w:eastAsia="宋体" w:hAnsi="Book Antiqua" w:cs="Times New Roman"/>
          <w:sz w:val="24"/>
          <w:szCs w:val="24"/>
          <w:lang w:eastAsia="zh-CN"/>
        </w:rPr>
        <w:t xml:space="preserve"> 2012; </w:t>
      </w:r>
      <w:r w:rsidRPr="00706E08">
        <w:rPr>
          <w:rFonts w:ascii="Book Antiqua" w:eastAsia="宋体" w:hAnsi="Book Antiqua" w:cs="Times New Roman"/>
          <w:b/>
          <w:sz w:val="24"/>
          <w:szCs w:val="24"/>
          <w:lang w:eastAsia="zh-CN"/>
        </w:rPr>
        <w:t>90</w:t>
      </w:r>
      <w:r w:rsidRPr="00706E08">
        <w:rPr>
          <w:rFonts w:ascii="Book Antiqua" w:eastAsia="宋体" w:hAnsi="Book Antiqua" w:cs="Times New Roman"/>
          <w:sz w:val="24"/>
          <w:szCs w:val="24"/>
          <w:lang w:eastAsia="zh-CN"/>
        </w:rPr>
        <w:t>: 125-132 [PMID: 22197487 DOI: 10.1016/j.ajhg.2011.11.019]</w:t>
      </w:r>
    </w:p>
    <w:p w14:paraId="414D6CB6"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lastRenderedPageBreak/>
        <w:t xml:space="preserve">14 </w:t>
      </w:r>
      <w:r w:rsidRPr="00706E08">
        <w:rPr>
          <w:rFonts w:ascii="Book Antiqua" w:eastAsia="宋体" w:hAnsi="Book Antiqua" w:cs="Times New Roman"/>
          <w:b/>
          <w:sz w:val="24"/>
          <w:szCs w:val="24"/>
          <w:lang w:eastAsia="zh-CN"/>
        </w:rPr>
        <w:t>Zhang Z</w:t>
      </w:r>
      <w:r w:rsidRPr="00706E08">
        <w:rPr>
          <w:rFonts w:ascii="Book Antiqua" w:eastAsia="宋体" w:hAnsi="Book Antiqua" w:cs="Times New Roman"/>
          <w:sz w:val="24"/>
          <w:szCs w:val="24"/>
          <w:lang w:eastAsia="zh-CN"/>
        </w:rPr>
        <w:t xml:space="preserve">, He JW, Fu WZ, Zhang CQ, Zhang ZL. Mutations in the SLCO2A1 gene and primary hypertrophic osteoarthropathy: A clinical and biochemical characterization. </w:t>
      </w:r>
      <w:r w:rsidRPr="00706E08">
        <w:rPr>
          <w:rFonts w:ascii="Book Antiqua" w:eastAsia="宋体" w:hAnsi="Book Antiqua" w:cs="Times New Roman"/>
          <w:i/>
          <w:sz w:val="24"/>
          <w:szCs w:val="24"/>
          <w:lang w:eastAsia="zh-CN"/>
        </w:rPr>
        <w:t xml:space="preserve">J Clin Endocrinol </w:t>
      </w:r>
      <w:proofErr w:type="spellStart"/>
      <w:r w:rsidRPr="00706E08">
        <w:rPr>
          <w:rFonts w:ascii="Book Antiqua" w:eastAsia="宋体" w:hAnsi="Book Antiqua" w:cs="Times New Roman"/>
          <w:i/>
          <w:sz w:val="24"/>
          <w:szCs w:val="24"/>
          <w:lang w:eastAsia="zh-CN"/>
        </w:rPr>
        <w:t>Metab</w:t>
      </w:r>
      <w:proofErr w:type="spellEnd"/>
      <w:r w:rsidRPr="00706E08">
        <w:rPr>
          <w:rFonts w:ascii="Book Antiqua" w:eastAsia="宋体" w:hAnsi="Book Antiqua" w:cs="Times New Roman"/>
          <w:sz w:val="24"/>
          <w:szCs w:val="24"/>
          <w:lang w:eastAsia="zh-CN"/>
        </w:rPr>
        <w:t xml:space="preserve"> 2013; </w:t>
      </w:r>
      <w:r w:rsidRPr="00706E08">
        <w:rPr>
          <w:rFonts w:ascii="Book Antiqua" w:eastAsia="宋体" w:hAnsi="Book Antiqua" w:cs="Times New Roman"/>
          <w:b/>
          <w:sz w:val="24"/>
          <w:szCs w:val="24"/>
          <w:lang w:eastAsia="zh-CN"/>
        </w:rPr>
        <w:t>98</w:t>
      </w:r>
      <w:r w:rsidRPr="00706E08">
        <w:rPr>
          <w:rFonts w:ascii="Book Antiqua" w:eastAsia="宋体" w:hAnsi="Book Antiqua" w:cs="Times New Roman"/>
          <w:sz w:val="24"/>
          <w:szCs w:val="24"/>
          <w:lang w:eastAsia="zh-CN"/>
        </w:rPr>
        <w:t>: E923-E933 [PMID: 23509104 DOI: 10.1210/jc.2012-3568]</w:t>
      </w:r>
    </w:p>
    <w:p w14:paraId="5250512A"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15 </w:t>
      </w:r>
      <w:r w:rsidRPr="00706E08">
        <w:rPr>
          <w:rFonts w:ascii="Book Antiqua" w:eastAsia="宋体" w:hAnsi="Book Antiqua" w:cs="Times New Roman"/>
          <w:b/>
          <w:sz w:val="24"/>
          <w:szCs w:val="24"/>
          <w:lang w:eastAsia="zh-CN"/>
        </w:rPr>
        <w:t>Okayasu I</w:t>
      </w:r>
      <w:r w:rsidRPr="00706E08">
        <w:rPr>
          <w:rFonts w:ascii="Book Antiqua" w:eastAsia="宋体" w:hAnsi="Book Antiqua" w:cs="Times New Roman"/>
          <w:sz w:val="24"/>
          <w:szCs w:val="24"/>
          <w:lang w:eastAsia="zh-CN"/>
        </w:rPr>
        <w:t xml:space="preserve">, Ohnishi H, </w:t>
      </w:r>
      <w:proofErr w:type="spellStart"/>
      <w:r w:rsidRPr="00706E08">
        <w:rPr>
          <w:rFonts w:ascii="Book Antiqua" w:eastAsia="宋体" w:hAnsi="Book Antiqua" w:cs="Times New Roman"/>
          <w:sz w:val="24"/>
          <w:szCs w:val="24"/>
          <w:lang w:eastAsia="zh-CN"/>
        </w:rPr>
        <w:t>Sarandi</w:t>
      </w:r>
      <w:proofErr w:type="spellEnd"/>
      <w:r w:rsidRPr="00706E08">
        <w:rPr>
          <w:rFonts w:ascii="Book Antiqua" w:eastAsia="宋体" w:hAnsi="Book Antiqua" w:cs="Times New Roman"/>
          <w:sz w:val="24"/>
          <w:szCs w:val="24"/>
          <w:lang w:eastAsia="zh-CN"/>
        </w:rPr>
        <w:t xml:space="preserve"> I, </w:t>
      </w:r>
      <w:proofErr w:type="spellStart"/>
      <w:r w:rsidRPr="00706E08">
        <w:rPr>
          <w:rFonts w:ascii="Book Antiqua" w:eastAsia="宋体" w:hAnsi="Book Antiqua" w:cs="Times New Roman"/>
          <w:sz w:val="24"/>
          <w:szCs w:val="24"/>
          <w:lang w:eastAsia="zh-CN"/>
        </w:rPr>
        <w:t>Shojima</w:t>
      </w:r>
      <w:proofErr w:type="spellEnd"/>
      <w:r w:rsidRPr="00706E08">
        <w:rPr>
          <w:rFonts w:ascii="Book Antiqua" w:eastAsia="宋体" w:hAnsi="Book Antiqua" w:cs="Times New Roman"/>
          <w:sz w:val="24"/>
          <w:szCs w:val="24"/>
          <w:lang w:eastAsia="zh-CN"/>
        </w:rPr>
        <w:t xml:space="preserve"> J, Komatsu J, </w:t>
      </w:r>
      <w:proofErr w:type="spellStart"/>
      <w:r w:rsidRPr="00706E08">
        <w:rPr>
          <w:rFonts w:ascii="Book Antiqua" w:eastAsia="宋体" w:hAnsi="Book Antiqua" w:cs="Times New Roman"/>
          <w:sz w:val="24"/>
          <w:szCs w:val="24"/>
          <w:lang w:eastAsia="zh-CN"/>
        </w:rPr>
        <w:t>Oritsu</w:t>
      </w:r>
      <w:proofErr w:type="spellEnd"/>
      <w:r w:rsidRPr="00706E08">
        <w:rPr>
          <w:rFonts w:ascii="Book Antiqua" w:eastAsia="宋体" w:hAnsi="Book Antiqua" w:cs="Times New Roman"/>
          <w:sz w:val="24"/>
          <w:szCs w:val="24"/>
          <w:lang w:eastAsia="zh-CN"/>
        </w:rPr>
        <w:t xml:space="preserve"> M, </w:t>
      </w:r>
      <w:proofErr w:type="spellStart"/>
      <w:r w:rsidRPr="00706E08">
        <w:rPr>
          <w:rFonts w:ascii="Book Antiqua" w:eastAsia="宋体" w:hAnsi="Book Antiqua" w:cs="Times New Roman"/>
          <w:sz w:val="24"/>
          <w:szCs w:val="24"/>
          <w:lang w:eastAsia="zh-CN"/>
        </w:rPr>
        <w:t>Sasabe</w:t>
      </w:r>
      <w:proofErr w:type="spellEnd"/>
      <w:r w:rsidRPr="00706E08">
        <w:rPr>
          <w:rFonts w:ascii="Book Antiqua" w:eastAsia="宋体" w:hAnsi="Book Antiqua" w:cs="Times New Roman"/>
          <w:sz w:val="24"/>
          <w:szCs w:val="24"/>
          <w:lang w:eastAsia="zh-CN"/>
        </w:rPr>
        <w:t xml:space="preserve"> M, Nanami KO, Matsuura M, Azumi J, Ito S, Fujiwara M. Significant increase of prostaglandin E-major urinary metabolite in male smokers: A screening study of age and gender differences using a simple radioimmunoassay. </w:t>
      </w:r>
      <w:r w:rsidRPr="00706E08">
        <w:rPr>
          <w:rFonts w:ascii="Book Antiqua" w:eastAsia="宋体" w:hAnsi="Book Antiqua" w:cs="Times New Roman"/>
          <w:i/>
          <w:sz w:val="24"/>
          <w:szCs w:val="24"/>
          <w:lang w:eastAsia="zh-CN"/>
        </w:rPr>
        <w:t>J Clin Lab Anal</w:t>
      </w:r>
      <w:r w:rsidRPr="00706E08">
        <w:rPr>
          <w:rFonts w:ascii="Book Antiqua" w:eastAsia="宋体" w:hAnsi="Book Antiqua" w:cs="Times New Roman"/>
          <w:sz w:val="24"/>
          <w:szCs w:val="24"/>
          <w:lang w:eastAsia="zh-CN"/>
        </w:rPr>
        <w:t xml:space="preserve"> 2014; </w:t>
      </w:r>
      <w:r w:rsidRPr="00706E08">
        <w:rPr>
          <w:rFonts w:ascii="Book Antiqua" w:eastAsia="宋体" w:hAnsi="Book Antiqua" w:cs="Times New Roman"/>
          <w:b/>
          <w:sz w:val="24"/>
          <w:szCs w:val="24"/>
          <w:lang w:eastAsia="zh-CN"/>
        </w:rPr>
        <w:t>28</w:t>
      </w:r>
      <w:r w:rsidRPr="00706E08">
        <w:rPr>
          <w:rFonts w:ascii="Book Antiqua" w:eastAsia="宋体" w:hAnsi="Book Antiqua" w:cs="Times New Roman"/>
          <w:sz w:val="24"/>
          <w:szCs w:val="24"/>
          <w:lang w:eastAsia="zh-CN"/>
        </w:rPr>
        <w:t>: 32-41 [PMID: 24375858 DOI: 10.1002/jcla.21640]</w:t>
      </w:r>
    </w:p>
    <w:p w14:paraId="6E46AA4C"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16 </w:t>
      </w:r>
      <w:r w:rsidRPr="00706E08">
        <w:rPr>
          <w:rFonts w:ascii="Book Antiqua" w:eastAsia="宋体" w:hAnsi="Book Antiqua" w:cs="Times New Roman"/>
          <w:b/>
          <w:sz w:val="24"/>
          <w:szCs w:val="24"/>
          <w:lang w:eastAsia="zh-CN"/>
        </w:rPr>
        <w:t>Hirano A</w:t>
      </w:r>
      <w:r w:rsidRPr="00706E08">
        <w:rPr>
          <w:rFonts w:ascii="Book Antiqua" w:eastAsia="宋体" w:hAnsi="Book Antiqua" w:cs="Times New Roman"/>
          <w:sz w:val="24"/>
          <w:szCs w:val="24"/>
          <w:lang w:eastAsia="zh-CN"/>
        </w:rPr>
        <w:t xml:space="preserve">, Yamazaki K, </w:t>
      </w:r>
      <w:proofErr w:type="spellStart"/>
      <w:r w:rsidRPr="00706E08">
        <w:rPr>
          <w:rFonts w:ascii="Book Antiqua" w:eastAsia="宋体" w:hAnsi="Book Antiqua" w:cs="Times New Roman"/>
          <w:sz w:val="24"/>
          <w:szCs w:val="24"/>
          <w:lang w:eastAsia="zh-CN"/>
        </w:rPr>
        <w:t>Umeno</w:t>
      </w:r>
      <w:proofErr w:type="spellEnd"/>
      <w:r w:rsidRPr="00706E08">
        <w:rPr>
          <w:rFonts w:ascii="Book Antiqua" w:eastAsia="宋体" w:hAnsi="Book Antiqua" w:cs="Times New Roman"/>
          <w:sz w:val="24"/>
          <w:szCs w:val="24"/>
          <w:lang w:eastAsia="zh-CN"/>
        </w:rPr>
        <w:t xml:space="preserve"> J, </w:t>
      </w:r>
      <w:proofErr w:type="spellStart"/>
      <w:r w:rsidRPr="00706E08">
        <w:rPr>
          <w:rFonts w:ascii="Book Antiqua" w:eastAsia="宋体" w:hAnsi="Book Antiqua" w:cs="Times New Roman"/>
          <w:sz w:val="24"/>
          <w:szCs w:val="24"/>
          <w:lang w:eastAsia="zh-CN"/>
        </w:rPr>
        <w:t>Ashikawa</w:t>
      </w:r>
      <w:proofErr w:type="spellEnd"/>
      <w:r w:rsidRPr="00706E08">
        <w:rPr>
          <w:rFonts w:ascii="Book Antiqua" w:eastAsia="宋体" w:hAnsi="Book Antiqua" w:cs="Times New Roman"/>
          <w:sz w:val="24"/>
          <w:szCs w:val="24"/>
          <w:lang w:eastAsia="zh-CN"/>
        </w:rPr>
        <w:t xml:space="preserve"> K, Aoki M, Matsumoto T, Nakamura S, Ninomiya T, Matsui T, Hirai F, Kawaguchi T, </w:t>
      </w:r>
      <w:proofErr w:type="spellStart"/>
      <w:r w:rsidRPr="00706E08">
        <w:rPr>
          <w:rFonts w:ascii="Book Antiqua" w:eastAsia="宋体" w:hAnsi="Book Antiqua" w:cs="Times New Roman"/>
          <w:sz w:val="24"/>
          <w:szCs w:val="24"/>
          <w:lang w:eastAsia="zh-CN"/>
        </w:rPr>
        <w:t>Takazoe</w:t>
      </w:r>
      <w:proofErr w:type="spellEnd"/>
      <w:r w:rsidRPr="00706E08">
        <w:rPr>
          <w:rFonts w:ascii="Book Antiqua" w:eastAsia="宋体" w:hAnsi="Book Antiqua" w:cs="Times New Roman"/>
          <w:sz w:val="24"/>
          <w:szCs w:val="24"/>
          <w:lang w:eastAsia="zh-CN"/>
        </w:rPr>
        <w:t xml:space="preserve"> M, Tanaka H, </w:t>
      </w:r>
      <w:proofErr w:type="spellStart"/>
      <w:r w:rsidRPr="00706E08">
        <w:rPr>
          <w:rFonts w:ascii="Book Antiqua" w:eastAsia="宋体" w:hAnsi="Book Antiqua" w:cs="Times New Roman"/>
          <w:sz w:val="24"/>
          <w:szCs w:val="24"/>
          <w:lang w:eastAsia="zh-CN"/>
        </w:rPr>
        <w:t>Motoya</w:t>
      </w:r>
      <w:proofErr w:type="spellEnd"/>
      <w:r w:rsidRPr="00706E08">
        <w:rPr>
          <w:rFonts w:ascii="Book Antiqua" w:eastAsia="宋体" w:hAnsi="Book Antiqua" w:cs="Times New Roman"/>
          <w:sz w:val="24"/>
          <w:szCs w:val="24"/>
          <w:lang w:eastAsia="zh-CN"/>
        </w:rPr>
        <w:t xml:space="preserve"> S, </w:t>
      </w:r>
      <w:proofErr w:type="spellStart"/>
      <w:r w:rsidRPr="00706E08">
        <w:rPr>
          <w:rFonts w:ascii="Book Antiqua" w:eastAsia="宋体" w:hAnsi="Book Antiqua" w:cs="Times New Roman"/>
          <w:sz w:val="24"/>
          <w:szCs w:val="24"/>
          <w:lang w:eastAsia="zh-CN"/>
        </w:rPr>
        <w:t>Kiyohara</w:t>
      </w:r>
      <w:proofErr w:type="spellEnd"/>
      <w:r w:rsidRPr="00706E08">
        <w:rPr>
          <w:rFonts w:ascii="Book Antiqua" w:eastAsia="宋体" w:hAnsi="Book Antiqua" w:cs="Times New Roman"/>
          <w:sz w:val="24"/>
          <w:szCs w:val="24"/>
          <w:lang w:eastAsia="zh-CN"/>
        </w:rPr>
        <w:t xml:space="preserve"> Y, </w:t>
      </w:r>
      <w:proofErr w:type="spellStart"/>
      <w:r w:rsidRPr="00706E08">
        <w:rPr>
          <w:rFonts w:ascii="Book Antiqua" w:eastAsia="宋体" w:hAnsi="Book Antiqua" w:cs="Times New Roman"/>
          <w:sz w:val="24"/>
          <w:szCs w:val="24"/>
          <w:lang w:eastAsia="zh-CN"/>
        </w:rPr>
        <w:t>Kitazono</w:t>
      </w:r>
      <w:proofErr w:type="spellEnd"/>
      <w:r w:rsidRPr="00706E08">
        <w:rPr>
          <w:rFonts w:ascii="Book Antiqua" w:eastAsia="宋体" w:hAnsi="Book Antiqua" w:cs="Times New Roman"/>
          <w:sz w:val="24"/>
          <w:szCs w:val="24"/>
          <w:lang w:eastAsia="zh-CN"/>
        </w:rPr>
        <w:t xml:space="preserve"> T, Nakamura Y, </w:t>
      </w:r>
      <w:proofErr w:type="spellStart"/>
      <w:r w:rsidRPr="00706E08">
        <w:rPr>
          <w:rFonts w:ascii="Book Antiqua" w:eastAsia="宋体" w:hAnsi="Book Antiqua" w:cs="Times New Roman"/>
          <w:sz w:val="24"/>
          <w:szCs w:val="24"/>
          <w:lang w:eastAsia="zh-CN"/>
        </w:rPr>
        <w:t>Kamatani</w:t>
      </w:r>
      <w:proofErr w:type="spellEnd"/>
      <w:r w:rsidRPr="00706E08">
        <w:rPr>
          <w:rFonts w:ascii="Book Antiqua" w:eastAsia="宋体" w:hAnsi="Book Antiqua" w:cs="Times New Roman"/>
          <w:sz w:val="24"/>
          <w:szCs w:val="24"/>
          <w:lang w:eastAsia="zh-CN"/>
        </w:rPr>
        <w:t xml:space="preserve"> N, Kubo M. Association study of 71 European Crohn's disease susceptibility loci in a Japanese population. </w:t>
      </w:r>
      <w:proofErr w:type="spellStart"/>
      <w:r w:rsidRPr="00706E08">
        <w:rPr>
          <w:rFonts w:ascii="Book Antiqua" w:eastAsia="宋体" w:hAnsi="Book Antiqua" w:cs="Times New Roman"/>
          <w:i/>
          <w:sz w:val="24"/>
          <w:szCs w:val="24"/>
          <w:lang w:eastAsia="zh-CN"/>
        </w:rPr>
        <w:t>Inflamm</w:t>
      </w:r>
      <w:proofErr w:type="spellEnd"/>
      <w:r w:rsidRPr="00706E08">
        <w:rPr>
          <w:rFonts w:ascii="Book Antiqua" w:eastAsia="宋体" w:hAnsi="Book Antiqua" w:cs="Times New Roman"/>
          <w:i/>
          <w:sz w:val="24"/>
          <w:szCs w:val="24"/>
          <w:lang w:eastAsia="zh-CN"/>
        </w:rPr>
        <w:t xml:space="preserve"> Bowel Dis</w:t>
      </w:r>
      <w:r w:rsidRPr="00706E08">
        <w:rPr>
          <w:rFonts w:ascii="Book Antiqua" w:eastAsia="宋体" w:hAnsi="Book Antiqua" w:cs="Times New Roman"/>
          <w:sz w:val="24"/>
          <w:szCs w:val="24"/>
          <w:lang w:eastAsia="zh-CN"/>
        </w:rPr>
        <w:t xml:space="preserve"> 2013; </w:t>
      </w:r>
      <w:r w:rsidRPr="00706E08">
        <w:rPr>
          <w:rFonts w:ascii="Book Antiqua" w:eastAsia="宋体" w:hAnsi="Book Antiqua" w:cs="Times New Roman"/>
          <w:b/>
          <w:sz w:val="24"/>
          <w:szCs w:val="24"/>
          <w:lang w:eastAsia="zh-CN"/>
        </w:rPr>
        <w:t>19</w:t>
      </w:r>
      <w:r w:rsidRPr="00706E08">
        <w:rPr>
          <w:rFonts w:ascii="Book Antiqua" w:eastAsia="宋体" w:hAnsi="Book Antiqua" w:cs="Times New Roman"/>
          <w:sz w:val="24"/>
          <w:szCs w:val="24"/>
          <w:lang w:eastAsia="zh-CN"/>
        </w:rPr>
        <w:t>: 526-533 [PMID: 23388546 DOI: 10.1097/MIB.0b013e31828075e7]</w:t>
      </w:r>
    </w:p>
    <w:p w14:paraId="280010FC"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17 </w:t>
      </w:r>
      <w:r w:rsidRPr="00706E08">
        <w:rPr>
          <w:rFonts w:ascii="Book Antiqua" w:eastAsia="宋体" w:hAnsi="Book Antiqua" w:cs="Times New Roman"/>
          <w:b/>
          <w:sz w:val="24"/>
          <w:szCs w:val="24"/>
          <w:lang w:eastAsia="zh-CN"/>
        </w:rPr>
        <w:t>Yamazaki K</w:t>
      </w:r>
      <w:r w:rsidRPr="00706E08">
        <w:rPr>
          <w:rFonts w:ascii="Book Antiqua" w:eastAsia="宋体" w:hAnsi="Book Antiqua" w:cs="Times New Roman"/>
          <w:sz w:val="24"/>
          <w:szCs w:val="24"/>
          <w:lang w:eastAsia="zh-CN"/>
        </w:rPr>
        <w:t xml:space="preserve">, </w:t>
      </w:r>
      <w:proofErr w:type="spellStart"/>
      <w:r w:rsidRPr="00706E08">
        <w:rPr>
          <w:rFonts w:ascii="Book Antiqua" w:eastAsia="宋体" w:hAnsi="Book Antiqua" w:cs="Times New Roman"/>
          <w:sz w:val="24"/>
          <w:szCs w:val="24"/>
          <w:lang w:eastAsia="zh-CN"/>
        </w:rPr>
        <w:t>Umeno</w:t>
      </w:r>
      <w:proofErr w:type="spellEnd"/>
      <w:r w:rsidRPr="00706E08">
        <w:rPr>
          <w:rFonts w:ascii="Book Antiqua" w:eastAsia="宋体" w:hAnsi="Book Antiqua" w:cs="Times New Roman"/>
          <w:sz w:val="24"/>
          <w:szCs w:val="24"/>
          <w:lang w:eastAsia="zh-CN"/>
        </w:rPr>
        <w:t xml:space="preserve"> J, Takahashi A, Hirano A, Johnson TA, </w:t>
      </w:r>
      <w:proofErr w:type="spellStart"/>
      <w:r w:rsidRPr="00706E08">
        <w:rPr>
          <w:rFonts w:ascii="Book Antiqua" w:eastAsia="宋体" w:hAnsi="Book Antiqua" w:cs="Times New Roman"/>
          <w:sz w:val="24"/>
          <w:szCs w:val="24"/>
          <w:lang w:eastAsia="zh-CN"/>
        </w:rPr>
        <w:t>Kumasaka</w:t>
      </w:r>
      <w:proofErr w:type="spellEnd"/>
      <w:r w:rsidRPr="00706E08">
        <w:rPr>
          <w:rFonts w:ascii="Book Antiqua" w:eastAsia="宋体" w:hAnsi="Book Antiqua" w:cs="Times New Roman"/>
          <w:sz w:val="24"/>
          <w:szCs w:val="24"/>
          <w:lang w:eastAsia="zh-CN"/>
        </w:rPr>
        <w:t xml:space="preserve"> N, </w:t>
      </w:r>
      <w:proofErr w:type="spellStart"/>
      <w:r w:rsidRPr="00706E08">
        <w:rPr>
          <w:rFonts w:ascii="Book Antiqua" w:eastAsia="宋体" w:hAnsi="Book Antiqua" w:cs="Times New Roman"/>
          <w:sz w:val="24"/>
          <w:szCs w:val="24"/>
          <w:lang w:eastAsia="zh-CN"/>
        </w:rPr>
        <w:t>Morizono</w:t>
      </w:r>
      <w:proofErr w:type="spellEnd"/>
      <w:r w:rsidRPr="00706E08">
        <w:rPr>
          <w:rFonts w:ascii="Book Antiqua" w:eastAsia="宋体" w:hAnsi="Book Antiqua" w:cs="Times New Roman"/>
          <w:sz w:val="24"/>
          <w:szCs w:val="24"/>
          <w:lang w:eastAsia="zh-CN"/>
        </w:rPr>
        <w:t xml:space="preserve"> T, </w:t>
      </w:r>
      <w:proofErr w:type="spellStart"/>
      <w:r w:rsidRPr="00706E08">
        <w:rPr>
          <w:rFonts w:ascii="Book Antiqua" w:eastAsia="宋体" w:hAnsi="Book Antiqua" w:cs="Times New Roman"/>
          <w:sz w:val="24"/>
          <w:szCs w:val="24"/>
          <w:lang w:eastAsia="zh-CN"/>
        </w:rPr>
        <w:t>Hosono</w:t>
      </w:r>
      <w:proofErr w:type="spellEnd"/>
      <w:r w:rsidRPr="00706E08">
        <w:rPr>
          <w:rFonts w:ascii="Book Antiqua" w:eastAsia="宋体" w:hAnsi="Book Antiqua" w:cs="Times New Roman"/>
          <w:sz w:val="24"/>
          <w:szCs w:val="24"/>
          <w:lang w:eastAsia="zh-CN"/>
        </w:rPr>
        <w:t xml:space="preserve"> N, Kawaguchi T, </w:t>
      </w:r>
      <w:proofErr w:type="spellStart"/>
      <w:r w:rsidRPr="00706E08">
        <w:rPr>
          <w:rFonts w:ascii="Book Antiqua" w:eastAsia="宋体" w:hAnsi="Book Antiqua" w:cs="Times New Roman"/>
          <w:sz w:val="24"/>
          <w:szCs w:val="24"/>
          <w:lang w:eastAsia="zh-CN"/>
        </w:rPr>
        <w:t>Takazoe</w:t>
      </w:r>
      <w:proofErr w:type="spellEnd"/>
      <w:r w:rsidRPr="00706E08">
        <w:rPr>
          <w:rFonts w:ascii="Book Antiqua" w:eastAsia="宋体" w:hAnsi="Book Antiqua" w:cs="Times New Roman"/>
          <w:sz w:val="24"/>
          <w:szCs w:val="24"/>
          <w:lang w:eastAsia="zh-CN"/>
        </w:rPr>
        <w:t xml:space="preserve"> M, Yamada T, Suzuki Y, Tanaka H, </w:t>
      </w:r>
      <w:proofErr w:type="spellStart"/>
      <w:r w:rsidRPr="00706E08">
        <w:rPr>
          <w:rFonts w:ascii="Book Antiqua" w:eastAsia="宋体" w:hAnsi="Book Antiqua" w:cs="Times New Roman"/>
          <w:sz w:val="24"/>
          <w:szCs w:val="24"/>
          <w:lang w:eastAsia="zh-CN"/>
        </w:rPr>
        <w:t>Motoya</w:t>
      </w:r>
      <w:proofErr w:type="spellEnd"/>
      <w:r w:rsidRPr="00706E08">
        <w:rPr>
          <w:rFonts w:ascii="Book Antiqua" w:eastAsia="宋体" w:hAnsi="Book Antiqua" w:cs="Times New Roman"/>
          <w:sz w:val="24"/>
          <w:szCs w:val="24"/>
          <w:lang w:eastAsia="zh-CN"/>
        </w:rPr>
        <w:t xml:space="preserve"> S, Hosokawa M, </w:t>
      </w:r>
      <w:proofErr w:type="spellStart"/>
      <w:r w:rsidRPr="00706E08">
        <w:rPr>
          <w:rFonts w:ascii="Book Antiqua" w:eastAsia="宋体" w:hAnsi="Book Antiqua" w:cs="Times New Roman"/>
          <w:sz w:val="24"/>
          <w:szCs w:val="24"/>
          <w:lang w:eastAsia="zh-CN"/>
        </w:rPr>
        <w:t>Arimura</w:t>
      </w:r>
      <w:proofErr w:type="spellEnd"/>
      <w:r w:rsidRPr="00706E08">
        <w:rPr>
          <w:rFonts w:ascii="Book Antiqua" w:eastAsia="宋体" w:hAnsi="Book Antiqua" w:cs="Times New Roman"/>
          <w:sz w:val="24"/>
          <w:szCs w:val="24"/>
          <w:lang w:eastAsia="zh-CN"/>
        </w:rPr>
        <w:t xml:space="preserve"> Y, </w:t>
      </w:r>
      <w:proofErr w:type="spellStart"/>
      <w:r w:rsidRPr="00706E08">
        <w:rPr>
          <w:rFonts w:ascii="Book Antiqua" w:eastAsia="宋体" w:hAnsi="Book Antiqua" w:cs="Times New Roman"/>
          <w:sz w:val="24"/>
          <w:szCs w:val="24"/>
          <w:lang w:eastAsia="zh-CN"/>
        </w:rPr>
        <w:t>Shinomura</w:t>
      </w:r>
      <w:proofErr w:type="spellEnd"/>
      <w:r w:rsidRPr="00706E08">
        <w:rPr>
          <w:rFonts w:ascii="Book Antiqua" w:eastAsia="宋体" w:hAnsi="Book Antiqua" w:cs="Times New Roman"/>
          <w:sz w:val="24"/>
          <w:szCs w:val="24"/>
          <w:lang w:eastAsia="zh-CN"/>
        </w:rPr>
        <w:t xml:space="preserve"> Y, Matsui T, Matsumoto T, Iida M, </w:t>
      </w:r>
      <w:proofErr w:type="spellStart"/>
      <w:r w:rsidRPr="00706E08">
        <w:rPr>
          <w:rFonts w:ascii="Book Antiqua" w:eastAsia="宋体" w:hAnsi="Book Antiqua" w:cs="Times New Roman"/>
          <w:sz w:val="24"/>
          <w:szCs w:val="24"/>
          <w:lang w:eastAsia="zh-CN"/>
        </w:rPr>
        <w:t>Tsunoda</w:t>
      </w:r>
      <w:proofErr w:type="spellEnd"/>
      <w:r w:rsidRPr="00706E08">
        <w:rPr>
          <w:rFonts w:ascii="Book Antiqua" w:eastAsia="宋体" w:hAnsi="Book Antiqua" w:cs="Times New Roman"/>
          <w:sz w:val="24"/>
          <w:szCs w:val="24"/>
          <w:lang w:eastAsia="zh-CN"/>
        </w:rPr>
        <w:t xml:space="preserve"> T, Nakamura Y, </w:t>
      </w:r>
      <w:proofErr w:type="spellStart"/>
      <w:r w:rsidRPr="00706E08">
        <w:rPr>
          <w:rFonts w:ascii="Book Antiqua" w:eastAsia="宋体" w:hAnsi="Book Antiqua" w:cs="Times New Roman"/>
          <w:sz w:val="24"/>
          <w:szCs w:val="24"/>
          <w:lang w:eastAsia="zh-CN"/>
        </w:rPr>
        <w:t>Kamatani</w:t>
      </w:r>
      <w:proofErr w:type="spellEnd"/>
      <w:r w:rsidRPr="00706E08">
        <w:rPr>
          <w:rFonts w:ascii="Book Antiqua" w:eastAsia="宋体" w:hAnsi="Book Antiqua" w:cs="Times New Roman"/>
          <w:sz w:val="24"/>
          <w:szCs w:val="24"/>
          <w:lang w:eastAsia="zh-CN"/>
        </w:rPr>
        <w:t xml:space="preserve"> N, Kubo M. A genome-wide association study identifies 2 susceptibility Loci for Crohn's disease in a Japanese population. </w:t>
      </w:r>
      <w:r w:rsidRPr="00706E08">
        <w:rPr>
          <w:rFonts w:ascii="Book Antiqua" w:eastAsia="宋体" w:hAnsi="Book Antiqua" w:cs="Times New Roman"/>
          <w:i/>
          <w:sz w:val="24"/>
          <w:szCs w:val="24"/>
          <w:lang w:eastAsia="zh-CN"/>
        </w:rPr>
        <w:t>Gastroenterology</w:t>
      </w:r>
      <w:r w:rsidRPr="00706E08">
        <w:rPr>
          <w:rFonts w:ascii="Book Antiqua" w:eastAsia="宋体" w:hAnsi="Book Antiqua" w:cs="Times New Roman"/>
          <w:sz w:val="24"/>
          <w:szCs w:val="24"/>
          <w:lang w:eastAsia="zh-CN"/>
        </w:rPr>
        <w:t xml:space="preserve"> 2013; </w:t>
      </w:r>
      <w:r w:rsidRPr="00706E08">
        <w:rPr>
          <w:rFonts w:ascii="Book Antiqua" w:eastAsia="宋体" w:hAnsi="Book Antiqua" w:cs="Times New Roman"/>
          <w:b/>
          <w:sz w:val="24"/>
          <w:szCs w:val="24"/>
          <w:lang w:eastAsia="zh-CN"/>
        </w:rPr>
        <w:t>144</w:t>
      </w:r>
      <w:r w:rsidRPr="00706E08">
        <w:rPr>
          <w:rFonts w:ascii="Book Antiqua" w:eastAsia="宋体" w:hAnsi="Book Antiqua" w:cs="Times New Roman"/>
          <w:sz w:val="24"/>
          <w:szCs w:val="24"/>
          <w:lang w:eastAsia="zh-CN"/>
        </w:rPr>
        <w:t>: 781-788 [PMID: 23266558 DOI: 10.1053/j.gastro.2012.12.021]</w:t>
      </w:r>
    </w:p>
    <w:p w14:paraId="25985244"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18 </w:t>
      </w:r>
      <w:r w:rsidRPr="00706E08">
        <w:rPr>
          <w:rFonts w:ascii="Book Antiqua" w:eastAsia="宋体" w:hAnsi="Book Antiqua" w:cs="Times New Roman"/>
          <w:b/>
          <w:sz w:val="24"/>
          <w:szCs w:val="24"/>
          <w:lang w:eastAsia="zh-CN"/>
        </w:rPr>
        <w:t>Matsumoto T</w:t>
      </w:r>
      <w:r w:rsidRPr="00706E08">
        <w:rPr>
          <w:rFonts w:ascii="Book Antiqua" w:eastAsia="宋体" w:hAnsi="Book Antiqua" w:cs="Times New Roman"/>
          <w:sz w:val="24"/>
          <w:szCs w:val="24"/>
          <w:lang w:eastAsia="zh-CN"/>
        </w:rPr>
        <w:t xml:space="preserve">, Nakamura S, Esaki M, Yada S, Koga H, Yao T, Iida M. Endoscopic features of chronic nonspecific multiple ulcers of the small intestine: Comparison with nonsteroidal anti-inflammatory drug-induced enteropathy. </w:t>
      </w:r>
      <w:r w:rsidRPr="00706E08">
        <w:rPr>
          <w:rFonts w:ascii="Book Antiqua" w:eastAsia="宋体" w:hAnsi="Book Antiqua" w:cs="Times New Roman"/>
          <w:i/>
          <w:sz w:val="24"/>
          <w:szCs w:val="24"/>
          <w:lang w:eastAsia="zh-CN"/>
        </w:rPr>
        <w:t>Dig Dis Sci</w:t>
      </w:r>
      <w:r w:rsidRPr="00706E08">
        <w:rPr>
          <w:rFonts w:ascii="Book Antiqua" w:eastAsia="宋体" w:hAnsi="Book Antiqua" w:cs="Times New Roman"/>
          <w:sz w:val="24"/>
          <w:szCs w:val="24"/>
          <w:lang w:eastAsia="zh-CN"/>
        </w:rPr>
        <w:t xml:space="preserve"> 2006; </w:t>
      </w:r>
      <w:r w:rsidRPr="00706E08">
        <w:rPr>
          <w:rFonts w:ascii="Book Antiqua" w:eastAsia="宋体" w:hAnsi="Book Antiqua" w:cs="Times New Roman"/>
          <w:b/>
          <w:sz w:val="24"/>
          <w:szCs w:val="24"/>
          <w:lang w:eastAsia="zh-CN"/>
        </w:rPr>
        <w:t>51</w:t>
      </w:r>
      <w:r w:rsidRPr="00706E08">
        <w:rPr>
          <w:rFonts w:ascii="Book Antiqua" w:eastAsia="宋体" w:hAnsi="Book Antiqua" w:cs="Times New Roman"/>
          <w:sz w:val="24"/>
          <w:szCs w:val="24"/>
          <w:lang w:eastAsia="zh-CN"/>
        </w:rPr>
        <w:t>: 1357-1363 [PMID: 16868823 DOI: 10.1007/s10620-006-9080-x]</w:t>
      </w:r>
    </w:p>
    <w:p w14:paraId="5F98AF73"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19 </w:t>
      </w:r>
      <w:proofErr w:type="spellStart"/>
      <w:r w:rsidRPr="00706E08">
        <w:rPr>
          <w:rFonts w:ascii="Book Antiqua" w:eastAsia="宋体" w:hAnsi="Book Antiqua" w:cs="Times New Roman"/>
          <w:b/>
          <w:sz w:val="24"/>
          <w:szCs w:val="24"/>
          <w:lang w:eastAsia="zh-CN"/>
        </w:rPr>
        <w:t>Hosoe</w:t>
      </w:r>
      <w:proofErr w:type="spellEnd"/>
      <w:r w:rsidRPr="00706E08">
        <w:rPr>
          <w:rFonts w:ascii="Book Antiqua" w:eastAsia="宋体" w:hAnsi="Book Antiqua" w:cs="Times New Roman"/>
          <w:b/>
          <w:sz w:val="24"/>
          <w:szCs w:val="24"/>
          <w:lang w:eastAsia="zh-CN"/>
        </w:rPr>
        <w:t xml:space="preserve"> N</w:t>
      </w:r>
      <w:r w:rsidRPr="00706E08">
        <w:rPr>
          <w:rFonts w:ascii="Book Antiqua" w:eastAsia="宋体" w:hAnsi="Book Antiqua" w:cs="Times New Roman"/>
          <w:sz w:val="24"/>
          <w:szCs w:val="24"/>
          <w:lang w:eastAsia="zh-CN"/>
        </w:rPr>
        <w:t xml:space="preserve">, </w:t>
      </w:r>
      <w:proofErr w:type="spellStart"/>
      <w:r w:rsidRPr="00706E08">
        <w:rPr>
          <w:rFonts w:ascii="Book Antiqua" w:eastAsia="宋体" w:hAnsi="Book Antiqua" w:cs="Times New Roman"/>
          <w:sz w:val="24"/>
          <w:szCs w:val="24"/>
          <w:lang w:eastAsia="zh-CN"/>
        </w:rPr>
        <w:t>Ohmiya</w:t>
      </w:r>
      <w:proofErr w:type="spellEnd"/>
      <w:r w:rsidRPr="00706E08">
        <w:rPr>
          <w:rFonts w:ascii="Book Antiqua" w:eastAsia="宋体" w:hAnsi="Book Antiqua" w:cs="Times New Roman"/>
          <w:sz w:val="24"/>
          <w:szCs w:val="24"/>
          <w:lang w:eastAsia="zh-CN"/>
        </w:rPr>
        <w:t xml:space="preserve"> N, Hirai F, </w:t>
      </w:r>
      <w:proofErr w:type="spellStart"/>
      <w:r w:rsidRPr="00706E08">
        <w:rPr>
          <w:rFonts w:ascii="Book Antiqua" w:eastAsia="宋体" w:hAnsi="Book Antiqua" w:cs="Times New Roman"/>
          <w:sz w:val="24"/>
          <w:szCs w:val="24"/>
          <w:lang w:eastAsia="zh-CN"/>
        </w:rPr>
        <w:t>Umeno</w:t>
      </w:r>
      <w:proofErr w:type="spellEnd"/>
      <w:r w:rsidRPr="00706E08">
        <w:rPr>
          <w:rFonts w:ascii="Book Antiqua" w:eastAsia="宋体" w:hAnsi="Book Antiqua" w:cs="Times New Roman"/>
          <w:sz w:val="24"/>
          <w:szCs w:val="24"/>
          <w:lang w:eastAsia="zh-CN"/>
        </w:rPr>
        <w:t xml:space="preserve"> J, Esaki M, </w:t>
      </w:r>
      <w:proofErr w:type="spellStart"/>
      <w:r w:rsidRPr="00706E08">
        <w:rPr>
          <w:rFonts w:ascii="Book Antiqua" w:eastAsia="宋体" w:hAnsi="Book Antiqua" w:cs="Times New Roman"/>
          <w:sz w:val="24"/>
          <w:szCs w:val="24"/>
          <w:lang w:eastAsia="zh-CN"/>
        </w:rPr>
        <w:t>Yamagami</w:t>
      </w:r>
      <w:proofErr w:type="spellEnd"/>
      <w:r w:rsidRPr="00706E08">
        <w:rPr>
          <w:rFonts w:ascii="Book Antiqua" w:eastAsia="宋体" w:hAnsi="Book Antiqua" w:cs="Times New Roman"/>
          <w:sz w:val="24"/>
          <w:szCs w:val="24"/>
          <w:lang w:eastAsia="zh-CN"/>
        </w:rPr>
        <w:t xml:space="preserve"> H, Onodera K, </w:t>
      </w:r>
      <w:proofErr w:type="spellStart"/>
      <w:r w:rsidRPr="00706E08">
        <w:rPr>
          <w:rFonts w:ascii="Book Antiqua" w:eastAsia="宋体" w:hAnsi="Book Antiqua" w:cs="Times New Roman"/>
          <w:sz w:val="24"/>
          <w:szCs w:val="24"/>
          <w:lang w:eastAsia="zh-CN"/>
        </w:rPr>
        <w:t>Bamba</w:t>
      </w:r>
      <w:proofErr w:type="spellEnd"/>
      <w:r w:rsidRPr="00706E08">
        <w:rPr>
          <w:rFonts w:ascii="Book Antiqua" w:eastAsia="宋体" w:hAnsi="Book Antiqua" w:cs="Times New Roman"/>
          <w:sz w:val="24"/>
          <w:szCs w:val="24"/>
          <w:lang w:eastAsia="zh-CN"/>
        </w:rPr>
        <w:t xml:space="preserve"> S, </w:t>
      </w:r>
      <w:proofErr w:type="spellStart"/>
      <w:r w:rsidRPr="00706E08">
        <w:rPr>
          <w:rFonts w:ascii="Book Antiqua" w:eastAsia="宋体" w:hAnsi="Book Antiqua" w:cs="Times New Roman"/>
          <w:sz w:val="24"/>
          <w:szCs w:val="24"/>
          <w:lang w:eastAsia="zh-CN"/>
        </w:rPr>
        <w:t>Imaeda</w:t>
      </w:r>
      <w:proofErr w:type="spellEnd"/>
      <w:r w:rsidRPr="00706E08">
        <w:rPr>
          <w:rFonts w:ascii="Book Antiqua" w:eastAsia="宋体" w:hAnsi="Book Antiqua" w:cs="Times New Roman"/>
          <w:sz w:val="24"/>
          <w:szCs w:val="24"/>
          <w:lang w:eastAsia="zh-CN"/>
        </w:rPr>
        <w:t xml:space="preserve"> H, </w:t>
      </w:r>
      <w:proofErr w:type="spellStart"/>
      <w:r w:rsidRPr="00706E08">
        <w:rPr>
          <w:rFonts w:ascii="Book Antiqua" w:eastAsia="宋体" w:hAnsi="Book Antiqua" w:cs="Times New Roman"/>
          <w:sz w:val="24"/>
          <w:szCs w:val="24"/>
          <w:lang w:eastAsia="zh-CN"/>
        </w:rPr>
        <w:t>Yanai</w:t>
      </w:r>
      <w:proofErr w:type="spellEnd"/>
      <w:r w:rsidRPr="00706E08">
        <w:rPr>
          <w:rFonts w:ascii="Book Antiqua" w:eastAsia="宋体" w:hAnsi="Book Antiqua" w:cs="Times New Roman"/>
          <w:sz w:val="24"/>
          <w:szCs w:val="24"/>
          <w:lang w:eastAsia="zh-CN"/>
        </w:rPr>
        <w:t xml:space="preserve"> S, </w:t>
      </w:r>
      <w:proofErr w:type="spellStart"/>
      <w:r w:rsidRPr="00706E08">
        <w:rPr>
          <w:rFonts w:ascii="Book Antiqua" w:eastAsia="宋体" w:hAnsi="Book Antiqua" w:cs="Times New Roman"/>
          <w:sz w:val="24"/>
          <w:szCs w:val="24"/>
          <w:lang w:eastAsia="zh-CN"/>
        </w:rPr>
        <w:t>Hisamatsu</w:t>
      </w:r>
      <w:proofErr w:type="spellEnd"/>
      <w:r w:rsidRPr="00706E08">
        <w:rPr>
          <w:rFonts w:ascii="Book Antiqua" w:eastAsia="宋体" w:hAnsi="Book Antiqua" w:cs="Times New Roman"/>
          <w:sz w:val="24"/>
          <w:szCs w:val="24"/>
          <w:lang w:eastAsia="zh-CN"/>
        </w:rPr>
        <w:t xml:space="preserve"> T, Ogata H, Matsumoto T; CEAS Atlas Group. </w:t>
      </w:r>
      <w:r w:rsidRPr="00706E08">
        <w:rPr>
          <w:rFonts w:ascii="Book Antiqua" w:eastAsia="宋体" w:hAnsi="Book Antiqua" w:cs="Times New Roman"/>
          <w:sz w:val="24"/>
          <w:szCs w:val="24"/>
          <w:lang w:eastAsia="zh-CN"/>
        </w:rPr>
        <w:lastRenderedPageBreak/>
        <w:t xml:space="preserve">Chronic Enteropathy Associated </w:t>
      </w:r>
      <w:proofErr w:type="gramStart"/>
      <w:r w:rsidRPr="00706E08">
        <w:rPr>
          <w:rFonts w:ascii="Book Antiqua" w:eastAsia="宋体" w:hAnsi="Book Antiqua" w:cs="Times New Roman"/>
          <w:sz w:val="24"/>
          <w:szCs w:val="24"/>
          <w:lang w:eastAsia="zh-CN"/>
        </w:rPr>
        <w:t>With</w:t>
      </w:r>
      <w:proofErr w:type="gramEnd"/>
      <w:r w:rsidRPr="00706E08">
        <w:rPr>
          <w:rFonts w:ascii="Book Antiqua" w:eastAsia="宋体" w:hAnsi="Book Antiqua" w:cs="Times New Roman"/>
          <w:sz w:val="24"/>
          <w:szCs w:val="24"/>
          <w:lang w:eastAsia="zh-CN"/>
        </w:rPr>
        <w:t xml:space="preserve"> SLCO2A1 Gene [CEAS]-</w:t>
      </w:r>
      <w:proofErr w:type="spellStart"/>
      <w:r w:rsidRPr="00706E08">
        <w:rPr>
          <w:rFonts w:ascii="Book Antiqua" w:eastAsia="宋体" w:hAnsi="Book Antiqua" w:cs="Times New Roman"/>
          <w:sz w:val="24"/>
          <w:szCs w:val="24"/>
          <w:lang w:eastAsia="zh-CN"/>
        </w:rPr>
        <w:t>Characterisation</w:t>
      </w:r>
      <w:proofErr w:type="spellEnd"/>
      <w:r w:rsidRPr="00706E08">
        <w:rPr>
          <w:rFonts w:ascii="Book Antiqua" w:eastAsia="宋体" w:hAnsi="Book Antiqua" w:cs="Times New Roman"/>
          <w:sz w:val="24"/>
          <w:szCs w:val="24"/>
          <w:lang w:eastAsia="zh-CN"/>
        </w:rPr>
        <w:t xml:space="preserve"> of an Enteric Disorder to be Considered in the Differential Diagnosis of Crohn's Disease. </w:t>
      </w:r>
      <w:r w:rsidRPr="00706E08">
        <w:rPr>
          <w:rFonts w:ascii="Book Antiqua" w:eastAsia="宋体" w:hAnsi="Book Antiqua" w:cs="Times New Roman"/>
          <w:i/>
          <w:sz w:val="24"/>
          <w:szCs w:val="24"/>
          <w:lang w:eastAsia="zh-CN"/>
        </w:rPr>
        <w:t xml:space="preserve">J </w:t>
      </w:r>
      <w:proofErr w:type="spellStart"/>
      <w:r w:rsidRPr="00706E08">
        <w:rPr>
          <w:rFonts w:ascii="Book Antiqua" w:eastAsia="宋体" w:hAnsi="Book Antiqua" w:cs="Times New Roman"/>
          <w:i/>
          <w:sz w:val="24"/>
          <w:szCs w:val="24"/>
          <w:lang w:eastAsia="zh-CN"/>
        </w:rPr>
        <w:t>Crohns</w:t>
      </w:r>
      <w:proofErr w:type="spellEnd"/>
      <w:r w:rsidRPr="00706E08">
        <w:rPr>
          <w:rFonts w:ascii="Book Antiqua" w:eastAsia="宋体" w:hAnsi="Book Antiqua" w:cs="Times New Roman"/>
          <w:i/>
          <w:sz w:val="24"/>
          <w:szCs w:val="24"/>
          <w:lang w:eastAsia="zh-CN"/>
        </w:rPr>
        <w:t xml:space="preserve"> Colitis</w:t>
      </w:r>
      <w:r w:rsidRPr="00706E08">
        <w:rPr>
          <w:rFonts w:ascii="Book Antiqua" w:eastAsia="宋体" w:hAnsi="Book Antiqua" w:cs="Times New Roman"/>
          <w:sz w:val="24"/>
          <w:szCs w:val="24"/>
          <w:lang w:eastAsia="zh-CN"/>
        </w:rPr>
        <w:t xml:space="preserve"> 2017; </w:t>
      </w:r>
      <w:r w:rsidRPr="00706E08">
        <w:rPr>
          <w:rFonts w:ascii="Book Antiqua" w:eastAsia="宋体" w:hAnsi="Book Antiqua" w:cs="Times New Roman"/>
          <w:b/>
          <w:sz w:val="24"/>
          <w:szCs w:val="24"/>
          <w:lang w:eastAsia="zh-CN"/>
        </w:rPr>
        <w:t>11</w:t>
      </w:r>
      <w:r w:rsidRPr="00706E08">
        <w:rPr>
          <w:rFonts w:ascii="Book Antiqua" w:eastAsia="宋体" w:hAnsi="Book Antiqua" w:cs="Times New Roman"/>
          <w:sz w:val="24"/>
          <w:szCs w:val="24"/>
          <w:lang w:eastAsia="zh-CN"/>
        </w:rPr>
        <w:t>: 1277-1281 [PMID: 28510689 DOI: 10.1093/</w:t>
      </w:r>
      <w:proofErr w:type="spellStart"/>
      <w:r w:rsidRPr="00706E08">
        <w:rPr>
          <w:rFonts w:ascii="Book Antiqua" w:eastAsia="宋体" w:hAnsi="Book Antiqua" w:cs="Times New Roman"/>
          <w:sz w:val="24"/>
          <w:szCs w:val="24"/>
          <w:lang w:eastAsia="zh-CN"/>
        </w:rPr>
        <w:t>ecco-jcc</w:t>
      </w:r>
      <w:proofErr w:type="spellEnd"/>
      <w:r w:rsidRPr="00706E08">
        <w:rPr>
          <w:rFonts w:ascii="Book Antiqua" w:eastAsia="宋体" w:hAnsi="Book Antiqua" w:cs="Times New Roman"/>
          <w:sz w:val="24"/>
          <w:szCs w:val="24"/>
          <w:lang w:eastAsia="zh-CN"/>
        </w:rPr>
        <w:t>/jjx068]</w:t>
      </w:r>
    </w:p>
    <w:p w14:paraId="7F8FCA2E"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20 </w:t>
      </w:r>
      <w:proofErr w:type="spellStart"/>
      <w:r w:rsidRPr="00706E08">
        <w:rPr>
          <w:rFonts w:ascii="Book Antiqua" w:eastAsia="宋体" w:hAnsi="Book Antiqua" w:cs="Times New Roman"/>
          <w:b/>
          <w:sz w:val="24"/>
          <w:szCs w:val="24"/>
          <w:lang w:eastAsia="zh-CN"/>
        </w:rPr>
        <w:t>Hisabe</w:t>
      </w:r>
      <w:proofErr w:type="spellEnd"/>
      <w:r w:rsidRPr="00706E08">
        <w:rPr>
          <w:rFonts w:ascii="Book Antiqua" w:eastAsia="宋体" w:hAnsi="Book Antiqua" w:cs="Times New Roman"/>
          <w:b/>
          <w:sz w:val="24"/>
          <w:szCs w:val="24"/>
          <w:lang w:eastAsia="zh-CN"/>
        </w:rPr>
        <w:t xml:space="preserve"> T</w:t>
      </w:r>
      <w:r w:rsidRPr="00706E08">
        <w:rPr>
          <w:rFonts w:ascii="Book Antiqua" w:eastAsia="宋体" w:hAnsi="Book Antiqua" w:cs="Times New Roman"/>
          <w:sz w:val="24"/>
          <w:szCs w:val="24"/>
          <w:lang w:eastAsia="zh-CN"/>
        </w:rPr>
        <w:t xml:space="preserve">, Hirai F, Matsui T, Watanabe M. Evaluation of diagnostic criteria for Crohn's disease in Japan. </w:t>
      </w:r>
      <w:r w:rsidRPr="00706E08">
        <w:rPr>
          <w:rFonts w:ascii="Book Antiqua" w:eastAsia="宋体" w:hAnsi="Book Antiqua" w:cs="Times New Roman"/>
          <w:i/>
          <w:sz w:val="24"/>
          <w:szCs w:val="24"/>
          <w:lang w:eastAsia="zh-CN"/>
        </w:rPr>
        <w:t>J Gastroenterol</w:t>
      </w:r>
      <w:r w:rsidRPr="00706E08">
        <w:rPr>
          <w:rFonts w:ascii="Book Antiqua" w:eastAsia="宋体" w:hAnsi="Book Antiqua" w:cs="Times New Roman"/>
          <w:sz w:val="24"/>
          <w:szCs w:val="24"/>
          <w:lang w:eastAsia="zh-CN"/>
        </w:rPr>
        <w:t xml:space="preserve"> 2014; </w:t>
      </w:r>
      <w:r w:rsidRPr="00706E08">
        <w:rPr>
          <w:rFonts w:ascii="Book Antiqua" w:eastAsia="宋体" w:hAnsi="Book Antiqua" w:cs="Times New Roman"/>
          <w:b/>
          <w:sz w:val="24"/>
          <w:szCs w:val="24"/>
          <w:lang w:eastAsia="zh-CN"/>
        </w:rPr>
        <w:t>49</w:t>
      </w:r>
      <w:r w:rsidRPr="00706E08">
        <w:rPr>
          <w:rFonts w:ascii="Book Antiqua" w:eastAsia="宋体" w:hAnsi="Book Antiqua" w:cs="Times New Roman"/>
          <w:sz w:val="24"/>
          <w:szCs w:val="24"/>
          <w:lang w:eastAsia="zh-CN"/>
        </w:rPr>
        <w:t>: 93-99 [PMID: 23546557 DOI: 10.1007/s00535-013-0798-x]</w:t>
      </w:r>
    </w:p>
    <w:p w14:paraId="4A4C4D22"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21 </w:t>
      </w:r>
      <w:r w:rsidRPr="00706E08">
        <w:rPr>
          <w:rFonts w:ascii="Book Antiqua" w:eastAsia="宋体" w:hAnsi="Book Antiqua" w:cs="Times New Roman"/>
          <w:b/>
          <w:sz w:val="24"/>
          <w:szCs w:val="24"/>
          <w:lang w:eastAsia="zh-CN"/>
        </w:rPr>
        <w:t>Ware JS</w:t>
      </w:r>
      <w:r w:rsidRPr="00706E08">
        <w:rPr>
          <w:rFonts w:ascii="Book Antiqua" w:eastAsia="宋体" w:hAnsi="Book Antiqua" w:cs="Times New Roman"/>
          <w:sz w:val="24"/>
          <w:szCs w:val="24"/>
          <w:lang w:eastAsia="zh-CN"/>
        </w:rPr>
        <w:t xml:space="preserve">, Wain LV, </w:t>
      </w:r>
      <w:proofErr w:type="spellStart"/>
      <w:r w:rsidRPr="00706E08">
        <w:rPr>
          <w:rFonts w:ascii="Book Antiqua" w:eastAsia="宋体" w:hAnsi="Book Antiqua" w:cs="Times New Roman"/>
          <w:sz w:val="24"/>
          <w:szCs w:val="24"/>
          <w:lang w:eastAsia="zh-CN"/>
        </w:rPr>
        <w:t>Channavajjhala</w:t>
      </w:r>
      <w:proofErr w:type="spellEnd"/>
      <w:r w:rsidRPr="00706E08">
        <w:rPr>
          <w:rFonts w:ascii="Book Antiqua" w:eastAsia="宋体" w:hAnsi="Book Antiqua" w:cs="Times New Roman"/>
          <w:sz w:val="24"/>
          <w:szCs w:val="24"/>
          <w:lang w:eastAsia="zh-CN"/>
        </w:rPr>
        <w:t xml:space="preserve"> SK, Jackson VE, Edwards E, Lu R, Siew K, Jia W, Shrine N, Kinnear S, </w:t>
      </w:r>
      <w:proofErr w:type="spellStart"/>
      <w:r w:rsidRPr="00706E08">
        <w:rPr>
          <w:rFonts w:ascii="Book Antiqua" w:eastAsia="宋体" w:hAnsi="Book Antiqua" w:cs="Times New Roman"/>
          <w:sz w:val="24"/>
          <w:szCs w:val="24"/>
          <w:lang w:eastAsia="zh-CN"/>
        </w:rPr>
        <w:t>Jalland</w:t>
      </w:r>
      <w:proofErr w:type="spellEnd"/>
      <w:r w:rsidRPr="00706E08">
        <w:rPr>
          <w:rFonts w:ascii="Book Antiqua" w:eastAsia="宋体" w:hAnsi="Book Antiqua" w:cs="Times New Roman"/>
          <w:sz w:val="24"/>
          <w:szCs w:val="24"/>
          <w:lang w:eastAsia="zh-CN"/>
        </w:rPr>
        <w:t xml:space="preserve"> M, Henry AP, Clayton J, O'Shaughnessy KM, Tobin MD, Schuster VL, Cook S, Hall IP, Glover M. Phenotypic and pharmacogenetic evaluation of patients with thiazide-induced hyponatremia. </w:t>
      </w:r>
      <w:r w:rsidRPr="00706E08">
        <w:rPr>
          <w:rFonts w:ascii="Book Antiqua" w:eastAsia="宋体" w:hAnsi="Book Antiqua" w:cs="Times New Roman"/>
          <w:i/>
          <w:sz w:val="24"/>
          <w:szCs w:val="24"/>
          <w:lang w:eastAsia="zh-CN"/>
        </w:rPr>
        <w:t>J Clin Invest</w:t>
      </w:r>
      <w:r w:rsidRPr="00706E08">
        <w:rPr>
          <w:rFonts w:ascii="Book Antiqua" w:eastAsia="宋体" w:hAnsi="Book Antiqua" w:cs="Times New Roman"/>
          <w:sz w:val="24"/>
          <w:szCs w:val="24"/>
          <w:lang w:eastAsia="zh-CN"/>
        </w:rPr>
        <w:t xml:space="preserve"> 2017; </w:t>
      </w:r>
      <w:r w:rsidRPr="00706E08">
        <w:rPr>
          <w:rFonts w:ascii="Book Antiqua" w:eastAsia="宋体" w:hAnsi="Book Antiqua" w:cs="Times New Roman"/>
          <w:b/>
          <w:sz w:val="24"/>
          <w:szCs w:val="24"/>
          <w:lang w:eastAsia="zh-CN"/>
        </w:rPr>
        <w:t>127</w:t>
      </w:r>
      <w:r w:rsidRPr="00706E08">
        <w:rPr>
          <w:rFonts w:ascii="Book Antiqua" w:eastAsia="宋体" w:hAnsi="Book Antiqua" w:cs="Times New Roman"/>
          <w:sz w:val="24"/>
          <w:szCs w:val="24"/>
          <w:lang w:eastAsia="zh-CN"/>
        </w:rPr>
        <w:t>: 3367-3374 [PMID: 28783044 DOI: 10.1172/JCI89812]</w:t>
      </w:r>
    </w:p>
    <w:p w14:paraId="6C37E5F1"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22 </w:t>
      </w:r>
      <w:r w:rsidRPr="00706E08">
        <w:rPr>
          <w:rFonts w:ascii="Book Antiqua" w:eastAsia="宋体" w:hAnsi="Book Antiqua" w:cs="Times New Roman"/>
          <w:b/>
          <w:sz w:val="24"/>
          <w:szCs w:val="24"/>
          <w:lang w:eastAsia="zh-CN"/>
        </w:rPr>
        <w:t>Fujiwara M</w:t>
      </w:r>
      <w:r w:rsidRPr="00706E08">
        <w:rPr>
          <w:rFonts w:ascii="Book Antiqua" w:eastAsia="宋体" w:hAnsi="Book Antiqua" w:cs="Times New Roman"/>
          <w:sz w:val="24"/>
          <w:szCs w:val="24"/>
          <w:lang w:eastAsia="zh-CN"/>
        </w:rPr>
        <w:t xml:space="preserve">, Okayasu I, </w:t>
      </w:r>
      <w:proofErr w:type="spellStart"/>
      <w:r w:rsidRPr="00706E08">
        <w:rPr>
          <w:rFonts w:ascii="Book Antiqua" w:eastAsia="宋体" w:hAnsi="Book Antiqua" w:cs="Times New Roman"/>
          <w:sz w:val="24"/>
          <w:szCs w:val="24"/>
          <w:lang w:eastAsia="zh-CN"/>
        </w:rPr>
        <w:t>Oritsu</w:t>
      </w:r>
      <w:proofErr w:type="spellEnd"/>
      <w:r w:rsidRPr="00706E08">
        <w:rPr>
          <w:rFonts w:ascii="Book Antiqua" w:eastAsia="宋体" w:hAnsi="Book Antiqua" w:cs="Times New Roman"/>
          <w:sz w:val="24"/>
          <w:szCs w:val="24"/>
          <w:lang w:eastAsia="zh-CN"/>
        </w:rPr>
        <w:t xml:space="preserve"> M, Komatsu J, </w:t>
      </w:r>
      <w:proofErr w:type="spellStart"/>
      <w:r w:rsidRPr="00706E08">
        <w:rPr>
          <w:rFonts w:ascii="Book Antiqua" w:eastAsia="宋体" w:hAnsi="Book Antiqua" w:cs="Times New Roman"/>
          <w:sz w:val="24"/>
          <w:szCs w:val="24"/>
          <w:lang w:eastAsia="zh-CN"/>
        </w:rPr>
        <w:t>Yoshitsugu</w:t>
      </w:r>
      <w:proofErr w:type="spellEnd"/>
      <w:r w:rsidRPr="00706E08">
        <w:rPr>
          <w:rFonts w:ascii="Book Antiqua" w:eastAsia="宋体" w:hAnsi="Book Antiqua" w:cs="Times New Roman"/>
          <w:sz w:val="24"/>
          <w:szCs w:val="24"/>
          <w:lang w:eastAsia="zh-CN"/>
        </w:rPr>
        <w:t xml:space="preserve"> M, </w:t>
      </w:r>
      <w:proofErr w:type="spellStart"/>
      <w:r w:rsidRPr="00706E08">
        <w:rPr>
          <w:rFonts w:ascii="Book Antiqua" w:eastAsia="宋体" w:hAnsi="Book Antiqua" w:cs="Times New Roman"/>
          <w:sz w:val="24"/>
          <w:szCs w:val="24"/>
          <w:lang w:eastAsia="zh-CN"/>
        </w:rPr>
        <w:t>Katoh</w:t>
      </w:r>
      <w:proofErr w:type="spellEnd"/>
      <w:r w:rsidRPr="00706E08">
        <w:rPr>
          <w:rFonts w:ascii="Book Antiqua" w:eastAsia="宋体" w:hAnsi="Book Antiqua" w:cs="Times New Roman"/>
          <w:sz w:val="24"/>
          <w:szCs w:val="24"/>
          <w:lang w:eastAsia="zh-CN"/>
        </w:rPr>
        <w:t xml:space="preserve"> Y, </w:t>
      </w:r>
      <w:proofErr w:type="spellStart"/>
      <w:r w:rsidRPr="00706E08">
        <w:rPr>
          <w:rFonts w:ascii="Book Antiqua" w:eastAsia="宋体" w:hAnsi="Book Antiqua" w:cs="Times New Roman"/>
          <w:sz w:val="24"/>
          <w:szCs w:val="24"/>
          <w:lang w:eastAsia="zh-CN"/>
        </w:rPr>
        <w:t>Bandoh</w:t>
      </w:r>
      <w:proofErr w:type="spellEnd"/>
      <w:r w:rsidRPr="00706E08">
        <w:rPr>
          <w:rFonts w:ascii="Book Antiqua" w:eastAsia="宋体" w:hAnsi="Book Antiqua" w:cs="Times New Roman"/>
          <w:sz w:val="24"/>
          <w:szCs w:val="24"/>
          <w:lang w:eastAsia="zh-CN"/>
        </w:rPr>
        <w:t xml:space="preserve"> T, Toyoshima H, </w:t>
      </w:r>
      <w:proofErr w:type="spellStart"/>
      <w:r w:rsidRPr="00706E08">
        <w:rPr>
          <w:rFonts w:ascii="Book Antiqua" w:eastAsia="宋体" w:hAnsi="Book Antiqua" w:cs="Times New Roman"/>
          <w:sz w:val="24"/>
          <w:szCs w:val="24"/>
          <w:lang w:eastAsia="zh-CN"/>
        </w:rPr>
        <w:t>Kase</w:t>
      </w:r>
      <w:proofErr w:type="spellEnd"/>
      <w:r w:rsidRPr="00706E08">
        <w:rPr>
          <w:rFonts w:ascii="Book Antiqua" w:eastAsia="宋体" w:hAnsi="Book Antiqua" w:cs="Times New Roman"/>
          <w:sz w:val="24"/>
          <w:szCs w:val="24"/>
          <w:lang w:eastAsia="zh-CN"/>
        </w:rPr>
        <w:t xml:space="preserve"> Y, Sugihara K, </w:t>
      </w:r>
      <w:proofErr w:type="spellStart"/>
      <w:r w:rsidRPr="00706E08">
        <w:rPr>
          <w:rFonts w:ascii="Book Antiqua" w:eastAsia="宋体" w:hAnsi="Book Antiqua" w:cs="Times New Roman"/>
          <w:sz w:val="24"/>
          <w:szCs w:val="24"/>
          <w:lang w:eastAsia="zh-CN"/>
        </w:rPr>
        <w:t>Kanno</w:t>
      </w:r>
      <w:proofErr w:type="spellEnd"/>
      <w:r w:rsidRPr="00706E08">
        <w:rPr>
          <w:rFonts w:ascii="Book Antiqua" w:eastAsia="宋体" w:hAnsi="Book Antiqua" w:cs="Times New Roman"/>
          <w:sz w:val="24"/>
          <w:szCs w:val="24"/>
          <w:lang w:eastAsia="zh-CN"/>
        </w:rPr>
        <w:t xml:space="preserve"> J, Hayashi Y. Significant increase in prostaglandin E-main urinary metabolite by laxative administration: Comparison with ulcerative colitis. </w:t>
      </w:r>
      <w:r w:rsidRPr="00706E08">
        <w:rPr>
          <w:rFonts w:ascii="Book Antiqua" w:eastAsia="宋体" w:hAnsi="Book Antiqua" w:cs="Times New Roman"/>
          <w:i/>
          <w:sz w:val="24"/>
          <w:szCs w:val="24"/>
          <w:lang w:eastAsia="zh-CN"/>
        </w:rPr>
        <w:t>Digestion</w:t>
      </w:r>
      <w:r w:rsidRPr="00706E08">
        <w:rPr>
          <w:rFonts w:ascii="Book Antiqua" w:eastAsia="宋体" w:hAnsi="Book Antiqua" w:cs="Times New Roman"/>
          <w:sz w:val="24"/>
          <w:szCs w:val="24"/>
          <w:lang w:eastAsia="zh-CN"/>
        </w:rPr>
        <w:t xml:space="preserve"> 2000; </w:t>
      </w:r>
      <w:r w:rsidRPr="00706E08">
        <w:rPr>
          <w:rFonts w:ascii="Book Antiqua" w:eastAsia="宋体" w:hAnsi="Book Antiqua" w:cs="Times New Roman"/>
          <w:b/>
          <w:sz w:val="24"/>
          <w:szCs w:val="24"/>
          <w:lang w:eastAsia="zh-CN"/>
        </w:rPr>
        <w:t>61</w:t>
      </w:r>
      <w:r w:rsidRPr="00706E08">
        <w:rPr>
          <w:rFonts w:ascii="Book Antiqua" w:eastAsia="宋体" w:hAnsi="Book Antiqua" w:cs="Times New Roman"/>
          <w:sz w:val="24"/>
          <w:szCs w:val="24"/>
          <w:lang w:eastAsia="zh-CN"/>
        </w:rPr>
        <w:t>: 201-206 [PMID: 10773726 DOI: 10.1159/000007758]</w:t>
      </w:r>
    </w:p>
    <w:p w14:paraId="377D5187"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23 </w:t>
      </w:r>
      <w:proofErr w:type="spellStart"/>
      <w:r w:rsidRPr="00706E08">
        <w:rPr>
          <w:rFonts w:ascii="Book Antiqua" w:eastAsia="宋体" w:hAnsi="Book Antiqua" w:cs="Times New Roman"/>
          <w:b/>
          <w:sz w:val="24"/>
          <w:szCs w:val="24"/>
          <w:lang w:eastAsia="zh-CN"/>
        </w:rPr>
        <w:t>Horikiri</w:t>
      </w:r>
      <w:proofErr w:type="spellEnd"/>
      <w:r w:rsidRPr="00706E08">
        <w:rPr>
          <w:rFonts w:ascii="Book Antiqua" w:eastAsia="宋体" w:hAnsi="Book Antiqua" w:cs="Times New Roman"/>
          <w:b/>
          <w:sz w:val="24"/>
          <w:szCs w:val="24"/>
          <w:lang w:eastAsia="zh-CN"/>
        </w:rPr>
        <w:t xml:space="preserve"> T</w:t>
      </w:r>
      <w:r w:rsidRPr="00706E08">
        <w:rPr>
          <w:rFonts w:ascii="Book Antiqua" w:eastAsia="宋体" w:hAnsi="Book Antiqua" w:cs="Times New Roman"/>
          <w:sz w:val="24"/>
          <w:szCs w:val="24"/>
          <w:lang w:eastAsia="zh-CN"/>
        </w:rPr>
        <w:t xml:space="preserve">, Hara H, Saito N, Araya J, </w:t>
      </w:r>
      <w:proofErr w:type="spellStart"/>
      <w:r w:rsidRPr="00706E08">
        <w:rPr>
          <w:rFonts w:ascii="Book Antiqua" w:eastAsia="宋体" w:hAnsi="Book Antiqua" w:cs="Times New Roman"/>
          <w:sz w:val="24"/>
          <w:szCs w:val="24"/>
          <w:lang w:eastAsia="zh-CN"/>
        </w:rPr>
        <w:t>Takasaka</w:t>
      </w:r>
      <w:proofErr w:type="spellEnd"/>
      <w:r w:rsidRPr="00706E08">
        <w:rPr>
          <w:rFonts w:ascii="Book Antiqua" w:eastAsia="宋体" w:hAnsi="Book Antiqua" w:cs="Times New Roman"/>
          <w:sz w:val="24"/>
          <w:szCs w:val="24"/>
          <w:lang w:eastAsia="zh-CN"/>
        </w:rPr>
        <w:t xml:space="preserve"> N, </w:t>
      </w:r>
      <w:proofErr w:type="spellStart"/>
      <w:r w:rsidRPr="00706E08">
        <w:rPr>
          <w:rFonts w:ascii="Book Antiqua" w:eastAsia="宋体" w:hAnsi="Book Antiqua" w:cs="Times New Roman"/>
          <w:sz w:val="24"/>
          <w:szCs w:val="24"/>
          <w:lang w:eastAsia="zh-CN"/>
        </w:rPr>
        <w:t>Utsumi</w:t>
      </w:r>
      <w:proofErr w:type="spellEnd"/>
      <w:r w:rsidRPr="00706E08">
        <w:rPr>
          <w:rFonts w:ascii="Book Antiqua" w:eastAsia="宋体" w:hAnsi="Book Antiqua" w:cs="Times New Roman"/>
          <w:sz w:val="24"/>
          <w:szCs w:val="24"/>
          <w:lang w:eastAsia="zh-CN"/>
        </w:rPr>
        <w:t xml:space="preserve"> H, Yanagisawa H, Hashimoto M, Yoshii Y, </w:t>
      </w:r>
      <w:proofErr w:type="spellStart"/>
      <w:r w:rsidRPr="00706E08">
        <w:rPr>
          <w:rFonts w:ascii="Book Antiqua" w:eastAsia="宋体" w:hAnsi="Book Antiqua" w:cs="Times New Roman"/>
          <w:sz w:val="24"/>
          <w:szCs w:val="24"/>
          <w:lang w:eastAsia="zh-CN"/>
        </w:rPr>
        <w:t>Wakui</w:t>
      </w:r>
      <w:proofErr w:type="spellEnd"/>
      <w:r w:rsidRPr="00706E08">
        <w:rPr>
          <w:rFonts w:ascii="Book Antiqua" w:eastAsia="宋体" w:hAnsi="Book Antiqua" w:cs="Times New Roman"/>
          <w:sz w:val="24"/>
          <w:szCs w:val="24"/>
          <w:lang w:eastAsia="zh-CN"/>
        </w:rPr>
        <w:t xml:space="preserve"> H, Minagawa S, Ishikawa T, Shimizu K, </w:t>
      </w:r>
      <w:proofErr w:type="spellStart"/>
      <w:r w:rsidRPr="00706E08">
        <w:rPr>
          <w:rFonts w:ascii="Book Antiqua" w:eastAsia="宋体" w:hAnsi="Book Antiqua" w:cs="Times New Roman"/>
          <w:sz w:val="24"/>
          <w:szCs w:val="24"/>
          <w:lang w:eastAsia="zh-CN"/>
        </w:rPr>
        <w:t>Numata</w:t>
      </w:r>
      <w:proofErr w:type="spellEnd"/>
      <w:r w:rsidRPr="00706E08">
        <w:rPr>
          <w:rFonts w:ascii="Book Antiqua" w:eastAsia="宋体" w:hAnsi="Book Antiqua" w:cs="Times New Roman"/>
          <w:sz w:val="24"/>
          <w:szCs w:val="24"/>
          <w:lang w:eastAsia="zh-CN"/>
        </w:rPr>
        <w:t xml:space="preserve"> T, </w:t>
      </w:r>
      <w:proofErr w:type="spellStart"/>
      <w:r w:rsidRPr="00706E08">
        <w:rPr>
          <w:rFonts w:ascii="Book Antiqua" w:eastAsia="宋体" w:hAnsi="Book Antiqua" w:cs="Times New Roman"/>
          <w:sz w:val="24"/>
          <w:szCs w:val="24"/>
          <w:lang w:eastAsia="zh-CN"/>
        </w:rPr>
        <w:t>Arihiro</w:t>
      </w:r>
      <w:proofErr w:type="spellEnd"/>
      <w:r w:rsidRPr="00706E08">
        <w:rPr>
          <w:rFonts w:ascii="Book Antiqua" w:eastAsia="宋体" w:hAnsi="Book Antiqua" w:cs="Times New Roman"/>
          <w:sz w:val="24"/>
          <w:szCs w:val="24"/>
          <w:lang w:eastAsia="zh-CN"/>
        </w:rPr>
        <w:t xml:space="preserve"> S, Kaneko Y, Nakayama K, Matsuura T, Matsuura M, Fujiwara M, Okayasu I, Ito S, </w:t>
      </w:r>
      <w:proofErr w:type="spellStart"/>
      <w:r w:rsidRPr="00706E08">
        <w:rPr>
          <w:rFonts w:ascii="Book Antiqua" w:eastAsia="宋体" w:hAnsi="Book Antiqua" w:cs="Times New Roman"/>
          <w:sz w:val="24"/>
          <w:szCs w:val="24"/>
          <w:lang w:eastAsia="zh-CN"/>
        </w:rPr>
        <w:t>Kuwano</w:t>
      </w:r>
      <w:proofErr w:type="spellEnd"/>
      <w:r w:rsidRPr="00706E08">
        <w:rPr>
          <w:rFonts w:ascii="Book Antiqua" w:eastAsia="宋体" w:hAnsi="Book Antiqua" w:cs="Times New Roman"/>
          <w:sz w:val="24"/>
          <w:szCs w:val="24"/>
          <w:lang w:eastAsia="zh-CN"/>
        </w:rPr>
        <w:t xml:space="preserve"> K. Increased levels of prostaglandin E-major urinary metabolite (PGE-MUM) in chronic fibrosing interstitial pneumonia. </w:t>
      </w:r>
      <w:r w:rsidRPr="00706E08">
        <w:rPr>
          <w:rFonts w:ascii="Book Antiqua" w:eastAsia="宋体" w:hAnsi="Book Antiqua" w:cs="Times New Roman"/>
          <w:i/>
          <w:sz w:val="24"/>
          <w:szCs w:val="24"/>
          <w:lang w:eastAsia="zh-CN"/>
        </w:rPr>
        <w:t>Respir Med</w:t>
      </w:r>
      <w:r w:rsidRPr="00706E08">
        <w:rPr>
          <w:rFonts w:ascii="Book Antiqua" w:eastAsia="宋体" w:hAnsi="Book Antiqua" w:cs="Times New Roman"/>
          <w:sz w:val="24"/>
          <w:szCs w:val="24"/>
          <w:lang w:eastAsia="zh-CN"/>
        </w:rPr>
        <w:t xml:space="preserve"> 2017; </w:t>
      </w:r>
      <w:r w:rsidRPr="00706E08">
        <w:rPr>
          <w:rFonts w:ascii="Book Antiqua" w:eastAsia="宋体" w:hAnsi="Book Antiqua" w:cs="Times New Roman"/>
          <w:b/>
          <w:sz w:val="24"/>
          <w:szCs w:val="24"/>
          <w:lang w:eastAsia="zh-CN"/>
        </w:rPr>
        <w:t>122</w:t>
      </w:r>
      <w:r w:rsidRPr="00706E08">
        <w:rPr>
          <w:rFonts w:ascii="Book Antiqua" w:eastAsia="宋体" w:hAnsi="Book Antiqua" w:cs="Times New Roman"/>
          <w:sz w:val="24"/>
          <w:szCs w:val="24"/>
          <w:lang w:eastAsia="zh-CN"/>
        </w:rPr>
        <w:t>: 43-50 [PMID: 27993290 DOI: 10.1016/j.rmed.2016.11.017]</w:t>
      </w:r>
    </w:p>
    <w:p w14:paraId="5DAD6F00"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24 </w:t>
      </w:r>
      <w:proofErr w:type="spellStart"/>
      <w:r w:rsidRPr="00706E08">
        <w:rPr>
          <w:rFonts w:ascii="Book Antiqua" w:eastAsia="宋体" w:hAnsi="Book Antiqua" w:cs="Times New Roman"/>
          <w:b/>
          <w:sz w:val="24"/>
          <w:szCs w:val="24"/>
          <w:lang w:eastAsia="zh-CN"/>
        </w:rPr>
        <w:t>Satsangi</w:t>
      </w:r>
      <w:proofErr w:type="spellEnd"/>
      <w:r w:rsidRPr="00706E08">
        <w:rPr>
          <w:rFonts w:ascii="Book Antiqua" w:eastAsia="宋体" w:hAnsi="Book Antiqua" w:cs="Times New Roman"/>
          <w:b/>
          <w:sz w:val="24"/>
          <w:szCs w:val="24"/>
          <w:lang w:eastAsia="zh-CN"/>
        </w:rPr>
        <w:t xml:space="preserve"> J</w:t>
      </w:r>
      <w:r w:rsidRPr="00706E08">
        <w:rPr>
          <w:rFonts w:ascii="Book Antiqua" w:eastAsia="宋体" w:hAnsi="Book Antiqua" w:cs="Times New Roman"/>
          <w:sz w:val="24"/>
          <w:szCs w:val="24"/>
          <w:lang w:eastAsia="zh-CN"/>
        </w:rPr>
        <w:t xml:space="preserve">, Silverberg MS, </w:t>
      </w:r>
      <w:proofErr w:type="spellStart"/>
      <w:r w:rsidRPr="00706E08">
        <w:rPr>
          <w:rFonts w:ascii="Book Antiqua" w:eastAsia="宋体" w:hAnsi="Book Antiqua" w:cs="Times New Roman"/>
          <w:sz w:val="24"/>
          <w:szCs w:val="24"/>
          <w:lang w:eastAsia="zh-CN"/>
        </w:rPr>
        <w:t>Vermeire</w:t>
      </w:r>
      <w:proofErr w:type="spellEnd"/>
      <w:r w:rsidRPr="00706E08">
        <w:rPr>
          <w:rFonts w:ascii="Book Antiqua" w:eastAsia="宋体" w:hAnsi="Book Antiqua" w:cs="Times New Roman"/>
          <w:sz w:val="24"/>
          <w:szCs w:val="24"/>
          <w:lang w:eastAsia="zh-CN"/>
        </w:rPr>
        <w:t xml:space="preserve"> S, </w:t>
      </w:r>
      <w:proofErr w:type="spellStart"/>
      <w:r w:rsidRPr="00706E08">
        <w:rPr>
          <w:rFonts w:ascii="Book Antiqua" w:eastAsia="宋体" w:hAnsi="Book Antiqua" w:cs="Times New Roman"/>
          <w:sz w:val="24"/>
          <w:szCs w:val="24"/>
          <w:lang w:eastAsia="zh-CN"/>
        </w:rPr>
        <w:t>Colombel</w:t>
      </w:r>
      <w:proofErr w:type="spellEnd"/>
      <w:r w:rsidRPr="00706E08">
        <w:rPr>
          <w:rFonts w:ascii="Book Antiqua" w:eastAsia="宋体" w:hAnsi="Book Antiqua" w:cs="Times New Roman"/>
          <w:sz w:val="24"/>
          <w:szCs w:val="24"/>
          <w:lang w:eastAsia="zh-CN"/>
        </w:rPr>
        <w:t xml:space="preserve"> JF. The Montreal classification of inflammatory bowel disease: Controversies, consensus, and implications. </w:t>
      </w:r>
      <w:r w:rsidRPr="00706E08">
        <w:rPr>
          <w:rFonts w:ascii="Book Antiqua" w:eastAsia="宋体" w:hAnsi="Book Antiqua" w:cs="Times New Roman"/>
          <w:i/>
          <w:sz w:val="24"/>
          <w:szCs w:val="24"/>
          <w:lang w:eastAsia="zh-CN"/>
        </w:rPr>
        <w:t>Gut</w:t>
      </w:r>
      <w:r w:rsidRPr="00706E08">
        <w:rPr>
          <w:rFonts w:ascii="Book Antiqua" w:eastAsia="宋体" w:hAnsi="Book Antiqua" w:cs="Times New Roman"/>
          <w:sz w:val="24"/>
          <w:szCs w:val="24"/>
          <w:lang w:eastAsia="zh-CN"/>
        </w:rPr>
        <w:t xml:space="preserve"> 2006; </w:t>
      </w:r>
      <w:r w:rsidRPr="00706E08">
        <w:rPr>
          <w:rFonts w:ascii="Book Antiqua" w:eastAsia="宋体" w:hAnsi="Book Antiqua" w:cs="Times New Roman"/>
          <w:b/>
          <w:sz w:val="24"/>
          <w:szCs w:val="24"/>
          <w:lang w:eastAsia="zh-CN"/>
        </w:rPr>
        <w:t>55</w:t>
      </w:r>
      <w:r w:rsidRPr="00706E08">
        <w:rPr>
          <w:rFonts w:ascii="Book Antiqua" w:eastAsia="宋体" w:hAnsi="Book Antiqua" w:cs="Times New Roman"/>
          <w:sz w:val="24"/>
          <w:szCs w:val="24"/>
          <w:lang w:eastAsia="zh-CN"/>
        </w:rPr>
        <w:t>: 749-753 [PMID: 16698746 DOI: 10.1136/gut.2005.082909]</w:t>
      </w:r>
    </w:p>
    <w:p w14:paraId="61882D5D" w14:textId="77777777" w:rsidR="004C5DF2" w:rsidRPr="00D574FD"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25 </w:t>
      </w:r>
      <w:proofErr w:type="spellStart"/>
      <w:r w:rsidRPr="00706E08">
        <w:rPr>
          <w:rFonts w:ascii="Book Antiqua" w:eastAsia="宋体" w:hAnsi="Book Antiqua" w:cs="Times New Roman"/>
          <w:b/>
          <w:sz w:val="24"/>
          <w:szCs w:val="24"/>
          <w:lang w:eastAsia="zh-CN"/>
        </w:rPr>
        <w:t>Fuyuno</w:t>
      </w:r>
      <w:proofErr w:type="spellEnd"/>
      <w:r w:rsidRPr="00706E08">
        <w:rPr>
          <w:rFonts w:ascii="Book Antiqua" w:eastAsia="宋体" w:hAnsi="Book Antiqua" w:cs="Times New Roman"/>
          <w:b/>
          <w:sz w:val="24"/>
          <w:szCs w:val="24"/>
          <w:lang w:eastAsia="zh-CN"/>
        </w:rPr>
        <w:t xml:space="preserve"> Y</w:t>
      </w:r>
      <w:r w:rsidRPr="00706E08">
        <w:rPr>
          <w:rFonts w:ascii="Book Antiqua" w:eastAsia="宋体" w:hAnsi="Book Antiqua" w:cs="Times New Roman"/>
          <w:sz w:val="24"/>
          <w:szCs w:val="24"/>
          <w:lang w:eastAsia="zh-CN"/>
        </w:rPr>
        <w:t xml:space="preserve">, Yamazaki K, Takahashi A, Esaki M, Kawaguchi T, </w:t>
      </w:r>
      <w:proofErr w:type="spellStart"/>
      <w:r w:rsidRPr="00706E08">
        <w:rPr>
          <w:rFonts w:ascii="Book Antiqua" w:eastAsia="宋体" w:hAnsi="Book Antiqua" w:cs="Times New Roman"/>
          <w:sz w:val="24"/>
          <w:szCs w:val="24"/>
          <w:lang w:eastAsia="zh-CN"/>
        </w:rPr>
        <w:t>Takazoe</w:t>
      </w:r>
      <w:proofErr w:type="spellEnd"/>
      <w:r w:rsidRPr="00706E08">
        <w:rPr>
          <w:rFonts w:ascii="Book Antiqua" w:eastAsia="宋体" w:hAnsi="Book Antiqua" w:cs="Times New Roman"/>
          <w:sz w:val="24"/>
          <w:szCs w:val="24"/>
          <w:lang w:eastAsia="zh-CN"/>
        </w:rPr>
        <w:t xml:space="preserve"> M, Matsumoto T, Matsui T, Tanaka H, </w:t>
      </w:r>
      <w:proofErr w:type="spellStart"/>
      <w:r w:rsidRPr="00706E08">
        <w:rPr>
          <w:rFonts w:ascii="Book Antiqua" w:eastAsia="宋体" w:hAnsi="Book Antiqua" w:cs="Times New Roman"/>
          <w:sz w:val="24"/>
          <w:szCs w:val="24"/>
          <w:lang w:eastAsia="zh-CN"/>
        </w:rPr>
        <w:t>Motoya</w:t>
      </w:r>
      <w:proofErr w:type="spellEnd"/>
      <w:r w:rsidRPr="00706E08">
        <w:rPr>
          <w:rFonts w:ascii="Book Antiqua" w:eastAsia="宋体" w:hAnsi="Book Antiqua" w:cs="Times New Roman"/>
          <w:sz w:val="24"/>
          <w:szCs w:val="24"/>
          <w:lang w:eastAsia="zh-CN"/>
        </w:rPr>
        <w:t xml:space="preserve"> S, Suzuki Y, </w:t>
      </w:r>
      <w:proofErr w:type="spellStart"/>
      <w:r w:rsidRPr="00706E08">
        <w:rPr>
          <w:rFonts w:ascii="Book Antiqua" w:eastAsia="宋体" w:hAnsi="Book Antiqua" w:cs="Times New Roman"/>
          <w:sz w:val="24"/>
          <w:szCs w:val="24"/>
          <w:lang w:eastAsia="zh-CN"/>
        </w:rPr>
        <w:t>Kiyohara</w:t>
      </w:r>
      <w:proofErr w:type="spellEnd"/>
      <w:r w:rsidRPr="00706E08">
        <w:rPr>
          <w:rFonts w:ascii="Book Antiqua" w:eastAsia="宋体" w:hAnsi="Book Antiqua" w:cs="Times New Roman"/>
          <w:sz w:val="24"/>
          <w:szCs w:val="24"/>
          <w:lang w:eastAsia="zh-CN"/>
        </w:rPr>
        <w:t xml:space="preserve"> Y, </w:t>
      </w:r>
      <w:proofErr w:type="spellStart"/>
      <w:r w:rsidRPr="00706E08">
        <w:rPr>
          <w:rFonts w:ascii="Book Antiqua" w:eastAsia="宋体" w:hAnsi="Book Antiqua" w:cs="Times New Roman"/>
          <w:sz w:val="24"/>
          <w:szCs w:val="24"/>
          <w:lang w:eastAsia="zh-CN"/>
        </w:rPr>
        <w:t>Kitazono</w:t>
      </w:r>
      <w:proofErr w:type="spellEnd"/>
      <w:r w:rsidRPr="00706E08">
        <w:rPr>
          <w:rFonts w:ascii="Book Antiqua" w:eastAsia="宋体" w:hAnsi="Book Antiqua" w:cs="Times New Roman"/>
          <w:sz w:val="24"/>
          <w:szCs w:val="24"/>
          <w:lang w:eastAsia="zh-CN"/>
        </w:rPr>
        <w:t xml:space="preserve"> T, </w:t>
      </w:r>
      <w:r w:rsidRPr="00706E08">
        <w:rPr>
          <w:rFonts w:ascii="Book Antiqua" w:eastAsia="宋体" w:hAnsi="Book Antiqua" w:cs="Times New Roman"/>
          <w:sz w:val="24"/>
          <w:szCs w:val="24"/>
          <w:lang w:eastAsia="zh-CN"/>
        </w:rPr>
        <w:lastRenderedPageBreak/>
        <w:t xml:space="preserve">Kubo M. Genetic characteristics of inflammatory bowel disease in a Japanese </w:t>
      </w:r>
      <w:r w:rsidRPr="00D574FD">
        <w:rPr>
          <w:rFonts w:ascii="Book Antiqua" w:eastAsia="宋体" w:hAnsi="Book Antiqua" w:cs="Times New Roman"/>
          <w:sz w:val="24"/>
          <w:szCs w:val="24"/>
          <w:lang w:eastAsia="zh-CN"/>
        </w:rPr>
        <w:t xml:space="preserve">population. </w:t>
      </w:r>
      <w:r w:rsidRPr="00D574FD">
        <w:rPr>
          <w:rFonts w:ascii="Book Antiqua" w:eastAsia="宋体" w:hAnsi="Book Antiqua" w:cs="Times New Roman"/>
          <w:i/>
          <w:sz w:val="24"/>
          <w:szCs w:val="24"/>
          <w:lang w:eastAsia="zh-CN"/>
        </w:rPr>
        <w:t>J Gastroenterol</w:t>
      </w:r>
      <w:r w:rsidRPr="00D574FD">
        <w:rPr>
          <w:rFonts w:ascii="Book Antiqua" w:eastAsia="宋体" w:hAnsi="Book Antiqua" w:cs="Times New Roman"/>
          <w:sz w:val="24"/>
          <w:szCs w:val="24"/>
          <w:lang w:eastAsia="zh-CN"/>
        </w:rPr>
        <w:t xml:space="preserve"> 2016; </w:t>
      </w:r>
      <w:r w:rsidRPr="00D574FD">
        <w:rPr>
          <w:rFonts w:ascii="Book Antiqua" w:eastAsia="宋体" w:hAnsi="Book Antiqua" w:cs="Times New Roman"/>
          <w:b/>
          <w:sz w:val="24"/>
          <w:szCs w:val="24"/>
          <w:lang w:eastAsia="zh-CN"/>
        </w:rPr>
        <w:t>51</w:t>
      </w:r>
      <w:r w:rsidRPr="00D574FD">
        <w:rPr>
          <w:rFonts w:ascii="Book Antiqua" w:eastAsia="宋体" w:hAnsi="Book Antiqua" w:cs="Times New Roman"/>
          <w:sz w:val="24"/>
          <w:szCs w:val="24"/>
          <w:lang w:eastAsia="zh-CN"/>
        </w:rPr>
        <w:t>: 672-681 [PMID: 26511940 DOI: 10.1007/s00535-015-1135-3]</w:t>
      </w:r>
    </w:p>
    <w:p w14:paraId="404124DF" w14:textId="77777777" w:rsidR="004C5DF2" w:rsidRPr="00D574FD" w:rsidRDefault="004C5DF2" w:rsidP="004C5DF2">
      <w:pPr>
        <w:widowControl w:val="0"/>
        <w:spacing w:line="360" w:lineRule="auto"/>
        <w:jc w:val="both"/>
        <w:rPr>
          <w:rFonts w:ascii="Book Antiqua" w:eastAsia="宋体" w:hAnsi="Book Antiqua" w:cs="Times New Roman"/>
          <w:sz w:val="24"/>
          <w:szCs w:val="24"/>
          <w:lang w:eastAsia="zh-CN"/>
        </w:rPr>
      </w:pPr>
      <w:r w:rsidRPr="00D574FD">
        <w:rPr>
          <w:rFonts w:ascii="Book Antiqua" w:eastAsia="宋体" w:hAnsi="Book Antiqua" w:cs="Times New Roman"/>
          <w:sz w:val="24"/>
          <w:szCs w:val="24"/>
          <w:lang w:eastAsia="zh-CN"/>
        </w:rPr>
        <w:t xml:space="preserve">26 </w:t>
      </w:r>
      <w:r w:rsidRPr="00D574FD">
        <w:rPr>
          <w:rFonts w:ascii="Book Antiqua" w:eastAsia="宋体" w:hAnsi="Book Antiqua" w:cs="Times New Roman"/>
          <w:b/>
          <w:sz w:val="24"/>
          <w:szCs w:val="24"/>
          <w:lang w:eastAsia="zh-CN"/>
        </w:rPr>
        <w:t>Okabe H,</w:t>
      </w:r>
      <w:r w:rsidRPr="00D574FD">
        <w:rPr>
          <w:rFonts w:ascii="Book Antiqua" w:eastAsia="宋体" w:hAnsi="Book Antiqua" w:cs="Times New Roman"/>
          <w:sz w:val="24"/>
          <w:szCs w:val="24"/>
          <w:lang w:eastAsia="zh-CN"/>
        </w:rPr>
        <w:t xml:space="preserve"> </w:t>
      </w:r>
      <w:proofErr w:type="spellStart"/>
      <w:r w:rsidRPr="00D574FD">
        <w:rPr>
          <w:rFonts w:ascii="Book Antiqua" w:eastAsia="宋体" w:hAnsi="Book Antiqua" w:cs="Times New Roman"/>
          <w:sz w:val="24"/>
          <w:szCs w:val="24"/>
          <w:lang w:eastAsia="zh-CN"/>
        </w:rPr>
        <w:t>Sakimura</w:t>
      </w:r>
      <w:proofErr w:type="spellEnd"/>
      <w:r w:rsidRPr="00D574FD">
        <w:rPr>
          <w:rFonts w:ascii="Book Antiqua" w:eastAsia="宋体" w:hAnsi="Book Antiqua" w:cs="Times New Roman"/>
          <w:sz w:val="24"/>
          <w:szCs w:val="24"/>
          <w:lang w:eastAsia="zh-CN"/>
        </w:rPr>
        <w:t xml:space="preserve"> M. “Hi </w:t>
      </w:r>
      <w:proofErr w:type="spellStart"/>
      <w:r w:rsidRPr="00D574FD">
        <w:rPr>
          <w:rFonts w:ascii="Book Antiqua" w:eastAsia="宋体" w:hAnsi="Book Antiqua" w:cs="Times New Roman"/>
          <w:sz w:val="24"/>
          <w:szCs w:val="24"/>
          <w:lang w:eastAsia="zh-CN"/>
        </w:rPr>
        <w:t>Tokui</w:t>
      </w:r>
      <w:proofErr w:type="spellEnd"/>
      <w:r w:rsidRPr="00D574FD">
        <w:rPr>
          <w:rFonts w:ascii="Book Antiqua" w:eastAsia="宋体" w:hAnsi="Book Antiqua" w:cs="Times New Roman"/>
          <w:sz w:val="24"/>
          <w:szCs w:val="24"/>
          <w:lang w:eastAsia="zh-CN"/>
        </w:rPr>
        <w:t xml:space="preserve">-sei </w:t>
      </w:r>
      <w:proofErr w:type="spellStart"/>
      <w:r w:rsidRPr="00D574FD">
        <w:rPr>
          <w:rFonts w:ascii="Book Antiqua" w:eastAsia="宋体" w:hAnsi="Book Antiqua" w:cs="Times New Roman"/>
          <w:sz w:val="24"/>
          <w:szCs w:val="24"/>
          <w:lang w:eastAsia="zh-CN"/>
        </w:rPr>
        <w:t>Tahatsu</w:t>
      </w:r>
      <w:proofErr w:type="spellEnd"/>
      <w:r w:rsidRPr="00D574FD">
        <w:rPr>
          <w:rFonts w:ascii="Book Antiqua" w:eastAsia="宋体" w:hAnsi="Book Antiqua" w:cs="Times New Roman"/>
          <w:sz w:val="24"/>
          <w:szCs w:val="24"/>
          <w:lang w:eastAsia="zh-CN"/>
        </w:rPr>
        <w:t xml:space="preserve">-sei </w:t>
      </w:r>
      <w:proofErr w:type="spellStart"/>
      <w:r w:rsidRPr="00D574FD">
        <w:rPr>
          <w:rFonts w:ascii="Book Antiqua" w:eastAsia="宋体" w:hAnsi="Book Antiqua" w:cs="Times New Roman"/>
          <w:sz w:val="24"/>
          <w:szCs w:val="24"/>
          <w:lang w:eastAsia="zh-CN"/>
        </w:rPr>
        <w:t>Shouchou</w:t>
      </w:r>
      <w:proofErr w:type="spellEnd"/>
      <w:r w:rsidRPr="00D574FD">
        <w:rPr>
          <w:rFonts w:ascii="Book Antiqua" w:eastAsia="宋体" w:hAnsi="Book Antiqua" w:cs="Times New Roman"/>
          <w:sz w:val="24"/>
          <w:szCs w:val="24"/>
          <w:lang w:eastAsia="zh-CN"/>
        </w:rPr>
        <w:t xml:space="preserve"> </w:t>
      </w:r>
      <w:proofErr w:type="spellStart"/>
      <w:r w:rsidRPr="00D574FD">
        <w:rPr>
          <w:rFonts w:ascii="Book Antiqua" w:eastAsia="宋体" w:hAnsi="Book Antiqua" w:cs="Times New Roman"/>
          <w:sz w:val="24"/>
          <w:szCs w:val="24"/>
          <w:lang w:eastAsia="zh-CN"/>
        </w:rPr>
        <w:t>Kaiyou-shou</w:t>
      </w:r>
      <w:proofErr w:type="spellEnd"/>
      <w:r w:rsidRPr="00D574FD">
        <w:rPr>
          <w:rFonts w:ascii="Book Antiqua" w:eastAsia="宋体" w:hAnsi="Book Antiqua" w:cs="Times New Roman"/>
          <w:sz w:val="24"/>
          <w:szCs w:val="24"/>
          <w:lang w:eastAsia="zh-CN"/>
        </w:rPr>
        <w:t xml:space="preserve">”. </w:t>
      </w:r>
      <w:bookmarkStart w:id="168" w:name="OLE_LINK527"/>
      <w:bookmarkStart w:id="169" w:name="OLE_LINK528"/>
      <w:r w:rsidRPr="00D574FD">
        <w:rPr>
          <w:rFonts w:ascii="Book Antiqua" w:eastAsia="宋体" w:hAnsi="Book Antiqua" w:cs="Times New Roman"/>
          <w:i/>
          <w:sz w:val="24"/>
          <w:szCs w:val="24"/>
          <w:lang w:eastAsia="zh-CN"/>
        </w:rPr>
        <w:t>Stomach</w:t>
      </w:r>
      <w:bookmarkEnd w:id="168"/>
      <w:bookmarkEnd w:id="169"/>
      <w:r w:rsidRPr="00D574FD">
        <w:rPr>
          <w:rFonts w:ascii="Book Antiqua" w:eastAsia="宋体" w:hAnsi="Book Antiqua" w:cs="Times New Roman"/>
          <w:i/>
          <w:sz w:val="24"/>
          <w:szCs w:val="24"/>
          <w:lang w:eastAsia="zh-CN"/>
        </w:rPr>
        <w:t xml:space="preserve"> </w:t>
      </w:r>
      <w:proofErr w:type="spellStart"/>
      <w:r w:rsidRPr="00D574FD">
        <w:rPr>
          <w:rFonts w:ascii="Book Antiqua" w:eastAsia="宋体" w:hAnsi="Book Antiqua" w:cs="Times New Roman"/>
          <w:i/>
          <w:sz w:val="24"/>
          <w:szCs w:val="24"/>
          <w:lang w:eastAsia="zh-CN"/>
        </w:rPr>
        <w:t>Intest</w:t>
      </w:r>
      <w:proofErr w:type="spellEnd"/>
      <w:r w:rsidRPr="00D574FD">
        <w:rPr>
          <w:rFonts w:ascii="Book Antiqua" w:eastAsia="宋体" w:hAnsi="Book Antiqua" w:cs="Times New Roman"/>
          <w:sz w:val="24"/>
          <w:szCs w:val="24"/>
          <w:lang w:eastAsia="zh-CN"/>
        </w:rPr>
        <w:t xml:space="preserve"> 1968; </w:t>
      </w:r>
      <w:r w:rsidRPr="00D574FD">
        <w:rPr>
          <w:rFonts w:ascii="Book Antiqua" w:eastAsia="宋体" w:hAnsi="Book Antiqua" w:cs="Times New Roman"/>
          <w:b/>
          <w:sz w:val="24"/>
          <w:szCs w:val="24"/>
          <w:lang w:eastAsia="zh-CN"/>
        </w:rPr>
        <w:t>3</w:t>
      </w:r>
      <w:r w:rsidRPr="00D574FD">
        <w:rPr>
          <w:rFonts w:ascii="Book Antiqua" w:eastAsia="宋体" w:hAnsi="Book Antiqua" w:cs="Times New Roman"/>
          <w:sz w:val="24"/>
          <w:szCs w:val="24"/>
          <w:lang w:eastAsia="zh-CN"/>
        </w:rPr>
        <w:t>: 1539-1549</w:t>
      </w:r>
    </w:p>
    <w:p w14:paraId="1E3061EB" w14:textId="77777777" w:rsidR="004C5DF2" w:rsidRPr="00D574FD" w:rsidRDefault="004C5DF2" w:rsidP="004C5DF2">
      <w:pPr>
        <w:widowControl w:val="0"/>
        <w:spacing w:line="360" w:lineRule="auto"/>
        <w:jc w:val="both"/>
        <w:rPr>
          <w:rFonts w:ascii="Book Antiqua" w:eastAsia="宋体" w:hAnsi="Book Antiqua" w:cs="Times New Roman"/>
          <w:sz w:val="24"/>
          <w:szCs w:val="24"/>
          <w:lang w:eastAsia="zh-CN"/>
        </w:rPr>
      </w:pPr>
      <w:r w:rsidRPr="00D574FD">
        <w:rPr>
          <w:rFonts w:ascii="Book Antiqua" w:eastAsia="宋体" w:hAnsi="Book Antiqua" w:cs="Times New Roman"/>
          <w:sz w:val="24"/>
          <w:szCs w:val="24"/>
          <w:lang w:eastAsia="zh-CN"/>
        </w:rPr>
        <w:t xml:space="preserve">27 </w:t>
      </w:r>
      <w:r w:rsidRPr="00D574FD">
        <w:rPr>
          <w:rFonts w:ascii="Book Antiqua" w:eastAsia="宋体" w:hAnsi="Book Antiqua" w:cs="Times New Roman"/>
          <w:b/>
          <w:sz w:val="24"/>
          <w:szCs w:val="24"/>
          <w:lang w:eastAsia="zh-CN"/>
        </w:rPr>
        <w:t>Yamaguchi S,</w:t>
      </w:r>
      <w:r w:rsidRPr="00D574FD">
        <w:rPr>
          <w:rFonts w:ascii="Book Antiqua" w:eastAsia="宋体" w:hAnsi="Book Antiqua" w:cs="Times New Roman"/>
          <w:sz w:val="24"/>
          <w:szCs w:val="24"/>
          <w:lang w:eastAsia="zh-CN"/>
        </w:rPr>
        <w:t xml:space="preserve"> </w:t>
      </w:r>
      <w:proofErr w:type="spellStart"/>
      <w:r w:rsidRPr="00D574FD">
        <w:rPr>
          <w:rFonts w:ascii="Book Antiqua" w:eastAsia="宋体" w:hAnsi="Book Antiqua" w:cs="Times New Roman"/>
          <w:sz w:val="24"/>
          <w:szCs w:val="24"/>
          <w:lang w:eastAsia="zh-CN"/>
        </w:rPr>
        <w:t>Yanai</w:t>
      </w:r>
      <w:proofErr w:type="spellEnd"/>
      <w:r w:rsidRPr="00D574FD">
        <w:rPr>
          <w:rFonts w:ascii="Book Antiqua" w:eastAsia="宋体" w:hAnsi="Book Antiqua" w:cs="Times New Roman"/>
          <w:sz w:val="24"/>
          <w:szCs w:val="24"/>
          <w:lang w:eastAsia="zh-CN"/>
        </w:rPr>
        <w:t xml:space="preserve"> S, Nakamura S, Kawasaki K, </w:t>
      </w:r>
      <w:proofErr w:type="spellStart"/>
      <w:r w:rsidRPr="00D574FD">
        <w:rPr>
          <w:rFonts w:ascii="Book Antiqua" w:eastAsia="宋体" w:hAnsi="Book Antiqua" w:cs="Times New Roman"/>
          <w:sz w:val="24"/>
          <w:szCs w:val="24"/>
          <w:lang w:eastAsia="zh-CN"/>
        </w:rPr>
        <w:t>Eizuka</w:t>
      </w:r>
      <w:proofErr w:type="spellEnd"/>
      <w:r w:rsidRPr="00D574FD">
        <w:rPr>
          <w:rFonts w:ascii="Book Antiqua" w:eastAsia="宋体" w:hAnsi="Book Antiqua" w:cs="Times New Roman"/>
          <w:sz w:val="24"/>
          <w:szCs w:val="24"/>
          <w:lang w:eastAsia="zh-CN"/>
        </w:rPr>
        <w:t xml:space="preserve"> M, </w:t>
      </w:r>
      <w:proofErr w:type="spellStart"/>
      <w:r w:rsidRPr="00D574FD">
        <w:rPr>
          <w:rFonts w:ascii="Book Antiqua" w:eastAsia="宋体" w:hAnsi="Book Antiqua" w:cs="Times New Roman"/>
          <w:sz w:val="24"/>
          <w:szCs w:val="24"/>
          <w:lang w:eastAsia="zh-CN"/>
        </w:rPr>
        <w:t>Uesugi</w:t>
      </w:r>
      <w:proofErr w:type="spellEnd"/>
      <w:r w:rsidRPr="00D574FD">
        <w:rPr>
          <w:rFonts w:ascii="Book Antiqua" w:eastAsia="宋体" w:hAnsi="Book Antiqua" w:cs="Times New Roman"/>
          <w:sz w:val="24"/>
          <w:szCs w:val="24"/>
          <w:lang w:eastAsia="zh-CN"/>
        </w:rPr>
        <w:t xml:space="preserve"> N, </w:t>
      </w:r>
      <w:proofErr w:type="spellStart"/>
      <w:r w:rsidRPr="00D574FD">
        <w:rPr>
          <w:rFonts w:ascii="Book Antiqua" w:eastAsia="宋体" w:hAnsi="Book Antiqua" w:cs="Times New Roman"/>
          <w:sz w:val="24"/>
          <w:szCs w:val="24"/>
          <w:lang w:eastAsia="zh-CN"/>
        </w:rPr>
        <w:t>Sugai</w:t>
      </w:r>
      <w:proofErr w:type="spellEnd"/>
      <w:r w:rsidRPr="00D574FD">
        <w:rPr>
          <w:rFonts w:ascii="Book Antiqua" w:eastAsia="宋体" w:hAnsi="Book Antiqua" w:cs="Times New Roman"/>
          <w:sz w:val="24"/>
          <w:szCs w:val="24"/>
          <w:lang w:eastAsia="zh-CN"/>
        </w:rPr>
        <w:t xml:space="preserve"> T, </w:t>
      </w:r>
      <w:proofErr w:type="spellStart"/>
      <w:r w:rsidRPr="00D574FD">
        <w:rPr>
          <w:rFonts w:ascii="Book Antiqua" w:eastAsia="宋体" w:hAnsi="Book Antiqua" w:cs="Times New Roman"/>
          <w:sz w:val="24"/>
          <w:szCs w:val="24"/>
          <w:lang w:eastAsia="zh-CN"/>
        </w:rPr>
        <w:t>Umeno</w:t>
      </w:r>
      <w:proofErr w:type="spellEnd"/>
      <w:r w:rsidRPr="00D574FD">
        <w:rPr>
          <w:rFonts w:ascii="Book Antiqua" w:eastAsia="宋体" w:hAnsi="Book Antiqua" w:cs="Times New Roman"/>
          <w:sz w:val="24"/>
          <w:szCs w:val="24"/>
          <w:lang w:eastAsia="zh-CN"/>
        </w:rPr>
        <w:t xml:space="preserve"> J, Esaki M, Matsumoto T. </w:t>
      </w:r>
      <w:bookmarkStart w:id="170" w:name="OLE_LINK529"/>
      <w:bookmarkStart w:id="171" w:name="OLE_LINK530"/>
      <w:r w:rsidRPr="00D574FD">
        <w:rPr>
          <w:rFonts w:ascii="Book Antiqua" w:eastAsia="宋体" w:hAnsi="Book Antiqua" w:cs="Times New Roman"/>
          <w:sz w:val="24"/>
          <w:szCs w:val="24"/>
          <w:lang w:eastAsia="zh-CN"/>
        </w:rPr>
        <w:t>Immunohistochemical differentiation between chronic enteropathy associated with SLCO2A1 gene and other inflammatory bowel diseases.</w:t>
      </w:r>
      <w:bookmarkEnd w:id="170"/>
      <w:bookmarkEnd w:id="171"/>
      <w:r w:rsidRPr="00D574FD">
        <w:rPr>
          <w:rFonts w:ascii="Book Antiqua" w:eastAsia="宋体" w:hAnsi="Book Antiqua" w:cs="Times New Roman"/>
          <w:sz w:val="24"/>
          <w:szCs w:val="24"/>
          <w:lang w:eastAsia="zh-CN"/>
        </w:rPr>
        <w:t xml:space="preserve"> </w:t>
      </w:r>
      <w:proofErr w:type="spellStart"/>
      <w:r w:rsidRPr="00D574FD">
        <w:rPr>
          <w:rFonts w:ascii="Book Antiqua" w:eastAsia="宋体" w:hAnsi="Book Antiqua" w:cs="Times New Roman"/>
          <w:i/>
          <w:sz w:val="24"/>
          <w:szCs w:val="24"/>
          <w:lang w:eastAsia="zh-CN"/>
        </w:rPr>
        <w:t>Intest</w:t>
      </w:r>
      <w:proofErr w:type="spellEnd"/>
      <w:r w:rsidRPr="00D574FD">
        <w:rPr>
          <w:rFonts w:ascii="Book Antiqua" w:eastAsia="宋体" w:hAnsi="Book Antiqua" w:cs="Times New Roman"/>
          <w:i/>
          <w:sz w:val="24"/>
          <w:szCs w:val="24"/>
          <w:lang w:eastAsia="zh-CN"/>
        </w:rPr>
        <w:t xml:space="preserve"> Res</w:t>
      </w:r>
      <w:r w:rsidRPr="00D574FD">
        <w:rPr>
          <w:rFonts w:ascii="Book Antiqua" w:eastAsia="宋体" w:hAnsi="Book Antiqua" w:cs="Times New Roman"/>
          <w:sz w:val="24"/>
          <w:szCs w:val="24"/>
          <w:lang w:eastAsia="zh-CN"/>
        </w:rPr>
        <w:t xml:space="preserve"> 2018; </w:t>
      </w:r>
      <w:r w:rsidRPr="00D574FD">
        <w:rPr>
          <w:rFonts w:ascii="Book Antiqua" w:eastAsia="宋体" w:hAnsi="Book Antiqua" w:cs="Times New Roman"/>
          <w:b/>
          <w:sz w:val="24"/>
          <w:szCs w:val="24"/>
          <w:lang w:eastAsia="zh-CN"/>
        </w:rPr>
        <w:t>16</w:t>
      </w:r>
      <w:r w:rsidRPr="00D574FD">
        <w:rPr>
          <w:rFonts w:ascii="Book Antiqua" w:eastAsia="宋体" w:hAnsi="Book Antiqua" w:cs="Times New Roman"/>
          <w:sz w:val="24"/>
          <w:szCs w:val="24"/>
          <w:lang w:eastAsia="zh-CN"/>
        </w:rPr>
        <w:t>: 393-399</w:t>
      </w:r>
    </w:p>
    <w:p w14:paraId="41294538" w14:textId="77777777" w:rsidR="004C5DF2" w:rsidRPr="00D574FD" w:rsidRDefault="004C5DF2" w:rsidP="004C5DF2">
      <w:pPr>
        <w:widowControl w:val="0"/>
        <w:spacing w:line="360" w:lineRule="auto"/>
        <w:jc w:val="both"/>
        <w:rPr>
          <w:rFonts w:ascii="Book Antiqua" w:eastAsia="宋体" w:hAnsi="Book Antiqua" w:cs="Times New Roman"/>
          <w:sz w:val="24"/>
          <w:szCs w:val="24"/>
          <w:lang w:eastAsia="zh-CN"/>
        </w:rPr>
      </w:pPr>
      <w:r w:rsidRPr="00D574FD">
        <w:rPr>
          <w:rFonts w:ascii="Book Antiqua" w:eastAsia="宋体" w:hAnsi="Book Antiqua" w:cs="Times New Roman"/>
          <w:sz w:val="24"/>
          <w:szCs w:val="24"/>
          <w:lang w:eastAsia="zh-CN"/>
        </w:rPr>
        <w:t xml:space="preserve">28 </w:t>
      </w:r>
      <w:proofErr w:type="spellStart"/>
      <w:r w:rsidRPr="00D574FD">
        <w:rPr>
          <w:rFonts w:ascii="Book Antiqua" w:eastAsia="宋体" w:hAnsi="Book Antiqua" w:cs="Times New Roman"/>
          <w:b/>
          <w:sz w:val="24"/>
          <w:szCs w:val="24"/>
          <w:lang w:eastAsia="zh-CN"/>
        </w:rPr>
        <w:t>Yanai</w:t>
      </w:r>
      <w:proofErr w:type="spellEnd"/>
      <w:r w:rsidRPr="00D574FD">
        <w:rPr>
          <w:rFonts w:ascii="Book Antiqua" w:eastAsia="宋体" w:hAnsi="Book Antiqua" w:cs="Times New Roman"/>
          <w:b/>
          <w:sz w:val="24"/>
          <w:szCs w:val="24"/>
          <w:lang w:eastAsia="zh-CN"/>
        </w:rPr>
        <w:t xml:space="preserve"> S,</w:t>
      </w:r>
      <w:r w:rsidRPr="00D574FD">
        <w:rPr>
          <w:rFonts w:ascii="Book Antiqua" w:eastAsia="宋体" w:hAnsi="Book Antiqua" w:cs="Times New Roman"/>
          <w:sz w:val="24"/>
          <w:szCs w:val="24"/>
          <w:lang w:eastAsia="zh-CN"/>
        </w:rPr>
        <w:t xml:space="preserve"> Yamaguchi S, Nakamura S, Kawasaki K, Toya Y, Yamada N, </w:t>
      </w:r>
      <w:proofErr w:type="spellStart"/>
      <w:r w:rsidRPr="00D574FD">
        <w:rPr>
          <w:rFonts w:ascii="Book Antiqua" w:eastAsia="宋体" w:hAnsi="Book Antiqua" w:cs="Times New Roman"/>
          <w:sz w:val="24"/>
          <w:szCs w:val="24"/>
          <w:lang w:eastAsia="zh-CN"/>
        </w:rPr>
        <w:t>Eizuka</w:t>
      </w:r>
      <w:proofErr w:type="spellEnd"/>
      <w:r w:rsidRPr="00D574FD">
        <w:rPr>
          <w:rFonts w:ascii="Book Antiqua" w:eastAsia="宋体" w:hAnsi="Book Antiqua" w:cs="Times New Roman"/>
          <w:sz w:val="24"/>
          <w:szCs w:val="24"/>
          <w:lang w:eastAsia="zh-CN"/>
        </w:rPr>
        <w:t xml:space="preserve"> M, </w:t>
      </w:r>
      <w:proofErr w:type="spellStart"/>
      <w:r w:rsidRPr="00D574FD">
        <w:rPr>
          <w:rFonts w:ascii="Book Antiqua" w:eastAsia="宋体" w:hAnsi="Book Antiqua" w:cs="Times New Roman"/>
          <w:sz w:val="24"/>
          <w:szCs w:val="24"/>
          <w:lang w:eastAsia="zh-CN"/>
        </w:rPr>
        <w:t>Uesugi</w:t>
      </w:r>
      <w:proofErr w:type="spellEnd"/>
      <w:r w:rsidRPr="00D574FD">
        <w:rPr>
          <w:rFonts w:ascii="Book Antiqua" w:eastAsia="宋体" w:hAnsi="Book Antiqua" w:cs="Times New Roman"/>
          <w:sz w:val="24"/>
          <w:szCs w:val="24"/>
          <w:lang w:eastAsia="zh-CN"/>
        </w:rPr>
        <w:t xml:space="preserve"> N, </w:t>
      </w:r>
      <w:proofErr w:type="spellStart"/>
      <w:r w:rsidRPr="00D574FD">
        <w:rPr>
          <w:rFonts w:ascii="Book Antiqua" w:eastAsia="宋体" w:hAnsi="Book Antiqua" w:cs="Times New Roman"/>
          <w:sz w:val="24"/>
          <w:szCs w:val="24"/>
          <w:lang w:eastAsia="zh-CN"/>
        </w:rPr>
        <w:t>Umeno</w:t>
      </w:r>
      <w:proofErr w:type="spellEnd"/>
      <w:r w:rsidRPr="00D574FD">
        <w:rPr>
          <w:rFonts w:ascii="Book Antiqua" w:eastAsia="宋体" w:hAnsi="Book Antiqua" w:cs="Times New Roman"/>
          <w:sz w:val="24"/>
          <w:szCs w:val="24"/>
          <w:lang w:eastAsia="zh-CN"/>
        </w:rPr>
        <w:t xml:space="preserve"> J, Esaki M, </w:t>
      </w:r>
      <w:proofErr w:type="spellStart"/>
      <w:r w:rsidRPr="00D574FD">
        <w:rPr>
          <w:rFonts w:ascii="Book Antiqua" w:eastAsia="宋体" w:hAnsi="Book Antiqua" w:cs="Times New Roman"/>
          <w:sz w:val="24"/>
          <w:szCs w:val="24"/>
          <w:lang w:eastAsia="zh-CN"/>
        </w:rPr>
        <w:t>Okimoto</w:t>
      </w:r>
      <w:proofErr w:type="spellEnd"/>
      <w:r w:rsidRPr="00D574FD">
        <w:rPr>
          <w:rFonts w:ascii="Book Antiqua" w:eastAsia="宋体" w:hAnsi="Book Antiqua" w:cs="Times New Roman"/>
          <w:sz w:val="24"/>
          <w:szCs w:val="24"/>
          <w:lang w:eastAsia="zh-CN"/>
        </w:rPr>
        <w:t xml:space="preserve"> E, Ishihara S, </w:t>
      </w:r>
      <w:proofErr w:type="spellStart"/>
      <w:r w:rsidRPr="00D574FD">
        <w:rPr>
          <w:rFonts w:ascii="Book Antiqua" w:eastAsia="宋体" w:hAnsi="Book Antiqua" w:cs="Times New Roman"/>
          <w:sz w:val="24"/>
          <w:szCs w:val="24"/>
          <w:lang w:eastAsia="zh-CN"/>
        </w:rPr>
        <w:t>Sugai</w:t>
      </w:r>
      <w:proofErr w:type="spellEnd"/>
      <w:r w:rsidRPr="00D574FD">
        <w:rPr>
          <w:rFonts w:ascii="Book Antiqua" w:eastAsia="宋体" w:hAnsi="Book Antiqua" w:cs="Times New Roman"/>
          <w:sz w:val="24"/>
          <w:szCs w:val="24"/>
          <w:lang w:eastAsia="zh-CN"/>
        </w:rPr>
        <w:t xml:space="preserve"> T, Matsumoto T. Distinction of Chronic Enteropathy associated with SLCO2A1 Gene from Crohn’s Disease. </w:t>
      </w:r>
      <w:r w:rsidRPr="00D574FD">
        <w:rPr>
          <w:rFonts w:ascii="Book Antiqua" w:eastAsia="宋体" w:hAnsi="Book Antiqua" w:cs="Times New Roman"/>
          <w:i/>
          <w:sz w:val="24"/>
          <w:szCs w:val="24"/>
          <w:lang w:eastAsia="zh-CN"/>
        </w:rPr>
        <w:t>Gut Liver</w:t>
      </w:r>
      <w:r w:rsidRPr="00D574FD">
        <w:rPr>
          <w:rFonts w:ascii="Book Antiqua" w:eastAsia="宋体" w:hAnsi="Book Antiqua" w:cs="Times New Roman"/>
          <w:sz w:val="24"/>
          <w:szCs w:val="24"/>
          <w:lang w:eastAsia="zh-CN"/>
        </w:rPr>
        <w:t xml:space="preserve"> 2018; </w:t>
      </w:r>
      <w:r w:rsidRPr="00D574FD">
        <w:rPr>
          <w:rFonts w:ascii="Book Antiqua" w:eastAsia="宋体" w:hAnsi="Book Antiqua" w:cs="Times New Roman"/>
          <w:b/>
          <w:sz w:val="24"/>
          <w:szCs w:val="24"/>
          <w:lang w:eastAsia="zh-CN"/>
        </w:rPr>
        <w:t>13</w:t>
      </w:r>
      <w:r w:rsidRPr="00D574FD">
        <w:rPr>
          <w:rFonts w:ascii="Book Antiqua" w:eastAsia="宋体" w:hAnsi="Book Antiqua" w:cs="Times New Roman"/>
          <w:sz w:val="24"/>
          <w:szCs w:val="24"/>
          <w:lang w:eastAsia="zh-CN"/>
        </w:rPr>
        <w:t>: 62-66</w:t>
      </w:r>
    </w:p>
    <w:p w14:paraId="67514ECE"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D574FD">
        <w:rPr>
          <w:rFonts w:ascii="Book Antiqua" w:eastAsia="宋体" w:hAnsi="Book Antiqua" w:cs="Times New Roman"/>
          <w:sz w:val="24"/>
          <w:szCs w:val="24"/>
          <w:lang w:eastAsia="zh-CN"/>
        </w:rPr>
        <w:t xml:space="preserve">29 </w:t>
      </w:r>
      <w:r w:rsidRPr="00D574FD">
        <w:rPr>
          <w:rFonts w:ascii="Book Antiqua" w:eastAsia="宋体" w:hAnsi="Book Antiqua" w:cs="Times New Roman"/>
          <w:b/>
          <w:sz w:val="24"/>
          <w:szCs w:val="24"/>
          <w:lang w:eastAsia="zh-CN"/>
        </w:rPr>
        <w:t>Jabr S</w:t>
      </w:r>
      <w:r w:rsidRPr="00D574FD">
        <w:rPr>
          <w:rFonts w:ascii="Book Antiqua" w:eastAsia="宋体" w:hAnsi="Book Antiqua" w:cs="Times New Roman"/>
          <w:sz w:val="24"/>
          <w:szCs w:val="24"/>
          <w:lang w:eastAsia="zh-CN"/>
        </w:rPr>
        <w:t>, Gartner S, Milne GL, Roca-Ferrer J, Casas J, Moreno</w:t>
      </w:r>
      <w:r w:rsidRPr="00706E08">
        <w:rPr>
          <w:rFonts w:ascii="Book Antiqua" w:eastAsia="宋体" w:hAnsi="Book Antiqua" w:cs="Times New Roman"/>
          <w:sz w:val="24"/>
          <w:szCs w:val="24"/>
          <w:lang w:eastAsia="zh-CN"/>
        </w:rPr>
        <w:t xml:space="preserve"> A, </w:t>
      </w:r>
      <w:proofErr w:type="spellStart"/>
      <w:r w:rsidRPr="00706E08">
        <w:rPr>
          <w:rFonts w:ascii="Book Antiqua" w:eastAsia="宋体" w:hAnsi="Book Antiqua" w:cs="Times New Roman"/>
          <w:sz w:val="24"/>
          <w:szCs w:val="24"/>
          <w:lang w:eastAsia="zh-CN"/>
        </w:rPr>
        <w:t>Gelpí</w:t>
      </w:r>
      <w:proofErr w:type="spellEnd"/>
      <w:r w:rsidRPr="00706E08">
        <w:rPr>
          <w:rFonts w:ascii="Book Antiqua" w:eastAsia="宋体" w:hAnsi="Book Antiqua" w:cs="Times New Roman"/>
          <w:sz w:val="24"/>
          <w:szCs w:val="24"/>
          <w:lang w:eastAsia="zh-CN"/>
        </w:rPr>
        <w:t xml:space="preserve"> E, Picado C. Quantification of major urinary metabolites of PGE2 and PGD2 in cystic fibrosis: Correlation with disease severity. </w:t>
      </w:r>
      <w:r w:rsidRPr="00706E08">
        <w:rPr>
          <w:rFonts w:ascii="Book Antiqua" w:eastAsia="宋体" w:hAnsi="Book Antiqua" w:cs="Times New Roman"/>
          <w:i/>
          <w:sz w:val="24"/>
          <w:szCs w:val="24"/>
          <w:lang w:eastAsia="zh-CN"/>
        </w:rPr>
        <w:t xml:space="preserve">Prostaglandins </w:t>
      </w:r>
      <w:proofErr w:type="spellStart"/>
      <w:r w:rsidRPr="00706E08">
        <w:rPr>
          <w:rFonts w:ascii="Book Antiqua" w:eastAsia="宋体" w:hAnsi="Book Antiqua" w:cs="Times New Roman"/>
          <w:i/>
          <w:sz w:val="24"/>
          <w:szCs w:val="24"/>
          <w:lang w:eastAsia="zh-CN"/>
        </w:rPr>
        <w:t>Leukot</w:t>
      </w:r>
      <w:proofErr w:type="spellEnd"/>
      <w:r w:rsidRPr="00706E08">
        <w:rPr>
          <w:rFonts w:ascii="Book Antiqua" w:eastAsia="宋体" w:hAnsi="Book Antiqua" w:cs="Times New Roman"/>
          <w:i/>
          <w:sz w:val="24"/>
          <w:szCs w:val="24"/>
          <w:lang w:eastAsia="zh-CN"/>
        </w:rPr>
        <w:t xml:space="preserve"> Essent Fatty Acids</w:t>
      </w:r>
      <w:r w:rsidRPr="00706E08">
        <w:rPr>
          <w:rFonts w:ascii="Book Antiqua" w:eastAsia="宋体" w:hAnsi="Book Antiqua" w:cs="Times New Roman"/>
          <w:sz w:val="24"/>
          <w:szCs w:val="24"/>
          <w:lang w:eastAsia="zh-CN"/>
        </w:rPr>
        <w:t xml:space="preserve"> 2013; </w:t>
      </w:r>
      <w:r w:rsidRPr="00706E08">
        <w:rPr>
          <w:rFonts w:ascii="Book Antiqua" w:eastAsia="宋体" w:hAnsi="Book Antiqua" w:cs="Times New Roman"/>
          <w:b/>
          <w:sz w:val="24"/>
          <w:szCs w:val="24"/>
          <w:lang w:eastAsia="zh-CN"/>
        </w:rPr>
        <w:t>89</w:t>
      </w:r>
      <w:r w:rsidRPr="00706E08">
        <w:rPr>
          <w:rFonts w:ascii="Book Antiqua" w:eastAsia="宋体" w:hAnsi="Book Antiqua" w:cs="Times New Roman"/>
          <w:sz w:val="24"/>
          <w:szCs w:val="24"/>
          <w:lang w:eastAsia="zh-CN"/>
        </w:rPr>
        <w:t>: 121-126 [PMID: 23791427 DOI: 10.1016/j.plefa.2013.06.001]</w:t>
      </w:r>
    </w:p>
    <w:p w14:paraId="35493065"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30 </w:t>
      </w:r>
      <w:r w:rsidRPr="00706E08">
        <w:rPr>
          <w:rFonts w:ascii="Book Antiqua" w:eastAsia="宋体" w:hAnsi="Book Antiqua" w:cs="Times New Roman"/>
          <w:b/>
          <w:sz w:val="24"/>
          <w:szCs w:val="24"/>
          <w:lang w:eastAsia="zh-CN"/>
        </w:rPr>
        <w:t>Arai Y</w:t>
      </w:r>
      <w:r w:rsidRPr="00706E08">
        <w:rPr>
          <w:rFonts w:ascii="Book Antiqua" w:eastAsia="宋体" w:hAnsi="Book Antiqua" w:cs="Times New Roman"/>
          <w:sz w:val="24"/>
          <w:szCs w:val="24"/>
          <w:lang w:eastAsia="zh-CN"/>
        </w:rPr>
        <w:t xml:space="preserve">, </w:t>
      </w:r>
      <w:proofErr w:type="spellStart"/>
      <w:r w:rsidRPr="00706E08">
        <w:rPr>
          <w:rFonts w:ascii="Book Antiqua" w:eastAsia="宋体" w:hAnsi="Book Antiqua" w:cs="Times New Roman"/>
          <w:sz w:val="24"/>
          <w:szCs w:val="24"/>
          <w:lang w:eastAsia="zh-CN"/>
        </w:rPr>
        <w:t>Arihiro</w:t>
      </w:r>
      <w:proofErr w:type="spellEnd"/>
      <w:r w:rsidRPr="00706E08">
        <w:rPr>
          <w:rFonts w:ascii="Book Antiqua" w:eastAsia="宋体" w:hAnsi="Book Antiqua" w:cs="Times New Roman"/>
          <w:sz w:val="24"/>
          <w:szCs w:val="24"/>
          <w:lang w:eastAsia="zh-CN"/>
        </w:rPr>
        <w:t xml:space="preserve"> S, Matsuura T, Kato T, Matsuoka M, Saruta M, </w:t>
      </w:r>
      <w:proofErr w:type="spellStart"/>
      <w:r w:rsidRPr="00706E08">
        <w:rPr>
          <w:rFonts w:ascii="Book Antiqua" w:eastAsia="宋体" w:hAnsi="Book Antiqua" w:cs="Times New Roman"/>
          <w:sz w:val="24"/>
          <w:szCs w:val="24"/>
          <w:lang w:eastAsia="zh-CN"/>
        </w:rPr>
        <w:t>Mitsunaga</w:t>
      </w:r>
      <w:proofErr w:type="spellEnd"/>
      <w:r w:rsidRPr="00706E08">
        <w:rPr>
          <w:rFonts w:ascii="Book Antiqua" w:eastAsia="宋体" w:hAnsi="Book Antiqua" w:cs="Times New Roman"/>
          <w:sz w:val="24"/>
          <w:szCs w:val="24"/>
          <w:lang w:eastAsia="zh-CN"/>
        </w:rPr>
        <w:t xml:space="preserve"> M, Matsuura M, Fujiwara M, Okayasu I, Ito S, Tajiri H. Prostaglandin E-major urinary metabolite as a reliable surrogate marker for mucosal inflammation in ulcerative colitis. </w:t>
      </w:r>
      <w:proofErr w:type="spellStart"/>
      <w:r w:rsidRPr="00706E08">
        <w:rPr>
          <w:rFonts w:ascii="Book Antiqua" w:eastAsia="宋体" w:hAnsi="Book Antiqua" w:cs="Times New Roman"/>
          <w:i/>
          <w:sz w:val="24"/>
          <w:szCs w:val="24"/>
          <w:lang w:eastAsia="zh-CN"/>
        </w:rPr>
        <w:t>Inflamm</w:t>
      </w:r>
      <w:proofErr w:type="spellEnd"/>
      <w:r w:rsidRPr="00706E08">
        <w:rPr>
          <w:rFonts w:ascii="Book Antiqua" w:eastAsia="宋体" w:hAnsi="Book Antiqua" w:cs="Times New Roman"/>
          <w:i/>
          <w:sz w:val="24"/>
          <w:szCs w:val="24"/>
          <w:lang w:eastAsia="zh-CN"/>
        </w:rPr>
        <w:t xml:space="preserve"> Bowel Dis</w:t>
      </w:r>
      <w:r w:rsidRPr="00706E08">
        <w:rPr>
          <w:rFonts w:ascii="Book Antiqua" w:eastAsia="宋体" w:hAnsi="Book Antiqua" w:cs="Times New Roman"/>
          <w:sz w:val="24"/>
          <w:szCs w:val="24"/>
          <w:lang w:eastAsia="zh-CN"/>
        </w:rPr>
        <w:t xml:space="preserve"> 2014; </w:t>
      </w:r>
      <w:r w:rsidRPr="00706E08">
        <w:rPr>
          <w:rFonts w:ascii="Book Antiqua" w:eastAsia="宋体" w:hAnsi="Book Antiqua" w:cs="Times New Roman"/>
          <w:b/>
          <w:sz w:val="24"/>
          <w:szCs w:val="24"/>
          <w:lang w:eastAsia="zh-CN"/>
        </w:rPr>
        <w:t>20</w:t>
      </w:r>
      <w:r w:rsidRPr="00706E08">
        <w:rPr>
          <w:rFonts w:ascii="Book Antiqua" w:eastAsia="宋体" w:hAnsi="Book Antiqua" w:cs="Times New Roman"/>
          <w:sz w:val="24"/>
          <w:szCs w:val="24"/>
          <w:lang w:eastAsia="zh-CN"/>
        </w:rPr>
        <w:t>: 1208-1216 [PMID: 24846719 DOI: 10.1097/MIB.0000000000000062]</w:t>
      </w:r>
    </w:p>
    <w:p w14:paraId="53D25A52"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31 </w:t>
      </w:r>
      <w:r w:rsidRPr="00706E08">
        <w:rPr>
          <w:rFonts w:ascii="Book Antiqua" w:eastAsia="宋体" w:hAnsi="Book Antiqua" w:cs="Times New Roman"/>
          <w:b/>
          <w:sz w:val="24"/>
          <w:szCs w:val="24"/>
          <w:lang w:eastAsia="zh-CN"/>
        </w:rPr>
        <w:t>Arai Y</w:t>
      </w:r>
      <w:r w:rsidRPr="00706E08">
        <w:rPr>
          <w:rFonts w:ascii="Book Antiqua" w:eastAsia="宋体" w:hAnsi="Book Antiqua" w:cs="Times New Roman"/>
          <w:sz w:val="24"/>
          <w:szCs w:val="24"/>
          <w:lang w:eastAsia="zh-CN"/>
        </w:rPr>
        <w:t xml:space="preserve">, Matsuura T, Matsuura M, Fujiwara M, Okayasu I, Ito S, </w:t>
      </w:r>
      <w:proofErr w:type="spellStart"/>
      <w:r w:rsidRPr="00706E08">
        <w:rPr>
          <w:rFonts w:ascii="Book Antiqua" w:eastAsia="宋体" w:hAnsi="Book Antiqua" w:cs="Times New Roman"/>
          <w:sz w:val="24"/>
          <w:szCs w:val="24"/>
          <w:lang w:eastAsia="zh-CN"/>
        </w:rPr>
        <w:t>Arihiro</w:t>
      </w:r>
      <w:proofErr w:type="spellEnd"/>
      <w:r w:rsidRPr="00706E08">
        <w:rPr>
          <w:rFonts w:ascii="Book Antiqua" w:eastAsia="宋体" w:hAnsi="Book Antiqua" w:cs="Times New Roman"/>
          <w:sz w:val="24"/>
          <w:szCs w:val="24"/>
          <w:lang w:eastAsia="zh-CN"/>
        </w:rPr>
        <w:t xml:space="preserve"> S. Prostaglandin E-Major Urinary Metabolite as a Biomarker for Inflammation in Ulcerative Colitis: Prostaglandins Revisited. </w:t>
      </w:r>
      <w:r w:rsidRPr="00706E08">
        <w:rPr>
          <w:rFonts w:ascii="Book Antiqua" w:eastAsia="宋体" w:hAnsi="Book Antiqua" w:cs="Times New Roman"/>
          <w:i/>
          <w:sz w:val="24"/>
          <w:szCs w:val="24"/>
          <w:lang w:eastAsia="zh-CN"/>
        </w:rPr>
        <w:t>Digestion</w:t>
      </w:r>
      <w:r w:rsidRPr="00706E08">
        <w:rPr>
          <w:rFonts w:ascii="Book Antiqua" w:eastAsia="宋体" w:hAnsi="Book Antiqua" w:cs="Times New Roman"/>
          <w:sz w:val="24"/>
          <w:szCs w:val="24"/>
          <w:lang w:eastAsia="zh-CN"/>
        </w:rPr>
        <w:t xml:space="preserve"> 2016; </w:t>
      </w:r>
      <w:r w:rsidRPr="00706E08">
        <w:rPr>
          <w:rFonts w:ascii="Book Antiqua" w:eastAsia="宋体" w:hAnsi="Book Antiqua" w:cs="Times New Roman"/>
          <w:b/>
          <w:sz w:val="24"/>
          <w:szCs w:val="24"/>
          <w:lang w:eastAsia="zh-CN"/>
        </w:rPr>
        <w:t>93</w:t>
      </w:r>
      <w:r w:rsidRPr="00706E08">
        <w:rPr>
          <w:rFonts w:ascii="Book Antiqua" w:eastAsia="宋体" w:hAnsi="Book Antiqua" w:cs="Times New Roman"/>
          <w:sz w:val="24"/>
          <w:szCs w:val="24"/>
          <w:lang w:eastAsia="zh-CN"/>
        </w:rPr>
        <w:t>: 32-39 [PMID: 26788915 DOI: 10.1159/000441665]</w:t>
      </w:r>
    </w:p>
    <w:p w14:paraId="47DFEE81"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32 </w:t>
      </w:r>
      <w:r w:rsidRPr="00706E08">
        <w:rPr>
          <w:rFonts w:ascii="Book Antiqua" w:eastAsia="宋体" w:hAnsi="Book Antiqua" w:cs="Times New Roman"/>
          <w:b/>
          <w:sz w:val="24"/>
          <w:szCs w:val="24"/>
          <w:lang w:eastAsia="zh-CN"/>
        </w:rPr>
        <w:t>Johnson JC</w:t>
      </w:r>
      <w:r w:rsidRPr="00706E08">
        <w:rPr>
          <w:rFonts w:ascii="Book Antiqua" w:eastAsia="宋体" w:hAnsi="Book Antiqua" w:cs="Times New Roman"/>
          <w:sz w:val="24"/>
          <w:szCs w:val="24"/>
          <w:lang w:eastAsia="zh-CN"/>
        </w:rPr>
        <w:t xml:space="preserve">, Schmidt CR, </w:t>
      </w:r>
      <w:proofErr w:type="spellStart"/>
      <w:r w:rsidRPr="00706E08">
        <w:rPr>
          <w:rFonts w:ascii="Book Antiqua" w:eastAsia="宋体" w:hAnsi="Book Antiqua" w:cs="Times New Roman"/>
          <w:sz w:val="24"/>
          <w:szCs w:val="24"/>
          <w:lang w:eastAsia="zh-CN"/>
        </w:rPr>
        <w:t>Shrubsole</w:t>
      </w:r>
      <w:proofErr w:type="spellEnd"/>
      <w:r w:rsidRPr="00706E08">
        <w:rPr>
          <w:rFonts w:ascii="Book Antiqua" w:eastAsia="宋体" w:hAnsi="Book Antiqua" w:cs="Times New Roman"/>
          <w:sz w:val="24"/>
          <w:szCs w:val="24"/>
          <w:lang w:eastAsia="zh-CN"/>
        </w:rPr>
        <w:t xml:space="preserve"> MJ, </w:t>
      </w:r>
      <w:proofErr w:type="spellStart"/>
      <w:r w:rsidRPr="00706E08">
        <w:rPr>
          <w:rFonts w:ascii="Book Antiqua" w:eastAsia="宋体" w:hAnsi="Book Antiqua" w:cs="Times New Roman"/>
          <w:sz w:val="24"/>
          <w:szCs w:val="24"/>
          <w:lang w:eastAsia="zh-CN"/>
        </w:rPr>
        <w:t>Billheimer</w:t>
      </w:r>
      <w:proofErr w:type="spellEnd"/>
      <w:r w:rsidRPr="00706E08">
        <w:rPr>
          <w:rFonts w:ascii="Book Antiqua" w:eastAsia="宋体" w:hAnsi="Book Antiqua" w:cs="Times New Roman"/>
          <w:sz w:val="24"/>
          <w:szCs w:val="24"/>
          <w:lang w:eastAsia="zh-CN"/>
        </w:rPr>
        <w:t xml:space="preserve"> DD, Joshi PR, Morrow JD, </w:t>
      </w:r>
      <w:proofErr w:type="spellStart"/>
      <w:r w:rsidRPr="00706E08">
        <w:rPr>
          <w:rFonts w:ascii="Book Antiqua" w:eastAsia="宋体" w:hAnsi="Book Antiqua" w:cs="Times New Roman"/>
          <w:sz w:val="24"/>
          <w:szCs w:val="24"/>
          <w:lang w:eastAsia="zh-CN"/>
        </w:rPr>
        <w:lastRenderedPageBreak/>
        <w:t>Heslin</w:t>
      </w:r>
      <w:proofErr w:type="spellEnd"/>
      <w:r w:rsidRPr="00706E08">
        <w:rPr>
          <w:rFonts w:ascii="Book Antiqua" w:eastAsia="宋体" w:hAnsi="Book Antiqua" w:cs="Times New Roman"/>
          <w:sz w:val="24"/>
          <w:szCs w:val="24"/>
          <w:lang w:eastAsia="zh-CN"/>
        </w:rPr>
        <w:t xml:space="preserve"> MJ, Washington MK, Ness RM, Zheng W, Schwartz DA, Coffey RJ, Beauchamp RD, Merchant NB. Urine PGE-M: A metabolite of prostaglandin E2 as a potential biomarker of advanced colorectal neoplasia. </w:t>
      </w:r>
      <w:r w:rsidRPr="00706E08">
        <w:rPr>
          <w:rFonts w:ascii="Book Antiqua" w:eastAsia="宋体" w:hAnsi="Book Antiqua" w:cs="Times New Roman"/>
          <w:i/>
          <w:sz w:val="24"/>
          <w:szCs w:val="24"/>
          <w:lang w:eastAsia="zh-CN"/>
        </w:rPr>
        <w:t xml:space="preserve">Clin Gastroenterol </w:t>
      </w:r>
      <w:proofErr w:type="spellStart"/>
      <w:r w:rsidRPr="00706E08">
        <w:rPr>
          <w:rFonts w:ascii="Book Antiqua" w:eastAsia="宋体" w:hAnsi="Book Antiqua" w:cs="Times New Roman"/>
          <w:i/>
          <w:sz w:val="24"/>
          <w:szCs w:val="24"/>
          <w:lang w:eastAsia="zh-CN"/>
        </w:rPr>
        <w:t>Hepatol</w:t>
      </w:r>
      <w:proofErr w:type="spellEnd"/>
      <w:r w:rsidRPr="00706E08">
        <w:rPr>
          <w:rFonts w:ascii="Book Antiqua" w:eastAsia="宋体" w:hAnsi="Book Antiqua" w:cs="Times New Roman"/>
          <w:sz w:val="24"/>
          <w:szCs w:val="24"/>
          <w:lang w:eastAsia="zh-CN"/>
        </w:rPr>
        <w:t xml:space="preserve"> 2006; </w:t>
      </w:r>
      <w:r w:rsidRPr="00706E08">
        <w:rPr>
          <w:rFonts w:ascii="Book Antiqua" w:eastAsia="宋体" w:hAnsi="Book Antiqua" w:cs="Times New Roman"/>
          <w:b/>
          <w:sz w:val="24"/>
          <w:szCs w:val="24"/>
          <w:lang w:eastAsia="zh-CN"/>
        </w:rPr>
        <w:t>4</w:t>
      </w:r>
      <w:r w:rsidRPr="00706E08">
        <w:rPr>
          <w:rFonts w:ascii="Book Antiqua" w:eastAsia="宋体" w:hAnsi="Book Antiqua" w:cs="Times New Roman"/>
          <w:sz w:val="24"/>
          <w:szCs w:val="24"/>
          <w:lang w:eastAsia="zh-CN"/>
        </w:rPr>
        <w:t>: 1358-1365 [PMID: 16996805 DOI: 10.1016/j.cgh.2006.07.015]</w:t>
      </w:r>
    </w:p>
    <w:p w14:paraId="74CDA839"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33 </w:t>
      </w:r>
      <w:r w:rsidRPr="00706E08">
        <w:rPr>
          <w:rFonts w:ascii="Book Antiqua" w:eastAsia="宋体" w:hAnsi="Book Antiqua" w:cs="Times New Roman"/>
          <w:b/>
          <w:sz w:val="24"/>
          <w:szCs w:val="24"/>
          <w:lang w:eastAsia="zh-CN"/>
        </w:rPr>
        <w:t>Otani T</w:t>
      </w:r>
      <w:r w:rsidRPr="00706E08">
        <w:rPr>
          <w:rFonts w:ascii="Book Antiqua" w:eastAsia="宋体" w:hAnsi="Book Antiqua" w:cs="Times New Roman"/>
          <w:sz w:val="24"/>
          <w:szCs w:val="24"/>
          <w:lang w:eastAsia="zh-CN"/>
        </w:rPr>
        <w:t xml:space="preserve">, Yamaguchi K, </w:t>
      </w:r>
      <w:proofErr w:type="spellStart"/>
      <w:r w:rsidRPr="00706E08">
        <w:rPr>
          <w:rFonts w:ascii="Book Antiqua" w:eastAsia="宋体" w:hAnsi="Book Antiqua" w:cs="Times New Roman"/>
          <w:sz w:val="24"/>
          <w:szCs w:val="24"/>
          <w:lang w:eastAsia="zh-CN"/>
        </w:rPr>
        <w:t>Scherl</w:t>
      </w:r>
      <w:proofErr w:type="spellEnd"/>
      <w:r w:rsidRPr="00706E08">
        <w:rPr>
          <w:rFonts w:ascii="Book Antiqua" w:eastAsia="宋体" w:hAnsi="Book Antiqua" w:cs="Times New Roman"/>
          <w:sz w:val="24"/>
          <w:szCs w:val="24"/>
          <w:lang w:eastAsia="zh-CN"/>
        </w:rPr>
        <w:t xml:space="preserve"> E, Du B, Tai HH, </w:t>
      </w:r>
      <w:proofErr w:type="spellStart"/>
      <w:r w:rsidRPr="00706E08">
        <w:rPr>
          <w:rFonts w:ascii="Book Antiqua" w:eastAsia="宋体" w:hAnsi="Book Antiqua" w:cs="Times New Roman"/>
          <w:sz w:val="24"/>
          <w:szCs w:val="24"/>
          <w:lang w:eastAsia="zh-CN"/>
        </w:rPr>
        <w:t>Greifer</w:t>
      </w:r>
      <w:proofErr w:type="spellEnd"/>
      <w:r w:rsidRPr="00706E08">
        <w:rPr>
          <w:rFonts w:ascii="Book Antiqua" w:eastAsia="宋体" w:hAnsi="Book Antiqua" w:cs="Times New Roman"/>
          <w:sz w:val="24"/>
          <w:szCs w:val="24"/>
          <w:lang w:eastAsia="zh-CN"/>
        </w:rPr>
        <w:t xml:space="preserve"> M, </w:t>
      </w:r>
      <w:proofErr w:type="spellStart"/>
      <w:r w:rsidRPr="00706E08">
        <w:rPr>
          <w:rFonts w:ascii="Book Antiqua" w:eastAsia="宋体" w:hAnsi="Book Antiqua" w:cs="Times New Roman"/>
          <w:sz w:val="24"/>
          <w:szCs w:val="24"/>
          <w:lang w:eastAsia="zh-CN"/>
        </w:rPr>
        <w:t>Petrovic</w:t>
      </w:r>
      <w:proofErr w:type="spellEnd"/>
      <w:r w:rsidRPr="00706E08">
        <w:rPr>
          <w:rFonts w:ascii="Book Antiqua" w:eastAsia="宋体" w:hAnsi="Book Antiqua" w:cs="Times New Roman"/>
          <w:sz w:val="24"/>
          <w:szCs w:val="24"/>
          <w:lang w:eastAsia="zh-CN"/>
        </w:rPr>
        <w:t xml:space="preserve"> L, </w:t>
      </w:r>
      <w:proofErr w:type="spellStart"/>
      <w:r w:rsidRPr="00706E08">
        <w:rPr>
          <w:rFonts w:ascii="Book Antiqua" w:eastAsia="宋体" w:hAnsi="Book Antiqua" w:cs="Times New Roman"/>
          <w:sz w:val="24"/>
          <w:szCs w:val="24"/>
          <w:lang w:eastAsia="zh-CN"/>
        </w:rPr>
        <w:t>Daikoku</w:t>
      </w:r>
      <w:proofErr w:type="spellEnd"/>
      <w:r w:rsidRPr="00706E08">
        <w:rPr>
          <w:rFonts w:ascii="Book Antiqua" w:eastAsia="宋体" w:hAnsi="Book Antiqua" w:cs="Times New Roman"/>
          <w:sz w:val="24"/>
          <w:szCs w:val="24"/>
          <w:lang w:eastAsia="zh-CN"/>
        </w:rPr>
        <w:t xml:space="preserve"> T, Dey SK, </w:t>
      </w:r>
      <w:proofErr w:type="spellStart"/>
      <w:r w:rsidRPr="00706E08">
        <w:rPr>
          <w:rFonts w:ascii="Book Antiqua" w:eastAsia="宋体" w:hAnsi="Book Antiqua" w:cs="Times New Roman"/>
          <w:sz w:val="24"/>
          <w:szCs w:val="24"/>
          <w:lang w:eastAsia="zh-CN"/>
        </w:rPr>
        <w:t>Subbaramaiah</w:t>
      </w:r>
      <w:proofErr w:type="spellEnd"/>
      <w:r w:rsidRPr="00706E08">
        <w:rPr>
          <w:rFonts w:ascii="Book Antiqua" w:eastAsia="宋体" w:hAnsi="Book Antiqua" w:cs="Times New Roman"/>
          <w:sz w:val="24"/>
          <w:szCs w:val="24"/>
          <w:lang w:eastAsia="zh-CN"/>
        </w:rPr>
        <w:t xml:space="preserve"> K, Dannenberg AJ. Levels of </w:t>
      </w:r>
      <w:proofErr w:type="gramStart"/>
      <w:r w:rsidRPr="00706E08">
        <w:rPr>
          <w:rFonts w:ascii="Book Antiqua" w:eastAsia="宋体" w:hAnsi="Book Antiqua" w:cs="Times New Roman"/>
          <w:sz w:val="24"/>
          <w:szCs w:val="24"/>
          <w:lang w:eastAsia="zh-CN"/>
        </w:rPr>
        <w:t>NAD(</w:t>
      </w:r>
      <w:proofErr w:type="gramEnd"/>
      <w:r w:rsidRPr="00706E08">
        <w:rPr>
          <w:rFonts w:ascii="Book Antiqua" w:eastAsia="宋体" w:hAnsi="Book Antiqua" w:cs="Times New Roman"/>
          <w:sz w:val="24"/>
          <w:szCs w:val="24"/>
          <w:lang w:eastAsia="zh-CN"/>
        </w:rPr>
        <w:t xml:space="preserve">+)-dependent 15-hydroxyprostaglandin dehydrogenase are reduced in inflammatory bowel disease: Evidence for involvement of TNF-alpha. </w:t>
      </w:r>
      <w:r w:rsidRPr="00706E08">
        <w:rPr>
          <w:rFonts w:ascii="Book Antiqua" w:eastAsia="宋体" w:hAnsi="Book Antiqua" w:cs="Times New Roman"/>
          <w:i/>
          <w:sz w:val="24"/>
          <w:szCs w:val="24"/>
          <w:lang w:eastAsia="zh-CN"/>
        </w:rPr>
        <w:t xml:space="preserve">Am J </w:t>
      </w:r>
      <w:proofErr w:type="spellStart"/>
      <w:r w:rsidRPr="00706E08">
        <w:rPr>
          <w:rFonts w:ascii="Book Antiqua" w:eastAsia="宋体" w:hAnsi="Book Antiqua" w:cs="Times New Roman"/>
          <w:i/>
          <w:sz w:val="24"/>
          <w:szCs w:val="24"/>
          <w:lang w:eastAsia="zh-CN"/>
        </w:rPr>
        <w:t>Physiol</w:t>
      </w:r>
      <w:proofErr w:type="spellEnd"/>
      <w:r w:rsidRPr="00706E08">
        <w:rPr>
          <w:rFonts w:ascii="Book Antiqua" w:eastAsia="宋体" w:hAnsi="Book Antiqua" w:cs="Times New Roman"/>
          <w:i/>
          <w:sz w:val="24"/>
          <w:szCs w:val="24"/>
          <w:lang w:eastAsia="zh-CN"/>
        </w:rPr>
        <w:t xml:space="preserve"> </w:t>
      </w:r>
      <w:proofErr w:type="spellStart"/>
      <w:r w:rsidRPr="00706E08">
        <w:rPr>
          <w:rFonts w:ascii="Book Antiqua" w:eastAsia="宋体" w:hAnsi="Book Antiqua" w:cs="Times New Roman"/>
          <w:i/>
          <w:sz w:val="24"/>
          <w:szCs w:val="24"/>
          <w:lang w:eastAsia="zh-CN"/>
        </w:rPr>
        <w:t>Gastrointest</w:t>
      </w:r>
      <w:proofErr w:type="spellEnd"/>
      <w:r w:rsidRPr="00706E08">
        <w:rPr>
          <w:rFonts w:ascii="Book Antiqua" w:eastAsia="宋体" w:hAnsi="Book Antiqua" w:cs="Times New Roman"/>
          <w:i/>
          <w:sz w:val="24"/>
          <w:szCs w:val="24"/>
          <w:lang w:eastAsia="zh-CN"/>
        </w:rPr>
        <w:t xml:space="preserve"> Liver </w:t>
      </w:r>
      <w:proofErr w:type="spellStart"/>
      <w:r w:rsidRPr="00706E08">
        <w:rPr>
          <w:rFonts w:ascii="Book Antiqua" w:eastAsia="宋体" w:hAnsi="Book Antiqua" w:cs="Times New Roman"/>
          <w:i/>
          <w:sz w:val="24"/>
          <w:szCs w:val="24"/>
          <w:lang w:eastAsia="zh-CN"/>
        </w:rPr>
        <w:t>Physiol</w:t>
      </w:r>
      <w:proofErr w:type="spellEnd"/>
      <w:r w:rsidRPr="00706E08">
        <w:rPr>
          <w:rFonts w:ascii="Book Antiqua" w:eastAsia="宋体" w:hAnsi="Book Antiqua" w:cs="Times New Roman"/>
          <w:sz w:val="24"/>
          <w:szCs w:val="24"/>
          <w:lang w:eastAsia="zh-CN"/>
        </w:rPr>
        <w:t xml:space="preserve"> 2006; </w:t>
      </w:r>
      <w:r w:rsidRPr="00706E08">
        <w:rPr>
          <w:rFonts w:ascii="Book Antiqua" w:eastAsia="宋体" w:hAnsi="Book Antiqua" w:cs="Times New Roman"/>
          <w:b/>
          <w:sz w:val="24"/>
          <w:szCs w:val="24"/>
          <w:lang w:eastAsia="zh-CN"/>
        </w:rPr>
        <w:t>290</w:t>
      </w:r>
      <w:r w:rsidRPr="00706E08">
        <w:rPr>
          <w:rFonts w:ascii="Book Antiqua" w:eastAsia="宋体" w:hAnsi="Book Antiqua" w:cs="Times New Roman"/>
          <w:sz w:val="24"/>
          <w:szCs w:val="24"/>
          <w:lang w:eastAsia="zh-CN"/>
        </w:rPr>
        <w:t>: G361-G368 [PMID: 16195422 DOI: 10.1152/ajpgi.00348.2005]</w:t>
      </w:r>
    </w:p>
    <w:p w14:paraId="10BB78FD"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34 </w:t>
      </w:r>
      <w:proofErr w:type="spellStart"/>
      <w:r w:rsidRPr="00706E08">
        <w:rPr>
          <w:rFonts w:ascii="Book Antiqua" w:eastAsia="宋体" w:hAnsi="Book Antiqua" w:cs="Times New Roman"/>
          <w:b/>
          <w:sz w:val="24"/>
          <w:szCs w:val="24"/>
          <w:lang w:eastAsia="zh-CN"/>
        </w:rPr>
        <w:t>Hatazawa</w:t>
      </w:r>
      <w:proofErr w:type="spellEnd"/>
      <w:r w:rsidRPr="00706E08">
        <w:rPr>
          <w:rFonts w:ascii="Book Antiqua" w:eastAsia="宋体" w:hAnsi="Book Antiqua" w:cs="Times New Roman"/>
          <w:b/>
          <w:sz w:val="24"/>
          <w:szCs w:val="24"/>
          <w:lang w:eastAsia="zh-CN"/>
        </w:rPr>
        <w:t xml:space="preserve"> R</w:t>
      </w:r>
      <w:r w:rsidRPr="00706E08">
        <w:rPr>
          <w:rFonts w:ascii="Book Antiqua" w:eastAsia="宋体" w:hAnsi="Book Antiqua" w:cs="Times New Roman"/>
          <w:sz w:val="24"/>
          <w:szCs w:val="24"/>
          <w:lang w:eastAsia="zh-CN"/>
        </w:rPr>
        <w:t xml:space="preserve">, Ohno R, </w:t>
      </w:r>
      <w:proofErr w:type="spellStart"/>
      <w:r w:rsidRPr="00706E08">
        <w:rPr>
          <w:rFonts w:ascii="Book Antiqua" w:eastAsia="宋体" w:hAnsi="Book Antiqua" w:cs="Times New Roman"/>
          <w:sz w:val="24"/>
          <w:szCs w:val="24"/>
          <w:lang w:eastAsia="zh-CN"/>
        </w:rPr>
        <w:t>Tanigami</w:t>
      </w:r>
      <w:proofErr w:type="spellEnd"/>
      <w:r w:rsidRPr="00706E08">
        <w:rPr>
          <w:rFonts w:ascii="Book Antiqua" w:eastAsia="宋体" w:hAnsi="Book Antiqua" w:cs="Times New Roman"/>
          <w:sz w:val="24"/>
          <w:szCs w:val="24"/>
          <w:lang w:eastAsia="zh-CN"/>
        </w:rPr>
        <w:t xml:space="preserve"> M, Tanaka A, Takeuchi K. Roles of endogenous prostaglandins and cyclooxygenase isozymes in healing of indomethacin-induced small intestinal lesions in rats. </w:t>
      </w:r>
      <w:r w:rsidRPr="00706E08">
        <w:rPr>
          <w:rFonts w:ascii="Book Antiqua" w:eastAsia="宋体" w:hAnsi="Book Antiqua" w:cs="Times New Roman"/>
          <w:i/>
          <w:sz w:val="24"/>
          <w:szCs w:val="24"/>
          <w:lang w:eastAsia="zh-CN"/>
        </w:rPr>
        <w:t xml:space="preserve">J </w:t>
      </w:r>
      <w:proofErr w:type="spellStart"/>
      <w:r w:rsidRPr="00706E08">
        <w:rPr>
          <w:rFonts w:ascii="Book Antiqua" w:eastAsia="宋体" w:hAnsi="Book Antiqua" w:cs="Times New Roman"/>
          <w:i/>
          <w:sz w:val="24"/>
          <w:szCs w:val="24"/>
          <w:lang w:eastAsia="zh-CN"/>
        </w:rPr>
        <w:t>Pharmacol</w:t>
      </w:r>
      <w:proofErr w:type="spellEnd"/>
      <w:r w:rsidRPr="00706E08">
        <w:rPr>
          <w:rFonts w:ascii="Book Antiqua" w:eastAsia="宋体" w:hAnsi="Book Antiqua" w:cs="Times New Roman"/>
          <w:i/>
          <w:sz w:val="24"/>
          <w:szCs w:val="24"/>
          <w:lang w:eastAsia="zh-CN"/>
        </w:rPr>
        <w:t xml:space="preserve"> Exp </w:t>
      </w:r>
      <w:proofErr w:type="spellStart"/>
      <w:r w:rsidRPr="00706E08">
        <w:rPr>
          <w:rFonts w:ascii="Book Antiqua" w:eastAsia="宋体" w:hAnsi="Book Antiqua" w:cs="Times New Roman"/>
          <w:i/>
          <w:sz w:val="24"/>
          <w:szCs w:val="24"/>
          <w:lang w:eastAsia="zh-CN"/>
        </w:rPr>
        <w:t>Ther</w:t>
      </w:r>
      <w:proofErr w:type="spellEnd"/>
      <w:r w:rsidRPr="00706E08">
        <w:rPr>
          <w:rFonts w:ascii="Book Antiqua" w:eastAsia="宋体" w:hAnsi="Book Antiqua" w:cs="Times New Roman"/>
          <w:sz w:val="24"/>
          <w:szCs w:val="24"/>
          <w:lang w:eastAsia="zh-CN"/>
        </w:rPr>
        <w:t xml:space="preserve"> 2006; </w:t>
      </w:r>
      <w:r w:rsidRPr="00706E08">
        <w:rPr>
          <w:rFonts w:ascii="Book Antiqua" w:eastAsia="宋体" w:hAnsi="Book Antiqua" w:cs="Times New Roman"/>
          <w:b/>
          <w:sz w:val="24"/>
          <w:szCs w:val="24"/>
          <w:lang w:eastAsia="zh-CN"/>
        </w:rPr>
        <w:t>318</w:t>
      </w:r>
      <w:r w:rsidRPr="00706E08">
        <w:rPr>
          <w:rFonts w:ascii="Book Antiqua" w:eastAsia="宋体" w:hAnsi="Book Antiqua" w:cs="Times New Roman"/>
          <w:sz w:val="24"/>
          <w:szCs w:val="24"/>
          <w:lang w:eastAsia="zh-CN"/>
        </w:rPr>
        <w:t>: 691-699 [PMID: 16699067 DOI: 10.1124/jpet.106.103994]</w:t>
      </w:r>
    </w:p>
    <w:p w14:paraId="031D3324"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35 </w:t>
      </w:r>
      <w:r w:rsidRPr="00706E08">
        <w:rPr>
          <w:rFonts w:ascii="Book Antiqua" w:eastAsia="宋体" w:hAnsi="Book Antiqua" w:cs="Times New Roman"/>
          <w:b/>
          <w:sz w:val="24"/>
          <w:szCs w:val="24"/>
          <w:lang w:eastAsia="zh-CN"/>
        </w:rPr>
        <w:t>Takeuchi K</w:t>
      </w:r>
      <w:r w:rsidRPr="00706E08">
        <w:rPr>
          <w:rFonts w:ascii="Book Antiqua" w:eastAsia="宋体" w:hAnsi="Book Antiqua" w:cs="Times New Roman"/>
          <w:sz w:val="24"/>
          <w:szCs w:val="24"/>
          <w:lang w:eastAsia="zh-CN"/>
        </w:rPr>
        <w:t xml:space="preserve">, Kato S, </w:t>
      </w:r>
      <w:proofErr w:type="spellStart"/>
      <w:r w:rsidRPr="00706E08">
        <w:rPr>
          <w:rFonts w:ascii="Book Antiqua" w:eastAsia="宋体" w:hAnsi="Book Antiqua" w:cs="Times New Roman"/>
          <w:sz w:val="24"/>
          <w:szCs w:val="24"/>
          <w:lang w:eastAsia="zh-CN"/>
        </w:rPr>
        <w:t>Amagase</w:t>
      </w:r>
      <w:proofErr w:type="spellEnd"/>
      <w:r w:rsidRPr="00706E08">
        <w:rPr>
          <w:rFonts w:ascii="Book Antiqua" w:eastAsia="宋体" w:hAnsi="Book Antiqua" w:cs="Times New Roman"/>
          <w:sz w:val="24"/>
          <w:szCs w:val="24"/>
          <w:lang w:eastAsia="zh-CN"/>
        </w:rPr>
        <w:t xml:space="preserve"> K. </w:t>
      </w:r>
      <w:bookmarkStart w:id="172" w:name="OLE_LINK515"/>
      <w:bookmarkStart w:id="173" w:name="OLE_LINK516"/>
      <w:r w:rsidRPr="00706E08">
        <w:rPr>
          <w:rFonts w:ascii="Book Antiqua" w:eastAsia="宋体" w:hAnsi="Book Antiqua" w:cs="Times New Roman"/>
          <w:sz w:val="24"/>
          <w:szCs w:val="24"/>
          <w:lang w:eastAsia="zh-CN"/>
        </w:rPr>
        <w:t>Prostaglandin EP receptors involved in modulating gastrointestinal mucosal integrity.</w:t>
      </w:r>
      <w:bookmarkEnd w:id="172"/>
      <w:bookmarkEnd w:id="173"/>
      <w:r w:rsidRPr="00706E08">
        <w:rPr>
          <w:rFonts w:ascii="Book Antiqua" w:eastAsia="宋体" w:hAnsi="Book Antiqua" w:cs="Times New Roman"/>
          <w:sz w:val="24"/>
          <w:szCs w:val="24"/>
          <w:lang w:eastAsia="zh-CN"/>
        </w:rPr>
        <w:t xml:space="preserve"> </w:t>
      </w:r>
      <w:r w:rsidRPr="00706E08">
        <w:rPr>
          <w:rFonts w:ascii="Book Antiqua" w:eastAsia="宋体" w:hAnsi="Book Antiqua" w:cs="Times New Roman"/>
          <w:i/>
          <w:sz w:val="24"/>
          <w:szCs w:val="24"/>
          <w:lang w:eastAsia="zh-CN"/>
        </w:rPr>
        <w:t xml:space="preserve">J </w:t>
      </w:r>
      <w:proofErr w:type="spellStart"/>
      <w:r w:rsidRPr="00706E08">
        <w:rPr>
          <w:rFonts w:ascii="Book Antiqua" w:eastAsia="宋体" w:hAnsi="Book Antiqua" w:cs="Times New Roman"/>
          <w:i/>
          <w:sz w:val="24"/>
          <w:szCs w:val="24"/>
          <w:lang w:eastAsia="zh-CN"/>
        </w:rPr>
        <w:t>Pharmacol</w:t>
      </w:r>
      <w:proofErr w:type="spellEnd"/>
      <w:r w:rsidRPr="00706E08">
        <w:rPr>
          <w:rFonts w:ascii="Book Antiqua" w:eastAsia="宋体" w:hAnsi="Book Antiqua" w:cs="Times New Roman"/>
          <w:i/>
          <w:sz w:val="24"/>
          <w:szCs w:val="24"/>
          <w:lang w:eastAsia="zh-CN"/>
        </w:rPr>
        <w:t xml:space="preserve"> Sci</w:t>
      </w:r>
      <w:r w:rsidRPr="00706E08">
        <w:rPr>
          <w:rFonts w:ascii="Book Antiqua" w:eastAsia="宋体" w:hAnsi="Book Antiqua" w:cs="Times New Roman"/>
          <w:sz w:val="24"/>
          <w:szCs w:val="24"/>
          <w:lang w:eastAsia="zh-CN"/>
        </w:rPr>
        <w:t xml:space="preserve"> 2010; </w:t>
      </w:r>
      <w:r w:rsidRPr="00706E08">
        <w:rPr>
          <w:rFonts w:ascii="Book Antiqua" w:eastAsia="宋体" w:hAnsi="Book Antiqua" w:cs="Times New Roman"/>
          <w:b/>
          <w:sz w:val="24"/>
          <w:szCs w:val="24"/>
          <w:lang w:eastAsia="zh-CN"/>
        </w:rPr>
        <w:t>114</w:t>
      </w:r>
      <w:r w:rsidRPr="00706E08">
        <w:rPr>
          <w:rFonts w:ascii="Book Antiqua" w:eastAsia="宋体" w:hAnsi="Book Antiqua" w:cs="Times New Roman"/>
          <w:sz w:val="24"/>
          <w:szCs w:val="24"/>
          <w:lang w:eastAsia="zh-CN"/>
        </w:rPr>
        <w:t>: 248-261 [PMID: 21041985 DOI: 10.1254/jphs.10R06CR]</w:t>
      </w:r>
    </w:p>
    <w:p w14:paraId="123FAC85"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36 </w:t>
      </w:r>
      <w:proofErr w:type="spellStart"/>
      <w:r w:rsidRPr="00706E08">
        <w:rPr>
          <w:rFonts w:ascii="Book Antiqua" w:eastAsia="宋体" w:hAnsi="Book Antiqua" w:cs="Times New Roman"/>
          <w:b/>
          <w:sz w:val="24"/>
          <w:szCs w:val="24"/>
          <w:lang w:eastAsia="zh-CN"/>
        </w:rPr>
        <w:t>Kunikata</w:t>
      </w:r>
      <w:proofErr w:type="spellEnd"/>
      <w:r w:rsidRPr="00706E08">
        <w:rPr>
          <w:rFonts w:ascii="Book Antiqua" w:eastAsia="宋体" w:hAnsi="Book Antiqua" w:cs="Times New Roman"/>
          <w:b/>
          <w:sz w:val="24"/>
          <w:szCs w:val="24"/>
          <w:lang w:eastAsia="zh-CN"/>
        </w:rPr>
        <w:t xml:space="preserve"> T</w:t>
      </w:r>
      <w:r w:rsidRPr="00706E08">
        <w:rPr>
          <w:rFonts w:ascii="Book Antiqua" w:eastAsia="宋体" w:hAnsi="Book Antiqua" w:cs="Times New Roman"/>
          <w:sz w:val="24"/>
          <w:szCs w:val="24"/>
          <w:lang w:eastAsia="zh-CN"/>
        </w:rPr>
        <w:t xml:space="preserve">, Tanaka A, Miyazawa T, Kato S, Takeuchi K. </w:t>
      </w:r>
      <w:bookmarkStart w:id="174" w:name="OLE_LINK517"/>
      <w:bookmarkStart w:id="175" w:name="OLE_LINK518"/>
      <w:r w:rsidRPr="00706E08">
        <w:rPr>
          <w:rFonts w:ascii="Book Antiqua" w:eastAsia="宋体" w:hAnsi="Book Antiqua" w:cs="Times New Roman"/>
          <w:sz w:val="24"/>
          <w:szCs w:val="24"/>
          <w:lang w:eastAsia="zh-CN"/>
        </w:rPr>
        <w:t>16,16-Dimethyl prostaglandin E2 inhibits indomethacin-induced small intestinal lesions through EP3 and EP4 receptors.</w:t>
      </w:r>
      <w:bookmarkEnd w:id="174"/>
      <w:bookmarkEnd w:id="175"/>
      <w:r w:rsidRPr="00706E08">
        <w:rPr>
          <w:rFonts w:ascii="Book Antiqua" w:eastAsia="宋体" w:hAnsi="Book Antiqua" w:cs="Times New Roman"/>
          <w:sz w:val="24"/>
          <w:szCs w:val="24"/>
          <w:lang w:eastAsia="zh-CN"/>
        </w:rPr>
        <w:t xml:space="preserve"> </w:t>
      </w:r>
      <w:r w:rsidRPr="00706E08">
        <w:rPr>
          <w:rFonts w:ascii="Book Antiqua" w:eastAsia="宋体" w:hAnsi="Book Antiqua" w:cs="Times New Roman"/>
          <w:i/>
          <w:sz w:val="24"/>
          <w:szCs w:val="24"/>
          <w:lang w:eastAsia="zh-CN"/>
        </w:rPr>
        <w:t>Dig Dis Sci</w:t>
      </w:r>
      <w:r w:rsidRPr="00706E08">
        <w:rPr>
          <w:rFonts w:ascii="Book Antiqua" w:eastAsia="宋体" w:hAnsi="Book Antiqua" w:cs="Times New Roman"/>
          <w:sz w:val="24"/>
          <w:szCs w:val="24"/>
          <w:lang w:eastAsia="zh-CN"/>
        </w:rPr>
        <w:t xml:space="preserve"> 2002; </w:t>
      </w:r>
      <w:r w:rsidRPr="00706E08">
        <w:rPr>
          <w:rFonts w:ascii="Book Antiqua" w:eastAsia="宋体" w:hAnsi="Book Antiqua" w:cs="Times New Roman"/>
          <w:b/>
          <w:sz w:val="24"/>
          <w:szCs w:val="24"/>
          <w:lang w:eastAsia="zh-CN"/>
        </w:rPr>
        <w:t>47</w:t>
      </w:r>
      <w:r w:rsidRPr="00706E08">
        <w:rPr>
          <w:rFonts w:ascii="Book Antiqua" w:eastAsia="宋体" w:hAnsi="Book Antiqua" w:cs="Times New Roman"/>
          <w:sz w:val="24"/>
          <w:szCs w:val="24"/>
          <w:lang w:eastAsia="zh-CN"/>
        </w:rPr>
        <w:t>: 894-904 [PMID: 11991626 DOI: 10.1023/A:1014725024519]</w:t>
      </w:r>
    </w:p>
    <w:p w14:paraId="2FCA25E3"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37 </w:t>
      </w:r>
      <w:r w:rsidRPr="00706E08">
        <w:rPr>
          <w:rFonts w:ascii="Book Antiqua" w:eastAsia="宋体" w:hAnsi="Book Antiqua" w:cs="Times New Roman"/>
          <w:b/>
          <w:sz w:val="24"/>
          <w:szCs w:val="24"/>
          <w:lang w:eastAsia="zh-CN"/>
        </w:rPr>
        <w:t>Uppal S</w:t>
      </w:r>
      <w:r w:rsidRPr="00706E08">
        <w:rPr>
          <w:rFonts w:ascii="Book Antiqua" w:eastAsia="宋体" w:hAnsi="Book Antiqua" w:cs="Times New Roman"/>
          <w:sz w:val="24"/>
          <w:szCs w:val="24"/>
          <w:lang w:eastAsia="zh-CN"/>
        </w:rPr>
        <w:t xml:space="preserve">, Diggle CP, </w:t>
      </w:r>
      <w:proofErr w:type="spellStart"/>
      <w:r w:rsidRPr="00706E08">
        <w:rPr>
          <w:rFonts w:ascii="Book Antiqua" w:eastAsia="宋体" w:hAnsi="Book Antiqua" w:cs="Times New Roman"/>
          <w:sz w:val="24"/>
          <w:szCs w:val="24"/>
          <w:lang w:eastAsia="zh-CN"/>
        </w:rPr>
        <w:t>Carr</w:t>
      </w:r>
      <w:proofErr w:type="spellEnd"/>
      <w:r w:rsidRPr="00706E08">
        <w:rPr>
          <w:rFonts w:ascii="Book Antiqua" w:eastAsia="宋体" w:hAnsi="Book Antiqua" w:cs="Times New Roman"/>
          <w:sz w:val="24"/>
          <w:szCs w:val="24"/>
          <w:lang w:eastAsia="zh-CN"/>
        </w:rPr>
        <w:t xml:space="preserve"> IM, Fishwick CW, Ahmed M, Ibrahim GH, Helliwell PS, Latos-</w:t>
      </w:r>
      <w:proofErr w:type="spellStart"/>
      <w:r w:rsidRPr="00706E08">
        <w:rPr>
          <w:rFonts w:ascii="Book Antiqua" w:eastAsia="宋体" w:hAnsi="Book Antiqua" w:cs="Times New Roman"/>
          <w:sz w:val="24"/>
          <w:szCs w:val="24"/>
          <w:lang w:eastAsia="zh-CN"/>
        </w:rPr>
        <w:t>Bieleńska</w:t>
      </w:r>
      <w:proofErr w:type="spellEnd"/>
      <w:r w:rsidRPr="00706E08">
        <w:rPr>
          <w:rFonts w:ascii="Book Antiqua" w:eastAsia="宋体" w:hAnsi="Book Antiqua" w:cs="Times New Roman"/>
          <w:sz w:val="24"/>
          <w:szCs w:val="24"/>
          <w:lang w:eastAsia="zh-CN"/>
        </w:rPr>
        <w:t xml:space="preserve"> A, Phillips SE, Markham AF, Bennett CP, </w:t>
      </w:r>
      <w:proofErr w:type="spellStart"/>
      <w:r w:rsidRPr="00706E08">
        <w:rPr>
          <w:rFonts w:ascii="Book Antiqua" w:eastAsia="宋体" w:hAnsi="Book Antiqua" w:cs="Times New Roman"/>
          <w:sz w:val="24"/>
          <w:szCs w:val="24"/>
          <w:lang w:eastAsia="zh-CN"/>
        </w:rPr>
        <w:t>Bonthron</w:t>
      </w:r>
      <w:proofErr w:type="spellEnd"/>
      <w:r w:rsidRPr="00706E08">
        <w:rPr>
          <w:rFonts w:ascii="Book Antiqua" w:eastAsia="宋体" w:hAnsi="Book Antiqua" w:cs="Times New Roman"/>
          <w:sz w:val="24"/>
          <w:szCs w:val="24"/>
          <w:lang w:eastAsia="zh-CN"/>
        </w:rPr>
        <w:t xml:space="preserve"> DT. Mutations in 15-hydroxyprostaglandin dehydrogenase cause primary hypertrophic osteoarthropathy. </w:t>
      </w:r>
      <w:r w:rsidRPr="00706E08">
        <w:rPr>
          <w:rFonts w:ascii="Book Antiqua" w:eastAsia="宋体" w:hAnsi="Book Antiqua" w:cs="Times New Roman"/>
          <w:i/>
          <w:sz w:val="24"/>
          <w:szCs w:val="24"/>
          <w:lang w:eastAsia="zh-CN"/>
        </w:rPr>
        <w:t>Nat Genet</w:t>
      </w:r>
      <w:r w:rsidRPr="00706E08">
        <w:rPr>
          <w:rFonts w:ascii="Book Antiqua" w:eastAsia="宋体" w:hAnsi="Book Antiqua" w:cs="Times New Roman"/>
          <w:sz w:val="24"/>
          <w:szCs w:val="24"/>
          <w:lang w:eastAsia="zh-CN"/>
        </w:rPr>
        <w:t xml:space="preserve"> 2008; </w:t>
      </w:r>
      <w:r w:rsidRPr="00706E08">
        <w:rPr>
          <w:rFonts w:ascii="Book Antiqua" w:eastAsia="宋体" w:hAnsi="Book Antiqua" w:cs="Times New Roman"/>
          <w:b/>
          <w:sz w:val="24"/>
          <w:szCs w:val="24"/>
          <w:lang w:eastAsia="zh-CN"/>
        </w:rPr>
        <w:t>40</w:t>
      </w:r>
      <w:r w:rsidRPr="00706E08">
        <w:rPr>
          <w:rFonts w:ascii="Book Antiqua" w:eastAsia="宋体" w:hAnsi="Book Antiqua" w:cs="Times New Roman"/>
          <w:sz w:val="24"/>
          <w:szCs w:val="24"/>
          <w:lang w:eastAsia="zh-CN"/>
        </w:rPr>
        <w:t>: 789-793 [PMID: 18500342 DOI: 10.1038/ng.153]</w:t>
      </w:r>
    </w:p>
    <w:p w14:paraId="791C4F73"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38 </w:t>
      </w:r>
      <w:r w:rsidRPr="00706E08">
        <w:rPr>
          <w:rFonts w:ascii="Book Antiqua" w:eastAsia="宋体" w:hAnsi="Book Antiqua" w:cs="Times New Roman"/>
          <w:b/>
          <w:sz w:val="24"/>
          <w:szCs w:val="24"/>
          <w:lang w:eastAsia="zh-CN"/>
        </w:rPr>
        <w:t>Nakanishi T</w:t>
      </w:r>
      <w:r w:rsidRPr="00706E08">
        <w:rPr>
          <w:rFonts w:ascii="Book Antiqua" w:eastAsia="宋体" w:hAnsi="Book Antiqua" w:cs="Times New Roman"/>
          <w:sz w:val="24"/>
          <w:szCs w:val="24"/>
          <w:lang w:eastAsia="zh-CN"/>
        </w:rPr>
        <w:t xml:space="preserve">, Tamai I. Roles of Organic Anion Transporting Polypeptide 2A1 (OATP2A1/SLCO2A1) in Regulating the Pathophysiological Actions of Prostaglandins. </w:t>
      </w:r>
      <w:r w:rsidRPr="00706E08">
        <w:rPr>
          <w:rFonts w:ascii="Book Antiqua" w:eastAsia="宋体" w:hAnsi="Book Antiqua" w:cs="Times New Roman"/>
          <w:i/>
          <w:sz w:val="24"/>
          <w:szCs w:val="24"/>
          <w:lang w:eastAsia="zh-CN"/>
        </w:rPr>
        <w:t>AAPS J</w:t>
      </w:r>
      <w:r w:rsidRPr="00706E08">
        <w:rPr>
          <w:rFonts w:ascii="Book Antiqua" w:eastAsia="宋体" w:hAnsi="Book Antiqua" w:cs="Times New Roman"/>
          <w:sz w:val="24"/>
          <w:szCs w:val="24"/>
          <w:lang w:eastAsia="zh-CN"/>
        </w:rPr>
        <w:t xml:space="preserve"> 2017; </w:t>
      </w:r>
      <w:r w:rsidRPr="00706E08">
        <w:rPr>
          <w:rFonts w:ascii="Book Antiqua" w:eastAsia="宋体" w:hAnsi="Book Antiqua" w:cs="Times New Roman"/>
          <w:b/>
          <w:sz w:val="24"/>
          <w:szCs w:val="24"/>
          <w:lang w:eastAsia="zh-CN"/>
        </w:rPr>
        <w:t>20</w:t>
      </w:r>
      <w:r w:rsidRPr="00706E08">
        <w:rPr>
          <w:rFonts w:ascii="Book Antiqua" w:eastAsia="宋体" w:hAnsi="Book Antiqua" w:cs="Times New Roman"/>
          <w:sz w:val="24"/>
          <w:szCs w:val="24"/>
          <w:lang w:eastAsia="zh-CN"/>
        </w:rPr>
        <w:t>: 13 [PMID: 29204966 DOI: 10.1208/s12248-017-0163-</w:t>
      </w:r>
      <w:r w:rsidRPr="00706E08">
        <w:rPr>
          <w:rFonts w:ascii="Book Antiqua" w:eastAsia="宋体" w:hAnsi="Book Antiqua" w:cs="Times New Roman"/>
          <w:sz w:val="24"/>
          <w:szCs w:val="24"/>
          <w:lang w:eastAsia="zh-CN"/>
        </w:rPr>
        <w:lastRenderedPageBreak/>
        <w:t>8]</w:t>
      </w:r>
    </w:p>
    <w:p w14:paraId="4E20F4C0"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39 </w:t>
      </w:r>
      <w:r w:rsidRPr="00706E08">
        <w:rPr>
          <w:rFonts w:ascii="Book Antiqua" w:eastAsia="宋体" w:hAnsi="Book Antiqua" w:cs="Times New Roman"/>
          <w:b/>
          <w:sz w:val="24"/>
          <w:szCs w:val="24"/>
          <w:lang w:eastAsia="zh-CN"/>
        </w:rPr>
        <w:t>Kanai N</w:t>
      </w:r>
      <w:r w:rsidRPr="00706E08">
        <w:rPr>
          <w:rFonts w:ascii="Book Antiqua" w:eastAsia="宋体" w:hAnsi="Book Antiqua" w:cs="Times New Roman"/>
          <w:sz w:val="24"/>
          <w:szCs w:val="24"/>
          <w:lang w:eastAsia="zh-CN"/>
        </w:rPr>
        <w:t xml:space="preserve">, Lu R, </w:t>
      </w:r>
      <w:proofErr w:type="spellStart"/>
      <w:r w:rsidRPr="00706E08">
        <w:rPr>
          <w:rFonts w:ascii="Book Antiqua" w:eastAsia="宋体" w:hAnsi="Book Antiqua" w:cs="Times New Roman"/>
          <w:sz w:val="24"/>
          <w:szCs w:val="24"/>
          <w:lang w:eastAsia="zh-CN"/>
        </w:rPr>
        <w:t>Satriano</w:t>
      </w:r>
      <w:proofErr w:type="spellEnd"/>
      <w:r w:rsidRPr="00706E08">
        <w:rPr>
          <w:rFonts w:ascii="Book Antiqua" w:eastAsia="宋体" w:hAnsi="Book Antiqua" w:cs="Times New Roman"/>
          <w:sz w:val="24"/>
          <w:szCs w:val="24"/>
          <w:lang w:eastAsia="zh-CN"/>
        </w:rPr>
        <w:t xml:space="preserve"> JA, Bao Y, </w:t>
      </w:r>
      <w:proofErr w:type="spellStart"/>
      <w:r w:rsidRPr="00706E08">
        <w:rPr>
          <w:rFonts w:ascii="Book Antiqua" w:eastAsia="宋体" w:hAnsi="Book Antiqua" w:cs="Times New Roman"/>
          <w:sz w:val="24"/>
          <w:szCs w:val="24"/>
          <w:lang w:eastAsia="zh-CN"/>
        </w:rPr>
        <w:t>Wolkoff</w:t>
      </w:r>
      <w:proofErr w:type="spellEnd"/>
      <w:r w:rsidRPr="00706E08">
        <w:rPr>
          <w:rFonts w:ascii="Book Antiqua" w:eastAsia="宋体" w:hAnsi="Book Antiqua" w:cs="Times New Roman"/>
          <w:sz w:val="24"/>
          <w:szCs w:val="24"/>
          <w:lang w:eastAsia="zh-CN"/>
        </w:rPr>
        <w:t xml:space="preserve"> AW, Schuster VL. </w:t>
      </w:r>
      <w:bookmarkStart w:id="176" w:name="OLE_LINK519"/>
      <w:bookmarkStart w:id="177" w:name="OLE_LINK520"/>
      <w:r w:rsidRPr="00706E08">
        <w:rPr>
          <w:rFonts w:ascii="Book Antiqua" w:eastAsia="宋体" w:hAnsi="Book Antiqua" w:cs="Times New Roman"/>
          <w:sz w:val="24"/>
          <w:szCs w:val="24"/>
          <w:lang w:eastAsia="zh-CN"/>
        </w:rPr>
        <w:t xml:space="preserve">Identification and characterization of a prostaglandin transporter. </w:t>
      </w:r>
      <w:bookmarkEnd w:id="176"/>
      <w:bookmarkEnd w:id="177"/>
      <w:r w:rsidRPr="00706E08">
        <w:rPr>
          <w:rFonts w:ascii="Book Antiqua" w:eastAsia="宋体" w:hAnsi="Book Antiqua" w:cs="Times New Roman"/>
          <w:i/>
          <w:sz w:val="24"/>
          <w:szCs w:val="24"/>
          <w:lang w:eastAsia="zh-CN"/>
        </w:rPr>
        <w:t>Science</w:t>
      </w:r>
      <w:r w:rsidRPr="00706E08">
        <w:rPr>
          <w:rFonts w:ascii="Book Antiqua" w:eastAsia="宋体" w:hAnsi="Book Antiqua" w:cs="Times New Roman"/>
          <w:sz w:val="24"/>
          <w:szCs w:val="24"/>
          <w:lang w:eastAsia="zh-CN"/>
        </w:rPr>
        <w:t xml:space="preserve"> 1995; </w:t>
      </w:r>
      <w:r w:rsidRPr="00706E08">
        <w:rPr>
          <w:rFonts w:ascii="Book Antiqua" w:eastAsia="宋体" w:hAnsi="Book Antiqua" w:cs="Times New Roman"/>
          <w:b/>
          <w:sz w:val="24"/>
          <w:szCs w:val="24"/>
          <w:lang w:eastAsia="zh-CN"/>
        </w:rPr>
        <w:t>268</w:t>
      </w:r>
      <w:r w:rsidRPr="00706E08">
        <w:rPr>
          <w:rFonts w:ascii="Book Antiqua" w:eastAsia="宋体" w:hAnsi="Book Antiqua" w:cs="Times New Roman"/>
          <w:sz w:val="24"/>
          <w:szCs w:val="24"/>
          <w:lang w:eastAsia="zh-CN"/>
        </w:rPr>
        <w:t>: 866-869 [PMID: 7754369 DOI: 10.1126/science.7754369]</w:t>
      </w:r>
    </w:p>
    <w:p w14:paraId="615A3AE5"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40 </w:t>
      </w:r>
      <w:r w:rsidRPr="00706E08">
        <w:rPr>
          <w:rFonts w:ascii="Book Antiqua" w:eastAsia="宋体" w:hAnsi="Book Antiqua" w:cs="Times New Roman"/>
          <w:b/>
          <w:sz w:val="24"/>
          <w:szCs w:val="24"/>
          <w:lang w:eastAsia="zh-CN"/>
        </w:rPr>
        <w:t>Nomura T</w:t>
      </w:r>
      <w:r w:rsidRPr="00706E08">
        <w:rPr>
          <w:rFonts w:ascii="Book Antiqua" w:eastAsia="宋体" w:hAnsi="Book Antiqua" w:cs="Times New Roman"/>
          <w:sz w:val="24"/>
          <w:szCs w:val="24"/>
          <w:lang w:eastAsia="zh-CN"/>
        </w:rPr>
        <w:t xml:space="preserve">, Lu R, Pucci ML, Schuster VL. The two-step model of prostaglandin signal termination: </w:t>
      </w:r>
      <w:r w:rsidRPr="00706E08">
        <w:rPr>
          <w:rFonts w:ascii="Book Antiqua" w:eastAsia="宋体" w:hAnsi="Book Antiqua" w:cs="Times New Roman"/>
          <w:i/>
          <w:sz w:val="24"/>
          <w:szCs w:val="24"/>
          <w:lang w:eastAsia="zh-CN"/>
        </w:rPr>
        <w:t>In vitro</w:t>
      </w:r>
      <w:r w:rsidRPr="00706E08">
        <w:rPr>
          <w:rFonts w:ascii="Book Antiqua" w:eastAsia="宋体" w:hAnsi="Book Antiqua" w:cs="Times New Roman"/>
          <w:sz w:val="24"/>
          <w:szCs w:val="24"/>
          <w:lang w:eastAsia="zh-CN"/>
        </w:rPr>
        <w:t xml:space="preserve"> reconstitution with the prostaglandin transporter and prostaglandin 15 dehydrogenase. </w:t>
      </w:r>
      <w:r w:rsidRPr="00706E08">
        <w:rPr>
          <w:rFonts w:ascii="Book Antiqua" w:eastAsia="宋体" w:hAnsi="Book Antiqua" w:cs="Times New Roman"/>
          <w:i/>
          <w:sz w:val="24"/>
          <w:szCs w:val="24"/>
          <w:lang w:eastAsia="zh-CN"/>
        </w:rPr>
        <w:t xml:space="preserve">Mol </w:t>
      </w:r>
      <w:proofErr w:type="spellStart"/>
      <w:r w:rsidRPr="00706E08">
        <w:rPr>
          <w:rFonts w:ascii="Book Antiqua" w:eastAsia="宋体" w:hAnsi="Book Antiqua" w:cs="Times New Roman"/>
          <w:i/>
          <w:sz w:val="24"/>
          <w:szCs w:val="24"/>
          <w:lang w:eastAsia="zh-CN"/>
        </w:rPr>
        <w:t>Pharmacol</w:t>
      </w:r>
      <w:proofErr w:type="spellEnd"/>
      <w:r w:rsidRPr="00706E08">
        <w:rPr>
          <w:rFonts w:ascii="Book Antiqua" w:eastAsia="宋体" w:hAnsi="Book Antiqua" w:cs="Times New Roman"/>
          <w:sz w:val="24"/>
          <w:szCs w:val="24"/>
          <w:lang w:eastAsia="zh-CN"/>
        </w:rPr>
        <w:t xml:space="preserve"> 2004; </w:t>
      </w:r>
      <w:r w:rsidRPr="00706E08">
        <w:rPr>
          <w:rFonts w:ascii="Book Antiqua" w:eastAsia="宋体" w:hAnsi="Book Antiqua" w:cs="Times New Roman"/>
          <w:b/>
          <w:sz w:val="24"/>
          <w:szCs w:val="24"/>
          <w:lang w:eastAsia="zh-CN"/>
        </w:rPr>
        <w:t>65</w:t>
      </w:r>
      <w:r w:rsidRPr="00706E08">
        <w:rPr>
          <w:rFonts w:ascii="Book Antiqua" w:eastAsia="宋体" w:hAnsi="Book Antiqua" w:cs="Times New Roman"/>
          <w:sz w:val="24"/>
          <w:szCs w:val="24"/>
          <w:lang w:eastAsia="zh-CN"/>
        </w:rPr>
        <w:t>: 973-978 [PMID: 15044627 DOI: 10.1124/mol.65.4.973]</w:t>
      </w:r>
    </w:p>
    <w:p w14:paraId="5D925887"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41 </w:t>
      </w:r>
      <w:r w:rsidRPr="00706E08">
        <w:rPr>
          <w:rFonts w:ascii="Book Antiqua" w:eastAsia="宋体" w:hAnsi="Book Antiqua" w:cs="Times New Roman"/>
          <w:b/>
          <w:sz w:val="24"/>
          <w:szCs w:val="24"/>
          <w:lang w:eastAsia="zh-CN"/>
        </w:rPr>
        <w:t>Harada S</w:t>
      </w:r>
      <w:r w:rsidRPr="00706E08">
        <w:rPr>
          <w:rFonts w:ascii="Book Antiqua" w:eastAsia="宋体" w:hAnsi="Book Antiqua" w:cs="Times New Roman"/>
          <w:sz w:val="24"/>
          <w:szCs w:val="24"/>
          <w:lang w:eastAsia="zh-CN"/>
        </w:rPr>
        <w:t xml:space="preserve">, Nagy JA, Sullivan KA, Thomas KA, Endo N, </w:t>
      </w:r>
      <w:proofErr w:type="spellStart"/>
      <w:r w:rsidRPr="00706E08">
        <w:rPr>
          <w:rFonts w:ascii="Book Antiqua" w:eastAsia="宋体" w:hAnsi="Book Antiqua" w:cs="Times New Roman"/>
          <w:sz w:val="24"/>
          <w:szCs w:val="24"/>
          <w:lang w:eastAsia="zh-CN"/>
        </w:rPr>
        <w:t>Rodan</w:t>
      </w:r>
      <w:proofErr w:type="spellEnd"/>
      <w:r w:rsidRPr="00706E08">
        <w:rPr>
          <w:rFonts w:ascii="Book Antiqua" w:eastAsia="宋体" w:hAnsi="Book Antiqua" w:cs="Times New Roman"/>
          <w:sz w:val="24"/>
          <w:szCs w:val="24"/>
          <w:lang w:eastAsia="zh-CN"/>
        </w:rPr>
        <w:t xml:space="preserve"> GA, </w:t>
      </w:r>
      <w:proofErr w:type="spellStart"/>
      <w:r w:rsidRPr="00706E08">
        <w:rPr>
          <w:rFonts w:ascii="Book Antiqua" w:eastAsia="宋体" w:hAnsi="Book Antiqua" w:cs="Times New Roman"/>
          <w:sz w:val="24"/>
          <w:szCs w:val="24"/>
          <w:lang w:eastAsia="zh-CN"/>
        </w:rPr>
        <w:t>Rodan</w:t>
      </w:r>
      <w:proofErr w:type="spellEnd"/>
      <w:r w:rsidRPr="00706E08">
        <w:rPr>
          <w:rFonts w:ascii="Book Antiqua" w:eastAsia="宋体" w:hAnsi="Book Antiqua" w:cs="Times New Roman"/>
          <w:sz w:val="24"/>
          <w:szCs w:val="24"/>
          <w:lang w:eastAsia="zh-CN"/>
        </w:rPr>
        <w:t xml:space="preserve"> SB. Induction of vascular endothelial growth factor expression by prostaglandin E2 and E1 in osteoblasts. </w:t>
      </w:r>
      <w:r w:rsidRPr="00706E08">
        <w:rPr>
          <w:rFonts w:ascii="Book Antiqua" w:eastAsia="宋体" w:hAnsi="Book Antiqua" w:cs="Times New Roman"/>
          <w:i/>
          <w:sz w:val="24"/>
          <w:szCs w:val="24"/>
          <w:lang w:eastAsia="zh-CN"/>
        </w:rPr>
        <w:t>J Clin Invest</w:t>
      </w:r>
      <w:r w:rsidRPr="00706E08">
        <w:rPr>
          <w:rFonts w:ascii="Book Antiqua" w:eastAsia="宋体" w:hAnsi="Book Antiqua" w:cs="Times New Roman"/>
          <w:sz w:val="24"/>
          <w:szCs w:val="24"/>
          <w:lang w:eastAsia="zh-CN"/>
        </w:rPr>
        <w:t xml:space="preserve"> 1994; </w:t>
      </w:r>
      <w:r w:rsidRPr="00706E08">
        <w:rPr>
          <w:rFonts w:ascii="Book Antiqua" w:eastAsia="宋体" w:hAnsi="Book Antiqua" w:cs="Times New Roman"/>
          <w:b/>
          <w:sz w:val="24"/>
          <w:szCs w:val="24"/>
          <w:lang w:eastAsia="zh-CN"/>
        </w:rPr>
        <w:t>93</w:t>
      </w:r>
      <w:r w:rsidRPr="00706E08">
        <w:rPr>
          <w:rFonts w:ascii="Book Antiqua" w:eastAsia="宋体" w:hAnsi="Book Antiqua" w:cs="Times New Roman"/>
          <w:sz w:val="24"/>
          <w:szCs w:val="24"/>
          <w:lang w:eastAsia="zh-CN"/>
        </w:rPr>
        <w:t>: 2490-2496 [PMID: 8200985 DOI: 10.1172/JCI117258]</w:t>
      </w:r>
    </w:p>
    <w:p w14:paraId="525B1E1D"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42 </w:t>
      </w:r>
      <w:r w:rsidRPr="00706E08">
        <w:rPr>
          <w:rFonts w:ascii="Book Antiqua" w:eastAsia="宋体" w:hAnsi="Book Antiqua" w:cs="Times New Roman"/>
          <w:b/>
          <w:sz w:val="24"/>
          <w:szCs w:val="24"/>
          <w:lang w:eastAsia="zh-CN"/>
        </w:rPr>
        <w:t>Rao R</w:t>
      </w:r>
      <w:r w:rsidRPr="00706E08">
        <w:rPr>
          <w:rFonts w:ascii="Book Antiqua" w:eastAsia="宋体" w:hAnsi="Book Antiqua" w:cs="Times New Roman"/>
          <w:sz w:val="24"/>
          <w:szCs w:val="24"/>
          <w:lang w:eastAsia="zh-CN"/>
        </w:rPr>
        <w:t xml:space="preserve">, </w:t>
      </w:r>
      <w:proofErr w:type="spellStart"/>
      <w:r w:rsidRPr="00706E08">
        <w:rPr>
          <w:rFonts w:ascii="Book Antiqua" w:eastAsia="宋体" w:hAnsi="Book Antiqua" w:cs="Times New Roman"/>
          <w:sz w:val="24"/>
          <w:szCs w:val="24"/>
          <w:lang w:eastAsia="zh-CN"/>
        </w:rPr>
        <w:t>Redha</w:t>
      </w:r>
      <w:proofErr w:type="spellEnd"/>
      <w:r w:rsidRPr="00706E08">
        <w:rPr>
          <w:rFonts w:ascii="Book Antiqua" w:eastAsia="宋体" w:hAnsi="Book Antiqua" w:cs="Times New Roman"/>
          <w:sz w:val="24"/>
          <w:szCs w:val="24"/>
          <w:lang w:eastAsia="zh-CN"/>
        </w:rPr>
        <w:t xml:space="preserve"> R, Macias-Perez I, Su Y, Hao C, </w:t>
      </w:r>
      <w:proofErr w:type="spellStart"/>
      <w:r w:rsidRPr="00706E08">
        <w:rPr>
          <w:rFonts w:ascii="Book Antiqua" w:eastAsia="宋体" w:hAnsi="Book Antiqua" w:cs="Times New Roman"/>
          <w:sz w:val="24"/>
          <w:szCs w:val="24"/>
          <w:lang w:eastAsia="zh-CN"/>
        </w:rPr>
        <w:t>Zent</w:t>
      </w:r>
      <w:proofErr w:type="spellEnd"/>
      <w:r w:rsidRPr="00706E08">
        <w:rPr>
          <w:rFonts w:ascii="Book Antiqua" w:eastAsia="宋体" w:hAnsi="Book Antiqua" w:cs="Times New Roman"/>
          <w:sz w:val="24"/>
          <w:szCs w:val="24"/>
          <w:lang w:eastAsia="zh-CN"/>
        </w:rPr>
        <w:t xml:space="preserve"> R, Breyer MD, </w:t>
      </w:r>
      <w:proofErr w:type="spellStart"/>
      <w:r w:rsidRPr="00706E08">
        <w:rPr>
          <w:rFonts w:ascii="Book Antiqua" w:eastAsia="宋体" w:hAnsi="Book Antiqua" w:cs="Times New Roman"/>
          <w:sz w:val="24"/>
          <w:szCs w:val="24"/>
          <w:lang w:eastAsia="zh-CN"/>
        </w:rPr>
        <w:t>Pozzi</w:t>
      </w:r>
      <w:proofErr w:type="spellEnd"/>
      <w:r w:rsidRPr="00706E08">
        <w:rPr>
          <w:rFonts w:ascii="Book Antiqua" w:eastAsia="宋体" w:hAnsi="Book Antiqua" w:cs="Times New Roman"/>
          <w:sz w:val="24"/>
          <w:szCs w:val="24"/>
          <w:lang w:eastAsia="zh-CN"/>
        </w:rPr>
        <w:t xml:space="preserve"> A. Prostaglandin E2-EP4 receptor promotes endothelial cell migration via ERK activation and angiogenesis in vivo. </w:t>
      </w:r>
      <w:r w:rsidRPr="00706E08">
        <w:rPr>
          <w:rFonts w:ascii="Book Antiqua" w:eastAsia="宋体" w:hAnsi="Book Antiqua" w:cs="Times New Roman"/>
          <w:i/>
          <w:sz w:val="24"/>
          <w:szCs w:val="24"/>
          <w:lang w:eastAsia="zh-CN"/>
        </w:rPr>
        <w:t>J Biol Chem</w:t>
      </w:r>
      <w:r w:rsidRPr="00706E08">
        <w:rPr>
          <w:rFonts w:ascii="Book Antiqua" w:eastAsia="宋体" w:hAnsi="Book Antiqua" w:cs="Times New Roman"/>
          <w:sz w:val="24"/>
          <w:szCs w:val="24"/>
          <w:lang w:eastAsia="zh-CN"/>
        </w:rPr>
        <w:t xml:space="preserve"> 2007; </w:t>
      </w:r>
      <w:r w:rsidRPr="00706E08">
        <w:rPr>
          <w:rFonts w:ascii="Book Antiqua" w:eastAsia="宋体" w:hAnsi="Book Antiqua" w:cs="Times New Roman"/>
          <w:b/>
          <w:sz w:val="24"/>
          <w:szCs w:val="24"/>
          <w:lang w:eastAsia="zh-CN"/>
        </w:rPr>
        <w:t>282</w:t>
      </w:r>
      <w:r w:rsidRPr="00706E08">
        <w:rPr>
          <w:rFonts w:ascii="Book Antiqua" w:eastAsia="宋体" w:hAnsi="Book Antiqua" w:cs="Times New Roman"/>
          <w:sz w:val="24"/>
          <w:szCs w:val="24"/>
          <w:lang w:eastAsia="zh-CN"/>
        </w:rPr>
        <w:t>: 16959-16968 [PMID: 17401137 DOI: 10.1074/jbc.M701214200]</w:t>
      </w:r>
    </w:p>
    <w:p w14:paraId="0C9F2E08"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43 </w:t>
      </w:r>
      <w:proofErr w:type="spellStart"/>
      <w:r w:rsidRPr="00706E08">
        <w:rPr>
          <w:rFonts w:ascii="Book Antiqua" w:eastAsia="宋体" w:hAnsi="Book Antiqua" w:cs="Times New Roman"/>
          <w:b/>
          <w:sz w:val="24"/>
          <w:szCs w:val="24"/>
          <w:lang w:eastAsia="zh-CN"/>
        </w:rPr>
        <w:t>Shoesmith</w:t>
      </w:r>
      <w:proofErr w:type="spellEnd"/>
      <w:r w:rsidRPr="00706E08">
        <w:rPr>
          <w:rFonts w:ascii="Book Antiqua" w:eastAsia="宋体" w:hAnsi="Book Antiqua" w:cs="Times New Roman"/>
          <w:b/>
          <w:sz w:val="24"/>
          <w:szCs w:val="24"/>
          <w:lang w:eastAsia="zh-CN"/>
        </w:rPr>
        <w:t xml:space="preserve"> JH</w:t>
      </w:r>
      <w:r w:rsidRPr="00706E08">
        <w:rPr>
          <w:rFonts w:ascii="Book Antiqua" w:eastAsia="宋体" w:hAnsi="Book Antiqua" w:cs="Times New Roman"/>
          <w:sz w:val="24"/>
          <w:szCs w:val="24"/>
          <w:lang w:eastAsia="zh-CN"/>
        </w:rPr>
        <w:t xml:space="preserve">, Tate GT, Wright CJ. </w:t>
      </w:r>
      <w:bookmarkStart w:id="178" w:name="OLE_LINK521"/>
      <w:bookmarkStart w:id="179" w:name="OLE_LINK522"/>
      <w:r w:rsidRPr="00706E08">
        <w:rPr>
          <w:rFonts w:ascii="Book Antiqua" w:eastAsia="宋体" w:hAnsi="Book Antiqua" w:cs="Times New Roman"/>
          <w:sz w:val="24"/>
          <w:szCs w:val="24"/>
          <w:lang w:eastAsia="zh-CN"/>
        </w:rPr>
        <w:t xml:space="preserve">Multiple Strictures </w:t>
      </w:r>
      <w:proofErr w:type="gramStart"/>
      <w:r w:rsidRPr="00706E08">
        <w:rPr>
          <w:rFonts w:ascii="Book Antiqua" w:eastAsia="宋体" w:hAnsi="Book Antiqua" w:cs="Times New Roman"/>
          <w:sz w:val="24"/>
          <w:szCs w:val="24"/>
          <w:lang w:eastAsia="zh-CN"/>
        </w:rPr>
        <w:t>Of</w:t>
      </w:r>
      <w:proofErr w:type="gramEnd"/>
      <w:r w:rsidRPr="00706E08">
        <w:rPr>
          <w:rFonts w:ascii="Book Antiqua" w:eastAsia="宋体" w:hAnsi="Book Antiqua" w:cs="Times New Roman"/>
          <w:sz w:val="24"/>
          <w:szCs w:val="24"/>
          <w:lang w:eastAsia="zh-CN"/>
        </w:rPr>
        <w:t xml:space="preserve"> The Jejunum.</w:t>
      </w:r>
      <w:bookmarkEnd w:id="178"/>
      <w:bookmarkEnd w:id="179"/>
      <w:r w:rsidRPr="00706E08">
        <w:rPr>
          <w:rFonts w:ascii="Book Antiqua" w:eastAsia="宋体" w:hAnsi="Book Antiqua" w:cs="Times New Roman"/>
          <w:sz w:val="24"/>
          <w:szCs w:val="24"/>
          <w:lang w:eastAsia="zh-CN"/>
        </w:rPr>
        <w:t xml:space="preserve"> </w:t>
      </w:r>
      <w:r w:rsidRPr="00706E08">
        <w:rPr>
          <w:rFonts w:ascii="Book Antiqua" w:eastAsia="宋体" w:hAnsi="Book Antiqua" w:cs="Times New Roman"/>
          <w:i/>
          <w:sz w:val="24"/>
          <w:szCs w:val="24"/>
          <w:lang w:eastAsia="zh-CN"/>
        </w:rPr>
        <w:t>Gut</w:t>
      </w:r>
      <w:r w:rsidRPr="00706E08">
        <w:rPr>
          <w:rFonts w:ascii="Book Antiqua" w:eastAsia="宋体" w:hAnsi="Book Antiqua" w:cs="Times New Roman"/>
          <w:sz w:val="24"/>
          <w:szCs w:val="24"/>
          <w:lang w:eastAsia="zh-CN"/>
        </w:rPr>
        <w:t xml:space="preserve"> 1964; </w:t>
      </w:r>
      <w:r w:rsidRPr="00706E08">
        <w:rPr>
          <w:rFonts w:ascii="Book Antiqua" w:eastAsia="宋体" w:hAnsi="Book Antiqua" w:cs="Times New Roman"/>
          <w:b/>
          <w:sz w:val="24"/>
          <w:szCs w:val="24"/>
          <w:lang w:eastAsia="zh-CN"/>
        </w:rPr>
        <w:t>5</w:t>
      </w:r>
      <w:r w:rsidRPr="00706E08">
        <w:rPr>
          <w:rFonts w:ascii="Book Antiqua" w:eastAsia="宋体" w:hAnsi="Book Antiqua" w:cs="Times New Roman"/>
          <w:sz w:val="24"/>
          <w:szCs w:val="24"/>
          <w:lang w:eastAsia="zh-CN"/>
        </w:rPr>
        <w:t>: 132-135 [PMID: 14159400 DOI: 10.1136/gut.5.2.132]</w:t>
      </w:r>
    </w:p>
    <w:p w14:paraId="51B5A72C"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44 </w:t>
      </w:r>
      <w:proofErr w:type="spellStart"/>
      <w:r w:rsidRPr="00706E08">
        <w:rPr>
          <w:rFonts w:ascii="Book Antiqua" w:eastAsia="宋体" w:hAnsi="Book Antiqua" w:cs="Times New Roman"/>
          <w:b/>
          <w:sz w:val="24"/>
          <w:szCs w:val="24"/>
          <w:lang w:eastAsia="zh-CN"/>
        </w:rPr>
        <w:t>Perlemuter</w:t>
      </w:r>
      <w:proofErr w:type="spellEnd"/>
      <w:r w:rsidRPr="00706E08">
        <w:rPr>
          <w:rFonts w:ascii="Book Antiqua" w:eastAsia="宋体" w:hAnsi="Book Antiqua" w:cs="Times New Roman"/>
          <w:b/>
          <w:sz w:val="24"/>
          <w:szCs w:val="24"/>
          <w:lang w:eastAsia="zh-CN"/>
        </w:rPr>
        <w:t xml:space="preserve"> G</w:t>
      </w:r>
      <w:r w:rsidRPr="00706E08">
        <w:rPr>
          <w:rFonts w:ascii="Book Antiqua" w:eastAsia="宋体" w:hAnsi="Book Antiqua" w:cs="Times New Roman"/>
          <w:sz w:val="24"/>
          <w:szCs w:val="24"/>
          <w:lang w:eastAsia="zh-CN"/>
        </w:rPr>
        <w:t xml:space="preserve">, Guillevin L, </w:t>
      </w:r>
      <w:proofErr w:type="spellStart"/>
      <w:r w:rsidRPr="00706E08">
        <w:rPr>
          <w:rFonts w:ascii="Book Antiqua" w:eastAsia="宋体" w:hAnsi="Book Antiqua" w:cs="Times New Roman"/>
          <w:sz w:val="24"/>
          <w:szCs w:val="24"/>
          <w:lang w:eastAsia="zh-CN"/>
        </w:rPr>
        <w:t>Legman</w:t>
      </w:r>
      <w:proofErr w:type="spellEnd"/>
      <w:r w:rsidRPr="00706E08">
        <w:rPr>
          <w:rFonts w:ascii="Book Antiqua" w:eastAsia="宋体" w:hAnsi="Book Antiqua" w:cs="Times New Roman"/>
          <w:sz w:val="24"/>
          <w:szCs w:val="24"/>
          <w:lang w:eastAsia="zh-CN"/>
        </w:rPr>
        <w:t xml:space="preserve"> P, Weiss L, Couturier D, </w:t>
      </w:r>
      <w:proofErr w:type="spellStart"/>
      <w:r w:rsidRPr="00706E08">
        <w:rPr>
          <w:rFonts w:ascii="Book Antiqua" w:eastAsia="宋体" w:hAnsi="Book Antiqua" w:cs="Times New Roman"/>
          <w:sz w:val="24"/>
          <w:szCs w:val="24"/>
          <w:lang w:eastAsia="zh-CN"/>
        </w:rPr>
        <w:t>Chaussade</w:t>
      </w:r>
      <w:proofErr w:type="spellEnd"/>
      <w:r w:rsidRPr="00706E08">
        <w:rPr>
          <w:rFonts w:ascii="Book Antiqua" w:eastAsia="宋体" w:hAnsi="Book Antiqua" w:cs="Times New Roman"/>
          <w:sz w:val="24"/>
          <w:szCs w:val="24"/>
          <w:lang w:eastAsia="zh-CN"/>
        </w:rPr>
        <w:t xml:space="preserve"> S. </w:t>
      </w:r>
      <w:bookmarkStart w:id="180" w:name="OLE_LINK523"/>
      <w:bookmarkStart w:id="181" w:name="OLE_LINK524"/>
      <w:proofErr w:type="spellStart"/>
      <w:r w:rsidRPr="00706E08">
        <w:rPr>
          <w:rFonts w:ascii="Book Antiqua" w:eastAsia="宋体" w:hAnsi="Book Antiqua" w:cs="Times New Roman"/>
          <w:sz w:val="24"/>
          <w:szCs w:val="24"/>
          <w:lang w:eastAsia="zh-CN"/>
        </w:rPr>
        <w:t>Cryptogenetic</w:t>
      </w:r>
      <w:proofErr w:type="spellEnd"/>
      <w:r w:rsidRPr="00706E08">
        <w:rPr>
          <w:rFonts w:ascii="Book Antiqua" w:eastAsia="宋体" w:hAnsi="Book Antiqua" w:cs="Times New Roman"/>
          <w:sz w:val="24"/>
          <w:szCs w:val="24"/>
          <w:lang w:eastAsia="zh-CN"/>
        </w:rPr>
        <w:t xml:space="preserve"> multifocal ulcerous stenosing enteritis: An atypical type of vasculitis or a disease mimicking vasculitis.</w:t>
      </w:r>
      <w:bookmarkEnd w:id="180"/>
      <w:bookmarkEnd w:id="181"/>
      <w:r w:rsidRPr="00706E08">
        <w:rPr>
          <w:rFonts w:ascii="Book Antiqua" w:eastAsia="宋体" w:hAnsi="Book Antiqua" w:cs="Times New Roman"/>
          <w:sz w:val="24"/>
          <w:szCs w:val="24"/>
          <w:lang w:eastAsia="zh-CN"/>
        </w:rPr>
        <w:t xml:space="preserve"> </w:t>
      </w:r>
      <w:r w:rsidRPr="00706E08">
        <w:rPr>
          <w:rFonts w:ascii="Book Antiqua" w:eastAsia="宋体" w:hAnsi="Book Antiqua" w:cs="Times New Roman"/>
          <w:i/>
          <w:sz w:val="24"/>
          <w:szCs w:val="24"/>
          <w:lang w:eastAsia="zh-CN"/>
        </w:rPr>
        <w:t>Gut</w:t>
      </w:r>
      <w:r w:rsidRPr="00706E08">
        <w:rPr>
          <w:rFonts w:ascii="Book Antiqua" w:eastAsia="宋体" w:hAnsi="Book Antiqua" w:cs="Times New Roman"/>
          <w:sz w:val="24"/>
          <w:szCs w:val="24"/>
          <w:lang w:eastAsia="zh-CN"/>
        </w:rPr>
        <w:t xml:space="preserve"> 2001; </w:t>
      </w:r>
      <w:r w:rsidRPr="00706E08">
        <w:rPr>
          <w:rFonts w:ascii="Book Antiqua" w:eastAsia="宋体" w:hAnsi="Book Antiqua" w:cs="Times New Roman"/>
          <w:b/>
          <w:sz w:val="24"/>
          <w:szCs w:val="24"/>
          <w:lang w:eastAsia="zh-CN"/>
        </w:rPr>
        <w:t>48</w:t>
      </w:r>
      <w:r w:rsidRPr="00706E08">
        <w:rPr>
          <w:rFonts w:ascii="Book Antiqua" w:eastAsia="宋体" w:hAnsi="Book Antiqua" w:cs="Times New Roman"/>
          <w:sz w:val="24"/>
          <w:szCs w:val="24"/>
          <w:lang w:eastAsia="zh-CN"/>
        </w:rPr>
        <w:t>: 333-338 [PMID: 11171822 DOI: 10.1136/gut.48.3.333]</w:t>
      </w:r>
    </w:p>
    <w:p w14:paraId="40DB1AA7"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t xml:space="preserve">45 </w:t>
      </w:r>
      <w:r w:rsidRPr="00706E08">
        <w:rPr>
          <w:rFonts w:ascii="Book Antiqua" w:eastAsia="宋体" w:hAnsi="Book Antiqua" w:cs="Times New Roman"/>
          <w:b/>
          <w:sz w:val="24"/>
          <w:szCs w:val="24"/>
          <w:lang w:eastAsia="zh-CN"/>
        </w:rPr>
        <w:t>Adler DH</w:t>
      </w:r>
      <w:r w:rsidRPr="00706E08">
        <w:rPr>
          <w:rFonts w:ascii="Book Antiqua" w:eastAsia="宋体" w:hAnsi="Book Antiqua" w:cs="Times New Roman"/>
          <w:sz w:val="24"/>
          <w:szCs w:val="24"/>
          <w:lang w:eastAsia="zh-CN"/>
        </w:rPr>
        <w:t xml:space="preserve">, Cogan JD, Phillips JA 3rd, </w:t>
      </w:r>
      <w:proofErr w:type="spellStart"/>
      <w:r w:rsidRPr="00706E08">
        <w:rPr>
          <w:rFonts w:ascii="Book Antiqua" w:eastAsia="宋体" w:hAnsi="Book Antiqua" w:cs="Times New Roman"/>
          <w:sz w:val="24"/>
          <w:szCs w:val="24"/>
          <w:lang w:eastAsia="zh-CN"/>
        </w:rPr>
        <w:t>Schnetz-Boutaud</w:t>
      </w:r>
      <w:proofErr w:type="spellEnd"/>
      <w:r w:rsidRPr="00706E08">
        <w:rPr>
          <w:rFonts w:ascii="Book Antiqua" w:eastAsia="宋体" w:hAnsi="Book Antiqua" w:cs="Times New Roman"/>
          <w:sz w:val="24"/>
          <w:szCs w:val="24"/>
          <w:lang w:eastAsia="zh-CN"/>
        </w:rPr>
        <w:t xml:space="preserve"> N, Milne GL, Iverson T, Stein JA, Brenner DA, Morrow JD, </w:t>
      </w:r>
      <w:proofErr w:type="spellStart"/>
      <w:r w:rsidRPr="00706E08">
        <w:rPr>
          <w:rFonts w:ascii="Book Antiqua" w:eastAsia="宋体" w:hAnsi="Book Antiqua" w:cs="Times New Roman"/>
          <w:sz w:val="24"/>
          <w:szCs w:val="24"/>
          <w:lang w:eastAsia="zh-CN"/>
        </w:rPr>
        <w:t>Boutaud</w:t>
      </w:r>
      <w:proofErr w:type="spellEnd"/>
      <w:r w:rsidRPr="00706E08">
        <w:rPr>
          <w:rFonts w:ascii="Book Antiqua" w:eastAsia="宋体" w:hAnsi="Book Antiqua" w:cs="Times New Roman"/>
          <w:sz w:val="24"/>
          <w:szCs w:val="24"/>
          <w:lang w:eastAsia="zh-CN"/>
        </w:rPr>
        <w:t xml:space="preserve"> O, Oates JA. Inherited human </w:t>
      </w:r>
      <w:proofErr w:type="spellStart"/>
      <w:r w:rsidRPr="00706E08">
        <w:rPr>
          <w:rFonts w:ascii="Book Antiqua" w:eastAsia="宋体" w:hAnsi="Book Antiqua" w:cs="Times New Roman"/>
          <w:sz w:val="24"/>
          <w:szCs w:val="24"/>
          <w:lang w:eastAsia="zh-CN"/>
        </w:rPr>
        <w:t>cPLA</w:t>
      </w:r>
      <w:proofErr w:type="spellEnd"/>
      <w:r w:rsidRPr="00706E08">
        <w:rPr>
          <w:rFonts w:ascii="Book Antiqua" w:eastAsia="宋体" w:hAnsi="Book Antiqua" w:cs="Times New Roman"/>
          <w:sz w:val="24"/>
          <w:szCs w:val="24"/>
          <w:lang w:eastAsia="zh-CN"/>
        </w:rPr>
        <w:t xml:space="preserve">(2alpha) deficiency is associated with impaired eicosanoid biosynthesis, small intestinal ulceration, and platelet dysfunction. </w:t>
      </w:r>
      <w:r w:rsidRPr="00706E08">
        <w:rPr>
          <w:rFonts w:ascii="Book Antiqua" w:eastAsia="宋体" w:hAnsi="Book Antiqua" w:cs="Times New Roman"/>
          <w:i/>
          <w:sz w:val="24"/>
          <w:szCs w:val="24"/>
          <w:lang w:eastAsia="zh-CN"/>
        </w:rPr>
        <w:t>J Clin Invest</w:t>
      </w:r>
      <w:r w:rsidRPr="00706E08">
        <w:rPr>
          <w:rFonts w:ascii="Book Antiqua" w:eastAsia="宋体" w:hAnsi="Book Antiqua" w:cs="Times New Roman"/>
          <w:sz w:val="24"/>
          <w:szCs w:val="24"/>
          <w:lang w:eastAsia="zh-CN"/>
        </w:rPr>
        <w:t xml:space="preserve"> 2008; </w:t>
      </w:r>
      <w:r w:rsidRPr="00706E08">
        <w:rPr>
          <w:rFonts w:ascii="Book Antiqua" w:eastAsia="宋体" w:hAnsi="Book Antiqua" w:cs="Times New Roman"/>
          <w:b/>
          <w:sz w:val="24"/>
          <w:szCs w:val="24"/>
          <w:lang w:eastAsia="zh-CN"/>
        </w:rPr>
        <w:t>118</w:t>
      </w:r>
      <w:r w:rsidRPr="00706E08">
        <w:rPr>
          <w:rFonts w:ascii="Book Antiqua" w:eastAsia="宋体" w:hAnsi="Book Antiqua" w:cs="Times New Roman"/>
          <w:sz w:val="24"/>
          <w:szCs w:val="24"/>
          <w:lang w:eastAsia="zh-CN"/>
        </w:rPr>
        <w:t>: 2121-2131 [PMID: 18451993 DOI: 10.1172/JCI30473]</w:t>
      </w:r>
    </w:p>
    <w:p w14:paraId="309A4013" w14:textId="77777777" w:rsidR="004C5DF2" w:rsidRPr="00706E08" w:rsidRDefault="004C5DF2" w:rsidP="004C5DF2">
      <w:pPr>
        <w:widowControl w:val="0"/>
        <w:spacing w:line="360" w:lineRule="auto"/>
        <w:jc w:val="both"/>
        <w:rPr>
          <w:rFonts w:ascii="Book Antiqua" w:eastAsia="宋体" w:hAnsi="Book Antiqua" w:cs="Times New Roman"/>
          <w:sz w:val="24"/>
          <w:szCs w:val="24"/>
          <w:lang w:eastAsia="zh-CN"/>
        </w:rPr>
      </w:pPr>
      <w:r w:rsidRPr="00706E08">
        <w:rPr>
          <w:rFonts w:ascii="Book Antiqua" w:eastAsia="宋体" w:hAnsi="Book Antiqua" w:cs="Times New Roman"/>
          <w:sz w:val="24"/>
          <w:szCs w:val="24"/>
          <w:lang w:eastAsia="zh-CN"/>
        </w:rPr>
        <w:lastRenderedPageBreak/>
        <w:t xml:space="preserve">46 </w:t>
      </w:r>
      <w:r w:rsidRPr="00706E08">
        <w:rPr>
          <w:rFonts w:ascii="Book Antiqua" w:eastAsia="宋体" w:hAnsi="Book Antiqua" w:cs="Times New Roman"/>
          <w:b/>
          <w:sz w:val="24"/>
          <w:szCs w:val="24"/>
          <w:lang w:eastAsia="zh-CN"/>
        </w:rPr>
        <w:t>Brooke MA</w:t>
      </w:r>
      <w:r w:rsidRPr="00706E08">
        <w:rPr>
          <w:rFonts w:ascii="Book Antiqua" w:eastAsia="宋体" w:hAnsi="Book Antiqua" w:cs="Times New Roman"/>
          <w:sz w:val="24"/>
          <w:szCs w:val="24"/>
          <w:lang w:eastAsia="zh-CN"/>
        </w:rPr>
        <w:t xml:space="preserve">, Longhurst HJ, </w:t>
      </w:r>
      <w:proofErr w:type="spellStart"/>
      <w:r w:rsidRPr="00706E08">
        <w:rPr>
          <w:rFonts w:ascii="Book Antiqua" w:eastAsia="宋体" w:hAnsi="Book Antiqua" w:cs="Times New Roman"/>
          <w:sz w:val="24"/>
          <w:szCs w:val="24"/>
          <w:lang w:eastAsia="zh-CN"/>
        </w:rPr>
        <w:t>Plagnol</w:t>
      </w:r>
      <w:proofErr w:type="spellEnd"/>
      <w:r w:rsidRPr="00706E08">
        <w:rPr>
          <w:rFonts w:ascii="Book Antiqua" w:eastAsia="宋体" w:hAnsi="Book Antiqua" w:cs="Times New Roman"/>
          <w:sz w:val="24"/>
          <w:szCs w:val="24"/>
          <w:lang w:eastAsia="zh-CN"/>
        </w:rPr>
        <w:t xml:space="preserve"> V, </w:t>
      </w:r>
      <w:proofErr w:type="spellStart"/>
      <w:r w:rsidRPr="00706E08">
        <w:rPr>
          <w:rFonts w:ascii="Book Antiqua" w:eastAsia="宋体" w:hAnsi="Book Antiqua" w:cs="Times New Roman"/>
          <w:sz w:val="24"/>
          <w:szCs w:val="24"/>
          <w:lang w:eastAsia="zh-CN"/>
        </w:rPr>
        <w:t>Kirkby</w:t>
      </w:r>
      <w:proofErr w:type="spellEnd"/>
      <w:r w:rsidRPr="00706E08">
        <w:rPr>
          <w:rFonts w:ascii="Book Antiqua" w:eastAsia="宋体" w:hAnsi="Book Antiqua" w:cs="Times New Roman"/>
          <w:sz w:val="24"/>
          <w:szCs w:val="24"/>
          <w:lang w:eastAsia="zh-CN"/>
        </w:rPr>
        <w:t xml:space="preserve"> NS, Mitchell JA, </w:t>
      </w:r>
      <w:proofErr w:type="spellStart"/>
      <w:r w:rsidRPr="00706E08">
        <w:rPr>
          <w:rFonts w:ascii="Book Antiqua" w:eastAsia="宋体" w:hAnsi="Book Antiqua" w:cs="Times New Roman"/>
          <w:sz w:val="24"/>
          <w:szCs w:val="24"/>
          <w:lang w:eastAsia="zh-CN"/>
        </w:rPr>
        <w:t>Rüschendorf</w:t>
      </w:r>
      <w:proofErr w:type="spellEnd"/>
      <w:r w:rsidRPr="00706E08">
        <w:rPr>
          <w:rFonts w:ascii="Book Antiqua" w:eastAsia="宋体" w:hAnsi="Book Antiqua" w:cs="Times New Roman"/>
          <w:sz w:val="24"/>
          <w:szCs w:val="24"/>
          <w:lang w:eastAsia="zh-CN"/>
        </w:rPr>
        <w:t xml:space="preserve"> F, Warner TD, </w:t>
      </w:r>
      <w:proofErr w:type="spellStart"/>
      <w:r w:rsidRPr="00706E08">
        <w:rPr>
          <w:rFonts w:ascii="Book Antiqua" w:eastAsia="宋体" w:hAnsi="Book Antiqua" w:cs="Times New Roman"/>
          <w:sz w:val="24"/>
          <w:szCs w:val="24"/>
          <w:lang w:eastAsia="zh-CN"/>
        </w:rPr>
        <w:t>Kelsell</w:t>
      </w:r>
      <w:proofErr w:type="spellEnd"/>
      <w:r w:rsidRPr="00706E08">
        <w:rPr>
          <w:rFonts w:ascii="Book Antiqua" w:eastAsia="宋体" w:hAnsi="Book Antiqua" w:cs="Times New Roman"/>
          <w:sz w:val="24"/>
          <w:szCs w:val="24"/>
          <w:lang w:eastAsia="zh-CN"/>
        </w:rPr>
        <w:t xml:space="preserve"> DP, MacDonald TT. Cryptogenic multifocal ulcerating stenosing enteritis associated with homozygous deletion mutations in cytosolic phospholipase A2-α. </w:t>
      </w:r>
      <w:r w:rsidRPr="00706E08">
        <w:rPr>
          <w:rFonts w:ascii="Book Antiqua" w:eastAsia="宋体" w:hAnsi="Book Antiqua" w:cs="Times New Roman"/>
          <w:i/>
          <w:sz w:val="24"/>
          <w:szCs w:val="24"/>
          <w:lang w:eastAsia="zh-CN"/>
        </w:rPr>
        <w:t>Gut</w:t>
      </w:r>
      <w:r w:rsidRPr="00706E08">
        <w:rPr>
          <w:rFonts w:ascii="Book Antiqua" w:eastAsia="宋体" w:hAnsi="Book Antiqua" w:cs="Times New Roman"/>
          <w:sz w:val="24"/>
          <w:szCs w:val="24"/>
          <w:lang w:eastAsia="zh-CN"/>
        </w:rPr>
        <w:t xml:space="preserve"> 2014; </w:t>
      </w:r>
      <w:r w:rsidRPr="00706E08">
        <w:rPr>
          <w:rFonts w:ascii="Book Antiqua" w:eastAsia="宋体" w:hAnsi="Book Antiqua" w:cs="Times New Roman"/>
          <w:b/>
          <w:sz w:val="24"/>
          <w:szCs w:val="24"/>
          <w:lang w:eastAsia="zh-CN"/>
        </w:rPr>
        <w:t>63</w:t>
      </w:r>
      <w:r w:rsidRPr="00706E08">
        <w:rPr>
          <w:rFonts w:ascii="Book Antiqua" w:eastAsia="宋体" w:hAnsi="Book Antiqua" w:cs="Times New Roman"/>
          <w:sz w:val="24"/>
          <w:szCs w:val="24"/>
          <w:lang w:eastAsia="zh-CN"/>
        </w:rPr>
        <w:t>: 96-104 [PMID: 23268370 DOI: 10.1136/gutjnl-2012-303581]</w:t>
      </w:r>
      <w:bookmarkEnd w:id="166"/>
      <w:bookmarkEnd w:id="167"/>
    </w:p>
    <w:p w14:paraId="7D8810F1" w14:textId="3DF71FB9" w:rsidR="004C5DF2" w:rsidRPr="00706E08" w:rsidRDefault="004C5DF2" w:rsidP="004C5DF2">
      <w:pPr>
        <w:wordWrap w:val="0"/>
        <w:adjustRightInd w:val="0"/>
        <w:snapToGrid w:val="0"/>
        <w:spacing w:line="360" w:lineRule="auto"/>
        <w:jc w:val="right"/>
        <w:rPr>
          <w:rFonts w:ascii="Book Antiqua" w:hAnsi="Book Antiqua"/>
          <w:color w:val="000000"/>
          <w:sz w:val="24"/>
          <w:szCs w:val="24"/>
        </w:rPr>
      </w:pPr>
      <w:bookmarkStart w:id="182" w:name="OLE_LINK139"/>
      <w:bookmarkStart w:id="183" w:name="OLE_LINK140"/>
      <w:bookmarkStart w:id="184" w:name="OLE_LINK287"/>
      <w:bookmarkStart w:id="185" w:name="OLE_LINK288"/>
      <w:bookmarkStart w:id="186" w:name="OLE_LINK70"/>
      <w:bookmarkStart w:id="187" w:name="OLE_LINK110"/>
      <w:bookmarkStart w:id="188" w:name="OLE_LINK109"/>
      <w:bookmarkStart w:id="189" w:name="OLE_LINK138"/>
      <w:bookmarkStart w:id="190" w:name="OLE_LINK72"/>
      <w:bookmarkStart w:id="191" w:name="OLE_LINK116"/>
      <w:bookmarkStart w:id="192" w:name="OLE_LINK95"/>
      <w:bookmarkStart w:id="193" w:name="OLE_LINK118"/>
      <w:bookmarkStart w:id="194" w:name="OLE_LINK198"/>
      <w:bookmarkStart w:id="195" w:name="OLE_LINK154"/>
      <w:bookmarkStart w:id="196" w:name="OLE_LINK251"/>
      <w:bookmarkStart w:id="197" w:name="OLE_LINK167"/>
      <w:bookmarkStart w:id="198" w:name="OLE_LINK126"/>
      <w:bookmarkStart w:id="199" w:name="OLE_LINK234"/>
      <w:bookmarkStart w:id="200" w:name="OLE_LINK157"/>
      <w:bookmarkStart w:id="201" w:name="OLE_LINK187"/>
      <w:bookmarkStart w:id="202" w:name="OLE_LINK204"/>
      <w:bookmarkStart w:id="203" w:name="OLE_LINK255"/>
      <w:bookmarkStart w:id="204" w:name="OLE_LINK229"/>
      <w:bookmarkStart w:id="205" w:name="OLE_LINK268"/>
      <w:bookmarkStart w:id="206" w:name="OLE_LINK310"/>
      <w:bookmarkStart w:id="207" w:name="OLE_LINK338"/>
      <w:bookmarkStart w:id="208" w:name="OLE_LINK340"/>
      <w:bookmarkStart w:id="209" w:name="OLE_LINK264"/>
      <w:bookmarkStart w:id="210" w:name="OLE_LINK345"/>
      <w:bookmarkStart w:id="211" w:name="OLE_LINK256"/>
      <w:bookmarkStart w:id="212" w:name="OLE_LINK299"/>
      <w:bookmarkStart w:id="213" w:name="OLE_LINK265"/>
      <w:bookmarkStart w:id="214" w:name="OLE_LINK254"/>
      <w:bookmarkStart w:id="215" w:name="OLE_LINK357"/>
      <w:bookmarkStart w:id="216" w:name="OLE_LINK382"/>
      <w:bookmarkStart w:id="217" w:name="OLE_LINK333"/>
      <w:bookmarkStart w:id="218" w:name="OLE_LINK334"/>
      <w:bookmarkStart w:id="219" w:name="OLE_LINK400"/>
      <w:bookmarkStart w:id="220" w:name="OLE_LINK365"/>
      <w:bookmarkStart w:id="221" w:name="OLE_LINK467"/>
      <w:bookmarkStart w:id="222" w:name="OLE_LINK399"/>
      <w:bookmarkStart w:id="223" w:name="OLE_LINK443"/>
      <w:bookmarkStart w:id="224" w:name="OLE_LINK372"/>
      <w:bookmarkStart w:id="225" w:name="OLE_LINK425"/>
      <w:bookmarkStart w:id="226" w:name="OLE_LINK450"/>
      <w:bookmarkStart w:id="227" w:name="OLE_LINK402"/>
      <w:bookmarkStart w:id="228" w:name="OLE_LINK385"/>
      <w:bookmarkStart w:id="229" w:name="OLE_LINK396"/>
      <w:bookmarkStart w:id="230" w:name="OLE_LINK436"/>
      <w:bookmarkStart w:id="231" w:name="OLE_LINK421"/>
      <w:bookmarkStart w:id="232" w:name="OLE_LINK426"/>
      <w:bookmarkStart w:id="233" w:name="OLE_LINK456"/>
      <w:bookmarkStart w:id="234" w:name="OLE_LINK505"/>
      <w:bookmarkStart w:id="235" w:name="OLE_LINK490"/>
      <w:r w:rsidRPr="00706E08">
        <w:rPr>
          <w:rFonts w:ascii="Book Antiqua" w:hAnsi="Book Antiqua"/>
          <w:b/>
          <w:bCs/>
          <w:color w:val="000000"/>
          <w:sz w:val="24"/>
          <w:szCs w:val="24"/>
        </w:rPr>
        <w:t>P-Reviewer:</w:t>
      </w:r>
      <w:r w:rsidRPr="00706E08">
        <w:rPr>
          <w:rFonts w:ascii="Book Antiqua" w:hAnsi="Book Antiqua"/>
          <w:bCs/>
          <w:color w:val="000000"/>
          <w:sz w:val="24"/>
          <w:szCs w:val="24"/>
        </w:rPr>
        <w:t xml:space="preserve"> Caboclo</w:t>
      </w:r>
      <w:r w:rsidRPr="00706E08">
        <w:rPr>
          <w:rFonts w:ascii="Book Antiqua" w:hAnsi="Book Antiqua"/>
          <w:bCs/>
          <w:color w:val="000000"/>
          <w:sz w:val="24"/>
          <w:szCs w:val="24"/>
          <w:lang w:eastAsia="zh-CN"/>
        </w:rPr>
        <w:t xml:space="preserve"> JF, </w:t>
      </w:r>
      <w:proofErr w:type="spellStart"/>
      <w:r w:rsidRPr="00706E08">
        <w:rPr>
          <w:rFonts w:ascii="Book Antiqua" w:hAnsi="Book Antiqua"/>
          <w:bCs/>
          <w:color w:val="000000"/>
          <w:sz w:val="24"/>
          <w:szCs w:val="24"/>
          <w:lang w:eastAsia="zh-CN"/>
        </w:rPr>
        <w:t>Slomiany</w:t>
      </w:r>
      <w:proofErr w:type="spellEnd"/>
      <w:r w:rsidRPr="00706E08">
        <w:rPr>
          <w:rFonts w:ascii="Book Antiqua" w:hAnsi="Book Antiqua"/>
          <w:bCs/>
          <w:color w:val="000000"/>
          <w:sz w:val="24"/>
          <w:szCs w:val="24"/>
          <w:lang w:eastAsia="zh-CN"/>
        </w:rPr>
        <w:t xml:space="preserve"> BL, </w:t>
      </w:r>
      <w:proofErr w:type="spellStart"/>
      <w:r w:rsidRPr="00706E08">
        <w:rPr>
          <w:rFonts w:ascii="Book Antiqua" w:hAnsi="Book Antiqua"/>
          <w:bCs/>
          <w:color w:val="000000"/>
          <w:sz w:val="24"/>
          <w:szCs w:val="24"/>
          <w:lang w:eastAsia="zh-CN"/>
        </w:rPr>
        <w:t>Tsoulfas</w:t>
      </w:r>
      <w:proofErr w:type="spellEnd"/>
      <w:r w:rsidRPr="00706E08">
        <w:rPr>
          <w:rFonts w:ascii="Book Antiqua" w:hAnsi="Book Antiqua"/>
          <w:bCs/>
          <w:color w:val="000000"/>
          <w:sz w:val="24"/>
          <w:szCs w:val="24"/>
          <w:lang w:eastAsia="zh-CN"/>
        </w:rPr>
        <w:t xml:space="preserve"> G </w:t>
      </w:r>
      <w:r w:rsidRPr="00706E08">
        <w:rPr>
          <w:rFonts w:ascii="Book Antiqua" w:hAnsi="Book Antiqua"/>
          <w:b/>
          <w:bCs/>
          <w:color w:val="000000"/>
          <w:sz w:val="24"/>
          <w:szCs w:val="24"/>
        </w:rPr>
        <w:t>S-Editor:</w:t>
      </w:r>
      <w:r w:rsidRPr="00706E08">
        <w:rPr>
          <w:rFonts w:ascii="Book Antiqua" w:hAnsi="Book Antiqua"/>
          <w:color w:val="000000"/>
          <w:sz w:val="24"/>
          <w:szCs w:val="24"/>
        </w:rPr>
        <w:t xml:space="preserve"> Yan JP</w:t>
      </w:r>
    </w:p>
    <w:p w14:paraId="67FEE4FC" w14:textId="21EE9CE3" w:rsidR="004C5DF2" w:rsidRPr="00706E08" w:rsidRDefault="004C5DF2" w:rsidP="00D574FD">
      <w:pPr>
        <w:wordWrap w:val="0"/>
        <w:adjustRightInd w:val="0"/>
        <w:snapToGrid w:val="0"/>
        <w:spacing w:line="360" w:lineRule="auto"/>
        <w:jc w:val="right"/>
        <w:rPr>
          <w:rFonts w:ascii="Book Antiqua" w:hAnsi="Book Antiqua"/>
          <w:b/>
          <w:bCs/>
          <w:color w:val="000000"/>
          <w:sz w:val="24"/>
          <w:szCs w:val="24"/>
        </w:rPr>
      </w:pPr>
      <w:r w:rsidRPr="00706E08">
        <w:rPr>
          <w:rFonts w:ascii="Book Antiqua" w:hAnsi="Book Antiqua"/>
          <w:b/>
          <w:bCs/>
          <w:color w:val="000000"/>
          <w:sz w:val="24"/>
          <w:szCs w:val="24"/>
        </w:rPr>
        <w:t>L-Editor:</w:t>
      </w:r>
      <w:r w:rsidRPr="00706E08">
        <w:rPr>
          <w:rFonts w:ascii="Book Antiqua" w:hAnsi="Book Antiqua"/>
          <w:color w:val="000000"/>
          <w:sz w:val="24"/>
          <w:szCs w:val="24"/>
        </w:rPr>
        <w:t xml:space="preserve"> </w:t>
      </w:r>
      <w:proofErr w:type="gramStart"/>
      <w:r w:rsidR="00D574FD">
        <w:rPr>
          <w:rFonts w:ascii="Book Antiqua" w:hAnsi="Book Antiqua"/>
          <w:color w:val="000000"/>
          <w:sz w:val="24"/>
          <w:szCs w:val="24"/>
        </w:rPr>
        <w:t>A</w:t>
      </w:r>
      <w:proofErr w:type="gramEnd"/>
      <w:r w:rsidR="00D574FD">
        <w:rPr>
          <w:rFonts w:ascii="Book Antiqua" w:hAnsi="Book Antiqua"/>
          <w:color w:val="000000"/>
          <w:sz w:val="24"/>
          <w:szCs w:val="24"/>
        </w:rPr>
        <w:t xml:space="preserve"> </w:t>
      </w:r>
      <w:r w:rsidRPr="00706E08">
        <w:rPr>
          <w:rFonts w:ascii="Book Antiqua" w:hAnsi="Book Antiqua"/>
          <w:b/>
          <w:bCs/>
          <w:color w:val="000000"/>
          <w:sz w:val="24"/>
          <w:szCs w:val="24"/>
        </w:rPr>
        <w:t>E-Editor:</w:t>
      </w:r>
      <w:r w:rsidR="00D574FD" w:rsidRPr="00D574FD">
        <w:rPr>
          <w:rFonts w:ascii="Book Antiqua" w:hAnsi="Book Antiqua"/>
          <w:bCs/>
          <w:color w:val="000000"/>
          <w:sz w:val="24"/>
          <w:szCs w:val="24"/>
        </w:rPr>
        <w:t xml:space="preserve"> Song H</w:t>
      </w:r>
    </w:p>
    <w:bookmarkEnd w:id="182"/>
    <w:bookmarkEnd w:id="183"/>
    <w:p w14:paraId="74555133" w14:textId="7BF30D4E" w:rsidR="004C5DF2" w:rsidRPr="00706E08" w:rsidRDefault="004C5DF2" w:rsidP="004C5DF2">
      <w:pPr>
        <w:spacing w:line="360" w:lineRule="auto"/>
        <w:rPr>
          <w:rFonts w:ascii="Book Antiqua" w:hAnsi="Book Antiqua" w:cs="宋体"/>
          <w:kern w:val="0"/>
          <w:sz w:val="24"/>
          <w:szCs w:val="24"/>
        </w:rPr>
      </w:pPr>
      <w:r w:rsidRPr="00706E08">
        <w:rPr>
          <w:rFonts w:ascii="Book Antiqua" w:hAnsi="Book Antiqua" w:cs="宋体"/>
          <w:b/>
          <w:kern w:val="0"/>
          <w:sz w:val="24"/>
          <w:szCs w:val="24"/>
        </w:rPr>
        <w:t xml:space="preserve">Specialty type: </w:t>
      </w:r>
      <w:r w:rsidRPr="00706E08">
        <w:rPr>
          <w:rFonts w:ascii="Book Antiqua" w:eastAsia="微软雅黑" w:hAnsi="Book Antiqua" w:cs="宋体"/>
          <w:kern w:val="0"/>
          <w:sz w:val="24"/>
          <w:szCs w:val="24"/>
        </w:rPr>
        <w:t>Gastroenterology and hepatology</w:t>
      </w:r>
      <w:r w:rsidRPr="00706E08">
        <w:rPr>
          <w:rFonts w:ascii="Book Antiqua" w:hAnsi="Book Antiqua" w:cs="宋体"/>
          <w:kern w:val="0"/>
          <w:sz w:val="24"/>
          <w:szCs w:val="24"/>
        </w:rPr>
        <w:t xml:space="preserve"> </w:t>
      </w:r>
      <w:r w:rsidRPr="00706E08">
        <w:rPr>
          <w:rFonts w:ascii="Book Antiqua" w:hAnsi="Book Antiqua" w:cs="宋体"/>
          <w:kern w:val="0"/>
          <w:sz w:val="24"/>
          <w:szCs w:val="24"/>
        </w:rPr>
        <w:br/>
      </w:r>
      <w:r w:rsidRPr="00706E08">
        <w:rPr>
          <w:rFonts w:ascii="Book Antiqua" w:hAnsi="Book Antiqua" w:cs="宋体"/>
          <w:b/>
          <w:kern w:val="0"/>
          <w:sz w:val="24"/>
          <w:szCs w:val="24"/>
        </w:rPr>
        <w:t xml:space="preserve">Country of origin: </w:t>
      </w:r>
      <w:r w:rsidRPr="00706E08">
        <w:rPr>
          <w:rFonts w:ascii="Book Antiqua" w:hAnsi="Book Antiqua" w:cs="宋体"/>
          <w:kern w:val="0"/>
          <w:sz w:val="24"/>
          <w:szCs w:val="24"/>
        </w:rPr>
        <w:t xml:space="preserve">Japan </w:t>
      </w:r>
      <w:r w:rsidRPr="00706E08">
        <w:rPr>
          <w:rFonts w:ascii="Book Antiqua" w:hAnsi="Book Antiqua" w:cs="宋体"/>
          <w:kern w:val="0"/>
          <w:sz w:val="24"/>
          <w:szCs w:val="24"/>
        </w:rPr>
        <w:br/>
      </w:r>
      <w:r w:rsidRPr="00706E08">
        <w:rPr>
          <w:rFonts w:ascii="Book Antiqua" w:hAnsi="Book Antiqua" w:cs="宋体"/>
          <w:b/>
          <w:kern w:val="0"/>
          <w:sz w:val="24"/>
          <w:szCs w:val="24"/>
        </w:rPr>
        <w:t>Peer-review report classification</w:t>
      </w:r>
      <w:r w:rsidRPr="00706E08">
        <w:rPr>
          <w:rFonts w:ascii="Book Antiqua" w:hAnsi="Book Antiqua" w:cs="宋体"/>
          <w:kern w:val="0"/>
          <w:sz w:val="24"/>
          <w:szCs w:val="24"/>
        </w:rPr>
        <w:br/>
      </w:r>
      <w:r w:rsidRPr="00706E08">
        <w:rPr>
          <w:rFonts w:ascii="Book Antiqua" w:hAnsi="Book Antiqua" w:cs="宋体"/>
          <w:b/>
          <w:kern w:val="0"/>
          <w:sz w:val="24"/>
          <w:szCs w:val="24"/>
        </w:rPr>
        <w:t xml:space="preserve">Grade A (Excellent): </w:t>
      </w:r>
      <w:r w:rsidRPr="00706E08">
        <w:rPr>
          <w:rFonts w:ascii="Book Antiqua" w:hAnsi="Book Antiqua" w:cs="宋体"/>
          <w:kern w:val="0"/>
          <w:sz w:val="24"/>
          <w:szCs w:val="24"/>
        </w:rPr>
        <w:t xml:space="preserve">A </w:t>
      </w:r>
      <w:r w:rsidRPr="00706E08">
        <w:rPr>
          <w:rFonts w:ascii="Book Antiqua" w:hAnsi="Book Antiqua" w:cs="宋体"/>
          <w:kern w:val="0"/>
          <w:sz w:val="24"/>
          <w:szCs w:val="24"/>
        </w:rPr>
        <w:br/>
      </w:r>
      <w:r w:rsidRPr="00706E08">
        <w:rPr>
          <w:rFonts w:ascii="Book Antiqua" w:hAnsi="Book Antiqua" w:cs="宋体"/>
          <w:b/>
          <w:kern w:val="0"/>
          <w:sz w:val="24"/>
          <w:szCs w:val="24"/>
        </w:rPr>
        <w:t xml:space="preserve">Grade B (Very good): </w:t>
      </w:r>
      <w:r w:rsidRPr="00706E08">
        <w:rPr>
          <w:rFonts w:ascii="Book Antiqua" w:hAnsi="Book Antiqua" w:cs="宋体"/>
          <w:kern w:val="0"/>
          <w:sz w:val="24"/>
          <w:szCs w:val="24"/>
        </w:rPr>
        <w:t>B</w:t>
      </w:r>
      <w:r w:rsidRPr="00706E08">
        <w:rPr>
          <w:rFonts w:ascii="Book Antiqua" w:hAnsi="Book Antiqua" w:cs="宋体"/>
          <w:kern w:val="0"/>
          <w:sz w:val="24"/>
          <w:szCs w:val="24"/>
        </w:rPr>
        <w:br/>
      </w:r>
      <w:r w:rsidRPr="00706E08">
        <w:rPr>
          <w:rFonts w:ascii="Book Antiqua" w:hAnsi="Book Antiqua" w:cs="宋体"/>
          <w:b/>
          <w:kern w:val="0"/>
          <w:sz w:val="24"/>
          <w:szCs w:val="24"/>
        </w:rPr>
        <w:t xml:space="preserve">Grade C (Good): </w:t>
      </w:r>
      <w:r w:rsidRPr="00706E08">
        <w:rPr>
          <w:rFonts w:ascii="Book Antiqua" w:hAnsi="Book Antiqua" w:cs="宋体"/>
          <w:kern w:val="0"/>
          <w:sz w:val="24"/>
          <w:szCs w:val="24"/>
          <w:lang w:eastAsia="zh-CN"/>
        </w:rPr>
        <w:t>C</w:t>
      </w:r>
      <w:r w:rsidRPr="00706E08">
        <w:rPr>
          <w:rFonts w:ascii="Book Antiqua" w:hAnsi="Book Antiqua" w:cs="宋体"/>
          <w:kern w:val="0"/>
          <w:sz w:val="24"/>
          <w:szCs w:val="24"/>
        </w:rPr>
        <w:br/>
      </w:r>
      <w:r w:rsidRPr="00706E08">
        <w:rPr>
          <w:rFonts w:ascii="Book Antiqua" w:hAnsi="Book Antiqua" w:cs="宋体"/>
          <w:b/>
          <w:kern w:val="0"/>
          <w:sz w:val="24"/>
          <w:szCs w:val="24"/>
        </w:rPr>
        <w:t xml:space="preserve">Grade D (Fair): </w:t>
      </w:r>
      <w:r w:rsidRPr="00706E08">
        <w:rPr>
          <w:rFonts w:ascii="Book Antiqua" w:hAnsi="Book Antiqua" w:cs="宋体"/>
          <w:kern w:val="0"/>
          <w:sz w:val="24"/>
          <w:szCs w:val="24"/>
        </w:rPr>
        <w:t>0</w:t>
      </w:r>
      <w:r w:rsidRPr="00706E08">
        <w:rPr>
          <w:rFonts w:ascii="Book Antiqua" w:hAnsi="Book Antiqua" w:cs="宋体"/>
          <w:b/>
          <w:kern w:val="0"/>
          <w:sz w:val="24"/>
          <w:szCs w:val="24"/>
        </w:rPr>
        <w:br/>
        <w:t xml:space="preserve">Grade E (Poor): </w:t>
      </w:r>
      <w:r w:rsidRPr="00706E08">
        <w:rPr>
          <w:rFonts w:ascii="Book Antiqua" w:hAnsi="Book Antiqua" w:cs="宋体"/>
          <w:kern w:val="0"/>
          <w:sz w:val="24"/>
          <w:szCs w:val="24"/>
        </w:rPr>
        <w:t>0</w:t>
      </w:r>
    </w:p>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14:paraId="2898F6B7" w14:textId="77777777" w:rsidR="004C5DF2" w:rsidRPr="00706E08" w:rsidRDefault="004C5DF2" w:rsidP="000B52DE">
      <w:pPr>
        <w:spacing w:line="360" w:lineRule="auto"/>
        <w:jc w:val="both"/>
        <w:rPr>
          <w:rFonts w:ascii="Book Antiqua" w:eastAsia="等线" w:hAnsi="Book Antiqua"/>
          <w:color w:val="000000" w:themeColor="text1"/>
          <w:sz w:val="24"/>
          <w:szCs w:val="24"/>
          <w:lang w:eastAsia="zh-CN"/>
        </w:rPr>
      </w:pPr>
    </w:p>
    <w:p w14:paraId="3DED7A4D" w14:textId="19793E2B" w:rsidR="000C7C53" w:rsidRPr="00706E08" w:rsidRDefault="000C7C53" w:rsidP="000B52DE">
      <w:pPr>
        <w:spacing w:line="360" w:lineRule="auto"/>
        <w:jc w:val="both"/>
        <w:rPr>
          <w:rFonts w:ascii="Book Antiqua" w:hAnsi="Book Antiqua"/>
          <w:color w:val="000000" w:themeColor="text1"/>
          <w:sz w:val="24"/>
          <w:szCs w:val="24"/>
        </w:rPr>
      </w:pPr>
      <w:r w:rsidRPr="00706E08">
        <w:rPr>
          <w:rFonts w:ascii="Book Antiqua" w:hAnsi="Book Antiqua"/>
          <w:color w:val="000000" w:themeColor="text1"/>
          <w:sz w:val="24"/>
          <w:szCs w:val="24"/>
        </w:rPr>
        <w:br w:type="page"/>
      </w:r>
    </w:p>
    <w:p w14:paraId="40B08443" w14:textId="33EE659F" w:rsidR="004972FE" w:rsidRPr="00706E08" w:rsidRDefault="004972FE" w:rsidP="004972FE">
      <w:pPr>
        <w:spacing w:line="360" w:lineRule="auto"/>
        <w:ind w:leftChars="1" w:left="566" w:hangingChars="235" w:hanging="564"/>
        <w:jc w:val="both"/>
        <w:rPr>
          <w:rFonts w:ascii="Book Antiqua" w:eastAsia="等线" w:hAnsi="Book Antiqua" w:cs="Times New Roman"/>
          <w:snapToGrid w:val="0"/>
          <w:color w:val="000000" w:themeColor="text1"/>
          <w:w w:val="0"/>
          <w:kern w:val="0"/>
          <w:sz w:val="24"/>
          <w:szCs w:val="24"/>
          <w:u w:color="000000"/>
          <w:bdr w:val="none" w:sz="0" w:space="0" w:color="000000"/>
          <w:shd w:val="clear" w:color="000000" w:fill="000000"/>
          <w:lang w:eastAsia="zh-CN" w:bidi="x-none"/>
        </w:rPr>
      </w:pPr>
      <w:r w:rsidRPr="00706E08">
        <w:rPr>
          <w:rFonts w:ascii="Book Antiqua" w:hAnsi="Book Antiqua" w:cs="Times New Roman"/>
          <w:noProof/>
          <w:color w:val="000000" w:themeColor="text1"/>
          <w:sz w:val="24"/>
          <w:szCs w:val="24"/>
          <w:lang w:eastAsia="zh-CN"/>
        </w:rPr>
        <w:lastRenderedPageBreak/>
        <w:drawing>
          <wp:inline distT="0" distB="0" distL="0" distR="0" wp14:anchorId="70876B89" wp14:editId="063DF207">
            <wp:extent cx="3856771" cy="3010618"/>
            <wp:effectExtent l="0" t="0" r="0" b="0"/>
            <wp:docPr id="1" name="图片 1" descr="F:\闫佳萍稿件\编稿\WJG\46143\46143-参考文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闫佳萍稿件\编稿\WJG\46143\46143-参考文件\图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5048" cy="3017079"/>
                    </a:xfrm>
                    <a:prstGeom prst="rect">
                      <a:avLst/>
                    </a:prstGeom>
                    <a:noFill/>
                    <a:ln>
                      <a:noFill/>
                    </a:ln>
                  </pic:spPr>
                </pic:pic>
              </a:graphicData>
            </a:graphic>
          </wp:inline>
        </w:drawing>
      </w:r>
    </w:p>
    <w:p w14:paraId="6E0F4B13" w14:textId="5A00CC23" w:rsidR="000C7C53" w:rsidRPr="00706E08" w:rsidRDefault="009F59AC" w:rsidP="009F59AC">
      <w:pPr>
        <w:spacing w:line="360" w:lineRule="auto"/>
        <w:jc w:val="both"/>
        <w:rPr>
          <w:rFonts w:ascii="Book Antiqua" w:hAnsi="Book Antiqua" w:cs="Times New Roman"/>
          <w:color w:val="000000" w:themeColor="text1"/>
          <w:sz w:val="24"/>
          <w:szCs w:val="24"/>
          <w:lang w:eastAsia="zh-CN"/>
        </w:rPr>
      </w:pPr>
      <w:r w:rsidRPr="00706E08">
        <w:rPr>
          <w:rFonts w:ascii="Book Antiqua" w:hAnsi="Book Antiqua" w:cs="Times New Roman"/>
          <w:b/>
          <w:color w:val="000000" w:themeColor="text1"/>
          <w:sz w:val="24"/>
          <w:szCs w:val="24"/>
        </w:rPr>
        <w:t>Figure 1</w:t>
      </w:r>
      <w:r w:rsidR="00672AE3" w:rsidRPr="00706E08">
        <w:rPr>
          <w:rFonts w:ascii="Book Antiqua" w:hAnsi="Book Antiqua" w:cs="Times New Roman"/>
          <w:b/>
          <w:color w:val="000000" w:themeColor="text1"/>
          <w:sz w:val="24"/>
          <w:szCs w:val="24"/>
        </w:rPr>
        <w:t xml:space="preserve"> </w:t>
      </w:r>
      <w:r w:rsidR="000C7C53" w:rsidRPr="00706E08">
        <w:rPr>
          <w:rFonts w:ascii="Book Antiqua" w:hAnsi="Book Antiqua" w:cs="Times New Roman"/>
          <w:b/>
          <w:color w:val="000000" w:themeColor="text1"/>
          <w:sz w:val="24"/>
          <w:szCs w:val="24"/>
        </w:rPr>
        <w:t>Comparison of P</w:t>
      </w:r>
      <w:r w:rsidR="00491748" w:rsidRPr="00706E08">
        <w:rPr>
          <w:rFonts w:ascii="Book Antiqua" w:hAnsi="Book Antiqua" w:cs="Times New Roman"/>
          <w:b/>
          <w:color w:val="000000" w:themeColor="text1"/>
          <w:sz w:val="24"/>
          <w:szCs w:val="24"/>
        </w:rPr>
        <w:t xml:space="preserve">rostaglandin </w:t>
      </w:r>
      <w:r w:rsidR="000C7C53" w:rsidRPr="00706E08">
        <w:rPr>
          <w:rFonts w:ascii="Book Antiqua" w:hAnsi="Book Antiqua" w:cs="Times New Roman"/>
          <w:b/>
          <w:color w:val="000000" w:themeColor="text1"/>
          <w:sz w:val="24"/>
          <w:szCs w:val="24"/>
        </w:rPr>
        <w:t>E-</w:t>
      </w:r>
      <w:r w:rsidR="00491748" w:rsidRPr="00706E08">
        <w:rPr>
          <w:rFonts w:ascii="Book Antiqua" w:hAnsi="Book Antiqua" w:cs="Times New Roman"/>
          <w:b/>
          <w:color w:val="000000" w:themeColor="text1"/>
          <w:sz w:val="24"/>
          <w:szCs w:val="24"/>
        </w:rPr>
        <w:t xml:space="preserve">major urinary metabolites concentrations </w:t>
      </w:r>
      <w:r w:rsidR="000C7C53" w:rsidRPr="00706E08">
        <w:rPr>
          <w:rFonts w:ascii="Book Antiqua" w:hAnsi="Book Antiqua" w:cs="Times New Roman"/>
          <w:b/>
          <w:color w:val="000000" w:themeColor="text1"/>
          <w:sz w:val="24"/>
          <w:szCs w:val="24"/>
        </w:rPr>
        <w:t xml:space="preserve">between </w:t>
      </w:r>
      <w:r w:rsidR="004972FE" w:rsidRPr="00706E08">
        <w:rPr>
          <w:rFonts w:ascii="Book Antiqua" w:hAnsi="Book Antiqua" w:cs="Times New Roman"/>
          <w:b/>
          <w:color w:val="000000" w:themeColor="text1"/>
          <w:sz w:val="24"/>
          <w:szCs w:val="24"/>
        </w:rPr>
        <w:t>c</w:t>
      </w:r>
      <w:r w:rsidR="00491748" w:rsidRPr="00706E08">
        <w:rPr>
          <w:rFonts w:ascii="Book Antiqua" w:hAnsi="Book Antiqua" w:cs="Times New Roman"/>
          <w:b/>
          <w:color w:val="000000" w:themeColor="text1"/>
          <w:sz w:val="24"/>
          <w:szCs w:val="24"/>
        </w:rPr>
        <w:t xml:space="preserve">hronic enteropathy associated with </w:t>
      </w:r>
      <w:r w:rsidR="000C7C53" w:rsidRPr="00706E08">
        <w:rPr>
          <w:rFonts w:ascii="Book Antiqua" w:hAnsi="Book Antiqua" w:cs="Times New Roman"/>
          <w:b/>
          <w:i/>
          <w:color w:val="000000" w:themeColor="text1"/>
          <w:sz w:val="24"/>
          <w:szCs w:val="24"/>
        </w:rPr>
        <w:t>S</w:t>
      </w:r>
      <w:r w:rsidR="00491748" w:rsidRPr="00706E08">
        <w:rPr>
          <w:rFonts w:ascii="Book Antiqua" w:hAnsi="Book Antiqua" w:cs="Times New Roman"/>
          <w:b/>
          <w:i/>
          <w:color w:val="000000" w:themeColor="text1"/>
          <w:sz w:val="24"/>
          <w:szCs w:val="24"/>
        </w:rPr>
        <w:t>LCO2A1</w:t>
      </w:r>
      <w:r w:rsidR="00491748" w:rsidRPr="00706E08">
        <w:rPr>
          <w:rFonts w:ascii="Book Antiqua" w:hAnsi="Book Antiqua" w:cs="Times New Roman"/>
          <w:b/>
          <w:color w:val="000000" w:themeColor="text1"/>
          <w:sz w:val="24"/>
          <w:szCs w:val="24"/>
        </w:rPr>
        <w:t xml:space="preserve"> gene</w:t>
      </w:r>
      <w:r w:rsidR="000C7C53" w:rsidRPr="00706E08">
        <w:rPr>
          <w:rFonts w:ascii="Book Antiqua" w:hAnsi="Book Antiqua" w:cs="Times New Roman"/>
          <w:b/>
          <w:color w:val="000000" w:themeColor="text1"/>
          <w:sz w:val="24"/>
          <w:szCs w:val="24"/>
        </w:rPr>
        <w:t xml:space="preserve"> (</w:t>
      </w:r>
      <w:r w:rsidR="000C7C53" w:rsidRPr="00706E08">
        <w:rPr>
          <w:rFonts w:ascii="Book Antiqua" w:hAnsi="Book Antiqua" w:cs="Times New Roman"/>
          <w:b/>
          <w:i/>
          <w:color w:val="000000" w:themeColor="text1"/>
          <w:sz w:val="24"/>
          <w:szCs w:val="24"/>
        </w:rPr>
        <w:t>n</w:t>
      </w:r>
      <w:r w:rsidR="004972FE" w:rsidRPr="00706E08">
        <w:rPr>
          <w:rFonts w:ascii="Book Antiqua" w:hAnsi="Book Antiqua" w:cs="Times New Roman"/>
          <w:b/>
          <w:color w:val="000000" w:themeColor="text1"/>
          <w:sz w:val="24"/>
          <w:szCs w:val="24"/>
          <w:lang w:eastAsia="zh-CN"/>
        </w:rPr>
        <w:t xml:space="preserve"> </w:t>
      </w:r>
      <w:r w:rsidR="000C7C53" w:rsidRPr="00706E08">
        <w:rPr>
          <w:rFonts w:ascii="Book Antiqua" w:hAnsi="Book Antiqua" w:cs="Times New Roman"/>
          <w:b/>
          <w:color w:val="000000" w:themeColor="text1"/>
          <w:sz w:val="24"/>
          <w:szCs w:val="24"/>
        </w:rPr>
        <w:t>=</w:t>
      </w:r>
      <w:r w:rsidR="004972FE" w:rsidRPr="00706E08">
        <w:rPr>
          <w:rFonts w:ascii="Book Antiqua" w:hAnsi="Book Antiqua" w:cs="Times New Roman"/>
          <w:b/>
          <w:color w:val="000000" w:themeColor="text1"/>
          <w:sz w:val="24"/>
          <w:szCs w:val="24"/>
          <w:lang w:eastAsia="zh-CN"/>
        </w:rPr>
        <w:t xml:space="preserve"> </w:t>
      </w:r>
      <w:r w:rsidR="000C7C53" w:rsidRPr="00706E08">
        <w:rPr>
          <w:rFonts w:ascii="Book Antiqua" w:hAnsi="Book Antiqua" w:cs="Times New Roman"/>
          <w:b/>
          <w:color w:val="000000" w:themeColor="text1"/>
          <w:sz w:val="24"/>
          <w:szCs w:val="24"/>
        </w:rPr>
        <w:t>20) and C</w:t>
      </w:r>
      <w:r w:rsidR="008A6387" w:rsidRPr="00706E08">
        <w:rPr>
          <w:rFonts w:ascii="Book Antiqua" w:hAnsi="Book Antiqua" w:cs="Times New Roman"/>
          <w:b/>
          <w:color w:val="000000" w:themeColor="text1"/>
          <w:sz w:val="24"/>
          <w:szCs w:val="24"/>
        </w:rPr>
        <w:t>rohn’s disease (</w:t>
      </w:r>
      <w:r w:rsidR="008A6387" w:rsidRPr="00706E08">
        <w:rPr>
          <w:rFonts w:ascii="Book Antiqua" w:hAnsi="Book Antiqua" w:cs="Times New Roman"/>
          <w:b/>
          <w:i/>
          <w:color w:val="000000" w:themeColor="text1"/>
          <w:sz w:val="24"/>
          <w:szCs w:val="24"/>
        </w:rPr>
        <w:t>n</w:t>
      </w:r>
      <w:r w:rsidR="004972FE" w:rsidRPr="00706E08">
        <w:rPr>
          <w:rFonts w:ascii="Book Antiqua" w:hAnsi="Book Antiqua" w:cs="Times New Roman"/>
          <w:b/>
          <w:color w:val="000000" w:themeColor="text1"/>
          <w:sz w:val="24"/>
          <w:szCs w:val="24"/>
          <w:lang w:eastAsia="zh-CN"/>
        </w:rPr>
        <w:t xml:space="preserve"> </w:t>
      </w:r>
      <w:r w:rsidR="008A6387" w:rsidRPr="00706E08">
        <w:rPr>
          <w:rFonts w:ascii="Book Antiqua" w:hAnsi="Book Antiqua" w:cs="Times New Roman"/>
          <w:b/>
          <w:color w:val="000000" w:themeColor="text1"/>
          <w:sz w:val="24"/>
          <w:szCs w:val="24"/>
        </w:rPr>
        <w:t>=</w:t>
      </w:r>
      <w:r w:rsidR="004972FE" w:rsidRPr="00706E08">
        <w:rPr>
          <w:rFonts w:ascii="Book Antiqua" w:hAnsi="Book Antiqua" w:cs="Times New Roman"/>
          <w:b/>
          <w:color w:val="000000" w:themeColor="text1"/>
          <w:sz w:val="24"/>
          <w:szCs w:val="24"/>
          <w:lang w:eastAsia="zh-CN"/>
        </w:rPr>
        <w:t xml:space="preserve"> </w:t>
      </w:r>
      <w:r w:rsidR="008A6387" w:rsidRPr="00706E08">
        <w:rPr>
          <w:rFonts w:ascii="Book Antiqua" w:hAnsi="Book Antiqua" w:cs="Times New Roman"/>
          <w:b/>
          <w:color w:val="000000" w:themeColor="text1"/>
          <w:sz w:val="24"/>
          <w:szCs w:val="24"/>
        </w:rPr>
        <w:t xml:space="preserve">98) </w:t>
      </w:r>
      <w:r w:rsidR="000C7C53" w:rsidRPr="00706E08">
        <w:rPr>
          <w:rFonts w:ascii="Book Antiqua" w:hAnsi="Book Antiqua" w:cs="Times New Roman"/>
          <w:b/>
          <w:color w:val="000000" w:themeColor="text1"/>
          <w:sz w:val="24"/>
          <w:szCs w:val="24"/>
        </w:rPr>
        <w:t>groups.</w:t>
      </w:r>
      <w:r w:rsidR="000C7C53" w:rsidRPr="00706E08">
        <w:rPr>
          <w:rFonts w:ascii="Book Antiqua" w:hAnsi="Book Antiqua" w:cs="Times New Roman"/>
          <w:color w:val="000000" w:themeColor="text1"/>
          <w:sz w:val="24"/>
          <w:szCs w:val="24"/>
        </w:rPr>
        <w:t xml:space="preserve"> </w:t>
      </w:r>
      <w:r w:rsidR="008A6387" w:rsidRPr="00706E08">
        <w:rPr>
          <w:rFonts w:ascii="Book Antiqua" w:hAnsi="Book Antiqua" w:cs="Times New Roman"/>
          <w:color w:val="000000" w:themeColor="text1"/>
          <w:sz w:val="24"/>
          <w:szCs w:val="24"/>
        </w:rPr>
        <w:t>Prostaglandin E-major urinary metabolite</w:t>
      </w:r>
      <w:r w:rsidR="000C7C53" w:rsidRPr="00706E08">
        <w:rPr>
          <w:rFonts w:ascii="Book Antiqua" w:hAnsi="Book Antiqua"/>
          <w:color w:val="000000" w:themeColor="text1"/>
          <w:sz w:val="24"/>
          <w:szCs w:val="24"/>
        </w:rPr>
        <w:t xml:space="preserve"> concentrations in the </w:t>
      </w:r>
      <w:r w:rsidR="004972FE" w:rsidRPr="00706E08">
        <w:rPr>
          <w:rFonts w:ascii="Book Antiqua" w:hAnsi="Book Antiqua" w:cs="Times New Roman"/>
          <w:color w:val="000000" w:themeColor="text1"/>
          <w:sz w:val="24"/>
          <w:szCs w:val="24"/>
        </w:rPr>
        <w:t>c</w:t>
      </w:r>
      <w:r w:rsidR="008A6387" w:rsidRPr="00706E08">
        <w:rPr>
          <w:rFonts w:ascii="Book Antiqua" w:hAnsi="Book Antiqua" w:cs="Times New Roman"/>
          <w:color w:val="000000" w:themeColor="text1"/>
          <w:sz w:val="24"/>
          <w:szCs w:val="24"/>
        </w:rPr>
        <w:t xml:space="preserve">hronic enteropathy associated with </w:t>
      </w:r>
      <w:r w:rsidR="008A6387" w:rsidRPr="00706E08">
        <w:rPr>
          <w:rFonts w:ascii="Book Antiqua" w:hAnsi="Book Antiqua" w:cs="Times New Roman"/>
          <w:i/>
          <w:color w:val="000000" w:themeColor="text1"/>
          <w:sz w:val="24"/>
          <w:szCs w:val="24"/>
        </w:rPr>
        <w:t>SLCO2A1</w:t>
      </w:r>
      <w:r w:rsidR="008A6387" w:rsidRPr="00706E08">
        <w:rPr>
          <w:rFonts w:ascii="Book Antiqua" w:hAnsi="Book Antiqua" w:cs="Times New Roman"/>
          <w:color w:val="000000" w:themeColor="text1"/>
          <w:sz w:val="24"/>
          <w:szCs w:val="24"/>
        </w:rPr>
        <w:t xml:space="preserve"> gene</w:t>
      </w:r>
      <w:r w:rsidR="000C7C53" w:rsidRPr="00706E08">
        <w:rPr>
          <w:rFonts w:ascii="Book Antiqua" w:hAnsi="Book Antiqua"/>
          <w:color w:val="000000" w:themeColor="text1"/>
          <w:sz w:val="24"/>
          <w:szCs w:val="24"/>
        </w:rPr>
        <w:t xml:space="preserve"> group were significantly higher than those in the </w:t>
      </w:r>
      <w:r w:rsidR="008A6387" w:rsidRPr="00706E08">
        <w:rPr>
          <w:rFonts w:ascii="Book Antiqua" w:hAnsi="Book Antiqua" w:cs="Times New Roman"/>
          <w:color w:val="000000" w:themeColor="text1"/>
          <w:sz w:val="24"/>
          <w:szCs w:val="24"/>
        </w:rPr>
        <w:t>Crohn’s disease</w:t>
      </w:r>
      <w:r w:rsidR="000C7C53" w:rsidRPr="00706E08">
        <w:rPr>
          <w:rFonts w:ascii="Book Antiqua" w:hAnsi="Book Antiqua"/>
          <w:color w:val="000000" w:themeColor="text1"/>
          <w:sz w:val="24"/>
          <w:szCs w:val="24"/>
        </w:rPr>
        <w:t xml:space="preserve"> group [median (interquartile range): 102.7 (62.0</w:t>
      </w:r>
      <w:r w:rsidR="004972FE" w:rsidRPr="00706E08">
        <w:rPr>
          <w:rFonts w:ascii="Book Antiqua" w:hAnsi="Book Antiqua"/>
          <w:color w:val="000000" w:themeColor="text1"/>
          <w:sz w:val="24"/>
          <w:szCs w:val="24"/>
          <w:lang w:eastAsia="zh-CN"/>
        </w:rPr>
        <w:t>-</w:t>
      </w:r>
      <w:r w:rsidR="000C7C53" w:rsidRPr="00706E08">
        <w:rPr>
          <w:rFonts w:ascii="Book Antiqua" w:hAnsi="Book Antiqua"/>
          <w:color w:val="000000" w:themeColor="text1"/>
          <w:sz w:val="24"/>
          <w:szCs w:val="24"/>
        </w:rPr>
        <w:t xml:space="preserve">155.0) µg/g × </w:t>
      </w:r>
      <w:proofErr w:type="spellStart"/>
      <w:r w:rsidR="000C7C53" w:rsidRPr="00706E08">
        <w:rPr>
          <w:rFonts w:ascii="Book Antiqua" w:eastAsia="MS Mincho" w:hAnsi="Book Antiqua" w:cs="MS Mincho"/>
          <w:color w:val="000000" w:themeColor="text1"/>
          <w:sz w:val="24"/>
          <w:szCs w:val="24"/>
        </w:rPr>
        <w:t>Cre</w:t>
      </w:r>
      <w:proofErr w:type="spellEnd"/>
      <w:r w:rsidR="000C7C53" w:rsidRPr="00706E08">
        <w:rPr>
          <w:rFonts w:ascii="Book Antiqua" w:hAnsi="Book Antiqua"/>
          <w:color w:val="000000" w:themeColor="text1"/>
          <w:sz w:val="24"/>
          <w:szCs w:val="24"/>
        </w:rPr>
        <w:t xml:space="preserve"> </w:t>
      </w:r>
      <w:r w:rsidR="000C7C53" w:rsidRPr="00706E08">
        <w:rPr>
          <w:rFonts w:ascii="Book Antiqua" w:hAnsi="Book Antiqua"/>
          <w:i/>
          <w:color w:val="000000" w:themeColor="text1"/>
          <w:sz w:val="24"/>
          <w:szCs w:val="24"/>
        </w:rPr>
        <w:t>vs</w:t>
      </w:r>
      <w:r w:rsidR="000C7C53" w:rsidRPr="00706E08">
        <w:rPr>
          <w:rFonts w:ascii="Book Antiqua" w:hAnsi="Book Antiqua"/>
          <w:color w:val="000000" w:themeColor="text1"/>
          <w:sz w:val="24"/>
          <w:szCs w:val="24"/>
        </w:rPr>
        <w:t xml:space="preserve"> 27.9 (19.6</w:t>
      </w:r>
      <w:r w:rsidR="004972FE" w:rsidRPr="00706E08">
        <w:rPr>
          <w:rFonts w:ascii="Book Antiqua" w:hAnsi="Book Antiqua"/>
          <w:color w:val="000000" w:themeColor="text1"/>
          <w:sz w:val="24"/>
          <w:szCs w:val="24"/>
          <w:lang w:eastAsia="zh-CN"/>
        </w:rPr>
        <w:t>-</w:t>
      </w:r>
      <w:r w:rsidR="000C7C53" w:rsidRPr="00706E08">
        <w:rPr>
          <w:rFonts w:ascii="Book Antiqua" w:hAnsi="Book Antiqua"/>
          <w:color w:val="000000" w:themeColor="text1"/>
          <w:sz w:val="24"/>
          <w:szCs w:val="24"/>
        </w:rPr>
        <w:t xml:space="preserve">40.0) </w:t>
      </w:r>
      <w:r w:rsidR="004972FE" w:rsidRPr="00706E08">
        <w:rPr>
          <w:rFonts w:ascii="Book Antiqua" w:hAnsi="Book Antiqua"/>
          <w:color w:val="000000" w:themeColor="text1"/>
          <w:sz w:val="24"/>
          <w:szCs w:val="24"/>
        </w:rPr>
        <w:t>µ</w:t>
      </w:r>
      <w:r w:rsidR="000C7C53" w:rsidRPr="00706E08">
        <w:rPr>
          <w:rFonts w:ascii="Book Antiqua" w:hAnsi="Book Antiqua"/>
          <w:color w:val="000000" w:themeColor="text1"/>
          <w:sz w:val="24"/>
          <w:szCs w:val="24"/>
        </w:rPr>
        <w:t xml:space="preserve">g/g × </w:t>
      </w:r>
      <w:proofErr w:type="spellStart"/>
      <w:r w:rsidR="000C7C53" w:rsidRPr="00706E08">
        <w:rPr>
          <w:rFonts w:ascii="Book Antiqua" w:eastAsia="MS Mincho" w:hAnsi="Book Antiqua" w:cs="MS Mincho"/>
          <w:color w:val="000000" w:themeColor="text1"/>
          <w:sz w:val="24"/>
          <w:szCs w:val="24"/>
        </w:rPr>
        <w:t>Cre</w:t>
      </w:r>
      <w:proofErr w:type="spellEnd"/>
      <w:r w:rsidR="000C7C53" w:rsidRPr="00706E08">
        <w:rPr>
          <w:rFonts w:ascii="Book Antiqua" w:hAnsi="Book Antiqua"/>
          <w:color w:val="000000" w:themeColor="text1"/>
          <w:sz w:val="24"/>
          <w:szCs w:val="24"/>
        </w:rPr>
        <w:t xml:space="preserve">, </w:t>
      </w:r>
      <w:r w:rsidR="000C7C53" w:rsidRPr="00706E08">
        <w:rPr>
          <w:rFonts w:ascii="Book Antiqua" w:hAnsi="Book Antiqua"/>
          <w:i/>
          <w:color w:val="000000" w:themeColor="text1"/>
          <w:sz w:val="24"/>
          <w:szCs w:val="24"/>
        </w:rPr>
        <w:t>P</w:t>
      </w:r>
      <w:r w:rsidR="000C7C53" w:rsidRPr="00706E08">
        <w:rPr>
          <w:rFonts w:ascii="Book Antiqua" w:hAnsi="Book Antiqua"/>
          <w:color w:val="000000" w:themeColor="text1"/>
          <w:sz w:val="24"/>
          <w:szCs w:val="24"/>
        </w:rPr>
        <w:t xml:space="preserve"> &lt; 0.0001]. </w:t>
      </w:r>
      <w:r w:rsidR="000C7C53" w:rsidRPr="00706E08">
        <w:rPr>
          <w:rFonts w:ascii="Book Antiqua" w:hAnsi="Book Antiqua" w:cs="Times New Roman"/>
          <w:color w:val="000000" w:themeColor="text1"/>
          <w:sz w:val="24"/>
          <w:szCs w:val="24"/>
        </w:rPr>
        <w:t xml:space="preserve">Mann-Whitney </w:t>
      </w:r>
      <w:r w:rsidR="000C7C53" w:rsidRPr="00706E08">
        <w:rPr>
          <w:rFonts w:ascii="Book Antiqua" w:eastAsia="MS Mincho" w:hAnsi="Book Antiqua"/>
          <w:i/>
          <w:color w:val="000000" w:themeColor="text1"/>
          <w:sz w:val="24"/>
          <w:szCs w:val="24"/>
        </w:rPr>
        <w:t>U</w:t>
      </w:r>
      <w:r w:rsidR="000C7C53" w:rsidRPr="00706E08">
        <w:rPr>
          <w:rFonts w:ascii="Book Antiqua" w:hAnsi="Book Antiqua" w:cs="Times New Roman"/>
          <w:color w:val="000000" w:themeColor="text1"/>
          <w:sz w:val="24"/>
          <w:szCs w:val="24"/>
        </w:rPr>
        <w:t>-test.</w:t>
      </w:r>
      <w:r w:rsidR="004972FE" w:rsidRPr="00706E08">
        <w:rPr>
          <w:rFonts w:ascii="Book Antiqua" w:hAnsi="Book Antiqua" w:cs="Times New Roman"/>
          <w:color w:val="000000" w:themeColor="text1"/>
          <w:sz w:val="24"/>
          <w:szCs w:val="24"/>
          <w:lang w:eastAsia="zh-CN"/>
        </w:rPr>
        <w:t xml:space="preserve"> CEAS: </w:t>
      </w:r>
      <w:r w:rsidR="004972FE" w:rsidRPr="00706E08">
        <w:rPr>
          <w:rFonts w:ascii="Book Antiqua" w:hAnsi="Book Antiqua" w:cs="Times New Roman"/>
          <w:color w:val="000000" w:themeColor="text1"/>
          <w:sz w:val="24"/>
          <w:szCs w:val="24"/>
        </w:rPr>
        <w:t xml:space="preserve">Chronic enteropathy associated with </w:t>
      </w:r>
      <w:r w:rsidR="004972FE" w:rsidRPr="00706E08">
        <w:rPr>
          <w:rFonts w:ascii="Book Antiqua" w:hAnsi="Book Antiqua" w:cs="Times New Roman"/>
          <w:i/>
          <w:color w:val="000000" w:themeColor="text1"/>
          <w:sz w:val="24"/>
          <w:szCs w:val="24"/>
        </w:rPr>
        <w:t>SLCO2A1</w:t>
      </w:r>
      <w:r w:rsidR="004972FE" w:rsidRPr="00706E08">
        <w:rPr>
          <w:rFonts w:ascii="Book Antiqua" w:hAnsi="Book Antiqua" w:cs="Times New Roman"/>
          <w:color w:val="000000" w:themeColor="text1"/>
          <w:sz w:val="24"/>
          <w:szCs w:val="24"/>
        </w:rPr>
        <w:t xml:space="preserve"> gene</w:t>
      </w:r>
      <w:r w:rsidR="004972FE" w:rsidRPr="00706E08">
        <w:rPr>
          <w:rFonts w:ascii="Book Antiqua" w:hAnsi="Book Antiqua" w:cs="Times New Roman"/>
          <w:color w:val="000000" w:themeColor="text1"/>
          <w:sz w:val="24"/>
          <w:szCs w:val="24"/>
          <w:lang w:eastAsia="zh-CN"/>
        </w:rPr>
        <w:t xml:space="preserve">; CD: </w:t>
      </w:r>
      <w:r w:rsidR="004972FE" w:rsidRPr="00706E08">
        <w:rPr>
          <w:rFonts w:ascii="Book Antiqua" w:hAnsi="Book Antiqua" w:cs="Times New Roman"/>
          <w:color w:val="000000" w:themeColor="text1"/>
          <w:sz w:val="24"/>
          <w:szCs w:val="24"/>
        </w:rPr>
        <w:t>Crohn’s disease</w:t>
      </w:r>
      <w:r w:rsidR="004972FE" w:rsidRPr="00706E08">
        <w:rPr>
          <w:rFonts w:ascii="Book Antiqua" w:hAnsi="Book Antiqua" w:cs="Times New Roman"/>
          <w:color w:val="000000" w:themeColor="text1"/>
          <w:sz w:val="24"/>
          <w:szCs w:val="24"/>
          <w:lang w:eastAsia="zh-CN"/>
        </w:rPr>
        <w:t xml:space="preserve">; PEG-MUM: </w:t>
      </w:r>
      <w:r w:rsidR="004972FE" w:rsidRPr="00706E08">
        <w:rPr>
          <w:rFonts w:ascii="Book Antiqua" w:hAnsi="Book Antiqua" w:cs="Times New Roman"/>
          <w:color w:val="000000" w:themeColor="text1"/>
          <w:sz w:val="24"/>
          <w:szCs w:val="24"/>
        </w:rPr>
        <w:t>Prostaglandin E-major urinary metabolite</w:t>
      </w:r>
      <w:r w:rsidR="004972FE" w:rsidRPr="00706E08">
        <w:rPr>
          <w:rFonts w:ascii="Book Antiqua" w:hAnsi="Book Antiqua" w:cs="Times New Roman"/>
          <w:color w:val="000000" w:themeColor="text1"/>
          <w:sz w:val="24"/>
          <w:szCs w:val="24"/>
          <w:lang w:eastAsia="zh-CN"/>
        </w:rPr>
        <w:t>.</w:t>
      </w:r>
    </w:p>
    <w:p w14:paraId="67ED05C5" w14:textId="2527621F" w:rsidR="009F59AC" w:rsidRPr="00706E08" w:rsidRDefault="009F59AC">
      <w:pPr>
        <w:spacing w:after="160" w:line="259" w:lineRule="auto"/>
        <w:rPr>
          <w:rFonts w:ascii="Book Antiqua" w:hAnsi="Book Antiqua" w:cs="Times New Roman"/>
          <w:color w:val="000000" w:themeColor="text1"/>
          <w:sz w:val="24"/>
          <w:szCs w:val="24"/>
        </w:rPr>
      </w:pPr>
      <w:r w:rsidRPr="00706E08">
        <w:rPr>
          <w:rFonts w:ascii="Book Antiqua" w:hAnsi="Book Antiqua" w:cs="Times New Roman"/>
          <w:color w:val="000000" w:themeColor="text1"/>
          <w:sz w:val="24"/>
          <w:szCs w:val="24"/>
        </w:rPr>
        <w:br w:type="page"/>
      </w:r>
    </w:p>
    <w:p w14:paraId="36A2D4C2" w14:textId="4B2ECBC7" w:rsidR="004972FE" w:rsidRPr="00706E08" w:rsidRDefault="004972FE" w:rsidP="00A3196E">
      <w:pPr>
        <w:spacing w:line="360" w:lineRule="auto"/>
        <w:ind w:left="1680" w:hanging="1680"/>
        <w:jc w:val="both"/>
        <w:rPr>
          <w:rFonts w:ascii="Book Antiqua" w:eastAsia="等线" w:hAnsi="Book Antiqua" w:cs="Times New Roman"/>
          <w:color w:val="000000" w:themeColor="text1"/>
          <w:sz w:val="24"/>
          <w:szCs w:val="24"/>
          <w:lang w:eastAsia="zh-CN"/>
        </w:rPr>
      </w:pPr>
      <w:r w:rsidRPr="00706E08">
        <w:rPr>
          <w:rFonts w:ascii="Book Antiqua" w:eastAsia="等线" w:hAnsi="Book Antiqua" w:cs="Times New Roman"/>
          <w:noProof/>
          <w:color w:val="000000" w:themeColor="text1"/>
          <w:sz w:val="24"/>
          <w:szCs w:val="24"/>
          <w:lang w:eastAsia="zh-CN"/>
        </w:rPr>
        <w:lastRenderedPageBreak/>
        <w:drawing>
          <wp:inline distT="0" distB="0" distL="0" distR="0" wp14:anchorId="1E4EBACE" wp14:editId="34D0D958">
            <wp:extent cx="2965450" cy="2674536"/>
            <wp:effectExtent l="0" t="0" r="6350" b="0"/>
            <wp:docPr id="2" name="图片 2" descr="F:\闫佳萍稿件\编稿\WJG\46143\46143-参考文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闫佳萍稿件\编稿\WJG\46143\46143-参考文件\图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5450" cy="2674536"/>
                    </a:xfrm>
                    <a:prstGeom prst="rect">
                      <a:avLst/>
                    </a:prstGeom>
                    <a:noFill/>
                    <a:ln>
                      <a:noFill/>
                    </a:ln>
                  </pic:spPr>
                </pic:pic>
              </a:graphicData>
            </a:graphic>
          </wp:inline>
        </w:drawing>
      </w:r>
    </w:p>
    <w:p w14:paraId="0B033787" w14:textId="360CD451" w:rsidR="000C7C53" w:rsidRPr="00706E08" w:rsidRDefault="00A3196E" w:rsidP="009F59AC">
      <w:pPr>
        <w:spacing w:line="360" w:lineRule="auto"/>
        <w:jc w:val="both"/>
        <w:rPr>
          <w:rFonts w:ascii="Book Antiqua" w:eastAsia="MS Mincho" w:hAnsi="Book Antiqua" w:cs="MS Mincho"/>
          <w:color w:val="000000" w:themeColor="text1"/>
          <w:sz w:val="24"/>
          <w:szCs w:val="24"/>
        </w:rPr>
      </w:pPr>
      <w:r w:rsidRPr="00706E08">
        <w:rPr>
          <w:rFonts w:ascii="Book Antiqua" w:hAnsi="Book Antiqua" w:cs="Times New Roman"/>
          <w:b/>
          <w:color w:val="000000" w:themeColor="text1"/>
          <w:sz w:val="24"/>
          <w:szCs w:val="24"/>
        </w:rPr>
        <w:t>Figure 2</w:t>
      </w:r>
      <w:r w:rsidR="009F59AC" w:rsidRPr="00706E08">
        <w:rPr>
          <w:rFonts w:ascii="Book Antiqua" w:hAnsi="Book Antiqua" w:cs="Times New Roman"/>
          <w:b/>
          <w:color w:val="000000" w:themeColor="text1"/>
          <w:sz w:val="24"/>
          <w:szCs w:val="24"/>
        </w:rPr>
        <w:t xml:space="preserve"> </w:t>
      </w:r>
      <w:r w:rsidR="000C7C53" w:rsidRPr="00706E08">
        <w:rPr>
          <w:rFonts w:ascii="Book Antiqua" w:hAnsi="Book Antiqua" w:cs="Times New Roman"/>
          <w:b/>
          <w:color w:val="000000" w:themeColor="text1"/>
          <w:sz w:val="24"/>
          <w:szCs w:val="24"/>
        </w:rPr>
        <w:t>Receiver operating characteri</w:t>
      </w:r>
      <w:r w:rsidRPr="00706E08">
        <w:rPr>
          <w:rFonts w:ascii="Book Antiqua" w:hAnsi="Book Antiqua" w:cs="Times New Roman"/>
          <w:b/>
          <w:color w:val="000000" w:themeColor="text1"/>
          <w:sz w:val="24"/>
          <w:szCs w:val="24"/>
        </w:rPr>
        <w:t>stic</w:t>
      </w:r>
      <w:r w:rsidR="000C7C53" w:rsidRPr="00706E08">
        <w:rPr>
          <w:rFonts w:ascii="Book Antiqua" w:hAnsi="Book Antiqua" w:cs="Times New Roman"/>
          <w:b/>
          <w:color w:val="000000" w:themeColor="text1"/>
          <w:sz w:val="24"/>
          <w:szCs w:val="24"/>
        </w:rPr>
        <w:t xml:space="preserve"> curve of </w:t>
      </w:r>
      <w:r w:rsidR="008A6387" w:rsidRPr="00706E08">
        <w:rPr>
          <w:rFonts w:ascii="Book Antiqua" w:hAnsi="Book Antiqua" w:cs="Times New Roman"/>
          <w:b/>
          <w:color w:val="000000" w:themeColor="text1"/>
          <w:sz w:val="24"/>
          <w:szCs w:val="24"/>
        </w:rPr>
        <w:t>Prostaglandin E-major urinary metabolites</w:t>
      </w:r>
      <w:r w:rsidR="000C7C53" w:rsidRPr="00706E08">
        <w:rPr>
          <w:rFonts w:ascii="Book Antiqua" w:hAnsi="Book Antiqua" w:cs="Times New Roman"/>
          <w:b/>
          <w:color w:val="000000" w:themeColor="text1"/>
          <w:sz w:val="24"/>
          <w:szCs w:val="24"/>
        </w:rPr>
        <w:t xml:space="preserve"> concentrations for differentiation between </w:t>
      </w:r>
      <w:r w:rsidRPr="00706E08">
        <w:rPr>
          <w:rFonts w:ascii="Book Antiqua" w:hAnsi="Book Antiqua" w:cs="Times New Roman"/>
          <w:b/>
          <w:color w:val="000000" w:themeColor="text1"/>
          <w:sz w:val="24"/>
          <w:szCs w:val="24"/>
        </w:rPr>
        <w:t>c</w:t>
      </w:r>
      <w:r w:rsidR="008A6387" w:rsidRPr="00706E08">
        <w:rPr>
          <w:rFonts w:ascii="Book Antiqua" w:hAnsi="Book Antiqua" w:cs="Times New Roman"/>
          <w:b/>
          <w:color w:val="000000" w:themeColor="text1"/>
          <w:sz w:val="24"/>
          <w:szCs w:val="24"/>
        </w:rPr>
        <w:t xml:space="preserve">hronic enteropathy associated with </w:t>
      </w:r>
      <w:r w:rsidR="008A6387" w:rsidRPr="00706E08">
        <w:rPr>
          <w:rFonts w:ascii="Book Antiqua" w:hAnsi="Book Antiqua" w:cs="Times New Roman"/>
          <w:b/>
          <w:i/>
          <w:color w:val="000000" w:themeColor="text1"/>
          <w:sz w:val="24"/>
          <w:szCs w:val="24"/>
        </w:rPr>
        <w:t>SLCO2A1</w:t>
      </w:r>
      <w:r w:rsidR="008A6387" w:rsidRPr="00706E08">
        <w:rPr>
          <w:rFonts w:ascii="Book Antiqua" w:hAnsi="Book Antiqua" w:cs="Times New Roman"/>
          <w:b/>
          <w:color w:val="000000" w:themeColor="text1"/>
          <w:sz w:val="24"/>
          <w:szCs w:val="24"/>
        </w:rPr>
        <w:t xml:space="preserve"> gene</w:t>
      </w:r>
      <w:r w:rsidR="000C7C53" w:rsidRPr="00706E08">
        <w:rPr>
          <w:rFonts w:ascii="Book Antiqua" w:hAnsi="Book Antiqua" w:cs="Times New Roman"/>
          <w:b/>
          <w:color w:val="000000" w:themeColor="text1"/>
          <w:sz w:val="24"/>
          <w:szCs w:val="24"/>
        </w:rPr>
        <w:t xml:space="preserve"> and </w:t>
      </w:r>
      <w:r w:rsidR="008A6387" w:rsidRPr="00706E08">
        <w:rPr>
          <w:rFonts w:ascii="Book Antiqua" w:hAnsi="Book Antiqua" w:cs="Times New Roman"/>
          <w:b/>
          <w:color w:val="000000" w:themeColor="text1"/>
          <w:sz w:val="24"/>
          <w:szCs w:val="24"/>
        </w:rPr>
        <w:t>Crohn’s disease</w:t>
      </w:r>
      <w:r w:rsidR="000C7C53" w:rsidRPr="00706E08">
        <w:rPr>
          <w:rFonts w:ascii="Book Antiqua" w:hAnsi="Book Antiqua" w:cs="Times New Roman"/>
          <w:b/>
          <w:color w:val="000000" w:themeColor="text1"/>
          <w:sz w:val="24"/>
          <w:szCs w:val="24"/>
        </w:rPr>
        <w:t>.</w:t>
      </w:r>
      <w:r w:rsidR="000C7C53" w:rsidRPr="00706E08">
        <w:rPr>
          <w:rFonts w:ascii="Book Antiqua" w:hAnsi="Book Antiqua" w:cs="Times New Roman"/>
          <w:color w:val="000000" w:themeColor="text1"/>
          <w:sz w:val="24"/>
          <w:szCs w:val="24"/>
        </w:rPr>
        <w:t xml:space="preserve"> The area under the </w:t>
      </w:r>
      <w:r w:rsidRPr="00706E08">
        <w:rPr>
          <w:rFonts w:ascii="Book Antiqua" w:hAnsi="Book Antiqua" w:cs="Times New Roman"/>
          <w:color w:val="000000" w:themeColor="text1"/>
          <w:sz w:val="24"/>
          <w:szCs w:val="24"/>
        </w:rPr>
        <w:t>receiver operating characteristic</w:t>
      </w:r>
      <w:r w:rsidR="000C7C53" w:rsidRPr="00706E08">
        <w:rPr>
          <w:rFonts w:ascii="Book Antiqua" w:hAnsi="Book Antiqua" w:cs="Times New Roman"/>
          <w:color w:val="000000" w:themeColor="text1"/>
          <w:sz w:val="24"/>
          <w:szCs w:val="24"/>
        </w:rPr>
        <w:t xml:space="preserve"> curve was 0.90 </w:t>
      </w:r>
      <w:r w:rsidR="000C7C53" w:rsidRPr="00706E08">
        <w:rPr>
          <w:rFonts w:ascii="Book Antiqua" w:hAnsi="Book Antiqua"/>
          <w:color w:val="000000" w:themeColor="text1"/>
          <w:sz w:val="24"/>
          <w:szCs w:val="24"/>
        </w:rPr>
        <w:t>(95%</w:t>
      </w:r>
      <w:r w:rsidRPr="00706E08">
        <w:rPr>
          <w:rFonts w:ascii="Book Antiqua" w:hAnsi="Book Antiqua"/>
          <w:sz w:val="24"/>
          <w:szCs w:val="24"/>
        </w:rPr>
        <w:t xml:space="preserve"> confidence interval</w:t>
      </w:r>
      <w:r w:rsidR="000C7C53" w:rsidRPr="00706E08">
        <w:rPr>
          <w:rFonts w:ascii="Book Antiqua" w:hAnsi="Book Antiqua"/>
          <w:color w:val="000000" w:themeColor="text1"/>
          <w:sz w:val="24"/>
          <w:szCs w:val="24"/>
        </w:rPr>
        <w:t>, 0.82</w:t>
      </w:r>
      <w:r w:rsidRPr="00706E08">
        <w:rPr>
          <w:rFonts w:ascii="Book Antiqua" w:hAnsi="Book Antiqua"/>
          <w:color w:val="000000" w:themeColor="text1"/>
          <w:sz w:val="24"/>
          <w:szCs w:val="24"/>
          <w:lang w:eastAsia="zh-CN"/>
        </w:rPr>
        <w:t>-</w:t>
      </w:r>
      <w:r w:rsidR="000C7C53" w:rsidRPr="00706E08">
        <w:rPr>
          <w:rFonts w:ascii="Book Antiqua" w:hAnsi="Book Antiqua"/>
          <w:color w:val="000000" w:themeColor="text1"/>
          <w:sz w:val="24"/>
          <w:szCs w:val="24"/>
        </w:rPr>
        <w:t>0.95)</w:t>
      </w:r>
      <w:r w:rsidR="000C7C53" w:rsidRPr="00706E08">
        <w:rPr>
          <w:rFonts w:ascii="Book Antiqua" w:hAnsi="Book Antiqua" w:cs="Times New Roman"/>
          <w:color w:val="000000" w:themeColor="text1"/>
          <w:sz w:val="24"/>
          <w:szCs w:val="24"/>
        </w:rPr>
        <w:t xml:space="preserve">. The optimal cut-off value was 48.9 </w:t>
      </w:r>
      <w:r w:rsidRPr="00706E08">
        <w:rPr>
          <w:rFonts w:ascii="Book Antiqua" w:hAnsi="Book Antiqua"/>
          <w:color w:val="000000" w:themeColor="text1"/>
          <w:sz w:val="24"/>
          <w:szCs w:val="24"/>
        </w:rPr>
        <w:t>µ</w:t>
      </w:r>
      <w:r w:rsidR="000C7C53" w:rsidRPr="00706E08">
        <w:rPr>
          <w:rFonts w:ascii="Book Antiqua" w:hAnsi="Book Antiqua"/>
          <w:color w:val="000000" w:themeColor="text1"/>
          <w:sz w:val="24"/>
          <w:szCs w:val="24"/>
        </w:rPr>
        <w:t xml:space="preserve">g/g × </w:t>
      </w:r>
      <w:proofErr w:type="spellStart"/>
      <w:r w:rsidR="000C7C53" w:rsidRPr="00706E08">
        <w:rPr>
          <w:rFonts w:ascii="Book Antiqua" w:eastAsia="MS Mincho" w:hAnsi="Book Antiqua" w:cs="MS Mincho"/>
          <w:color w:val="000000" w:themeColor="text1"/>
          <w:sz w:val="24"/>
          <w:szCs w:val="24"/>
        </w:rPr>
        <w:t>Cre</w:t>
      </w:r>
      <w:proofErr w:type="spellEnd"/>
      <w:r w:rsidR="000C7C53" w:rsidRPr="00706E08">
        <w:rPr>
          <w:rFonts w:ascii="Book Antiqua" w:eastAsia="MS Mincho" w:hAnsi="Book Antiqua" w:cs="MS Mincho"/>
          <w:color w:val="000000" w:themeColor="text1"/>
          <w:sz w:val="24"/>
          <w:szCs w:val="24"/>
        </w:rPr>
        <w:t>.</w:t>
      </w:r>
    </w:p>
    <w:p w14:paraId="1575EB2C" w14:textId="77777777" w:rsidR="000C7C53" w:rsidRPr="00706E08" w:rsidRDefault="000C7C53" w:rsidP="000B52DE">
      <w:pPr>
        <w:spacing w:line="360" w:lineRule="auto"/>
        <w:jc w:val="both"/>
        <w:rPr>
          <w:rFonts w:ascii="Book Antiqua" w:eastAsia="MS Mincho" w:hAnsi="Book Antiqua" w:cs="MS Mincho"/>
          <w:color w:val="000000" w:themeColor="text1"/>
          <w:sz w:val="24"/>
          <w:szCs w:val="24"/>
        </w:rPr>
      </w:pPr>
      <w:r w:rsidRPr="00706E08">
        <w:rPr>
          <w:rFonts w:ascii="Book Antiqua" w:eastAsia="MS Mincho" w:hAnsi="Book Antiqua" w:cs="MS Mincho"/>
          <w:color w:val="000000" w:themeColor="text1"/>
          <w:sz w:val="24"/>
          <w:szCs w:val="24"/>
        </w:rPr>
        <w:br w:type="page"/>
      </w:r>
    </w:p>
    <w:p w14:paraId="67CBA224" w14:textId="77777777" w:rsidR="000C7C53" w:rsidRPr="00706E08" w:rsidRDefault="000C7C53" w:rsidP="000B52DE">
      <w:pPr>
        <w:spacing w:line="360" w:lineRule="auto"/>
        <w:jc w:val="both"/>
        <w:rPr>
          <w:rFonts w:ascii="Book Antiqua" w:hAnsi="Book Antiqua"/>
          <w:color w:val="000000" w:themeColor="text1"/>
          <w:sz w:val="24"/>
          <w:szCs w:val="24"/>
        </w:rPr>
        <w:sectPr w:rsidR="000C7C53" w:rsidRPr="00706E08" w:rsidSect="00830424">
          <w:headerReference w:type="default" r:id="rId9"/>
          <w:pgSz w:w="12240" w:h="15840"/>
          <w:pgMar w:top="1985" w:right="1701" w:bottom="1701" w:left="1701" w:header="708" w:footer="708" w:gutter="0"/>
          <w:cols w:space="708"/>
          <w:docGrid w:linePitch="360"/>
        </w:sectPr>
      </w:pPr>
    </w:p>
    <w:p w14:paraId="0A1830E6" w14:textId="3941AE10" w:rsidR="000C7C53" w:rsidRPr="00706E08" w:rsidRDefault="00A3196E" w:rsidP="000B52DE">
      <w:pPr>
        <w:spacing w:line="360" w:lineRule="auto"/>
        <w:jc w:val="both"/>
        <w:rPr>
          <w:rFonts w:ascii="Book Antiqua" w:hAnsi="Book Antiqua"/>
          <w:b/>
          <w:color w:val="000000" w:themeColor="text1"/>
          <w:sz w:val="24"/>
          <w:szCs w:val="24"/>
        </w:rPr>
      </w:pPr>
      <w:r w:rsidRPr="00706E08">
        <w:rPr>
          <w:rFonts w:ascii="Book Antiqua" w:eastAsia="Yu Gothic" w:hAnsi="Book Antiqua" w:cs="Arial"/>
          <w:b/>
          <w:color w:val="000000" w:themeColor="text1"/>
          <w:kern w:val="0"/>
          <w:sz w:val="24"/>
          <w:szCs w:val="24"/>
        </w:rPr>
        <w:lastRenderedPageBreak/>
        <w:t>Table 1</w:t>
      </w:r>
      <w:r w:rsidR="000C7C53" w:rsidRPr="00706E08">
        <w:rPr>
          <w:rFonts w:ascii="Book Antiqua" w:eastAsia="Yu Gothic" w:hAnsi="Book Antiqua" w:cs="Arial"/>
          <w:b/>
          <w:color w:val="000000" w:themeColor="text1"/>
          <w:kern w:val="0"/>
          <w:sz w:val="24"/>
          <w:szCs w:val="24"/>
        </w:rPr>
        <w:t xml:space="preserve"> Clinical characteristics of the study subjects</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gridCol w:w="1820"/>
        <w:gridCol w:w="1900"/>
        <w:gridCol w:w="1440"/>
      </w:tblGrid>
      <w:tr w:rsidR="00A3196E" w:rsidRPr="00706E08" w14:paraId="7FB81A04" w14:textId="77777777" w:rsidTr="00A3196E">
        <w:trPr>
          <w:trHeight w:val="400"/>
        </w:trPr>
        <w:tc>
          <w:tcPr>
            <w:tcW w:w="2620" w:type="dxa"/>
            <w:tcBorders>
              <w:top w:val="single" w:sz="8" w:space="0" w:color="000000" w:themeColor="text1"/>
              <w:bottom w:val="single" w:sz="8" w:space="0" w:color="000000" w:themeColor="text1"/>
            </w:tcBorders>
            <w:noWrap/>
            <w:hideMark/>
          </w:tcPr>
          <w:p w14:paraId="449885DF" w14:textId="15C7E0C8"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p>
        </w:tc>
        <w:tc>
          <w:tcPr>
            <w:tcW w:w="1820" w:type="dxa"/>
            <w:tcBorders>
              <w:top w:val="single" w:sz="8" w:space="0" w:color="000000" w:themeColor="text1"/>
              <w:bottom w:val="single" w:sz="8" w:space="0" w:color="000000" w:themeColor="text1"/>
            </w:tcBorders>
            <w:noWrap/>
            <w:hideMark/>
          </w:tcPr>
          <w:p w14:paraId="2A54848B" w14:textId="77777777" w:rsidR="00A3196E" w:rsidRPr="00706E08" w:rsidRDefault="00A3196E" w:rsidP="00A3196E">
            <w:pPr>
              <w:spacing w:line="360" w:lineRule="auto"/>
              <w:jc w:val="both"/>
              <w:rPr>
                <w:rFonts w:ascii="Book Antiqua" w:eastAsia="等线" w:hAnsi="Book Antiqua" w:cs="Arial"/>
                <w:b/>
                <w:bCs/>
                <w:color w:val="000000" w:themeColor="text1"/>
                <w:kern w:val="0"/>
                <w:sz w:val="24"/>
                <w:szCs w:val="24"/>
                <w:lang w:eastAsia="zh-CN"/>
              </w:rPr>
            </w:pPr>
            <w:r w:rsidRPr="00706E08">
              <w:rPr>
                <w:rFonts w:ascii="Book Antiqua" w:eastAsia="等线" w:hAnsi="Book Antiqua" w:cs="Arial"/>
                <w:b/>
                <w:bCs/>
                <w:color w:val="000000" w:themeColor="text1"/>
                <w:kern w:val="0"/>
                <w:sz w:val="24"/>
                <w:szCs w:val="24"/>
                <w:lang w:eastAsia="zh-CN"/>
              </w:rPr>
              <w:t>CEAS (</w:t>
            </w:r>
            <w:r w:rsidRPr="00706E08">
              <w:rPr>
                <w:rFonts w:ascii="Book Antiqua" w:eastAsia="等线" w:hAnsi="Book Antiqua" w:cs="Arial"/>
                <w:b/>
                <w:bCs/>
                <w:i/>
                <w:iCs/>
                <w:color w:val="000000" w:themeColor="text1"/>
                <w:kern w:val="0"/>
                <w:sz w:val="24"/>
                <w:szCs w:val="24"/>
                <w:lang w:eastAsia="zh-CN"/>
              </w:rPr>
              <w:t>n</w:t>
            </w:r>
            <w:r w:rsidRPr="00706E08">
              <w:rPr>
                <w:rFonts w:ascii="Book Antiqua" w:eastAsia="等线" w:hAnsi="Book Antiqua" w:cs="Arial"/>
                <w:b/>
                <w:bCs/>
                <w:color w:val="000000" w:themeColor="text1"/>
                <w:kern w:val="0"/>
                <w:sz w:val="24"/>
                <w:szCs w:val="24"/>
                <w:lang w:eastAsia="zh-CN"/>
              </w:rPr>
              <w:t xml:space="preserve"> = 20)</w:t>
            </w:r>
          </w:p>
        </w:tc>
        <w:tc>
          <w:tcPr>
            <w:tcW w:w="1900" w:type="dxa"/>
            <w:tcBorders>
              <w:top w:val="single" w:sz="8" w:space="0" w:color="000000" w:themeColor="text1"/>
              <w:bottom w:val="single" w:sz="8" w:space="0" w:color="000000" w:themeColor="text1"/>
            </w:tcBorders>
            <w:noWrap/>
            <w:hideMark/>
          </w:tcPr>
          <w:p w14:paraId="076D9BBF" w14:textId="77777777" w:rsidR="00A3196E" w:rsidRPr="00706E08" w:rsidRDefault="00A3196E" w:rsidP="00A3196E">
            <w:pPr>
              <w:spacing w:line="360" w:lineRule="auto"/>
              <w:jc w:val="both"/>
              <w:rPr>
                <w:rFonts w:ascii="Book Antiqua" w:eastAsia="等线" w:hAnsi="Book Antiqua" w:cs="Arial"/>
                <w:b/>
                <w:bCs/>
                <w:color w:val="000000" w:themeColor="text1"/>
                <w:kern w:val="0"/>
                <w:sz w:val="24"/>
                <w:szCs w:val="24"/>
                <w:lang w:eastAsia="zh-CN"/>
              </w:rPr>
            </w:pPr>
            <w:r w:rsidRPr="00706E08">
              <w:rPr>
                <w:rFonts w:ascii="Book Antiqua" w:eastAsia="等线" w:hAnsi="Book Antiqua" w:cs="Arial"/>
                <w:b/>
                <w:bCs/>
                <w:color w:val="000000" w:themeColor="text1"/>
                <w:kern w:val="0"/>
                <w:sz w:val="24"/>
                <w:szCs w:val="24"/>
                <w:lang w:eastAsia="zh-CN"/>
              </w:rPr>
              <w:t>CD (</w:t>
            </w:r>
            <w:r w:rsidRPr="00706E08">
              <w:rPr>
                <w:rFonts w:ascii="Book Antiqua" w:eastAsia="等线" w:hAnsi="Book Antiqua" w:cs="Arial"/>
                <w:b/>
                <w:bCs/>
                <w:i/>
                <w:iCs/>
                <w:color w:val="000000" w:themeColor="text1"/>
                <w:kern w:val="0"/>
                <w:sz w:val="24"/>
                <w:szCs w:val="24"/>
                <w:lang w:eastAsia="zh-CN"/>
              </w:rPr>
              <w:t>n</w:t>
            </w:r>
            <w:r w:rsidRPr="00706E08">
              <w:rPr>
                <w:rFonts w:ascii="Book Antiqua" w:eastAsia="等线" w:hAnsi="Book Antiqua" w:cs="Arial"/>
                <w:b/>
                <w:bCs/>
                <w:color w:val="000000" w:themeColor="text1"/>
                <w:kern w:val="0"/>
                <w:sz w:val="24"/>
                <w:szCs w:val="24"/>
                <w:lang w:eastAsia="zh-CN"/>
              </w:rPr>
              <w:t xml:space="preserve"> = 98)</w:t>
            </w:r>
          </w:p>
        </w:tc>
        <w:tc>
          <w:tcPr>
            <w:tcW w:w="1440" w:type="dxa"/>
            <w:tcBorders>
              <w:top w:val="single" w:sz="8" w:space="0" w:color="000000" w:themeColor="text1"/>
              <w:bottom w:val="single" w:sz="8" w:space="0" w:color="000000" w:themeColor="text1"/>
            </w:tcBorders>
            <w:noWrap/>
            <w:hideMark/>
          </w:tcPr>
          <w:p w14:paraId="12FC9A4C" w14:textId="5D132AD0" w:rsidR="00A3196E" w:rsidRPr="00706E08" w:rsidRDefault="00A3196E" w:rsidP="00A3196E">
            <w:pPr>
              <w:spacing w:line="360" w:lineRule="auto"/>
              <w:jc w:val="both"/>
              <w:rPr>
                <w:rFonts w:ascii="Book Antiqua" w:eastAsia="等线" w:hAnsi="Book Antiqua" w:cs="Arial"/>
                <w:b/>
                <w:bCs/>
                <w:i/>
                <w:iCs/>
                <w:color w:val="000000" w:themeColor="text1"/>
                <w:kern w:val="0"/>
                <w:sz w:val="24"/>
                <w:szCs w:val="24"/>
                <w:lang w:eastAsia="zh-CN"/>
              </w:rPr>
            </w:pPr>
            <w:r w:rsidRPr="00706E08">
              <w:rPr>
                <w:rFonts w:ascii="Book Antiqua" w:eastAsia="等线" w:hAnsi="Book Antiqua" w:cs="Arial"/>
                <w:b/>
                <w:bCs/>
                <w:i/>
                <w:iCs/>
                <w:color w:val="000000" w:themeColor="text1"/>
                <w:kern w:val="0"/>
                <w:sz w:val="24"/>
                <w:szCs w:val="24"/>
                <w:lang w:eastAsia="zh-CN"/>
              </w:rPr>
              <w:t>P</w:t>
            </w:r>
            <w:r w:rsidRPr="00706E08">
              <w:rPr>
                <w:rFonts w:ascii="Book Antiqua" w:eastAsia="等线" w:hAnsi="Book Antiqua" w:cs="Arial"/>
                <w:b/>
                <w:bCs/>
                <w:color w:val="000000" w:themeColor="text1"/>
                <w:kern w:val="0"/>
                <w:sz w:val="24"/>
                <w:szCs w:val="24"/>
                <w:lang w:eastAsia="zh-CN"/>
              </w:rPr>
              <w:t xml:space="preserve"> value</w:t>
            </w:r>
            <w:r w:rsidR="00C67121" w:rsidRPr="00706E08">
              <w:rPr>
                <w:rFonts w:ascii="Book Antiqua" w:eastAsia="等线" w:hAnsi="Book Antiqua" w:cs="Arial"/>
                <w:b/>
                <w:bCs/>
                <w:color w:val="000000" w:themeColor="text1"/>
                <w:kern w:val="0"/>
                <w:sz w:val="24"/>
                <w:szCs w:val="24"/>
                <w:vertAlign w:val="superscript"/>
                <w:lang w:eastAsia="zh-CN"/>
              </w:rPr>
              <w:t>1</w:t>
            </w:r>
          </w:p>
        </w:tc>
      </w:tr>
      <w:tr w:rsidR="00A3196E" w:rsidRPr="00706E08" w14:paraId="6EA3973A" w14:textId="77777777" w:rsidTr="00A3196E">
        <w:trPr>
          <w:trHeight w:val="492"/>
        </w:trPr>
        <w:tc>
          <w:tcPr>
            <w:tcW w:w="2620" w:type="dxa"/>
            <w:tcBorders>
              <w:top w:val="single" w:sz="8" w:space="0" w:color="000000" w:themeColor="text1"/>
            </w:tcBorders>
            <w:noWrap/>
            <w:hideMark/>
          </w:tcPr>
          <w:p w14:paraId="54CB056F"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 xml:space="preserve">Age, </w:t>
            </w:r>
            <w:proofErr w:type="spellStart"/>
            <w:r w:rsidRPr="00706E08">
              <w:rPr>
                <w:rFonts w:ascii="Book Antiqua" w:eastAsia="等线" w:hAnsi="Book Antiqua" w:cs="Arial"/>
                <w:color w:val="000000" w:themeColor="text1"/>
                <w:kern w:val="0"/>
                <w:sz w:val="24"/>
                <w:szCs w:val="24"/>
                <w:lang w:eastAsia="zh-CN"/>
              </w:rPr>
              <w:t>yr</w:t>
            </w:r>
            <w:proofErr w:type="spellEnd"/>
          </w:p>
        </w:tc>
        <w:tc>
          <w:tcPr>
            <w:tcW w:w="1820" w:type="dxa"/>
            <w:tcBorders>
              <w:top w:val="single" w:sz="8" w:space="0" w:color="000000" w:themeColor="text1"/>
            </w:tcBorders>
            <w:noWrap/>
            <w:hideMark/>
          </w:tcPr>
          <w:p w14:paraId="0B9C6871"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56 (41-63)</w:t>
            </w:r>
          </w:p>
        </w:tc>
        <w:tc>
          <w:tcPr>
            <w:tcW w:w="1900" w:type="dxa"/>
            <w:tcBorders>
              <w:top w:val="single" w:sz="8" w:space="0" w:color="000000" w:themeColor="text1"/>
            </w:tcBorders>
            <w:noWrap/>
            <w:hideMark/>
          </w:tcPr>
          <w:p w14:paraId="0A5F66DC"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 xml:space="preserve"> 44 (38-54)</w:t>
            </w:r>
          </w:p>
        </w:tc>
        <w:tc>
          <w:tcPr>
            <w:tcW w:w="1440" w:type="dxa"/>
            <w:tcBorders>
              <w:top w:val="single" w:sz="8" w:space="0" w:color="000000" w:themeColor="text1"/>
            </w:tcBorders>
            <w:noWrap/>
            <w:hideMark/>
          </w:tcPr>
          <w:p w14:paraId="08F9B50E"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0.098</w:t>
            </w:r>
          </w:p>
        </w:tc>
      </w:tr>
      <w:tr w:rsidR="00A3196E" w:rsidRPr="00706E08" w14:paraId="2D6FCA74" w14:textId="77777777" w:rsidTr="00A3196E">
        <w:trPr>
          <w:trHeight w:val="330"/>
        </w:trPr>
        <w:tc>
          <w:tcPr>
            <w:tcW w:w="2620" w:type="dxa"/>
            <w:noWrap/>
            <w:hideMark/>
          </w:tcPr>
          <w:p w14:paraId="14ED6E4E"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Gender</w:t>
            </w:r>
          </w:p>
        </w:tc>
        <w:tc>
          <w:tcPr>
            <w:tcW w:w="1820" w:type="dxa"/>
            <w:noWrap/>
            <w:hideMark/>
          </w:tcPr>
          <w:p w14:paraId="73AD5EE7" w14:textId="5A6F6202"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p>
        </w:tc>
        <w:tc>
          <w:tcPr>
            <w:tcW w:w="1900" w:type="dxa"/>
            <w:noWrap/>
            <w:hideMark/>
          </w:tcPr>
          <w:p w14:paraId="5D1EC970" w14:textId="7E0FC55C"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p>
        </w:tc>
        <w:tc>
          <w:tcPr>
            <w:tcW w:w="1440" w:type="dxa"/>
            <w:noWrap/>
            <w:hideMark/>
          </w:tcPr>
          <w:p w14:paraId="0122C1C1" w14:textId="3E134412"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p>
        </w:tc>
      </w:tr>
      <w:tr w:rsidR="00A3196E" w:rsidRPr="00706E08" w14:paraId="0E18518D" w14:textId="77777777" w:rsidTr="00A3196E">
        <w:trPr>
          <w:trHeight w:val="345"/>
        </w:trPr>
        <w:tc>
          <w:tcPr>
            <w:tcW w:w="2620" w:type="dxa"/>
            <w:noWrap/>
            <w:hideMark/>
          </w:tcPr>
          <w:p w14:paraId="34B6869B"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Male</w:t>
            </w:r>
          </w:p>
        </w:tc>
        <w:tc>
          <w:tcPr>
            <w:tcW w:w="1820" w:type="dxa"/>
            <w:noWrap/>
            <w:hideMark/>
          </w:tcPr>
          <w:p w14:paraId="5956ABB5"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5 (25)</w:t>
            </w:r>
          </w:p>
        </w:tc>
        <w:tc>
          <w:tcPr>
            <w:tcW w:w="1900" w:type="dxa"/>
            <w:noWrap/>
            <w:hideMark/>
          </w:tcPr>
          <w:p w14:paraId="6D061435"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66 (67)</w:t>
            </w:r>
          </w:p>
        </w:tc>
        <w:tc>
          <w:tcPr>
            <w:tcW w:w="1440" w:type="dxa"/>
            <w:noWrap/>
            <w:hideMark/>
          </w:tcPr>
          <w:p w14:paraId="1D42287F" w14:textId="77777777" w:rsidR="00A3196E" w:rsidRPr="00706E08" w:rsidRDefault="00A3196E" w:rsidP="00A3196E">
            <w:pPr>
              <w:spacing w:line="360" w:lineRule="auto"/>
              <w:jc w:val="both"/>
              <w:rPr>
                <w:rFonts w:ascii="Book Antiqua" w:eastAsia="等线" w:hAnsi="Book Antiqua" w:cs="Arial"/>
                <w:b/>
                <w:bCs/>
                <w:color w:val="000000" w:themeColor="text1"/>
                <w:kern w:val="0"/>
                <w:sz w:val="24"/>
                <w:szCs w:val="24"/>
                <w:lang w:eastAsia="zh-CN"/>
              </w:rPr>
            </w:pPr>
            <w:r w:rsidRPr="00706E08">
              <w:rPr>
                <w:rFonts w:ascii="Book Antiqua" w:eastAsia="等线" w:hAnsi="Book Antiqua" w:cs="Arial"/>
                <w:b/>
                <w:bCs/>
                <w:color w:val="000000" w:themeColor="text1"/>
                <w:kern w:val="0"/>
                <w:sz w:val="24"/>
                <w:szCs w:val="24"/>
                <w:lang w:eastAsia="zh-CN"/>
              </w:rPr>
              <w:t>0.0008</w:t>
            </w:r>
          </w:p>
        </w:tc>
      </w:tr>
      <w:tr w:rsidR="00A3196E" w:rsidRPr="00706E08" w14:paraId="277C75F4" w14:textId="77777777" w:rsidTr="00A3196E">
        <w:trPr>
          <w:trHeight w:val="330"/>
        </w:trPr>
        <w:tc>
          <w:tcPr>
            <w:tcW w:w="2620" w:type="dxa"/>
            <w:noWrap/>
            <w:hideMark/>
          </w:tcPr>
          <w:p w14:paraId="55FD57A7"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Female</w:t>
            </w:r>
          </w:p>
        </w:tc>
        <w:tc>
          <w:tcPr>
            <w:tcW w:w="1820" w:type="dxa"/>
            <w:noWrap/>
            <w:hideMark/>
          </w:tcPr>
          <w:p w14:paraId="73187BCE"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15 (75)</w:t>
            </w:r>
          </w:p>
        </w:tc>
        <w:tc>
          <w:tcPr>
            <w:tcW w:w="1900" w:type="dxa"/>
            <w:noWrap/>
            <w:hideMark/>
          </w:tcPr>
          <w:p w14:paraId="0D527B62"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32 (33)</w:t>
            </w:r>
          </w:p>
        </w:tc>
        <w:tc>
          <w:tcPr>
            <w:tcW w:w="1440" w:type="dxa"/>
            <w:noWrap/>
            <w:hideMark/>
          </w:tcPr>
          <w:p w14:paraId="30542782" w14:textId="707A7154"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p>
        </w:tc>
      </w:tr>
      <w:tr w:rsidR="00A3196E" w:rsidRPr="00706E08" w14:paraId="084E9853" w14:textId="77777777" w:rsidTr="00A3196E">
        <w:trPr>
          <w:trHeight w:val="330"/>
        </w:trPr>
        <w:tc>
          <w:tcPr>
            <w:tcW w:w="2620" w:type="dxa"/>
            <w:noWrap/>
            <w:hideMark/>
          </w:tcPr>
          <w:p w14:paraId="6CC5CF4E"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Smoking</w:t>
            </w:r>
          </w:p>
        </w:tc>
        <w:tc>
          <w:tcPr>
            <w:tcW w:w="1820" w:type="dxa"/>
            <w:noWrap/>
            <w:hideMark/>
          </w:tcPr>
          <w:p w14:paraId="7BAECFFB" w14:textId="042744BA"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p>
        </w:tc>
        <w:tc>
          <w:tcPr>
            <w:tcW w:w="1900" w:type="dxa"/>
            <w:noWrap/>
            <w:hideMark/>
          </w:tcPr>
          <w:p w14:paraId="7C6DB88E" w14:textId="71845368"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p>
        </w:tc>
        <w:tc>
          <w:tcPr>
            <w:tcW w:w="1440" w:type="dxa"/>
            <w:noWrap/>
            <w:hideMark/>
          </w:tcPr>
          <w:p w14:paraId="184E20D7" w14:textId="7C80B3B0"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p>
        </w:tc>
      </w:tr>
      <w:tr w:rsidR="00A3196E" w:rsidRPr="00706E08" w14:paraId="04C3080B" w14:textId="77777777" w:rsidTr="00A3196E">
        <w:trPr>
          <w:trHeight w:val="475"/>
        </w:trPr>
        <w:tc>
          <w:tcPr>
            <w:tcW w:w="2620" w:type="dxa"/>
            <w:noWrap/>
            <w:hideMark/>
          </w:tcPr>
          <w:p w14:paraId="4A364ED1"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Never smoker</w:t>
            </w:r>
          </w:p>
        </w:tc>
        <w:tc>
          <w:tcPr>
            <w:tcW w:w="1820" w:type="dxa"/>
            <w:noWrap/>
            <w:hideMark/>
          </w:tcPr>
          <w:p w14:paraId="207A7747"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16 (80)</w:t>
            </w:r>
          </w:p>
        </w:tc>
        <w:tc>
          <w:tcPr>
            <w:tcW w:w="1900" w:type="dxa"/>
            <w:noWrap/>
            <w:hideMark/>
          </w:tcPr>
          <w:p w14:paraId="153E9FFC"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68 (69)</w:t>
            </w:r>
          </w:p>
        </w:tc>
        <w:tc>
          <w:tcPr>
            <w:tcW w:w="1440" w:type="dxa"/>
            <w:noWrap/>
            <w:hideMark/>
          </w:tcPr>
          <w:p w14:paraId="1E8C3B13"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0.42</w:t>
            </w:r>
          </w:p>
        </w:tc>
      </w:tr>
      <w:tr w:rsidR="00A3196E" w:rsidRPr="00706E08" w14:paraId="3EEA14FF" w14:textId="77777777" w:rsidTr="00A3196E">
        <w:trPr>
          <w:trHeight w:val="540"/>
        </w:trPr>
        <w:tc>
          <w:tcPr>
            <w:tcW w:w="2620" w:type="dxa"/>
            <w:noWrap/>
            <w:hideMark/>
          </w:tcPr>
          <w:p w14:paraId="4918540E"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Current smoker</w:t>
            </w:r>
          </w:p>
        </w:tc>
        <w:tc>
          <w:tcPr>
            <w:tcW w:w="1820" w:type="dxa"/>
            <w:noWrap/>
            <w:hideMark/>
          </w:tcPr>
          <w:p w14:paraId="455D708E"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1 (5)</w:t>
            </w:r>
          </w:p>
        </w:tc>
        <w:tc>
          <w:tcPr>
            <w:tcW w:w="1900" w:type="dxa"/>
            <w:noWrap/>
            <w:hideMark/>
          </w:tcPr>
          <w:p w14:paraId="2CB3DEC4"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13 (13)</w:t>
            </w:r>
          </w:p>
        </w:tc>
        <w:tc>
          <w:tcPr>
            <w:tcW w:w="1440" w:type="dxa"/>
            <w:noWrap/>
            <w:hideMark/>
          </w:tcPr>
          <w:p w14:paraId="0B75BD41" w14:textId="245A903D"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p>
        </w:tc>
      </w:tr>
      <w:tr w:rsidR="00A3196E" w:rsidRPr="00706E08" w14:paraId="5EB73AA8" w14:textId="77777777" w:rsidTr="00A3196E">
        <w:trPr>
          <w:trHeight w:val="450"/>
        </w:trPr>
        <w:tc>
          <w:tcPr>
            <w:tcW w:w="2620" w:type="dxa"/>
            <w:noWrap/>
            <w:hideMark/>
          </w:tcPr>
          <w:p w14:paraId="35343ED3"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Former smoker</w:t>
            </w:r>
          </w:p>
        </w:tc>
        <w:tc>
          <w:tcPr>
            <w:tcW w:w="1820" w:type="dxa"/>
            <w:noWrap/>
            <w:hideMark/>
          </w:tcPr>
          <w:p w14:paraId="305AE35E"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3 (15)</w:t>
            </w:r>
          </w:p>
        </w:tc>
        <w:tc>
          <w:tcPr>
            <w:tcW w:w="1900" w:type="dxa"/>
            <w:noWrap/>
            <w:hideMark/>
          </w:tcPr>
          <w:p w14:paraId="29D16843"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17 (18)</w:t>
            </w:r>
          </w:p>
        </w:tc>
        <w:tc>
          <w:tcPr>
            <w:tcW w:w="1440" w:type="dxa"/>
            <w:noWrap/>
            <w:hideMark/>
          </w:tcPr>
          <w:p w14:paraId="6199A762" w14:textId="415C3D3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p>
        </w:tc>
      </w:tr>
      <w:tr w:rsidR="00A3196E" w:rsidRPr="00706E08" w14:paraId="66702EDA" w14:textId="77777777" w:rsidTr="00A3196E">
        <w:trPr>
          <w:trHeight w:val="517"/>
        </w:trPr>
        <w:tc>
          <w:tcPr>
            <w:tcW w:w="2620" w:type="dxa"/>
            <w:noWrap/>
            <w:hideMark/>
          </w:tcPr>
          <w:p w14:paraId="365239FD"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Pulmonary disease</w:t>
            </w:r>
          </w:p>
        </w:tc>
        <w:tc>
          <w:tcPr>
            <w:tcW w:w="1820" w:type="dxa"/>
            <w:noWrap/>
            <w:hideMark/>
          </w:tcPr>
          <w:p w14:paraId="0B877B86"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1 (5)</w:t>
            </w:r>
          </w:p>
        </w:tc>
        <w:tc>
          <w:tcPr>
            <w:tcW w:w="1900" w:type="dxa"/>
            <w:noWrap/>
            <w:hideMark/>
          </w:tcPr>
          <w:p w14:paraId="679A8AA2"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5 (5)</w:t>
            </w:r>
          </w:p>
        </w:tc>
        <w:tc>
          <w:tcPr>
            <w:tcW w:w="1440" w:type="dxa"/>
            <w:noWrap/>
            <w:hideMark/>
          </w:tcPr>
          <w:p w14:paraId="2EC56994"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1</w:t>
            </w:r>
          </w:p>
        </w:tc>
      </w:tr>
      <w:tr w:rsidR="00A3196E" w:rsidRPr="00706E08" w14:paraId="2A935596" w14:textId="77777777" w:rsidTr="00A3196E">
        <w:trPr>
          <w:trHeight w:val="566"/>
        </w:trPr>
        <w:tc>
          <w:tcPr>
            <w:tcW w:w="2620" w:type="dxa"/>
            <w:noWrap/>
            <w:hideMark/>
          </w:tcPr>
          <w:p w14:paraId="78C24419"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History of surgery</w:t>
            </w:r>
          </w:p>
        </w:tc>
        <w:tc>
          <w:tcPr>
            <w:tcW w:w="1820" w:type="dxa"/>
            <w:noWrap/>
            <w:hideMark/>
          </w:tcPr>
          <w:p w14:paraId="4FBB6A4B"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13 (65)</w:t>
            </w:r>
          </w:p>
        </w:tc>
        <w:tc>
          <w:tcPr>
            <w:tcW w:w="1900" w:type="dxa"/>
            <w:noWrap/>
            <w:hideMark/>
          </w:tcPr>
          <w:p w14:paraId="63E998C9"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59 (60)</w:t>
            </w:r>
          </w:p>
        </w:tc>
        <w:tc>
          <w:tcPr>
            <w:tcW w:w="1440" w:type="dxa"/>
            <w:noWrap/>
            <w:hideMark/>
          </w:tcPr>
          <w:p w14:paraId="1397332F"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0.8</w:t>
            </w:r>
          </w:p>
        </w:tc>
      </w:tr>
      <w:tr w:rsidR="00A3196E" w:rsidRPr="00706E08" w14:paraId="755F3C68" w14:textId="77777777" w:rsidTr="00A3196E">
        <w:trPr>
          <w:trHeight w:val="432"/>
        </w:trPr>
        <w:tc>
          <w:tcPr>
            <w:tcW w:w="2620" w:type="dxa"/>
            <w:noWrap/>
            <w:hideMark/>
          </w:tcPr>
          <w:p w14:paraId="71472837"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CRP, g/dL</w:t>
            </w:r>
          </w:p>
        </w:tc>
        <w:tc>
          <w:tcPr>
            <w:tcW w:w="1820" w:type="dxa"/>
            <w:noWrap/>
            <w:hideMark/>
          </w:tcPr>
          <w:p w14:paraId="51DEC62F"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0.30 (0.11-0.53)</w:t>
            </w:r>
          </w:p>
        </w:tc>
        <w:tc>
          <w:tcPr>
            <w:tcW w:w="1900" w:type="dxa"/>
            <w:noWrap/>
            <w:hideMark/>
          </w:tcPr>
          <w:p w14:paraId="6A65CAD2"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0.13 (0.03-0.58)</w:t>
            </w:r>
          </w:p>
        </w:tc>
        <w:tc>
          <w:tcPr>
            <w:tcW w:w="1440" w:type="dxa"/>
            <w:noWrap/>
            <w:hideMark/>
          </w:tcPr>
          <w:p w14:paraId="5E22BAA5"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0.26</w:t>
            </w:r>
          </w:p>
        </w:tc>
      </w:tr>
      <w:tr w:rsidR="00A3196E" w:rsidRPr="00706E08" w14:paraId="44C3BCE8" w14:textId="77777777" w:rsidTr="00A3196E">
        <w:trPr>
          <w:trHeight w:val="413"/>
        </w:trPr>
        <w:tc>
          <w:tcPr>
            <w:tcW w:w="2620" w:type="dxa"/>
            <w:noWrap/>
            <w:hideMark/>
          </w:tcPr>
          <w:p w14:paraId="619D5445"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Disease location</w:t>
            </w:r>
          </w:p>
        </w:tc>
        <w:tc>
          <w:tcPr>
            <w:tcW w:w="1820" w:type="dxa"/>
            <w:noWrap/>
            <w:hideMark/>
          </w:tcPr>
          <w:p w14:paraId="6BB6C9E2" w14:textId="0AA544A5"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p>
        </w:tc>
        <w:tc>
          <w:tcPr>
            <w:tcW w:w="1900" w:type="dxa"/>
            <w:noWrap/>
            <w:hideMark/>
          </w:tcPr>
          <w:p w14:paraId="5E6BD5BE" w14:textId="539DAB76"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p>
        </w:tc>
        <w:tc>
          <w:tcPr>
            <w:tcW w:w="1440" w:type="dxa"/>
            <w:noWrap/>
            <w:hideMark/>
          </w:tcPr>
          <w:p w14:paraId="69F3B06A" w14:textId="62C7BFCB"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p>
        </w:tc>
      </w:tr>
      <w:tr w:rsidR="00A3196E" w:rsidRPr="00706E08" w14:paraId="76D9A1B8" w14:textId="77777777" w:rsidTr="00A3196E">
        <w:trPr>
          <w:trHeight w:val="330"/>
        </w:trPr>
        <w:tc>
          <w:tcPr>
            <w:tcW w:w="2620" w:type="dxa"/>
            <w:noWrap/>
            <w:hideMark/>
          </w:tcPr>
          <w:p w14:paraId="2432E76D"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L1, ileal</w:t>
            </w:r>
          </w:p>
        </w:tc>
        <w:tc>
          <w:tcPr>
            <w:tcW w:w="1820" w:type="dxa"/>
            <w:noWrap/>
            <w:hideMark/>
          </w:tcPr>
          <w:p w14:paraId="4FE4FD97" w14:textId="0147235F"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p>
        </w:tc>
        <w:tc>
          <w:tcPr>
            <w:tcW w:w="1900" w:type="dxa"/>
            <w:noWrap/>
            <w:hideMark/>
          </w:tcPr>
          <w:p w14:paraId="1EE15E27"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34 (35)</w:t>
            </w:r>
          </w:p>
        </w:tc>
        <w:tc>
          <w:tcPr>
            <w:tcW w:w="1440" w:type="dxa"/>
            <w:noWrap/>
            <w:hideMark/>
          </w:tcPr>
          <w:p w14:paraId="46E5BEE8" w14:textId="2415C2E3"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p>
        </w:tc>
      </w:tr>
      <w:tr w:rsidR="00A3196E" w:rsidRPr="00706E08" w14:paraId="18A94CB4" w14:textId="77777777" w:rsidTr="00A3196E">
        <w:trPr>
          <w:trHeight w:val="511"/>
        </w:trPr>
        <w:tc>
          <w:tcPr>
            <w:tcW w:w="2620" w:type="dxa"/>
            <w:noWrap/>
            <w:hideMark/>
          </w:tcPr>
          <w:p w14:paraId="161E0F13"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L2, colonic</w:t>
            </w:r>
          </w:p>
        </w:tc>
        <w:tc>
          <w:tcPr>
            <w:tcW w:w="1820" w:type="dxa"/>
            <w:noWrap/>
            <w:hideMark/>
          </w:tcPr>
          <w:p w14:paraId="1A350FB7" w14:textId="2124942F"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p>
        </w:tc>
        <w:tc>
          <w:tcPr>
            <w:tcW w:w="1900" w:type="dxa"/>
            <w:noWrap/>
            <w:hideMark/>
          </w:tcPr>
          <w:p w14:paraId="00A8A1B9"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14 (14)</w:t>
            </w:r>
          </w:p>
        </w:tc>
        <w:tc>
          <w:tcPr>
            <w:tcW w:w="1440" w:type="dxa"/>
            <w:noWrap/>
            <w:hideMark/>
          </w:tcPr>
          <w:p w14:paraId="6050D932" w14:textId="71E246C5"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p>
        </w:tc>
      </w:tr>
      <w:tr w:rsidR="00A3196E" w:rsidRPr="00706E08" w14:paraId="5DCE9FE2" w14:textId="77777777" w:rsidTr="00A3196E">
        <w:trPr>
          <w:trHeight w:val="330"/>
        </w:trPr>
        <w:tc>
          <w:tcPr>
            <w:tcW w:w="2620" w:type="dxa"/>
            <w:noWrap/>
            <w:hideMark/>
          </w:tcPr>
          <w:p w14:paraId="31F045CC"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L3, ileocolonic</w:t>
            </w:r>
          </w:p>
        </w:tc>
        <w:tc>
          <w:tcPr>
            <w:tcW w:w="1820" w:type="dxa"/>
            <w:noWrap/>
            <w:hideMark/>
          </w:tcPr>
          <w:p w14:paraId="69B2639F" w14:textId="13558A0C"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p>
        </w:tc>
        <w:tc>
          <w:tcPr>
            <w:tcW w:w="1900" w:type="dxa"/>
            <w:noWrap/>
            <w:hideMark/>
          </w:tcPr>
          <w:p w14:paraId="7BA4B3A8"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50 (51)</w:t>
            </w:r>
          </w:p>
        </w:tc>
        <w:tc>
          <w:tcPr>
            <w:tcW w:w="1440" w:type="dxa"/>
            <w:noWrap/>
            <w:hideMark/>
          </w:tcPr>
          <w:p w14:paraId="788D3F9F" w14:textId="10C1D846"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p>
        </w:tc>
      </w:tr>
      <w:tr w:rsidR="00A3196E" w:rsidRPr="00706E08" w14:paraId="029313DD" w14:textId="77777777" w:rsidTr="00A3196E">
        <w:trPr>
          <w:trHeight w:val="345"/>
        </w:trPr>
        <w:tc>
          <w:tcPr>
            <w:tcW w:w="2620" w:type="dxa"/>
            <w:tcBorders>
              <w:bottom w:val="single" w:sz="8" w:space="0" w:color="000000" w:themeColor="text1"/>
            </w:tcBorders>
            <w:noWrap/>
            <w:hideMark/>
          </w:tcPr>
          <w:p w14:paraId="5AD89B4F"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 xml:space="preserve">Disease duration, </w:t>
            </w:r>
            <w:proofErr w:type="spellStart"/>
            <w:r w:rsidRPr="00706E08">
              <w:rPr>
                <w:rFonts w:ascii="Book Antiqua" w:eastAsia="等线" w:hAnsi="Book Antiqua" w:cs="Arial"/>
                <w:color w:val="000000" w:themeColor="text1"/>
                <w:kern w:val="0"/>
                <w:sz w:val="24"/>
                <w:szCs w:val="24"/>
                <w:lang w:eastAsia="zh-CN"/>
              </w:rPr>
              <w:t>yr</w:t>
            </w:r>
            <w:proofErr w:type="spellEnd"/>
          </w:p>
        </w:tc>
        <w:tc>
          <w:tcPr>
            <w:tcW w:w="1820" w:type="dxa"/>
            <w:tcBorders>
              <w:bottom w:val="single" w:sz="8" w:space="0" w:color="000000" w:themeColor="text1"/>
            </w:tcBorders>
            <w:noWrap/>
            <w:hideMark/>
          </w:tcPr>
          <w:p w14:paraId="42CB095B"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33 (19-42)</w:t>
            </w:r>
          </w:p>
        </w:tc>
        <w:tc>
          <w:tcPr>
            <w:tcW w:w="1900" w:type="dxa"/>
            <w:tcBorders>
              <w:bottom w:val="single" w:sz="8" w:space="0" w:color="000000" w:themeColor="text1"/>
            </w:tcBorders>
            <w:noWrap/>
            <w:hideMark/>
          </w:tcPr>
          <w:p w14:paraId="0232B1DE" w14:textId="77777777" w:rsidR="00A3196E" w:rsidRPr="00706E08" w:rsidRDefault="00A3196E" w:rsidP="00A3196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lang w:eastAsia="zh-CN"/>
              </w:rPr>
              <w:t>20 (13-29)</w:t>
            </w:r>
          </w:p>
        </w:tc>
        <w:tc>
          <w:tcPr>
            <w:tcW w:w="1440" w:type="dxa"/>
            <w:tcBorders>
              <w:bottom w:val="single" w:sz="8" w:space="0" w:color="000000" w:themeColor="text1"/>
            </w:tcBorders>
            <w:noWrap/>
            <w:hideMark/>
          </w:tcPr>
          <w:p w14:paraId="6DDE41E6" w14:textId="77777777" w:rsidR="00A3196E" w:rsidRPr="00706E08" w:rsidRDefault="00A3196E" w:rsidP="00A3196E">
            <w:pPr>
              <w:spacing w:line="360" w:lineRule="auto"/>
              <w:jc w:val="both"/>
              <w:rPr>
                <w:rFonts w:ascii="Book Antiqua" w:eastAsia="等线" w:hAnsi="Book Antiqua" w:cs="Arial"/>
                <w:b/>
                <w:bCs/>
                <w:color w:val="000000" w:themeColor="text1"/>
                <w:kern w:val="0"/>
                <w:sz w:val="24"/>
                <w:szCs w:val="24"/>
                <w:lang w:eastAsia="zh-CN"/>
              </w:rPr>
            </w:pPr>
            <w:r w:rsidRPr="00706E08">
              <w:rPr>
                <w:rFonts w:ascii="Book Antiqua" w:eastAsia="等线" w:hAnsi="Book Antiqua" w:cs="Arial"/>
                <w:b/>
                <w:bCs/>
                <w:color w:val="000000" w:themeColor="text1"/>
                <w:kern w:val="0"/>
                <w:sz w:val="24"/>
                <w:szCs w:val="24"/>
                <w:lang w:eastAsia="zh-CN"/>
              </w:rPr>
              <w:t>0.0055</w:t>
            </w:r>
          </w:p>
        </w:tc>
      </w:tr>
    </w:tbl>
    <w:p w14:paraId="26AC0A26" w14:textId="1F47B64E" w:rsidR="00A3196E" w:rsidRPr="00706E08" w:rsidRDefault="00C67121" w:rsidP="000B52D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等线" w:hAnsi="Book Antiqua" w:cs="Arial"/>
          <w:color w:val="000000" w:themeColor="text1"/>
          <w:kern w:val="0"/>
          <w:sz w:val="24"/>
          <w:szCs w:val="24"/>
          <w:vertAlign w:val="superscript"/>
          <w:lang w:eastAsia="zh-CN"/>
        </w:rPr>
        <w:t>1</w:t>
      </w:r>
      <w:r w:rsidR="000C7C53" w:rsidRPr="00706E08">
        <w:rPr>
          <w:rFonts w:ascii="Book Antiqua" w:eastAsia="Yu Gothic" w:hAnsi="Book Antiqua" w:cs="Arial"/>
          <w:color w:val="000000" w:themeColor="text1"/>
          <w:kern w:val="0"/>
          <w:sz w:val="24"/>
          <w:szCs w:val="24"/>
        </w:rPr>
        <w:t xml:space="preserve">Mann-Whitney </w:t>
      </w:r>
      <w:r w:rsidR="000C7C53" w:rsidRPr="00706E08">
        <w:rPr>
          <w:rFonts w:ascii="Book Antiqua" w:eastAsia="Yu Gothic" w:hAnsi="Book Antiqua" w:cs="Arial"/>
          <w:i/>
          <w:color w:val="000000" w:themeColor="text1"/>
          <w:kern w:val="0"/>
          <w:sz w:val="24"/>
          <w:szCs w:val="24"/>
        </w:rPr>
        <w:t>U</w:t>
      </w:r>
      <w:r w:rsidR="000C7C53" w:rsidRPr="00706E08">
        <w:rPr>
          <w:rFonts w:ascii="Book Antiqua" w:eastAsia="Yu Gothic" w:hAnsi="Book Antiqua" w:cs="Arial"/>
          <w:color w:val="000000" w:themeColor="text1"/>
          <w:kern w:val="0"/>
          <w:sz w:val="24"/>
          <w:szCs w:val="24"/>
        </w:rPr>
        <w:t>-test or Fisher</w:t>
      </w:r>
      <w:r w:rsidR="006422AC" w:rsidRPr="00706E08">
        <w:rPr>
          <w:rFonts w:ascii="Book Antiqua" w:eastAsia="Yu Gothic" w:hAnsi="Book Antiqua" w:cs="Arial"/>
          <w:color w:val="000000" w:themeColor="text1"/>
          <w:kern w:val="0"/>
          <w:sz w:val="24"/>
          <w:szCs w:val="24"/>
          <w:lang w:eastAsia="zh-CN"/>
        </w:rPr>
        <w:t>’</w:t>
      </w:r>
      <w:r w:rsidR="000C7C53" w:rsidRPr="00706E08">
        <w:rPr>
          <w:rFonts w:ascii="Book Antiqua" w:eastAsia="Yu Gothic" w:hAnsi="Book Antiqua" w:cs="Arial"/>
          <w:color w:val="000000" w:themeColor="text1"/>
          <w:kern w:val="0"/>
          <w:sz w:val="24"/>
          <w:szCs w:val="24"/>
        </w:rPr>
        <w:t>s exact test. Data are the number (%) or median (</w:t>
      </w:r>
      <w:r w:rsidR="006422AC" w:rsidRPr="00706E08">
        <w:rPr>
          <w:rFonts w:ascii="Book Antiqua" w:eastAsia="Yu Gothic" w:hAnsi="Book Antiqua" w:cs="Arial"/>
          <w:color w:val="000000" w:themeColor="text1"/>
          <w:kern w:val="0"/>
          <w:sz w:val="24"/>
          <w:szCs w:val="24"/>
        </w:rPr>
        <w:t>interquartile range</w:t>
      </w:r>
      <w:r w:rsidR="000C7C53" w:rsidRPr="00706E08">
        <w:rPr>
          <w:rFonts w:ascii="Book Antiqua" w:eastAsia="Yu Gothic" w:hAnsi="Book Antiqua" w:cs="Arial"/>
          <w:color w:val="000000" w:themeColor="text1"/>
          <w:kern w:val="0"/>
          <w:sz w:val="24"/>
          <w:szCs w:val="24"/>
        </w:rPr>
        <w:t xml:space="preserve">). Significant </w:t>
      </w:r>
      <w:r w:rsidR="006422AC" w:rsidRPr="00706E08">
        <w:rPr>
          <w:rFonts w:ascii="Book Antiqua" w:eastAsia="Yu Gothic" w:hAnsi="Book Antiqua" w:cs="Arial"/>
          <w:i/>
          <w:color w:val="000000" w:themeColor="text1"/>
          <w:kern w:val="0"/>
          <w:sz w:val="24"/>
          <w:szCs w:val="24"/>
        </w:rPr>
        <w:t>P</w:t>
      </w:r>
      <w:r w:rsidR="000C7C53" w:rsidRPr="00706E08">
        <w:rPr>
          <w:rFonts w:ascii="Book Antiqua" w:eastAsia="Yu Gothic" w:hAnsi="Book Antiqua" w:cs="Arial"/>
          <w:color w:val="000000" w:themeColor="text1"/>
          <w:kern w:val="0"/>
          <w:sz w:val="24"/>
          <w:szCs w:val="24"/>
        </w:rPr>
        <w:t xml:space="preserve"> values are indicated in bold.</w:t>
      </w:r>
      <w:r w:rsidR="00491AF5" w:rsidRPr="00706E08">
        <w:rPr>
          <w:rFonts w:ascii="Book Antiqua" w:eastAsia="Yu Gothic" w:hAnsi="Book Antiqua" w:cs="Arial"/>
          <w:color w:val="000000" w:themeColor="text1"/>
          <w:kern w:val="0"/>
          <w:sz w:val="24"/>
          <w:szCs w:val="24"/>
          <w:lang w:eastAsia="zh-CN"/>
        </w:rPr>
        <w:t xml:space="preserve"> </w:t>
      </w:r>
      <w:r w:rsidR="00491AF5" w:rsidRPr="00706E08">
        <w:rPr>
          <w:rFonts w:ascii="Book Antiqua" w:eastAsia="Yu Gothic" w:hAnsi="Book Antiqua" w:cs="Arial"/>
          <w:color w:val="000000" w:themeColor="text1"/>
          <w:kern w:val="0"/>
          <w:sz w:val="24"/>
          <w:szCs w:val="24"/>
        </w:rPr>
        <w:t xml:space="preserve">CEAS: Chronic enteropathy associated with </w:t>
      </w:r>
      <w:r w:rsidR="00491AF5" w:rsidRPr="00706E08">
        <w:rPr>
          <w:rFonts w:ascii="Book Antiqua" w:eastAsia="Yu Gothic" w:hAnsi="Book Antiqua" w:cs="Arial"/>
          <w:i/>
          <w:color w:val="000000" w:themeColor="text1"/>
          <w:kern w:val="0"/>
          <w:sz w:val="24"/>
          <w:szCs w:val="24"/>
        </w:rPr>
        <w:t>SLCO2A1</w:t>
      </w:r>
      <w:r w:rsidR="00491AF5" w:rsidRPr="00706E08">
        <w:rPr>
          <w:rFonts w:ascii="Book Antiqua" w:eastAsia="Yu Gothic" w:hAnsi="Book Antiqua" w:cs="Arial"/>
          <w:color w:val="000000" w:themeColor="text1"/>
          <w:kern w:val="0"/>
          <w:sz w:val="24"/>
          <w:szCs w:val="24"/>
        </w:rPr>
        <w:t xml:space="preserve"> gene</w:t>
      </w:r>
      <w:r w:rsidR="00491AF5" w:rsidRPr="00706E08">
        <w:rPr>
          <w:rFonts w:ascii="Book Antiqua" w:eastAsia="Yu Gothic" w:hAnsi="Book Antiqua" w:cs="Arial"/>
          <w:color w:val="000000" w:themeColor="text1"/>
          <w:kern w:val="0"/>
          <w:sz w:val="24"/>
          <w:szCs w:val="24"/>
          <w:lang w:eastAsia="zh-CN"/>
        </w:rPr>
        <w:t>;</w:t>
      </w:r>
      <w:r w:rsidR="00491AF5" w:rsidRPr="00706E08">
        <w:rPr>
          <w:rFonts w:ascii="Book Antiqua" w:eastAsia="Yu Gothic" w:hAnsi="Book Antiqua" w:cs="Arial"/>
          <w:color w:val="000000" w:themeColor="text1"/>
          <w:kern w:val="0"/>
          <w:sz w:val="24"/>
          <w:szCs w:val="24"/>
        </w:rPr>
        <w:t xml:space="preserve"> CD: Crohn disease</w:t>
      </w:r>
      <w:r w:rsidR="00491AF5" w:rsidRPr="00706E08">
        <w:rPr>
          <w:rFonts w:ascii="Book Antiqua" w:eastAsia="Yu Gothic" w:hAnsi="Book Antiqua" w:cs="Arial"/>
          <w:color w:val="000000" w:themeColor="text1"/>
          <w:kern w:val="0"/>
          <w:sz w:val="24"/>
          <w:szCs w:val="24"/>
          <w:lang w:eastAsia="zh-CN"/>
        </w:rPr>
        <w:t>;</w:t>
      </w:r>
      <w:r w:rsidR="00491AF5" w:rsidRPr="00706E08">
        <w:rPr>
          <w:rFonts w:ascii="Book Antiqua" w:eastAsia="Yu Gothic" w:hAnsi="Book Antiqua" w:cs="Arial"/>
          <w:color w:val="000000" w:themeColor="text1"/>
          <w:kern w:val="0"/>
          <w:sz w:val="24"/>
          <w:szCs w:val="24"/>
        </w:rPr>
        <w:t xml:space="preserve"> CRP: C reactive protein</w:t>
      </w:r>
      <w:r w:rsidR="00491AF5" w:rsidRPr="00706E08">
        <w:rPr>
          <w:rFonts w:ascii="Book Antiqua" w:eastAsia="Yu Gothic" w:hAnsi="Book Antiqua" w:cs="Arial"/>
          <w:color w:val="000000" w:themeColor="text1"/>
          <w:kern w:val="0"/>
          <w:sz w:val="24"/>
          <w:szCs w:val="24"/>
          <w:lang w:eastAsia="zh-CN"/>
        </w:rPr>
        <w:t>.</w:t>
      </w:r>
    </w:p>
    <w:p w14:paraId="310E2361" w14:textId="77777777" w:rsidR="00A3196E" w:rsidRPr="00706E08" w:rsidRDefault="00A3196E" w:rsidP="000B52DE">
      <w:pPr>
        <w:spacing w:line="360" w:lineRule="auto"/>
        <w:jc w:val="both"/>
        <w:rPr>
          <w:rFonts w:ascii="Book Antiqua" w:eastAsia="等线" w:hAnsi="Book Antiqua" w:cs="Arial"/>
          <w:color w:val="000000" w:themeColor="text1"/>
          <w:kern w:val="0"/>
          <w:sz w:val="24"/>
          <w:szCs w:val="24"/>
          <w:lang w:eastAsia="zh-CN"/>
        </w:rPr>
      </w:pPr>
    </w:p>
    <w:p w14:paraId="06701656" w14:textId="77777777" w:rsidR="00A3196E" w:rsidRPr="00706E08" w:rsidRDefault="00A3196E" w:rsidP="000B52DE">
      <w:pPr>
        <w:spacing w:line="360" w:lineRule="auto"/>
        <w:jc w:val="both"/>
        <w:rPr>
          <w:rFonts w:ascii="Book Antiqua" w:eastAsia="等线" w:hAnsi="Book Antiqua" w:cs="Arial"/>
          <w:color w:val="000000" w:themeColor="text1"/>
          <w:kern w:val="0"/>
          <w:sz w:val="24"/>
          <w:szCs w:val="24"/>
          <w:lang w:eastAsia="zh-CN"/>
        </w:rPr>
        <w:sectPr w:rsidR="00A3196E" w:rsidRPr="00706E08" w:rsidSect="00830424">
          <w:type w:val="continuous"/>
          <w:pgSz w:w="12240" w:h="15840"/>
          <w:pgMar w:top="1985" w:right="1701" w:bottom="1701" w:left="1701" w:header="709" w:footer="709" w:gutter="0"/>
          <w:cols w:space="708"/>
          <w:docGrid w:type="lines" w:linePitch="289"/>
        </w:sectPr>
      </w:pPr>
    </w:p>
    <w:p w14:paraId="544EBB63" w14:textId="2F833B30" w:rsidR="000C7C53" w:rsidRPr="00706E08" w:rsidRDefault="006422AC" w:rsidP="000B52DE">
      <w:pPr>
        <w:spacing w:line="360" w:lineRule="auto"/>
        <w:jc w:val="both"/>
        <w:rPr>
          <w:rFonts w:ascii="Book Antiqua" w:hAnsi="Book Antiqua"/>
          <w:b/>
          <w:color w:val="000000" w:themeColor="text1"/>
          <w:sz w:val="24"/>
          <w:szCs w:val="24"/>
        </w:rPr>
      </w:pPr>
      <w:r w:rsidRPr="00706E08">
        <w:rPr>
          <w:rFonts w:ascii="Book Antiqua" w:eastAsia="Yu Gothic" w:hAnsi="Book Antiqua" w:cs="Arial"/>
          <w:b/>
          <w:color w:val="000000" w:themeColor="text1"/>
          <w:kern w:val="0"/>
          <w:sz w:val="24"/>
          <w:szCs w:val="24"/>
        </w:rPr>
        <w:lastRenderedPageBreak/>
        <w:t>Table 2</w:t>
      </w:r>
      <w:r w:rsidR="000C7C53" w:rsidRPr="00706E08">
        <w:rPr>
          <w:rFonts w:ascii="Book Antiqua" w:eastAsia="Yu Gothic" w:hAnsi="Book Antiqua" w:cs="Arial"/>
          <w:b/>
          <w:color w:val="000000" w:themeColor="text1"/>
          <w:kern w:val="0"/>
          <w:sz w:val="24"/>
          <w:szCs w:val="24"/>
        </w:rPr>
        <w:t xml:space="preserve"> Factors associated with </w:t>
      </w:r>
      <w:r w:rsidRPr="00706E08">
        <w:rPr>
          <w:rFonts w:ascii="Book Antiqua" w:eastAsia="Yu Gothic" w:hAnsi="Book Antiqua" w:cs="Arial"/>
          <w:b/>
          <w:color w:val="000000" w:themeColor="text1"/>
          <w:kern w:val="0"/>
          <w:sz w:val="24"/>
          <w:szCs w:val="24"/>
        </w:rPr>
        <w:t>p</w:t>
      </w:r>
      <w:r w:rsidR="00176445" w:rsidRPr="00706E08">
        <w:rPr>
          <w:rFonts w:ascii="Book Antiqua" w:eastAsia="Yu Gothic" w:hAnsi="Book Antiqua" w:cs="Arial"/>
          <w:b/>
          <w:color w:val="000000" w:themeColor="text1"/>
          <w:kern w:val="0"/>
          <w:sz w:val="24"/>
          <w:szCs w:val="24"/>
        </w:rPr>
        <w:t xml:space="preserve">rostaglandin E major urinary metabolite </w:t>
      </w:r>
      <w:r w:rsidR="000C7C53" w:rsidRPr="00706E08">
        <w:rPr>
          <w:rFonts w:ascii="Book Antiqua" w:eastAsia="Yu Gothic" w:hAnsi="Book Antiqua" w:cs="Arial"/>
          <w:b/>
          <w:color w:val="000000" w:themeColor="text1"/>
          <w:kern w:val="0"/>
          <w:sz w:val="24"/>
          <w:szCs w:val="24"/>
        </w:rPr>
        <w:t>concentrations</w:t>
      </w:r>
      <w:r w:rsidR="000C7C53" w:rsidRPr="00706E08">
        <w:rPr>
          <w:rFonts w:ascii="Book Antiqua" w:hAnsi="Book Antiqua"/>
          <w:b/>
          <w:color w:val="000000" w:themeColor="text1"/>
          <w:sz w:val="24"/>
          <w:szCs w:val="24"/>
        </w:rPr>
        <w:t xml:space="preserve"> </w:t>
      </w:r>
    </w:p>
    <w:tbl>
      <w:tblPr>
        <w:tblW w:w="10926" w:type="dxa"/>
        <w:tblCellMar>
          <w:left w:w="99" w:type="dxa"/>
          <w:right w:w="99" w:type="dxa"/>
        </w:tblCellMar>
        <w:tblLook w:val="04A0" w:firstRow="1" w:lastRow="0" w:firstColumn="1" w:lastColumn="0" w:noHBand="0" w:noVBand="1"/>
      </w:tblPr>
      <w:tblGrid>
        <w:gridCol w:w="6445"/>
        <w:gridCol w:w="4481"/>
      </w:tblGrid>
      <w:tr w:rsidR="000B52DE" w:rsidRPr="00706E08" w14:paraId="2855B6B5" w14:textId="77777777" w:rsidTr="00830424">
        <w:trPr>
          <w:trHeight w:val="451"/>
        </w:trPr>
        <w:tc>
          <w:tcPr>
            <w:tcW w:w="6445" w:type="dxa"/>
            <w:tcBorders>
              <w:top w:val="single" w:sz="4" w:space="0" w:color="auto"/>
              <w:left w:val="nil"/>
              <w:bottom w:val="single" w:sz="4" w:space="0" w:color="auto"/>
              <w:right w:val="nil"/>
            </w:tcBorders>
            <w:shd w:val="clear" w:color="auto" w:fill="auto"/>
            <w:noWrap/>
            <w:vAlign w:val="center"/>
            <w:hideMark/>
          </w:tcPr>
          <w:p w14:paraId="6B779942" w14:textId="58827614" w:rsidR="000C7C53" w:rsidRPr="00706E08" w:rsidRDefault="000C7C53" w:rsidP="000B52DE">
            <w:pPr>
              <w:spacing w:line="360" w:lineRule="auto"/>
              <w:jc w:val="both"/>
              <w:rPr>
                <w:rFonts w:ascii="Book Antiqua" w:eastAsia="等线" w:hAnsi="Book Antiqua" w:cs="Arial"/>
                <w:color w:val="000000" w:themeColor="text1"/>
                <w:kern w:val="0"/>
                <w:sz w:val="24"/>
                <w:szCs w:val="24"/>
                <w:lang w:eastAsia="zh-CN"/>
              </w:rPr>
            </w:pPr>
          </w:p>
        </w:tc>
        <w:tc>
          <w:tcPr>
            <w:tcW w:w="4481" w:type="dxa"/>
            <w:tcBorders>
              <w:top w:val="single" w:sz="4" w:space="0" w:color="auto"/>
              <w:left w:val="nil"/>
              <w:bottom w:val="single" w:sz="4" w:space="0" w:color="auto"/>
              <w:right w:val="nil"/>
            </w:tcBorders>
            <w:shd w:val="clear" w:color="auto" w:fill="auto"/>
            <w:noWrap/>
            <w:vAlign w:val="center"/>
            <w:hideMark/>
          </w:tcPr>
          <w:p w14:paraId="663F6013" w14:textId="6CD6A9F9" w:rsidR="000C7C53" w:rsidRPr="00706E08" w:rsidRDefault="000C7C53" w:rsidP="006422AC">
            <w:pPr>
              <w:spacing w:line="360" w:lineRule="auto"/>
              <w:jc w:val="both"/>
              <w:rPr>
                <w:rFonts w:ascii="Book Antiqua" w:eastAsia="Yu Gothic" w:hAnsi="Book Antiqua" w:cs="Arial"/>
                <w:color w:val="000000" w:themeColor="text1"/>
                <w:kern w:val="0"/>
                <w:sz w:val="24"/>
                <w:szCs w:val="24"/>
              </w:rPr>
            </w:pPr>
            <w:r w:rsidRPr="00706E08">
              <w:rPr>
                <w:rFonts w:ascii="Book Antiqua" w:hAnsi="Book Antiqua"/>
                <w:color w:val="000000" w:themeColor="text1"/>
                <w:sz w:val="24"/>
                <w:szCs w:val="24"/>
              </w:rPr>
              <w:t>Univariable</w:t>
            </w:r>
            <w:r w:rsidRPr="00706E08" w:rsidDel="007C3DFB">
              <w:rPr>
                <w:rFonts w:ascii="Book Antiqua" w:eastAsia="Yu Gothic" w:hAnsi="Book Antiqua" w:cs="Arial"/>
                <w:color w:val="000000" w:themeColor="text1"/>
                <w:kern w:val="0"/>
                <w:sz w:val="24"/>
                <w:szCs w:val="24"/>
              </w:rPr>
              <w:t xml:space="preserve"> </w:t>
            </w:r>
            <w:r w:rsidRPr="00706E08">
              <w:rPr>
                <w:rFonts w:ascii="Book Antiqua" w:eastAsia="Yu Gothic" w:hAnsi="Book Antiqua" w:cs="Arial"/>
                <w:color w:val="000000" w:themeColor="text1"/>
                <w:kern w:val="0"/>
                <w:sz w:val="24"/>
                <w:szCs w:val="24"/>
              </w:rPr>
              <w:t>linear regression (</w:t>
            </w:r>
            <w:r w:rsidR="006422AC" w:rsidRPr="00706E08">
              <w:rPr>
                <w:rFonts w:ascii="Book Antiqua" w:eastAsia="Yu Gothic" w:hAnsi="Book Antiqua" w:cs="Arial"/>
                <w:i/>
                <w:color w:val="000000" w:themeColor="text1"/>
                <w:kern w:val="0"/>
                <w:sz w:val="24"/>
                <w:szCs w:val="24"/>
                <w:lang w:eastAsia="zh-CN"/>
              </w:rPr>
              <w:t>P</w:t>
            </w:r>
            <w:r w:rsidRPr="00706E08">
              <w:rPr>
                <w:rFonts w:ascii="Book Antiqua" w:eastAsia="Yu Gothic" w:hAnsi="Book Antiqua" w:cs="Arial"/>
                <w:color w:val="000000" w:themeColor="text1"/>
                <w:kern w:val="0"/>
                <w:sz w:val="24"/>
                <w:szCs w:val="24"/>
              </w:rPr>
              <w:t xml:space="preserve"> value)</w:t>
            </w:r>
          </w:p>
        </w:tc>
      </w:tr>
      <w:tr w:rsidR="000B52DE" w:rsidRPr="00706E08" w14:paraId="042DEAB8" w14:textId="77777777" w:rsidTr="00830424">
        <w:trPr>
          <w:trHeight w:val="451"/>
        </w:trPr>
        <w:tc>
          <w:tcPr>
            <w:tcW w:w="6445" w:type="dxa"/>
            <w:tcBorders>
              <w:top w:val="nil"/>
              <w:left w:val="nil"/>
              <w:bottom w:val="nil"/>
              <w:right w:val="nil"/>
            </w:tcBorders>
            <w:shd w:val="clear" w:color="auto" w:fill="auto"/>
            <w:noWrap/>
            <w:vAlign w:val="center"/>
            <w:hideMark/>
          </w:tcPr>
          <w:p w14:paraId="7B4F169E" w14:textId="77777777" w:rsidR="000C7C53" w:rsidRPr="00706E08" w:rsidRDefault="000C7C53" w:rsidP="000B52DE">
            <w:pPr>
              <w:spacing w:line="360" w:lineRule="auto"/>
              <w:jc w:val="both"/>
              <w:rPr>
                <w:rFonts w:ascii="Book Antiqua" w:eastAsia="Yu Gothic" w:hAnsi="Book Antiqua" w:cs="Arial"/>
                <w:color w:val="000000" w:themeColor="text1"/>
                <w:kern w:val="0"/>
                <w:sz w:val="24"/>
                <w:szCs w:val="24"/>
              </w:rPr>
            </w:pPr>
            <w:r w:rsidRPr="00706E08">
              <w:rPr>
                <w:rFonts w:ascii="Book Antiqua" w:eastAsia="Yu Gothic" w:hAnsi="Book Antiqua" w:cs="Arial"/>
                <w:color w:val="000000" w:themeColor="text1"/>
                <w:kern w:val="0"/>
                <w:sz w:val="24"/>
                <w:szCs w:val="24"/>
              </w:rPr>
              <w:t>Age</w:t>
            </w:r>
          </w:p>
        </w:tc>
        <w:tc>
          <w:tcPr>
            <w:tcW w:w="4481" w:type="dxa"/>
            <w:tcBorders>
              <w:top w:val="nil"/>
              <w:left w:val="nil"/>
              <w:bottom w:val="nil"/>
              <w:right w:val="nil"/>
            </w:tcBorders>
            <w:shd w:val="clear" w:color="auto" w:fill="auto"/>
            <w:noWrap/>
            <w:vAlign w:val="center"/>
            <w:hideMark/>
          </w:tcPr>
          <w:p w14:paraId="24239593" w14:textId="77777777" w:rsidR="000C7C53" w:rsidRPr="00706E08" w:rsidRDefault="000C7C53" w:rsidP="000B52DE">
            <w:pPr>
              <w:spacing w:line="360" w:lineRule="auto"/>
              <w:jc w:val="both"/>
              <w:rPr>
                <w:rFonts w:ascii="Book Antiqua" w:eastAsia="Yu Gothic" w:hAnsi="Book Antiqua" w:cs="Arial"/>
                <w:color w:val="000000" w:themeColor="text1"/>
                <w:kern w:val="0"/>
                <w:sz w:val="24"/>
                <w:szCs w:val="24"/>
              </w:rPr>
            </w:pPr>
            <w:r w:rsidRPr="00706E08">
              <w:rPr>
                <w:rFonts w:ascii="Book Antiqua" w:hAnsi="Book Antiqua"/>
                <w:i/>
                <w:color w:val="000000" w:themeColor="text1"/>
                <w:sz w:val="24"/>
                <w:szCs w:val="24"/>
              </w:rPr>
              <w:t>P</w:t>
            </w:r>
            <w:r w:rsidRPr="00706E08">
              <w:rPr>
                <w:rFonts w:ascii="Book Antiqua" w:eastAsia="Yu Gothic" w:hAnsi="Book Antiqua" w:cs="Arial"/>
                <w:color w:val="000000" w:themeColor="text1"/>
                <w:kern w:val="0"/>
                <w:sz w:val="24"/>
                <w:szCs w:val="24"/>
              </w:rPr>
              <w:t xml:space="preserve"> = 0.47 (0.067)</w:t>
            </w:r>
          </w:p>
        </w:tc>
      </w:tr>
      <w:tr w:rsidR="000B52DE" w:rsidRPr="00706E08" w14:paraId="12535738" w14:textId="77777777" w:rsidTr="00830424">
        <w:trPr>
          <w:trHeight w:val="451"/>
        </w:trPr>
        <w:tc>
          <w:tcPr>
            <w:tcW w:w="6445" w:type="dxa"/>
            <w:tcBorders>
              <w:top w:val="nil"/>
              <w:left w:val="nil"/>
              <w:bottom w:val="nil"/>
              <w:right w:val="nil"/>
            </w:tcBorders>
            <w:shd w:val="clear" w:color="auto" w:fill="auto"/>
            <w:noWrap/>
            <w:vAlign w:val="center"/>
            <w:hideMark/>
          </w:tcPr>
          <w:p w14:paraId="70923ECD" w14:textId="77777777" w:rsidR="000C7C53" w:rsidRPr="00706E08" w:rsidRDefault="000C7C53" w:rsidP="000B52DE">
            <w:pPr>
              <w:spacing w:line="360" w:lineRule="auto"/>
              <w:jc w:val="both"/>
              <w:rPr>
                <w:rFonts w:ascii="Book Antiqua" w:eastAsia="Yu Gothic" w:hAnsi="Book Antiqua" w:cs="Arial"/>
                <w:color w:val="000000" w:themeColor="text1"/>
                <w:kern w:val="0"/>
                <w:sz w:val="24"/>
                <w:szCs w:val="24"/>
              </w:rPr>
            </w:pPr>
            <w:r w:rsidRPr="00706E08">
              <w:rPr>
                <w:rFonts w:ascii="Book Antiqua" w:eastAsia="Yu Gothic" w:hAnsi="Book Antiqua" w:cs="Arial"/>
                <w:color w:val="000000" w:themeColor="text1"/>
                <w:kern w:val="0"/>
                <w:sz w:val="24"/>
                <w:szCs w:val="24"/>
              </w:rPr>
              <w:t>Gender (1, female; 0, male)</w:t>
            </w:r>
          </w:p>
        </w:tc>
        <w:tc>
          <w:tcPr>
            <w:tcW w:w="4481" w:type="dxa"/>
            <w:tcBorders>
              <w:top w:val="nil"/>
              <w:left w:val="nil"/>
              <w:bottom w:val="nil"/>
              <w:right w:val="nil"/>
            </w:tcBorders>
            <w:shd w:val="clear" w:color="auto" w:fill="auto"/>
            <w:noWrap/>
            <w:vAlign w:val="center"/>
            <w:hideMark/>
          </w:tcPr>
          <w:p w14:paraId="358033E3" w14:textId="77777777" w:rsidR="000C7C53" w:rsidRPr="00706E08" w:rsidRDefault="000C7C53" w:rsidP="000B52DE">
            <w:pPr>
              <w:spacing w:line="360" w:lineRule="auto"/>
              <w:jc w:val="both"/>
              <w:rPr>
                <w:rFonts w:ascii="Book Antiqua" w:eastAsia="Yu Gothic" w:hAnsi="Book Antiqua" w:cs="Arial"/>
                <w:color w:val="000000" w:themeColor="text1"/>
                <w:kern w:val="0"/>
                <w:sz w:val="24"/>
                <w:szCs w:val="24"/>
              </w:rPr>
            </w:pPr>
            <w:r w:rsidRPr="00706E08">
              <w:rPr>
                <w:rFonts w:ascii="Book Antiqua" w:hAnsi="Book Antiqua"/>
                <w:i/>
                <w:color w:val="000000" w:themeColor="text1"/>
                <w:sz w:val="24"/>
                <w:szCs w:val="24"/>
              </w:rPr>
              <w:t>P</w:t>
            </w:r>
            <w:r w:rsidRPr="00706E08">
              <w:rPr>
                <w:rFonts w:ascii="Book Antiqua" w:eastAsia="Yu Gothic" w:hAnsi="Book Antiqua" w:cs="Arial"/>
                <w:color w:val="000000" w:themeColor="text1"/>
                <w:kern w:val="0"/>
                <w:sz w:val="24"/>
                <w:szCs w:val="24"/>
              </w:rPr>
              <w:t xml:space="preserve"> = 0.26 (0.10)</w:t>
            </w:r>
          </w:p>
        </w:tc>
      </w:tr>
      <w:tr w:rsidR="000B52DE" w:rsidRPr="00706E08" w14:paraId="14324002" w14:textId="77777777" w:rsidTr="00830424">
        <w:trPr>
          <w:trHeight w:val="451"/>
        </w:trPr>
        <w:tc>
          <w:tcPr>
            <w:tcW w:w="6445" w:type="dxa"/>
            <w:tcBorders>
              <w:top w:val="nil"/>
              <w:left w:val="nil"/>
              <w:bottom w:val="nil"/>
              <w:right w:val="nil"/>
            </w:tcBorders>
            <w:shd w:val="clear" w:color="auto" w:fill="auto"/>
            <w:noWrap/>
            <w:vAlign w:val="center"/>
            <w:hideMark/>
          </w:tcPr>
          <w:p w14:paraId="2245CB53" w14:textId="77777777" w:rsidR="000C7C53" w:rsidRPr="00706E08" w:rsidRDefault="000C7C53" w:rsidP="000B52DE">
            <w:pPr>
              <w:spacing w:line="360" w:lineRule="auto"/>
              <w:jc w:val="both"/>
              <w:rPr>
                <w:rFonts w:ascii="Book Antiqua" w:eastAsia="Yu Gothic" w:hAnsi="Book Antiqua" w:cs="Arial"/>
                <w:color w:val="000000" w:themeColor="text1"/>
                <w:kern w:val="0"/>
                <w:sz w:val="24"/>
                <w:szCs w:val="24"/>
              </w:rPr>
            </w:pPr>
            <w:r w:rsidRPr="00706E08">
              <w:rPr>
                <w:rFonts w:ascii="Book Antiqua" w:eastAsia="Yu Gothic" w:hAnsi="Book Antiqua" w:cs="Arial"/>
                <w:color w:val="000000" w:themeColor="text1"/>
                <w:kern w:val="0"/>
                <w:sz w:val="24"/>
                <w:szCs w:val="24"/>
              </w:rPr>
              <w:t>Smoking (1, Current or former smoker; 0, Never smoker)</w:t>
            </w:r>
          </w:p>
        </w:tc>
        <w:tc>
          <w:tcPr>
            <w:tcW w:w="4481" w:type="dxa"/>
            <w:tcBorders>
              <w:top w:val="nil"/>
              <w:left w:val="nil"/>
              <w:bottom w:val="nil"/>
              <w:right w:val="nil"/>
            </w:tcBorders>
            <w:shd w:val="clear" w:color="auto" w:fill="auto"/>
            <w:noWrap/>
            <w:vAlign w:val="center"/>
            <w:hideMark/>
          </w:tcPr>
          <w:p w14:paraId="6A95E9AB" w14:textId="77777777" w:rsidR="000C7C53" w:rsidRPr="00706E08" w:rsidRDefault="000C7C53" w:rsidP="000B52DE">
            <w:pPr>
              <w:spacing w:line="360" w:lineRule="auto"/>
              <w:jc w:val="both"/>
              <w:rPr>
                <w:rFonts w:ascii="Book Antiqua" w:eastAsia="Yu Gothic" w:hAnsi="Book Antiqua" w:cs="Arial"/>
                <w:color w:val="000000" w:themeColor="text1"/>
                <w:kern w:val="0"/>
                <w:sz w:val="24"/>
                <w:szCs w:val="24"/>
              </w:rPr>
            </w:pPr>
            <w:r w:rsidRPr="00706E08">
              <w:rPr>
                <w:rFonts w:ascii="Book Antiqua" w:hAnsi="Book Antiqua"/>
                <w:i/>
                <w:color w:val="000000" w:themeColor="text1"/>
                <w:sz w:val="24"/>
                <w:szCs w:val="24"/>
              </w:rPr>
              <w:t>P</w:t>
            </w:r>
            <w:r w:rsidRPr="00706E08">
              <w:rPr>
                <w:rFonts w:ascii="Book Antiqua" w:eastAsia="Yu Gothic" w:hAnsi="Book Antiqua" w:cs="Arial"/>
                <w:color w:val="000000" w:themeColor="text1"/>
                <w:kern w:val="0"/>
                <w:sz w:val="24"/>
                <w:szCs w:val="24"/>
              </w:rPr>
              <w:t xml:space="preserve"> = 0.17 (-0.13)</w:t>
            </w:r>
          </w:p>
        </w:tc>
      </w:tr>
      <w:tr w:rsidR="000B52DE" w:rsidRPr="00706E08" w14:paraId="1E902FD4" w14:textId="77777777" w:rsidTr="00830424">
        <w:trPr>
          <w:trHeight w:val="474"/>
        </w:trPr>
        <w:tc>
          <w:tcPr>
            <w:tcW w:w="6445" w:type="dxa"/>
            <w:tcBorders>
              <w:top w:val="nil"/>
              <w:left w:val="nil"/>
              <w:bottom w:val="nil"/>
              <w:right w:val="nil"/>
            </w:tcBorders>
            <w:shd w:val="clear" w:color="auto" w:fill="auto"/>
            <w:noWrap/>
            <w:vAlign w:val="center"/>
            <w:hideMark/>
          </w:tcPr>
          <w:p w14:paraId="66CE3C01" w14:textId="77777777" w:rsidR="000C7C53" w:rsidRPr="00706E08" w:rsidRDefault="000C7C53" w:rsidP="000B52DE">
            <w:pPr>
              <w:spacing w:line="360" w:lineRule="auto"/>
              <w:jc w:val="both"/>
              <w:rPr>
                <w:rFonts w:ascii="Book Antiqua" w:eastAsia="Yu Gothic" w:hAnsi="Book Antiqua" w:cs="Arial"/>
                <w:color w:val="000000" w:themeColor="text1"/>
                <w:kern w:val="0"/>
                <w:sz w:val="24"/>
                <w:szCs w:val="24"/>
              </w:rPr>
            </w:pPr>
            <w:r w:rsidRPr="00706E08">
              <w:rPr>
                <w:rFonts w:ascii="Book Antiqua" w:eastAsia="Yu Gothic" w:hAnsi="Book Antiqua" w:cs="Arial"/>
                <w:color w:val="000000" w:themeColor="text1"/>
                <w:kern w:val="0"/>
                <w:sz w:val="24"/>
                <w:szCs w:val="24"/>
              </w:rPr>
              <w:t>Pulmonary disease</w:t>
            </w:r>
          </w:p>
        </w:tc>
        <w:tc>
          <w:tcPr>
            <w:tcW w:w="4481" w:type="dxa"/>
            <w:tcBorders>
              <w:top w:val="nil"/>
              <w:left w:val="nil"/>
              <w:bottom w:val="nil"/>
              <w:right w:val="nil"/>
            </w:tcBorders>
            <w:shd w:val="clear" w:color="auto" w:fill="auto"/>
            <w:noWrap/>
            <w:vAlign w:val="center"/>
            <w:hideMark/>
          </w:tcPr>
          <w:p w14:paraId="10E0E3CF" w14:textId="77777777" w:rsidR="000C7C53" w:rsidRPr="00706E08" w:rsidRDefault="000C7C53" w:rsidP="000B52DE">
            <w:pPr>
              <w:spacing w:line="360" w:lineRule="auto"/>
              <w:jc w:val="both"/>
              <w:rPr>
                <w:rFonts w:ascii="Book Antiqua" w:eastAsia="Yu Gothic" w:hAnsi="Book Antiqua" w:cs="Arial"/>
                <w:b/>
                <w:bCs/>
                <w:color w:val="000000" w:themeColor="text1"/>
                <w:kern w:val="0"/>
                <w:sz w:val="24"/>
                <w:szCs w:val="24"/>
              </w:rPr>
            </w:pPr>
            <w:r w:rsidRPr="00706E08">
              <w:rPr>
                <w:rFonts w:ascii="Book Antiqua" w:hAnsi="Book Antiqua"/>
                <w:b/>
                <w:i/>
                <w:color w:val="000000" w:themeColor="text1"/>
                <w:sz w:val="24"/>
                <w:szCs w:val="24"/>
              </w:rPr>
              <w:t>P</w:t>
            </w:r>
            <w:r w:rsidRPr="00706E08">
              <w:rPr>
                <w:rFonts w:ascii="Book Antiqua" w:eastAsia="Yu Gothic" w:hAnsi="Book Antiqua" w:cs="Arial"/>
                <w:b/>
                <w:bCs/>
                <w:color w:val="000000" w:themeColor="text1"/>
                <w:kern w:val="0"/>
                <w:sz w:val="24"/>
                <w:szCs w:val="24"/>
              </w:rPr>
              <w:t xml:space="preserve"> &lt; 0.0001 (0.36)</w:t>
            </w:r>
          </w:p>
        </w:tc>
      </w:tr>
      <w:tr w:rsidR="000B52DE" w:rsidRPr="00706E08" w14:paraId="026CF263" w14:textId="77777777" w:rsidTr="00830424">
        <w:trPr>
          <w:trHeight w:val="474"/>
        </w:trPr>
        <w:tc>
          <w:tcPr>
            <w:tcW w:w="6445" w:type="dxa"/>
            <w:tcBorders>
              <w:top w:val="nil"/>
              <w:left w:val="nil"/>
              <w:bottom w:val="nil"/>
              <w:right w:val="nil"/>
            </w:tcBorders>
            <w:shd w:val="clear" w:color="auto" w:fill="auto"/>
            <w:noWrap/>
            <w:vAlign w:val="center"/>
            <w:hideMark/>
          </w:tcPr>
          <w:p w14:paraId="1C879143" w14:textId="77777777" w:rsidR="000C7C53" w:rsidRPr="00706E08" w:rsidRDefault="000C7C53" w:rsidP="000B52DE">
            <w:pPr>
              <w:spacing w:line="360" w:lineRule="auto"/>
              <w:jc w:val="both"/>
              <w:rPr>
                <w:rFonts w:ascii="Book Antiqua" w:eastAsia="Yu Gothic" w:hAnsi="Book Antiqua" w:cs="Arial"/>
                <w:color w:val="000000" w:themeColor="text1"/>
                <w:kern w:val="0"/>
                <w:sz w:val="24"/>
                <w:szCs w:val="24"/>
              </w:rPr>
            </w:pPr>
            <w:r w:rsidRPr="00706E08">
              <w:rPr>
                <w:rFonts w:ascii="Book Antiqua" w:eastAsia="Yu Gothic" w:hAnsi="Book Antiqua" w:cs="Arial"/>
                <w:color w:val="000000" w:themeColor="text1"/>
                <w:kern w:val="0"/>
                <w:sz w:val="24"/>
                <w:szCs w:val="24"/>
              </w:rPr>
              <w:t>History of surgery</w:t>
            </w:r>
          </w:p>
        </w:tc>
        <w:tc>
          <w:tcPr>
            <w:tcW w:w="4481" w:type="dxa"/>
            <w:tcBorders>
              <w:top w:val="nil"/>
              <w:left w:val="nil"/>
              <w:bottom w:val="nil"/>
              <w:right w:val="nil"/>
            </w:tcBorders>
            <w:shd w:val="clear" w:color="auto" w:fill="auto"/>
            <w:noWrap/>
            <w:vAlign w:val="center"/>
            <w:hideMark/>
          </w:tcPr>
          <w:p w14:paraId="17DC887D" w14:textId="77777777" w:rsidR="000C7C53" w:rsidRPr="00706E08" w:rsidRDefault="000C7C53" w:rsidP="000B52DE">
            <w:pPr>
              <w:spacing w:line="360" w:lineRule="auto"/>
              <w:jc w:val="both"/>
              <w:rPr>
                <w:rFonts w:ascii="Book Antiqua" w:eastAsia="Yu Gothic" w:hAnsi="Book Antiqua" w:cs="Arial"/>
                <w:b/>
                <w:bCs/>
                <w:color w:val="000000" w:themeColor="text1"/>
                <w:kern w:val="0"/>
                <w:sz w:val="24"/>
                <w:szCs w:val="24"/>
              </w:rPr>
            </w:pPr>
            <w:r w:rsidRPr="00706E08">
              <w:rPr>
                <w:rFonts w:ascii="Book Antiqua" w:hAnsi="Book Antiqua"/>
                <w:b/>
                <w:i/>
                <w:color w:val="000000" w:themeColor="text1"/>
                <w:sz w:val="24"/>
                <w:szCs w:val="24"/>
              </w:rPr>
              <w:t>P</w:t>
            </w:r>
            <w:r w:rsidRPr="00706E08">
              <w:rPr>
                <w:rFonts w:ascii="Book Antiqua" w:eastAsia="Yu Gothic" w:hAnsi="Book Antiqua" w:cs="Arial"/>
                <w:b/>
                <w:bCs/>
                <w:color w:val="000000" w:themeColor="text1"/>
                <w:kern w:val="0"/>
                <w:sz w:val="24"/>
                <w:szCs w:val="24"/>
              </w:rPr>
              <w:t xml:space="preserve"> = 0.029 (0.20)</w:t>
            </w:r>
          </w:p>
        </w:tc>
      </w:tr>
      <w:tr w:rsidR="000B52DE" w:rsidRPr="00706E08" w14:paraId="65AED773" w14:textId="77777777" w:rsidTr="00830424">
        <w:trPr>
          <w:trHeight w:val="451"/>
        </w:trPr>
        <w:tc>
          <w:tcPr>
            <w:tcW w:w="6445" w:type="dxa"/>
            <w:tcBorders>
              <w:top w:val="nil"/>
              <w:left w:val="nil"/>
              <w:right w:val="nil"/>
            </w:tcBorders>
            <w:shd w:val="clear" w:color="auto" w:fill="auto"/>
            <w:noWrap/>
            <w:vAlign w:val="center"/>
            <w:hideMark/>
          </w:tcPr>
          <w:p w14:paraId="289B84AD" w14:textId="77777777" w:rsidR="000C7C53" w:rsidRPr="00706E08" w:rsidRDefault="000C7C53" w:rsidP="000B52DE">
            <w:pPr>
              <w:spacing w:line="360" w:lineRule="auto"/>
              <w:jc w:val="both"/>
              <w:rPr>
                <w:rFonts w:ascii="Book Antiqua" w:eastAsia="Yu Gothic" w:hAnsi="Book Antiqua" w:cs="Arial"/>
                <w:color w:val="000000" w:themeColor="text1"/>
                <w:kern w:val="0"/>
                <w:sz w:val="24"/>
                <w:szCs w:val="24"/>
              </w:rPr>
            </w:pPr>
            <w:r w:rsidRPr="00706E08">
              <w:rPr>
                <w:rFonts w:ascii="Book Antiqua" w:eastAsia="Yu Gothic" w:hAnsi="Book Antiqua" w:cs="Arial"/>
                <w:color w:val="000000" w:themeColor="text1"/>
                <w:kern w:val="0"/>
                <w:sz w:val="24"/>
                <w:szCs w:val="24"/>
              </w:rPr>
              <w:t>CRP</w:t>
            </w:r>
          </w:p>
        </w:tc>
        <w:tc>
          <w:tcPr>
            <w:tcW w:w="4481" w:type="dxa"/>
            <w:tcBorders>
              <w:top w:val="nil"/>
              <w:left w:val="nil"/>
              <w:right w:val="nil"/>
            </w:tcBorders>
            <w:shd w:val="clear" w:color="auto" w:fill="auto"/>
            <w:noWrap/>
            <w:vAlign w:val="center"/>
            <w:hideMark/>
          </w:tcPr>
          <w:p w14:paraId="713DA9FA" w14:textId="77777777" w:rsidR="000C7C53" w:rsidRPr="00706E08" w:rsidRDefault="000C7C53" w:rsidP="000B52DE">
            <w:pPr>
              <w:spacing w:line="360" w:lineRule="auto"/>
              <w:jc w:val="both"/>
              <w:rPr>
                <w:rFonts w:ascii="Book Antiqua" w:eastAsia="Yu Gothic" w:hAnsi="Book Antiqua" w:cs="Arial"/>
                <w:color w:val="000000" w:themeColor="text1"/>
                <w:kern w:val="0"/>
                <w:sz w:val="24"/>
                <w:szCs w:val="24"/>
              </w:rPr>
            </w:pPr>
            <w:r w:rsidRPr="00706E08">
              <w:rPr>
                <w:rFonts w:ascii="Book Antiqua" w:hAnsi="Book Antiqua"/>
                <w:i/>
                <w:color w:val="000000" w:themeColor="text1"/>
                <w:sz w:val="24"/>
                <w:szCs w:val="24"/>
              </w:rPr>
              <w:t>P</w:t>
            </w:r>
            <w:r w:rsidRPr="00706E08">
              <w:rPr>
                <w:rFonts w:ascii="Book Antiqua" w:eastAsia="Yu Gothic" w:hAnsi="Book Antiqua" w:cs="Arial"/>
                <w:color w:val="000000" w:themeColor="text1"/>
                <w:kern w:val="0"/>
                <w:sz w:val="24"/>
                <w:szCs w:val="24"/>
              </w:rPr>
              <w:t xml:space="preserve"> = 0.078 (0.16)</w:t>
            </w:r>
          </w:p>
        </w:tc>
      </w:tr>
      <w:tr w:rsidR="000B52DE" w:rsidRPr="00706E08" w14:paraId="22CBEF48" w14:textId="77777777" w:rsidTr="00830424">
        <w:trPr>
          <w:trHeight w:val="451"/>
        </w:trPr>
        <w:tc>
          <w:tcPr>
            <w:tcW w:w="6445" w:type="dxa"/>
            <w:tcBorders>
              <w:top w:val="nil"/>
              <w:left w:val="nil"/>
              <w:bottom w:val="single" w:sz="4" w:space="0" w:color="auto"/>
              <w:right w:val="nil"/>
            </w:tcBorders>
            <w:shd w:val="clear" w:color="auto" w:fill="auto"/>
            <w:noWrap/>
            <w:vAlign w:val="center"/>
            <w:hideMark/>
          </w:tcPr>
          <w:p w14:paraId="7F8C4BE3" w14:textId="77777777" w:rsidR="000C7C53" w:rsidRPr="00706E08" w:rsidRDefault="000C7C53" w:rsidP="000B52DE">
            <w:pPr>
              <w:spacing w:line="360" w:lineRule="auto"/>
              <w:jc w:val="both"/>
              <w:rPr>
                <w:rFonts w:ascii="Book Antiqua" w:eastAsia="Yu Gothic" w:hAnsi="Book Antiqua" w:cs="Arial"/>
                <w:color w:val="000000" w:themeColor="text1"/>
                <w:kern w:val="0"/>
                <w:sz w:val="24"/>
                <w:szCs w:val="24"/>
              </w:rPr>
            </w:pPr>
            <w:r w:rsidRPr="00706E08">
              <w:rPr>
                <w:rFonts w:ascii="Book Antiqua" w:eastAsia="Yu Gothic" w:hAnsi="Book Antiqua" w:cs="Arial"/>
                <w:color w:val="000000" w:themeColor="text1"/>
                <w:kern w:val="0"/>
                <w:sz w:val="24"/>
                <w:szCs w:val="24"/>
              </w:rPr>
              <w:t>Disease duration</w:t>
            </w:r>
          </w:p>
        </w:tc>
        <w:tc>
          <w:tcPr>
            <w:tcW w:w="4481" w:type="dxa"/>
            <w:tcBorders>
              <w:top w:val="nil"/>
              <w:left w:val="nil"/>
              <w:bottom w:val="single" w:sz="4" w:space="0" w:color="auto"/>
              <w:right w:val="nil"/>
            </w:tcBorders>
            <w:shd w:val="clear" w:color="auto" w:fill="auto"/>
            <w:noWrap/>
            <w:vAlign w:val="center"/>
            <w:hideMark/>
          </w:tcPr>
          <w:p w14:paraId="44483FFF" w14:textId="77777777" w:rsidR="000C7C53" w:rsidRPr="00706E08" w:rsidRDefault="000C7C53" w:rsidP="000B52DE">
            <w:pPr>
              <w:spacing w:line="360" w:lineRule="auto"/>
              <w:jc w:val="both"/>
              <w:rPr>
                <w:rFonts w:ascii="Book Antiqua" w:eastAsia="Yu Gothic" w:hAnsi="Book Antiqua" w:cs="Arial"/>
                <w:b/>
                <w:color w:val="000000" w:themeColor="text1"/>
                <w:kern w:val="0"/>
                <w:sz w:val="24"/>
                <w:szCs w:val="24"/>
              </w:rPr>
            </w:pPr>
            <w:r w:rsidRPr="00706E08">
              <w:rPr>
                <w:rFonts w:ascii="Book Antiqua" w:hAnsi="Book Antiqua"/>
                <w:b/>
                <w:i/>
                <w:color w:val="000000" w:themeColor="text1"/>
                <w:sz w:val="24"/>
                <w:szCs w:val="24"/>
              </w:rPr>
              <w:t>P</w:t>
            </w:r>
            <w:r w:rsidRPr="00706E08">
              <w:rPr>
                <w:rFonts w:ascii="Book Antiqua" w:eastAsia="Yu Gothic" w:hAnsi="Book Antiqua" w:cs="Arial"/>
                <w:b/>
                <w:color w:val="000000" w:themeColor="text1"/>
                <w:kern w:val="0"/>
                <w:sz w:val="24"/>
                <w:szCs w:val="24"/>
              </w:rPr>
              <w:t xml:space="preserve"> = 0.0040 (0.26)</w:t>
            </w:r>
          </w:p>
        </w:tc>
      </w:tr>
    </w:tbl>
    <w:p w14:paraId="1FF8CEB6" w14:textId="221542BE" w:rsidR="006422AC" w:rsidRPr="00706E08" w:rsidRDefault="000C7C53" w:rsidP="000B52DE">
      <w:pPr>
        <w:spacing w:line="360" w:lineRule="auto"/>
        <w:jc w:val="both"/>
        <w:rPr>
          <w:rFonts w:ascii="Book Antiqua" w:eastAsia="等线" w:hAnsi="Book Antiqua" w:cs="Arial"/>
          <w:color w:val="000000" w:themeColor="text1"/>
          <w:kern w:val="0"/>
          <w:sz w:val="24"/>
          <w:szCs w:val="24"/>
          <w:lang w:eastAsia="zh-CN"/>
        </w:rPr>
      </w:pPr>
      <w:r w:rsidRPr="00706E08">
        <w:rPr>
          <w:rFonts w:ascii="Book Antiqua" w:eastAsia="Yu Gothic" w:hAnsi="Book Antiqua" w:cs="Arial"/>
          <w:color w:val="000000" w:themeColor="text1"/>
          <w:kern w:val="0"/>
          <w:sz w:val="24"/>
          <w:szCs w:val="24"/>
        </w:rPr>
        <w:t xml:space="preserve">The values of </w:t>
      </w:r>
      <w:r w:rsidR="006422AC" w:rsidRPr="00706E08">
        <w:rPr>
          <w:rFonts w:ascii="Book Antiqua" w:eastAsia="Yu Gothic" w:hAnsi="Book Antiqua" w:cs="Arial"/>
          <w:color w:val="000000" w:themeColor="text1"/>
          <w:kern w:val="0"/>
          <w:sz w:val="24"/>
          <w:szCs w:val="24"/>
        </w:rPr>
        <w:t>prostaglandin E major urinary metabolite</w:t>
      </w:r>
      <w:r w:rsidRPr="00706E08">
        <w:rPr>
          <w:rFonts w:ascii="Book Antiqua" w:eastAsia="Yu Gothic" w:hAnsi="Book Antiqua" w:cs="Arial"/>
          <w:color w:val="000000" w:themeColor="text1"/>
          <w:kern w:val="0"/>
          <w:sz w:val="24"/>
          <w:szCs w:val="24"/>
        </w:rPr>
        <w:t xml:space="preserve"> were log-transformed. Significant </w:t>
      </w:r>
      <w:r w:rsidR="006422AC" w:rsidRPr="00706E08">
        <w:rPr>
          <w:rFonts w:ascii="Book Antiqua" w:eastAsia="Yu Gothic" w:hAnsi="Book Antiqua" w:cs="Arial"/>
          <w:i/>
          <w:color w:val="000000" w:themeColor="text1"/>
          <w:kern w:val="0"/>
          <w:sz w:val="24"/>
          <w:szCs w:val="24"/>
        </w:rPr>
        <w:t>P</w:t>
      </w:r>
      <w:r w:rsidRPr="00706E08">
        <w:rPr>
          <w:rFonts w:ascii="Book Antiqua" w:eastAsia="Yu Gothic" w:hAnsi="Book Antiqua" w:cs="Arial"/>
          <w:color w:val="000000" w:themeColor="text1"/>
          <w:kern w:val="0"/>
          <w:sz w:val="24"/>
          <w:szCs w:val="24"/>
        </w:rPr>
        <w:t xml:space="preserve"> values are indicated in bold.</w:t>
      </w:r>
      <w:r w:rsidR="00491AF5" w:rsidRPr="00706E08">
        <w:rPr>
          <w:rFonts w:ascii="Book Antiqua" w:eastAsia="Yu Gothic" w:hAnsi="Book Antiqua" w:cs="Arial"/>
          <w:color w:val="000000" w:themeColor="text1"/>
          <w:kern w:val="0"/>
          <w:sz w:val="24"/>
          <w:szCs w:val="24"/>
          <w:lang w:eastAsia="zh-CN"/>
        </w:rPr>
        <w:t xml:space="preserve"> </w:t>
      </w:r>
      <w:r w:rsidR="00491AF5" w:rsidRPr="00706E08">
        <w:rPr>
          <w:rFonts w:ascii="Book Antiqua" w:eastAsia="Yu Gothic" w:hAnsi="Book Antiqua" w:cs="Arial"/>
          <w:color w:val="000000" w:themeColor="text1"/>
          <w:kern w:val="0"/>
          <w:sz w:val="24"/>
          <w:szCs w:val="24"/>
        </w:rPr>
        <w:t>CRP: C reactive protein.</w:t>
      </w:r>
    </w:p>
    <w:p w14:paraId="64148BA1" w14:textId="77777777" w:rsidR="006422AC" w:rsidRPr="00706E08" w:rsidRDefault="006422AC" w:rsidP="000B52DE">
      <w:pPr>
        <w:spacing w:line="360" w:lineRule="auto"/>
        <w:jc w:val="both"/>
        <w:rPr>
          <w:rFonts w:ascii="Book Antiqua" w:eastAsia="等线" w:hAnsi="Book Antiqua" w:cs="Arial"/>
          <w:color w:val="000000" w:themeColor="text1"/>
          <w:kern w:val="0"/>
          <w:sz w:val="24"/>
          <w:szCs w:val="24"/>
          <w:lang w:eastAsia="zh-CN"/>
        </w:rPr>
      </w:pPr>
    </w:p>
    <w:p w14:paraId="04A7683D" w14:textId="271ECFBF" w:rsidR="000C7C53" w:rsidRPr="00706E08" w:rsidRDefault="000C7C53" w:rsidP="000B52DE">
      <w:pPr>
        <w:spacing w:line="360" w:lineRule="auto"/>
        <w:jc w:val="both"/>
        <w:rPr>
          <w:rFonts w:ascii="Book Antiqua" w:hAnsi="Book Antiqua"/>
          <w:color w:val="000000" w:themeColor="text1"/>
          <w:sz w:val="24"/>
          <w:szCs w:val="24"/>
        </w:rPr>
      </w:pPr>
      <w:r w:rsidRPr="00706E08">
        <w:rPr>
          <w:rFonts w:ascii="Book Antiqua" w:hAnsi="Book Antiqua"/>
          <w:color w:val="000000" w:themeColor="text1"/>
          <w:sz w:val="24"/>
          <w:szCs w:val="24"/>
        </w:rPr>
        <w:br w:type="page"/>
      </w:r>
    </w:p>
    <w:p w14:paraId="25569FCA" w14:textId="7705E485" w:rsidR="000C7C53" w:rsidRPr="00706E08" w:rsidRDefault="000C7C53" w:rsidP="000B52DE">
      <w:pPr>
        <w:spacing w:line="360" w:lineRule="auto"/>
        <w:jc w:val="both"/>
        <w:rPr>
          <w:rFonts w:ascii="Book Antiqua" w:hAnsi="Book Antiqua"/>
          <w:b/>
          <w:color w:val="000000" w:themeColor="text1"/>
          <w:sz w:val="24"/>
          <w:szCs w:val="24"/>
        </w:rPr>
      </w:pPr>
      <w:r w:rsidRPr="00706E08">
        <w:rPr>
          <w:rFonts w:ascii="Book Antiqua" w:eastAsia="Yu Gothic" w:hAnsi="Book Antiqua" w:cs="Arial"/>
          <w:b/>
          <w:color w:val="000000" w:themeColor="text1"/>
          <w:kern w:val="0"/>
          <w:sz w:val="24"/>
          <w:szCs w:val="24"/>
        </w:rPr>
        <w:lastRenderedPageBreak/>
        <w:t xml:space="preserve">Table </w:t>
      </w:r>
      <w:r w:rsidR="00491AF5" w:rsidRPr="00706E08">
        <w:rPr>
          <w:rFonts w:ascii="Book Antiqua" w:eastAsia="Yu Gothic" w:hAnsi="Book Antiqua" w:cs="Arial"/>
          <w:b/>
          <w:color w:val="000000" w:themeColor="text1"/>
          <w:kern w:val="0"/>
          <w:sz w:val="24"/>
          <w:szCs w:val="24"/>
        </w:rPr>
        <w:t>3</w:t>
      </w:r>
      <w:r w:rsidR="008A6387" w:rsidRPr="00706E08">
        <w:rPr>
          <w:rFonts w:ascii="Book Antiqua" w:eastAsia="Yu Gothic" w:hAnsi="Book Antiqua" w:cs="Arial"/>
          <w:b/>
          <w:color w:val="000000" w:themeColor="text1"/>
          <w:kern w:val="0"/>
          <w:sz w:val="24"/>
          <w:szCs w:val="24"/>
        </w:rPr>
        <w:t xml:space="preserve"> Convert odds ratio for </w:t>
      </w:r>
      <w:r w:rsidR="00491AF5" w:rsidRPr="00706E08">
        <w:rPr>
          <w:rFonts w:ascii="Book Antiqua" w:eastAsia="Yu Gothic" w:hAnsi="Book Antiqua" w:cs="Arial"/>
          <w:b/>
          <w:color w:val="000000" w:themeColor="text1"/>
          <w:kern w:val="0"/>
          <w:sz w:val="24"/>
          <w:szCs w:val="24"/>
        </w:rPr>
        <w:t>p</w:t>
      </w:r>
      <w:r w:rsidR="008A6387" w:rsidRPr="00706E08">
        <w:rPr>
          <w:rFonts w:ascii="Book Antiqua" w:eastAsia="Yu Gothic" w:hAnsi="Book Antiqua" w:cs="Arial"/>
          <w:b/>
          <w:color w:val="000000" w:themeColor="text1"/>
          <w:kern w:val="0"/>
          <w:sz w:val="24"/>
          <w:szCs w:val="24"/>
        </w:rPr>
        <w:t>rostaglandin E major urinary metabolite</w:t>
      </w:r>
    </w:p>
    <w:tbl>
      <w:tblPr>
        <w:tblW w:w="11283" w:type="dxa"/>
        <w:tblCellMar>
          <w:left w:w="99" w:type="dxa"/>
          <w:right w:w="99" w:type="dxa"/>
        </w:tblCellMar>
        <w:tblLook w:val="04A0" w:firstRow="1" w:lastRow="0" w:firstColumn="1" w:lastColumn="0" w:noHBand="0" w:noVBand="1"/>
      </w:tblPr>
      <w:tblGrid>
        <w:gridCol w:w="4365"/>
        <w:gridCol w:w="2306"/>
        <w:gridCol w:w="2306"/>
        <w:gridCol w:w="2306"/>
      </w:tblGrid>
      <w:tr w:rsidR="000B52DE" w:rsidRPr="00706E08" w14:paraId="005FF8CD" w14:textId="77777777" w:rsidTr="00830424">
        <w:trPr>
          <w:trHeight w:val="582"/>
        </w:trPr>
        <w:tc>
          <w:tcPr>
            <w:tcW w:w="4365" w:type="dxa"/>
            <w:tcBorders>
              <w:top w:val="single" w:sz="4" w:space="0" w:color="auto"/>
              <w:left w:val="nil"/>
              <w:bottom w:val="single" w:sz="4" w:space="0" w:color="auto"/>
              <w:right w:val="nil"/>
            </w:tcBorders>
            <w:shd w:val="clear" w:color="auto" w:fill="auto"/>
            <w:noWrap/>
            <w:vAlign w:val="center"/>
            <w:hideMark/>
          </w:tcPr>
          <w:p w14:paraId="073CC1A2" w14:textId="426D9957" w:rsidR="000C7C53" w:rsidRPr="00706E08" w:rsidRDefault="000C7C53" w:rsidP="000B52DE">
            <w:pPr>
              <w:spacing w:line="360" w:lineRule="auto"/>
              <w:jc w:val="both"/>
              <w:rPr>
                <w:rFonts w:ascii="Book Antiqua" w:eastAsia="Yu Gothic" w:hAnsi="Book Antiqua" w:cs="Arial"/>
                <w:b/>
                <w:color w:val="000000" w:themeColor="text1"/>
                <w:kern w:val="0"/>
                <w:sz w:val="24"/>
                <w:szCs w:val="24"/>
              </w:rPr>
            </w:pPr>
          </w:p>
        </w:tc>
        <w:tc>
          <w:tcPr>
            <w:tcW w:w="2306" w:type="dxa"/>
            <w:tcBorders>
              <w:top w:val="single" w:sz="4" w:space="0" w:color="auto"/>
              <w:left w:val="nil"/>
              <w:bottom w:val="single" w:sz="4" w:space="0" w:color="auto"/>
              <w:right w:val="nil"/>
            </w:tcBorders>
            <w:shd w:val="clear" w:color="auto" w:fill="auto"/>
            <w:noWrap/>
            <w:vAlign w:val="center"/>
            <w:hideMark/>
          </w:tcPr>
          <w:p w14:paraId="40DD0EA3" w14:textId="77777777" w:rsidR="000C7C53" w:rsidRPr="00706E08" w:rsidRDefault="000C7C53" w:rsidP="000B52DE">
            <w:pPr>
              <w:spacing w:line="360" w:lineRule="auto"/>
              <w:jc w:val="both"/>
              <w:rPr>
                <w:rFonts w:ascii="Book Antiqua" w:eastAsia="Yu Gothic" w:hAnsi="Book Antiqua" w:cs="Arial"/>
                <w:b/>
                <w:color w:val="000000" w:themeColor="text1"/>
                <w:kern w:val="0"/>
                <w:sz w:val="24"/>
                <w:szCs w:val="24"/>
              </w:rPr>
            </w:pPr>
            <w:r w:rsidRPr="00706E08">
              <w:rPr>
                <w:rFonts w:ascii="Book Antiqua" w:eastAsia="Yu Gothic" w:hAnsi="Book Antiqua" w:cs="Arial"/>
                <w:b/>
                <w:color w:val="000000" w:themeColor="text1"/>
                <w:kern w:val="0"/>
                <w:sz w:val="24"/>
                <w:szCs w:val="24"/>
              </w:rPr>
              <w:t>Model 1</w:t>
            </w:r>
          </w:p>
        </w:tc>
        <w:tc>
          <w:tcPr>
            <w:tcW w:w="2306" w:type="dxa"/>
            <w:tcBorders>
              <w:top w:val="single" w:sz="4" w:space="0" w:color="auto"/>
              <w:left w:val="nil"/>
              <w:bottom w:val="single" w:sz="4" w:space="0" w:color="auto"/>
              <w:right w:val="nil"/>
            </w:tcBorders>
            <w:shd w:val="clear" w:color="auto" w:fill="auto"/>
            <w:noWrap/>
            <w:vAlign w:val="center"/>
            <w:hideMark/>
          </w:tcPr>
          <w:p w14:paraId="7B875230" w14:textId="77777777" w:rsidR="000C7C53" w:rsidRPr="00706E08" w:rsidRDefault="000C7C53" w:rsidP="000B52DE">
            <w:pPr>
              <w:spacing w:line="360" w:lineRule="auto"/>
              <w:jc w:val="both"/>
              <w:rPr>
                <w:rFonts w:ascii="Book Antiqua" w:eastAsia="Yu Gothic" w:hAnsi="Book Antiqua" w:cs="Arial"/>
                <w:b/>
                <w:color w:val="000000" w:themeColor="text1"/>
                <w:kern w:val="0"/>
                <w:sz w:val="24"/>
                <w:szCs w:val="24"/>
              </w:rPr>
            </w:pPr>
            <w:r w:rsidRPr="00706E08">
              <w:rPr>
                <w:rFonts w:ascii="Book Antiqua" w:eastAsia="Yu Gothic" w:hAnsi="Book Antiqua" w:cs="Arial"/>
                <w:b/>
                <w:color w:val="000000" w:themeColor="text1"/>
                <w:kern w:val="0"/>
                <w:sz w:val="24"/>
                <w:szCs w:val="24"/>
              </w:rPr>
              <w:t>Model 2</w:t>
            </w:r>
          </w:p>
        </w:tc>
        <w:tc>
          <w:tcPr>
            <w:tcW w:w="2306" w:type="dxa"/>
            <w:tcBorders>
              <w:top w:val="single" w:sz="4" w:space="0" w:color="auto"/>
              <w:left w:val="nil"/>
              <w:bottom w:val="single" w:sz="4" w:space="0" w:color="auto"/>
              <w:right w:val="nil"/>
            </w:tcBorders>
            <w:shd w:val="clear" w:color="auto" w:fill="auto"/>
            <w:noWrap/>
            <w:vAlign w:val="center"/>
            <w:hideMark/>
          </w:tcPr>
          <w:p w14:paraId="1168E683" w14:textId="77777777" w:rsidR="000C7C53" w:rsidRPr="00706E08" w:rsidRDefault="000C7C53" w:rsidP="000B52DE">
            <w:pPr>
              <w:spacing w:line="360" w:lineRule="auto"/>
              <w:jc w:val="both"/>
              <w:rPr>
                <w:rFonts w:ascii="Book Antiqua" w:eastAsia="Yu Gothic" w:hAnsi="Book Antiqua" w:cs="Arial"/>
                <w:b/>
                <w:color w:val="000000" w:themeColor="text1"/>
                <w:kern w:val="0"/>
                <w:sz w:val="24"/>
                <w:szCs w:val="24"/>
              </w:rPr>
            </w:pPr>
            <w:r w:rsidRPr="00706E08">
              <w:rPr>
                <w:rFonts w:ascii="Book Antiqua" w:eastAsia="Yu Gothic" w:hAnsi="Book Antiqua" w:cs="Arial"/>
                <w:b/>
                <w:color w:val="000000" w:themeColor="text1"/>
                <w:kern w:val="0"/>
                <w:sz w:val="24"/>
                <w:szCs w:val="24"/>
              </w:rPr>
              <w:t>Model 3</w:t>
            </w:r>
          </w:p>
        </w:tc>
      </w:tr>
      <w:tr w:rsidR="000B52DE" w:rsidRPr="00706E08" w14:paraId="6E5D47A8" w14:textId="77777777" w:rsidTr="00830424">
        <w:trPr>
          <w:trHeight w:val="582"/>
        </w:trPr>
        <w:tc>
          <w:tcPr>
            <w:tcW w:w="4365" w:type="dxa"/>
            <w:tcBorders>
              <w:top w:val="nil"/>
              <w:left w:val="nil"/>
              <w:bottom w:val="nil"/>
              <w:right w:val="nil"/>
            </w:tcBorders>
            <w:shd w:val="clear" w:color="auto" w:fill="auto"/>
            <w:noWrap/>
            <w:vAlign w:val="center"/>
            <w:hideMark/>
          </w:tcPr>
          <w:p w14:paraId="7CD86F57" w14:textId="77777777" w:rsidR="000C7C53" w:rsidRPr="00706E08" w:rsidRDefault="000C7C53" w:rsidP="000B52DE">
            <w:pPr>
              <w:spacing w:line="360" w:lineRule="auto"/>
              <w:jc w:val="both"/>
              <w:rPr>
                <w:rFonts w:ascii="Book Antiqua" w:eastAsia="Yu Gothic" w:hAnsi="Book Antiqua" w:cs="Arial"/>
                <w:color w:val="000000" w:themeColor="text1"/>
                <w:kern w:val="0"/>
                <w:sz w:val="24"/>
                <w:szCs w:val="24"/>
              </w:rPr>
            </w:pPr>
            <w:r w:rsidRPr="00706E08">
              <w:rPr>
                <w:rFonts w:ascii="Book Antiqua" w:eastAsia="Yu Gothic" w:hAnsi="Book Antiqua" w:cs="Arial"/>
                <w:color w:val="000000" w:themeColor="text1"/>
                <w:kern w:val="0"/>
                <w:sz w:val="24"/>
                <w:szCs w:val="24"/>
              </w:rPr>
              <w:t>Odds ratio of 1 log unit change</w:t>
            </w:r>
          </w:p>
        </w:tc>
        <w:tc>
          <w:tcPr>
            <w:tcW w:w="2306" w:type="dxa"/>
            <w:tcBorders>
              <w:top w:val="nil"/>
              <w:left w:val="nil"/>
              <w:bottom w:val="nil"/>
              <w:right w:val="nil"/>
            </w:tcBorders>
            <w:shd w:val="clear" w:color="auto" w:fill="auto"/>
            <w:noWrap/>
            <w:vAlign w:val="center"/>
            <w:hideMark/>
          </w:tcPr>
          <w:p w14:paraId="16345685" w14:textId="77777777" w:rsidR="000C7C53" w:rsidRPr="00706E08" w:rsidRDefault="000C7C53" w:rsidP="000B52DE">
            <w:pPr>
              <w:spacing w:line="360" w:lineRule="auto"/>
              <w:jc w:val="both"/>
              <w:rPr>
                <w:rFonts w:ascii="Book Antiqua" w:eastAsia="Yu Gothic" w:hAnsi="Book Antiqua" w:cs="Arial"/>
                <w:color w:val="000000" w:themeColor="text1"/>
                <w:kern w:val="0"/>
                <w:sz w:val="24"/>
                <w:szCs w:val="24"/>
              </w:rPr>
            </w:pPr>
            <w:r w:rsidRPr="00706E08">
              <w:rPr>
                <w:rFonts w:ascii="Book Antiqua" w:eastAsia="Yu Gothic" w:hAnsi="Book Antiqua" w:cs="Arial"/>
                <w:color w:val="000000" w:themeColor="text1"/>
                <w:kern w:val="0"/>
                <w:sz w:val="24"/>
                <w:szCs w:val="24"/>
              </w:rPr>
              <w:t>7.3</w:t>
            </w:r>
          </w:p>
        </w:tc>
        <w:tc>
          <w:tcPr>
            <w:tcW w:w="2306" w:type="dxa"/>
            <w:tcBorders>
              <w:top w:val="nil"/>
              <w:left w:val="nil"/>
              <w:bottom w:val="nil"/>
              <w:right w:val="nil"/>
            </w:tcBorders>
            <w:shd w:val="clear" w:color="auto" w:fill="auto"/>
            <w:noWrap/>
            <w:vAlign w:val="center"/>
            <w:hideMark/>
          </w:tcPr>
          <w:p w14:paraId="70E7DC31" w14:textId="77777777" w:rsidR="000C7C53" w:rsidRPr="00706E08" w:rsidRDefault="000C7C53" w:rsidP="000B52DE">
            <w:pPr>
              <w:spacing w:line="360" w:lineRule="auto"/>
              <w:jc w:val="both"/>
              <w:rPr>
                <w:rFonts w:ascii="Book Antiqua" w:eastAsia="Yu Gothic" w:hAnsi="Book Antiqua" w:cs="Arial"/>
                <w:color w:val="000000" w:themeColor="text1"/>
                <w:kern w:val="0"/>
                <w:sz w:val="24"/>
                <w:szCs w:val="24"/>
              </w:rPr>
            </w:pPr>
            <w:r w:rsidRPr="00706E08">
              <w:rPr>
                <w:rFonts w:ascii="Book Antiqua" w:eastAsia="Yu Gothic" w:hAnsi="Book Antiqua" w:cs="Arial"/>
                <w:color w:val="000000" w:themeColor="text1"/>
                <w:kern w:val="0"/>
                <w:sz w:val="24"/>
                <w:szCs w:val="24"/>
              </w:rPr>
              <w:t>6.0</w:t>
            </w:r>
          </w:p>
        </w:tc>
        <w:tc>
          <w:tcPr>
            <w:tcW w:w="2306" w:type="dxa"/>
            <w:tcBorders>
              <w:top w:val="nil"/>
              <w:left w:val="nil"/>
              <w:bottom w:val="nil"/>
              <w:right w:val="nil"/>
            </w:tcBorders>
            <w:shd w:val="clear" w:color="auto" w:fill="auto"/>
            <w:noWrap/>
            <w:vAlign w:val="center"/>
            <w:hideMark/>
          </w:tcPr>
          <w:p w14:paraId="09F746A1" w14:textId="77777777" w:rsidR="000C7C53" w:rsidRPr="00706E08" w:rsidRDefault="000C7C53" w:rsidP="000B52DE">
            <w:pPr>
              <w:spacing w:line="360" w:lineRule="auto"/>
              <w:jc w:val="both"/>
              <w:rPr>
                <w:rFonts w:ascii="Book Antiqua" w:eastAsia="Yu Gothic" w:hAnsi="Book Antiqua" w:cs="Arial"/>
                <w:color w:val="000000" w:themeColor="text1"/>
                <w:kern w:val="0"/>
                <w:sz w:val="24"/>
                <w:szCs w:val="24"/>
              </w:rPr>
            </w:pPr>
            <w:r w:rsidRPr="00706E08">
              <w:rPr>
                <w:rFonts w:ascii="Book Antiqua" w:eastAsia="Yu Gothic" w:hAnsi="Book Antiqua" w:cs="Arial"/>
                <w:color w:val="000000" w:themeColor="text1"/>
                <w:kern w:val="0"/>
                <w:sz w:val="24"/>
                <w:szCs w:val="24"/>
              </w:rPr>
              <w:t>29.6</w:t>
            </w:r>
          </w:p>
        </w:tc>
      </w:tr>
      <w:tr w:rsidR="000B52DE" w:rsidRPr="00706E08" w14:paraId="17F9E7F8" w14:textId="77777777" w:rsidTr="00830424">
        <w:trPr>
          <w:trHeight w:val="582"/>
        </w:trPr>
        <w:tc>
          <w:tcPr>
            <w:tcW w:w="4365" w:type="dxa"/>
            <w:tcBorders>
              <w:top w:val="nil"/>
              <w:left w:val="nil"/>
              <w:right w:val="nil"/>
            </w:tcBorders>
            <w:shd w:val="clear" w:color="auto" w:fill="auto"/>
            <w:noWrap/>
            <w:vAlign w:val="center"/>
            <w:hideMark/>
          </w:tcPr>
          <w:p w14:paraId="0B92E894" w14:textId="06D18137" w:rsidR="000C7C53" w:rsidRPr="00706E08" w:rsidRDefault="00491AF5" w:rsidP="000B52DE">
            <w:pPr>
              <w:spacing w:line="360" w:lineRule="auto"/>
              <w:jc w:val="both"/>
              <w:rPr>
                <w:rFonts w:ascii="Book Antiqua" w:eastAsia="Yu Gothic" w:hAnsi="Book Antiqua" w:cs="Arial"/>
                <w:color w:val="000000" w:themeColor="text1"/>
                <w:kern w:val="0"/>
                <w:sz w:val="24"/>
                <w:szCs w:val="24"/>
              </w:rPr>
            </w:pPr>
            <w:r w:rsidRPr="00706E08">
              <w:rPr>
                <w:rFonts w:ascii="Book Antiqua" w:eastAsia="Yu Gothic" w:hAnsi="Book Antiqua" w:cs="Arial"/>
                <w:color w:val="000000" w:themeColor="text1"/>
                <w:kern w:val="0"/>
                <w:sz w:val="24"/>
                <w:szCs w:val="24"/>
              </w:rPr>
              <w:t>(95%</w:t>
            </w:r>
            <w:r w:rsidR="000C7C53" w:rsidRPr="00706E08">
              <w:rPr>
                <w:rFonts w:ascii="Book Antiqua" w:eastAsia="Yu Gothic" w:hAnsi="Book Antiqua" w:cs="Arial"/>
                <w:color w:val="000000" w:themeColor="text1"/>
                <w:kern w:val="0"/>
                <w:sz w:val="24"/>
                <w:szCs w:val="24"/>
              </w:rPr>
              <w:t>CI)</w:t>
            </w:r>
          </w:p>
        </w:tc>
        <w:tc>
          <w:tcPr>
            <w:tcW w:w="2306" w:type="dxa"/>
            <w:tcBorders>
              <w:top w:val="nil"/>
              <w:left w:val="nil"/>
              <w:right w:val="nil"/>
            </w:tcBorders>
            <w:shd w:val="clear" w:color="auto" w:fill="auto"/>
            <w:noWrap/>
            <w:vAlign w:val="center"/>
            <w:hideMark/>
          </w:tcPr>
          <w:p w14:paraId="1DF122A6" w14:textId="77777777" w:rsidR="000C7C53" w:rsidRPr="00706E08" w:rsidRDefault="000C7C53" w:rsidP="000B52DE">
            <w:pPr>
              <w:spacing w:line="360" w:lineRule="auto"/>
              <w:jc w:val="both"/>
              <w:rPr>
                <w:rFonts w:ascii="Book Antiqua" w:eastAsia="Yu Gothic" w:hAnsi="Book Antiqua" w:cs="Arial"/>
                <w:color w:val="000000" w:themeColor="text1"/>
                <w:kern w:val="0"/>
                <w:sz w:val="24"/>
                <w:szCs w:val="24"/>
              </w:rPr>
            </w:pPr>
            <w:r w:rsidRPr="00706E08">
              <w:rPr>
                <w:rFonts w:ascii="Book Antiqua" w:eastAsia="Yu Gothic" w:hAnsi="Book Antiqua" w:cs="Arial"/>
                <w:color w:val="000000" w:themeColor="text1"/>
                <w:kern w:val="0"/>
                <w:sz w:val="24"/>
                <w:szCs w:val="24"/>
              </w:rPr>
              <w:t>(3.2-16.7)</w:t>
            </w:r>
          </w:p>
        </w:tc>
        <w:tc>
          <w:tcPr>
            <w:tcW w:w="2306" w:type="dxa"/>
            <w:tcBorders>
              <w:top w:val="nil"/>
              <w:left w:val="nil"/>
              <w:right w:val="nil"/>
            </w:tcBorders>
            <w:shd w:val="clear" w:color="auto" w:fill="auto"/>
            <w:noWrap/>
            <w:vAlign w:val="center"/>
            <w:hideMark/>
          </w:tcPr>
          <w:p w14:paraId="46CB0C93" w14:textId="77777777" w:rsidR="000C7C53" w:rsidRPr="00706E08" w:rsidRDefault="000C7C53" w:rsidP="000B52DE">
            <w:pPr>
              <w:spacing w:line="360" w:lineRule="auto"/>
              <w:jc w:val="both"/>
              <w:rPr>
                <w:rFonts w:ascii="Book Antiqua" w:eastAsia="Yu Gothic" w:hAnsi="Book Antiqua" w:cs="Arial"/>
                <w:color w:val="000000" w:themeColor="text1"/>
                <w:kern w:val="0"/>
                <w:sz w:val="24"/>
                <w:szCs w:val="24"/>
              </w:rPr>
            </w:pPr>
            <w:r w:rsidRPr="00706E08">
              <w:rPr>
                <w:rFonts w:ascii="Book Antiqua" w:eastAsia="Yu Gothic" w:hAnsi="Book Antiqua" w:cs="Arial"/>
                <w:color w:val="000000" w:themeColor="text1"/>
                <w:kern w:val="0"/>
                <w:sz w:val="24"/>
                <w:szCs w:val="24"/>
              </w:rPr>
              <w:t>(2.6-13.9)</w:t>
            </w:r>
          </w:p>
        </w:tc>
        <w:tc>
          <w:tcPr>
            <w:tcW w:w="2306" w:type="dxa"/>
            <w:tcBorders>
              <w:top w:val="nil"/>
              <w:left w:val="nil"/>
              <w:right w:val="nil"/>
            </w:tcBorders>
            <w:shd w:val="clear" w:color="auto" w:fill="auto"/>
            <w:noWrap/>
            <w:vAlign w:val="center"/>
            <w:hideMark/>
          </w:tcPr>
          <w:p w14:paraId="76AE4E2C" w14:textId="77777777" w:rsidR="000C7C53" w:rsidRPr="00706E08" w:rsidRDefault="000C7C53" w:rsidP="000B52DE">
            <w:pPr>
              <w:spacing w:line="360" w:lineRule="auto"/>
              <w:jc w:val="both"/>
              <w:rPr>
                <w:rFonts w:ascii="Book Antiqua" w:eastAsia="Yu Gothic" w:hAnsi="Book Antiqua" w:cs="Arial"/>
                <w:color w:val="000000" w:themeColor="text1"/>
                <w:kern w:val="0"/>
                <w:sz w:val="24"/>
                <w:szCs w:val="24"/>
              </w:rPr>
            </w:pPr>
            <w:r w:rsidRPr="00706E08">
              <w:rPr>
                <w:rFonts w:ascii="Book Antiqua" w:eastAsia="Yu Gothic" w:hAnsi="Book Antiqua" w:cs="Arial"/>
                <w:color w:val="000000" w:themeColor="text1"/>
                <w:kern w:val="0"/>
                <w:sz w:val="24"/>
                <w:szCs w:val="24"/>
              </w:rPr>
              <w:t>(4.7-185.7)</w:t>
            </w:r>
          </w:p>
        </w:tc>
      </w:tr>
      <w:tr w:rsidR="000B52DE" w:rsidRPr="00706E08" w14:paraId="36210635" w14:textId="77777777" w:rsidTr="00830424">
        <w:trPr>
          <w:trHeight w:val="582"/>
        </w:trPr>
        <w:tc>
          <w:tcPr>
            <w:tcW w:w="4365" w:type="dxa"/>
            <w:tcBorders>
              <w:top w:val="nil"/>
              <w:left w:val="nil"/>
              <w:bottom w:val="single" w:sz="4" w:space="0" w:color="auto"/>
              <w:right w:val="nil"/>
            </w:tcBorders>
            <w:shd w:val="clear" w:color="auto" w:fill="auto"/>
            <w:noWrap/>
            <w:vAlign w:val="center"/>
            <w:hideMark/>
          </w:tcPr>
          <w:p w14:paraId="6944E3D7" w14:textId="543B102B" w:rsidR="000C7C53" w:rsidRPr="00706E08" w:rsidRDefault="00491AF5" w:rsidP="000B52DE">
            <w:pPr>
              <w:spacing w:line="360" w:lineRule="auto"/>
              <w:jc w:val="both"/>
              <w:rPr>
                <w:rFonts w:ascii="Book Antiqua" w:eastAsia="Yu Gothic" w:hAnsi="Book Antiqua" w:cs="Arial"/>
                <w:color w:val="000000" w:themeColor="text1"/>
                <w:kern w:val="0"/>
                <w:sz w:val="24"/>
                <w:szCs w:val="24"/>
              </w:rPr>
            </w:pPr>
            <w:r w:rsidRPr="00706E08">
              <w:rPr>
                <w:rFonts w:ascii="Book Antiqua" w:eastAsia="Yu Gothic" w:hAnsi="Book Antiqua" w:cs="Arial"/>
                <w:color w:val="000000" w:themeColor="text1"/>
                <w:kern w:val="0"/>
                <w:sz w:val="24"/>
                <w:szCs w:val="24"/>
              </w:rPr>
              <w:t>AUC (95%</w:t>
            </w:r>
            <w:r w:rsidR="000C7C53" w:rsidRPr="00706E08">
              <w:rPr>
                <w:rFonts w:ascii="Book Antiqua" w:eastAsia="Yu Gothic" w:hAnsi="Book Antiqua" w:cs="Arial"/>
                <w:color w:val="000000" w:themeColor="text1"/>
                <w:kern w:val="0"/>
                <w:sz w:val="24"/>
                <w:szCs w:val="24"/>
              </w:rPr>
              <w:t>CI)</w:t>
            </w:r>
          </w:p>
        </w:tc>
        <w:tc>
          <w:tcPr>
            <w:tcW w:w="2306" w:type="dxa"/>
            <w:tcBorders>
              <w:top w:val="nil"/>
              <w:left w:val="nil"/>
              <w:bottom w:val="single" w:sz="4" w:space="0" w:color="auto"/>
              <w:right w:val="nil"/>
            </w:tcBorders>
            <w:shd w:val="clear" w:color="auto" w:fill="auto"/>
            <w:noWrap/>
            <w:vAlign w:val="center"/>
            <w:hideMark/>
          </w:tcPr>
          <w:p w14:paraId="12E5ABA4" w14:textId="77777777" w:rsidR="000C7C53" w:rsidRPr="00706E08" w:rsidRDefault="000C7C53" w:rsidP="000B52DE">
            <w:pPr>
              <w:spacing w:line="360" w:lineRule="auto"/>
              <w:jc w:val="both"/>
              <w:rPr>
                <w:rFonts w:ascii="Book Antiqua" w:eastAsia="Yu Gothic" w:hAnsi="Book Antiqua" w:cs="Arial"/>
                <w:color w:val="000000" w:themeColor="text1"/>
                <w:kern w:val="0"/>
                <w:sz w:val="24"/>
                <w:szCs w:val="24"/>
              </w:rPr>
            </w:pPr>
            <w:r w:rsidRPr="00706E08">
              <w:rPr>
                <w:rFonts w:ascii="Book Antiqua" w:eastAsia="Yu Gothic" w:hAnsi="Book Antiqua" w:cs="Arial"/>
                <w:color w:val="000000" w:themeColor="text1"/>
                <w:kern w:val="0"/>
                <w:sz w:val="24"/>
                <w:szCs w:val="24"/>
              </w:rPr>
              <w:t>0.90 (0.82-0.94)</w:t>
            </w:r>
          </w:p>
        </w:tc>
        <w:tc>
          <w:tcPr>
            <w:tcW w:w="2306" w:type="dxa"/>
            <w:tcBorders>
              <w:top w:val="nil"/>
              <w:left w:val="nil"/>
              <w:bottom w:val="single" w:sz="4" w:space="0" w:color="auto"/>
              <w:right w:val="nil"/>
            </w:tcBorders>
            <w:shd w:val="clear" w:color="auto" w:fill="auto"/>
            <w:noWrap/>
            <w:vAlign w:val="center"/>
            <w:hideMark/>
          </w:tcPr>
          <w:p w14:paraId="0FF661B6" w14:textId="77777777" w:rsidR="000C7C53" w:rsidRPr="00706E08" w:rsidRDefault="000C7C53" w:rsidP="000B52DE">
            <w:pPr>
              <w:spacing w:line="360" w:lineRule="auto"/>
              <w:jc w:val="both"/>
              <w:rPr>
                <w:rFonts w:ascii="Book Antiqua" w:eastAsia="Yu Gothic" w:hAnsi="Book Antiqua" w:cs="Arial"/>
                <w:color w:val="000000" w:themeColor="text1"/>
                <w:kern w:val="0"/>
                <w:sz w:val="24"/>
                <w:szCs w:val="24"/>
              </w:rPr>
            </w:pPr>
            <w:r w:rsidRPr="00706E08">
              <w:rPr>
                <w:rFonts w:ascii="Book Antiqua" w:eastAsia="Yu Gothic" w:hAnsi="Book Antiqua" w:cs="Arial"/>
                <w:color w:val="000000" w:themeColor="text1"/>
                <w:kern w:val="0"/>
                <w:sz w:val="24"/>
                <w:szCs w:val="24"/>
              </w:rPr>
              <w:t>0.93 (0.87-0.96)</w:t>
            </w:r>
          </w:p>
        </w:tc>
        <w:tc>
          <w:tcPr>
            <w:tcW w:w="2306" w:type="dxa"/>
            <w:tcBorders>
              <w:top w:val="nil"/>
              <w:left w:val="nil"/>
              <w:bottom w:val="single" w:sz="4" w:space="0" w:color="auto"/>
              <w:right w:val="nil"/>
            </w:tcBorders>
            <w:shd w:val="clear" w:color="auto" w:fill="auto"/>
            <w:noWrap/>
            <w:vAlign w:val="center"/>
            <w:hideMark/>
          </w:tcPr>
          <w:p w14:paraId="7A0F4041" w14:textId="77777777" w:rsidR="000C7C53" w:rsidRPr="00706E08" w:rsidRDefault="000C7C53" w:rsidP="000B52DE">
            <w:pPr>
              <w:spacing w:line="360" w:lineRule="auto"/>
              <w:jc w:val="both"/>
              <w:rPr>
                <w:rFonts w:ascii="Book Antiqua" w:eastAsia="Yu Gothic" w:hAnsi="Book Antiqua" w:cs="Arial"/>
                <w:color w:val="000000" w:themeColor="text1"/>
                <w:kern w:val="0"/>
                <w:sz w:val="24"/>
                <w:szCs w:val="24"/>
              </w:rPr>
            </w:pPr>
            <w:r w:rsidRPr="00706E08">
              <w:rPr>
                <w:rFonts w:ascii="Book Antiqua" w:eastAsia="Yu Gothic" w:hAnsi="Book Antiqua" w:cs="Arial"/>
                <w:color w:val="000000" w:themeColor="text1"/>
                <w:kern w:val="0"/>
                <w:sz w:val="24"/>
                <w:szCs w:val="24"/>
              </w:rPr>
              <w:t>0.95 (0.86-0.98)</w:t>
            </w:r>
          </w:p>
        </w:tc>
      </w:tr>
    </w:tbl>
    <w:p w14:paraId="2BF7FE31" w14:textId="25BA3C83" w:rsidR="000C7C53" w:rsidRPr="00706E08" w:rsidRDefault="008A6387" w:rsidP="000B52DE">
      <w:pPr>
        <w:spacing w:line="360" w:lineRule="auto"/>
        <w:jc w:val="both"/>
        <w:rPr>
          <w:rFonts w:ascii="Book Antiqua" w:eastAsia="Yu Gothic" w:hAnsi="Book Antiqua" w:cs="Arial"/>
          <w:color w:val="000000" w:themeColor="text1"/>
          <w:kern w:val="0"/>
          <w:sz w:val="24"/>
          <w:szCs w:val="24"/>
        </w:rPr>
      </w:pPr>
      <w:r w:rsidRPr="00706E08">
        <w:rPr>
          <w:rFonts w:ascii="Book Antiqua" w:eastAsia="Yu Gothic" w:hAnsi="Book Antiqua" w:cs="Arial"/>
          <w:color w:val="000000" w:themeColor="text1"/>
          <w:kern w:val="0"/>
          <w:sz w:val="24"/>
          <w:szCs w:val="24"/>
        </w:rPr>
        <w:t>CI:</w:t>
      </w:r>
      <w:r w:rsidR="00176445" w:rsidRPr="00706E08">
        <w:rPr>
          <w:rFonts w:ascii="Book Antiqua" w:eastAsia="Yu Gothic" w:hAnsi="Book Antiqua" w:cs="Arial"/>
          <w:color w:val="000000" w:themeColor="text1"/>
          <w:kern w:val="0"/>
          <w:sz w:val="24"/>
          <w:szCs w:val="24"/>
        </w:rPr>
        <w:t xml:space="preserve"> </w:t>
      </w:r>
      <w:r w:rsidR="00491AF5" w:rsidRPr="00706E08">
        <w:rPr>
          <w:rFonts w:ascii="Book Antiqua" w:eastAsia="Yu Gothic" w:hAnsi="Book Antiqua" w:cs="Arial"/>
          <w:color w:val="000000" w:themeColor="text1"/>
          <w:kern w:val="0"/>
          <w:sz w:val="24"/>
          <w:szCs w:val="24"/>
        </w:rPr>
        <w:t>C</w:t>
      </w:r>
      <w:r w:rsidR="000C7C53" w:rsidRPr="00706E08">
        <w:rPr>
          <w:rFonts w:ascii="Book Antiqua" w:eastAsia="Yu Gothic" w:hAnsi="Book Antiqua" w:cs="Arial"/>
          <w:color w:val="000000" w:themeColor="text1"/>
          <w:kern w:val="0"/>
          <w:sz w:val="24"/>
          <w:szCs w:val="24"/>
        </w:rPr>
        <w:t>onfidence</w:t>
      </w:r>
      <w:r w:rsidR="00176445" w:rsidRPr="00706E08">
        <w:rPr>
          <w:rFonts w:ascii="Book Antiqua" w:eastAsia="Yu Gothic" w:hAnsi="Book Antiqua" w:cs="Arial"/>
          <w:color w:val="000000" w:themeColor="text1"/>
          <w:kern w:val="0"/>
          <w:sz w:val="24"/>
          <w:szCs w:val="24"/>
        </w:rPr>
        <w:t xml:space="preserve"> </w:t>
      </w:r>
      <w:r w:rsidR="000C7C53" w:rsidRPr="00706E08">
        <w:rPr>
          <w:rFonts w:ascii="Book Antiqua" w:eastAsia="Yu Gothic" w:hAnsi="Book Antiqua" w:cs="Arial"/>
          <w:color w:val="000000" w:themeColor="text1"/>
          <w:kern w:val="0"/>
          <w:sz w:val="24"/>
          <w:szCs w:val="24"/>
        </w:rPr>
        <w:t>interval</w:t>
      </w:r>
      <w:r w:rsidR="00491AF5" w:rsidRPr="00706E08">
        <w:rPr>
          <w:rFonts w:ascii="Book Antiqua" w:eastAsia="Yu Gothic" w:hAnsi="Book Antiqua" w:cs="Arial"/>
          <w:color w:val="000000" w:themeColor="text1"/>
          <w:kern w:val="0"/>
          <w:sz w:val="24"/>
          <w:szCs w:val="24"/>
          <w:lang w:eastAsia="zh-CN"/>
        </w:rPr>
        <w:t>;</w:t>
      </w:r>
      <w:r w:rsidR="00176445" w:rsidRPr="00706E08">
        <w:rPr>
          <w:rFonts w:ascii="Book Antiqua" w:eastAsia="Yu Gothic" w:hAnsi="Book Antiqua" w:cs="Arial"/>
          <w:color w:val="000000" w:themeColor="text1"/>
          <w:kern w:val="0"/>
          <w:sz w:val="24"/>
          <w:szCs w:val="24"/>
        </w:rPr>
        <w:t xml:space="preserve"> </w:t>
      </w:r>
      <w:r w:rsidR="000C7C53" w:rsidRPr="00706E08">
        <w:rPr>
          <w:rFonts w:ascii="Book Antiqua" w:eastAsia="Yu Gothic" w:hAnsi="Book Antiqua" w:cs="Arial"/>
          <w:color w:val="000000" w:themeColor="text1"/>
          <w:kern w:val="0"/>
          <w:sz w:val="24"/>
          <w:szCs w:val="24"/>
        </w:rPr>
        <w:t>AUC:</w:t>
      </w:r>
      <w:r w:rsidR="00176445" w:rsidRPr="00706E08">
        <w:rPr>
          <w:rFonts w:ascii="Book Antiqua" w:eastAsia="Yu Gothic" w:hAnsi="Book Antiqua" w:cs="Arial"/>
          <w:color w:val="000000" w:themeColor="text1"/>
          <w:kern w:val="0"/>
          <w:sz w:val="24"/>
          <w:szCs w:val="24"/>
        </w:rPr>
        <w:t xml:space="preserve"> </w:t>
      </w:r>
      <w:r w:rsidR="000C7C53" w:rsidRPr="00706E08">
        <w:rPr>
          <w:rFonts w:ascii="Book Antiqua" w:eastAsia="Yu Gothic" w:hAnsi="Book Antiqua" w:cs="Arial"/>
          <w:color w:val="000000" w:themeColor="text1"/>
          <w:kern w:val="0"/>
          <w:sz w:val="24"/>
          <w:szCs w:val="24"/>
        </w:rPr>
        <w:t>Area</w:t>
      </w:r>
      <w:r w:rsidR="00176445" w:rsidRPr="00706E08">
        <w:rPr>
          <w:rFonts w:ascii="Book Antiqua" w:eastAsia="Yu Gothic" w:hAnsi="Book Antiqua" w:cs="Arial"/>
          <w:color w:val="000000" w:themeColor="text1"/>
          <w:kern w:val="0"/>
          <w:sz w:val="24"/>
          <w:szCs w:val="24"/>
        </w:rPr>
        <w:t xml:space="preserve"> </w:t>
      </w:r>
      <w:r w:rsidR="000C7C53" w:rsidRPr="00706E08">
        <w:rPr>
          <w:rFonts w:ascii="Book Antiqua" w:eastAsia="Yu Gothic" w:hAnsi="Book Antiqua" w:cs="Arial"/>
          <w:color w:val="000000" w:themeColor="text1"/>
          <w:kern w:val="0"/>
          <w:sz w:val="24"/>
          <w:szCs w:val="24"/>
        </w:rPr>
        <w:t>under</w:t>
      </w:r>
      <w:r w:rsidR="00176445" w:rsidRPr="00706E08">
        <w:rPr>
          <w:rFonts w:ascii="Book Antiqua" w:eastAsia="Yu Gothic" w:hAnsi="Book Antiqua" w:cs="Arial"/>
          <w:color w:val="000000" w:themeColor="text1"/>
          <w:kern w:val="0"/>
          <w:sz w:val="24"/>
          <w:szCs w:val="24"/>
        </w:rPr>
        <w:t xml:space="preserve"> </w:t>
      </w:r>
      <w:r w:rsidR="000C7C53" w:rsidRPr="00706E08">
        <w:rPr>
          <w:rFonts w:ascii="Book Antiqua" w:eastAsia="Yu Gothic" w:hAnsi="Book Antiqua" w:cs="Arial"/>
          <w:color w:val="000000" w:themeColor="text1"/>
          <w:kern w:val="0"/>
          <w:sz w:val="24"/>
          <w:szCs w:val="24"/>
        </w:rPr>
        <w:t>the</w:t>
      </w:r>
      <w:r w:rsidR="00176445" w:rsidRPr="00706E08">
        <w:rPr>
          <w:rFonts w:ascii="Book Antiqua" w:eastAsia="Yu Gothic" w:hAnsi="Book Antiqua" w:cs="Arial"/>
          <w:color w:val="000000" w:themeColor="text1"/>
          <w:kern w:val="0"/>
          <w:sz w:val="24"/>
          <w:szCs w:val="24"/>
        </w:rPr>
        <w:t xml:space="preserve"> </w:t>
      </w:r>
      <w:r w:rsidR="00491AF5" w:rsidRPr="00706E08">
        <w:rPr>
          <w:rFonts w:ascii="Book Antiqua" w:eastAsia="Yu Gothic" w:hAnsi="Book Antiqua" w:cs="Arial"/>
          <w:color w:val="000000" w:themeColor="text1"/>
          <w:kern w:val="0"/>
          <w:sz w:val="24"/>
          <w:szCs w:val="24"/>
        </w:rPr>
        <w:t>curve</w:t>
      </w:r>
      <w:r w:rsidR="00491AF5" w:rsidRPr="00706E08">
        <w:rPr>
          <w:rFonts w:ascii="Book Antiqua" w:eastAsia="Yu Gothic" w:hAnsi="Book Antiqua" w:cs="Arial"/>
          <w:color w:val="000000" w:themeColor="text1"/>
          <w:kern w:val="0"/>
          <w:sz w:val="24"/>
          <w:szCs w:val="24"/>
          <w:lang w:eastAsia="zh-CN"/>
        </w:rPr>
        <w:t xml:space="preserve">; </w:t>
      </w:r>
      <w:r w:rsidR="000C7C53" w:rsidRPr="00706E08">
        <w:rPr>
          <w:rFonts w:ascii="Book Antiqua" w:eastAsia="Yu Gothic" w:hAnsi="Book Antiqua" w:cs="Arial"/>
          <w:color w:val="000000" w:themeColor="text1"/>
          <w:kern w:val="0"/>
          <w:sz w:val="24"/>
          <w:szCs w:val="24"/>
        </w:rPr>
        <w:t>Model</w:t>
      </w:r>
      <w:r w:rsidR="00176445" w:rsidRPr="00706E08">
        <w:rPr>
          <w:rFonts w:ascii="Book Antiqua" w:eastAsia="Yu Gothic" w:hAnsi="Book Antiqua" w:cs="Arial"/>
          <w:color w:val="000000" w:themeColor="text1"/>
          <w:kern w:val="0"/>
          <w:sz w:val="24"/>
          <w:szCs w:val="24"/>
        </w:rPr>
        <w:t xml:space="preserve"> </w:t>
      </w:r>
      <w:r w:rsidR="000C7C53" w:rsidRPr="00706E08">
        <w:rPr>
          <w:rFonts w:ascii="Book Antiqua" w:eastAsia="Yu Gothic" w:hAnsi="Book Antiqua" w:cs="Arial"/>
          <w:color w:val="000000" w:themeColor="text1"/>
          <w:kern w:val="0"/>
          <w:sz w:val="24"/>
          <w:szCs w:val="24"/>
        </w:rPr>
        <w:t>1:</w:t>
      </w:r>
      <w:r w:rsidR="00176445" w:rsidRPr="00706E08">
        <w:rPr>
          <w:rFonts w:ascii="Book Antiqua" w:eastAsia="Yu Gothic" w:hAnsi="Book Antiqua" w:cs="Arial"/>
          <w:color w:val="000000" w:themeColor="text1"/>
          <w:kern w:val="0"/>
          <w:sz w:val="24"/>
          <w:szCs w:val="24"/>
        </w:rPr>
        <w:t xml:space="preserve"> </w:t>
      </w:r>
      <w:r w:rsidR="000C7C53" w:rsidRPr="00706E08">
        <w:rPr>
          <w:rFonts w:ascii="Book Antiqua" w:eastAsia="Yu Gothic" w:hAnsi="Book Antiqua" w:cs="Arial"/>
          <w:color w:val="000000" w:themeColor="text1"/>
          <w:kern w:val="0"/>
          <w:sz w:val="24"/>
          <w:szCs w:val="24"/>
        </w:rPr>
        <w:t>P</w:t>
      </w:r>
      <w:r w:rsidR="00176445" w:rsidRPr="00706E08">
        <w:rPr>
          <w:rFonts w:ascii="Book Antiqua" w:eastAsia="Yu Gothic" w:hAnsi="Book Antiqua" w:cs="Arial"/>
          <w:color w:val="000000" w:themeColor="text1"/>
          <w:kern w:val="0"/>
          <w:sz w:val="24"/>
          <w:szCs w:val="24"/>
        </w:rPr>
        <w:t xml:space="preserve">rostaglandin </w:t>
      </w:r>
      <w:r w:rsidR="000C7C53" w:rsidRPr="00706E08">
        <w:rPr>
          <w:rFonts w:ascii="Book Antiqua" w:eastAsia="Yu Gothic" w:hAnsi="Book Antiqua" w:cs="Arial"/>
          <w:color w:val="000000" w:themeColor="text1"/>
          <w:kern w:val="0"/>
          <w:sz w:val="24"/>
          <w:szCs w:val="24"/>
        </w:rPr>
        <w:t>E-</w:t>
      </w:r>
      <w:r w:rsidR="00176445" w:rsidRPr="00706E08">
        <w:rPr>
          <w:rFonts w:ascii="Book Antiqua" w:eastAsia="Yu Gothic" w:hAnsi="Book Antiqua" w:cs="Arial"/>
          <w:color w:val="000000" w:themeColor="text1"/>
          <w:kern w:val="0"/>
          <w:sz w:val="24"/>
          <w:szCs w:val="24"/>
        </w:rPr>
        <w:t>major urinary metabolite</w:t>
      </w:r>
      <w:r w:rsidR="00491AF5" w:rsidRPr="00706E08">
        <w:rPr>
          <w:rFonts w:ascii="Book Antiqua" w:eastAsia="Yu Gothic" w:hAnsi="Book Antiqua" w:cs="Arial"/>
          <w:color w:val="000000" w:themeColor="text1"/>
          <w:kern w:val="0"/>
          <w:sz w:val="24"/>
          <w:szCs w:val="24"/>
          <w:lang w:eastAsia="zh-CN"/>
        </w:rPr>
        <w:t xml:space="preserve">; </w:t>
      </w:r>
      <w:r w:rsidR="000C7C53" w:rsidRPr="00706E08">
        <w:rPr>
          <w:rFonts w:ascii="Book Antiqua" w:eastAsia="Yu Gothic" w:hAnsi="Book Antiqua" w:cs="Arial"/>
          <w:color w:val="000000" w:themeColor="text1"/>
          <w:kern w:val="0"/>
          <w:sz w:val="24"/>
          <w:szCs w:val="24"/>
        </w:rPr>
        <w:t>Model</w:t>
      </w:r>
      <w:r w:rsidR="00176445" w:rsidRPr="00706E08">
        <w:rPr>
          <w:rFonts w:ascii="Book Antiqua" w:eastAsia="Yu Gothic" w:hAnsi="Book Antiqua" w:cs="Arial"/>
          <w:color w:val="000000" w:themeColor="text1"/>
          <w:kern w:val="0"/>
          <w:sz w:val="24"/>
          <w:szCs w:val="24"/>
        </w:rPr>
        <w:t xml:space="preserve"> </w:t>
      </w:r>
      <w:r w:rsidR="000C7C53" w:rsidRPr="00706E08">
        <w:rPr>
          <w:rFonts w:ascii="Book Antiqua" w:eastAsia="Yu Gothic" w:hAnsi="Book Antiqua" w:cs="Arial"/>
          <w:color w:val="000000" w:themeColor="text1"/>
          <w:kern w:val="0"/>
          <w:sz w:val="24"/>
          <w:szCs w:val="24"/>
        </w:rPr>
        <w:t>2:</w:t>
      </w:r>
      <w:r w:rsidR="00176445" w:rsidRPr="00706E08">
        <w:rPr>
          <w:rFonts w:ascii="Book Antiqua" w:eastAsia="Yu Gothic" w:hAnsi="Book Antiqua" w:cs="Arial"/>
          <w:color w:val="000000" w:themeColor="text1"/>
          <w:kern w:val="0"/>
          <w:sz w:val="24"/>
          <w:szCs w:val="24"/>
        </w:rPr>
        <w:t xml:space="preserve"> </w:t>
      </w:r>
      <w:r w:rsidR="00491AF5" w:rsidRPr="00706E08">
        <w:rPr>
          <w:rFonts w:ascii="Book Antiqua" w:eastAsia="Yu Gothic" w:hAnsi="Book Antiqua" w:cs="Arial"/>
          <w:color w:val="000000" w:themeColor="text1"/>
          <w:kern w:val="0"/>
          <w:sz w:val="24"/>
          <w:szCs w:val="24"/>
        </w:rPr>
        <w:t>Prostaglandin E-major urinary metabolite</w:t>
      </w:r>
      <w:r w:rsidR="00491AF5" w:rsidRPr="00706E08">
        <w:rPr>
          <w:rFonts w:ascii="Book Antiqua" w:eastAsia="Yu Gothic" w:hAnsi="Book Antiqua" w:cs="Arial"/>
          <w:color w:val="000000" w:themeColor="text1"/>
          <w:kern w:val="0"/>
          <w:sz w:val="24"/>
          <w:szCs w:val="24"/>
          <w:lang w:eastAsia="zh-CN"/>
        </w:rPr>
        <w:t xml:space="preserve"> </w:t>
      </w:r>
      <w:r w:rsidR="00491AF5" w:rsidRPr="00706E08">
        <w:rPr>
          <w:rFonts w:ascii="Book Antiqua" w:eastAsia="Yu Gothic" w:hAnsi="Book Antiqua" w:cs="Arial"/>
          <w:color w:val="000000" w:themeColor="text1"/>
          <w:kern w:val="0"/>
          <w:sz w:val="24"/>
          <w:szCs w:val="24"/>
        </w:rPr>
        <w:t>+</w:t>
      </w:r>
      <w:r w:rsidR="00491AF5" w:rsidRPr="00706E08">
        <w:rPr>
          <w:rFonts w:ascii="Book Antiqua" w:eastAsia="Yu Gothic" w:hAnsi="Book Antiqua" w:cs="Arial"/>
          <w:color w:val="000000" w:themeColor="text1"/>
          <w:kern w:val="0"/>
          <w:sz w:val="24"/>
          <w:szCs w:val="24"/>
          <w:lang w:eastAsia="zh-CN"/>
        </w:rPr>
        <w:t xml:space="preserve"> </w:t>
      </w:r>
      <w:r w:rsidR="00491AF5" w:rsidRPr="00706E08">
        <w:rPr>
          <w:rFonts w:ascii="Book Antiqua" w:eastAsia="Yu Gothic" w:hAnsi="Book Antiqua" w:cs="Arial"/>
          <w:color w:val="000000" w:themeColor="text1"/>
          <w:kern w:val="0"/>
          <w:sz w:val="24"/>
          <w:szCs w:val="24"/>
        </w:rPr>
        <w:t>Age</w:t>
      </w:r>
      <w:r w:rsidR="00491AF5" w:rsidRPr="00706E08">
        <w:rPr>
          <w:rFonts w:ascii="Book Antiqua" w:eastAsia="Yu Gothic" w:hAnsi="Book Antiqua" w:cs="Arial"/>
          <w:color w:val="000000" w:themeColor="text1"/>
          <w:kern w:val="0"/>
          <w:sz w:val="24"/>
          <w:szCs w:val="24"/>
          <w:lang w:eastAsia="zh-CN"/>
        </w:rPr>
        <w:t xml:space="preserve"> </w:t>
      </w:r>
      <w:r w:rsidR="00491AF5" w:rsidRPr="00706E08">
        <w:rPr>
          <w:rFonts w:ascii="Book Antiqua" w:eastAsia="Yu Gothic" w:hAnsi="Book Antiqua" w:cs="Arial"/>
          <w:color w:val="000000" w:themeColor="text1"/>
          <w:kern w:val="0"/>
          <w:sz w:val="24"/>
          <w:szCs w:val="24"/>
        </w:rPr>
        <w:t>+</w:t>
      </w:r>
      <w:r w:rsidR="00491AF5" w:rsidRPr="00706E08">
        <w:rPr>
          <w:rFonts w:ascii="Book Antiqua" w:eastAsia="Yu Gothic" w:hAnsi="Book Antiqua" w:cs="Arial"/>
          <w:color w:val="000000" w:themeColor="text1"/>
          <w:kern w:val="0"/>
          <w:sz w:val="24"/>
          <w:szCs w:val="24"/>
          <w:lang w:eastAsia="zh-CN"/>
        </w:rPr>
        <w:t xml:space="preserve"> </w:t>
      </w:r>
      <w:r w:rsidR="00491AF5" w:rsidRPr="00706E08">
        <w:rPr>
          <w:rFonts w:ascii="Book Antiqua" w:eastAsia="Yu Gothic" w:hAnsi="Book Antiqua" w:cs="Arial"/>
          <w:color w:val="000000" w:themeColor="text1"/>
          <w:kern w:val="0"/>
          <w:sz w:val="24"/>
          <w:szCs w:val="24"/>
        </w:rPr>
        <w:t>Gender</w:t>
      </w:r>
      <w:r w:rsidR="00491AF5" w:rsidRPr="00706E08">
        <w:rPr>
          <w:rFonts w:ascii="Book Antiqua" w:eastAsia="Yu Gothic" w:hAnsi="Book Antiqua" w:cs="Arial"/>
          <w:color w:val="000000" w:themeColor="text1"/>
          <w:kern w:val="0"/>
          <w:sz w:val="24"/>
          <w:szCs w:val="24"/>
          <w:lang w:eastAsia="zh-CN"/>
        </w:rPr>
        <w:t xml:space="preserve">; </w:t>
      </w:r>
      <w:r w:rsidR="000C7C53" w:rsidRPr="00706E08">
        <w:rPr>
          <w:rFonts w:ascii="Book Antiqua" w:eastAsia="Yu Gothic" w:hAnsi="Book Antiqua" w:cs="Arial"/>
          <w:color w:val="000000" w:themeColor="text1"/>
          <w:kern w:val="0"/>
          <w:sz w:val="24"/>
          <w:szCs w:val="24"/>
        </w:rPr>
        <w:t xml:space="preserve">Model 3: </w:t>
      </w:r>
      <w:r w:rsidR="00491AF5" w:rsidRPr="00706E08">
        <w:rPr>
          <w:rFonts w:ascii="Book Antiqua" w:eastAsia="Yu Gothic" w:hAnsi="Book Antiqua" w:cs="Arial"/>
          <w:color w:val="000000" w:themeColor="text1"/>
          <w:kern w:val="0"/>
          <w:sz w:val="24"/>
          <w:szCs w:val="24"/>
        </w:rPr>
        <w:t>Prostaglandin E-major urinary metabolite</w:t>
      </w:r>
      <w:r w:rsidR="00491AF5" w:rsidRPr="00706E08">
        <w:rPr>
          <w:rFonts w:ascii="Book Antiqua" w:eastAsia="Yu Gothic" w:hAnsi="Book Antiqua" w:cs="Arial"/>
          <w:color w:val="000000" w:themeColor="text1"/>
          <w:kern w:val="0"/>
          <w:sz w:val="24"/>
          <w:szCs w:val="24"/>
          <w:lang w:eastAsia="zh-CN"/>
        </w:rPr>
        <w:t xml:space="preserve"> </w:t>
      </w:r>
      <w:r w:rsidR="00491AF5" w:rsidRPr="00706E08">
        <w:rPr>
          <w:rFonts w:ascii="Book Antiqua" w:eastAsia="Yu Gothic" w:hAnsi="Book Antiqua" w:cs="Arial"/>
          <w:color w:val="000000" w:themeColor="text1"/>
          <w:kern w:val="0"/>
          <w:sz w:val="24"/>
          <w:szCs w:val="24"/>
        </w:rPr>
        <w:t>+</w:t>
      </w:r>
      <w:r w:rsidR="00491AF5" w:rsidRPr="00706E08">
        <w:rPr>
          <w:rFonts w:ascii="Book Antiqua" w:eastAsia="Yu Gothic" w:hAnsi="Book Antiqua" w:cs="Arial"/>
          <w:color w:val="000000" w:themeColor="text1"/>
          <w:kern w:val="0"/>
          <w:sz w:val="24"/>
          <w:szCs w:val="24"/>
          <w:lang w:eastAsia="zh-CN"/>
        </w:rPr>
        <w:t xml:space="preserve"> </w:t>
      </w:r>
      <w:r w:rsidR="00491AF5" w:rsidRPr="00706E08">
        <w:rPr>
          <w:rFonts w:ascii="Book Antiqua" w:eastAsia="Yu Gothic" w:hAnsi="Book Antiqua" w:cs="Arial"/>
          <w:color w:val="000000" w:themeColor="text1"/>
          <w:kern w:val="0"/>
          <w:sz w:val="24"/>
          <w:szCs w:val="24"/>
        </w:rPr>
        <w:t>Age</w:t>
      </w:r>
      <w:r w:rsidR="00491AF5" w:rsidRPr="00706E08">
        <w:rPr>
          <w:rFonts w:ascii="Book Antiqua" w:eastAsia="Yu Gothic" w:hAnsi="Book Antiqua" w:cs="Arial"/>
          <w:color w:val="000000" w:themeColor="text1"/>
          <w:kern w:val="0"/>
          <w:sz w:val="24"/>
          <w:szCs w:val="24"/>
          <w:lang w:eastAsia="zh-CN"/>
        </w:rPr>
        <w:t xml:space="preserve"> </w:t>
      </w:r>
      <w:r w:rsidR="00491AF5" w:rsidRPr="00706E08">
        <w:rPr>
          <w:rFonts w:ascii="Book Antiqua" w:eastAsia="Yu Gothic" w:hAnsi="Book Antiqua" w:cs="Arial"/>
          <w:color w:val="000000" w:themeColor="text1"/>
          <w:kern w:val="0"/>
          <w:sz w:val="24"/>
          <w:szCs w:val="24"/>
        </w:rPr>
        <w:t>+</w:t>
      </w:r>
      <w:r w:rsidR="00491AF5" w:rsidRPr="00706E08">
        <w:rPr>
          <w:rFonts w:ascii="Book Antiqua" w:eastAsia="Yu Gothic" w:hAnsi="Book Antiqua" w:cs="Arial"/>
          <w:color w:val="000000" w:themeColor="text1"/>
          <w:kern w:val="0"/>
          <w:sz w:val="24"/>
          <w:szCs w:val="24"/>
          <w:lang w:eastAsia="zh-CN"/>
        </w:rPr>
        <w:t xml:space="preserve"> </w:t>
      </w:r>
      <w:r w:rsidR="00491AF5" w:rsidRPr="00706E08">
        <w:rPr>
          <w:rFonts w:ascii="Book Antiqua" w:eastAsia="Yu Gothic" w:hAnsi="Book Antiqua" w:cs="Arial"/>
          <w:color w:val="000000" w:themeColor="text1"/>
          <w:kern w:val="0"/>
          <w:sz w:val="24"/>
          <w:szCs w:val="24"/>
        </w:rPr>
        <w:t>Gender</w:t>
      </w:r>
      <w:r w:rsidR="00491AF5" w:rsidRPr="00706E08">
        <w:rPr>
          <w:rFonts w:ascii="Book Antiqua" w:eastAsia="Yu Gothic" w:hAnsi="Book Antiqua" w:cs="Arial"/>
          <w:color w:val="000000" w:themeColor="text1"/>
          <w:kern w:val="0"/>
          <w:sz w:val="24"/>
          <w:szCs w:val="24"/>
          <w:lang w:eastAsia="zh-CN"/>
        </w:rPr>
        <w:t xml:space="preserve"> +</w:t>
      </w:r>
      <w:r w:rsidR="000C7C53" w:rsidRPr="00706E08">
        <w:rPr>
          <w:rFonts w:ascii="Book Antiqua" w:eastAsia="Yu Gothic" w:hAnsi="Book Antiqua" w:cs="Arial"/>
          <w:color w:val="000000" w:themeColor="text1"/>
          <w:kern w:val="0"/>
          <w:sz w:val="24"/>
          <w:szCs w:val="24"/>
        </w:rPr>
        <w:t xml:space="preserve"> Medical history of pulmonary disease</w:t>
      </w:r>
      <w:r w:rsidR="00491AF5" w:rsidRPr="00706E08">
        <w:rPr>
          <w:rFonts w:ascii="Book Antiqua" w:eastAsia="Yu Gothic" w:hAnsi="Book Antiqua" w:cs="Arial"/>
          <w:color w:val="000000" w:themeColor="text1"/>
          <w:kern w:val="0"/>
          <w:sz w:val="24"/>
          <w:szCs w:val="24"/>
          <w:lang w:eastAsia="zh-CN"/>
        </w:rPr>
        <w:t xml:space="preserve"> </w:t>
      </w:r>
      <w:r w:rsidR="000C7C53" w:rsidRPr="00706E08">
        <w:rPr>
          <w:rFonts w:ascii="Book Antiqua" w:eastAsia="Yu Gothic" w:hAnsi="Book Antiqua" w:cs="Arial"/>
          <w:color w:val="000000" w:themeColor="text1"/>
          <w:kern w:val="0"/>
          <w:sz w:val="24"/>
          <w:szCs w:val="24"/>
        </w:rPr>
        <w:t xml:space="preserve">+ History of surgery+ Disease duration+ </w:t>
      </w:r>
      <w:r w:rsidR="00491AF5" w:rsidRPr="00706E08">
        <w:rPr>
          <w:rFonts w:ascii="Book Antiqua" w:eastAsia="Yu Gothic" w:hAnsi="Book Antiqua" w:cs="Arial"/>
          <w:color w:val="000000" w:themeColor="text1"/>
          <w:kern w:val="0"/>
          <w:sz w:val="24"/>
          <w:szCs w:val="24"/>
        </w:rPr>
        <w:t>C reactive protein</w:t>
      </w:r>
      <w:r w:rsidR="000C7C53" w:rsidRPr="00706E08">
        <w:rPr>
          <w:rFonts w:ascii="Book Antiqua" w:eastAsia="Yu Gothic" w:hAnsi="Book Antiqua" w:cs="Arial"/>
          <w:color w:val="000000" w:themeColor="text1"/>
          <w:kern w:val="0"/>
          <w:sz w:val="24"/>
          <w:szCs w:val="24"/>
        </w:rPr>
        <w:t>.</w:t>
      </w:r>
    </w:p>
    <w:bookmarkEnd w:id="3"/>
    <w:p w14:paraId="4DC58EBE" w14:textId="77777777" w:rsidR="00830424" w:rsidRPr="00706E08" w:rsidRDefault="00830424" w:rsidP="000B52DE">
      <w:pPr>
        <w:spacing w:line="360" w:lineRule="auto"/>
        <w:jc w:val="both"/>
        <w:rPr>
          <w:rFonts w:ascii="Book Antiqua" w:eastAsia="等线" w:hAnsi="Book Antiqua"/>
          <w:color w:val="000000" w:themeColor="text1"/>
          <w:sz w:val="24"/>
          <w:szCs w:val="24"/>
          <w:lang w:eastAsia="zh-CN"/>
        </w:rPr>
      </w:pPr>
    </w:p>
    <w:sectPr w:rsidR="00830424" w:rsidRPr="00706E08" w:rsidSect="00830424">
      <w:pgSz w:w="15840" w:h="12240" w:orient="landscape"/>
      <w:pgMar w:top="1701" w:right="1985"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EAFCB" w14:textId="77777777" w:rsidR="00F61F73" w:rsidRDefault="00F61F73">
      <w:pPr>
        <w:spacing w:line="240" w:lineRule="auto"/>
      </w:pPr>
      <w:r>
        <w:separator/>
      </w:r>
    </w:p>
  </w:endnote>
  <w:endnote w:type="continuationSeparator" w:id="0">
    <w:p w14:paraId="19144272" w14:textId="77777777" w:rsidR="00F61F73" w:rsidRDefault="00F61F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Garamond-Bold">
    <w:altName w:val="Segoe Print"/>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ItalicMT">
    <w:charset w:val="00"/>
    <w:family w:val="auto"/>
    <w:pitch w:val="variable"/>
    <w:sig w:usb0="E0000AFF" w:usb1="00007843" w:usb2="00000001" w:usb3="00000000" w:csb0="000001BF" w:csb1="00000000"/>
  </w:font>
  <w:font w:name="AdvTimes">
    <w:altName w:val="MingLiU"/>
    <w:panose1 w:val="00000000000000000000"/>
    <w:charset w:val="88"/>
    <w:family w:val="auto"/>
    <w:notTrueType/>
    <w:pitch w:val="default"/>
    <w:sig w:usb0="00000001" w:usb1="08080000" w:usb2="00000010" w:usb3="00000000" w:csb0="00100000" w:csb1="00000000"/>
  </w:font>
  <w:font w:name="Yu Gothic">
    <w:altName w:val="游ゴシック"/>
    <w:panose1 w:val="020B0400000000000000"/>
    <w:charset w:val="80"/>
    <w:family w:val="swiss"/>
    <w:pitch w:val="variable"/>
    <w:sig w:usb0="E00002FF" w:usb1="2AC7FDFF" w:usb2="00000016"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D658F" w14:textId="77777777" w:rsidR="00F61F73" w:rsidRDefault="00F61F73">
      <w:pPr>
        <w:spacing w:line="240" w:lineRule="auto"/>
      </w:pPr>
      <w:r>
        <w:separator/>
      </w:r>
    </w:p>
  </w:footnote>
  <w:footnote w:type="continuationSeparator" w:id="0">
    <w:p w14:paraId="6D6E1419" w14:textId="77777777" w:rsidR="00F61F73" w:rsidRDefault="00F61F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156729"/>
      <w:docPartObj>
        <w:docPartGallery w:val="Page Numbers (Top of Page)"/>
        <w:docPartUnique/>
      </w:docPartObj>
    </w:sdtPr>
    <w:sdtEndPr/>
    <w:sdtContent>
      <w:p w14:paraId="5BA63423" w14:textId="170703BC" w:rsidR="004972FE" w:rsidRDefault="004972FE">
        <w:pPr>
          <w:pStyle w:val="a5"/>
          <w:jc w:val="right"/>
        </w:pPr>
        <w:r>
          <w:fldChar w:fldCharType="begin"/>
        </w:r>
        <w:r>
          <w:instrText>PAGE   \* MERGEFORMAT</w:instrText>
        </w:r>
        <w:r>
          <w:fldChar w:fldCharType="separate"/>
        </w:r>
        <w:r w:rsidR="00CF10A3" w:rsidRPr="00CF10A3">
          <w:rPr>
            <w:noProof/>
            <w:lang w:val="ja-JP"/>
          </w:rPr>
          <w:t>1</w:t>
        </w:r>
        <w:r>
          <w:fldChar w:fldCharType="end"/>
        </w:r>
      </w:p>
    </w:sdtContent>
  </w:sdt>
  <w:p w14:paraId="122B1C40" w14:textId="77777777" w:rsidR="004972FE" w:rsidRDefault="004972F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5B9"/>
    <w:multiLevelType w:val="hybridMultilevel"/>
    <w:tmpl w:val="1EAACB54"/>
    <w:lvl w:ilvl="0" w:tplc="5AF0130C">
      <w:start w:val="1"/>
      <w:numFmt w:val="decimal"/>
      <w:lvlText w:val="%1."/>
      <w:lvlJc w:val="left"/>
      <w:pPr>
        <w:ind w:left="360" w:hanging="360"/>
      </w:pPr>
      <w:rPr>
        <w:rFonts w:ascii="Book Antiqua" w:hAnsi="Book Antiqua"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0D58DF"/>
    <w:multiLevelType w:val="hybridMultilevel"/>
    <w:tmpl w:val="3462EC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3D3B99"/>
    <w:multiLevelType w:val="hybridMultilevel"/>
    <w:tmpl w:val="5DE6C3DA"/>
    <w:lvl w:ilvl="0" w:tplc="68448A22">
      <w:start w:val="1"/>
      <w:numFmt w:val="decimal"/>
      <w:lvlText w:val="%1."/>
      <w:lvlJc w:val="left"/>
      <w:pPr>
        <w:ind w:left="360" w:hanging="360"/>
      </w:pPr>
      <w:rPr>
        <w:rFonts w:hint="default"/>
        <w:b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AF1FEA"/>
    <w:multiLevelType w:val="hybridMultilevel"/>
    <w:tmpl w:val="D22C631C"/>
    <w:lvl w:ilvl="0" w:tplc="8968E1F6">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4D4EFC"/>
    <w:multiLevelType w:val="hybridMultilevel"/>
    <w:tmpl w:val="C50E54FE"/>
    <w:lvl w:ilvl="0" w:tplc="FF423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C7C53"/>
    <w:rsid w:val="000329F1"/>
    <w:rsid w:val="00043D5C"/>
    <w:rsid w:val="0006190D"/>
    <w:rsid w:val="00082300"/>
    <w:rsid w:val="00090C09"/>
    <w:rsid w:val="00097606"/>
    <w:rsid w:val="000A587D"/>
    <w:rsid w:val="000B52DE"/>
    <w:rsid w:val="000C7C53"/>
    <w:rsid w:val="000E36C2"/>
    <w:rsid w:val="00125F0A"/>
    <w:rsid w:val="00153DFC"/>
    <w:rsid w:val="00176445"/>
    <w:rsid w:val="001B57FF"/>
    <w:rsid w:val="001E4CF9"/>
    <w:rsid w:val="001F6CB5"/>
    <w:rsid w:val="00211749"/>
    <w:rsid w:val="00220D1D"/>
    <w:rsid w:val="00232529"/>
    <w:rsid w:val="002607D5"/>
    <w:rsid w:val="002F1282"/>
    <w:rsid w:val="00302750"/>
    <w:rsid w:val="00340E5D"/>
    <w:rsid w:val="003461DA"/>
    <w:rsid w:val="00372A99"/>
    <w:rsid w:val="003808A0"/>
    <w:rsid w:val="003B26E2"/>
    <w:rsid w:val="003E38F6"/>
    <w:rsid w:val="00430F3A"/>
    <w:rsid w:val="00450FD9"/>
    <w:rsid w:val="00476528"/>
    <w:rsid w:val="00491748"/>
    <w:rsid w:val="00491AF5"/>
    <w:rsid w:val="004972FE"/>
    <w:rsid w:val="004C1C00"/>
    <w:rsid w:val="004C5DF2"/>
    <w:rsid w:val="005101DA"/>
    <w:rsid w:val="00513D9F"/>
    <w:rsid w:val="00514DF7"/>
    <w:rsid w:val="00571DDD"/>
    <w:rsid w:val="00572502"/>
    <w:rsid w:val="00573019"/>
    <w:rsid w:val="005D3582"/>
    <w:rsid w:val="00601E06"/>
    <w:rsid w:val="00605F1C"/>
    <w:rsid w:val="00625562"/>
    <w:rsid w:val="006422AC"/>
    <w:rsid w:val="00672AE3"/>
    <w:rsid w:val="00682499"/>
    <w:rsid w:val="006F517B"/>
    <w:rsid w:val="006F53A6"/>
    <w:rsid w:val="00706E08"/>
    <w:rsid w:val="00710EB5"/>
    <w:rsid w:val="00735789"/>
    <w:rsid w:val="00794A66"/>
    <w:rsid w:val="007A14D5"/>
    <w:rsid w:val="007B6AB3"/>
    <w:rsid w:val="007D1259"/>
    <w:rsid w:val="007E1F00"/>
    <w:rsid w:val="00815D87"/>
    <w:rsid w:val="008214F5"/>
    <w:rsid w:val="00830424"/>
    <w:rsid w:val="00844C20"/>
    <w:rsid w:val="0084562D"/>
    <w:rsid w:val="00853ADD"/>
    <w:rsid w:val="00853DBB"/>
    <w:rsid w:val="0087748D"/>
    <w:rsid w:val="0089154E"/>
    <w:rsid w:val="00894108"/>
    <w:rsid w:val="008A6387"/>
    <w:rsid w:val="008B5F0A"/>
    <w:rsid w:val="008F3B73"/>
    <w:rsid w:val="00967E00"/>
    <w:rsid w:val="009F59AC"/>
    <w:rsid w:val="00A15713"/>
    <w:rsid w:val="00A2342E"/>
    <w:rsid w:val="00A24A6F"/>
    <w:rsid w:val="00A3196E"/>
    <w:rsid w:val="00A53D7B"/>
    <w:rsid w:val="00A56B04"/>
    <w:rsid w:val="00A8414C"/>
    <w:rsid w:val="00AA0343"/>
    <w:rsid w:val="00AB6B5F"/>
    <w:rsid w:val="00AE189D"/>
    <w:rsid w:val="00AE4231"/>
    <w:rsid w:val="00AE43B8"/>
    <w:rsid w:val="00B154A1"/>
    <w:rsid w:val="00B16B92"/>
    <w:rsid w:val="00B70428"/>
    <w:rsid w:val="00B7188C"/>
    <w:rsid w:val="00B83089"/>
    <w:rsid w:val="00B9283B"/>
    <w:rsid w:val="00BB2B48"/>
    <w:rsid w:val="00BC26BF"/>
    <w:rsid w:val="00C07749"/>
    <w:rsid w:val="00C22740"/>
    <w:rsid w:val="00C431E7"/>
    <w:rsid w:val="00C63635"/>
    <w:rsid w:val="00C67121"/>
    <w:rsid w:val="00C83C9C"/>
    <w:rsid w:val="00CC3DE0"/>
    <w:rsid w:val="00CC4123"/>
    <w:rsid w:val="00CE5026"/>
    <w:rsid w:val="00CF10A3"/>
    <w:rsid w:val="00CF4FF2"/>
    <w:rsid w:val="00D13F72"/>
    <w:rsid w:val="00D32ABF"/>
    <w:rsid w:val="00D33B0F"/>
    <w:rsid w:val="00D405C0"/>
    <w:rsid w:val="00D46DF2"/>
    <w:rsid w:val="00D50E1C"/>
    <w:rsid w:val="00D574FD"/>
    <w:rsid w:val="00D6275F"/>
    <w:rsid w:val="00D7536A"/>
    <w:rsid w:val="00D84B25"/>
    <w:rsid w:val="00DC2234"/>
    <w:rsid w:val="00E11DD0"/>
    <w:rsid w:val="00E12284"/>
    <w:rsid w:val="00E435F0"/>
    <w:rsid w:val="00E76C4A"/>
    <w:rsid w:val="00E87D08"/>
    <w:rsid w:val="00EB7B7E"/>
    <w:rsid w:val="00EE1EE9"/>
    <w:rsid w:val="00F2345F"/>
    <w:rsid w:val="00F4179E"/>
    <w:rsid w:val="00F44DD7"/>
    <w:rsid w:val="00F47AD0"/>
    <w:rsid w:val="00F61F73"/>
    <w:rsid w:val="00F66627"/>
    <w:rsid w:val="00F92583"/>
    <w:rsid w:val="00F928B2"/>
    <w:rsid w:val="00FA6129"/>
    <w:rsid w:val="00FC25EB"/>
    <w:rsid w:val="00FF4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8D7DB6"/>
  <w15:docId w15:val="{D42098D3-6E65-E54F-8452-3C5024CF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C53"/>
    <w:pPr>
      <w:spacing w:after="0" w:line="480" w:lineRule="auto"/>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0">
    <w:name w:val="a2"/>
    <w:basedOn w:val="a"/>
    <w:rsid w:val="000C7C53"/>
    <w:pPr>
      <w:spacing w:before="100" w:beforeAutospacing="1" w:after="100" w:afterAutospacing="1"/>
    </w:pPr>
    <w:rPr>
      <w:rFonts w:ascii="MS PGothic" w:eastAsia="MS PGothic" w:hAnsi="MS PGothic" w:cs="MS PGothic"/>
      <w:kern w:val="0"/>
      <w:sz w:val="22"/>
    </w:rPr>
  </w:style>
  <w:style w:type="paragraph" w:styleId="a3">
    <w:name w:val="List Paragraph"/>
    <w:basedOn w:val="a"/>
    <w:uiPriority w:val="34"/>
    <w:qFormat/>
    <w:rsid w:val="000C7C53"/>
    <w:pPr>
      <w:ind w:leftChars="400" w:left="840"/>
    </w:pPr>
  </w:style>
  <w:style w:type="character" w:styleId="a4">
    <w:name w:val="Intense Emphasis"/>
    <w:basedOn w:val="a0"/>
    <w:uiPriority w:val="21"/>
    <w:qFormat/>
    <w:rsid w:val="000C7C53"/>
    <w:rPr>
      <w:b/>
      <w:bCs/>
      <w:i/>
      <w:iCs/>
      <w:color w:val="5B9BD5" w:themeColor="accent1"/>
    </w:rPr>
  </w:style>
  <w:style w:type="paragraph" w:styleId="a5">
    <w:name w:val="header"/>
    <w:basedOn w:val="a"/>
    <w:link w:val="a6"/>
    <w:uiPriority w:val="99"/>
    <w:unhideWhenUsed/>
    <w:rsid w:val="000C7C53"/>
    <w:pPr>
      <w:tabs>
        <w:tab w:val="center" w:pos="4252"/>
        <w:tab w:val="right" w:pos="8504"/>
      </w:tabs>
      <w:snapToGrid w:val="0"/>
    </w:pPr>
  </w:style>
  <w:style w:type="character" w:customStyle="1" w:styleId="a6">
    <w:name w:val="页眉 字符"/>
    <w:basedOn w:val="a0"/>
    <w:link w:val="a5"/>
    <w:uiPriority w:val="99"/>
    <w:rsid w:val="000C7C53"/>
    <w:rPr>
      <w:kern w:val="2"/>
      <w:sz w:val="21"/>
    </w:rPr>
  </w:style>
  <w:style w:type="paragraph" w:styleId="a7">
    <w:name w:val="footer"/>
    <w:basedOn w:val="a"/>
    <w:link w:val="a8"/>
    <w:uiPriority w:val="99"/>
    <w:unhideWhenUsed/>
    <w:rsid w:val="000C7C53"/>
    <w:pPr>
      <w:tabs>
        <w:tab w:val="center" w:pos="4252"/>
        <w:tab w:val="right" w:pos="8504"/>
      </w:tabs>
      <w:snapToGrid w:val="0"/>
    </w:pPr>
  </w:style>
  <w:style w:type="character" w:customStyle="1" w:styleId="a8">
    <w:name w:val="页脚 字符"/>
    <w:basedOn w:val="a0"/>
    <w:link w:val="a7"/>
    <w:uiPriority w:val="99"/>
    <w:rsid w:val="000C7C53"/>
    <w:rPr>
      <w:kern w:val="2"/>
      <w:sz w:val="21"/>
    </w:rPr>
  </w:style>
  <w:style w:type="paragraph" w:styleId="a9">
    <w:name w:val="Balloon Text"/>
    <w:basedOn w:val="a"/>
    <w:link w:val="aa"/>
    <w:uiPriority w:val="99"/>
    <w:semiHidden/>
    <w:unhideWhenUsed/>
    <w:rsid w:val="000C7C53"/>
    <w:rPr>
      <w:rFonts w:asciiTheme="majorHAnsi" w:eastAsiaTheme="majorEastAsia" w:hAnsiTheme="majorHAnsi" w:cstheme="majorBidi"/>
      <w:sz w:val="18"/>
      <w:szCs w:val="18"/>
    </w:rPr>
  </w:style>
  <w:style w:type="character" w:customStyle="1" w:styleId="aa">
    <w:name w:val="批注框文本 字符"/>
    <w:basedOn w:val="a0"/>
    <w:link w:val="a9"/>
    <w:uiPriority w:val="99"/>
    <w:semiHidden/>
    <w:rsid w:val="000C7C53"/>
    <w:rPr>
      <w:rFonts w:asciiTheme="majorHAnsi" w:eastAsiaTheme="majorEastAsia" w:hAnsiTheme="majorHAnsi" w:cstheme="majorBidi"/>
      <w:kern w:val="2"/>
      <w:sz w:val="18"/>
      <w:szCs w:val="18"/>
    </w:rPr>
  </w:style>
  <w:style w:type="paragraph" w:styleId="ab">
    <w:name w:val="Normal (Web)"/>
    <w:basedOn w:val="a"/>
    <w:uiPriority w:val="99"/>
    <w:unhideWhenUsed/>
    <w:rsid w:val="000C7C53"/>
    <w:pPr>
      <w:spacing w:before="100" w:beforeAutospacing="1" w:after="100" w:afterAutospacing="1"/>
    </w:pPr>
    <w:rPr>
      <w:rFonts w:ascii="MS PGothic" w:eastAsia="MS PGothic" w:hAnsi="MS PGothic" w:cs="MS PGothic"/>
      <w:kern w:val="0"/>
      <w:sz w:val="24"/>
      <w:szCs w:val="24"/>
    </w:rPr>
  </w:style>
  <w:style w:type="character" w:styleId="ac">
    <w:name w:val="Hyperlink"/>
    <w:basedOn w:val="a0"/>
    <w:uiPriority w:val="99"/>
    <w:unhideWhenUsed/>
    <w:rsid w:val="000C7C53"/>
    <w:rPr>
      <w:color w:val="0563C1" w:themeColor="hyperlink"/>
      <w:u w:val="single"/>
    </w:rPr>
  </w:style>
  <w:style w:type="character" w:styleId="ad">
    <w:name w:val="page number"/>
    <w:basedOn w:val="a0"/>
    <w:uiPriority w:val="99"/>
    <w:semiHidden/>
    <w:unhideWhenUsed/>
    <w:rsid w:val="000C7C53"/>
  </w:style>
  <w:style w:type="character" w:styleId="ae">
    <w:name w:val="annotation reference"/>
    <w:basedOn w:val="a0"/>
    <w:uiPriority w:val="99"/>
    <w:unhideWhenUsed/>
    <w:qFormat/>
    <w:rsid w:val="000C7C53"/>
    <w:rPr>
      <w:sz w:val="18"/>
      <w:szCs w:val="18"/>
    </w:rPr>
  </w:style>
  <w:style w:type="paragraph" w:styleId="af">
    <w:name w:val="annotation text"/>
    <w:basedOn w:val="a"/>
    <w:link w:val="af0"/>
    <w:uiPriority w:val="99"/>
    <w:unhideWhenUsed/>
    <w:qFormat/>
    <w:rsid w:val="000C7C53"/>
  </w:style>
  <w:style w:type="character" w:customStyle="1" w:styleId="af0">
    <w:name w:val="批注文字 字符"/>
    <w:basedOn w:val="a0"/>
    <w:link w:val="af"/>
    <w:uiPriority w:val="99"/>
    <w:qFormat/>
    <w:rsid w:val="000C7C53"/>
    <w:rPr>
      <w:kern w:val="2"/>
      <w:sz w:val="21"/>
    </w:rPr>
  </w:style>
  <w:style w:type="paragraph" w:styleId="af1">
    <w:name w:val="annotation subject"/>
    <w:basedOn w:val="af"/>
    <w:next w:val="af"/>
    <w:link w:val="af2"/>
    <w:uiPriority w:val="99"/>
    <w:semiHidden/>
    <w:unhideWhenUsed/>
    <w:rsid w:val="000C7C53"/>
    <w:rPr>
      <w:b/>
      <w:bCs/>
    </w:rPr>
  </w:style>
  <w:style w:type="character" w:customStyle="1" w:styleId="af2">
    <w:name w:val="批注主题 字符"/>
    <w:basedOn w:val="af0"/>
    <w:link w:val="af1"/>
    <w:uiPriority w:val="99"/>
    <w:semiHidden/>
    <w:rsid w:val="000C7C53"/>
    <w:rPr>
      <w:b/>
      <w:bCs/>
      <w:kern w:val="2"/>
      <w:sz w:val="21"/>
    </w:rPr>
  </w:style>
  <w:style w:type="character" w:customStyle="1" w:styleId="apple-converted-space">
    <w:name w:val="apple-converted-space"/>
    <w:basedOn w:val="a0"/>
    <w:rsid w:val="000C7C53"/>
  </w:style>
  <w:style w:type="paragraph" w:styleId="af3">
    <w:name w:val="Revision"/>
    <w:hidden/>
    <w:uiPriority w:val="99"/>
    <w:semiHidden/>
    <w:rsid w:val="000C7C53"/>
    <w:pPr>
      <w:spacing w:after="0" w:line="480" w:lineRule="auto"/>
    </w:pPr>
    <w:rPr>
      <w:kern w:val="2"/>
      <w:sz w:val="21"/>
    </w:rPr>
  </w:style>
  <w:style w:type="paragraph" w:styleId="HTML">
    <w:name w:val="HTML Preformatted"/>
    <w:basedOn w:val="a"/>
    <w:link w:val="HTML0"/>
    <w:uiPriority w:val="99"/>
    <w:unhideWhenUsed/>
    <w:rsid w:val="000C7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kern w:val="0"/>
      <w:sz w:val="24"/>
      <w:szCs w:val="24"/>
    </w:rPr>
  </w:style>
  <w:style w:type="character" w:customStyle="1" w:styleId="HTML0">
    <w:name w:val="HTML 预设格式 字符"/>
    <w:basedOn w:val="a0"/>
    <w:link w:val="HTML"/>
    <w:uiPriority w:val="99"/>
    <w:rsid w:val="000C7C53"/>
    <w:rPr>
      <w:rFonts w:ascii="MS Gothic" w:eastAsia="MS Gothic" w:hAnsi="MS Gothic" w:cs="MS Gothic"/>
      <w:sz w:val="24"/>
      <w:szCs w:val="24"/>
    </w:rPr>
  </w:style>
  <w:style w:type="table" w:styleId="af4">
    <w:name w:val="Table Grid"/>
    <w:basedOn w:val="a1"/>
    <w:uiPriority w:val="59"/>
    <w:rsid w:val="000C7C53"/>
    <w:pPr>
      <w:spacing w:after="0" w:line="48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0C7C53"/>
    <w:rPr>
      <w:color w:val="808080"/>
      <w:shd w:val="clear" w:color="auto" w:fill="E6E6E6"/>
    </w:rPr>
  </w:style>
  <w:style w:type="character" w:styleId="af5">
    <w:name w:val="FollowedHyperlink"/>
    <w:basedOn w:val="a0"/>
    <w:uiPriority w:val="99"/>
    <w:semiHidden/>
    <w:unhideWhenUsed/>
    <w:rsid w:val="000C7C53"/>
    <w:rPr>
      <w:color w:val="954F72" w:themeColor="followedHyperlink"/>
      <w:u w:val="single"/>
    </w:rPr>
  </w:style>
  <w:style w:type="paragraph" w:customStyle="1" w:styleId="EndNoteBibliographyTitle">
    <w:name w:val="EndNote Bibliography Title"/>
    <w:basedOn w:val="a"/>
    <w:link w:val="EndNoteBibliographyTitle0"/>
    <w:rsid w:val="000C7C53"/>
    <w:pPr>
      <w:jc w:val="center"/>
    </w:pPr>
    <w:rPr>
      <w:rFonts w:ascii="Calibri" w:eastAsia="Yu Mincho" w:hAnsi="Calibri" w:cs="Calibri"/>
      <w:noProof/>
      <w:sz w:val="20"/>
    </w:rPr>
  </w:style>
  <w:style w:type="character" w:customStyle="1" w:styleId="EndNoteBibliographyTitle0">
    <w:name w:val="EndNote Bibliography Title (文字)"/>
    <w:basedOn w:val="a0"/>
    <w:link w:val="EndNoteBibliographyTitle"/>
    <w:rsid w:val="000C7C53"/>
    <w:rPr>
      <w:rFonts w:ascii="Calibri" w:eastAsia="Yu Mincho" w:hAnsi="Calibri" w:cs="Calibri"/>
      <w:noProof/>
      <w:kern w:val="2"/>
      <w:sz w:val="20"/>
    </w:rPr>
  </w:style>
  <w:style w:type="paragraph" w:customStyle="1" w:styleId="EndNoteBibliography">
    <w:name w:val="EndNote Bibliography"/>
    <w:basedOn w:val="a"/>
    <w:link w:val="EndNoteBibliography0"/>
    <w:rsid w:val="000C7C53"/>
    <w:pPr>
      <w:spacing w:line="240" w:lineRule="auto"/>
    </w:pPr>
    <w:rPr>
      <w:rFonts w:ascii="Calibri" w:eastAsia="Yu Mincho" w:hAnsi="Calibri" w:cs="Calibri"/>
      <w:noProof/>
      <w:sz w:val="20"/>
    </w:rPr>
  </w:style>
  <w:style w:type="character" w:customStyle="1" w:styleId="EndNoteBibliography0">
    <w:name w:val="EndNote Bibliography (文字)"/>
    <w:basedOn w:val="a0"/>
    <w:link w:val="EndNoteBibliography"/>
    <w:rsid w:val="000C7C53"/>
    <w:rPr>
      <w:rFonts w:ascii="Calibri" w:eastAsia="Yu Mincho" w:hAnsi="Calibri" w:cs="Calibri"/>
      <w:noProof/>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90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33</Pages>
  <Words>6840</Words>
  <Characters>38990</Characters>
  <Application>Microsoft Office Word</Application>
  <DocSecurity>0</DocSecurity>
  <Lines>324</Lines>
  <Paragraphs>91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HP</Company>
  <LinksUpToDate>false</LinksUpToDate>
  <CharactersWithSpaces>45739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松野 雄一</dc:creator>
  <cp:keywords/>
  <dc:description/>
  <cp:lastModifiedBy>宋 涵</cp:lastModifiedBy>
  <cp:revision>5</cp:revision>
  <dcterms:created xsi:type="dcterms:W3CDTF">2019-03-12T02:00:00Z</dcterms:created>
  <dcterms:modified xsi:type="dcterms:W3CDTF">2019-04-12T05:57:00Z</dcterms:modified>
</cp:coreProperties>
</file>